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B11C16E">
      <w:pPr>
        <w:ind w:left="210" w:leftChars="100"/>
        <w:jc w:val="center"/>
        <w:rPr>
          <w:rFonts w:ascii="Times New Roman" w:hAnsi="Times New Roman"/>
          <w:b/>
          <w:bCs/>
          <w:color w:val="auto"/>
          <w:sz w:val="72"/>
          <w:highlight w:val="none"/>
        </w:rPr>
      </w:pPr>
    </w:p>
    <w:p w14:paraId="5336895A">
      <w:pPr>
        <w:jc w:val="center"/>
        <w:rPr>
          <w:rFonts w:hint="eastAsia" w:ascii="Times New Roman" w:hAnsi="Times New Roman" w:eastAsia="宋体"/>
          <w:b/>
          <w:bCs/>
          <w:color w:val="auto"/>
          <w:sz w:val="72"/>
          <w:highlight w:val="none"/>
          <w:lang w:eastAsia="zh-CN"/>
        </w:rPr>
      </w:pPr>
      <w:bookmarkStart w:id="0" w:name="_Hlk24317540"/>
      <w:bookmarkStart w:id="1" w:name="_Hlk528667721"/>
      <w:r>
        <w:rPr>
          <w:rFonts w:hint="eastAsia" w:ascii="Times New Roman" w:hAnsi="Times New Roman"/>
          <w:b/>
          <w:bCs/>
          <w:color w:val="auto"/>
          <w:sz w:val="48"/>
          <w:szCs w:val="48"/>
          <w:highlight w:val="none"/>
          <w:lang w:eastAsia="zh-CN"/>
        </w:rPr>
        <w:t>昆明理工大学城市学院艺术系“人工智能+”新质生产力赋能实践示范中心建设采购项目（z25）（二次）</w:t>
      </w:r>
    </w:p>
    <w:bookmarkEnd w:id="0"/>
    <w:bookmarkEnd w:id="1"/>
    <w:p w14:paraId="6E402D37">
      <w:pPr>
        <w:jc w:val="center"/>
        <w:rPr>
          <w:rFonts w:ascii="Times New Roman" w:hAnsi="Times New Roman"/>
          <w:b/>
          <w:bCs/>
          <w:color w:val="auto"/>
          <w:sz w:val="72"/>
          <w:highlight w:val="none"/>
        </w:rPr>
      </w:pPr>
    </w:p>
    <w:p w14:paraId="2F1389EC">
      <w:pPr>
        <w:jc w:val="center"/>
        <w:rPr>
          <w:rFonts w:ascii="Times New Roman" w:hAnsi="Times New Roman"/>
          <w:b/>
          <w:bCs/>
          <w:color w:val="auto"/>
          <w:sz w:val="72"/>
          <w:highlight w:val="none"/>
        </w:rPr>
      </w:pPr>
    </w:p>
    <w:p w14:paraId="1B9EEECA">
      <w:pPr>
        <w:jc w:val="center"/>
        <w:rPr>
          <w:rFonts w:ascii="Times New Roman" w:hAnsi="Times New Roman"/>
          <w:b/>
          <w:bCs/>
          <w:color w:val="auto"/>
          <w:sz w:val="72"/>
          <w:highlight w:val="none"/>
        </w:rPr>
      </w:pPr>
    </w:p>
    <w:p w14:paraId="3B3B7CDF">
      <w:pPr>
        <w:jc w:val="center"/>
        <w:rPr>
          <w:rFonts w:ascii="Times New Roman" w:hAnsi="Times New Roman"/>
          <w:b/>
          <w:bCs/>
          <w:color w:val="auto"/>
          <w:sz w:val="72"/>
          <w:highlight w:val="none"/>
        </w:rPr>
      </w:pPr>
      <w:r>
        <w:rPr>
          <w:rFonts w:ascii="Times New Roman" w:hAnsi="Times New Roman"/>
          <w:b/>
          <w:bCs/>
          <w:color w:val="auto"/>
          <w:sz w:val="72"/>
          <w:highlight w:val="none"/>
        </w:rPr>
        <w:t>招 标 文 件</w:t>
      </w:r>
    </w:p>
    <w:p w14:paraId="74324768">
      <w:pPr>
        <w:jc w:val="center"/>
        <w:rPr>
          <w:rFonts w:ascii="Times New Roman" w:hAnsi="Times New Roman"/>
          <w:color w:val="auto"/>
          <w:highlight w:val="none"/>
        </w:rPr>
      </w:pPr>
    </w:p>
    <w:p w14:paraId="47EA5D29">
      <w:pPr>
        <w:jc w:val="center"/>
        <w:rPr>
          <w:rFonts w:hint="eastAsia" w:ascii="Times New Roman" w:hAnsi="Times New Roman" w:eastAsia="宋体"/>
          <w:b/>
          <w:bCs/>
          <w:color w:val="auto"/>
          <w:w w:val="95"/>
          <w:sz w:val="30"/>
          <w:szCs w:val="30"/>
          <w:highlight w:val="none"/>
          <w:lang w:eastAsia="zh-CN"/>
        </w:rPr>
      </w:pPr>
      <w:r>
        <w:rPr>
          <w:rFonts w:ascii="Times New Roman" w:hAnsi="Times New Roman"/>
          <w:b/>
          <w:bCs/>
          <w:color w:val="auto"/>
          <w:sz w:val="30"/>
          <w:szCs w:val="30"/>
          <w:highlight w:val="none"/>
        </w:rPr>
        <w:t>项目编号</w:t>
      </w:r>
      <w:r>
        <w:rPr>
          <w:rFonts w:ascii="Times New Roman" w:hAnsi="Times New Roman"/>
          <w:b/>
          <w:bCs/>
          <w:color w:val="auto"/>
          <w:w w:val="95"/>
          <w:sz w:val="30"/>
          <w:szCs w:val="30"/>
          <w:highlight w:val="none"/>
        </w:rPr>
        <w:t>：</w:t>
      </w:r>
      <w:r>
        <w:rPr>
          <w:rFonts w:hint="eastAsia" w:ascii="Times New Roman" w:hAnsi="Times New Roman"/>
          <w:b/>
          <w:bCs/>
          <w:color w:val="auto"/>
          <w:w w:val="95"/>
          <w:sz w:val="30"/>
          <w:szCs w:val="30"/>
          <w:highlight w:val="none"/>
        </w:rPr>
        <w:t xml:space="preserve"> </w:t>
      </w:r>
      <w:r>
        <w:rPr>
          <w:rFonts w:hint="eastAsia" w:ascii="Times New Roman" w:hAnsi="Times New Roman"/>
          <w:b/>
          <w:bCs/>
          <w:color w:val="auto"/>
          <w:w w:val="95"/>
          <w:sz w:val="30"/>
          <w:szCs w:val="30"/>
          <w:highlight w:val="none"/>
          <w:lang w:eastAsia="zh-CN"/>
        </w:rPr>
        <w:t>YNZC2025-G1-05150-YZGF-1133</w:t>
      </w:r>
    </w:p>
    <w:p w14:paraId="0504DBD1">
      <w:pPr>
        <w:jc w:val="center"/>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w w:val="95"/>
          <w:sz w:val="30"/>
          <w:szCs w:val="30"/>
          <w:highlight w:val="none"/>
        </w:rPr>
        <w:t>招标编号：</w:t>
      </w:r>
      <w:r>
        <w:rPr>
          <w:rFonts w:hint="eastAsia" w:ascii="Times New Roman" w:hAnsi="Times New Roman"/>
          <w:b/>
          <w:bCs/>
          <w:color w:val="auto"/>
          <w:w w:val="95"/>
          <w:sz w:val="30"/>
          <w:szCs w:val="30"/>
          <w:highlight w:val="none"/>
          <w:lang w:eastAsia="zh-CN"/>
        </w:rPr>
        <w:t>P53A00325001454C1</w:t>
      </w:r>
    </w:p>
    <w:p w14:paraId="2671A650">
      <w:pPr>
        <w:jc w:val="center"/>
        <w:rPr>
          <w:rFonts w:ascii="Times New Roman" w:hAnsi="Times New Roman"/>
          <w:color w:val="auto"/>
          <w:highlight w:val="none"/>
        </w:rPr>
      </w:pPr>
    </w:p>
    <w:p w14:paraId="7106062E">
      <w:pPr>
        <w:jc w:val="center"/>
        <w:rPr>
          <w:rFonts w:ascii="Times New Roman" w:hAnsi="Times New Roman"/>
          <w:color w:val="auto"/>
          <w:highlight w:val="none"/>
        </w:rPr>
      </w:pPr>
    </w:p>
    <w:p w14:paraId="0F27F89E">
      <w:pPr>
        <w:jc w:val="center"/>
        <w:rPr>
          <w:rFonts w:ascii="Times New Roman" w:hAnsi="Times New Roman"/>
          <w:color w:val="auto"/>
          <w:highlight w:val="none"/>
        </w:rPr>
      </w:pPr>
    </w:p>
    <w:p w14:paraId="0B797A14">
      <w:pPr>
        <w:jc w:val="center"/>
        <w:rPr>
          <w:rFonts w:ascii="Times New Roman" w:hAnsi="Times New Roman"/>
          <w:color w:val="auto"/>
          <w:highlight w:val="none"/>
        </w:rPr>
      </w:pPr>
    </w:p>
    <w:p w14:paraId="4E4CF8FA">
      <w:pPr>
        <w:jc w:val="center"/>
        <w:rPr>
          <w:rFonts w:ascii="Times New Roman" w:hAnsi="Times New Roman"/>
          <w:color w:val="auto"/>
          <w:highlight w:val="none"/>
        </w:rPr>
      </w:pPr>
    </w:p>
    <w:p w14:paraId="79F872FF">
      <w:pPr>
        <w:jc w:val="center"/>
        <w:rPr>
          <w:rFonts w:ascii="Times New Roman" w:hAnsi="Times New Roman"/>
          <w:color w:val="auto"/>
          <w:highlight w:val="none"/>
        </w:rPr>
      </w:pPr>
    </w:p>
    <w:p w14:paraId="4B609B38">
      <w:pPr>
        <w:jc w:val="center"/>
        <w:rPr>
          <w:rFonts w:ascii="Times New Roman" w:hAnsi="Times New Roman"/>
          <w:color w:val="auto"/>
          <w:highlight w:val="none"/>
        </w:rPr>
      </w:pPr>
    </w:p>
    <w:p w14:paraId="542F937A">
      <w:pPr>
        <w:jc w:val="center"/>
        <w:rPr>
          <w:rFonts w:ascii="Times New Roman" w:hAnsi="Times New Roman"/>
          <w:color w:val="auto"/>
          <w:highlight w:val="none"/>
        </w:rPr>
      </w:pPr>
    </w:p>
    <w:p w14:paraId="40398AE2">
      <w:pPr>
        <w:jc w:val="center"/>
        <w:rPr>
          <w:rFonts w:ascii="Times New Roman" w:hAnsi="Times New Roman"/>
          <w:b/>
          <w:bCs/>
          <w:color w:val="auto"/>
          <w:w w:val="95"/>
          <w:sz w:val="32"/>
          <w:highlight w:val="none"/>
        </w:rPr>
      </w:pPr>
      <w:r>
        <w:rPr>
          <w:rFonts w:ascii="Times New Roman" w:hAnsi="Times New Roman"/>
          <w:b/>
          <w:bCs/>
          <w:color w:val="auto"/>
          <w:w w:val="95"/>
          <w:sz w:val="32"/>
          <w:highlight w:val="none"/>
        </w:rPr>
        <w:t>采购人：昆明理工大学</w:t>
      </w:r>
    </w:p>
    <w:p w14:paraId="7A91D897">
      <w:pPr>
        <w:jc w:val="center"/>
        <w:rPr>
          <w:rFonts w:ascii="Times New Roman" w:hAnsi="Times New Roman"/>
          <w:b/>
          <w:bCs/>
          <w:color w:val="auto"/>
          <w:w w:val="95"/>
          <w:sz w:val="32"/>
          <w:highlight w:val="none"/>
        </w:rPr>
      </w:pPr>
      <w:r>
        <w:rPr>
          <w:rFonts w:ascii="Times New Roman" w:hAnsi="Times New Roman"/>
          <w:b/>
          <w:bCs/>
          <w:color w:val="auto"/>
          <w:w w:val="95"/>
          <w:sz w:val="32"/>
          <w:highlight w:val="none"/>
        </w:rPr>
        <w:t>采购代理机构：</w:t>
      </w:r>
      <w:r>
        <w:rPr>
          <w:rFonts w:ascii="Times New Roman" w:hAnsi="Times New Roman"/>
          <w:b/>
          <w:bCs/>
          <w:color w:val="auto"/>
          <w:spacing w:val="20"/>
          <w:w w:val="95"/>
          <w:sz w:val="32"/>
          <w:highlight w:val="none"/>
        </w:rPr>
        <w:t>云南招标股份有限公司</w:t>
      </w:r>
    </w:p>
    <w:p w14:paraId="482F068D">
      <w:pPr>
        <w:jc w:val="center"/>
        <w:rPr>
          <w:rFonts w:ascii="Times New Roman" w:hAnsi="Times New Roman"/>
          <w:b/>
          <w:color w:val="auto"/>
          <w:sz w:val="36"/>
          <w:szCs w:val="36"/>
          <w:highlight w:val="none"/>
        </w:rPr>
      </w:pPr>
      <w:r>
        <w:rPr>
          <w:rFonts w:ascii="Times New Roman" w:hAnsi="Times New Roman"/>
          <w:b/>
          <w:bCs/>
          <w:color w:val="auto"/>
          <w:w w:val="95"/>
          <w:sz w:val="32"/>
          <w:highlight w:val="none"/>
        </w:rPr>
        <w:t>202</w:t>
      </w:r>
      <w:r>
        <w:rPr>
          <w:rFonts w:hint="eastAsia" w:ascii="Times New Roman" w:hAnsi="Times New Roman"/>
          <w:b/>
          <w:bCs/>
          <w:color w:val="auto"/>
          <w:w w:val="95"/>
          <w:sz w:val="32"/>
          <w:highlight w:val="none"/>
        </w:rPr>
        <w:t>5</w:t>
      </w:r>
      <w:r>
        <w:rPr>
          <w:rFonts w:ascii="Times New Roman" w:hAnsi="Times New Roman"/>
          <w:b/>
          <w:bCs/>
          <w:color w:val="auto"/>
          <w:w w:val="95"/>
          <w:sz w:val="32"/>
          <w:highlight w:val="none"/>
        </w:rPr>
        <w:t>年</w:t>
      </w:r>
      <w:r>
        <w:rPr>
          <w:rFonts w:hint="eastAsia" w:ascii="Times New Roman" w:hAnsi="Times New Roman"/>
          <w:b/>
          <w:bCs/>
          <w:color w:val="auto"/>
          <w:w w:val="95"/>
          <w:sz w:val="32"/>
          <w:highlight w:val="none"/>
          <w:lang w:val="en-US" w:eastAsia="zh-CN"/>
        </w:rPr>
        <w:t>8</w:t>
      </w:r>
      <w:r>
        <w:rPr>
          <w:rFonts w:ascii="Times New Roman" w:hAnsi="Times New Roman"/>
          <w:b/>
          <w:bCs/>
          <w:color w:val="auto"/>
          <w:w w:val="95"/>
          <w:sz w:val="32"/>
          <w:highlight w:val="none"/>
        </w:rPr>
        <w:t>月</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46"/>
        <w:gridCol w:w="2341"/>
        <w:gridCol w:w="5321"/>
      </w:tblGrid>
      <w:tr w14:paraId="6467D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30" w:hRule="atLeast"/>
          <w:jc w:val="center"/>
        </w:trPr>
        <w:tc>
          <w:tcPr>
            <w:tcW w:w="9108" w:type="dxa"/>
            <w:gridSpan w:val="3"/>
          </w:tcPr>
          <w:p w14:paraId="4F1B2610">
            <w:pPr>
              <w:rPr>
                <w:rFonts w:ascii="Times New Roman" w:hAnsi="Times New Roman"/>
                <w:b/>
                <w:color w:val="auto"/>
                <w:sz w:val="28"/>
                <w:highlight w:val="none"/>
              </w:rPr>
            </w:pPr>
          </w:p>
          <w:p w14:paraId="5F9021A8">
            <w:pPr>
              <w:rPr>
                <w:rFonts w:ascii="Times New Roman" w:hAnsi="Times New Roman"/>
                <w:b/>
                <w:color w:val="auto"/>
                <w:sz w:val="28"/>
                <w:highlight w:val="none"/>
              </w:rPr>
            </w:pPr>
          </w:p>
          <w:p w14:paraId="37680ED0">
            <w:pPr>
              <w:rPr>
                <w:rFonts w:ascii="Times New Roman" w:hAnsi="Times New Roman"/>
                <w:b/>
                <w:color w:val="auto"/>
                <w:sz w:val="28"/>
                <w:highlight w:val="none"/>
              </w:rPr>
            </w:pPr>
          </w:p>
          <w:p w14:paraId="2E0D00CE">
            <w:pPr>
              <w:rPr>
                <w:rFonts w:ascii="Times New Roman" w:hAnsi="Times New Roman"/>
                <w:b/>
                <w:color w:val="auto"/>
                <w:sz w:val="28"/>
                <w:highlight w:val="none"/>
              </w:rPr>
            </w:pPr>
          </w:p>
          <w:p w14:paraId="43E49E00">
            <w:pPr>
              <w:jc w:val="left"/>
              <w:rPr>
                <w:rFonts w:ascii="Times New Roman" w:hAnsi="Times New Roman"/>
                <w:b/>
                <w:color w:val="auto"/>
                <w:sz w:val="36"/>
                <w:szCs w:val="36"/>
                <w:highlight w:val="none"/>
              </w:rPr>
            </w:pPr>
          </w:p>
          <w:p w14:paraId="348E448F">
            <w:pPr>
              <w:jc w:val="left"/>
              <w:rPr>
                <w:rFonts w:ascii="Times New Roman" w:hAnsi="Times New Roman"/>
                <w:b/>
                <w:color w:val="auto"/>
                <w:sz w:val="36"/>
                <w:szCs w:val="36"/>
                <w:highlight w:val="none"/>
              </w:rPr>
            </w:pPr>
          </w:p>
          <w:p w14:paraId="50E904A1">
            <w:pPr>
              <w:jc w:val="left"/>
              <w:rPr>
                <w:rFonts w:ascii="Times New Roman" w:hAnsi="Times New Roman"/>
                <w:b/>
                <w:color w:val="auto"/>
                <w:sz w:val="36"/>
                <w:szCs w:val="36"/>
                <w:highlight w:val="none"/>
              </w:rPr>
            </w:pPr>
          </w:p>
          <w:p w14:paraId="166376CC">
            <w:pPr>
              <w:jc w:val="center"/>
              <w:rPr>
                <w:rFonts w:ascii="Times New Roman" w:hAnsi="Times New Roman"/>
                <w:b/>
                <w:color w:val="auto"/>
                <w:sz w:val="52"/>
                <w:szCs w:val="52"/>
                <w:highlight w:val="none"/>
              </w:rPr>
            </w:pPr>
            <w:r>
              <w:rPr>
                <w:rFonts w:ascii="Times New Roman" w:hAnsi="Times New Roman"/>
                <w:b/>
                <w:color w:val="auto"/>
                <w:sz w:val="52"/>
                <w:szCs w:val="52"/>
                <w:highlight w:val="none"/>
              </w:rPr>
              <w:t>招 标 文 件</w:t>
            </w:r>
          </w:p>
          <w:p w14:paraId="00D12F94">
            <w:pPr>
              <w:rPr>
                <w:rFonts w:ascii="Times New Roman" w:hAnsi="Times New Roman"/>
                <w:b/>
                <w:color w:val="auto"/>
                <w:sz w:val="28"/>
                <w:highlight w:val="none"/>
              </w:rPr>
            </w:pPr>
          </w:p>
          <w:p w14:paraId="741AEE78">
            <w:pPr>
              <w:rPr>
                <w:rFonts w:ascii="Times New Roman" w:hAnsi="Times New Roman"/>
                <w:b/>
                <w:color w:val="auto"/>
                <w:sz w:val="28"/>
                <w:highlight w:val="none"/>
              </w:rPr>
            </w:pPr>
          </w:p>
          <w:p w14:paraId="483B6A28">
            <w:pPr>
              <w:rPr>
                <w:rFonts w:ascii="Times New Roman" w:hAnsi="Times New Roman"/>
                <w:b/>
                <w:color w:val="auto"/>
                <w:sz w:val="28"/>
                <w:highlight w:val="none"/>
              </w:rPr>
            </w:pPr>
          </w:p>
          <w:p w14:paraId="2A644997">
            <w:pPr>
              <w:rPr>
                <w:rFonts w:ascii="Times New Roman" w:hAnsi="Times New Roman"/>
                <w:b/>
                <w:color w:val="auto"/>
                <w:sz w:val="28"/>
                <w:highlight w:val="none"/>
              </w:rPr>
            </w:pPr>
          </w:p>
        </w:tc>
      </w:tr>
      <w:tr w14:paraId="00B8D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1446" w:type="dxa"/>
            <w:vAlign w:val="center"/>
          </w:tcPr>
          <w:p w14:paraId="7F9BFCF4">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部门：</w:t>
            </w:r>
          </w:p>
        </w:tc>
        <w:tc>
          <w:tcPr>
            <w:tcW w:w="2341" w:type="dxa"/>
          </w:tcPr>
          <w:p w14:paraId="1E440A0A">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招标三部</w:t>
            </w:r>
          </w:p>
        </w:tc>
        <w:tc>
          <w:tcPr>
            <w:tcW w:w="5321" w:type="dxa"/>
            <w:vMerge w:val="restart"/>
          </w:tcPr>
          <w:p w14:paraId="3341DC9A">
            <w:pPr>
              <w:spacing w:line="360" w:lineRule="auto"/>
              <w:rPr>
                <w:rFonts w:hint="eastAsia" w:ascii="Times New Roman" w:hAnsi="Times New Roman" w:eastAsia="宋体"/>
                <w:color w:val="auto"/>
                <w:sz w:val="28"/>
                <w:highlight w:val="none"/>
                <w:lang w:eastAsia="zh-CN"/>
              </w:rPr>
            </w:pPr>
            <w:r>
              <w:rPr>
                <w:rFonts w:ascii="Times New Roman" w:hAnsi="Times New Roman"/>
                <w:color w:val="auto"/>
                <w:sz w:val="28"/>
                <w:highlight w:val="none"/>
              </w:rPr>
              <w:t>项目名称：</w:t>
            </w:r>
            <w:r>
              <w:rPr>
                <w:rFonts w:hint="eastAsia" w:ascii="Times New Roman" w:hAnsi="Times New Roman"/>
                <w:color w:val="auto"/>
                <w:sz w:val="28"/>
                <w:highlight w:val="none"/>
                <w:lang w:eastAsia="zh-CN"/>
              </w:rPr>
              <w:t>昆明理工大学城市学院艺术系“人工智能+”新质生产力赋能实践示范中心建设采购项目（z25）（二次）</w:t>
            </w:r>
          </w:p>
        </w:tc>
      </w:tr>
      <w:tr w14:paraId="6880B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1446" w:type="dxa"/>
            <w:vAlign w:val="center"/>
          </w:tcPr>
          <w:p w14:paraId="4E3FE8ED">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编制：</w:t>
            </w:r>
          </w:p>
        </w:tc>
        <w:tc>
          <w:tcPr>
            <w:tcW w:w="2341" w:type="dxa"/>
            <w:vAlign w:val="center"/>
          </w:tcPr>
          <w:p w14:paraId="04D7996E">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郑</w:t>
            </w:r>
            <w:r>
              <w:rPr>
                <w:rFonts w:hint="eastAsia" w:ascii="Times New Roman" w:hAnsi="Times New Roman"/>
                <w:color w:val="auto"/>
                <w:sz w:val="28"/>
                <w:highlight w:val="none"/>
              </w:rPr>
              <w:t xml:space="preserve">  </w:t>
            </w:r>
            <w:r>
              <w:rPr>
                <w:rFonts w:ascii="Times New Roman" w:hAnsi="Times New Roman"/>
                <w:color w:val="auto"/>
                <w:sz w:val="28"/>
                <w:highlight w:val="none"/>
              </w:rPr>
              <w:t>艳</w:t>
            </w:r>
          </w:p>
        </w:tc>
        <w:tc>
          <w:tcPr>
            <w:tcW w:w="5321" w:type="dxa"/>
            <w:vMerge w:val="continue"/>
          </w:tcPr>
          <w:p w14:paraId="5E25BAEB">
            <w:pPr>
              <w:rPr>
                <w:rFonts w:ascii="Times New Roman" w:hAnsi="Times New Roman"/>
                <w:color w:val="auto"/>
                <w:highlight w:val="none"/>
              </w:rPr>
            </w:pPr>
          </w:p>
        </w:tc>
      </w:tr>
      <w:tr w14:paraId="4BF9DF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446" w:type="dxa"/>
            <w:vAlign w:val="center"/>
          </w:tcPr>
          <w:p w14:paraId="2E23F0B3">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校核：</w:t>
            </w:r>
          </w:p>
        </w:tc>
        <w:tc>
          <w:tcPr>
            <w:tcW w:w="2341" w:type="dxa"/>
            <w:vAlign w:val="center"/>
          </w:tcPr>
          <w:p w14:paraId="33D5C80A">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郑</w:t>
            </w:r>
            <w:r>
              <w:rPr>
                <w:rFonts w:hint="eastAsia" w:ascii="Times New Roman" w:hAnsi="Times New Roman"/>
                <w:color w:val="auto"/>
                <w:sz w:val="28"/>
                <w:highlight w:val="none"/>
              </w:rPr>
              <w:t xml:space="preserve">  </w:t>
            </w:r>
            <w:r>
              <w:rPr>
                <w:rFonts w:ascii="Times New Roman" w:hAnsi="Times New Roman"/>
                <w:color w:val="auto"/>
                <w:sz w:val="28"/>
                <w:highlight w:val="none"/>
              </w:rPr>
              <w:t>艳</w:t>
            </w:r>
          </w:p>
        </w:tc>
        <w:tc>
          <w:tcPr>
            <w:tcW w:w="5321" w:type="dxa"/>
          </w:tcPr>
          <w:p w14:paraId="2B67E646">
            <w:pPr>
              <w:spacing w:line="360" w:lineRule="auto"/>
              <w:rPr>
                <w:rFonts w:ascii="Times New Roman" w:hAnsi="Times New Roman"/>
                <w:b/>
                <w:bCs/>
                <w:color w:val="auto"/>
                <w:sz w:val="24"/>
                <w:highlight w:val="none"/>
              </w:rPr>
            </w:pPr>
            <w:r>
              <w:rPr>
                <w:rFonts w:ascii="Times New Roman" w:hAnsi="Times New Roman"/>
                <w:color w:val="auto"/>
                <w:sz w:val="28"/>
                <w:highlight w:val="none"/>
              </w:rPr>
              <w:t>采购人：昆明理工大学</w:t>
            </w:r>
          </w:p>
        </w:tc>
      </w:tr>
      <w:tr w14:paraId="7DF74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446" w:type="dxa"/>
            <w:vAlign w:val="center"/>
          </w:tcPr>
          <w:p w14:paraId="4C02E391">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批准：</w:t>
            </w:r>
          </w:p>
        </w:tc>
        <w:tc>
          <w:tcPr>
            <w:tcW w:w="2341" w:type="dxa"/>
            <w:vAlign w:val="center"/>
          </w:tcPr>
          <w:p w14:paraId="25E1115C">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师继承</w:t>
            </w:r>
          </w:p>
        </w:tc>
        <w:tc>
          <w:tcPr>
            <w:tcW w:w="5321" w:type="dxa"/>
          </w:tcPr>
          <w:p w14:paraId="4663CE8A">
            <w:pPr>
              <w:spacing w:line="360" w:lineRule="auto"/>
              <w:rPr>
                <w:rFonts w:hint="eastAsia" w:ascii="Times New Roman" w:hAnsi="Times New Roman" w:eastAsia="宋体"/>
                <w:color w:val="auto"/>
                <w:sz w:val="28"/>
                <w:highlight w:val="none"/>
                <w:lang w:eastAsia="zh-CN"/>
              </w:rPr>
            </w:pPr>
            <w:r>
              <w:rPr>
                <w:rFonts w:hint="eastAsia" w:ascii="Times New Roman" w:hAnsi="Times New Roman"/>
                <w:color w:val="auto"/>
                <w:sz w:val="28"/>
                <w:highlight w:val="none"/>
              </w:rPr>
              <w:t>招标</w:t>
            </w:r>
            <w:r>
              <w:rPr>
                <w:rFonts w:ascii="Times New Roman" w:hAnsi="Times New Roman"/>
                <w:color w:val="auto"/>
                <w:sz w:val="28"/>
                <w:highlight w:val="none"/>
              </w:rPr>
              <w:t>编号：</w:t>
            </w:r>
            <w:r>
              <w:rPr>
                <w:rFonts w:hint="eastAsia" w:ascii="Times New Roman" w:hAnsi="Times New Roman"/>
                <w:color w:val="auto"/>
                <w:sz w:val="28"/>
                <w:highlight w:val="none"/>
                <w:lang w:eastAsia="zh-CN"/>
              </w:rPr>
              <w:t>P53A00325001454C1</w:t>
            </w:r>
          </w:p>
        </w:tc>
      </w:tr>
      <w:tr w14:paraId="409BC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446" w:type="dxa"/>
            <w:vAlign w:val="center"/>
          </w:tcPr>
          <w:p w14:paraId="139E04FF">
            <w:pPr>
              <w:spacing w:line="360" w:lineRule="auto"/>
              <w:jc w:val="center"/>
              <w:rPr>
                <w:rFonts w:ascii="Times New Roman" w:hAnsi="Times New Roman"/>
                <w:color w:val="auto"/>
                <w:sz w:val="28"/>
                <w:highlight w:val="none"/>
              </w:rPr>
            </w:pPr>
            <w:r>
              <w:rPr>
                <w:rFonts w:ascii="Times New Roman" w:hAnsi="Times New Roman"/>
                <w:color w:val="auto"/>
                <w:sz w:val="28"/>
                <w:highlight w:val="none"/>
              </w:rPr>
              <w:t>日期：</w:t>
            </w:r>
          </w:p>
        </w:tc>
        <w:tc>
          <w:tcPr>
            <w:tcW w:w="2341" w:type="dxa"/>
            <w:vAlign w:val="center"/>
          </w:tcPr>
          <w:p w14:paraId="30327065">
            <w:pPr>
              <w:spacing w:line="360" w:lineRule="auto"/>
              <w:jc w:val="center"/>
              <w:rPr>
                <w:rFonts w:hint="eastAsia" w:ascii="Times New Roman" w:hAnsi="Times New Roman" w:eastAsia="宋体"/>
                <w:color w:val="auto"/>
                <w:sz w:val="24"/>
                <w:highlight w:val="none"/>
                <w:lang w:eastAsia="zh-CN"/>
              </w:rPr>
            </w:pPr>
            <w:r>
              <w:rPr>
                <w:rFonts w:ascii="Times New Roman" w:hAnsi="Times New Roman"/>
                <w:color w:val="auto"/>
                <w:sz w:val="24"/>
                <w:highlight w:val="none"/>
              </w:rPr>
              <w:t>202</w:t>
            </w:r>
            <w:r>
              <w:rPr>
                <w:rFonts w:hint="eastAsia" w:ascii="Times New Roman" w:hAnsi="Times New Roman"/>
                <w:color w:val="auto"/>
                <w:sz w:val="24"/>
                <w:highlight w:val="none"/>
              </w:rPr>
              <w:t>5</w:t>
            </w:r>
            <w:r>
              <w:rPr>
                <w:rFonts w:ascii="Times New Roman" w:hAnsi="Times New Roman"/>
                <w:color w:val="auto"/>
                <w:sz w:val="24"/>
                <w:highlight w:val="none"/>
              </w:rPr>
              <w:t>.</w:t>
            </w:r>
            <w:r>
              <w:rPr>
                <w:rFonts w:hint="eastAsia" w:ascii="Times New Roman" w:hAnsi="Times New Roman"/>
                <w:color w:val="auto"/>
                <w:sz w:val="24"/>
                <w:highlight w:val="none"/>
                <w:lang w:val="en-US" w:eastAsia="zh-CN"/>
              </w:rPr>
              <w:t>8</w:t>
            </w:r>
          </w:p>
        </w:tc>
        <w:tc>
          <w:tcPr>
            <w:tcW w:w="5321" w:type="dxa"/>
          </w:tcPr>
          <w:p w14:paraId="1A0EB0A7">
            <w:pPr>
              <w:spacing w:line="360" w:lineRule="auto"/>
              <w:rPr>
                <w:rFonts w:ascii="Times New Roman" w:hAnsi="Times New Roman"/>
                <w:color w:val="auto"/>
                <w:sz w:val="28"/>
                <w:highlight w:val="none"/>
              </w:rPr>
            </w:pPr>
            <w:r>
              <w:rPr>
                <w:rFonts w:ascii="Times New Roman" w:hAnsi="Times New Roman"/>
                <w:color w:val="auto"/>
                <w:sz w:val="28"/>
                <w:highlight w:val="none"/>
              </w:rPr>
              <w:t>版次：</w:t>
            </w:r>
            <w:r>
              <w:rPr>
                <w:rFonts w:ascii="Times New Roman" w:hAnsi="Times New Roman"/>
                <w:color w:val="auto"/>
                <w:sz w:val="28"/>
                <w:highlight w:val="none"/>
                <w:u w:val="single"/>
              </w:rPr>
              <w:t>第</w:t>
            </w:r>
            <w:r>
              <w:rPr>
                <w:rFonts w:hint="eastAsia" w:ascii="Times New Roman" w:hAnsi="Times New Roman"/>
                <w:color w:val="auto"/>
                <w:sz w:val="28"/>
                <w:highlight w:val="none"/>
                <w:u w:val="single"/>
                <w:lang w:val="en-US" w:eastAsia="zh-CN"/>
              </w:rPr>
              <w:t>2</w:t>
            </w:r>
            <w:r>
              <w:rPr>
                <w:rFonts w:ascii="Times New Roman" w:hAnsi="Times New Roman"/>
                <w:color w:val="auto"/>
                <w:sz w:val="28"/>
                <w:highlight w:val="none"/>
                <w:u w:val="single"/>
              </w:rPr>
              <w:t>版</w:t>
            </w:r>
          </w:p>
        </w:tc>
      </w:tr>
    </w:tbl>
    <w:p w14:paraId="33532BA5">
      <w:pPr>
        <w:jc w:val="center"/>
        <w:rPr>
          <w:rFonts w:ascii="Times New Roman" w:hAnsi="Times New Roman"/>
          <w:b/>
          <w:color w:val="auto"/>
          <w:sz w:val="44"/>
          <w:highlight w:val="none"/>
        </w:rPr>
      </w:pPr>
      <w:r>
        <w:rPr>
          <w:rFonts w:ascii="Times New Roman" w:hAnsi="Times New Roman"/>
          <w:b/>
          <w:bCs/>
          <w:color w:val="auto"/>
          <w:w w:val="95"/>
          <w:sz w:val="32"/>
          <w:highlight w:val="none"/>
        </w:rPr>
        <w:br w:type="page"/>
      </w:r>
      <w:r>
        <w:rPr>
          <w:rFonts w:ascii="Times New Roman" w:hAnsi="Times New Roman"/>
          <w:b/>
          <w:color w:val="auto"/>
          <w:sz w:val="44"/>
          <w:highlight w:val="none"/>
        </w:rPr>
        <w:t>目   录</w:t>
      </w:r>
    </w:p>
    <w:p w14:paraId="18BE1569">
      <w:pPr>
        <w:pStyle w:val="24"/>
        <w:tabs>
          <w:tab w:val="right" w:leader="dot" w:pos="8930"/>
          <w:tab w:val="clear" w:pos="9072"/>
        </w:tabs>
        <w:ind w:firstLine="156"/>
        <w:rPr>
          <w:color w:val="auto"/>
          <w:highlight w:val="none"/>
        </w:rPr>
      </w:pP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TOC \o "1-3" \h \z \u </w:instrText>
      </w:r>
      <w:r>
        <w:rPr>
          <w:rFonts w:ascii="Times New Roman" w:hAnsi="Times New Roman"/>
          <w:color w:val="auto"/>
          <w:sz w:val="21"/>
          <w:szCs w:val="21"/>
          <w:highlight w:val="none"/>
        </w:rPr>
        <w:fldChar w:fldCharType="separate"/>
      </w:r>
      <w:r>
        <w:rPr>
          <w:color w:val="auto"/>
          <w:highlight w:val="none"/>
        </w:rPr>
        <w:fldChar w:fldCharType="begin"/>
      </w:r>
      <w:r>
        <w:rPr>
          <w:color w:val="auto"/>
          <w:highlight w:val="none"/>
        </w:rPr>
        <w:instrText xml:space="preserve"> HYPERLINK \l "_Toc4393" </w:instrText>
      </w:r>
      <w:r>
        <w:rPr>
          <w:color w:val="auto"/>
          <w:highlight w:val="none"/>
        </w:rPr>
        <w:fldChar w:fldCharType="separate"/>
      </w:r>
      <w:r>
        <w:rPr>
          <w:rFonts w:ascii="Times New Roman" w:hAnsi="Times New Roman"/>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_Toc4393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14:paraId="4F48270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"_Toc536" </w:instrText>
      </w:r>
      <w:r>
        <w:rPr>
          <w:color w:val="auto"/>
          <w:highlight w:val="none"/>
        </w:rPr>
        <w:fldChar w:fldCharType="separate"/>
      </w:r>
      <w:r>
        <w:rPr>
          <w:rFonts w:ascii="Times New Roman" w:hAnsi="Times New Roman"/>
          <w:bCs/>
          <w:color w:val="auto"/>
          <w:szCs w:val="21"/>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_Toc536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14:paraId="1E0DEEC4">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"_Toc13638" </w:instrText>
      </w:r>
      <w:r>
        <w:rPr>
          <w:color w:val="auto"/>
          <w:highlight w:val="none"/>
        </w:rPr>
        <w:fldChar w:fldCharType="separate"/>
      </w:r>
      <w:r>
        <w:rPr>
          <w:rFonts w:ascii="Times New Roman" w:hAnsi="Times New Roman"/>
          <w:bCs/>
          <w:color w:val="auto"/>
          <w:szCs w:val="21"/>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_Toc13638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14:paraId="178DAA0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"_Toc32506" </w:instrText>
      </w:r>
      <w:r>
        <w:rPr>
          <w:color w:val="auto"/>
          <w:highlight w:val="none"/>
        </w:rPr>
        <w:fldChar w:fldCharType="separate"/>
      </w:r>
      <w:r>
        <w:rPr>
          <w:rFonts w:ascii="Times New Roman" w:hAnsi="Times New Roman"/>
          <w:bCs/>
          <w:color w:val="auto"/>
          <w:szCs w:val="21"/>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_Toc32506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30C0735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"_Toc22677" </w:instrText>
      </w:r>
      <w:r>
        <w:rPr>
          <w:color w:val="auto"/>
          <w:highlight w:val="none"/>
        </w:rPr>
        <w:fldChar w:fldCharType="separate"/>
      </w:r>
      <w:r>
        <w:rPr>
          <w:rFonts w:ascii="Times New Roman" w:hAnsi="Times New Roman"/>
          <w:bCs/>
          <w:color w:val="auto"/>
          <w:szCs w:val="21"/>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_Toc22677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621564D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"_Toc17998" </w:instrText>
      </w:r>
      <w:r>
        <w:rPr>
          <w:color w:val="auto"/>
          <w:highlight w:val="none"/>
        </w:rPr>
        <w:fldChar w:fldCharType="separate"/>
      </w:r>
      <w:r>
        <w:rPr>
          <w:rFonts w:ascii="Times New Roman" w:hAnsi="Times New Roman"/>
          <w:bCs/>
          <w:color w:val="auto"/>
          <w:szCs w:val="21"/>
          <w:highlight w:val="none"/>
        </w:rPr>
        <w:t>五、公告期限</w:t>
      </w:r>
      <w:r>
        <w:rPr>
          <w:color w:val="auto"/>
          <w:highlight w:val="none"/>
        </w:rPr>
        <w:tab/>
      </w:r>
      <w:r>
        <w:rPr>
          <w:color w:val="auto"/>
          <w:highlight w:val="none"/>
        </w:rPr>
        <w:fldChar w:fldCharType="begin"/>
      </w:r>
      <w:r>
        <w:rPr>
          <w:color w:val="auto"/>
          <w:highlight w:val="none"/>
        </w:rPr>
        <w:instrText xml:space="preserve"> PAGEREF _Toc17998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69CA413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"_Toc29048" </w:instrText>
      </w:r>
      <w:r>
        <w:rPr>
          <w:color w:val="auto"/>
          <w:highlight w:val="none"/>
        </w:rPr>
        <w:fldChar w:fldCharType="separate"/>
      </w:r>
      <w:r>
        <w:rPr>
          <w:rFonts w:ascii="Times New Roman" w:hAnsi="Times New Roman"/>
          <w:bCs/>
          <w:color w:val="auto"/>
          <w:szCs w:val="21"/>
          <w:highlight w:val="none"/>
        </w:rPr>
        <w:t>六、其他补充事宜</w:t>
      </w:r>
      <w:r>
        <w:rPr>
          <w:color w:val="auto"/>
          <w:highlight w:val="none"/>
        </w:rPr>
        <w:tab/>
      </w:r>
      <w:r>
        <w:rPr>
          <w:color w:val="auto"/>
          <w:highlight w:val="none"/>
        </w:rPr>
        <w:fldChar w:fldCharType="begin"/>
      </w:r>
      <w:r>
        <w:rPr>
          <w:color w:val="auto"/>
          <w:highlight w:val="none"/>
        </w:rPr>
        <w:instrText xml:space="preserve"> PAGEREF _Toc29048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0F3545F5">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"_Toc10020" </w:instrText>
      </w:r>
      <w:r>
        <w:rPr>
          <w:color w:val="auto"/>
          <w:highlight w:val="none"/>
        </w:rPr>
        <w:fldChar w:fldCharType="separate"/>
      </w:r>
      <w:r>
        <w:rPr>
          <w:rFonts w:ascii="Times New Roman" w:hAnsi="Times New Roman"/>
          <w:bCs/>
          <w:color w:val="auto"/>
          <w:szCs w:val="21"/>
          <w:highlight w:val="none"/>
        </w:rPr>
        <w:t>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_Toc10020 \h </w:instrText>
      </w:r>
      <w:r>
        <w:rPr>
          <w:color w:val="auto"/>
          <w:highlight w:val="none"/>
        </w:rPr>
        <w:fldChar w:fldCharType="separate"/>
      </w:r>
      <w:r>
        <w:rPr>
          <w:color w:val="auto"/>
          <w:highlight w:val="none"/>
        </w:rPr>
        <w:t>- 9 -</w:t>
      </w:r>
      <w:r>
        <w:rPr>
          <w:color w:val="auto"/>
          <w:highlight w:val="none"/>
        </w:rPr>
        <w:fldChar w:fldCharType="end"/>
      </w:r>
      <w:r>
        <w:rPr>
          <w:color w:val="auto"/>
          <w:highlight w:val="none"/>
        </w:rPr>
        <w:fldChar w:fldCharType="end"/>
      </w:r>
    </w:p>
    <w:p w14:paraId="09C99376">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"_Toc25619" </w:instrText>
      </w:r>
      <w:r>
        <w:rPr>
          <w:color w:val="auto"/>
          <w:highlight w:val="none"/>
        </w:rPr>
        <w:fldChar w:fldCharType="separate"/>
      </w:r>
      <w:r>
        <w:rPr>
          <w:rFonts w:ascii="Times New Roman" w:hAnsi="Times New Roman"/>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_Toc25619 \h </w:instrText>
      </w:r>
      <w:r>
        <w:rPr>
          <w:color w:val="auto"/>
          <w:highlight w:val="none"/>
        </w:rPr>
        <w:fldChar w:fldCharType="separate"/>
      </w:r>
      <w:r>
        <w:rPr>
          <w:color w:val="auto"/>
          <w:highlight w:val="none"/>
        </w:rPr>
        <w:t>- 10 -</w:t>
      </w:r>
      <w:r>
        <w:rPr>
          <w:color w:val="auto"/>
          <w:highlight w:val="none"/>
        </w:rPr>
        <w:fldChar w:fldCharType="end"/>
      </w:r>
      <w:r>
        <w:rPr>
          <w:color w:val="auto"/>
          <w:highlight w:val="none"/>
        </w:rPr>
        <w:fldChar w:fldCharType="end"/>
      </w:r>
    </w:p>
    <w:p w14:paraId="152AC5F9">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"_Toc18721" </w:instrText>
      </w:r>
      <w:r>
        <w:rPr>
          <w:color w:val="auto"/>
          <w:highlight w:val="none"/>
        </w:rPr>
        <w:fldChar w:fldCharType="separate"/>
      </w:r>
      <w:r>
        <w:rPr>
          <w:rFonts w:ascii="Times New Roman" w:hAnsi="Times New Roman"/>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_Toc18721 \h </w:instrText>
      </w:r>
      <w:r>
        <w:rPr>
          <w:color w:val="auto"/>
          <w:highlight w:val="none"/>
        </w:rPr>
        <w:fldChar w:fldCharType="separate"/>
      </w:r>
      <w:r>
        <w:rPr>
          <w:color w:val="auto"/>
          <w:highlight w:val="none"/>
        </w:rPr>
        <w:t>- 10 -</w:t>
      </w:r>
      <w:r>
        <w:rPr>
          <w:color w:val="auto"/>
          <w:highlight w:val="none"/>
        </w:rPr>
        <w:fldChar w:fldCharType="end"/>
      </w:r>
      <w:r>
        <w:rPr>
          <w:color w:val="auto"/>
          <w:highlight w:val="none"/>
        </w:rPr>
        <w:fldChar w:fldCharType="end"/>
      </w:r>
    </w:p>
    <w:p w14:paraId="24F9AC7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"_Toc25941" </w:instrText>
      </w:r>
      <w:r>
        <w:rPr>
          <w:color w:val="auto"/>
          <w:highlight w:val="none"/>
        </w:rPr>
        <w:fldChar w:fldCharType="separate"/>
      </w:r>
      <w:r>
        <w:rPr>
          <w:rFonts w:ascii="Times New Roman" w:hAnsi="Times New Roman"/>
          <w:color w:val="auto"/>
          <w:szCs w:val="28"/>
          <w:highlight w:val="none"/>
        </w:rPr>
        <w:t>一、总  则</w:t>
      </w:r>
      <w:r>
        <w:rPr>
          <w:color w:val="auto"/>
          <w:highlight w:val="none"/>
        </w:rPr>
        <w:tab/>
      </w:r>
      <w:r>
        <w:rPr>
          <w:color w:val="auto"/>
          <w:highlight w:val="none"/>
        </w:rPr>
        <w:fldChar w:fldCharType="begin"/>
      </w:r>
      <w:r>
        <w:rPr>
          <w:color w:val="auto"/>
          <w:highlight w:val="none"/>
        </w:rPr>
        <w:instrText xml:space="preserve"> PAGEREF _Toc25941 \h </w:instrText>
      </w:r>
      <w:r>
        <w:rPr>
          <w:color w:val="auto"/>
          <w:highlight w:val="none"/>
        </w:rPr>
        <w:fldChar w:fldCharType="separate"/>
      </w:r>
      <w:r>
        <w:rPr>
          <w:color w:val="auto"/>
          <w:highlight w:val="none"/>
        </w:rPr>
        <w:t>- 14 -</w:t>
      </w:r>
      <w:r>
        <w:rPr>
          <w:color w:val="auto"/>
          <w:highlight w:val="none"/>
        </w:rPr>
        <w:fldChar w:fldCharType="end"/>
      </w:r>
      <w:r>
        <w:rPr>
          <w:color w:val="auto"/>
          <w:highlight w:val="none"/>
        </w:rPr>
        <w:fldChar w:fldCharType="end"/>
      </w:r>
    </w:p>
    <w:p w14:paraId="1959FDE4">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"_Toc4556" </w:instrText>
      </w:r>
      <w:r>
        <w:rPr>
          <w:color w:val="auto"/>
          <w:highlight w:val="none"/>
        </w:rPr>
        <w:fldChar w:fldCharType="separate"/>
      </w:r>
      <w:r>
        <w:rPr>
          <w:rFonts w:ascii="Times New Roman" w:hAnsi="Times New Roman"/>
          <w:color w:val="auto"/>
          <w:szCs w:val="28"/>
          <w:highlight w:val="none"/>
        </w:rPr>
        <w:t>二、招标文件</w:t>
      </w:r>
      <w:r>
        <w:rPr>
          <w:color w:val="auto"/>
          <w:highlight w:val="none"/>
        </w:rPr>
        <w:tab/>
      </w:r>
      <w:r>
        <w:rPr>
          <w:color w:val="auto"/>
          <w:highlight w:val="none"/>
        </w:rPr>
        <w:fldChar w:fldCharType="begin"/>
      </w:r>
      <w:r>
        <w:rPr>
          <w:color w:val="auto"/>
          <w:highlight w:val="none"/>
        </w:rPr>
        <w:instrText xml:space="preserve"> PAGEREF _Toc4556 \h </w:instrText>
      </w:r>
      <w:r>
        <w:rPr>
          <w:color w:val="auto"/>
          <w:highlight w:val="none"/>
        </w:rPr>
        <w:fldChar w:fldCharType="separate"/>
      </w:r>
      <w:r>
        <w:rPr>
          <w:color w:val="auto"/>
          <w:highlight w:val="none"/>
        </w:rPr>
        <w:t>- 16 -</w:t>
      </w:r>
      <w:r>
        <w:rPr>
          <w:color w:val="auto"/>
          <w:highlight w:val="none"/>
        </w:rPr>
        <w:fldChar w:fldCharType="end"/>
      </w:r>
      <w:r>
        <w:rPr>
          <w:color w:val="auto"/>
          <w:highlight w:val="none"/>
        </w:rPr>
        <w:fldChar w:fldCharType="end"/>
      </w:r>
    </w:p>
    <w:p w14:paraId="2C6DD132">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"_Toc8095" </w:instrText>
      </w:r>
      <w:r>
        <w:rPr>
          <w:color w:val="auto"/>
          <w:highlight w:val="none"/>
        </w:rPr>
        <w:fldChar w:fldCharType="separate"/>
      </w:r>
      <w:r>
        <w:rPr>
          <w:rFonts w:ascii="Times New Roman" w:hAnsi="Times New Roman"/>
          <w:color w:val="auto"/>
          <w:szCs w:val="28"/>
          <w:highlight w:val="none"/>
        </w:rPr>
        <w:t>三、投标文件</w:t>
      </w:r>
      <w:r>
        <w:rPr>
          <w:color w:val="auto"/>
          <w:highlight w:val="none"/>
        </w:rPr>
        <w:tab/>
      </w:r>
      <w:r>
        <w:rPr>
          <w:color w:val="auto"/>
          <w:highlight w:val="none"/>
        </w:rPr>
        <w:fldChar w:fldCharType="begin"/>
      </w:r>
      <w:r>
        <w:rPr>
          <w:color w:val="auto"/>
          <w:highlight w:val="none"/>
        </w:rPr>
        <w:instrText xml:space="preserve"> PAGEREF _Toc8095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14:paraId="0BFF3BF1">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"_Toc14639" </w:instrText>
      </w:r>
      <w:r>
        <w:rPr>
          <w:color w:val="auto"/>
          <w:highlight w:val="none"/>
        </w:rPr>
        <w:fldChar w:fldCharType="separate"/>
      </w:r>
      <w:r>
        <w:rPr>
          <w:rFonts w:ascii="Times New Roman" w:hAnsi="Times New Roman"/>
          <w:color w:val="auto"/>
          <w:szCs w:val="28"/>
          <w:highlight w:val="none"/>
        </w:rPr>
        <w:t>四、投标文件的提交</w:t>
      </w:r>
      <w:r>
        <w:rPr>
          <w:color w:val="auto"/>
          <w:highlight w:val="none"/>
        </w:rPr>
        <w:tab/>
      </w:r>
      <w:r>
        <w:rPr>
          <w:color w:val="auto"/>
          <w:highlight w:val="none"/>
        </w:rPr>
        <w:fldChar w:fldCharType="begin"/>
      </w:r>
      <w:r>
        <w:rPr>
          <w:color w:val="auto"/>
          <w:highlight w:val="none"/>
        </w:rPr>
        <w:instrText xml:space="preserve"> PAGEREF _Toc14639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14:paraId="59AB38AF">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"_Toc27987" </w:instrText>
      </w:r>
      <w:r>
        <w:rPr>
          <w:color w:val="auto"/>
          <w:highlight w:val="none"/>
        </w:rPr>
        <w:fldChar w:fldCharType="separate"/>
      </w:r>
      <w:r>
        <w:rPr>
          <w:rFonts w:ascii="Times New Roman" w:hAnsi="Times New Roman"/>
          <w:color w:val="auto"/>
          <w:szCs w:val="28"/>
          <w:highlight w:val="none"/>
        </w:rPr>
        <w:t>五、开标与评标</w:t>
      </w:r>
      <w:r>
        <w:rPr>
          <w:color w:val="auto"/>
          <w:highlight w:val="none"/>
        </w:rPr>
        <w:tab/>
      </w:r>
      <w:r>
        <w:rPr>
          <w:color w:val="auto"/>
          <w:highlight w:val="none"/>
        </w:rPr>
        <w:fldChar w:fldCharType="begin"/>
      </w:r>
      <w:r>
        <w:rPr>
          <w:color w:val="auto"/>
          <w:highlight w:val="none"/>
        </w:rPr>
        <w:instrText xml:space="preserve"> PAGEREF _Toc27987 \h </w:instrText>
      </w:r>
      <w:r>
        <w:rPr>
          <w:color w:val="auto"/>
          <w:highlight w:val="none"/>
        </w:rPr>
        <w:fldChar w:fldCharType="separate"/>
      </w:r>
      <w:r>
        <w:rPr>
          <w:color w:val="auto"/>
          <w:highlight w:val="none"/>
        </w:rPr>
        <w:t>- 21 -</w:t>
      </w:r>
      <w:r>
        <w:rPr>
          <w:color w:val="auto"/>
          <w:highlight w:val="none"/>
        </w:rPr>
        <w:fldChar w:fldCharType="end"/>
      </w:r>
      <w:r>
        <w:rPr>
          <w:color w:val="auto"/>
          <w:highlight w:val="none"/>
        </w:rPr>
        <w:fldChar w:fldCharType="end"/>
      </w:r>
    </w:p>
    <w:p w14:paraId="18AA6AE4">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"_Toc12447" </w:instrText>
      </w:r>
      <w:r>
        <w:rPr>
          <w:color w:val="auto"/>
          <w:highlight w:val="none"/>
        </w:rPr>
        <w:fldChar w:fldCharType="separate"/>
      </w:r>
      <w:r>
        <w:rPr>
          <w:rFonts w:ascii="Times New Roman" w:hAnsi="Times New Roman"/>
          <w:color w:val="auto"/>
          <w:szCs w:val="28"/>
          <w:highlight w:val="none"/>
        </w:rPr>
        <w:t>六、中标结果</w:t>
      </w:r>
      <w:r>
        <w:rPr>
          <w:color w:val="auto"/>
          <w:highlight w:val="none"/>
        </w:rPr>
        <w:tab/>
      </w:r>
      <w:r>
        <w:rPr>
          <w:color w:val="auto"/>
          <w:highlight w:val="none"/>
        </w:rPr>
        <w:fldChar w:fldCharType="begin"/>
      </w:r>
      <w:r>
        <w:rPr>
          <w:color w:val="auto"/>
          <w:highlight w:val="none"/>
        </w:rPr>
        <w:instrText xml:space="preserve"> PAGEREF _Toc12447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14:paraId="5CD37415">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"_Toc24837" </w:instrText>
      </w:r>
      <w:r>
        <w:rPr>
          <w:color w:val="auto"/>
          <w:highlight w:val="none"/>
        </w:rPr>
        <w:fldChar w:fldCharType="separate"/>
      </w:r>
      <w:r>
        <w:rPr>
          <w:rFonts w:ascii="Times New Roman" w:hAnsi="Times New Roman"/>
          <w:color w:val="auto"/>
          <w:szCs w:val="28"/>
          <w:highlight w:val="none"/>
        </w:rPr>
        <w:t>七、其他事项</w:t>
      </w:r>
      <w:r>
        <w:rPr>
          <w:color w:val="auto"/>
          <w:highlight w:val="none"/>
        </w:rPr>
        <w:tab/>
      </w:r>
      <w:r>
        <w:rPr>
          <w:color w:val="auto"/>
          <w:highlight w:val="none"/>
        </w:rPr>
        <w:fldChar w:fldCharType="begin"/>
      </w:r>
      <w:r>
        <w:rPr>
          <w:color w:val="auto"/>
          <w:highlight w:val="none"/>
        </w:rPr>
        <w:instrText xml:space="preserve"> PAGEREF _Toc24837 \h </w:instrText>
      </w:r>
      <w:r>
        <w:rPr>
          <w:color w:val="auto"/>
          <w:highlight w:val="none"/>
        </w:rPr>
        <w:fldChar w:fldCharType="separate"/>
      </w:r>
      <w:r>
        <w:rPr>
          <w:color w:val="auto"/>
          <w:highlight w:val="none"/>
        </w:rPr>
        <w:t>- 24 -</w:t>
      </w:r>
      <w:r>
        <w:rPr>
          <w:color w:val="auto"/>
          <w:highlight w:val="none"/>
        </w:rPr>
        <w:fldChar w:fldCharType="end"/>
      </w:r>
      <w:r>
        <w:rPr>
          <w:color w:val="auto"/>
          <w:highlight w:val="none"/>
        </w:rPr>
        <w:fldChar w:fldCharType="end"/>
      </w:r>
    </w:p>
    <w:p w14:paraId="37193FDE">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"_Toc21672" </w:instrText>
      </w:r>
      <w:r>
        <w:rPr>
          <w:color w:val="auto"/>
          <w:highlight w:val="none"/>
        </w:rPr>
        <w:fldChar w:fldCharType="separate"/>
      </w:r>
      <w:r>
        <w:rPr>
          <w:rFonts w:ascii="Times New Roman" w:hAnsi="Times New Roman"/>
          <w:color w:val="auto"/>
          <w:highlight w:val="none"/>
        </w:rPr>
        <w:t>第三章 合同书样式及主要条款</w:t>
      </w:r>
      <w:r>
        <w:rPr>
          <w:color w:val="auto"/>
          <w:highlight w:val="none"/>
        </w:rPr>
        <w:tab/>
      </w:r>
      <w:r>
        <w:rPr>
          <w:color w:val="auto"/>
          <w:highlight w:val="none"/>
        </w:rPr>
        <w:fldChar w:fldCharType="begin"/>
      </w:r>
      <w:r>
        <w:rPr>
          <w:color w:val="auto"/>
          <w:highlight w:val="none"/>
        </w:rPr>
        <w:instrText xml:space="preserve"> PAGEREF _Toc21672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14:paraId="5EB3F340">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"_Toc20529" </w:instrText>
      </w:r>
      <w:r>
        <w:rPr>
          <w:color w:val="auto"/>
          <w:highlight w:val="none"/>
        </w:rPr>
        <w:fldChar w:fldCharType="separate"/>
      </w:r>
      <w:r>
        <w:rPr>
          <w:rFonts w:ascii="Times New Roman" w:hAnsi="Times New Roman"/>
          <w:color w:val="auto"/>
          <w:highlight w:val="none"/>
        </w:rPr>
        <w:t>第四章  投标文件格式</w:t>
      </w:r>
      <w:r>
        <w:rPr>
          <w:color w:val="auto"/>
          <w:highlight w:val="none"/>
        </w:rPr>
        <w:tab/>
      </w:r>
      <w:r>
        <w:rPr>
          <w:color w:val="auto"/>
          <w:highlight w:val="none"/>
        </w:rPr>
        <w:fldChar w:fldCharType="begin"/>
      </w:r>
      <w:r>
        <w:rPr>
          <w:color w:val="auto"/>
          <w:highlight w:val="none"/>
        </w:rPr>
        <w:instrText xml:space="preserve"> PAGEREF _Toc20529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3887C2A8">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"_Toc27501" </w:instrText>
      </w:r>
      <w:r>
        <w:rPr>
          <w:color w:val="auto"/>
          <w:highlight w:val="none"/>
        </w:rPr>
        <w:fldChar w:fldCharType="separate"/>
      </w:r>
      <w:r>
        <w:rPr>
          <w:rFonts w:ascii="Times New Roman" w:hAnsi="Times New Roman"/>
          <w:color w:val="auto"/>
          <w:highlight w:val="none"/>
        </w:rPr>
        <w:t>一、开标一览表</w:t>
      </w:r>
      <w:r>
        <w:rPr>
          <w:color w:val="auto"/>
          <w:highlight w:val="none"/>
        </w:rPr>
        <w:tab/>
      </w:r>
      <w:r>
        <w:rPr>
          <w:color w:val="auto"/>
          <w:highlight w:val="none"/>
        </w:rPr>
        <w:fldChar w:fldCharType="begin"/>
      </w:r>
      <w:r>
        <w:rPr>
          <w:color w:val="auto"/>
          <w:highlight w:val="none"/>
        </w:rPr>
        <w:instrText xml:space="preserve"> PAGEREF _Toc27501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4B4369CB">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"_Toc31904" </w:instrText>
      </w:r>
      <w:r>
        <w:rPr>
          <w:color w:val="auto"/>
          <w:highlight w:val="none"/>
        </w:rPr>
        <w:fldChar w:fldCharType="separate"/>
      </w:r>
      <w:r>
        <w:rPr>
          <w:rFonts w:ascii="Times New Roman" w:hAnsi="Times New Roman"/>
          <w:color w:val="auto"/>
          <w:highlight w:val="none"/>
        </w:rPr>
        <w:t>二、资格证明文件</w:t>
      </w:r>
      <w:r>
        <w:rPr>
          <w:color w:val="auto"/>
          <w:highlight w:val="none"/>
        </w:rPr>
        <w:tab/>
      </w:r>
      <w:r>
        <w:rPr>
          <w:color w:val="auto"/>
          <w:highlight w:val="none"/>
        </w:rPr>
        <w:fldChar w:fldCharType="begin"/>
      </w:r>
      <w:r>
        <w:rPr>
          <w:color w:val="auto"/>
          <w:highlight w:val="none"/>
        </w:rPr>
        <w:instrText xml:space="preserve"> PAGEREF _Toc31904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743E6483">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"_Toc15105" </w:instrText>
      </w:r>
      <w:r>
        <w:rPr>
          <w:color w:val="auto"/>
          <w:highlight w:val="none"/>
        </w:rPr>
        <w:fldChar w:fldCharType="separate"/>
      </w:r>
      <w:r>
        <w:rPr>
          <w:rFonts w:ascii="Times New Roman" w:hAnsi="Times New Roman"/>
          <w:color w:val="auto"/>
          <w:szCs w:val="28"/>
          <w:highlight w:val="none"/>
        </w:rPr>
        <w:t>资格证明文件</w:t>
      </w:r>
      <w:r>
        <w:rPr>
          <w:color w:val="auto"/>
          <w:highlight w:val="none"/>
        </w:rPr>
        <w:tab/>
      </w:r>
      <w:r>
        <w:rPr>
          <w:color w:val="auto"/>
          <w:highlight w:val="none"/>
        </w:rPr>
        <w:fldChar w:fldCharType="begin"/>
      </w:r>
      <w:r>
        <w:rPr>
          <w:color w:val="auto"/>
          <w:highlight w:val="none"/>
        </w:rPr>
        <w:instrText xml:space="preserve"> PAGEREF _Toc15105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18A2F8A4">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"_Toc6621" </w:instrText>
      </w:r>
      <w:r>
        <w:rPr>
          <w:color w:val="auto"/>
          <w:highlight w:val="none"/>
        </w:rPr>
        <w:fldChar w:fldCharType="separate"/>
      </w:r>
      <w:r>
        <w:rPr>
          <w:rFonts w:ascii="Times New Roman" w:hAnsi="Times New Roman"/>
          <w:color w:val="auto"/>
          <w:szCs w:val="28"/>
          <w:highlight w:val="none"/>
        </w:rPr>
        <w:t>营业执照</w:t>
      </w:r>
      <w:r>
        <w:rPr>
          <w:rFonts w:hint="eastAsia" w:ascii="Times New Roman" w:hAnsi="Times New Roman"/>
          <w:color w:val="auto"/>
          <w:szCs w:val="28"/>
          <w:highlight w:val="none"/>
        </w:rPr>
        <w:t>或同等凭证</w:t>
      </w:r>
      <w:r>
        <w:rPr>
          <w:color w:val="auto"/>
          <w:highlight w:val="none"/>
        </w:rPr>
        <w:tab/>
      </w:r>
      <w:r>
        <w:rPr>
          <w:color w:val="auto"/>
          <w:highlight w:val="none"/>
        </w:rPr>
        <w:fldChar w:fldCharType="begin"/>
      </w:r>
      <w:r>
        <w:rPr>
          <w:color w:val="auto"/>
          <w:highlight w:val="none"/>
        </w:rPr>
        <w:instrText xml:space="preserve"> PAGEREF _Toc6621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14:paraId="3F297994">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"_Toc8063" </w:instrText>
      </w:r>
      <w:r>
        <w:rPr>
          <w:color w:val="auto"/>
          <w:highlight w:val="none"/>
        </w:rPr>
        <w:fldChar w:fldCharType="separate"/>
      </w:r>
      <w:r>
        <w:rPr>
          <w:rFonts w:ascii="Times New Roman" w:hAnsi="Times New Roman"/>
          <w:color w:val="auto"/>
          <w:szCs w:val="28"/>
          <w:highlight w:val="none"/>
        </w:rPr>
        <w:t>法定代表人身份证明书</w:t>
      </w:r>
      <w:r>
        <w:rPr>
          <w:color w:val="auto"/>
          <w:highlight w:val="none"/>
        </w:rPr>
        <w:tab/>
      </w:r>
      <w:r>
        <w:rPr>
          <w:color w:val="auto"/>
          <w:highlight w:val="none"/>
        </w:rPr>
        <w:fldChar w:fldCharType="begin"/>
      </w:r>
      <w:r>
        <w:rPr>
          <w:color w:val="auto"/>
          <w:highlight w:val="none"/>
        </w:rPr>
        <w:instrText xml:space="preserve"> PAGEREF _Toc8063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3529FFF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"_Toc5992" </w:instrText>
      </w:r>
      <w:r>
        <w:rPr>
          <w:color w:val="auto"/>
          <w:highlight w:val="none"/>
        </w:rPr>
        <w:fldChar w:fldCharType="separate"/>
      </w:r>
      <w:r>
        <w:rPr>
          <w:rFonts w:ascii="Times New Roman" w:hAnsi="Times New Roman"/>
          <w:color w:val="auto"/>
          <w:szCs w:val="28"/>
          <w:highlight w:val="none"/>
        </w:rPr>
        <w:t>法定代表人授权委托书</w:t>
      </w:r>
      <w:r>
        <w:rPr>
          <w:color w:val="auto"/>
          <w:highlight w:val="none"/>
        </w:rPr>
        <w:tab/>
      </w:r>
      <w:r>
        <w:rPr>
          <w:color w:val="auto"/>
          <w:highlight w:val="none"/>
        </w:rPr>
        <w:fldChar w:fldCharType="begin"/>
      </w:r>
      <w:r>
        <w:rPr>
          <w:color w:val="auto"/>
          <w:highlight w:val="none"/>
        </w:rPr>
        <w:instrText xml:space="preserve"> PAGEREF _Toc5992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274DF22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"_Toc1773" </w:instrText>
      </w:r>
      <w:r>
        <w:rPr>
          <w:color w:val="auto"/>
          <w:highlight w:val="none"/>
        </w:rPr>
        <w:fldChar w:fldCharType="separate"/>
      </w:r>
      <w:r>
        <w:rPr>
          <w:rFonts w:ascii="Times New Roman" w:hAnsi="Times New Roman"/>
          <w:color w:val="auto"/>
          <w:szCs w:val="28"/>
          <w:highlight w:val="none"/>
        </w:rPr>
        <w:t>投标人具有良好的商业信誉和健全的财务会计制度的证明材料</w:t>
      </w:r>
      <w:r>
        <w:rPr>
          <w:color w:val="auto"/>
          <w:highlight w:val="none"/>
        </w:rPr>
        <w:tab/>
      </w:r>
      <w:r>
        <w:rPr>
          <w:color w:val="auto"/>
          <w:highlight w:val="none"/>
        </w:rPr>
        <w:fldChar w:fldCharType="begin"/>
      </w:r>
      <w:r>
        <w:rPr>
          <w:color w:val="auto"/>
          <w:highlight w:val="none"/>
        </w:rPr>
        <w:instrText xml:space="preserve"> PAGEREF _Toc1773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744FEEA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"_Toc7572" </w:instrText>
      </w:r>
      <w:r>
        <w:rPr>
          <w:color w:val="auto"/>
          <w:highlight w:val="none"/>
        </w:rPr>
        <w:fldChar w:fldCharType="separate"/>
      </w:r>
      <w:r>
        <w:rPr>
          <w:rFonts w:ascii="Times New Roman" w:hAnsi="Times New Roman"/>
          <w:color w:val="auto"/>
          <w:szCs w:val="28"/>
          <w:highlight w:val="none"/>
        </w:rPr>
        <w:t>投标人具有履行合同所必需的设备和专业技术能力（投标人提供书面声明或证明材料）</w:t>
      </w:r>
      <w:r>
        <w:rPr>
          <w:color w:val="auto"/>
          <w:highlight w:val="none"/>
        </w:rPr>
        <w:tab/>
      </w:r>
      <w:r>
        <w:rPr>
          <w:color w:val="auto"/>
          <w:highlight w:val="none"/>
        </w:rPr>
        <w:fldChar w:fldCharType="begin"/>
      </w:r>
      <w:r>
        <w:rPr>
          <w:color w:val="auto"/>
          <w:highlight w:val="none"/>
        </w:rPr>
        <w:instrText xml:space="preserve"> PAGEREF _Toc7572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39835BC1">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"_Toc10540" </w:instrText>
      </w:r>
      <w:r>
        <w:rPr>
          <w:color w:val="auto"/>
          <w:highlight w:val="none"/>
        </w:rPr>
        <w:fldChar w:fldCharType="separate"/>
      </w:r>
      <w:r>
        <w:rPr>
          <w:rFonts w:ascii="Times New Roman" w:hAnsi="Times New Roman"/>
          <w:color w:val="auto"/>
          <w:szCs w:val="28"/>
          <w:highlight w:val="none"/>
        </w:rPr>
        <w:t>投标人具有依法缴纳税收和社会保障资金的良好记录的证明材料</w:t>
      </w:r>
      <w:r>
        <w:rPr>
          <w:color w:val="auto"/>
          <w:highlight w:val="none"/>
        </w:rPr>
        <w:tab/>
      </w:r>
      <w:r>
        <w:rPr>
          <w:color w:val="auto"/>
          <w:highlight w:val="none"/>
        </w:rPr>
        <w:fldChar w:fldCharType="begin"/>
      </w:r>
      <w:r>
        <w:rPr>
          <w:color w:val="auto"/>
          <w:highlight w:val="none"/>
        </w:rPr>
        <w:instrText xml:space="preserve"> PAGEREF _Toc10540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7F63C1EB">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"_Toc23084" </w:instrText>
      </w:r>
      <w:r>
        <w:rPr>
          <w:color w:val="auto"/>
          <w:highlight w:val="none"/>
        </w:rPr>
        <w:fldChar w:fldCharType="separate"/>
      </w:r>
      <w:r>
        <w:rPr>
          <w:rFonts w:ascii="Times New Roman" w:hAnsi="Times New Roman"/>
          <w:color w:val="auto"/>
          <w:szCs w:val="28"/>
          <w:highlight w:val="none"/>
        </w:rPr>
        <w:t>投标人参加政府采购活动前三年内，在经营活动中没有重大违法记录（投标人提供书面声明即可）</w:t>
      </w:r>
      <w:r>
        <w:rPr>
          <w:color w:val="auto"/>
          <w:highlight w:val="none"/>
        </w:rPr>
        <w:tab/>
      </w:r>
      <w:r>
        <w:rPr>
          <w:color w:val="auto"/>
          <w:highlight w:val="none"/>
        </w:rPr>
        <w:fldChar w:fldCharType="begin"/>
      </w:r>
      <w:r>
        <w:rPr>
          <w:color w:val="auto"/>
          <w:highlight w:val="none"/>
        </w:rPr>
        <w:instrText xml:space="preserve"> PAGEREF _Toc23084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3113472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"_Toc17545" </w:instrText>
      </w:r>
      <w:r>
        <w:rPr>
          <w:color w:val="auto"/>
          <w:highlight w:val="none"/>
        </w:rPr>
        <w:fldChar w:fldCharType="separate"/>
      </w:r>
      <w:r>
        <w:rPr>
          <w:rFonts w:ascii="Times New Roman" w:hAnsi="Times New Roman"/>
          <w:color w:val="auto"/>
          <w:szCs w:val="28"/>
          <w:highlight w:val="none"/>
        </w:rPr>
        <w:t>招标文件第一章“申请人的资格要求”中要求提供的其他资格证明文件</w:t>
      </w:r>
      <w:r>
        <w:rPr>
          <w:color w:val="auto"/>
          <w:highlight w:val="none"/>
        </w:rPr>
        <w:tab/>
      </w:r>
      <w:r>
        <w:rPr>
          <w:color w:val="auto"/>
          <w:highlight w:val="none"/>
        </w:rPr>
        <w:fldChar w:fldCharType="begin"/>
      </w:r>
      <w:r>
        <w:rPr>
          <w:color w:val="auto"/>
          <w:highlight w:val="none"/>
        </w:rPr>
        <w:instrText xml:space="preserve"> PAGEREF _Toc17545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4B9DD439">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"_Toc25419" </w:instrText>
      </w:r>
      <w:r>
        <w:rPr>
          <w:color w:val="auto"/>
          <w:highlight w:val="none"/>
        </w:rPr>
        <w:fldChar w:fldCharType="separate"/>
      </w:r>
      <w:r>
        <w:rPr>
          <w:rFonts w:ascii="Times New Roman" w:hAnsi="Times New Roman"/>
          <w:color w:val="auto"/>
          <w:highlight w:val="none"/>
        </w:rPr>
        <w:t>三、商务部分</w:t>
      </w:r>
      <w:r>
        <w:rPr>
          <w:color w:val="auto"/>
          <w:highlight w:val="none"/>
        </w:rPr>
        <w:tab/>
      </w:r>
      <w:r>
        <w:rPr>
          <w:color w:val="auto"/>
          <w:highlight w:val="none"/>
        </w:rPr>
        <w:fldChar w:fldCharType="begin"/>
      </w:r>
      <w:r>
        <w:rPr>
          <w:color w:val="auto"/>
          <w:highlight w:val="none"/>
        </w:rPr>
        <w:instrText xml:space="preserve"> PAGEREF _Toc25419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00E370DE">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"_Toc11175" </w:instrText>
      </w:r>
      <w:r>
        <w:rPr>
          <w:color w:val="auto"/>
          <w:highlight w:val="none"/>
        </w:rPr>
        <w:fldChar w:fldCharType="separate"/>
      </w:r>
      <w:r>
        <w:rPr>
          <w:rFonts w:ascii="Times New Roman" w:hAnsi="Times New Roman"/>
          <w:color w:val="auto"/>
          <w:szCs w:val="28"/>
          <w:highlight w:val="none"/>
        </w:rPr>
        <w:t>投 标 函</w:t>
      </w:r>
      <w:r>
        <w:rPr>
          <w:color w:val="auto"/>
          <w:highlight w:val="none"/>
        </w:rPr>
        <w:tab/>
      </w:r>
      <w:r>
        <w:rPr>
          <w:color w:val="auto"/>
          <w:highlight w:val="none"/>
        </w:rPr>
        <w:fldChar w:fldCharType="begin"/>
      </w:r>
      <w:r>
        <w:rPr>
          <w:color w:val="auto"/>
          <w:highlight w:val="none"/>
        </w:rPr>
        <w:instrText xml:space="preserve"> PAGEREF _Toc11175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306DA62D">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"_Toc27163" </w:instrText>
      </w:r>
      <w:r>
        <w:rPr>
          <w:color w:val="auto"/>
          <w:highlight w:val="none"/>
        </w:rPr>
        <w:fldChar w:fldCharType="separate"/>
      </w:r>
      <w:r>
        <w:rPr>
          <w:rFonts w:ascii="Times New Roman" w:hAnsi="Times New Roman"/>
          <w:color w:val="auto"/>
          <w:szCs w:val="28"/>
          <w:highlight w:val="none"/>
        </w:rPr>
        <w:t>报价组成表</w:t>
      </w:r>
      <w:r>
        <w:rPr>
          <w:color w:val="auto"/>
          <w:highlight w:val="none"/>
        </w:rPr>
        <w:tab/>
      </w:r>
      <w:r>
        <w:rPr>
          <w:color w:val="auto"/>
          <w:highlight w:val="none"/>
        </w:rPr>
        <w:fldChar w:fldCharType="begin"/>
      </w:r>
      <w:r>
        <w:rPr>
          <w:color w:val="auto"/>
          <w:highlight w:val="none"/>
        </w:rPr>
        <w:instrText xml:space="preserve"> PAGEREF _Toc27163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98CE8A8">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"_Toc6102" </w:instrText>
      </w:r>
      <w:r>
        <w:rPr>
          <w:color w:val="auto"/>
          <w:highlight w:val="none"/>
        </w:rPr>
        <w:fldChar w:fldCharType="separate"/>
      </w:r>
      <w:r>
        <w:rPr>
          <w:rFonts w:ascii="Times New Roman" w:hAnsi="Times New Roman"/>
          <w:color w:val="auto"/>
          <w:szCs w:val="28"/>
          <w:highlight w:val="none"/>
        </w:rPr>
        <w:t>货物投标价格组成表</w:t>
      </w:r>
      <w:r>
        <w:rPr>
          <w:color w:val="auto"/>
          <w:highlight w:val="none"/>
        </w:rPr>
        <w:tab/>
      </w:r>
      <w:r>
        <w:rPr>
          <w:color w:val="auto"/>
          <w:highlight w:val="none"/>
        </w:rPr>
        <w:fldChar w:fldCharType="begin"/>
      </w:r>
      <w:r>
        <w:rPr>
          <w:color w:val="auto"/>
          <w:highlight w:val="none"/>
        </w:rPr>
        <w:instrText xml:space="preserve"> PAGEREF _Toc6102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2DC67858">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"_Toc1102" </w:instrText>
      </w:r>
      <w:r>
        <w:rPr>
          <w:color w:val="auto"/>
          <w:highlight w:val="none"/>
        </w:rPr>
        <w:fldChar w:fldCharType="separate"/>
      </w:r>
      <w:r>
        <w:rPr>
          <w:rFonts w:ascii="Times New Roman" w:hAnsi="Times New Roman"/>
          <w:color w:val="auto"/>
          <w:szCs w:val="28"/>
          <w:highlight w:val="none"/>
        </w:rPr>
        <w:t>附件：主要备品备件报价承诺</w:t>
      </w:r>
      <w:r>
        <w:rPr>
          <w:color w:val="auto"/>
          <w:highlight w:val="none"/>
        </w:rPr>
        <w:tab/>
      </w:r>
      <w:r>
        <w:rPr>
          <w:color w:val="auto"/>
          <w:highlight w:val="none"/>
        </w:rPr>
        <w:fldChar w:fldCharType="begin"/>
      </w:r>
      <w:r>
        <w:rPr>
          <w:color w:val="auto"/>
          <w:highlight w:val="none"/>
        </w:rPr>
        <w:instrText xml:space="preserve"> PAGEREF _Toc1102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32039B37">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"_Toc2843" </w:instrText>
      </w:r>
      <w:r>
        <w:rPr>
          <w:color w:val="auto"/>
          <w:highlight w:val="none"/>
        </w:rPr>
        <w:fldChar w:fldCharType="separate"/>
      </w:r>
      <w:r>
        <w:rPr>
          <w:rFonts w:ascii="Times New Roman" w:hAnsi="Times New Roman"/>
          <w:color w:val="auto"/>
          <w:szCs w:val="28"/>
          <w:highlight w:val="none"/>
        </w:rPr>
        <w:t>中小企业声明函（若有，格式内容请自拟）</w:t>
      </w:r>
      <w:r>
        <w:rPr>
          <w:color w:val="auto"/>
          <w:highlight w:val="none"/>
        </w:rPr>
        <w:tab/>
      </w:r>
      <w:r>
        <w:rPr>
          <w:color w:val="auto"/>
          <w:highlight w:val="none"/>
        </w:rPr>
        <w:fldChar w:fldCharType="begin"/>
      </w:r>
      <w:r>
        <w:rPr>
          <w:color w:val="auto"/>
          <w:highlight w:val="none"/>
        </w:rPr>
        <w:instrText xml:space="preserve"> PAGEREF _Toc2843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4F665F40">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"_Toc19081" </w:instrText>
      </w:r>
      <w:r>
        <w:rPr>
          <w:color w:val="auto"/>
          <w:highlight w:val="none"/>
        </w:rPr>
        <w:fldChar w:fldCharType="separate"/>
      </w:r>
      <w:r>
        <w:rPr>
          <w:rFonts w:ascii="Times New Roman" w:hAnsi="Times New Roman"/>
          <w:color w:val="auto"/>
          <w:szCs w:val="28"/>
          <w:highlight w:val="none"/>
        </w:rPr>
        <w:t>残疾人福利性单位声明函（若有，格式内容请自拟）</w:t>
      </w:r>
      <w:r>
        <w:rPr>
          <w:color w:val="auto"/>
          <w:highlight w:val="none"/>
        </w:rPr>
        <w:tab/>
      </w:r>
      <w:r>
        <w:rPr>
          <w:color w:val="auto"/>
          <w:highlight w:val="none"/>
        </w:rPr>
        <w:fldChar w:fldCharType="begin"/>
      </w:r>
      <w:r>
        <w:rPr>
          <w:color w:val="auto"/>
          <w:highlight w:val="none"/>
        </w:rPr>
        <w:instrText xml:space="preserve"> PAGEREF _Toc19081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2561050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"_Toc10093" </w:instrText>
      </w:r>
      <w:r>
        <w:rPr>
          <w:color w:val="auto"/>
          <w:highlight w:val="none"/>
        </w:rPr>
        <w:fldChar w:fldCharType="separate"/>
      </w:r>
      <w:r>
        <w:rPr>
          <w:rFonts w:ascii="Times New Roman" w:hAnsi="Times New Roman"/>
          <w:color w:val="auto"/>
          <w:szCs w:val="28"/>
          <w:highlight w:val="none"/>
        </w:rPr>
        <w:t>监狱企业的证明文件（若有，格式内容请自拟）</w:t>
      </w:r>
      <w:r>
        <w:rPr>
          <w:color w:val="auto"/>
          <w:highlight w:val="none"/>
        </w:rPr>
        <w:tab/>
      </w:r>
      <w:r>
        <w:rPr>
          <w:color w:val="auto"/>
          <w:highlight w:val="none"/>
        </w:rPr>
        <w:fldChar w:fldCharType="begin"/>
      </w:r>
      <w:r>
        <w:rPr>
          <w:color w:val="auto"/>
          <w:highlight w:val="none"/>
        </w:rPr>
        <w:instrText xml:space="preserve"> PAGEREF _Toc10093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160A8ACD">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"_Toc15143" </w:instrText>
      </w:r>
      <w:r>
        <w:rPr>
          <w:color w:val="auto"/>
          <w:highlight w:val="none"/>
        </w:rPr>
        <w:fldChar w:fldCharType="separate"/>
      </w:r>
      <w:r>
        <w:rPr>
          <w:rFonts w:ascii="Times New Roman" w:hAnsi="Times New Roman"/>
          <w:color w:val="auto"/>
          <w:szCs w:val="28"/>
          <w:highlight w:val="none"/>
        </w:rPr>
        <w:t>投标人在投标文件中未提供虚假材料的承诺</w:t>
      </w:r>
      <w:r>
        <w:rPr>
          <w:color w:val="auto"/>
          <w:highlight w:val="none"/>
        </w:rPr>
        <w:tab/>
      </w:r>
      <w:r>
        <w:rPr>
          <w:color w:val="auto"/>
          <w:highlight w:val="none"/>
        </w:rPr>
        <w:fldChar w:fldCharType="begin"/>
      </w:r>
      <w:r>
        <w:rPr>
          <w:color w:val="auto"/>
          <w:highlight w:val="none"/>
        </w:rPr>
        <w:instrText xml:space="preserve"> PAGEREF _Toc15143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2D7BA939">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"_Toc19706" </w:instrText>
      </w:r>
      <w:r>
        <w:rPr>
          <w:color w:val="auto"/>
          <w:highlight w:val="none"/>
        </w:rPr>
        <w:fldChar w:fldCharType="separate"/>
      </w:r>
      <w:r>
        <w:rPr>
          <w:rFonts w:ascii="Times New Roman" w:hAnsi="Times New Roman"/>
          <w:color w:val="auto"/>
          <w:szCs w:val="28"/>
          <w:highlight w:val="none"/>
        </w:rPr>
        <w:t>售后服务响应时间、售后服务承诺及定期检查与维护保养计划</w:t>
      </w:r>
      <w:r>
        <w:rPr>
          <w:color w:val="auto"/>
          <w:highlight w:val="none"/>
        </w:rPr>
        <w:tab/>
      </w:r>
      <w:r>
        <w:rPr>
          <w:color w:val="auto"/>
          <w:highlight w:val="none"/>
        </w:rPr>
        <w:fldChar w:fldCharType="begin"/>
      </w:r>
      <w:r>
        <w:rPr>
          <w:color w:val="auto"/>
          <w:highlight w:val="none"/>
        </w:rPr>
        <w:instrText xml:space="preserve"> PAGEREF _Toc19706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7C17C5DF">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"_Toc3056" </w:instrText>
      </w:r>
      <w:r>
        <w:rPr>
          <w:color w:val="auto"/>
          <w:highlight w:val="none"/>
        </w:rPr>
        <w:fldChar w:fldCharType="separate"/>
      </w:r>
      <w:r>
        <w:rPr>
          <w:rFonts w:ascii="Times New Roman" w:hAnsi="Times New Roman"/>
          <w:color w:val="auto"/>
          <w:szCs w:val="28"/>
          <w:highlight w:val="none"/>
        </w:rPr>
        <w:t>类似业绩一览表</w:t>
      </w:r>
      <w:r>
        <w:rPr>
          <w:color w:val="auto"/>
          <w:highlight w:val="none"/>
        </w:rPr>
        <w:tab/>
      </w:r>
      <w:r>
        <w:rPr>
          <w:color w:val="auto"/>
          <w:highlight w:val="none"/>
        </w:rPr>
        <w:fldChar w:fldCharType="begin"/>
      </w:r>
      <w:r>
        <w:rPr>
          <w:color w:val="auto"/>
          <w:highlight w:val="none"/>
        </w:rPr>
        <w:instrText xml:space="preserve"> PAGEREF _Toc3056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370EF7DE">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"_Toc8046" </w:instrText>
      </w:r>
      <w:r>
        <w:rPr>
          <w:color w:val="auto"/>
          <w:highlight w:val="none"/>
        </w:rPr>
        <w:fldChar w:fldCharType="separate"/>
      </w:r>
      <w:r>
        <w:rPr>
          <w:rFonts w:ascii="Times New Roman" w:hAnsi="Times New Roman"/>
          <w:color w:val="auto"/>
          <w:szCs w:val="28"/>
          <w:highlight w:val="none"/>
        </w:rPr>
        <w:t>商务条款偏离表</w:t>
      </w:r>
      <w:r>
        <w:rPr>
          <w:color w:val="auto"/>
          <w:highlight w:val="none"/>
        </w:rPr>
        <w:tab/>
      </w:r>
      <w:r>
        <w:rPr>
          <w:color w:val="auto"/>
          <w:highlight w:val="none"/>
        </w:rPr>
        <w:fldChar w:fldCharType="begin"/>
      </w:r>
      <w:r>
        <w:rPr>
          <w:color w:val="auto"/>
          <w:highlight w:val="none"/>
        </w:rPr>
        <w:instrText xml:space="preserve"> PAGEREF _Toc8046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5447E33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"_Toc10945" </w:instrText>
      </w:r>
      <w:r>
        <w:rPr>
          <w:color w:val="auto"/>
          <w:highlight w:val="none"/>
        </w:rPr>
        <w:fldChar w:fldCharType="separate"/>
      </w:r>
      <w:r>
        <w:rPr>
          <w:rFonts w:ascii="Segoe UI Symbol" w:hAnsi="Segoe UI Symbol" w:cs="Segoe UI Symbol"/>
          <w:color w:val="auto"/>
          <w:szCs w:val="21"/>
          <w:highlight w:val="none"/>
        </w:rPr>
        <w:t>★</w:t>
      </w:r>
      <w:r>
        <w:rPr>
          <w:rFonts w:ascii="Times New Roman" w:hAnsi="Times New Roman"/>
          <w:color w:val="auto"/>
          <w:szCs w:val="28"/>
          <w:highlight w:val="none"/>
        </w:rPr>
        <w:t>关于“保证拟投产品在产品使用期间不受第三方提出侵犯其专利权、商标权、工业设计权、知识产权的起诉”的承诺</w:t>
      </w:r>
      <w:r>
        <w:rPr>
          <w:color w:val="auto"/>
          <w:highlight w:val="none"/>
        </w:rPr>
        <w:tab/>
      </w:r>
      <w:r>
        <w:rPr>
          <w:color w:val="auto"/>
          <w:highlight w:val="none"/>
        </w:rPr>
        <w:fldChar w:fldCharType="begin"/>
      </w:r>
      <w:r>
        <w:rPr>
          <w:color w:val="auto"/>
          <w:highlight w:val="none"/>
        </w:rPr>
        <w:instrText xml:space="preserve"> PAGEREF _Toc10945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64E51145">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"_Toc21138" </w:instrText>
      </w:r>
      <w:r>
        <w:rPr>
          <w:color w:val="auto"/>
          <w:highlight w:val="none"/>
        </w:rPr>
        <w:fldChar w:fldCharType="separate"/>
      </w:r>
      <w:r>
        <w:rPr>
          <w:rFonts w:ascii="Segoe UI Symbol" w:hAnsi="Segoe UI Symbol" w:cs="Segoe UI Symbol"/>
          <w:color w:val="auto"/>
          <w:szCs w:val="21"/>
          <w:highlight w:val="none"/>
        </w:rPr>
        <w:t>★</w:t>
      </w:r>
      <w:r>
        <w:rPr>
          <w:rFonts w:ascii="Times New Roman" w:hAnsi="Times New Roman"/>
          <w:color w:val="auto"/>
          <w:szCs w:val="28"/>
          <w:highlight w:val="none"/>
        </w:rPr>
        <w:t>承诺书</w:t>
      </w:r>
      <w:r>
        <w:rPr>
          <w:color w:val="auto"/>
          <w:highlight w:val="none"/>
        </w:rPr>
        <w:tab/>
      </w:r>
      <w:r>
        <w:rPr>
          <w:color w:val="auto"/>
          <w:highlight w:val="none"/>
        </w:rPr>
        <w:fldChar w:fldCharType="begin"/>
      </w:r>
      <w:r>
        <w:rPr>
          <w:color w:val="auto"/>
          <w:highlight w:val="none"/>
        </w:rPr>
        <w:instrText xml:space="preserve"> PAGEREF _Toc21138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42D45ECE">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"_Toc27701" </w:instrText>
      </w:r>
      <w:r>
        <w:rPr>
          <w:color w:val="auto"/>
          <w:highlight w:val="none"/>
        </w:rPr>
        <w:fldChar w:fldCharType="separate"/>
      </w:r>
      <w:r>
        <w:rPr>
          <w:rFonts w:ascii="Times New Roman" w:hAnsi="Times New Roman"/>
          <w:color w:val="auto"/>
          <w:szCs w:val="28"/>
          <w:highlight w:val="none"/>
        </w:rPr>
        <w:t>投标人信息表</w:t>
      </w:r>
      <w:r>
        <w:rPr>
          <w:color w:val="auto"/>
          <w:highlight w:val="none"/>
        </w:rPr>
        <w:tab/>
      </w:r>
      <w:r>
        <w:rPr>
          <w:color w:val="auto"/>
          <w:highlight w:val="none"/>
        </w:rPr>
        <w:fldChar w:fldCharType="begin"/>
      </w:r>
      <w:r>
        <w:rPr>
          <w:color w:val="auto"/>
          <w:highlight w:val="none"/>
        </w:rPr>
        <w:instrText xml:space="preserve"> PAGEREF _Toc27701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6845DD66">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"_Toc24762" </w:instrText>
      </w:r>
      <w:r>
        <w:rPr>
          <w:color w:val="auto"/>
          <w:highlight w:val="none"/>
        </w:rPr>
        <w:fldChar w:fldCharType="separate"/>
      </w:r>
      <w:r>
        <w:rPr>
          <w:rFonts w:ascii="Times New Roman" w:hAnsi="Times New Roman"/>
          <w:color w:val="auto"/>
          <w:szCs w:val="28"/>
          <w:highlight w:val="none"/>
        </w:rPr>
        <w:t>投标保证金缴纳凭证</w:t>
      </w:r>
      <w:r>
        <w:rPr>
          <w:color w:val="auto"/>
          <w:highlight w:val="none"/>
        </w:rPr>
        <w:tab/>
      </w:r>
      <w:r>
        <w:rPr>
          <w:color w:val="auto"/>
          <w:highlight w:val="none"/>
        </w:rPr>
        <w:fldChar w:fldCharType="begin"/>
      </w:r>
      <w:r>
        <w:rPr>
          <w:color w:val="auto"/>
          <w:highlight w:val="none"/>
        </w:rPr>
        <w:instrText xml:space="preserve"> PAGEREF _Toc24762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5B4B86B7">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"_Toc8397" </w:instrText>
      </w:r>
      <w:r>
        <w:rPr>
          <w:color w:val="auto"/>
          <w:highlight w:val="none"/>
        </w:rPr>
        <w:fldChar w:fldCharType="separate"/>
      </w:r>
      <w:r>
        <w:rPr>
          <w:rFonts w:ascii="Times New Roman" w:hAnsi="Times New Roman"/>
          <w:color w:val="auto"/>
          <w:szCs w:val="28"/>
          <w:highlight w:val="none"/>
        </w:rPr>
        <w:t>构成投标文件商务部分的其他资料</w:t>
      </w:r>
      <w:r>
        <w:rPr>
          <w:color w:val="auto"/>
          <w:highlight w:val="none"/>
        </w:rPr>
        <w:tab/>
      </w:r>
      <w:r>
        <w:rPr>
          <w:color w:val="auto"/>
          <w:highlight w:val="none"/>
        </w:rPr>
        <w:fldChar w:fldCharType="begin"/>
      </w:r>
      <w:r>
        <w:rPr>
          <w:color w:val="auto"/>
          <w:highlight w:val="none"/>
        </w:rPr>
        <w:instrText xml:space="preserve"> PAGEREF _Toc8397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7B7C1390">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"_Toc8673" </w:instrText>
      </w:r>
      <w:r>
        <w:rPr>
          <w:color w:val="auto"/>
          <w:highlight w:val="none"/>
        </w:rPr>
        <w:fldChar w:fldCharType="separate"/>
      </w:r>
      <w:r>
        <w:rPr>
          <w:rFonts w:ascii="Times New Roman" w:hAnsi="Times New Roman"/>
          <w:color w:val="auto"/>
          <w:highlight w:val="none"/>
        </w:rPr>
        <w:t>四、技术部分</w:t>
      </w:r>
      <w:r>
        <w:rPr>
          <w:color w:val="auto"/>
          <w:highlight w:val="none"/>
        </w:rPr>
        <w:tab/>
      </w:r>
      <w:r>
        <w:rPr>
          <w:color w:val="auto"/>
          <w:highlight w:val="none"/>
        </w:rPr>
        <w:fldChar w:fldCharType="begin"/>
      </w:r>
      <w:r>
        <w:rPr>
          <w:color w:val="auto"/>
          <w:highlight w:val="none"/>
        </w:rPr>
        <w:instrText xml:space="preserve"> PAGEREF _Toc8673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62076988">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"_Toc19501" </w:instrText>
      </w:r>
      <w:r>
        <w:rPr>
          <w:color w:val="auto"/>
          <w:highlight w:val="none"/>
        </w:rPr>
        <w:fldChar w:fldCharType="separate"/>
      </w:r>
      <w:r>
        <w:rPr>
          <w:rFonts w:ascii="Times New Roman" w:hAnsi="Times New Roman"/>
          <w:color w:val="auto"/>
          <w:szCs w:val="28"/>
          <w:highlight w:val="none"/>
        </w:rPr>
        <w:t>技术规格偏离表</w:t>
      </w:r>
      <w:r>
        <w:rPr>
          <w:color w:val="auto"/>
          <w:highlight w:val="none"/>
        </w:rPr>
        <w:tab/>
      </w:r>
      <w:r>
        <w:rPr>
          <w:color w:val="auto"/>
          <w:highlight w:val="none"/>
        </w:rPr>
        <w:fldChar w:fldCharType="begin"/>
      </w:r>
      <w:r>
        <w:rPr>
          <w:color w:val="auto"/>
          <w:highlight w:val="none"/>
        </w:rPr>
        <w:instrText xml:space="preserve"> PAGEREF _Toc19501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516867BD">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"_Toc12386" </w:instrText>
      </w:r>
      <w:r>
        <w:rPr>
          <w:color w:val="auto"/>
          <w:highlight w:val="none"/>
        </w:rPr>
        <w:fldChar w:fldCharType="separate"/>
      </w:r>
      <w:r>
        <w:rPr>
          <w:rFonts w:ascii="Times New Roman" w:hAnsi="Times New Roman"/>
          <w:color w:val="auto"/>
          <w:szCs w:val="28"/>
          <w:highlight w:val="none"/>
        </w:rPr>
        <w:t>技术支持资料</w:t>
      </w:r>
      <w:r>
        <w:rPr>
          <w:color w:val="auto"/>
          <w:highlight w:val="none"/>
        </w:rPr>
        <w:tab/>
      </w:r>
      <w:r>
        <w:rPr>
          <w:color w:val="auto"/>
          <w:highlight w:val="none"/>
        </w:rPr>
        <w:fldChar w:fldCharType="begin"/>
      </w:r>
      <w:r>
        <w:rPr>
          <w:color w:val="auto"/>
          <w:highlight w:val="none"/>
        </w:rPr>
        <w:instrText xml:space="preserve"> PAGEREF _Toc12386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2D6095A1">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"_Toc22373" </w:instrText>
      </w:r>
      <w:r>
        <w:rPr>
          <w:color w:val="auto"/>
          <w:highlight w:val="none"/>
        </w:rPr>
        <w:fldChar w:fldCharType="separate"/>
      </w:r>
      <w:r>
        <w:rPr>
          <w:rFonts w:ascii="Times New Roman" w:hAnsi="Times New Roman"/>
          <w:color w:val="auto"/>
          <w:szCs w:val="28"/>
          <w:highlight w:val="none"/>
        </w:rPr>
        <w:t>其他技术文件</w:t>
      </w:r>
      <w:r>
        <w:rPr>
          <w:color w:val="auto"/>
          <w:highlight w:val="none"/>
        </w:rPr>
        <w:tab/>
      </w:r>
      <w:r>
        <w:rPr>
          <w:color w:val="auto"/>
          <w:highlight w:val="none"/>
        </w:rPr>
        <w:fldChar w:fldCharType="begin"/>
      </w:r>
      <w:r>
        <w:rPr>
          <w:color w:val="auto"/>
          <w:highlight w:val="none"/>
        </w:rPr>
        <w:instrText xml:space="preserve"> PAGEREF _Toc22373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6D58FE67">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"_Toc12458" </w:instrText>
      </w:r>
      <w:r>
        <w:rPr>
          <w:color w:val="auto"/>
          <w:highlight w:val="none"/>
        </w:rPr>
        <w:fldChar w:fldCharType="separate"/>
      </w:r>
      <w:r>
        <w:rPr>
          <w:rFonts w:ascii="Times New Roman" w:hAnsi="Times New Roman"/>
          <w:color w:val="auto"/>
          <w:szCs w:val="28"/>
          <w:highlight w:val="none"/>
        </w:rPr>
        <w:t>质量保证书</w:t>
      </w:r>
      <w:r>
        <w:rPr>
          <w:color w:val="auto"/>
          <w:highlight w:val="none"/>
        </w:rPr>
        <w:tab/>
      </w:r>
      <w:r>
        <w:rPr>
          <w:color w:val="auto"/>
          <w:highlight w:val="none"/>
        </w:rPr>
        <w:fldChar w:fldCharType="begin"/>
      </w:r>
      <w:r>
        <w:rPr>
          <w:color w:val="auto"/>
          <w:highlight w:val="none"/>
        </w:rPr>
        <w:instrText xml:space="preserve"> PAGEREF _Toc12458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0A24A91C">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"_Toc7776" </w:instrText>
      </w:r>
      <w:r>
        <w:rPr>
          <w:color w:val="auto"/>
          <w:highlight w:val="none"/>
        </w:rPr>
        <w:fldChar w:fldCharType="separate"/>
      </w:r>
      <w:r>
        <w:rPr>
          <w:rFonts w:ascii="Times New Roman" w:hAnsi="Times New Roman"/>
          <w:color w:val="auto"/>
          <w:szCs w:val="28"/>
          <w:highlight w:val="none"/>
        </w:rPr>
        <w:t>构成投标文件技术部分的其他资料</w:t>
      </w:r>
      <w:r>
        <w:rPr>
          <w:color w:val="auto"/>
          <w:highlight w:val="none"/>
        </w:rPr>
        <w:tab/>
      </w:r>
      <w:r>
        <w:rPr>
          <w:color w:val="auto"/>
          <w:highlight w:val="none"/>
        </w:rPr>
        <w:fldChar w:fldCharType="begin"/>
      </w:r>
      <w:r>
        <w:rPr>
          <w:color w:val="auto"/>
          <w:highlight w:val="none"/>
        </w:rPr>
        <w:instrText xml:space="preserve"> PAGEREF _Toc7776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3B785C08">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"_Toc31583" </w:instrText>
      </w:r>
      <w:r>
        <w:rPr>
          <w:color w:val="auto"/>
          <w:highlight w:val="none"/>
        </w:rPr>
        <w:fldChar w:fldCharType="separate"/>
      </w:r>
      <w:r>
        <w:rPr>
          <w:rFonts w:ascii="Times New Roman" w:hAnsi="Times New Roman"/>
          <w:color w:val="auto"/>
          <w:highlight w:val="none"/>
        </w:rPr>
        <w:t>第五章  货物需求及技术要求</w:t>
      </w:r>
      <w:r>
        <w:rPr>
          <w:color w:val="auto"/>
          <w:highlight w:val="none"/>
        </w:rPr>
        <w:tab/>
      </w:r>
      <w:r>
        <w:rPr>
          <w:color w:val="auto"/>
          <w:highlight w:val="none"/>
        </w:rPr>
        <w:fldChar w:fldCharType="begin"/>
      </w:r>
      <w:r>
        <w:rPr>
          <w:color w:val="auto"/>
          <w:highlight w:val="none"/>
        </w:rPr>
        <w:instrText xml:space="preserve"> PAGEREF _Toc31583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136F75F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"_Toc31215" </w:instrText>
      </w:r>
      <w:r>
        <w:rPr>
          <w:color w:val="auto"/>
          <w:highlight w:val="none"/>
        </w:rPr>
        <w:fldChar w:fldCharType="separate"/>
      </w:r>
      <w:r>
        <w:rPr>
          <w:rFonts w:ascii="Times New Roman" w:hAnsi="Times New Roman"/>
          <w:color w:val="auto"/>
          <w:szCs w:val="21"/>
          <w:highlight w:val="none"/>
        </w:rPr>
        <w:t>一、货物需求一览表</w:t>
      </w:r>
      <w:r>
        <w:rPr>
          <w:color w:val="auto"/>
          <w:highlight w:val="none"/>
        </w:rPr>
        <w:tab/>
      </w:r>
      <w:r>
        <w:rPr>
          <w:color w:val="auto"/>
          <w:highlight w:val="none"/>
        </w:rPr>
        <w:fldChar w:fldCharType="begin"/>
      </w:r>
      <w:r>
        <w:rPr>
          <w:color w:val="auto"/>
          <w:highlight w:val="none"/>
        </w:rPr>
        <w:instrText xml:space="preserve"> PAGEREF _Toc31215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360DADD8">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"_Toc26056" </w:instrText>
      </w:r>
      <w:r>
        <w:rPr>
          <w:color w:val="auto"/>
          <w:highlight w:val="none"/>
        </w:rPr>
        <w:fldChar w:fldCharType="separate"/>
      </w:r>
      <w:r>
        <w:rPr>
          <w:rFonts w:ascii="Times New Roman" w:hAnsi="Times New Roman"/>
          <w:color w:val="auto"/>
          <w:szCs w:val="21"/>
          <w:highlight w:val="none"/>
        </w:rPr>
        <w:t>二、技术要求</w:t>
      </w:r>
      <w:r>
        <w:rPr>
          <w:color w:val="auto"/>
          <w:highlight w:val="none"/>
        </w:rPr>
        <w:tab/>
      </w:r>
      <w:r>
        <w:rPr>
          <w:color w:val="auto"/>
          <w:highlight w:val="none"/>
        </w:rPr>
        <w:fldChar w:fldCharType="begin"/>
      </w:r>
      <w:r>
        <w:rPr>
          <w:color w:val="auto"/>
          <w:highlight w:val="none"/>
        </w:rPr>
        <w:instrText xml:space="preserve"> PAGEREF _Toc26056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45D30FE2">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"_Toc13069" </w:instrText>
      </w:r>
      <w:r>
        <w:rPr>
          <w:color w:val="auto"/>
          <w:highlight w:val="none"/>
        </w:rPr>
        <w:fldChar w:fldCharType="separate"/>
      </w:r>
      <w:r>
        <w:rPr>
          <w:rFonts w:ascii="Times New Roman" w:hAnsi="Times New Roman"/>
          <w:color w:val="auto"/>
          <w:szCs w:val="21"/>
          <w:highlight w:val="none"/>
        </w:rPr>
        <w:t>三、商务要求</w:t>
      </w:r>
      <w:r>
        <w:rPr>
          <w:color w:val="auto"/>
          <w:highlight w:val="none"/>
        </w:rPr>
        <w:tab/>
      </w:r>
      <w:r>
        <w:rPr>
          <w:color w:val="auto"/>
          <w:highlight w:val="none"/>
        </w:rPr>
        <w:fldChar w:fldCharType="begin"/>
      </w:r>
      <w:r>
        <w:rPr>
          <w:color w:val="auto"/>
          <w:highlight w:val="none"/>
        </w:rPr>
        <w:instrText xml:space="preserve"> PAGEREF _Toc13069 \h </w:instrText>
      </w:r>
      <w:r>
        <w:rPr>
          <w:color w:val="auto"/>
          <w:highlight w:val="none"/>
        </w:rPr>
        <w:fldChar w:fldCharType="separate"/>
      </w:r>
      <w:r>
        <w:rPr>
          <w:color w:val="auto"/>
          <w:highlight w:val="none"/>
        </w:rPr>
        <w:t>76</w:t>
      </w:r>
      <w:r>
        <w:rPr>
          <w:color w:val="auto"/>
          <w:highlight w:val="none"/>
        </w:rPr>
        <w:fldChar w:fldCharType="end"/>
      </w:r>
      <w:r>
        <w:rPr>
          <w:color w:val="auto"/>
          <w:highlight w:val="none"/>
        </w:rPr>
        <w:fldChar w:fldCharType="end"/>
      </w:r>
    </w:p>
    <w:p w14:paraId="4D1537D4">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"_Toc643" </w:instrText>
      </w:r>
      <w:r>
        <w:rPr>
          <w:color w:val="auto"/>
          <w:highlight w:val="none"/>
        </w:rPr>
        <w:fldChar w:fldCharType="separate"/>
      </w:r>
      <w:r>
        <w:rPr>
          <w:color w:val="auto"/>
          <w:szCs w:val="36"/>
          <w:highlight w:val="none"/>
        </w:rPr>
        <w:t>第六章  资格评审标准</w:t>
      </w:r>
      <w:r>
        <w:rPr>
          <w:color w:val="auto"/>
          <w:highlight w:val="none"/>
        </w:rPr>
        <w:tab/>
      </w:r>
      <w:r>
        <w:rPr>
          <w:color w:val="auto"/>
          <w:highlight w:val="none"/>
        </w:rPr>
        <w:fldChar w:fldCharType="begin"/>
      </w:r>
      <w:r>
        <w:rPr>
          <w:color w:val="auto"/>
          <w:highlight w:val="none"/>
        </w:rPr>
        <w:instrText xml:space="preserve"> PAGEREF _Toc643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420B9AFB">
      <w:pPr>
        <w:pStyle w:val="24"/>
        <w:tabs>
          <w:tab w:val="right" w:leader="dot" w:pos="8930"/>
          <w:tab w:val="clear" w:pos="9072"/>
        </w:tabs>
        <w:ind w:firstLine="149"/>
        <w:rPr>
          <w:color w:val="auto"/>
          <w:highlight w:val="none"/>
        </w:rPr>
      </w:pPr>
      <w:r>
        <w:rPr>
          <w:color w:val="auto"/>
          <w:highlight w:val="none"/>
        </w:rPr>
        <w:fldChar w:fldCharType="begin"/>
      </w:r>
      <w:r>
        <w:rPr>
          <w:color w:val="auto"/>
          <w:highlight w:val="none"/>
        </w:rPr>
        <w:instrText xml:space="preserve"> HYPERLINK \l "_Toc28997" </w:instrText>
      </w:r>
      <w:r>
        <w:rPr>
          <w:color w:val="auto"/>
          <w:highlight w:val="none"/>
        </w:rPr>
        <w:fldChar w:fldCharType="separate"/>
      </w:r>
      <w:r>
        <w:rPr>
          <w:rFonts w:ascii="Times New Roman" w:hAnsi="Times New Roman"/>
          <w:color w:val="auto"/>
          <w:highlight w:val="none"/>
        </w:rPr>
        <w:t>第七章  评标办法</w:t>
      </w:r>
      <w:r>
        <w:rPr>
          <w:color w:val="auto"/>
          <w:highlight w:val="none"/>
        </w:rPr>
        <w:tab/>
      </w:r>
      <w:r>
        <w:rPr>
          <w:color w:val="auto"/>
          <w:highlight w:val="none"/>
        </w:rPr>
        <w:fldChar w:fldCharType="begin"/>
      </w:r>
      <w:r>
        <w:rPr>
          <w:color w:val="auto"/>
          <w:highlight w:val="none"/>
        </w:rPr>
        <w:instrText xml:space="preserve"> PAGEREF _Toc28997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5245564A">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"_Toc17603" </w:instrText>
      </w:r>
      <w:r>
        <w:rPr>
          <w:color w:val="auto"/>
          <w:highlight w:val="none"/>
        </w:rPr>
        <w:fldChar w:fldCharType="separate"/>
      </w:r>
      <w:r>
        <w:rPr>
          <w:rFonts w:ascii="Times New Roman" w:hAnsi="Times New Roman"/>
          <w:color w:val="auto"/>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_Toc17603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490C3D2F">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"_Toc1390" </w:instrText>
      </w:r>
      <w:r>
        <w:rPr>
          <w:color w:val="auto"/>
          <w:highlight w:val="none"/>
        </w:rPr>
        <w:fldChar w:fldCharType="separate"/>
      </w:r>
      <w:r>
        <w:rPr>
          <w:rFonts w:ascii="Times New Roman" w:hAnsi="Times New Roman"/>
          <w:color w:val="auto"/>
          <w:szCs w:val="28"/>
          <w:highlight w:val="none"/>
        </w:rPr>
        <w:t>1. 评标方法</w:t>
      </w:r>
      <w:r>
        <w:rPr>
          <w:color w:val="auto"/>
          <w:highlight w:val="none"/>
        </w:rPr>
        <w:tab/>
      </w:r>
      <w:r>
        <w:rPr>
          <w:color w:val="auto"/>
          <w:highlight w:val="none"/>
        </w:rPr>
        <w:fldChar w:fldCharType="begin"/>
      </w:r>
      <w:r>
        <w:rPr>
          <w:color w:val="auto"/>
          <w:highlight w:val="none"/>
        </w:rPr>
        <w:instrText xml:space="preserve"> PAGEREF _Toc1390 \h </w:instrText>
      </w:r>
      <w:r>
        <w:rPr>
          <w:color w:val="auto"/>
          <w:highlight w:val="none"/>
        </w:rPr>
        <w:fldChar w:fldCharType="separate"/>
      </w:r>
      <w:r>
        <w:rPr>
          <w:color w:val="auto"/>
          <w:highlight w:val="none"/>
        </w:rPr>
        <w:t>81</w:t>
      </w:r>
      <w:r>
        <w:rPr>
          <w:color w:val="auto"/>
          <w:highlight w:val="none"/>
        </w:rPr>
        <w:fldChar w:fldCharType="end"/>
      </w:r>
      <w:r>
        <w:rPr>
          <w:color w:val="auto"/>
          <w:highlight w:val="none"/>
        </w:rPr>
        <w:fldChar w:fldCharType="end"/>
      </w:r>
    </w:p>
    <w:p w14:paraId="759407EB">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"_Toc687" </w:instrText>
      </w:r>
      <w:r>
        <w:rPr>
          <w:color w:val="auto"/>
          <w:highlight w:val="none"/>
        </w:rPr>
        <w:fldChar w:fldCharType="separate"/>
      </w:r>
      <w:r>
        <w:rPr>
          <w:rFonts w:ascii="Times New Roman" w:hAnsi="Times New Roman"/>
          <w:color w:val="auto"/>
          <w:szCs w:val="28"/>
          <w:highlight w:val="none"/>
        </w:rPr>
        <w:t>3. 评审标准</w:t>
      </w:r>
      <w:r>
        <w:rPr>
          <w:color w:val="auto"/>
          <w:highlight w:val="none"/>
        </w:rPr>
        <w:tab/>
      </w:r>
      <w:r>
        <w:rPr>
          <w:color w:val="auto"/>
          <w:highlight w:val="none"/>
        </w:rPr>
        <w:fldChar w:fldCharType="begin"/>
      </w:r>
      <w:r>
        <w:rPr>
          <w:color w:val="auto"/>
          <w:highlight w:val="none"/>
        </w:rPr>
        <w:instrText xml:space="preserve"> PAGEREF _Toc687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4B00A606">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"_Toc15123" </w:instrText>
      </w:r>
      <w:r>
        <w:rPr>
          <w:color w:val="auto"/>
          <w:highlight w:val="none"/>
        </w:rPr>
        <w:fldChar w:fldCharType="separate"/>
      </w:r>
      <w:r>
        <w:rPr>
          <w:rFonts w:ascii="Times New Roman" w:hAnsi="Times New Roman"/>
          <w:color w:val="auto"/>
          <w:szCs w:val="24"/>
          <w:highlight w:val="none"/>
        </w:rPr>
        <w:t>3.1符合性评审</w:t>
      </w:r>
      <w:r>
        <w:rPr>
          <w:color w:val="auto"/>
          <w:highlight w:val="none"/>
        </w:rPr>
        <w:tab/>
      </w:r>
      <w:r>
        <w:rPr>
          <w:color w:val="auto"/>
          <w:highlight w:val="none"/>
        </w:rPr>
        <w:fldChar w:fldCharType="begin"/>
      </w:r>
      <w:r>
        <w:rPr>
          <w:color w:val="auto"/>
          <w:highlight w:val="none"/>
        </w:rPr>
        <w:instrText xml:space="preserve"> PAGEREF _Toc15123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72EE247F">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"_Toc30625" </w:instrText>
      </w:r>
      <w:r>
        <w:rPr>
          <w:color w:val="auto"/>
          <w:highlight w:val="none"/>
        </w:rPr>
        <w:fldChar w:fldCharType="separate"/>
      </w:r>
      <w:r>
        <w:rPr>
          <w:rFonts w:ascii="Times New Roman" w:hAnsi="Times New Roman"/>
          <w:color w:val="auto"/>
          <w:szCs w:val="24"/>
          <w:highlight w:val="none"/>
        </w:rPr>
        <w:t>3.2分值构成与评分标准</w:t>
      </w:r>
      <w:r>
        <w:rPr>
          <w:color w:val="auto"/>
          <w:highlight w:val="none"/>
        </w:rPr>
        <w:tab/>
      </w:r>
      <w:r>
        <w:rPr>
          <w:color w:val="auto"/>
          <w:highlight w:val="none"/>
        </w:rPr>
        <w:fldChar w:fldCharType="begin"/>
      </w:r>
      <w:r>
        <w:rPr>
          <w:color w:val="auto"/>
          <w:highlight w:val="none"/>
        </w:rPr>
        <w:instrText xml:space="preserve"> PAGEREF _Toc30625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34FB00B1">
      <w:pPr>
        <w:pStyle w:val="30"/>
        <w:tabs>
          <w:tab w:val="right" w:leader="dot" w:pos="8930"/>
          <w:tab w:val="clear" w:pos="9072"/>
        </w:tabs>
        <w:ind w:firstLine="400"/>
        <w:rPr>
          <w:color w:val="auto"/>
          <w:highlight w:val="none"/>
        </w:rPr>
      </w:pPr>
      <w:r>
        <w:rPr>
          <w:color w:val="auto"/>
          <w:highlight w:val="none"/>
        </w:rPr>
        <w:fldChar w:fldCharType="begin"/>
      </w:r>
      <w:r>
        <w:rPr>
          <w:color w:val="auto"/>
          <w:highlight w:val="none"/>
        </w:rPr>
        <w:instrText xml:space="preserve"> HYPERLINK \l "_Toc28220" </w:instrText>
      </w:r>
      <w:r>
        <w:rPr>
          <w:color w:val="auto"/>
          <w:highlight w:val="none"/>
        </w:rPr>
        <w:fldChar w:fldCharType="separate"/>
      </w:r>
      <w:r>
        <w:rPr>
          <w:rFonts w:ascii="Times New Roman" w:hAnsi="Times New Roman"/>
          <w:color w:val="auto"/>
          <w:szCs w:val="28"/>
          <w:highlight w:val="none"/>
        </w:rPr>
        <w:t>4. 评标程序</w:t>
      </w:r>
      <w:r>
        <w:rPr>
          <w:color w:val="auto"/>
          <w:highlight w:val="none"/>
        </w:rPr>
        <w:tab/>
      </w:r>
      <w:r>
        <w:rPr>
          <w:color w:val="auto"/>
          <w:highlight w:val="none"/>
        </w:rPr>
        <w:fldChar w:fldCharType="begin"/>
      </w:r>
      <w:r>
        <w:rPr>
          <w:color w:val="auto"/>
          <w:highlight w:val="none"/>
        </w:rPr>
        <w:instrText xml:space="preserve"> PAGEREF _Toc28220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1C565727">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"_Toc11591" </w:instrText>
      </w:r>
      <w:r>
        <w:rPr>
          <w:color w:val="auto"/>
          <w:highlight w:val="none"/>
        </w:rPr>
        <w:fldChar w:fldCharType="separate"/>
      </w:r>
      <w:r>
        <w:rPr>
          <w:rFonts w:ascii="Times New Roman" w:hAnsi="Times New Roman"/>
          <w:color w:val="auto"/>
          <w:szCs w:val="24"/>
          <w:highlight w:val="none"/>
        </w:rPr>
        <w:t>4.1符合性评审</w:t>
      </w:r>
      <w:r>
        <w:rPr>
          <w:color w:val="auto"/>
          <w:highlight w:val="none"/>
        </w:rPr>
        <w:tab/>
      </w:r>
      <w:r>
        <w:rPr>
          <w:color w:val="auto"/>
          <w:highlight w:val="none"/>
        </w:rPr>
        <w:fldChar w:fldCharType="begin"/>
      </w:r>
      <w:r>
        <w:rPr>
          <w:color w:val="auto"/>
          <w:highlight w:val="none"/>
        </w:rPr>
        <w:instrText xml:space="preserve"> PAGEREF _Toc11591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375A2645">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"_Toc20608" </w:instrText>
      </w:r>
      <w:r>
        <w:rPr>
          <w:color w:val="auto"/>
          <w:highlight w:val="none"/>
        </w:rPr>
        <w:fldChar w:fldCharType="separate"/>
      </w:r>
      <w:r>
        <w:rPr>
          <w:rFonts w:ascii="Times New Roman" w:hAnsi="Times New Roman"/>
          <w:color w:val="auto"/>
          <w:szCs w:val="24"/>
          <w:highlight w:val="none"/>
        </w:rPr>
        <w:t>4.2 详细评审</w:t>
      </w:r>
      <w:r>
        <w:rPr>
          <w:color w:val="auto"/>
          <w:highlight w:val="none"/>
        </w:rPr>
        <w:tab/>
      </w:r>
      <w:r>
        <w:rPr>
          <w:color w:val="auto"/>
          <w:highlight w:val="none"/>
        </w:rPr>
        <w:fldChar w:fldCharType="begin"/>
      </w:r>
      <w:r>
        <w:rPr>
          <w:color w:val="auto"/>
          <w:highlight w:val="none"/>
        </w:rPr>
        <w:instrText xml:space="preserve"> PAGEREF _Toc20608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187AFA43">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"_Toc11006" </w:instrText>
      </w:r>
      <w:r>
        <w:rPr>
          <w:color w:val="auto"/>
          <w:highlight w:val="none"/>
        </w:rPr>
        <w:fldChar w:fldCharType="separate"/>
      </w:r>
      <w:r>
        <w:rPr>
          <w:rFonts w:ascii="Times New Roman" w:hAnsi="Times New Roman"/>
          <w:color w:val="auto"/>
          <w:szCs w:val="24"/>
          <w:highlight w:val="none"/>
        </w:rPr>
        <w:t>4.3 投标文件的澄清和补正统计分数原则</w:t>
      </w:r>
      <w:r>
        <w:rPr>
          <w:color w:val="auto"/>
          <w:highlight w:val="none"/>
        </w:rPr>
        <w:tab/>
      </w:r>
      <w:r>
        <w:rPr>
          <w:color w:val="auto"/>
          <w:highlight w:val="none"/>
        </w:rPr>
        <w:fldChar w:fldCharType="begin"/>
      </w:r>
      <w:r>
        <w:rPr>
          <w:color w:val="auto"/>
          <w:highlight w:val="none"/>
        </w:rPr>
        <w:instrText xml:space="preserve"> PAGEREF _Toc11006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14:paraId="40DFA3F9">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"_Toc24438" </w:instrText>
      </w:r>
      <w:r>
        <w:rPr>
          <w:color w:val="auto"/>
          <w:highlight w:val="none"/>
        </w:rPr>
        <w:fldChar w:fldCharType="separate"/>
      </w:r>
      <w:r>
        <w:rPr>
          <w:rFonts w:ascii="Times New Roman" w:hAnsi="Times New Roman"/>
          <w:color w:val="auto"/>
          <w:szCs w:val="24"/>
          <w:highlight w:val="none"/>
        </w:rPr>
        <w:t>4.4 评标结果</w:t>
      </w:r>
      <w:r>
        <w:rPr>
          <w:color w:val="auto"/>
          <w:highlight w:val="none"/>
        </w:rPr>
        <w:tab/>
      </w:r>
      <w:r>
        <w:rPr>
          <w:color w:val="auto"/>
          <w:highlight w:val="none"/>
        </w:rPr>
        <w:fldChar w:fldCharType="begin"/>
      </w:r>
      <w:r>
        <w:rPr>
          <w:color w:val="auto"/>
          <w:highlight w:val="none"/>
        </w:rPr>
        <w:instrText xml:space="preserve"> PAGEREF _Toc24438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14:paraId="5EA253CF">
      <w:pPr>
        <w:pStyle w:val="16"/>
        <w:tabs>
          <w:tab w:val="right" w:leader="dot" w:pos="8930"/>
        </w:tabs>
        <w:ind w:firstLine="800"/>
        <w:rPr>
          <w:color w:val="auto"/>
          <w:highlight w:val="none"/>
        </w:rPr>
      </w:pPr>
      <w:r>
        <w:rPr>
          <w:color w:val="auto"/>
          <w:highlight w:val="none"/>
        </w:rPr>
        <w:fldChar w:fldCharType="begin"/>
      </w:r>
      <w:r>
        <w:rPr>
          <w:color w:val="auto"/>
          <w:highlight w:val="none"/>
        </w:rPr>
        <w:instrText xml:space="preserve"> HYPERLINK \l "_Toc1251" </w:instrText>
      </w:r>
      <w:r>
        <w:rPr>
          <w:color w:val="auto"/>
          <w:highlight w:val="none"/>
        </w:rPr>
        <w:fldChar w:fldCharType="separate"/>
      </w:r>
      <w:r>
        <w:rPr>
          <w:rFonts w:ascii="Times New Roman" w:hAnsi="Times New Roman"/>
          <w:color w:val="auto"/>
          <w:szCs w:val="24"/>
          <w:highlight w:val="none"/>
        </w:rPr>
        <w:t>4.5其他</w:t>
      </w:r>
      <w:r>
        <w:rPr>
          <w:color w:val="auto"/>
          <w:highlight w:val="none"/>
        </w:rPr>
        <w:tab/>
      </w:r>
      <w:r>
        <w:rPr>
          <w:color w:val="auto"/>
          <w:highlight w:val="none"/>
        </w:rPr>
        <w:fldChar w:fldCharType="begin"/>
      </w:r>
      <w:r>
        <w:rPr>
          <w:color w:val="auto"/>
          <w:highlight w:val="none"/>
        </w:rPr>
        <w:instrText xml:space="preserve"> PAGEREF _Toc1251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14760990">
      <w:pPr>
        <w:tabs>
          <w:tab w:val="right" w:leader="dot" w:pos="8930"/>
        </w:tabs>
        <w:rPr>
          <w:rFonts w:ascii="Times New Roman" w:hAnsi="Times New Roman"/>
          <w:color w:val="auto"/>
          <w:highlight w:val="none"/>
        </w:rPr>
      </w:pPr>
      <w:r>
        <w:rPr>
          <w:rFonts w:ascii="Times New Roman" w:hAnsi="Times New Roman"/>
          <w:bCs/>
          <w:color w:val="auto"/>
          <w:szCs w:val="21"/>
          <w:highlight w:val="none"/>
          <w:lang w:val="zh-CN"/>
        </w:rPr>
        <w:fldChar w:fldCharType="end"/>
      </w:r>
    </w:p>
    <w:p w14:paraId="0F59993B">
      <w:pPr>
        <w:rPr>
          <w:rFonts w:ascii="Times New Roman" w:hAnsi="Times New Roman"/>
          <w:color w:val="auto"/>
          <w:sz w:val="24"/>
          <w:highlight w:val="none"/>
        </w:rPr>
        <w:sectPr>
          <w:footerReference r:id="rId6" w:type="first"/>
          <w:headerReference r:id="rId3" w:type="default"/>
          <w:footerReference r:id="rId4" w:type="default"/>
          <w:footerReference r:id="rId5" w:type="even"/>
          <w:type w:val="nextColumn"/>
          <w:pgSz w:w="11906" w:h="16838"/>
          <w:pgMar w:top="1135" w:right="1558" w:bottom="1418" w:left="1418" w:header="567" w:footer="394" w:gutter="0"/>
          <w:pgNumType w:fmt="upperRoman" w:start="1"/>
          <w:cols w:space="720" w:num="1"/>
          <w:docGrid w:type="linesAndChars" w:linePitch="331" w:charSpace="0"/>
        </w:sectPr>
      </w:pPr>
    </w:p>
    <w:p w14:paraId="7B581D95">
      <w:pPr>
        <w:pStyle w:val="2"/>
        <w:numPr>
          <w:ilvl w:val="0"/>
          <w:numId w:val="5"/>
        </w:numPr>
        <w:jc w:val="center"/>
        <w:rPr>
          <w:rFonts w:ascii="Times New Roman" w:hAnsi="Times New Roman" w:eastAsia="宋体"/>
          <w:b w:val="0"/>
          <w:color w:val="auto"/>
          <w:sz w:val="36"/>
          <w:highlight w:val="none"/>
        </w:rPr>
      </w:pPr>
      <w:bookmarkStart w:id="2" w:name="_Toc69912388"/>
      <w:bookmarkStart w:id="3" w:name="_Toc91696396"/>
      <w:bookmarkStart w:id="4" w:name="_Toc4393"/>
      <w:r>
        <w:rPr>
          <w:rFonts w:ascii="Times New Roman" w:hAnsi="Times New Roman" w:eastAsia="宋体"/>
          <w:b w:val="0"/>
          <w:color w:val="auto"/>
          <w:sz w:val="36"/>
          <w:highlight w:val="none"/>
        </w:rPr>
        <w:t>招标公告</w:t>
      </w:r>
      <w:bookmarkEnd w:id="2"/>
      <w:bookmarkEnd w:id="3"/>
      <w:bookmarkEnd w:id="4"/>
      <w:bookmarkStart w:id="5" w:name="OLE_LINK3"/>
      <w:bookmarkStart w:id="6" w:name="OLE_LINK1"/>
    </w:p>
    <w:p w14:paraId="7E73E352">
      <w:pPr>
        <w:pBdr>
          <w:top w:val="single" w:color="auto" w:sz="4" w:space="1"/>
          <w:left w:val="single" w:color="auto" w:sz="4" w:space="4"/>
          <w:bottom w:val="single" w:color="auto" w:sz="4" w:space="1"/>
          <w:right w:val="single" w:color="auto" w:sz="4" w:space="4"/>
        </w:pBdr>
        <w:spacing w:line="360" w:lineRule="auto"/>
        <w:ind w:firstLine="422" w:firstLineChars="200"/>
        <w:rPr>
          <w:rFonts w:ascii="Times New Roman" w:hAnsi="Times New Roman"/>
          <w:b/>
          <w:bCs/>
          <w:color w:val="auto"/>
          <w:szCs w:val="21"/>
          <w:highlight w:val="none"/>
        </w:rPr>
      </w:pPr>
      <w:bookmarkStart w:id="7" w:name="OLE_LINK4"/>
      <w:bookmarkStart w:id="8" w:name="OLE_LINK2"/>
      <w:r>
        <w:rPr>
          <w:rFonts w:ascii="Times New Roman" w:hAnsi="Times New Roman"/>
          <w:b/>
          <w:bCs/>
          <w:color w:val="auto"/>
          <w:szCs w:val="21"/>
          <w:highlight w:val="none"/>
        </w:rPr>
        <w:t>项目概况</w:t>
      </w:r>
    </w:p>
    <w:p w14:paraId="3EE4CD48">
      <w:pPr>
        <w:pBdr>
          <w:top w:val="single" w:color="auto" w:sz="4" w:space="1"/>
          <w:left w:val="single" w:color="auto" w:sz="4" w:space="4"/>
          <w:bottom w:val="single" w:color="auto" w:sz="4" w:space="1"/>
          <w:right w:val="single" w:color="auto" w:sz="4" w:space="4"/>
        </w:pBdr>
        <w:spacing w:line="360" w:lineRule="auto"/>
        <w:ind w:firstLine="422" w:firstLineChars="200"/>
        <w:rPr>
          <w:rFonts w:ascii="Times New Roman" w:hAnsi="Times New Roman"/>
          <w:color w:val="auto"/>
          <w:szCs w:val="21"/>
          <w:highlight w:val="none"/>
        </w:rPr>
      </w:pPr>
      <w:r>
        <w:rPr>
          <w:rFonts w:hint="eastAsia" w:ascii="Times New Roman" w:hAnsi="Times New Roman"/>
          <w:b/>
          <w:bCs/>
          <w:color w:val="auto"/>
          <w:szCs w:val="21"/>
          <w:highlight w:val="none"/>
          <w:u w:val="single"/>
          <w:lang w:eastAsia="zh-CN"/>
        </w:rPr>
        <w:t>昆明理工大学城市学院艺术系“人工智能+”新质生产力赋能实践示范中心建设采购项目（z25）（二次）</w:t>
      </w:r>
      <w:r>
        <w:rPr>
          <w:rFonts w:ascii="Times New Roman" w:hAnsi="Times New Roman"/>
          <w:color w:val="auto"/>
          <w:szCs w:val="21"/>
          <w:highlight w:val="none"/>
        </w:rPr>
        <w:t>招标项目的潜在投标人应在</w:t>
      </w:r>
      <w:r>
        <w:rPr>
          <w:rFonts w:ascii="Times New Roman" w:hAnsi="Times New Roman"/>
          <w:b/>
          <w:bCs/>
          <w:color w:val="auto"/>
          <w:szCs w:val="21"/>
          <w:highlight w:val="none"/>
          <w:u w:val="single"/>
        </w:rPr>
        <w:t>政府采购云平台（网址：</w:t>
      </w:r>
      <w:r>
        <w:rPr>
          <w:color w:val="auto"/>
          <w:highlight w:val="none"/>
        </w:rPr>
        <w:fldChar w:fldCharType="begin"/>
      </w:r>
      <w:r>
        <w:rPr>
          <w:color w:val="auto"/>
          <w:highlight w:val="none"/>
        </w:rPr>
        <w:instrText xml:space="preserve"> HYPERLINK "http://www.zcygov.cn）获取招标文件，并于202" </w:instrText>
      </w:r>
      <w:r>
        <w:rPr>
          <w:color w:val="auto"/>
          <w:highlight w:val="none"/>
        </w:rPr>
        <w:fldChar w:fldCharType="separate"/>
      </w:r>
      <w:r>
        <w:rPr>
          <w:rStyle w:val="46"/>
          <w:rFonts w:ascii="Times New Roman" w:hAnsi="Times New Roman"/>
          <w:b/>
          <w:bCs/>
          <w:color w:val="auto"/>
          <w:szCs w:val="21"/>
          <w:highlight w:val="none"/>
        </w:rPr>
        <w:t>www.zcygov.cn）</w:t>
      </w:r>
      <w:r>
        <w:rPr>
          <w:rStyle w:val="46"/>
          <w:rFonts w:ascii="Times New Roman" w:hAnsi="Times New Roman"/>
          <w:color w:val="auto"/>
          <w:szCs w:val="21"/>
          <w:highlight w:val="none"/>
          <w:u w:val="none"/>
        </w:rPr>
        <w:t>获取招标文件，并于</w:t>
      </w:r>
      <w:r>
        <w:rPr>
          <w:rStyle w:val="46"/>
          <w:rFonts w:ascii="Times New Roman" w:hAnsi="Times New Roman"/>
          <w:b/>
          <w:bCs/>
          <w:color w:val="auto"/>
          <w:szCs w:val="21"/>
          <w:highlight w:val="none"/>
        </w:rPr>
        <w:t>202</w:t>
      </w:r>
      <w:r>
        <w:rPr>
          <w:rStyle w:val="46"/>
          <w:rFonts w:ascii="Times New Roman" w:hAnsi="Times New Roman"/>
          <w:b/>
          <w:bCs/>
          <w:color w:val="auto"/>
          <w:szCs w:val="21"/>
          <w:highlight w:val="none"/>
        </w:rPr>
        <w:fldChar w:fldCharType="end"/>
      </w:r>
      <w:r>
        <w:rPr>
          <w:rFonts w:hint="eastAsia" w:ascii="Times New Roman" w:hAnsi="Times New Roman"/>
          <w:b/>
          <w:bCs/>
          <w:color w:val="auto"/>
          <w:szCs w:val="21"/>
          <w:highlight w:val="none"/>
          <w:u w:val="single"/>
        </w:rPr>
        <w:t>5</w:t>
      </w:r>
      <w:r>
        <w:rPr>
          <w:rFonts w:ascii="Times New Roman" w:hAnsi="Times New Roman"/>
          <w:b/>
          <w:bCs/>
          <w:color w:val="auto"/>
          <w:szCs w:val="21"/>
          <w:highlight w:val="none"/>
          <w:u w:val="single"/>
        </w:rPr>
        <w:t>年</w:t>
      </w:r>
      <w:r>
        <w:rPr>
          <w:rFonts w:hint="eastAsia" w:ascii="Times New Roman" w:hAnsi="Times New Roman"/>
          <w:b/>
          <w:bCs/>
          <w:color w:val="auto"/>
          <w:szCs w:val="21"/>
          <w:highlight w:val="none"/>
          <w:u w:val="single"/>
          <w:lang w:val="en-US" w:eastAsia="zh-CN"/>
        </w:rPr>
        <w:t>9</w:t>
      </w:r>
      <w:r>
        <w:rPr>
          <w:rFonts w:ascii="Times New Roman" w:hAnsi="Times New Roman"/>
          <w:b/>
          <w:bCs/>
          <w:color w:val="auto"/>
          <w:szCs w:val="21"/>
          <w:highlight w:val="none"/>
          <w:u w:val="single"/>
        </w:rPr>
        <w:t>月</w:t>
      </w:r>
      <w:r>
        <w:rPr>
          <w:rFonts w:hint="eastAsia" w:ascii="Times New Roman" w:hAnsi="Times New Roman"/>
          <w:b/>
          <w:bCs/>
          <w:color w:val="auto"/>
          <w:szCs w:val="21"/>
          <w:highlight w:val="none"/>
          <w:u w:val="single"/>
          <w:lang w:val="en-US" w:eastAsia="zh-CN"/>
        </w:rPr>
        <w:t>16</w:t>
      </w:r>
      <w:r>
        <w:rPr>
          <w:rFonts w:ascii="Times New Roman" w:hAnsi="Times New Roman"/>
          <w:b/>
          <w:bCs/>
          <w:color w:val="auto"/>
          <w:szCs w:val="21"/>
          <w:highlight w:val="none"/>
          <w:u w:val="single"/>
        </w:rPr>
        <w:t>日</w:t>
      </w:r>
      <w:r>
        <w:rPr>
          <w:rFonts w:hint="eastAsia" w:ascii="Times New Roman" w:hAnsi="Times New Roman"/>
          <w:b/>
          <w:bCs/>
          <w:color w:val="auto"/>
          <w:szCs w:val="21"/>
          <w:highlight w:val="none"/>
          <w:u w:val="single"/>
          <w:lang w:val="en-US" w:eastAsia="zh-CN"/>
        </w:rPr>
        <w:t>9</w:t>
      </w:r>
      <w:r>
        <w:rPr>
          <w:rFonts w:ascii="Times New Roman" w:hAnsi="Times New Roman"/>
          <w:b/>
          <w:bCs/>
          <w:color w:val="auto"/>
          <w:szCs w:val="21"/>
          <w:highlight w:val="none"/>
          <w:u w:val="single"/>
        </w:rPr>
        <w:t>时</w:t>
      </w:r>
      <w:r>
        <w:rPr>
          <w:rFonts w:hint="eastAsia" w:ascii="Times New Roman" w:hAnsi="Times New Roman"/>
          <w:b/>
          <w:bCs/>
          <w:color w:val="auto"/>
          <w:szCs w:val="21"/>
          <w:highlight w:val="none"/>
          <w:u w:val="single"/>
          <w:lang w:val="en-US" w:eastAsia="zh-CN"/>
        </w:rPr>
        <w:t>00</w:t>
      </w:r>
      <w:r>
        <w:rPr>
          <w:rFonts w:ascii="Times New Roman" w:hAnsi="Times New Roman"/>
          <w:b/>
          <w:bCs/>
          <w:color w:val="auto"/>
          <w:szCs w:val="21"/>
          <w:highlight w:val="none"/>
          <w:u w:val="single"/>
        </w:rPr>
        <w:t>分</w:t>
      </w:r>
      <w:r>
        <w:rPr>
          <w:rFonts w:ascii="Times New Roman" w:hAnsi="Times New Roman"/>
          <w:bCs/>
          <w:color w:val="auto"/>
          <w:szCs w:val="21"/>
          <w:highlight w:val="none"/>
          <w:u w:val="single"/>
        </w:rPr>
        <w:t>（</w:t>
      </w:r>
      <w:r>
        <w:rPr>
          <w:rFonts w:ascii="Times New Roman" w:hAnsi="Times New Roman"/>
          <w:bCs/>
          <w:color w:val="auto"/>
          <w:szCs w:val="21"/>
          <w:highlight w:val="none"/>
        </w:rPr>
        <w:t>北京时间）前递交投标文件</w:t>
      </w:r>
      <w:r>
        <w:rPr>
          <w:rFonts w:ascii="Times New Roman" w:hAnsi="Times New Roman"/>
          <w:color w:val="auto"/>
          <w:szCs w:val="21"/>
          <w:highlight w:val="none"/>
        </w:rPr>
        <w:t>。</w:t>
      </w:r>
    </w:p>
    <w:p w14:paraId="6AA40CCF">
      <w:pPr>
        <w:pStyle w:val="3"/>
        <w:numPr>
          <w:ilvl w:val="0"/>
          <w:numId w:val="0"/>
        </w:numPr>
        <w:ind w:left="596" w:hanging="596"/>
        <w:rPr>
          <w:rFonts w:ascii="Times New Roman" w:hAnsi="Times New Roman" w:eastAsia="宋体"/>
          <w:bCs/>
          <w:color w:val="auto"/>
          <w:sz w:val="21"/>
          <w:szCs w:val="21"/>
          <w:highlight w:val="none"/>
        </w:rPr>
      </w:pPr>
      <w:bookmarkStart w:id="9" w:name="_Toc91696397"/>
      <w:bookmarkStart w:id="10" w:name="_Toc28359002"/>
      <w:bookmarkStart w:id="11" w:name="_Toc536"/>
      <w:bookmarkStart w:id="12" w:name="_Toc35393790"/>
      <w:bookmarkStart w:id="13" w:name="_Toc69912389"/>
      <w:bookmarkStart w:id="14" w:name="_Toc35393621"/>
      <w:bookmarkStart w:id="15" w:name="_Toc28359079"/>
      <w:bookmarkStart w:id="16" w:name="_Hlk24379207"/>
      <w:r>
        <w:rPr>
          <w:rFonts w:ascii="Times New Roman" w:hAnsi="Times New Roman" w:eastAsia="宋体"/>
          <w:bCs/>
          <w:color w:val="auto"/>
          <w:sz w:val="21"/>
          <w:szCs w:val="21"/>
          <w:highlight w:val="none"/>
        </w:rPr>
        <w:t>一、项目基本情况</w:t>
      </w:r>
      <w:bookmarkEnd w:id="9"/>
      <w:bookmarkEnd w:id="10"/>
      <w:bookmarkEnd w:id="11"/>
      <w:bookmarkEnd w:id="12"/>
      <w:bookmarkEnd w:id="13"/>
      <w:bookmarkEnd w:id="14"/>
      <w:bookmarkEnd w:id="15"/>
    </w:p>
    <w:p w14:paraId="328C503E">
      <w:pPr>
        <w:spacing w:line="360" w:lineRule="auto"/>
        <w:ind w:firstLine="422" w:firstLineChars="200"/>
        <w:rPr>
          <w:rFonts w:hint="eastAsia" w:ascii="Times New Roman" w:hAnsi="Times New Roman" w:eastAsia="宋体"/>
          <w:color w:val="auto"/>
          <w:szCs w:val="21"/>
          <w:highlight w:val="none"/>
          <w:lang w:eastAsia="zh-CN"/>
        </w:rPr>
      </w:pPr>
      <w:r>
        <w:rPr>
          <w:rFonts w:hint="eastAsia" w:ascii="Times New Roman" w:hAnsi="Times New Roman"/>
          <w:b/>
          <w:bCs/>
          <w:color w:val="auto"/>
          <w:szCs w:val="21"/>
          <w:highlight w:val="none"/>
        </w:rPr>
        <w:t>招标</w:t>
      </w:r>
      <w:r>
        <w:rPr>
          <w:rFonts w:ascii="Times New Roman" w:hAnsi="Times New Roman"/>
          <w:b/>
          <w:bCs/>
          <w:color w:val="auto"/>
          <w:szCs w:val="21"/>
          <w:highlight w:val="none"/>
        </w:rPr>
        <w:t>编号：</w:t>
      </w:r>
      <w:r>
        <w:rPr>
          <w:rFonts w:hint="eastAsia" w:ascii="Times New Roman" w:hAnsi="Times New Roman"/>
          <w:color w:val="auto"/>
          <w:szCs w:val="21"/>
          <w:highlight w:val="none"/>
          <w:lang w:eastAsia="zh-CN"/>
        </w:rPr>
        <w:t>P53A00325001454C1</w:t>
      </w:r>
    </w:p>
    <w:p w14:paraId="4BEF3BB4">
      <w:pPr>
        <w:spacing w:line="360" w:lineRule="auto"/>
        <w:ind w:firstLine="422" w:firstLineChars="200"/>
        <w:rPr>
          <w:rFonts w:hint="eastAsia" w:ascii="Times New Roman" w:hAnsi="Times New Roman" w:eastAsia="宋体"/>
          <w:color w:val="auto"/>
          <w:szCs w:val="21"/>
          <w:highlight w:val="none"/>
          <w:lang w:eastAsia="zh-CN"/>
        </w:rPr>
      </w:pPr>
      <w:r>
        <w:rPr>
          <w:rFonts w:ascii="Times New Roman" w:hAnsi="Times New Roman"/>
          <w:b/>
          <w:bCs/>
          <w:color w:val="auto"/>
          <w:szCs w:val="21"/>
          <w:highlight w:val="none"/>
        </w:rPr>
        <w:t>政府采购云平台编号：</w:t>
      </w:r>
      <w:r>
        <w:rPr>
          <w:rFonts w:hint="eastAsia" w:ascii="Times New Roman" w:hAnsi="Times New Roman"/>
          <w:color w:val="auto"/>
          <w:szCs w:val="21"/>
          <w:highlight w:val="none"/>
        </w:rPr>
        <w:t xml:space="preserve"> </w:t>
      </w:r>
      <w:r>
        <w:rPr>
          <w:rFonts w:hint="eastAsia" w:ascii="Times New Roman" w:hAnsi="Times New Roman"/>
          <w:color w:val="auto"/>
          <w:szCs w:val="21"/>
          <w:highlight w:val="none"/>
          <w:lang w:eastAsia="zh-CN"/>
        </w:rPr>
        <w:t>YNZC2025-G1-05150-YZGF-1133</w:t>
      </w:r>
    </w:p>
    <w:p w14:paraId="33D258C9">
      <w:pPr>
        <w:spacing w:line="360" w:lineRule="auto"/>
        <w:ind w:firstLine="422" w:firstLineChars="200"/>
        <w:rPr>
          <w:rFonts w:hint="eastAsia" w:ascii="Times New Roman" w:hAnsi="Times New Roman" w:eastAsia="宋体"/>
          <w:color w:val="auto"/>
          <w:szCs w:val="21"/>
          <w:highlight w:val="none"/>
          <w:lang w:eastAsia="zh-CN"/>
        </w:rPr>
      </w:pPr>
      <w:r>
        <w:rPr>
          <w:rFonts w:ascii="Times New Roman" w:hAnsi="Times New Roman"/>
          <w:b/>
          <w:bCs/>
          <w:color w:val="auto"/>
          <w:szCs w:val="21"/>
          <w:highlight w:val="none"/>
        </w:rPr>
        <w:t>项目名称：</w:t>
      </w:r>
      <w:r>
        <w:rPr>
          <w:rFonts w:hint="eastAsia" w:ascii="Times New Roman" w:hAnsi="Times New Roman"/>
          <w:color w:val="auto"/>
          <w:szCs w:val="21"/>
          <w:highlight w:val="none"/>
          <w:lang w:eastAsia="zh-CN"/>
        </w:rPr>
        <w:t>昆明理工大学城市学院艺术系“人工智能+”新质生产力赋能实践示范中心建设采购项目（z25）（二次）</w:t>
      </w:r>
    </w:p>
    <w:bookmarkEnd w:id="16"/>
    <w:p w14:paraId="27A4DC2E">
      <w:pPr>
        <w:spacing w:line="360" w:lineRule="auto"/>
        <w:ind w:firstLine="420" w:firstLineChars="200"/>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b/>
          <w:bCs/>
          <w:color w:val="auto"/>
          <w:szCs w:val="21"/>
          <w:highlight w:val="none"/>
        </w:rPr>
        <w:t>预算金额：</w:t>
      </w:r>
      <w:r>
        <w:rPr>
          <w:rFonts w:ascii="Times New Roman" w:hAnsi="Times New Roman"/>
          <w:color w:val="auto"/>
          <w:szCs w:val="21"/>
          <w:highlight w:val="none"/>
        </w:rPr>
        <w:t>人民币</w:t>
      </w:r>
      <w:r>
        <w:rPr>
          <w:rFonts w:hint="eastAsia" w:ascii="Times New Roman" w:hAnsi="Times New Roman"/>
          <w:color w:val="auto"/>
          <w:szCs w:val="21"/>
          <w:highlight w:val="none"/>
          <w:lang w:val="en-US" w:eastAsia="zh-CN"/>
        </w:rPr>
        <w:t>211.636</w:t>
      </w:r>
      <w:r>
        <w:rPr>
          <w:rFonts w:ascii="Times New Roman" w:hAnsi="Times New Roman"/>
          <w:color w:val="auto"/>
          <w:szCs w:val="21"/>
          <w:highlight w:val="none"/>
        </w:rPr>
        <w:t>万元</w:t>
      </w:r>
    </w:p>
    <w:p w14:paraId="7A9F9D49">
      <w:pPr>
        <w:spacing w:line="360" w:lineRule="auto"/>
        <w:ind w:firstLine="420" w:firstLineChars="200"/>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b/>
          <w:bCs/>
          <w:color w:val="auto"/>
          <w:szCs w:val="21"/>
          <w:highlight w:val="none"/>
        </w:rPr>
        <w:t>最高限价：</w:t>
      </w:r>
      <w:r>
        <w:rPr>
          <w:rFonts w:ascii="Times New Roman" w:hAnsi="Times New Roman"/>
          <w:color w:val="auto"/>
          <w:szCs w:val="21"/>
          <w:highlight w:val="none"/>
        </w:rPr>
        <w:t>人民币</w:t>
      </w:r>
      <w:r>
        <w:rPr>
          <w:rFonts w:hint="eastAsia" w:ascii="Times New Roman" w:hAnsi="Times New Roman"/>
          <w:color w:val="auto"/>
          <w:szCs w:val="21"/>
          <w:highlight w:val="none"/>
          <w:lang w:val="en-US" w:eastAsia="zh-CN"/>
        </w:rPr>
        <w:t>211.636</w:t>
      </w:r>
      <w:r>
        <w:rPr>
          <w:rFonts w:ascii="Times New Roman" w:hAnsi="Times New Roman"/>
          <w:color w:val="auto"/>
          <w:szCs w:val="21"/>
          <w:highlight w:val="none"/>
        </w:rPr>
        <w:t>万元</w:t>
      </w:r>
    </w:p>
    <w:p w14:paraId="5861EBC9">
      <w:pPr>
        <w:spacing w:line="360" w:lineRule="auto"/>
        <w:ind w:firstLine="422" w:firstLineChars="200"/>
        <w:rPr>
          <w:rFonts w:ascii="Times New Roman" w:hAnsi="Times New Roman"/>
          <w:color w:val="auto"/>
          <w:szCs w:val="21"/>
          <w:highlight w:val="none"/>
        </w:rPr>
      </w:pPr>
      <w:r>
        <w:rPr>
          <w:rFonts w:ascii="Times New Roman" w:hAnsi="Times New Roman"/>
          <w:b/>
          <w:bCs/>
          <w:color w:val="auto"/>
          <w:szCs w:val="21"/>
          <w:highlight w:val="none"/>
        </w:rPr>
        <w:t>采购需求：</w:t>
      </w:r>
      <w:r>
        <w:rPr>
          <w:rFonts w:hint="eastAsia" w:ascii="Times New Roman" w:hAnsi="Times New Roman"/>
          <w:color w:val="auto"/>
          <w:szCs w:val="21"/>
          <w:highlight w:val="none"/>
          <w:lang w:eastAsia="zh-CN"/>
        </w:rPr>
        <w:t>昆明理工大学城市学院艺术系“人工智能+”新质生产力赋能实践示范中心建设采购项目（z25）（二次）</w:t>
      </w:r>
      <w:r>
        <w:rPr>
          <w:rFonts w:hint="eastAsia" w:ascii="Times New Roman" w:hAnsi="Times New Roman"/>
          <w:color w:val="auto"/>
          <w:szCs w:val="21"/>
          <w:highlight w:val="none"/>
        </w:rPr>
        <w:t>，AIGC智创实训平台：手写输入输出设备1台、AIGC智创实训平台：互动智能平板1台、AIGC智创实训平台：互动软件套件1套、"AIGC智创实训平台1套、CLO3D服装软件"1套、AIGC智创实训平台：喷切一体机服装1台、AIGC智创实训平台：艺术与科技设备1套、AIGC智创实训平台：熔融热挤压堆积立体成型设备1套、AIGC智创实训平台：光敏树脂精密立体成型设备1套、AIGC智创实训平台：绘图工作站46台、图形工作站29台、深度学习机10套、AI训练机50套</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智慧超显屏31台，智能网络显示器3台</w:t>
      </w:r>
      <w:r>
        <w:rPr>
          <w:rFonts w:hint="eastAsia" w:ascii="Times New Roman" w:hAnsi="Times New Roman"/>
          <w:color w:val="auto"/>
          <w:szCs w:val="21"/>
          <w:highlight w:val="none"/>
        </w:rPr>
        <w:t>。</w:t>
      </w:r>
    </w:p>
    <w:p w14:paraId="3F9F5802">
      <w:pPr>
        <w:spacing w:line="360" w:lineRule="auto"/>
        <w:ind w:firstLine="422" w:firstLineChars="200"/>
        <w:rPr>
          <w:rFonts w:ascii="Times New Roman" w:hAnsi="Times New Roman"/>
          <w:color w:val="auto"/>
          <w:szCs w:val="21"/>
          <w:highlight w:val="none"/>
        </w:rPr>
      </w:pPr>
      <w:r>
        <w:rPr>
          <w:rFonts w:hint="eastAsia" w:ascii="Times New Roman" w:hAnsi="Times New Roman"/>
          <w:b/>
          <w:bCs/>
          <w:color w:val="auto"/>
          <w:szCs w:val="21"/>
          <w:highlight w:val="none"/>
        </w:rPr>
        <w:t>合同履行期限：合同签订之日起30日历天</w:t>
      </w:r>
      <w:r>
        <w:rPr>
          <w:rFonts w:ascii="Times New Roman" w:hAnsi="Times New Roman"/>
          <w:b/>
          <w:bCs/>
          <w:color w:val="auto"/>
          <w:szCs w:val="21"/>
          <w:highlight w:val="none"/>
        </w:rPr>
        <w:t>（投标人在此期限内自报最短交货期）（此要求为实质性条款，如不满足按废标处理）。</w:t>
      </w:r>
    </w:p>
    <w:p w14:paraId="5F002455">
      <w:pPr>
        <w:spacing w:line="360" w:lineRule="auto"/>
        <w:ind w:firstLine="420" w:firstLineChars="200"/>
        <w:rPr>
          <w:rFonts w:ascii="Times New Roman" w:hAnsi="Times New Roman"/>
          <w:b/>
          <w:bCs/>
          <w:color w:val="auto"/>
          <w:szCs w:val="21"/>
          <w:highlight w:val="none"/>
        </w:rPr>
      </w:pPr>
      <w:r>
        <w:rPr>
          <w:rFonts w:ascii="Times New Roman" w:hAnsi="Times New Roman"/>
          <w:color w:val="auto"/>
          <w:szCs w:val="21"/>
          <w:highlight w:val="none"/>
        </w:rPr>
        <w:t>本项目</w:t>
      </w:r>
      <w:r>
        <w:rPr>
          <w:rFonts w:ascii="Times New Roman" w:hAnsi="Times New Roman"/>
          <w:b/>
          <w:bCs/>
          <w:color w:val="auto"/>
          <w:szCs w:val="21"/>
          <w:highlight w:val="none"/>
          <w:u w:val="single"/>
        </w:rPr>
        <w:t>不接受</w:t>
      </w:r>
      <w:r>
        <w:rPr>
          <w:rFonts w:ascii="Times New Roman" w:hAnsi="Times New Roman"/>
          <w:color w:val="auto"/>
          <w:szCs w:val="21"/>
          <w:highlight w:val="none"/>
        </w:rPr>
        <w:t>联合体投标。</w:t>
      </w:r>
    </w:p>
    <w:p w14:paraId="237EC864">
      <w:pPr>
        <w:pStyle w:val="3"/>
        <w:numPr>
          <w:ilvl w:val="0"/>
          <w:numId w:val="0"/>
        </w:numPr>
        <w:ind w:left="596" w:hanging="596"/>
        <w:rPr>
          <w:rFonts w:ascii="Times New Roman" w:hAnsi="Times New Roman" w:eastAsia="宋体"/>
          <w:bCs/>
          <w:color w:val="auto"/>
          <w:sz w:val="21"/>
          <w:szCs w:val="21"/>
          <w:highlight w:val="none"/>
        </w:rPr>
      </w:pPr>
      <w:bookmarkStart w:id="17" w:name="_Toc35393622"/>
      <w:bookmarkStart w:id="18" w:name="_Toc28359003"/>
      <w:bookmarkStart w:id="19" w:name="_Toc69912390"/>
      <w:bookmarkStart w:id="20" w:name="_Toc91696398"/>
      <w:bookmarkStart w:id="21" w:name="_Toc13638"/>
      <w:bookmarkStart w:id="22" w:name="_Toc28359080"/>
      <w:bookmarkStart w:id="23" w:name="_Toc35393791"/>
      <w:r>
        <w:rPr>
          <w:rFonts w:ascii="Times New Roman" w:hAnsi="Times New Roman" w:eastAsia="宋体"/>
          <w:bCs/>
          <w:color w:val="auto"/>
          <w:sz w:val="21"/>
          <w:szCs w:val="21"/>
          <w:highlight w:val="none"/>
        </w:rPr>
        <w:t>二、申请人的资格要求：</w:t>
      </w:r>
      <w:bookmarkEnd w:id="17"/>
      <w:bookmarkEnd w:id="18"/>
      <w:bookmarkEnd w:id="19"/>
      <w:bookmarkEnd w:id="20"/>
      <w:bookmarkEnd w:id="21"/>
      <w:bookmarkEnd w:id="22"/>
      <w:bookmarkEnd w:id="23"/>
    </w:p>
    <w:p w14:paraId="51DA734D">
      <w:pPr>
        <w:spacing w:line="360" w:lineRule="auto"/>
        <w:ind w:firstLine="424" w:firstLineChars="201"/>
        <w:rPr>
          <w:rFonts w:ascii="Times New Roman" w:hAnsi="Times New Roman"/>
          <w:b/>
          <w:bCs/>
          <w:color w:val="auto"/>
          <w:szCs w:val="21"/>
          <w:highlight w:val="none"/>
        </w:rPr>
      </w:pPr>
      <w:bookmarkStart w:id="24" w:name="_Toc28359004"/>
      <w:bookmarkStart w:id="25" w:name="_Toc28359081"/>
      <w:r>
        <w:rPr>
          <w:rFonts w:ascii="Times New Roman" w:hAnsi="Times New Roman"/>
          <w:b/>
          <w:bCs/>
          <w:color w:val="auto"/>
          <w:szCs w:val="21"/>
          <w:highlight w:val="none"/>
        </w:rPr>
        <w:t>1.满足《中华人民共和国政府采购法》第二十二条规定</w:t>
      </w:r>
      <w:r>
        <w:rPr>
          <w:rFonts w:ascii="Times New Roman" w:hAnsi="Times New Roman"/>
          <w:b/>
          <w:color w:val="auto"/>
          <w:szCs w:val="21"/>
          <w:highlight w:val="none"/>
        </w:rPr>
        <w:t>；</w:t>
      </w:r>
    </w:p>
    <w:p w14:paraId="44863C0C">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1.1投标人具有独立承担民事责任的能力</w:t>
      </w:r>
      <w:r>
        <w:rPr>
          <w:rFonts w:hint="eastAsia" w:ascii="Times New Roman" w:hAnsi="Times New Roman"/>
          <w:color w:val="auto"/>
          <w:szCs w:val="21"/>
          <w:highlight w:val="none"/>
        </w:rPr>
        <w:t>：提供法人或者其他组织或自然人等有效的营业执照或同等证明文件</w:t>
      </w:r>
      <w:r>
        <w:rPr>
          <w:rFonts w:ascii="Times New Roman" w:hAnsi="Times New Roman"/>
          <w:color w:val="auto"/>
          <w:szCs w:val="21"/>
          <w:highlight w:val="none"/>
        </w:rPr>
        <w:t>；</w:t>
      </w:r>
    </w:p>
    <w:p w14:paraId="6CBA617D">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1.2投标人具有良好的商业信誉和健全的财务会计制度：</w:t>
      </w:r>
    </w:p>
    <w:p w14:paraId="453ADD0A">
      <w:pPr>
        <w:spacing w:line="360" w:lineRule="auto"/>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①提供2023年或2024年经审计的财务报告（包括资产负债表、利润表/损益表、现金流量表、所有者权益变动表及其附注，执行小企业会计制度的可不用提供所有者权益变动表，事业单位可不用提供利润表/损益表）；</w:t>
      </w:r>
    </w:p>
    <w:p w14:paraId="7E3EA05F">
      <w:pPr>
        <w:spacing w:line="360" w:lineRule="auto"/>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②提供自投标文件提交截止时间前三个月内基本开户银行出具的资信证明；</w:t>
      </w:r>
    </w:p>
    <w:p w14:paraId="439B5140">
      <w:pPr>
        <w:spacing w:line="360" w:lineRule="auto"/>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③提供财政部门认可的政府采购专业担保机构对供应商进行资信审查后出具的投标担保函（担保机构须为财政部门认可的政府采购专业担保机构，需提供证明材料）；</w:t>
      </w:r>
    </w:p>
    <w:p w14:paraId="3888DE17">
      <w:pPr>
        <w:spacing w:line="360" w:lineRule="auto"/>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2025年新成立的供应商可提供②或③。</w:t>
      </w:r>
    </w:p>
    <w:p w14:paraId="75BCEA06">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（投标人可根据自身情况提供上述任意一种证明材料）</w:t>
      </w:r>
    </w:p>
    <w:p w14:paraId="6B6AE7EE">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1.3投标人具有履行合同所必需的设备和专业技术能力（投标人提供书面声明或证明材料）；</w:t>
      </w:r>
    </w:p>
    <w:p w14:paraId="7F508A1F">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1.4投标人具有依法缴纳税收和社会保障资金的良好记录：投标人须提供缴税所属时间在202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税务局税收通用缴款书或银行电子缴税（费）凭证或税务局出具纳税情况的相关证明，依法免税的，应提供依法免税的相关证明文件；投标人须提供缴费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社会保险费缴款书或银行电子缴税（费）凭证或社保管理部门出具的有效的缴款证明，依法免缴的，应提供依法免缴的相关证明文件；成立未满3个月的提供成立以来的税收和社会保障资金缴纳凭证或相关情况说明</w:t>
      </w:r>
      <w:r>
        <w:rPr>
          <w:rFonts w:hint="eastAsia" w:ascii="Times New Roman" w:hAnsi="Times New Roman"/>
          <w:color w:val="auto"/>
          <w:szCs w:val="21"/>
          <w:highlight w:val="none"/>
        </w:rPr>
        <w:t>。</w:t>
      </w:r>
    </w:p>
    <w:p w14:paraId="4FCFC06C">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1.5投标人参加政府采购活动前三年内，在经营活动中没有重大违法记录（投标人提供书面声明即可）；</w:t>
      </w:r>
    </w:p>
    <w:p w14:paraId="7015BE22">
      <w:pPr>
        <w:spacing w:line="360" w:lineRule="auto"/>
        <w:ind w:firstLine="422" w:firstLineChars="201"/>
        <w:rPr>
          <w:rFonts w:ascii="Times New Roman" w:hAnsi="Times New Roman"/>
          <w:color w:val="auto"/>
          <w:szCs w:val="21"/>
          <w:highlight w:val="none"/>
        </w:rPr>
      </w:pPr>
      <w:r>
        <w:rPr>
          <w:rFonts w:ascii="Times New Roman" w:hAnsi="Times New Roman"/>
          <w:color w:val="auto"/>
          <w:szCs w:val="21"/>
          <w:highlight w:val="none"/>
        </w:rPr>
        <w:t>1.6法律、行政法规规定的其他条件。</w:t>
      </w:r>
    </w:p>
    <w:p w14:paraId="0D2C0276">
      <w:pPr>
        <w:spacing w:line="360" w:lineRule="auto"/>
        <w:ind w:firstLine="422" w:firstLineChars="200"/>
        <w:rPr>
          <w:rFonts w:ascii="Times New Roman" w:hAnsi="Times New Roman"/>
          <w:b/>
          <w:bCs/>
          <w:color w:val="auto"/>
          <w:szCs w:val="21"/>
          <w:highlight w:val="none"/>
          <w:u w:val="single"/>
        </w:rPr>
      </w:pPr>
      <w:r>
        <w:rPr>
          <w:rFonts w:ascii="Times New Roman" w:hAnsi="Times New Roman"/>
          <w:b/>
          <w:bCs/>
          <w:color w:val="auto"/>
          <w:szCs w:val="21"/>
          <w:highlight w:val="none"/>
        </w:rPr>
        <w:t>2.落实政府采购政策需满足的资格要求：</w:t>
      </w:r>
      <w:r>
        <w:rPr>
          <w:rFonts w:ascii="Times New Roman" w:hAnsi="Times New Roman"/>
          <w:b/>
          <w:bCs/>
          <w:color w:val="auto"/>
          <w:szCs w:val="21"/>
          <w:highlight w:val="none"/>
          <w:u w:val="single"/>
        </w:rPr>
        <w:t>本项目非专门面向中小微企业采购的项目</w:t>
      </w:r>
      <w:r>
        <w:rPr>
          <w:rFonts w:hint="eastAsia" w:ascii="Times New Roman" w:hAnsi="Times New Roman"/>
          <w:b/>
          <w:bCs/>
          <w:color w:val="auto"/>
          <w:szCs w:val="21"/>
          <w:highlight w:val="none"/>
          <w:u w:val="single"/>
        </w:rPr>
        <w:t>，小微企业价格扣除优惠比例：10%。本项目采购标的对应的中小企业划分标准应当符合工业行业的中小企业划分标准。本项目执行政府采购促进中小企业发展、支持监狱企业、促进残疾人就业、强制采购和优先采购节能、环保产品等政府采购政策。</w:t>
      </w:r>
    </w:p>
    <w:p w14:paraId="6C670FC1">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3.本项目的特定资格要求：</w:t>
      </w:r>
      <w:bookmarkStart w:id="26" w:name="_Toc35393623"/>
      <w:bookmarkStart w:id="27" w:name="_Toc35393792"/>
    </w:p>
    <w:p w14:paraId="48D4435E">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3.1单位负责人为同一人或者存在直接控股、管理关系的不同投标人，不得参加同一合同项下的政府采购活动</w:t>
      </w:r>
      <w:r>
        <w:rPr>
          <w:rFonts w:hint="eastAsia" w:ascii="Times New Roman" w:hAnsi="Times New Roman"/>
          <w:color w:val="auto"/>
          <w:szCs w:val="21"/>
          <w:highlight w:val="none"/>
        </w:rPr>
        <w:t>。</w:t>
      </w:r>
    </w:p>
    <w:p w14:paraId="1229487D">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3.2为采购项目提供整体设计、规范编制或者项目管理、监理、检测等服务的供应商，不得再参加该采购项目的其他采购活动。 </w:t>
      </w:r>
    </w:p>
    <w:p w14:paraId="54CEA6FF">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w:t>
      </w:r>
      <w:r>
        <w:rPr>
          <w:rFonts w:hint="eastAsia" w:ascii="Times New Roman" w:hAnsi="Times New Roman"/>
          <w:color w:val="auto"/>
          <w:szCs w:val="21"/>
          <w:highlight w:val="none"/>
        </w:rPr>
        <w:t>3</w:t>
      </w:r>
      <w:r>
        <w:rPr>
          <w:rFonts w:ascii="Times New Roman" w:hAnsi="Times New Roman"/>
          <w:color w:val="auto"/>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p w14:paraId="16E95856">
      <w:pPr>
        <w:spacing w:line="360" w:lineRule="auto"/>
        <w:ind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3.</w:t>
      </w:r>
      <w:r>
        <w:rPr>
          <w:rFonts w:hint="eastAsia" w:ascii="Times New Roman" w:hAnsi="Times New Roman"/>
          <w:color w:val="auto"/>
          <w:szCs w:val="21"/>
          <w:highlight w:val="none"/>
        </w:rPr>
        <w:t>4</w:t>
      </w:r>
      <w:r>
        <w:rPr>
          <w:rFonts w:ascii="Times New Roman" w:hAnsi="Times New Roman"/>
          <w:color w:val="auto"/>
          <w:szCs w:val="21"/>
          <w:highlight w:val="none"/>
        </w:rPr>
        <w:t xml:space="preserve">本项目不接受联合体。 </w:t>
      </w:r>
    </w:p>
    <w:p w14:paraId="10EE8A9A">
      <w:pPr>
        <w:pStyle w:val="3"/>
        <w:numPr>
          <w:ilvl w:val="0"/>
          <w:numId w:val="0"/>
        </w:numPr>
        <w:ind w:left="596" w:hanging="596"/>
        <w:rPr>
          <w:rFonts w:ascii="Times New Roman" w:hAnsi="Times New Roman" w:eastAsia="宋体"/>
          <w:bCs/>
          <w:color w:val="auto"/>
          <w:sz w:val="21"/>
          <w:szCs w:val="21"/>
          <w:highlight w:val="none"/>
        </w:rPr>
      </w:pPr>
      <w:bookmarkStart w:id="28" w:name="_Toc69912391"/>
      <w:bookmarkStart w:id="29" w:name="_Toc32506"/>
      <w:bookmarkStart w:id="30" w:name="_Toc91696399"/>
      <w:r>
        <w:rPr>
          <w:rFonts w:ascii="Times New Roman" w:hAnsi="Times New Roman" w:eastAsia="宋体"/>
          <w:bCs/>
          <w:color w:val="auto"/>
          <w:sz w:val="21"/>
          <w:szCs w:val="21"/>
          <w:highlight w:val="none"/>
        </w:rPr>
        <w:t>三、获取招标文件</w:t>
      </w:r>
      <w:bookmarkEnd w:id="24"/>
      <w:bookmarkEnd w:id="25"/>
      <w:bookmarkEnd w:id="26"/>
      <w:bookmarkEnd w:id="27"/>
      <w:bookmarkEnd w:id="28"/>
      <w:bookmarkEnd w:id="29"/>
      <w:bookmarkEnd w:id="30"/>
    </w:p>
    <w:p w14:paraId="2A47E1A1">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时间：</w:t>
      </w:r>
      <w:bookmarkStart w:id="31" w:name="_Toc28359005"/>
      <w:bookmarkStart w:id="32" w:name="_Toc28359082"/>
      <w:bookmarkStart w:id="33" w:name="_Toc91696400"/>
      <w:bookmarkStart w:id="34" w:name="_Toc35393624"/>
      <w:bookmarkStart w:id="35" w:name="_Toc69912392"/>
      <w:bookmarkStart w:id="36" w:name="_Toc35393793"/>
      <w:r>
        <w:rPr>
          <w:rFonts w:hint="eastAsia" w:ascii="Times New Roman" w:hAnsi="Times New Roman"/>
          <w:b/>
          <w:bCs/>
          <w:color w:val="auto"/>
          <w:szCs w:val="21"/>
          <w:highlight w:val="none"/>
          <w:u w:val="single"/>
        </w:rPr>
        <w:t>2025年</w:t>
      </w:r>
      <w:r>
        <w:rPr>
          <w:rFonts w:hint="eastAsia" w:ascii="Times New Roman" w:hAnsi="Times New Roman"/>
          <w:b/>
          <w:bCs/>
          <w:color w:val="auto"/>
          <w:szCs w:val="21"/>
          <w:highlight w:val="none"/>
          <w:u w:val="single"/>
          <w:lang w:val="en-US" w:eastAsia="zh-CN"/>
        </w:rPr>
        <w:t>8</w:t>
      </w:r>
      <w:r>
        <w:rPr>
          <w:rFonts w:hint="eastAsia" w:ascii="Times New Roman" w:hAnsi="Times New Roman"/>
          <w:b/>
          <w:bCs/>
          <w:color w:val="auto"/>
          <w:szCs w:val="21"/>
          <w:highlight w:val="none"/>
          <w:u w:val="single"/>
        </w:rPr>
        <w:t>月</w:t>
      </w:r>
      <w:r>
        <w:rPr>
          <w:rFonts w:hint="eastAsia" w:ascii="Times New Roman" w:hAnsi="Times New Roman"/>
          <w:b/>
          <w:bCs/>
          <w:color w:val="auto"/>
          <w:szCs w:val="21"/>
          <w:highlight w:val="none"/>
          <w:u w:val="single"/>
          <w:lang w:val="en-US" w:eastAsia="zh-CN"/>
        </w:rPr>
        <w:t>25</w:t>
      </w:r>
      <w:r>
        <w:rPr>
          <w:rFonts w:hint="eastAsia" w:ascii="Times New Roman" w:hAnsi="Times New Roman"/>
          <w:b/>
          <w:bCs/>
          <w:color w:val="auto"/>
          <w:szCs w:val="21"/>
          <w:highlight w:val="none"/>
          <w:u w:val="single"/>
        </w:rPr>
        <w:t>日</w:t>
      </w:r>
      <w:r>
        <w:rPr>
          <w:rFonts w:hint="eastAsia" w:ascii="Times New Roman" w:hAnsi="Times New Roman"/>
          <w:b/>
          <w:bCs/>
          <w:color w:val="auto"/>
          <w:szCs w:val="21"/>
          <w:highlight w:val="none"/>
        </w:rPr>
        <w:t>至</w:t>
      </w:r>
      <w:r>
        <w:rPr>
          <w:rFonts w:hint="eastAsia" w:ascii="Times New Roman" w:hAnsi="Times New Roman"/>
          <w:b/>
          <w:bCs/>
          <w:color w:val="auto"/>
          <w:szCs w:val="21"/>
          <w:highlight w:val="none"/>
          <w:u w:val="single"/>
        </w:rPr>
        <w:t>2025年</w:t>
      </w:r>
      <w:r>
        <w:rPr>
          <w:rFonts w:hint="eastAsia" w:ascii="Times New Roman" w:hAnsi="Times New Roman"/>
          <w:b/>
          <w:bCs/>
          <w:color w:val="auto"/>
          <w:szCs w:val="21"/>
          <w:highlight w:val="none"/>
          <w:u w:val="single"/>
          <w:lang w:val="en-US" w:eastAsia="zh-CN"/>
        </w:rPr>
        <w:t>9</w:t>
      </w:r>
      <w:r>
        <w:rPr>
          <w:rFonts w:hint="eastAsia" w:ascii="Times New Roman" w:hAnsi="Times New Roman"/>
          <w:b/>
          <w:bCs/>
          <w:color w:val="auto"/>
          <w:szCs w:val="21"/>
          <w:highlight w:val="none"/>
          <w:u w:val="single"/>
        </w:rPr>
        <w:t>月</w:t>
      </w:r>
      <w:r>
        <w:rPr>
          <w:rFonts w:hint="eastAsia" w:ascii="Times New Roman" w:hAnsi="Times New Roman"/>
          <w:b/>
          <w:bCs/>
          <w:color w:val="auto"/>
          <w:szCs w:val="21"/>
          <w:highlight w:val="none"/>
          <w:u w:val="single"/>
          <w:lang w:val="en-US" w:eastAsia="zh-CN"/>
        </w:rPr>
        <w:t>1</w:t>
      </w:r>
      <w:r>
        <w:rPr>
          <w:rFonts w:hint="eastAsia" w:ascii="Times New Roman" w:hAnsi="Times New Roman"/>
          <w:b/>
          <w:bCs/>
          <w:color w:val="auto"/>
          <w:szCs w:val="21"/>
          <w:highlight w:val="none"/>
          <w:u w:val="single"/>
        </w:rPr>
        <w:t>日</w:t>
      </w:r>
      <w:r>
        <w:rPr>
          <w:rFonts w:hint="eastAsia" w:ascii="Times New Roman" w:hAnsi="Times New Roman"/>
          <w:color w:val="auto"/>
          <w:szCs w:val="21"/>
          <w:highlight w:val="none"/>
        </w:rPr>
        <w:t>，每天上午06：00至12：00，下午12：00至23：59（北京时间，法定节假日除外）。</w:t>
      </w:r>
    </w:p>
    <w:p w14:paraId="22A7B35C">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地点：政府采购云平台（网址：www.zcygov.cn）</w:t>
      </w:r>
    </w:p>
    <w:p w14:paraId="16988A0B">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方式：</w:t>
      </w:r>
      <w:r>
        <w:rPr>
          <w:rFonts w:hint="eastAsia" w:ascii="Times New Roman" w:hAnsi="Times New Roman"/>
          <w:color w:val="auto"/>
          <w:szCs w:val="21"/>
          <w:highlight w:val="none"/>
        </w:rPr>
        <w:t>（1）凡有意参加投标者，须在政采云平台办理数字证书（CA），CA申领链接：https://middle.zcygov.cn/ca/apply/list?_app_=zcy.sys，并在政采云绑定数字证书（CA）后在网上获取采购文件及其它采购资料（如有），数字证书（CA）详见其办理流程。注：云南本地投标人如之前已在云南 CA在线数字证书办理网进行过注册并办理过企业数字证书（CA），直接绑定即可，无需重复办理（2022年01月01日前办理的云南 CA 需到云南 CA 办理处进行升级）。外省投标人在政采云平台办理的其他 CA 可直接使用，无需重复办理。（2）按上述要求获取文件的投标人视为合法获取了本项目采购文件，具备本项目的投标资格。</w:t>
      </w:r>
    </w:p>
    <w:p w14:paraId="74F4959E">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售价：0元</w:t>
      </w:r>
    </w:p>
    <w:p w14:paraId="661CD57E">
      <w:pPr>
        <w:pStyle w:val="3"/>
        <w:numPr>
          <w:ilvl w:val="0"/>
          <w:numId w:val="0"/>
        </w:numPr>
        <w:ind w:left="596" w:hanging="596"/>
        <w:rPr>
          <w:rFonts w:ascii="Times New Roman" w:hAnsi="Times New Roman" w:eastAsia="宋体"/>
          <w:bCs/>
          <w:color w:val="auto"/>
          <w:sz w:val="21"/>
          <w:szCs w:val="21"/>
          <w:highlight w:val="none"/>
        </w:rPr>
      </w:pPr>
      <w:bookmarkStart w:id="37" w:name="_Toc152862062"/>
      <w:bookmarkStart w:id="38" w:name="_Toc22677"/>
      <w:r>
        <w:rPr>
          <w:rFonts w:ascii="Times New Roman" w:hAnsi="Times New Roman" w:eastAsia="宋体"/>
          <w:bCs/>
          <w:color w:val="auto"/>
          <w:sz w:val="21"/>
          <w:szCs w:val="21"/>
          <w:highlight w:val="none"/>
        </w:rPr>
        <w:t>四、提交投标文件</w:t>
      </w:r>
      <w:bookmarkEnd w:id="31"/>
      <w:bookmarkEnd w:id="32"/>
      <w:r>
        <w:rPr>
          <w:rFonts w:ascii="Times New Roman" w:hAnsi="Times New Roman" w:eastAsia="宋体"/>
          <w:bCs/>
          <w:color w:val="auto"/>
          <w:sz w:val="21"/>
          <w:szCs w:val="21"/>
          <w:highlight w:val="none"/>
        </w:rPr>
        <w:t>截止时间、开标时间和地点</w:t>
      </w:r>
      <w:bookmarkEnd w:id="33"/>
      <w:bookmarkEnd w:id="34"/>
      <w:bookmarkEnd w:id="35"/>
      <w:bookmarkEnd w:id="36"/>
      <w:bookmarkEnd w:id="37"/>
      <w:bookmarkEnd w:id="38"/>
    </w:p>
    <w:p w14:paraId="7B372FC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时间：</w:t>
      </w:r>
      <w:r>
        <w:rPr>
          <w:rFonts w:ascii="Times New Roman" w:hAnsi="Times New Roman"/>
          <w:b/>
          <w:bCs/>
          <w:color w:val="auto"/>
          <w:szCs w:val="21"/>
          <w:highlight w:val="none"/>
          <w:u w:val="single"/>
        </w:rPr>
        <w:t>202</w:t>
      </w:r>
      <w:r>
        <w:rPr>
          <w:rFonts w:hint="eastAsia" w:ascii="Times New Roman" w:hAnsi="Times New Roman"/>
          <w:b/>
          <w:bCs/>
          <w:color w:val="auto"/>
          <w:szCs w:val="21"/>
          <w:highlight w:val="none"/>
          <w:u w:val="single"/>
        </w:rPr>
        <w:t>5</w:t>
      </w:r>
      <w:r>
        <w:rPr>
          <w:rFonts w:ascii="Times New Roman" w:hAnsi="Times New Roman"/>
          <w:b/>
          <w:bCs/>
          <w:color w:val="auto"/>
          <w:szCs w:val="21"/>
          <w:highlight w:val="none"/>
          <w:u w:val="single"/>
        </w:rPr>
        <w:t>年</w:t>
      </w:r>
      <w:r>
        <w:rPr>
          <w:rFonts w:hint="eastAsia" w:ascii="Times New Roman" w:hAnsi="Times New Roman"/>
          <w:b/>
          <w:bCs/>
          <w:color w:val="auto"/>
          <w:szCs w:val="21"/>
          <w:highlight w:val="none"/>
          <w:u w:val="single"/>
          <w:lang w:val="en-US" w:eastAsia="zh-CN"/>
        </w:rPr>
        <w:t>9</w:t>
      </w:r>
      <w:r>
        <w:rPr>
          <w:rFonts w:ascii="Times New Roman" w:hAnsi="Times New Roman"/>
          <w:b/>
          <w:bCs/>
          <w:color w:val="auto"/>
          <w:szCs w:val="21"/>
          <w:highlight w:val="none"/>
          <w:u w:val="single"/>
        </w:rPr>
        <w:t>月</w:t>
      </w:r>
      <w:r>
        <w:rPr>
          <w:rFonts w:hint="eastAsia" w:ascii="Times New Roman" w:hAnsi="Times New Roman"/>
          <w:b/>
          <w:bCs/>
          <w:color w:val="auto"/>
          <w:szCs w:val="21"/>
          <w:highlight w:val="none"/>
          <w:u w:val="single"/>
          <w:lang w:val="en-US" w:eastAsia="zh-CN"/>
        </w:rPr>
        <w:t>16</w:t>
      </w:r>
      <w:r>
        <w:rPr>
          <w:rFonts w:ascii="Times New Roman" w:hAnsi="Times New Roman"/>
          <w:b/>
          <w:bCs/>
          <w:color w:val="auto"/>
          <w:szCs w:val="21"/>
          <w:highlight w:val="none"/>
          <w:u w:val="single"/>
        </w:rPr>
        <w:t>日</w:t>
      </w:r>
      <w:r>
        <w:rPr>
          <w:rFonts w:hint="eastAsia" w:ascii="Times New Roman" w:hAnsi="Times New Roman"/>
          <w:b/>
          <w:bCs/>
          <w:color w:val="auto"/>
          <w:szCs w:val="21"/>
          <w:highlight w:val="none"/>
          <w:u w:val="single"/>
          <w:lang w:val="en-US" w:eastAsia="zh-CN"/>
        </w:rPr>
        <w:t>9</w:t>
      </w:r>
      <w:r>
        <w:rPr>
          <w:rFonts w:ascii="Times New Roman" w:hAnsi="Times New Roman"/>
          <w:b/>
          <w:bCs/>
          <w:color w:val="auto"/>
          <w:szCs w:val="21"/>
          <w:highlight w:val="none"/>
          <w:u w:val="single"/>
        </w:rPr>
        <w:t>时</w:t>
      </w:r>
      <w:r>
        <w:rPr>
          <w:rFonts w:hint="eastAsia" w:ascii="Times New Roman" w:hAnsi="Times New Roman"/>
          <w:b/>
          <w:bCs/>
          <w:color w:val="auto"/>
          <w:szCs w:val="21"/>
          <w:highlight w:val="none"/>
          <w:u w:val="single"/>
          <w:lang w:val="en-US" w:eastAsia="zh-CN"/>
        </w:rPr>
        <w:t>0</w:t>
      </w:r>
      <w:r>
        <w:rPr>
          <w:rFonts w:ascii="Times New Roman" w:hAnsi="Times New Roman"/>
          <w:b/>
          <w:bCs/>
          <w:color w:val="auto"/>
          <w:szCs w:val="21"/>
          <w:highlight w:val="none"/>
          <w:u w:val="single"/>
        </w:rPr>
        <w:t>0分</w:t>
      </w:r>
      <w:r>
        <w:rPr>
          <w:rFonts w:ascii="Times New Roman" w:hAnsi="Times New Roman"/>
          <w:bCs/>
          <w:color w:val="auto"/>
          <w:szCs w:val="21"/>
          <w:highlight w:val="none"/>
        </w:rPr>
        <w:t>（北京时间）</w:t>
      </w:r>
    </w:p>
    <w:p w14:paraId="0F31639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地点：</w:t>
      </w:r>
      <w:r>
        <w:rPr>
          <w:rFonts w:hint="eastAsia" w:ascii="Times New Roman" w:hAnsi="Times New Roman"/>
          <w:b/>
          <w:bCs/>
          <w:color w:val="auto"/>
          <w:szCs w:val="21"/>
          <w:highlight w:val="none"/>
          <w:u w:val="single"/>
        </w:rPr>
        <w:t>“政采云”平台开标大厅</w:t>
      </w:r>
      <w:r>
        <w:rPr>
          <w:rFonts w:hint="eastAsia" w:ascii="Times New Roman" w:hAnsi="Times New Roman"/>
          <w:color w:val="auto"/>
          <w:szCs w:val="21"/>
          <w:highlight w:val="none"/>
          <w:u w:val="single"/>
        </w:rPr>
        <w:t>。</w:t>
      </w:r>
    </w:p>
    <w:p w14:paraId="74C6D14D">
      <w:pPr>
        <w:pStyle w:val="3"/>
        <w:numPr>
          <w:ilvl w:val="0"/>
          <w:numId w:val="0"/>
        </w:numPr>
        <w:ind w:left="596" w:hanging="596"/>
        <w:rPr>
          <w:rFonts w:ascii="Times New Roman" w:hAnsi="Times New Roman" w:eastAsia="宋体"/>
          <w:bCs/>
          <w:color w:val="auto"/>
          <w:sz w:val="21"/>
          <w:szCs w:val="21"/>
          <w:highlight w:val="none"/>
        </w:rPr>
      </w:pPr>
      <w:bookmarkStart w:id="39" w:name="_Toc69912393"/>
      <w:bookmarkStart w:id="40" w:name="_Toc28359084"/>
      <w:bookmarkStart w:id="41" w:name="_Toc35393625"/>
      <w:bookmarkStart w:id="42" w:name="_Toc28359007"/>
      <w:bookmarkStart w:id="43" w:name="_Toc35393794"/>
      <w:bookmarkStart w:id="44" w:name="_Toc17998"/>
      <w:bookmarkStart w:id="45" w:name="_Toc91696401"/>
      <w:r>
        <w:rPr>
          <w:rFonts w:ascii="Times New Roman" w:hAnsi="Times New Roman" w:eastAsia="宋体"/>
          <w:bCs/>
          <w:color w:val="auto"/>
          <w:sz w:val="21"/>
          <w:szCs w:val="21"/>
          <w:highlight w:val="none"/>
        </w:rPr>
        <w:t>五、公告期限</w:t>
      </w:r>
      <w:bookmarkEnd w:id="39"/>
      <w:bookmarkEnd w:id="40"/>
      <w:bookmarkEnd w:id="41"/>
      <w:bookmarkEnd w:id="42"/>
      <w:bookmarkEnd w:id="43"/>
      <w:bookmarkEnd w:id="44"/>
      <w:bookmarkEnd w:id="45"/>
    </w:p>
    <w:p w14:paraId="0A586652">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自本公告发布之日起5个工作日。</w:t>
      </w:r>
    </w:p>
    <w:p w14:paraId="7C5A0844">
      <w:pPr>
        <w:pStyle w:val="3"/>
        <w:numPr>
          <w:ilvl w:val="0"/>
          <w:numId w:val="0"/>
        </w:numPr>
        <w:ind w:left="596" w:hanging="596"/>
        <w:rPr>
          <w:rFonts w:ascii="Times New Roman" w:hAnsi="Times New Roman" w:eastAsia="宋体"/>
          <w:bCs/>
          <w:color w:val="auto"/>
          <w:sz w:val="21"/>
          <w:szCs w:val="21"/>
          <w:highlight w:val="none"/>
        </w:rPr>
      </w:pPr>
      <w:bookmarkStart w:id="46" w:name="_Toc29048"/>
      <w:bookmarkStart w:id="47" w:name="_Toc35393795"/>
      <w:bookmarkStart w:id="48" w:name="_Toc91696402"/>
      <w:bookmarkStart w:id="49" w:name="_Toc35393626"/>
      <w:bookmarkStart w:id="50" w:name="_Toc69912394"/>
      <w:r>
        <w:rPr>
          <w:rFonts w:ascii="Times New Roman" w:hAnsi="Times New Roman" w:eastAsia="宋体"/>
          <w:bCs/>
          <w:color w:val="auto"/>
          <w:sz w:val="21"/>
          <w:szCs w:val="21"/>
          <w:highlight w:val="none"/>
        </w:rPr>
        <w:t>六、其他补充事宜</w:t>
      </w:r>
      <w:bookmarkEnd w:id="46"/>
      <w:bookmarkEnd w:id="47"/>
      <w:bookmarkEnd w:id="48"/>
      <w:bookmarkEnd w:id="49"/>
      <w:bookmarkEnd w:id="50"/>
    </w:p>
    <w:p w14:paraId="24FC068D">
      <w:pPr>
        <w:spacing w:line="360" w:lineRule="auto"/>
        <w:ind w:firstLine="420" w:firstLineChars="200"/>
        <w:rPr>
          <w:rFonts w:ascii="Times New Roman" w:hAnsi="Times New Roman"/>
          <w:color w:val="auto"/>
          <w:szCs w:val="21"/>
          <w:highlight w:val="none"/>
        </w:rPr>
      </w:pPr>
      <w:bookmarkStart w:id="51" w:name="_Hlk50385363"/>
      <w:bookmarkStart w:id="52" w:name="_Toc28359085"/>
      <w:bookmarkStart w:id="53" w:name="_Toc28359008"/>
      <w:bookmarkStart w:id="54" w:name="_Toc35393627"/>
      <w:bookmarkStart w:id="55" w:name="_Toc35393796"/>
      <w:r>
        <w:rPr>
          <w:rFonts w:hint="eastAsia" w:ascii="Times New Roman" w:hAnsi="Times New Roman"/>
          <w:color w:val="auto"/>
          <w:szCs w:val="21"/>
          <w:highlight w:val="none"/>
        </w:rPr>
        <w:t>开标方式：网上开标</w:t>
      </w:r>
    </w:p>
    <w:p w14:paraId="73940DC9">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投标有效期(日历天)：90</w:t>
      </w:r>
    </w:p>
    <w:p w14:paraId="11E1CB90">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是否需要缴纳投标保证金：是</w:t>
      </w:r>
    </w:p>
    <w:p w14:paraId="1E4B0A63">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    保证金金额：</w:t>
      </w:r>
      <w:r>
        <w:rPr>
          <w:rFonts w:hint="eastAsia" w:ascii="Times New Roman" w:hAnsi="Times New Roman"/>
          <w:color w:val="auto"/>
          <w:szCs w:val="21"/>
          <w:highlight w:val="none"/>
          <w:lang w:val="en-US" w:eastAsia="zh-CN"/>
        </w:rPr>
        <w:t>20</w:t>
      </w:r>
      <w:r>
        <w:rPr>
          <w:rFonts w:hint="eastAsia" w:ascii="Times New Roman" w:hAnsi="Times New Roman"/>
          <w:color w:val="auto"/>
          <w:szCs w:val="21"/>
          <w:highlight w:val="none"/>
        </w:rPr>
        <w:t>000（元）</w:t>
      </w:r>
    </w:p>
    <w:p w14:paraId="3FDA3ED9">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    保证金缴纳方式：</w:t>
      </w:r>
      <w:r>
        <w:rPr>
          <w:rFonts w:ascii="Times New Roman" w:hAnsi="Times New Roman"/>
          <w:color w:val="auto"/>
          <w:szCs w:val="21"/>
          <w:highlight w:val="none"/>
        </w:rPr>
        <w:t>支票、汇票、本票、保函、保证保险、银行转账、网银、电汇等非现金形式</w:t>
      </w:r>
      <w:r>
        <w:rPr>
          <w:rFonts w:hint="eastAsia" w:ascii="Times New Roman" w:hAnsi="Times New Roman"/>
          <w:color w:val="auto"/>
          <w:szCs w:val="21"/>
          <w:highlight w:val="none"/>
        </w:rPr>
        <w:t>。</w:t>
      </w:r>
    </w:p>
    <w:p w14:paraId="32A9DE3A">
      <w:pPr>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    保证金缴纳截止时间：2025-</w:t>
      </w:r>
      <w:r>
        <w:rPr>
          <w:rFonts w:hint="eastAsia" w:ascii="Times New Roman" w:hAnsi="Times New Roman"/>
          <w:color w:val="auto"/>
          <w:szCs w:val="21"/>
          <w:highlight w:val="none"/>
          <w:lang w:val="en-US" w:eastAsia="zh-CN"/>
        </w:rPr>
        <w:t>9</w:t>
      </w:r>
      <w:r>
        <w:rPr>
          <w:rFonts w:hint="eastAsia" w:ascii="Times New Roman" w:hAnsi="Times New Roman"/>
          <w:color w:val="auto"/>
          <w:szCs w:val="21"/>
          <w:highlight w:val="none"/>
        </w:rPr>
        <w:t>-</w:t>
      </w:r>
      <w:r>
        <w:rPr>
          <w:rFonts w:hint="eastAsia" w:ascii="Times New Roman" w:hAnsi="Times New Roman"/>
          <w:color w:val="auto"/>
          <w:szCs w:val="21"/>
          <w:highlight w:val="none"/>
          <w:lang w:val="en-US" w:eastAsia="zh-CN"/>
        </w:rPr>
        <w:t>16</w:t>
      </w:r>
      <w:r>
        <w:rPr>
          <w:rFonts w:hint="eastAsia" w:ascii="Times New Roman" w:hAnsi="Times New Roman"/>
          <w:color w:val="auto"/>
          <w:szCs w:val="21"/>
          <w:highlight w:val="none"/>
        </w:rPr>
        <w:t xml:space="preserve">  </w:t>
      </w:r>
      <w:r>
        <w:rPr>
          <w:rFonts w:hint="eastAsia" w:ascii="Times New Roman" w:hAnsi="Times New Roman"/>
          <w:color w:val="auto"/>
          <w:szCs w:val="21"/>
          <w:highlight w:val="none"/>
          <w:lang w:val="en-US" w:eastAsia="zh-CN"/>
        </w:rPr>
        <w:t>9</w:t>
      </w:r>
      <w:bookmarkStart w:id="407" w:name="_GoBack"/>
      <w:bookmarkEnd w:id="407"/>
      <w:r>
        <w:rPr>
          <w:rFonts w:hint="eastAsia" w:ascii="Times New Roman" w:hAnsi="Times New Roman"/>
          <w:color w:val="auto"/>
          <w:szCs w:val="21"/>
          <w:highlight w:val="none"/>
        </w:rPr>
        <w:t>:</w:t>
      </w:r>
      <w:r>
        <w:rPr>
          <w:rFonts w:hint="eastAsia" w:ascii="Times New Roman" w:hAnsi="Times New Roman"/>
          <w:color w:val="auto"/>
          <w:szCs w:val="21"/>
          <w:highlight w:val="none"/>
          <w:lang w:val="en-US" w:eastAsia="zh-CN"/>
        </w:rPr>
        <w:t>0</w:t>
      </w:r>
      <w:r>
        <w:rPr>
          <w:rFonts w:hint="eastAsia" w:ascii="Times New Roman" w:hAnsi="Times New Roman"/>
          <w:color w:val="auto"/>
          <w:szCs w:val="21"/>
          <w:highlight w:val="none"/>
        </w:rPr>
        <w:t>0</w:t>
      </w:r>
    </w:p>
    <w:p w14:paraId="39BF3747">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w:t>
      </w:r>
      <w:r>
        <w:rPr>
          <w:rFonts w:ascii="Segoe UI Symbol" w:hAnsi="Segoe UI Symbol" w:cs="Segoe UI Symbol"/>
          <w:color w:val="auto"/>
          <w:szCs w:val="21"/>
          <w:highlight w:val="none"/>
        </w:rPr>
        <w:t>★</w:t>
      </w:r>
      <w:r>
        <w:rPr>
          <w:rFonts w:ascii="Times New Roman" w:hAnsi="Times New Roman"/>
          <w:color w:val="auto"/>
          <w:szCs w:val="21"/>
          <w:highlight w:val="none"/>
        </w:rPr>
        <w:t>本项目采购方式为公开招标，不划分标段。投标人应对照本项目拟采购的全部内容进行报价，不得缺项漏项，否则按不实质性响应招标文件要求处理。</w:t>
      </w:r>
    </w:p>
    <w:bookmarkEnd w:id="51"/>
    <w:p w14:paraId="77B88152">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2.</w:t>
      </w:r>
      <w:r>
        <w:rPr>
          <w:rFonts w:ascii="Segoe UI Symbol" w:hAnsi="Segoe UI Symbol" w:cs="Segoe UI Symbol"/>
          <w:b/>
          <w:bCs/>
          <w:color w:val="auto"/>
          <w:szCs w:val="21"/>
          <w:highlight w:val="none"/>
        </w:rPr>
        <w:t>★</w:t>
      </w:r>
      <w:r>
        <w:rPr>
          <w:rFonts w:ascii="Times New Roman" w:hAnsi="Times New Roman"/>
          <w:b/>
          <w:bCs/>
          <w:color w:val="auto"/>
          <w:szCs w:val="21"/>
          <w:highlight w:val="none"/>
        </w:rPr>
        <w:t>交货方式：</w:t>
      </w:r>
      <w:r>
        <w:rPr>
          <w:rFonts w:ascii="Times New Roman" w:hAnsi="Times New Roman"/>
          <w:color w:val="auto"/>
          <w:szCs w:val="21"/>
          <w:highlight w:val="none"/>
        </w:rPr>
        <w:t>安装调试验收完成。</w:t>
      </w:r>
    </w:p>
    <w:p w14:paraId="7C462185">
      <w:pPr>
        <w:spacing w:line="360" w:lineRule="auto"/>
        <w:ind w:firstLine="422" w:firstLineChars="200"/>
        <w:rPr>
          <w:rFonts w:ascii="Times New Roman" w:hAnsi="Times New Roman"/>
          <w:color w:val="auto"/>
          <w:szCs w:val="21"/>
          <w:highlight w:val="none"/>
        </w:rPr>
      </w:pPr>
      <w:r>
        <w:rPr>
          <w:rFonts w:ascii="Times New Roman" w:hAnsi="Times New Roman"/>
          <w:b/>
          <w:bCs/>
          <w:color w:val="auto"/>
          <w:szCs w:val="21"/>
          <w:highlight w:val="none"/>
        </w:rPr>
        <w:t>3.</w:t>
      </w:r>
      <w:r>
        <w:rPr>
          <w:rFonts w:ascii="Segoe UI Symbol" w:hAnsi="Segoe UI Symbol" w:cs="Segoe UI Symbol"/>
          <w:b/>
          <w:bCs/>
          <w:color w:val="auto"/>
          <w:szCs w:val="21"/>
          <w:highlight w:val="none"/>
        </w:rPr>
        <w:t>★</w:t>
      </w:r>
      <w:r>
        <w:rPr>
          <w:rFonts w:ascii="Times New Roman" w:hAnsi="Times New Roman"/>
          <w:b/>
          <w:bCs/>
          <w:color w:val="auto"/>
          <w:szCs w:val="21"/>
          <w:highlight w:val="none"/>
        </w:rPr>
        <w:t>交货地点：</w:t>
      </w:r>
      <w:r>
        <w:rPr>
          <w:rFonts w:hint="eastAsia" w:ascii="Times New Roman" w:hAnsi="Times New Roman"/>
          <w:color w:val="auto"/>
          <w:szCs w:val="21"/>
          <w:highlight w:val="none"/>
        </w:rPr>
        <w:t>昆明理工大学呈贡校区。</w:t>
      </w:r>
    </w:p>
    <w:p w14:paraId="2980D98A">
      <w:pPr>
        <w:spacing w:line="360" w:lineRule="auto"/>
        <w:ind w:firstLine="422" w:firstLineChars="200"/>
        <w:rPr>
          <w:rFonts w:ascii="Times New Roman" w:hAnsi="Times New Roman"/>
          <w:color w:val="auto"/>
          <w:szCs w:val="21"/>
          <w:highlight w:val="none"/>
        </w:rPr>
      </w:pPr>
      <w:bookmarkStart w:id="56" w:name="OLE_LINK5"/>
      <w:r>
        <w:rPr>
          <w:rFonts w:ascii="Times New Roman" w:hAnsi="Times New Roman"/>
          <w:b/>
          <w:bCs/>
          <w:color w:val="auto"/>
          <w:szCs w:val="21"/>
          <w:highlight w:val="none"/>
        </w:rPr>
        <w:t>4.</w:t>
      </w:r>
      <w:r>
        <w:rPr>
          <w:rFonts w:ascii="Segoe UI Symbol" w:hAnsi="Segoe UI Symbol" w:cs="Segoe UI Symbol"/>
          <w:b/>
          <w:bCs/>
          <w:color w:val="auto"/>
          <w:szCs w:val="21"/>
          <w:highlight w:val="none"/>
        </w:rPr>
        <w:t>★</w:t>
      </w:r>
      <w:r>
        <w:rPr>
          <w:rFonts w:ascii="Times New Roman" w:hAnsi="Times New Roman"/>
          <w:b/>
          <w:bCs/>
          <w:color w:val="auto"/>
          <w:szCs w:val="21"/>
          <w:highlight w:val="none"/>
        </w:rPr>
        <w:t>质保期：</w:t>
      </w:r>
      <w:r>
        <w:rPr>
          <w:rFonts w:hint="eastAsia" w:ascii="Times New Roman" w:hAnsi="Times New Roman"/>
          <w:b/>
          <w:bCs/>
          <w:color w:val="auto"/>
          <w:szCs w:val="21"/>
          <w:highlight w:val="none"/>
        </w:rPr>
        <w:t>自验收合格之日起提供</w:t>
      </w:r>
      <w:r>
        <w:rPr>
          <w:rFonts w:ascii="Times New Roman" w:hAnsi="Times New Roman"/>
          <w:b/>
          <w:bCs/>
          <w:color w:val="auto"/>
          <w:szCs w:val="21"/>
          <w:highlight w:val="none"/>
        </w:rPr>
        <w:t>全套设备质保期不少于</w:t>
      </w:r>
      <w:r>
        <w:rPr>
          <w:rFonts w:hint="eastAsia" w:ascii="Times New Roman" w:hAnsi="Times New Roman"/>
          <w:b/>
          <w:bCs/>
          <w:color w:val="auto"/>
          <w:szCs w:val="21"/>
          <w:highlight w:val="none"/>
        </w:rPr>
        <w:t>3</w:t>
      </w:r>
      <w:r>
        <w:rPr>
          <w:rFonts w:ascii="Times New Roman" w:hAnsi="Times New Roman"/>
          <w:b/>
          <w:bCs/>
          <w:color w:val="auto"/>
          <w:szCs w:val="21"/>
          <w:highlight w:val="none"/>
        </w:rPr>
        <w:t>年</w:t>
      </w:r>
      <w:r>
        <w:rPr>
          <w:rFonts w:hint="eastAsia" w:ascii="Times New Roman" w:hAnsi="Times New Roman"/>
          <w:b/>
          <w:bCs/>
          <w:color w:val="auto"/>
          <w:szCs w:val="21"/>
          <w:highlight w:val="none"/>
        </w:rPr>
        <w:t>质保</w:t>
      </w:r>
      <w:r>
        <w:rPr>
          <w:rFonts w:ascii="Times New Roman" w:hAnsi="Times New Roman"/>
          <w:b/>
          <w:bCs/>
          <w:color w:val="auto"/>
          <w:szCs w:val="21"/>
          <w:highlight w:val="none"/>
        </w:rPr>
        <w:t>，终身负责维修。</w:t>
      </w:r>
      <w:r>
        <w:rPr>
          <w:rFonts w:hint="eastAsia" w:ascii="Times New Roman" w:hAnsi="Times New Roman"/>
          <w:b/>
          <w:bCs/>
          <w:color w:val="auto"/>
          <w:szCs w:val="21"/>
          <w:highlight w:val="none"/>
        </w:rPr>
        <w:t>清单中所有软件提供3年维护。</w:t>
      </w:r>
    </w:p>
    <w:bookmarkEnd w:id="56"/>
    <w:p w14:paraId="4F263E1A">
      <w:pPr>
        <w:spacing w:line="360" w:lineRule="auto"/>
        <w:ind w:firstLine="403" w:firstLineChars="192"/>
        <w:rPr>
          <w:rFonts w:ascii="Times New Roman" w:hAnsi="Times New Roman"/>
          <w:color w:val="auto"/>
          <w:szCs w:val="21"/>
          <w:highlight w:val="none"/>
        </w:rPr>
      </w:pPr>
      <w:r>
        <w:rPr>
          <w:rFonts w:ascii="Times New Roman" w:hAnsi="Times New Roman"/>
          <w:color w:val="auto"/>
          <w:szCs w:val="21"/>
          <w:highlight w:val="none"/>
        </w:rPr>
        <w:t>5.</w:t>
      </w:r>
      <w:r>
        <w:rPr>
          <w:rFonts w:ascii="Segoe UI Symbol" w:hAnsi="Segoe UI Symbol" w:cs="Segoe UI Symbol"/>
          <w:color w:val="auto"/>
          <w:szCs w:val="21"/>
          <w:highlight w:val="none"/>
        </w:rPr>
        <w:t>★</w:t>
      </w:r>
      <w:r>
        <w:rPr>
          <w:rFonts w:ascii="Times New Roman" w:hAnsi="Times New Roman"/>
          <w:color w:val="auto"/>
          <w:szCs w:val="21"/>
          <w:highlight w:val="none"/>
        </w:rPr>
        <w:t>本项目</w:t>
      </w:r>
      <w:r>
        <w:rPr>
          <w:rFonts w:hint="eastAsia" w:ascii="Times New Roman" w:hAnsi="Times New Roman"/>
          <w:b/>
          <w:bCs/>
          <w:color w:val="auto"/>
          <w:szCs w:val="21"/>
          <w:highlight w:val="none"/>
          <w:u w:val="single"/>
        </w:rPr>
        <w:t>不</w:t>
      </w:r>
      <w:r>
        <w:rPr>
          <w:rFonts w:ascii="Times New Roman" w:hAnsi="Times New Roman"/>
          <w:b/>
          <w:bCs/>
          <w:color w:val="auto"/>
          <w:szCs w:val="21"/>
          <w:highlight w:val="none"/>
          <w:u w:val="single"/>
        </w:rPr>
        <w:t>接受进口</w:t>
      </w:r>
      <w:r>
        <w:rPr>
          <w:rFonts w:ascii="Times New Roman" w:hAnsi="Times New Roman"/>
          <w:color w:val="auto"/>
          <w:szCs w:val="21"/>
          <w:highlight w:val="none"/>
        </w:rPr>
        <w:t>参与投标。进口产品是指通过中国海关报关验放进入中国境内且产自关境外的产品。</w:t>
      </w:r>
    </w:p>
    <w:p w14:paraId="0929436A">
      <w:pPr>
        <w:tabs>
          <w:tab w:val="left" w:pos="360"/>
          <w:tab w:val="left" w:pos="596"/>
        </w:tabs>
        <w:spacing w:line="360" w:lineRule="auto"/>
        <w:ind w:firstLine="424" w:firstLineChars="202"/>
        <w:jc w:val="left"/>
        <w:rPr>
          <w:rFonts w:ascii="Times New Roman" w:hAnsi="Times New Roman"/>
          <w:bCs/>
          <w:color w:val="auto"/>
          <w:szCs w:val="22"/>
          <w:highlight w:val="none"/>
        </w:rPr>
      </w:pPr>
      <w:r>
        <w:rPr>
          <w:rFonts w:hint="eastAsia" w:ascii="Times New Roman" w:hAnsi="Times New Roman"/>
          <w:bCs/>
          <w:color w:val="auto"/>
          <w:szCs w:val="22"/>
          <w:highlight w:val="none"/>
        </w:rPr>
        <w:t>6</w:t>
      </w:r>
      <w:r>
        <w:rPr>
          <w:rFonts w:ascii="Times New Roman" w:hAnsi="Times New Roman"/>
          <w:bCs/>
          <w:color w:val="auto"/>
          <w:szCs w:val="22"/>
          <w:highlight w:val="none"/>
        </w:rPr>
        <w:t>. 本项目为不见面开标，投标单位无需到达现场</w:t>
      </w:r>
      <w:r>
        <w:rPr>
          <w:rFonts w:hint="eastAsia" w:ascii="Times New Roman" w:hAnsi="Times New Roman"/>
          <w:bCs/>
          <w:color w:val="auto"/>
          <w:szCs w:val="22"/>
          <w:highlight w:val="none"/>
        </w:rPr>
        <w:t>。</w:t>
      </w:r>
    </w:p>
    <w:p w14:paraId="0F0BF66E">
      <w:pPr>
        <w:tabs>
          <w:tab w:val="left" w:pos="360"/>
          <w:tab w:val="left" w:pos="596"/>
        </w:tabs>
        <w:spacing w:line="360" w:lineRule="auto"/>
        <w:ind w:firstLine="424" w:firstLineChars="202"/>
        <w:jc w:val="left"/>
        <w:rPr>
          <w:rFonts w:ascii="Times New Roman" w:hAnsi="Times New Roman"/>
          <w:bCs/>
          <w:color w:val="auto"/>
          <w:szCs w:val="22"/>
          <w:highlight w:val="none"/>
        </w:rPr>
      </w:pPr>
      <w:r>
        <w:rPr>
          <w:rFonts w:hint="eastAsia" w:ascii="Times New Roman" w:hAnsi="Times New Roman"/>
          <w:bCs/>
          <w:color w:val="auto"/>
          <w:szCs w:val="22"/>
          <w:highlight w:val="none"/>
        </w:rPr>
        <w:t>7</w:t>
      </w:r>
      <w:r>
        <w:rPr>
          <w:rFonts w:ascii="Times New Roman" w:hAnsi="Times New Roman"/>
          <w:bCs/>
          <w:color w:val="auto"/>
          <w:szCs w:val="22"/>
          <w:highlight w:val="none"/>
        </w:rPr>
        <w:t>. 本项目实行网上投标，采用电子投标文件</w:t>
      </w:r>
      <w:r>
        <w:rPr>
          <w:rFonts w:hint="eastAsia" w:ascii="Times New Roman" w:hAnsi="Times New Roman"/>
          <w:bCs/>
          <w:color w:val="auto"/>
          <w:szCs w:val="22"/>
          <w:highlight w:val="none"/>
        </w:rPr>
        <w:t>。</w:t>
      </w:r>
    </w:p>
    <w:p w14:paraId="58F980EC">
      <w:pPr>
        <w:tabs>
          <w:tab w:val="left" w:pos="360"/>
          <w:tab w:val="left" w:pos="596"/>
        </w:tabs>
        <w:spacing w:line="360" w:lineRule="auto"/>
        <w:ind w:firstLine="424" w:firstLineChars="202"/>
        <w:jc w:val="left"/>
        <w:rPr>
          <w:rFonts w:ascii="Times New Roman" w:hAnsi="Times New Roman"/>
          <w:bCs/>
          <w:color w:val="auto"/>
          <w:szCs w:val="22"/>
          <w:highlight w:val="none"/>
        </w:rPr>
      </w:pPr>
      <w:r>
        <w:rPr>
          <w:rFonts w:hint="eastAsia" w:ascii="Times New Roman" w:hAnsi="Times New Roman"/>
          <w:bCs/>
          <w:color w:val="auto"/>
          <w:szCs w:val="22"/>
          <w:highlight w:val="none"/>
        </w:rPr>
        <w:t>8</w:t>
      </w:r>
      <w:r>
        <w:rPr>
          <w:rFonts w:ascii="Times New Roman" w:hAnsi="Times New Roman"/>
          <w:bCs/>
          <w:color w:val="auto"/>
          <w:szCs w:val="22"/>
          <w:highlight w:val="none"/>
        </w:rPr>
        <w:t>.各供应商应在开标前应确保成为政采云平台供应商，并完成CA数字证书申领。因未注册入库、未办理CA数字证书等原因造成无法投标或投标失败等后果由供应商自行承担。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r>
        <w:rPr>
          <w:rFonts w:hint="eastAsia" w:ascii="Times New Roman" w:hAnsi="Times New Roman"/>
          <w:bCs/>
          <w:color w:val="auto"/>
          <w:szCs w:val="22"/>
          <w:highlight w:val="none"/>
        </w:rPr>
        <w:t>。</w:t>
      </w:r>
    </w:p>
    <w:p w14:paraId="76D3C8F4">
      <w:pPr>
        <w:tabs>
          <w:tab w:val="left" w:pos="360"/>
          <w:tab w:val="left" w:pos="596"/>
        </w:tabs>
        <w:spacing w:line="360" w:lineRule="auto"/>
        <w:ind w:firstLine="424" w:firstLineChars="202"/>
        <w:jc w:val="left"/>
        <w:rPr>
          <w:rFonts w:ascii="Times New Roman" w:hAnsi="Times New Roman"/>
          <w:bCs/>
          <w:color w:val="auto"/>
          <w:szCs w:val="22"/>
          <w:highlight w:val="none"/>
        </w:rPr>
      </w:pPr>
      <w:r>
        <w:rPr>
          <w:rFonts w:hint="eastAsia" w:ascii="Times New Roman" w:hAnsi="Times New Roman"/>
          <w:bCs/>
          <w:color w:val="auto"/>
          <w:szCs w:val="22"/>
          <w:highlight w:val="none"/>
        </w:rPr>
        <w:t>9</w:t>
      </w:r>
      <w:r>
        <w:rPr>
          <w:rFonts w:ascii="Times New Roman" w:hAnsi="Times New Roman"/>
          <w:bCs/>
          <w:color w:val="auto"/>
          <w:szCs w:val="22"/>
          <w:highlight w:val="none"/>
        </w:rPr>
        <w:t>. 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以及云南CA操作问题：请致电云南CA，4006727666； 云南CA紧急联系方式：15288315056。如因供应商自身原因导致在规定时间内无法正常解密的（如：浏览器故障、未安装相关驱动、网络故障、加密CA与解密CA不一致等），代理机构不予异常处理，视为供应商自动弃标。</w:t>
      </w:r>
    </w:p>
    <w:p w14:paraId="35D13612">
      <w:pPr>
        <w:spacing w:line="360" w:lineRule="auto"/>
        <w:ind w:firstLine="420" w:firstLineChars="200"/>
        <w:rPr>
          <w:rFonts w:ascii="Times New Roman" w:hAnsi="Times New Roman"/>
          <w:bCs/>
          <w:color w:val="auto"/>
          <w:szCs w:val="22"/>
          <w:highlight w:val="none"/>
        </w:rPr>
      </w:pPr>
      <w:r>
        <w:rPr>
          <w:rFonts w:hint="eastAsia" w:ascii="Times New Roman" w:hAnsi="Times New Roman"/>
          <w:bCs/>
          <w:color w:val="auto"/>
          <w:szCs w:val="22"/>
          <w:highlight w:val="none"/>
        </w:rPr>
        <w:t>10</w:t>
      </w:r>
      <w:r>
        <w:rPr>
          <w:rFonts w:ascii="Times New Roman" w:hAnsi="Times New Roman"/>
          <w:bCs/>
          <w:color w:val="auto"/>
          <w:szCs w:val="22"/>
          <w:highlight w:val="none"/>
        </w:rPr>
        <w:t>.</w:t>
      </w:r>
      <w:r>
        <w:rPr>
          <w:rFonts w:hint="eastAsia" w:ascii="Times New Roman" w:hAnsi="Times New Roman"/>
          <w:color w:val="auto"/>
          <w:highlight w:val="none"/>
        </w:rPr>
        <w:t xml:space="preserve"> </w:t>
      </w:r>
      <w:r>
        <w:rPr>
          <w:rFonts w:hint="eastAsia" w:ascii="Times New Roman" w:hAnsi="Times New Roman"/>
          <w:bCs/>
          <w:color w:val="auto"/>
          <w:szCs w:val="22"/>
          <w:highlight w:val="none"/>
        </w:rPr>
        <w:t>云南壹证通CA操作问题请致电：4000040628；云南壹证通CA紧急联系方式：19988166369。</w:t>
      </w:r>
    </w:p>
    <w:p w14:paraId="36142D14">
      <w:pPr>
        <w:spacing w:line="360" w:lineRule="auto"/>
        <w:ind w:firstLine="420" w:firstLineChars="200"/>
        <w:rPr>
          <w:rFonts w:ascii="Times New Roman" w:hAnsi="Times New Roman"/>
          <w:color w:val="auto"/>
          <w:szCs w:val="21"/>
          <w:highlight w:val="none"/>
        </w:rPr>
      </w:pPr>
      <w:r>
        <w:rPr>
          <w:rFonts w:hint="eastAsia" w:ascii="Times New Roman" w:hAnsi="Times New Roman"/>
          <w:bCs/>
          <w:color w:val="auto"/>
          <w:szCs w:val="22"/>
          <w:highlight w:val="none"/>
        </w:rPr>
        <w:t>11.</w:t>
      </w:r>
      <w:r>
        <w:rPr>
          <w:rFonts w:hint="eastAsia"/>
          <w:color w:val="auto"/>
          <w:highlight w:val="none"/>
        </w:rPr>
        <w:t xml:space="preserve"> </w:t>
      </w:r>
      <w:r>
        <w:rPr>
          <w:rFonts w:hint="eastAsia" w:ascii="Times New Roman" w:hAnsi="Times New Roman"/>
          <w:bCs/>
          <w:color w:val="auto"/>
          <w:szCs w:val="22"/>
          <w:highlight w:val="none"/>
        </w:rPr>
        <w:t xml:space="preserve">本项目采购信息、成交公告仅在云南省政府采购网（http://www.yngp.com/）、昆明理工大学招标采购网上发布。公告内容和时间以云南省政府采购网为准，采购人及采购代理机构对其他网站或媒体转载的公告及公告内容不承担任何责任。 </w:t>
      </w:r>
    </w:p>
    <w:p w14:paraId="3F121841">
      <w:pPr>
        <w:pStyle w:val="3"/>
        <w:numPr>
          <w:ilvl w:val="0"/>
          <w:numId w:val="0"/>
        </w:numPr>
        <w:ind w:left="596" w:hanging="596"/>
        <w:rPr>
          <w:rFonts w:ascii="Times New Roman" w:hAnsi="Times New Roman" w:eastAsia="宋体"/>
          <w:bCs/>
          <w:color w:val="auto"/>
          <w:sz w:val="21"/>
          <w:szCs w:val="21"/>
          <w:highlight w:val="none"/>
        </w:rPr>
      </w:pPr>
      <w:bookmarkStart w:id="57" w:name="_Toc10020"/>
      <w:bookmarkStart w:id="58" w:name="_Toc91696403"/>
      <w:bookmarkStart w:id="59" w:name="_Toc69912395"/>
      <w:r>
        <w:rPr>
          <w:rFonts w:ascii="Times New Roman" w:hAnsi="Times New Roman" w:eastAsia="宋体"/>
          <w:bCs/>
          <w:color w:val="auto"/>
          <w:sz w:val="21"/>
          <w:szCs w:val="21"/>
          <w:highlight w:val="none"/>
        </w:rPr>
        <w:t>七、对本次招标提出询问，请按以下方式联系</w:t>
      </w:r>
      <w:bookmarkEnd w:id="52"/>
      <w:bookmarkEnd w:id="53"/>
      <w:bookmarkEnd w:id="54"/>
      <w:bookmarkEnd w:id="55"/>
      <w:r>
        <w:rPr>
          <w:rFonts w:ascii="Times New Roman" w:hAnsi="Times New Roman" w:eastAsia="宋体"/>
          <w:bCs/>
          <w:color w:val="auto"/>
          <w:sz w:val="21"/>
          <w:szCs w:val="21"/>
          <w:highlight w:val="none"/>
        </w:rPr>
        <w:t>：</w:t>
      </w:r>
      <w:bookmarkEnd w:id="57"/>
      <w:bookmarkEnd w:id="58"/>
      <w:bookmarkEnd w:id="59"/>
    </w:p>
    <w:p w14:paraId="34395419">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1.采购人信息</w:t>
      </w:r>
    </w:p>
    <w:p w14:paraId="165C1ECC">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名称：昆明理工大学</w:t>
      </w:r>
    </w:p>
    <w:p w14:paraId="6716382C">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地址：昆明市一二一大街文昌路68号</w:t>
      </w:r>
    </w:p>
    <w:p w14:paraId="5A75D570">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联系方式：0871-65944936（李老师）</w:t>
      </w:r>
    </w:p>
    <w:p w14:paraId="758A0147">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2.采购代理机构信息</w:t>
      </w:r>
    </w:p>
    <w:bookmarkEnd w:id="5"/>
    <w:bookmarkEnd w:id="7"/>
    <w:bookmarkEnd w:id="8"/>
    <w:p w14:paraId="4A5FE798">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名称：云南招标股份有限公司</w:t>
      </w:r>
    </w:p>
    <w:p w14:paraId="5C449426">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地址：云南省昆明市人民西路328号云南招标股份有限公司办公楼311室</w:t>
      </w:r>
    </w:p>
    <w:p w14:paraId="4DF45F27">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联系方式：0871-65322748</w:t>
      </w:r>
    </w:p>
    <w:p w14:paraId="32F343D8">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3.项目联系方式</w:t>
      </w:r>
    </w:p>
    <w:p w14:paraId="397E85CB">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项目联系人：</w:t>
      </w:r>
      <w:r>
        <w:rPr>
          <w:rFonts w:hint="eastAsia" w:ascii="Times New Roman" w:hAnsi="Times New Roman"/>
          <w:color w:val="auto"/>
          <w:szCs w:val="21"/>
          <w:highlight w:val="none"/>
        </w:rPr>
        <w:t>朱云</w:t>
      </w:r>
      <w:r>
        <w:rPr>
          <w:rFonts w:ascii="Times New Roman" w:hAnsi="Times New Roman"/>
          <w:color w:val="auto"/>
          <w:szCs w:val="21"/>
          <w:highlight w:val="none"/>
        </w:rPr>
        <w:t>、郑艳、</w:t>
      </w:r>
      <w:r>
        <w:rPr>
          <w:rFonts w:hint="eastAsia" w:ascii="Times New Roman" w:hAnsi="Times New Roman"/>
          <w:color w:val="auto"/>
          <w:szCs w:val="21"/>
          <w:highlight w:val="none"/>
        </w:rPr>
        <w:t>刘海斌、师继承</w:t>
      </w:r>
    </w:p>
    <w:p w14:paraId="45DF8BCC">
      <w:pPr>
        <w:spacing w:line="360" w:lineRule="auto"/>
        <w:ind w:firstLine="420" w:firstLineChars="200"/>
        <w:rPr>
          <w:rFonts w:ascii="Times New Roman" w:hAnsi="Times New Roman"/>
          <w:color w:val="auto"/>
          <w:sz w:val="28"/>
          <w:szCs w:val="28"/>
          <w:highlight w:val="none"/>
        </w:rPr>
      </w:pPr>
      <w:r>
        <w:rPr>
          <w:rFonts w:ascii="Times New Roman" w:hAnsi="Times New Roman"/>
          <w:color w:val="auto"/>
          <w:szCs w:val="21"/>
          <w:highlight w:val="none"/>
        </w:rPr>
        <w:t>电话：0871-65322748</w:t>
      </w:r>
    </w:p>
    <w:p w14:paraId="2C02DCCA">
      <w:pPr>
        <w:spacing w:line="360" w:lineRule="auto"/>
        <w:rPr>
          <w:rFonts w:ascii="Times New Roman" w:hAnsi="Times New Roman"/>
          <w:color w:val="auto"/>
          <w:szCs w:val="21"/>
          <w:highlight w:val="none"/>
        </w:rPr>
      </w:pPr>
      <w:r>
        <w:rPr>
          <w:rFonts w:ascii="Times New Roman" w:hAnsi="Times New Roman"/>
          <w:b/>
          <w:color w:val="auto"/>
          <w:szCs w:val="21"/>
          <w:highlight w:val="none"/>
        </w:rPr>
        <w:br w:type="page"/>
      </w:r>
      <w:bookmarkEnd w:id="6"/>
    </w:p>
    <w:p w14:paraId="04DCF665">
      <w:pPr>
        <w:pStyle w:val="2"/>
        <w:numPr>
          <w:ilvl w:val="0"/>
          <w:numId w:val="0"/>
        </w:numPr>
        <w:jc w:val="center"/>
        <w:rPr>
          <w:rFonts w:ascii="Times New Roman" w:hAnsi="Times New Roman" w:eastAsia="宋体"/>
          <w:b w:val="0"/>
          <w:color w:val="auto"/>
          <w:sz w:val="36"/>
          <w:highlight w:val="none"/>
        </w:rPr>
      </w:pPr>
      <w:bookmarkStart w:id="60" w:name="_Toc69912396"/>
      <w:bookmarkStart w:id="61" w:name="_Toc25619"/>
      <w:bookmarkStart w:id="62" w:name="_Toc91696404"/>
      <w:r>
        <w:rPr>
          <w:rFonts w:ascii="Times New Roman" w:hAnsi="Times New Roman" w:eastAsia="宋体"/>
          <w:b w:val="0"/>
          <w:color w:val="auto"/>
          <w:sz w:val="36"/>
          <w:highlight w:val="none"/>
        </w:rPr>
        <w:t>第二章 投标人须知</w:t>
      </w:r>
      <w:bookmarkEnd w:id="60"/>
      <w:bookmarkEnd w:id="61"/>
      <w:bookmarkEnd w:id="62"/>
    </w:p>
    <w:p w14:paraId="2BE53F55">
      <w:pPr>
        <w:pStyle w:val="3"/>
        <w:numPr>
          <w:ilvl w:val="1"/>
          <w:numId w:val="0"/>
        </w:numPr>
        <w:tabs>
          <w:tab w:val="left" w:pos="420"/>
          <w:tab w:val="left" w:pos="6090"/>
        </w:tabs>
        <w:ind w:left="-2" w:leftChars="-1"/>
        <w:jc w:val="center"/>
        <w:rPr>
          <w:rFonts w:ascii="Times New Roman" w:hAnsi="Times New Roman" w:eastAsia="宋体"/>
          <w:color w:val="auto"/>
          <w:szCs w:val="28"/>
          <w:highlight w:val="none"/>
        </w:rPr>
      </w:pPr>
      <w:bookmarkStart w:id="63" w:name="_Toc69912397"/>
      <w:bookmarkStart w:id="64" w:name="_Toc91696405"/>
      <w:bookmarkStart w:id="65" w:name="_Toc18721"/>
      <w:r>
        <w:rPr>
          <w:rFonts w:ascii="Times New Roman" w:hAnsi="Times New Roman" w:eastAsia="宋体"/>
          <w:color w:val="auto"/>
          <w:szCs w:val="28"/>
          <w:highlight w:val="none"/>
        </w:rPr>
        <w:t>投标人须知前附表</w:t>
      </w:r>
      <w:bookmarkEnd w:id="63"/>
      <w:bookmarkEnd w:id="64"/>
      <w:bookmarkEnd w:id="65"/>
    </w:p>
    <w:tbl>
      <w:tblPr>
        <w:tblStyle w:val="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6148"/>
      </w:tblGrid>
      <w:tr w14:paraId="2CEE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14:paraId="14BB7407">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条款号</w:t>
            </w:r>
          </w:p>
        </w:tc>
        <w:tc>
          <w:tcPr>
            <w:tcW w:w="2432" w:type="dxa"/>
            <w:vAlign w:val="center"/>
          </w:tcPr>
          <w:p w14:paraId="765EE357">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条 款 名 称</w:t>
            </w:r>
          </w:p>
        </w:tc>
        <w:tc>
          <w:tcPr>
            <w:tcW w:w="6148" w:type="dxa"/>
            <w:vAlign w:val="center"/>
          </w:tcPr>
          <w:p w14:paraId="314486A7">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编 列 内 容</w:t>
            </w:r>
          </w:p>
        </w:tc>
      </w:tr>
      <w:tr w14:paraId="79DA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Merge w:val="restart"/>
            <w:vAlign w:val="center"/>
          </w:tcPr>
          <w:p w14:paraId="569EA5BE">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1</w:t>
            </w:r>
          </w:p>
        </w:tc>
        <w:tc>
          <w:tcPr>
            <w:tcW w:w="2432" w:type="dxa"/>
            <w:vAlign w:val="center"/>
          </w:tcPr>
          <w:p w14:paraId="1F49515A">
            <w:pPr>
              <w:spacing w:line="360" w:lineRule="auto"/>
              <w:rPr>
                <w:rFonts w:ascii="Times New Roman" w:hAnsi="Times New Roman"/>
                <w:color w:val="auto"/>
                <w:szCs w:val="21"/>
                <w:highlight w:val="none"/>
                <w:u w:val="single"/>
              </w:rPr>
            </w:pPr>
            <w:r>
              <w:rPr>
                <w:rFonts w:ascii="Times New Roman" w:hAnsi="Times New Roman"/>
                <w:bCs/>
                <w:color w:val="auto"/>
                <w:szCs w:val="21"/>
                <w:highlight w:val="none"/>
              </w:rPr>
              <w:t>采购人</w:t>
            </w:r>
          </w:p>
        </w:tc>
        <w:tc>
          <w:tcPr>
            <w:tcW w:w="6148" w:type="dxa"/>
            <w:vAlign w:val="center"/>
          </w:tcPr>
          <w:p w14:paraId="5AC2AFAD">
            <w:pPr>
              <w:spacing w:line="360" w:lineRule="auto"/>
              <w:rPr>
                <w:rFonts w:ascii="Times New Roman" w:hAnsi="Times New Roman"/>
                <w:color w:val="auto"/>
                <w:szCs w:val="21"/>
                <w:highlight w:val="none"/>
              </w:rPr>
            </w:pPr>
            <w:r>
              <w:rPr>
                <w:rFonts w:ascii="Times New Roman" w:hAnsi="Times New Roman"/>
                <w:color w:val="auto"/>
                <w:szCs w:val="21"/>
                <w:highlight w:val="none"/>
              </w:rPr>
              <w:t>昆明理工大学</w:t>
            </w:r>
          </w:p>
        </w:tc>
      </w:tr>
      <w:tr w14:paraId="2986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Merge w:val="continue"/>
            <w:vAlign w:val="center"/>
          </w:tcPr>
          <w:p w14:paraId="4C6F9B6A">
            <w:pPr>
              <w:spacing w:line="360" w:lineRule="auto"/>
              <w:rPr>
                <w:rFonts w:ascii="Times New Roman" w:hAnsi="Times New Roman"/>
                <w:color w:val="auto"/>
                <w:szCs w:val="21"/>
                <w:highlight w:val="none"/>
              </w:rPr>
            </w:pPr>
          </w:p>
        </w:tc>
        <w:tc>
          <w:tcPr>
            <w:tcW w:w="2432" w:type="dxa"/>
            <w:vAlign w:val="center"/>
          </w:tcPr>
          <w:p w14:paraId="70AA0F8A">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采购代理机构</w:t>
            </w:r>
          </w:p>
        </w:tc>
        <w:tc>
          <w:tcPr>
            <w:tcW w:w="6148" w:type="dxa"/>
            <w:vAlign w:val="center"/>
          </w:tcPr>
          <w:p w14:paraId="47231FC3">
            <w:pPr>
              <w:spacing w:line="360" w:lineRule="auto"/>
              <w:rPr>
                <w:rFonts w:ascii="Times New Roman" w:hAnsi="Times New Roman"/>
                <w:color w:val="auto"/>
                <w:szCs w:val="21"/>
                <w:highlight w:val="none"/>
              </w:rPr>
            </w:pPr>
            <w:r>
              <w:rPr>
                <w:rFonts w:ascii="Times New Roman" w:hAnsi="Times New Roman"/>
                <w:color w:val="auto"/>
                <w:szCs w:val="21"/>
                <w:highlight w:val="none"/>
              </w:rPr>
              <w:t>云南招标股份有限公司</w:t>
            </w:r>
          </w:p>
        </w:tc>
      </w:tr>
      <w:tr w14:paraId="45FB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480" w:type="dxa"/>
            <w:vMerge w:val="continue"/>
            <w:vAlign w:val="center"/>
          </w:tcPr>
          <w:p w14:paraId="216F4770">
            <w:pPr>
              <w:spacing w:line="360" w:lineRule="auto"/>
              <w:rPr>
                <w:rFonts w:ascii="Times New Roman" w:hAnsi="Times New Roman"/>
                <w:color w:val="auto"/>
                <w:szCs w:val="21"/>
                <w:highlight w:val="none"/>
              </w:rPr>
            </w:pPr>
          </w:p>
        </w:tc>
        <w:tc>
          <w:tcPr>
            <w:tcW w:w="2432" w:type="dxa"/>
            <w:vAlign w:val="center"/>
          </w:tcPr>
          <w:p w14:paraId="451451CE">
            <w:pPr>
              <w:spacing w:line="360" w:lineRule="auto"/>
              <w:rPr>
                <w:rFonts w:ascii="Times New Roman" w:hAnsi="Times New Roman"/>
                <w:color w:val="auto"/>
                <w:szCs w:val="21"/>
                <w:highlight w:val="none"/>
              </w:rPr>
            </w:pPr>
            <w:r>
              <w:rPr>
                <w:rFonts w:ascii="Times New Roman" w:hAnsi="Times New Roman"/>
                <w:color w:val="auto"/>
                <w:szCs w:val="21"/>
                <w:highlight w:val="none"/>
              </w:rPr>
              <w:t>项目名称及项目编号</w:t>
            </w:r>
          </w:p>
        </w:tc>
        <w:tc>
          <w:tcPr>
            <w:tcW w:w="6148" w:type="dxa"/>
            <w:vAlign w:val="center"/>
          </w:tcPr>
          <w:p w14:paraId="37931591">
            <w:pPr>
              <w:spacing w:line="360" w:lineRule="auto"/>
              <w:rPr>
                <w:rFonts w:hint="eastAsia" w:ascii="Times New Roman" w:hAnsi="Times New Roman" w:eastAsia="宋体"/>
                <w:color w:val="auto"/>
                <w:szCs w:val="21"/>
                <w:highlight w:val="none"/>
                <w:lang w:eastAsia="zh-CN"/>
              </w:rPr>
            </w:pPr>
            <w:r>
              <w:rPr>
                <w:rFonts w:ascii="Times New Roman" w:hAnsi="Times New Roman"/>
                <w:color w:val="auto"/>
                <w:szCs w:val="21"/>
                <w:highlight w:val="none"/>
              </w:rPr>
              <w:t>项目名称：</w:t>
            </w:r>
            <w:r>
              <w:rPr>
                <w:rFonts w:hint="eastAsia" w:ascii="Times New Roman" w:hAnsi="Times New Roman"/>
                <w:color w:val="auto"/>
                <w:szCs w:val="21"/>
                <w:highlight w:val="none"/>
                <w:lang w:eastAsia="zh-CN"/>
              </w:rPr>
              <w:t>昆明理工大学城市学院艺术系“人工智能+”新质生产力赋能实践示范中心建设采购项目（z25）（二次）</w:t>
            </w:r>
          </w:p>
          <w:p w14:paraId="20AF2B54">
            <w:pPr>
              <w:spacing w:line="360"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rPr>
              <w:t>招标</w:t>
            </w:r>
            <w:r>
              <w:rPr>
                <w:rFonts w:ascii="Times New Roman" w:hAnsi="Times New Roman"/>
                <w:color w:val="auto"/>
                <w:szCs w:val="21"/>
                <w:highlight w:val="none"/>
              </w:rPr>
              <w:t>编号：</w:t>
            </w:r>
            <w:r>
              <w:rPr>
                <w:rFonts w:hint="eastAsia" w:ascii="Times New Roman" w:hAnsi="Times New Roman"/>
                <w:color w:val="auto"/>
                <w:szCs w:val="21"/>
                <w:highlight w:val="none"/>
                <w:lang w:eastAsia="zh-CN"/>
              </w:rPr>
              <w:t>P53A00325001454C1</w:t>
            </w:r>
          </w:p>
          <w:p w14:paraId="7B1DEC36">
            <w:pPr>
              <w:spacing w:line="360" w:lineRule="auto"/>
              <w:rPr>
                <w:rFonts w:hint="eastAsia" w:ascii="Times New Roman" w:hAnsi="Times New Roman" w:eastAsia="宋体"/>
                <w:color w:val="auto"/>
                <w:szCs w:val="21"/>
                <w:highlight w:val="none"/>
                <w:u w:val="single"/>
                <w:lang w:eastAsia="zh-CN"/>
              </w:rPr>
            </w:pPr>
            <w:r>
              <w:rPr>
                <w:rFonts w:hint="eastAsia" w:ascii="Times New Roman" w:hAnsi="Times New Roman"/>
                <w:color w:val="auto"/>
                <w:szCs w:val="21"/>
                <w:highlight w:val="none"/>
              </w:rPr>
              <w:t xml:space="preserve">政采云项目编号： </w:t>
            </w:r>
            <w:r>
              <w:rPr>
                <w:rFonts w:hint="eastAsia" w:ascii="Times New Roman" w:hAnsi="Times New Roman"/>
                <w:color w:val="auto"/>
                <w:szCs w:val="21"/>
                <w:highlight w:val="none"/>
                <w:lang w:eastAsia="zh-CN"/>
              </w:rPr>
              <w:t>YNZC2025-G1-05150-YZGF-1133</w:t>
            </w:r>
          </w:p>
        </w:tc>
      </w:tr>
      <w:tr w14:paraId="5644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480" w:type="dxa"/>
            <w:vAlign w:val="center"/>
          </w:tcPr>
          <w:p w14:paraId="66A9CBA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w:t>
            </w:r>
          </w:p>
        </w:tc>
        <w:tc>
          <w:tcPr>
            <w:tcW w:w="2432" w:type="dxa"/>
            <w:vAlign w:val="center"/>
          </w:tcPr>
          <w:p w14:paraId="1AF79127">
            <w:pPr>
              <w:spacing w:line="360" w:lineRule="auto"/>
              <w:rPr>
                <w:rFonts w:ascii="Times New Roman" w:hAnsi="Times New Roman"/>
                <w:color w:val="auto"/>
                <w:szCs w:val="21"/>
                <w:highlight w:val="none"/>
              </w:rPr>
            </w:pPr>
            <w:r>
              <w:rPr>
                <w:rFonts w:ascii="Times New Roman" w:hAnsi="Times New Roman"/>
                <w:color w:val="auto"/>
                <w:szCs w:val="21"/>
                <w:highlight w:val="none"/>
              </w:rPr>
              <w:t>资金来源</w:t>
            </w:r>
          </w:p>
        </w:tc>
        <w:tc>
          <w:tcPr>
            <w:tcW w:w="6148" w:type="dxa"/>
            <w:vAlign w:val="center"/>
          </w:tcPr>
          <w:p w14:paraId="26884ED3">
            <w:pPr>
              <w:spacing w:line="360" w:lineRule="auto"/>
              <w:rPr>
                <w:rFonts w:ascii="Times New Roman" w:hAnsi="Times New Roman"/>
                <w:color w:val="auto"/>
                <w:szCs w:val="21"/>
                <w:highlight w:val="none"/>
              </w:rPr>
            </w:pPr>
            <w:r>
              <w:rPr>
                <w:rFonts w:ascii="Times New Roman" w:hAnsi="Times New Roman"/>
                <w:color w:val="auto"/>
                <w:szCs w:val="21"/>
                <w:highlight w:val="none"/>
              </w:rPr>
              <w:t>财政性资金</w:t>
            </w:r>
          </w:p>
        </w:tc>
      </w:tr>
      <w:tr w14:paraId="2E74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14:paraId="26204710">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3.1</w:t>
            </w:r>
          </w:p>
        </w:tc>
        <w:tc>
          <w:tcPr>
            <w:tcW w:w="2432" w:type="dxa"/>
            <w:vAlign w:val="center"/>
          </w:tcPr>
          <w:p w14:paraId="3F52FAD8">
            <w:pPr>
              <w:spacing w:line="360" w:lineRule="auto"/>
              <w:rPr>
                <w:rFonts w:ascii="Times New Roman" w:hAnsi="Times New Roman"/>
                <w:color w:val="auto"/>
                <w:szCs w:val="21"/>
                <w:highlight w:val="none"/>
              </w:rPr>
            </w:pPr>
            <w:r>
              <w:rPr>
                <w:rFonts w:ascii="Times New Roman" w:hAnsi="Times New Roman"/>
                <w:color w:val="auto"/>
                <w:szCs w:val="21"/>
                <w:highlight w:val="none"/>
              </w:rPr>
              <w:t>招标范围</w:t>
            </w:r>
          </w:p>
        </w:tc>
        <w:tc>
          <w:tcPr>
            <w:tcW w:w="6148" w:type="dxa"/>
            <w:vAlign w:val="center"/>
          </w:tcPr>
          <w:p w14:paraId="6D6DF5A0">
            <w:pPr>
              <w:spacing w:line="360" w:lineRule="auto"/>
              <w:jc w:val="left"/>
              <w:rPr>
                <w:rFonts w:ascii="Times New Roman" w:hAnsi="Times New Roman"/>
                <w:color w:val="auto"/>
                <w:szCs w:val="21"/>
                <w:highlight w:val="none"/>
              </w:rPr>
            </w:pPr>
            <w:r>
              <w:rPr>
                <w:rFonts w:ascii="Times New Roman" w:hAnsi="Times New Roman"/>
                <w:color w:val="auto"/>
                <w:szCs w:val="21"/>
                <w:highlight w:val="none"/>
              </w:rPr>
              <w:t>详见</w:t>
            </w:r>
            <w:r>
              <w:rPr>
                <w:rFonts w:ascii="Times New Roman" w:hAnsi="Times New Roman"/>
                <w:bCs/>
                <w:color w:val="auto"/>
                <w:szCs w:val="21"/>
                <w:highlight w:val="none"/>
              </w:rPr>
              <w:t>第五章《货物需求及技术要求》</w:t>
            </w:r>
          </w:p>
        </w:tc>
      </w:tr>
      <w:tr w14:paraId="3B8B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56DDCE3A">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3.2</w:t>
            </w:r>
          </w:p>
        </w:tc>
        <w:tc>
          <w:tcPr>
            <w:tcW w:w="2432" w:type="dxa"/>
            <w:vAlign w:val="center"/>
          </w:tcPr>
          <w:p w14:paraId="163D6EEC">
            <w:pPr>
              <w:spacing w:line="360" w:lineRule="auto"/>
              <w:rPr>
                <w:rFonts w:ascii="Times New Roman" w:hAnsi="Times New Roman"/>
                <w:color w:val="auto"/>
                <w:szCs w:val="21"/>
                <w:highlight w:val="none"/>
              </w:rPr>
            </w:pPr>
            <w:r>
              <w:rPr>
                <w:rFonts w:ascii="Times New Roman" w:hAnsi="Times New Roman"/>
                <w:color w:val="auto"/>
                <w:szCs w:val="21"/>
                <w:highlight w:val="none"/>
              </w:rPr>
              <w:t>交货期、交货地点、交货方式</w:t>
            </w:r>
          </w:p>
        </w:tc>
        <w:tc>
          <w:tcPr>
            <w:tcW w:w="6148" w:type="dxa"/>
            <w:vAlign w:val="center"/>
          </w:tcPr>
          <w:p w14:paraId="4DD52422">
            <w:pPr>
              <w:spacing w:line="360" w:lineRule="auto"/>
              <w:rPr>
                <w:rFonts w:ascii="Times New Roman" w:hAnsi="Times New Roman"/>
                <w:b/>
                <w:bCs/>
                <w:color w:val="auto"/>
                <w:szCs w:val="21"/>
                <w:highlight w:val="none"/>
              </w:rPr>
            </w:pPr>
            <w:r>
              <w:rPr>
                <w:rFonts w:ascii="Times New Roman" w:hAnsi="Times New Roman"/>
                <w:color w:val="auto"/>
                <w:szCs w:val="21"/>
                <w:highlight w:val="none"/>
              </w:rPr>
              <w:t>交货期：</w:t>
            </w:r>
            <w:r>
              <w:rPr>
                <w:rFonts w:hint="eastAsia" w:ascii="Times New Roman" w:hAnsi="Times New Roman"/>
                <w:b/>
                <w:bCs/>
                <w:color w:val="auto"/>
                <w:szCs w:val="21"/>
                <w:highlight w:val="none"/>
              </w:rPr>
              <w:t>合同签订之日起30日历天</w:t>
            </w:r>
            <w:r>
              <w:rPr>
                <w:rFonts w:ascii="Times New Roman" w:hAnsi="Times New Roman"/>
                <w:b/>
                <w:bCs/>
                <w:color w:val="auto"/>
                <w:szCs w:val="21"/>
                <w:highlight w:val="none"/>
              </w:rPr>
              <w:t>（投标人在此期限内自报最短交货期）（此要求为实质性条款，如不满足按废标处理）。</w:t>
            </w:r>
          </w:p>
          <w:p w14:paraId="04D80260">
            <w:pPr>
              <w:spacing w:line="360" w:lineRule="auto"/>
              <w:rPr>
                <w:rFonts w:ascii="Times New Roman" w:hAnsi="Times New Roman"/>
                <w:color w:val="auto"/>
                <w:szCs w:val="21"/>
                <w:highlight w:val="none"/>
              </w:rPr>
            </w:pPr>
            <w:r>
              <w:rPr>
                <w:rFonts w:ascii="Times New Roman" w:hAnsi="Times New Roman"/>
                <w:color w:val="auto"/>
                <w:szCs w:val="21"/>
                <w:highlight w:val="none"/>
              </w:rPr>
              <w:t>交货地点：</w:t>
            </w:r>
            <w:r>
              <w:rPr>
                <w:rFonts w:hint="eastAsia" w:ascii="Times New Roman" w:hAnsi="Times New Roman"/>
                <w:color w:val="auto"/>
                <w:szCs w:val="21"/>
                <w:highlight w:val="none"/>
              </w:rPr>
              <w:t>昆明理工大学呈贡校区。</w:t>
            </w:r>
          </w:p>
          <w:p w14:paraId="6DDFBE11">
            <w:pPr>
              <w:spacing w:line="360" w:lineRule="auto"/>
              <w:rPr>
                <w:rFonts w:ascii="Times New Roman" w:hAnsi="Times New Roman"/>
                <w:color w:val="auto"/>
                <w:szCs w:val="21"/>
                <w:highlight w:val="none"/>
              </w:rPr>
            </w:pPr>
            <w:r>
              <w:rPr>
                <w:rFonts w:ascii="Times New Roman" w:hAnsi="Times New Roman"/>
                <w:color w:val="auto"/>
                <w:szCs w:val="21"/>
                <w:highlight w:val="none"/>
              </w:rPr>
              <w:t>交货方式：安装调试验收完成。</w:t>
            </w:r>
          </w:p>
        </w:tc>
      </w:tr>
      <w:tr w14:paraId="6EE4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716AA85D">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4.1.1</w:t>
            </w:r>
          </w:p>
        </w:tc>
        <w:tc>
          <w:tcPr>
            <w:tcW w:w="2432" w:type="dxa"/>
            <w:vAlign w:val="center"/>
          </w:tcPr>
          <w:p w14:paraId="23C9EBA0">
            <w:pPr>
              <w:spacing w:line="360" w:lineRule="auto"/>
              <w:rPr>
                <w:rFonts w:ascii="Times New Roman" w:hAnsi="Times New Roman"/>
                <w:color w:val="auto"/>
                <w:szCs w:val="21"/>
                <w:highlight w:val="none"/>
              </w:rPr>
            </w:pPr>
            <w:r>
              <w:rPr>
                <w:rFonts w:ascii="Times New Roman" w:hAnsi="Times New Roman"/>
                <w:color w:val="auto"/>
                <w:szCs w:val="21"/>
                <w:highlight w:val="none"/>
              </w:rPr>
              <w:t>投标人具有独立承担民事责任的能力</w:t>
            </w:r>
          </w:p>
        </w:tc>
        <w:tc>
          <w:tcPr>
            <w:tcW w:w="6148" w:type="dxa"/>
            <w:vAlign w:val="center"/>
          </w:tcPr>
          <w:p w14:paraId="14612C13">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提供法人或者其他组织或自然人等有效的营业执照或同等证明文件。</w:t>
            </w:r>
          </w:p>
        </w:tc>
      </w:tr>
      <w:tr w14:paraId="5C17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50C0DDDE">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4.1.2</w:t>
            </w:r>
          </w:p>
        </w:tc>
        <w:tc>
          <w:tcPr>
            <w:tcW w:w="2432" w:type="dxa"/>
            <w:vAlign w:val="center"/>
          </w:tcPr>
          <w:p w14:paraId="120C5FD9">
            <w:pPr>
              <w:spacing w:line="360" w:lineRule="auto"/>
              <w:rPr>
                <w:rFonts w:ascii="Times New Roman" w:hAnsi="Times New Roman"/>
                <w:color w:val="auto"/>
                <w:szCs w:val="21"/>
                <w:highlight w:val="none"/>
              </w:rPr>
            </w:pPr>
            <w:r>
              <w:rPr>
                <w:rFonts w:ascii="Times New Roman" w:hAnsi="Times New Roman"/>
                <w:color w:val="auto"/>
                <w:szCs w:val="21"/>
                <w:highlight w:val="none"/>
              </w:rPr>
              <w:t>投标人具有良好的商业信誉和健全的财务会计制度</w:t>
            </w:r>
          </w:p>
        </w:tc>
        <w:tc>
          <w:tcPr>
            <w:tcW w:w="6148" w:type="dxa"/>
            <w:vAlign w:val="center"/>
          </w:tcPr>
          <w:p w14:paraId="7FC5C545">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①提供2023年或2024年经审计的财务报告（包括资产负债表、利润表/损益表、现金流量表、所有者权益变动表及其附注，执行小企业会计制度的可不用提供所有者权益变动表，事业单位可不用提供利润表/损益表）；</w:t>
            </w:r>
          </w:p>
          <w:p w14:paraId="612DE62B">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②提供自投标文件提交截止时间前三个月内基本开户银行出具的资信证明；</w:t>
            </w:r>
          </w:p>
          <w:p w14:paraId="38E3F46F">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③提供财政部门认可的政府采购专业担保机构对供应商进行资信审查后出具的投标担保函（担保机构须为财政部门认可的政府采购专业担保机构，需提供证明材料）；</w:t>
            </w:r>
          </w:p>
          <w:p w14:paraId="1C2526FC">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2025年新成立的供应商可提供②或③。</w:t>
            </w:r>
          </w:p>
          <w:p w14:paraId="58555129">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（投标人可根据自身情况提供上述任意一种证明材料）</w:t>
            </w:r>
          </w:p>
        </w:tc>
      </w:tr>
      <w:tr w14:paraId="03C7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0AC62EE0">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4.1.3</w:t>
            </w:r>
          </w:p>
        </w:tc>
        <w:tc>
          <w:tcPr>
            <w:tcW w:w="2432" w:type="dxa"/>
            <w:vAlign w:val="center"/>
          </w:tcPr>
          <w:p w14:paraId="70010590">
            <w:pPr>
              <w:spacing w:line="360" w:lineRule="auto"/>
              <w:rPr>
                <w:rFonts w:ascii="Times New Roman" w:hAnsi="Times New Roman"/>
                <w:color w:val="auto"/>
                <w:szCs w:val="21"/>
                <w:highlight w:val="none"/>
              </w:rPr>
            </w:pPr>
            <w:r>
              <w:rPr>
                <w:rFonts w:ascii="Times New Roman" w:hAnsi="Times New Roman"/>
                <w:color w:val="auto"/>
                <w:szCs w:val="21"/>
                <w:highlight w:val="none"/>
              </w:rPr>
              <w:t>投标人具有履行合同所必需的设备和专业技术能力</w:t>
            </w:r>
          </w:p>
        </w:tc>
        <w:tc>
          <w:tcPr>
            <w:tcW w:w="6148" w:type="dxa"/>
            <w:vAlign w:val="center"/>
          </w:tcPr>
          <w:p w14:paraId="723F5C5F">
            <w:pPr>
              <w:spacing w:line="360" w:lineRule="auto"/>
              <w:rPr>
                <w:rFonts w:ascii="Times New Roman" w:hAnsi="Times New Roman"/>
                <w:color w:val="auto"/>
                <w:szCs w:val="21"/>
                <w:highlight w:val="none"/>
              </w:rPr>
            </w:pPr>
            <w:r>
              <w:rPr>
                <w:rFonts w:ascii="Times New Roman" w:hAnsi="Times New Roman"/>
                <w:color w:val="auto"/>
                <w:szCs w:val="21"/>
                <w:highlight w:val="none"/>
              </w:rPr>
              <w:t>投标人提供书面声明或证明材料</w:t>
            </w:r>
            <w:r>
              <w:rPr>
                <w:rFonts w:hint="eastAsia" w:ascii="Times New Roman" w:hAnsi="Times New Roman"/>
                <w:color w:val="auto"/>
                <w:szCs w:val="21"/>
                <w:highlight w:val="none"/>
              </w:rPr>
              <w:t>。</w:t>
            </w:r>
          </w:p>
        </w:tc>
      </w:tr>
      <w:tr w14:paraId="3D832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1B7E1ECD">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4.1.</w:t>
            </w:r>
            <w:r>
              <w:rPr>
                <w:rFonts w:hint="eastAsia" w:ascii="Times New Roman" w:hAnsi="Times New Roman"/>
                <w:color w:val="auto"/>
                <w:szCs w:val="21"/>
                <w:highlight w:val="none"/>
              </w:rPr>
              <w:t>4</w:t>
            </w:r>
          </w:p>
        </w:tc>
        <w:tc>
          <w:tcPr>
            <w:tcW w:w="2432" w:type="dxa"/>
            <w:vAlign w:val="center"/>
          </w:tcPr>
          <w:p w14:paraId="50706834">
            <w:pPr>
              <w:autoSpaceDE w:val="0"/>
              <w:autoSpaceDN w:val="0"/>
              <w:snapToGrid w:val="0"/>
              <w:spacing w:line="360" w:lineRule="auto"/>
              <w:textAlignment w:val="bottom"/>
              <w:rPr>
                <w:rFonts w:ascii="Times New Roman" w:hAnsi="Times New Roman"/>
                <w:color w:val="auto"/>
                <w:szCs w:val="21"/>
                <w:highlight w:val="none"/>
              </w:rPr>
            </w:pPr>
            <w:r>
              <w:rPr>
                <w:rFonts w:ascii="Times New Roman" w:hAnsi="Times New Roman"/>
                <w:color w:val="auto"/>
                <w:szCs w:val="21"/>
                <w:highlight w:val="none"/>
              </w:rPr>
              <w:t>投标人具有依法缴纳税收和社会保障资金的良好记录</w:t>
            </w:r>
          </w:p>
        </w:tc>
        <w:tc>
          <w:tcPr>
            <w:tcW w:w="6148" w:type="dxa"/>
            <w:vAlign w:val="center"/>
          </w:tcPr>
          <w:p w14:paraId="035A628B">
            <w:pPr>
              <w:autoSpaceDE w:val="0"/>
              <w:autoSpaceDN w:val="0"/>
              <w:snapToGrid w:val="0"/>
              <w:spacing w:line="360" w:lineRule="auto"/>
              <w:textAlignment w:val="bottom"/>
              <w:rPr>
                <w:rFonts w:ascii="Times New Roman" w:hAnsi="Times New Roman"/>
                <w:b/>
                <w:color w:val="auto"/>
                <w:szCs w:val="21"/>
                <w:highlight w:val="none"/>
              </w:rPr>
            </w:pPr>
            <w:r>
              <w:rPr>
                <w:rFonts w:ascii="Times New Roman" w:hAnsi="Times New Roman"/>
                <w:color w:val="auto"/>
                <w:szCs w:val="21"/>
                <w:highlight w:val="none"/>
              </w:rPr>
              <w:t>投标人须提供缴税所属时间在202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税务局税收通用缴款书或银行电子缴税（费）凭证或税务局出具纳税情况的相关证明，依法免税的，应提供依法免税的相关证明文件；投标人须提供缴费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社会保险费缴款书或银行电子缴税（费）凭证或社保管理部门出具的有效的缴款证明，依法免缴的，应提供依法免缴的相关证明文件；成立未满3个月的提供成立以来的税收和社会保障资金缴纳凭证或相关情况说明</w:t>
            </w:r>
            <w:r>
              <w:rPr>
                <w:rFonts w:hint="eastAsia" w:ascii="Times New Roman" w:hAnsi="Times New Roman"/>
                <w:color w:val="auto"/>
                <w:szCs w:val="21"/>
                <w:highlight w:val="none"/>
              </w:rPr>
              <w:t>。</w:t>
            </w:r>
          </w:p>
        </w:tc>
      </w:tr>
      <w:tr w14:paraId="4BB2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1480" w:type="dxa"/>
            <w:vAlign w:val="center"/>
          </w:tcPr>
          <w:p w14:paraId="6B36B991">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4.1.</w:t>
            </w:r>
            <w:r>
              <w:rPr>
                <w:rFonts w:hint="eastAsia" w:ascii="Times New Roman" w:hAnsi="Times New Roman"/>
                <w:color w:val="auto"/>
                <w:szCs w:val="21"/>
                <w:highlight w:val="none"/>
              </w:rPr>
              <w:t>5</w:t>
            </w:r>
          </w:p>
        </w:tc>
        <w:tc>
          <w:tcPr>
            <w:tcW w:w="2432" w:type="dxa"/>
            <w:vAlign w:val="center"/>
          </w:tcPr>
          <w:p w14:paraId="2D79D7AD">
            <w:pPr>
              <w:spacing w:line="360" w:lineRule="auto"/>
              <w:rPr>
                <w:rFonts w:ascii="Times New Roman" w:hAnsi="Times New Roman"/>
                <w:color w:val="auto"/>
                <w:szCs w:val="21"/>
                <w:highlight w:val="none"/>
              </w:rPr>
            </w:pPr>
            <w:r>
              <w:rPr>
                <w:rFonts w:ascii="Times New Roman" w:hAnsi="Times New Roman"/>
                <w:color w:val="auto"/>
                <w:szCs w:val="21"/>
                <w:highlight w:val="none"/>
              </w:rPr>
              <w:t>投标人参加政府采购活动前三年内，在经营活动中没有重大违法记录</w:t>
            </w:r>
          </w:p>
        </w:tc>
        <w:tc>
          <w:tcPr>
            <w:tcW w:w="6148" w:type="dxa"/>
            <w:vAlign w:val="center"/>
          </w:tcPr>
          <w:p w14:paraId="3653E62F">
            <w:pPr>
              <w:autoSpaceDE w:val="0"/>
              <w:autoSpaceDN w:val="0"/>
              <w:snapToGrid w:val="0"/>
              <w:spacing w:line="360" w:lineRule="auto"/>
              <w:textAlignment w:val="bottom"/>
              <w:rPr>
                <w:rFonts w:ascii="Times New Roman" w:hAnsi="Times New Roman"/>
                <w:b/>
                <w:color w:val="auto"/>
                <w:szCs w:val="21"/>
                <w:highlight w:val="none"/>
              </w:rPr>
            </w:pPr>
            <w:r>
              <w:rPr>
                <w:rFonts w:ascii="Times New Roman" w:hAnsi="Times New Roman"/>
                <w:color w:val="auto"/>
                <w:szCs w:val="21"/>
                <w:highlight w:val="none"/>
              </w:rPr>
              <w:t>投标人提供书面声明即可</w:t>
            </w:r>
            <w:r>
              <w:rPr>
                <w:rFonts w:ascii="Times New Roman" w:hAnsi="Times New Roman"/>
                <w:color w:val="auto"/>
                <w:highlight w:val="none"/>
              </w:rPr>
              <w:t>；</w:t>
            </w:r>
          </w:p>
        </w:tc>
      </w:tr>
      <w:tr w14:paraId="5058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14:paraId="16208181">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4.2</w:t>
            </w:r>
          </w:p>
        </w:tc>
        <w:tc>
          <w:tcPr>
            <w:tcW w:w="2432" w:type="dxa"/>
            <w:vAlign w:val="center"/>
          </w:tcPr>
          <w:p w14:paraId="7814F033">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落实政府采购政策需满足的资格要求</w:t>
            </w:r>
          </w:p>
        </w:tc>
        <w:tc>
          <w:tcPr>
            <w:tcW w:w="6148" w:type="dxa"/>
            <w:vAlign w:val="center"/>
          </w:tcPr>
          <w:p w14:paraId="564FD986">
            <w:pPr>
              <w:autoSpaceDE w:val="0"/>
              <w:autoSpaceDN w:val="0"/>
              <w:snapToGrid w:val="0"/>
              <w:spacing w:line="360" w:lineRule="auto"/>
              <w:textAlignment w:val="bottom"/>
              <w:rPr>
                <w:rFonts w:ascii="Times New Roman" w:hAnsi="Times New Roman"/>
                <w:color w:val="auto"/>
                <w:szCs w:val="21"/>
                <w:highlight w:val="none"/>
              </w:rPr>
            </w:pPr>
            <w:r>
              <w:rPr>
                <w:rFonts w:ascii="Times New Roman" w:hAnsi="Times New Roman"/>
                <w:color w:val="auto"/>
                <w:szCs w:val="21"/>
                <w:highlight w:val="none"/>
              </w:rPr>
              <w:t>见第一章“招标公告”二、申请人的资格要求</w:t>
            </w:r>
          </w:p>
        </w:tc>
      </w:tr>
      <w:tr w14:paraId="17CB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14:paraId="7AB2FB91">
            <w:pPr>
              <w:spacing w:line="360" w:lineRule="auto"/>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w:t>
            </w:r>
            <w:r>
              <w:rPr>
                <w:rFonts w:hint="eastAsia" w:ascii="Times New Roman" w:hAnsi="Times New Roman"/>
                <w:color w:val="auto"/>
                <w:szCs w:val="21"/>
                <w:highlight w:val="none"/>
              </w:rPr>
              <w:t>3</w:t>
            </w:r>
          </w:p>
        </w:tc>
        <w:tc>
          <w:tcPr>
            <w:tcW w:w="2432" w:type="dxa"/>
            <w:vAlign w:val="center"/>
          </w:tcPr>
          <w:p w14:paraId="3F69F21F">
            <w:pPr>
              <w:spacing w:line="360" w:lineRule="auto"/>
              <w:rPr>
                <w:rFonts w:ascii="Times New Roman" w:hAnsi="Times New Roman"/>
                <w:color w:val="auto"/>
                <w:szCs w:val="21"/>
                <w:highlight w:val="none"/>
              </w:rPr>
            </w:pPr>
            <w:r>
              <w:rPr>
                <w:rFonts w:ascii="Times New Roman" w:hAnsi="Times New Roman"/>
                <w:color w:val="auto"/>
                <w:szCs w:val="21"/>
                <w:highlight w:val="none"/>
              </w:rPr>
              <w:t>采购人根据采购项目的特殊要求规定的特定条件</w:t>
            </w:r>
          </w:p>
        </w:tc>
        <w:tc>
          <w:tcPr>
            <w:tcW w:w="6148" w:type="dxa"/>
            <w:vAlign w:val="center"/>
          </w:tcPr>
          <w:p w14:paraId="5E7A6042">
            <w:pPr>
              <w:autoSpaceDE w:val="0"/>
              <w:autoSpaceDN w:val="0"/>
              <w:snapToGrid w:val="0"/>
              <w:spacing w:line="360" w:lineRule="auto"/>
              <w:textAlignment w:val="bottom"/>
              <w:rPr>
                <w:rFonts w:ascii="Times New Roman" w:hAnsi="Times New Roman"/>
                <w:color w:val="auto"/>
                <w:szCs w:val="21"/>
                <w:highlight w:val="none"/>
              </w:rPr>
            </w:pPr>
            <w:r>
              <w:rPr>
                <w:rFonts w:ascii="Times New Roman" w:hAnsi="Times New Roman"/>
                <w:color w:val="auto"/>
                <w:szCs w:val="21"/>
                <w:highlight w:val="none"/>
              </w:rPr>
              <w:t>见第一章“招标公告”二、申请人的资格要求</w:t>
            </w:r>
          </w:p>
        </w:tc>
      </w:tr>
      <w:tr w14:paraId="646D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480" w:type="dxa"/>
            <w:vAlign w:val="center"/>
          </w:tcPr>
          <w:p w14:paraId="7B7A7530">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w:t>
            </w:r>
            <w:r>
              <w:rPr>
                <w:rFonts w:hint="eastAsia" w:ascii="Times New Roman" w:hAnsi="Times New Roman"/>
                <w:color w:val="auto"/>
                <w:szCs w:val="21"/>
                <w:highlight w:val="none"/>
              </w:rPr>
              <w:t>4</w:t>
            </w:r>
          </w:p>
        </w:tc>
        <w:tc>
          <w:tcPr>
            <w:tcW w:w="2432" w:type="dxa"/>
            <w:vAlign w:val="center"/>
          </w:tcPr>
          <w:p w14:paraId="23EEA12F">
            <w:p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是否接受联合体投标</w:t>
            </w:r>
          </w:p>
        </w:tc>
        <w:tc>
          <w:tcPr>
            <w:tcW w:w="6148" w:type="dxa"/>
            <w:vAlign w:val="center"/>
          </w:tcPr>
          <w:p w14:paraId="14AA4D89">
            <w:pPr>
              <w:spacing w:line="360" w:lineRule="auto"/>
              <w:jc w:val="left"/>
              <w:rPr>
                <w:rFonts w:ascii="Times New Roman" w:hAnsi="Times New Roman"/>
                <w:b/>
                <w:bCs/>
                <w:color w:val="auto"/>
                <w:szCs w:val="21"/>
                <w:highlight w:val="none"/>
              </w:rPr>
            </w:pPr>
            <w:r>
              <w:rPr>
                <w:rFonts w:ascii="Times New Roman" w:hAnsi="Times New Roman"/>
                <w:b/>
                <w:bCs/>
                <w:color w:val="auto"/>
                <w:szCs w:val="21"/>
                <w:highlight w:val="none"/>
              </w:rPr>
              <w:t>不接受</w:t>
            </w:r>
          </w:p>
        </w:tc>
      </w:tr>
      <w:tr w14:paraId="2965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480" w:type="dxa"/>
            <w:vAlign w:val="center"/>
          </w:tcPr>
          <w:p w14:paraId="4EAAAD57">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9.1</w:t>
            </w:r>
          </w:p>
        </w:tc>
        <w:tc>
          <w:tcPr>
            <w:tcW w:w="2432" w:type="dxa"/>
            <w:vAlign w:val="center"/>
          </w:tcPr>
          <w:p w14:paraId="04C8BE06">
            <w:pPr>
              <w:autoSpaceDE w:val="0"/>
              <w:autoSpaceDN w:val="0"/>
              <w:snapToGrid w:val="0"/>
              <w:spacing w:line="360" w:lineRule="auto"/>
              <w:textAlignment w:val="bottom"/>
              <w:rPr>
                <w:rFonts w:ascii="Times New Roman" w:hAnsi="Times New Roman"/>
                <w:color w:val="auto"/>
                <w:szCs w:val="21"/>
                <w:highlight w:val="none"/>
              </w:rPr>
            </w:pPr>
            <w:r>
              <w:rPr>
                <w:rFonts w:ascii="Times New Roman" w:hAnsi="Times New Roman"/>
                <w:color w:val="auto"/>
                <w:szCs w:val="21"/>
                <w:highlight w:val="none"/>
              </w:rPr>
              <w:t>招标文件澄清截止时间</w:t>
            </w:r>
          </w:p>
        </w:tc>
        <w:tc>
          <w:tcPr>
            <w:tcW w:w="6148" w:type="dxa"/>
            <w:vAlign w:val="center"/>
          </w:tcPr>
          <w:p w14:paraId="242E905F">
            <w:pPr>
              <w:spacing w:line="360" w:lineRule="auto"/>
              <w:jc w:val="left"/>
              <w:rPr>
                <w:rFonts w:ascii="Times New Roman" w:hAnsi="Times New Roman"/>
                <w:bCs/>
                <w:color w:val="auto"/>
                <w:szCs w:val="21"/>
                <w:highlight w:val="none"/>
              </w:rPr>
            </w:pPr>
            <w:r>
              <w:rPr>
                <w:rFonts w:ascii="Times New Roman" w:hAnsi="Times New Roman"/>
                <w:color w:val="auto"/>
                <w:szCs w:val="21"/>
                <w:highlight w:val="none"/>
              </w:rPr>
              <w:t>提交投标文件截止时间十五日前</w:t>
            </w:r>
          </w:p>
        </w:tc>
      </w:tr>
      <w:tr w14:paraId="208A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308A8E16">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13.1.3（2）</w:t>
            </w:r>
          </w:p>
        </w:tc>
        <w:tc>
          <w:tcPr>
            <w:tcW w:w="2432" w:type="dxa"/>
            <w:vAlign w:val="center"/>
          </w:tcPr>
          <w:p w14:paraId="4E79B084">
            <w:pPr>
              <w:spacing w:line="360" w:lineRule="auto"/>
              <w:rPr>
                <w:rFonts w:ascii="Times New Roman" w:hAnsi="Times New Roman"/>
                <w:color w:val="auto"/>
                <w:szCs w:val="21"/>
                <w:highlight w:val="none"/>
              </w:rPr>
            </w:pPr>
            <w:r>
              <w:rPr>
                <w:rFonts w:ascii="Times New Roman" w:hAnsi="Times New Roman"/>
                <w:color w:val="auto"/>
                <w:szCs w:val="21"/>
                <w:highlight w:val="none"/>
              </w:rPr>
              <w:t>构成投标文件商务部分的其他资料</w:t>
            </w:r>
          </w:p>
        </w:tc>
        <w:tc>
          <w:tcPr>
            <w:tcW w:w="6148" w:type="dxa"/>
            <w:vAlign w:val="center"/>
          </w:tcPr>
          <w:p w14:paraId="2D759F95">
            <w:pPr>
              <w:spacing w:line="360" w:lineRule="auto"/>
              <w:rPr>
                <w:rFonts w:ascii="Times New Roman" w:hAnsi="Times New Roman"/>
                <w:color w:val="auto"/>
                <w:szCs w:val="21"/>
                <w:highlight w:val="none"/>
              </w:rPr>
            </w:pPr>
            <w:r>
              <w:rPr>
                <w:rFonts w:ascii="Times New Roman" w:hAnsi="Times New Roman"/>
                <w:color w:val="auto"/>
                <w:szCs w:val="21"/>
                <w:highlight w:val="none"/>
              </w:rPr>
              <w:t>1、提供至本项目投标截止时间前类似项目业绩的证明材料；</w:t>
            </w:r>
          </w:p>
          <w:p w14:paraId="1477D2A0">
            <w:pPr>
              <w:autoSpaceDE w:val="0"/>
              <w:autoSpaceDN w:val="0"/>
              <w:snapToGrid w:val="0"/>
              <w:spacing w:line="360" w:lineRule="auto"/>
              <w:textAlignment w:val="bottom"/>
              <w:rPr>
                <w:rFonts w:ascii="Times New Roman" w:hAnsi="Times New Roman"/>
                <w:bCs/>
                <w:color w:val="auto"/>
                <w:szCs w:val="21"/>
                <w:highlight w:val="none"/>
              </w:rPr>
            </w:pPr>
            <w:r>
              <w:rPr>
                <w:rFonts w:ascii="Times New Roman" w:hAnsi="Times New Roman"/>
                <w:color w:val="auto"/>
                <w:szCs w:val="21"/>
                <w:highlight w:val="none"/>
              </w:rPr>
              <w:t>2、售后服务机构技术力量说明</w:t>
            </w:r>
            <w:r>
              <w:rPr>
                <w:rFonts w:ascii="Times New Roman" w:hAnsi="Times New Roman"/>
                <w:bCs/>
                <w:color w:val="auto"/>
                <w:szCs w:val="21"/>
                <w:highlight w:val="none"/>
              </w:rPr>
              <w:t>；</w:t>
            </w:r>
          </w:p>
          <w:p w14:paraId="53D80024">
            <w:pPr>
              <w:autoSpaceDE w:val="0"/>
              <w:autoSpaceDN w:val="0"/>
              <w:snapToGrid w:val="0"/>
              <w:spacing w:line="360" w:lineRule="auto"/>
              <w:textAlignment w:val="bottom"/>
              <w:rPr>
                <w:rFonts w:ascii="Times New Roman" w:hAnsi="Times New Roman"/>
                <w:bCs/>
                <w:color w:val="auto"/>
                <w:szCs w:val="21"/>
                <w:highlight w:val="none"/>
              </w:rPr>
            </w:pPr>
            <w:r>
              <w:rPr>
                <w:rFonts w:ascii="Times New Roman" w:hAnsi="Times New Roman"/>
                <w:bCs/>
                <w:color w:val="auto"/>
                <w:szCs w:val="21"/>
                <w:highlight w:val="none"/>
              </w:rPr>
              <w:t>3、招标文件中所涉及到的相关资料及证明文件或投标人认为必须提供的其他相关资料。</w:t>
            </w:r>
          </w:p>
        </w:tc>
      </w:tr>
      <w:tr w14:paraId="5BE6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7573CE52">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13.1.4（2）</w:t>
            </w:r>
          </w:p>
        </w:tc>
        <w:tc>
          <w:tcPr>
            <w:tcW w:w="2432" w:type="dxa"/>
            <w:vAlign w:val="center"/>
          </w:tcPr>
          <w:p w14:paraId="76BF18B8">
            <w:pPr>
              <w:spacing w:line="360" w:lineRule="auto"/>
              <w:rPr>
                <w:rFonts w:ascii="Times New Roman" w:hAnsi="Times New Roman"/>
                <w:color w:val="auto"/>
                <w:szCs w:val="21"/>
                <w:highlight w:val="none"/>
              </w:rPr>
            </w:pPr>
            <w:r>
              <w:rPr>
                <w:rFonts w:ascii="Times New Roman" w:hAnsi="Times New Roman"/>
                <w:color w:val="auto"/>
                <w:szCs w:val="21"/>
                <w:highlight w:val="none"/>
              </w:rPr>
              <w:t>构成投标文件技术部分的其他资料</w:t>
            </w:r>
          </w:p>
        </w:tc>
        <w:tc>
          <w:tcPr>
            <w:tcW w:w="6148" w:type="dxa"/>
            <w:vAlign w:val="center"/>
          </w:tcPr>
          <w:p w14:paraId="1C2451A4">
            <w:pPr>
              <w:autoSpaceDE w:val="0"/>
              <w:autoSpaceDN w:val="0"/>
              <w:snapToGrid w:val="0"/>
              <w:spacing w:line="360" w:lineRule="auto"/>
              <w:textAlignment w:val="bottom"/>
              <w:rPr>
                <w:rFonts w:ascii="Times New Roman" w:hAnsi="Times New Roman"/>
                <w:bCs/>
                <w:color w:val="auto"/>
                <w:szCs w:val="21"/>
                <w:highlight w:val="none"/>
              </w:rPr>
            </w:pPr>
            <w:r>
              <w:rPr>
                <w:rFonts w:ascii="Times New Roman" w:hAnsi="Times New Roman"/>
                <w:bCs/>
                <w:color w:val="auto"/>
                <w:szCs w:val="21"/>
                <w:highlight w:val="none"/>
              </w:rPr>
              <w:t>1、第五章《货物需求及技术要求》中要求提供的其他资料；</w:t>
            </w:r>
          </w:p>
          <w:p w14:paraId="385CD1BA">
            <w:pPr>
              <w:autoSpaceDE w:val="0"/>
              <w:autoSpaceDN w:val="0"/>
              <w:snapToGrid w:val="0"/>
              <w:spacing w:line="360" w:lineRule="auto"/>
              <w:textAlignment w:val="bottom"/>
              <w:rPr>
                <w:rFonts w:ascii="Times New Roman" w:hAnsi="Times New Roman"/>
                <w:bCs/>
                <w:color w:val="auto"/>
                <w:szCs w:val="21"/>
                <w:highlight w:val="none"/>
              </w:rPr>
            </w:pPr>
            <w:r>
              <w:rPr>
                <w:rFonts w:ascii="Times New Roman" w:hAnsi="Times New Roman"/>
                <w:bCs/>
                <w:color w:val="auto"/>
                <w:szCs w:val="21"/>
                <w:highlight w:val="none"/>
              </w:rPr>
              <w:t>2、招标文件中所涉及到的相关资料及证明文件或投标人认为必须提供的其他相关资料。</w:t>
            </w:r>
          </w:p>
        </w:tc>
      </w:tr>
      <w:tr w14:paraId="0D1C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38EA0E92">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15.1</w:t>
            </w:r>
          </w:p>
        </w:tc>
        <w:tc>
          <w:tcPr>
            <w:tcW w:w="2432" w:type="dxa"/>
            <w:vAlign w:val="center"/>
          </w:tcPr>
          <w:p w14:paraId="063DC02C">
            <w:pPr>
              <w:spacing w:line="360" w:lineRule="auto"/>
              <w:rPr>
                <w:rFonts w:ascii="Times New Roman" w:hAnsi="Times New Roman"/>
                <w:color w:val="auto"/>
                <w:szCs w:val="21"/>
                <w:highlight w:val="none"/>
              </w:rPr>
            </w:pPr>
            <w:r>
              <w:rPr>
                <w:rFonts w:ascii="Times New Roman" w:hAnsi="Times New Roman"/>
                <w:color w:val="auto"/>
                <w:szCs w:val="21"/>
                <w:highlight w:val="none"/>
              </w:rPr>
              <w:t>本项目预算金额及最高限价</w:t>
            </w:r>
          </w:p>
        </w:tc>
        <w:tc>
          <w:tcPr>
            <w:tcW w:w="6148" w:type="dxa"/>
            <w:vAlign w:val="center"/>
          </w:tcPr>
          <w:p w14:paraId="0A021641">
            <w:pPr>
              <w:autoSpaceDE w:val="0"/>
              <w:autoSpaceDN w:val="0"/>
              <w:snapToGrid w:val="0"/>
              <w:spacing w:line="360" w:lineRule="auto"/>
              <w:textAlignment w:val="bottom"/>
              <w:rPr>
                <w:rFonts w:ascii="Times New Roman" w:hAnsi="Times New Roman"/>
                <w:bCs/>
                <w:color w:val="auto"/>
                <w:szCs w:val="21"/>
                <w:highlight w:val="none"/>
              </w:rPr>
            </w:pPr>
            <w:r>
              <w:rPr>
                <w:rFonts w:ascii="Times New Roman" w:hAnsi="Times New Roman"/>
                <w:color w:val="auto"/>
                <w:szCs w:val="21"/>
                <w:highlight w:val="none"/>
              </w:rPr>
              <w:t>见第一章“招标公告”</w:t>
            </w:r>
          </w:p>
        </w:tc>
      </w:tr>
      <w:tr w14:paraId="1B64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168B3AC8">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17.1</w:t>
            </w:r>
          </w:p>
        </w:tc>
        <w:tc>
          <w:tcPr>
            <w:tcW w:w="2432" w:type="dxa"/>
            <w:vAlign w:val="center"/>
          </w:tcPr>
          <w:p w14:paraId="765AC21A">
            <w:pPr>
              <w:spacing w:line="360" w:lineRule="auto"/>
              <w:rPr>
                <w:rFonts w:ascii="Times New Roman" w:hAnsi="Times New Roman"/>
                <w:color w:val="auto"/>
                <w:szCs w:val="21"/>
                <w:highlight w:val="none"/>
              </w:rPr>
            </w:pPr>
            <w:r>
              <w:rPr>
                <w:rFonts w:ascii="Times New Roman" w:hAnsi="Times New Roman"/>
                <w:color w:val="auto"/>
                <w:szCs w:val="21"/>
                <w:highlight w:val="none"/>
              </w:rPr>
              <w:t>投标文件有效期</w:t>
            </w:r>
          </w:p>
        </w:tc>
        <w:tc>
          <w:tcPr>
            <w:tcW w:w="6148" w:type="dxa"/>
            <w:vAlign w:val="center"/>
          </w:tcPr>
          <w:p w14:paraId="12D5492C">
            <w:pPr>
              <w:spacing w:line="360" w:lineRule="auto"/>
              <w:rPr>
                <w:rFonts w:ascii="Times New Roman" w:hAnsi="Times New Roman"/>
                <w:color w:val="auto"/>
                <w:szCs w:val="21"/>
                <w:highlight w:val="none"/>
              </w:rPr>
            </w:pPr>
            <w:r>
              <w:rPr>
                <w:rFonts w:ascii="Times New Roman" w:hAnsi="Times New Roman"/>
                <w:color w:val="auto"/>
                <w:szCs w:val="21"/>
                <w:highlight w:val="none"/>
              </w:rPr>
              <w:t>从提交投标文件截止之日起</w:t>
            </w:r>
            <w:r>
              <w:rPr>
                <w:rFonts w:ascii="Times New Roman" w:hAnsi="Times New Roman"/>
                <w:color w:val="auto"/>
                <w:szCs w:val="21"/>
                <w:highlight w:val="none"/>
                <w:u w:val="single"/>
              </w:rPr>
              <w:t>90</w:t>
            </w:r>
            <w:r>
              <w:rPr>
                <w:rFonts w:ascii="Times New Roman" w:hAnsi="Times New Roman"/>
                <w:color w:val="auto"/>
                <w:szCs w:val="21"/>
                <w:highlight w:val="none"/>
              </w:rPr>
              <w:t>日历天</w:t>
            </w:r>
          </w:p>
        </w:tc>
      </w:tr>
      <w:tr w14:paraId="65B35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0752FCE3">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18.1</w:t>
            </w:r>
          </w:p>
        </w:tc>
        <w:tc>
          <w:tcPr>
            <w:tcW w:w="2432" w:type="dxa"/>
            <w:vAlign w:val="center"/>
          </w:tcPr>
          <w:p w14:paraId="15BC36E8">
            <w:pPr>
              <w:spacing w:line="360" w:lineRule="auto"/>
              <w:rPr>
                <w:rFonts w:ascii="Times New Roman" w:hAnsi="Times New Roman"/>
                <w:color w:val="auto"/>
                <w:szCs w:val="21"/>
                <w:highlight w:val="none"/>
              </w:rPr>
            </w:pPr>
            <w:r>
              <w:rPr>
                <w:rFonts w:ascii="Times New Roman" w:hAnsi="Times New Roman"/>
                <w:color w:val="auto"/>
                <w:szCs w:val="21"/>
                <w:highlight w:val="none"/>
              </w:rPr>
              <w:t>分包</w:t>
            </w:r>
          </w:p>
        </w:tc>
        <w:tc>
          <w:tcPr>
            <w:tcW w:w="6148" w:type="dxa"/>
            <w:vAlign w:val="center"/>
          </w:tcPr>
          <w:p w14:paraId="70931CB9">
            <w:pPr>
              <w:spacing w:line="360" w:lineRule="auto"/>
              <w:rPr>
                <w:rFonts w:ascii="Times New Roman" w:hAnsi="Times New Roman"/>
                <w:color w:val="auto"/>
                <w:szCs w:val="21"/>
                <w:highlight w:val="none"/>
              </w:rPr>
            </w:pPr>
            <w:r>
              <w:rPr>
                <w:rFonts w:ascii="Times New Roman" w:hAnsi="Times New Roman"/>
                <w:color w:val="auto"/>
                <w:szCs w:val="21"/>
                <w:highlight w:val="none"/>
              </w:rPr>
              <w:t>■本项目不得分包。</w:t>
            </w:r>
          </w:p>
          <w:p w14:paraId="56C1D91F">
            <w:pPr>
              <w:spacing w:line="360" w:lineRule="auto"/>
              <w:rPr>
                <w:rFonts w:ascii="Times New Roman" w:hAnsi="Times New Roman"/>
                <w:color w:val="auto"/>
                <w:szCs w:val="21"/>
                <w:highlight w:val="none"/>
              </w:rPr>
            </w:pPr>
            <w:r>
              <w:rPr>
                <w:rFonts w:ascii="Times New Roman" w:hAnsi="Times New Roman"/>
                <w:color w:val="auto"/>
                <w:szCs w:val="21"/>
                <w:highlight w:val="none"/>
              </w:rPr>
              <w:t>□本项目中，可以分包。</w:t>
            </w:r>
          </w:p>
        </w:tc>
      </w:tr>
      <w:tr w14:paraId="29F1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480" w:type="dxa"/>
            <w:vAlign w:val="center"/>
          </w:tcPr>
          <w:p w14:paraId="2BAE3B1E">
            <w:pPr>
              <w:spacing w:line="360" w:lineRule="auto"/>
              <w:jc w:val="center"/>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21</w:t>
            </w:r>
          </w:p>
        </w:tc>
        <w:tc>
          <w:tcPr>
            <w:tcW w:w="2432" w:type="dxa"/>
            <w:vAlign w:val="center"/>
          </w:tcPr>
          <w:p w14:paraId="561EC749">
            <w:pPr>
              <w:spacing w:line="360" w:lineRule="auto"/>
              <w:rPr>
                <w:rFonts w:ascii="Times New Roman" w:hAnsi="Times New Roman"/>
                <w:color w:val="auto"/>
                <w:szCs w:val="21"/>
                <w:highlight w:val="none"/>
              </w:rPr>
            </w:pPr>
            <w:r>
              <w:rPr>
                <w:rFonts w:ascii="Times New Roman" w:hAnsi="Times New Roman"/>
                <w:color w:val="auto"/>
                <w:szCs w:val="21"/>
                <w:highlight w:val="none"/>
              </w:rPr>
              <w:t>投标保证金</w:t>
            </w:r>
          </w:p>
        </w:tc>
        <w:tc>
          <w:tcPr>
            <w:tcW w:w="6148" w:type="dxa"/>
            <w:vAlign w:val="center"/>
          </w:tcPr>
          <w:p w14:paraId="75D0301B">
            <w:pPr>
              <w:rPr>
                <w:rFonts w:ascii="Times New Roman" w:hAnsi="Times New Roman"/>
                <w:color w:val="auto"/>
                <w:szCs w:val="21"/>
                <w:highlight w:val="none"/>
              </w:rPr>
            </w:pPr>
            <w:r>
              <w:rPr>
                <w:rFonts w:ascii="Times New Roman" w:hAnsi="Times New Roman"/>
                <w:b/>
                <w:bCs/>
                <w:color w:val="auto"/>
                <w:szCs w:val="21"/>
                <w:highlight w:val="none"/>
              </w:rPr>
              <w:t>一、投标保证金形式：</w:t>
            </w:r>
            <w:r>
              <w:rPr>
                <w:rFonts w:ascii="Times New Roman" w:hAnsi="Times New Roman"/>
                <w:color w:val="auto"/>
                <w:szCs w:val="21"/>
                <w:highlight w:val="none"/>
              </w:rPr>
              <w:t>支票、汇票、本票、保函、保证保险、银行转账、网银、电汇等非现金形式，投标人可根据实际情况，选择保证金的提供或缴纳方式。</w:t>
            </w:r>
          </w:p>
          <w:p w14:paraId="4ED26DEC">
            <w:pPr>
              <w:pStyle w:val="12"/>
              <w:rPr>
                <w:rFonts w:ascii="Times New Roman" w:hAnsi="Times New Roman" w:eastAsia="宋体"/>
                <w:color w:val="auto"/>
                <w:sz w:val="21"/>
                <w:szCs w:val="21"/>
                <w:highlight w:val="none"/>
                <w:u w:val="single"/>
              </w:rPr>
            </w:pPr>
            <w:r>
              <w:rPr>
                <w:rFonts w:ascii="Times New Roman" w:hAnsi="Times New Roman" w:eastAsia="宋体"/>
                <w:color w:val="auto"/>
                <w:sz w:val="21"/>
                <w:szCs w:val="21"/>
                <w:highlight w:val="none"/>
              </w:rPr>
              <w:t>二、投标保证金金额：</w:t>
            </w:r>
            <w:r>
              <w:rPr>
                <w:rFonts w:hint="eastAsia" w:ascii="Times New Roman" w:hAnsi="Times New Roman" w:eastAsia="宋体"/>
                <w:color w:val="auto"/>
                <w:sz w:val="21"/>
                <w:szCs w:val="21"/>
                <w:highlight w:val="none"/>
                <w:u w:val="single"/>
                <w:lang w:val="en-US" w:eastAsia="zh-CN"/>
              </w:rPr>
              <w:t>20</w:t>
            </w:r>
            <w:r>
              <w:rPr>
                <w:rFonts w:hint="eastAsia" w:ascii="Times New Roman" w:hAnsi="Times New Roman" w:eastAsia="宋体"/>
                <w:color w:val="auto"/>
                <w:sz w:val="21"/>
                <w:szCs w:val="21"/>
                <w:highlight w:val="none"/>
                <w:u w:val="single"/>
              </w:rPr>
              <w:t>0</w:t>
            </w:r>
            <w:r>
              <w:rPr>
                <w:rFonts w:ascii="Times New Roman" w:hAnsi="Times New Roman" w:eastAsia="宋体"/>
                <w:color w:val="auto"/>
                <w:sz w:val="21"/>
                <w:szCs w:val="21"/>
                <w:highlight w:val="none"/>
                <w:u w:val="single"/>
              </w:rPr>
              <w:t>00.00元</w:t>
            </w:r>
            <w:r>
              <w:rPr>
                <w:rFonts w:hint="eastAsia" w:ascii="Times New Roman" w:hAnsi="Times New Roman" w:eastAsia="宋体"/>
                <w:color w:val="auto"/>
                <w:sz w:val="21"/>
                <w:szCs w:val="21"/>
                <w:highlight w:val="none"/>
                <w:u w:val="single"/>
              </w:rPr>
              <w:t>。</w:t>
            </w:r>
          </w:p>
          <w:p w14:paraId="79CFE926">
            <w:pPr>
              <w:rPr>
                <w:rFonts w:ascii="Times New Roman" w:hAnsi="Times New Roman"/>
                <w:b/>
                <w:bCs/>
                <w:color w:val="auto"/>
                <w:szCs w:val="21"/>
                <w:highlight w:val="none"/>
              </w:rPr>
            </w:pPr>
            <w:r>
              <w:rPr>
                <w:rFonts w:ascii="Times New Roman" w:hAnsi="Times New Roman"/>
                <w:b/>
                <w:bCs/>
                <w:color w:val="auto"/>
                <w:szCs w:val="21"/>
                <w:highlight w:val="none"/>
              </w:rPr>
              <w:t>三、投标保证金</w:t>
            </w:r>
            <w:r>
              <w:rPr>
                <w:rFonts w:ascii="Times New Roman" w:hAnsi="Times New Roman"/>
                <w:b/>
                <w:bCs/>
                <w:color w:val="auto"/>
                <w:kern w:val="0"/>
                <w:szCs w:val="21"/>
                <w:highlight w:val="none"/>
              </w:rPr>
              <w:t>办理程序</w:t>
            </w:r>
          </w:p>
          <w:p w14:paraId="38303EA8">
            <w:pPr>
              <w:rPr>
                <w:rFonts w:ascii="Times New Roman" w:hAnsi="Times New Roman"/>
                <w:color w:val="auto"/>
                <w:szCs w:val="21"/>
                <w:highlight w:val="none"/>
              </w:rPr>
            </w:pPr>
            <w:r>
              <w:rPr>
                <w:rFonts w:ascii="Times New Roman" w:hAnsi="Times New Roman"/>
                <w:b/>
                <w:bCs/>
                <w:color w:val="auto"/>
                <w:szCs w:val="21"/>
                <w:highlight w:val="none"/>
              </w:rPr>
              <w:t>1、银行转账：</w:t>
            </w:r>
            <w:r>
              <w:rPr>
                <w:rFonts w:ascii="Times New Roman" w:hAnsi="Times New Roman"/>
                <w:color w:val="auto"/>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2DE08395">
            <w:pPr>
              <w:rPr>
                <w:rFonts w:ascii="Times New Roman" w:hAnsi="Times New Roman"/>
                <w:b/>
                <w:bCs/>
                <w:color w:val="auto"/>
                <w:szCs w:val="21"/>
                <w:highlight w:val="none"/>
              </w:rPr>
            </w:pPr>
            <w:r>
              <w:rPr>
                <w:rFonts w:ascii="Times New Roman" w:hAnsi="Times New Roman"/>
                <w:b/>
                <w:bCs/>
                <w:color w:val="auto"/>
                <w:szCs w:val="21"/>
                <w:highlight w:val="none"/>
              </w:rPr>
              <w:t>投标保证金缴纳至如下账户：</w:t>
            </w:r>
          </w:p>
          <w:p w14:paraId="1924A8B9">
            <w:pPr>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开户名称：云南招标股份有限公司</w:t>
            </w:r>
          </w:p>
          <w:p w14:paraId="2E698086">
            <w:pPr>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开户银行：富滇银行股份有限公司昆明科技支行；</w:t>
            </w:r>
          </w:p>
          <w:p w14:paraId="20745AD1">
            <w:pPr>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开户账号：</w:t>
            </w:r>
            <w:r>
              <w:rPr>
                <w:rFonts w:hint="eastAsia" w:ascii="Times New Roman" w:hAnsi="Times New Roman"/>
                <w:b/>
                <w:bCs/>
                <w:color w:val="auto"/>
                <w:szCs w:val="21"/>
                <w:highlight w:val="none"/>
                <w:lang w:val="en-US" w:eastAsia="zh-CN"/>
              </w:rPr>
              <w:t>010000026435</w:t>
            </w:r>
            <w:r>
              <w:rPr>
                <w:rFonts w:ascii="Times New Roman" w:hAnsi="Times New Roman"/>
                <w:b/>
                <w:bCs/>
                <w:color w:val="auto"/>
                <w:szCs w:val="21"/>
                <w:highlight w:val="none"/>
              </w:rPr>
              <w:t>；</w:t>
            </w:r>
          </w:p>
          <w:p w14:paraId="2ACCB801">
            <w:pPr>
              <w:rPr>
                <w:rFonts w:ascii="Times New Roman" w:hAnsi="Times New Roman"/>
                <w:b/>
                <w:bCs/>
                <w:color w:val="auto"/>
                <w:szCs w:val="21"/>
                <w:highlight w:val="none"/>
              </w:rPr>
            </w:pPr>
            <w:r>
              <w:rPr>
                <w:rFonts w:ascii="Times New Roman" w:hAnsi="Times New Roman"/>
                <w:b/>
                <w:bCs/>
                <w:color w:val="auto"/>
                <w:szCs w:val="21"/>
                <w:highlight w:val="none"/>
              </w:rPr>
              <w:t>2、保证保险：</w:t>
            </w:r>
          </w:p>
          <w:p w14:paraId="0ABBBB0F">
            <w:pPr>
              <w:ind w:firstLine="420" w:firstLineChars="200"/>
              <w:rPr>
                <w:rFonts w:ascii="Times New Roman" w:hAnsi="Times New Roman"/>
                <w:color w:val="auto"/>
                <w:szCs w:val="21"/>
                <w:highlight w:val="none"/>
              </w:rPr>
            </w:pPr>
            <w:r>
              <w:rPr>
                <w:rFonts w:ascii="Times New Roman" w:hAnsi="Times New Roman"/>
                <w:color w:val="auto"/>
                <w:szCs w:val="21"/>
                <w:highlight w:val="none"/>
              </w:rPr>
              <w:t>（1）当投标人未能按照招投标文件要求履行投标义务而导致招标人受到损失时，由保险公司按照保险合同对招标人的损失承担代偿责任。</w:t>
            </w:r>
          </w:p>
          <w:p w14:paraId="5F03E6DE">
            <w:pPr>
              <w:ind w:firstLine="420" w:firstLineChars="200"/>
              <w:rPr>
                <w:rFonts w:ascii="Times New Roman" w:hAnsi="Times New Roman"/>
                <w:color w:val="auto"/>
                <w:szCs w:val="21"/>
                <w:highlight w:val="none"/>
              </w:rPr>
            </w:pPr>
            <w:r>
              <w:rPr>
                <w:rFonts w:ascii="Times New Roman" w:hAnsi="Times New Roman"/>
                <w:color w:val="auto"/>
                <w:szCs w:val="21"/>
                <w:highlight w:val="none"/>
              </w:rPr>
              <w:t>（2）投标人在支付投标保证金保险费时，必须使用基本账号资金支付购买，未从基本账户转出支付保费造成经济纠纷的应由企业自行承担。</w:t>
            </w:r>
          </w:p>
          <w:p w14:paraId="33BCCA3C">
            <w:pPr>
              <w:ind w:firstLine="420" w:firstLineChars="200"/>
              <w:rPr>
                <w:rFonts w:ascii="Times New Roman" w:hAnsi="Times New Roman"/>
                <w:color w:val="auto"/>
                <w:szCs w:val="21"/>
                <w:highlight w:val="none"/>
              </w:rPr>
            </w:pPr>
            <w:r>
              <w:rPr>
                <w:rFonts w:ascii="Times New Roman" w:hAnsi="Times New Roman"/>
                <w:color w:val="auto"/>
                <w:szCs w:val="21"/>
                <w:highlight w:val="none"/>
              </w:rPr>
              <w:t>（3）在投标保证保险中，投标人为投保人，招标人为被保险人。</w:t>
            </w:r>
          </w:p>
          <w:p w14:paraId="6CA735BD">
            <w:pPr>
              <w:rPr>
                <w:rFonts w:ascii="Times New Roman" w:hAnsi="Times New Roman"/>
                <w:b/>
                <w:bCs/>
                <w:color w:val="auto"/>
                <w:szCs w:val="21"/>
                <w:highlight w:val="none"/>
              </w:rPr>
            </w:pPr>
            <w:r>
              <w:rPr>
                <w:rFonts w:ascii="Times New Roman" w:hAnsi="Times New Roman"/>
                <w:b/>
                <w:bCs/>
                <w:color w:val="auto"/>
                <w:szCs w:val="21"/>
                <w:highlight w:val="none"/>
              </w:rPr>
              <w:t>3、银行保函：</w:t>
            </w:r>
          </w:p>
          <w:p w14:paraId="65C57A9C">
            <w:pPr>
              <w:ind w:firstLine="420" w:firstLineChars="200"/>
              <w:rPr>
                <w:rFonts w:ascii="Times New Roman" w:hAnsi="Times New Roman"/>
                <w:color w:val="auto"/>
                <w:szCs w:val="21"/>
                <w:highlight w:val="none"/>
              </w:rPr>
            </w:pPr>
            <w:r>
              <w:rPr>
                <w:rFonts w:ascii="Times New Roman" w:hAnsi="Times New Roman"/>
                <w:color w:val="auto"/>
                <w:szCs w:val="21"/>
                <w:highlight w:val="none"/>
              </w:rPr>
              <w:t>（1）当投标人未能按照招投标文件要求履行投标义务而导致招标人受到损失时，由担保银行按照要求对招标人的损失承担代偿责任。</w:t>
            </w:r>
          </w:p>
          <w:p w14:paraId="63FDA2B0">
            <w:pPr>
              <w:ind w:firstLine="420" w:firstLineChars="200"/>
              <w:rPr>
                <w:rFonts w:ascii="Times New Roman" w:hAnsi="Times New Roman"/>
                <w:color w:val="auto"/>
                <w:szCs w:val="21"/>
                <w:highlight w:val="none"/>
              </w:rPr>
            </w:pPr>
            <w:r>
              <w:rPr>
                <w:rFonts w:ascii="Times New Roman" w:hAnsi="Times New Roman"/>
                <w:color w:val="auto"/>
                <w:szCs w:val="21"/>
                <w:highlight w:val="none"/>
              </w:rPr>
              <w:t>（2）在投标担保中，投标人为被担保人，招标人为受益人。</w:t>
            </w:r>
          </w:p>
          <w:p w14:paraId="145728FC">
            <w:pPr>
              <w:rPr>
                <w:rFonts w:ascii="Times New Roman" w:hAnsi="Times New Roman"/>
                <w:b/>
                <w:bCs/>
                <w:color w:val="auto"/>
                <w:szCs w:val="21"/>
                <w:highlight w:val="none"/>
              </w:rPr>
            </w:pPr>
            <w:r>
              <w:rPr>
                <w:rFonts w:hint="eastAsia" w:ascii="Times New Roman" w:hAnsi="Times New Roman"/>
                <w:b/>
                <w:bCs/>
                <w:color w:val="auto"/>
                <w:szCs w:val="21"/>
                <w:highlight w:val="none"/>
              </w:rPr>
              <w:t>4、支票、汇票、本票：</w:t>
            </w:r>
          </w:p>
          <w:p w14:paraId="6ECC065D">
            <w:pPr>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（1）投标人需开具以招标代理机构为收款人的有效票据，票据类型为：银行汇票、银行本票，支票需为投标人开具的有效支票。</w:t>
            </w:r>
          </w:p>
          <w:p w14:paraId="241D0E2E">
            <w:pPr>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（2）由投标人从其基本账户开户行出具，金额需与保证金金额一致，且票据需在投标有效期内有效。</w:t>
            </w:r>
          </w:p>
          <w:p w14:paraId="09B5BFE0">
            <w:pPr>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（3）票据需注明“投标保证金”用途，开具票据后在投标截止时间前需提交原件（正本票据）至云南招标股份有限公司昆明市人民西路328号办公楼2楼201（财务室）提供财务进行核验。</w:t>
            </w:r>
          </w:p>
          <w:p w14:paraId="1C8E9A97">
            <w:pPr>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（4）到账时间：保证金到账时间以财务收到并核验通过时间为准，投标人如采用以上方式递交，需考虑预留银行处理周期。</w:t>
            </w:r>
          </w:p>
          <w:p w14:paraId="25CD5EC2">
            <w:pPr>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（5）收款账户信息与投标保证金转账缴纳账户一致。 </w:t>
            </w:r>
          </w:p>
          <w:p w14:paraId="52B91264">
            <w:pPr>
              <w:autoSpaceDE w:val="0"/>
              <w:autoSpaceDN w:val="0"/>
              <w:rPr>
                <w:rFonts w:ascii="Times New Roman" w:hAnsi="Times New Roman"/>
                <w:b/>
                <w:bCs/>
                <w:color w:val="auto"/>
                <w:szCs w:val="21"/>
                <w:highlight w:val="none"/>
              </w:rPr>
            </w:pPr>
            <w:r>
              <w:rPr>
                <w:rFonts w:ascii="Times New Roman" w:hAnsi="Times New Roman"/>
                <w:b/>
                <w:bCs/>
                <w:color w:val="auto"/>
                <w:szCs w:val="21"/>
                <w:highlight w:val="none"/>
              </w:rPr>
              <w:t>四、投标保证金有效期同投标有效期，需符合本章17.1条规定。</w:t>
            </w:r>
          </w:p>
          <w:p w14:paraId="21035EF8">
            <w:pPr>
              <w:autoSpaceDE w:val="0"/>
              <w:autoSpaceDN w:val="0"/>
              <w:jc w:val="left"/>
              <w:textAlignment w:val="center"/>
              <w:rPr>
                <w:rFonts w:ascii="Times New Roman" w:hAnsi="Times New Roman"/>
                <w:b/>
                <w:bCs/>
                <w:color w:val="auto"/>
                <w:szCs w:val="21"/>
                <w:highlight w:val="none"/>
              </w:rPr>
            </w:pPr>
            <w:r>
              <w:rPr>
                <w:rFonts w:ascii="Times New Roman" w:hAnsi="Times New Roman"/>
                <w:b/>
                <w:bCs/>
                <w:color w:val="auto"/>
                <w:szCs w:val="21"/>
                <w:highlight w:val="none"/>
              </w:rPr>
              <w:t>五、提交投标保证金的截止时间为：</w:t>
            </w:r>
            <w:r>
              <w:rPr>
                <w:rFonts w:ascii="Times New Roman" w:hAnsi="Times New Roman"/>
                <w:b/>
                <w:bCs/>
                <w:color w:val="auto"/>
                <w:szCs w:val="21"/>
                <w:highlight w:val="none"/>
                <w:u w:val="single"/>
              </w:rPr>
              <w:t>同投标截止时间</w:t>
            </w:r>
            <w:r>
              <w:rPr>
                <w:rFonts w:ascii="Times New Roman" w:hAnsi="Times New Roman"/>
                <w:b/>
                <w:bCs/>
                <w:color w:val="auto"/>
                <w:szCs w:val="21"/>
                <w:highlight w:val="none"/>
              </w:rPr>
              <w:t>。</w:t>
            </w:r>
          </w:p>
          <w:p w14:paraId="195F255D">
            <w:pPr>
              <w:autoSpaceDE w:val="0"/>
              <w:autoSpaceDN w:val="0"/>
              <w:jc w:val="left"/>
              <w:textAlignment w:val="center"/>
              <w:rPr>
                <w:rFonts w:ascii="Times New Roman" w:hAnsi="Times New Roman"/>
                <w:b/>
                <w:bCs/>
                <w:color w:val="auto"/>
                <w:szCs w:val="21"/>
                <w:highlight w:val="none"/>
              </w:rPr>
            </w:pPr>
            <w:r>
              <w:rPr>
                <w:rFonts w:hint="eastAsia" w:ascii="Times New Roman" w:hAnsi="Times New Roman"/>
                <w:b/>
                <w:bCs/>
                <w:color w:val="auto"/>
                <w:szCs w:val="21"/>
                <w:highlight w:val="none"/>
              </w:rPr>
              <w:t>六、保证金退还</w:t>
            </w:r>
          </w:p>
          <w:p w14:paraId="72292F62">
            <w:pPr>
              <w:autoSpaceDE w:val="0"/>
              <w:autoSpaceDN w:val="0"/>
              <w:jc w:val="left"/>
              <w:textAlignment w:val="center"/>
              <w:rPr>
                <w:rFonts w:ascii="Times New Roman" w:hAnsi="Times New Roman"/>
                <w:color w:val="auto"/>
                <w:szCs w:val="21"/>
                <w:highlight w:val="none"/>
              </w:rPr>
            </w:pPr>
            <w:r>
              <w:rPr>
                <w:rFonts w:ascii="Times New Roman" w:hAnsi="Times New Roman"/>
                <w:color w:val="auto"/>
                <w:szCs w:val="21"/>
                <w:highlight w:val="none"/>
              </w:rPr>
              <w:t>1）以银行转账、网银、电汇缴纳的保证金，以网银对公转账的方式退还到供应商打款账户；</w:t>
            </w:r>
          </w:p>
          <w:p w14:paraId="310BB132">
            <w:pPr>
              <w:autoSpaceDE w:val="0"/>
              <w:autoSpaceDN w:val="0"/>
              <w:jc w:val="left"/>
              <w:textAlignment w:val="center"/>
              <w:rPr>
                <w:rFonts w:ascii="Times New Roman" w:hAnsi="Times New Roman"/>
                <w:color w:val="auto"/>
                <w:szCs w:val="21"/>
                <w:highlight w:val="none"/>
              </w:rPr>
            </w:pPr>
            <w:r>
              <w:rPr>
                <w:rFonts w:ascii="Times New Roman" w:hAnsi="Times New Roman"/>
                <w:color w:val="auto"/>
                <w:szCs w:val="21"/>
                <w:highlight w:val="none"/>
              </w:rPr>
              <w:t>2）以支票、汇票及本票等票据方式缴纳的保证金，经财务查账确认后以对公转账的方式退还到供应商开户账户；</w:t>
            </w:r>
          </w:p>
          <w:p w14:paraId="2899A8E7">
            <w:pPr>
              <w:rPr>
                <w:rFonts w:ascii="Times New Roman" w:hAnsi="Times New Roman"/>
                <w:color w:val="auto"/>
                <w:kern w:val="0"/>
                <w:szCs w:val="21"/>
                <w:highlight w:val="none"/>
              </w:rPr>
            </w:pPr>
            <w:r>
              <w:rPr>
                <w:rFonts w:ascii="Times New Roman" w:hAnsi="Times New Roman"/>
                <w:color w:val="auto"/>
                <w:szCs w:val="21"/>
                <w:highlight w:val="none"/>
              </w:rPr>
              <w:t>3）以银行保函或者保证保险方式缴纳的保证金由供应商自行联系出函机构。</w:t>
            </w:r>
          </w:p>
        </w:tc>
      </w:tr>
      <w:tr w14:paraId="653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80" w:type="dxa"/>
            <w:vAlign w:val="center"/>
          </w:tcPr>
          <w:p w14:paraId="2C5559FA">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22.2</w:t>
            </w:r>
          </w:p>
        </w:tc>
        <w:tc>
          <w:tcPr>
            <w:tcW w:w="2432" w:type="dxa"/>
            <w:vAlign w:val="center"/>
          </w:tcPr>
          <w:p w14:paraId="61698729">
            <w:pPr>
              <w:spacing w:line="360" w:lineRule="auto"/>
              <w:rPr>
                <w:rFonts w:ascii="Times New Roman" w:hAnsi="Times New Roman"/>
                <w:color w:val="auto"/>
                <w:szCs w:val="21"/>
                <w:highlight w:val="none"/>
              </w:rPr>
            </w:pPr>
            <w:r>
              <w:rPr>
                <w:rFonts w:ascii="Times New Roman" w:hAnsi="Times New Roman"/>
                <w:color w:val="auto"/>
                <w:szCs w:val="21"/>
                <w:highlight w:val="none"/>
              </w:rPr>
              <w:t>投标文件的提交</w:t>
            </w:r>
          </w:p>
        </w:tc>
        <w:tc>
          <w:tcPr>
            <w:tcW w:w="6148" w:type="dxa"/>
            <w:vAlign w:val="center"/>
          </w:tcPr>
          <w:p w14:paraId="28732AB4">
            <w:pPr>
              <w:spacing w:line="360" w:lineRule="auto"/>
              <w:rPr>
                <w:rFonts w:ascii="Times New Roman" w:hAnsi="Times New Roman"/>
                <w:b/>
                <w:bCs/>
                <w:color w:val="auto"/>
                <w:szCs w:val="21"/>
                <w:highlight w:val="none"/>
                <w:u w:val="single"/>
              </w:rPr>
            </w:pPr>
            <w:r>
              <w:rPr>
                <w:rFonts w:ascii="Times New Roman" w:hAnsi="Times New Roman"/>
                <w:color w:val="auto"/>
                <w:szCs w:val="21"/>
                <w:highlight w:val="none"/>
              </w:rPr>
              <w:t>本项目为电子化采购项目，投标文件的提交、开启、评标等程序均通过政府采购云平台进行，投标人无需提交纸质文件、无需到达开标现场。</w:t>
            </w:r>
          </w:p>
        </w:tc>
      </w:tr>
      <w:tr w14:paraId="148D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480" w:type="dxa"/>
            <w:vAlign w:val="center"/>
          </w:tcPr>
          <w:p w14:paraId="7EA0FD5F">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23.1</w:t>
            </w:r>
          </w:p>
        </w:tc>
        <w:tc>
          <w:tcPr>
            <w:tcW w:w="2432" w:type="dxa"/>
            <w:vAlign w:val="center"/>
          </w:tcPr>
          <w:p w14:paraId="0125257E">
            <w:pPr>
              <w:spacing w:line="360" w:lineRule="auto"/>
              <w:rPr>
                <w:rFonts w:ascii="Times New Roman" w:hAnsi="Times New Roman"/>
                <w:color w:val="auto"/>
                <w:szCs w:val="21"/>
                <w:highlight w:val="none"/>
              </w:rPr>
            </w:pPr>
            <w:r>
              <w:rPr>
                <w:rFonts w:ascii="Times New Roman" w:hAnsi="Times New Roman"/>
                <w:color w:val="auto"/>
                <w:szCs w:val="21"/>
                <w:highlight w:val="none"/>
              </w:rPr>
              <w:t>提交投标文件截止时间</w:t>
            </w:r>
          </w:p>
        </w:tc>
        <w:tc>
          <w:tcPr>
            <w:tcW w:w="6148" w:type="dxa"/>
            <w:vAlign w:val="center"/>
          </w:tcPr>
          <w:p w14:paraId="091C0F8B">
            <w:pPr>
              <w:spacing w:line="360" w:lineRule="auto"/>
              <w:rPr>
                <w:rFonts w:ascii="Times New Roman" w:hAnsi="Times New Roman"/>
                <w:color w:val="auto"/>
                <w:szCs w:val="21"/>
                <w:highlight w:val="none"/>
              </w:rPr>
            </w:pPr>
            <w:r>
              <w:rPr>
                <w:rFonts w:ascii="Times New Roman" w:hAnsi="Times New Roman"/>
                <w:color w:val="auto"/>
                <w:szCs w:val="21"/>
                <w:highlight w:val="none"/>
              </w:rPr>
              <w:t>见招标公告</w:t>
            </w:r>
          </w:p>
        </w:tc>
      </w:tr>
      <w:tr w14:paraId="2C2F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480" w:type="dxa"/>
            <w:vAlign w:val="center"/>
          </w:tcPr>
          <w:p w14:paraId="014E0B12">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23.2</w:t>
            </w:r>
          </w:p>
        </w:tc>
        <w:tc>
          <w:tcPr>
            <w:tcW w:w="2432" w:type="dxa"/>
            <w:vAlign w:val="center"/>
          </w:tcPr>
          <w:p w14:paraId="2A0B7025">
            <w:pPr>
              <w:spacing w:line="360" w:lineRule="auto"/>
              <w:rPr>
                <w:rFonts w:ascii="Times New Roman" w:hAnsi="Times New Roman"/>
                <w:color w:val="auto"/>
                <w:szCs w:val="21"/>
                <w:highlight w:val="none"/>
              </w:rPr>
            </w:pPr>
            <w:r>
              <w:rPr>
                <w:rFonts w:ascii="Times New Roman" w:hAnsi="Times New Roman"/>
                <w:color w:val="auto"/>
                <w:szCs w:val="21"/>
                <w:highlight w:val="none"/>
              </w:rPr>
              <w:t>提交投标文件的地点</w:t>
            </w:r>
          </w:p>
        </w:tc>
        <w:tc>
          <w:tcPr>
            <w:tcW w:w="6148" w:type="dxa"/>
            <w:vAlign w:val="center"/>
          </w:tcPr>
          <w:p w14:paraId="13D9F8ED">
            <w:pPr>
              <w:spacing w:line="360" w:lineRule="auto"/>
              <w:ind w:left="695" w:hanging="695" w:hangingChars="331"/>
              <w:rPr>
                <w:rFonts w:ascii="Times New Roman" w:hAnsi="Times New Roman"/>
                <w:color w:val="auto"/>
                <w:szCs w:val="21"/>
                <w:highlight w:val="none"/>
                <w:u w:val="single"/>
              </w:rPr>
            </w:pPr>
            <w:r>
              <w:rPr>
                <w:rFonts w:ascii="Times New Roman" w:hAnsi="Times New Roman"/>
                <w:color w:val="auto"/>
                <w:szCs w:val="21"/>
                <w:highlight w:val="none"/>
              </w:rPr>
              <w:t>见招标公告</w:t>
            </w:r>
          </w:p>
        </w:tc>
      </w:tr>
      <w:tr w14:paraId="1311B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2D1B16F0">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23.3</w:t>
            </w:r>
          </w:p>
        </w:tc>
        <w:tc>
          <w:tcPr>
            <w:tcW w:w="2432" w:type="dxa"/>
            <w:vAlign w:val="center"/>
          </w:tcPr>
          <w:p w14:paraId="034BCF7B">
            <w:pPr>
              <w:spacing w:line="360" w:lineRule="auto"/>
              <w:rPr>
                <w:rFonts w:ascii="Times New Roman" w:hAnsi="Times New Roman"/>
                <w:color w:val="auto"/>
                <w:szCs w:val="21"/>
                <w:highlight w:val="none"/>
              </w:rPr>
            </w:pPr>
            <w:r>
              <w:rPr>
                <w:rFonts w:ascii="Times New Roman" w:hAnsi="Times New Roman"/>
                <w:color w:val="auto"/>
                <w:szCs w:val="21"/>
                <w:highlight w:val="none"/>
              </w:rPr>
              <w:t>投标文件的退还</w:t>
            </w:r>
          </w:p>
        </w:tc>
        <w:tc>
          <w:tcPr>
            <w:tcW w:w="6148" w:type="dxa"/>
            <w:vAlign w:val="center"/>
          </w:tcPr>
          <w:p w14:paraId="0E635071">
            <w:pPr>
              <w:spacing w:line="360" w:lineRule="auto"/>
              <w:rPr>
                <w:rFonts w:ascii="Times New Roman" w:hAnsi="Times New Roman"/>
                <w:color w:val="auto"/>
                <w:szCs w:val="21"/>
                <w:highlight w:val="none"/>
              </w:rPr>
            </w:pPr>
            <w:r>
              <w:rPr>
                <w:rFonts w:ascii="Times New Roman" w:hAnsi="Times New Roman"/>
                <w:color w:val="auto"/>
                <w:szCs w:val="21"/>
                <w:highlight w:val="none"/>
              </w:rPr>
              <w:t>不予退还</w:t>
            </w:r>
          </w:p>
        </w:tc>
      </w:tr>
      <w:tr w14:paraId="1013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2AF4B6F5">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25.1</w:t>
            </w:r>
          </w:p>
        </w:tc>
        <w:tc>
          <w:tcPr>
            <w:tcW w:w="2432" w:type="dxa"/>
            <w:vAlign w:val="center"/>
          </w:tcPr>
          <w:p w14:paraId="091BA8ED">
            <w:pPr>
              <w:spacing w:line="360" w:lineRule="auto"/>
              <w:rPr>
                <w:rFonts w:ascii="Times New Roman" w:hAnsi="Times New Roman"/>
                <w:color w:val="auto"/>
                <w:szCs w:val="21"/>
                <w:highlight w:val="none"/>
              </w:rPr>
            </w:pPr>
            <w:r>
              <w:rPr>
                <w:rFonts w:ascii="Times New Roman" w:hAnsi="Times New Roman"/>
                <w:color w:val="auto"/>
                <w:szCs w:val="21"/>
                <w:highlight w:val="none"/>
              </w:rPr>
              <w:t>开标时间和地点</w:t>
            </w:r>
          </w:p>
        </w:tc>
        <w:tc>
          <w:tcPr>
            <w:tcW w:w="6148" w:type="dxa"/>
            <w:vAlign w:val="center"/>
          </w:tcPr>
          <w:p w14:paraId="052C505C">
            <w:pPr>
              <w:spacing w:line="360" w:lineRule="auto"/>
              <w:rPr>
                <w:rFonts w:ascii="Times New Roman" w:hAnsi="Times New Roman"/>
                <w:color w:val="auto"/>
                <w:szCs w:val="21"/>
                <w:highlight w:val="none"/>
              </w:rPr>
            </w:pPr>
            <w:r>
              <w:rPr>
                <w:rFonts w:ascii="Times New Roman" w:hAnsi="Times New Roman"/>
                <w:color w:val="auto"/>
                <w:szCs w:val="21"/>
                <w:highlight w:val="none"/>
              </w:rPr>
              <w:t>同提交投标文件截止时间和地点</w:t>
            </w:r>
          </w:p>
        </w:tc>
      </w:tr>
      <w:tr w14:paraId="0867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80" w:type="dxa"/>
            <w:vAlign w:val="center"/>
          </w:tcPr>
          <w:p w14:paraId="5BCBA5C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27.3</w:t>
            </w:r>
          </w:p>
        </w:tc>
        <w:tc>
          <w:tcPr>
            <w:tcW w:w="2432" w:type="dxa"/>
            <w:vAlign w:val="center"/>
          </w:tcPr>
          <w:p w14:paraId="2EA47EE4">
            <w:pPr>
              <w:spacing w:line="360" w:lineRule="auto"/>
              <w:rPr>
                <w:rFonts w:ascii="Times New Roman" w:hAnsi="Times New Roman"/>
                <w:color w:val="auto"/>
                <w:szCs w:val="21"/>
                <w:highlight w:val="none"/>
              </w:rPr>
            </w:pPr>
            <w:r>
              <w:rPr>
                <w:rFonts w:ascii="Times New Roman" w:hAnsi="Times New Roman"/>
                <w:color w:val="auto"/>
                <w:szCs w:val="21"/>
                <w:highlight w:val="none"/>
              </w:rPr>
              <w:t>评标方法</w:t>
            </w:r>
          </w:p>
        </w:tc>
        <w:tc>
          <w:tcPr>
            <w:tcW w:w="6148" w:type="dxa"/>
            <w:vAlign w:val="center"/>
          </w:tcPr>
          <w:p w14:paraId="77A4CD5D">
            <w:pPr>
              <w:spacing w:line="360" w:lineRule="auto"/>
              <w:rPr>
                <w:rFonts w:ascii="Times New Roman" w:hAnsi="Times New Roman"/>
                <w:color w:val="auto"/>
                <w:szCs w:val="21"/>
                <w:highlight w:val="none"/>
              </w:rPr>
            </w:pPr>
            <w:r>
              <w:rPr>
                <w:rFonts w:ascii="Times New Roman" w:hAnsi="Times New Roman"/>
                <w:color w:val="auto"/>
                <w:szCs w:val="21"/>
                <w:highlight w:val="none"/>
              </w:rPr>
              <w:t>综合评分法</w:t>
            </w:r>
          </w:p>
        </w:tc>
      </w:tr>
      <w:tr w14:paraId="05FAF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7E53D059">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32.1</w:t>
            </w:r>
          </w:p>
        </w:tc>
        <w:tc>
          <w:tcPr>
            <w:tcW w:w="2432" w:type="dxa"/>
            <w:vAlign w:val="center"/>
          </w:tcPr>
          <w:p w14:paraId="706CCFFA">
            <w:pPr>
              <w:spacing w:line="360" w:lineRule="auto"/>
              <w:rPr>
                <w:rFonts w:ascii="Times New Roman" w:hAnsi="Times New Roman"/>
                <w:color w:val="auto"/>
                <w:szCs w:val="21"/>
                <w:highlight w:val="none"/>
              </w:rPr>
            </w:pPr>
            <w:r>
              <w:rPr>
                <w:rFonts w:ascii="Times New Roman" w:hAnsi="Times New Roman"/>
                <w:bCs/>
                <w:color w:val="auto"/>
                <w:szCs w:val="21"/>
                <w:highlight w:val="none"/>
              </w:rPr>
              <w:t>履约担保</w:t>
            </w:r>
          </w:p>
        </w:tc>
        <w:tc>
          <w:tcPr>
            <w:tcW w:w="6148" w:type="dxa"/>
            <w:vAlign w:val="center"/>
          </w:tcPr>
          <w:p w14:paraId="1973AE85">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合同约定</w:t>
            </w:r>
          </w:p>
        </w:tc>
      </w:tr>
      <w:tr w14:paraId="72F94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07292AE6">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33.1</w:t>
            </w:r>
          </w:p>
        </w:tc>
        <w:tc>
          <w:tcPr>
            <w:tcW w:w="2432" w:type="dxa"/>
            <w:vAlign w:val="center"/>
          </w:tcPr>
          <w:p w14:paraId="515F73C6">
            <w:pPr>
              <w:spacing w:line="360" w:lineRule="auto"/>
              <w:rPr>
                <w:rFonts w:ascii="Times New Roman" w:hAnsi="Times New Roman"/>
                <w:color w:val="auto"/>
                <w:szCs w:val="21"/>
                <w:highlight w:val="none"/>
              </w:rPr>
            </w:pPr>
            <w:r>
              <w:rPr>
                <w:rFonts w:ascii="Times New Roman" w:hAnsi="Times New Roman"/>
                <w:color w:val="auto"/>
                <w:szCs w:val="21"/>
                <w:highlight w:val="none"/>
              </w:rPr>
              <w:t>备选方案</w:t>
            </w:r>
          </w:p>
        </w:tc>
        <w:tc>
          <w:tcPr>
            <w:tcW w:w="6148" w:type="dxa"/>
            <w:vAlign w:val="center"/>
          </w:tcPr>
          <w:p w14:paraId="55E951F0">
            <w:pPr>
              <w:spacing w:line="360" w:lineRule="auto"/>
              <w:rPr>
                <w:rFonts w:ascii="Times New Roman" w:hAnsi="Times New Roman"/>
                <w:color w:val="auto"/>
                <w:szCs w:val="21"/>
                <w:highlight w:val="none"/>
              </w:rPr>
            </w:pPr>
            <w:r>
              <w:rPr>
                <w:rFonts w:ascii="Times New Roman" w:hAnsi="Times New Roman"/>
                <w:color w:val="auto"/>
                <w:szCs w:val="21"/>
                <w:highlight w:val="none"/>
              </w:rPr>
              <w:t>不接受</w:t>
            </w:r>
          </w:p>
        </w:tc>
      </w:tr>
      <w:tr w14:paraId="5E2F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480" w:type="dxa"/>
            <w:vAlign w:val="center"/>
          </w:tcPr>
          <w:p w14:paraId="60A4CF01">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33.2</w:t>
            </w:r>
          </w:p>
        </w:tc>
        <w:tc>
          <w:tcPr>
            <w:tcW w:w="8580" w:type="dxa"/>
            <w:gridSpan w:val="2"/>
            <w:vAlign w:val="center"/>
          </w:tcPr>
          <w:p w14:paraId="2DA64197">
            <w:pPr>
              <w:spacing w:line="360" w:lineRule="auto"/>
              <w:jc w:val="left"/>
              <w:rPr>
                <w:rFonts w:ascii="Times New Roman" w:hAnsi="Times New Roman"/>
                <w:color w:val="auto"/>
                <w:szCs w:val="21"/>
                <w:highlight w:val="none"/>
              </w:rPr>
            </w:pPr>
            <w:r>
              <w:rPr>
                <w:rFonts w:ascii="Times New Roman" w:hAnsi="Times New Roman"/>
                <w:color w:val="auto"/>
                <w:szCs w:val="21"/>
                <w:highlight w:val="none"/>
              </w:rPr>
              <w:t>需要补充的其他内容</w:t>
            </w:r>
          </w:p>
        </w:tc>
      </w:tr>
      <w:tr w14:paraId="1CBF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4DBB8FB5">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1）</w:t>
            </w:r>
          </w:p>
        </w:tc>
        <w:tc>
          <w:tcPr>
            <w:tcW w:w="8580" w:type="dxa"/>
            <w:gridSpan w:val="2"/>
            <w:vAlign w:val="center"/>
          </w:tcPr>
          <w:p w14:paraId="2F85028C">
            <w:pPr>
              <w:spacing w:line="360" w:lineRule="auto"/>
              <w:rPr>
                <w:rFonts w:ascii="Times New Roman" w:hAnsi="Times New Roman"/>
                <w:color w:val="auto"/>
                <w:szCs w:val="21"/>
                <w:highlight w:val="none"/>
              </w:rPr>
            </w:pPr>
            <w:r>
              <w:rPr>
                <w:rFonts w:ascii="Times New Roman" w:hAnsi="Times New Roman"/>
                <w:color w:val="auto"/>
                <w:szCs w:val="21"/>
                <w:highlight w:val="none"/>
              </w:rPr>
              <w:t>提交投标文件时，投标人应明确参加远程采购活动经办人联系方式。</w:t>
            </w:r>
          </w:p>
        </w:tc>
      </w:tr>
      <w:tr w14:paraId="1C21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7BDDBA2E">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2）</w:t>
            </w:r>
          </w:p>
        </w:tc>
        <w:tc>
          <w:tcPr>
            <w:tcW w:w="8580" w:type="dxa"/>
            <w:gridSpan w:val="2"/>
            <w:vAlign w:val="center"/>
          </w:tcPr>
          <w:p w14:paraId="043C65FC">
            <w:pPr>
              <w:spacing w:line="360" w:lineRule="auto"/>
              <w:rPr>
                <w:rFonts w:ascii="Times New Roman" w:hAnsi="Times New Roman"/>
                <w:color w:val="auto"/>
                <w:szCs w:val="21"/>
                <w:highlight w:val="none"/>
              </w:rPr>
            </w:pPr>
            <w:r>
              <w:rPr>
                <w:rFonts w:ascii="Times New Roman" w:hAnsi="Times New Roman"/>
                <w:color w:val="auto"/>
                <w:szCs w:val="21"/>
                <w:highlight w:val="none"/>
              </w:rPr>
              <w:t>采购代理服务费：本招标项目采购代理服务费收费</w:t>
            </w:r>
            <w:r>
              <w:rPr>
                <w:rFonts w:hint="eastAsia" w:ascii="Times New Roman" w:hAnsi="Times New Roman"/>
                <w:color w:val="auto"/>
                <w:szCs w:val="21"/>
                <w:highlight w:val="none"/>
              </w:rPr>
              <w:t>参照</w:t>
            </w:r>
            <w:r>
              <w:rPr>
                <w:rFonts w:ascii="Times New Roman" w:hAnsi="Times New Roman"/>
                <w:color w:val="auto"/>
                <w:szCs w:val="21"/>
                <w:highlight w:val="none"/>
              </w:rPr>
              <w:t>国家计委（2002）1980号文件的规定按货物类标准计费下浮</w:t>
            </w:r>
            <w:r>
              <w:rPr>
                <w:rFonts w:hint="eastAsia" w:ascii="Times New Roman" w:hAnsi="Times New Roman"/>
                <w:color w:val="auto"/>
                <w:szCs w:val="21"/>
                <w:highlight w:val="none"/>
              </w:rPr>
              <w:t>25</w:t>
            </w:r>
            <w:r>
              <w:rPr>
                <w:rFonts w:ascii="Times New Roman" w:hAnsi="Times New Roman"/>
                <w:color w:val="auto"/>
                <w:szCs w:val="21"/>
                <w:highlight w:val="none"/>
              </w:rPr>
              <w:t>%后向采购代理机构交纳代理服务费，由中标人支付。</w:t>
            </w:r>
          </w:p>
        </w:tc>
      </w:tr>
    </w:tbl>
    <w:p w14:paraId="3D88112F">
      <w:pPr>
        <w:rPr>
          <w:rFonts w:ascii="Times New Roman" w:hAnsi="Times New Roman"/>
          <w:color w:val="auto"/>
          <w:highlight w:val="none"/>
        </w:rPr>
      </w:pPr>
    </w:p>
    <w:p w14:paraId="2807FA3D">
      <w:pPr>
        <w:widowControl/>
        <w:spacing w:line="360" w:lineRule="auto"/>
        <w:jc w:val="left"/>
        <w:rPr>
          <w:rFonts w:ascii="Times New Roman" w:hAnsi="Times New Roman"/>
          <w:color w:val="auto"/>
          <w:highlight w:val="none"/>
        </w:rPr>
      </w:pPr>
      <w:r>
        <w:rPr>
          <w:rFonts w:ascii="Times New Roman" w:hAnsi="Times New Roman"/>
          <w:color w:val="auto"/>
          <w:highlight w:val="none"/>
        </w:rPr>
        <w:br w:type="page"/>
      </w:r>
    </w:p>
    <w:p w14:paraId="5517B88C">
      <w:pPr>
        <w:pStyle w:val="3"/>
        <w:numPr>
          <w:ilvl w:val="1"/>
          <w:numId w:val="0"/>
        </w:numPr>
        <w:ind w:left="596" w:hanging="596"/>
        <w:jc w:val="center"/>
        <w:rPr>
          <w:rFonts w:ascii="Times New Roman" w:hAnsi="Times New Roman" w:eastAsia="宋体"/>
          <w:color w:val="auto"/>
          <w:szCs w:val="28"/>
          <w:highlight w:val="none"/>
        </w:rPr>
      </w:pPr>
      <w:bookmarkStart w:id="66" w:name="_Toc25941"/>
      <w:bookmarkStart w:id="67" w:name="_Toc69912398"/>
      <w:bookmarkStart w:id="68" w:name="_Toc91696406"/>
      <w:r>
        <w:rPr>
          <w:rFonts w:ascii="Times New Roman" w:hAnsi="Times New Roman" w:eastAsia="宋体"/>
          <w:color w:val="auto"/>
          <w:szCs w:val="28"/>
          <w:highlight w:val="none"/>
        </w:rPr>
        <w:t>一、总  则</w:t>
      </w:r>
      <w:bookmarkEnd w:id="66"/>
      <w:bookmarkEnd w:id="67"/>
      <w:bookmarkEnd w:id="68"/>
    </w:p>
    <w:p w14:paraId="0A0FAA28">
      <w:pPr>
        <w:spacing w:line="360" w:lineRule="auto"/>
        <w:ind w:firstLine="420" w:firstLineChars="200"/>
        <w:jc w:val="left"/>
        <w:rPr>
          <w:rFonts w:ascii="Times New Roman" w:hAnsi="Times New Roman"/>
          <w:color w:val="auto"/>
          <w:szCs w:val="21"/>
          <w:highlight w:val="none"/>
        </w:rPr>
      </w:pPr>
      <w:bookmarkStart w:id="69" w:name="_Hlk50385447"/>
      <w:r>
        <w:rPr>
          <w:rFonts w:ascii="Times New Roman" w:hAnsi="Times New Roman"/>
          <w:bCs/>
          <w:color w:val="auto"/>
          <w:szCs w:val="21"/>
          <w:highlight w:val="none"/>
        </w:rPr>
        <w:t>1.采购人、采购代理机构、</w:t>
      </w:r>
      <w:r>
        <w:rPr>
          <w:rFonts w:ascii="Times New Roman" w:hAnsi="Times New Roman"/>
          <w:color w:val="auto"/>
          <w:szCs w:val="21"/>
          <w:highlight w:val="none"/>
        </w:rPr>
        <w:t>项目名称及项目编号，详见招标文件“投标人须知前附表”。</w:t>
      </w:r>
    </w:p>
    <w:p w14:paraId="15FF6519">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2.资金来源：</w:t>
      </w:r>
      <w:r>
        <w:rPr>
          <w:rFonts w:ascii="Times New Roman" w:hAnsi="Times New Roman"/>
          <w:color w:val="auto"/>
          <w:szCs w:val="21"/>
          <w:highlight w:val="none"/>
        </w:rPr>
        <w:t>“</w:t>
      </w:r>
      <w:r>
        <w:rPr>
          <w:rFonts w:ascii="Times New Roman" w:hAnsi="Times New Roman"/>
          <w:b/>
          <w:color w:val="auto"/>
          <w:szCs w:val="21"/>
          <w:highlight w:val="none"/>
        </w:rPr>
        <w:t>投标人须知前附表</w:t>
      </w:r>
      <w:r>
        <w:rPr>
          <w:rFonts w:ascii="Times New Roman" w:hAnsi="Times New Roman"/>
          <w:color w:val="auto"/>
          <w:szCs w:val="21"/>
          <w:highlight w:val="none"/>
        </w:rPr>
        <w:t>”中所述的资金，用于采购</w:t>
      </w:r>
      <w:r>
        <w:rPr>
          <w:rFonts w:ascii="Times New Roman" w:hAnsi="Times New Roman"/>
          <w:bCs/>
          <w:color w:val="auto"/>
          <w:szCs w:val="21"/>
          <w:highlight w:val="none"/>
        </w:rPr>
        <w:t>第五章《货物需求及技术要求》</w:t>
      </w:r>
      <w:r>
        <w:rPr>
          <w:rFonts w:ascii="Times New Roman" w:hAnsi="Times New Roman"/>
          <w:color w:val="auto"/>
          <w:szCs w:val="21"/>
          <w:highlight w:val="none"/>
        </w:rPr>
        <w:t>所列内容。</w:t>
      </w:r>
    </w:p>
    <w:p w14:paraId="01D63C23">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3.招标范围</w:t>
      </w:r>
    </w:p>
    <w:p w14:paraId="12CDCC35">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3.1本项目招标范围：见“</w:t>
      </w:r>
      <w:r>
        <w:rPr>
          <w:rFonts w:ascii="Times New Roman" w:hAnsi="Times New Roman"/>
          <w:b/>
          <w:color w:val="auto"/>
          <w:szCs w:val="21"/>
          <w:highlight w:val="none"/>
        </w:rPr>
        <w:t>投标人须知前附表</w:t>
      </w:r>
      <w:r>
        <w:rPr>
          <w:rFonts w:ascii="Times New Roman" w:hAnsi="Times New Roman"/>
          <w:color w:val="auto"/>
          <w:szCs w:val="21"/>
          <w:highlight w:val="none"/>
        </w:rPr>
        <w:t>”。</w:t>
      </w:r>
    </w:p>
    <w:p w14:paraId="7C1FB74A">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3.2本项目交货期、交货地点、交货方式：见“</w:t>
      </w:r>
      <w:r>
        <w:rPr>
          <w:rFonts w:ascii="Times New Roman" w:hAnsi="Times New Roman"/>
          <w:b/>
          <w:color w:val="auto"/>
          <w:szCs w:val="21"/>
          <w:highlight w:val="none"/>
        </w:rPr>
        <w:t>投标人须知前附表</w:t>
      </w:r>
      <w:r>
        <w:rPr>
          <w:rFonts w:ascii="Times New Roman" w:hAnsi="Times New Roman"/>
          <w:color w:val="auto"/>
          <w:szCs w:val="21"/>
          <w:highlight w:val="none"/>
        </w:rPr>
        <w:t>”。</w:t>
      </w:r>
    </w:p>
    <w:p w14:paraId="67C77EE7">
      <w:pPr>
        <w:spacing w:line="360" w:lineRule="auto"/>
        <w:ind w:firstLine="422" w:firstLineChars="200"/>
        <w:jc w:val="left"/>
        <w:rPr>
          <w:rFonts w:ascii="Times New Roman" w:hAnsi="Times New Roman"/>
          <w:b/>
          <w:color w:val="auto"/>
          <w:szCs w:val="21"/>
          <w:highlight w:val="none"/>
        </w:rPr>
      </w:pPr>
      <w:r>
        <w:rPr>
          <w:rFonts w:ascii="Segoe UI Symbol" w:hAnsi="Segoe UI Symbol" w:cs="Segoe UI Symbol"/>
          <w:b/>
          <w:color w:val="auto"/>
          <w:szCs w:val="21"/>
          <w:highlight w:val="none"/>
        </w:rPr>
        <w:t>★</w:t>
      </w:r>
      <w:r>
        <w:rPr>
          <w:rFonts w:ascii="Times New Roman" w:hAnsi="Times New Roman"/>
          <w:b/>
          <w:color w:val="auto"/>
          <w:szCs w:val="21"/>
          <w:highlight w:val="none"/>
        </w:rPr>
        <w:t>4.合格的投标人</w:t>
      </w:r>
    </w:p>
    <w:p w14:paraId="6B5C48D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4.1投标人应具备《中华人民共和国政府采购法》第二十二条规定的条件，并提供下列材料：</w:t>
      </w:r>
    </w:p>
    <w:p w14:paraId="4E637A0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4.1.1投标人必须是具有独立承担民事责任能力的法人、其他组织或者自然人</w:t>
      </w:r>
      <w:r>
        <w:rPr>
          <w:rFonts w:hint="eastAsia" w:ascii="Times New Roman" w:hAnsi="Times New Roman"/>
          <w:color w:val="auto"/>
          <w:szCs w:val="21"/>
          <w:highlight w:val="none"/>
        </w:rPr>
        <w:t>，</w:t>
      </w:r>
      <w:r>
        <w:rPr>
          <w:rFonts w:ascii="Times New Roman" w:hAnsi="Times New Roman"/>
          <w:color w:val="auto"/>
          <w:szCs w:val="21"/>
          <w:highlight w:val="none"/>
        </w:rPr>
        <w:t>内容见“投标人须知前附表”；</w:t>
      </w:r>
    </w:p>
    <w:p w14:paraId="594C7C2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4.1.2 投标人具有良好的商业信誉和健全的财务会计制度，内容见“投标人须知前附表”；</w:t>
      </w:r>
    </w:p>
    <w:p w14:paraId="66441E23">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4.1.3投标人具有履行合同所必需的设备和专业技术能力（投标人提供书面声明或证明材料）；</w:t>
      </w:r>
    </w:p>
    <w:p w14:paraId="5E451E7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4.1.4 投标人具有依法缴纳税收和社会保障资金的良好记录，内容见“投标人须知前附表”；</w:t>
      </w:r>
    </w:p>
    <w:p w14:paraId="1CAEE82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w:t>
      </w:r>
      <w:r>
        <w:rPr>
          <w:rFonts w:hint="eastAsia" w:ascii="Times New Roman" w:hAnsi="Times New Roman"/>
          <w:color w:val="auto"/>
          <w:szCs w:val="21"/>
          <w:highlight w:val="none"/>
        </w:rPr>
        <w:t>5</w:t>
      </w:r>
      <w:r>
        <w:rPr>
          <w:rFonts w:ascii="Times New Roman" w:hAnsi="Times New Roman"/>
          <w:color w:val="auto"/>
          <w:szCs w:val="21"/>
          <w:highlight w:val="none"/>
        </w:rPr>
        <w:t xml:space="preserve"> 投标人参加政府采购活动前三年内，在经营活动中没有重大违法记录（重大违法记录，是指投标人因违法经营受到刑事处罚或者责令停产停业、吊销许可证或者执照、较大数额罚款等行政处罚）；</w:t>
      </w:r>
    </w:p>
    <w:p w14:paraId="7D0D75C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4.2 </w:t>
      </w:r>
      <w:r>
        <w:rPr>
          <w:rFonts w:hint="eastAsia" w:ascii="Times New Roman" w:hAnsi="Times New Roman"/>
          <w:color w:val="auto"/>
          <w:szCs w:val="21"/>
          <w:highlight w:val="none"/>
        </w:rPr>
        <w:t>落实政府采购政策需满足的资格要求</w:t>
      </w:r>
      <w:r>
        <w:rPr>
          <w:rFonts w:ascii="Times New Roman" w:hAnsi="Times New Roman"/>
          <w:color w:val="auto"/>
          <w:szCs w:val="21"/>
          <w:highlight w:val="none"/>
        </w:rPr>
        <w:t>，见“投标人须知前附表”。</w:t>
      </w:r>
    </w:p>
    <w:p w14:paraId="086C9AC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 采购人根据采购项目的特殊要求规定的特定条件</w:t>
      </w:r>
      <w:r>
        <w:rPr>
          <w:rFonts w:hint="eastAsia" w:ascii="Times New Roman" w:hAnsi="Times New Roman"/>
          <w:color w:val="auto"/>
          <w:szCs w:val="21"/>
          <w:highlight w:val="none"/>
        </w:rPr>
        <w:t>，</w:t>
      </w:r>
      <w:r>
        <w:rPr>
          <w:rFonts w:ascii="Times New Roman" w:hAnsi="Times New Roman"/>
          <w:color w:val="auto"/>
          <w:szCs w:val="21"/>
          <w:highlight w:val="none"/>
        </w:rPr>
        <w:t>见“投标人须知前附表”。</w:t>
      </w:r>
    </w:p>
    <w:p w14:paraId="4979A5F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信用信息查询渠道及时间：采购代理机构将于开标当天在“信用中国”网站（www.creditchina.gov.cn）、中国政府采购网（www.ccgp.gov.cn）对投标人上述信用信息进行查询核对。投标人存在不良信用记录的，不得参与政府采购活动。</w:t>
      </w:r>
    </w:p>
    <w:p w14:paraId="5AE0FC5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信用信息查询记录和证据留存的具体方式：采购代理机构将信用信息查询的网页截图随项目资料留存。</w:t>
      </w:r>
    </w:p>
    <w:p w14:paraId="043DD9B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信用信息的使用规则：仅为本项目使用。</w:t>
      </w:r>
    </w:p>
    <w:p w14:paraId="53D542B3">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w:t>
      </w:r>
      <w:r>
        <w:rPr>
          <w:rFonts w:hint="eastAsia" w:ascii="Times New Roman" w:hAnsi="Times New Roman"/>
          <w:color w:val="auto"/>
          <w:szCs w:val="21"/>
          <w:highlight w:val="none"/>
        </w:rPr>
        <w:t>4</w:t>
      </w:r>
      <w:r>
        <w:rPr>
          <w:rFonts w:ascii="Times New Roman" w:hAnsi="Times New Roman"/>
          <w:color w:val="auto"/>
          <w:szCs w:val="21"/>
          <w:highlight w:val="none"/>
        </w:rPr>
        <w:t>“投标人须知前附表”规定接受联合体投标的，除应符合本章第4.1-4.</w:t>
      </w:r>
      <w:r>
        <w:rPr>
          <w:rFonts w:hint="eastAsia" w:ascii="Times New Roman" w:hAnsi="Times New Roman"/>
          <w:color w:val="auto"/>
          <w:szCs w:val="21"/>
          <w:highlight w:val="none"/>
        </w:rPr>
        <w:t>3</w:t>
      </w:r>
      <w:r>
        <w:rPr>
          <w:rFonts w:ascii="Times New Roman" w:hAnsi="Times New Roman"/>
          <w:color w:val="auto"/>
          <w:szCs w:val="21"/>
          <w:highlight w:val="none"/>
        </w:rPr>
        <w:t>项和“投标人须知前附表”的要求外，还应遵守以下规定：</w:t>
      </w:r>
    </w:p>
    <w:p w14:paraId="376CC05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（1）联合体中有同类资质的投标人按照联合体分工承担相同工作的，应当按照资质等级较低的投标人确定资质等级；</w:t>
      </w:r>
    </w:p>
    <w:p w14:paraId="621BB85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（2）联合体各方之间应当签订共同投标协议，明确约定联合体各方承担的工作和相应的责任；</w:t>
      </w:r>
    </w:p>
    <w:p w14:paraId="5C7C1A0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（3）以联合体形式参加政府采购活动的，联合体各方不得再单独参加或者与其他投标人另外组成联合体参加同政府采购活动。</w:t>
      </w:r>
    </w:p>
    <w:p w14:paraId="1FFE72E1">
      <w:pPr>
        <w:spacing w:line="360" w:lineRule="auto"/>
        <w:ind w:firstLine="420" w:firstLineChars="200"/>
        <w:jc w:val="left"/>
        <w:rPr>
          <w:rFonts w:ascii="Times New Roman" w:hAnsi="Times New Roman"/>
          <w:b/>
          <w:color w:val="auto"/>
          <w:szCs w:val="21"/>
          <w:highlight w:val="none"/>
        </w:rPr>
      </w:pPr>
      <w:r>
        <w:rPr>
          <w:rFonts w:ascii="Times New Roman" w:hAnsi="Times New Roman"/>
          <w:color w:val="auto"/>
          <w:szCs w:val="21"/>
          <w:highlight w:val="none"/>
        </w:rPr>
        <w:t>4.6 符合上述条件的投标人应承担投标及履约中应承担的全部责任与义务。</w:t>
      </w:r>
      <w:r>
        <w:rPr>
          <w:rFonts w:ascii="Times New Roman" w:hAnsi="Times New Roman"/>
          <w:color w:val="auto"/>
          <w:szCs w:val="21"/>
          <w:highlight w:val="none"/>
        </w:rPr>
        <w:cr/>
      </w:r>
      <w:r>
        <w:rPr>
          <w:rFonts w:ascii="Times New Roman" w:hAnsi="Times New Roman"/>
          <w:b/>
          <w:color w:val="auto"/>
          <w:szCs w:val="21"/>
          <w:highlight w:val="none"/>
        </w:rPr>
        <w:t>5.投标费用</w:t>
      </w:r>
    </w:p>
    <w:p w14:paraId="7F89E56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5.1不论投标结果如何，投标人均应自行承担所有与准备和参加投标活动有关的全部费用。</w:t>
      </w:r>
    </w:p>
    <w:p w14:paraId="683254B7">
      <w:pPr>
        <w:ind w:firstLine="422" w:firstLineChars="200"/>
        <w:rPr>
          <w:rFonts w:ascii="Times New Roman" w:hAnsi="Times New Roman"/>
          <w:b/>
          <w:color w:val="auto"/>
          <w:szCs w:val="21"/>
          <w:highlight w:val="none"/>
        </w:rPr>
      </w:pPr>
      <w:r>
        <w:rPr>
          <w:rFonts w:ascii="Times New Roman" w:hAnsi="Times New Roman"/>
          <w:b/>
          <w:color w:val="auto"/>
          <w:szCs w:val="21"/>
          <w:highlight w:val="none"/>
        </w:rPr>
        <w:t>6.质疑</w:t>
      </w:r>
    </w:p>
    <w:p w14:paraId="6DE8E89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6.1投标人认为招标文件、招标过程和中标结果使自己的权益受到损害的，应当在知道或者应知其权益受到损害之日起7个工作日内，以书面形式向采购代理机构或采购人提出质疑（投标人应在法定质疑期内一次性提出针对同一采购程序环节的质疑）。质疑内容不得含有虚假、恶意成分。当事人对自己提出的主张，有责任提供证据，提出质疑时应同时提交相关证据材料和注明事实的确切来源。</w:t>
      </w:r>
    </w:p>
    <w:p w14:paraId="1B2FC93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6.2投标人应知其权益受到损害之日，是指：</w:t>
      </w:r>
    </w:p>
    <w:p w14:paraId="13470D3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(1)对可以质疑的采购文件提出质疑的，为收到采购文件之日或者采购文件公告期限届满之日</w:t>
      </w:r>
      <w:r>
        <w:rPr>
          <w:rFonts w:hint="eastAsia" w:ascii="Times New Roman" w:hAnsi="Times New Roman"/>
          <w:color w:val="auto"/>
          <w:szCs w:val="21"/>
          <w:highlight w:val="none"/>
        </w:rPr>
        <w:t>（本项目为政采云平台登记获取采购文件之日）</w:t>
      </w:r>
      <w:r>
        <w:rPr>
          <w:rFonts w:ascii="Times New Roman" w:hAnsi="Times New Roman"/>
          <w:color w:val="auto"/>
          <w:szCs w:val="21"/>
          <w:highlight w:val="none"/>
        </w:rPr>
        <w:t>；</w:t>
      </w:r>
    </w:p>
    <w:p w14:paraId="27D390D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(2)对采购过程提出质疑的，为各采购程序环节结束之日；</w:t>
      </w:r>
    </w:p>
    <w:p w14:paraId="7A692E7F">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(3)对中标结果提出质疑的，为中标结果公告期限届满之日。（中标公告发布之日起七个工作日内）</w:t>
      </w:r>
    </w:p>
    <w:p w14:paraId="3029B18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6.3根据中华人民共和国财政部令第94号令《政府采购质疑和投诉办法》“第十二条 供应商提出质疑应当提交质疑函和必要的证明材料”的规定，投标人应在有效期限内提交质疑函及必要的证明材料。</w:t>
      </w:r>
    </w:p>
    <w:p w14:paraId="4A8C5764">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投标人提供的质疑函（如材料中有外文资料应同时附上中文译本）应当包括以下主要内容：</w:t>
      </w:r>
    </w:p>
    <w:p w14:paraId="05017EE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（1）质疑项目名称；</w:t>
      </w:r>
    </w:p>
    <w:p w14:paraId="256D58A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（2）质疑理由及事实依据；</w:t>
      </w:r>
    </w:p>
    <w:p w14:paraId="6EEDD8A0">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（3）质疑对象；</w:t>
      </w:r>
    </w:p>
    <w:p w14:paraId="359C5E8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（4）联系电话和地址；</w:t>
      </w:r>
    </w:p>
    <w:p w14:paraId="4AE3F46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（5）质疑的日期；</w:t>
      </w:r>
    </w:p>
    <w:p w14:paraId="2624019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（6）质疑人署名。</w:t>
      </w:r>
    </w:p>
    <w:p w14:paraId="4E5CCB9A">
      <w:pPr>
        <w:spacing w:line="360" w:lineRule="auto"/>
        <w:ind w:firstLine="420" w:firstLineChars="200"/>
        <w:jc w:val="left"/>
        <w:rPr>
          <w:rFonts w:ascii="Times New Roman" w:hAnsi="Times New Roman"/>
          <w:color w:val="auto"/>
          <w:szCs w:val="21"/>
          <w:highlight w:val="none"/>
          <w:u w:val="single"/>
        </w:rPr>
      </w:pPr>
      <w:r>
        <w:rPr>
          <w:rFonts w:ascii="Times New Roman" w:hAnsi="Times New Roman"/>
          <w:color w:val="auto"/>
          <w:szCs w:val="21"/>
          <w:highlight w:val="none"/>
          <w:u w:val="single"/>
        </w:rPr>
        <w:t>质疑函实行实名制，并提交由法定代表人或其委托代理人签字且盖单位章的原件。</w:t>
      </w:r>
    </w:p>
    <w:p w14:paraId="58FBA810">
      <w:pPr>
        <w:spacing w:line="360" w:lineRule="auto"/>
        <w:ind w:firstLine="420" w:firstLineChars="200"/>
        <w:jc w:val="left"/>
        <w:rPr>
          <w:rFonts w:ascii="Times New Roman" w:hAnsi="Times New Roman"/>
          <w:bCs/>
          <w:color w:val="auto"/>
          <w:szCs w:val="21"/>
          <w:highlight w:val="none"/>
        </w:rPr>
      </w:pPr>
      <w:r>
        <w:rPr>
          <w:rFonts w:ascii="Times New Roman" w:hAnsi="Times New Roman"/>
          <w:color w:val="auto"/>
          <w:szCs w:val="21"/>
          <w:highlight w:val="none"/>
        </w:rPr>
        <w:t>6.4采购人、采购代理机构将在收到投标人的书面质疑后7个工作日内作出答复，但答复的内容不</w:t>
      </w:r>
      <w:r>
        <w:rPr>
          <w:rFonts w:ascii="Times New Roman" w:hAnsi="Times New Roman"/>
          <w:bCs/>
          <w:color w:val="auto"/>
          <w:szCs w:val="21"/>
          <w:highlight w:val="none"/>
        </w:rPr>
        <w:t>涉及商业秘密。</w:t>
      </w:r>
    </w:p>
    <w:p w14:paraId="496B54D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6.5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35A28C94">
      <w:pPr>
        <w:ind w:firstLine="422" w:firstLineChars="200"/>
        <w:rPr>
          <w:rFonts w:ascii="Times New Roman" w:hAnsi="Times New Roman"/>
          <w:b/>
          <w:color w:val="auto"/>
          <w:szCs w:val="21"/>
          <w:highlight w:val="none"/>
        </w:rPr>
      </w:pPr>
      <w:bookmarkStart w:id="70" w:name="_Toc321836357"/>
      <w:r>
        <w:rPr>
          <w:rFonts w:ascii="Times New Roman" w:hAnsi="Times New Roman"/>
          <w:b/>
          <w:color w:val="auto"/>
          <w:szCs w:val="21"/>
          <w:highlight w:val="none"/>
        </w:rPr>
        <w:t>7.投诉</w:t>
      </w:r>
      <w:bookmarkEnd w:id="70"/>
    </w:p>
    <w:p w14:paraId="37F7E6C1">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bookmarkEnd w:id="69"/>
      <w:r>
        <w:rPr>
          <w:rFonts w:ascii="Times New Roman" w:hAnsi="Times New Roman"/>
          <w:color w:val="auto"/>
          <w:szCs w:val="21"/>
          <w:highlight w:val="none"/>
        </w:rPr>
        <w:t>。</w:t>
      </w:r>
    </w:p>
    <w:p w14:paraId="3C5C3D8D">
      <w:pPr>
        <w:pStyle w:val="3"/>
        <w:numPr>
          <w:ilvl w:val="1"/>
          <w:numId w:val="0"/>
        </w:numPr>
        <w:ind w:left="596" w:hanging="596"/>
        <w:jc w:val="center"/>
        <w:rPr>
          <w:rFonts w:ascii="Times New Roman" w:hAnsi="Times New Roman" w:eastAsia="宋体"/>
          <w:color w:val="auto"/>
          <w:szCs w:val="28"/>
          <w:highlight w:val="none"/>
        </w:rPr>
      </w:pPr>
      <w:bookmarkStart w:id="71" w:name="_Toc69912399"/>
      <w:bookmarkStart w:id="72" w:name="_Toc152862069"/>
      <w:bookmarkStart w:id="73" w:name="_Toc4556"/>
      <w:bookmarkStart w:id="74" w:name="_Toc491076989"/>
      <w:bookmarkStart w:id="75" w:name="_Toc91696407"/>
      <w:bookmarkStart w:id="76" w:name="_Toc152172890"/>
      <w:r>
        <w:rPr>
          <w:rFonts w:ascii="Times New Roman" w:hAnsi="Times New Roman" w:eastAsia="宋体"/>
          <w:color w:val="auto"/>
          <w:szCs w:val="28"/>
          <w:highlight w:val="none"/>
        </w:rPr>
        <w:t>二、招标文件</w:t>
      </w:r>
      <w:bookmarkEnd w:id="71"/>
      <w:bookmarkEnd w:id="72"/>
      <w:bookmarkEnd w:id="73"/>
      <w:bookmarkEnd w:id="74"/>
      <w:bookmarkEnd w:id="75"/>
      <w:bookmarkEnd w:id="76"/>
    </w:p>
    <w:p w14:paraId="39B20FFB">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8.招标文件构成</w:t>
      </w:r>
    </w:p>
    <w:p w14:paraId="7F1BEE24">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8.1要求提供的货物、采购过程及合同条款在招标文件中均有说明，招标文件共七章，各章的内容如下：</w:t>
      </w:r>
    </w:p>
    <w:p w14:paraId="6D8BD2B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第一章  招标公告</w:t>
      </w:r>
    </w:p>
    <w:p w14:paraId="282079A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第二章  投标人须知</w:t>
      </w:r>
    </w:p>
    <w:p w14:paraId="00E798D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第三章  合同书样式及主要条款</w:t>
      </w:r>
    </w:p>
    <w:p w14:paraId="4FDE56A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第四章  投标文件格式</w:t>
      </w:r>
    </w:p>
    <w:p w14:paraId="1FAF1E83">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第五章  货物需求及技术要求</w:t>
      </w:r>
    </w:p>
    <w:p w14:paraId="1C323E5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第六章  资格评审标准</w:t>
      </w:r>
    </w:p>
    <w:p w14:paraId="4E8F472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第七章  评标办法</w:t>
      </w:r>
    </w:p>
    <w:p w14:paraId="69A9AD69">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9.招标文件的澄清</w:t>
      </w:r>
    </w:p>
    <w:p w14:paraId="2D6E73D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9.1 投标人应认真核查招标文件，如有疑问的，投标人可以在“</w:t>
      </w:r>
      <w:r>
        <w:rPr>
          <w:rFonts w:ascii="Times New Roman" w:hAnsi="Times New Roman"/>
          <w:b/>
          <w:bCs/>
          <w:color w:val="auto"/>
          <w:szCs w:val="21"/>
          <w:highlight w:val="none"/>
        </w:rPr>
        <w:t>投标人须知前附表</w:t>
      </w:r>
      <w:r>
        <w:rPr>
          <w:rFonts w:ascii="Times New Roman" w:hAnsi="Times New Roman"/>
          <w:color w:val="auto"/>
          <w:szCs w:val="21"/>
          <w:highlight w:val="none"/>
        </w:rPr>
        <w:t>”规定截止时间前以澄清函形式（加盖单位章）要求采购人澄清，截止时间后送达的澄清要求不予接受。</w:t>
      </w:r>
    </w:p>
    <w:p w14:paraId="015F62D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9.2 采购代理机构将以书面形式答复所有购买招标文件的投标人（答复中不包含问题的来源）要求澄清的问题，其他澄清方式为无效。</w:t>
      </w:r>
    </w:p>
    <w:p w14:paraId="435E9FA0">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10.招标文件的澄清或者修改</w:t>
      </w:r>
    </w:p>
    <w:p w14:paraId="201EA3B5">
      <w:pPr>
        <w:spacing w:line="360" w:lineRule="auto"/>
        <w:ind w:firstLine="420" w:firstLineChars="200"/>
        <w:jc w:val="left"/>
        <w:rPr>
          <w:rFonts w:ascii="Times New Roman" w:hAnsi="Times New Roman"/>
          <w:color w:val="auto"/>
          <w:szCs w:val="21"/>
          <w:highlight w:val="none"/>
        </w:rPr>
      </w:pPr>
      <w:bookmarkStart w:id="77" w:name="_Toc69912400"/>
      <w:bookmarkStart w:id="78" w:name="_Toc491076990"/>
      <w:bookmarkStart w:id="79" w:name="_Toc91696408"/>
      <w:r>
        <w:rPr>
          <w:rFonts w:ascii="Times New Roman" w:hAnsi="Times New Roman"/>
          <w:color w:val="auto"/>
          <w:szCs w:val="21"/>
          <w:highlight w:val="none"/>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527B08E1">
      <w:pPr>
        <w:spacing w:line="360" w:lineRule="auto"/>
        <w:ind w:firstLine="420" w:firstLineChars="200"/>
        <w:jc w:val="left"/>
        <w:rPr>
          <w:rFonts w:ascii="Times New Roman" w:hAnsi="Times New Roman"/>
          <w:color w:val="auto"/>
          <w:sz w:val="24"/>
          <w:highlight w:val="none"/>
        </w:rPr>
      </w:pPr>
      <w:r>
        <w:rPr>
          <w:rFonts w:ascii="Times New Roman" w:hAnsi="Times New Roman"/>
          <w:color w:val="auto"/>
          <w:szCs w:val="21"/>
          <w:highlight w:val="none"/>
        </w:rPr>
        <w:t>10.2 采购代理机构和采购单位可以视采购具体情况，延长投标截止时间和开标时间，但至少在招标文件要求提交投标文件的截止时间3日前，将变更时间书面通知所有购买招标文件的投标人，并在财政部门指定的政府采购信息发布媒体上发布变更公告。</w:t>
      </w:r>
    </w:p>
    <w:p w14:paraId="55108D6F">
      <w:pPr>
        <w:pStyle w:val="3"/>
        <w:numPr>
          <w:ilvl w:val="1"/>
          <w:numId w:val="0"/>
        </w:numPr>
        <w:ind w:left="596" w:hanging="596"/>
        <w:jc w:val="center"/>
        <w:rPr>
          <w:rFonts w:ascii="Times New Roman" w:hAnsi="Times New Roman" w:eastAsia="宋体"/>
          <w:color w:val="auto"/>
          <w:szCs w:val="28"/>
          <w:highlight w:val="none"/>
        </w:rPr>
      </w:pPr>
      <w:bookmarkStart w:id="80" w:name="_Toc152172891"/>
      <w:bookmarkStart w:id="81" w:name="_Toc8095"/>
      <w:bookmarkStart w:id="82" w:name="_Toc152862070"/>
      <w:r>
        <w:rPr>
          <w:rFonts w:ascii="Times New Roman" w:hAnsi="Times New Roman" w:eastAsia="宋体"/>
          <w:color w:val="auto"/>
          <w:szCs w:val="28"/>
          <w:highlight w:val="none"/>
        </w:rPr>
        <w:t>三、投标文件</w:t>
      </w:r>
      <w:bookmarkEnd w:id="77"/>
      <w:bookmarkEnd w:id="78"/>
      <w:bookmarkEnd w:id="79"/>
      <w:bookmarkEnd w:id="80"/>
      <w:bookmarkEnd w:id="81"/>
      <w:bookmarkEnd w:id="82"/>
    </w:p>
    <w:p w14:paraId="770EB22A">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11.投标文件编写注意事项</w:t>
      </w:r>
    </w:p>
    <w:p w14:paraId="09D5E31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11.1投标人应仔细阅读招标文件，在完全了解采购的内容、技术性能要求(详见</w:t>
      </w:r>
      <w:r>
        <w:rPr>
          <w:rFonts w:ascii="Times New Roman" w:hAnsi="Times New Roman"/>
          <w:bCs/>
          <w:color w:val="auto"/>
          <w:szCs w:val="21"/>
          <w:highlight w:val="none"/>
        </w:rPr>
        <w:t>第五章《货物需求及技术要求》</w:t>
      </w:r>
      <w:r>
        <w:rPr>
          <w:rFonts w:ascii="Times New Roman" w:hAnsi="Times New Roman"/>
          <w:color w:val="auto"/>
          <w:szCs w:val="21"/>
          <w:highlight w:val="none"/>
        </w:rPr>
        <w:t>)和商务条件后，编写投标文件。招标文件中标注</w:t>
      </w:r>
      <w:r>
        <w:rPr>
          <w:rFonts w:ascii="Segoe UI Symbol" w:hAnsi="Segoe UI Symbol" w:cs="Segoe UI Symbol"/>
          <w:color w:val="auto"/>
          <w:szCs w:val="21"/>
          <w:highlight w:val="none"/>
        </w:rPr>
        <w:t>★</w:t>
      </w:r>
      <w:r>
        <w:rPr>
          <w:rFonts w:ascii="Times New Roman" w:hAnsi="Times New Roman"/>
          <w:color w:val="auto"/>
          <w:szCs w:val="21"/>
          <w:highlight w:val="none"/>
        </w:rPr>
        <w:t>号的条款为实质性要求和条件，投标文件必须响应招标文件的实质性要求和条件，不满足任何一条将导致投标无效。</w:t>
      </w:r>
    </w:p>
    <w:p w14:paraId="6D76415F">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11.2 对招标文件提出的实质性要求和条件作出响应是指：投标人必须对招标文件中的实质性要求和条件的内容作出满足或者优于原要求和条件的承诺，并提供相应的材料。</w:t>
      </w:r>
    </w:p>
    <w:p w14:paraId="6CB6CD0C">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12.投标的语言及计量单位</w:t>
      </w:r>
    </w:p>
    <w:p w14:paraId="3BE5492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12.1投标人的投标文件以及投标人与采购代理机构就有关投标的所有来往函电统一使用中文（特别规定除外）。</w:t>
      </w:r>
    </w:p>
    <w:p w14:paraId="663470DA">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12.2投标文件中使用的计量单位除招标文件中有特殊规定外，一律使用中国法定计量单位。</w:t>
      </w:r>
    </w:p>
    <w:p w14:paraId="04DA3590">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13.投标文件构成</w:t>
      </w:r>
    </w:p>
    <w:p w14:paraId="42458B0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13.1投标人编写的投标文件应由下列部分构成，并按第四章“投标文件格式”要求填写。有关文件的提交如未特别注明需提供原件的，可提供复印件/扫描件。</w:t>
      </w:r>
    </w:p>
    <w:p w14:paraId="00F3BB2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13.1.1开标一览表；</w:t>
      </w:r>
    </w:p>
    <w:p w14:paraId="21607E33">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13.1.2资格证明文件；</w:t>
      </w:r>
    </w:p>
    <w:p w14:paraId="0DD61DA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13.1.3投标文件商务部分</w:t>
      </w:r>
    </w:p>
    <w:p w14:paraId="6A3B8A2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（1）商务部分内容； </w:t>
      </w:r>
    </w:p>
    <w:p w14:paraId="0931035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（2）构成投标文件商务部分的其他资料：详见“投标人须知前附表”要求。</w:t>
      </w:r>
    </w:p>
    <w:p w14:paraId="385A86C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13.1.4投标文件技术部分</w:t>
      </w:r>
    </w:p>
    <w:p w14:paraId="03F1A6D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（1）技术部分内容；</w:t>
      </w:r>
    </w:p>
    <w:p w14:paraId="689B179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（2）构成投标文件技术部分的其他资料：详见“投标人须知前附表”要求。</w:t>
      </w:r>
    </w:p>
    <w:p w14:paraId="20E4FB9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13.1.5资格证明文件；</w:t>
      </w:r>
    </w:p>
    <w:p w14:paraId="0B955DE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（1）本章第4款“合格的投标人”中要求提供的资格证明文件。</w:t>
      </w:r>
    </w:p>
    <w:p w14:paraId="7C400C4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13.1.6投标文件其他材料。</w:t>
      </w:r>
    </w:p>
    <w:p w14:paraId="4024FEAD">
      <w:pPr>
        <w:spacing w:line="360" w:lineRule="auto"/>
        <w:ind w:firstLine="420" w:firstLineChars="200"/>
        <w:jc w:val="left"/>
        <w:rPr>
          <w:rFonts w:ascii="Times New Roman" w:hAnsi="Times New Roman"/>
          <w:color w:val="auto"/>
          <w:szCs w:val="21"/>
          <w:highlight w:val="none"/>
          <w:u w:val="single"/>
        </w:rPr>
      </w:pPr>
      <w:r>
        <w:rPr>
          <w:rFonts w:ascii="Times New Roman" w:hAnsi="Times New Roman"/>
          <w:color w:val="auto"/>
          <w:szCs w:val="21"/>
          <w:highlight w:val="none"/>
        </w:rPr>
        <w:t>13.2</w:t>
      </w:r>
      <w:r>
        <w:rPr>
          <w:rFonts w:ascii="Times New Roman" w:hAnsi="Times New Roman"/>
          <w:color w:val="auto"/>
          <w:szCs w:val="21"/>
          <w:highlight w:val="none"/>
          <w:u w:val="single"/>
        </w:rPr>
        <w:t>投标人同时投多个标段（若分标段时）的，投标文件应按标段分别编制，并按标段单独递交。</w:t>
      </w:r>
    </w:p>
    <w:p w14:paraId="664B13E1">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14.投标文件的格式要求</w:t>
      </w:r>
    </w:p>
    <w:p w14:paraId="69468131">
      <w:pPr>
        <w:tabs>
          <w:tab w:val="left" w:pos="3030"/>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14.1投标人应按第四章“投标文件格式”提供的格式完整地填写。</w:t>
      </w:r>
    </w:p>
    <w:p w14:paraId="50D72890">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15.投标报价</w:t>
      </w:r>
    </w:p>
    <w:p w14:paraId="693C0E80">
      <w:pPr>
        <w:spacing w:line="360" w:lineRule="auto"/>
        <w:ind w:firstLine="420" w:firstLineChars="200"/>
        <w:rPr>
          <w:rFonts w:ascii="Times New Roman" w:hAnsi="Times New Roman"/>
          <w:bCs/>
          <w:color w:val="auto"/>
          <w:szCs w:val="21"/>
          <w:highlight w:val="none"/>
        </w:rPr>
      </w:pPr>
      <w:r>
        <w:rPr>
          <w:rFonts w:ascii="Segoe UI Symbol" w:hAnsi="Segoe UI Symbol" w:cs="Segoe UI Symbol"/>
          <w:bCs/>
          <w:color w:val="auto"/>
          <w:szCs w:val="21"/>
          <w:highlight w:val="none"/>
        </w:rPr>
        <w:t>★</w:t>
      </w:r>
      <w:r>
        <w:rPr>
          <w:rFonts w:ascii="Times New Roman" w:hAnsi="Times New Roman"/>
          <w:bCs/>
          <w:color w:val="auto"/>
          <w:szCs w:val="21"/>
          <w:highlight w:val="none"/>
        </w:rPr>
        <w:t>15.1本项目预算金额及最高限价见“投标人须知前附表”，若投标人的投标报价超过最高限价，按未实质性响应招标文件要求处理。</w:t>
      </w:r>
    </w:p>
    <w:p w14:paraId="40053DCF">
      <w:pPr>
        <w:spacing w:line="360" w:lineRule="auto"/>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15.2投标人须就第五章《货物需求及技术要求》中的项目所有内容作完整唯一报价。</w:t>
      </w:r>
    </w:p>
    <w:p w14:paraId="24210AF6">
      <w:pPr>
        <w:spacing w:line="360" w:lineRule="auto"/>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15.3投标人应依据招标文件的要求及有关资料，按国家或行业现行技术经济标准、定额及规范，自行测算出满足招标要求的投标货物的竞争性报价。</w:t>
      </w:r>
      <w:bookmarkStart w:id="83" w:name="_Hlk96688601"/>
      <w:r>
        <w:rPr>
          <w:rFonts w:ascii="Times New Roman" w:hAnsi="Times New Roman"/>
          <w:bCs/>
          <w:color w:val="auto"/>
          <w:szCs w:val="21"/>
          <w:highlight w:val="none"/>
        </w:rPr>
        <w:t>投标报价</w:t>
      </w:r>
      <w:bookmarkEnd w:id="83"/>
      <w:r>
        <w:rPr>
          <w:rFonts w:hint="eastAsia" w:ascii="Times New Roman" w:hAnsi="Times New Roman"/>
          <w:bCs/>
          <w:color w:val="auto"/>
          <w:szCs w:val="21"/>
          <w:highlight w:val="none"/>
          <w:lang w:val="en-US" w:eastAsia="zh-CN"/>
        </w:rPr>
        <w:t>为</w:t>
      </w:r>
      <w:r>
        <w:rPr>
          <w:rFonts w:hint="eastAsia" w:ascii="Times New Roman" w:hAnsi="Times New Roman"/>
          <w:bCs/>
          <w:color w:val="auto"/>
          <w:szCs w:val="21"/>
          <w:highlight w:val="none"/>
        </w:rPr>
        <w:t>甲方指定地点交货价，并包含设备的安装运输调试费用。</w:t>
      </w:r>
    </w:p>
    <w:p w14:paraId="22AE5443">
      <w:pPr>
        <w:spacing w:line="360" w:lineRule="auto"/>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14E36077">
      <w:pPr>
        <w:spacing w:line="360" w:lineRule="auto"/>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15.</w:t>
      </w:r>
      <w:r>
        <w:rPr>
          <w:rFonts w:hint="eastAsia" w:ascii="Times New Roman" w:hAnsi="Times New Roman"/>
          <w:bCs/>
          <w:color w:val="auto"/>
          <w:szCs w:val="21"/>
          <w:highlight w:val="none"/>
        </w:rPr>
        <w:t>5</w:t>
      </w:r>
      <w:r>
        <w:rPr>
          <w:rFonts w:ascii="Times New Roman" w:hAnsi="Times New Roman"/>
          <w:bCs/>
          <w:color w:val="auto"/>
          <w:szCs w:val="21"/>
          <w:highlight w:val="none"/>
        </w:rPr>
        <w:t>运杂费用：即投标货物到交货地点前的所有费用，包括铁路或公路运费、提货及转运费用、短途运费、包装费、装卸费用、加固费用、保险费等。</w:t>
      </w:r>
    </w:p>
    <w:p w14:paraId="71F86BB3">
      <w:pPr>
        <w:spacing w:line="360" w:lineRule="auto"/>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15.</w:t>
      </w:r>
      <w:r>
        <w:rPr>
          <w:rFonts w:hint="eastAsia" w:ascii="Times New Roman" w:hAnsi="Times New Roman"/>
          <w:bCs/>
          <w:color w:val="auto"/>
          <w:szCs w:val="21"/>
          <w:highlight w:val="none"/>
        </w:rPr>
        <w:t>6</w:t>
      </w:r>
      <w:r>
        <w:rPr>
          <w:rFonts w:ascii="Times New Roman" w:hAnsi="Times New Roman"/>
          <w:bCs/>
          <w:color w:val="auto"/>
          <w:szCs w:val="21"/>
          <w:highlight w:val="none"/>
        </w:rPr>
        <w:t>技术服务费用包括：设计联络费用（若有）、现场服务（包括指导安装和调试费用）和人员培训的费用、技术资料费以及技术咨询协调费用等。</w:t>
      </w:r>
    </w:p>
    <w:p w14:paraId="6248B440">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16.投标货币</w:t>
      </w:r>
    </w:p>
    <w:p w14:paraId="1A37EFC4">
      <w:pPr>
        <w:spacing w:line="360" w:lineRule="auto"/>
        <w:ind w:firstLine="420" w:firstLineChars="200"/>
        <w:rPr>
          <w:rFonts w:ascii="Times New Roman" w:hAnsi="Times New Roman"/>
          <w:bCs/>
          <w:color w:val="auto"/>
          <w:szCs w:val="21"/>
          <w:highlight w:val="none"/>
        </w:rPr>
      </w:pPr>
      <w:r>
        <w:rPr>
          <w:rFonts w:ascii="Times New Roman" w:hAnsi="Times New Roman"/>
          <w:color w:val="auto"/>
          <w:szCs w:val="21"/>
          <w:highlight w:val="none"/>
        </w:rPr>
        <w:t>16.1投标以人民币报价。</w:t>
      </w:r>
    </w:p>
    <w:p w14:paraId="6EF5F6FC">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17.投标文件有效期</w:t>
      </w:r>
    </w:p>
    <w:p w14:paraId="6D111802">
      <w:pPr>
        <w:spacing w:line="360" w:lineRule="auto"/>
        <w:ind w:firstLine="420" w:firstLineChars="200"/>
        <w:jc w:val="left"/>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17.1在“投标人须知前附表”规定的投标有效期内，投标人不得要求撤销或修改其投标文件。</w:t>
      </w:r>
    </w:p>
    <w:p w14:paraId="43D2E54F">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0CB3E6C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6CA973C0">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18.分包</w:t>
      </w:r>
    </w:p>
    <w:p w14:paraId="3BCA7893">
      <w:pPr>
        <w:spacing w:line="360" w:lineRule="auto"/>
        <w:ind w:firstLine="420" w:firstLineChars="200"/>
        <w:jc w:val="left"/>
        <w:rPr>
          <w:rFonts w:ascii="Times New Roman" w:hAnsi="Times New Roman"/>
          <w:color w:val="auto"/>
          <w:kern w:val="0"/>
          <w:szCs w:val="21"/>
          <w:highlight w:val="none"/>
        </w:rPr>
      </w:pPr>
      <w:r>
        <w:rPr>
          <w:rFonts w:ascii="Times New Roman" w:hAnsi="Times New Roman"/>
          <w:color w:val="auto"/>
          <w:szCs w:val="21"/>
          <w:highlight w:val="none"/>
        </w:rPr>
        <w:t>18.1“投标人须知前附表”规定允许分包的项目，投标人在中标后只能将项目的非主体、</w:t>
      </w:r>
      <w:r>
        <w:rPr>
          <w:rFonts w:ascii="Times New Roman" w:hAnsi="Times New Roman"/>
          <w:color w:val="auto"/>
          <w:kern w:val="0"/>
          <w:szCs w:val="21"/>
          <w:highlight w:val="none"/>
        </w:rPr>
        <w:t>非关键性工作分包。投标人应当在投标文件中载明分包承担主体，分包承担主体应当具备相应资质条件且不得再次分包。</w:t>
      </w:r>
    </w:p>
    <w:p w14:paraId="61806190">
      <w:pPr>
        <w:spacing w:line="360" w:lineRule="auto"/>
        <w:ind w:firstLine="420" w:firstLineChars="200"/>
        <w:jc w:val="left"/>
        <w:rPr>
          <w:rFonts w:ascii="Times New Roman" w:hAnsi="Times New Roman"/>
          <w:color w:val="auto"/>
          <w:kern w:val="0"/>
          <w:szCs w:val="21"/>
          <w:highlight w:val="none"/>
        </w:rPr>
      </w:pPr>
      <w:r>
        <w:rPr>
          <w:rFonts w:ascii="Segoe UI Symbol" w:hAnsi="Segoe UI Symbol" w:cs="Segoe UI Symbol"/>
          <w:color w:val="auto"/>
          <w:kern w:val="0"/>
          <w:szCs w:val="21"/>
          <w:highlight w:val="none"/>
        </w:rPr>
        <w:t>★</w:t>
      </w:r>
      <w:r>
        <w:rPr>
          <w:rFonts w:ascii="Times New Roman" w:hAnsi="Times New Roman"/>
          <w:color w:val="auto"/>
          <w:kern w:val="0"/>
          <w:szCs w:val="21"/>
          <w:highlight w:val="none"/>
        </w:rPr>
        <w:t>19.投标人应当遵循公平竞争的原则，不得恶意串通，不得妨碍其他投标人的竞争行为，不得损害采购人或者其他投标人的合法权益。</w:t>
      </w:r>
    </w:p>
    <w:p w14:paraId="152BBA11">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20.投标文件的编制</w:t>
      </w:r>
    </w:p>
    <w:p w14:paraId="498DCF1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20.1投标人应按照招标文件和政府采购云平台的要求编制投标文件，投标文件中涉及盖章签署的地方，建议使用电子签章进行签署。</w:t>
      </w:r>
    </w:p>
    <w:p w14:paraId="604F09B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20.2可靠的电子签名/公章，与手写签名或者盖章具有同等的法律效力。</w:t>
      </w:r>
    </w:p>
    <w:p w14:paraId="533563B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20.3 投标文件中提</w:t>
      </w:r>
      <w:r>
        <w:rPr>
          <w:rFonts w:ascii="Times New Roman" w:hAnsi="Times New Roman"/>
          <w:bCs/>
          <w:color w:val="auto"/>
          <w:szCs w:val="21"/>
          <w:highlight w:val="none"/>
        </w:rPr>
        <w:t>供的资料（包括复印件/扫描件），内容必须清晰可辨，若内容模糊，无法辨识，均视为未提供。</w:t>
      </w:r>
    </w:p>
    <w:p w14:paraId="423F24F8">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21.投标保证金</w:t>
      </w:r>
    </w:p>
    <w:p w14:paraId="0B7A0E7F">
      <w:pPr>
        <w:pStyle w:val="17"/>
        <w:tabs>
          <w:tab w:val="left" w:pos="710"/>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21.1 投标保证金为人民币。投标人应在提交投标文件截止时间以前按“投标人须知前附表”的规定提交。</w:t>
      </w:r>
    </w:p>
    <w:p w14:paraId="648ACDCA">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21.2 </w:t>
      </w:r>
      <w:r>
        <w:rPr>
          <w:rFonts w:ascii="Times New Roman" w:hAnsi="Times New Roman"/>
          <w:color w:val="auto"/>
          <w:kern w:val="0"/>
          <w:szCs w:val="21"/>
          <w:highlight w:val="none"/>
        </w:rPr>
        <w:t>投标人在投标截止时间前撤回已提交的投标文件的，采购代理机构将在自收到投标人书面撤回通知之日起5个工作日内，退还已收取的投标保证金，但因投标人自身原因导致无法及时退还的除外</w:t>
      </w:r>
      <w:r>
        <w:rPr>
          <w:rFonts w:ascii="Times New Roman" w:hAnsi="Times New Roman"/>
          <w:color w:val="auto"/>
          <w:szCs w:val="21"/>
          <w:highlight w:val="none"/>
        </w:rPr>
        <w:t>。</w:t>
      </w:r>
    </w:p>
    <w:p w14:paraId="3C05AC4E">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21.3 未中标人的投标保证金将在中标公告发出后5个工作日退还；中标人的投标保证金将在</w:t>
      </w:r>
      <w:r>
        <w:rPr>
          <w:rFonts w:ascii="Times New Roman" w:hAnsi="Times New Roman"/>
          <w:color w:val="auto"/>
          <w:kern w:val="0"/>
          <w:szCs w:val="21"/>
          <w:highlight w:val="none"/>
        </w:rPr>
        <w:t>采购合同签订之日起5个工作日内退还</w:t>
      </w:r>
      <w:r>
        <w:rPr>
          <w:rFonts w:ascii="Times New Roman" w:hAnsi="Times New Roman"/>
          <w:color w:val="auto"/>
          <w:szCs w:val="21"/>
          <w:highlight w:val="none"/>
        </w:rPr>
        <w:t>。</w:t>
      </w:r>
    </w:p>
    <w:p w14:paraId="40AFF1B8">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21.4 </w:t>
      </w:r>
      <w:r>
        <w:rPr>
          <w:rFonts w:hint="eastAsia" w:ascii="Times New Roman"/>
          <w:color w:val="auto"/>
          <w:szCs w:val="21"/>
          <w:highlight w:val="none"/>
        </w:rPr>
        <w:t>投标保证金的退还：</w:t>
      </w:r>
    </w:p>
    <w:p w14:paraId="38D90154">
      <w:pPr>
        <w:pStyle w:val="17"/>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w:t>
      </w:r>
      <w:r>
        <w:rPr>
          <w:rFonts w:ascii="Times New Roman" w:hAnsi="Times New Roman"/>
          <w:color w:val="auto"/>
          <w:szCs w:val="21"/>
          <w:highlight w:val="none"/>
        </w:rPr>
        <w:t>1）以银行转账、网银、电汇缴纳的保证金，以网银对公转账的方式退还到供应商打款账户；</w:t>
      </w:r>
    </w:p>
    <w:p w14:paraId="7814B30D">
      <w:pPr>
        <w:pStyle w:val="17"/>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w:t>
      </w:r>
      <w:r>
        <w:rPr>
          <w:rFonts w:ascii="Times New Roman" w:hAnsi="Times New Roman"/>
          <w:color w:val="auto"/>
          <w:szCs w:val="21"/>
          <w:highlight w:val="none"/>
        </w:rPr>
        <w:t>2）以支票、汇票及本票等票据方式缴纳的保证金，经财务查账确认后以对公转账的方式退还到供应商开户账户；</w:t>
      </w:r>
    </w:p>
    <w:p w14:paraId="4D25FB20">
      <w:pPr>
        <w:pStyle w:val="17"/>
        <w:spacing w:line="360" w:lineRule="auto"/>
        <w:ind w:firstLine="420" w:firstLineChars="200"/>
        <w:rPr>
          <w:rFonts w:ascii="Times New Roman" w:hAnsi="Times New Roman"/>
          <w:color w:val="auto"/>
          <w:szCs w:val="21"/>
          <w:highlight w:val="none"/>
        </w:rPr>
      </w:pPr>
      <w:r>
        <w:rPr>
          <w:rFonts w:hint="eastAsia" w:ascii="Times New Roman" w:hAnsi="Times New Roman"/>
          <w:color w:val="auto"/>
          <w:szCs w:val="21"/>
          <w:highlight w:val="none"/>
        </w:rPr>
        <w:t>（</w:t>
      </w:r>
      <w:r>
        <w:rPr>
          <w:rFonts w:ascii="Times New Roman" w:hAnsi="Times New Roman"/>
          <w:color w:val="auto"/>
          <w:szCs w:val="21"/>
          <w:highlight w:val="none"/>
        </w:rPr>
        <w:t>3）以银行保函或者保证保险方式缴纳的保证金由供应商自行联系出函机构。</w:t>
      </w:r>
    </w:p>
    <w:p w14:paraId="451FC8C6">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21.5 下列情况发生时，投标保证金将不予退还</w:t>
      </w:r>
    </w:p>
    <w:p w14:paraId="6F663F13">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（1）投标人在投标有效期内要求撤回投标的；</w:t>
      </w:r>
    </w:p>
    <w:p w14:paraId="408EB25D">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（2）中标人中标后无正当理由不与采购人签订合同的；</w:t>
      </w:r>
    </w:p>
    <w:p w14:paraId="3D5D7A5E">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（3）中标人将中标项目转让给他人，或者在投标文件中未说明，且未经采购人同意，将中标项目分包给他人的；</w:t>
      </w:r>
    </w:p>
    <w:p w14:paraId="462C472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（4）中标人拒绝履行合同义务的。</w:t>
      </w:r>
    </w:p>
    <w:p w14:paraId="2BB2AFA9">
      <w:pPr>
        <w:pStyle w:val="3"/>
        <w:numPr>
          <w:ilvl w:val="1"/>
          <w:numId w:val="0"/>
        </w:numPr>
        <w:ind w:left="596" w:hanging="596"/>
        <w:jc w:val="center"/>
        <w:rPr>
          <w:rFonts w:ascii="Times New Roman" w:hAnsi="Times New Roman" w:eastAsia="宋体"/>
          <w:color w:val="auto"/>
          <w:szCs w:val="28"/>
          <w:highlight w:val="none"/>
        </w:rPr>
      </w:pPr>
      <w:bookmarkStart w:id="84" w:name="_Toc91696409"/>
      <w:bookmarkStart w:id="85" w:name="_Toc491076991"/>
      <w:bookmarkStart w:id="86" w:name="_Toc152172892"/>
      <w:bookmarkStart w:id="87" w:name="_Toc152862071"/>
      <w:bookmarkStart w:id="88" w:name="_Toc14639"/>
      <w:bookmarkStart w:id="89" w:name="_Toc69912401"/>
      <w:r>
        <w:rPr>
          <w:rFonts w:ascii="Times New Roman" w:hAnsi="Times New Roman" w:eastAsia="宋体"/>
          <w:color w:val="auto"/>
          <w:szCs w:val="28"/>
          <w:highlight w:val="none"/>
        </w:rPr>
        <w:t>四、投标文件的提交</w:t>
      </w:r>
      <w:bookmarkEnd w:id="84"/>
      <w:bookmarkEnd w:id="85"/>
      <w:bookmarkEnd w:id="86"/>
      <w:bookmarkEnd w:id="87"/>
      <w:bookmarkEnd w:id="88"/>
      <w:bookmarkEnd w:id="89"/>
    </w:p>
    <w:p w14:paraId="0109AFFA">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22.投标文件的密封与标记</w:t>
      </w:r>
    </w:p>
    <w:p w14:paraId="6BB0CB88">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22.1 投标人应按照招标文件、政府采购云平台的要求对投标文件进行制作和加密，投标人未按照招标文件要求提交的投标文件将被拒收。</w:t>
      </w:r>
    </w:p>
    <w:p w14:paraId="787D05B5">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22.2投标人应按“投标人须知前附表”中的规定提交投标文件。</w:t>
      </w:r>
    </w:p>
    <w:p w14:paraId="6F50EC4F">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23.提交投标文件截止时间和地点</w:t>
      </w:r>
    </w:p>
    <w:p w14:paraId="0E8680C6">
      <w:pPr>
        <w:pStyle w:val="17"/>
        <w:spacing w:line="360" w:lineRule="auto"/>
        <w:ind w:left="-10" w:leftChars="-5" w:firstLine="420" w:firstLineChars="200"/>
        <w:rPr>
          <w:rFonts w:ascii="Times New Roman" w:hAnsi="Times New Roman"/>
          <w:color w:val="auto"/>
          <w:szCs w:val="21"/>
          <w:highlight w:val="none"/>
        </w:rPr>
      </w:pPr>
      <w:r>
        <w:rPr>
          <w:rFonts w:ascii="Times New Roman" w:hAnsi="Times New Roman"/>
          <w:color w:val="auto"/>
          <w:szCs w:val="21"/>
          <w:highlight w:val="none"/>
        </w:rPr>
        <w:t>23.1 投标文件的提交不得迟于“投标人须知前附表”规定的提交投标文件截止时间。逾期送达的投标文件，将被拒收。</w:t>
      </w:r>
    </w:p>
    <w:p w14:paraId="5906D8F6">
      <w:pPr>
        <w:pStyle w:val="17"/>
        <w:spacing w:line="360" w:lineRule="auto"/>
        <w:ind w:left="-10" w:leftChars="-5" w:firstLine="420" w:firstLineChars="200"/>
        <w:rPr>
          <w:rFonts w:ascii="Times New Roman" w:hAnsi="Times New Roman"/>
          <w:color w:val="auto"/>
          <w:szCs w:val="21"/>
          <w:highlight w:val="none"/>
        </w:rPr>
      </w:pPr>
      <w:r>
        <w:rPr>
          <w:rFonts w:ascii="Times New Roman" w:hAnsi="Times New Roman"/>
          <w:color w:val="auto"/>
          <w:szCs w:val="21"/>
          <w:highlight w:val="none"/>
        </w:rPr>
        <w:t>23.2 投标人必须在规定时间内将投标文件提交到“投标人须知前附表”规定的地点。</w:t>
      </w:r>
    </w:p>
    <w:p w14:paraId="76BE3592">
      <w:pPr>
        <w:spacing w:line="360" w:lineRule="auto"/>
        <w:ind w:firstLine="420" w:firstLineChars="200"/>
        <w:jc w:val="left"/>
        <w:rPr>
          <w:rFonts w:ascii="Times New Roman" w:hAnsi="Times New Roman"/>
          <w:bCs/>
          <w:color w:val="auto"/>
          <w:szCs w:val="21"/>
          <w:highlight w:val="none"/>
        </w:rPr>
      </w:pPr>
      <w:r>
        <w:rPr>
          <w:rFonts w:ascii="Times New Roman" w:hAnsi="Times New Roman"/>
          <w:color w:val="auto"/>
          <w:szCs w:val="21"/>
          <w:highlight w:val="none"/>
        </w:rPr>
        <w:t>23.3 除“投标人须知前附表”另有规定外，投标人所提交的投标文件不予退还。</w:t>
      </w:r>
    </w:p>
    <w:p w14:paraId="7A1A2AEE">
      <w:pPr>
        <w:spacing w:line="360" w:lineRule="auto"/>
        <w:ind w:firstLine="422" w:firstLineChars="200"/>
        <w:rPr>
          <w:rFonts w:ascii="Times New Roman" w:hAnsi="Times New Roman"/>
          <w:color w:val="auto"/>
          <w:szCs w:val="21"/>
          <w:highlight w:val="none"/>
        </w:rPr>
      </w:pPr>
      <w:r>
        <w:rPr>
          <w:rFonts w:ascii="Times New Roman" w:hAnsi="Times New Roman"/>
          <w:b/>
          <w:bCs/>
          <w:color w:val="auto"/>
          <w:szCs w:val="21"/>
          <w:highlight w:val="none"/>
        </w:rPr>
        <w:t>24.投标文件的修改与撤回</w:t>
      </w:r>
    </w:p>
    <w:p w14:paraId="58EDE744">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投标人在投标截止时间前，可以对所递交的投标文件进行补充、修改或者撤回，并书面通知采购人或者采购代理机构。补充、修改的内容应当按照招标文件要求签署、盖章、密封（加密）后，作为投标文件的组成部分。</w:t>
      </w:r>
    </w:p>
    <w:p w14:paraId="39CE10D1">
      <w:pPr>
        <w:pStyle w:val="3"/>
        <w:numPr>
          <w:ilvl w:val="1"/>
          <w:numId w:val="0"/>
        </w:numPr>
        <w:ind w:left="596" w:hanging="596"/>
        <w:jc w:val="center"/>
        <w:rPr>
          <w:rFonts w:ascii="Times New Roman" w:hAnsi="Times New Roman" w:eastAsia="宋体"/>
          <w:color w:val="auto"/>
          <w:szCs w:val="28"/>
          <w:highlight w:val="none"/>
        </w:rPr>
      </w:pPr>
      <w:bookmarkStart w:id="90" w:name="_Toc27987"/>
      <w:bookmarkStart w:id="91" w:name="_Toc491076992"/>
      <w:bookmarkStart w:id="92" w:name="_Toc152862072"/>
      <w:bookmarkStart w:id="93" w:name="_Toc69912402"/>
      <w:bookmarkStart w:id="94" w:name="_Toc152172893"/>
      <w:bookmarkStart w:id="95" w:name="_Toc91696410"/>
      <w:r>
        <w:rPr>
          <w:rFonts w:ascii="Times New Roman" w:hAnsi="Times New Roman" w:eastAsia="宋体"/>
          <w:color w:val="auto"/>
          <w:szCs w:val="28"/>
          <w:highlight w:val="none"/>
        </w:rPr>
        <w:t>五、开标与评标</w:t>
      </w:r>
      <w:bookmarkEnd w:id="90"/>
      <w:bookmarkEnd w:id="91"/>
      <w:bookmarkEnd w:id="92"/>
      <w:bookmarkEnd w:id="93"/>
      <w:bookmarkEnd w:id="94"/>
      <w:bookmarkEnd w:id="95"/>
    </w:p>
    <w:p w14:paraId="3167F818">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25.开标</w:t>
      </w:r>
    </w:p>
    <w:p w14:paraId="7CA5863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25.1采购代理机构将在“</w:t>
      </w:r>
      <w:r>
        <w:rPr>
          <w:rFonts w:ascii="Times New Roman" w:hAnsi="Times New Roman"/>
          <w:b/>
          <w:bCs/>
          <w:color w:val="auto"/>
          <w:szCs w:val="21"/>
          <w:highlight w:val="none"/>
        </w:rPr>
        <w:t>投标人须知前附表</w:t>
      </w:r>
      <w:r>
        <w:rPr>
          <w:rFonts w:ascii="Times New Roman" w:hAnsi="Times New Roman"/>
          <w:color w:val="auto"/>
          <w:szCs w:val="21"/>
          <w:highlight w:val="none"/>
        </w:rPr>
        <w:t xml:space="preserve">”规定的时间和地点进行开标。 </w:t>
      </w:r>
    </w:p>
    <w:p w14:paraId="751AA91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25.2投标截止后投标人不足3家的，不得开标。</w:t>
      </w:r>
    </w:p>
    <w:p w14:paraId="1AD6EC7F">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25.3开标程序：本项目按政府采购云平台的要求进行开标程序。</w:t>
      </w:r>
    </w:p>
    <w:p w14:paraId="423B7CB5">
      <w:pPr>
        <w:spacing w:line="360" w:lineRule="auto"/>
        <w:ind w:left="2"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26.资格审查</w:t>
      </w:r>
    </w:p>
    <w:p w14:paraId="7F2C0AE9">
      <w:pPr>
        <w:spacing w:line="360" w:lineRule="auto"/>
        <w:ind w:left="2"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26.1开标结束后，采购人或者采购代理机构应当依法对投标人的资格进行审查。合格投标人不足3家的，不得评标。</w:t>
      </w:r>
    </w:p>
    <w:p w14:paraId="57AB80B5">
      <w:pPr>
        <w:spacing w:line="360" w:lineRule="auto"/>
        <w:ind w:firstLine="422" w:firstLineChars="200"/>
        <w:jc w:val="left"/>
        <w:rPr>
          <w:rFonts w:ascii="Times New Roman" w:hAnsi="Times New Roman"/>
          <w:b/>
          <w:color w:val="auto"/>
          <w:szCs w:val="21"/>
          <w:highlight w:val="none"/>
        </w:rPr>
      </w:pPr>
      <w:r>
        <w:rPr>
          <w:rFonts w:ascii="Times New Roman" w:hAnsi="Times New Roman"/>
          <w:b/>
          <w:color w:val="auto"/>
          <w:szCs w:val="21"/>
          <w:highlight w:val="none"/>
        </w:rPr>
        <w:t>27.评标</w:t>
      </w:r>
    </w:p>
    <w:p w14:paraId="6975878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27.1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5CDD35D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采购人委派代表参加评标委员会的，要向采购代理机构出具授权函。</w:t>
      </w:r>
    </w:p>
    <w:p w14:paraId="2D672CE2">
      <w:pPr>
        <w:spacing w:line="360" w:lineRule="auto"/>
        <w:ind w:firstLine="420" w:firstLineChars="200"/>
        <w:rPr>
          <w:rFonts w:ascii="Times New Roman" w:hAnsi="Times New Roman"/>
          <w:bCs/>
          <w:color w:val="auto"/>
          <w:szCs w:val="21"/>
          <w:highlight w:val="none"/>
        </w:rPr>
      </w:pPr>
      <w:bookmarkStart w:id="96" w:name="_Toc191374422"/>
      <w:r>
        <w:rPr>
          <w:rFonts w:ascii="Times New Roman" w:hAnsi="Times New Roman"/>
          <w:bCs/>
          <w:color w:val="auto"/>
          <w:szCs w:val="21"/>
          <w:highlight w:val="none"/>
        </w:rPr>
        <w:t>27.2评标原则</w:t>
      </w:r>
      <w:bookmarkEnd w:id="96"/>
      <w:r>
        <w:rPr>
          <w:rFonts w:ascii="Times New Roman" w:hAnsi="Times New Roman"/>
          <w:bCs/>
          <w:color w:val="auto"/>
          <w:szCs w:val="21"/>
          <w:highlight w:val="none"/>
        </w:rPr>
        <w:t>及方法</w:t>
      </w:r>
    </w:p>
    <w:p w14:paraId="6A31A14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评标活动遵循公平、公正、科学和择优的原则。</w:t>
      </w:r>
    </w:p>
    <w:p w14:paraId="0D05366E">
      <w:pPr>
        <w:spacing w:line="360" w:lineRule="auto"/>
        <w:ind w:firstLine="420" w:firstLineChars="200"/>
        <w:rPr>
          <w:rFonts w:ascii="Times New Roman" w:hAnsi="Times New Roman"/>
          <w:bCs/>
          <w:color w:val="auto"/>
          <w:szCs w:val="21"/>
          <w:highlight w:val="none"/>
        </w:rPr>
      </w:pPr>
      <w:r>
        <w:rPr>
          <w:rFonts w:ascii="Times New Roman" w:hAnsi="Times New Roman"/>
          <w:color w:val="auto"/>
          <w:szCs w:val="21"/>
          <w:highlight w:val="none"/>
        </w:rPr>
        <w:t>27.3</w:t>
      </w:r>
      <w:r>
        <w:rPr>
          <w:rFonts w:ascii="Times New Roman" w:hAnsi="Times New Roman"/>
          <w:bCs/>
          <w:color w:val="auto"/>
          <w:szCs w:val="21"/>
          <w:highlight w:val="none"/>
        </w:rPr>
        <w:t>评标方法</w:t>
      </w:r>
    </w:p>
    <w:p w14:paraId="1C05C353">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本项目按“投标人须知前附表”规定的评标方法评标。在评标中，不得改变招标文件中规定的评标标准、方法和中标条件。第七章“评标方法”没有规定的评审因素和标准，不作为评标依据。</w:t>
      </w:r>
    </w:p>
    <w:p w14:paraId="242304D2">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27.4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E7CB292">
      <w:pPr>
        <w:spacing w:line="360" w:lineRule="auto"/>
        <w:ind w:firstLine="420" w:firstLineChars="200"/>
        <w:rPr>
          <w:rFonts w:ascii="Times New Roman" w:hAnsi="Times New Roman"/>
          <w:color w:val="auto"/>
          <w:kern w:val="0"/>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27.5</w:t>
      </w:r>
      <w:r>
        <w:rPr>
          <w:rFonts w:ascii="Times New Roman" w:hAnsi="Times New Roman"/>
          <w:color w:val="auto"/>
          <w:kern w:val="0"/>
          <w:szCs w:val="21"/>
          <w:highlight w:val="none"/>
        </w:rPr>
        <w:t>在评标过程中，评标委员会发现投标人有本须知19条款规定的情形，应当认定其投标无效，并书面报告本级财政部门。</w:t>
      </w:r>
    </w:p>
    <w:p w14:paraId="40DB736A">
      <w:pPr>
        <w:spacing w:line="360" w:lineRule="auto"/>
        <w:ind w:firstLine="420" w:firstLineChars="200"/>
        <w:rPr>
          <w:rFonts w:ascii="Times New Roman" w:hAnsi="Times New Roman"/>
          <w:color w:val="auto"/>
          <w:kern w:val="0"/>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27.6有</w:t>
      </w:r>
      <w:r>
        <w:rPr>
          <w:rFonts w:ascii="Times New Roman" w:hAnsi="Times New Roman"/>
          <w:color w:val="auto"/>
          <w:kern w:val="0"/>
          <w:szCs w:val="21"/>
          <w:highlight w:val="none"/>
        </w:rPr>
        <w:t>下列情形之一的，视为投标人串通投标，其投标无效：</w:t>
      </w:r>
    </w:p>
    <w:p w14:paraId="3DE78465">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（一）不同投标人的投标文件由同一单位或者个人编制；</w:t>
      </w:r>
    </w:p>
    <w:p w14:paraId="75CEFD3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（二）不同投标人委托同一单位或者个人办理投标事宜；</w:t>
      </w:r>
    </w:p>
    <w:p w14:paraId="20D42D3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（三）不同投标人的投标文件载明的项目管理成员或者联系人员为同一人；</w:t>
      </w:r>
    </w:p>
    <w:p w14:paraId="06D7B74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（四）不同投标人的投标文件异常一致或者投标报价呈规律性差异；</w:t>
      </w:r>
    </w:p>
    <w:p w14:paraId="1C9E006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（五）不同投标人的投标文件相互混装；</w:t>
      </w:r>
    </w:p>
    <w:p w14:paraId="7481FCFA">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（六）不同投标人的投标保证金从同一单位或者个人的账户转出。</w:t>
      </w:r>
    </w:p>
    <w:p w14:paraId="39D2FE4E">
      <w:pPr>
        <w:spacing w:line="360" w:lineRule="auto"/>
        <w:ind w:firstLine="420" w:firstLineChars="200"/>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27.7</w:t>
      </w:r>
      <w:r>
        <w:rPr>
          <w:rFonts w:ascii="Times New Roman" w:hAnsi="Times New Roman"/>
          <w:b/>
          <w:color w:val="auto"/>
          <w:szCs w:val="21"/>
          <w:highlight w:val="none"/>
        </w:rPr>
        <w:t>（适用于综合评分法）</w:t>
      </w:r>
      <w:r>
        <w:rPr>
          <w:rFonts w:ascii="Times New Roman" w:hAnsi="Times New Roman"/>
          <w:color w:val="auto"/>
          <w:szCs w:val="21"/>
          <w:highlight w:val="none"/>
        </w:rPr>
        <w:t>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6E72B6FF">
      <w:pPr>
        <w:spacing w:line="360" w:lineRule="auto"/>
        <w:ind w:firstLine="420" w:firstLineChars="200"/>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27.8</w:t>
      </w:r>
      <w:r>
        <w:rPr>
          <w:rFonts w:ascii="Times New Roman" w:hAnsi="Times New Roman"/>
          <w:b/>
          <w:color w:val="auto"/>
          <w:szCs w:val="21"/>
          <w:highlight w:val="none"/>
        </w:rPr>
        <w:t>（适用于最低评标价法）</w:t>
      </w:r>
      <w:r>
        <w:rPr>
          <w:rFonts w:ascii="Times New Roman" w:hAnsi="Times New Roman"/>
          <w:color w:val="auto"/>
          <w:szCs w:val="21"/>
          <w:highlight w:val="none"/>
        </w:rPr>
        <w:t>提供相同品牌产品的不同投标人参加同一合同项下投标的，以其中通过资格审查、符合性审查且报价最低的参加评标；报价相同的，评标委员会将依次按主要技术指标高优先、质保期长优先、交货时间短优先、故障到达时间短优先的顺序确定一个参加评标的投标人，其他投标无效。</w:t>
      </w:r>
    </w:p>
    <w:p w14:paraId="41E34B79">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27.9若为非单一产品采购，对于招标文件第五章规定的核心产品，多家投标人提供的核心产品品牌有一项品牌相同的，按前两款规定处理。</w:t>
      </w:r>
    </w:p>
    <w:p w14:paraId="47D33E18">
      <w:pPr>
        <w:spacing w:line="360" w:lineRule="auto"/>
        <w:ind w:firstLine="422" w:firstLineChars="200"/>
        <w:rPr>
          <w:rFonts w:ascii="Times New Roman" w:hAnsi="Times New Roman"/>
          <w:b/>
          <w:bCs/>
          <w:color w:val="auto"/>
          <w:szCs w:val="21"/>
          <w:highlight w:val="none"/>
        </w:rPr>
      </w:pPr>
      <w:r>
        <w:rPr>
          <w:rFonts w:ascii="Times New Roman" w:hAnsi="Times New Roman"/>
          <w:b/>
          <w:bCs/>
          <w:color w:val="auto"/>
          <w:szCs w:val="21"/>
          <w:highlight w:val="none"/>
        </w:rPr>
        <w:t>28.在招标采购中，出现下列情形之一的，应予废标：</w:t>
      </w:r>
    </w:p>
    <w:p w14:paraId="0E01F01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（1）符合专业条件的投标人或者对招标文件作实质响应的投标人不足3家的；</w:t>
      </w:r>
    </w:p>
    <w:p w14:paraId="7B64863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（2）出现影响采购公正的违法、违规行为的；</w:t>
      </w:r>
    </w:p>
    <w:p w14:paraId="5A7E8A81">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（3）投标人的报价均超过了采购预算，采购人不能支付的；</w:t>
      </w:r>
    </w:p>
    <w:p w14:paraId="4394677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（4）因重大变故，采购任务取消的。</w:t>
      </w:r>
    </w:p>
    <w:p w14:paraId="2F52B3C0">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废标后，应当将废标理由通知所有投标人。</w:t>
      </w:r>
    </w:p>
    <w:p w14:paraId="12C68CF7">
      <w:pPr>
        <w:pStyle w:val="3"/>
        <w:numPr>
          <w:ilvl w:val="1"/>
          <w:numId w:val="0"/>
        </w:numPr>
        <w:ind w:left="596" w:hanging="596"/>
        <w:jc w:val="center"/>
        <w:rPr>
          <w:rFonts w:ascii="Times New Roman" w:hAnsi="Times New Roman" w:eastAsia="宋体"/>
          <w:color w:val="auto"/>
          <w:szCs w:val="28"/>
          <w:highlight w:val="none"/>
        </w:rPr>
      </w:pPr>
      <w:bookmarkStart w:id="97" w:name="_Toc12447"/>
      <w:bookmarkStart w:id="98" w:name="_Toc91696411"/>
      <w:bookmarkStart w:id="99" w:name="_Toc152862073"/>
      <w:bookmarkStart w:id="100" w:name="_Toc69912403"/>
      <w:bookmarkStart w:id="101" w:name="_Toc152172894"/>
      <w:bookmarkStart w:id="102" w:name="_Toc491076993"/>
      <w:r>
        <w:rPr>
          <w:rFonts w:ascii="Times New Roman" w:hAnsi="Times New Roman" w:eastAsia="宋体"/>
          <w:color w:val="auto"/>
          <w:szCs w:val="28"/>
          <w:highlight w:val="none"/>
        </w:rPr>
        <w:t>六、中标结果</w:t>
      </w:r>
      <w:bookmarkEnd w:id="97"/>
      <w:bookmarkEnd w:id="98"/>
      <w:bookmarkEnd w:id="99"/>
      <w:bookmarkEnd w:id="100"/>
      <w:bookmarkEnd w:id="101"/>
      <w:bookmarkEnd w:id="102"/>
    </w:p>
    <w:p w14:paraId="661AACC1">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29.中标人的确定</w:t>
      </w:r>
    </w:p>
    <w:p w14:paraId="28625DD4">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29.1采购代理机构应当在评标结束之日起2个工作日内将评标报告送采购人确认。</w:t>
      </w:r>
    </w:p>
    <w:p w14:paraId="60B64F34">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29.2采购人应当在收到评标报告之日起5个工作日内，在评标报告中推荐的中标候选人中按顺序确定中标人。</w:t>
      </w:r>
    </w:p>
    <w:p w14:paraId="4D0958C7">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30.中标通知书</w:t>
      </w:r>
    </w:p>
    <w:p w14:paraId="7A9FB0C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30.1中标人确定之日起2个工作日内，采购代理机构在上</w:t>
      </w:r>
      <w:r>
        <w:rPr>
          <w:rFonts w:hint="eastAsia" w:ascii="Times New Roman" w:hAnsi="Times New Roman"/>
          <w:color w:val="auto"/>
          <w:szCs w:val="21"/>
          <w:highlight w:val="none"/>
        </w:rPr>
        <w:t>级</w:t>
      </w:r>
      <w:r>
        <w:rPr>
          <w:rFonts w:ascii="Times New Roman" w:hAnsi="Times New Roman"/>
          <w:color w:val="auto"/>
          <w:szCs w:val="21"/>
          <w:highlight w:val="none"/>
        </w:rPr>
        <w:t>财政部门指定的媒体上公告中标结果，中标公告期限为1个工作日，同时向中标人发出中标通知书。</w:t>
      </w:r>
    </w:p>
    <w:p w14:paraId="5B4E482A">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30.2中标通知书是合同的一个组成部分。</w:t>
      </w:r>
    </w:p>
    <w:p w14:paraId="65336D2A">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31.签订合同</w:t>
      </w:r>
    </w:p>
    <w:p w14:paraId="00EFD268">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31.1采购人与中标人应当在中标通知书发出之日起30日内，按照招标文件和中标人投标文件的规定签订政府采购合同。</w:t>
      </w:r>
    </w:p>
    <w:p w14:paraId="0B6793B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1F9A5BE0">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31.3政府采购合同履行中，采购人需追加与合同标的相同的货物的，在不改变合同其他条款的前提下，可以与中标人协商签订补充合同，但所有补充合同的采购金额不得超过原合同采购金额的百分之十。</w:t>
      </w:r>
    </w:p>
    <w:p w14:paraId="7FC36C89">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32.履约担保</w:t>
      </w:r>
    </w:p>
    <w:p w14:paraId="0727C94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32.1签订合同前，中标人应按“投标人须知前附表”上确定的履约担保的金额，向采购人提交履约担保，联合体中标的，其履约担保由牵头人递交。否则，视为放弃中标项目，投标保证金将不予退还。</w:t>
      </w:r>
    </w:p>
    <w:p w14:paraId="1C60A00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32.2签订合同后，如中标人不按双方签订合同约定履约，则没收其全部履约保证金，履约保证金不足以赔偿损失的，按实际损失赔偿。</w:t>
      </w:r>
    </w:p>
    <w:p w14:paraId="41E8D99B">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32.3中标人按照合同约定供货并安装调试完成且项目终验合格3个月后，中标人向采购人提出书面申请退还履约保证金。 </w:t>
      </w:r>
    </w:p>
    <w:p w14:paraId="1CF0E2B5">
      <w:pPr>
        <w:pStyle w:val="3"/>
        <w:numPr>
          <w:ilvl w:val="1"/>
          <w:numId w:val="0"/>
        </w:numPr>
        <w:ind w:left="596" w:hanging="596"/>
        <w:jc w:val="center"/>
        <w:rPr>
          <w:rFonts w:ascii="Times New Roman" w:hAnsi="Times New Roman" w:eastAsia="宋体"/>
          <w:color w:val="auto"/>
          <w:szCs w:val="28"/>
          <w:highlight w:val="none"/>
        </w:rPr>
      </w:pPr>
      <w:bookmarkStart w:id="103" w:name="_Toc24837"/>
      <w:bookmarkStart w:id="104" w:name="_Toc152862074"/>
      <w:bookmarkStart w:id="105" w:name="_Toc69912404"/>
      <w:bookmarkStart w:id="106" w:name="_Toc491076994"/>
      <w:bookmarkStart w:id="107" w:name="_Toc91696412"/>
      <w:bookmarkStart w:id="108" w:name="_Toc152172895"/>
      <w:r>
        <w:rPr>
          <w:rFonts w:ascii="Times New Roman" w:hAnsi="Times New Roman" w:eastAsia="宋体"/>
          <w:color w:val="auto"/>
          <w:szCs w:val="28"/>
          <w:highlight w:val="none"/>
        </w:rPr>
        <w:t>七、其他事项</w:t>
      </w:r>
      <w:bookmarkEnd w:id="103"/>
      <w:bookmarkEnd w:id="104"/>
      <w:bookmarkEnd w:id="105"/>
      <w:bookmarkEnd w:id="106"/>
      <w:bookmarkEnd w:id="107"/>
      <w:bookmarkEnd w:id="108"/>
    </w:p>
    <w:p w14:paraId="6035F399">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33.需要补充的其他内容</w:t>
      </w:r>
    </w:p>
    <w:p w14:paraId="10CF171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33.1“投标人须知前附表”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73B687E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评标委员会在对有备选方案的投标人进行评审时，应当以主选方案为准进行评审，如考虑备选方案的，备选方案必须实质性响应招标文件要求。</w:t>
      </w:r>
    </w:p>
    <w:p w14:paraId="3C8896FD">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33.2其它需要补充的其他内容：见“投标人须知前附表”。</w:t>
      </w:r>
    </w:p>
    <w:p w14:paraId="5F153B4E">
      <w:pPr>
        <w:spacing w:line="360" w:lineRule="auto"/>
        <w:ind w:firstLine="422"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34.招标文件编制依据</w:t>
      </w:r>
    </w:p>
    <w:p w14:paraId="4C90FF8B">
      <w:pPr>
        <w:widowControl/>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34.1本招标文件根据《中华人民共和国政府采购法》及相关法律法规编制。</w:t>
      </w:r>
      <w:r>
        <w:rPr>
          <w:rFonts w:ascii="Times New Roman" w:hAnsi="Times New Roman"/>
          <w:color w:val="auto"/>
          <w:szCs w:val="21"/>
          <w:highlight w:val="none"/>
        </w:rPr>
        <w:br w:type="page"/>
      </w:r>
    </w:p>
    <w:p w14:paraId="71A85A06">
      <w:pPr>
        <w:pStyle w:val="2"/>
        <w:numPr>
          <w:ilvl w:val="0"/>
          <w:numId w:val="0"/>
        </w:numPr>
        <w:jc w:val="center"/>
        <w:rPr>
          <w:rFonts w:ascii="Times New Roman" w:hAnsi="Times New Roman" w:eastAsia="宋体"/>
          <w:b w:val="0"/>
          <w:color w:val="auto"/>
          <w:sz w:val="36"/>
          <w:highlight w:val="none"/>
        </w:rPr>
      </w:pPr>
      <w:bookmarkStart w:id="109" w:name="_Toc91696413"/>
      <w:bookmarkStart w:id="110" w:name="_Toc69912405"/>
      <w:bookmarkStart w:id="111" w:name="_Toc21672"/>
      <w:bookmarkStart w:id="112" w:name="_Toc213141090"/>
      <w:bookmarkStart w:id="113" w:name="_Hlk17287648"/>
      <w:r>
        <w:rPr>
          <w:rFonts w:ascii="Times New Roman" w:hAnsi="Times New Roman" w:eastAsia="宋体"/>
          <w:b w:val="0"/>
          <w:color w:val="auto"/>
          <w:sz w:val="36"/>
          <w:highlight w:val="none"/>
        </w:rPr>
        <w:t xml:space="preserve">第三章 </w:t>
      </w:r>
      <w:bookmarkStart w:id="114" w:name="_Hlk77165097"/>
      <w:r>
        <w:rPr>
          <w:rFonts w:ascii="Times New Roman" w:hAnsi="Times New Roman" w:eastAsia="宋体"/>
          <w:b w:val="0"/>
          <w:color w:val="auto"/>
          <w:sz w:val="36"/>
          <w:highlight w:val="none"/>
        </w:rPr>
        <w:t>合同书样式及主要条款</w:t>
      </w:r>
      <w:bookmarkEnd w:id="109"/>
      <w:bookmarkEnd w:id="110"/>
      <w:bookmarkEnd w:id="111"/>
      <w:bookmarkEnd w:id="112"/>
      <w:bookmarkEnd w:id="114"/>
    </w:p>
    <w:p w14:paraId="629292E9">
      <w:pPr>
        <w:widowControl/>
        <w:spacing w:line="360" w:lineRule="auto"/>
        <w:ind w:right="1470"/>
        <w:rPr>
          <w:rFonts w:ascii="Times New Roman" w:hAnsi="Times New Roman"/>
          <w:color w:val="auto"/>
          <w:highlight w:val="none"/>
        </w:rPr>
      </w:pPr>
    </w:p>
    <w:p w14:paraId="2C1AE2DE">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1E7E198B">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66A6BA7E">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254D5B2D">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23AF9A4D">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22BF445B">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1EAE1C5F">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18831CAA">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78EF696A">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13AC088A">
      <w:pPr>
        <w:widowControl/>
        <w:kinsoku w:val="0"/>
        <w:autoSpaceDE w:val="0"/>
        <w:autoSpaceDN w:val="0"/>
        <w:adjustRightInd w:val="0"/>
        <w:snapToGrid w:val="0"/>
        <w:spacing w:line="257" w:lineRule="auto"/>
        <w:jc w:val="left"/>
        <w:textAlignment w:val="baseline"/>
        <w:rPr>
          <w:rFonts w:ascii="Arial" w:hAnsi="Arial" w:eastAsia="等线" w:cs="Arial"/>
          <w:snapToGrid w:val="0"/>
          <w:color w:val="auto"/>
          <w:kern w:val="0"/>
          <w:szCs w:val="21"/>
          <w:highlight w:val="none"/>
        </w:rPr>
      </w:pPr>
    </w:p>
    <w:p w14:paraId="49D04184">
      <w:pPr>
        <w:numPr>
          <w:ilvl w:val="1"/>
          <w:numId w:val="0"/>
        </w:numPr>
        <w:tabs>
          <w:tab w:val="left" w:pos="596"/>
        </w:tabs>
        <w:ind w:left="596" w:hanging="596"/>
        <w:jc w:val="center"/>
        <w:rPr>
          <w:rFonts w:ascii="Times New Roman" w:hAnsi="Times New Roman"/>
          <w:color w:val="auto"/>
          <w:sz w:val="72"/>
          <w:szCs w:val="72"/>
          <w:highlight w:val="none"/>
        </w:rPr>
      </w:pPr>
      <w:r>
        <w:rPr>
          <w:rFonts w:ascii="Times New Roman" w:hAnsi="Times New Roman"/>
          <w:color w:val="auto"/>
          <w:sz w:val="72"/>
          <w:szCs w:val="72"/>
          <w:highlight w:val="none"/>
        </w:rPr>
        <w:t>政府采购合同</w:t>
      </w:r>
    </w:p>
    <w:p w14:paraId="556E454F">
      <w:pPr>
        <w:kinsoku w:val="0"/>
        <w:autoSpaceDE w:val="0"/>
        <w:autoSpaceDN w:val="0"/>
        <w:adjustRightInd w:val="0"/>
        <w:snapToGrid w:val="0"/>
        <w:spacing w:before="108" w:line="221" w:lineRule="auto"/>
        <w:jc w:val="center"/>
        <w:textAlignment w:val="baseline"/>
        <w:rPr>
          <w:rFonts w:ascii="黑体" w:hAnsi="黑体" w:eastAsia="黑体" w:cs="黑体"/>
          <w:snapToGrid w:val="0"/>
          <w:color w:val="auto"/>
          <w:kern w:val="0"/>
          <w:sz w:val="33"/>
          <w:szCs w:val="33"/>
          <w:highlight w:val="none"/>
        </w:rPr>
      </w:pPr>
      <w:r>
        <w:rPr>
          <w:rFonts w:hint="eastAsia" w:ascii="黑体" w:hAnsi="黑体" w:eastAsia="黑体" w:cs="黑体"/>
          <w:snapToGrid w:val="0"/>
          <w:color w:val="auto"/>
          <w:spacing w:val="-3"/>
          <w:kern w:val="0"/>
          <w:sz w:val="33"/>
          <w:szCs w:val="33"/>
          <w:highlight w:val="none"/>
        </w:rPr>
        <w:t>（</w:t>
      </w:r>
      <w:r>
        <w:rPr>
          <w:rFonts w:ascii="黑体" w:hAnsi="黑体" w:eastAsia="黑体" w:cs="黑体"/>
          <w:snapToGrid w:val="0"/>
          <w:color w:val="auto"/>
          <w:spacing w:val="-3"/>
          <w:kern w:val="0"/>
          <w:sz w:val="33"/>
          <w:szCs w:val="33"/>
          <w:highlight w:val="none"/>
        </w:rPr>
        <w:t>电子交易项目适用）</w:t>
      </w:r>
    </w:p>
    <w:p w14:paraId="0265D82C">
      <w:pPr>
        <w:widowControl/>
        <w:kinsoku w:val="0"/>
        <w:autoSpaceDE w:val="0"/>
        <w:autoSpaceDN w:val="0"/>
        <w:adjustRightInd w:val="0"/>
        <w:snapToGrid w:val="0"/>
        <w:spacing w:line="242" w:lineRule="auto"/>
        <w:jc w:val="left"/>
        <w:textAlignment w:val="baseline"/>
        <w:rPr>
          <w:rFonts w:ascii="Arial" w:hAnsi="Arial" w:eastAsia="Arial" w:cs="Arial"/>
          <w:snapToGrid w:val="0"/>
          <w:color w:val="auto"/>
          <w:kern w:val="0"/>
          <w:szCs w:val="21"/>
          <w:highlight w:val="none"/>
        </w:rPr>
      </w:pPr>
    </w:p>
    <w:p w14:paraId="1822B5C0">
      <w:pPr>
        <w:widowControl/>
        <w:kinsoku w:val="0"/>
        <w:autoSpaceDE w:val="0"/>
        <w:autoSpaceDN w:val="0"/>
        <w:adjustRightInd w:val="0"/>
        <w:snapToGrid w:val="0"/>
        <w:spacing w:line="242" w:lineRule="auto"/>
        <w:jc w:val="left"/>
        <w:textAlignment w:val="baseline"/>
        <w:rPr>
          <w:rFonts w:ascii="Arial" w:hAnsi="Arial" w:eastAsia="Arial" w:cs="Arial"/>
          <w:snapToGrid w:val="0"/>
          <w:color w:val="auto"/>
          <w:kern w:val="0"/>
          <w:szCs w:val="21"/>
          <w:highlight w:val="none"/>
        </w:rPr>
      </w:pPr>
    </w:p>
    <w:p w14:paraId="06A34F36">
      <w:pPr>
        <w:widowControl/>
        <w:kinsoku w:val="0"/>
        <w:autoSpaceDE w:val="0"/>
        <w:autoSpaceDN w:val="0"/>
        <w:adjustRightInd w:val="0"/>
        <w:snapToGrid w:val="0"/>
        <w:spacing w:line="242" w:lineRule="auto"/>
        <w:jc w:val="left"/>
        <w:textAlignment w:val="baseline"/>
        <w:rPr>
          <w:rFonts w:ascii="Arial" w:hAnsi="Arial" w:eastAsia="Arial" w:cs="Arial"/>
          <w:snapToGrid w:val="0"/>
          <w:color w:val="auto"/>
          <w:kern w:val="0"/>
          <w:szCs w:val="21"/>
          <w:highlight w:val="none"/>
        </w:rPr>
      </w:pPr>
    </w:p>
    <w:p w14:paraId="42228789">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41B66019">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0C9163F2">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40B3EB9E">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5162E8C9">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5A893F6F">
      <w:pPr>
        <w:widowControl/>
        <w:kinsoku w:val="0"/>
        <w:autoSpaceDE w:val="0"/>
        <w:autoSpaceDN w:val="0"/>
        <w:adjustRightInd w:val="0"/>
        <w:snapToGrid w:val="0"/>
        <w:spacing w:line="243" w:lineRule="auto"/>
        <w:jc w:val="left"/>
        <w:textAlignment w:val="baseline"/>
        <w:rPr>
          <w:rFonts w:ascii="Arial" w:hAnsi="Arial" w:eastAsia="Arial" w:cs="Arial"/>
          <w:snapToGrid w:val="0"/>
          <w:color w:val="auto"/>
          <w:kern w:val="0"/>
          <w:szCs w:val="21"/>
          <w:highlight w:val="none"/>
        </w:rPr>
      </w:pPr>
    </w:p>
    <w:p w14:paraId="5E536C0D">
      <w:pPr>
        <w:kinsoku w:val="0"/>
        <w:autoSpaceDE w:val="0"/>
        <w:autoSpaceDN w:val="0"/>
        <w:adjustRightInd w:val="0"/>
        <w:snapToGrid w:val="0"/>
        <w:spacing w:before="121" w:line="212" w:lineRule="auto"/>
        <w:ind w:left="4476" w:right="315" w:hanging="2682"/>
        <w:jc w:val="left"/>
        <w:textAlignment w:val="baseline"/>
        <w:rPr>
          <w:rFonts w:ascii="新宋体" w:hAnsi="新宋体" w:eastAsia="新宋体" w:cs="新宋体"/>
          <w:snapToGrid w:val="0"/>
          <w:color w:val="auto"/>
          <w:kern w:val="0"/>
          <w:sz w:val="36"/>
          <w:szCs w:val="36"/>
          <w:highlight w:val="none"/>
        </w:rPr>
      </w:pPr>
      <w:r>
        <w:rPr>
          <w:rFonts w:ascii="黑体" w:hAnsi="黑体" w:eastAsia="黑体" w:cs="黑体"/>
          <w:snapToGrid w:val="0"/>
          <w:color w:val="auto"/>
          <w:spacing w:val="-7"/>
          <w:kern w:val="0"/>
          <w:position w:val="-2"/>
          <w:sz w:val="37"/>
          <w:szCs w:val="37"/>
          <w:highlight w:val="none"/>
        </w:rPr>
        <w:t>项</w:t>
      </w:r>
      <w:r>
        <w:rPr>
          <w:rFonts w:ascii="黑体" w:hAnsi="黑体" w:eastAsia="黑体" w:cs="黑体"/>
          <w:snapToGrid w:val="0"/>
          <w:color w:val="auto"/>
          <w:spacing w:val="80"/>
          <w:kern w:val="0"/>
          <w:position w:val="-2"/>
          <w:sz w:val="37"/>
          <w:szCs w:val="37"/>
          <w:highlight w:val="none"/>
        </w:rPr>
        <w:t xml:space="preserve"> </w:t>
      </w:r>
      <w:r>
        <w:rPr>
          <w:rFonts w:ascii="黑体" w:hAnsi="黑体" w:eastAsia="黑体" w:cs="黑体"/>
          <w:snapToGrid w:val="0"/>
          <w:color w:val="auto"/>
          <w:spacing w:val="-7"/>
          <w:kern w:val="0"/>
          <w:position w:val="-2"/>
          <w:sz w:val="37"/>
          <w:szCs w:val="37"/>
          <w:highlight w:val="none"/>
        </w:rPr>
        <w:t>目 名 称：</w:t>
      </w:r>
      <w:r>
        <w:rPr>
          <w:rFonts w:ascii="新宋体" w:hAnsi="新宋体" w:eastAsia="新宋体" w:cs="新宋体"/>
          <w:snapToGrid w:val="0"/>
          <w:color w:val="auto"/>
          <w:spacing w:val="-116"/>
          <w:kern w:val="0"/>
          <w:sz w:val="36"/>
          <w:szCs w:val="36"/>
          <w:highlight w:val="none"/>
          <w:u w:val="single"/>
        </w:rPr>
        <w:t xml:space="preserve"> </w:t>
      </w:r>
      <w:r>
        <w:rPr>
          <w:rFonts w:ascii="新宋体" w:hAnsi="新宋体" w:eastAsia="新宋体" w:cs="新宋体"/>
          <w:snapToGrid w:val="0"/>
          <w:color w:val="auto"/>
          <w:spacing w:val="-7"/>
          <w:kern w:val="0"/>
          <w:sz w:val="36"/>
          <w:szCs w:val="36"/>
          <w:highlight w:val="none"/>
          <w:u w:val="single"/>
        </w:rPr>
        <w:t>昆明理工大学</w:t>
      </w:r>
      <w:r>
        <w:rPr>
          <w:rFonts w:hint="eastAsia" w:ascii="新宋体" w:hAnsi="新宋体" w:eastAsia="新宋体" w:cs="新宋体"/>
          <w:snapToGrid w:val="0"/>
          <w:color w:val="auto"/>
          <w:spacing w:val="-7"/>
          <w:kern w:val="0"/>
          <w:sz w:val="36"/>
          <w:szCs w:val="36"/>
          <w:highlight w:val="none"/>
          <w:u w:val="single"/>
        </w:rPr>
        <w:t xml:space="preserve">XXXXX </w:t>
      </w:r>
      <w:r>
        <w:rPr>
          <w:rFonts w:hint="eastAsia" w:ascii="新宋体" w:hAnsi="新宋体" w:eastAsia="新宋体" w:cs="新宋体"/>
          <w:snapToGrid w:val="0"/>
          <w:color w:val="auto"/>
          <w:spacing w:val="-2"/>
          <w:kern w:val="0"/>
          <w:sz w:val="36"/>
          <w:szCs w:val="36"/>
          <w:highlight w:val="none"/>
          <w:u w:val="single"/>
        </w:rPr>
        <w:t xml:space="preserve">         </w:t>
      </w:r>
    </w:p>
    <w:p w14:paraId="416509B0">
      <w:pPr>
        <w:widowControl/>
        <w:kinsoku w:val="0"/>
        <w:autoSpaceDE w:val="0"/>
        <w:autoSpaceDN w:val="0"/>
        <w:adjustRightInd w:val="0"/>
        <w:snapToGrid w:val="0"/>
        <w:spacing w:line="421" w:lineRule="auto"/>
        <w:jc w:val="left"/>
        <w:textAlignment w:val="baseline"/>
        <w:rPr>
          <w:rFonts w:ascii="Arial" w:hAnsi="Arial" w:eastAsia="Arial" w:cs="Arial"/>
          <w:snapToGrid w:val="0"/>
          <w:color w:val="auto"/>
          <w:kern w:val="0"/>
          <w:szCs w:val="21"/>
          <w:highlight w:val="none"/>
        </w:rPr>
      </w:pPr>
    </w:p>
    <w:p w14:paraId="5C316C0B">
      <w:pPr>
        <w:kinsoku w:val="0"/>
        <w:autoSpaceDE w:val="0"/>
        <w:autoSpaceDN w:val="0"/>
        <w:adjustRightInd w:val="0"/>
        <w:snapToGrid w:val="0"/>
        <w:spacing w:before="121" w:line="214" w:lineRule="auto"/>
        <w:ind w:left="4506" w:right="315" w:hanging="2715"/>
        <w:jc w:val="left"/>
        <w:textAlignment w:val="baseline"/>
        <w:rPr>
          <w:rFonts w:ascii="仿宋" w:hAnsi="仿宋" w:eastAsia="仿宋" w:cs="仿宋"/>
          <w:snapToGrid w:val="0"/>
          <w:color w:val="auto"/>
          <w:kern w:val="0"/>
          <w:sz w:val="36"/>
          <w:szCs w:val="36"/>
          <w:highlight w:val="none"/>
        </w:rPr>
      </w:pPr>
      <w:r>
        <w:rPr>
          <w:rFonts w:ascii="黑体" w:hAnsi="黑体" w:eastAsia="黑体" w:cs="黑体"/>
          <w:snapToGrid w:val="0"/>
          <w:color w:val="auto"/>
          <w:spacing w:val="-2"/>
          <w:kern w:val="0"/>
          <w:position w:val="-1"/>
          <w:sz w:val="37"/>
          <w:szCs w:val="37"/>
          <w:highlight w:val="none"/>
        </w:rPr>
        <w:t>合</w:t>
      </w:r>
      <w:r>
        <w:rPr>
          <w:rFonts w:ascii="黑体" w:hAnsi="黑体" w:eastAsia="黑体" w:cs="黑体"/>
          <w:snapToGrid w:val="0"/>
          <w:color w:val="auto"/>
          <w:spacing w:val="46"/>
          <w:kern w:val="0"/>
          <w:position w:val="-1"/>
          <w:sz w:val="37"/>
          <w:szCs w:val="37"/>
          <w:highlight w:val="none"/>
        </w:rPr>
        <w:t xml:space="preserve"> </w:t>
      </w:r>
      <w:r>
        <w:rPr>
          <w:rFonts w:ascii="黑体" w:hAnsi="黑体" w:eastAsia="黑体" w:cs="黑体"/>
          <w:snapToGrid w:val="0"/>
          <w:color w:val="auto"/>
          <w:spacing w:val="-2"/>
          <w:kern w:val="0"/>
          <w:position w:val="-1"/>
          <w:sz w:val="37"/>
          <w:szCs w:val="37"/>
          <w:highlight w:val="none"/>
        </w:rPr>
        <w:t>同 编 号：</w:t>
      </w:r>
      <w:r>
        <w:rPr>
          <w:rFonts w:ascii="仿宋" w:hAnsi="仿宋" w:eastAsia="仿宋" w:cs="仿宋"/>
          <w:snapToGrid w:val="0"/>
          <w:color w:val="auto"/>
          <w:spacing w:val="-163"/>
          <w:kern w:val="0"/>
          <w:sz w:val="36"/>
          <w:szCs w:val="36"/>
          <w:highlight w:val="none"/>
          <w:u w:val="single"/>
        </w:rPr>
        <w:t xml:space="preserve"> </w:t>
      </w:r>
      <w:r>
        <w:rPr>
          <w:rFonts w:ascii="仿宋" w:hAnsi="仿宋" w:eastAsia="仿宋" w:cs="仿宋"/>
          <w:snapToGrid w:val="0"/>
          <w:color w:val="auto"/>
          <w:spacing w:val="-2"/>
          <w:kern w:val="0"/>
          <w:sz w:val="36"/>
          <w:szCs w:val="36"/>
          <w:highlight w:val="none"/>
          <w:u w:val="single"/>
        </w:rPr>
        <w:t>4530000HT202</w:t>
      </w:r>
      <w:r>
        <w:rPr>
          <w:rFonts w:hint="eastAsia" w:ascii="仿宋" w:hAnsi="仿宋" w:eastAsia="仿宋" w:cs="仿宋"/>
          <w:snapToGrid w:val="0"/>
          <w:color w:val="auto"/>
          <w:spacing w:val="-2"/>
          <w:kern w:val="0"/>
          <w:sz w:val="36"/>
          <w:szCs w:val="36"/>
          <w:highlight w:val="none"/>
          <w:u w:val="single"/>
        </w:rPr>
        <w:t>XXXXXX</w:t>
      </w:r>
      <w:r>
        <w:rPr>
          <w:rFonts w:ascii="仿宋" w:hAnsi="仿宋" w:eastAsia="仿宋" w:cs="仿宋"/>
          <w:snapToGrid w:val="0"/>
          <w:color w:val="auto"/>
          <w:spacing w:val="-3"/>
          <w:kern w:val="0"/>
          <w:sz w:val="36"/>
          <w:szCs w:val="36"/>
          <w:highlight w:val="none"/>
          <w:u w:val="single"/>
        </w:rPr>
        <w:t>1</w:t>
      </w:r>
      <w:r>
        <w:rPr>
          <w:rFonts w:ascii="仿宋" w:hAnsi="仿宋" w:eastAsia="仿宋" w:cs="仿宋"/>
          <w:snapToGrid w:val="0"/>
          <w:color w:val="auto"/>
          <w:spacing w:val="-3"/>
          <w:kern w:val="0"/>
          <w:sz w:val="36"/>
          <w:szCs w:val="36"/>
          <w:highlight w:val="none"/>
        </w:rPr>
        <w:t>（系统编号</w:t>
      </w:r>
      <w:r>
        <w:rPr>
          <w:rFonts w:ascii="仿宋" w:hAnsi="仿宋" w:eastAsia="仿宋" w:cs="仿宋"/>
          <w:snapToGrid w:val="0"/>
          <w:color w:val="auto"/>
          <w:kern w:val="0"/>
          <w:sz w:val="36"/>
          <w:szCs w:val="36"/>
          <w:highlight w:val="none"/>
        </w:rPr>
        <w:t xml:space="preserve"> </w:t>
      </w:r>
      <w:r>
        <w:rPr>
          <w:rFonts w:hint="eastAsia" w:ascii="仿宋" w:hAnsi="仿宋" w:eastAsia="仿宋" w:cs="仿宋"/>
          <w:snapToGrid w:val="0"/>
          <w:color w:val="auto"/>
          <w:kern w:val="0"/>
          <w:sz w:val="36"/>
          <w:szCs w:val="36"/>
          <w:highlight w:val="none"/>
        </w:rPr>
        <w:t>）</w:t>
      </w:r>
    </w:p>
    <w:p w14:paraId="6F0ACA4B">
      <w:pPr>
        <w:widowControl/>
        <w:kinsoku w:val="0"/>
        <w:autoSpaceDE w:val="0"/>
        <w:autoSpaceDN w:val="0"/>
        <w:adjustRightInd w:val="0"/>
        <w:snapToGrid w:val="0"/>
        <w:spacing w:line="345" w:lineRule="auto"/>
        <w:jc w:val="left"/>
        <w:textAlignment w:val="baseline"/>
        <w:rPr>
          <w:rFonts w:ascii="Arial" w:hAnsi="Arial" w:eastAsia="Arial" w:cs="Arial"/>
          <w:snapToGrid w:val="0"/>
          <w:color w:val="auto"/>
          <w:kern w:val="0"/>
          <w:szCs w:val="21"/>
          <w:highlight w:val="none"/>
        </w:rPr>
      </w:pPr>
    </w:p>
    <w:p w14:paraId="0BFF9975">
      <w:pPr>
        <w:widowControl/>
        <w:kinsoku w:val="0"/>
        <w:autoSpaceDE w:val="0"/>
        <w:autoSpaceDN w:val="0"/>
        <w:adjustRightInd w:val="0"/>
        <w:snapToGrid w:val="0"/>
        <w:spacing w:before="117" w:line="222" w:lineRule="auto"/>
        <w:ind w:left="4478"/>
        <w:jc w:val="left"/>
        <w:textAlignment w:val="baseline"/>
        <w:rPr>
          <w:rFonts w:ascii="仿宋" w:hAnsi="仿宋" w:eastAsia="仿宋" w:cs="仿宋"/>
          <w:snapToGrid w:val="0"/>
          <w:color w:val="auto"/>
          <w:kern w:val="0"/>
          <w:sz w:val="36"/>
          <w:szCs w:val="36"/>
          <w:highlight w:val="none"/>
        </w:rPr>
      </w:pPr>
      <w:r>
        <w:rPr>
          <w:rFonts w:ascii="仿宋" w:hAnsi="仿宋" w:eastAsia="仿宋" w:cs="仿宋"/>
          <w:snapToGrid w:val="0"/>
          <w:color w:val="auto"/>
          <w:spacing w:val="-15"/>
          <w:kern w:val="0"/>
          <w:sz w:val="36"/>
          <w:szCs w:val="36"/>
          <w:highlight w:val="none"/>
        </w:rPr>
        <w:t>（</w:t>
      </w:r>
      <w:r>
        <w:rPr>
          <w:rFonts w:ascii="仿宋" w:hAnsi="仿宋" w:eastAsia="仿宋" w:cs="仿宋"/>
          <w:snapToGrid w:val="0"/>
          <w:color w:val="auto"/>
          <w:spacing w:val="-87"/>
          <w:kern w:val="0"/>
          <w:sz w:val="36"/>
          <w:szCs w:val="36"/>
          <w:highlight w:val="none"/>
        </w:rPr>
        <w:t xml:space="preserve"> </w:t>
      </w:r>
      <w:r>
        <w:rPr>
          <w:rFonts w:ascii="仿宋" w:hAnsi="仿宋" w:eastAsia="仿宋" w:cs="仿宋"/>
          <w:snapToGrid w:val="0"/>
          <w:color w:val="auto"/>
          <w:spacing w:val="-15"/>
          <w:kern w:val="0"/>
          <w:sz w:val="36"/>
          <w:szCs w:val="36"/>
          <w:highlight w:val="none"/>
        </w:rPr>
        <w:t>自编号，如有）</w:t>
      </w:r>
    </w:p>
    <w:p w14:paraId="67AEDADE">
      <w:pPr>
        <w:widowControl/>
        <w:kinsoku w:val="0"/>
        <w:autoSpaceDE w:val="0"/>
        <w:autoSpaceDN w:val="0"/>
        <w:adjustRightInd w:val="0"/>
        <w:snapToGrid w:val="0"/>
        <w:spacing w:line="344" w:lineRule="auto"/>
        <w:jc w:val="left"/>
        <w:textAlignment w:val="baseline"/>
        <w:rPr>
          <w:rFonts w:ascii="Arial" w:hAnsi="Arial" w:eastAsia="Arial" w:cs="Arial"/>
          <w:snapToGrid w:val="0"/>
          <w:color w:val="auto"/>
          <w:kern w:val="0"/>
          <w:szCs w:val="21"/>
          <w:highlight w:val="none"/>
        </w:rPr>
      </w:pPr>
    </w:p>
    <w:p w14:paraId="3A0F6DC9">
      <w:pPr>
        <w:kinsoku w:val="0"/>
        <w:autoSpaceDE w:val="0"/>
        <w:autoSpaceDN w:val="0"/>
        <w:adjustRightInd w:val="0"/>
        <w:snapToGrid w:val="0"/>
        <w:spacing w:before="120" w:line="220" w:lineRule="auto"/>
        <w:ind w:left="1826"/>
        <w:jc w:val="left"/>
        <w:textAlignment w:val="baseline"/>
        <w:rPr>
          <w:rFonts w:ascii="Arial" w:hAnsi="Arial" w:eastAsia="Arial" w:cs="Arial"/>
          <w:snapToGrid w:val="0"/>
          <w:color w:val="auto"/>
          <w:kern w:val="0"/>
          <w:szCs w:val="21"/>
          <w:highlight w:val="none"/>
        </w:rPr>
      </w:pPr>
      <w:r>
        <w:rPr>
          <w:rFonts w:ascii="黑体" w:hAnsi="黑体" w:eastAsia="黑体" w:cs="黑体"/>
          <w:snapToGrid w:val="0"/>
          <w:color w:val="auto"/>
          <w:spacing w:val="-18"/>
          <w:kern w:val="0"/>
          <w:sz w:val="37"/>
          <w:szCs w:val="37"/>
          <w:highlight w:val="none"/>
        </w:rPr>
        <w:t>甲</w:t>
      </w:r>
      <w:r>
        <w:rPr>
          <w:rFonts w:ascii="黑体" w:hAnsi="黑体" w:eastAsia="黑体" w:cs="黑体"/>
          <w:snapToGrid w:val="0"/>
          <w:color w:val="auto"/>
          <w:spacing w:val="5"/>
          <w:kern w:val="0"/>
          <w:sz w:val="37"/>
          <w:szCs w:val="37"/>
          <w:highlight w:val="none"/>
        </w:rPr>
        <w:t xml:space="preserve">       </w:t>
      </w:r>
      <w:r>
        <w:rPr>
          <w:rFonts w:ascii="黑体" w:hAnsi="黑体" w:eastAsia="黑体" w:cs="黑体"/>
          <w:snapToGrid w:val="0"/>
          <w:color w:val="auto"/>
          <w:spacing w:val="-18"/>
          <w:kern w:val="0"/>
          <w:sz w:val="37"/>
          <w:szCs w:val="37"/>
          <w:highlight w:val="none"/>
        </w:rPr>
        <w:t>方：</w:t>
      </w:r>
      <w:r>
        <w:rPr>
          <w:rFonts w:ascii="黑体" w:hAnsi="黑体" w:eastAsia="黑体" w:cs="黑体"/>
          <w:snapToGrid w:val="0"/>
          <w:color w:val="auto"/>
          <w:spacing w:val="91"/>
          <w:kern w:val="0"/>
          <w:sz w:val="37"/>
          <w:szCs w:val="37"/>
          <w:highlight w:val="none"/>
        </w:rPr>
        <w:t xml:space="preserve"> </w:t>
      </w:r>
      <w:r>
        <w:rPr>
          <w:rFonts w:ascii="仿宋" w:hAnsi="仿宋" w:eastAsia="仿宋" w:cs="仿宋"/>
          <w:snapToGrid w:val="0"/>
          <w:color w:val="auto"/>
          <w:spacing w:val="-109"/>
          <w:kern w:val="0"/>
          <w:sz w:val="36"/>
          <w:szCs w:val="36"/>
          <w:highlight w:val="none"/>
          <w:u w:val="single"/>
        </w:rPr>
        <w:t xml:space="preserve"> </w:t>
      </w:r>
      <w:r>
        <w:rPr>
          <w:rFonts w:hint="eastAsia" w:ascii="仿宋" w:hAnsi="仿宋" w:eastAsia="仿宋" w:cs="仿宋"/>
          <w:snapToGrid w:val="0"/>
          <w:color w:val="auto"/>
          <w:spacing w:val="-109"/>
          <w:kern w:val="0"/>
          <w:sz w:val="36"/>
          <w:szCs w:val="36"/>
          <w:highlight w:val="none"/>
          <w:u w:val="single"/>
        </w:rPr>
        <w:t xml:space="preserve">     </w:t>
      </w:r>
      <w:r>
        <w:rPr>
          <w:rFonts w:ascii="仿宋" w:hAnsi="仿宋" w:eastAsia="仿宋" w:cs="仿宋"/>
          <w:snapToGrid w:val="0"/>
          <w:color w:val="auto"/>
          <w:spacing w:val="-18"/>
          <w:kern w:val="0"/>
          <w:sz w:val="36"/>
          <w:szCs w:val="36"/>
          <w:highlight w:val="none"/>
          <w:u w:val="single"/>
        </w:rPr>
        <w:t>昆明理工大学</w:t>
      </w:r>
      <w:r>
        <w:rPr>
          <w:rFonts w:hint="eastAsia" w:ascii="仿宋" w:hAnsi="仿宋" w:eastAsia="仿宋" w:cs="仿宋"/>
          <w:snapToGrid w:val="0"/>
          <w:color w:val="auto"/>
          <w:spacing w:val="-18"/>
          <w:kern w:val="0"/>
          <w:sz w:val="36"/>
          <w:szCs w:val="36"/>
          <w:highlight w:val="none"/>
          <w:u w:val="single"/>
        </w:rPr>
        <w:t xml:space="preserve">          </w:t>
      </w:r>
    </w:p>
    <w:p w14:paraId="7CF38A83">
      <w:pPr>
        <w:kinsoku w:val="0"/>
        <w:autoSpaceDE w:val="0"/>
        <w:autoSpaceDN w:val="0"/>
        <w:adjustRightInd w:val="0"/>
        <w:snapToGrid w:val="0"/>
        <w:spacing w:before="120" w:line="219" w:lineRule="auto"/>
        <w:ind w:left="1828"/>
        <w:jc w:val="left"/>
        <w:textAlignment w:val="baseline"/>
        <w:rPr>
          <w:rFonts w:ascii="仿宋" w:hAnsi="仿宋" w:eastAsia="仿宋" w:cs="仿宋"/>
          <w:snapToGrid w:val="0"/>
          <w:color w:val="auto"/>
          <w:kern w:val="0"/>
          <w:sz w:val="36"/>
          <w:szCs w:val="36"/>
          <w:highlight w:val="none"/>
        </w:rPr>
      </w:pPr>
      <w:r>
        <w:rPr>
          <w:rFonts w:ascii="黑体" w:hAnsi="黑体" w:eastAsia="黑体" w:cs="黑体"/>
          <w:snapToGrid w:val="0"/>
          <w:color w:val="auto"/>
          <w:spacing w:val="-4"/>
          <w:kern w:val="0"/>
          <w:sz w:val="37"/>
          <w:szCs w:val="37"/>
          <w:highlight w:val="none"/>
          <w:lang w:eastAsia="en-US"/>
        </w:rPr>
        <w:t>乙       方：</w:t>
      </w:r>
      <w:r>
        <w:rPr>
          <w:rFonts w:ascii="黑体" w:hAnsi="黑体" w:eastAsia="黑体" w:cs="黑体"/>
          <w:snapToGrid w:val="0"/>
          <w:color w:val="auto"/>
          <w:spacing w:val="93"/>
          <w:kern w:val="0"/>
          <w:sz w:val="37"/>
          <w:szCs w:val="37"/>
          <w:highlight w:val="none"/>
          <w:lang w:eastAsia="en-US"/>
        </w:rPr>
        <w:t xml:space="preserve"> </w:t>
      </w:r>
      <w:r>
        <w:rPr>
          <w:rFonts w:ascii="仿宋" w:hAnsi="仿宋" w:eastAsia="仿宋" w:cs="仿宋"/>
          <w:snapToGrid w:val="0"/>
          <w:color w:val="auto"/>
          <w:spacing w:val="-150"/>
          <w:kern w:val="0"/>
          <w:sz w:val="36"/>
          <w:szCs w:val="36"/>
          <w:highlight w:val="none"/>
          <w:u w:val="single"/>
          <w:lang w:eastAsia="en-US"/>
        </w:rPr>
        <w:t xml:space="preserve"> </w:t>
      </w:r>
      <w:r>
        <w:rPr>
          <w:rFonts w:hint="eastAsia" w:ascii="仿宋" w:hAnsi="仿宋" w:eastAsia="仿宋" w:cs="仿宋"/>
          <w:snapToGrid w:val="0"/>
          <w:color w:val="auto"/>
          <w:spacing w:val="-4"/>
          <w:kern w:val="0"/>
          <w:sz w:val="36"/>
          <w:szCs w:val="36"/>
          <w:highlight w:val="none"/>
          <w:u w:val="single"/>
        </w:rPr>
        <w:t xml:space="preserve"> XXXXXX     </w:t>
      </w:r>
      <w:r>
        <w:rPr>
          <w:rFonts w:ascii="仿宋" w:hAnsi="仿宋" w:eastAsia="仿宋" w:cs="仿宋"/>
          <w:snapToGrid w:val="0"/>
          <w:color w:val="auto"/>
          <w:spacing w:val="-4"/>
          <w:kern w:val="0"/>
          <w:sz w:val="36"/>
          <w:szCs w:val="36"/>
          <w:highlight w:val="none"/>
          <w:u w:val="single"/>
          <w:lang w:eastAsia="en-US"/>
        </w:rPr>
        <w:t>公司</w:t>
      </w:r>
      <w:r>
        <w:rPr>
          <w:rFonts w:hint="eastAsia" w:ascii="仿宋" w:hAnsi="仿宋" w:eastAsia="仿宋" w:cs="仿宋"/>
          <w:snapToGrid w:val="0"/>
          <w:color w:val="auto"/>
          <w:spacing w:val="-4"/>
          <w:kern w:val="0"/>
          <w:sz w:val="36"/>
          <w:szCs w:val="36"/>
          <w:highlight w:val="none"/>
          <w:u w:val="single"/>
        </w:rPr>
        <w:t xml:space="preserve">    </w:t>
      </w:r>
    </w:p>
    <w:p w14:paraId="2615C345">
      <w:pPr>
        <w:widowControl/>
        <w:spacing w:line="600" w:lineRule="auto"/>
        <w:ind w:right="1470" w:firstLine="1273" w:firstLineChars="398"/>
        <w:rPr>
          <w:rFonts w:ascii="Times New Roman" w:hAnsi="Times New Roman"/>
          <w:color w:val="auto"/>
          <w:sz w:val="32"/>
          <w:szCs w:val="40"/>
          <w:highlight w:val="none"/>
        </w:rPr>
      </w:pPr>
    </w:p>
    <w:p w14:paraId="2BF0F553">
      <w:pPr>
        <w:widowControl/>
        <w:snapToGrid w:val="0"/>
        <w:spacing w:line="440" w:lineRule="exact"/>
        <w:rPr>
          <w:rFonts w:cs="华文中宋"/>
          <w:snapToGrid w:val="0"/>
          <w:color w:val="auto"/>
          <w:kern w:val="0"/>
          <w:sz w:val="24"/>
          <w:highlight w:val="none"/>
        </w:rPr>
      </w:pPr>
      <w:r>
        <w:rPr>
          <w:rFonts w:ascii="Times New Roman" w:hAnsi="Times New Roman"/>
          <w:color w:val="auto"/>
          <w:highlight w:val="none"/>
        </w:rPr>
        <w:br w:type="page"/>
      </w:r>
      <w:r>
        <w:rPr>
          <w:rFonts w:hint="eastAsia" w:cs="华文中宋"/>
          <w:snapToGrid w:val="0"/>
          <w:color w:val="auto"/>
          <w:kern w:val="0"/>
          <w:sz w:val="24"/>
          <w:highlight w:val="none"/>
        </w:rPr>
        <w:t>甲方（采购人公章）名 称：昆明理工大学</w:t>
      </w:r>
    </w:p>
    <w:p w14:paraId="56004106">
      <w:pPr>
        <w:widowControl/>
        <w:snapToGrid w:val="0"/>
        <w:spacing w:line="440" w:lineRule="exact"/>
        <w:jc w:val="left"/>
        <w:rPr>
          <w:rFonts w:cs="华文中宋"/>
          <w:snapToGrid w:val="0"/>
          <w:color w:val="auto"/>
          <w:kern w:val="0"/>
          <w:sz w:val="24"/>
          <w:highlight w:val="none"/>
        </w:rPr>
      </w:pPr>
      <w:r>
        <w:rPr>
          <w:rFonts w:hint="eastAsia" w:cs="华文中宋"/>
          <w:snapToGrid w:val="0"/>
          <w:color w:val="auto"/>
          <w:kern w:val="0"/>
          <w:sz w:val="24"/>
          <w:highlight w:val="none"/>
        </w:rPr>
        <w:t xml:space="preserve">                  地 址：昆明市一二一大街文昌路6</w:t>
      </w:r>
      <w:r>
        <w:rPr>
          <w:rFonts w:cs="华文中宋"/>
          <w:snapToGrid w:val="0"/>
          <w:color w:val="auto"/>
          <w:kern w:val="0"/>
          <w:sz w:val="24"/>
          <w:highlight w:val="none"/>
        </w:rPr>
        <w:t>8</w:t>
      </w:r>
      <w:r>
        <w:rPr>
          <w:rFonts w:hint="eastAsia" w:cs="华文中宋"/>
          <w:snapToGrid w:val="0"/>
          <w:color w:val="auto"/>
          <w:kern w:val="0"/>
          <w:sz w:val="24"/>
          <w:highlight w:val="none"/>
        </w:rPr>
        <w:t>号</w:t>
      </w:r>
    </w:p>
    <w:p w14:paraId="62CB7525">
      <w:pPr>
        <w:widowControl/>
        <w:snapToGrid w:val="0"/>
        <w:spacing w:line="440" w:lineRule="exact"/>
        <w:jc w:val="left"/>
        <w:rPr>
          <w:rFonts w:cs="华文中宋"/>
          <w:snapToGrid w:val="0"/>
          <w:color w:val="auto"/>
          <w:kern w:val="0"/>
          <w:sz w:val="24"/>
          <w:highlight w:val="none"/>
        </w:rPr>
      </w:pPr>
      <w:r>
        <w:rPr>
          <w:rFonts w:hint="eastAsia" w:cs="华文中宋"/>
          <w:snapToGrid w:val="0"/>
          <w:color w:val="auto"/>
          <w:kern w:val="0"/>
          <w:sz w:val="24"/>
          <w:highlight w:val="none"/>
        </w:rPr>
        <w:t xml:space="preserve">                  邮 编：650500</w:t>
      </w:r>
    </w:p>
    <w:p w14:paraId="3259F0D9">
      <w:pPr>
        <w:widowControl/>
        <w:snapToGrid w:val="0"/>
        <w:spacing w:line="440" w:lineRule="exact"/>
        <w:jc w:val="left"/>
        <w:rPr>
          <w:rFonts w:cs="华文中宋"/>
          <w:snapToGrid w:val="0"/>
          <w:color w:val="auto"/>
          <w:kern w:val="0"/>
          <w:sz w:val="24"/>
          <w:highlight w:val="none"/>
        </w:rPr>
      </w:pPr>
      <w:r>
        <w:rPr>
          <w:rFonts w:hint="eastAsia" w:cs="华文中宋"/>
          <w:snapToGrid w:val="0"/>
          <w:color w:val="auto"/>
          <w:kern w:val="0"/>
          <w:sz w:val="24"/>
          <w:highlight w:val="none"/>
        </w:rPr>
        <w:t xml:space="preserve">                  法定代表人或委托代理人：</w:t>
      </w:r>
    </w:p>
    <w:p w14:paraId="3F797798">
      <w:pPr>
        <w:widowControl/>
        <w:snapToGrid w:val="0"/>
        <w:spacing w:line="440" w:lineRule="exact"/>
        <w:ind w:firstLine="2160" w:firstLineChars="900"/>
        <w:jc w:val="left"/>
        <w:rPr>
          <w:rFonts w:cs="Arial"/>
          <w:color w:val="auto"/>
          <w:kern w:val="0"/>
          <w:sz w:val="24"/>
          <w:highlight w:val="none"/>
        </w:rPr>
      </w:pPr>
      <w:r>
        <w:rPr>
          <w:rFonts w:hint="eastAsia" w:cs="Arial"/>
          <w:color w:val="auto"/>
          <w:kern w:val="0"/>
          <w:sz w:val="24"/>
          <w:highlight w:val="none"/>
        </w:rPr>
        <w:t>招采部门经办人：</w:t>
      </w:r>
    </w:p>
    <w:p w14:paraId="31EDD5FD">
      <w:pPr>
        <w:widowControl/>
        <w:snapToGrid w:val="0"/>
        <w:spacing w:line="440" w:lineRule="exact"/>
        <w:ind w:firstLine="2160" w:firstLineChars="900"/>
        <w:jc w:val="left"/>
        <w:rPr>
          <w:rFonts w:cs="Arial"/>
          <w:color w:val="auto"/>
          <w:kern w:val="0"/>
          <w:sz w:val="24"/>
          <w:highlight w:val="none"/>
        </w:rPr>
      </w:pPr>
      <w:r>
        <w:rPr>
          <w:rFonts w:hint="eastAsia" w:cs="Arial"/>
          <w:color w:val="auto"/>
          <w:kern w:val="0"/>
          <w:sz w:val="24"/>
          <w:highlight w:val="none"/>
        </w:rPr>
        <w:t>项目负责人：</w:t>
      </w:r>
    </w:p>
    <w:p w14:paraId="0C37279A">
      <w:pPr>
        <w:widowControl/>
        <w:snapToGrid w:val="0"/>
        <w:spacing w:line="440" w:lineRule="exact"/>
        <w:ind w:firstLine="2160" w:firstLineChars="900"/>
        <w:jc w:val="left"/>
        <w:rPr>
          <w:rFonts w:cs="Arial"/>
          <w:color w:val="auto"/>
          <w:kern w:val="0"/>
          <w:sz w:val="24"/>
          <w:highlight w:val="none"/>
        </w:rPr>
      </w:pPr>
      <w:r>
        <w:rPr>
          <w:rFonts w:hint="eastAsia" w:cs="Arial"/>
          <w:color w:val="auto"/>
          <w:kern w:val="0"/>
          <w:sz w:val="24"/>
          <w:highlight w:val="none"/>
        </w:rPr>
        <w:t>项目经办人：</w:t>
      </w:r>
    </w:p>
    <w:p w14:paraId="3AF6E682">
      <w:pPr>
        <w:widowControl/>
        <w:snapToGrid w:val="0"/>
        <w:spacing w:line="440" w:lineRule="exact"/>
        <w:ind w:firstLine="2160" w:firstLineChars="900"/>
        <w:jc w:val="left"/>
        <w:rPr>
          <w:snapToGrid w:val="0"/>
          <w:color w:val="auto"/>
          <w:kern w:val="0"/>
          <w:sz w:val="24"/>
          <w:highlight w:val="none"/>
        </w:rPr>
      </w:pPr>
      <w:r>
        <w:rPr>
          <w:rFonts w:hint="eastAsia" w:cs="华文中宋"/>
          <w:snapToGrid w:val="0"/>
          <w:color w:val="auto"/>
          <w:kern w:val="0"/>
          <w:sz w:val="24"/>
          <w:highlight w:val="none"/>
        </w:rPr>
        <w:t>电 话：</w:t>
      </w:r>
      <w:r>
        <w:rPr>
          <w:rFonts w:hint="eastAsia"/>
          <w:snapToGrid w:val="0"/>
          <w:color w:val="auto"/>
          <w:kern w:val="0"/>
          <w:sz w:val="24"/>
          <w:highlight w:val="none"/>
        </w:rPr>
        <w:t>0871-65916588</w:t>
      </w:r>
    </w:p>
    <w:p w14:paraId="2CF5DF78">
      <w:pPr>
        <w:widowControl/>
        <w:snapToGrid w:val="0"/>
        <w:spacing w:line="440" w:lineRule="exact"/>
        <w:ind w:firstLine="2160" w:firstLineChars="900"/>
        <w:jc w:val="left"/>
        <w:rPr>
          <w:rFonts w:cs="华文中宋"/>
          <w:snapToGrid w:val="0"/>
          <w:color w:val="auto"/>
          <w:kern w:val="0"/>
          <w:sz w:val="24"/>
          <w:highlight w:val="none"/>
        </w:rPr>
      </w:pPr>
      <w:r>
        <w:rPr>
          <w:rFonts w:hint="eastAsia" w:cs="华文中宋"/>
          <w:snapToGrid w:val="0"/>
          <w:color w:val="auto"/>
          <w:kern w:val="0"/>
          <w:sz w:val="24"/>
          <w:highlight w:val="none"/>
        </w:rPr>
        <w:t>统一社会信用代码：125300004312044864</w:t>
      </w:r>
    </w:p>
    <w:p w14:paraId="6F8ADB0D">
      <w:pPr>
        <w:widowControl/>
        <w:snapToGrid w:val="0"/>
        <w:spacing w:line="440" w:lineRule="exact"/>
        <w:ind w:firstLine="2160" w:firstLineChars="900"/>
        <w:jc w:val="left"/>
        <w:rPr>
          <w:rFonts w:cs="华文中宋"/>
          <w:snapToGrid w:val="0"/>
          <w:color w:val="auto"/>
          <w:kern w:val="0"/>
          <w:sz w:val="24"/>
          <w:highlight w:val="none"/>
        </w:rPr>
      </w:pPr>
      <w:r>
        <w:rPr>
          <w:rFonts w:hint="eastAsia" w:cs="华文中宋"/>
          <w:snapToGrid w:val="0"/>
          <w:color w:val="auto"/>
          <w:kern w:val="0"/>
          <w:sz w:val="24"/>
          <w:highlight w:val="none"/>
        </w:rPr>
        <w:t xml:space="preserve">日    期：      年   月  日  </w:t>
      </w:r>
    </w:p>
    <w:p w14:paraId="3D028778">
      <w:pPr>
        <w:widowControl/>
        <w:snapToGrid w:val="0"/>
        <w:spacing w:line="440" w:lineRule="exact"/>
        <w:ind w:firstLine="2160" w:firstLineChars="900"/>
        <w:jc w:val="left"/>
        <w:rPr>
          <w:rFonts w:cs="华文中宋"/>
          <w:snapToGrid w:val="0"/>
          <w:color w:val="auto"/>
          <w:kern w:val="0"/>
          <w:sz w:val="24"/>
          <w:highlight w:val="none"/>
        </w:rPr>
      </w:pPr>
    </w:p>
    <w:p w14:paraId="2513E947">
      <w:pPr>
        <w:widowControl/>
        <w:snapToGrid w:val="0"/>
        <w:spacing w:line="440" w:lineRule="exact"/>
        <w:ind w:firstLine="2160" w:firstLineChars="900"/>
        <w:jc w:val="left"/>
        <w:rPr>
          <w:rFonts w:cs="华文中宋"/>
          <w:snapToGrid w:val="0"/>
          <w:color w:val="auto"/>
          <w:kern w:val="0"/>
          <w:sz w:val="24"/>
          <w:highlight w:val="none"/>
        </w:rPr>
      </w:pPr>
      <w:r>
        <w:rPr>
          <w:rFonts w:hint="eastAsia" w:cs="华文中宋"/>
          <w:snapToGrid w:val="0"/>
          <w:color w:val="auto"/>
          <w:kern w:val="0"/>
          <w:sz w:val="24"/>
          <w:highlight w:val="none"/>
        </w:rPr>
        <w:t xml:space="preserve">                </w:t>
      </w:r>
    </w:p>
    <w:p w14:paraId="07E904BD">
      <w:pPr>
        <w:widowControl/>
        <w:snapToGrid w:val="0"/>
        <w:spacing w:line="500" w:lineRule="exact"/>
        <w:jc w:val="left"/>
        <w:rPr>
          <w:rFonts w:cs="华文中宋"/>
          <w:snapToGrid w:val="0"/>
          <w:color w:val="auto"/>
          <w:kern w:val="0"/>
          <w:sz w:val="24"/>
          <w:highlight w:val="none"/>
        </w:rPr>
      </w:pPr>
      <w:r>
        <w:rPr>
          <w:rFonts w:hint="eastAsia" w:cs="华文中宋"/>
          <w:b/>
          <w:bCs/>
          <w:snapToGrid w:val="0"/>
          <w:color w:val="auto"/>
          <w:kern w:val="0"/>
          <w:sz w:val="24"/>
          <w:highlight w:val="none"/>
        </w:rPr>
        <w:t>乙方</w:t>
      </w:r>
      <w:r>
        <w:rPr>
          <w:rFonts w:hint="eastAsia" w:cs="华文中宋"/>
          <w:snapToGrid w:val="0"/>
          <w:color w:val="auto"/>
          <w:kern w:val="0"/>
          <w:sz w:val="24"/>
          <w:highlight w:val="none"/>
        </w:rPr>
        <w:t>（供应商公章）名 称：</w:t>
      </w:r>
      <w:r>
        <w:rPr>
          <w:rFonts w:cs="华文中宋"/>
          <w:snapToGrid w:val="0"/>
          <w:color w:val="auto"/>
          <w:kern w:val="0"/>
          <w:sz w:val="24"/>
          <w:highlight w:val="none"/>
        </w:rPr>
        <w:t xml:space="preserve"> </w:t>
      </w:r>
    </w:p>
    <w:p w14:paraId="11678621">
      <w:pPr>
        <w:widowControl/>
        <w:snapToGrid w:val="0"/>
        <w:spacing w:line="500" w:lineRule="exact"/>
        <w:ind w:firstLine="2160" w:firstLineChars="900"/>
        <w:rPr>
          <w:rFonts w:cs="华文中宋"/>
          <w:snapToGrid w:val="0"/>
          <w:color w:val="auto"/>
          <w:kern w:val="0"/>
          <w:sz w:val="24"/>
          <w:highlight w:val="none"/>
        </w:rPr>
      </w:pPr>
      <w:r>
        <w:rPr>
          <w:rFonts w:hint="eastAsia" w:cs="华文中宋"/>
          <w:snapToGrid w:val="0"/>
          <w:color w:val="auto"/>
          <w:kern w:val="0"/>
          <w:sz w:val="24"/>
          <w:highlight w:val="none"/>
        </w:rPr>
        <w:t xml:space="preserve">地 址： </w:t>
      </w:r>
    </w:p>
    <w:p w14:paraId="4B914DB2">
      <w:pPr>
        <w:widowControl/>
        <w:snapToGrid w:val="0"/>
        <w:spacing w:line="500" w:lineRule="exact"/>
        <w:jc w:val="left"/>
        <w:rPr>
          <w:rFonts w:cs="华文中宋"/>
          <w:snapToGrid w:val="0"/>
          <w:color w:val="auto"/>
          <w:kern w:val="0"/>
          <w:sz w:val="24"/>
          <w:highlight w:val="none"/>
        </w:rPr>
      </w:pPr>
      <w:r>
        <w:rPr>
          <w:rFonts w:hint="eastAsia" w:cs="华文中宋"/>
          <w:snapToGrid w:val="0"/>
          <w:color w:val="auto"/>
          <w:kern w:val="0"/>
          <w:sz w:val="24"/>
          <w:highlight w:val="none"/>
        </w:rPr>
        <w:t xml:space="preserve">                  邮 编：</w:t>
      </w:r>
    </w:p>
    <w:p w14:paraId="205E77DD">
      <w:pPr>
        <w:widowControl/>
        <w:snapToGrid w:val="0"/>
        <w:spacing w:line="500" w:lineRule="exact"/>
        <w:ind w:firstLine="1320" w:firstLineChars="550"/>
        <w:jc w:val="left"/>
        <w:rPr>
          <w:rFonts w:cs="华文中宋"/>
          <w:snapToGrid w:val="0"/>
          <w:color w:val="auto"/>
          <w:kern w:val="0"/>
          <w:sz w:val="24"/>
          <w:highlight w:val="none"/>
        </w:rPr>
      </w:pPr>
      <w:r>
        <w:rPr>
          <w:rFonts w:hint="eastAsia" w:cs="华文中宋"/>
          <w:snapToGrid w:val="0"/>
          <w:color w:val="auto"/>
          <w:kern w:val="0"/>
          <w:sz w:val="24"/>
          <w:highlight w:val="none"/>
        </w:rPr>
        <w:t xml:space="preserve">       法定代表人或委托代理人：</w:t>
      </w:r>
    </w:p>
    <w:p w14:paraId="632916B9">
      <w:pPr>
        <w:widowControl/>
        <w:snapToGrid w:val="0"/>
        <w:spacing w:line="440" w:lineRule="exact"/>
        <w:ind w:firstLine="2160" w:firstLineChars="900"/>
        <w:jc w:val="left"/>
        <w:rPr>
          <w:rFonts w:cs="Arial"/>
          <w:color w:val="auto"/>
          <w:kern w:val="0"/>
          <w:sz w:val="24"/>
          <w:highlight w:val="none"/>
        </w:rPr>
      </w:pPr>
      <w:r>
        <w:rPr>
          <w:rFonts w:hint="eastAsia" w:cs="Arial"/>
          <w:color w:val="auto"/>
          <w:kern w:val="0"/>
          <w:sz w:val="24"/>
          <w:highlight w:val="none"/>
        </w:rPr>
        <w:t>项目（技术）负责人：</w:t>
      </w:r>
    </w:p>
    <w:p w14:paraId="3A59B550">
      <w:pPr>
        <w:widowControl/>
        <w:snapToGrid w:val="0"/>
        <w:spacing w:line="500" w:lineRule="exact"/>
        <w:ind w:firstLine="1320" w:firstLineChars="550"/>
        <w:jc w:val="left"/>
        <w:rPr>
          <w:rFonts w:cs="华文中宋"/>
          <w:snapToGrid w:val="0"/>
          <w:color w:val="auto"/>
          <w:kern w:val="0"/>
          <w:sz w:val="24"/>
          <w:highlight w:val="none"/>
        </w:rPr>
      </w:pPr>
      <w:r>
        <w:rPr>
          <w:rFonts w:hint="eastAsia" w:cs="华文中宋"/>
          <w:snapToGrid w:val="0"/>
          <w:color w:val="auto"/>
          <w:kern w:val="0"/>
          <w:sz w:val="24"/>
          <w:highlight w:val="none"/>
        </w:rPr>
        <w:t xml:space="preserve">    电 话： </w:t>
      </w:r>
    </w:p>
    <w:p w14:paraId="1E8D8C71">
      <w:pPr>
        <w:widowControl/>
        <w:snapToGrid w:val="0"/>
        <w:spacing w:line="500" w:lineRule="exact"/>
        <w:jc w:val="left"/>
        <w:rPr>
          <w:rFonts w:cs="华文中宋"/>
          <w:snapToGrid w:val="0"/>
          <w:color w:val="auto"/>
          <w:kern w:val="0"/>
          <w:sz w:val="24"/>
          <w:highlight w:val="none"/>
        </w:rPr>
      </w:pPr>
      <w:r>
        <w:rPr>
          <w:rFonts w:hint="eastAsia" w:cs="华文中宋"/>
          <w:snapToGrid w:val="0"/>
          <w:color w:val="auto"/>
          <w:kern w:val="0"/>
          <w:sz w:val="24"/>
          <w:highlight w:val="none"/>
        </w:rPr>
        <w:t xml:space="preserve">                  统一社会信用代码： </w:t>
      </w:r>
    </w:p>
    <w:p w14:paraId="37517E61">
      <w:pPr>
        <w:rPr>
          <w:rFonts w:cs="华文中宋"/>
          <w:snapToGrid w:val="0"/>
          <w:color w:val="auto"/>
          <w:kern w:val="0"/>
          <w:sz w:val="24"/>
          <w:highlight w:val="none"/>
        </w:rPr>
      </w:pPr>
    </w:p>
    <w:p w14:paraId="4C6A12F9">
      <w:pPr>
        <w:rPr>
          <w:rFonts w:cs="华文中宋"/>
          <w:snapToGrid w:val="0"/>
          <w:color w:val="auto"/>
          <w:kern w:val="0"/>
          <w:sz w:val="24"/>
          <w:highlight w:val="none"/>
        </w:rPr>
      </w:pPr>
      <w:r>
        <w:rPr>
          <w:rFonts w:hint="eastAsia" w:cs="华文中宋"/>
          <w:snapToGrid w:val="0"/>
          <w:color w:val="auto"/>
          <w:kern w:val="0"/>
          <w:sz w:val="24"/>
          <w:highlight w:val="none"/>
        </w:rPr>
        <w:t>日    期：      年   月  日</w:t>
      </w:r>
    </w:p>
    <w:p w14:paraId="1C66BC17">
      <w:pPr>
        <w:rPr>
          <w:rFonts w:ascii="Times New Roman" w:hAnsi="Times New Roman"/>
          <w:color w:val="auto"/>
          <w:highlight w:val="none"/>
        </w:rPr>
      </w:pPr>
      <w:r>
        <w:rPr>
          <w:rFonts w:hint="eastAsia" w:cs="华文中宋"/>
          <w:snapToGrid w:val="0"/>
          <w:color w:val="auto"/>
          <w:kern w:val="0"/>
          <w:sz w:val="24"/>
          <w:highlight w:val="none"/>
        </w:rPr>
        <w:t xml:space="preserve"> </w:t>
      </w:r>
    </w:p>
    <w:p w14:paraId="2C4A8BD5">
      <w:pPr>
        <w:spacing w:line="440" w:lineRule="exact"/>
        <w:ind w:firstLine="412"/>
        <w:rPr>
          <w:rFonts w:cs="宋体"/>
          <w:color w:val="auto"/>
          <w:sz w:val="24"/>
          <w:highlight w:val="none"/>
        </w:rPr>
      </w:pPr>
      <w:r>
        <w:rPr>
          <w:rFonts w:ascii="Times New Roman" w:hAnsi="Times New Roman"/>
          <w:color w:val="auto"/>
          <w:highlight w:val="none"/>
        </w:rPr>
        <w:br w:type="page"/>
      </w:r>
      <w:r>
        <w:rPr>
          <w:rFonts w:hint="eastAsia" w:cs="宋体"/>
          <w:color w:val="auto"/>
          <w:sz w:val="24"/>
          <w:highlight w:val="none"/>
        </w:rPr>
        <w:t>甲乙双方根据“</w:t>
      </w:r>
      <w:r>
        <w:rPr>
          <w:rFonts w:hint="eastAsia" w:cs="宋体"/>
          <w:b/>
          <w:bCs/>
          <w:color w:val="auto"/>
          <w:sz w:val="24"/>
          <w:highlight w:val="none"/>
          <w:lang w:eastAsia="zh-CN"/>
        </w:rPr>
        <w:t>昆明理工大学城市学院艺术系“人工智能+”新质生产力赋能实践示范中心建设采购项目（z25）（二次）</w:t>
      </w:r>
      <w:r>
        <w:rPr>
          <w:rFonts w:hint="eastAsia" w:cs="宋体"/>
          <w:color w:val="auto"/>
          <w:sz w:val="24"/>
          <w:highlight w:val="none"/>
        </w:rPr>
        <w:t>” 项目招标采购结果(采购代理机构：</w:t>
      </w:r>
      <w:r>
        <w:rPr>
          <w:rFonts w:hint="eastAsia" w:cs="宋体"/>
          <w:b/>
          <w:bCs/>
          <w:color w:val="auto"/>
          <w:sz w:val="24"/>
          <w:highlight w:val="none"/>
        </w:rPr>
        <w:t>云南招标股份有限公司，招标编号：</w:t>
      </w:r>
      <w:r>
        <w:rPr>
          <w:rFonts w:hint="eastAsia" w:cs="宋体"/>
          <w:b/>
          <w:bCs/>
          <w:color w:val="auto"/>
          <w:sz w:val="24"/>
          <w:highlight w:val="none"/>
          <w:lang w:eastAsia="zh-CN"/>
        </w:rPr>
        <w:t>P53A00325001454C1</w:t>
      </w:r>
      <w:r>
        <w:rPr>
          <w:rFonts w:hint="eastAsia" w:cs="宋体"/>
          <w:color w:val="auto"/>
          <w:sz w:val="24"/>
          <w:highlight w:val="none"/>
        </w:rPr>
        <w:t>)，和《中华人民共和国民法典》《中华人民共和国政府采购法》等法律法规的规定，确定由乙方负责甲方（</w:t>
      </w:r>
      <w:r>
        <w:rPr>
          <w:rFonts w:hint="eastAsia" w:cs="宋体"/>
          <w:b/>
          <w:bCs/>
          <w:color w:val="auto"/>
          <w:sz w:val="24"/>
          <w:highlight w:val="none"/>
          <w:u w:val="single"/>
        </w:rPr>
        <w:t>昆明理工大学城市学院</w:t>
      </w:r>
      <w:r>
        <w:rPr>
          <w:rFonts w:hint="eastAsia" w:cs="宋体"/>
          <w:color w:val="auto"/>
          <w:sz w:val="24"/>
          <w:highlight w:val="none"/>
          <w:u w:val="single"/>
        </w:rPr>
        <w:t>）</w:t>
      </w:r>
      <w:r>
        <w:rPr>
          <w:rFonts w:hint="eastAsia" w:cs="宋体"/>
          <w:color w:val="auto"/>
          <w:sz w:val="24"/>
          <w:highlight w:val="none"/>
        </w:rPr>
        <w:t>货物供应，经过双方充分协商达成一致意见，签订以下内容：</w:t>
      </w:r>
    </w:p>
    <w:p w14:paraId="42E33D2D">
      <w:pPr>
        <w:spacing w:before="156" w:beforeLines="50" w:line="440" w:lineRule="exact"/>
        <w:rPr>
          <w:rFonts w:cs="宋体"/>
          <w:b/>
          <w:color w:val="auto"/>
          <w:sz w:val="24"/>
          <w:highlight w:val="none"/>
        </w:rPr>
      </w:pPr>
      <w:r>
        <w:rPr>
          <w:rFonts w:hint="eastAsia" w:cs="宋体"/>
          <w:b/>
          <w:color w:val="auto"/>
          <w:sz w:val="24"/>
          <w:highlight w:val="none"/>
        </w:rPr>
        <w:t xml:space="preserve">一、主体设备要求和数量、价格：                                   </w:t>
      </w:r>
    </w:p>
    <w:p w14:paraId="22AEB62D">
      <w:pPr>
        <w:spacing w:line="440" w:lineRule="exact"/>
        <w:ind w:firstLine="480" w:firstLineChars="200"/>
        <w:rPr>
          <w:rFonts w:cs="宋体"/>
          <w:color w:val="auto"/>
          <w:sz w:val="24"/>
          <w:highlight w:val="none"/>
        </w:rPr>
      </w:pPr>
      <w:r>
        <w:rPr>
          <w:rFonts w:hint="eastAsia" w:cs="宋体"/>
          <w:color w:val="auto"/>
          <w:sz w:val="24"/>
          <w:highlight w:val="none"/>
        </w:rPr>
        <w:t>见附件</w:t>
      </w:r>
    </w:p>
    <w:p w14:paraId="238F931F">
      <w:pPr>
        <w:spacing w:before="156" w:beforeLines="50" w:line="440" w:lineRule="exact"/>
        <w:rPr>
          <w:rFonts w:cs="宋体"/>
          <w:b/>
          <w:color w:val="auto"/>
          <w:sz w:val="24"/>
          <w:highlight w:val="none"/>
        </w:rPr>
      </w:pPr>
      <w:r>
        <w:rPr>
          <w:rFonts w:hint="eastAsia" w:cs="宋体"/>
          <w:b/>
          <w:color w:val="auto"/>
          <w:sz w:val="24"/>
          <w:highlight w:val="none"/>
        </w:rPr>
        <w:t>二、随机资料和配套附属设备的要求</w:t>
      </w:r>
    </w:p>
    <w:p w14:paraId="560BDDA2">
      <w:pPr>
        <w:spacing w:line="440" w:lineRule="exact"/>
        <w:ind w:firstLine="480" w:firstLineChars="200"/>
        <w:rPr>
          <w:rFonts w:cs="宋体"/>
          <w:b/>
          <w:color w:val="auto"/>
          <w:sz w:val="24"/>
          <w:highlight w:val="none"/>
        </w:rPr>
      </w:pPr>
      <w:r>
        <w:rPr>
          <w:rFonts w:hint="eastAsia" w:cs="宋体"/>
          <w:color w:val="auto"/>
          <w:kern w:val="0"/>
          <w:sz w:val="24"/>
          <w:highlight w:val="none"/>
        </w:rPr>
        <w:t>标准配置。</w:t>
      </w:r>
    </w:p>
    <w:p w14:paraId="204273BC">
      <w:pPr>
        <w:spacing w:before="156" w:beforeLines="50" w:line="440" w:lineRule="exact"/>
        <w:rPr>
          <w:rFonts w:cs="宋体"/>
          <w:b/>
          <w:color w:val="auto"/>
          <w:sz w:val="24"/>
          <w:highlight w:val="none"/>
        </w:rPr>
      </w:pPr>
      <w:r>
        <w:rPr>
          <w:rFonts w:hint="eastAsia" w:cs="宋体"/>
          <w:b/>
          <w:color w:val="auto"/>
          <w:sz w:val="24"/>
          <w:highlight w:val="none"/>
        </w:rPr>
        <w:t>三、安装调试要求</w:t>
      </w:r>
    </w:p>
    <w:p w14:paraId="305EABA5">
      <w:pPr>
        <w:spacing w:line="440" w:lineRule="exact"/>
        <w:ind w:firstLine="480" w:firstLineChars="200"/>
        <w:rPr>
          <w:rFonts w:cs="宋体"/>
          <w:color w:val="auto"/>
          <w:sz w:val="24"/>
          <w:highlight w:val="none"/>
        </w:rPr>
      </w:pPr>
      <w:r>
        <w:rPr>
          <w:rFonts w:hint="eastAsia" w:cs="宋体"/>
          <w:color w:val="auto"/>
          <w:sz w:val="24"/>
          <w:highlight w:val="none"/>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AEBA332">
      <w:pPr>
        <w:spacing w:before="156" w:beforeLines="50" w:line="440" w:lineRule="exact"/>
        <w:rPr>
          <w:rFonts w:cs="宋体"/>
          <w:color w:val="auto"/>
          <w:sz w:val="24"/>
          <w:highlight w:val="none"/>
        </w:rPr>
      </w:pPr>
      <w:r>
        <w:rPr>
          <w:rFonts w:hint="eastAsia" w:cs="宋体"/>
          <w:b/>
          <w:color w:val="auto"/>
          <w:sz w:val="24"/>
          <w:highlight w:val="none"/>
        </w:rPr>
        <w:t>四、配套设备、备品备件（含易损件或消耗品）要求及长期供应优惠条件</w:t>
      </w:r>
    </w:p>
    <w:p w14:paraId="7CE08F39">
      <w:pPr>
        <w:spacing w:line="440" w:lineRule="exact"/>
        <w:ind w:firstLine="480" w:firstLineChars="200"/>
        <w:rPr>
          <w:rFonts w:cs="宋体"/>
          <w:b/>
          <w:color w:val="auto"/>
          <w:sz w:val="24"/>
          <w:highlight w:val="none"/>
        </w:rPr>
      </w:pPr>
      <w:r>
        <w:rPr>
          <w:rFonts w:hint="eastAsia" w:cs="宋体"/>
          <w:color w:val="auto"/>
          <w:sz w:val="24"/>
          <w:highlight w:val="none"/>
        </w:rPr>
        <w:t>长期（需注明具体范围）优惠供应。</w:t>
      </w:r>
    </w:p>
    <w:p w14:paraId="4DE38AA6">
      <w:pPr>
        <w:spacing w:before="156" w:beforeLines="50" w:line="440" w:lineRule="exact"/>
        <w:rPr>
          <w:rFonts w:cs="宋体"/>
          <w:b/>
          <w:color w:val="auto"/>
          <w:sz w:val="24"/>
          <w:highlight w:val="none"/>
        </w:rPr>
      </w:pPr>
      <w:r>
        <w:rPr>
          <w:rFonts w:hint="eastAsia" w:cs="宋体"/>
          <w:b/>
          <w:color w:val="auto"/>
          <w:sz w:val="24"/>
          <w:highlight w:val="none"/>
        </w:rPr>
        <w:t>五、合同总价（人民币大写）：</w:t>
      </w:r>
      <w:r>
        <w:rPr>
          <w:rFonts w:hint="eastAsia" w:cs="宋体"/>
          <w:b/>
          <w:color w:val="auto"/>
          <w:sz w:val="24"/>
          <w:highlight w:val="none"/>
          <w:u w:val="single"/>
        </w:rPr>
        <w:t xml:space="preserve">              </w:t>
      </w:r>
      <w:r>
        <w:rPr>
          <w:rFonts w:hint="eastAsia" w:cs="宋体"/>
          <w:b/>
          <w:bCs/>
          <w:color w:val="auto"/>
          <w:sz w:val="24"/>
          <w:highlight w:val="none"/>
        </w:rPr>
        <w:t>元整</w:t>
      </w:r>
    </w:p>
    <w:p w14:paraId="2D4ACF68">
      <w:pPr>
        <w:spacing w:line="440" w:lineRule="exact"/>
        <w:ind w:firstLine="480"/>
        <w:rPr>
          <w:rFonts w:cs="宋体"/>
          <w:color w:val="auto"/>
          <w:sz w:val="24"/>
          <w:highlight w:val="none"/>
        </w:rPr>
      </w:pPr>
      <w:r>
        <w:rPr>
          <w:rFonts w:hint="eastAsia" w:cs="宋体"/>
          <w:color w:val="auto"/>
          <w:sz w:val="24"/>
          <w:highlight w:val="none"/>
        </w:rPr>
        <w:t>小写：￥</w:t>
      </w:r>
      <w:r>
        <w:rPr>
          <w:rFonts w:hint="eastAsia" w:cs="宋体"/>
          <w:color w:val="auto"/>
          <w:sz w:val="24"/>
          <w:highlight w:val="none"/>
          <w:u w:val="single"/>
        </w:rPr>
        <w:t xml:space="preserve">           </w:t>
      </w:r>
      <w:r>
        <w:rPr>
          <w:rFonts w:hint="eastAsia" w:cs="宋体"/>
          <w:bCs/>
          <w:color w:val="auto"/>
          <w:sz w:val="24"/>
          <w:highlight w:val="none"/>
        </w:rPr>
        <w:t>元</w:t>
      </w:r>
    </w:p>
    <w:p w14:paraId="2A039F1A">
      <w:pPr>
        <w:spacing w:line="440" w:lineRule="exact"/>
        <w:ind w:left="540" w:leftChars="257"/>
        <w:rPr>
          <w:rFonts w:cs="宋体"/>
          <w:color w:val="auto"/>
          <w:sz w:val="24"/>
          <w:highlight w:val="none"/>
        </w:rPr>
      </w:pPr>
      <w:bookmarkStart w:id="115" w:name="_Toc29379756"/>
      <w:r>
        <w:rPr>
          <w:rFonts w:hint="eastAsia" w:cs="宋体"/>
          <w:color w:val="auto"/>
          <w:sz w:val="24"/>
          <w:highlight w:val="none"/>
        </w:rPr>
        <w:t>以上价格为甲方指定地点交货价，并包含设备的安装运输调试费用。</w:t>
      </w:r>
      <w:bookmarkEnd w:id="115"/>
    </w:p>
    <w:p w14:paraId="67FB6582">
      <w:pPr>
        <w:spacing w:before="156" w:beforeLines="50" w:line="440" w:lineRule="exact"/>
        <w:rPr>
          <w:rFonts w:cs="宋体"/>
          <w:b/>
          <w:color w:val="auto"/>
          <w:sz w:val="24"/>
          <w:highlight w:val="none"/>
        </w:rPr>
      </w:pPr>
      <w:r>
        <w:rPr>
          <w:rFonts w:hint="eastAsia" w:cs="宋体"/>
          <w:b/>
          <w:color w:val="auto"/>
          <w:sz w:val="24"/>
          <w:highlight w:val="none"/>
        </w:rPr>
        <w:t>六、甲乙双方的权利和义务</w:t>
      </w:r>
    </w:p>
    <w:p w14:paraId="32722DDB">
      <w:pPr>
        <w:spacing w:line="440" w:lineRule="exact"/>
        <w:ind w:firstLine="480"/>
        <w:rPr>
          <w:rFonts w:cs="宋体"/>
          <w:color w:val="auto"/>
          <w:sz w:val="24"/>
          <w:highlight w:val="none"/>
        </w:rPr>
      </w:pPr>
      <w:r>
        <w:rPr>
          <w:rFonts w:hint="eastAsia" w:cs="宋体"/>
          <w:color w:val="auto"/>
          <w:sz w:val="24"/>
          <w:highlight w:val="none"/>
        </w:rPr>
        <w:t>（一）甲方的权利和义务</w:t>
      </w:r>
    </w:p>
    <w:p w14:paraId="6155E72D">
      <w:pPr>
        <w:spacing w:line="440" w:lineRule="exact"/>
        <w:ind w:firstLine="480"/>
        <w:rPr>
          <w:rFonts w:cs="宋体"/>
          <w:color w:val="auto"/>
          <w:sz w:val="24"/>
          <w:highlight w:val="none"/>
        </w:rPr>
      </w:pPr>
      <w:r>
        <w:rPr>
          <w:rFonts w:hint="eastAsia" w:cs="宋体"/>
          <w:color w:val="auto"/>
          <w:sz w:val="24"/>
          <w:highlight w:val="none"/>
        </w:rPr>
        <w:t>1、负责合同签订后项目实施的工作（如与乙方的具体联系和衔接，现场安装调试时配备人员进行监管控制）；</w:t>
      </w:r>
    </w:p>
    <w:p w14:paraId="3792812A">
      <w:pPr>
        <w:spacing w:line="440" w:lineRule="exact"/>
        <w:ind w:firstLine="480"/>
        <w:rPr>
          <w:rFonts w:cs="宋体"/>
          <w:color w:val="auto"/>
          <w:sz w:val="24"/>
          <w:highlight w:val="none"/>
        </w:rPr>
      </w:pPr>
      <w:r>
        <w:rPr>
          <w:rFonts w:hint="eastAsia" w:cs="宋体"/>
          <w:color w:val="auto"/>
          <w:sz w:val="24"/>
          <w:highlight w:val="none"/>
        </w:rPr>
        <w:t>2、负责提供设备和项目安装调试所必需的场地和环境；</w:t>
      </w:r>
    </w:p>
    <w:p w14:paraId="0A71FD9B">
      <w:pPr>
        <w:spacing w:line="440" w:lineRule="exact"/>
        <w:ind w:firstLine="480"/>
        <w:rPr>
          <w:rFonts w:cs="宋体"/>
          <w:color w:val="auto"/>
          <w:sz w:val="24"/>
          <w:highlight w:val="none"/>
        </w:rPr>
      </w:pPr>
      <w:r>
        <w:rPr>
          <w:rFonts w:hint="eastAsia" w:cs="宋体"/>
          <w:color w:val="auto"/>
          <w:sz w:val="24"/>
          <w:highlight w:val="none"/>
        </w:rPr>
        <w:t>3、项目安装调试后，负责在60日历天内组织成立验收小组对设备和项目进行验收并签署验收报告；</w:t>
      </w:r>
    </w:p>
    <w:p w14:paraId="521AD283">
      <w:pPr>
        <w:spacing w:line="440" w:lineRule="exact"/>
        <w:ind w:firstLine="480"/>
        <w:rPr>
          <w:rFonts w:cs="宋体"/>
          <w:color w:val="auto"/>
          <w:sz w:val="24"/>
          <w:highlight w:val="none"/>
        </w:rPr>
      </w:pPr>
      <w:r>
        <w:rPr>
          <w:rFonts w:hint="eastAsia" w:cs="宋体"/>
          <w:color w:val="auto"/>
          <w:sz w:val="24"/>
          <w:highlight w:val="none"/>
        </w:rPr>
        <w:t>4、按照合同规定享有乙方提供的设备服务。</w:t>
      </w:r>
    </w:p>
    <w:p w14:paraId="6A0AD610">
      <w:pPr>
        <w:spacing w:line="440" w:lineRule="exact"/>
        <w:ind w:firstLine="480"/>
        <w:rPr>
          <w:rFonts w:cs="宋体"/>
          <w:color w:val="auto"/>
          <w:sz w:val="24"/>
          <w:highlight w:val="none"/>
        </w:rPr>
      </w:pPr>
      <w:r>
        <w:rPr>
          <w:rFonts w:hint="eastAsia" w:cs="宋体"/>
          <w:color w:val="auto"/>
          <w:sz w:val="24"/>
          <w:highlight w:val="none"/>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3CC301EC">
      <w:pPr>
        <w:spacing w:line="440" w:lineRule="exact"/>
        <w:ind w:firstLine="480"/>
        <w:rPr>
          <w:rFonts w:cs="宋体"/>
          <w:color w:val="auto"/>
          <w:sz w:val="24"/>
          <w:highlight w:val="none"/>
        </w:rPr>
      </w:pPr>
      <w:r>
        <w:rPr>
          <w:rFonts w:hint="eastAsia" w:cs="宋体"/>
          <w:color w:val="auto"/>
          <w:sz w:val="24"/>
          <w:highlight w:val="none"/>
        </w:rPr>
        <w:t>（二）乙方的权利和义务</w:t>
      </w:r>
    </w:p>
    <w:p w14:paraId="202D99F8">
      <w:pPr>
        <w:spacing w:line="440" w:lineRule="exact"/>
        <w:ind w:firstLine="480"/>
        <w:rPr>
          <w:rFonts w:cs="宋体"/>
          <w:color w:val="auto"/>
          <w:sz w:val="24"/>
          <w:highlight w:val="none"/>
        </w:rPr>
      </w:pPr>
      <w:r>
        <w:rPr>
          <w:rFonts w:hint="eastAsia" w:cs="宋体"/>
          <w:color w:val="auto"/>
          <w:sz w:val="24"/>
          <w:highlight w:val="none"/>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116" w:name="_Hlk72835049"/>
      <w:r>
        <w:rPr>
          <w:rFonts w:hint="eastAsia" w:cs="宋体"/>
          <w:color w:val="auto"/>
          <w:sz w:val="24"/>
          <w:highlight w:val="none"/>
        </w:rPr>
        <w:t>设备及主要配件保修期</w:t>
      </w:r>
      <w:r>
        <w:rPr>
          <w:rFonts w:hint="eastAsia" w:cs="宋体"/>
          <w:color w:val="auto"/>
          <w:sz w:val="24"/>
          <w:highlight w:val="none"/>
          <w:u w:val="single"/>
        </w:rPr>
        <w:t xml:space="preserve">    </w:t>
      </w:r>
      <w:r>
        <w:rPr>
          <w:rFonts w:hint="eastAsia" w:cs="宋体"/>
          <w:color w:val="auto"/>
          <w:sz w:val="24"/>
          <w:highlight w:val="none"/>
        </w:rPr>
        <w:t>年（以终验合格之日为起始日期），人工保修服务</w:t>
      </w:r>
      <w:r>
        <w:rPr>
          <w:rFonts w:hint="eastAsia" w:cs="宋体"/>
          <w:color w:val="auto"/>
          <w:sz w:val="24"/>
          <w:highlight w:val="none"/>
          <w:u w:val="single"/>
        </w:rPr>
        <w:t xml:space="preserve">     </w:t>
      </w:r>
      <w:r>
        <w:rPr>
          <w:rFonts w:hint="eastAsia" w:cs="宋体"/>
          <w:color w:val="auto"/>
          <w:sz w:val="24"/>
          <w:highlight w:val="none"/>
        </w:rPr>
        <w:t>年（以终验合格之日为起始日期），终身负责维修</w:t>
      </w:r>
      <w:bookmarkEnd w:id="116"/>
      <w:r>
        <w:rPr>
          <w:rFonts w:hint="eastAsia" w:cs="宋体"/>
          <w:color w:val="auto"/>
          <w:sz w:val="24"/>
          <w:highlight w:val="none"/>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cs="宋体"/>
          <w:color w:val="auto"/>
          <w:sz w:val="24"/>
          <w:highlight w:val="none"/>
          <w:u w:val="single"/>
        </w:rPr>
        <w:t xml:space="preserve">    </w:t>
      </w:r>
      <w:r>
        <w:rPr>
          <w:rFonts w:hint="eastAsia" w:cs="宋体"/>
          <w:color w:val="auto"/>
          <w:sz w:val="24"/>
          <w:highlight w:val="none"/>
        </w:rPr>
        <w:t>小时内到达现场，</w:t>
      </w:r>
      <w:r>
        <w:rPr>
          <w:rFonts w:hint="eastAsia" w:cs="宋体"/>
          <w:color w:val="auto"/>
          <w:sz w:val="24"/>
          <w:highlight w:val="none"/>
          <w:u w:val="single"/>
        </w:rPr>
        <w:t xml:space="preserve">     </w:t>
      </w:r>
      <w:r>
        <w:rPr>
          <w:rFonts w:hint="eastAsia" w:cs="宋体"/>
          <w:color w:val="auto"/>
          <w:sz w:val="24"/>
          <w:highlight w:val="none"/>
        </w:rPr>
        <w:t xml:space="preserve"> 类故障保证由</w:t>
      </w:r>
      <w:r>
        <w:rPr>
          <w:rFonts w:hint="eastAsia" w:cs="宋体"/>
          <w:color w:val="auto"/>
          <w:sz w:val="24"/>
          <w:highlight w:val="none"/>
          <w:u w:val="single"/>
        </w:rPr>
        <w:t xml:space="preserve">   </w:t>
      </w:r>
      <w:r>
        <w:rPr>
          <w:rFonts w:hint="eastAsia" w:cs="宋体"/>
          <w:color w:val="auto"/>
          <w:sz w:val="24"/>
          <w:highlight w:val="none"/>
        </w:rPr>
        <w:t>人员（或工程师）在</w:t>
      </w:r>
      <w:r>
        <w:rPr>
          <w:rFonts w:hint="eastAsia" w:cs="宋体"/>
          <w:color w:val="auto"/>
          <w:sz w:val="24"/>
          <w:highlight w:val="none"/>
          <w:u w:val="single"/>
        </w:rPr>
        <w:t xml:space="preserve">   </w:t>
      </w:r>
      <w:r>
        <w:rPr>
          <w:rFonts w:hint="eastAsia" w:cs="宋体"/>
          <w:color w:val="auto"/>
          <w:sz w:val="24"/>
          <w:highlight w:val="none"/>
        </w:rPr>
        <w:t>天内修复，</w:t>
      </w:r>
      <w:r>
        <w:rPr>
          <w:rFonts w:hint="eastAsia" w:cs="宋体"/>
          <w:color w:val="auto"/>
          <w:sz w:val="24"/>
          <w:highlight w:val="none"/>
          <w:u w:val="single"/>
        </w:rPr>
        <w:t xml:space="preserve">   </w:t>
      </w:r>
      <w:r>
        <w:rPr>
          <w:rFonts w:hint="eastAsia" w:cs="宋体"/>
          <w:color w:val="auto"/>
          <w:sz w:val="24"/>
          <w:highlight w:val="none"/>
        </w:rPr>
        <w:t>类故障保证由</w:t>
      </w:r>
      <w:r>
        <w:rPr>
          <w:rFonts w:hint="eastAsia" w:cs="宋体"/>
          <w:color w:val="auto"/>
          <w:sz w:val="24"/>
          <w:highlight w:val="none"/>
          <w:u w:val="single"/>
        </w:rPr>
        <w:t xml:space="preserve">   </w:t>
      </w:r>
      <w:r>
        <w:rPr>
          <w:rFonts w:hint="eastAsia" w:cs="宋体"/>
          <w:color w:val="auto"/>
          <w:sz w:val="24"/>
          <w:highlight w:val="none"/>
        </w:rPr>
        <w:t>人员（或工程师）在</w:t>
      </w:r>
      <w:r>
        <w:rPr>
          <w:rFonts w:hint="eastAsia" w:cs="宋体"/>
          <w:color w:val="auto"/>
          <w:sz w:val="24"/>
          <w:highlight w:val="none"/>
          <w:u w:val="single"/>
        </w:rPr>
        <w:t xml:space="preserve">   </w:t>
      </w:r>
      <w:r>
        <w:rPr>
          <w:rFonts w:hint="eastAsia" w:cs="宋体"/>
          <w:color w:val="auto"/>
          <w:sz w:val="24"/>
          <w:highlight w:val="none"/>
        </w:rPr>
        <w:t>天内修复；乙方保证在甲方指定地点供应备品备件（含易损件）和配套消耗品；乙方对所提供的设备实行</w:t>
      </w:r>
      <w:r>
        <w:rPr>
          <w:rFonts w:hint="eastAsia" w:cs="宋体"/>
          <w:color w:val="auto"/>
          <w:sz w:val="24"/>
          <w:highlight w:val="none"/>
          <w:u w:val="single"/>
        </w:rPr>
        <w:t xml:space="preserve">   </w:t>
      </w:r>
      <w:r>
        <w:rPr>
          <w:rFonts w:hint="eastAsia" w:cs="宋体"/>
          <w:color w:val="auto"/>
          <w:sz w:val="24"/>
          <w:highlight w:val="none"/>
        </w:rPr>
        <w:t>月时间定期进行保养（或维护、巡检）制度；</w:t>
      </w:r>
    </w:p>
    <w:p w14:paraId="107893C4">
      <w:pPr>
        <w:spacing w:line="440" w:lineRule="exact"/>
        <w:ind w:firstLine="480"/>
        <w:rPr>
          <w:rFonts w:cs="宋体"/>
          <w:color w:val="auto"/>
          <w:sz w:val="24"/>
          <w:highlight w:val="none"/>
        </w:rPr>
      </w:pPr>
      <w:r>
        <w:rPr>
          <w:rFonts w:hint="eastAsia" w:cs="宋体"/>
          <w:color w:val="auto"/>
          <w:sz w:val="24"/>
          <w:highlight w:val="none"/>
        </w:rPr>
        <w:t>2、保证甲方在合同设备（有配套软件的还包括软件产品）使用期间不受第三方提出侵犯其专利权、商标权和工业设计权的起诉。</w:t>
      </w:r>
    </w:p>
    <w:p w14:paraId="7CC9836B">
      <w:pPr>
        <w:spacing w:line="440" w:lineRule="exact"/>
        <w:ind w:firstLine="480"/>
        <w:rPr>
          <w:rFonts w:cs="宋体"/>
          <w:color w:val="auto"/>
          <w:sz w:val="24"/>
          <w:highlight w:val="none"/>
        </w:rPr>
      </w:pPr>
      <w:r>
        <w:rPr>
          <w:rFonts w:hint="eastAsia" w:cs="宋体"/>
          <w:color w:val="auto"/>
          <w:sz w:val="24"/>
          <w:highlight w:val="none"/>
        </w:rPr>
        <w:t>3、严格遵守招标文件、投标文件及中标所承诺的一切规定和条款；</w:t>
      </w:r>
    </w:p>
    <w:p w14:paraId="59C38912">
      <w:pPr>
        <w:spacing w:line="440" w:lineRule="exact"/>
        <w:ind w:firstLine="480"/>
        <w:rPr>
          <w:rFonts w:cs="宋体"/>
          <w:color w:val="auto"/>
          <w:sz w:val="24"/>
          <w:highlight w:val="none"/>
        </w:rPr>
      </w:pPr>
      <w:r>
        <w:rPr>
          <w:rFonts w:hint="eastAsia" w:cs="宋体"/>
          <w:color w:val="auto"/>
          <w:sz w:val="24"/>
          <w:highlight w:val="none"/>
        </w:rPr>
        <w:t>4、与甲方共同进行设备和项目的验收。</w:t>
      </w:r>
    </w:p>
    <w:p w14:paraId="3D6E5247">
      <w:pPr>
        <w:spacing w:before="156" w:beforeLines="50" w:line="440" w:lineRule="exact"/>
        <w:rPr>
          <w:rFonts w:cs="宋体"/>
          <w:b/>
          <w:color w:val="auto"/>
          <w:sz w:val="24"/>
          <w:highlight w:val="none"/>
        </w:rPr>
      </w:pPr>
      <w:r>
        <w:rPr>
          <w:rFonts w:hint="eastAsia" w:cs="宋体"/>
          <w:b/>
          <w:color w:val="auto"/>
          <w:sz w:val="24"/>
          <w:highlight w:val="none"/>
        </w:rPr>
        <w:t>七、以上内容与甲方采购确认和乙方中标承诺情况一致（或中标产品和设备的技术及服务保证甲方正常使用）。</w:t>
      </w:r>
    </w:p>
    <w:p w14:paraId="4C57465C">
      <w:pPr>
        <w:spacing w:before="156" w:beforeLines="50" w:line="440" w:lineRule="exact"/>
        <w:rPr>
          <w:rFonts w:cs="宋体"/>
          <w:b/>
          <w:color w:val="auto"/>
          <w:sz w:val="24"/>
          <w:highlight w:val="none"/>
        </w:rPr>
      </w:pPr>
      <w:r>
        <w:rPr>
          <w:rFonts w:hint="eastAsia" w:cs="宋体"/>
          <w:b/>
          <w:color w:val="auto"/>
          <w:sz w:val="24"/>
          <w:highlight w:val="none"/>
        </w:rPr>
        <w:t>八、技术培训：</w:t>
      </w:r>
    </w:p>
    <w:p w14:paraId="4B3305B9">
      <w:pPr>
        <w:spacing w:line="440" w:lineRule="exact"/>
        <w:ind w:firstLine="480"/>
        <w:rPr>
          <w:rFonts w:cs="宋体"/>
          <w:color w:val="auto"/>
          <w:sz w:val="24"/>
          <w:highlight w:val="none"/>
        </w:rPr>
      </w:pPr>
      <w:r>
        <w:rPr>
          <w:rFonts w:hint="eastAsia" w:cs="宋体"/>
          <w:color w:val="auto"/>
          <w:sz w:val="24"/>
          <w:highlight w:val="none"/>
        </w:rPr>
        <w:t>乙方向甲方提供</w:t>
      </w:r>
      <w:r>
        <w:rPr>
          <w:rFonts w:hint="eastAsia" w:cs="宋体"/>
          <w:color w:val="auto"/>
          <w:sz w:val="24"/>
          <w:highlight w:val="none"/>
          <w:u w:val="single"/>
        </w:rPr>
        <w:t xml:space="preserve">    </w:t>
      </w:r>
      <w:r>
        <w:rPr>
          <w:rFonts w:hint="eastAsia" w:cs="宋体"/>
          <w:color w:val="auto"/>
          <w:sz w:val="24"/>
          <w:highlight w:val="none"/>
        </w:rPr>
        <w:t>天的设备使用人员现场例行免费培训，培训内容包括设备的调试、使用、一般的维修、维护及保养等；食宿自理（各自负责）；大型设备（或招标文件有要求或投标文件有承诺的），乙方还将负责甲方</w:t>
      </w:r>
      <w:r>
        <w:rPr>
          <w:rFonts w:hint="eastAsia" w:cs="宋体"/>
          <w:color w:val="auto"/>
          <w:sz w:val="24"/>
          <w:highlight w:val="none"/>
          <w:u w:val="single"/>
        </w:rPr>
        <w:t xml:space="preserve">    </w:t>
      </w:r>
      <w:r>
        <w:rPr>
          <w:rFonts w:hint="eastAsia" w:cs="宋体"/>
          <w:color w:val="auto"/>
          <w:sz w:val="24"/>
          <w:highlight w:val="none"/>
        </w:rPr>
        <w:t>人专业技术人员（或工程师）国内培训并应获得技术证书，费用由乙方负责，具体时间为</w:t>
      </w:r>
      <w:r>
        <w:rPr>
          <w:rFonts w:hint="eastAsia" w:cs="宋体"/>
          <w:color w:val="auto"/>
          <w:sz w:val="24"/>
          <w:highlight w:val="none"/>
          <w:u w:val="single"/>
        </w:rPr>
        <w:t xml:space="preserve">     </w:t>
      </w:r>
      <w:r>
        <w:rPr>
          <w:rFonts w:hint="eastAsia" w:cs="宋体"/>
          <w:color w:val="auto"/>
          <w:sz w:val="24"/>
          <w:highlight w:val="none"/>
        </w:rPr>
        <w:t>天、地点为</w:t>
      </w:r>
      <w:r>
        <w:rPr>
          <w:rFonts w:hint="eastAsia" w:cs="宋体"/>
          <w:color w:val="auto"/>
          <w:sz w:val="24"/>
          <w:highlight w:val="none"/>
          <w:u w:val="single"/>
        </w:rPr>
        <w:t xml:space="preserve">                  </w:t>
      </w:r>
      <w:r>
        <w:rPr>
          <w:rFonts w:hint="eastAsia" w:cs="宋体"/>
          <w:color w:val="auto"/>
          <w:sz w:val="24"/>
          <w:highlight w:val="none"/>
        </w:rPr>
        <w:t>，其他由甲乙双方协定。</w:t>
      </w:r>
    </w:p>
    <w:p w14:paraId="7F6F5CED">
      <w:pPr>
        <w:spacing w:before="156" w:beforeLines="50" w:line="440" w:lineRule="exact"/>
        <w:rPr>
          <w:rFonts w:cs="宋体"/>
          <w:b/>
          <w:color w:val="auto"/>
          <w:sz w:val="24"/>
          <w:highlight w:val="none"/>
        </w:rPr>
      </w:pPr>
      <w:r>
        <w:rPr>
          <w:rFonts w:hint="eastAsia" w:cs="宋体"/>
          <w:b/>
          <w:color w:val="auto"/>
          <w:sz w:val="24"/>
          <w:highlight w:val="none"/>
        </w:rPr>
        <w:t>九、甲方在设备使用过程中发生技术质量问题，乙方应提供及时有效的技术支持。</w:t>
      </w:r>
    </w:p>
    <w:p w14:paraId="6E4CDE51">
      <w:pPr>
        <w:spacing w:line="440" w:lineRule="exact"/>
        <w:ind w:firstLine="480"/>
        <w:rPr>
          <w:rFonts w:cs="宋体"/>
          <w:color w:val="auto"/>
          <w:sz w:val="24"/>
          <w:highlight w:val="none"/>
        </w:rPr>
      </w:pPr>
      <w:r>
        <w:rPr>
          <w:rFonts w:hint="eastAsia" w:cs="宋体"/>
          <w:color w:val="auto"/>
          <w:sz w:val="24"/>
          <w:highlight w:val="none"/>
        </w:rPr>
        <w:t>乙方技术支持电话：        ，联系人：</w:t>
      </w:r>
    </w:p>
    <w:p w14:paraId="15F9AAC3">
      <w:pPr>
        <w:spacing w:line="440" w:lineRule="exact"/>
        <w:ind w:firstLine="480" w:firstLineChars="200"/>
        <w:rPr>
          <w:rFonts w:cs="宋体"/>
          <w:b/>
          <w:color w:val="auto"/>
          <w:sz w:val="24"/>
          <w:highlight w:val="none"/>
        </w:rPr>
      </w:pPr>
      <w:r>
        <w:rPr>
          <w:rFonts w:hint="eastAsia" w:cs="宋体"/>
          <w:color w:val="auto"/>
          <w:sz w:val="24"/>
          <w:highlight w:val="none"/>
        </w:rPr>
        <w:t xml:space="preserve"> </w:t>
      </w:r>
      <w:r>
        <w:rPr>
          <w:rFonts w:hint="eastAsia" w:cs="宋体"/>
          <w:b/>
          <w:color w:val="auto"/>
          <w:sz w:val="24"/>
          <w:highlight w:val="none"/>
        </w:rPr>
        <w:t>技术支持具体罚则：</w:t>
      </w:r>
    </w:p>
    <w:p w14:paraId="2618AC85">
      <w:pPr>
        <w:spacing w:line="440" w:lineRule="exact"/>
        <w:rPr>
          <w:rFonts w:cs="宋体"/>
          <w:bCs/>
          <w:color w:val="auto"/>
          <w:sz w:val="24"/>
          <w:highlight w:val="none"/>
        </w:rPr>
      </w:pPr>
      <w:r>
        <w:rPr>
          <w:rFonts w:hint="eastAsia" w:cs="宋体"/>
          <w:bCs/>
          <w:color w:val="auto"/>
          <w:sz w:val="24"/>
          <w:highlight w:val="none"/>
        </w:rPr>
        <w:t xml:space="preserve">    1.如果乙方未能在规定的时间内（如上述提到的接到故障通知后的各阶段响应时间要求）对甲方的设备技术质量问题做出响应，每逾期1小时，乙方应按照合同金额的5%向甲方支付违约金。</w:t>
      </w:r>
    </w:p>
    <w:p w14:paraId="1B9F2E34">
      <w:pPr>
        <w:spacing w:line="440" w:lineRule="exact"/>
        <w:ind w:firstLine="480" w:firstLineChars="200"/>
        <w:rPr>
          <w:rFonts w:cs="宋体"/>
          <w:bCs/>
          <w:color w:val="auto"/>
          <w:sz w:val="24"/>
          <w:highlight w:val="none"/>
        </w:rPr>
      </w:pPr>
      <w:r>
        <w:rPr>
          <w:rFonts w:hint="eastAsia" w:cs="宋体"/>
          <w:bCs/>
          <w:color w:val="auto"/>
          <w:sz w:val="24"/>
          <w:highlight w:val="none"/>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44BC4A18">
      <w:pPr>
        <w:spacing w:line="440" w:lineRule="exact"/>
        <w:ind w:firstLine="480" w:firstLineChars="200"/>
        <w:rPr>
          <w:rFonts w:cs="宋体"/>
          <w:bCs/>
          <w:color w:val="auto"/>
          <w:sz w:val="24"/>
          <w:highlight w:val="none"/>
        </w:rPr>
      </w:pPr>
      <w:r>
        <w:rPr>
          <w:rFonts w:hint="eastAsia" w:cs="宋体"/>
          <w:bCs/>
          <w:color w:val="auto"/>
          <w:sz w:val="24"/>
          <w:highlight w:val="none"/>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06736652">
      <w:pPr>
        <w:spacing w:line="440" w:lineRule="exact"/>
        <w:ind w:firstLine="480" w:firstLineChars="200"/>
        <w:rPr>
          <w:rFonts w:cs="宋体"/>
          <w:color w:val="auto"/>
          <w:sz w:val="24"/>
          <w:highlight w:val="none"/>
        </w:rPr>
      </w:pPr>
      <w:r>
        <w:rPr>
          <w:rFonts w:hint="eastAsia" w:cs="宋体"/>
          <w:bCs/>
          <w:color w:val="auto"/>
          <w:sz w:val="24"/>
          <w:highlight w:val="none"/>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cs="宋体"/>
          <w:color w:val="auto"/>
          <w:sz w:val="24"/>
          <w:highlight w:val="none"/>
        </w:rPr>
        <w:t xml:space="preserve">             </w:t>
      </w:r>
    </w:p>
    <w:p w14:paraId="142904F9">
      <w:pPr>
        <w:spacing w:before="156" w:beforeLines="50" w:line="440" w:lineRule="exact"/>
        <w:rPr>
          <w:rFonts w:cs="宋体"/>
          <w:b/>
          <w:color w:val="auto"/>
          <w:sz w:val="24"/>
          <w:highlight w:val="none"/>
        </w:rPr>
      </w:pPr>
      <w:r>
        <w:rPr>
          <w:rFonts w:hint="eastAsia" w:cs="宋体"/>
          <w:b/>
          <w:color w:val="auto"/>
          <w:sz w:val="24"/>
          <w:highlight w:val="none"/>
        </w:rPr>
        <w:t>十、整体项目完成时间（即设备送达甲方指定地点并按规范安装调试完毕时间）为合同签订生效后于</w:t>
      </w:r>
      <w:r>
        <w:rPr>
          <w:rFonts w:hint="eastAsia" w:cs="宋体"/>
          <w:b/>
          <w:color w:val="auto"/>
          <w:sz w:val="24"/>
          <w:highlight w:val="none"/>
          <w:u w:val="single"/>
        </w:rPr>
        <w:t xml:space="preserve">    </w:t>
      </w:r>
      <w:r>
        <w:rPr>
          <w:rFonts w:hint="eastAsia" w:cs="宋体"/>
          <w:b/>
          <w:color w:val="auto"/>
          <w:sz w:val="24"/>
          <w:highlight w:val="none"/>
        </w:rPr>
        <w:t xml:space="preserve">年 </w:t>
      </w:r>
      <w:r>
        <w:rPr>
          <w:rFonts w:hint="eastAsia" w:cs="宋体"/>
          <w:b/>
          <w:color w:val="auto"/>
          <w:sz w:val="24"/>
          <w:highlight w:val="none"/>
          <w:u w:val="single"/>
        </w:rPr>
        <w:t xml:space="preserve">    </w:t>
      </w:r>
      <w:r>
        <w:rPr>
          <w:rFonts w:hint="eastAsia" w:cs="宋体"/>
          <w:b/>
          <w:color w:val="auto"/>
          <w:sz w:val="24"/>
          <w:highlight w:val="none"/>
        </w:rPr>
        <w:t>月</w:t>
      </w:r>
      <w:r>
        <w:rPr>
          <w:rFonts w:hint="eastAsia" w:cs="宋体"/>
          <w:b/>
          <w:color w:val="auto"/>
          <w:sz w:val="24"/>
          <w:highlight w:val="none"/>
          <w:u w:val="single"/>
        </w:rPr>
        <w:t xml:space="preserve">    </w:t>
      </w:r>
      <w:r>
        <w:rPr>
          <w:rFonts w:hint="eastAsia" w:cs="宋体"/>
          <w:b/>
          <w:color w:val="auto"/>
          <w:sz w:val="24"/>
          <w:highlight w:val="none"/>
        </w:rPr>
        <w:t>日内完成。</w:t>
      </w:r>
    </w:p>
    <w:p w14:paraId="04B08C3E">
      <w:pPr>
        <w:spacing w:line="440" w:lineRule="exact"/>
        <w:ind w:firstLine="480"/>
        <w:rPr>
          <w:rFonts w:cs="宋体"/>
          <w:color w:val="auto"/>
          <w:sz w:val="24"/>
          <w:highlight w:val="none"/>
        </w:rPr>
      </w:pPr>
      <w:r>
        <w:rPr>
          <w:rFonts w:hint="eastAsia" w:cs="宋体"/>
          <w:color w:val="auto"/>
          <w:sz w:val="24"/>
          <w:highlight w:val="none"/>
        </w:rPr>
        <w:t>设备交验地点和方式：合同签订后，乙方负责将完整配套的原封设备（含开机必要消耗品）送到甲方指定的地点（</w:t>
      </w:r>
      <w:r>
        <w:rPr>
          <w:rFonts w:hint="eastAsia" w:cs="宋体"/>
          <w:color w:val="auto"/>
          <w:kern w:val="0"/>
          <w:sz w:val="24"/>
          <w:highlight w:val="none"/>
        </w:rPr>
        <w:t>昆明理工大学</w:t>
      </w:r>
      <w:r>
        <w:rPr>
          <w:rFonts w:hint="eastAsia" w:cs="宋体"/>
          <w:color w:val="auto"/>
          <w:sz w:val="24"/>
          <w:highlight w:val="none"/>
        </w:rPr>
        <w:t>），由甲乙双方共同开箱初验，并由乙方按合同规范要求完成安装测试。交货时，乙方随货向甲方交付设备的相关资料及配备的用件、工具等。</w:t>
      </w:r>
    </w:p>
    <w:p w14:paraId="0400DA74">
      <w:pPr>
        <w:spacing w:before="156" w:beforeLines="50" w:line="440" w:lineRule="exact"/>
        <w:rPr>
          <w:rFonts w:cs="宋体"/>
          <w:b/>
          <w:color w:val="auto"/>
          <w:sz w:val="24"/>
          <w:highlight w:val="none"/>
        </w:rPr>
      </w:pPr>
      <w:r>
        <w:rPr>
          <w:rFonts w:hint="eastAsia" w:cs="宋体"/>
          <w:b/>
          <w:color w:val="auto"/>
          <w:sz w:val="24"/>
          <w:highlight w:val="none"/>
        </w:rPr>
        <w:t>十一、验收及验收标准</w:t>
      </w:r>
    </w:p>
    <w:p w14:paraId="2FC942E6">
      <w:pPr>
        <w:spacing w:line="440" w:lineRule="exact"/>
        <w:ind w:firstLine="484" w:firstLineChars="202"/>
        <w:rPr>
          <w:rFonts w:cs="宋体"/>
          <w:color w:val="auto"/>
          <w:sz w:val="24"/>
          <w:highlight w:val="none"/>
        </w:rPr>
      </w:pPr>
      <w:r>
        <w:rPr>
          <w:rFonts w:hint="eastAsia" w:cs="宋体"/>
          <w:color w:val="auto"/>
          <w:sz w:val="24"/>
          <w:highlight w:val="none"/>
        </w:rPr>
        <w:t>1、设备验收：设备到达甲方指定地点后甲方统一初验是否符合合同要求；</w:t>
      </w:r>
    </w:p>
    <w:p w14:paraId="57183237">
      <w:pPr>
        <w:spacing w:line="440" w:lineRule="exact"/>
        <w:ind w:firstLine="484" w:firstLineChars="202"/>
        <w:rPr>
          <w:rFonts w:cs="宋体"/>
          <w:color w:val="auto"/>
          <w:sz w:val="24"/>
          <w:highlight w:val="none"/>
        </w:rPr>
      </w:pPr>
      <w:r>
        <w:rPr>
          <w:rFonts w:hint="eastAsia" w:cs="宋体"/>
          <w:color w:val="auto"/>
          <w:sz w:val="24"/>
          <w:highlight w:val="none"/>
        </w:rPr>
        <w:t>2、项目验收：乙方负责设备安装和调试，完工后，甲方测试是否合格并满足技术要求；</w:t>
      </w:r>
    </w:p>
    <w:p w14:paraId="564B5ED1">
      <w:pPr>
        <w:spacing w:line="440" w:lineRule="exact"/>
        <w:ind w:firstLine="484" w:firstLineChars="202"/>
        <w:rPr>
          <w:rFonts w:cs="宋体"/>
          <w:color w:val="auto"/>
          <w:sz w:val="24"/>
          <w:highlight w:val="none"/>
        </w:rPr>
      </w:pPr>
      <w:r>
        <w:rPr>
          <w:rFonts w:hint="eastAsia" w:cs="宋体"/>
          <w:color w:val="auto"/>
          <w:sz w:val="24"/>
          <w:highlight w:val="none"/>
        </w:rPr>
        <w:t>3、实作性操作验收：设备是否正常运作。</w:t>
      </w:r>
    </w:p>
    <w:p w14:paraId="248154EA">
      <w:pPr>
        <w:spacing w:before="156" w:beforeLines="50" w:line="440" w:lineRule="exact"/>
        <w:rPr>
          <w:rFonts w:cs="宋体"/>
          <w:b/>
          <w:color w:val="auto"/>
          <w:sz w:val="24"/>
          <w:highlight w:val="none"/>
        </w:rPr>
      </w:pPr>
      <w:r>
        <w:rPr>
          <w:rFonts w:hint="eastAsia" w:cs="宋体"/>
          <w:b/>
          <w:color w:val="auto"/>
          <w:sz w:val="24"/>
          <w:highlight w:val="none"/>
        </w:rPr>
        <w:t>十二、合同价款结算（按招标采购文件）</w:t>
      </w:r>
    </w:p>
    <w:p w14:paraId="586DA646">
      <w:pPr>
        <w:spacing w:line="440" w:lineRule="exact"/>
        <w:ind w:firstLine="480" w:firstLineChars="200"/>
        <w:rPr>
          <w:rFonts w:cs="宋体"/>
          <w:sz w:val="24"/>
          <w:highlight w:val="none"/>
        </w:rPr>
      </w:pPr>
      <w:r>
        <w:rPr>
          <w:rFonts w:hint="eastAsia" w:cs="宋体"/>
          <w:sz w:val="24"/>
          <w:highlight w:val="none"/>
        </w:rPr>
        <w:t>1、乙方向甲方财务处缴纳中标金额5%的履约保证金。</w:t>
      </w:r>
    </w:p>
    <w:p w14:paraId="20CA50B9">
      <w:pPr>
        <w:spacing w:line="440" w:lineRule="exact"/>
        <w:ind w:firstLine="480" w:firstLineChars="200"/>
        <w:rPr>
          <w:rFonts w:hint="eastAsia" w:cs="宋体"/>
          <w:sz w:val="24"/>
          <w:highlight w:val="none"/>
          <w:u w:val="single"/>
        </w:rPr>
      </w:pPr>
      <w:r>
        <w:rPr>
          <w:rFonts w:hint="eastAsia" w:cs="宋体"/>
          <w:sz w:val="24"/>
          <w:highlight w:val="none"/>
        </w:rPr>
        <w:t>2、</w:t>
      </w:r>
      <w:r>
        <w:rPr>
          <w:rFonts w:hint="eastAsia" w:cs="宋体"/>
          <w:sz w:val="24"/>
          <w:highlight w:val="none"/>
          <w:u w:val="single"/>
        </w:rPr>
        <w:t>完成合同签订，乙方出具合同总价的50%的发票后，甲方向乙方支付合同总价的50%货款；设备到货，通过学校初验后，乙方出具合同总价的30%的发票，甲方向乙方支付至合同总价的80%货款； 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0190B42F">
      <w:pPr>
        <w:spacing w:line="440" w:lineRule="exact"/>
        <w:ind w:firstLine="480" w:firstLineChars="200"/>
        <w:rPr>
          <w:rFonts w:cs="宋体"/>
          <w:sz w:val="24"/>
          <w:highlight w:val="none"/>
        </w:rPr>
      </w:pPr>
      <w:r>
        <w:rPr>
          <w:rFonts w:hint="eastAsia" w:cs="宋体"/>
          <w:sz w:val="24"/>
          <w:highlight w:val="none"/>
          <w:u w:val="single"/>
        </w:rPr>
        <w:t>付款以转账形式支付，不接受委托支付。</w:t>
      </w:r>
    </w:p>
    <w:p w14:paraId="33A61CF2">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付款人信息：</w:t>
      </w:r>
    </w:p>
    <w:p w14:paraId="06B14137">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开户名称：昆明理工大学</w:t>
      </w:r>
    </w:p>
    <w:p w14:paraId="591F9187">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开户银行:中国银行股份有限公司昆明市大学城支行</w:t>
      </w:r>
    </w:p>
    <w:p w14:paraId="2B1ECAE0">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银行账号：13562673947500003</w:t>
      </w:r>
    </w:p>
    <w:p w14:paraId="5759BD41">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收款人信息：</w:t>
      </w:r>
    </w:p>
    <w:p w14:paraId="28BE4433">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 xml:space="preserve">开户名称： </w:t>
      </w:r>
    </w:p>
    <w:p w14:paraId="264B2D59">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 xml:space="preserve">开户银行: </w:t>
      </w:r>
    </w:p>
    <w:p w14:paraId="2D177A7D">
      <w:pPr>
        <w:adjustRightInd w:val="0"/>
        <w:snapToGrid w:val="0"/>
        <w:spacing w:line="440" w:lineRule="exact"/>
        <w:ind w:firstLine="420"/>
        <w:rPr>
          <w:rFonts w:cs="宋体"/>
          <w:bCs/>
          <w:color w:val="auto"/>
          <w:sz w:val="24"/>
          <w:highlight w:val="none"/>
        </w:rPr>
      </w:pPr>
      <w:r>
        <w:rPr>
          <w:rFonts w:hint="eastAsia" w:cs="宋体"/>
          <w:bCs/>
          <w:color w:val="auto"/>
          <w:sz w:val="24"/>
          <w:highlight w:val="none"/>
        </w:rPr>
        <w:t xml:space="preserve">银行账号： </w:t>
      </w:r>
    </w:p>
    <w:p w14:paraId="78C2C800">
      <w:pPr>
        <w:spacing w:line="440" w:lineRule="exact"/>
        <w:ind w:firstLine="480" w:firstLineChars="200"/>
        <w:rPr>
          <w:rFonts w:cs="宋体"/>
          <w:color w:val="auto"/>
          <w:sz w:val="24"/>
          <w:highlight w:val="none"/>
        </w:rPr>
      </w:pPr>
      <w:r>
        <w:rPr>
          <w:rFonts w:hint="eastAsia" w:cs="宋体"/>
          <w:color w:val="auto"/>
          <w:sz w:val="24"/>
          <w:highlight w:val="none"/>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637FA9D9">
      <w:pPr>
        <w:spacing w:line="440" w:lineRule="exact"/>
        <w:ind w:firstLine="480" w:firstLineChars="200"/>
        <w:rPr>
          <w:rFonts w:cs="宋体"/>
          <w:color w:val="auto"/>
          <w:sz w:val="24"/>
          <w:highlight w:val="none"/>
        </w:rPr>
      </w:pPr>
      <w:r>
        <w:rPr>
          <w:rFonts w:hint="eastAsia" w:cs="宋体"/>
          <w:color w:val="auto"/>
          <w:sz w:val="24"/>
          <w:highlight w:val="none"/>
        </w:rPr>
        <w:t>4、该履约保证金在项目终验合格后乙方凭“昆明理工大学履约保证金收据、昆明理工大学仪器设备验收报告”到甲方财务处办理不计利息全额退还。</w:t>
      </w:r>
    </w:p>
    <w:p w14:paraId="33A3E1CB">
      <w:pPr>
        <w:spacing w:line="440" w:lineRule="exact"/>
        <w:rPr>
          <w:rFonts w:cs="宋体"/>
          <w:color w:val="auto"/>
          <w:sz w:val="24"/>
          <w:highlight w:val="none"/>
        </w:rPr>
      </w:pPr>
      <w:r>
        <w:rPr>
          <w:rFonts w:hint="eastAsia" w:cs="宋体"/>
          <w:b/>
          <w:color w:val="auto"/>
          <w:sz w:val="24"/>
          <w:highlight w:val="none"/>
        </w:rPr>
        <w:t>十三、合同终止</w:t>
      </w:r>
    </w:p>
    <w:p w14:paraId="3119FB2B">
      <w:pPr>
        <w:spacing w:line="440" w:lineRule="exact"/>
        <w:ind w:firstLine="480" w:firstLineChars="200"/>
        <w:rPr>
          <w:rFonts w:cs="宋体"/>
          <w:color w:val="auto"/>
          <w:sz w:val="24"/>
          <w:highlight w:val="none"/>
        </w:rPr>
      </w:pPr>
      <w:r>
        <w:rPr>
          <w:rFonts w:hint="eastAsia" w:cs="宋体"/>
          <w:color w:val="auto"/>
          <w:sz w:val="24"/>
          <w:highlight w:val="none"/>
        </w:rPr>
        <w:t>1、双方经友好协商，一致同意可随时终止本合同。在双方达成书面终止协议后，本合同自协议约定的终止日期起终止。</w:t>
      </w:r>
    </w:p>
    <w:p w14:paraId="4CC572F8">
      <w:pPr>
        <w:adjustRightInd w:val="0"/>
        <w:snapToGrid w:val="0"/>
        <w:spacing w:line="440" w:lineRule="exact"/>
        <w:ind w:firstLine="480" w:firstLineChars="200"/>
        <w:rPr>
          <w:rFonts w:cs="宋体"/>
          <w:color w:val="auto"/>
          <w:sz w:val="24"/>
          <w:highlight w:val="none"/>
        </w:rPr>
      </w:pPr>
      <w:r>
        <w:rPr>
          <w:rFonts w:hint="eastAsia" w:cs="宋体"/>
          <w:color w:val="auto"/>
          <w:sz w:val="24"/>
          <w:highlight w:val="none"/>
        </w:rPr>
        <w:t>2、如本合同任何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4DD85F79">
      <w:pPr>
        <w:adjustRightInd w:val="0"/>
        <w:snapToGrid w:val="0"/>
        <w:spacing w:line="440" w:lineRule="exact"/>
        <w:ind w:firstLine="480" w:firstLineChars="200"/>
        <w:rPr>
          <w:rFonts w:cs="宋体"/>
          <w:color w:val="auto"/>
          <w:sz w:val="24"/>
          <w:highlight w:val="none"/>
        </w:rPr>
      </w:pPr>
      <w:r>
        <w:rPr>
          <w:rFonts w:hint="eastAsia" w:cs="宋体"/>
          <w:color w:val="auto"/>
          <w:sz w:val="24"/>
          <w:highlight w:val="none"/>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00D37476">
      <w:pPr>
        <w:spacing w:before="156" w:beforeLines="50" w:line="440" w:lineRule="exact"/>
        <w:rPr>
          <w:rFonts w:cs="宋体"/>
          <w:b/>
          <w:color w:val="auto"/>
          <w:sz w:val="24"/>
          <w:highlight w:val="none"/>
        </w:rPr>
      </w:pPr>
      <w:r>
        <w:rPr>
          <w:rFonts w:hint="eastAsia" w:cs="宋体"/>
          <w:b/>
          <w:color w:val="auto"/>
          <w:sz w:val="24"/>
          <w:highlight w:val="none"/>
        </w:rPr>
        <w:t>十四、甲乙双方在履行合同过程中发生纠纷，应及时向有关管理部门反映，以便相关部门进行协调或处理；也可以直接向甲方住所地人民法院起诉。</w:t>
      </w:r>
    </w:p>
    <w:p w14:paraId="4B277BA1">
      <w:pPr>
        <w:spacing w:before="156" w:beforeLines="50" w:line="440" w:lineRule="exact"/>
        <w:rPr>
          <w:rFonts w:cs="宋体"/>
          <w:b/>
          <w:color w:val="auto"/>
          <w:sz w:val="24"/>
          <w:highlight w:val="none"/>
        </w:rPr>
      </w:pPr>
      <w:r>
        <w:rPr>
          <w:rFonts w:hint="eastAsia" w:cs="宋体"/>
          <w:b/>
          <w:color w:val="auto"/>
          <w:sz w:val="24"/>
          <w:highlight w:val="none"/>
        </w:rPr>
        <w:t>十五、本合同其他未尽事宜，按《中华人民共和国民法典》有关规定处理。</w:t>
      </w:r>
    </w:p>
    <w:p w14:paraId="44BEA223">
      <w:pPr>
        <w:spacing w:before="156" w:beforeLines="50" w:line="440" w:lineRule="exact"/>
        <w:rPr>
          <w:rFonts w:cs="宋体"/>
          <w:b/>
          <w:color w:val="auto"/>
          <w:sz w:val="24"/>
          <w:highlight w:val="none"/>
        </w:rPr>
      </w:pPr>
      <w:r>
        <w:rPr>
          <w:rFonts w:hint="eastAsia" w:cs="宋体"/>
          <w:b/>
          <w:color w:val="auto"/>
          <w:sz w:val="24"/>
          <w:highlight w:val="none"/>
        </w:rPr>
        <w:t>十六、本合同一式壹拾份，甲方执柒份，乙方存叁份。</w:t>
      </w:r>
    </w:p>
    <w:p w14:paraId="605EE511">
      <w:pPr>
        <w:spacing w:before="156" w:beforeLines="50" w:line="440" w:lineRule="exact"/>
        <w:rPr>
          <w:rFonts w:cs="宋体"/>
          <w:b/>
          <w:color w:val="auto"/>
          <w:sz w:val="24"/>
          <w:highlight w:val="none"/>
        </w:rPr>
      </w:pPr>
      <w:r>
        <w:rPr>
          <w:rFonts w:hint="eastAsia" w:cs="宋体"/>
          <w:b/>
          <w:color w:val="auto"/>
          <w:sz w:val="24"/>
          <w:highlight w:val="none"/>
        </w:rPr>
        <w:t>十七、本合同自签订之日起生效。</w:t>
      </w:r>
    </w:p>
    <w:p w14:paraId="33869A8A">
      <w:pPr>
        <w:spacing w:before="156" w:beforeLines="50" w:line="440" w:lineRule="exact"/>
        <w:rPr>
          <w:rFonts w:cs="宋体"/>
          <w:b/>
          <w:color w:val="auto"/>
          <w:sz w:val="24"/>
          <w:highlight w:val="none"/>
        </w:rPr>
      </w:pPr>
      <w:r>
        <w:rPr>
          <w:rFonts w:hint="eastAsia" w:cs="宋体"/>
          <w:b/>
          <w:color w:val="auto"/>
          <w:sz w:val="24"/>
          <w:highlight w:val="none"/>
        </w:rPr>
        <w:t>十八、本合同不可分割之部分：</w:t>
      </w:r>
    </w:p>
    <w:p w14:paraId="4DE3600C">
      <w:pPr>
        <w:numPr>
          <w:ilvl w:val="0"/>
          <w:numId w:val="6"/>
        </w:numPr>
        <w:tabs>
          <w:tab w:val="left" w:pos="840"/>
        </w:tabs>
        <w:spacing w:line="440" w:lineRule="exact"/>
        <w:rPr>
          <w:rFonts w:cs="宋体"/>
          <w:color w:val="auto"/>
          <w:sz w:val="24"/>
          <w:highlight w:val="none"/>
        </w:rPr>
      </w:pPr>
      <w:r>
        <w:rPr>
          <w:rFonts w:hint="eastAsia" w:cs="宋体"/>
          <w:color w:val="auto"/>
          <w:sz w:val="24"/>
          <w:highlight w:val="none"/>
        </w:rPr>
        <w:t>招标采购文件；</w:t>
      </w:r>
    </w:p>
    <w:p w14:paraId="26E883E1">
      <w:pPr>
        <w:numPr>
          <w:ilvl w:val="0"/>
          <w:numId w:val="6"/>
        </w:numPr>
        <w:tabs>
          <w:tab w:val="left" w:pos="840"/>
        </w:tabs>
        <w:spacing w:line="440" w:lineRule="exact"/>
        <w:rPr>
          <w:rFonts w:cs="宋体"/>
          <w:color w:val="auto"/>
          <w:sz w:val="24"/>
          <w:highlight w:val="none"/>
        </w:rPr>
      </w:pPr>
      <w:r>
        <w:rPr>
          <w:rFonts w:hint="eastAsia" w:cs="宋体"/>
          <w:color w:val="auto"/>
          <w:sz w:val="24"/>
          <w:highlight w:val="none"/>
        </w:rPr>
        <w:t>中标人（乙方）的投标文件及其澄清文件；</w:t>
      </w:r>
    </w:p>
    <w:p w14:paraId="41180835">
      <w:pPr>
        <w:numPr>
          <w:ilvl w:val="0"/>
          <w:numId w:val="6"/>
        </w:numPr>
        <w:tabs>
          <w:tab w:val="left" w:pos="840"/>
        </w:tabs>
        <w:spacing w:line="440" w:lineRule="exact"/>
        <w:rPr>
          <w:rFonts w:cs="宋体"/>
          <w:color w:val="auto"/>
          <w:sz w:val="24"/>
          <w:highlight w:val="none"/>
        </w:rPr>
      </w:pPr>
      <w:r>
        <w:rPr>
          <w:rFonts w:hint="eastAsia" w:cs="宋体"/>
          <w:color w:val="auto"/>
          <w:sz w:val="24"/>
          <w:highlight w:val="none"/>
        </w:rPr>
        <w:t>采购人发出的《中标通知书》；</w:t>
      </w:r>
    </w:p>
    <w:p w14:paraId="51FFBF4E">
      <w:pPr>
        <w:numPr>
          <w:ilvl w:val="0"/>
          <w:numId w:val="6"/>
        </w:numPr>
        <w:tabs>
          <w:tab w:val="left" w:pos="840"/>
        </w:tabs>
        <w:spacing w:line="440" w:lineRule="exact"/>
        <w:rPr>
          <w:rFonts w:cs="宋体"/>
          <w:color w:val="auto"/>
          <w:sz w:val="24"/>
          <w:highlight w:val="none"/>
        </w:rPr>
      </w:pPr>
      <w:r>
        <w:rPr>
          <w:rFonts w:hint="eastAsia" w:cs="宋体"/>
          <w:color w:val="auto"/>
          <w:sz w:val="24"/>
          <w:highlight w:val="none"/>
        </w:rPr>
        <w:t>合同书附件。</w:t>
      </w:r>
    </w:p>
    <w:p w14:paraId="5B5AFC4F">
      <w:pPr>
        <w:spacing w:line="324" w:lineRule="auto"/>
        <w:rPr>
          <w:b/>
          <w:color w:val="auto"/>
          <w:sz w:val="24"/>
          <w:highlight w:val="none"/>
        </w:rPr>
      </w:pPr>
    </w:p>
    <w:p w14:paraId="4C8E4EE5">
      <w:pPr>
        <w:spacing w:line="324" w:lineRule="auto"/>
        <w:rPr>
          <w:b/>
          <w:color w:val="auto"/>
          <w:sz w:val="24"/>
          <w:highlight w:val="none"/>
        </w:rPr>
        <w:sectPr>
          <w:pgSz w:w="11906" w:h="16838"/>
          <w:pgMar w:top="1440" w:right="1080" w:bottom="1440" w:left="1080" w:header="851" w:footer="992" w:gutter="0"/>
          <w:pgNumType w:fmt="numberInDash"/>
          <w:cols w:space="0" w:num="1"/>
          <w:docGrid w:type="lines" w:linePitch="312" w:charSpace="0"/>
        </w:sectPr>
      </w:pPr>
    </w:p>
    <w:p w14:paraId="0A758C20">
      <w:pPr>
        <w:rPr>
          <w:b/>
          <w:color w:val="auto"/>
          <w:sz w:val="24"/>
          <w:highlight w:val="none"/>
        </w:rPr>
      </w:pPr>
    </w:p>
    <w:p w14:paraId="5A8D4E70">
      <w:pPr>
        <w:widowControl/>
        <w:spacing w:line="324" w:lineRule="auto"/>
        <w:jc w:val="left"/>
        <w:rPr>
          <w:color w:val="auto"/>
          <w:highlight w:val="none"/>
        </w:rPr>
      </w:pPr>
      <w:r>
        <w:rPr>
          <w:rFonts w:hint="eastAsia"/>
          <w:b/>
          <w:color w:val="auto"/>
          <w:sz w:val="24"/>
          <w:highlight w:val="none"/>
        </w:rPr>
        <w:t>附件1（签订合同时此附件应横向打印）：</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02F80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shd w:val="clear" w:color="auto" w:fill="FFFF00"/>
            <w:vAlign w:val="center"/>
          </w:tcPr>
          <w:p w14:paraId="7A06FBF8">
            <w:pPr>
              <w:widowControl/>
              <w:spacing w:line="240" w:lineRule="exact"/>
              <w:jc w:val="center"/>
              <w:rPr>
                <w:rFonts w:cs="宋体"/>
                <w:b/>
                <w:bCs/>
                <w:color w:val="auto"/>
                <w:kern w:val="0"/>
                <w:sz w:val="18"/>
                <w:szCs w:val="18"/>
                <w:highlight w:val="none"/>
              </w:rPr>
            </w:pPr>
            <w:r>
              <w:rPr>
                <w:rFonts w:hint="eastAsia" w:cs="宋体"/>
                <w:b/>
                <w:bCs/>
                <w:color w:val="auto"/>
                <w:kern w:val="0"/>
                <w:sz w:val="18"/>
                <w:szCs w:val="18"/>
                <w:highlight w:val="none"/>
              </w:rPr>
              <w:t>序号</w:t>
            </w:r>
          </w:p>
        </w:tc>
        <w:tc>
          <w:tcPr>
            <w:tcW w:w="2514" w:type="dxa"/>
            <w:tcBorders>
              <w:top w:val="single" w:color="auto" w:sz="4" w:space="0"/>
              <w:left w:val="single" w:color="auto" w:sz="4" w:space="0"/>
              <w:bottom w:val="single" w:color="auto" w:sz="4" w:space="0"/>
              <w:right w:val="single" w:color="auto" w:sz="4" w:space="0"/>
            </w:tcBorders>
            <w:shd w:val="clear" w:color="auto" w:fill="FFFF00"/>
            <w:vAlign w:val="center"/>
          </w:tcPr>
          <w:p w14:paraId="78FD5EC3">
            <w:pPr>
              <w:widowControl/>
              <w:jc w:val="center"/>
              <w:rPr>
                <w:rFonts w:cs="宋体"/>
                <w:b/>
                <w:bCs/>
                <w:color w:val="auto"/>
                <w:kern w:val="0"/>
                <w:sz w:val="18"/>
                <w:szCs w:val="18"/>
                <w:highlight w:val="none"/>
              </w:rPr>
            </w:pPr>
            <w:r>
              <w:rPr>
                <w:rFonts w:hint="eastAsia" w:cs="宋体"/>
                <w:b/>
                <w:bCs/>
                <w:color w:val="auto"/>
                <w:kern w:val="0"/>
                <w:sz w:val="18"/>
                <w:szCs w:val="18"/>
                <w:highlight w:val="none"/>
              </w:rPr>
              <w:t>产品名称</w:t>
            </w:r>
          </w:p>
        </w:tc>
        <w:tc>
          <w:tcPr>
            <w:tcW w:w="1710" w:type="dxa"/>
            <w:tcBorders>
              <w:top w:val="single" w:color="auto" w:sz="4" w:space="0"/>
              <w:left w:val="single" w:color="auto" w:sz="4" w:space="0"/>
              <w:bottom w:val="single" w:color="auto" w:sz="4" w:space="0"/>
              <w:right w:val="single" w:color="auto" w:sz="4" w:space="0"/>
            </w:tcBorders>
            <w:shd w:val="clear" w:color="auto" w:fill="FFFF00"/>
            <w:vAlign w:val="center"/>
          </w:tcPr>
          <w:p w14:paraId="2B2960D8">
            <w:pPr>
              <w:widowControl/>
              <w:jc w:val="center"/>
              <w:rPr>
                <w:rFonts w:cs="宋体"/>
                <w:b/>
                <w:bCs/>
                <w:color w:val="auto"/>
                <w:kern w:val="0"/>
                <w:sz w:val="18"/>
                <w:szCs w:val="18"/>
                <w:highlight w:val="none"/>
              </w:rPr>
            </w:pPr>
            <w:r>
              <w:rPr>
                <w:rFonts w:hint="eastAsia" w:cs="宋体"/>
                <w:b/>
                <w:bCs/>
                <w:color w:val="auto"/>
                <w:kern w:val="0"/>
                <w:sz w:val="18"/>
                <w:szCs w:val="18"/>
                <w:highlight w:val="none"/>
              </w:rPr>
              <w:t>品牌、型号规格</w:t>
            </w:r>
          </w:p>
        </w:tc>
        <w:tc>
          <w:tcPr>
            <w:tcW w:w="2457" w:type="dxa"/>
            <w:tcBorders>
              <w:top w:val="single" w:color="auto" w:sz="4" w:space="0"/>
              <w:left w:val="single" w:color="auto" w:sz="4" w:space="0"/>
              <w:bottom w:val="single" w:color="auto" w:sz="4" w:space="0"/>
              <w:right w:val="single" w:color="auto" w:sz="4" w:space="0"/>
            </w:tcBorders>
            <w:shd w:val="clear" w:color="auto" w:fill="FFFF00"/>
            <w:vAlign w:val="center"/>
          </w:tcPr>
          <w:p w14:paraId="6D74F7A3">
            <w:pPr>
              <w:widowControl/>
              <w:jc w:val="center"/>
              <w:rPr>
                <w:rFonts w:cs="宋体"/>
                <w:b/>
                <w:bCs/>
                <w:color w:val="auto"/>
                <w:kern w:val="0"/>
                <w:sz w:val="18"/>
                <w:szCs w:val="18"/>
                <w:highlight w:val="none"/>
              </w:rPr>
            </w:pPr>
            <w:r>
              <w:rPr>
                <w:rFonts w:hint="eastAsia" w:cs="宋体"/>
                <w:b/>
                <w:bCs/>
                <w:color w:val="auto"/>
                <w:kern w:val="0"/>
                <w:sz w:val="18"/>
                <w:szCs w:val="18"/>
                <w:highlight w:val="none"/>
              </w:rPr>
              <w:t>技术要求</w:t>
            </w:r>
          </w:p>
        </w:tc>
        <w:tc>
          <w:tcPr>
            <w:tcW w:w="621" w:type="dxa"/>
            <w:tcBorders>
              <w:top w:val="single" w:color="auto" w:sz="4" w:space="0"/>
              <w:left w:val="single" w:color="auto" w:sz="4" w:space="0"/>
              <w:bottom w:val="single" w:color="auto" w:sz="4" w:space="0"/>
              <w:right w:val="single" w:color="auto" w:sz="4" w:space="0"/>
            </w:tcBorders>
            <w:shd w:val="clear" w:color="auto" w:fill="FFFF00"/>
            <w:vAlign w:val="center"/>
          </w:tcPr>
          <w:p w14:paraId="3B4D18C2">
            <w:pPr>
              <w:widowControl/>
              <w:spacing w:line="240" w:lineRule="exact"/>
              <w:jc w:val="center"/>
              <w:rPr>
                <w:rFonts w:cs="宋体"/>
                <w:b/>
                <w:bCs/>
                <w:color w:val="auto"/>
                <w:kern w:val="0"/>
                <w:sz w:val="18"/>
                <w:szCs w:val="18"/>
                <w:highlight w:val="none"/>
              </w:rPr>
            </w:pPr>
            <w:r>
              <w:rPr>
                <w:rFonts w:hint="eastAsia" w:cs="宋体"/>
                <w:b/>
                <w:bCs/>
                <w:color w:val="auto"/>
                <w:kern w:val="0"/>
                <w:sz w:val="18"/>
                <w:szCs w:val="18"/>
                <w:highlight w:val="none"/>
              </w:rPr>
              <w:t>数量</w:t>
            </w:r>
          </w:p>
        </w:tc>
        <w:tc>
          <w:tcPr>
            <w:tcW w:w="621" w:type="dxa"/>
            <w:tcBorders>
              <w:top w:val="single" w:color="auto" w:sz="4" w:space="0"/>
              <w:left w:val="single" w:color="auto" w:sz="4" w:space="0"/>
              <w:bottom w:val="single" w:color="auto" w:sz="4" w:space="0"/>
              <w:right w:val="single" w:color="auto" w:sz="4" w:space="0"/>
            </w:tcBorders>
            <w:shd w:val="clear" w:color="auto" w:fill="FFFF00"/>
            <w:vAlign w:val="center"/>
          </w:tcPr>
          <w:p w14:paraId="17BB9DBA">
            <w:pPr>
              <w:widowControl/>
              <w:spacing w:line="240" w:lineRule="exact"/>
              <w:jc w:val="center"/>
              <w:rPr>
                <w:rFonts w:cs="宋体"/>
                <w:b/>
                <w:bCs/>
                <w:color w:val="auto"/>
                <w:kern w:val="0"/>
                <w:sz w:val="18"/>
                <w:szCs w:val="18"/>
                <w:highlight w:val="none"/>
              </w:rPr>
            </w:pPr>
            <w:r>
              <w:rPr>
                <w:rFonts w:hint="eastAsia" w:cs="宋体"/>
                <w:b/>
                <w:bCs/>
                <w:color w:val="auto"/>
                <w:kern w:val="0"/>
                <w:sz w:val="18"/>
                <w:szCs w:val="18"/>
                <w:highlight w:val="none"/>
              </w:rPr>
              <w:t>单位</w:t>
            </w:r>
          </w:p>
        </w:tc>
        <w:tc>
          <w:tcPr>
            <w:tcW w:w="1372" w:type="dxa"/>
            <w:tcBorders>
              <w:top w:val="single" w:color="auto" w:sz="4" w:space="0"/>
              <w:left w:val="single" w:color="auto" w:sz="4" w:space="0"/>
              <w:bottom w:val="single" w:color="auto" w:sz="4" w:space="0"/>
              <w:right w:val="single" w:color="auto" w:sz="4" w:space="0"/>
            </w:tcBorders>
            <w:shd w:val="clear" w:color="auto" w:fill="FFFF00"/>
            <w:vAlign w:val="center"/>
          </w:tcPr>
          <w:p w14:paraId="139E947B">
            <w:pPr>
              <w:widowControl/>
              <w:spacing w:line="240" w:lineRule="exact"/>
              <w:jc w:val="center"/>
              <w:rPr>
                <w:rFonts w:cs="宋体"/>
                <w:b/>
                <w:bCs/>
                <w:color w:val="auto"/>
                <w:kern w:val="0"/>
                <w:sz w:val="18"/>
                <w:szCs w:val="18"/>
                <w:highlight w:val="none"/>
              </w:rPr>
            </w:pPr>
            <w:r>
              <w:rPr>
                <w:rFonts w:hint="eastAsia" w:cs="宋体"/>
                <w:b/>
                <w:bCs/>
                <w:color w:val="auto"/>
                <w:kern w:val="0"/>
                <w:sz w:val="18"/>
                <w:szCs w:val="18"/>
                <w:highlight w:val="none"/>
              </w:rPr>
              <w:t>单价（元）</w:t>
            </w:r>
          </w:p>
        </w:tc>
        <w:tc>
          <w:tcPr>
            <w:tcW w:w="1415" w:type="dxa"/>
            <w:tcBorders>
              <w:top w:val="single" w:color="auto" w:sz="4" w:space="0"/>
              <w:left w:val="single" w:color="auto" w:sz="4" w:space="0"/>
              <w:bottom w:val="single" w:color="auto" w:sz="4" w:space="0"/>
              <w:right w:val="single" w:color="auto" w:sz="4" w:space="0"/>
            </w:tcBorders>
            <w:shd w:val="clear" w:color="auto" w:fill="FFFF00"/>
            <w:vAlign w:val="center"/>
          </w:tcPr>
          <w:p w14:paraId="45B2F718">
            <w:pPr>
              <w:widowControl/>
              <w:jc w:val="center"/>
              <w:rPr>
                <w:rFonts w:cs="宋体"/>
                <w:b/>
                <w:bCs/>
                <w:color w:val="auto"/>
                <w:kern w:val="0"/>
                <w:sz w:val="18"/>
                <w:szCs w:val="18"/>
                <w:highlight w:val="none"/>
              </w:rPr>
            </w:pPr>
            <w:r>
              <w:rPr>
                <w:rFonts w:hint="eastAsia" w:cs="宋体"/>
                <w:b/>
                <w:bCs/>
                <w:color w:val="auto"/>
                <w:kern w:val="0"/>
                <w:sz w:val="18"/>
                <w:szCs w:val="18"/>
                <w:highlight w:val="none"/>
              </w:rPr>
              <w:t>总价（元）</w:t>
            </w:r>
          </w:p>
        </w:tc>
        <w:tc>
          <w:tcPr>
            <w:tcW w:w="1349" w:type="dxa"/>
            <w:tcBorders>
              <w:top w:val="single" w:color="auto" w:sz="4" w:space="0"/>
              <w:left w:val="single" w:color="auto" w:sz="4" w:space="0"/>
              <w:bottom w:val="single" w:color="auto" w:sz="4" w:space="0"/>
              <w:right w:val="single" w:color="auto" w:sz="4" w:space="0"/>
            </w:tcBorders>
            <w:shd w:val="clear" w:color="auto" w:fill="FFFF00"/>
            <w:vAlign w:val="center"/>
          </w:tcPr>
          <w:p w14:paraId="7DBE2756">
            <w:pPr>
              <w:widowControl/>
              <w:jc w:val="center"/>
              <w:rPr>
                <w:rFonts w:cs="宋体"/>
                <w:b/>
                <w:bCs/>
                <w:color w:val="auto"/>
                <w:kern w:val="0"/>
                <w:sz w:val="18"/>
                <w:szCs w:val="18"/>
                <w:highlight w:val="none"/>
              </w:rPr>
            </w:pPr>
            <w:r>
              <w:rPr>
                <w:rFonts w:hint="eastAsia" w:cs="宋体"/>
                <w:b/>
                <w:bCs/>
                <w:color w:val="auto"/>
                <w:kern w:val="0"/>
                <w:sz w:val="18"/>
                <w:szCs w:val="18"/>
                <w:highlight w:val="none"/>
              </w:rPr>
              <w:t>生产厂家及原产地</w:t>
            </w:r>
          </w:p>
        </w:tc>
      </w:tr>
      <w:tr w14:paraId="16F0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7FA5904C">
            <w:pPr>
              <w:jc w:val="center"/>
              <w:rPr>
                <w:rFonts w:cs="宋体"/>
                <w:color w:val="auto"/>
                <w:sz w:val="18"/>
                <w:szCs w:val="18"/>
                <w:highlight w:val="none"/>
              </w:rPr>
            </w:pPr>
          </w:p>
          <w:p w14:paraId="0D9DB671">
            <w:pPr>
              <w:jc w:val="center"/>
              <w:rPr>
                <w:rFonts w:cs="宋体"/>
                <w:color w:val="auto"/>
                <w:sz w:val="18"/>
                <w:szCs w:val="18"/>
                <w:highlight w:val="none"/>
              </w:rPr>
            </w:pPr>
            <w:r>
              <w:rPr>
                <w:rFonts w:hint="eastAsia" w:cs="宋体"/>
                <w:color w:val="auto"/>
                <w:sz w:val="18"/>
                <w:szCs w:val="18"/>
                <w:highlight w:val="none"/>
              </w:rPr>
              <w:t>1</w:t>
            </w:r>
          </w:p>
        </w:tc>
        <w:tc>
          <w:tcPr>
            <w:tcW w:w="2514" w:type="dxa"/>
            <w:tcBorders>
              <w:top w:val="single" w:color="auto" w:sz="4" w:space="0"/>
              <w:left w:val="single" w:color="auto" w:sz="4" w:space="0"/>
              <w:bottom w:val="single" w:color="auto" w:sz="4" w:space="0"/>
              <w:right w:val="single" w:color="auto" w:sz="4" w:space="0"/>
            </w:tcBorders>
            <w:vAlign w:val="center"/>
          </w:tcPr>
          <w:p w14:paraId="766CB6C8">
            <w:pPr>
              <w:jc w:val="left"/>
              <w:rPr>
                <w:rFonts w:cs="宋体"/>
                <w:color w:val="auto"/>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43AD1D87">
            <w:pPr>
              <w:jc w:val="left"/>
              <w:rPr>
                <w:rFonts w:cs="宋体"/>
                <w:color w:val="auto"/>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3529C15">
            <w:pPr>
              <w:rPr>
                <w:rFonts w:cs="宋体"/>
                <w:color w:val="auto"/>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733ABBE0">
            <w:pPr>
              <w:widowControl/>
              <w:jc w:val="center"/>
              <w:rPr>
                <w:rFonts w:cs="宋体"/>
                <w:color w:val="auto"/>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2F466FF2">
            <w:pPr>
              <w:widowControl/>
              <w:jc w:val="center"/>
              <w:rPr>
                <w:rFonts w:cs="宋体"/>
                <w:color w:val="auto"/>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3C415C39">
            <w:pPr>
              <w:widowControl/>
              <w:jc w:val="right"/>
              <w:rPr>
                <w:rFonts w:cs="宋体"/>
                <w:color w:val="auto"/>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327BD139">
            <w:pPr>
              <w:widowControl/>
              <w:jc w:val="right"/>
              <w:rPr>
                <w:rFonts w:cs="宋体"/>
                <w:color w:val="auto"/>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53163B5E">
            <w:pPr>
              <w:spacing w:line="260" w:lineRule="exact"/>
              <w:rPr>
                <w:color w:val="auto"/>
                <w:sz w:val="18"/>
                <w:szCs w:val="18"/>
                <w:highlight w:val="none"/>
              </w:rPr>
            </w:pPr>
          </w:p>
        </w:tc>
      </w:tr>
      <w:tr w14:paraId="6672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1E988029">
            <w:pPr>
              <w:jc w:val="center"/>
              <w:rPr>
                <w:color w:val="auto"/>
                <w:sz w:val="18"/>
                <w:szCs w:val="18"/>
                <w:highlight w:val="none"/>
              </w:rPr>
            </w:pPr>
            <w:r>
              <w:rPr>
                <w:rFonts w:hint="eastAsia"/>
                <w:color w:val="auto"/>
                <w:sz w:val="18"/>
                <w:szCs w:val="18"/>
                <w:highlight w:val="none"/>
              </w:rPr>
              <w:t>2</w:t>
            </w:r>
          </w:p>
        </w:tc>
        <w:tc>
          <w:tcPr>
            <w:tcW w:w="2514" w:type="dxa"/>
            <w:tcBorders>
              <w:top w:val="single" w:color="auto" w:sz="4" w:space="0"/>
              <w:left w:val="single" w:color="auto" w:sz="4" w:space="0"/>
              <w:bottom w:val="single" w:color="auto" w:sz="4" w:space="0"/>
              <w:right w:val="single" w:color="auto" w:sz="4" w:space="0"/>
            </w:tcBorders>
            <w:vAlign w:val="center"/>
          </w:tcPr>
          <w:p w14:paraId="5B797750">
            <w:pPr>
              <w:jc w:val="left"/>
              <w:rPr>
                <w:color w:val="auto"/>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5DE330C5">
            <w:pPr>
              <w:jc w:val="left"/>
              <w:rPr>
                <w:rFonts w:cs="宋体"/>
                <w:color w:val="auto"/>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FD2E74E">
            <w:pPr>
              <w:rPr>
                <w:rFonts w:cs="宋体"/>
                <w:color w:val="auto"/>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09009134">
            <w:pPr>
              <w:widowControl/>
              <w:jc w:val="center"/>
              <w:rPr>
                <w:rFonts w:cs="宋体"/>
                <w:color w:val="auto"/>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75CF20B9">
            <w:pPr>
              <w:widowControl/>
              <w:jc w:val="center"/>
              <w:rPr>
                <w:rFonts w:cs="宋体"/>
                <w:color w:val="auto"/>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26275930">
            <w:pPr>
              <w:widowControl/>
              <w:jc w:val="right"/>
              <w:rPr>
                <w:rFonts w:cs="宋体"/>
                <w:color w:val="auto"/>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4E954334">
            <w:pPr>
              <w:widowControl/>
              <w:jc w:val="right"/>
              <w:rPr>
                <w:rFonts w:cs="宋体"/>
                <w:color w:val="auto"/>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4F4007A5">
            <w:pPr>
              <w:spacing w:line="260" w:lineRule="exact"/>
              <w:rPr>
                <w:rFonts w:cs="宋体"/>
                <w:color w:val="auto"/>
                <w:kern w:val="0"/>
                <w:sz w:val="18"/>
                <w:szCs w:val="18"/>
                <w:highlight w:val="none"/>
              </w:rPr>
            </w:pPr>
          </w:p>
        </w:tc>
      </w:tr>
      <w:tr w14:paraId="6B50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12B0650">
            <w:pPr>
              <w:jc w:val="center"/>
              <w:rPr>
                <w:color w:val="auto"/>
                <w:sz w:val="18"/>
                <w:szCs w:val="18"/>
                <w:highlight w:val="none"/>
              </w:rPr>
            </w:pPr>
            <w:r>
              <w:rPr>
                <w:rFonts w:hint="eastAsia"/>
                <w:color w:val="auto"/>
                <w:sz w:val="18"/>
                <w:szCs w:val="18"/>
                <w:highlight w:val="none"/>
              </w:rPr>
              <w:t>3</w:t>
            </w:r>
          </w:p>
        </w:tc>
        <w:tc>
          <w:tcPr>
            <w:tcW w:w="2514" w:type="dxa"/>
            <w:tcBorders>
              <w:top w:val="single" w:color="auto" w:sz="4" w:space="0"/>
              <w:left w:val="single" w:color="auto" w:sz="4" w:space="0"/>
              <w:bottom w:val="single" w:color="auto" w:sz="4" w:space="0"/>
              <w:right w:val="single" w:color="auto" w:sz="4" w:space="0"/>
            </w:tcBorders>
            <w:vAlign w:val="center"/>
          </w:tcPr>
          <w:p w14:paraId="2A9E0E7E">
            <w:pPr>
              <w:jc w:val="left"/>
              <w:rPr>
                <w:color w:val="auto"/>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C9ED30A">
            <w:pPr>
              <w:jc w:val="left"/>
              <w:rPr>
                <w:rFonts w:cs="宋体"/>
                <w:color w:val="auto"/>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4412E340">
            <w:pPr>
              <w:rPr>
                <w:rFonts w:cs="宋体"/>
                <w:color w:val="auto"/>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23A4E611">
            <w:pPr>
              <w:widowControl/>
              <w:jc w:val="center"/>
              <w:rPr>
                <w:rFonts w:cs="宋体"/>
                <w:color w:val="auto"/>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081AEF86">
            <w:pPr>
              <w:widowControl/>
              <w:jc w:val="center"/>
              <w:rPr>
                <w:rFonts w:cs="宋体"/>
                <w:color w:val="auto"/>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0C6396E3">
            <w:pPr>
              <w:widowControl/>
              <w:jc w:val="right"/>
              <w:rPr>
                <w:rFonts w:cs="宋体"/>
                <w:color w:val="auto"/>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63A04693">
            <w:pPr>
              <w:widowControl/>
              <w:jc w:val="right"/>
              <w:rPr>
                <w:rFonts w:cs="宋体"/>
                <w:color w:val="auto"/>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16C05384">
            <w:pPr>
              <w:spacing w:line="260" w:lineRule="exact"/>
              <w:rPr>
                <w:rFonts w:cs="宋体"/>
                <w:color w:val="auto"/>
                <w:kern w:val="0"/>
                <w:sz w:val="18"/>
                <w:szCs w:val="18"/>
                <w:highlight w:val="none"/>
              </w:rPr>
            </w:pPr>
          </w:p>
        </w:tc>
      </w:tr>
      <w:tr w14:paraId="3D0C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10431E53">
            <w:pPr>
              <w:rPr>
                <w:color w:val="auto"/>
                <w:sz w:val="18"/>
                <w:szCs w:val="18"/>
                <w:highlight w:val="none"/>
              </w:rPr>
            </w:pPr>
            <w:r>
              <w:rPr>
                <w:rFonts w:hint="eastAsia"/>
                <w:color w:val="auto"/>
                <w:sz w:val="18"/>
                <w:szCs w:val="18"/>
                <w:highlight w:val="none"/>
              </w:rPr>
              <w:t>合同总价为：（人民币大写：</w:t>
            </w:r>
            <w:r>
              <w:rPr>
                <w:rFonts w:hint="eastAsia"/>
                <w:color w:val="auto"/>
                <w:sz w:val="18"/>
                <w:szCs w:val="18"/>
                <w:highlight w:val="none"/>
                <w:u w:val="single"/>
              </w:rPr>
              <w:t xml:space="preserve">            </w:t>
            </w:r>
            <w:r>
              <w:rPr>
                <w:rFonts w:hint="eastAsia"/>
                <w:color w:val="auto"/>
                <w:sz w:val="18"/>
                <w:szCs w:val="18"/>
                <w:highlight w:val="none"/>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79EF1384">
            <w:pPr>
              <w:widowControl/>
              <w:adjustRightInd w:val="0"/>
              <w:snapToGrid w:val="0"/>
              <w:jc w:val="right"/>
              <w:rPr>
                <w:rFonts w:cs="宋体"/>
                <w:bCs/>
                <w:color w:val="auto"/>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63CCA616">
            <w:pPr>
              <w:widowControl/>
              <w:adjustRightInd w:val="0"/>
              <w:snapToGrid w:val="0"/>
              <w:jc w:val="left"/>
              <w:rPr>
                <w:rFonts w:cs="宋体"/>
                <w:bCs/>
                <w:color w:val="auto"/>
                <w:kern w:val="0"/>
                <w:sz w:val="18"/>
                <w:szCs w:val="18"/>
                <w:highlight w:val="none"/>
              </w:rPr>
            </w:pPr>
          </w:p>
        </w:tc>
      </w:tr>
    </w:tbl>
    <w:p w14:paraId="26704E41">
      <w:pPr>
        <w:rPr>
          <w:b/>
          <w:color w:val="auto"/>
          <w:sz w:val="24"/>
          <w:highlight w:val="none"/>
        </w:rPr>
      </w:pPr>
      <w:r>
        <w:rPr>
          <w:rFonts w:hint="eastAsia"/>
          <w:b/>
          <w:color w:val="auto"/>
          <w:sz w:val="24"/>
          <w:highlight w:val="none"/>
        </w:rPr>
        <w:br w:type="page"/>
      </w:r>
    </w:p>
    <w:p w14:paraId="3D76D2A1">
      <w:pPr>
        <w:spacing w:line="324" w:lineRule="auto"/>
        <w:rPr>
          <w:b/>
          <w:color w:val="auto"/>
          <w:sz w:val="24"/>
          <w:highlight w:val="none"/>
        </w:rPr>
      </w:pPr>
      <w:r>
        <w:rPr>
          <w:rFonts w:hint="eastAsia"/>
          <w:b/>
          <w:color w:val="auto"/>
          <w:sz w:val="24"/>
          <w:highlight w:val="none"/>
        </w:rPr>
        <w:t>附件2（签订合同时此附件应横向打印）：</w:t>
      </w:r>
    </w:p>
    <w:tbl>
      <w:tblPr>
        <w:tblStyle w:val="39"/>
        <w:tblpPr w:leftFromText="180" w:rightFromText="180" w:vertAnchor="text" w:horzAnchor="margin" w:tblpY="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2"/>
        <w:gridCol w:w="6405"/>
        <w:gridCol w:w="4283"/>
      </w:tblGrid>
      <w:tr w14:paraId="7CE6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87" w:type="dxa"/>
            <w:gridSpan w:val="2"/>
            <w:vAlign w:val="center"/>
          </w:tcPr>
          <w:p w14:paraId="127B3B1D">
            <w:pPr>
              <w:spacing w:before="240" w:after="60" w:line="360" w:lineRule="exact"/>
              <w:jc w:val="center"/>
              <w:rPr>
                <w:color w:val="auto"/>
                <w:szCs w:val="21"/>
                <w:highlight w:val="none"/>
              </w:rPr>
            </w:pPr>
            <w:r>
              <w:rPr>
                <w:rFonts w:hint="eastAsia"/>
                <w:color w:val="auto"/>
                <w:szCs w:val="21"/>
                <w:highlight w:val="none"/>
              </w:rPr>
              <w:t>（附件1设备或系统由多个项目组成）配置清单</w:t>
            </w:r>
          </w:p>
        </w:tc>
        <w:tc>
          <w:tcPr>
            <w:tcW w:w="4283" w:type="dxa"/>
          </w:tcPr>
          <w:p w14:paraId="1C978C19">
            <w:pPr>
              <w:spacing w:before="240" w:after="60" w:line="360" w:lineRule="exact"/>
              <w:jc w:val="center"/>
              <w:rPr>
                <w:color w:val="auto"/>
                <w:szCs w:val="21"/>
                <w:highlight w:val="none"/>
              </w:rPr>
            </w:pPr>
            <w:r>
              <w:rPr>
                <w:rFonts w:hint="eastAsia"/>
                <w:color w:val="auto"/>
                <w:szCs w:val="21"/>
                <w:highlight w:val="none"/>
              </w:rPr>
              <w:t>单价（元）</w:t>
            </w:r>
          </w:p>
        </w:tc>
      </w:tr>
      <w:tr w14:paraId="5C53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2682" w:type="dxa"/>
            <w:vAlign w:val="center"/>
          </w:tcPr>
          <w:p w14:paraId="2B88A84D">
            <w:pPr>
              <w:spacing w:before="240" w:after="60" w:line="360" w:lineRule="exact"/>
              <w:jc w:val="center"/>
              <w:rPr>
                <w:color w:val="auto"/>
                <w:szCs w:val="21"/>
                <w:highlight w:val="none"/>
              </w:rPr>
            </w:pPr>
            <w:r>
              <w:rPr>
                <w:rFonts w:hint="eastAsia"/>
                <w:color w:val="auto"/>
                <w:szCs w:val="21"/>
                <w:highlight w:val="none"/>
              </w:rPr>
              <w:t>序号</w:t>
            </w:r>
          </w:p>
        </w:tc>
        <w:tc>
          <w:tcPr>
            <w:tcW w:w="6405" w:type="dxa"/>
            <w:vAlign w:val="center"/>
          </w:tcPr>
          <w:p w14:paraId="34AD68F7">
            <w:pPr>
              <w:spacing w:before="240" w:after="60" w:line="360" w:lineRule="exact"/>
              <w:jc w:val="center"/>
              <w:rPr>
                <w:color w:val="auto"/>
                <w:szCs w:val="21"/>
                <w:highlight w:val="none"/>
              </w:rPr>
            </w:pPr>
            <w:r>
              <w:rPr>
                <w:rFonts w:hint="eastAsia"/>
                <w:color w:val="auto"/>
                <w:szCs w:val="21"/>
                <w:highlight w:val="none"/>
              </w:rPr>
              <w:t>配置</w:t>
            </w:r>
          </w:p>
        </w:tc>
        <w:tc>
          <w:tcPr>
            <w:tcW w:w="4283" w:type="dxa"/>
          </w:tcPr>
          <w:p w14:paraId="7BA0A125">
            <w:pPr>
              <w:spacing w:before="240" w:after="60" w:line="360" w:lineRule="exact"/>
              <w:jc w:val="center"/>
              <w:rPr>
                <w:color w:val="auto"/>
                <w:szCs w:val="21"/>
                <w:highlight w:val="none"/>
              </w:rPr>
            </w:pPr>
          </w:p>
        </w:tc>
      </w:tr>
      <w:tr w14:paraId="39A9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2682" w:type="dxa"/>
            <w:vAlign w:val="center"/>
          </w:tcPr>
          <w:p w14:paraId="78E6EF07">
            <w:pPr>
              <w:spacing w:before="240" w:after="60" w:line="360" w:lineRule="exact"/>
              <w:rPr>
                <w:color w:val="auto"/>
                <w:szCs w:val="21"/>
                <w:highlight w:val="none"/>
              </w:rPr>
            </w:pPr>
            <w:r>
              <w:rPr>
                <w:color w:val="auto"/>
                <w:szCs w:val="21"/>
                <w:highlight w:val="none"/>
              </w:rPr>
              <w:t xml:space="preserve"> </w:t>
            </w:r>
          </w:p>
        </w:tc>
        <w:tc>
          <w:tcPr>
            <w:tcW w:w="6405" w:type="dxa"/>
            <w:vAlign w:val="center"/>
          </w:tcPr>
          <w:p w14:paraId="4E6CEB5C">
            <w:pPr>
              <w:spacing w:before="240" w:after="60" w:line="360" w:lineRule="exact"/>
              <w:rPr>
                <w:color w:val="auto"/>
                <w:szCs w:val="21"/>
                <w:highlight w:val="none"/>
              </w:rPr>
            </w:pPr>
            <w:r>
              <w:rPr>
                <w:rFonts w:hint="eastAsia"/>
                <w:color w:val="auto"/>
                <w:szCs w:val="21"/>
                <w:highlight w:val="none"/>
              </w:rPr>
              <w:t xml:space="preserve">            </w:t>
            </w:r>
          </w:p>
        </w:tc>
        <w:tc>
          <w:tcPr>
            <w:tcW w:w="4283" w:type="dxa"/>
          </w:tcPr>
          <w:p w14:paraId="438E002A">
            <w:pPr>
              <w:spacing w:before="240" w:after="60" w:line="360" w:lineRule="exact"/>
              <w:rPr>
                <w:color w:val="auto"/>
                <w:szCs w:val="21"/>
                <w:highlight w:val="none"/>
              </w:rPr>
            </w:pPr>
          </w:p>
        </w:tc>
      </w:tr>
      <w:tr w14:paraId="52D7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682" w:type="dxa"/>
          </w:tcPr>
          <w:p w14:paraId="2749358B">
            <w:pPr>
              <w:spacing w:before="240" w:after="60" w:line="360" w:lineRule="exact"/>
              <w:rPr>
                <w:color w:val="auto"/>
                <w:szCs w:val="21"/>
                <w:highlight w:val="none"/>
              </w:rPr>
            </w:pPr>
          </w:p>
        </w:tc>
        <w:tc>
          <w:tcPr>
            <w:tcW w:w="6405" w:type="dxa"/>
          </w:tcPr>
          <w:p w14:paraId="3E97D93B">
            <w:pPr>
              <w:spacing w:before="31" w:beforeLines="10"/>
              <w:rPr>
                <w:color w:val="auto"/>
                <w:szCs w:val="21"/>
                <w:highlight w:val="none"/>
              </w:rPr>
            </w:pPr>
          </w:p>
        </w:tc>
        <w:tc>
          <w:tcPr>
            <w:tcW w:w="4283" w:type="dxa"/>
          </w:tcPr>
          <w:p w14:paraId="62758E10">
            <w:pPr>
              <w:spacing w:before="31" w:beforeLines="10"/>
              <w:rPr>
                <w:color w:val="auto"/>
                <w:szCs w:val="21"/>
                <w:highlight w:val="none"/>
              </w:rPr>
            </w:pPr>
          </w:p>
        </w:tc>
      </w:tr>
      <w:tr w14:paraId="45E3D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682" w:type="dxa"/>
          </w:tcPr>
          <w:p w14:paraId="4111AC77">
            <w:pPr>
              <w:spacing w:before="240" w:after="60" w:line="360" w:lineRule="exact"/>
              <w:rPr>
                <w:color w:val="auto"/>
                <w:szCs w:val="21"/>
                <w:highlight w:val="none"/>
              </w:rPr>
            </w:pPr>
          </w:p>
        </w:tc>
        <w:tc>
          <w:tcPr>
            <w:tcW w:w="6405" w:type="dxa"/>
          </w:tcPr>
          <w:p w14:paraId="5E12200E">
            <w:pPr>
              <w:spacing w:before="31" w:beforeLines="10"/>
              <w:rPr>
                <w:color w:val="auto"/>
                <w:szCs w:val="21"/>
                <w:highlight w:val="none"/>
              </w:rPr>
            </w:pPr>
          </w:p>
        </w:tc>
        <w:tc>
          <w:tcPr>
            <w:tcW w:w="4283" w:type="dxa"/>
          </w:tcPr>
          <w:p w14:paraId="78649638">
            <w:pPr>
              <w:spacing w:before="31" w:beforeLines="10"/>
              <w:rPr>
                <w:color w:val="auto"/>
                <w:szCs w:val="21"/>
                <w:highlight w:val="none"/>
              </w:rPr>
            </w:pPr>
          </w:p>
        </w:tc>
      </w:tr>
      <w:tr w14:paraId="30A0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682" w:type="dxa"/>
          </w:tcPr>
          <w:p w14:paraId="5132154B">
            <w:pPr>
              <w:spacing w:before="240" w:after="60" w:line="360" w:lineRule="exact"/>
              <w:rPr>
                <w:color w:val="auto"/>
                <w:szCs w:val="21"/>
                <w:highlight w:val="none"/>
              </w:rPr>
            </w:pPr>
          </w:p>
        </w:tc>
        <w:tc>
          <w:tcPr>
            <w:tcW w:w="6405" w:type="dxa"/>
          </w:tcPr>
          <w:p w14:paraId="0967CAE5">
            <w:pPr>
              <w:spacing w:before="31" w:beforeLines="10"/>
              <w:rPr>
                <w:color w:val="auto"/>
                <w:szCs w:val="21"/>
                <w:highlight w:val="none"/>
              </w:rPr>
            </w:pPr>
          </w:p>
        </w:tc>
        <w:tc>
          <w:tcPr>
            <w:tcW w:w="4283" w:type="dxa"/>
          </w:tcPr>
          <w:p w14:paraId="6DDF7533">
            <w:pPr>
              <w:spacing w:before="31" w:beforeLines="10"/>
              <w:rPr>
                <w:color w:val="auto"/>
                <w:szCs w:val="21"/>
                <w:highlight w:val="none"/>
              </w:rPr>
            </w:pPr>
          </w:p>
        </w:tc>
      </w:tr>
      <w:tr w14:paraId="354C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682" w:type="dxa"/>
          </w:tcPr>
          <w:p w14:paraId="0AF9A6EE">
            <w:pPr>
              <w:spacing w:before="240" w:after="60" w:line="360" w:lineRule="exact"/>
              <w:rPr>
                <w:color w:val="auto"/>
                <w:szCs w:val="21"/>
                <w:highlight w:val="none"/>
              </w:rPr>
            </w:pPr>
          </w:p>
        </w:tc>
        <w:tc>
          <w:tcPr>
            <w:tcW w:w="6405" w:type="dxa"/>
          </w:tcPr>
          <w:p w14:paraId="26859C47">
            <w:pPr>
              <w:spacing w:before="31" w:beforeLines="10"/>
              <w:rPr>
                <w:color w:val="auto"/>
                <w:szCs w:val="21"/>
                <w:highlight w:val="none"/>
              </w:rPr>
            </w:pPr>
          </w:p>
        </w:tc>
        <w:tc>
          <w:tcPr>
            <w:tcW w:w="4283" w:type="dxa"/>
          </w:tcPr>
          <w:p w14:paraId="6EC922E3">
            <w:pPr>
              <w:spacing w:before="31" w:beforeLines="10"/>
              <w:rPr>
                <w:color w:val="auto"/>
                <w:szCs w:val="21"/>
                <w:highlight w:val="none"/>
              </w:rPr>
            </w:pPr>
          </w:p>
        </w:tc>
      </w:tr>
      <w:tr w14:paraId="2252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682" w:type="dxa"/>
          </w:tcPr>
          <w:p w14:paraId="4A9F9CE9">
            <w:pPr>
              <w:spacing w:before="240" w:after="60" w:line="360" w:lineRule="exact"/>
              <w:rPr>
                <w:color w:val="auto"/>
                <w:szCs w:val="21"/>
                <w:highlight w:val="none"/>
              </w:rPr>
            </w:pPr>
          </w:p>
        </w:tc>
        <w:tc>
          <w:tcPr>
            <w:tcW w:w="6405" w:type="dxa"/>
          </w:tcPr>
          <w:p w14:paraId="68536983">
            <w:pPr>
              <w:spacing w:before="31" w:beforeLines="10"/>
              <w:rPr>
                <w:color w:val="auto"/>
                <w:szCs w:val="21"/>
                <w:highlight w:val="none"/>
              </w:rPr>
            </w:pPr>
          </w:p>
        </w:tc>
        <w:tc>
          <w:tcPr>
            <w:tcW w:w="4283" w:type="dxa"/>
          </w:tcPr>
          <w:p w14:paraId="6303C2BF">
            <w:pPr>
              <w:spacing w:before="31" w:beforeLines="10"/>
              <w:rPr>
                <w:color w:val="auto"/>
                <w:szCs w:val="21"/>
                <w:highlight w:val="none"/>
              </w:rPr>
            </w:pPr>
          </w:p>
        </w:tc>
      </w:tr>
      <w:tr w14:paraId="7DCC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2682" w:type="dxa"/>
            <w:vAlign w:val="center"/>
          </w:tcPr>
          <w:p w14:paraId="632A2B2A">
            <w:pPr>
              <w:snapToGrid w:val="0"/>
              <w:spacing w:after="60" w:line="360" w:lineRule="exact"/>
              <w:rPr>
                <w:snapToGrid w:val="0"/>
                <w:color w:val="auto"/>
                <w:kern w:val="10"/>
                <w:szCs w:val="21"/>
                <w:highlight w:val="none"/>
              </w:rPr>
            </w:pPr>
          </w:p>
          <w:p w14:paraId="63C6CA9D">
            <w:pPr>
              <w:snapToGrid w:val="0"/>
              <w:spacing w:after="60" w:line="360" w:lineRule="exact"/>
              <w:rPr>
                <w:snapToGrid w:val="0"/>
                <w:color w:val="auto"/>
                <w:kern w:val="10"/>
                <w:szCs w:val="21"/>
                <w:highlight w:val="none"/>
              </w:rPr>
            </w:pPr>
          </w:p>
        </w:tc>
        <w:tc>
          <w:tcPr>
            <w:tcW w:w="6405" w:type="dxa"/>
          </w:tcPr>
          <w:p w14:paraId="5C57D980">
            <w:pPr>
              <w:spacing w:before="93" w:beforeLines="30"/>
              <w:rPr>
                <w:color w:val="auto"/>
                <w:szCs w:val="21"/>
                <w:highlight w:val="none"/>
              </w:rPr>
            </w:pPr>
          </w:p>
        </w:tc>
        <w:tc>
          <w:tcPr>
            <w:tcW w:w="4283" w:type="dxa"/>
          </w:tcPr>
          <w:p w14:paraId="313FF5FE">
            <w:pPr>
              <w:spacing w:before="93" w:beforeLines="30"/>
              <w:rPr>
                <w:color w:val="auto"/>
                <w:szCs w:val="21"/>
                <w:highlight w:val="none"/>
              </w:rPr>
            </w:pPr>
          </w:p>
        </w:tc>
      </w:tr>
    </w:tbl>
    <w:p w14:paraId="36C9A736">
      <w:pPr>
        <w:spacing w:line="360" w:lineRule="auto"/>
        <w:rPr>
          <w:color w:val="auto"/>
          <w:highlight w:val="none"/>
        </w:rPr>
      </w:pPr>
    </w:p>
    <w:p w14:paraId="71209928">
      <w:pPr>
        <w:rPr>
          <w:color w:val="auto"/>
          <w:highlight w:val="none"/>
        </w:rPr>
      </w:pPr>
    </w:p>
    <w:p w14:paraId="0AA08BDF">
      <w:pPr>
        <w:rPr>
          <w:color w:val="auto"/>
          <w:highlight w:val="none"/>
        </w:rPr>
      </w:pPr>
    </w:p>
    <w:p w14:paraId="4C2292B3">
      <w:pPr>
        <w:rPr>
          <w:color w:val="auto"/>
          <w:highlight w:val="none"/>
        </w:rPr>
      </w:pPr>
    </w:p>
    <w:p w14:paraId="6562A8B4">
      <w:pPr>
        <w:rPr>
          <w:color w:val="auto"/>
          <w:highlight w:val="none"/>
        </w:rPr>
      </w:pPr>
    </w:p>
    <w:p w14:paraId="14EEECC4">
      <w:pPr>
        <w:rPr>
          <w:color w:val="auto"/>
          <w:highlight w:val="none"/>
        </w:rPr>
      </w:pPr>
    </w:p>
    <w:p w14:paraId="2CFDD9D8">
      <w:pPr>
        <w:rPr>
          <w:color w:val="auto"/>
          <w:highlight w:val="none"/>
        </w:rPr>
      </w:pPr>
    </w:p>
    <w:p w14:paraId="219B079E">
      <w:pPr>
        <w:rPr>
          <w:color w:val="auto"/>
          <w:highlight w:val="none"/>
        </w:rPr>
      </w:pPr>
    </w:p>
    <w:p w14:paraId="537FEB33">
      <w:pPr>
        <w:rPr>
          <w:color w:val="auto"/>
          <w:highlight w:val="none"/>
        </w:rPr>
      </w:pPr>
    </w:p>
    <w:p w14:paraId="6D6EE335">
      <w:pPr>
        <w:rPr>
          <w:color w:val="auto"/>
          <w:highlight w:val="none"/>
        </w:rPr>
      </w:pPr>
    </w:p>
    <w:p w14:paraId="520F66BB">
      <w:pPr>
        <w:rPr>
          <w:color w:val="auto"/>
          <w:highlight w:val="none"/>
        </w:rPr>
      </w:pPr>
    </w:p>
    <w:p w14:paraId="33E50527">
      <w:pPr>
        <w:rPr>
          <w:color w:val="auto"/>
          <w:highlight w:val="none"/>
        </w:rPr>
      </w:pPr>
    </w:p>
    <w:p w14:paraId="74036E40">
      <w:pPr>
        <w:rPr>
          <w:color w:val="auto"/>
          <w:highlight w:val="none"/>
        </w:rPr>
      </w:pPr>
    </w:p>
    <w:p w14:paraId="42A97939">
      <w:pPr>
        <w:rPr>
          <w:color w:val="auto"/>
          <w:highlight w:val="none"/>
        </w:rPr>
      </w:pPr>
    </w:p>
    <w:p w14:paraId="7A9C4FCD">
      <w:pPr>
        <w:rPr>
          <w:color w:val="auto"/>
          <w:highlight w:val="none"/>
        </w:rPr>
      </w:pPr>
    </w:p>
    <w:p w14:paraId="59AE7258">
      <w:pPr>
        <w:rPr>
          <w:color w:val="auto"/>
          <w:highlight w:val="none"/>
        </w:rPr>
      </w:pPr>
    </w:p>
    <w:p w14:paraId="14657203">
      <w:pPr>
        <w:rPr>
          <w:color w:val="auto"/>
          <w:highlight w:val="none"/>
        </w:rPr>
      </w:pPr>
    </w:p>
    <w:p w14:paraId="12D3A0FA">
      <w:pPr>
        <w:rPr>
          <w:color w:val="auto"/>
          <w:highlight w:val="none"/>
        </w:rPr>
      </w:pPr>
    </w:p>
    <w:p w14:paraId="5BD36006">
      <w:pPr>
        <w:rPr>
          <w:color w:val="auto"/>
          <w:highlight w:val="none"/>
        </w:rPr>
      </w:pPr>
    </w:p>
    <w:p w14:paraId="5717B1C7">
      <w:pPr>
        <w:rPr>
          <w:color w:val="auto"/>
          <w:highlight w:val="none"/>
        </w:rPr>
      </w:pPr>
    </w:p>
    <w:p w14:paraId="430BF2D7">
      <w:pPr>
        <w:rPr>
          <w:color w:val="auto"/>
          <w:highlight w:val="none"/>
        </w:rPr>
      </w:pPr>
    </w:p>
    <w:p w14:paraId="3C6FE9E3">
      <w:pPr>
        <w:tabs>
          <w:tab w:val="left" w:pos="3173"/>
        </w:tabs>
        <w:jc w:val="left"/>
        <w:rPr>
          <w:color w:val="auto"/>
          <w:highlight w:val="none"/>
        </w:rPr>
        <w:sectPr>
          <w:pgSz w:w="16838" w:h="11906" w:orient="landscape"/>
          <w:pgMar w:top="1800" w:right="1440" w:bottom="1800" w:left="1440" w:header="851" w:footer="992" w:gutter="0"/>
          <w:pgNumType w:fmt="numberInDash"/>
          <w:cols w:space="425" w:num="1"/>
          <w:docGrid w:type="lines" w:linePitch="312" w:charSpace="0"/>
        </w:sectPr>
      </w:pPr>
      <w:r>
        <w:rPr>
          <w:rFonts w:hint="eastAsia"/>
          <w:color w:val="auto"/>
          <w:highlight w:val="none"/>
        </w:rPr>
        <w:tab/>
      </w:r>
    </w:p>
    <w:p w14:paraId="2C6C83C1">
      <w:pPr>
        <w:spacing w:line="324" w:lineRule="auto"/>
        <w:rPr>
          <w:b/>
          <w:color w:val="auto"/>
          <w:sz w:val="24"/>
          <w:highlight w:val="none"/>
        </w:rPr>
      </w:pPr>
      <w:r>
        <w:rPr>
          <w:rFonts w:hint="eastAsia"/>
          <w:b/>
          <w:color w:val="auto"/>
          <w:sz w:val="24"/>
          <w:highlight w:val="none"/>
        </w:rPr>
        <w:t>附件3（中标通知书）</w:t>
      </w:r>
    </w:p>
    <w:p w14:paraId="5A07583B">
      <w:pPr>
        <w:spacing w:line="360" w:lineRule="auto"/>
        <w:rPr>
          <w:rFonts w:ascii="Times New Roman" w:hAnsi="Times New Roman"/>
          <w:color w:val="auto"/>
          <w:highlight w:val="none"/>
        </w:rPr>
      </w:pPr>
    </w:p>
    <w:p w14:paraId="66D0B675">
      <w:pPr>
        <w:widowControl/>
        <w:jc w:val="left"/>
        <w:rPr>
          <w:rFonts w:ascii="Times New Roman" w:hAnsi="Times New Roman"/>
          <w:color w:val="auto"/>
          <w:highlight w:val="none"/>
        </w:rPr>
      </w:pPr>
      <w:r>
        <w:rPr>
          <w:rFonts w:ascii="Times New Roman" w:hAnsi="Times New Roman"/>
          <w:color w:val="auto"/>
          <w:highlight w:val="none"/>
        </w:rPr>
        <w:br w:type="page"/>
      </w:r>
    </w:p>
    <w:p w14:paraId="6FF49D56">
      <w:pPr>
        <w:widowControl/>
        <w:jc w:val="left"/>
        <w:rPr>
          <w:rFonts w:ascii="Times New Roman" w:hAnsi="Times New Roman"/>
          <w:b/>
          <w:color w:val="auto"/>
          <w:szCs w:val="21"/>
          <w:highlight w:val="none"/>
        </w:rPr>
      </w:pPr>
    </w:p>
    <w:p w14:paraId="1644EF98">
      <w:pPr>
        <w:adjustRightInd w:val="0"/>
        <w:snapToGrid w:val="0"/>
        <w:spacing w:line="360" w:lineRule="auto"/>
        <w:rPr>
          <w:rFonts w:ascii="Times New Roman" w:hAnsi="Times New Roman"/>
          <w:b/>
          <w:color w:val="auto"/>
          <w:szCs w:val="21"/>
          <w:highlight w:val="none"/>
        </w:rPr>
      </w:pPr>
    </w:p>
    <w:p w14:paraId="6DA85DBA">
      <w:pPr>
        <w:rPr>
          <w:rFonts w:ascii="Times New Roman" w:hAnsi="Times New Roman"/>
          <w:color w:val="auto"/>
          <w:highlight w:val="none"/>
        </w:rPr>
      </w:pPr>
    </w:p>
    <w:p w14:paraId="6F209BA8">
      <w:pPr>
        <w:rPr>
          <w:rFonts w:ascii="Times New Roman" w:hAnsi="Times New Roman"/>
          <w:color w:val="auto"/>
          <w:highlight w:val="none"/>
        </w:rPr>
      </w:pPr>
    </w:p>
    <w:p w14:paraId="51007C3C">
      <w:pPr>
        <w:rPr>
          <w:rFonts w:ascii="Times New Roman" w:hAnsi="Times New Roman"/>
          <w:color w:val="auto"/>
          <w:highlight w:val="none"/>
        </w:rPr>
      </w:pPr>
    </w:p>
    <w:p w14:paraId="1AAADB8C">
      <w:pPr>
        <w:rPr>
          <w:rFonts w:ascii="Times New Roman" w:hAnsi="Times New Roman"/>
          <w:color w:val="auto"/>
          <w:highlight w:val="none"/>
        </w:rPr>
      </w:pPr>
    </w:p>
    <w:p w14:paraId="27B543DB">
      <w:pPr>
        <w:rPr>
          <w:rFonts w:ascii="Times New Roman" w:hAnsi="Times New Roman"/>
          <w:color w:val="auto"/>
          <w:highlight w:val="none"/>
        </w:rPr>
      </w:pPr>
    </w:p>
    <w:p w14:paraId="6FF8F2A9">
      <w:pPr>
        <w:rPr>
          <w:rFonts w:ascii="Times New Roman" w:hAnsi="Times New Roman"/>
          <w:color w:val="auto"/>
          <w:highlight w:val="none"/>
        </w:rPr>
      </w:pPr>
    </w:p>
    <w:p w14:paraId="3C822FE3">
      <w:pPr>
        <w:rPr>
          <w:rFonts w:ascii="Times New Roman" w:hAnsi="Times New Roman"/>
          <w:color w:val="auto"/>
          <w:highlight w:val="none"/>
        </w:rPr>
      </w:pPr>
    </w:p>
    <w:p w14:paraId="6973DFEB">
      <w:pPr>
        <w:rPr>
          <w:rFonts w:ascii="Times New Roman" w:hAnsi="Times New Roman"/>
          <w:color w:val="auto"/>
          <w:highlight w:val="none"/>
        </w:rPr>
      </w:pPr>
    </w:p>
    <w:p w14:paraId="1D622D04">
      <w:pPr>
        <w:rPr>
          <w:rFonts w:ascii="Times New Roman" w:hAnsi="Times New Roman"/>
          <w:color w:val="auto"/>
          <w:highlight w:val="none"/>
        </w:rPr>
      </w:pPr>
    </w:p>
    <w:p w14:paraId="5A65A27B">
      <w:pPr>
        <w:rPr>
          <w:rFonts w:ascii="Times New Roman" w:hAnsi="Times New Roman"/>
          <w:color w:val="auto"/>
          <w:highlight w:val="none"/>
        </w:rPr>
      </w:pPr>
    </w:p>
    <w:p w14:paraId="08173316">
      <w:pPr>
        <w:rPr>
          <w:rFonts w:ascii="Times New Roman" w:hAnsi="Times New Roman"/>
          <w:color w:val="auto"/>
          <w:highlight w:val="none"/>
        </w:rPr>
      </w:pPr>
    </w:p>
    <w:p w14:paraId="7D0F83C4">
      <w:pPr>
        <w:rPr>
          <w:rFonts w:ascii="Times New Roman" w:hAnsi="Times New Roman"/>
          <w:color w:val="auto"/>
          <w:highlight w:val="none"/>
        </w:rPr>
      </w:pPr>
    </w:p>
    <w:p w14:paraId="573EFFEC">
      <w:pPr>
        <w:rPr>
          <w:rFonts w:ascii="Times New Roman" w:hAnsi="Times New Roman"/>
          <w:color w:val="auto"/>
          <w:highlight w:val="none"/>
        </w:rPr>
      </w:pPr>
    </w:p>
    <w:p w14:paraId="26ECD52E">
      <w:pPr>
        <w:rPr>
          <w:rFonts w:ascii="Times New Roman" w:hAnsi="Times New Roman"/>
          <w:color w:val="auto"/>
          <w:highlight w:val="none"/>
        </w:rPr>
      </w:pPr>
    </w:p>
    <w:p w14:paraId="66BB1462">
      <w:pPr>
        <w:rPr>
          <w:rFonts w:ascii="Times New Roman" w:hAnsi="Times New Roman"/>
          <w:color w:val="auto"/>
          <w:highlight w:val="none"/>
        </w:rPr>
      </w:pPr>
    </w:p>
    <w:p w14:paraId="3209E92A">
      <w:pPr>
        <w:rPr>
          <w:rFonts w:ascii="Times New Roman" w:hAnsi="Times New Roman"/>
          <w:color w:val="auto"/>
          <w:highlight w:val="none"/>
        </w:rPr>
      </w:pPr>
    </w:p>
    <w:p w14:paraId="4142C9DF">
      <w:pPr>
        <w:pStyle w:val="2"/>
        <w:numPr>
          <w:ilvl w:val="0"/>
          <w:numId w:val="0"/>
        </w:numPr>
        <w:jc w:val="center"/>
        <w:rPr>
          <w:rFonts w:ascii="Times New Roman" w:hAnsi="Times New Roman" w:eastAsia="宋体"/>
          <w:b w:val="0"/>
          <w:color w:val="auto"/>
          <w:sz w:val="36"/>
          <w:highlight w:val="none"/>
        </w:rPr>
      </w:pPr>
      <w:bookmarkStart w:id="117" w:name="_Toc69912407"/>
      <w:bookmarkStart w:id="118" w:name="_Toc91696415"/>
      <w:bookmarkStart w:id="119" w:name="_Toc20529"/>
      <w:r>
        <w:rPr>
          <w:rFonts w:ascii="Times New Roman" w:hAnsi="Times New Roman" w:eastAsia="宋体"/>
          <w:b w:val="0"/>
          <w:color w:val="auto"/>
          <w:sz w:val="36"/>
          <w:highlight w:val="none"/>
        </w:rPr>
        <w:t>第四章  投标文件格式</w:t>
      </w:r>
      <w:bookmarkEnd w:id="117"/>
      <w:bookmarkEnd w:id="118"/>
      <w:bookmarkEnd w:id="119"/>
    </w:p>
    <w:p w14:paraId="3A475324">
      <w:pPr>
        <w:spacing w:line="600" w:lineRule="exact"/>
        <w:rPr>
          <w:rFonts w:ascii="Times New Roman" w:hAnsi="Times New Roman"/>
          <w:b/>
          <w:color w:val="auto"/>
          <w:sz w:val="28"/>
          <w:szCs w:val="28"/>
          <w:highlight w:val="none"/>
        </w:rPr>
      </w:pPr>
      <w:r>
        <w:rPr>
          <w:rFonts w:ascii="Times New Roman" w:hAnsi="Times New Roman"/>
          <w:color w:val="auto"/>
          <w:highlight w:val="none"/>
        </w:rPr>
        <w:br w:type="page"/>
      </w:r>
    </w:p>
    <w:p w14:paraId="5D4D71D4">
      <w:pPr>
        <w:pStyle w:val="2"/>
        <w:numPr>
          <w:ilvl w:val="0"/>
          <w:numId w:val="0"/>
        </w:numPr>
        <w:ind w:left="284"/>
        <w:rPr>
          <w:rFonts w:ascii="Times New Roman" w:hAnsi="Times New Roman" w:eastAsia="宋体"/>
          <w:color w:val="auto"/>
          <w:highlight w:val="none"/>
        </w:rPr>
      </w:pPr>
      <w:bookmarkStart w:id="120" w:name="_Toc27501"/>
      <w:bookmarkStart w:id="121" w:name="_Toc213141093"/>
      <w:bookmarkStart w:id="122" w:name="_Toc496520982"/>
      <w:bookmarkStart w:id="123" w:name="_Toc69912408"/>
      <w:bookmarkStart w:id="124" w:name="_Toc91696416"/>
      <w:r>
        <w:rPr>
          <w:rFonts w:ascii="Times New Roman" w:hAnsi="Times New Roman" w:eastAsia="宋体"/>
          <w:color w:val="auto"/>
          <w:highlight w:val="none"/>
        </w:rPr>
        <w:t>一、开标一览表</w:t>
      </w:r>
      <w:bookmarkEnd w:id="120"/>
      <w:bookmarkEnd w:id="121"/>
      <w:bookmarkEnd w:id="122"/>
      <w:bookmarkEnd w:id="123"/>
      <w:bookmarkEnd w:id="124"/>
    </w:p>
    <w:p w14:paraId="7F14C57A">
      <w:pPr>
        <w:rPr>
          <w:rFonts w:ascii="Times New Roman" w:hAnsi="Times New Roman"/>
          <w:color w:val="auto"/>
          <w:highlight w:val="none"/>
        </w:rPr>
      </w:pPr>
    </w:p>
    <w:p w14:paraId="5AE8D600">
      <w:pPr>
        <w:rPr>
          <w:rFonts w:ascii="Times New Roman" w:hAnsi="Times New Roman"/>
          <w:b/>
          <w:color w:val="auto"/>
          <w:szCs w:val="21"/>
          <w:highlight w:val="none"/>
        </w:rPr>
      </w:pPr>
      <w:r>
        <w:rPr>
          <w:rFonts w:ascii="Times New Roman" w:hAnsi="Times New Roman"/>
          <w:b/>
          <w:color w:val="auto"/>
          <w:szCs w:val="21"/>
          <w:highlight w:val="none"/>
        </w:rPr>
        <w:t>项目名称：</w:t>
      </w:r>
      <w:r>
        <w:rPr>
          <w:rFonts w:hint="eastAsia" w:ascii="Times New Roman" w:hAnsi="Times New Roman"/>
          <w:b/>
          <w:color w:val="auto"/>
          <w:szCs w:val="21"/>
          <w:highlight w:val="none"/>
        </w:rPr>
        <w:t xml:space="preserve">                   </w:t>
      </w:r>
    </w:p>
    <w:p w14:paraId="3166A16E">
      <w:pPr>
        <w:rPr>
          <w:rFonts w:ascii="Times New Roman" w:hAnsi="Times New Roman"/>
          <w:color w:val="auto"/>
          <w:szCs w:val="21"/>
          <w:highlight w:val="none"/>
          <w:u w:val="single"/>
        </w:rPr>
      </w:pPr>
      <w:r>
        <w:rPr>
          <w:rFonts w:hint="eastAsia" w:ascii="Times New Roman" w:hAnsi="Times New Roman"/>
          <w:b/>
          <w:color w:val="auto"/>
          <w:szCs w:val="21"/>
          <w:highlight w:val="none"/>
        </w:rPr>
        <w:t>政采云</w:t>
      </w:r>
      <w:r>
        <w:rPr>
          <w:rFonts w:ascii="Times New Roman" w:hAnsi="Times New Roman"/>
          <w:b/>
          <w:color w:val="auto"/>
          <w:szCs w:val="21"/>
          <w:highlight w:val="none"/>
        </w:rPr>
        <w:t>项目编号：</w:t>
      </w:r>
      <w:r>
        <w:rPr>
          <w:rFonts w:hint="eastAsia" w:ascii="Times New Roman" w:hAnsi="Times New Roman"/>
          <w:b/>
          <w:color w:val="auto"/>
          <w:szCs w:val="21"/>
          <w:highlight w:val="none"/>
        </w:rPr>
        <w:t xml:space="preserve">             </w:t>
      </w:r>
    </w:p>
    <w:tbl>
      <w:tblPr>
        <w:tblStyle w:val="39"/>
        <w:tblW w:w="977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1278"/>
        <w:gridCol w:w="1134"/>
        <w:gridCol w:w="1134"/>
        <w:gridCol w:w="1418"/>
        <w:gridCol w:w="1417"/>
        <w:gridCol w:w="1134"/>
      </w:tblGrid>
      <w:tr w14:paraId="10E27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2261" w:type="dxa"/>
            <w:noWrap/>
            <w:vAlign w:val="center"/>
          </w:tcPr>
          <w:p w14:paraId="494BD439">
            <w:pPr>
              <w:jc w:val="center"/>
              <w:rPr>
                <w:rFonts w:ascii="Times New Roman" w:hAnsi="Times New Roman"/>
                <w:b/>
                <w:color w:val="auto"/>
                <w:szCs w:val="21"/>
                <w:highlight w:val="none"/>
              </w:rPr>
            </w:pPr>
            <w:r>
              <w:rPr>
                <w:rFonts w:ascii="Times New Roman" w:hAnsi="Times New Roman"/>
                <w:b/>
                <w:color w:val="auto"/>
                <w:szCs w:val="21"/>
                <w:highlight w:val="none"/>
              </w:rPr>
              <w:t>投标人名称</w:t>
            </w:r>
          </w:p>
        </w:tc>
        <w:tc>
          <w:tcPr>
            <w:tcW w:w="1278" w:type="dxa"/>
            <w:noWrap/>
            <w:vAlign w:val="center"/>
          </w:tcPr>
          <w:p w14:paraId="7D1971AF">
            <w:pPr>
              <w:jc w:val="center"/>
              <w:rPr>
                <w:rFonts w:ascii="Times New Roman" w:hAnsi="Times New Roman"/>
                <w:b/>
                <w:color w:val="auto"/>
                <w:szCs w:val="21"/>
                <w:highlight w:val="none"/>
              </w:rPr>
            </w:pPr>
            <w:r>
              <w:rPr>
                <w:rFonts w:ascii="Times New Roman" w:hAnsi="Times New Roman"/>
                <w:b/>
                <w:color w:val="auto"/>
                <w:szCs w:val="21"/>
                <w:highlight w:val="none"/>
              </w:rPr>
              <w:t>投标总报价</w:t>
            </w:r>
            <w:r>
              <w:rPr>
                <w:rFonts w:hint="eastAsia" w:ascii="Times New Roman" w:hAnsi="Times New Roman"/>
                <w:b/>
                <w:color w:val="auto"/>
                <w:szCs w:val="21"/>
                <w:highlight w:val="none"/>
              </w:rPr>
              <w:t>（元）</w:t>
            </w:r>
          </w:p>
        </w:tc>
        <w:tc>
          <w:tcPr>
            <w:tcW w:w="1134" w:type="dxa"/>
            <w:noWrap/>
            <w:vAlign w:val="center"/>
          </w:tcPr>
          <w:p w14:paraId="542B44C1">
            <w:pPr>
              <w:jc w:val="center"/>
              <w:rPr>
                <w:rFonts w:ascii="Times New Roman" w:hAnsi="Times New Roman"/>
                <w:b/>
                <w:color w:val="auto"/>
                <w:szCs w:val="21"/>
                <w:highlight w:val="none"/>
              </w:rPr>
            </w:pPr>
            <w:r>
              <w:rPr>
                <w:rFonts w:ascii="Times New Roman" w:hAnsi="Times New Roman"/>
                <w:b/>
                <w:color w:val="auto"/>
                <w:szCs w:val="21"/>
                <w:highlight w:val="none"/>
              </w:rPr>
              <w:t>交货期</w:t>
            </w:r>
          </w:p>
        </w:tc>
        <w:tc>
          <w:tcPr>
            <w:tcW w:w="1134" w:type="dxa"/>
            <w:vAlign w:val="center"/>
          </w:tcPr>
          <w:p w14:paraId="1AF97576">
            <w:pPr>
              <w:jc w:val="center"/>
              <w:rPr>
                <w:rFonts w:ascii="Times New Roman" w:hAnsi="Times New Roman"/>
                <w:b/>
                <w:color w:val="auto"/>
                <w:szCs w:val="21"/>
                <w:highlight w:val="none"/>
              </w:rPr>
            </w:pPr>
            <w:r>
              <w:rPr>
                <w:rFonts w:ascii="Times New Roman" w:hAnsi="Times New Roman"/>
                <w:b/>
                <w:color w:val="auto"/>
                <w:szCs w:val="21"/>
                <w:highlight w:val="none"/>
              </w:rPr>
              <w:t>交货方式</w:t>
            </w:r>
          </w:p>
        </w:tc>
        <w:tc>
          <w:tcPr>
            <w:tcW w:w="1418" w:type="dxa"/>
            <w:noWrap/>
            <w:vAlign w:val="center"/>
          </w:tcPr>
          <w:p w14:paraId="6F1BDF12">
            <w:pPr>
              <w:jc w:val="center"/>
              <w:rPr>
                <w:rFonts w:ascii="Times New Roman" w:hAnsi="Times New Roman"/>
                <w:b/>
                <w:color w:val="auto"/>
                <w:szCs w:val="21"/>
                <w:highlight w:val="none"/>
              </w:rPr>
            </w:pPr>
            <w:r>
              <w:rPr>
                <w:rFonts w:ascii="Times New Roman" w:hAnsi="Times New Roman"/>
                <w:b/>
                <w:color w:val="auto"/>
                <w:szCs w:val="21"/>
                <w:highlight w:val="none"/>
              </w:rPr>
              <w:t>交货地点</w:t>
            </w:r>
          </w:p>
        </w:tc>
        <w:tc>
          <w:tcPr>
            <w:tcW w:w="1417" w:type="dxa"/>
            <w:noWrap/>
            <w:vAlign w:val="center"/>
          </w:tcPr>
          <w:p w14:paraId="1B49A004">
            <w:pPr>
              <w:jc w:val="center"/>
              <w:rPr>
                <w:rFonts w:ascii="Times New Roman" w:hAnsi="Times New Roman"/>
                <w:b/>
                <w:color w:val="auto"/>
                <w:szCs w:val="21"/>
                <w:highlight w:val="none"/>
              </w:rPr>
            </w:pPr>
            <w:r>
              <w:rPr>
                <w:rFonts w:ascii="Times New Roman" w:hAnsi="Times New Roman"/>
                <w:b/>
                <w:color w:val="auto"/>
                <w:szCs w:val="21"/>
                <w:highlight w:val="none"/>
              </w:rPr>
              <w:t>质保期</w:t>
            </w:r>
          </w:p>
        </w:tc>
        <w:tc>
          <w:tcPr>
            <w:tcW w:w="1134" w:type="dxa"/>
            <w:noWrap/>
            <w:vAlign w:val="center"/>
          </w:tcPr>
          <w:p w14:paraId="728C7146">
            <w:pPr>
              <w:jc w:val="center"/>
              <w:rPr>
                <w:rFonts w:ascii="Times New Roman" w:hAnsi="Times New Roman"/>
                <w:b/>
                <w:color w:val="auto"/>
                <w:szCs w:val="21"/>
                <w:highlight w:val="none"/>
              </w:rPr>
            </w:pPr>
            <w:r>
              <w:rPr>
                <w:rFonts w:ascii="Times New Roman" w:hAnsi="Times New Roman"/>
                <w:b/>
                <w:color w:val="auto"/>
                <w:szCs w:val="21"/>
                <w:highlight w:val="none"/>
              </w:rPr>
              <w:t>备注</w:t>
            </w:r>
          </w:p>
        </w:tc>
      </w:tr>
      <w:tr w14:paraId="1CFA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2261" w:type="dxa"/>
            <w:noWrap/>
            <w:vAlign w:val="center"/>
          </w:tcPr>
          <w:p w14:paraId="5A07C766">
            <w:pPr>
              <w:rPr>
                <w:rFonts w:ascii="Times New Roman" w:hAnsi="Times New Roman"/>
                <w:color w:val="auto"/>
                <w:szCs w:val="21"/>
                <w:highlight w:val="none"/>
              </w:rPr>
            </w:pPr>
          </w:p>
        </w:tc>
        <w:tc>
          <w:tcPr>
            <w:tcW w:w="1278" w:type="dxa"/>
            <w:noWrap/>
            <w:vAlign w:val="center"/>
          </w:tcPr>
          <w:p w14:paraId="77797802">
            <w:pPr>
              <w:rPr>
                <w:rFonts w:ascii="Times New Roman" w:hAnsi="Times New Roman"/>
                <w:color w:val="auto"/>
                <w:szCs w:val="21"/>
                <w:highlight w:val="none"/>
              </w:rPr>
            </w:pPr>
            <w:r>
              <w:rPr>
                <w:rFonts w:ascii="Times New Roman" w:hAnsi="Times New Roman"/>
                <w:color w:val="auto"/>
                <w:szCs w:val="21"/>
                <w:highlight w:val="none"/>
              </w:rPr>
              <w:t>小写：</w:t>
            </w:r>
          </w:p>
          <w:p w14:paraId="09FDCA68">
            <w:pPr>
              <w:rPr>
                <w:rFonts w:ascii="Times New Roman" w:hAnsi="Times New Roman"/>
                <w:color w:val="auto"/>
                <w:szCs w:val="21"/>
                <w:highlight w:val="none"/>
              </w:rPr>
            </w:pPr>
            <w:r>
              <w:rPr>
                <w:rFonts w:ascii="Times New Roman" w:hAnsi="Times New Roman"/>
                <w:color w:val="auto"/>
                <w:szCs w:val="21"/>
                <w:highlight w:val="none"/>
              </w:rPr>
              <w:t>大写：</w:t>
            </w:r>
          </w:p>
        </w:tc>
        <w:tc>
          <w:tcPr>
            <w:tcW w:w="1134" w:type="dxa"/>
            <w:noWrap/>
            <w:vAlign w:val="center"/>
          </w:tcPr>
          <w:p w14:paraId="684ABDFD">
            <w:pPr>
              <w:rPr>
                <w:rFonts w:ascii="Times New Roman" w:hAnsi="Times New Roman"/>
                <w:color w:val="auto"/>
                <w:szCs w:val="21"/>
                <w:highlight w:val="none"/>
              </w:rPr>
            </w:pPr>
          </w:p>
        </w:tc>
        <w:tc>
          <w:tcPr>
            <w:tcW w:w="1134" w:type="dxa"/>
            <w:vAlign w:val="center"/>
          </w:tcPr>
          <w:p w14:paraId="16677452">
            <w:pPr>
              <w:rPr>
                <w:rFonts w:ascii="Times New Roman" w:hAnsi="Times New Roman"/>
                <w:color w:val="auto"/>
                <w:szCs w:val="21"/>
                <w:highlight w:val="none"/>
              </w:rPr>
            </w:pPr>
          </w:p>
        </w:tc>
        <w:tc>
          <w:tcPr>
            <w:tcW w:w="1418" w:type="dxa"/>
            <w:noWrap/>
            <w:vAlign w:val="center"/>
          </w:tcPr>
          <w:p w14:paraId="19E6265D">
            <w:pPr>
              <w:rPr>
                <w:rFonts w:ascii="Times New Roman" w:hAnsi="Times New Roman"/>
                <w:color w:val="auto"/>
                <w:szCs w:val="21"/>
                <w:highlight w:val="none"/>
              </w:rPr>
            </w:pPr>
          </w:p>
        </w:tc>
        <w:tc>
          <w:tcPr>
            <w:tcW w:w="1417" w:type="dxa"/>
            <w:noWrap/>
            <w:vAlign w:val="center"/>
          </w:tcPr>
          <w:p w14:paraId="2D5A7695">
            <w:pPr>
              <w:rPr>
                <w:rFonts w:ascii="Times New Roman" w:hAnsi="Times New Roman"/>
                <w:color w:val="auto"/>
                <w:szCs w:val="21"/>
                <w:highlight w:val="none"/>
              </w:rPr>
            </w:pPr>
          </w:p>
        </w:tc>
        <w:tc>
          <w:tcPr>
            <w:tcW w:w="1134" w:type="dxa"/>
            <w:noWrap/>
            <w:vAlign w:val="center"/>
          </w:tcPr>
          <w:p w14:paraId="0283FFD5">
            <w:pPr>
              <w:rPr>
                <w:rFonts w:ascii="Times New Roman" w:hAnsi="Times New Roman"/>
                <w:color w:val="auto"/>
                <w:szCs w:val="21"/>
                <w:highlight w:val="none"/>
              </w:rPr>
            </w:pPr>
          </w:p>
        </w:tc>
      </w:tr>
    </w:tbl>
    <w:p w14:paraId="49D1084F">
      <w:pPr>
        <w:spacing w:line="360" w:lineRule="auto"/>
        <w:ind w:firstLine="2" w:firstLineChars="1"/>
        <w:rPr>
          <w:rFonts w:ascii="Times New Roman" w:hAnsi="Times New Roman"/>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5B9D0AAF">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73388D99">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1DAC48B2">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32AFCF31">
            <w:pPr>
              <w:ind w:left="-922" w:leftChars="-439"/>
              <w:rPr>
                <w:rFonts w:ascii="Times New Roman" w:hAnsi="Times New Roman"/>
                <w:color w:val="auto"/>
                <w:szCs w:val="21"/>
                <w:highlight w:val="none"/>
              </w:rPr>
            </w:pPr>
          </w:p>
        </w:tc>
      </w:tr>
    </w:tbl>
    <w:p w14:paraId="756D897C">
      <w:pPr>
        <w:spacing w:line="360" w:lineRule="auto"/>
        <w:ind w:firstLine="4712"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06405C6D">
      <w:pPr>
        <w:rPr>
          <w:rFonts w:ascii="Times New Roman" w:hAnsi="Times New Roman"/>
          <w:b/>
          <w:color w:val="auto"/>
          <w:szCs w:val="21"/>
          <w:highlight w:val="none"/>
        </w:rPr>
      </w:pPr>
    </w:p>
    <w:p w14:paraId="6E26772B">
      <w:pPr>
        <w:rPr>
          <w:rFonts w:ascii="Times New Roman" w:hAnsi="Times New Roman"/>
          <w:b/>
          <w:color w:val="auto"/>
          <w:szCs w:val="21"/>
          <w:highlight w:val="none"/>
        </w:rPr>
      </w:pPr>
      <w:r>
        <w:rPr>
          <w:rFonts w:ascii="Times New Roman" w:hAnsi="Times New Roman"/>
          <w:b/>
          <w:color w:val="auto"/>
          <w:szCs w:val="21"/>
          <w:highlight w:val="none"/>
        </w:rPr>
        <w:t>注：</w:t>
      </w:r>
    </w:p>
    <w:p w14:paraId="54B6A7F4">
      <w:pPr>
        <w:spacing w:line="360" w:lineRule="auto"/>
        <w:ind w:left="359"/>
        <w:rPr>
          <w:rFonts w:ascii="Times New Roman" w:hAnsi="Times New Roman"/>
          <w:color w:val="auto"/>
          <w:szCs w:val="21"/>
          <w:highlight w:val="none"/>
        </w:rPr>
      </w:pPr>
      <w:r>
        <w:rPr>
          <w:rFonts w:ascii="Times New Roman" w:hAnsi="Times New Roman"/>
          <w:b/>
          <w:color w:val="auto"/>
          <w:szCs w:val="21"/>
          <w:highlight w:val="none"/>
        </w:rPr>
        <w:t>1.</w:t>
      </w:r>
      <w:r>
        <w:rPr>
          <w:rFonts w:ascii="Times New Roman" w:hAnsi="Times New Roman"/>
          <w:color w:val="auto"/>
          <w:szCs w:val="21"/>
          <w:highlight w:val="none"/>
        </w:rPr>
        <w:t>表中“</w:t>
      </w:r>
      <w:r>
        <w:rPr>
          <w:rFonts w:ascii="Times New Roman" w:hAnsi="Times New Roman"/>
          <w:b/>
          <w:color w:val="auto"/>
          <w:szCs w:val="21"/>
          <w:highlight w:val="none"/>
        </w:rPr>
        <w:t>投标总报价</w:t>
      </w:r>
      <w:r>
        <w:rPr>
          <w:rFonts w:ascii="Times New Roman" w:hAnsi="Times New Roman"/>
          <w:color w:val="auto"/>
          <w:szCs w:val="21"/>
          <w:highlight w:val="none"/>
        </w:rPr>
        <w:t>”应与“</w:t>
      </w:r>
      <w:r>
        <w:rPr>
          <w:rFonts w:ascii="Times New Roman" w:hAnsi="Times New Roman"/>
          <w:b/>
          <w:color w:val="auto"/>
          <w:szCs w:val="21"/>
          <w:highlight w:val="none"/>
        </w:rPr>
        <w:t>投标函</w:t>
      </w:r>
      <w:r>
        <w:rPr>
          <w:rFonts w:ascii="Times New Roman" w:hAnsi="Times New Roman"/>
          <w:color w:val="auto"/>
          <w:szCs w:val="21"/>
          <w:highlight w:val="none"/>
        </w:rPr>
        <w:t>”中“</w:t>
      </w:r>
      <w:r>
        <w:rPr>
          <w:rFonts w:ascii="Times New Roman" w:hAnsi="Times New Roman"/>
          <w:b/>
          <w:color w:val="auto"/>
          <w:szCs w:val="21"/>
          <w:highlight w:val="none"/>
        </w:rPr>
        <w:t>投标总报价</w:t>
      </w:r>
      <w:r>
        <w:rPr>
          <w:rFonts w:ascii="Times New Roman" w:hAnsi="Times New Roman"/>
          <w:color w:val="auto"/>
          <w:szCs w:val="21"/>
          <w:highlight w:val="none"/>
        </w:rPr>
        <w:t>”和</w:t>
      </w:r>
      <w:r>
        <w:rPr>
          <w:rFonts w:ascii="Times New Roman" w:hAnsi="Times New Roman"/>
          <w:b/>
          <w:bCs/>
          <w:color w:val="auto"/>
          <w:szCs w:val="21"/>
          <w:highlight w:val="none"/>
        </w:rPr>
        <w:t>“货物投标价格组成表”中“合计（元）”</w:t>
      </w:r>
      <w:r>
        <w:rPr>
          <w:rFonts w:ascii="Times New Roman" w:hAnsi="Times New Roman"/>
          <w:color w:val="auto"/>
          <w:szCs w:val="21"/>
          <w:highlight w:val="none"/>
        </w:rPr>
        <w:t>一致。</w:t>
      </w:r>
      <w:bookmarkStart w:id="125" w:name="_Hlk57073066"/>
    </w:p>
    <w:bookmarkEnd w:id="125"/>
    <w:p w14:paraId="7E5614E0">
      <w:pPr>
        <w:spacing w:line="360" w:lineRule="auto"/>
        <w:ind w:left="779"/>
        <w:rPr>
          <w:rFonts w:ascii="Times New Roman" w:hAnsi="Times New Roman"/>
          <w:b/>
          <w:color w:val="auto"/>
          <w:szCs w:val="21"/>
          <w:highlight w:val="none"/>
        </w:rPr>
      </w:pPr>
    </w:p>
    <w:p w14:paraId="476BE264">
      <w:pPr>
        <w:spacing w:line="360" w:lineRule="auto"/>
        <w:rPr>
          <w:rFonts w:ascii="Times New Roman" w:hAnsi="Times New Roman"/>
          <w:color w:val="auto"/>
          <w:sz w:val="24"/>
          <w:highlight w:val="none"/>
          <w:u w:val="single"/>
        </w:rPr>
        <w:sectPr>
          <w:headerReference r:id="rId7" w:type="first"/>
          <w:footerReference r:id="rId9" w:type="first"/>
          <w:footerReference r:id="rId8" w:type="default"/>
          <w:pgSz w:w="11906" w:h="16838"/>
          <w:pgMar w:top="794" w:right="992" w:bottom="851" w:left="1134" w:header="720" w:footer="562" w:gutter="0"/>
          <w:cols w:space="720" w:num="1"/>
          <w:docGrid w:type="lines" w:linePitch="331" w:charSpace="0"/>
        </w:sectPr>
      </w:pPr>
    </w:p>
    <w:p w14:paraId="10D8EA7A">
      <w:pPr>
        <w:pStyle w:val="2"/>
        <w:numPr>
          <w:ilvl w:val="0"/>
          <w:numId w:val="0"/>
        </w:numPr>
        <w:ind w:left="284"/>
        <w:rPr>
          <w:rFonts w:ascii="Times New Roman" w:hAnsi="Times New Roman" w:eastAsia="宋体"/>
          <w:color w:val="auto"/>
          <w:highlight w:val="none"/>
        </w:rPr>
      </w:pPr>
      <w:bookmarkStart w:id="126" w:name="_Toc31904"/>
      <w:bookmarkStart w:id="127" w:name="_Toc69912409"/>
      <w:bookmarkStart w:id="128" w:name="_Toc91696417"/>
      <w:bookmarkStart w:id="129" w:name="_Toc496520983"/>
      <w:r>
        <w:rPr>
          <w:rFonts w:ascii="Times New Roman" w:hAnsi="Times New Roman" w:eastAsia="宋体"/>
          <w:color w:val="auto"/>
          <w:highlight w:val="none"/>
        </w:rPr>
        <w:t>二、资格证明文件</w:t>
      </w:r>
      <w:bookmarkEnd w:id="126"/>
      <w:bookmarkEnd w:id="127"/>
      <w:bookmarkEnd w:id="128"/>
    </w:p>
    <w:p w14:paraId="6CA7FD1F">
      <w:pPr>
        <w:spacing w:line="500" w:lineRule="exact"/>
        <w:jc w:val="center"/>
        <w:rPr>
          <w:rFonts w:ascii="Times New Roman" w:hAnsi="Times New Roman"/>
          <w:b/>
          <w:color w:val="auto"/>
          <w:kern w:val="0"/>
          <w:sz w:val="30"/>
          <w:szCs w:val="30"/>
          <w:highlight w:val="none"/>
        </w:rPr>
      </w:pPr>
    </w:p>
    <w:p w14:paraId="03A66DF3">
      <w:pPr>
        <w:pStyle w:val="3"/>
        <w:numPr>
          <w:ilvl w:val="0"/>
          <w:numId w:val="0"/>
        </w:numPr>
        <w:ind w:left="425"/>
        <w:jc w:val="center"/>
        <w:rPr>
          <w:rFonts w:ascii="Times New Roman" w:hAnsi="Times New Roman" w:eastAsia="宋体"/>
          <w:color w:val="auto"/>
          <w:szCs w:val="28"/>
          <w:highlight w:val="none"/>
        </w:rPr>
      </w:pPr>
      <w:bookmarkStart w:id="130" w:name="_Toc69912410"/>
      <w:bookmarkStart w:id="131" w:name="_Toc91696418"/>
      <w:bookmarkStart w:id="132" w:name="_Toc15105"/>
      <w:bookmarkStart w:id="133" w:name="_Toc152862894"/>
      <w:r>
        <w:rPr>
          <w:rFonts w:ascii="Times New Roman" w:hAnsi="Times New Roman" w:eastAsia="宋体"/>
          <w:color w:val="auto"/>
          <w:szCs w:val="28"/>
          <w:highlight w:val="none"/>
        </w:rPr>
        <w:t>资格证明文件</w:t>
      </w:r>
      <w:bookmarkEnd w:id="129"/>
      <w:bookmarkEnd w:id="130"/>
      <w:bookmarkEnd w:id="131"/>
      <w:bookmarkEnd w:id="132"/>
      <w:bookmarkEnd w:id="133"/>
    </w:p>
    <w:p w14:paraId="22D4B51B">
      <w:pPr>
        <w:rPr>
          <w:rFonts w:ascii="Times New Roman" w:hAnsi="Times New Roman"/>
          <w:color w:val="auto"/>
          <w:sz w:val="24"/>
          <w:highlight w:val="none"/>
        </w:rPr>
      </w:pPr>
    </w:p>
    <w:p w14:paraId="55349EA1">
      <w:pPr>
        <w:numPr>
          <w:ilvl w:val="0"/>
          <w:numId w:val="7"/>
        </w:numPr>
        <w:spacing w:line="360" w:lineRule="auto"/>
        <w:rPr>
          <w:rFonts w:ascii="Times New Roman" w:hAnsi="Times New Roman"/>
          <w:color w:val="auto"/>
          <w:szCs w:val="21"/>
          <w:highlight w:val="none"/>
        </w:rPr>
      </w:pPr>
      <w:r>
        <w:rPr>
          <w:rFonts w:ascii="Times New Roman" w:hAnsi="Times New Roman"/>
          <w:color w:val="auto"/>
          <w:szCs w:val="21"/>
          <w:highlight w:val="none"/>
        </w:rPr>
        <w:t>投标人应按所附格式要求填写并提交。</w:t>
      </w:r>
    </w:p>
    <w:p w14:paraId="5EB66DD0">
      <w:pPr>
        <w:numPr>
          <w:ilvl w:val="0"/>
          <w:numId w:val="7"/>
        </w:numPr>
        <w:spacing w:line="360" w:lineRule="auto"/>
        <w:rPr>
          <w:rFonts w:ascii="Times New Roman" w:hAnsi="Times New Roman"/>
          <w:color w:val="auto"/>
          <w:szCs w:val="21"/>
          <w:highlight w:val="none"/>
        </w:rPr>
      </w:pPr>
      <w:r>
        <w:rPr>
          <w:rFonts w:ascii="Times New Roman" w:hAnsi="Times New Roman"/>
          <w:color w:val="auto"/>
          <w:szCs w:val="21"/>
          <w:highlight w:val="none"/>
        </w:rPr>
        <w:t>资格声明中的签字人应保证全部声明和填写的内容是真实的和正确的。</w:t>
      </w:r>
    </w:p>
    <w:p w14:paraId="179FB0E9">
      <w:pPr>
        <w:numPr>
          <w:ilvl w:val="0"/>
          <w:numId w:val="7"/>
        </w:numPr>
        <w:spacing w:line="360" w:lineRule="auto"/>
        <w:rPr>
          <w:rFonts w:ascii="Times New Roman" w:hAnsi="Times New Roman"/>
          <w:color w:val="auto"/>
          <w:szCs w:val="21"/>
          <w:highlight w:val="none"/>
        </w:rPr>
      </w:pPr>
      <w:r>
        <w:rPr>
          <w:rFonts w:ascii="Times New Roman" w:hAnsi="Times New Roman"/>
          <w:color w:val="auto"/>
          <w:szCs w:val="21"/>
          <w:highlight w:val="none"/>
        </w:rPr>
        <w:t>投标人提交的材料将被保密，但不退还。</w:t>
      </w:r>
    </w:p>
    <w:p w14:paraId="6452A725">
      <w:pPr>
        <w:rPr>
          <w:rFonts w:ascii="Times New Roman" w:hAnsi="Times New Roman"/>
          <w:color w:val="auto"/>
          <w:highlight w:val="none"/>
        </w:rPr>
      </w:pPr>
    </w:p>
    <w:p w14:paraId="51E321BD">
      <w:pPr>
        <w:spacing w:line="600" w:lineRule="exact"/>
        <w:rPr>
          <w:rFonts w:ascii="Times New Roman" w:hAnsi="Times New Roman"/>
          <w:b/>
          <w:color w:val="auto"/>
          <w:sz w:val="28"/>
          <w:szCs w:val="28"/>
          <w:highlight w:val="none"/>
        </w:rPr>
      </w:pPr>
      <w:r>
        <w:rPr>
          <w:rFonts w:ascii="Times New Roman" w:hAnsi="Times New Roman"/>
          <w:color w:val="auto"/>
          <w:highlight w:val="none"/>
        </w:rPr>
        <w:br w:type="page"/>
      </w:r>
      <w:r>
        <w:rPr>
          <w:rFonts w:ascii="Times New Roman" w:hAnsi="Times New Roman"/>
          <w:b/>
          <w:color w:val="auto"/>
          <w:sz w:val="28"/>
          <w:szCs w:val="28"/>
          <w:highlight w:val="none"/>
        </w:rPr>
        <w:t>资格证明文件-格式1：</w:t>
      </w:r>
    </w:p>
    <w:p w14:paraId="11922DB3">
      <w:pPr>
        <w:spacing w:line="600" w:lineRule="exact"/>
        <w:rPr>
          <w:rFonts w:ascii="Times New Roman" w:hAnsi="Times New Roman"/>
          <w:b/>
          <w:color w:val="auto"/>
          <w:sz w:val="28"/>
          <w:szCs w:val="28"/>
          <w:highlight w:val="none"/>
        </w:rPr>
      </w:pPr>
    </w:p>
    <w:p w14:paraId="2FEFDDEE">
      <w:pPr>
        <w:pStyle w:val="3"/>
        <w:numPr>
          <w:ilvl w:val="0"/>
          <w:numId w:val="0"/>
        </w:numPr>
        <w:ind w:left="425"/>
        <w:jc w:val="center"/>
        <w:rPr>
          <w:rFonts w:ascii="Times New Roman" w:hAnsi="Times New Roman" w:eastAsia="宋体"/>
          <w:color w:val="auto"/>
          <w:szCs w:val="28"/>
          <w:highlight w:val="none"/>
        </w:rPr>
      </w:pPr>
      <w:bookmarkStart w:id="134" w:name="_Toc152862895"/>
      <w:bookmarkStart w:id="135" w:name="_Toc91696419"/>
      <w:bookmarkStart w:id="136" w:name="_Toc496520984"/>
      <w:bookmarkStart w:id="137" w:name="_Toc69912411"/>
      <w:bookmarkStart w:id="138" w:name="_Toc493600016"/>
      <w:bookmarkStart w:id="139" w:name="_Toc6621"/>
      <w:r>
        <w:rPr>
          <w:rFonts w:ascii="Times New Roman" w:hAnsi="Times New Roman" w:eastAsia="宋体"/>
          <w:color w:val="auto"/>
          <w:szCs w:val="28"/>
          <w:highlight w:val="none"/>
        </w:rPr>
        <w:t>营业执照</w:t>
      </w:r>
      <w:bookmarkEnd w:id="134"/>
      <w:bookmarkEnd w:id="135"/>
      <w:bookmarkEnd w:id="136"/>
      <w:bookmarkEnd w:id="137"/>
      <w:bookmarkEnd w:id="138"/>
      <w:r>
        <w:rPr>
          <w:rFonts w:hint="eastAsia" w:ascii="Times New Roman" w:hAnsi="Times New Roman" w:eastAsia="宋体"/>
          <w:color w:val="auto"/>
          <w:szCs w:val="28"/>
          <w:highlight w:val="none"/>
        </w:rPr>
        <w:t>或同等凭证</w:t>
      </w:r>
      <w:bookmarkEnd w:id="139"/>
    </w:p>
    <w:p w14:paraId="2021CC41">
      <w:pPr>
        <w:spacing w:line="500" w:lineRule="exact"/>
        <w:jc w:val="center"/>
        <w:rPr>
          <w:rFonts w:ascii="Times New Roman" w:hAnsi="Times New Roman"/>
          <w:color w:val="auto"/>
          <w:szCs w:val="21"/>
          <w:highlight w:val="none"/>
        </w:rPr>
      </w:pPr>
      <w:r>
        <w:rPr>
          <w:rFonts w:ascii="Times New Roman" w:hAnsi="Times New Roman"/>
          <w:color w:val="auto"/>
          <w:szCs w:val="21"/>
          <w:highlight w:val="none"/>
        </w:rPr>
        <w:t>（</w:t>
      </w:r>
      <w:r>
        <w:rPr>
          <w:rFonts w:ascii="Times New Roman" w:hAnsi="Times New Roman"/>
          <w:color w:val="auto"/>
          <w:spacing w:val="6"/>
          <w:szCs w:val="21"/>
          <w:highlight w:val="none"/>
        </w:rPr>
        <w:t>注：投标人提供相关证明材料扫描件</w:t>
      </w:r>
      <w:r>
        <w:rPr>
          <w:rFonts w:ascii="Times New Roman" w:hAnsi="Times New Roman"/>
          <w:color w:val="auto"/>
          <w:szCs w:val="21"/>
          <w:highlight w:val="none"/>
        </w:rPr>
        <w:t>）</w:t>
      </w:r>
    </w:p>
    <w:p w14:paraId="4BA59674">
      <w:pPr>
        <w:spacing w:line="500" w:lineRule="exact"/>
        <w:ind w:firstLine="420" w:firstLineChars="200"/>
        <w:jc w:val="center"/>
        <w:rPr>
          <w:rFonts w:ascii="Times New Roman" w:hAnsi="Times New Roman"/>
          <w:color w:val="auto"/>
          <w:szCs w:val="21"/>
          <w:highlight w:val="none"/>
        </w:rPr>
      </w:pPr>
      <w:bookmarkStart w:id="140" w:name="_Toc213141105"/>
      <w:bookmarkStart w:id="141" w:name="_Toc493600017"/>
      <w:bookmarkStart w:id="142" w:name="_Toc496520985"/>
    </w:p>
    <w:p w14:paraId="2A89CCDD">
      <w:pPr>
        <w:spacing w:line="500" w:lineRule="exact"/>
        <w:ind w:firstLine="420" w:firstLineChars="200"/>
        <w:jc w:val="center"/>
        <w:rPr>
          <w:rFonts w:ascii="Times New Roman" w:hAnsi="Times New Roman"/>
          <w:color w:val="auto"/>
          <w:szCs w:val="21"/>
          <w:highlight w:val="none"/>
        </w:rPr>
      </w:pPr>
    </w:p>
    <w:p w14:paraId="03850345">
      <w:pPr>
        <w:spacing w:line="500" w:lineRule="exact"/>
        <w:ind w:firstLine="420" w:firstLineChars="200"/>
        <w:jc w:val="center"/>
        <w:rPr>
          <w:rFonts w:ascii="Times New Roman" w:hAnsi="Times New Roman"/>
          <w:color w:val="auto"/>
          <w:szCs w:val="21"/>
          <w:highlight w:val="none"/>
        </w:rPr>
      </w:pPr>
    </w:p>
    <w:bookmarkEnd w:id="140"/>
    <w:bookmarkEnd w:id="141"/>
    <w:bookmarkEnd w:id="142"/>
    <w:p w14:paraId="20DB1E66">
      <w:pPr>
        <w:spacing w:line="600" w:lineRule="exact"/>
        <w:rPr>
          <w:rFonts w:ascii="Times New Roman" w:hAnsi="Times New Roman"/>
          <w:b/>
          <w:color w:val="auto"/>
          <w:sz w:val="28"/>
          <w:szCs w:val="28"/>
          <w:highlight w:val="none"/>
        </w:rPr>
      </w:pPr>
      <w:r>
        <w:rPr>
          <w:rFonts w:ascii="Times New Roman" w:hAnsi="Times New Roman"/>
          <w:color w:val="auto"/>
          <w:szCs w:val="21"/>
          <w:highlight w:val="none"/>
        </w:rPr>
        <w:br w:type="page"/>
      </w:r>
      <w:r>
        <w:rPr>
          <w:rFonts w:ascii="Times New Roman" w:hAnsi="Times New Roman"/>
          <w:b/>
          <w:color w:val="auto"/>
          <w:sz w:val="28"/>
          <w:szCs w:val="28"/>
          <w:highlight w:val="none"/>
        </w:rPr>
        <w:t>资格证明文件-格式2：</w:t>
      </w:r>
    </w:p>
    <w:p w14:paraId="1129E89A">
      <w:pPr>
        <w:spacing w:line="600" w:lineRule="exact"/>
        <w:rPr>
          <w:rFonts w:ascii="Times New Roman" w:hAnsi="Times New Roman"/>
          <w:b/>
          <w:color w:val="auto"/>
          <w:sz w:val="28"/>
          <w:szCs w:val="28"/>
          <w:highlight w:val="none"/>
        </w:rPr>
      </w:pPr>
    </w:p>
    <w:p w14:paraId="0FCD229B">
      <w:pPr>
        <w:pStyle w:val="3"/>
        <w:numPr>
          <w:ilvl w:val="0"/>
          <w:numId w:val="0"/>
        </w:numPr>
        <w:ind w:left="425"/>
        <w:jc w:val="center"/>
        <w:rPr>
          <w:rFonts w:ascii="Times New Roman" w:hAnsi="Times New Roman" w:eastAsia="宋体"/>
          <w:color w:val="auto"/>
          <w:szCs w:val="28"/>
          <w:highlight w:val="none"/>
        </w:rPr>
      </w:pPr>
      <w:bookmarkStart w:id="143" w:name="_Toc493600018"/>
      <w:bookmarkStart w:id="144" w:name="_Toc8063"/>
      <w:bookmarkStart w:id="145" w:name="_Toc152862897"/>
      <w:bookmarkStart w:id="146" w:name="_Toc496520986"/>
      <w:bookmarkStart w:id="147" w:name="_Toc91696421"/>
      <w:bookmarkStart w:id="148" w:name="_Toc69912413"/>
      <w:r>
        <w:rPr>
          <w:rFonts w:ascii="Times New Roman" w:hAnsi="Times New Roman" w:eastAsia="宋体"/>
          <w:color w:val="auto"/>
          <w:szCs w:val="28"/>
          <w:highlight w:val="none"/>
        </w:rPr>
        <w:t>法定代表人身份证明书</w:t>
      </w:r>
      <w:bookmarkEnd w:id="143"/>
      <w:bookmarkEnd w:id="144"/>
      <w:bookmarkEnd w:id="145"/>
      <w:bookmarkEnd w:id="146"/>
      <w:bookmarkEnd w:id="147"/>
      <w:bookmarkEnd w:id="148"/>
    </w:p>
    <w:p w14:paraId="4BB552CC">
      <w:pPr>
        <w:spacing w:line="440" w:lineRule="exact"/>
        <w:jc w:val="center"/>
        <w:rPr>
          <w:rFonts w:ascii="Times New Roman" w:hAnsi="Times New Roman"/>
          <w:b/>
          <w:color w:val="auto"/>
          <w:sz w:val="30"/>
          <w:szCs w:val="30"/>
          <w:highlight w:val="none"/>
        </w:rPr>
      </w:pPr>
    </w:p>
    <w:p w14:paraId="063648AF">
      <w:pPr>
        <w:spacing w:line="360" w:lineRule="auto"/>
        <w:rPr>
          <w:rFonts w:ascii="Times New Roman" w:hAnsi="Times New Roman"/>
          <w:color w:val="auto"/>
          <w:szCs w:val="21"/>
          <w:highlight w:val="none"/>
        </w:rPr>
      </w:pPr>
      <w:r>
        <w:rPr>
          <w:rFonts w:ascii="Times New Roman" w:hAnsi="Times New Roman"/>
          <w:color w:val="auto"/>
          <w:szCs w:val="21"/>
          <w:highlight w:val="none"/>
        </w:rPr>
        <w:t>投标人名称：</w:t>
      </w:r>
    </w:p>
    <w:p w14:paraId="6B8F1C9E">
      <w:pPr>
        <w:spacing w:line="360" w:lineRule="auto"/>
        <w:rPr>
          <w:rFonts w:ascii="Times New Roman" w:hAnsi="Times New Roman"/>
          <w:color w:val="auto"/>
          <w:szCs w:val="21"/>
          <w:highlight w:val="none"/>
        </w:rPr>
      </w:pPr>
      <w:r>
        <w:rPr>
          <w:rFonts w:ascii="Times New Roman" w:hAnsi="Times New Roman"/>
          <w:color w:val="auto"/>
          <w:szCs w:val="21"/>
          <w:highlight w:val="none"/>
        </w:rPr>
        <w:t>单位性质：</w:t>
      </w:r>
    </w:p>
    <w:p w14:paraId="6C49B855">
      <w:pPr>
        <w:spacing w:line="360" w:lineRule="auto"/>
        <w:rPr>
          <w:rFonts w:ascii="Times New Roman" w:hAnsi="Times New Roman"/>
          <w:color w:val="auto"/>
          <w:szCs w:val="21"/>
          <w:highlight w:val="none"/>
        </w:rPr>
      </w:pPr>
      <w:r>
        <w:rPr>
          <w:rFonts w:ascii="Times New Roman" w:hAnsi="Times New Roman"/>
          <w:color w:val="auto"/>
          <w:szCs w:val="21"/>
          <w:highlight w:val="none"/>
        </w:rPr>
        <w:t>成立时间：年月日</w:t>
      </w:r>
    </w:p>
    <w:p w14:paraId="6331741C">
      <w:pPr>
        <w:spacing w:line="360" w:lineRule="auto"/>
        <w:rPr>
          <w:rFonts w:ascii="Times New Roman" w:hAnsi="Times New Roman"/>
          <w:color w:val="auto"/>
          <w:szCs w:val="21"/>
          <w:highlight w:val="none"/>
        </w:rPr>
      </w:pPr>
      <w:r>
        <w:rPr>
          <w:rFonts w:ascii="Times New Roman" w:hAnsi="Times New Roman"/>
          <w:color w:val="auto"/>
          <w:szCs w:val="21"/>
          <w:highlight w:val="none"/>
        </w:rPr>
        <w:t>经营期限：</w:t>
      </w:r>
    </w:p>
    <w:p w14:paraId="7B405147">
      <w:pPr>
        <w:spacing w:line="360" w:lineRule="auto"/>
        <w:rPr>
          <w:rFonts w:ascii="Times New Roman" w:hAnsi="Times New Roman"/>
          <w:color w:val="auto"/>
          <w:szCs w:val="21"/>
          <w:highlight w:val="none"/>
        </w:rPr>
      </w:pPr>
      <w:r>
        <w:rPr>
          <w:rFonts w:ascii="Times New Roman" w:hAnsi="Times New Roman"/>
          <w:color w:val="auto"/>
          <w:szCs w:val="21"/>
          <w:highlight w:val="none"/>
        </w:rPr>
        <w:t>姓名：性别：年龄：职务：</w:t>
      </w:r>
    </w:p>
    <w:p w14:paraId="6D7AFB57">
      <w:pPr>
        <w:spacing w:line="360" w:lineRule="auto"/>
        <w:rPr>
          <w:rFonts w:ascii="Times New Roman" w:hAnsi="Times New Roman"/>
          <w:color w:val="auto"/>
          <w:szCs w:val="21"/>
          <w:highlight w:val="none"/>
        </w:rPr>
      </w:pPr>
      <w:r>
        <w:rPr>
          <w:rFonts w:ascii="Times New Roman" w:hAnsi="Times New Roman"/>
          <w:color w:val="auto"/>
          <w:szCs w:val="21"/>
          <w:highlight w:val="none"/>
        </w:rPr>
        <w:t>系（投标人名称）的法定代表人。</w:t>
      </w:r>
    </w:p>
    <w:p w14:paraId="22091DD6">
      <w:pPr>
        <w:spacing w:line="360" w:lineRule="auto"/>
        <w:rPr>
          <w:rFonts w:ascii="Times New Roman" w:hAnsi="Times New Roman"/>
          <w:color w:val="auto"/>
          <w:szCs w:val="21"/>
          <w:highlight w:val="none"/>
        </w:rPr>
      </w:pPr>
    </w:p>
    <w:p w14:paraId="52CA5D81">
      <w:pPr>
        <w:spacing w:line="360" w:lineRule="auto"/>
        <w:ind w:firstLine="420" w:firstLineChars="200"/>
        <w:rPr>
          <w:rFonts w:ascii="Times New Roman" w:hAnsi="Times New Roman"/>
          <w:color w:val="auto"/>
          <w:szCs w:val="21"/>
          <w:highlight w:val="none"/>
        </w:rPr>
      </w:pPr>
    </w:p>
    <w:p w14:paraId="3871F1A2">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特此证明。</w:t>
      </w:r>
    </w:p>
    <w:p w14:paraId="064FB08B">
      <w:pPr>
        <w:spacing w:line="360" w:lineRule="auto"/>
        <w:rPr>
          <w:rFonts w:ascii="Times New Roman" w:hAnsi="Times New Roman"/>
          <w:color w:val="auto"/>
          <w:szCs w:val="21"/>
          <w:highlight w:val="none"/>
        </w:rPr>
      </w:pPr>
    </w:p>
    <w:p w14:paraId="3A346C0F">
      <w:pPr>
        <w:spacing w:line="360" w:lineRule="auto"/>
        <w:rPr>
          <w:rFonts w:ascii="Times New Roman" w:hAnsi="Times New Roman"/>
          <w:color w:val="auto"/>
          <w:szCs w:val="21"/>
          <w:highlight w:val="none"/>
        </w:rPr>
      </w:pPr>
    </w:p>
    <w:p w14:paraId="082251B2">
      <w:pPr>
        <w:spacing w:line="500" w:lineRule="exact"/>
        <w:ind w:firstLine="420"/>
        <w:rPr>
          <w:rFonts w:ascii="Times New Roman" w:hAnsi="Times New Roman"/>
          <w:b/>
          <w:bCs/>
          <w:color w:val="auto"/>
          <w:szCs w:val="21"/>
          <w:highlight w:val="none"/>
        </w:rPr>
      </w:pPr>
      <w:r>
        <w:rPr>
          <w:rFonts w:ascii="Times New Roman" w:hAnsi="Times New Roman"/>
          <w:b/>
          <w:bCs/>
          <w:color w:val="auto"/>
          <w:szCs w:val="21"/>
          <w:highlight w:val="none"/>
        </w:rPr>
        <w:t>注: 后附法定代表人身份证（扫描件），否则视为无效证明书。</w:t>
      </w:r>
    </w:p>
    <w:p w14:paraId="27A4CFC4">
      <w:pPr>
        <w:spacing w:line="360" w:lineRule="auto"/>
        <w:rPr>
          <w:rFonts w:ascii="Times New Roman" w:hAnsi="Times New Roman"/>
          <w:color w:val="auto"/>
          <w:szCs w:val="21"/>
          <w:highlight w:val="none"/>
        </w:rPr>
      </w:pPr>
    </w:p>
    <w:p w14:paraId="78C34B38">
      <w:pPr>
        <w:spacing w:line="360" w:lineRule="auto"/>
        <w:rPr>
          <w:rFonts w:ascii="Times New Roman" w:hAnsi="Times New Roman"/>
          <w:color w:val="auto"/>
          <w:szCs w:val="21"/>
          <w:highlight w:val="none"/>
        </w:rPr>
      </w:pPr>
    </w:p>
    <w:p w14:paraId="7729AC4F">
      <w:pPr>
        <w:spacing w:line="360" w:lineRule="auto"/>
        <w:rPr>
          <w:rFonts w:ascii="Times New Roman" w:hAnsi="Times New Roman"/>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4AE6B714">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14C45467">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7769000E">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100A54EF">
            <w:pPr>
              <w:ind w:left="-921" w:leftChars="-439"/>
              <w:rPr>
                <w:rFonts w:ascii="Times New Roman" w:hAnsi="Times New Roman"/>
                <w:color w:val="auto"/>
                <w:szCs w:val="21"/>
                <w:highlight w:val="none"/>
              </w:rPr>
            </w:pPr>
          </w:p>
        </w:tc>
      </w:tr>
    </w:tbl>
    <w:p w14:paraId="123411E0">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729E6A5B">
      <w:pPr>
        <w:spacing w:line="360" w:lineRule="auto"/>
        <w:ind w:left="5397" w:leftChars="2570"/>
        <w:rPr>
          <w:rFonts w:ascii="Times New Roman" w:hAnsi="Times New Roman"/>
          <w:color w:val="auto"/>
          <w:szCs w:val="21"/>
          <w:highlight w:val="none"/>
        </w:rPr>
      </w:pPr>
    </w:p>
    <w:p w14:paraId="426316CD">
      <w:pPr>
        <w:spacing w:line="360" w:lineRule="auto"/>
        <w:rPr>
          <w:rFonts w:ascii="Times New Roman" w:hAnsi="Times New Roman"/>
          <w:color w:val="auto"/>
          <w:szCs w:val="21"/>
          <w:highlight w:val="none"/>
        </w:rPr>
      </w:pPr>
    </w:p>
    <w:p w14:paraId="6E6E861E">
      <w:pPr>
        <w:spacing w:line="600" w:lineRule="exact"/>
        <w:rPr>
          <w:rFonts w:ascii="Times New Roman" w:hAnsi="Times New Roman"/>
          <w:b/>
          <w:color w:val="auto"/>
          <w:sz w:val="28"/>
          <w:szCs w:val="28"/>
          <w:highlight w:val="none"/>
        </w:rPr>
      </w:pPr>
      <w:r>
        <w:rPr>
          <w:rFonts w:ascii="Times New Roman" w:hAnsi="Times New Roman"/>
          <w:b/>
          <w:color w:val="auto"/>
          <w:szCs w:val="21"/>
          <w:highlight w:val="none"/>
        </w:rPr>
        <w:br w:type="page"/>
      </w:r>
      <w:r>
        <w:rPr>
          <w:rFonts w:ascii="Times New Roman" w:hAnsi="Times New Roman"/>
          <w:b/>
          <w:color w:val="auto"/>
          <w:sz w:val="28"/>
          <w:szCs w:val="28"/>
          <w:highlight w:val="none"/>
        </w:rPr>
        <w:t>资格证明文件-格式3：</w:t>
      </w:r>
    </w:p>
    <w:p w14:paraId="211C3053">
      <w:pPr>
        <w:pStyle w:val="3"/>
        <w:numPr>
          <w:ilvl w:val="0"/>
          <w:numId w:val="0"/>
        </w:numPr>
        <w:ind w:left="425"/>
        <w:jc w:val="center"/>
        <w:rPr>
          <w:rFonts w:ascii="Times New Roman" w:hAnsi="Times New Roman" w:eastAsia="宋体"/>
          <w:color w:val="auto"/>
          <w:szCs w:val="28"/>
          <w:highlight w:val="none"/>
        </w:rPr>
      </w:pPr>
      <w:bookmarkStart w:id="149" w:name="_Toc91696422"/>
      <w:bookmarkStart w:id="150" w:name="_Toc152862898"/>
      <w:bookmarkStart w:id="151" w:name="_Toc69912414"/>
      <w:bookmarkStart w:id="152" w:name="_Toc5992"/>
      <w:bookmarkStart w:id="153" w:name="_Toc213141107"/>
      <w:bookmarkStart w:id="154" w:name="_Toc493600019"/>
      <w:bookmarkStart w:id="155" w:name="_Toc496520987"/>
      <w:r>
        <w:rPr>
          <w:rFonts w:ascii="Times New Roman" w:hAnsi="Times New Roman" w:eastAsia="宋体"/>
          <w:color w:val="auto"/>
          <w:szCs w:val="28"/>
          <w:highlight w:val="none"/>
        </w:rPr>
        <w:t>法定代表人授权委托书</w:t>
      </w:r>
      <w:bookmarkEnd w:id="149"/>
      <w:bookmarkEnd w:id="150"/>
      <w:bookmarkEnd w:id="151"/>
      <w:bookmarkEnd w:id="152"/>
      <w:bookmarkEnd w:id="153"/>
      <w:bookmarkEnd w:id="154"/>
      <w:bookmarkEnd w:id="155"/>
    </w:p>
    <w:p w14:paraId="5176AAB5">
      <w:pPr>
        <w:spacing w:line="500" w:lineRule="exact"/>
        <w:ind w:firstLine="420" w:firstLineChars="200"/>
        <w:jc w:val="center"/>
        <w:rPr>
          <w:rFonts w:ascii="Times New Roman" w:hAnsi="Times New Roman"/>
          <w:color w:val="auto"/>
          <w:szCs w:val="21"/>
          <w:highlight w:val="none"/>
        </w:rPr>
      </w:pPr>
      <w:bookmarkStart w:id="156" w:name="_Hlk57300265"/>
      <w:r>
        <w:rPr>
          <w:rFonts w:ascii="Times New Roman" w:hAnsi="Times New Roman"/>
          <w:color w:val="auto"/>
          <w:szCs w:val="21"/>
          <w:highlight w:val="none"/>
        </w:rPr>
        <w:t>（注：如为法定代表人在投标过程中签署一切文件和处理与之有关的一切事务，无需提供法定代表人授权委托书）</w:t>
      </w:r>
    </w:p>
    <w:bookmarkEnd w:id="156"/>
    <w:p w14:paraId="507FB154">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本授权书声明：</w:t>
      </w:r>
      <w:r>
        <w:rPr>
          <w:rFonts w:ascii="Times New Roman" w:hAnsi="Times New Roman"/>
          <w:color w:val="auto"/>
          <w:szCs w:val="21"/>
          <w:highlight w:val="none"/>
          <w:u w:val="single"/>
        </w:rPr>
        <w:t xml:space="preserve"> （投标人全称） </w:t>
      </w:r>
      <w:r>
        <w:rPr>
          <w:rFonts w:ascii="Times New Roman" w:hAnsi="Times New Roman"/>
          <w:color w:val="auto"/>
          <w:szCs w:val="21"/>
          <w:highlight w:val="none"/>
        </w:rPr>
        <w:t>的法定代表人代表本公司授权</w:t>
      </w:r>
      <w:r>
        <w:rPr>
          <w:rFonts w:ascii="Times New Roman" w:hAnsi="Times New Roman"/>
          <w:color w:val="auto"/>
          <w:szCs w:val="21"/>
          <w:highlight w:val="none"/>
          <w:u w:val="single"/>
        </w:rPr>
        <w:t>（委托代理人姓名）</w:t>
      </w:r>
      <w:r>
        <w:rPr>
          <w:rFonts w:ascii="Times New Roman" w:hAnsi="Times New Roman"/>
          <w:color w:val="auto"/>
          <w:szCs w:val="21"/>
          <w:highlight w:val="none"/>
        </w:rPr>
        <w:t>为本公司合法代理人，就贵方组织的有关</w:t>
      </w:r>
      <w:r>
        <w:rPr>
          <w:rFonts w:ascii="Times New Roman" w:hAnsi="Times New Roman"/>
          <w:color w:val="auto"/>
          <w:szCs w:val="21"/>
          <w:highlight w:val="none"/>
          <w:u w:val="single"/>
        </w:rPr>
        <w:t>（项目名称）</w:t>
      </w:r>
      <w:r>
        <w:rPr>
          <w:rFonts w:ascii="Times New Roman" w:hAnsi="Times New Roman"/>
          <w:color w:val="auto"/>
          <w:szCs w:val="21"/>
          <w:highlight w:val="none"/>
        </w:rPr>
        <w:t>项目（项目编号：）的招标，以本单位名义投标。代理人在本项目投标过程中所签署的一切文件和处理与之有关的一切事务，我方均予承认。</w:t>
      </w:r>
    </w:p>
    <w:p w14:paraId="4DC2B99C">
      <w:pPr>
        <w:spacing w:line="500" w:lineRule="exact"/>
        <w:ind w:firstLine="420"/>
        <w:rPr>
          <w:rFonts w:ascii="Times New Roman" w:hAnsi="Times New Roman"/>
          <w:color w:val="auto"/>
          <w:szCs w:val="21"/>
          <w:highlight w:val="none"/>
        </w:rPr>
      </w:pPr>
      <w:r>
        <w:rPr>
          <w:rFonts w:ascii="Times New Roman" w:hAnsi="Times New Roman"/>
          <w:color w:val="auto"/>
          <w:szCs w:val="21"/>
          <w:highlight w:val="none"/>
        </w:rPr>
        <w:t>代理人无转委托权。</w:t>
      </w:r>
    </w:p>
    <w:p w14:paraId="42576432">
      <w:pPr>
        <w:spacing w:line="500" w:lineRule="exact"/>
        <w:ind w:firstLine="420"/>
        <w:rPr>
          <w:rFonts w:ascii="Times New Roman" w:hAnsi="Times New Roman"/>
          <w:color w:val="auto"/>
          <w:szCs w:val="21"/>
          <w:highlight w:val="none"/>
        </w:rPr>
      </w:pPr>
    </w:p>
    <w:p w14:paraId="2DABB9CB">
      <w:pPr>
        <w:spacing w:line="360" w:lineRule="auto"/>
        <w:ind w:left="4193" w:leftChars="1350" w:hanging="1358" w:hangingChars="647"/>
        <w:rPr>
          <w:rFonts w:ascii="Times New Roman" w:hAnsi="Times New Roman"/>
          <w:b/>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p w14:paraId="30035C3E">
      <w:pPr>
        <w:spacing w:line="360" w:lineRule="auto"/>
        <w:ind w:left="4193" w:leftChars="1350" w:hanging="1358" w:hangingChars="647"/>
        <w:rPr>
          <w:rFonts w:ascii="Times New Roman" w:hAnsi="Times New Roman"/>
          <w:b/>
          <w:color w:val="auto"/>
          <w:szCs w:val="21"/>
          <w:highlight w:val="none"/>
        </w:rPr>
      </w:pPr>
    </w:p>
    <w:p w14:paraId="0BF6728B">
      <w:pPr>
        <w:spacing w:line="360" w:lineRule="auto"/>
        <w:ind w:left="4193" w:leftChars="1350" w:hanging="1358" w:hangingChars="647"/>
        <w:rPr>
          <w:rFonts w:ascii="Times New Roman" w:hAnsi="Times New Roman"/>
          <w:b/>
          <w:color w:val="auto"/>
          <w:szCs w:val="21"/>
          <w:highlight w:val="none"/>
        </w:rPr>
      </w:pPr>
      <w:r>
        <w:rPr>
          <w:rFonts w:ascii="Times New Roman" w:hAnsi="Times New Roman"/>
          <w:b/>
          <w:color w:val="auto"/>
          <w:szCs w:val="21"/>
          <w:highlight w:val="none"/>
        </w:rPr>
        <w:t>法定代表人（法定代表人签字或</w:t>
      </w:r>
      <w:r>
        <w:rPr>
          <w:rFonts w:hint="eastAsia" w:ascii="Times New Roman" w:hAnsi="Times New Roman"/>
          <w:b/>
          <w:color w:val="auto"/>
          <w:szCs w:val="21"/>
          <w:highlight w:val="none"/>
        </w:rPr>
        <w:t>电子签章</w:t>
      </w:r>
      <w:r>
        <w:rPr>
          <w:rFonts w:ascii="Times New Roman" w:hAnsi="Times New Roman"/>
          <w:b/>
          <w:color w:val="auto"/>
          <w:szCs w:val="21"/>
          <w:highlight w:val="none"/>
        </w:rPr>
        <w:t>）：</w:t>
      </w:r>
    </w:p>
    <w:p w14:paraId="089504EF">
      <w:pPr>
        <w:spacing w:line="360" w:lineRule="auto"/>
        <w:ind w:left="4193" w:leftChars="1350" w:hanging="1358" w:hangingChars="647"/>
        <w:rPr>
          <w:rFonts w:ascii="Times New Roman" w:hAnsi="Times New Roman"/>
          <w:b/>
          <w:color w:val="auto"/>
          <w:szCs w:val="21"/>
          <w:highlight w:val="none"/>
          <w:u w:val="single"/>
        </w:rPr>
      </w:pPr>
    </w:p>
    <w:p w14:paraId="57EAEE69">
      <w:pPr>
        <w:spacing w:line="360" w:lineRule="auto"/>
        <w:ind w:left="4193" w:leftChars="1350" w:hanging="1358" w:hangingChars="647"/>
        <w:rPr>
          <w:rFonts w:ascii="Times New Roman" w:hAnsi="Times New Roman"/>
          <w:b/>
          <w:color w:val="auto"/>
          <w:szCs w:val="21"/>
          <w:highlight w:val="none"/>
        </w:rPr>
      </w:pPr>
      <w:r>
        <w:rPr>
          <w:rFonts w:ascii="Times New Roman" w:hAnsi="Times New Roman"/>
          <w:b/>
          <w:color w:val="auto"/>
          <w:szCs w:val="21"/>
          <w:highlight w:val="none"/>
        </w:rPr>
        <w:t>签发日期：年月日</w:t>
      </w:r>
    </w:p>
    <w:p w14:paraId="6AC904B7">
      <w:pPr>
        <w:spacing w:line="500" w:lineRule="exact"/>
        <w:rPr>
          <w:rFonts w:ascii="Times New Roman" w:hAnsi="Times New Roman"/>
          <w:color w:val="auto"/>
          <w:szCs w:val="21"/>
          <w:highlight w:val="none"/>
        </w:rPr>
      </w:pPr>
      <w:r>
        <w:rPr>
          <w:rFonts w:ascii="Times New Roman" w:hAnsi="Times New Roman"/>
          <w:color w:val="auto"/>
          <w:szCs w:val="21"/>
          <w:highlight w:val="none"/>
        </w:rPr>
        <w:t>______________________________________________________________________________________</w:t>
      </w:r>
    </w:p>
    <w:tbl>
      <w:tblPr>
        <w:tblStyle w:val="39"/>
        <w:tblW w:w="5868" w:type="dxa"/>
        <w:tblInd w:w="720" w:type="dxa"/>
        <w:tblLayout w:type="fixed"/>
        <w:tblCellMar>
          <w:top w:w="0" w:type="dxa"/>
          <w:left w:w="108" w:type="dxa"/>
          <w:bottom w:w="0" w:type="dxa"/>
          <w:right w:w="108" w:type="dxa"/>
        </w:tblCellMar>
      </w:tblPr>
      <w:tblGrid>
        <w:gridCol w:w="1908"/>
        <w:gridCol w:w="3960"/>
      </w:tblGrid>
      <w:tr w14:paraId="6E43D3B9">
        <w:tblPrEx>
          <w:tblCellMar>
            <w:top w:w="0" w:type="dxa"/>
            <w:left w:w="108" w:type="dxa"/>
            <w:bottom w:w="0" w:type="dxa"/>
            <w:right w:w="108" w:type="dxa"/>
          </w:tblCellMar>
        </w:tblPrEx>
        <w:tc>
          <w:tcPr>
            <w:tcW w:w="1908" w:type="dxa"/>
            <w:tcBorders>
              <w:top w:val="nil"/>
              <w:left w:val="nil"/>
              <w:bottom w:val="nil"/>
              <w:right w:val="nil"/>
            </w:tcBorders>
            <w:noWrap/>
          </w:tcPr>
          <w:p w14:paraId="3CC6C0C4">
            <w:pPr>
              <w:spacing w:line="500" w:lineRule="exact"/>
              <w:rPr>
                <w:rFonts w:ascii="Times New Roman" w:hAnsi="Times New Roman"/>
                <w:color w:val="auto"/>
                <w:szCs w:val="21"/>
                <w:highlight w:val="none"/>
              </w:rPr>
            </w:pPr>
            <w:r>
              <w:rPr>
                <w:rFonts w:ascii="Times New Roman" w:hAnsi="Times New Roman"/>
                <w:color w:val="auto"/>
                <w:szCs w:val="21"/>
                <w:highlight w:val="none"/>
              </w:rPr>
              <w:t xml:space="preserve">附： </w:t>
            </w:r>
          </w:p>
        </w:tc>
        <w:tc>
          <w:tcPr>
            <w:tcW w:w="3960" w:type="dxa"/>
            <w:tcBorders>
              <w:top w:val="nil"/>
              <w:left w:val="nil"/>
              <w:bottom w:val="nil"/>
              <w:right w:val="nil"/>
            </w:tcBorders>
            <w:noWrap/>
          </w:tcPr>
          <w:p w14:paraId="2FDDE26A">
            <w:pPr>
              <w:spacing w:line="500" w:lineRule="exact"/>
              <w:rPr>
                <w:rFonts w:ascii="Times New Roman" w:hAnsi="Times New Roman"/>
                <w:color w:val="auto"/>
                <w:szCs w:val="21"/>
                <w:highlight w:val="none"/>
              </w:rPr>
            </w:pPr>
          </w:p>
        </w:tc>
      </w:tr>
      <w:tr w14:paraId="60E4DC1C">
        <w:tblPrEx>
          <w:tblCellMar>
            <w:top w:w="0" w:type="dxa"/>
            <w:left w:w="108" w:type="dxa"/>
            <w:bottom w:w="0" w:type="dxa"/>
            <w:right w:w="108" w:type="dxa"/>
          </w:tblCellMar>
        </w:tblPrEx>
        <w:tc>
          <w:tcPr>
            <w:tcW w:w="1908" w:type="dxa"/>
            <w:tcBorders>
              <w:top w:val="nil"/>
              <w:left w:val="nil"/>
              <w:bottom w:val="nil"/>
              <w:right w:val="nil"/>
            </w:tcBorders>
            <w:noWrap/>
          </w:tcPr>
          <w:p w14:paraId="3B1E4A88">
            <w:pPr>
              <w:spacing w:line="500" w:lineRule="exact"/>
              <w:jc w:val="distribute"/>
              <w:rPr>
                <w:rFonts w:ascii="Times New Roman" w:hAnsi="Times New Roman"/>
                <w:color w:val="auto"/>
                <w:szCs w:val="21"/>
                <w:highlight w:val="none"/>
              </w:rPr>
            </w:pPr>
            <w:r>
              <w:rPr>
                <w:rFonts w:ascii="Times New Roman" w:hAnsi="Times New Roman"/>
                <w:color w:val="auto"/>
                <w:szCs w:val="21"/>
                <w:highlight w:val="none"/>
              </w:rPr>
              <w:t>委托代理人姓名：</w:t>
            </w:r>
          </w:p>
        </w:tc>
        <w:tc>
          <w:tcPr>
            <w:tcW w:w="3960" w:type="dxa"/>
            <w:tcBorders>
              <w:top w:val="nil"/>
              <w:left w:val="nil"/>
              <w:bottom w:val="nil"/>
              <w:right w:val="nil"/>
            </w:tcBorders>
            <w:noWrap/>
          </w:tcPr>
          <w:p w14:paraId="141E13A8">
            <w:pPr>
              <w:spacing w:line="500" w:lineRule="exact"/>
              <w:rPr>
                <w:rFonts w:ascii="Times New Roman" w:hAnsi="Times New Roman"/>
                <w:color w:val="auto"/>
                <w:szCs w:val="21"/>
                <w:highlight w:val="none"/>
              </w:rPr>
            </w:pPr>
          </w:p>
        </w:tc>
      </w:tr>
      <w:tr w14:paraId="09A2D8E7">
        <w:tblPrEx>
          <w:tblCellMar>
            <w:top w:w="0" w:type="dxa"/>
            <w:left w:w="108" w:type="dxa"/>
            <w:bottom w:w="0" w:type="dxa"/>
            <w:right w:w="108" w:type="dxa"/>
          </w:tblCellMar>
        </w:tblPrEx>
        <w:tc>
          <w:tcPr>
            <w:tcW w:w="1908" w:type="dxa"/>
            <w:tcBorders>
              <w:top w:val="nil"/>
              <w:left w:val="nil"/>
              <w:bottom w:val="nil"/>
              <w:right w:val="nil"/>
            </w:tcBorders>
            <w:noWrap/>
          </w:tcPr>
          <w:p w14:paraId="46DD1455">
            <w:pPr>
              <w:spacing w:line="500" w:lineRule="exact"/>
              <w:jc w:val="distribute"/>
              <w:rPr>
                <w:rFonts w:ascii="Times New Roman" w:hAnsi="Times New Roman"/>
                <w:color w:val="auto"/>
                <w:szCs w:val="21"/>
                <w:highlight w:val="none"/>
              </w:rPr>
            </w:pPr>
            <w:r>
              <w:rPr>
                <w:rFonts w:ascii="Times New Roman" w:hAnsi="Times New Roman"/>
                <w:color w:val="auto"/>
                <w:szCs w:val="21"/>
                <w:highlight w:val="none"/>
              </w:rPr>
              <w:t>职       务：</w:t>
            </w:r>
          </w:p>
        </w:tc>
        <w:tc>
          <w:tcPr>
            <w:tcW w:w="3960" w:type="dxa"/>
            <w:tcBorders>
              <w:top w:val="nil"/>
              <w:left w:val="nil"/>
              <w:bottom w:val="nil"/>
              <w:right w:val="nil"/>
            </w:tcBorders>
            <w:noWrap/>
          </w:tcPr>
          <w:p w14:paraId="2A61EBE1">
            <w:pPr>
              <w:spacing w:line="500" w:lineRule="exact"/>
              <w:rPr>
                <w:rFonts w:ascii="Times New Roman" w:hAnsi="Times New Roman"/>
                <w:color w:val="auto"/>
                <w:szCs w:val="21"/>
                <w:highlight w:val="none"/>
              </w:rPr>
            </w:pPr>
          </w:p>
        </w:tc>
      </w:tr>
      <w:tr w14:paraId="7A188E6A">
        <w:tblPrEx>
          <w:tblCellMar>
            <w:top w:w="0" w:type="dxa"/>
            <w:left w:w="108" w:type="dxa"/>
            <w:bottom w:w="0" w:type="dxa"/>
            <w:right w:w="108" w:type="dxa"/>
          </w:tblCellMar>
        </w:tblPrEx>
        <w:tc>
          <w:tcPr>
            <w:tcW w:w="1908" w:type="dxa"/>
            <w:tcBorders>
              <w:top w:val="nil"/>
              <w:left w:val="nil"/>
              <w:bottom w:val="nil"/>
              <w:right w:val="nil"/>
            </w:tcBorders>
            <w:noWrap/>
          </w:tcPr>
          <w:p w14:paraId="4767D84E">
            <w:pPr>
              <w:spacing w:line="500" w:lineRule="exact"/>
              <w:jc w:val="distribute"/>
              <w:rPr>
                <w:rFonts w:ascii="Times New Roman" w:hAnsi="Times New Roman"/>
                <w:color w:val="auto"/>
                <w:szCs w:val="21"/>
                <w:highlight w:val="none"/>
              </w:rPr>
            </w:pPr>
            <w:r>
              <w:rPr>
                <w:rFonts w:ascii="Times New Roman" w:hAnsi="Times New Roman"/>
                <w:color w:val="auto"/>
                <w:szCs w:val="21"/>
                <w:highlight w:val="none"/>
              </w:rPr>
              <w:t>身份证号码：</w:t>
            </w:r>
          </w:p>
        </w:tc>
        <w:tc>
          <w:tcPr>
            <w:tcW w:w="3960" w:type="dxa"/>
            <w:tcBorders>
              <w:top w:val="nil"/>
              <w:left w:val="nil"/>
              <w:bottom w:val="nil"/>
              <w:right w:val="nil"/>
            </w:tcBorders>
            <w:noWrap/>
          </w:tcPr>
          <w:p w14:paraId="75E1FFA0">
            <w:pPr>
              <w:spacing w:line="500" w:lineRule="exact"/>
              <w:rPr>
                <w:rFonts w:ascii="Times New Roman" w:hAnsi="Times New Roman"/>
                <w:color w:val="auto"/>
                <w:szCs w:val="21"/>
                <w:highlight w:val="none"/>
              </w:rPr>
            </w:pPr>
          </w:p>
        </w:tc>
      </w:tr>
      <w:tr w14:paraId="7F7E75C2">
        <w:tblPrEx>
          <w:tblCellMar>
            <w:top w:w="0" w:type="dxa"/>
            <w:left w:w="108" w:type="dxa"/>
            <w:bottom w:w="0" w:type="dxa"/>
            <w:right w:w="108" w:type="dxa"/>
          </w:tblCellMar>
        </w:tblPrEx>
        <w:tc>
          <w:tcPr>
            <w:tcW w:w="1908" w:type="dxa"/>
            <w:tcBorders>
              <w:top w:val="nil"/>
              <w:left w:val="nil"/>
              <w:bottom w:val="nil"/>
              <w:right w:val="nil"/>
            </w:tcBorders>
            <w:noWrap/>
          </w:tcPr>
          <w:p w14:paraId="1B1C6AED">
            <w:pPr>
              <w:spacing w:line="500" w:lineRule="exact"/>
              <w:jc w:val="distribute"/>
              <w:rPr>
                <w:rFonts w:ascii="Times New Roman" w:hAnsi="Times New Roman"/>
                <w:color w:val="auto"/>
                <w:szCs w:val="21"/>
                <w:highlight w:val="none"/>
              </w:rPr>
            </w:pPr>
            <w:r>
              <w:rPr>
                <w:rFonts w:ascii="Times New Roman" w:hAnsi="Times New Roman"/>
                <w:color w:val="auto"/>
                <w:szCs w:val="21"/>
                <w:highlight w:val="none"/>
              </w:rPr>
              <w:t>详 细  地 址：</w:t>
            </w:r>
          </w:p>
        </w:tc>
        <w:tc>
          <w:tcPr>
            <w:tcW w:w="3960" w:type="dxa"/>
            <w:tcBorders>
              <w:top w:val="nil"/>
              <w:left w:val="nil"/>
              <w:bottom w:val="nil"/>
              <w:right w:val="nil"/>
            </w:tcBorders>
            <w:noWrap/>
          </w:tcPr>
          <w:p w14:paraId="2C3EC7A9">
            <w:pPr>
              <w:spacing w:line="500" w:lineRule="exact"/>
              <w:rPr>
                <w:rFonts w:ascii="Times New Roman" w:hAnsi="Times New Roman"/>
                <w:color w:val="auto"/>
                <w:szCs w:val="21"/>
                <w:highlight w:val="none"/>
              </w:rPr>
            </w:pPr>
          </w:p>
        </w:tc>
      </w:tr>
      <w:tr w14:paraId="1E34FDF4">
        <w:tblPrEx>
          <w:tblCellMar>
            <w:top w:w="0" w:type="dxa"/>
            <w:left w:w="108" w:type="dxa"/>
            <w:bottom w:w="0" w:type="dxa"/>
            <w:right w:w="108" w:type="dxa"/>
          </w:tblCellMar>
        </w:tblPrEx>
        <w:tc>
          <w:tcPr>
            <w:tcW w:w="1908" w:type="dxa"/>
            <w:tcBorders>
              <w:top w:val="nil"/>
              <w:left w:val="nil"/>
              <w:bottom w:val="nil"/>
              <w:right w:val="nil"/>
            </w:tcBorders>
            <w:noWrap/>
          </w:tcPr>
          <w:p w14:paraId="31788BBD">
            <w:pPr>
              <w:spacing w:line="500" w:lineRule="exact"/>
              <w:jc w:val="distribute"/>
              <w:rPr>
                <w:rFonts w:ascii="Times New Roman" w:hAnsi="Times New Roman"/>
                <w:color w:val="auto"/>
                <w:szCs w:val="21"/>
                <w:highlight w:val="none"/>
              </w:rPr>
            </w:pPr>
            <w:r>
              <w:rPr>
                <w:rFonts w:ascii="Times New Roman" w:hAnsi="Times New Roman"/>
                <w:color w:val="auto"/>
                <w:szCs w:val="21"/>
                <w:highlight w:val="none"/>
              </w:rPr>
              <w:t>电       话：</w:t>
            </w:r>
          </w:p>
        </w:tc>
        <w:tc>
          <w:tcPr>
            <w:tcW w:w="3960" w:type="dxa"/>
            <w:tcBorders>
              <w:top w:val="nil"/>
              <w:left w:val="nil"/>
              <w:bottom w:val="nil"/>
              <w:right w:val="nil"/>
            </w:tcBorders>
            <w:noWrap/>
          </w:tcPr>
          <w:p w14:paraId="789599AA">
            <w:pPr>
              <w:spacing w:line="500" w:lineRule="exact"/>
              <w:rPr>
                <w:rFonts w:ascii="Times New Roman" w:hAnsi="Times New Roman"/>
                <w:color w:val="auto"/>
                <w:szCs w:val="21"/>
                <w:highlight w:val="none"/>
              </w:rPr>
            </w:pPr>
          </w:p>
        </w:tc>
      </w:tr>
    </w:tbl>
    <w:p w14:paraId="71FF4265">
      <w:pPr>
        <w:spacing w:line="500" w:lineRule="exact"/>
        <w:ind w:firstLine="420"/>
        <w:rPr>
          <w:rFonts w:ascii="Times New Roman" w:hAnsi="Times New Roman"/>
          <w:b/>
          <w:bCs/>
          <w:color w:val="auto"/>
          <w:szCs w:val="21"/>
          <w:highlight w:val="none"/>
        </w:rPr>
      </w:pPr>
      <w:r>
        <w:rPr>
          <w:rFonts w:ascii="Times New Roman" w:hAnsi="Times New Roman"/>
          <w:b/>
          <w:bCs/>
          <w:color w:val="auto"/>
          <w:szCs w:val="21"/>
          <w:highlight w:val="none"/>
        </w:rPr>
        <w:t>注:1、后附委托代理人身份证（扫描件）</w:t>
      </w:r>
      <w:bookmarkStart w:id="157" w:name="_Hlk57300346"/>
      <w:r>
        <w:rPr>
          <w:rFonts w:ascii="Times New Roman" w:hAnsi="Times New Roman"/>
          <w:b/>
          <w:bCs/>
          <w:color w:val="auto"/>
          <w:szCs w:val="21"/>
          <w:highlight w:val="none"/>
        </w:rPr>
        <w:t>，否则视为无效委托书</w:t>
      </w:r>
      <w:bookmarkEnd w:id="157"/>
      <w:r>
        <w:rPr>
          <w:rFonts w:ascii="Times New Roman" w:hAnsi="Times New Roman"/>
          <w:b/>
          <w:bCs/>
          <w:color w:val="auto"/>
          <w:szCs w:val="21"/>
          <w:highlight w:val="none"/>
        </w:rPr>
        <w:t>。</w:t>
      </w:r>
    </w:p>
    <w:p w14:paraId="68A304D7">
      <w:pPr>
        <w:spacing w:line="500" w:lineRule="exact"/>
        <w:ind w:firstLine="420"/>
        <w:rPr>
          <w:rFonts w:ascii="Times New Roman" w:hAnsi="Times New Roman"/>
          <w:color w:val="auto"/>
          <w:szCs w:val="21"/>
          <w:highlight w:val="none"/>
        </w:rPr>
      </w:pPr>
      <w:r>
        <w:rPr>
          <w:rFonts w:ascii="Times New Roman" w:hAnsi="Times New Roman"/>
          <w:color w:val="auto"/>
          <w:szCs w:val="21"/>
          <w:highlight w:val="none"/>
        </w:rPr>
        <w:t>2、请务必注明委托代理人的有效联系方式（手机）。在评标过程中，如发生需要投标人对其所提交的投标文件中含义不明确、同类问题表述不一致或者有明显文字和计算错误的内容进行书面澄清或说明的情况，评标委员会将按照投标文件中注明的联系方式通知投标人进行澄清或说明（如为法定代表人在投标过程中签署一切文件和处理与之有关的一切事务，须在“</w:t>
      </w:r>
      <w:r>
        <w:rPr>
          <w:rFonts w:ascii="Times New Roman" w:hAnsi="Times New Roman"/>
          <w:color w:val="auto"/>
          <w:szCs w:val="28"/>
          <w:highlight w:val="none"/>
        </w:rPr>
        <w:t>法定代表人身份证明书</w:t>
      </w:r>
      <w:r>
        <w:rPr>
          <w:rFonts w:ascii="Times New Roman" w:hAnsi="Times New Roman"/>
          <w:color w:val="auto"/>
          <w:szCs w:val="21"/>
          <w:highlight w:val="none"/>
        </w:rPr>
        <w:t>”中明确法定代表人的有效联系方式）。</w:t>
      </w:r>
    </w:p>
    <w:p w14:paraId="50FD9887">
      <w:pPr>
        <w:spacing w:line="600" w:lineRule="exact"/>
        <w:rPr>
          <w:rFonts w:ascii="Times New Roman" w:hAnsi="Times New Roman"/>
          <w:b/>
          <w:color w:val="auto"/>
          <w:sz w:val="28"/>
          <w:szCs w:val="28"/>
          <w:highlight w:val="none"/>
        </w:rPr>
      </w:pPr>
      <w:r>
        <w:rPr>
          <w:rFonts w:ascii="Times New Roman" w:hAnsi="Times New Roman"/>
          <w:color w:val="auto"/>
          <w:sz w:val="24"/>
          <w:highlight w:val="none"/>
        </w:rPr>
        <w:br w:type="page"/>
      </w:r>
      <w:r>
        <w:rPr>
          <w:rFonts w:ascii="Times New Roman" w:hAnsi="Times New Roman"/>
          <w:b/>
          <w:color w:val="auto"/>
          <w:sz w:val="28"/>
          <w:szCs w:val="28"/>
          <w:highlight w:val="none"/>
        </w:rPr>
        <w:t>资格证明文件-格式4：</w:t>
      </w:r>
    </w:p>
    <w:p w14:paraId="2BD14684">
      <w:pPr>
        <w:spacing w:line="600" w:lineRule="exact"/>
        <w:rPr>
          <w:rFonts w:ascii="Times New Roman" w:hAnsi="Times New Roman"/>
          <w:b/>
          <w:color w:val="auto"/>
          <w:sz w:val="28"/>
          <w:szCs w:val="28"/>
          <w:highlight w:val="none"/>
        </w:rPr>
      </w:pPr>
    </w:p>
    <w:p w14:paraId="168AF6C5">
      <w:pPr>
        <w:pStyle w:val="3"/>
        <w:numPr>
          <w:ilvl w:val="0"/>
          <w:numId w:val="0"/>
        </w:numPr>
        <w:ind w:left="425"/>
        <w:jc w:val="center"/>
        <w:rPr>
          <w:rFonts w:ascii="Times New Roman" w:hAnsi="Times New Roman" w:eastAsia="宋体"/>
          <w:color w:val="auto"/>
          <w:szCs w:val="28"/>
          <w:highlight w:val="none"/>
        </w:rPr>
      </w:pPr>
      <w:bookmarkStart w:id="158" w:name="_Toc152862899"/>
      <w:bookmarkStart w:id="159" w:name="_Toc1773"/>
      <w:bookmarkStart w:id="160" w:name="_Toc69912415"/>
      <w:bookmarkStart w:id="161" w:name="_Toc91696423"/>
      <w:r>
        <w:rPr>
          <w:rFonts w:ascii="Times New Roman" w:hAnsi="Times New Roman" w:eastAsia="宋体"/>
          <w:color w:val="auto"/>
          <w:szCs w:val="28"/>
          <w:highlight w:val="none"/>
        </w:rPr>
        <w:t>投标人具有良好的商业信誉和健全的财务会计制度的证明材料</w:t>
      </w:r>
      <w:bookmarkEnd w:id="158"/>
      <w:bookmarkEnd w:id="159"/>
      <w:bookmarkEnd w:id="160"/>
      <w:bookmarkEnd w:id="161"/>
    </w:p>
    <w:p w14:paraId="6C299B9C">
      <w:pPr>
        <w:jc w:val="center"/>
        <w:rPr>
          <w:rFonts w:ascii="Times New Roman" w:hAnsi="Times New Roman"/>
          <w:color w:val="auto"/>
          <w:szCs w:val="21"/>
          <w:highlight w:val="none"/>
        </w:rPr>
      </w:pPr>
      <w:r>
        <w:rPr>
          <w:rFonts w:ascii="Times New Roman" w:hAnsi="Times New Roman"/>
          <w:color w:val="auto"/>
          <w:szCs w:val="21"/>
          <w:highlight w:val="none"/>
        </w:rPr>
        <w:t>（</w:t>
      </w:r>
      <w:r>
        <w:rPr>
          <w:rFonts w:ascii="Times New Roman" w:hAnsi="Times New Roman"/>
          <w:color w:val="auto"/>
          <w:spacing w:val="6"/>
          <w:szCs w:val="21"/>
          <w:highlight w:val="none"/>
        </w:rPr>
        <w:t>注：投标人提供相关证明材料扫描件</w:t>
      </w:r>
      <w:r>
        <w:rPr>
          <w:rFonts w:ascii="Times New Roman" w:hAnsi="Times New Roman"/>
          <w:color w:val="auto"/>
          <w:szCs w:val="21"/>
          <w:highlight w:val="none"/>
        </w:rPr>
        <w:t>）</w:t>
      </w:r>
    </w:p>
    <w:p w14:paraId="1343AAC8">
      <w:pPr>
        <w:spacing w:line="600" w:lineRule="exact"/>
        <w:rPr>
          <w:rFonts w:ascii="Times New Roman" w:hAnsi="Times New Roman"/>
          <w:b/>
          <w:color w:val="auto"/>
          <w:sz w:val="28"/>
          <w:szCs w:val="28"/>
          <w:highlight w:val="none"/>
        </w:rPr>
      </w:pPr>
      <w:r>
        <w:rPr>
          <w:rFonts w:ascii="Times New Roman" w:hAnsi="Times New Roman"/>
          <w:b/>
          <w:color w:val="auto"/>
          <w:sz w:val="28"/>
          <w:szCs w:val="28"/>
          <w:highlight w:val="none"/>
        </w:rPr>
        <w:br w:type="page"/>
      </w:r>
      <w:r>
        <w:rPr>
          <w:rFonts w:ascii="Times New Roman" w:hAnsi="Times New Roman"/>
          <w:b/>
          <w:color w:val="auto"/>
          <w:sz w:val="28"/>
          <w:szCs w:val="28"/>
          <w:highlight w:val="none"/>
        </w:rPr>
        <w:t>资格证明文件-格式5：</w:t>
      </w:r>
    </w:p>
    <w:p w14:paraId="25FB7EEB">
      <w:pPr>
        <w:spacing w:line="600" w:lineRule="exact"/>
        <w:rPr>
          <w:rFonts w:ascii="Times New Roman" w:hAnsi="Times New Roman"/>
          <w:b/>
          <w:color w:val="auto"/>
          <w:sz w:val="28"/>
          <w:szCs w:val="28"/>
          <w:highlight w:val="none"/>
        </w:rPr>
      </w:pPr>
    </w:p>
    <w:p w14:paraId="3C40C30E">
      <w:pPr>
        <w:pStyle w:val="3"/>
        <w:numPr>
          <w:ilvl w:val="0"/>
          <w:numId w:val="0"/>
        </w:numPr>
        <w:ind w:left="425"/>
        <w:jc w:val="center"/>
        <w:rPr>
          <w:rFonts w:ascii="Times New Roman" w:hAnsi="Times New Roman" w:eastAsia="宋体"/>
          <w:color w:val="auto"/>
          <w:szCs w:val="28"/>
          <w:highlight w:val="none"/>
        </w:rPr>
      </w:pPr>
      <w:bookmarkStart w:id="162" w:name="_Toc152862900"/>
      <w:bookmarkStart w:id="163" w:name="_Toc69912416"/>
      <w:bookmarkStart w:id="164" w:name="_Toc91696424"/>
      <w:bookmarkStart w:id="165" w:name="_Toc7572"/>
      <w:r>
        <w:rPr>
          <w:rFonts w:ascii="Times New Roman" w:hAnsi="Times New Roman" w:eastAsia="宋体"/>
          <w:color w:val="auto"/>
          <w:szCs w:val="28"/>
          <w:highlight w:val="none"/>
        </w:rPr>
        <w:t>投标人具有履行合同所必需的设备和专业技术能力（投标人提供书面声明或证明材料）</w:t>
      </w:r>
      <w:bookmarkEnd w:id="162"/>
      <w:bookmarkEnd w:id="163"/>
      <w:bookmarkEnd w:id="164"/>
      <w:bookmarkEnd w:id="165"/>
    </w:p>
    <w:p w14:paraId="1B87C715">
      <w:pPr>
        <w:jc w:val="center"/>
        <w:rPr>
          <w:rFonts w:ascii="Times New Roman" w:hAnsi="Times New Roman"/>
          <w:color w:val="auto"/>
          <w:highlight w:val="none"/>
        </w:rPr>
      </w:pPr>
      <w:r>
        <w:rPr>
          <w:rFonts w:ascii="Times New Roman" w:hAnsi="Times New Roman"/>
          <w:color w:val="auto"/>
          <w:spacing w:val="6"/>
          <w:szCs w:val="21"/>
          <w:highlight w:val="none"/>
        </w:rPr>
        <w:t>（注：投标人提供书面声明的，应在声明函中</w:t>
      </w:r>
      <w:r>
        <w:rPr>
          <w:rFonts w:hint="eastAsia" w:ascii="Times New Roman" w:hAnsi="Times New Roman"/>
          <w:color w:val="auto"/>
          <w:spacing w:val="6"/>
          <w:szCs w:val="21"/>
          <w:highlight w:val="none"/>
        </w:rPr>
        <w:t>加盖公章或电子签章</w:t>
      </w:r>
      <w:r>
        <w:rPr>
          <w:rFonts w:ascii="Times New Roman" w:hAnsi="Times New Roman"/>
          <w:color w:val="auto"/>
          <w:szCs w:val="28"/>
          <w:highlight w:val="none"/>
        </w:rPr>
        <w:t>，否则视为无效声明</w:t>
      </w:r>
      <w:r>
        <w:rPr>
          <w:rFonts w:ascii="Times New Roman" w:hAnsi="Times New Roman"/>
          <w:color w:val="auto"/>
          <w:szCs w:val="21"/>
          <w:highlight w:val="none"/>
        </w:rPr>
        <w:t>）</w:t>
      </w:r>
    </w:p>
    <w:p w14:paraId="42ED1FAF">
      <w:pPr>
        <w:spacing w:line="600" w:lineRule="exact"/>
        <w:rPr>
          <w:rFonts w:ascii="Times New Roman" w:hAnsi="Times New Roman"/>
          <w:b/>
          <w:color w:val="auto"/>
          <w:sz w:val="28"/>
          <w:szCs w:val="28"/>
          <w:highlight w:val="none"/>
        </w:rPr>
      </w:pPr>
      <w:r>
        <w:rPr>
          <w:rFonts w:ascii="Times New Roman" w:hAnsi="Times New Roman"/>
          <w:b/>
          <w:color w:val="auto"/>
          <w:sz w:val="28"/>
          <w:szCs w:val="28"/>
          <w:highlight w:val="none"/>
        </w:rPr>
        <w:br w:type="page"/>
      </w:r>
      <w:r>
        <w:rPr>
          <w:rFonts w:ascii="Times New Roman" w:hAnsi="Times New Roman"/>
          <w:b/>
          <w:color w:val="auto"/>
          <w:sz w:val="28"/>
          <w:szCs w:val="28"/>
          <w:highlight w:val="none"/>
        </w:rPr>
        <w:t>资格证明文件-格式6：</w:t>
      </w:r>
    </w:p>
    <w:p w14:paraId="1DE5591D">
      <w:pPr>
        <w:spacing w:line="600" w:lineRule="exact"/>
        <w:rPr>
          <w:rFonts w:ascii="Times New Roman" w:hAnsi="Times New Roman"/>
          <w:b/>
          <w:color w:val="auto"/>
          <w:sz w:val="28"/>
          <w:szCs w:val="28"/>
          <w:highlight w:val="none"/>
        </w:rPr>
      </w:pPr>
    </w:p>
    <w:p w14:paraId="02986D87">
      <w:pPr>
        <w:pStyle w:val="3"/>
        <w:numPr>
          <w:ilvl w:val="0"/>
          <w:numId w:val="0"/>
        </w:numPr>
        <w:ind w:left="425"/>
        <w:jc w:val="center"/>
        <w:rPr>
          <w:rFonts w:ascii="Times New Roman" w:hAnsi="Times New Roman" w:eastAsia="宋体"/>
          <w:color w:val="auto"/>
          <w:szCs w:val="28"/>
          <w:highlight w:val="none"/>
        </w:rPr>
      </w:pPr>
      <w:bookmarkStart w:id="166" w:name="_Toc69912417"/>
      <w:bookmarkStart w:id="167" w:name="_Toc152862901"/>
      <w:bookmarkStart w:id="168" w:name="_Toc10540"/>
      <w:bookmarkStart w:id="169" w:name="_Toc91696425"/>
      <w:r>
        <w:rPr>
          <w:rFonts w:ascii="Times New Roman" w:hAnsi="Times New Roman" w:eastAsia="宋体"/>
          <w:color w:val="auto"/>
          <w:szCs w:val="28"/>
          <w:highlight w:val="none"/>
        </w:rPr>
        <w:t>投标人具有依法缴纳税收和社会保障资金的良好记录的证明材料</w:t>
      </w:r>
      <w:bookmarkEnd w:id="166"/>
      <w:bookmarkEnd w:id="167"/>
      <w:bookmarkEnd w:id="168"/>
      <w:bookmarkEnd w:id="169"/>
    </w:p>
    <w:p w14:paraId="2CAE8C2A">
      <w:pPr>
        <w:jc w:val="center"/>
        <w:rPr>
          <w:rFonts w:ascii="Times New Roman" w:hAnsi="Times New Roman"/>
          <w:color w:val="auto"/>
          <w:szCs w:val="21"/>
          <w:highlight w:val="none"/>
        </w:rPr>
      </w:pPr>
      <w:r>
        <w:rPr>
          <w:rFonts w:ascii="Times New Roman" w:hAnsi="Times New Roman"/>
          <w:color w:val="auto"/>
          <w:szCs w:val="21"/>
          <w:highlight w:val="none"/>
        </w:rPr>
        <w:t>（</w:t>
      </w:r>
      <w:r>
        <w:rPr>
          <w:rFonts w:ascii="Times New Roman" w:hAnsi="Times New Roman"/>
          <w:color w:val="auto"/>
          <w:spacing w:val="6"/>
          <w:szCs w:val="21"/>
          <w:highlight w:val="none"/>
        </w:rPr>
        <w:t>注：投标人提供相关证明材料扫描件</w:t>
      </w:r>
      <w:r>
        <w:rPr>
          <w:rFonts w:ascii="Times New Roman" w:hAnsi="Times New Roman"/>
          <w:color w:val="auto"/>
          <w:szCs w:val="21"/>
          <w:highlight w:val="none"/>
        </w:rPr>
        <w:t>）</w:t>
      </w:r>
    </w:p>
    <w:p w14:paraId="3F4402F9">
      <w:pPr>
        <w:spacing w:line="600" w:lineRule="exact"/>
        <w:rPr>
          <w:rFonts w:ascii="Times New Roman" w:hAnsi="Times New Roman"/>
          <w:b/>
          <w:color w:val="auto"/>
          <w:sz w:val="28"/>
          <w:szCs w:val="28"/>
          <w:highlight w:val="none"/>
        </w:rPr>
      </w:pPr>
      <w:r>
        <w:rPr>
          <w:rFonts w:ascii="Times New Roman" w:hAnsi="Times New Roman"/>
          <w:b/>
          <w:color w:val="auto"/>
          <w:sz w:val="28"/>
          <w:szCs w:val="28"/>
          <w:highlight w:val="none"/>
        </w:rPr>
        <w:br w:type="page"/>
      </w:r>
      <w:r>
        <w:rPr>
          <w:rFonts w:ascii="Times New Roman" w:hAnsi="Times New Roman"/>
          <w:b/>
          <w:color w:val="auto"/>
          <w:sz w:val="28"/>
          <w:szCs w:val="28"/>
          <w:highlight w:val="none"/>
        </w:rPr>
        <w:t>资格证明文件-格式7：</w:t>
      </w:r>
    </w:p>
    <w:p w14:paraId="2F32E186">
      <w:pPr>
        <w:spacing w:line="600" w:lineRule="exact"/>
        <w:rPr>
          <w:rFonts w:ascii="Times New Roman" w:hAnsi="Times New Roman"/>
          <w:b/>
          <w:color w:val="auto"/>
          <w:sz w:val="28"/>
          <w:szCs w:val="28"/>
          <w:highlight w:val="none"/>
        </w:rPr>
      </w:pPr>
    </w:p>
    <w:p w14:paraId="4E02AE11">
      <w:pPr>
        <w:pStyle w:val="3"/>
        <w:numPr>
          <w:ilvl w:val="0"/>
          <w:numId w:val="0"/>
        </w:numPr>
        <w:ind w:left="425"/>
        <w:jc w:val="center"/>
        <w:rPr>
          <w:rFonts w:ascii="Times New Roman" w:hAnsi="Times New Roman" w:eastAsia="宋体"/>
          <w:color w:val="auto"/>
          <w:szCs w:val="28"/>
          <w:highlight w:val="none"/>
        </w:rPr>
      </w:pPr>
      <w:bookmarkStart w:id="170" w:name="_Toc69912418"/>
      <w:bookmarkStart w:id="171" w:name="_Toc152862902"/>
      <w:bookmarkStart w:id="172" w:name="_Toc23084"/>
      <w:bookmarkStart w:id="173" w:name="_Toc91696426"/>
      <w:r>
        <w:rPr>
          <w:rFonts w:ascii="Times New Roman" w:hAnsi="Times New Roman" w:eastAsia="宋体"/>
          <w:color w:val="auto"/>
          <w:szCs w:val="28"/>
          <w:highlight w:val="none"/>
        </w:rPr>
        <w:t>投标人参加政府采购活动前三年内，在经营活动中没有重大违法记录（投标人提供书面声明即可）</w:t>
      </w:r>
      <w:bookmarkEnd w:id="170"/>
      <w:bookmarkEnd w:id="171"/>
      <w:bookmarkEnd w:id="172"/>
      <w:bookmarkEnd w:id="173"/>
      <w:bookmarkStart w:id="174" w:name="_Hlk514927542"/>
    </w:p>
    <w:p w14:paraId="57DC9A97">
      <w:pPr>
        <w:jc w:val="center"/>
        <w:rPr>
          <w:rFonts w:ascii="Times New Roman" w:hAnsi="Times New Roman"/>
          <w:b/>
          <w:color w:val="auto"/>
          <w:kern w:val="0"/>
          <w:sz w:val="28"/>
          <w:szCs w:val="28"/>
          <w:highlight w:val="none"/>
        </w:rPr>
      </w:pPr>
      <w:r>
        <w:rPr>
          <w:rFonts w:ascii="Times New Roman" w:hAnsi="Times New Roman"/>
          <w:color w:val="auto"/>
          <w:spacing w:val="6"/>
          <w:szCs w:val="21"/>
          <w:highlight w:val="none"/>
        </w:rPr>
        <w:t>（注：投标人提供书面声明的，应在声明函中</w:t>
      </w:r>
      <w:r>
        <w:rPr>
          <w:rFonts w:hint="eastAsia" w:ascii="Times New Roman" w:hAnsi="Times New Roman"/>
          <w:color w:val="auto"/>
          <w:spacing w:val="6"/>
          <w:szCs w:val="21"/>
          <w:highlight w:val="none"/>
        </w:rPr>
        <w:t>加盖公章或电子签章</w:t>
      </w:r>
      <w:r>
        <w:rPr>
          <w:rFonts w:ascii="Times New Roman" w:hAnsi="Times New Roman"/>
          <w:color w:val="auto"/>
          <w:szCs w:val="28"/>
          <w:highlight w:val="none"/>
        </w:rPr>
        <w:t>，否则视为无效声明</w:t>
      </w:r>
      <w:r>
        <w:rPr>
          <w:rFonts w:ascii="Times New Roman" w:hAnsi="Times New Roman"/>
          <w:color w:val="auto"/>
          <w:highlight w:val="none"/>
        </w:rPr>
        <w:t>）</w:t>
      </w:r>
      <w:r>
        <w:rPr>
          <w:rFonts w:ascii="Times New Roman" w:hAnsi="Times New Roman"/>
          <w:color w:val="auto"/>
          <w:szCs w:val="28"/>
          <w:highlight w:val="none"/>
        </w:rPr>
        <w:br w:type="page"/>
      </w:r>
    </w:p>
    <w:bookmarkEnd w:id="174"/>
    <w:p w14:paraId="45237995">
      <w:pPr>
        <w:rPr>
          <w:rFonts w:ascii="Times New Roman" w:hAnsi="Times New Roman"/>
          <w:color w:val="auto"/>
          <w:highlight w:val="none"/>
        </w:rPr>
      </w:pPr>
      <w:bookmarkStart w:id="175" w:name="_Toc327190555"/>
      <w:r>
        <w:rPr>
          <w:rFonts w:ascii="Times New Roman" w:hAnsi="Times New Roman"/>
          <w:b/>
          <w:color w:val="auto"/>
          <w:sz w:val="28"/>
          <w:szCs w:val="28"/>
          <w:highlight w:val="none"/>
        </w:rPr>
        <w:t>资格证明文件-格式8：</w:t>
      </w:r>
      <w:bookmarkStart w:id="176" w:name="_Toc496520998"/>
      <w:r>
        <w:rPr>
          <w:rFonts w:ascii="Times New Roman" w:hAnsi="Times New Roman"/>
          <w:color w:val="auto"/>
          <w:highlight w:val="none"/>
        </w:rPr>
        <w:t xml:space="preserve"> </w:t>
      </w:r>
    </w:p>
    <w:p w14:paraId="7CFC2417">
      <w:pPr>
        <w:pStyle w:val="3"/>
        <w:numPr>
          <w:ilvl w:val="0"/>
          <w:numId w:val="0"/>
        </w:numPr>
        <w:ind w:left="425"/>
        <w:jc w:val="center"/>
        <w:rPr>
          <w:rFonts w:ascii="Times New Roman" w:hAnsi="Times New Roman" w:eastAsia="宋体"/>
          <w:color w:val="auto"/>
          <w:szCs w:val="28"/>
          <w:highlight w:val="none"/>
        </w:rPr>
      </w:pPr>
      <w:bookmarkStart w:id="177" w:name="_Toc17545"/>
      <w:bookmarkStart w:id="178" w:name="_Toc91696430"/>
      <w:bookmarkStart w:id="179" w:name="_Toc69912423"/>
      <w:bookmarkStart w:id="180" w:name="_Toc26974642"/>
      <w:bookmarkStart w:id="181" w:name="_Toc152862903"/>
      <w:r>
        <w:rPr>
          <w:rFonts w:ascii="Times New Roman" w:hAnsi="Times New Roman" w:eastAsia="宋体"/>
          <w:color w:val="auto"/>
          <w:szCs w:val="28"/>
          <w:highlight w:val="none"/>
        </w:rPr>
        <w:t>招标文件第一章“申请人的资格要求”中要求提供的其他资格证明文件</w:t>
      </w:r>
      <w:bookmarkEnd w:id="177"/>
      <w:bookmarkEnd w:id="178"/>
      <w:bookmarkEnd w:id="179"/>
      <w:bookmarkEnd w:id="180"/>
      <w:bookmarkEnd w:id="181"/>
    </w:p>
    <w:p w14:paraId="700173D3">
      <w:pPr>
        <w:widowControl/>
        <w:jc w:val="left"/>
        <w:rPr>
          <w:rFonts w:ascii="Times New Roman" w:hAnsi="Times New Roman"/>
          <w:color w:val="auto"/>
          <w:highlight w:val="none"/>
        </w:rPr>
      </w:pPr>
      <w:r>
        <w:rPr>
          <w:rFonts w:ascii="Times New Roman" w:hAnsi="Times New Roman"/>
          <w:color w:val="auto"/>
          <w:highlight w:val="none"/>
        </w:rPr>
        <w:br w:type="page"/>
      </w:r>
    </w:p>
    <w:p w14:paraId="02C54E08">
      <w:pPr>
        <w:pStyle w:val="2"/>
        <w:numPr>
          <w:ilvl w:val="0"/>
          <w:numId w:val="0"/>
        </w:numPr>
        <w:ind w:left="284" w:hanging="284"/>
        <w:rPr>
          <w:rFonts w:ascii="Times New Roman" w:hAnsi="Times New Roman" w:eastAsia="宋体"/>
          <w:color w:val="auto"/>
          <w:highlight w:val="none"/>
        </w:rPr>
      </w:pPr>
      <w:bookmarkStart w:id="182" w:name="_Toc69912424"/>
      <w:bookmarkStart w:id="183" w:name="_Toc91696431"/>
      <w:bookmarkStart w:id="184" w:name="_Toc25419"/>
      <w:r>
        <w:rPr>
          <w:rFonts w:ascii="Times New Roman" w:hAnsi="Times New Roman" w:eastAsia="宋体"/>
          <w:color w:val="auto"/>
          <w:highlight w:val="none"/>
        </w:rPr>
        <w:t>三、商务部分</w:t>
      </w:r>
      <w:bookmarkEnd w:id="176"/>
      <w:bookmarkEnd w:id="182"/>
      <w:bookmarkEnd w:id="183"/>
      <w:bookmarkEnd w:id="184"/>
    </w:p>
    <w:p w14:paraId="664F3D6E">
      <w:pPr>
        <w:rPr>
          <w:rFonts w:ascii="Times New Roman" w:hAnsi="Times New Roman"/>
          <w:b/>
          <w:color w:val="auto"/>
          <w:sz w:val="28"/>
          <w:szCs w:val="28"/>
          <w:highlight w:val="none"/>
        </w:rPr>
      </w:pPr>
      <w:r>
        <w:rPr>
          <w:rFonts w:ascii="Times New Roman" w:hAnsi="Times New Roman"/>
          <w:b/>
          <w:color w:val="auto"/>
          <w:sz w:val="28"/>
          <w:szCs w:val="28"/>
          <w:highlight w:val="none"/>
        </w:rPr>
        <w:t>商务部分-格式1：</w:t>
      </w:r>
    </w:p>
    <w:p w14:paraId="08F48B78">
      <w:pPr>
        <w:pStyle w:val="3"/>
        <w:numPr>
          <w:ilvl w:val="0"/>
          <w:numId w:val="0"/>
        </w:numPr>
        <w:ind w:left="425"/>
        <w:jc w:val="center"/>
        <w:rPr>
          <w:rFonts w:ascii="Times New Roman" w:hAnsi="Times New Roman" w:eastAsia="宋体"/>
          <w:color w:val="auto"/>
          <w:szCs w:val="28"/>
          <w:highlight w:val="none"/>
        </w:rPr>
      </w:pPr>
      <w:bookmarkStart w:id="185" w:name="_Toc493600031"/>
      <w:bookmarkStart w:id="186" w:name="_Toc496520999"/>
      <w:bookmarkStart w:id="187" w:name="_Toc11175"/>
      <w:bookmarkStart w:id="188" w:name="_Toc91696432"/>
      <w:bookmarkStart w:id="189" w:name="_Toc152862905"/>
      <w:bookmarkStart w:id="190" w:name="_Toc69912425"/>
      <w:r>
        <w:rPr>
          <w:rFonts w:ascii="Times New Roman" w:hAnsi="Times New Roman" w:eastAsia="宋体"/>
          <w:color w:val="auto"/>
          <w:szCs w:val="28"/>
          <w:highlight w:val="none"/>
        </w:rPr>
        <w:t>投 标 函</w:t>
      </w:r>
      <w:bookmarkEnd w:id="185"/>
      <w:bookmarkEnd w:id="186"/>
      <w:bookmarkEnd w:id="187"/>
      <w:bookmarkEnd w:id="188"/>
      <w:bookmarkEnd w:id="189"/>
      <w:bookmarkEnd w:id="190"/>
    </w:p>
    <w:p w14:paraId="2897314B">
      <w:pPr>
        <w:spacing w:line="360" w:lineRule="auto"/>
        <w:rPr>
          <w:rFonts w:ascii="Times New Roman" w:hAnsi="Times New Roman"/>
          <w:color w:val="auto"/>
          <w:sz w:val="24"/>
          <w:highlight w:val="none"/>
        </w:rPr>
      </w:pPr>
    </w:p>
    <w:p w14:paraId="4B4AD4A6">
      <w:pPr>
        <w:spacing w:line="360" w:lineRule="auto"/>
        <w:rPr>
          <w:rFonts w:ascii="Times New Roman" w:hAnsi="Times New Roman"/>
          <w:color w:val="auto"/>
          <w:szCs w:val="21"/>
          <w:highlight w:val="none"/>
        </w:rPr>
      </w:pPr>
      <w:r>
        <w:rPr>
          <w:rFonts w:ascii="Times New Roman" w:hAnsi="Times New Roman"/>
          <w:color w:val="auto"/>
          <w:szCs w:val="21"/>
          <w:highlight w:val="none"/>
        </w:rPr>
        <w:t>致：</w:t>
      </w:r>
    </w:p>
    <w:p w14:paraId="10CCCC4F">
      <w:pPr>
        <w:spacing w:line="360" w:lineRule="auto"/>
        <w:ind w:firstLine="482"/>
        <w:rPr>
          <w:rFonts w:ascii="Times New Roman" w:hAnsi="Times New Roman"/>
          <w:color w:val="auto"/>
          <w:szCs w:val="21"/>
          <w:highlight w:val="none"/>
        </w:rPr>
      </w:pPr>
      <w:r>
        <w:rPr>
          <w:rFonts w:ascii="Times New Roman" w:hAnsi="Times New Roman"/>
          <w:color w:val="auto"/>
          <w:szCs w:val="21"/>
          <w:highlight w:val="none"/>
        </w:rPr>
        <w:t>我方仔细研究了</w:t>
      </w:r>
      <w:r>
        <w:rPr>
          <w:rFonts w:ascii="Times New Roman" w:hAnsi="Times New Roman"/>
          <w:color w:val="auto"/>
          <w:szCs w:val="21"/>
          <w:highlight w:val="none"/>
          <w:u w:val="single"/>
        </w:rPr>
        <w:t xml:space="preserve">（项目名称）   </w:t>
      </w:r>
      <w:r>
        <w:rPr>
          <w:rFonts w:ascii="Times New Roman" w:hAnsi="Times New Roman"/>
          <w:color w:val="auto"/>
          <w:szCs w:val="21"/>
          <w:highlight w:val="none"/>
        </w:rPr>
        <w:t>（项目编号：）项目招标文件的全部内容，正式授权</w:t>
      </w:r>
      <w:r>
        <w:rPr>
          <w:rFonts w:ascii="Times New Roman" w:hAnsi="Times New Roman"/>
          <w:color w:val="auto"/>
          <w:szCs w:val="21"/>
          <w:highlight w:val="none"/>
          <w:u w:val="single"/>
        </w:rPr>
        <w:t xml:space="preserve">   （姓名和职务）     </w:t>
      </w:r>
      <w:r>
        <w:rPr>
          <w:rFonts w:ascii="Times New Roman" w:hAnsi="Times New Roman"/>
          <w:color w:val="auto"/>
          <w:szCs w:val="21"/>
          <w:highlight w:val="none"/>
        </w:rPr>
        <w:t>全权代表投标人</w:t>
      </w:r>
      <w:r>
        <w:rPr>
          <w:rFonts w:ascii="Times New Roman" w:hAnsi="Times New Roman"/>
          <w:color w:val="auto"/>
          <w:szCs w:val="21"/>
          <w:highlight w:val="none"/>
          <w:u w:val="single"/>
        </w:rPr>
        <w:t xml:space="preserve">  （投标人全称）   </w:t>
      </w:r>
      <w:r>
        <w:rPr>
          <w:rFonts w:ascii="Times New Roman" w:hAnsi="Times New Roman"/>
          <w:color w:val="auto"/>
          <w:szCs w:val="21"/>
          <w:highlight w:val="none"/>
        </w:rPr>
        <w:t>参加投标，并按招标文件要求提交投标文件。</w:t>
      </w:r>
    </w:p>
    <w:p w14:paraId="1BC6AAAC">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据此函，兹宣布同意如下：</w:t>
      </w:r>
    </w:p>
    <w:p w14:paraId="2F8E5643">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1、按招标文件</w:t>
      </w:r>
      <w:r>
        <w:rPr>
          <w:rFonts w:ascii="Times New Roman" w:hAnsi="Times New Roman"/>
          <w:bCs/>
          <w:color w:val="auto"/>
          <w:szCs w:val="21"/>
          <w:highlight w:val="none"/>
        </w:rPr>
        <w:t>第五章《货物需求及技术要求》</w:t>
      </w:r>
      <w:r>
        <w:rPr>
          <w:rFonts w:ascii="Times New Roman" w:hAnsi="Times New Roman"/>
          <w:color w:val="auto"/>
          <w:szCs w:val="21"/>
          <w:highlight w:val="none"/>
        </w:rPr>
        <w:t>和投标报价汇总表，投标总报价</w:t>
      </w:r>
      <w:r>
        <w:rPr>
          <w:rFonts w:ascii="Times New Roman" w:hAnsi="Times New Roman"/>
          <w:color w:val="auto"/>
          <w:szCs w:val="21"/>
          <w:highlight w:val="none"/>
          <w:u w:val="single"/>
        </w:rPr>
        <w:t>（大写）</w:t>
      </w:r>
      <w:r>
        <w:rPr>
          <w:rFonts w:ascii="Times New Roman" w:hAnsi="Times New Roman"/>
          <w:color w:val="auto"/>
          <w:szCs w:val="21"/>
          <w:highlight w:val="none"/>
        </w:rPr>
        <w:t>元，人民币(￥</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)，在</w:t>
      </w:r>
      <w:r>
        <w:rPr>
          <w:rFonts w:ascii="Times New Roman" w:hAnsi="Times New Roman"/>
          <w:color w:val="auto"/>
          <w:szCs w:val="21"/>
          <w:highlight w:val="none"/>
          <w:u w:val="single"/>
        </w:rPr>
        <w:t xml:space="preserve">  （交货期）   </w:t>
      </w:r>
      <w:r>
        <w:rPr>
          <w:rFonts w:ascii="Times New Roman" w:hAnsi="Times New Roman"/>
          <w:color w:val="auto"/>
          <w:szCs w:val="21"/>
          <w:highlight w:val="none"/>
        </w:rPr>
        <w:t>完成交货。</w:t>
      </w:r>
    </w:p>
    <w:p w14:paraId="029010A6">
      <w:pPr>
        <w:spacing w:line="360" w:lineRule="auto"/>
        <w:ind w:firstLine="420"/>
        <w:rPr>
          <w:rFonts w:ascii="Times New Roman" w:hAnsi="Times New Roman"/>
          <w:color w:val="auto"/>
          <w:spacing w:val="-10"/>
          <w:szCs w:val="21"/>
          <w:highlight w:val="none"/>
        </w:rPr>
      </w:pPr>
      <w:r>
        <w:rPr>
          <w:rFonts w:ascii="Times New Roman" w:hAnsi="Times New Roman"/>
          <w:color w:val="auto"/>
          <w:szCs w:val="21"/>
          <w:highlight w:val="none"/>
        </w:rPr>
        <w:t>2、</w:t>
      </w:r>
      <w:r>
        <w:rPr>
          <w:rFonts w:ascii="Times New Roman" w:hAnsi="Times New Roman"/>
          <w:color w:val="auto"/>
          <w:spacing w:val="-10"/>
          <w:szCs w:val="21"/>
          <w:highlight w:val="none"/>
        </w:rPr>
        <w:t>我方已详细审查全部招标文件，包括</w:t>
      </w:r>
      <w:r>
        <w:rPr>
          <w:rFonts w:ascii="Times New Roman" w:hAnsi="Times New Roman"/>
          <w:i/>
          <w:color w:val="auto"/>
          <w:spacing w:val="-10"/>
          <w:szCs w:val="21"/>
          <w:highlight w:val="none"/>
          <w:u w:val="single"/>
        </w:rPr>
        <w:t>（澄清文件）</w:t>
      </w:r>
      <w:r>
        <w:rPr>
          <w:rFonts w:ascii="Times New Roman" w:hAnsi="Times New Roman"/>
          <w:color w:val="auto"/>
          <w:spacing w:val="-10"/>
          <w:szCs w:val="21"/>
          <w:highlight w:val="none"/>
          <w:u w:val="single"/>
        </w:rPr>
        <w:t>(如果有的话)</w:t>
      </w:r>
      <w:r>
        <w:rPr>
          <w:rFonts w:ascii="Times New Roman" w:hAnsi="Times New Roman"/>
          <w:color w:val="auto"/>
          <w:spacing w:val="-10"/>
          <w:szCs w:val="21"/>
          <w:highlight w:val="none"/>
        </w:rPr>
        <w:t>。我方完全理解相关文件要求，并承担对这方面有不明及误解的后果。</w:t>
      </w:r>
    </w:p>
    <w:p w14:paraId="6BDB6EA5">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3、在投标人须知规定的开标日期起遵循本投标文件，并在投标人须知第17.1条规定的投标文件有效期满之前均具有约束力。</w:t>
      </w:r>
    </w:p>
    <w:p w14:paraId="5C308E94">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4、同意投标人须知中关于投标保证金不予退还的规定。</w:t>
      </w:r>
    </w:p>
    <w:p w14:paraId="4DDA9E0E">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5、同意应贵方要求提供与本投标有关的任何数据或资料，并保证数据和资料的完整性和真实性。</w:t>
      </w:r>
    </w:p>
    <w:p w14:paraId="56EE5434">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6、完全理解贵方不一定要接受最低报价的投标人为中标人的行为。</w:t>
      </w:r>
    </w:p>
    <w:p w14:paraId="102135EC">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 xml:space="preserve">7．如我方中标： </w:t>
      </w:r>
    </w:p>
    <w:p w14:paraId="651E48D8">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（1）我方承诺在收到中标通知书后，在规定的期限内与你方签订合同，并履行相应的合同责任和义务。如因我方原因导致未能在规定期限内签订合同的，愿意接受一切不利于我方的后果。</w:t>
      </w:r>
    </w:p>
    <w:p w14:paraId="55DD6374">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（2）我方承诺按照招标文件规定向你方递交履约担保。如因我方原因导致未能在规定期限递交履约担保的，愿意接受一切不利于我方的后果。</w:t>
      </w:r>
    </w:p>
    <w:p w14:paraId="293D42F1">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（3）我方承诺将承担售后服务及保修责任。</w:t>
      </w:r>
    </w:p>
    <w:p w14:paraId="2E3DDD4F">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8．我方在此声明，所递交的投标文件及有关资料内容完整、真实和准确。</w:t>
      </w:r>
    </w:p>
    <w:p w14:paraId="165FFDAA">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9．（其他补充说明，若有）。</w:t>
      </w:r>
    </w:p>
    <w:p w14:paraId="7B930DB0">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与本投标有关的正式通讯地址为：</w:t>
      </w:r>
    </w:p>
    <w:p w14:paraId="53811C36">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地址： 邮政编码：</w:t>
      </w:r>
    </w:p>
    <w:p w14:paraId="1B242673">
      <w:pPr>
        <w:spacing w:line="360" w:lineRule="auto"/>
        <w:ind w:firstLine="420"/>
        <w:rPr>
          <w:rFonts w:ascii="Times New Roman" w:hAnsi="Times New Roman"/>
          <w:color w:val="auto"/>
          <w:szCs w:val="21"/>
          <w:highlight w:val="none"/>
          <w:u w:val="single"/>
        </w:rPr>
      </w:pPr>
      <w:r>
        <w:rPr>
          <w:rFonts w:ascii="Times New Roman" w:hAnsi="Times New Roman"/>
          <w:color w:val="auto"/>
          <w:szCs w:val="21"/>
          <w:highlight w:val="none"/>
        </w:rPr>
        <w:t>电话：传真：</w:t>
      </w:r>
    </w:p>
    <w:p w14:paraId="54E3D3A8">
      <w:pPr>
        <w:spacing w:line="360" w:lineRule="auto"/>
        <w:ind w:firstLine="420"/>
        <w:rPr>
          <w:rFonts w:ascii="Times New Roman" w:hAnsi="Times New Roman"/>
          <w:color w:val="auto"/>
          <w:szCs w:val="21"/>
          <w:highlight w:val="none"/>
          <w:u w:val="single"/>
        </w:rPr>
      </w:pPr>
      <w:r>
        <w:rPr>
          <w:rFonts w:ascii="Times New Roman" w:hAnsi="Times New Roman"/>
          <w:color w:val="auto"/>
          <w:szCs w:val="21"/>
          <w:highlight w:val="none"/>
        </w:rPr>
        <w:t>开户名称：</w:t>
      </w:r>
    </w:p>
    <w:p w14:paraId="433BB19E">
      <w:pPr>
        <w:spacing w:line="360" w:lineRule="auto"/>
        <w:ind w:firstLine="420"/>
        <w:rPr>
          <w:rFonts w:ascii="Times New Roman" w:hAnsi="Times New Roman"/>
          <w:color w:val="auto"/>
          <w:szCs w:val="21"/>
          <w:highlight w:val="none"/>
          <w:u w:val="single"/>
        </w:rPr>
      </w:pPr>
      <w:r>
        <w:rPr>
          <w:rFonts w:ascii="Times New Roman" w:hAnsi="Times New Roman"/>
          <w:color w:val="auto"/>
          <w:szCs w:val="21"/>
          <w:highlight w:val="none"/>
        </w:rPr>
        <w:t>开户银行：</w:t>
      </w:r>
    </w:p>
    <w:p w14:paraId="6419CF37">
      <w:pPr>
        <w:spacing w:line="360" w:lineRule="auto"/>
        <w:ind w:firstLine="420"/>
        <w:rPr>
          <w:rFonts w:ascii="Times New Roman" w:hAnsi="Times New Roman"/>
          <w:color w:val="auto"/>
          <w:szCs w:val="21"/>
          <w:highlight w:val="none"/>
        </w:rPr>
      </w:pPr>
      <w:r>
        <w:rPr>
          <w:rFonts w:ascii="Times New Roman" w:hAnsi="Times New Roman"/>
          <w:color w:val="auto"/>
          <w:szCs w:val="21"/>
          <w:highlight w:val="none"/>
        </w:rPr>
        <w:t>账    号：</w:t>
      </w:r>
    </w:p>
    <w:tbl>
      <w:tblPr>
        <w:tblStyle w:val="39"/>
        <w:tblW w:w="5534" w:type="dxa"/>
        <w:tblInd w:w="4294" w:type="dxa"/>
        <w:tblLayout w:type="fixed"/>
        <w:tblCellMar>
          <w:top w:w="0" w:type="dxa"/>
          <w:left w:w="108" w:type="dxa"/>
          <w:bottom w:w="0" w:type="dxa"/>
          <w:right w:w="108" w:type="dxa"/>
        </w:tblCellMar>
      </w:tblPr>
      <w:tblGrid>
        <w:gridCol w:w="5534"/>
      </w:tblGrid>
      <w:tr w14:paraId="2DE28318">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4D2F627F">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5FD6C1C6">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65CC0B34">
            <w:pPr>
              <w:ind w:left="-921" w:leftChars="-439"/>
              <w:rPr>
                <w:rFonts w:ascii="Times New Roman" w:hAnsi="Times New Roman"/>
                <w:color w:val="auto"/>
                <w:szCs w:val="21"/>
                <w:highlight w:val="none"/>
              </w:rPr>
            </w:pPr>
          </w:p>
        </w:tc>
      </w:tr>
    </w:tbl>
    <w:p w14:paraId="4CD4BABF">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180D07DB">
      <w:pPr>
        <w:spacing w:line="360" w:lineRule="auto"/>
        <w:ind w:firstLine="420"/>
        <w:rPr>
          <w:rFonts w:ascii="Times New Roman" w:hAnsi="Times New Roman"/>
          <w:color w:val="auto"/>
          <w:szCs w:val="21"/>
          <w:highlight w:val="none"/>
        </w:rPr>
      </w:pPr>
    </w:p>
    <w:p w14:paraId="46F32790">
      <w:pPr>
        <w:rPr>
          <w:rFonts w:ascii="Times New Roman" w:hAnsi="Times New Roman"/>
          <w:b/>
          <w:color w:val="auto"/>
          <w:sz w:val="28"/>
          <w:szCs w:val="28"/>
          <w:highlight w:val="none"/>
        </w:rPr>
      </w:pPr>
      <w:r>
        <w:rPr>
          <w:rFonts w:ascii="Times New Roman" w:hAnsi="Times New Roman"/>
          <w:color w:val="auto"/>
          <w:sz w:val="24"/>
          <w:highlight w:val="none"/>
        </w:rPr>
        <w:br w:type="page"/>
      </w:r>
      <w:r>
        <w:rPr>
          <w:rFonts w:ascii="Times New Roman" w:hAnsi="Times New Roman"/>
          <w:b/>
          <w:color w:val="auto"/>
          <w:sz w:val="28"/>
          <w:szCs w:val="28"/>
          <w:highlight w:val="none"/>
        </w:rPr>
        <w:t>商务部分-格式2：</w:t>
      </w:r>
      <w:bookmarkEnd w:id="175"/>
      <w:bookmarkStart w:id="191" w:name="_Toc12984136"/>
    </w:p>
    <w:p w14:paraId="79419254">
      <w:pPr>
        <w:pStyle w:val="3"/>
        <w:numPr>
          <w:ilvl w:val="0"/>
          <w:numId w:val="0"/>
        </w:numPr>
        <w:ind w:left="425"/>
        <w:jc w:val="center"/>
        <w:rPr>
          <w:rFonts w:ascii="Times New Roman" w:hAnsi="Times New Roman" w:eastAsia="宋体"/>
          <w:color w:val="auto"/>
          <w:szCs w:val="28"/>
          <w:highlight w:val="none"/>
        </w:rPr>
      </w:pPr>
      <w:bookmarkStart w:id="192" w:name="_Toc152862906"/>
      <w:bookmarkStart w:id="193" w:name="_Toc27163"/>
      <w:bookmarkStart w:id="194" w:name="_Toc91696433"/>
      <w:r>
        <w:rPr>
          <w:rFonts w:ascii="Times New Roman" w:hAnsi="Times New Roman" w:eastAsia="宋体"/>
          <w:color w:val="auto"/>
          <w:szCs w:val="28"/>
          <w:highlight w:val="none"/>
        </w:rPr>
        <w:t>报价组成表</w:t>
      </w:r>
      <w:bookmarkEnd w:id="191"/>
      <w:bookmarkEnd w:id="192"/>
      <w:bookmarkEnd w:id="193"/>
      <w:bookmarkEnd w:id="194"/>
    </w:p>
    <w:p w14:paraId="6397AA9B">
      <w:pPr>
        <w:jc w:val="left"/>
        <w:rPr>
          <w:rFonts w:ascii="Times New Roman" w:hAnsi="Times New Roman"/>
          <w:b/>
          <w:bCs/>
          <w:color w:val="auto"/>
          <w:sz w:val="28"/>
          <w:szCs w:val="28"/>
          <w:highlight w:val="none"/>
        </w:rPr>
      </w:pPr>
      <w:r>
        <w:rPr>
          <w:rFonts w:ascii="Times New Roman" w:hAnsi="Times New Roman"/>
          <w:b/>
          <w:bCs/>
          <w:color w:val="auto"/>
          <w:sz w:val="28"/>
          <w:szCs w:val="28"/>
          <w:highlight w:val="none"/>
        </w:rPr>
        <w:t>报价组成表及编制说明：</w:t>
      </w:r>
    </w:p>
    <w:p w14:paraId="4C78F38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w:t>
      </w:r>
      <w:r>
        <w:rPr>
          <w:rFonts w:ascii="Segoe UI Symbol" w:hAnsi="Segoe UI Symbol" w:cs="Segoe UI Symbol"/>
          <w:color w:val="auto"/>
          <w:szCs w:val="21"/>
          <w:highlight w:val="none"/>
        </w:rPr>
        <w:t>★</w:t>
      </w:r>
      <w:r>
        <w:rPr>
          <w:rFonts w:ascii="Times New Roman" w:hAnsi="Times New Roman"/>
          <w:color w:val="auto"/>
          <w:szCs w:val="21"/>
          <w:highlight w:val="none"/>
        </w:rPr>
        <w:t>投标人应对照本项目拟采购的全部内容进行报价，并如实填写《货物投标价格组成表》（含附件“主要备品备件报价承诺”），不得缺项漏项，否则按不实质性响应招标文件要求处理。</w:t>
      </w:r>
    </w:p>
    <w:p w14:paraId="57230EC8">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w:t>
      </w:r>
      <w:r>
        <w:rPr>
          <w:rFonts w:ascii="Times New Roman" w:hAnsi="Times New Roman"/>
          <w:bCs/>
          <w:color w:val="auto"/>
          <w:szCs w:val="21"/>
          <w:highlight w:val="none"/>
        </w:rPr>
        <w:t>投标报价</w:t>
      </w:r>
      <w:r>
        <w:rPr>
          <w:rFonts w:hint="eastAsia" w:ascii="Times New Roman" w:hAnsi="Times New Roman"/>
          <w:bCs/>
          <w:color w:val="auto"/>
          <w:szCs w:val="21"/>
          <w:highlight w:val="none"/>
          <w:lang w:val="en-US" w:eastAsia="zh-CN"/>
        </w:rPr>
        <w:t>为</w:t>
      </w:r>
      <w:r>
        <w:rPr>
          <w:rFonts w:hint="eastAsia" w:ascii="Times New Roman" w:hAnsi="Times New Roman"/>
          <w:bCs/>
          <w:color w:val="auto"/>
          <w:szCs w:val="21"/>
          <w:highlight w:val="none"/>
        </w:rPr>
        <w:t>甲方指定地点交货价，并包含设备的安装运输调试费用</w:t>
      </w:r>
      <w:r>
        <w:rPr>
          <w:rFonts w:ascii="Times New Roman" w:hAnsi="Times New Roman"/>
          <w:bCs/>
          <w:color w:val="auto"/>
          <w:szCs w:val="21"/>
          <w:highlight w:val="none"/>
        </w:rPr>
        <w:t>，该报价应考虑市场风险、政策性风险、汇率风险等因素，并能保证投标人完成履行合同所需的全部工作，此价格在合同签订后将不作调整。</w:t>
      </w:r>
    </w:p>
    <w:p w14:paraId="76FAE3D9">
      <w:pPr>
        <w:spacing w:line="360" w:lineRule="auto"/>
        <w:ind w:firstLine="420" w:firstLineChars="200"/>
        <w:rPr>
          <w:rFonts w:ascii="Times New Roman" w:hAnsi="Times New Roman"/>
          <w:color w:val="auto"/>
          <w:szCs w:val="21"/>
          <w:highlight w:val="none"/>
        </w:rPr>
      </w:pPr>
    </w:p>
    <w:p w14:paraId="1203E9D4">
      <w:pPr>
        <w:widowControl/>
        <w:jc w:val="left"/>
        <w:rPr>
          <w:rFonts w:ascii="Times New Roman" w:hAnsi="Times New Roman"/>
          <w:color w:val="auto"/>
          <w:highlight w:val="none"/>
        </w:rPr>
      </w:pPr>
    </w:p>
    <w:p w14:paraId="3B2E365E">
      <w:pPr>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76E89182">
      <w:pPr>
        <w:rPr>
          <w:rFonts w:ascii="Times New Roman" w:hAnsi="Times New Roman"/>
          <w:color w:val="auto"/>
          <w:highlight w:val="none"/>
        </w:rPr>
      </w:pPr>
      <w:r>
        <w:rPr>
          <w:rFonts w:ascii="Times New Roman" w:hAnsi="Times New Roman"/>
          <w:b/>
          <w:color w:val="auto"/>
          <w:sz w:val="28"/>
          <w:szCs w:val="28"/>
          <w:highlight w:val="none"/>
        </w:rPr>
        <w:t>商务部分-格式2-1：</w:t>
      </w:r>
    </w:p>
    <w:p w14:paraId="53230E81">
      <w:pPr>
        <w:rPr>
          <w:rFonts w:ascii="Times New Roman" w:hAnsi="Times New Roman"/>
          <w:color w:val="auto"/>
          <w:highlight w:val="none"/>
        </w:rPr>
      </w:pPr>
    </w:p>
    <w:p w14:paraId="02F04275">
      <w:pPr>
        <w:pStyle w:val="3"/>
        <w:numPr>
          <w:ilvl w:val="0"/>
          <w:numId w:val="0"/>
        </w:numPr>
        <w:ind w:left="425"/>
        <w:jc w:val="center"/>
        <w:rPr>
          <w:rFonts w:ascii="Times New Roman" w:hAnsi="Times New Roman" w:eastAsia="宋体"/>
          <w:color w:val="auto"/>
          <w:szCs w:val="28"/>
          <w:highlight w:val="none"/>
        </w:rPr>
      </w:pPr>
      <w:bookmarkStart w:id="195" w:name="_Toc91696434"/>
      <w:bookmarkStart w:id="196" w:name="_Toc152862907"/>
      <w:bookmarkStart w:id="197" w:name="_Toc6102"/>
      <w:r>
        <w:rPr>
          <w:rFonts w:ascii="Times New Roman" w:hAnsi="Times New Roman" w:eastAsia="宋体"/>
          <w:color w:val="auto"/>
          <w:szCs w:val="28"/>
          <w:highlight w:val="none"/>
        </w:rPr>
        <w:t>货物投标价格组成表</w:t>
      </w:r>
      <w:bookmarkEnd w:id="195"/>
      <w:bookmarkEnd w:id="196"/>
      <w:bookmarkEnd w:id="197"/>
    </w:p>
    <w:p w14:paraId="563242F1">
      <w:pPr>
        <w:spacing w:line="500" w:lineRule="exact"/>
        <w:rPr>
          <w:rFonts w:ascii="Times New Roman" w:hAnsi="Times New Roman"/>
          <w:b/>
          <w:color w:val="auto"/>
          <w:szCs w:val="21"/>
          <w:highlight w:val="none"/>
        </w:rPr>
      </w:pPr>
      <w:r>
        <w:rPr>
          <w:rFonts w:ascii="Times New Roman" w:hAnsi="Times New Roman"/>
          <w:b/>
          <w:color w:val="auto"/>
          <w:szCs w:val="21"/>
          <w:highlight w:val="none"/>
        </w:rPr>
        <w:t>项目名称：项目编号：</w:t>
      </w:r>
    </w:p>
    <w:tbl>
      <w:tblPr>
        <w:tblStyle w:val="39"/>
        <w:tblW w:w="10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9"/>
        <w:gridCol w:w="1327"/>
        <w:gridCol w:w="751"/>
        <w:gridCol w:w="789"/>
        <w:gridCol w:w="1060"/>
        <w:gridCol w:w="847"/>
        <w:gridCol w:w="722"/>
        <w:gridCol w:w="539"/>
        <w:gridCol w:w="823"/>
        <w:gridCol w:w="746"/>
        <w:gridCol w:w="1405"/>
        <w:gridCol w:w="637"/>
      </w:tblGrid>
      <w:tr w14:paraId="6741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5" w:hRule="atLeast"/>
          <w:jc w:val="center"/>
        </w:trPr>
        <w:tc>
          <w:tcPr>
            <w:tcW w:w="679" w:type="dxa"/>
            <w:tcBorders>
              <w:top w:val="single" w:color="auto" w:sz="4" w:space="0"/>
              <w:left w:val="single" w:color="auto" w:sz="4" w:space="0"/>
              <w:bottom w:val="single" w:color="auto" w:sz="4" w:space="0"/>
              <w:right w:val="single" w:color="auto" w:sz="4" w:space="0"/>
            </w:tcBorders>
            <w:vAlign w:val="center"/>
          </w:tcPr>
          <w:p w14:paraId="613EF97C">
            <w:pPr>
              <w:widowControl/>
              <w:spacing w:before="240" w:after="240"/>
              <w:jc w:val="center"/>
              <w:rPr>
                <w:rFonts w:ascii="Times New Roman" w:hAnsi="Times New Roman"/>
                <w:b/>
                <w:bCs/>
                <w:color w:val="auto"/>
                <w:szCs w:val="21"/>
                <w:highlight w:val="none"/>
              </w:rPr>
            </w:pPr>
            <w:bookmarkStart w:id="198" w:name="_Hlk102986765"/>
            <w:r>
              <w:rPr>
                <w:rFonts w:ascii="Times New Roman" w:hAnsi="Times New Roman"/>
                <w:b/>
                <w:bCs/>
                <w:color w:val="auto"/>
                <w:szCs w:val="21"/>
                <w:highlight w:val="none"/>
              </w:rPr>
              <w:t>序号</w:t>
            </w:r>
          </w:p>
        </w:tc>
        <w:tc>
          <w:tcPr>
            <w:tcW w:w="1327" w:type="dxa"/>
            <w:tcBorders>
              <w:top w:val="single" w:color="auto" w:sz="4" w:space="0"/>
              <w:left w:val="single" w:color="auto" w:sz="4" w:space="0"/>
              <w:bottom w:val="single" w:color="auto" w:sz="4" w:space="0"/>
              <w:right w:val="single" w:color="auto" w:sz="4" w:space="0"/>
            </w:tcBorders>
            <w:vAlign w:val="center"/>
          </w:tcPr>
          <w:p w14:paraId="47F5E409">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货物名称</w:t>
            </w:r>
          </w:p>
        </w:tc>
        <w:tc>
          <w:tcPr>
            <w:tcW w:w="751" w:type="dxa"/>
            <w:tcBorders>
              <w:top w:val="single" w:color="auto" w:sz="4" w:space="0"/>
              <w:left w:val="single" w:color="auto" w:sz="4" w:space="0"/>
              <w:bottom w:val="single" w:color="auto" w:sz="4" w:space="0"/>
              <w:right w:val="single" w:color="auto" w:sz="4" w:space="0"/>
            </w:tcBorders>
            <w:vAlign w:val="center"/>
          </w:tcPr>
          <w:p w14:paraId="3F3A0CE1">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品牌</w:t>
            </w:r>
          </w:p>
        </w:tc>
        <w:tc>
          <w:tcPr>
            <w:tcW w:w="789" w:type="dxa"/>
            <w:tcBorders>
              <w:top w:val="single" w:color="auto" w:sz="4" w:space="0"/>
              <w:left w:val="single" w:color="auto" w:sz="4" w:space="0"/>
              <w:bottom w:val="single" w:color="auto" w:sz="4" w:space="0"/>
              <w:right w:val="single" w:color="auto" w:sz="4" w:space="0"/>
            </w:tcBorders>
            <w:vAlign w:val="center"/>
          </w:tcPr>
          <w:p w14:paraId="310CE4E3">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型号和规格</w:t>
            </w:r>
          </w:p>
        </w:tc>
        <w:tc>
          <w:tcPr>
            <w:tcW w:w="1060" w:type="dxa"/>
            <w:tcBorders>
              <w:top w:val="single" w:color="auto" w:sz="4" w:space="0"/>
              <w:left w:val="single" w:color="auto" w:sz="4" w:space="0"/>
              <w:bottom w:val="single" w:color="auto" w:sz="4" w:space="0"/>
              <w:right w:val="single" w:color="auto" w:sz="4" w:space="0"/>
            </w:tcBorders>
            <w:vAlign w:val="center"/>
          </w:tcPr>
          <w:p w14:paraId="56B5A770">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制造商名称、国别</w:t>
            </w:r>
          </w:p>
        </w:tc>
        <w:tc>
          <w:tcPr>
            <w:tcW w:w="847" w:type="dxa"/>
            <w:tcBorders>
              <w:top w:val="single" w:color="auto" w:sz="4" w:space="0"/>
              <w:left w:val="single" w:color="auto" w:sz="4" w:space="0"/>
              <w:bottom w:val="single" w:color="auto" w:sz="4" w:space="0"/>
              <w:right w:val="single" w:color="auto" w:sz="4" w:space="0"/>
            </w:tcBorders>
            <w:vAlign w:val="center"/>
          </w:tcPr>
          <w:p w14:paraId="11E55EC3">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产品原产地</w:t>
            </w:r>
          </w:p>
        </w:tc>
        <w:tc>
          <w:tcPr>
            <w:tcW w:w="722" w:type="dxa"/>
            <w:tcBorders>
              <w:top w:val="single" w:color="auto" w:sz="4" w:space="0"/>
              <w:left w:val="single" w:color="auto" w:sz="4" w:space="0"/>
              <w:bottom w:val="single" w:color="auto" w:sz="4" w:space="0"/>
              <w:right w:val="single" w:color="auto" w:sz="4" w:space="0"/>
            </w:tcBorders>
            <w:vAlign w:val="center"/>
          </w:tcPr>
          <w:p w14:paraId="277127F9">
            <w:pPr>
              <w:jc w:val="center"/>
              <w:rPr>
                <w:rFonts w:ascii="Times New Roman" w:hAnsi="Times New Roman"/>
                <w:b/>
                <w:bCs/>
                <w:color w:val="auto"/>
                <w:szCs w:val="21"/>
                <w:highlight w:val="none"/>
              </w:rPr>
            </w:pPr>
            <w:r>
              <w:rPr>
                <w:rFonts w:ascii="Times New Roman" w:hAnsi="Times New Roman"/>
                <w:b/>
                <w:bCs/>
                <w:color w:val="auto"/>
                <w:szCs w:val="21"/>
                <w:highlight w:val="none"/>
              </w:rPr>
              <w:t>数量</w:t>
            </w:r>
          </w:p>
        </w:tc>
        <w:tc>
          <w:tcPr>
            <w:tcW w:w="539" w:type="dxa"/>
            <w:tcBorders>
              <w:top w:val="single" w:color="auto" w:sz="4" w:space="0"/>
              <w:left w:val="single" w:color="auto" w:sz="4" w:space="0"/>
              <w:right w:val="single" w:color="auto" w:sz="4" w:space="0"/>
            </w:tcBorders>
            <w:vAlign w:val="center"/>
          </w:tcPr>
          <w:p w14:paraId="3B1739B9">
            <w:pPr>
              <w:widowControl/>
              <w:jc w:val="center"/>
              <w:rPr>
                <w:rFonts w:ascii="Times New Roman" w:hAnsi="Times New Roman"/>
                <w:b/>
                <w:bCs/>
                <w:color w:val="auto"/>
                <w:szCs w:val="21"/>
                <w:highlight w:val="none"/>
              </w:rPr>
            </w:pPr>
            <w:r>
              <w:rPr>
                <w:rFonts w:ascii="Times New Roman" w:hAnsi="Times New Roman"/>
                <w:b/>
                <w:bCs/>
                <w:color w:val="auto"/>
                <w:szCs w:val="21"/>
                <w:highlight w:val="none"/>
              </w:rPr>
              <w:t>计量单位</w:t>
            </w:r>
          </w:p>
        </w:tc>
        <w:tc>
          <w:tcPr>
            <w:tcW w:w="823" w:type="dxa"/>
            <w:tcBorders>
              <w:top w:val="single" w:color="auto" w:sz="4" w:space="0"/>
              <w:left w:val="single" w:color="auto" w:sz="4" w:space="0"/>
              <w:right w:val="single" w:color="auto" w:sz="4" w:space="0"/>
            </w:tcBorders>
            <w:vAlign w:val="center"/>
          </w:tcPr>
          <w:p w14:paraId="050E45E1">
            <w:pPr>
              <w:widowControl/>
              <w:jc w:val="center"/>
              <w:rPr>
                <w:rFonts w:ascii="Times New Roman" w:hAnsi="Times New Roman"/>
                <w:b/>
                <w:bCs/>
                <w:color w:val="auto"/>
                <w:szCs w:val="21"/>
                <w:highlight w:val="none"/>
              </w:rPr>
            </w:pPr>
            <w:r>
              <w:rPr>
                <w:rFonts w:ascii="Times New Roman" w:hAnsi="Times New Roman"/>
                <w:b/>
                <w:bCs/>
                <w:color w:val="auto"/>
                <w:szCs w:val="21"/>
                <w:highlight w:val="none"/>
              </w:rPr>
              <w:t>单价（元）</w:t>
            </w:r>
          </w:p>
        </w:tc>
        <w:tc>
          <w:tcPr>
            <w:tcW w:w="746" w:type="dxa"/>
            <w:tcBorders>
              <w:top w:val="single" w:color="auto" w:sz="4" w:space="0"/>
              <w:left w:val="single" w:color="auto" w:sz="4" w:space="0"/>
              <w:bottom w:val="single" w:color="auto" w:sz="4" w:space="0"/>
              <w:right w:val="single" w:color="auto" w:sz="4" w:space="0"/>
            </w:tcBorders>
            <w:vAlign w:val="center"/>
          </w:tcPr>
          <w:p w14:paraId="0F9B69C9">
            <w:pPr>
              <w:widowControl/>
              <w:jc w:val="center"/>
              <w:rPr>
                <w:rFonts w:ascii="Times New Roman" w:hAnsi="Times New Roman"/>
                <w:b/>
                <w:bCs/>
                <w:color w:val="auto"/>
                <w:szCs w:val="21"/>
                <w:highlight w:val="none"/>
              </w:rPr>
            </w:pPr>
            <w:r>
              <w:rPr>
                <w:rFonts w:ascii="Times New Roman" w:hAnsi="Times New Roman"/>
                <w:b/>
                <w:bCs/>
                <w:color w:val="auto"/>
                <w:szCs w:val="21"/>
                <w:highlight w:val="none"/>
              </w:rPr>
              <w:t>小计（元）</w:t>
            </w:r>
          </w:p>
        </w:tc>
        <w:tc>
          <w:tcPr>
            <w:tcW w:w="1405" w:type="dxa"/>
            <w:tcBorders>
              <w:top w:val="single" w:color="auto" w:sz="4" w:space="0"/>
              <w:left w:val="single" w:color="auto" w:sz="4" w:space="0"/>
              <w:bottom w:val="single" w:color="auto" w:sz="4" w:space="0"/>
              <w:right w:val="single" w:color="auto" w:sz="4" w:space="0"/>
            </w:tcBorders>
            <w:vAlign w:val="center"/>
          </w:tcPr>
          <w:p w14:paraId="5835FB77">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是否小型或微型企业产品</w:t>
            </w:r>
          </w:p>
        </w:tc>
        <w:tc>
          <w:tcPr>
            <w:tcW w:w="628" w:type="dxa"/>
            <w:tcBorders>
              <w:top w:val="single" w:color="auto" w:sz="4" w:space="0"/>
              <w:left w:val="single" w:color="auto" w:sz="4" w:space="0"/>
              <w:bottom w:val="single" w:color="auto" w:sz="4" w:space="0"/>
              <w:right w:val="single" w:color="auto" w:sz="4" w:space="0"/>
            </w:tcBorders>
            <w:vAlign w:val="center"/>
          </w:tcPr>
          <w:p w14:paraId="29FCEDF5">
            <w:pPr>
              <w:widowControl/>
              <w:spacing w:before="240" w:after="240"/>
              <w:jc w:val="center"/>
              <w:rPr>
                <w:rFonts w:ascii="Times New Roman" w:hAnsi="Times New Roman"/>
                <w:b/>
                <w:bCs/>
                <w:color w:val="auto"/>
                <w:szCs w:val="21"/>
                <w:highlight w:val="none"/>
              </w:rPr>
            </w:pPr>
            <w:r>
              <w:rPr>
                <w:rFonts w:ascii="Times New Roman" w:hAnsi="Times New Roman"/>
                <w:b/>
                <w:bCs/>
                <w:color w:val="auto"/>
                <w:szCs w:val="21"/>
                <w:highlight w:val="none"/>
              </w:rPr>
              <w:t>备注</w:t>
            </w:r>
          </w:p>
        </w:tc>
      </w:tr>
      <w:tr w14:paraId="01BB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8" w:hRule="atLeast"/>
          <w:jc w:val="center"/>
        </w:trPr>
        <w:tc>
          <w:tcPr>
            <w:tcW w:w="679" w:type="dxa"/>
            <w:tcBorders>
              <w:top w:val="single" w:color="auto" w:sz="4" w:space="0"/>
              <w:left w:val="single" w:color="auto" w:sz="4" w:space="0"/>
              <w:bottom w:val="single" w:color="auto" w:sz="4" w:space="0"/>
              <w:right w:val="single" w:color="auto" w:sz="4" w:space="0"/>
            </w:tcBorders>
            <w:vAlign w:val="center"/>
          </w:tcPr>
          <w:p w14:paraId="590FE3D3">
            <w:pPr>
              <w:widowControl/>
              <w:jc w:val="center"/>
              <w:rPr>
                <w:rFonts w:ascii="Times New Roman" w:hAnsi="Times New Roman"/>
                <w:color w:val="auto"/>
                <w:szCs w:val="21"/>
                <w:highlight w:val="none"/>
              </w:rPr>
            </w:pPr>
            <w:r>
              <w:rPr>
                <w:rFonts w:ascii="Times New Roman" w:hAnsi="Times New Roman"/>
                <w:color w:val="auto"/>
                <w:szCs w:val="21"/>
                <w:highlight w:val="none"/>
              </w:rPr>
              <w:t>1</w:t>
            </w:r>
          </w:p>
        </w:tc>
        <w:tc>
          <w:tcPr>
            <w:tcW w:w="1327" w:type="dxa"/>
            <w:tcBorders>
              <w:top w:val="single" w:color="auto" w:sz="4" w:space="0"/>
              <w:left w:val="single" w:color="auto" w:sz="4" w:space="0"/>
              <w:bottom w:val="single" w:color="auto" w:sz="4" w:space="0"/>
              <w:right w:val="single" w:color="auto" w:sz="4" w:space="0"/>
            </w:tcBorders>
            <w:vAlign w:val="center"/>
          </w:tcPr>
          <w:p w14:paraId="51A40CF0">
            <w:pPr>
              <w:jc w:val="center"/>
              <w:rPr>
                <w:rFonts w:ascii="Times New Roman" w:hAnsi="Times New Roman"/>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14:paraId="1D91339F">
            <w:pPr>
              <w:widowControl/>
              <w:rPr>
                <w:rFonts w:ascii="Times New Roman" w:hAnsi="Times New Roman"/>
                <w:color w:val="auto"/>
                <w:szCs w:val="21"/>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66762BD5">
            <w:pPr>
              <w:widowControl/>
              <w:rPr>
                <w:rFonts w:ascii="Times New Roman" w:hAnsi="Times New Roman"/>
                <w:color w:val="auto"/>
                <w:szCs w:val="21"/>
                <w:highlight w:val="none"/>
              </w:rPr>
            </w:pPr>
          </w:p>
        </w:tc>
        <w:tc>
          <w:tcPr>
            <w:tcW w:w="1060" w:type="dxa"/>
            <w:tcBorders>
              <w:top w:val="single" w:color="auto" w:sz="4" w:space="0"/>
              <w:left w:val="single" w:color="auto" w:sz="4" w:space="0"/>
              <w:bottom w:val="single" w:color="auto" w:sz="4" w:space="0"/>
              <w:right w:val="single" w:color="auto" w:sz="4" w:space="0"/>
            </w:tcBorders>
            <w:vAlign w:val="center"/>
          </w:tcPr>
          <w:p w14:paraId="5E7C78BF">
            <w:pPr>
              <w:widowControl/>
              <w:rPr>
                <w:rFonts w:ascii="Times New Roman" w:hAnsi="Times New Roman"/>
                <w:color w:val="auto"/>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68312694">
            <w:pPr>
              <w:widowControl/>
              <w:rPr>
                <w:rFonts w:ascii="Times New Roman" w:hAnsi="Times New Roman"/>
                <w:color w:val="auto"/>
                <w:szCs w:val="21"/>
                <w:highlight w:val="none"/>
              </w:rPr>
            </w:pPr>
          </w:p>
        </w:tc>
        <w:tc>
          <w:tcPr>
            <w:tcW w:w="722" w:type="dxa"/>
            <w:tcBorders>
              <w:top w:val="single" w:color="auto" w:sz="4" w:space="0"/>
              <w:left w:val="single" w:color="auto" w:sz="4" w:space="0"/>
              <w:bottom w:val="single" w:color="auto" w:sz="4" w:space="0"/>
              <w:right w:val="single" w:color="auto" w:sz="4" w:space="0"/>
            </w:tcBorders>
            <w:vAlign w:val="center"/>
          </w:tcPr>
          <w:p w14:paraId="40A1EAE2">
            <w:pPr>
              <w:widowControl/>
              <w:jc w:val="center"/>
              <w:rPr>
                <w:rFonts w:ascii="Times New Roman" w:hAnsi="Times New Roman"/>
                <w:color w:val="auto"/>
                <w:szCs w:val="21"/>
                <w:highlight w:val="none"/>
              </w:rPr>
            </w:pPr>
          </w:p>
        </w:tc>
        <w:tc>
          <w:tcPr>
            <w:tcW w:w="539" w:type="dxa"/>
            <w:tcBorders>
              <w:top w:val="single" w:color="auto" w:sz="4" w:space="0"/>
              <w:left w:val="single" w:color="auto" w:sz="4" w:space="0"/>
              <w:bottom w:val="single" w:color="auto" w:sz="4" w:space="0"/>
              <w:right w:val="single" w:color="auto" w:sz="4" w:space="0"/>
            </w:tcBorders>
            <w:vAlign w:val="center"/>
          </w:tcPr>
          <w:p w14:paraId="1EBCC841">
            <w:pPr>
              <w:widowControl/>
              <w:rPr>
                <w:rFonts w:ascii="Times New Roman" w:hAnsi="Times New Roman"/>
                <w:color w:val="auto"/>
                <w:szCs w:val="21"/>
                <w:highlight w:val="none"/>
              </w:rPr>
            </w:pPr>
          </w:p>
        </w:tc>
        <w:tc>
          <w:tcPr>
            <w:tcW w:w="823" w:type="dxa"/>
            <w:tcBorders>
              <w:top w:val="single" w:color="auto" w:sz="4" w:space="0"/>
              <w:left w:val="single" w:color="auto" w:sz="4" w:space="0"/>
              <w:bottom w:val="single" w:color="auto" w:sz="4" w:space="0"/>
              <w:right w:val="single" w:color="auto" w:sz="4" w:space="0"/>
            </w:tcBorders>
            <w:vAlign w:val="center"/>
          </w:tcPr>
          <w:p w14:paraId="4B5B2B85">
            <w:pPr>
              <w:widowControl/>
              <w:rPr>
                <w:rFonts w:ascii="Times New Roman" w:hAnsi="Times New Roman"/>
                <w:color w:val="auto"/>
                <w:szCs w:val="21"/>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14:paraId="03A17938">
            <w:pPr>
              <w:widowControl/>
              <w:rPr>
                <w:rFonts w:ascii="Times New Roman" w:hAnsi="Times New Roman"/>
                <w:color w:val="auto"/>
                <w:szCs w:val="21"/>
                <w:highlight w:val="none"/>
              </w:rPr>
            </w:pPr>
          </w:p>
        </w:tc>
        <w:tc>
          <w:tcPr>
            <w:tcW w:w="1405" w:type="dxa"/>
            <w:tcBorders>
              <w:top w:val="single" w:color="auto" w:sz="4" w:space="0"/>
              <w:left w:val="single" w:color="auto" w:sz="4" w:space="0"/>
              <w:bottom w:val="single" w:color="auto" w:sz="4" w:space="0"/>
              <w:right w:val="single" w:color="auto" w:sz="4" w:space="0"/>
            </w:tcBorders>
            <w:vAlign w:val="center"/>
          </w:tcPr>
          <w:p w14:paraId="64B3FC09">
            <w:pPr>
              <w:widowControl/>
              <w:rPr>
                <w:rFonts w:ascii="Times New Roman" w:hAnsi="Times New Roman"/>
                <w:color w:val="auto"/>
                <w:szCs w:val="21"/>
                <w:highlight w:val="none"/>
              </w:rPr>
            </w:pPr>
          </w:p>
        </w:tc>
        <w:tc>
          <w:tcPr>
            <w:tcW w:w="628" w:type="dxa"/>
            <w:tcBorders>
              <w:top w:val="single" w:color="auto" w:sz="4" w:space="0"/>
              <w:left w:val="single" w:color="auto" w:sz="4" w:space="0"/>
              <w:bottom w:val="single" w:color="auto" w:sz="4" w:space="0"/>
              <w:right w:val="single" w:color="auto" w:sz="4" w:space="0"/>
            </w:tcBorders>
            <w:vAlign w:val="center"/>
          </w:tcPr>
          <w:p w14:paraId="67D8C2EE">
            <w:pPr>
              <w:widowControl/>
              <w:rPr>
                <w:rFonts w:ascii="Times New Roman" w:hAnsi="Times New Roman"/>
                <w:color w:val="auto"/>
                <w:szCs w:val="21"/>
                <w:highlight w:val="none"/>
              </w:rPr>
            </w:pPr>
          </w:p>
        </w:tc>
      </w:tr>
      <w:tr w14:paraId="280E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8" w:hRule="atLeast"/>
          <w:jc w:val="center"/>
        </w:trPr>
        <w:tc>
          <w:tcPr>
            <w:tcW w:w="679" w:type="dxa"/>
            <w:tcBorders>
              <w:top w:val="single" w:color="auto" w:sz="4" w:space="0"/>
              <w:left w:val="single" w:color="auto" w:sz="4" w:space="0"/>
              <w:bottom w:val="single" w:color="auto" w:sz="4" w:space="0"/>
              <w:right w:val="single" w:color="auto" w:sz="4" w:space="0"/>
            </w:tcBorders>
            <w:vAlign w:val="center"/>
          </w:tcPr>
          <w:p w14:paraId="7E055E47">
            <w:pPr>
              <w:widowControl/>
              <w:jc w:val="center"/>
              <w:rPr>
                <w:rFonts w:ascii="Times New Roman" w:hAnsi="Times New Roman"/>
                <w:color w:val="auto"/>
                <w:szCs w:val="21"/>
                <w:highlight w:val="none"/>
              </w:rPr>
            </w:pPr>
            <w:r>
              <w:rPr>
                <w:rFonts w:ascii="Times New Roman" w:hAnsi="Times New Roman"/>
                <w:color w:val="auto"/>
                <w:szCs w:val="21"/>
                <w:highlight w:val="none"/>
              </w:rPr>
              <w:t>……</w:t>
            </w:r>
          </w:p>
        </w:tc>
        <w:tc>
          <w:tcPr>
            <w:tcW w:w="1327" w:type="dxa"/>
            <w:tcBorders>
              <w:top w:val="single" w:color="auto" w:sz="4" w:space="0"/>
              <w:left w:val="single" w:color="auto" w:sz="4" w:space="0"/>
              <w:bottom w:val="single" w:color="auto" w:sz="4" w:space="0"/>
              <w:right w:val="single" w:color="auto" w:sz="4" w:space="0"/>
            </w:tcBorders>
            <w:vAlign w:val="center"/>
          </w:tcPr>
          <w:p w14:paraId="2EFED17E">
            <w:pPr>
              <w:jc w:val="center"/>
              <w:rPr>
                <w:rFonts w:ascii="Times New Roman" w:hAnsi="Times New Roman"/>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14:paraId="00B79762">
            <w:pPr>
              <w:widowControl/>
              <w:rPr>
                <w:rFonts w:ascii="Times New Roman" w:hAnsi="Times New Roman"/>
                <w:color w:val="auto"/>
                <w:szCs w:val="21"/>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1E373E74">
            <w:pPr>
              <w:widowControl/>
              <w:rPr>
                <w:rFonts w:ascii="Times New Roman" w:hAnsi="Times New Roman"/>
                <w:color w:val="auto"/>
                <w:szCs w:val="21"/>
                <w:highlight w:val="none"/>
              </w:rPr>
            </w:pPr>
          </w:p>
        </w:tc>
        <w:tc>
          <w:tcPr>
            <w:tcW w:w="1060" w:type="dxa"/>
            <w:tcBorders>
              <w:top w:val="single" w:color="auto" w:sz="4" w:space="0"/>
              <w:left w:val="single" w:color="auto" w:sz="4" w:space="0"/>
              <w:bottom w:val="single" w:color="auto" w:sz="4" w:space="0"/>
              <w:right w:val="single" w:color="auto" w:sz="4" w:space="0"/>
            </w:tcBorders>
            <w:vAlign w:val="center"/>
          </w:tcPr>
          <w:p w14:paraId="4863B64B">
            <w:pPr>
              <w:widowControl/>
              <w:rPr>
                <w:rFonts w:ascii="Times New Roman" w:hAnsi="Times New Roman"/>
                <w:color w:val="auto"/>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34552B88">
            <w:pPr>
              <w:widowControl/>
              <w:rPr>
                <w:rFonts w:ascii="Times New Roman" w:hAnsi="Times New Roman"/>
                <w:color w:val="auto"/>
                <w:szCs w:val="21"/>
                <w:highlight w:val="none"/>
              </w:rPr>
            </w:pPr>
          </w:p>
        </w:tc>
        <w:tc>
          <w:tcPr>
            <w:tcW w:w="722" w:type="dxa"/>
            <w:tcBorders>
              <w:top w:val="single" w:color="auto" w:sz="4" w:space="0"/>
              <w:left w:val="single" w:color="auto" w:sz="4" w:space="0"/>
              <w:bottom w:val="single" w:color="auto" w:sz="4" w:space="0"/>
              <w:right w:val="single" w:color="auto" w:sz="4" w:space="0"/>
            </w:tcBorders>
            <w:vAlign w:val="center"/>
          </w:tcPr>
          <w:p w14:paraId="4273DF1E">
            <w:pPr>
              <w:widowControl/>
              <w:jc w:val="center"/>
              <w:rPr>
                <w:rFonts w:ascii="Times New Roman" w:hAnsi="Times New Roman"/>
                <w:color w:val="auto"/>
                <w:szCs w:val="21"/>
                <w:highlight w:val="none"/>
              </w:rPr>
            </w:pPr>
          </w:p>
        </w:tc>
        <w:tc>
          <w:tcPr>
            <w:tcW w:w="539" w:type="dxa"/>
            <w:tcBorders>
              <w:top w:val="single" w:color="auto" w:sz="4" w:space="0"/>
              <w:left w:val="single" w:color="auto" w:sz="4" w:space="0"/>
              <w:bottom w:val="single" w:color="auto" w:sz="4" w:space="0"/>
              <w:right w:val="single" w:color="auto" w:sz="4" w:space="0"/>
            </w:tcBorders>
            <w:vAlign w:val="center"/>
          </w:tcPr>
          <w:p w14:paraId="72434C26">
            <w:pPr>
              <w:widowControl/>
              <w:rPr>
                <w:rFonts w:ascii="Times New Roman" w:hAnsi="Times New Roman"/>
                <w:color w:val="auto"/>
                <w:szCs w:val="21"/>
                <w:highlight w:val="none"/>
              </w:rPr>
            </w:pPr>
          </w:p>
        </w:tc>
        <w:tc>
          <w:tcPr>
            <w:tcW w:w="823" w:type="dxa"/>
            <w:tcBorders>
              <w:top w:val="single" w:color="auto" w:sz="4" w:space="0"/>
              <w:left w:val="single" w:color="auto" w:sz="4" w:space="0"/>
              <w:bottom w:val="single" w:color="auto" w:sz="4" w:space="0"/>
              <w:right w:val="single" w:color="auto" w:sz="4" w:space="0"/>
            </w:tcBorders>
            <w:vAlign w:val="center"/>
          </w:tcPr>
          <w:p w14:paraId="1ACD4E3C">
            <w:pPr>
              <w:widowControl/>
              <w:rPr>
                <w:rFonts w:ascii="Times New Roman" w:hAnsi="Times New Roman"/>
                <w:color w:val="auto"/>
                <w:szCs w:val="21"/>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14:paraId="513F1429">
            <w:pPr>
              <w:widowControl/>
              <w:rPr>
                <w:rFonts w:ascii="Times New Roman" w:hAnsi="Times New Roman"/>
                <w:color w:val="auto"/>
                <w:szCs w:val="21"/>
                <w:highlight w:val="none"/>
              </w:rPr>
            </w:pPr>
          </w:p>
        </w:tc>
        <w:tc>
          <w:tcPr>
            <w:tcW w:w="1405" w:type="dxa"/>
            <w:tcBorders>
              <w:top w:val="single" w:color="auto" w:sz="4" w:space="0"/>
              <w:left w:val="single" w:color="auto" w:sz="4" w:space="0"/>
              <w:bottom w:val="single" w:color="auto" w:sz="4" w:space="0"/>
              <w:right w:val="single" w:color="auto" w:sz="4" w:space="0"/>
            </w:tcBorders>
            <w:vAlign w:val="center"/>
          </w:tcPr>
          <w:p w14:paraId="7BF543DB">
            <w:pPr>
              <w:widowControl/>
              <w:rPr>
                <w:rFonts w:ascii="Times New Roman" w:hAnsi="Times New Roman"/>
                <w:color w:val="auto"/>
                <w:szCs w:val="21"/>
                <w:highlight w:val="none"/>
              </w:rPr>
            </w:pPr>
          </w:p>
        </w:tc>
        <w:tc>
          <w:tcPr>
            <w:tcW w:w="628" w:type="dxa"/>
            <w:tcBorders>
              <w:top w:val="single" w:color="auto" w:sz="4" w:space="0"/>
              <w:left w:val="single" w:color="auto" w:sz="4" w:space="0"/>
              <w:bottom w:val="single" w:color="auto" w:sz="4" w:space="0"/>
              <w:right w:val="single" w:color="auto" w:sz="4" w:space="0"/>
            </w:tcBorders>
            <w:vAlign w:val="center"/>
          </w:tcPr>
          <w:p w14:paraId="0B391608">
            <w:pPr>
              <w:widowControl/>
              <w:rPr>
                <w:rFonts w:ascii="Times New Roman" w:hAnsi="Times New Roman"/>
                <w:color w:val="auto"/>
                <w:szCs w:val="21"/>
                <w:highlight w:val="none"/>
              </w:rPr>
            </w:pPr>
          </w:p>
        </w:tc>
      </w:tr>
      <w:tr w14:paraId="289C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8" w:hRule="atLeast"/>
          <w:jc w:val="center"/>
        </w:trPr>
        <w:tc>
          <w:tcPr>
            <w:tcW w:w="10325" w:type="dxa"/>
            <w:gridSpan w:val="12"/>
            <w:tcBorders>
              <w:top w:val="single" w:color="auto" w:sz="4" w:space="0"/>
              <w:left w:val="single" w:color="auto" w:sz="4" w:space="0"/>
              <w:bottom w:val="single" w:color="auto" w:sz="4" w:space="0"/>
              <w:right w:val="single" w:color="auto" w:sz="4" w:space="0"/>
            </w:tcBorders>
            <w:vAlign w:val="center"/>
          </w:tcPr>
          <w:p w14:paraId="6089FC2F">
            <w:pPr>
              <w:widowControl/>
              <w:rPr>
                <w:rFonts w:ascii="Times New Roman" w:hAnsi="Times New Roman"/>
                <w:color w:val="auto"/>
                <w:szCs w:val="21"/>
                <w:highlight w:val="none"/>
              </w:rPr>
            </w:pPr>
            <w:bookmarkStart w:id="199" w:name="_Hlk94367256"/>
            <w:r>
              <w:rPr>
                <w:rFonts w:ascii="Times New Roman" w:hAnsi="Times New Roman"/>
                <w:color w:val="auto"/>
                <w:szCs w:val="21"/>
                <w:highlight w:val="none"/>
              </w:rPr>
              <w:t>合计（元）：</w:t>
            </w:r>
            <w:bookmarkEnd w:id="199"/>
          </w:p>
        </w:tc>
      </w:tr>
      <w:bookmarkEnd w:id="198"/>
    </w:tbl>
    <w:p w14:paraId="157F08DB">
      <w:pPr>
        <w:spacing w:line="360" w:lineRule="auto"/>
        <w:rPr>
          <w:rFonts w:ascii="Times New Roman" w:hAnsi="Times New Roman"/>
          <w:b/>
          <w:color w:val="auto"/>
          <w:szCs w:val="21"/>
          <w:highlight w:val="none"/>
        </w:rPr>
      </w:pPr>
      <w:r>
        <w:rPr>
          <w:rFonts w:ascii="Times New Roman" w:hAnsi="Times New Roman"/>
          <w:b/>
          <w:color w:val="auto"/>
          <w:szCs w:val="21"/>
          <w:highlight w:val="none"/>
        </w:rPr>
        <w:t>备注：</w:t>
      </w:r>
    </w:p>
    <w:p w14:paraId="4583664A">
      <w:pPr>
        <w:spacing w:line="360" w:lineRule="auto"/>
        <w:ind w:firstLine="2" w:firstLineChars="1"/>
        <w:rPr>
          <w:rFonts w:ascii="Times New Roman" w:hAnsi="Times New Roman"/>
          <w:color w:val="auto"/>
          <w:szCs w:val="21"/>
          <w:highlight w:val="none"/>
        </w:rPr>
      </w:pPr>
      <w:r>
        <w:rPr>
          <w:rFonts w:ascii="Times New Roman" w:hAnsi="Times New Roman"/>
          <w:color w:val="auto"/>
          <w:szCs w:val="21"/>
          <w:highlight w:val="none"/>
        </w:rPr>
        <w:t>1、填表要求详见“报价组成表及编制说明”。</w:t>
      </w:r>
    </w:p>
    <w:p w14:paraId="5CF80F94">
      <w:pPr>
        <w:spacing w:line="360" w:lineRule="auto"/>
        <w:ind w:firstLine="2" w:firstLineChars="1"/>
        <w:rPr>
          <w:rFonts w:ascii="Times New Roman" w:hAnsi="Times New Roman"/>
          <w:color w:val="auto"/>
          <w:szCs w:val="21"/>
          <w:highlight w:val="none"/>
        </w:rPr>
      </w:pPr>
    </w:p>
    <w:p w14:paraId="337A93C8">
      <w:pPr>
        <w:spacing w:line="360" w:lineRule="auto"/>
        <w:ind w:firstLine="420"/>
        <w:rPr>
          <w:rFonts w:ascii="Times New Roman" w:hAnsi="Times New Roman"/>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6A933AD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00843288">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4AA17BB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2D44FCC2">
            <w:pPr>
              <w:ind w:left="-921" w:leftChars="-439"/>
              <w:rPr>
                <w:rFonts w:ascii="Times New Roman" w:hAnsi="Times New Roman"/>
                <w:color w:val="auto"/>
                <w:szCs w:val="21"/>
                <w:highlight w:val="none"/>
              </w:rPr>
            </w:pPr>
          </w:p>
        </w:tc>
      </w:tr>
    </w:tbl>
    <w:p w14:paraId="3012E747">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603F6E8D">
      <w:pPr>
        <w:widowControl/>
        <w:jc w:val="left"/>
        <w:rPr>
          <w:rFonts w:ascii="Times New Roman" w:hAnsi="Times New Roman"/>
          <w:color w:val="auto"/>
          <w:szCs w:val="21"/>
          <w:highlight w:val="none"/>
        </w:rPr>
      </w:pPr>
    </w:p>
    <w:p w14:paraId="7C80F64E">
      <w:pPr>
        <w:rPr>
          <w:rFonts w:ascii="Times New Roman" w:hAnsi="Times New Roman"/>
          <w:color w:val="auto"/>
          <w:szCs w:val="21"/>
          <w:highlight w:val="none"/>
        </w:rPr>
      </w:pPr>
      <w:r>
        <w:rPr>
          <w:rFonts w:ascii="Times New Roman" w:hAnsi="Times New Roman"/>
          <w:color w:val="auto"/>
          <w:szCs w:val="21"/>
          <w:highlight w:val="none"/>
        </w:rPr>
        <w:br w:type="page"/>
      </w:r>
    </w:p>
    <w:p w14:paraId="7A75FB6E">
      <w:pPr>
        <w:rPr>
          <w:rFonts w:ascii="Times New Roman" w:hAnsi="Times New Roman"/>
          <w:color w:val="auto"/>
          <w:highlight w:val="none"/>
        </w:rPr>
      </w:pPr>
      <w:r>
        <w:rPr>
          <w:rFonts w:ascii="Times New Roman" w:hAnsi="Times New Roman"/>
          <w:b/>
          <w:color w:val="auto"/>
          <w:sz w:val="28"/>
          <w:szCs w:val="28"/>
          <w:highlight w:val="none"/>
        </w:rPr>
        <w:t>商务部分-格式2-2：</w:t>
      </w:r>
    </w:p>
    <w:p w14:paraId="1B3B96C9">
      <w:pPr>
        <w:rPr>
          <w:rFonts w:ascii="Times New Roman" w:hAnsi="Times New Roman"/>
          <w:color w:val="auto"/>
          <w:highlight w:val="none"/>
        </w:rPr>
      </w:pPr>
    </w:p>
    <w:p w14:paraId="58145F2E">
      <w:pPr>
        <w:pStyle w:val="3"/>
        <w:numPr>
          <w:ilvl w:val="0"/>
          <w:numId w:val="0"/>
        </w:numPr>
        <w:ind w:left="425"/>
        <w:jc w:val="center"/>
        <w:rPr>
          <w:rFonts w:ascii="Times New Roman" w:hAnsi="Times New Roman" w:eastAsia="宋体"/>
          <w:color w:val="auto"/>
          <w:szCs w:val="28"/>
          <w:highlight w:val="none"/>
        </w:rPr>
      </w:pPr>
      <w:bookmarkStart w:id="200" w:name="_Toc152862908"/>
      <w:bookmarkStart w:id="201" w:name="_Toc91696435"/>
      <w:bookmarkStart w:id="202" w:name="_Toc69912429"/>
      <w:bookmarkStart w:id="203" w:name="_Toc1102"/>
      <w:r>
        <w:rPr>
          <w:rFonts w:ascii="Times New Roman" w:hAnsi="Times New Roman" w:eastAsia="宋体"/>
          <w:color w:val="auto"/>
          <w:szCs w:val="28"/>
          <w:highlight w:val="none"/>
        </w:rPr>
        <w:t>附件：主要备品备件报价承诺</w:t>
      </w:r>
      <w:bookmarkEnd w:id="200"/>
      <w:bookmarkEnd w:id="201"/>
      <w:bookmarkEnd w:id="202"/>
      <w:bookmarkEnd w:id="203"/>
    </w:p>
    <w:p w14:paraId="20945077">
      <w:pPr>
        <w:spacing w:after="165" w:afterLines="50" w:line="360" w:lineRule="auto"/>
        <w:jc w:val="center"/>
        <w:rPr>
          <w:rFonts w:ascii="Times New Roman" w:hAnsi="Times New Roman"/>
          <w:b/>
          <w:color w:val="auto"/>
          <w:szCs w:val="21"/>
          <w:highlight w:val="none"/>
        </w:rPr>
      </w:pPr>
      <w:r>
        <w:rPr>
          <w:rFonts w:ascii="Times New Roman" w:hAnsi="Times New Roman"/>
          <w:color w:val="auto"/>
          <w:highlight w:val="none"/>
        </w:rPr>
        <w:t>投标人应提供确保货物质保期满后所需的备品备件清单（如有）。</w:t>
      </w:r>
    </w:p>
    <w:p w14:paraId="74DF9628">
      <w:pPr>
        <w:spacing w:line="500" w:lineRule="exact"/>
        <w:rPr>
          <w:rFonts w:ascii="Times New Roman" w:hAnsi="Times New Roman"/>
          <w:color w:val="auto"/>
          <w:szCs w:val="21"/>
          <w:highlight w:val="none"/>
        </w:rPr>
      </w:pPr>
      <w:r>
        <w:rPr>
          <w:rFonts w:ascii="Times New Roman" w:hAnsi="Times New Roman"/>
          <w:b/>
          <w:color w:val="auto"/>
          <w:szCs w:val="21"/>
          <w:highlight w:val="none"/>
        </w:rPr>
        <w:t>项目名称：项目编号：</w:t>
      </w:r>
      <w:r>
        <w:rPr>
          <w:rFonts w:ascii="Times New Roman" w:hAnsi="Times New Roman"/>
          <w:color w:val="auto"/>
          <w:szCs w:val="21"/>
          <w:highlight w:val="none"/>
        </w:rPr>
        <w:t xml:space="preserve"> </w:t>
      </w:r>
    </w:p>
    <w:p w14:paraId="40906DD3">
      <w:pPr>
        <w:spacing w:line="42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我公司在此郑重承诺：若我公司有幸中标，在今后的售后服务中，我公司将严格按照下表中所列的优惠条件提供成交设备的备品备件。</w:t>
      </w:r>
    </w:p>
    <w:tbl>
      <w:tblPr>
        <w:tblStyle w:val="39"/>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890"/>
        <w:gridCol w:w="1155"/>
        <w:gridCol w:w="945"/>
        <w:gridCol w:w="735"/>
        <w:gridCol w:w="735"/>
        <w:gridCol w:w="735"/>
        <w:gridCol w:w="2748"/>
      </w:tblGrid>
      <w:tr w14:paraId="1774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7FD203B3">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备品备件</w:t>
            </w:r>
          </w:p>
          <w:p w14:paraId="36E4F83E">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名称</w:t>
            </w:r>
          </w:p>
        </w:tc>
        <w:tc>
          <w:tcPr>
            <w:tcW w:w="1890" w:type="dxa"/>
            <w:tcBorders>
              <w:top w:val="single" w:color="auto" w:sz="4" w:space="0"/>
              <w:left w:val="single" w:color="auto" w:sz="4" w:space="0"/>
              <w:bottom w:val="single" w:color="auto" w:sz="4" w:space="0"/>
              <w:right w:val="single" w:color="auto" w:sz="4" w:space="0"/>
            </w:tcBorders>
            <w:vAlign w:val="center"/>
          </w:tcPr>
          <w:p w14:paraId="09143313">
            <w:pPr>
              <w:spacing w:line="300" w:lineRule="exact"/>
              <w:jc w:val="center"/>
              <w:rPr>
                <w:rFonts w:ascii="Times New Roman" w:hAnsi="Times New Roman"/>
                <w:b/>
                <w:bCs/>
                <w:color w:val="auto"/>
                <w:spacing w:val="-10"/>
                <w:szCs w:val="21"/>
                <w:highlight w:val="none"/>
              </w:rPr>
            </w:pPr>
            <w:r>
              <w:rPr>
                <w:rFonts w:ascii="Times New Roman" w:hAnsi="Times New Roman"/>
                <w:b/>
                <w:bCs/>
                <w:color w:val="auto"/>
                <w:spacing w:val="-10"/>
                <w:szCs w:val="21"/>
                <w:highlight w:val="none"/>
              </w:rPr>
              <w:t>品牌、型号、规格</w:t>
            </w:r>
          </w:p>
        </w:tc>
        <w:tc>
          <w:tcPr>
            <w:tcW w:w="1155" w:type="dxa"/>
            <w:tcBorders>
              <w:top w:val="single" w:color="auto" w:sz="4" w:space="0"/>
              <w:left w:val="single" w:color="auto" w:sz="4" w:space="0"/>
              <w:bottom w:val="single" w:color="auto" w:sz="4" w:space="0"/>
              <w:right w:val="single" w:color="auto" w:sz="4" w:space="0"/>
            </w:tcBorders>
            <w:vAlign w:val="center"/>
          </w:tcPr>
          <w:p w14:paraId="66F81D7E">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技术</w:t>
            </w:r>
          </w:p>
          <w:p w14:paraId="57905073">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性能</w:t>
            </w:r>
          </w:p>
        </w:tc>
        <w:tc>
          <w:tcPr>
            <w:tcW w:w="945" w:type="dxa"/>
            <w:tcBorders>
              <w:top w:val="single" w:color="auto" w:sz="4" w:space="0"/>
              <w:left w:val="single" w:color="auto" w:sz="4" w:space="0"/>
              <w:bottom w:val="single" w:color="auto" w:sz="4" w:space="0"/>
              <w:right w:val="single" w:color="auto" w:sz="4" w:space="0"/>
            </w:tcBorders>
            <w:vAlign w:val="center"/>
          </w:tcPr>
          <w:p w14:paraId="566B3846">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本次厂家报价</w:t>
            </w:r>
          </w:p>
        </w:tc>
        <w:tc>
          <w:tcPr>
            <w:tcW w:w="735" w:type="dxa"/>
            <w:tcBorders>
              <w:top w:val="single" w:color="auto" w:sz="4" w:space="0"/>
              <w:left w:val="single" w:color="auto" w:sz="4" w:space="0"/>
              <w:bottom w:val="single" w:color="auto" w:sz="4" w:space="0"/>
              <w:right w:val="single" w:color="auto" w:sz="4" w:space="0"/>
            </w:tcBorders>
            <w:vAlign w:val="center"/>
          </w:tcPr>
          <w:p w14:paraId="6A5AAFDE">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数量</w:t>
            </w:r>
          </w:p>
          <w:p w14:paraId="3419BAB4">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单位</w:t>
            </w:r>
          </w:p>
        </w:tc>
        <w:tc>
          <w:tcPr>
            <w:tcW w:w="735" w:type="dxa"/>
            <w:tcBorders>
              <w:top w:val="single" w:color="auto" w:sz="4" w:space="0"/>
              <w:left w:val="single" w:color="auto" w:sz="4" w:space="0"/>
              <w:bottom w:val="single" w:color="auto" w:sz="4" w:space="0"/>
              <w:right w:val="single" w:color="auto" w:sz="4" w:space="0"/>
            </w:tcBorders>
            <w:vAlign w:val="center"/>
          </w:tcPr>
          <w:p w14:paraId="5A1C6A2C">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优惠</w:t>
            </w:r>
          </w:p>
          <w:p w14:paraId="0F221193">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比例</w:t>
            </w:r>
          </w:p>
        </w:tc>
        <w:tc>
          <w:tcPr>
            <w:tcW w:w="735" w:type="dxa"/>
            <w:tcBorders>
              <w:top w:val="single" w:color="auto" w:sz="4" w:space="0"/>
              <w:left w:val="single" w:color="auto" w:sz="4" w:space="0"/>
              <w:bottom w:val="single" w:color="auto" w:sz="4" w:space="0"/>
              <w:right w:val="single" w:color="auto" w:sz="4" w:space="0"/>
            </w:tcBorders>
            <w:vAlign w:val="center"/>
          </w:tcPr>
          <w:p w14:paraId="2908E3FC">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实际单价</w:t>
            </w:r>
          </w:p>
        </w:tc>
        <w:tc>
          <w:tcPr>
            <w:tcW w:w="2748" w:type="dxa"/>
            <w:tcBorders>
              <w:top w:val="single" w:color="auto" w:sz="4" w:space="0"/>
              <w:left w:val="single" w:color="auto" w:sz="4" w:space="0"/>
              <w:bottom w:val="single" w:color="auto" w:sz="4" w:space="0"/>
              <w:right w:val="single" w:color="auto" w:sz="4" w:space="0"/>
            </w:tcBorders>
            <w:vAlign w:val="center"/>
          </w:tcPr>
          <w:p w14:paraId="551EFB22">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备  注</w:t>
            </w:r>
          </w:p>
          <w:p w14:paraId="20953739">
            <w:pPr>
              <w:spacing w:line="300" w:lineRule="exact"/>
              <w:jc w:val="center"/>
              <w:rPr>
                <w:rFonts w:ascii="Times New Roman" w:hAnsi="Times New Roman"/>
                <w:b/>
                <w:bCs/>
                <w:color w:val="auto"/>
                <w:szCs w:val="21"/>
                <w:highlight w:val="none"/>
              </w:rPr>
            </w:pPr>
            <w:r>
              <w:rPr>
                <w:rFonts w:ascii="Times New Roman" w:hAnsi="Times New Roman"/>
                <w:b/>
                <w:bCs/>
                <w:color w:val="auto"/>
                <w:szCs w:val="21"/>
                <w:highlight w:val="none"/>
              </w:rPr>
              <w:t>（是否已含在总报价中）</w:t>
            </w:r>
          </w:p>
        </w:tc>
      </w:tr>
      <w:tr w14:paraId="51C5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61D96533">
            <w:pPr>
              <w:spacing w:line="420" w:lineRule="exact"/>
              <w:ind w:firstLine="200"/>
              <w:rPr>
                <w:rFonts w:ascii="Times New Roman" w:hAnsi="Times New Roman"/>
                <w:color w:val="auto"/>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6C0C452B">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DC67530">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18A81F0">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29A7A350">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1F3106B6">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36DB3502">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128D4CBF">
            <w:pPr>
              <w:spacing w:line="420" w:lineRule="exact"/>
              <w:ind w:firstLine="200"/>
              <w:rPr>
                <w:rFonts w:ascii="Times New Roman" w:hAnsi="Times New Roman"/>
                <w:color w:val="auto"/>
                <w:szCs w:val="21"/>
                <w:highlight w:val="none"/>
              </w:rPr>
            </w:pPr>
          </w:p>
        </w:tc>
      </w:tr>
      <w:tr w14:paraId="053AF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007D5DE">
            <w:pPr>
              <w:spacing w:line="420" w:lineRule="exact"/>
              <w:ind w:firstLine="200"/>
              <w:rPr>
                <w:rFonts w:ascii="Times New Roman" w:hAnsi="Times New Roman"/>
                <w:color w:val="auto"/>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37A460D8">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382404FA">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8DFC1BC">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1B183E1D">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C1398D5">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66DAE2FE">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76430C47">
            <w:pPr>
              <w:spacing w:line="420" w:lineRule="exact"/>
              <w:ind w:firstLine="200"/>
              <w:rPr>
                <w:rFonts w:ascii="Times New Roman" w:hAnsi="Times New Roman"/>
                <w:color w:val="auto"/>
                <w:szCs w:val="21"/>
                <w:highlight w:val="none"/>
              </w:rPr>
            </w:pPr>
          </w:p>
        </w:tc>
      </w:tr>
      <w:tr w14:paraId="7079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411A46CD">
            <w:pPr>
              <w:spacing w:line="420" w:lineRule="exact"/>
              <w:ind w:firstLine="200"/>
              <w:rPr>
                <w:rFonts w:ascii="Times New Roman" w:hAnsi="Times New Roman"/>
                <w:color w:val="auto"/>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281AFE24">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E94727C">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FF8DCDC">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593DA748">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2D475A50">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25606AC8">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7EED4B93">
            <w:pPr>
              <w:spacing w:line="420" w:lineRule="exact"/>
              <w:ind w:firstLine="200"/>
              <w:rPr>
                <w:rFonts w:ascii="Times New Roman" w:hAnsi="Times New Roman"/>
                <w:color w:val="auto"/>
                <w:szCs w:val="21"/>
                <w:highlight w:val="none"/>
              </w:rPr>
            </w:pPr>
          </w:p>
        </w:tc>
      </w:tr>
      <w:tr w14:paraId="4D3A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78936EAC">
            <w:pPr>
              <w:spacing w:line="420" w:lineRule="exact"/>
              <w:ind w:firstLine="200"/>
              <w:rPr>
                <w:rFonts w:ascii="Times New Roman" w:hAnsi="Times New Roman"/>
                <w:color w:val="auto"/>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4B09B1E6">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4DFA904F">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07EF2AE">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4130B7BB">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5055575">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38AC18C9">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3D3FA219">
            <w:pPr>
              <w:spacing w:line="420" w:lineRule="exact"/>
              <w:ind w:firstLine="200"/>
              <w:rPr>
                <w:rFonts w:ascii="Times New Roman" w:hAnsi="Times New Roman"/>
                <w:color w:val="auto"/>
                <w:szCs w:val="21"/>
                <w:highlight w:val="none"/>
              </w:rPr>
            </w:pPr>
          </w:p>
        </w:tc>
      </w:tr>
      <w:tr w14:paraId="0CC5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565D5926">
            <w:pPr>
              <w:spacing w:line="420" w:lineRule="exact"/>
              <w:ind w:firstLine="200"/>
              <w:rPr>
                <w:rFonts w:ascii="Times New Roman" w:hAnsi="Times New Roman"/>
                <w:color w:val="auto"/>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5631D7F3">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51367A9D">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20AC41C">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2122F4D">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EAD8199">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1151C89D">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0989F698">
            <w:pPr>
              <w:spacing w:line="420" w:lineRule="exact"/>
              <w:ind w:firstLine="200"/>
              <w:rPr>
                <w:rFonts w:ascii="Times New Roman" w:hAnsi="Times New Roman"/>
                <w:color w:val="auto"/>
                <w:szCs w:val="21"/>
                <w:highlight w:val="none"/>
              </w:rPr>
            </w:pPr>
          </w:p>
        </w:tc>
      </w:tr>
      <w:tr w14:paraId="5809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1FC5F76E">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w:t>
            </w:r>
          </w:p>
        </w:tc>
        <w:tc>
          <w:tcPr>
            <w:tcW w:w="1890" w:type="dxa"/>
            <w:tcBorders>
              <w:top w:val="single" w:color="auto" w:sz="4" w:space="0"/>
              <w:left w:val="single" w:color="auto" w:sz="4" w:space="0"/>
              <w:bottom w:val="single" w:color="auto" w:sz="4" w:space="0"/>
              <w:right w:val="single" w:color="auto" w:sz="4" w:space="0"/>
            </w:tcBorders>
            <w:vAlign w:val="center"/>
          </w:tcPr>
          <w:p w14:paraId="08B1F681">
            <w:pPr>
              <w:spacing w:line="420" w:lineRule="exact"/>
              <w:ind w:firstLine="200"/>
              <w:rPr>
                <w:rFonts w:ascii="Times New Roman" w:hAnsi="Times New Roman"/>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E4A678A">
            <w:pPr>
              <w:spacing w:line="420" w:lineRule="exact"/>
              <w:ind w:firstLine="200"/>
              <w:rPr>
                <w:rFonts w:ascii="Times New Roman" w:hAnsi="Times New Roman"/>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772E734">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E1CC070">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00F369F">
            <w:pPr>
              <w:spacing w:line="420" w:lineRule="exact"/>
              <w:ind w:firstLine="200"/>
              <w:rPr>
                <w:rFonts w:ascii="Times New Roman" w:hAnsi="Times New Roman"/>
                <w:color w:val="auto"/>
                <w:szCs w:val="21"/>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2AF327F">
            <w:pPr>
              <w:spacing w:line="420" w:lineRule="exact"/>
              <w:ind w:firstLine="200"/>
              <w:rPr>
                <w:rFonts w:ascii="Times New Roman" w:hAnsi="Times New Roman"/>
                <w:color w:val="auto"/>
                <w:szCs w:val="21"/>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76312FF1">
            <w:pPr>
              <w:spacing w:line="420" w:lineRule="exact"/>
              <w:ind w:firstLine="200"/>
              <w:rPr>
                <w:rFonts w:ascii="Times New Roman" w:hAnsi="Times New Roman"/>
                <w:color w:val="auto"/>
                <w:szCs w:val="21"/>
                <w:highlight w:val="none"/>
              </w:rPr>
            </w:pPr>
          </w:p>
        </w:tc>
      </w:tr>
    </w:tbl>
    <w:p w14:paraId="6FC63A24">
      <w:pPr>
        <w:spacing w:line="420" w:lineRule="exact"/>
        <w:ind w:firstLine="198"/>
        <w:rPr>
          <w:rFonts w:ascii="Times New Roman" w:hAnsi="Times New Roman"/>
          <w:color w:val="auto"/>
          <w:szCs w:val="21"/>
          <w:highlight w:val="none"/>
        </w:rPr>
      </w:pPr>
      <w:r>
        <w:rPr>
          <w:rFonts w:ascii="Times New Roman" w:hAnsi="Times New Roman"/>
          <w:color w:val="auto"/>
          <w:szCs w:val="21"/>
          <w:highlight w:val="none"/>
        </w:rPr>
        <w:t>上述优惠比例及实际单价可以延用到以后的备品备件更换中，也可以根据以后的市场价按上述优惠比例进行下调；本报价的币种为人民币（元）。</w:t>
      </w:r>
    </w:p>
    <w:p w14:paraId="22B170EA">
      <w:pPr>
        <w:spacing w:line="420" w:lineRule="exact"/>
        <w:ind w:firstLine="200"/>
        <w:rPr>
          <w:rFonts w:ascii="Times New Roman" w:hAnsi="Times New Roman"/>
          <w:color w:val="auto"/>
          <w:szCs w:val="21"/>
          <w:highlight w:val="none"/>
        </w:rPr>
      </w:pPr>
      <w:r>
        <w:rPr>
          <w:rFonts w:ascii="Times New Roman" w:hAnsi="Times New Roman"/>
          <w:color w:val="auto"/>
          <w:szCs w:val="21"/>
          <w:highlight w:val="none"/>
        </w:rPr>
        <w:t>特此承诺！</w:t>
      </w:r>
    </w:p>
    <w:p w14:paraId="0C4581F9">
      <w:pPr>
        <w:spacing w:line="360" w:lineRule="auto"/>
        <w:ind w:firstLine="420"/>
        <w:rPr>
          <w:rFonts w:ascii="Times New Roman" w:hAnsi="Times New Roman"/>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1D63028E">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6197F370">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2D7DBA5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7A65C684">
            <w:pPr>
              <w:ind w:left="-921" w:leftChars="-439"/>
              <w:rPr>
                <w:rFonts w:ascii="Times New Roman" w:hAnsi="Times New Roman"/>
                <w:color w:val="auto"/>
                <w:szCs w:val="21"/>
                <w:highlight w:val="none"/>
              </w:rPr>
            </w:pPr>
          </w:p>
        </w:tc>
      </w:tr>
    </w:tbl>
    <w:p w14:paraId="4B62E709">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2C462408">
      <w:pPr>
        <w:rPr>
          <w:rFonts w:ascii="Times New Roman" w:hAnsi="Times New Roman"/>
          <w:b/>
          <w:color w:val="auto"/>
          <w:spacing w:val="6"/>
          <w:szCs w:val="21"/>
          <w:highlight w:val="none"/>
        </w:rPr>
      </w:pPr>
    </w:p>
    <w:p w14:paraId="19E0FFA1">
      <w:pPr>
        <w:rPr>
          <w:rFonts w:ascii="Times New Roman" w:hAnsi="Times New Roman"/>
          <w:b/>
          <w:color w:val="auto"/>
          <w:szCs w:val="21"/>
          <w:highlight w:val="none"/>
        </w:rPr>
      </w:pPr>
      <w:r>
        <w:rPr>
          <w:rFonts w:ascii="Times New Roman" w:hAnsi="Times New Roman"/>
          <w:b/>
          <w:color w:val="auto"/>
          <w:spacing w:val="6"/>
          <w:szCs w:val="21"/>
          <w:highlight w:val="none"/>
        </w:rPr>
        <w:t>注：投标人在编制此“备品备件报价承诺”时，除表格的格式及内容不得修改外，其余部分可视投标人的自身情况进行修改并承诺。若无备品配件的可不填此表。</w:t>
      </w:r>
    </w:p>
    <w:p w14:paraId="67BB8A38">
      <w:pPr>
        <w:rPr>
          <w:rFonts w:ascii="Times New Roman" w:hAnsi="Times New Roman"/>
          <w:b/>
          <w:color w:val="auto"/>
          <w:sz w:val="24"/>
          <w:highlight w:val="none"/>
        </w:rPr>
      </w:pPr>
    </w:p>
    <w:p w14:paraId="20B2722B">
      <w:pPr>
        <w:rPr>
          <w:rFonts w:ascii="Times New Roman" w:hAnsi="Times New Roman"/>
          <w:b/>
          <w:color w:val="auto"/>
          <w:sz w:val="24"/>
          <w:highlight w:val="none"/>
        </w:rPr>
      </w:pPr>
      <w:r>
        <w:rPr>
          <w:rFonts w:ascii="Times New Roman" w:hAnsi="Times New Roman"/>
          <w:color w:val="auto"/>
          <w:sz w:val="24"/>
          <w:highlight w:val="none"/>
        </w:rPr>
        <w:br w:type="page"/>
      </w:r>
    </w:p>
    <w:p w14:paraId="78D29DB4">
      <w:pPr>
        <w:spacing w:line="588" w:lineRule="exact"/>
        <w:jc w:val="left"/>
        <w:rPr>
          <w:rFonts w:ascii="Times New Roman" w:hAnsi="Times New Roman"/>
          <w:b/>
          <w:color w:val="auto"/>
          <w:sz w:val="28"/>
          <w:szCs w:val="28"/>
          <w:highlight w:val="none"/>
        </w:rPr>
      </w:pPr>
      <w:bookmarkStart w:id="204" w:name="_Hlk48740625"/>
      <w:r>
        <w:rPr>
          <w:rFonts w:ascii="Times New Roman" w:hAnsi="Times New Roman"/>
          <w:b/>
          <w:color w:val="auto"/>
          <w:sz w:val="28"/>
          <w:szCs w:val="28"/>
          <w:highlight w:val="none"/>
        </w:rPr>
        <w:t>商务部分-格式3</w:t>
      </w:r>
      <w:bookmarkEnd w:id="204"/>
      <w:r>
        <w:rPr>
          <w:rFonts w:ascii="Times New Roman" w:hAnsi="Times New Roman"/>
          <w:b/>
          <w:color w:val="auto"/>
          <w:sz w:val="28"/>
          <w:szCs w:val="28"/>
          <w:highlight w:val="none"/>
        </w:rPr>
        <w:t>：</w:t>
      </w:r>
    </w:p>
    <w:p w14:paraId="42F90A89">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商务部分-格式3-1</w:t>
      </w:r>
    </w:p>
    <w:p w14:paraId="67160541">
      <w:pPr>
        <w:spacing w:line="588" w:lineRule="exact"/>
        <w:jc w:val="left"/>
        <w:rPr>
          <w:rFonts w:ascii="Times New Roman" w:hAnsi="Times New Roman"/>
          <w:b/>
          <w:color w:val="auto"/>
          <w:sz w:val="28"/>
          <w:szCs w:val="28"/>
          <w:highlight w:val="none"/>
        </w:rPr>
      </w:pPr>
    </w:p>
    <w:p w14:paraId="52D4867F">
      <w:pPr>
        <w:pStyle w:val="3"/>
        <w:numPr>
          <w:ilvl w:val="0"/>
          <w:numId w:val="0"/>
        </w:numPr>
        <w:ind w:left="425"/>
        <w:jc w:val="center"/>
        <w:rPr>
          <w:rFonts w:ascii="Times New Roman" w:hAnsi="Times New Roman" w:eastAsia="宋体"/>
          <w:color w:val="auto"/>
          <w:szCs w:val="28"/>
          <w:highlight w:val="none"/>
        </w:rPr>
      </w:pPr>
      <w:bookmarkStart w:id="205" w:name="_Toc91696436"/>
      <w:bookmarkStart w:id="206" w:name="_Toc152862909"/>
      <w:bookmarkStart w:id="207" w:name="_Toc2843"/>
      <w:bookmarkStart w:id="208" w:name="_Toc69912432"/>
      <w:bookmarkStart w:id="209" w:name="_Toc522782869"/>
      <w:r>
        <w:rPr>
          <w:rFonts w:ascii="Times New Roman" w:hAnsi="Times New Roman" w:eastAsia="宋体"/>
          <w:color w:val="auto"/>
          <w:szCs w:val="28"/>
          <w:highlight w:val="none"/>
        </w:rPr>
        <w:t>中小企业声明函（若有，格式内容请自拟）</w:t>
      </w:r>
      <w:bookmarkEnd w:id="205"/>
      <w:bookmarkEnd w:id="206"/>
      <w:bookmarkEnd w:id="207"/>
      <w:bookmarkEnd w:id="208"/>
    </w:p>
    <w:p w14:paraId="3E38A7F4">
      <w:pPr>
        <w:jc w:val="center"/>
        <w:rPr>
          <w:rFonts w:ascii="Times New Roman" w:hAnsi="Times New Roman"/>
          <w:color w:val="auto"/>
          <w:spacing w:val="6"/>
          <w:szCs w:val="21"/>
          <w:highlight w:val="none"/>
        </w:rPr>
      </w:pPr>
      <w:r>
        <w:rPr>
          <w:rFonts w:ascii="Times New Roman" w:hAnsi="Times New Roman"/>
          <w:color w:val="auto"/>
          <w:spacing w:val="6"/>
          <w:szCs w:val="21"/>
          <w:highlight w:val="none"/>
        </w:rPr>
        <w:t>（以下格式供参考）</w:t>
      </w:r>
    </w:p>
    <w:p w14:paraId="1E90121C">
      <w:pPr>
        <w:autoSpaceDE w:val="0"/>
        <w:autoSpaceDN w:val="0"/>
        <w:adjustRightInd w:val="0"/>
        <w:spacing w:line="360" w:lineRule="auto"/>
        <w:ind w:firstLine="444" w:firstLineChars="200"/>
        <w:jc w:val="left"/>
        <w:rPr>
          <w:rFonts w:ascii="Times New Roman" w:hAnsi="Times New Roman"/>
          <w:color w:val="auto"/>
          <w:spacing w:val="6"/>
          <w:szCs w:val="21"/>
          <w:highlight w:val="none"/>
        </w:rPr>
      </w:pPr>
      <w:r>
        <w:rPr>
          <w:rFonts w:ascii="Times New Roman" w:hAnsi="Times New Roman"/>
          <w:color w:val="auto"/>
          <w:spacing w:val="6"/>
          <w:szCs w:val="21"/>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813872E">
      <w:pPr>
        <w:autoSpaceDE w:val="0"/>
        <w:autoSpaceDN w:val="0"/>
        <w:adjustRightInd w:val="0"/>
        <w:spacing w:line="360" w:lineRule="auto"/>
        <w:ind w:firstLine="444" w:firstLineChars="200"/>
        <w:jc w:val="left"/>
        <w:rPr>
          <w:rFonts w:ascii="Times New Roman" w:hAnsi="Times New Roman"/>
          <w:b/>
          <w:bCs/>
          <w:color w:val="auto"/>
          <w:spacing w:val="6"/>
          <w:szCs w:val="21"/>
          <w:highlight w:val="none"/>
        </w:rPr>
      </w:pPr>
      <w:r>
        <w:rPr>
          <w:rFonts w:ascii="Times New Roman" w:hAnsi="Times New Roman"/>
          <w:color w:val="auto"/>
          <w:spacing w:val="6"/>
          <w:szCs w:val="21"/>
          <w:highlight w:val="none"/>
        </w:rPr>
        <w:t xml:space="preserve">1. </w:t>
      </w:r>
      <w:r>
        <w:rPr>
          <w:rFonts w:ascii="Times New Roman" w:hAnsi="Times New Roman"/>
          <w:i/>
          <w:iCs/>
          <w:color w:val="auto"/>
          <w:spacing w:val="6"/>
          <w:szCs w:val="21"/>
          <w:highlight w:val="none"/>
          <w:u w:val="single"/>
        </w:rPr>
        <w:t>（标的名称）</w:t>
      </w:r>
      <w:r>
        <w:rPr>
          <w:rFonts w:ascii="Times New Roman" w:hAnsi="Times New Roman"/>
          <w:color w:val="auto"/>
          <w:spacing w:val="6"/>
          <w:szCs w:val="21"/>
          <w:highlight w:val="none"/>
          <w:u w:val="single"/>
        </w:rPr>
        <w:t xml:space="preserve"> </w:t>
      </w:r>
      <w:r>
        <w:rPr>
          <w:rFonts w:ascii="Times New Roman" w:hAnsi="Times New Roman"/>
          <w:color w:val="auto"/>
          <w:spacing w:val="6"/>
          <w:szCs w:val="21"/>
          <w:highlight w:val="none"/>
        </w:rPr>
        <w:t>，属于</w:t>
      </w:r>
      <w:r>
        <w:rPr>
          <w:rFonts w:hint="eastAsia" w:ascii="Times New Roman" w:hAnsi="Times New Roman"/>
          <w:color w:val="auto"/>
          <w:spacing w:val="6"/>
          <w:szCs w:val="21"/>
          <w:highlight w:val="none"/>
          <w:u w:val="single"/>
        </w:rPr>
        <w:t>工业</w:t>
      </w:r>
      <w:r>
        <w:rPr>
          <w:rFonts w:ascii="Times New Roman" w:hAnsi="Times New Roman"/>
          <w:i/>
          <w:iCs/>
          <w:color w:val="auto"/>
          <w:spacing w:val="6"/>
          <w:szCs w:val="21"/>
          <w:highlight w:val="none"/>
          <w:u w:val="single"/>
        </w:rPr>
        <w:t>（招标文件中明确的所属行业）</w:t>
      </w:r>
      <w:r>
        <w:rPr>
          <w:rFonts w:ascii="Times New Roman" w:hAnsi="Times New Roman"/>
          <w:color w:val="auto"/>
          <w:spacing w:val="6"/>
          <w:szCs w:val="21"/>
          <w:highlight w:val="none"/>
        </w:rPr>
        <w:t>行业；制造商为</w:t>
      </w:r>
      <w:r>
        <w:rPr>
          <w:rFonts w:ascii="Times New Roman" w:hAnsi="Times New Roman"/>
          <w:i/>
          <w:iCs/>
          <w:color w:val="auto"/>
          <w:spacing w:val="6"/>
          <w:szCs w:val="21"/>
          <w:highlight w:val="none"/>
          <w:u w:val="single"/>
        </w:rPr>
        <w:t>（企业名称）</w:t>
      </w:r>
      <w:r>
        <w:rPr>
          <w:rFonts w:ascii="Times New Roman" w:hAnsi="Times New Roman"/>
          <w:color w:val="auto"/>
          <w:spacing w:val="6"/>
          <w:szCs w:val="21"/>
          <w:highlight w:val="none"/>
        </w:rPr>
        <w:t>，从业人员</w:t>
      </w:r>
      <w:r>
        <w:rPr>
          <w:rFonts w:hint="eastAsia" w:ascii="Times New Roman" w:hAnsi="Times New Roman"/>
          <w:color w:val="auto"/>
          <w:spacing w:val="6"/>
          <w:szCs w:val="21"/>
          <w:highlight w:val="none"/>
          <w:u w:val="single"/>
        </w:rPr>
        <w:t xml:space="preserve">  </w:t>
      </w:r>
      <w:r>
        <w:rPr>
          <w:rFonts w:ascii="Times New Roman" w:hAnsi="Times New Roman"/>
          <w:color w:val="auto"/>
          <w:spacing w:val="6"/>
          <w:szCs w:val="21"/>
          <w:highlight w:val="none"/>
        </w:rPr>
        <w:t>人，营业收入为</w:t>
      </w:r>
      <w:r>
        <w:rPr>
          <w:rFonts w:ascii="Times New Roman" w:hAnsi="Times New Roman"/>
          <w:color w:val="auto"/>
          <w:spacing w:val="6"/>
          <w:szCs w:val="21"/>
          <w:highlight w:val="none"/>
          <w:u w:val="single"/>
        </w:rPr>
        <w:t xml:space="preserve">   </w:t>
      </w:r>
      <w:r>
        <w:rPr>
          <w:rFonts w:ascii="Times New Roman" w:hAnsi="Times New Roman"/>
          <w:color w:val="auto"/>
          <w:spacing w:val="6"/>
          <w:szCs w:val="21"/>
          <w:highlight w:val="none"/>
        </w:rPr>
        <w:t>万元，资产总额为</w:t>
      </w:r>
      <w:r>
        <w:rPr>
          <w:rFonts w:ascii="Times New Roman" w:hAnsi="Times New Roman"/>
          <w:color w:val="auto"/>
          <w:spacing w:val="6"/>
          <w:szCs w:val="21"/>
          <w:highlight w:val="none"/>
          <w:u w:val="single"/>
        </w:rPr>
        <w:t xml:space="preserve">   </w:t>
      </w:r>
      <w:r>
        <w:rPr>
          <w:rFonts w:ascii="Times New Roman" w:hAnsi="Times New Roman"/>
          <w:color w:val="auto"/>
          <w:spacing w:val="6"/>
          <w:szCs w:val="21"/>
          <w:highlight w:val="none"/>
        </w:rPr>
        <w:t>万元，属于</w:t>
      </w:r>
      <w:r>
        <w:rPr>
          <w:rFonts w:ascii="Times New Roman" w:hAnsi="Times New Roman"/>
          <w:i/>
          <w:iCs/>
          <w:color w:val="auto"/>
          <w:spacing w:val="6"/>
          <w:szCs w:val="21"/>
          <w:highlight w:val="none"/>
        </w:rPr>
        <w:t>（中型企业、小型企业、微型企业）</w:t>
      </w:r>
      <w:r>
        <w:rPr>
          <w:rFonts w:ascii="Times New Roman" w:hAnsi="Times New Roman"/>
          <w:color w:val="auto"/>
          <w:spacing w:val="6"/>
          <w:szCs w:val="21"/>
          <w:highlight w:val="none"/>
        </w:rPr>
        <w:t>；</w:t>
      </w:r>
    </w:p>
    <w:p w14:paraId="40359C5E">
      <w:pPr>
        <w:autoSpaceDE w:val="0"/>
        <w:autoSpaceDN w:val="0"/>
        <w:adjustRightInd w:val="0"/>
        <w:spacing w:line="360" w:lineRule="auto"/>
        <w:ind w:firstLine="444" w:firstLineChars="200"/>
        <w:jc w:val="left"/>
        <w:rPr>
          <w:rFonts w:ascii="Times New Roman" w:hAnsi="Times New Roman"/>
          <w:color w:val="auto"/>
          <w:spacing w:val="6"/>
          <w:szCs w:val="21"/>
          <w:highlight w:val="none"/>
        </w:rPr>
      </w:pPr>
      <w:r>
        <w:rPr>
          <w:rFonts w:ascii="Times New Roman" w:hAnsi="Times New Roman"/>
          <w:color w:val="auto"/>
          <w:spacing w:val="6"/>
          <w:szCs w:val="21"/>
          <w:highlight w:val="none"/>
        </w:rPr>
        <w:t>……</w:t>
      </w:r>
    </w:p>
    <w:p w14:paraId="63BCA5E0">
      <w:pPr>
        <w:autoSpaceDE w:val="0"/>
        <w:autoSpaceDN w:val="0"/>
        <w:adjustRightInd w:val="0"/>
        <w:spacing w:line="360" w:lineRule="auto"/>
        <w:ind w:firstLine="444" w:firstLineChars="200"/>
        <w:jc w:val="left"/>
        <w:rPr>
          <w:rFonts w:ascii="Times New Roman" w:hAnsi="Times New Roman"/>
          <w:color w:val="auto"/>
          <w:spacing w:val="6"/>
          <w:szCs w:val="21"/>
          <w:highlight w:val="none"/>
        </w:rPr>
      </w:pPr>
      <w:r>
        <w:rPr>
          <w:rFonts w:ascii="Times New Roman" w:hAnsi="Times New Roman"/>
          <w:color w:val="auto"/>
          <w:spacing w:val="6"/>
          <w:szCs w:val="21"/>
          <w:highlight w:val="none"/>
        </w:rPr>
        <w:t>以上企业，不属于大企业的分支机构，不存在控股股东为大企业的情形，也不存在与大企业的负责人为同一人的情形。</w:t>
      </w:r>
    </w:p>
    <w:p w14:paraId="57347983">
      <w:pPr>
        <w:autoSpaceDE w:val="0"/>
        <w:autoSpaceDN w:val="0"/>
        <w:adjustRightInd w:val="0"/>
        <w:spacing w:line="360" w:lineRule="auto"/>
        <w:ind w:firstLine="444" w:firstLineChars="200"/>
        <w:jc w:val="left"/>
        <w:rPr>
          <w:rFonts w:ascii="Times New Roman" w:hAnsi="Times New Roman"/>
          <w:color w:val="auto"/>
          <w:spacing w:val="6"/>
          <w:szCs w:val="21"/>
          <w:highlight w:val="none"/>
        </w:rPr>
      </w:pPr>
      <w:r>
        <w:rPr>
          <w:rFonts w:ascii="Times New Roman" w:hAnsi="Times New Roman"/>
          <w:color w:val="auto"/>
          <w:spacing w:val="6"/>
          <w:szCs w:val="21"/>
          <w:highlight w:val="none"/>
        </w:rPr>
        <w:t>本企业对上述声明内容的真实性负责。如有虚假，将依法承担相应责任。</w:t>
      </w:r>
    </w:p>
    <w:p w14:paraId="13266917">
      <w:pPr>
        <w:spacing w:line="500" w:lineRule="exact"/>
        <w:rPr>
          <w:rFonts w:ascii="Times New Roman" w:hAnsi="Times New Roman"/>
          <w:color w:val="auto"/>
          <w:szCs w:val="21"/>
          <w:highlight w:val="none"/>
        </w:rPr>
      </w:pPr>
      <w:r>
        <w:rPr>
          <w:rFonts w:ascii="Times New Roman" w:hAnsi="Times New Roman"/>
          <w:color w:val="auto"/>
          <w:szCs w:val="21"/>
          <w:highlight w:val="none"/>
        </w:rPr>
        <w:t>（注：从业人员、营业收入、资产总额填报上一年度数据，无上一年度数据的新成立企业可不填报。）</w:t>
      </w:r>
    </w:p>
    <w:p w14:paraId="439A4A4F">
      <w:pPr>
        <w:spacing w:line="360" w:lineRule="auto"/>
        <w:ind w:firstLine="420"/>
        <w:rPr>
          <w:rFonts w:ascii="Times New Roman" w:hAnsi="Times New Roman"/>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4D36A9E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11217FF6">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74213602">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451FE857">
            <w:pPr>
              <w:ind w:left="-921" w:leftChars="-439"/>
              <w:rPr>
                <w:rFonts w:ascii="Times New Roman" w:hAnsi="Times New Roman"/>
                <w:color w:val="auto"/>
                <w:szCs w:val="21"/>
                <w:highlight w:val="none"/>
              </w:rPr>
            </w:pPr>
          </w:p>
        </w:tc>
      </w:tr>
    </w:tbl>
    <w:p w14:paraId="3921D3DA">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61C9260A">
      <w:pPr>
        <w:widowControl/>
        <w:jc w:val="left"/>
        <w:rPr>
          <w:rFonts w:ascii="Times New Roman" w:hAnsi="Times New Roman"/>
          <w:b/>
          <w:color w:val="auto"/>
          <w:szCs w:val="21"/>
          <w:highlight w:val="none"/>
        </w:rPr>
      </w:pPr>
      <w:r>
        <w:rPr>
          <w:rFonts w:ascii="Times New Roman" w:hAnsi="Times New Roman"/>
          <w:b/>
          <w:color w:val="auto"/>
          <w:szCs w:val="21"/>
          <w:highlight w:val="none"/>
        </w:rPr>
        <w:br w:type="page"/>
      </w:r>
    </w:p>
    <w:p w14:paraId="7CC53149">
      <w:pPr>
        <w:widowControl/>
        <w:jc w:val="left"/>
        <w:rPr>
          <w:rFonts w:ascii="Times New Roman" w:hAnsi="Times New Roman"/>
          <w:b/>
          <w:color w:val="auto"/>
          <w:szCs w:val="21"/>
          <w:highlight w:val="none"/>
        </w:rPr>
      </w:pPr>
    </w:p>
    <w:p w14:paraId="3400ADB0">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商务部分-格式3-2</w:t>
      </w:r>
    </w:p>
    <w:p w14:paraId="19140FA2">
      <w:pPr>
        <w:spacing w:line="360" w:lineRule="auto"/>
        <w:ind w:firstLine="4693" w:firstLineChars="2235"/>
        <w:rPr>
          <w:rFonts w:ascii="Times New Roman" w:hAnsi="Times New Roman"/>
          <w:b/>
          <w:color w:val="auto"/>
          <w:szCs w:val="21"/>
          <w:highlight w:val="none"/>
        </w:rPr>
      </w:pPr>
    </w:p>
    <w:p w14:paraId="31A87366">
      <w:pPr>
        <w:pStyle w:val="3"/>
        <w:numPr>
          <w:ilvl w:val="0"/>
          <w:numId w:val="0"/>
        </w:numPr>
        <w:ind w:left="425"/>
        <w:jc w:val="center"/>
        <w:rPr>
          <w:rFonts w:ascii="Times New Roman" w:hAnsi="Times New Roman" w:eastAsia="宋体"/>
          <w:color w:val="auto"/>
          <w:szCs w:val="28"/>
          <w:highlight w:val="none"/>
        </w:rPr>
      </w:pPr>
      <w:bookmarkStart w:id="210" w:name="_Toc152862910"/>
      <w:bookmarkStart w:id="211" w:name="_Toc19081"/>
      <w:bookmarkStart w:id="212" w:name="_Toc91696437"/>
      <w:bookmarkStart w:id="213" w:name="_Toc69912433"/>
      <w:r>
        <w:rPr>
          <w:rFonts w:ascii="Times New Roman" w:hAnsi="Times New Roman" w:eastAsia="宋体"/>
          <w:color w:val="auto"/>
          <w:szCs w:val="28"/>
          <w:highlight w:val="none"/>
        </w:rPr>
        <w:t>残疾人福利性单位声明函（若有，格式内容请自拟）</w:t>
      </w:r>
      <w:bookmarkEnd w:id="210"/>
      <w:bookmarkEnd w:id="211"/>
      <w:bookmarkEnd w:id="212"/>
      <w:bookmarkEnd w:id="213"/>
    </w:p>
    <w:p w14:paraId="265FD6B7">
      <w:pPr>
        <w:spacing w:line="588" w:lineRule="exact"/>
        <w:ind w:firstLine="444" w:firstLineChars="200"/>
        <w:jc w:val="center"/>
        <w:rPr>
          <w:rFonts w:ascii="Times New Roman" w:hAnsi="Times New Roman"/>
          <w:color w:val="auto"/>
          <w:highlight w:val="none"/>
        </w:rPr>
      </w:pPr>
      <w:r>
        <w:rPr>
          <w:rFonts w:ascii="Times New Roman" w:hAnsi="Times New Roman"/>
          <w:color w:val="auto"/>
          <w:spacing w:val="6"/>
          <w:szCs w:val="21"/>
          <w:highlight w:val="none"/>
        </w:rPr>
        <w:t>（注：投标人提供书面声明的，应在声明函中</w:t>
      </w:r>
      <w:r>
        <w:rPr>
          <w:rFonts w:hint="eastAsia" w:ascii="Times New Roman" w:hAnsi="Times New Roman"/>
          <w:color w:val="auto"/>
          <w:spacing w:val="6"/>
          <w:szCs w:val="21"/>
          <w:highlight w:val="none"/>
        </w:rPr>
        <w:t>加盖公章或电子签章</w:t>
      </w:r>
      <w:r>
        <w:rPr>
          <w:rFonts w:ascii="Times New Roman" w:hAnsi="Times New Roman"/>
          <w:color w:val="auto"/>
          <w:szCs w:val="28"/>
          <w:highlight w:val="none"/>
        </w:rPr>
        <w:t>，否则视为无效声明</w:t>
      </w:r>
      <w:r>
        <w:rPr>
          <w:rFonts w:ascii="Times New Roman" w:hAnsi="Times New Roman"/>
          <w:color w:val="auto"/>
          <w:spacing w:val="6"/>
          <w:szCs w:val="21"/>
          <w:highlight w:val="none"/>
        </w:rPr>
        <w:t>。</w:t>
      </w:r>
      <w:r>
        <w:rPr>
          <w:rFonts w:ascii="Times New Roman" w:hAnsi="Times New Roman"/>
          <w:color w:val="auto"/>
          <w:highlight w:val="none"/>
        </w:rPr>
        <w:t>）</w:t>
      </w:r>
    </w:p>
    <w:p w14:paraId="45BCE8F8">
      <w:pPr>
        <w:widowControl/>
        <w:jc w:val="left"/>
        <w:rPr>
          <w:rFonts w:ascii="Times New Roman" w:hAnsi="Times New Roman"/>
          <w:color w:val="auto"/>
          <w:highlight w:val="none"/>
        </w:rPr>
      </w:pPr>
      <w:r>
        <w:rPr>
          <w:rFonts w:ascii="Times New Roman" w:hAnsi="Times New Roman"/>
          <w:color w:val="auto"/>
          <w:highlight w:val="none"/>
        </w:rPr>
        <w:br w:type="page"/>
      </w:r>
    </w:p>
    <w:p w14:paraId="7B425EA9">
      <w:pPr>
        <w:widowControl/>
        <w:jc w:val="left"/>
        <w:rPr>
          <w:rFonts w:ascii="Times New Roman" w:hAnsi="Times New Roman"/>
          <w:b/>
          <w:color w:val="auto"/>
          <w:szCs w:val="21"/>
          <w:highlight w:val="none"/>
        </w:rPr>
      </w:pPr>
    </w:p>
    <w:p w14:paraId="3C36812A">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商务部分-格式3-3</w:t>
      </w:r>
    </w:p>
    <w:p w14:paraId="12060732">
      <w:pPr>
        <w:spacing w:line="360" w:lineRule="auto"/>
        <w:rPr>
          <w:rFonts w:ascii="Times New Roman" w:hAnsi="Times New Roman"/>
          <w:b/>
          <w:color w:val="auto"/>
          <w:szCs w:val="21"/>
          <w:highlight w:val="none"/>
        </w:rPr>
      </w:pPr>
    </w:p>
    <w:p w14:paraId="0C4EC1F7">
      <w:pPr>
        <w:pStyle w:val="3"/>
        <w:numPr>
          <w:ilvl w:val="0"/>
          <w:numId w:val="0"/>
        </w:numPr>
        <w:ind w:left="425"/>
        <w:jc w:val="center"/>
        <w:rPr>
          <w:rFonts w:ascii="Times New Roman" w:hAnsi="Times New Roman" w:eastAsia="宋体"/>
          <w:color w:val="auto"/>
          <w:szCs w:val="28"/>
          <w:highlight w:val="none"/>
        </w:rPr>
      </w:pPr>
      <w:bookmarkStart w:id="214" w:name="_Toc10093"/>
      <w:bookmarkStart w:id="215" w:name="_Toc152862911"/>
      <w:bookmarkStart w:id="216" w:name="_Toc69912434"/>
      <w:bookmarkStart w:id="217" w:name="_Toc91696438"/>
      <w:r>
        <w:rPr>
          <w:rFonts w:ascii="Times New Roman" w:hAnsi="Times New Roman" w:eastAsia="宋体"/>
          <w:color w:val="auto"/>
          <w:szCs w:val="28"/>
          <w:highlight w:val="none"/>
        </w:rPr>
        <w:t>监狱企业的证明文件（若有，格式内容请自拟）</w:t>
      </w:r>
      <w:bookmarkEnd w:id="214"/>
      <w:bookmarkEnd w:id="215"/>
      <w:bookmarkEnd w:id="216"/>
      <w:bookmarkEnd w:id="217"/>
    </w:p>
    <w:p w14:paraId="4473C811">
      <w:pPr>
        <w:rPr>
          <w:rFonts w:ascii="Times New Roman" w:hAnsi="Times New Roman"/>
          <w:color w:val="auto"/>
          <w:highlight w:val="none"/>
        </w:rPr>
      </w:pPr>
    </w:p>
    <w:p w14:paraId="28CF1BE1">
      <w:pPr>
        <w:rPr>
          <w:rFonts w:ascii="Times New Roman" w:hAnsi="Times New Roman"/>
          <w:color w:val="auto"/>
          <w:highlight w:val="none"/>
        </w:rPr>
      </w:pPr>
    </w:p>
    <w:p w14:paraId="2C6D4934">
      <w:pPr>
        <w:rPr>
          <w:rFonts w:ascii="Times New Roman" w:hAnsi="Times New Roman"/>
          <w:color w:val="auto"/>
          <w:highlight w:val="none"/>
        </w:rPr>
      </w:pPr>
    </w:p>
    <w:p w14:paraId="779E07C9">
      <w:pPr>
        <w:rPr>
          <w:rFonts w:ascii="Times New Roman" w:hAnsi="Times New Roman"/>
          <w:color w:val="auto"/>
          <w:highlight w:val="none"/>
        </w:rPr>
      </w:pPr>
    </w:p>
    <w:p w14:paraId="049D9732">
      <w:pPr>
        <w:rPr>
          <w:rFonts w:ascii="Times New Roman" w:hAnsi="Times New Roman"/>
          <w:color w:val="auto"/>
          <w:highlight w:val="none"/>
        </w:rPr>
      </w:pPr>
    </w:p>
    <w:p w14:paraId="2CBDFF4E">
      <w:pPr>
        <w:rPr>
          <w:rFonts w:ascii="Times New Roman" w:hAnsi="Times New Roman"/>
          <w:color w:val="auto"/>
          <w:highlight w:val="none"/>
        </w:rPr>
      </w:pPr>
    </w:p>
    <w:p w14:paraId="0FF81846">
      <w:pPr>
        <w:rPr>
          <w:rFonts w:ascii="Times New Roman" w:hAnsi="Times New Roman"/>
          <w:color w:val="auto"/>
          <w:highlight w:val="none"/>
        </w:rPr>
      </w:pPr>
    </w:p>
    <w:p w14:paraId="3BC7ED1A">
      <w:pPr>
        <w:widowControl/>
        <w:jc w:val="left"/>
        <w:rPr>
          <w:rFonts w:ascii="Times New Roman" w:hAnsi="Times New Roman"/>
          <w:color w:val="auto"/>
          <w:kern w:val="0"/>
          <w:sz w:val="24"/>
          <w:szCs w:val="20"/>
          <w:highlight w:val="none"/>
        </w:rPr>
      </w:pPr>
      <w:r>
        <w:rPr>
          <w:rFonts w:ascii="Times New Roman" w:hAnsi="Times New Roman"/>
          <w:color w:val="auto"/>
          <w:kern w:val="0"/>
          <w:sz w:val="24"/>
          <w:highlight w:val="none"/>
        </w:rPr>
        <w:br w:type="page"/>
      </w:r>
    </w:p>
    <w:p w14:paraId="7FDFD6B5">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商务部分-格式4：</w:t>
      </w:r>
    </w:p>
    <w:p w14:paraId="493CDCE8">
      <w:pPr>
        <w:spacing w:line="588" w:lineRule="exact"/>
        <w:jc w:val="left"/>
        <w:rPr>
          <w:rFonts w:ascii="Times New Roman" w:hAnsi="Times New Roman"/>
          <w:color w:val="auto"/>
          <w:kern w:val="0"/>
          <w:sz w:val="24"/>
          <w:highlight w:val="none"/>
        </w:rPr>
      </w:pPr>
    </w:p>
    <w:p w14:paraId="3EF39390">
      <w:pPr>
        <w:pStyle w:val="3"/>
        <w:numPr>
          <w:ilvl w:val="0"/>
          <w:numId w:val="0"/>
        </w:numPr>
        <w:ind w:left="425"/>
        <w:jc w:val="center"/>
        <w:rPr>
          <w:rFonts w:ascii="Times New Roman" w:hAnsi="Times New Roman" w:eastAsia="宋体"/>
          <w:color w:val="auto"/>
          <w:szCs w:val="28"/>
          <w:highlight w:val="none"/>
        </w:rPr>
      </w:pPr>
      <w:bookmarkStart w:id="218" w:name="_Toc69912435"/>
      <w:bookmarkStart w:id="219" w:name="_Toc15143"/>
      <w:bookmarkStart w:id="220" w:name="_Toc91696439"/>
      <w:bookmarkStart w:id="221" w:name="_Toc152862912"/>
      <w:r>
        <w:rPr>
          <w:rFonts w:ascii="Times New Roman" w:hAnsi="Times New Roman" w:eastAsia="宋体"/>
          <w:color w:val="auto"/>
          <w:szCs w:val="28"/>
          <w:highlight w:val="none"/>
        </w:rPr>
        <w:t>投标人在投标文件中未提供虚假材料的承诺</w:t>
      </w:r>
      <w:bookmarkEnd w:id="218"/>
      <w:bookmarkEnd w:id="219"/>
      <w:bookmarkEnd w:id="220"/>
      <w:bookmarkEnd w:id="221"/>
    </w:p>
    <w:p w14:paraId="2170C8A4">
      <w:pPr>
        <w:spacing w:line="440" w:lineRule="exact"/>
        <w:rPr>
          <w:rFonts w:ascii="Times New Roman" w:hAnsi="Times New Roman"/>
          <w:color w:val="auto"/>
          <w:szCs w:val="21"/>
          <w:highlight w:val="none"/>
        </w:rPr>
      </w:pPr>
    </w:p>
    <w:p w14:paraId="7ECE006F">
      <w:pPr>
        <w:spacing w:line="480" w:lineRule="auto"/>
        <w:rPr>
          <w:rFonts w:ascii="Times New Roman" w:hAnsi="Times New Roman"/>
          <w:color w:val="auto"/>
          <w:szCs w:val="21"/>
          <w:highlight w:val="none"/>
        </w:rPr>
      </w:pPr>
      <w:r>
        <w:rPr>
          <w:rFonts w:ascii="Times New Roman" w:hAnsi="Times New Roman"/>
          <w:color w:val="auto"/>
          <w:szCs w:val="21"/>
          <w:highlight w:val="none"/>
        </w:rPr>
        <w:t>致：（采购人名称）</w:t>
      </w:r>
    </w:p>
    <w:p w14:paraId="3FF39FC1">
      <w:pPr>
        <w:spacing w:line="48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（投标人名称）现对我公司参与的</w:t>
      </w:r>
      <w:r>
        <w:rPr>
          <w:rFonts w:ascii="Times New Roman" w:hAnsi="Times New Roman"/>
          <w:color w:val="auto"/>
          <w:szCs w:val="21"/>
          <w:highlight w:val="none"/>
          <w:u w:val="single"/>
        </w:rPr>
        <w:t>（项目名称）</w:t>
      </w:r>
      <w:r>
        <w:rPr>
          <w:rFonts w:ascii="Times New Roman" w:hAnsi="Times New Roman"/>
          <w:color w:val="auto"/>
          <w:szCs w:val="21"/>
          <w:highlight w:val="none"/>
        </w:rPr>
        <w:t>（项目编号：）投标中，所提供的所有投标材料的真实性郑重声明如下：</w:t>
      </w:r>
    </w:p>
    <w:p w14:paraId="00448BA7">
      <w:pPr>
        <w:spacing w:line="48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1、我公司参与本项目投标所提供的各项材料，包括但不限于企业基本信息材料、资质与资格材料、</w:t>
      </w:r>
      <w:r>
        <w:rPr>
          <w:rFonts w:ascii="Times New Roman" w:hAnsi="Times New Roman"/>
          <w:color w:val="auto"/>
          <w:highlight w:val="none"/>
        </w:rPr>
        <w:t>《中小企业声明函》（若有）、残疾人</w:t>
      </w:r>
      <w:r>
        <w:rPr>
          <w:rFonts w:ascii="Times New Roman" w:hAnsi="Times New Roman"/>
          <w:color w:val="auto"/>
          <w:szCs w:val="28"/>
          <w:highlight w:val="none"/>
        </w:rPr>
        <w:t>福利性单位声明函（若有）、</w:t>
      </w:r>
      <w:r>
        <w:rPr>
          <w:rFonts w:ascii="Times New Roman" w:hAnsi="Times New Roman"/>
          <w:color w:val="auto"/>
          <w:highlight w:val="none"/>
        </w:rPr>
        <w:t>监狱企业的证明文件（若有）、</w:t>
      </w:r>
      <w:r>
        <w:rPr>
          <w:rFonts w:ascii="Times New Roman" w:hAnsi="Times New Roman"/>
          <w:color w:val="auto"/>
          <w:szCs w:val="21"/>
          <w:highlight w:val="none"/>
        </w:rPr>
        <w:t>技术参数材料及业绩证明材料等均是真实的。</w:t>
      </w:r>
    </w:p>
    <w:p w14:paraId="60AE45A8">
      <w:pPr>
        <w:spacing w:line="48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我方投标文件中提供的业绩证明材料满足采购人依照本招标文件有关规定进行核查的要求。若根据我方提供的业绩证明材料无法进行核查或者核查结果证明我方提供的业绩证明材料不实，我方愿意承担相应的后果。</w:t>
      </w:r>
    </w:p>
    <w:p w14:paraId="18B31C85">
      <w:pPr>
        <w:spacing w:line="480" w:lineRule="auto"/>
        <w:ind w:firstLine="480"/>
        <w:rPr>
          <w:rFonts w:ascii="Times New Roman" w:hAnsi="Times New Roman"/>
          <w:b/>
          <w:color w:val="auto"/>
          <w:szCs w:val="21"/>
          <w:highlight w:val="none"/>
        </w:rPr>
      </w:pPr>
      <w:r>
        <w:rPr>
          <w:rFonts w:ascii="Times New Roman" w:hAnsi="Times New Roman"/>
          <w:b/>
          <w:color w:val="auto"/>
          <w:szCs w:val="21"/>
          <w:highlight w:val="none"/>
        </w:rPr>
        <w:t>我方郑重承诺：如提供虚假、不真实资料，我方将接受相关处罚，并对因此而造成的损失承担法律责任。</w:t>
      </w:r>
      <w:bookmarkEnd w:id="209"/>
    </w:p>
    <w:tbl>
      <w:tblPr>
        <w:tblStyle w:val="39"/>
        <w:tblW w:w="5534" w:type="dxa"/>
        <w:tblInd w:w="4294" w:type="dxa"/>
        <w:tblLayout w:type="fixed"/>
        <w:tblCellMar>
          <w:top w:w="0" w:type="dxa"/>
          <w:left w:w="108" w:type="dxa"/>
          <w:bottom w:w="0" w:type="dxa"/>
          <w:right w:w="108" w:type="dxa"/>
        </w:tblCellMar>
      </w:tblPr>
      <w:tblGrid>
        <w:gridCol w:w="5534"/>
      </w:tblGrid>
      <w:tr w14:paraId="54A87A5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2A59DE0E">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40B5D49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5E6AC288">
            <w:pPr>
              <w:ind w:left="-921" w:leftChars="-439"/>
              <w:rPr>
                <w:rFonts w:ascii="Times New Roman" w:hAnsi="Times New Roman"/>
                <w:color w:val="auto"/>
                <w:szCs w:val="21"/>
                <w:highlight w:val="none"/>
              </w:rPr>
            </w:pPr>
          </w:p>
        </w:tc>
      </w:tr>
    </w:tbl>
    <w:p w14:paraId="1AA88D81">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4F4944A3">
      <w:pPr>
        <w:spacing w:line="480" w:lineRule="auto"/>
        <w:ind w:firstLine="480"/>
        <w:rPr>
          <w:rFonts w:ascii="Times New Roman" w:hAnsi="Times New Roman"/>
          <w:b/>
          <w:color w:val="auto"/>
          <w:szCs w:val="21"/>
          <w:highlight w:val="none"/>
        </w:rPr>
      </w:pPr>
    </w:p>
    <w:p w14:paraId="48DAF296">
      <w:pPr>
        <w:widowControl/>
        <w:jc w:val="left"/>
        <w:rPr>
          <w:rFonts w:ascii="Times New Roman" w:hAnsi="Times New Roman"/>
          <w:b/>
          <w:color w:val="auto"/>
          <w:szCs w:val="21"/>
          <w:highlight w:val="none"/>
        </w:rPr>
      </w:pPr>
      <w:r>
        <w:rPr>
          <w:rFonts w:ascii="Times New Roman" w:hAnsi="Times New Roman"/>
          <w:b/>
          <w:color w:val="auto"/>
          <w:szCs w:val="21"/>
          <w:highlight w:val="none"/>
        </w:rPr>
        <w:br w:type="page"/>
      </w:r>
    </w:p>
    <w:p w14:paraId="12994860">
      <w:pPr>
        <w:rPr>
          <w:rFonts w:ascii="Times New Roman" w:hAnsi="Times New Roman"/>
          <w:b/>
          <w:color w:val="auto"/>
          <w:sz w:val="28"/>
          <w:szCs w:val="28"/>
          <w:highlight w:val="none"/>
        </w:rPr>
      </w:pPr>
      <w:r>
        <w:rPr>
          <w:rFonts w:ascii="Times New Roman" w:hAnsi="Times New Roman"/>
          <w:b/>
          <w:color w:val="auto"/>
          <w:sz w:val="28"/>
          <w:szCs w:val="28"/>
          <w:highlight w:val="none"/>
        </w:rPr>
        <w:t>商务部分-格式5：</w:t>
      </w:r>
    </w:p>
    <w:p w14:paraId="1D7A4339">
      <w:pPr>
        <w:rPr>
          <w:rFonts w:ascii="Times New Roman" w:hAnsi="Times New Roman"/>
          <w:b/>
          <w:color w:val="auto"/>
          <w:sz w:val="28"/>
          <w:szCs w:val="28"/>
          <w:highlight w:val="none"/>
        </w:rPr>
      </w:pPr>
    </w:p>
    <w:p w14:paraId="7671ABF5">
      <w:pPr>
        <w:pStyle w:val="3"/>
        <w:numPr>
          <w:ilvl w:val="0"/>
          <w:numId w:val="0"/>
        </w:numPr>
        <w:ind w:left="425"/>
        <w:jc w:val="center"/>
        <w:rPr>
          <w:rFonts w:ascii="Times New Roman" w:hAnsi="Times New Roman" w:eastAsia="宋体"/>
          <w:color w:val="auto"/>
          <w:szCs w:val="28"/>
          <w:highlight w:val="none"/>
        </w:rPr>
      </w:pPr>
      <w:bookmarkStart w:id="222" w:name="_Toc112839439"/>
      <w:bookmarkStart w:id="223" w:name="_Toc19706"/>
      <w:bookmarkStart w:id="224" w:name="_Toc152862913"/>
      <w:r>
        <w:rPr>
          <w:rFonts w:ascii="Times New Roman" w:hAnsi="Times New Roman" w:eastAsia="宋体"/>
          <w:color w:val="auto"/>
          <w:szCs w:val="28"/>
          <w:highlight w:val="none"/>
        </w:rPr>
        <w:t>售后服务响应时间、售后服务承诺及定期检查与维护保养计划</w:t>
      </w:r>
      <w:bookmarkEnd w:id="222"/>
      <w:bookmarkEnd w:id="223"/>
      <w:bookmarkEnd w:id="224"/>
    </w:p>
    <w:p w14:paraId="01DED66F">
      <w:pPr>
        <w:rPr>
          <w:rFonts w:ascii="Times New Roman" w:hAnsi="Times New Roman"/>
          <w:color w:val="auto"/>
          <w:highlight w:val="none"/>
        </w:rPr>
      </w:pPr>
    </w:p>
    <w:p w14:paraId="5CD520B0">
      <w:pPr>
        <w:jc w:val="center"/>
        <w:rPr>
          <w:rFonts w:ascii="Times New Roman" w:hAnsi="Times New Roman"/>
          <w:color w:val="auto"/>
          <w:szCs w:val="21"/>
          <w:highlight w:val="none"/>
        </w:rPr>
      </w:pPr>
      <w:r>
        <w:rPr>
          <w:rFonts w:ascii="Times New Roman" w:hAnsi="Times New Roman"/>
          <w:color w:val="auto"/>
          <w:szCs w:val="21"/>
          <w:highlight w:val="none"/>
        </w:rPr>
        <w:t>(由投标人按合同书样式及主要条款、招标文件中相关内容自行编制)</w:t>
      </w:r>
    </w:p>
    <w:p w14:paraId="7753DAE6">
      <w:pPr>
        <w:rPr>
          <w:rFonts w:ascii="Times New Roman" w:hAnsi="Times New Roman"/>
          <w:color w:val="auto"/>
          <w:highlight w:val="none"/>
        </w:rPr>
      </w:pPr>
    </w:p>
    <w:p w14:paraId="6701AE07">
      <w:pPr>
        <w:rPr>
          <w:rFonts w:ascii="Times New Roman" w:hAnsi="Times New Roman"/>
          <w:color w:val="auto"/>
          <w:highlight w:val="none"/>
        </w:rPr>
      </w:pPr>
    </w:p>
    <w:p w14:paraId="467E21C7">
      <w:pPr>
        <w:rPr>
          <w:rFonts w:ascii="Times New Roman" w:hAnsi="Times New Roman"/>
          <w:color w:val="auto"/>
          <w:highlight w:val="none"/>
        </w:rPr>
      </w:pPr>
    </w:p>
    <w:p w14:paraId="6FE2A3F6">
      <w:pPr>
        <w:rPr>
          <w:rFonts w:ascii="Times New Roman" w:hAnsi="Times New Roman"/>
          <w:color w:val="auto"/>
          <w:highlight w:val="none"/>
        </w:rPr>
      </w:pPr>
    </w:p>
    <w:p w14:paraId="64B8F7F2">
      <w:pPr>
        <w:rPr>
          <w:rFonts w:ascii="Times New Roman" w:hAnsi="Times New Roman"/>
          <w:color w:val="auto"/>
          <w:highlight w:val="none"/>
        </w:rPr>
      </w:pPr>
    </w:p>
    <w:p w14:paraId="270CE831">
      <w:pPr>
        <w:rPr>
          <w:rFonts w:ascii="Times New Roman" w:hAnsi="Times New Roman"/>
          <w:color w:val="auto"/>
          <w:highlight w:val="none"/>
        </w:rPr>
      </w:pPr>
    </w:p>
    <w:p w14:paraId="35345B25">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7D3FC923">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34996EE3">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09E6327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13143948">
            <w:pPr>
              <w:ind w:left="-921" w:leftChars="-439"/>
              <w:rPr>
                <w:rFonts w:ascii="Times New Roman" w:hAnsi="Times New Roman"/>
                <w:color w:val="auto"/>
                <w:szCs w:val="21"/>
                <w:highlight w:val="none"/>
              </w:rPr>
            </w:pPr>
          </w:p>
        </w:tc>
      </w:tr>
    </w:tbl>
    <w:p w14:paraId="5F2B82C8">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2345144A">
      <w:pPr>
        <w:widowControl/>
        <w:jc w:val="left"/>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2C28285C">
      <w:pPr>
        <w:rPr>
          <w:rFonts w:ascii="Times New Roman" w:hAnsi="Times New Roman"/>
          <w:b/>
          <w:color w:val="auto"/>
          <w:sz w:val="28"/>
          <w:szCs w:val="28"/>
          <w:highlight w:val="none"/>
        </w:rPr>
      </w:pPr>
      <w:r>
        <w:rPr>
          <w:rFonts w:ascii="Times New Roman" w:hAnsi="Times New Roman"/>
          <w:b/>
          <w:color w:val="auto"/>
          <w:sz w:val="28"/>
          <w:szCs w:val="28"/>
          <w:highlight w:val="none"/>
        </w:rPr>
        <w:t>商务部分-格式6：</w:t>
      </w:r>
    </w:p>
    <w:p w14:paraId="1BA12438">
      <w:pPr>
        <w:pStyle w:val="3"/>
        <w:numPr>
          <w:ilvl w:val="0"/>
          <w:numId w:val="0"/>
        </w:numPr>
        <w:ind w:left="596" w:firstLine="113"/>
        <w:jc w:val="center"/>
        <w:rPr>
          <w:rFonts w:ascii="Times New Roman" w:hAnsi="Times New Roman" w:eastAsia="宋体"/>
          <w:color w:val="auto"/>
          <w:highlight w:val="none"/>
        </w:rPr>
      </w:pPr>
      <w:bookmarkStart w:id="225" w:name="_Toc69912437"/>
      <w:bookmarkStart w:id="226" w:name="_Toc3056"/>
      <w:bookmarkStart w:id="227" w:name="_Toc112839440"/>
      <w:bookmarkStart w:id="228" w:name="_Toc152862914"/>
      <w:bookmarkStart w:id="229" w:name="_Toc91696441"/>
      <w:bookmarkStart w:id="230" w:name="_Toc26974654"/>
      <w:r>
        <w:rPr>
          <w:rFonts w:ascii="Times New Roman" w:hAnsi="Times New Roman" w:eastAsia="宋体"/>
          <w:color w:val="auto"/>
          <w:szCs w:val="28"/>
          <w:highlight w:val="none"/>
        </w:rPr>
        <w:t>类似业绩一览表</w:t>
      </w:r>
      <w:bookmarkEnd w:id="225"/>
      <w:bookmarkEnd w:id="226"/>
      <w:bookmarkEnd w:id="227"/>
      <w:bookmarkEnd w:id="228"/>
      <w:bookmarkEnd w:id="229"/>
      <w:bookmarkEnd w:id="230"/>
    </w:p>
    <w:p w14:paraId="0FF7472C">
      <w:pPr>
        <w:spacing w:line="500" w:lineRule="exact"/>
        <w:rPr>
          <w:rFonts w:ascii="Times New Roman" w:hAnsi="Times New Roman"/>
          <w:b/>
          <w:color w:val="auto"/>
          <w:szCs w:val="21"/>
          <w:highlight w:val="none"/>
        </w:rPr>
      </w:pPr>
      <w:r>
        <w:rPr>
          <w:rFonts w:ascii="Times New Roman" w:hAnsi="Times New Roman"/>
          <w:b/>
          <w:color w:val="auto"/>
          <w:szCs w:val="21"/>
          <w:highlight w:val="none"/>
        </w:rPr>
        <w:t>项目名称：</w:t>
      </w:r>
    </w:p>
    <w:p w14:paraId="1C7219C2">
      <w:pPr>
        <w:spacing w:line="500" w:lineRule="exact"/>
        <w:rPr>
          <w:rFonts w:ascii="Times New Roman" w:hAnsi="Times New Roman"/>
          <w:color w:val="auto"/>
          <w:szCs w:val="21"/>
          <w:highlight w:val="none"/>
        </w:rPr>
      </w:pPr>
      <w:r>
        <w:rPr>
          <w:rFonts w:ascii="Times New Roman" w:hAnsi="Times New Roman"/>
          <w:b/>
          <w:color w:val="auto"/>
          <w:szCs w:val="21"/>
          <w:highlight w:val="none"/>
        </w:rPr>
        <w:t>项目编号：</w:t>
      </w:r>
      <w:r>
        <w:rPr>
          <w:rFonts w:ascii="Times New Roman" w:hAnsi="Times New Roman"/>
          <w:color w:val="auto"/>
          <w:szCs w:val="21"/>
          <w:highlight w:val="none"/>
        </w:rPr>
        <w:t xml:space="preserve"> </w:t>
      </w:r>
    </w:p>
    <w:tbl>
      <w:tblPr>
        <w:tblStyle w:val="3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055"/>
        <w:gridCol w:w="2489"/>
        <w:gridCol w:w="1535"/>
        <w:gridCol w:w="1535"/>
        <w:gridCol w:w="1749"/>
      </w:tblGrid>
      <w:tr w14:paraId="6BF1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6052F8D9">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序号</w:t>
            </w:r>
          </w:p>
        </w:tc>
        <w:tc>
          <w:tcPr>
            <w:tcW w:w="1055" w:type="dxa"/>
            <w:noWrap/>
            <w:vAlign w:val="center"/>
          </w:tcPr>
          <w:p w14:paraId="6A2180B6">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年度</w:t>
            </w:r>
          </w:p>
        </w:tc>
        <w:tc>
          <w:tcPr>
            <w:tcW w:w="2489" w:type="dxa"/>
            <w:noWrap/>
            <w:vAlign w:val="center"/>
          </w:tcPr>
          <w:p w14:paraId="2253A4D4">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合同名称</w:t>
            </w:r>
          </w:p>
        </w:tc>
        <w:tc>
          <w:tcPr>
            <w:tcW w:w="1535" w:type="dxa"/>
            <w:noWrap/>
            <w:vAlign w:val="center"/>
          </w:tcPr>
          <w:p w14:paraId="7DE72344">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合同签订时间</w:t>
            </w:r>
          </w:p>
        </w:tc>
        <w:tc>
          <w:tcPr>
            <w:tcW w:w="1535" w:type="dxa"/>
            <w:noWrap/>
            <w:vAlign w:val="center"/>
          </w:tcPr>
          <w:p w14:paraId="2740E822">
            <w:pPr>
              <w:spacing w:line="360" w:lineRule="auto"/>
              <w:jc w:val="center"/>
              <w:rPr>
                <w:rFonts w:ascii="Times New Roman" w:hAnsi="Times New Roman"/>
                <w:b/>
                <w:bCs/>
                <w:color w:val="auto"/>
                <w:szCs w:val="21"/>
                <w:highlight w:val="none"/>
              </w:rPr>
            </w:pPr>
          </w:p>
        </w:tc>
        <w:tc>
          <w:tcPr>
            <w:tcW w:w="1749" w:type="dxa"/>
            <w:noWrap/>
            <w:vAlign w:val="center"/>
          </w:tcPr>
          <w:p w14:paraId="001620B8">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合同总价（元）</w:t>
            </w:r>
          </w:p>
        </w:tc>
      </w:tr>
      <w:tr w14:paraId="4CE0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3A48C786">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1</w:t>
            </w:r>
          </w:p>
        </w:tc>
        <w:tc>
          <w:tcPr>
            <w:tcW w:w="1055" w:type="dxa"/>
            <w:noWrap/>
            <w:vAlign w:val="center"/>
          </w:tcPr>
          <w:p w14:paraId="151B2F55">
            <w:pPr>
              <w:spacing w:line="360" w:lineRule="auto"/>
              <w:jc w:val="center"/>
              <w:rPr>
                <w:rFonts w:ascii="Times New Roman" w:hAnsi="Times New Roman"/>
                <w:b/>
                <w:bCs/>
                <w:color w:val="auto"/>
                <w:szCs w:val="21"/>
                <w:highlight w:val="none"/>
              </w:rPr>
            </w:pPr>
          </w:p>
        </w:tc>
        <w:tc>
          <w:tcPr>
            <w:tcW w:w="2489" w:type="dxa"/>
            <w:noWrap/>
            <w:vAlign w:val="center"/>
          </w:tcPr>
          <w:p w14:paraId="4EF38693">
            <w:pPr>
              <w:spacing w:line="360" w:lineRule="auto"/>
              <w:jc w:val="center"/>
              <w:rPr>
                <w:rFonts w:ascii="Times New Roman" w:hAnsi="Times New Roman"/>
                <w:b/>
                <w:bCs/>
                <w:color w:val="auto"/>
                <w:szCs w:val="21"/>
                <w:highlight w:val="none"/>
              </w:rPr>
            </w:pPr>
          </w:p>
        </w:tc>
        <w:tc>
          <w:tcPr>
            <w:tcW w:w="1535" w:type="dxa"/>
            <w:noWrap/>
            <w:vAlign w:val="center"/>
          </w:tcPr>
          <w:p w14:paraId="6F7EA62B">
            <w:pPr>
              <w:spacing w:line="360" w:lineRule="auto"/>
              <w:jc w:val="center"/>
              <w:rPr>
                <w:rFonts w:ascii="Times New Roman" w:hAnsi="Times New Roman"/>
                <w:b/>
                <w:bCs/>
                <w:color w:val="auto"/>
                <w:szCs w:val="21"/>
                <w:highlight w:val="none"/>
              </w:rPr>
            </w:pPr>
          </w:p>
        </w:tc>
        <w:tc>
          <w:tcPr>
            <w:tcW w:w="1535" w:type="dxa"/>
            <w:noWrap/>
            <w:vAlign w:val="center"/>
          </w:tcPr>
          <w:p w14:paraId="68B9A79F">
            <w:pPr>
              <w:spacing w:line="360" w:lineRule="auto"/>
              <w:jc w:val="center"/>
              <w:rPr>
                <w:rFonts w:ascii="Times New Roman" w:hAnsi="Times New Roman"/>
                <w:b/>
                <w:bCs/>
                <w:color w:val="auto"/>
                <w:szCs w:val="21"/>
                <w:highlight w:val="none"/>
              </w:rPr>
            </w:pPr>
          </w:p>
        </w:tc>
        <w:tc>
          <w:tcPr>
            <w:tcW w:w="1749" w:type="dxa"/>
            <w:noWrap/>
            <w:vAlign w:val="center"/>
          </w:tcPr>
          <w:p w14:paraId="35605D19">
            <w:pPr>
              <w:spacing w:line="360" w:lineRule="auto"/>
              <w:jc w:val="center"/>
              <w:rPr>
                <w:rFonts w:ascii="Times New Roman" w:hAnsi="Times New Roman"/>
                <w:b/>
                <w:bCs/>
                <w:color w:val="auto"/>
                <w:szCs w:val="21"/>
                <w:highlight w:val="none"/>
              </w:rPr>
            </w:pPr>
          </w:p>
        </w:tc>
      </w:tr>
      <w:tr w14:paraId="73B4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46" w:type="dxa"/>
            <w:noWrap/>
            <w:vAlign w:val="center"/>
          </w:tcPr>
          <w:p w14:paraId="554AA13A">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2</w:t>
            </w:r>
          </w:p>
        </w:tc>
        <w:tc>
          <w:tcPr>
            <w:tcW w:w="1055" w:type="dxa"/>
            <w:noWrap/>
            <w:vAlign w:val="center"/>
          </w:tcPr>
          <w:p w14:paraId="2B1812C7">
            <w:pPr>
              <w:spacing w:line="360" w:lineRule="auto"/>
              <w:jc w:val="center"/>
              <w:rPr>
                <w:rFonts w:ascii="Times New Roman" w:hAnsi="Times New Roman"/>
                <w:b/>
                <w:bCs/>
                <w:color w:val="auto"/>
                <w:szCs w:val="21"/>
                <w:highlight w:val="none"/>
              </w:rPr>
            </w:pPr>
          </w:p>
        </w:tc>
        <w:tc>
          <w:tcPr>
            <w:tcW w:w="2489" w:type="dxa"/>
            <w:noWrap/>
            <w:vAlign w:val="center"/>
          </w:tcPr>
          <w:p w14:paraId="55951490">
            <w:pPr>
              <w:spacing w:line="360" w:lineRule="auto"/>
              <w:jc w:val="center"/>
              <w:rPr>
                <w:rFonts w:ascii="Times New Roman" w:hAnsi="Times New Roman"/>
                <w:b/>
                <w:bCs/>
                <w:color w:val="auto"/>
                <w:szCs w:val="21"/>
                <w:highlight w:val="none"/>
              </w:rPr>
            </w:pPr>
          </w:p>
        </w:tc>
        <w:tc>
          <w:tcPr>
            <w:tcW w:w="1535" w:type="dxa"/>
            <w:noWrap/>
            <w:vAlign w:val="center"/>
          </w:tcPr>
          <w:p w14:paraId="5342C1F6">
            <w:pPr>
              <w:spacing w:line="360" w:lineRule="auto"/>
              <w:jc w:val="center"/>
              <w:rPr>
                <w:rFonts w:ascii="Times New Roman" w:hAnsi="Times New Roman"/>
                <w:b/>
                <w:bCs/>
                <w:color w:val="auto"/>
                <w:szCs w:val="21"/>
                <w:highlight w:val="none"/>
              </w:rPr>
            </w:pPr>
          </w:p>
        </w:tc>
        <w:tc>
          <w:tcPr>
            <w:tcW w:w="1535" w:type="dxa"/>
            <w:noWrap/>
            <w:vAlign w:val="center"/>
          </w:tcPr>
          <w:p w14:paraId="4317D88D">
            <w:pPr>
              <w:spacing w:line="360" w:lineRule="auto"/>
              <w:jc w:val="center"/>
              <w:rPr>
                <w:rFonts w:ascii="Times New Roman" w:hAnsi="Times New Roman"/>
                <w:b/>
                <w:bCs/>
                <w:color w:val="auto"/>
                <w:szCs w:val="21"/>
                <w:highlight w:val="none"/>
              </w:rPr>
            </w:pPr>
          </w:p>
        </w:tc>
        <w:tc>
          <w:tcPr>
            <w:tcW w:w="1749" w:type="dxa"/>
            <w:noWrap/>
            <w:vAlign w:val="center"/>
          </w:tcPr>
          <w:p w14:paraId="04DB7F6E">
            <w:pPr>
              <w:spacing w:line="360" w:lineRule="auto"/>
              <w:jc w:val="center"/>
              <w:rPr>
                <w:rFonts w:ascii="Times New Roman" w:hAnsi="Times New Roman"/>
                <w:b/>
                <w:bCs/>
                <w:color w:val="auto"/>
                <w:szCs w:val="21"/>
                <w:highlight w:val="none"/>
              </w:rPr>
            </w:pPr>
          </w:p>
        </w:tc>
      </w:tr>
      <w:tr w14:paraId="5A60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6666F465">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3</w:t>
            </w:r>
          </w:p>
        </w:tc>
        <w:tc>
          <w:tcPr>
            <w:tcW w:w="1055" w:type="dxa"/>
            <w:noWrap/>
            <w:vAlign w:val="center"/>
          </w:tcPr>
          <w:p w14:paraId="16BAAC86">
            <w:pPr>
              <w:spacing w:line="360" w:lineRule="auto"/>
              <w:jc w:val="center"/>
              <w:rPr>
                <w:rFonts w:ascii="Times New Roman" w:hAnsi="Times New Roman"/>
                <w:b/>
                <w:bCs/>
                <w:color w:val="auto"/>
                <w:szCs w:val="21"/>
                <w:highlight w:val="none"/>
              </w:rPr>
            </w:pPr>
          </w:p>
        </w:tc>
        <w:tc>
          <w:tcPr>
            <w:tcW w:w="2489" w:type="dxa"/>
            <w:noWrap/>
            <w:vAlign w:val="center"/>
          </w:tcPr>
          <w:p w14:paraId="12793E64">
            <w:pPr>
              <w:spacing w:line="360" w:lineRule="auto"/>
              <w:jc w:val="center"/>
              <w:rPr>
                <w:rFonts w:ascii="Times New Roman" w:hAnsi="Times New Roman"/>
                <w:b/>
                <w:bCs/>
                <w:color w:val="auto"/>
                <w:szCs w:val="21"/>
                <w:highlight w:val="none"/>
              </w:rPr>
            </w:pPr>
          </w:p>
        </w:tc>
        <w:tc>
          <w:tcPr>
            <w:tcW w:w="1535" w:type="dxa"/>
            <w:noWrap/>
            <w:vAlign w:val="center"/>
          </w:tcPr>
          <w:p w14:paraId="505B2E29">
            <w:pPr>
              <w:spacing w:line="360" w:lineRule="auto"/>
              <w:jc w:val="center"/>
              <w:rPr>
                <w:rFonts w:ascii="Times New Roman" w:hAnsi="Times New Roman"/>
                <w:b/>
                <w:bCs/>
                <w:color w:val="auto"/>
                <w:szCs w:val="21"/>
                <w:highlight w:val="none"/>
              </w:rPr>
            </w:pPr>
          </w:p>
        </w:tc>
        <w:tc>
          <w:tcPr>
            <w:tcW w:w="1535" w:type="dxa"/>
            <w:noWrap/>
            <w:vAlign w:val="center"/>
          </w:tcPr>
          <w:p w14:paraId="5506BEB3">
            <w:pPr>
              <w:spacing w:line="360" w:lineRule="auto"/>
              <w:jc w:val="center"/>
              <w:rPr>
                <w:rFonts w:ascii="Times New Roman" w:hAnsi="Times New Roman"/>
                <w:b/>
                <w:bCs/>
                <w:color w:val="auto"/>
                <w:szCs w:val="21"/>
                <w:highlight w:val="none"/>
              </w:rPr>
            </w:pPr>
          </w:p>
        </w:tc>
        <w:tc>
          <w:tcPr>
            <w:tcW w:w="1749" w:type="dxa"/>
            <w:noWrap/>
            <w:vAlign w:val="center"/>
          </w:tcPr>
          <w:p w14:paraId="7ECEB0C4">
            <w:pPr>
              <w:spacing w:line="360" w:lineRule="auto"/>
              <w:jc w:val="center"/>
              <w:rPr>
                <w:rFonts w:ascii="Times New Roman" w:hAnsi="Times New Roman"/>
                <w:b/>
                <w:bCs/>
                <w:color w:val="auto"/>
                <w:szCs w:val="21"/>
                <w:highlight w:val="none"/>
              </w:rPr>
            </w:pPr>
          </w:p>
        </w:tc>
      </w:tr>
      <w:tr w14:paraId="7222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3A1B4E64">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4</w:t>
            </w:r>
          </w:p>
        </w:tc>
        <w:tc>
          <w:tcPr>
            <w:tcW w:w="1055" w:type="dxa"/>
            <w:noWrap/>
            <w:vAlign w:val="center"/>
          </w:tcPr>
          <w:p w14:paraId="449B2400">
            <w:pPr>
              <w:spacing w:line="360" w:lineRule="auto"/>
              <w:jc w:val="center"/>
              <w:rPr>
                <w:rFonts w:ascii="Times New Roman" w:hAnsi="Times New Roman"/>
                <w:b/>
                <w:bCs/>
                <w:color w:val="auto"/>
                <w:szCs w:val="21"/>
                <w:highlight w:val="none"/>
              </w:rPr>
            </w:pPr>
          </w:p>
        </w:tc>
        <w:tc>
          <w:tcPr>
            <w:tcW w:w="2489" w:type="dxa"/>
            <w:noWrap/>
            <w:vAlign w:val="center"/>
          </w:tcPr>
          <w:p w14:paraId="0EC0ED65">
            <w:pPr>
              <w:spacing w:line="360" w:lineRule="auto"/>
              <w:jc w:val="center"/>
              <w:rPr>
                <w:rFonts w:ascii="Times New Roman" w:hAnsi="Times New Roman"/>
                <w:b/>
                <w:bCs/>
                <w:color w:val="auto"/>
                <w:szCs w:val="21"/>
                <w:highlight w:val="none"/>
              </w:rPr>
            </w:pPr>
          </w:p>
        </w:tc>
        <w:tc>
          <w:tcPr>
            <w:tcW w:w="1535" w:type="dxa"/>
            <w:noWrap/>
            <w:vAlign w:val="center"/>
          </w:tcPr>
          <w:p w14:paraId="1A5FE38E">
            <w:pPr>
              <w:spacing w:line="360" w:lineRule="auto"/>
              <w:jc w:val="center"/>
              <w:rPr>
                <w:rFonts w:ascii="Times New Roman" w:hAnsi="Times New Roman"/>
                <w:b/>
                <w:bCs/>
                <w:color w:val="auto"/>
                <w:szCs w:val="21"/>
                <w:highlight w:val="none"/>
              </w:rPr>
            </w:pPr>
          </w:p>
        </w:tc>
        <w:tc>
          <w:tcPr>
            <w:tcW w:w="1535" w:type="dxa"/>
            <w:noWrap/>
            <w:vAlign w:val="center"/>
          </w:tcPr>
          <w:p w14:paraId="6BA98A56">
            <w:pPr>
              <w:spacing w:line="360" w:lineRule="auto"/>
              <w:jc w:val="center"/>
              <w:rPr>
                <w:rFonts w:ascii="Times New Roman" w:hAnsi="Times New Roman"/>
                <w:b/>
                <w:bCs/>
                <w:color w:val="auto"/>
                <w:szCs w:val="21"/>
                <w:highlight w:val="none"/>
              </w:rPr>
            </w:pPr>
          </w:p>
        </w:tc>
        <w:tc>
          <w:tcPr>
            <w:tcW w:w="1749" w:type="dxa"/>
            <w:noWrap/>
            <w:vAlign w:val="center"/>
          </w:tcPr>
          <w:p w14:paraId="622CF795">
            <w:pPr>
              <w:spacing w:line="360" w:lineRule="auto"/>
              <w:jc w:val="center"/>
              <w:rPr>
                <w:rFonts w:ascii="Times New Roman" w:hAnsi="Times New Roman"/>
                <w:b/>
                <w:bCs/>
                <w:color w:val="auto"/>
                <w:szCs w:val="21"/>
                <w:highlight w:val="none"/>
              </w:rPr>
            </w:pPr>
          </w:p>
        </w:tc>
      </w:tr>
      <w:tr w14:paraId="675F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4164375A">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5</w:t>
            </w:r>
          </w:p>
        </w:tc>
        <w:tc>
          <w:tcPr>
            <w:tcW w:w="1055" w:type="dxa"/>
            <w:noWrap/>
            <w:vAlign w:val="center"/>
          </w:tcPr>
          <w:p w14:paraId="3CAC453F">
            <w:pPr>
              <w:spacing w:line="360" w:lineRule="auto"/>
              <w:jc w:val="center"/>
              <w:rPr>
                <w:rFonts w:ascii="Times New Roman" w:hAnsi="Times New Roman"/>
                <w:b/>
                <w:bCs/>
                <w:color w:val="auto"/>
                <w:szCs w:val="21"/>
                <w:highlight w:val="none"/>
              </w:rPr>
            </w:pPr>
          </w:p>
        </w:tc>
        <w:tc>
          <w:tcPr>
            <w:tcW w:w="2489" w:type="dxa"/>
            <w:noWrap/>
            <w:vAlign w:val="center"/>
          </w:tcPr>
          <w:p w14:paraId="37E95BA7">
            <w:pPr>
              <w:spacing w:line="360" w:lineRule="auto"/>
              <w:jc w:val="center"/>
              <w:rPr>
                <w:rFonts w:ascii="Times New Roman" w:hAnsi="Times New Roman"/>
                <w:b/>
                <w:bCs/>
                <w:color w:val="auto"/>
                <w:szCs w:val="21"/>
                <w:highlight w:val="none"/>
              </w:rPr>
            </w:pPr>
          </w:p>
        </w:tc>
        <w:tc>
          <w:tcPr>
            <w:tcW w:w="1535" w:type="dxa"/>
            <w:noWrap/>
            <w:vAlign w:val="center"/>
          </w:tcPr>
          <w:p w14:paraId="0E6DE060">
            <w:pPr>
              <w:spacing w:line="360" w:lineRule="auto"/>
              <w:jc w:val="center"/>
              <w:rPr>
                <w:rFonts w:ascii="Times New Roman" w:hAnsi="Times New Roman"/>
                <w:b/>
                <w:bCs/>
                <w:color w:val="auto"/>
                <w:szCs w:val="21"/>
                <w:highlight w:val="none"/>
              </w:rPr>
            </w:pPr>
          </w:p>
        </w:tc>
        <w:tc>
          <w:tcPr>
            <w:tcW w:w="1535" w:type="dxa"/>
            <w:noWrap/>
            <w:vAlign w:val="center"/>
          </w:tcPr>
          <w:p w14:paraId="28457A06">
            <w:pPr>
              <w:spacing w:line="360" w:lineRule="auto"/>
              <w:jc w:val="center"/>
              <w:rPr>
                <w:rFonts w:ascii="Times New Roman" w:hAnsi="Times New Roman"/>
                <w:b/>
                <w:bCs/>
                <w:color w:val="auto"/>
                <w:szCs w:val="21"/>
                <w:highlight w:val="none"/>
              </w:rPr>
            </w:pPr>
          </w:p>
        </w:tc>
        <w:tc>
          <w:tcPr>
            <w:tcW w:w="1749" w:type="dxa"/>
            <w:noWrap/>
            <w:vAlign w:val="center"/>
          </w:tcPr>
          <w:p w14:paraId="0C670609">
            <w:pPr>
              <w:spacing w:line="360" w:lineRule="auto"/>
              <w:jc w:val="center"/>
              <w:rPr>
                <w:rFonts w:ascii="Times New Roman" w:hAnsi="Times New Roman"/>
                <w:b/>
                <w:bCs/>
                <w:color w:val="auto"/>
                <w:szCs w:val="21"/>
                <w:highlight w:val="none"/>
              </w:rPr>
            </w:pPr>
          </w:p>
        </w:tc>
      </w:tr>
      <w:tr w14:paraId="56BE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46" w:type="dxa"/>
            <w:noWrap/>
            <w:vAlign w:val="center"/>
          </w:tcPr>
          <w:p w14:paraId="49C8354B">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6</w:t>
            </w:r>
          </w:p>
        </w:tc>
        <w:tc>
          <w:tcPr>
            <w:tcW w:w="1055" w:type="dxa"/>
            <w:noWrap/>
            <w:vAlign w:val="center"/>
          </w:tcPr>
          <w:p w14:paraId="20B15D42">
            <w:pPr>
              <w:spacing w:line="360" w:lineRule="auto"/>
              <w:jc w:val="center"/>
              <w:rPr>
                <w:rFonts w:ascii="Times New Roman" w:hAnsi="Times New Roman"/>
                <w:b/>
                <w:bCs/>
                <w:color w:val="auto"/>
                <w:szCs w:val="21"/>
                <w:highlight w:val="none"/>
              </w:rPr>
            </w:pPr>
          </w:p>
        </w:tc>
        <w:tc>
          <w:tcPr>
            <w:tcW w:w="2489" w:type="dxa"/>
            <w:noWrap/>
            <w:vAlign w:val="center"/>
          </w:tcPr>
          <w:p w14:paraId="4F536CBD">
            <w:pPr>
              <w:spacing w:line="360" w:lineRule="auto"/>
              <w:jc w:val="center"/>
              <w:rPr>
                <w:rFonts w:ascii="Times New Roman" w:hAnsi="Times New Roman"/>
                <w:b/>
                <w:bCs/>
                <w:color w:val="auto"/>
                <w:szCs w:val="21"/>
                <w:highlight w:val="none"/>
              </w:rPr>
            </w:pPr>
          </w:p>
        </w:tc>
        <w:tc>
          <w:tcPr>
            <w:tcW w:w="1535" w:type="dxa"/>
            <w:noWrap/>
            <w:vAlign w:val="center"/>
          </w:tcPr>
          <w:p w14:paraId="4E7F7E9A">
            <w:pPr>
              <w:spacing w:line="360" w:lineRule="auto"/>
              <w:jc w:val="center"/>
              <w:rPr>
                <w:rFonts w:ascii="Times New Roman" w:hAnsi="Times New Roman"/>
                <w:b/>
                <w:bCs/>
                <w:color w:val="auto"/>
                <w:szCs w:val="21"/>
                <w:highlight w:val="none"/>
              </w:rPr>
            </w:pPr>
          </w:p>
        </w:tc>
        <w:tc>
          <w:tcPr>
            <w:tcW w:w="1535" w:type="dxa"/>
            <w:noWrap/>
            <w:vAlign w:val="center"/>
          </w:tcPr>
          <w:p w14:paraId="0C28C206">
            <w:pPr>
              <w:spacing w:line="360" w:lineRule="auto"/>
              <w:jc w:val="center"/>
              <w:rPr>
                <w:rFonts w:ascii="Times New Roman" w:hAnsi="Times New Roman"/>
                <w:b/>
                <w:bCs/>
                <w:color w:val="auto"/>
                <w:szCs w:val="21"/>
                <w:highlight w:val="none"/>
              </w:rPr>
            </w:pPr>
          </w:p>
        </w:tc>
        <w:tc>
          <w:tcPr>
            <w:tcW w:w="1749" w:type="dxa"/>
            <w:noWrap/>
            <w:vAlign w:val="center"/>
          </w:tcPr>
          <w:p w14:paraId="12A81F1F">
            <w:pPr>
              <w:spacing w:line="360" w:lineRule="auto"/>
              <w:jc w:val="center"/>
              <w:rPr>
                <w:rFonts w:ascii="Times New Roman" w:hAnsi="Times New Roman"/>
                <w:b/>
                <w:bCs/>
                <w:color w:val="auto"/>
                <w:szCs w:val="21"/>
                <w:highlight w:val="none"/>
              </w:rPr>
            </w:pPr>
          </w:p>
        </w:tc>
      </w:tr>
      <w:tr w14:paraId="3DE30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46" w:type="dxa"/>
            <w:noWrap/>
            <w:vAlign w:val="center"/>
          </w:tcPr>
          <w:p w14:paraId="6CBC4D0D">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w:t>
            </w:r>
          </w:p>
        </w:tc>
        <w:tc>
          <w:tcPr>
            <w:tcW w:w="1055" w:type="dxa"/>
            <w:noWrap/>
            <w:vAlign w:val="center"/>
          </w:tcPr>
          <w:p w14:paraId="0EE4CCE8">
            <w:pPr>
              <w:spacing w:line="360" w:lineRule="auto"/>
              <w:jc w:val="center"/>
              <w:rPr>
                <w:rFonts w:ascii="Times New Roman" w:hAnsi="Times New Roman"/>
                <w:b/>
                <w:bCs/>
                <w:color w:val="auto"/>
                <w:szCs w:val="21"/>
                <w:highlight w:val="none"/>
              </w:rPr>
            </w:pPr>
          </w:p>
        </w:tc>
        <w:tc>
          <w:tcPr>
            <w:tcW w:w="2489" w:type="dxa"/>
            <w:noWrap/>
            <w:vAlign w:val="center"/>
          </w:tcPr>
          <w:p w14:paraId="7A95AA62">
            <w:pPr>
              <w:spacing w:line="360" w:lineRule="auto"/>
              <w:jc w:val="center"/>
              <w:rPr>
                <w:rFonts w:ascii="Times New Roman" w:hAnsi="Times New Roman"/>
                <w:b/>
                <w:bCs/>
                <w:color w:val="auto"/>
                <w:szCs w:val="21"/>
                <w:highlight w:val="none"/>
              </w:rPr>
            </w:pPr>
          </w:p>
        </w:tc>
        <w:tc>
          <w:tcPr>
            <w:tcW w:w="1535" w:type="dxa"/>
            <w:noWrap/>
            <w:vAlign w:val="center"/>
          </w:tcPr>
          <w:p w14:paraId="5AB66417">
            <w:pPr>
              <w:spacing w:line="360" w:lineRule="auto"/>
              <w:jc w:val="center"/>
              <w:rPr>
                <w:rFonts w:ascii="Times New Roman" w:hAnsi="Times New Roman"/>
                <w:b/>
                <w:bCs/>
                <w:color w:val="auto"/>
                <w:szCs w:val="21"/>
                <w:highlight w:val="none"/>
              </w:rPr>
            </w:pPr>
          </w:p>
        </w:tc>
        <w:tc>
          <w:tcPr>
            <w:tcW w:w="1535" w:type="dxa"/>
            <w:noWrap/>
            <w:vAlign w:val="center"/>
          </w:tcPr>
          <w:p w14:paraId="222AB52D">
            <w:pPr>
              <w:spacing w:line="360" w:lineRule="auto"/>
              <w:jc w:val="center"/>
              <w:rPr>
                <w:rFonts w:ascii="Times New Roman" w:hAnsi="Times New Roman"/>
                <w:b/>
                <w:bCs/>
                <w:color w:val="auto"/>
                <w:szCs w:val="21"/>
                <w:highlight w:val="none"/>
              </w:rPr>
            </w:pPr>
          </w:p>
        </w:tc>
        <w:tc>
          <w:tcPr>
            <w:tcW w:w="1749" w:type="dxa"/>
            <w:noWrap/>
            <w:vAlign w:val="center"/>
          </w:tcPr>
          <w:p w14:paraId="5B754BA0">
            <w:pPr>
              <w:spacing w:line="360" w:lineRule="auto"/>
              <w:jc w:val="center"/>
              <w:rPr>
                <w:rFonts w:ascii="Times New Roman" w:hAnsi="Times New Roman"/>
                <w:b/>
                <w:bCs/>
                <w:color w:val="auto"/>
                <w:szCs w:val="21"/>
                <w:highlight w:val="none"/>
              </w:rPr>
            </w:pPr>
          </w:p>
        </w:tc>
      </w:tr>
    </w:tbl>
    <w:p w14:paraId="4AD7255A">
      <w:pPr>
        <w:widowControl/>
        <w:spacing w:line="360" w:lineRule="auto"/>
        <w:jc w:val="left"/>
        <w:rPr>
          <w:rFonts w:ascii="Times New Roman" w:hAnsi="Times New Roman"/>
          <w:bCs/>
          <w:color w:val="auto"/>
          <w:szCs w:val="21"/>
          <w:highlight w:val="none"/>
        </w:rPr>
      </w:pPr>
      <w:r>
        <w:rPr>
          <w:rFonts w:ascii="Times New Roman" w:hAnsi="Times New Roman"/>
          <w:bCs/>
          <w:color w:val="auto"/>
          <w:szCs w:val="21"/>
          <w:highlight w:val="none"/>
        </w:rPr>
        <w:t>注：此表后应附</w:t>
      </w:r>
      <w:r>
        <w:rPr>
          <w:rFonts w:ascii="Times New Roman" w:hAnsi="Times New Roman"/>
          <w:color w:val="auto"/>
          <w:szCs w:val="21"/>
          <w:highlight w:val="none"/>
        </w:rPr>
        <w:t>中标通知书或合同复印件/扫描件等有效证明文件。</w:t>
      </w:r>
    </w:p>
    <w:p w14:paraId="3AC0C4D6">
      <w:pPr>
        <w:widowControl/>
        <w:spacing w:line="360" w:lineRule="auto"/>
        <w:jc w:val="left"/>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104C291A">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商务部分-格式7：</w:t>
      </w:r>
    </w:p>
    <w:p w14:paraId="54D17860">
      <w:pPr>
        <w:spacing w:line="500" w:lineRule="exact"/>
        <w:rPr>
          <w:rFonts w:ascii="Times New Roman" w:hAnsi="Times New Roman"/>
          <w:b/>
          <w:color w:val="auto"/>
          <w:sz w:val="28"/>
          <w:szCs w:val="28"/>
          <w:highlight w:val="none"/>
        </w:rPr>
      </w:pPr>
    </w:p>
    <w:p w14:paraId="0303E1FB">
      <w:pPr>
        <w:pStyle w:val="3"/>
        <w:numPr>
          <w:ilvl w:val="0"/>
          <w:numId w:val="0"/>
        </w:numPr>
        <w:ind w:left="425"/>
        <w:jc w:val="center"/>
        <w:rPr>
          <w:rFonts w:ascii="Times New Roman" w:hAnsi="Times New Roman" w:eastAsia="宋体"/>
          <w:color w:val="auto"/>
          <w:szCs w:val="28"/>
          <w:highlight w:val="none"/>
        </w:rPr>
      </w:pPr>
      <w:bookmarkStart w:id="231" w:name="_Toc8046"/>
      <w:bookmarkStart w:id="232" w:name="_Toc213141100"/>
      <w:bookmarkStart w:id="233" w:name="_Toc522782870"/>
      <w:bookmarkStart w:id="234" w:name="_Toc496521003"/>
      <w:bookmarkStart w:id="235" w:name="_Toc112839441"/>
      <w:bookmarkStart w:id="236" w:name="_Toc91696442"/>
      <w:bookmarkStart w:id="237" w:name="_Toc493600035"/>
      <w:bookmarkStart w:id="238" w:name="_Toc152862915"/>
      <w:bookmarkStart w:id="239" w:name="_Toc69912438"/>
      <w:r>
        <w:rPr>
          <w:rFonts w:ascii="Times New Roman" w:hAnsi="Times New Roman" w:eastAsia="宋体"/>
          <w:color w:val="auto"/>
          <w:szCs w:val="28"/>
          <w:highlight w:val="none"/>
        </w:rPr>
        <w:t>商务条款偏离表</w:t>
      </w:r>
      <w:bookmarkEnd w:id="231"/>
      <w:bookmarkEnd w:id="232"/>
      <w:bookmarkEnd w:id="233"/>
      <w:bookmarkEnd w:id="234"/>
      <w:bookmarkEnd w:id="235"/>
      <w:bookmarkEnd w:id="236"/>
      <w:bookmarkEnd w:id="237"/>
      <w:bookmarkEnd w:id="238"/>
      <w:bookmarkEnd w:id="239"/>
    </w:p>
    <w:p w14:paraId="47010B43">
      <w:pPr>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投标人须逐条对应招标文件中要求的商务条款，认真填写该表。</w:t>
      </w:r>
    </w:p>
    <w:p w14:paraId="0E19E236">
      <w:pPr>
        <w:spacing w:line="400" w:lineRule="exact"/>
        <w:ind w:firstLine="420" w:firstLineChars="200"/>
        <w:rPr>
          <w:rFonts w:ascii="Times New Roman" w:hAnsi="Times New Roman"/>
          <w:b/>
          <w:color w:val="auto"/>
          <w:szCs w:val="21"/>
          <w:highlight w:val="none"/>
        </w:rPr>
      </w:pPr>
      <w:r>
        <w:rPr>
          <w:rFonts w:ascii="Times New Roman" w:hAnsi="Times New Roman"/>
          <w:color w:val="auto"/>
          <w:szCs w:val="21"/>
          <w:highlight w:val="none"/>
        </w:rPr>
        <w:t>商务条款是指：</w:t>
      </w:r>
      <w:bookmarkStart w:id="240" w:name="_Hlk48740792"/>
      <w:r>
        <w:rPr>
          <w:rFonts w:ascii="Times New Roman" w:hAnsi="Times New Roman"/>
          <w:color w:val="auto"/>
          <w:szCs w:val="21"/>
          <w:highlight w:val="none"/>
        </w:rPr>
        <w:t>招标文件第五章《货物需求及技术要求》和《合同条款前附表》中</w:t>
      </w:r>
      <w:bookmarkEnd w:id="240"/>
      <w:r>
        <w:rPr>
          <w:rFonts w:ascii="Times New Roman" w:hAnsi="Times New Roman"/>
          <w:color w:val="auto"/>
          <w:szCs w:val="21"/>
          <w:highlight w:val="none"/>
        </w:rPr>
        <w:t>要求的交货期、交货地点、交货方式、付款方式、履约保证金等要求。</w:t>
      </w:r>
    </w:p>
    <w:p w14:paraId="1207E612">
      <w:pPr>
        <w:spacing w:line="500" w:lineRule="exact"/>
        <w:rPr>
          <w:rFonts w:ascii="Times New Roman" w:hAnsi="Times New Roman"/>
          <w:b/>
          <w:color w:val="auto"/>
          <w:szCs w:val="21"/>
          <w:highlight w:val="none"/>
        </w:rPr>
      </w:pPr>
      <w:r>
        <w:rPr>
          <w:rFonts w:ascii="Times New Roman" w:hAnsi="Times New Roman"/>
          <w:b/>
          <w:color w:val="auto"/>
          <w:szCs w:val="21"/>
          <w:highlight w:val="none"/>
        </w:rPr>
        <w:t>项目名称：</w:t>
      </w:r>
    </w:p>
    <w:p w14:paraId="5411F9B5">
      <w:pPr>
        <w:spacing w:line="500" w:lineRule="exact"/>
        <w:rPr>
          <w:rFonts w:ascii="Times New Roman" w:hAnsi="Times New Roman"/>
          <w:color w:val="auto"/>
          <w:szCs w:val="21"/>
          <w:highlight w:val="none"/>
        </w:rPr>
      </w:pPr>
      <w:r>
        <w:rPr>
          <w:rFonts w:ascii="Times New Roman" w:hAnsi="Times New Roman"/>
          <w:b/>
          <w:color w:val="auto"/>
          <w:szCs w:val="21"/>
          <w:highlight w:val="none"/>
        </w:rPr>
        <w:t>项目编号：</w:t>
      </w:r>
      <w:r>
        <w:rPr>
          <w:rFonts w:ascii="Times New Roman" w:hAnsi="Times New Roman"/>
          <w:color w:val="auto"/>
          <w:szCs w:val="21"/>
          <w:highlight w:val="none"/>
        </w:rPr>
        <w:t xml:space="preserve"> </w:t>
      </w:r>
    </w:p>
    <w:tbl>
      <w:tblPr>
        <w:tblStyle w:val="39"/>
        <w:tblW w:w="915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2831"/>
        <w:gridCol w:w="3085"/>
        <w:gridCol w:w="2047"/>
      </w:tblGrid>
      <w:tr w14:paraId="3E41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1190" w:type="dxa"/>
            <w:noWrap/>
            <w:vAlign w:val="center"/>
          </w:tcPr>
          <w:p w14:paraId="50A5854C">
            <w:pPr>
              <w:jc w:val="center"/>
              <w:rPr>
                <w:rFonts w:ascii="Times New Roman" w:hAnsi="Times New Roman"/>
                <w:b/>
                <w:color w:val="auto"/>
                <w:szCs w:val="21"/>
                <w:highlight w:val="none"/>
              </w:rPr>
            </w:pPr>
            <w:r>
              <w:rPr>
                <w:rFonts w:ascii="Times New Roman" w:hAnsi="Times New Roman"/>
                <w:b/>
                <w:color w:val="auto"/>
                <w:szCs w:val="21"/>
                <w:highlight w:val="none"/>
              </w:rPr>
              <w:t>序号</w:t>
            </w:r>
          </w:p>
        </w:tc>
        <w:tc>
          <w:tcPr>
            <w:tcW w:w="2831" w:type="dxa"/>
            <w:noWrap/>
            <w:vAlign w:val="center"/>
          </w:tcPr>
          <w:p w14:paraId="78F787B4">
            <w:pPr>
              <w:jc w:val="center"/>
              <w:rPr>
                <w:rFonts w:ascii="Times New Roman" w:hAnsi="Times New Roman"/>
                <w:b/>
                <w:color w:val="auto"/>
                <w:szCs w:val="21"/>
                <w:highlight w:val="none"/>
              </w:rPr>
            </w:pPr>
            <w:r>
              <w:rPr>
                <w:rFonts w:ascii="Times New Roman" w:hAnsi="Times New Roman"/>
                <w:b/>
                <w:color w:val="auto"/>
                <w:szCs w:val="21"/>
                <w:highlight w:val="none"/>
              </w:rPr>
              <w:t>招标文件的商务条款</w:t>
            </w:r>
          </w:p>
        </w:tc>
        <w:tc>
          <w:tcPr>
            <w:tcW w:w="3085" w:type="dxa"/>
            <w:noWrap/>
            <w:vAlign w:val="center"/>
          </w:tcPr>
          <w:p w14:paraId="4B1DEF17">
            <w:pPr>
              <w:jc w:val="center"/>
              <w:rPr>
                <w:rFonts w:ascii="Times New Roman" w:hAnsi="Times New Roman"/>
                <w:b/>
                <w:color w:val="auto"/>
                <w:szCs w:val="21"/>
                <w:highlight w:val="none"/>
              </w:rPr>
            </w:pPr>
            <w:r>
              <w:rPr>
                <w:rFonts w:ascii="Times New Roman" w:hAnsi="Times New Roman"/>
                <w:b/>
                <w:color w:val="auto"/>
                <w:szCs w:val="21"/>
                <w:highlight w:val="none"/>
              </w:rPr>
              <w:t>投标文件的商务条款</w:t>
            </w:r>
          </w:p>
        </w:tc>
        <w:tc>
          <w:tcPr>
            <w:tcW w:w="2047" w:type="dxa"/>
            <w:noWrap/>
            <w:vAlign w:val="center"/>
          </w:tcPr>
          <w:p w14:paraId="566A1202">
            <w:pPr>
              <w:jc w:val="center"/>
              <w:rPr>
                <w:rFonts w:ascii="Times New Roman" w:hAnsi="Times New Roman"/>
                <w:b/>
                <w:color w:val="auto"/>
                <w:szCs w:val="21"/>
                <w:highlight w:val="none"/>
              </w:rPr>
            </w:pPr>
            <w:r>
              <w:rPr>
                <w:rFonts w:ascii="Times New Roman" w:hAnsi="Times New Roman"/>
                <w:b/>
                <w:color w:val="auto"/>
                <w:szCs w:val="21"/>
                <w:highlight w:val="none"/>
              </w:rPr>
              <w:t>响应情况说明</w:t>
            </w:r>
          </w:p>
        </w:tc>
      </w:tr>
      <w:tr w14:paraId="443E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7814285F">
            <w:pPr>
              <w:jc w:val="center"/>
              <w:rPr>
                <w:rFonts w:ascii="Times New Roman" w:hAnsi="Times New Roman"/>
                <w:color w:val="auto"/>
                <w:szCs w:val="21"/>
                <w:highlight w:val="none"/>
              </w:rPr>
            </w:pPr>
          </w:p>
        </w:tc>
        <w:tc>
          <w:tcPr>
            <w:tcW w:w="2831" w:type="dxa"/>
            <w:noWrap/>
          </w:tcPr>
          <w:p w14:paraId="385DC3E4">
            <w:pPr>
              <w:jc w:val="center"/>
              <w:rPr>
                <w:rFonts w:ascii="Times New Roman" w:hAnsi="Times New Roman"/>
                <w:color w:val="auto"/>
                <w:szCs w:val="21"/>
                <w:highlight w:val="none"/>
              </w:rPr>
            </w:pPr>
          </w:p>
        </w:tc>
        <w:tc>
          <w:tcPr>
            <w:tcW w:w="3085" w:type="dxa"/>
            <w:noWrap/>
          </w:tcPr>
          <w:p w14:paraId="0030D394">
            <w:pPr>
              <w:jc w:val="center"/>
              <w:rPr>
                <w:rFonts w:ascii="Times New Roman" w:hAnsi="Times New Roman"/>
                <w:color w:val="auto"/>
                <w:szCs w:val="21"/>
                <w:highlight w:val="none"/>
              </w:rPr>
            </w:pPr>
          </w:p>
        </w:tc>
        <w:tc>
          <w:tcPr>
            <w:tcW w:w="2047" w:type="dxa"/>
            <w:noWrap/>
          </w:tcPr>
          <w:p w14:paraId="6C318EC2">
            <w:pPr>
              <w:jc w:val="center"/>
              <w:rPr>
                <w:rFonts w:ascii="Times New Roman" w:hAnsi="Times New Roman"/>
                <w:color w:val="auto"/>
                <w:szCs w:val="21"/>
                <w:highlight w:val="none"/>
              </w:rPr>
            </w:pPr>
          </w:p>
        </w:tc>
      </w:tr>
      <w:tr w14:paraId="7EE4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307E5681">
            <w:pPr>
              <w:jc w:val="center"/>
              <w:rPr>
                <w:rFonts w:ascii="Times New Roman" w:hAnsi="Times New Roman"/>
                <w:color w:val="auto"/>
                <w:szCs w:val="21"/>
                <w:highlight w:val="none"/>
              </w:rPr>
            </w:pPr>
          </w:p>
        </w:tc>
        <w:tc>
          <w:tcPr>
            <w:tcW w:w="2831" w:type="dxa"/>
            <w:noWrap/>
          </w:tcPr>
          <w:p w14:paraId="79C95D7D">
            <w:pPr>
              <w:jc w:val="center"/>
              <w:rPr>
                <w:rFonts w:ascii="Times New Roman" w:hAnsi="Times New Roman"/>
                <w:color w:val="auto"/>
                <w:szCs w:val="21"/>
                <w:highlight w:val="none"/>
              </w:rPr>
            </w:pPr>
          </w:p>
        </w:tc>
        <w:tc>
          <w:tcPr>
            <w:tcW w:w="3085" w:type="dxa"/>
            <w:noWrap/>
          </w:tcPr>
          <w:p w14:paraId="3D148151">
            <w:pPr>
              <w:jc w:val="center"/>
              <w:rPr>
                <w:rFonts w:ascii="Times New Roman" w:hAnsi="Times New Roman"/>
                <w:color w:val="auto"/>
                <w:szCs w:val="21"/>
                <w:highlight w:val="none"/>
              </w:rPr>
            </w:pPr>
          </w:p>
        </w:tc>
        <w:tc>
          <w:tcPr>
            <w:tcW w:w="2047" w:type="dxa"/>
            <w:noWrap/>
          </w:tcPr>
          <w:p w14:paraId="56B1D279">
            <w:pPr>
              <w:jc w:val="center"/>
              <w:rPr>
                <w:rFonts w:ascii="Times New Roman" w:hAnsi="Times New Roman"/>
                <w:color w:val="auto"/>
                <w:szCs w:val="21"/>
                <w:highlight w:val="none"/>
              </w:rPr>
            </w:pPr>
          </w:p>
        </w:tc>
      </w:tr>
      <w:tr w14:paraId="3CBA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14:paraId="15BE1BA3">
            <w:pPr>
              <w:jc w:val="center"/>
              <w:rPr>
                <w:rFonts w:ascii="Times New Roman" w:hAnsi="Times New Roman"/>
                <w:color w:val="auto"/>
                <w:szCs w:val="21"/>
                <w:highlight w:val="none"/>
              </w:rPr>
            </w:pPr>
          </w:p>
        </w:tc>
        <w:tc>
          <w:tcPr>
            <w:tcW w:w="2831" w:type="dxa"/>
            <w:noWrap/>
          </w:tcPr>
          <w:p w14:paraId="393709EB">
            <w:pPr>
              <w:jc w:val="center"/>
              <w:rPr>
                <w:rFonts w:ascii="Times New Roman" w:hAnsi="Times New Roman"/>
                <w:color w:val="auto"/>
                <w:szCs w:val="21"/>
                <w:highlight w:val="none"/>
              </w:rPr>
            </w:pPr>
          </w:p>
        </w:tc>
        <w:tc>
          <w:tcPr>
            <w:tcW w:w="3085" w:type="dxa"/>
            <w:noWrap/>
          </w:tcPr>
          <w:p w14:paraId="0F843DB6">
            <w:pPr>
              <w:jc w:val="center"/>
              <w:rPr>
                <w:rFonts w:ascii="Times New Roman" w:hAnsi="Times New Roman"/>
                <w:color w:val="auto"/>
                <w:szCs w:val="21"/>
                <w:highlight w:val="none"/>
              </w:rPr>
            </w:pPr>
          </w:p>
        </w:tc>
        <w:tc>
          <w:tcPr>
            <w:tcW w:w="2047" w:type="dxa"/>
            <w:noWrap/>
          </w:tcPr>
          <w:p w14:paraId="5F403194">
            <w:pPr>
              <w:jc w:val="center"/>
              <w:rPr>
                <w:rFonts w:ascii="Times New Roman" w:hAnsi="Times New Roman"/>
                <w:color w:val="auto"/>
                <w:szCs w:val="21"/>
                <w:highlight w:val="none"/>
              </w:rPr>
            </w:pPr>
          </w:p>
        </w:tc>
      </w:tr>
      <w:tr w14:paraId="5660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6724A859">
            <w:pPr>
              <w:jc w:val="center"/>
              <w:rPr>
                <w:rFonts w:ascii="Times New Roman" w:hAnsi="Times New Roman"/>
                <w:color w:val="auto"/>
                <w:szCs w:val="21"/>
                <w:highlight w:val="none"/>
              </w:rPr>
            </w:pPr>
          </w:p>
        </w:tc>
        <w:tc>
          <w:tcPr>
            <w:tcW w:w="2831" w:type="dxa"/>
            <w:noWrap/>
          </w:tcPr>
          <w:p w14:paraId="045B5120">
            <w:pPr>
              <w:jc w:val="center"/>
              <w:rPr>
                <w:rFonts w:ascii="Times New Roman" w:hAnsi="Times New Roman"/>
                <w:color w:val="auto"/>
                <w:szCs w:val="21"/>
                <w:highlight w:val="none"/>
              </w:rPr>
            </w:pPr>
          </w:p>
        </w:tc>
        <w:tc>
          <w:tcPr>
            <w:tcW w:w="3085" w:type="dxa"/>
            <w:noWrap/>
          </w:tcPr>
          <w:p w14:paraId="3E43F697">
            <w:pPr>
              <w:jc w:val="center"/>
              <w:rPr>
                <w:rFonts w:ascii="Times New Roman" w:hAnsi="Times New Roman"/>
                <w:color w:val="auto"/>
                <w:szCs w:val="21"/>
                <w:highlight w:val="none"/>
              </w:rPr>
            </w:pPr>
          </w:p>
        </w:tc>
        <w:tc>
          <w:tcPr>
            <w:tcW w:w="2047" w:type="dxa"/>
            <w:noWrap/>
          </w:tcPr>
          <w:p w14:paraId="5057E103">
            <w:pPr>
              <w:jc w:val="center"/>
              <w:rPr>
                <w:rFonts w:ascii="Times New Roman" w:hAnsi="Times New Roman"/>
                <w:color w:val="auto"/>
                <w:szCs w:val="21"/>
                <w:highlight w:val="none"/>
              </w:rPr>
            </w:pPr>
          </w:p>
        </w:tc>
      </w:tr>
      <w:tr w14:paraId="2EF1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14:paraId="3D1F047F">
            <w:pPr>
              <w:jc w:val="center"/>
              <w:rPr>
                <w:rFonts w:ascii="Times New Roman" w:hAnsi="Times New Roman"/>
                <w:color w:val="auto"/>
                <w:szCs w:val="21"/>
                <w:highlight w:val="none"/>
              </w:rPr>
            </w:pPr>
          </w:p>
        </w:tc>
        <w:tc>
          <w:tcPr>
            <w:tcW w:w="2831" w:type="dxa"/>
            <w:noWrap/>
          </w:tcPr>
          <w:p w14:paraId="69FC4D95">
            <w:pPr>
              <w:jc w:val="center"/>
              <w:rPr>
                <w:rFonts w:ascii="Times New Roman" w:hAnsi="Times New Roman"/>
                <w:color w:val="auto"/>
                <w:szCs w:val="21"/>
                <w:highlight w:val="none"/>
              </w:rPr>
            </w:pPr>
          </w:p>
        </w:tc>
        <w:tc>
          <w:tcPr>
            <w:tcW w:w="3085" w:type="dxa"/>
            <w:noWrap/>
          </w:tcPr>
          <w:p w14:paraId="0F3937FB">
            <w:pPr>
              <w:jc w:val="center"/>
              <w:rPr>
                <w:rFonts w:ascii="Times New Roman" w:hAnsi="Times New Roman"/>
                <w:color w:val="auto"/>
                <w:szCs w:val="21"/>
                <w:highlight w:val="none"/>
              </w:rPr>
            </w:pPr>
          </w:p>
        </w:tc>
        <w:tc>
          <w:tcPr>
            <w:tcW w:w="2047" w:type="dxa"/>
            <w:noWrap/>
          </w:tcPr>
          <w:p w14:paraId="21254C69">
            <w:pPr>
              <w:jc w:val="center"/>
              <w:rPr>
                <w:rFonts w:ascii="Times New Roman" w:hAnsi="Times New Roman"/>
                <w:color w:val="auto"/>
                <w:szCs w:val="21"/>
                <w:highlight w:val="none"/>
              </w:rPr>
            </w:pPr>
          </w:p>
        </w:tc>
      </w:tr>
      <w:tr w14:paraId="5C1A1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73CFDC78">
            <w:pPr>
              <w:jc w:val="center"/>
              <w:rPr>
                <w:rFonts w:ascii="Times New Roman" w:hAnsi="Times New Roman"/>
                <w:color w:val="auto"/>
                <w:szCs w:val="21"/>
                <w:highlight w:val="none"/>
              </w:rPr>
            </w:pPr>
          </w:p>
        </w:tc>
        <w:tc>
          <w:tcPr>
            <w:tcW w:w="2831" w:type="dxa"/>
            <w:noWrap/>
          </w:tcPr>
          <w:p w14:paraId="0849DFEF">
            <w:pPr>
              <w:jc w:val="center"/>
              <w:rPr>
                <w:rFonts w:ascii="Times New Roman" w:hAnsi="Times New Roman"/>
                <w:color w:val="auto"/>
                <w:szCs w:val="21"/>
                <w:highlight w:val="none"/>
              </w:rPr>
            </w:pPr>
          </w:p>
        </w:tc>
        <w:tc>
          <w:tcPr>
            <w:tcW w:w="3085" w:type="dxa"/>
            <w:noWrap/>
          </w:tcPr>
          <w:p w14:paraId="15207C83">
            <w:pPr>
              <w:jc w:val="center"/>
              <w:rPr>
                <w:rFonts w:ascii="Times New Roman" w:hAnsi="Times New Roman"/>
                <w:color w:val="auto"/>
                <w:szCs w:val="21"/>
                <w:highlight w:val="none"/>
              </w:rPr>
            </w:pPr>
          </w:p>
        </w:tc>
        <w:tc>
          <w:tcPr>
            <w:tcW w:w="2047" w:type="dxa"/>
            <w:noWrap/>
          </w:tcPr>
          <w:p w14:paraId="1A557945">
            <w:pPr>
              <w:jc w:val="center"/>
              <w:rPr>
                <w:rFonts w:ascii="Times New Roman" w:hAnsi="Times New Roman"/>
                <w:color w:val="auto"/>
                <w:szCs w:val="21"/>
                <w:highlight w:val="none"/>
              </w:rPr>
            </w:pPr>
          </w:p>
        </w:tc>
      </w:tr>
      <w:tr w14:paraId="5051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6F0DEAE7">
            <w:pPr>
              <w:jc w:val="center"/>
              <w:rPr>
                <w:rFonts w:ascii="Times New Roman" w:hAnsi="Times New Roman"/>
                <w:color w:val="auto"/>
                <w:szCs w:val="21"/>
                <w:highlight w:val="none"/>
              </w:rPr>
            </w:pPr>
          </w:p>
        </w:tc>
        <w:tc>
          <w:tcPr>
            <w:tcW w:w="2831" w:type="dxa"/>
            <w:noWrap/>
          </w:tcPr>
          <w:p w14:paraId="03F99A6E">
            <w:pPr>
              <w:jc w:val="center"/>
              <w:rPr>
                <w:rFonts w:ascii="Times New Roman" w:hAnsi="Times New Roman"/>
                <w:color w:val="auto"/>
                <w:szCs w:val="21"/>
                <w:highlight w:val="none"/>
              </w:rPr>
            </w:pPr>
          </w:p>
        </w:tc>
        <w:tc>
          <w:tcPr>
            <w:tcW w:w="3085" w:type="dxa"/>
            <w:noWrap/>
          </w:tcPr>
          <w:p w14:paraId="19A620D7">
            <w:pPr>
              <w:jc w:val="center"/>
              <w:rPr>
                <w:rFonts w:ascii="Times New Roman" w:hAnsi="Times New Roman"/>
                <w:color w:val="auto"/>
                <w:szCs w:val="21"/>
                <w:highlight w:val="none"/>
              </w:rPr>
            </w:pPr>
          </w:p>
        </w:tc>
        <w:tc>
          <w:tcPr>
            <w:tcW w:w="2047" w:type="dxa"/>
            <w:noWrap/>
          </w:tcPr>
          <w:p w14:paraId="15469866">
            <w:pPr>
              <w:jc w:val="center"/>
              <w:rPr>
                <w:rFonts w:ascii="Times New Roman" w:hAnsi="Times New Roman"/>
                <w:color w:val="auto"/>
                <w:szCs w:val="21"/>
                <w:highlight w:val="none"/>
              </w:rPr>
            </w:pPr>
          </w:p>
        </w:tc>
      </w:tr>
      <w:tr w14:paraId="0865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14:paraId="5578E12A">
            <w:pPr>
              <w:jc w:val="center"/>
              <w:rPr>
                <w:rFonts w:ascii="Times New Roman" w:hAnsi="Times New Roman"/>
                <w:color w:val="auto"/>
                <w:szCs w:val="21"/>
                <w:highlight w:val="none"/>
              </w:rPr>
            </w:pPr>
          </w:p>
        </w:tc>
        <w:tc>
          <w:tcPr>
            <w:tcW w:w="2831" w:type="dxa"/>
            <w:noWrap/>
          </w:tcPr>
          <w:p w14:paraId="1962F030">
            <w:pPr>
              <w:jc w:val="center"/>
              <w:rPr>
                <w:rFonts w:ascii="Times New Roman" w:hAnsi="Times New Roman"/>
                <w:color w:val="auto"/>
                <w:szCs w:val="21"/>
                <w:highlight w:val="none"/>
              </w:rPr>
            </w:pPr>
          </w:p>
        </w:tc>
        <w:tc>
          <w:tcPr>
            <w:tcW w:w="3085" w:type="dxa"/>
            <w:noWrap/>
          </w:tcPr>
          <w:p w14:paraId="03A51272">
            <w:pPr>
              <w:jc w:val="center"/>
              <w:rPr>
                <w:rFonts w:ascii="Times New Roman" w:hAnsi="Times New Roman"/>
                <w:color w:val="auto"/>
                <w:szCs w:val="21"/>
                <w:highlight w:val="none"/>
              </w:rPr>
            </w:pPr>
          </w:p>
        </w:tc>
        <w:tc>
          <w:tcPr>
            <w:tcW w:w="2047" w:type="dxa"/>
            <w:noWrap/>
          </w:tcPr>
          <w:p w14:paraId="6EC14AF2">
            <w:pPr>
              <w:jc w:val="center"/>
              <w:rPr>
                <w:rFonts w:ascii="Times New Roman" w:hAnsi="Times New Roman"/>
                <w:color w:val="auto"/>
                <w:szCs w:val="21"/>
                <w:highlight w:val="none"/>
              </w:rPr>
            </w:pPr>
          </w:p>
        </w:tc>
      </w:tr>
      <w:tr w14:paraId="59E9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14:paraId="28C51D7B">
            <w:pPr>
              <w:jc w:val="center"/>
              <w:rPr>
                <w:rFonts w:ascii="Times New Roman" w:hAnsi="Times New Roman"/>
                <w:color w:val="auto"/>
                <w:szCs w:val="21"/>
                <w:highlight w:val="none"/>
              </w:rPr>
            </w:pPr>
          </w:p>
        </w:tc>
        <w:tc>
          <w:tcPr>
            <w:tcW w:w="2831" w:type="dxa"/>
            <w:noWrap/>
          </w:tcPr>
          <w:p w14:paraId="2D08C490">
            <w:pPr>
              <w:jc w:val="center"/>
              <w:rPr>
                <w:rFonts w:ascii="Times New Roman" w:hAnsi="Times New Roman"/>
                <w:color w:val="auto"/>
                <w:szCs w:val="21"/>
                <w:highlight w:val="none"/>
              </w:rPr>
            </w:pPr>
          </w:p>
        </w:tc>
        <w:tc>
          <w:tcPr>
            <w:tcW w:w="3085" w:type="dxa"/>
            <w:noWrap/>
          </w:tcPr>
          <w:p w14:paraId="446989BA">
            <w:pPr>
              <w:jc w:val="center"/>
              <w:rPr>
                <w:rFonts w:ascii="Times New Roman" w:hAnsi="Times New Roman"/>
                <w:color w:val="auto"/>
                <w:szCs w:val="21"/>
                <w:highlight w:val="none"/>
              </w:rPr>
            </w:pPr>
          </w:p>
        </w:tc>
        <w:tc>
          <w:tcPr>
            <w:tcW w:w="2047" w:type="dxa"/>
            <w:noWrap/>
          </w:tcPr>
          <w:p w14:paraId="1FD56E01">
            <w:pPr>
              <w:jc w:val="center"/>
              <w:rPr>
                <w:rFonts w:ascii="Times New Roman" w:hAnsi="Times New Roman"/>
                <w:color w:val="auto"/>
                <w:szCs w:val="21"/>
                <w:highlight w:val="none"/>
              </w:rPr>
            </w:pPr>
          </w:p>
        </w:tc>
      </w:tr>
      <w:tr w14:paraId="3A74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14:paraId="79E2BC42">
            <w:pPr>
              <w:jc w:val="center"/>
              <w:rPr>
                <w:rFonts w:ascii="Times New Roman" w:hAnsi="Times New Roman"/>
                <w:color w:val="auto"/>
                <w:szCs w:val="21"/>
                <w:highlight w:val="none"/>
              </w:rPr>
            </w:pPr>
          </w:p>
        </w:tc>
        <w:tc>
          <w:tcPr>
            <w:tcW w:w="2831" w:type="dxa"/>
            <w:noWrap/>
          </w:tcPr>
          <w:p w14:paraId="0A5D1F40">
            <w:pPr>
              <w:jc w:val="center"/>
              <w:rPr>
                <w:rFonts w:ascii="Times New Roman" w:hAnsi="Times New Roman"/>
                <w:color w:val="auto"/>
                <w:szCs w:val="21"/>
                <w:highlight w:val="none"/>
              </w:rPr>
            </w:pPr>
          </w:p>
        </w:tc>
        <w:tc>
          <w:tcPr>
            <w:tcW w:w="3085" w:type="dxa"/>
            <w:noWrap/>
          </w:tcPr>
          <w:p w14:paraId="318483B0">
            <w:pPr>
              <w:jc w:val="center"/>
              <w:rPr>
                <w:rFonts w:ascii="Times New Roman" w:hAnsi="Times New Roman"/>
                <w:color w:val="auto"/>
                <w:szCs w:val="21"/>
                <w:highlight w:val="none"/>
              </w:rPr>
            </w:pPr>
          </w:p>
        </w:tc>
        <w:tc>
          <w:tcPr>
            <w:tcW w:w="2047" w:type="dxa"/>
            <w:noWrap/>
          </w:tcPr>
          <w:p w14:paraId="43BCBB92">
            <w:pPr>
              <w:jc w:val="center"/>
              <w:rPr>
                <w:rFonts w:ascii="Times New Roman" w:hAnsi="Times New Roman"/>
                <w:color w:val="auto"/>
                <w:szCs w:val="21"/>
                <w:highlight w:val="none"/>
              </w:rPr>
            </w:pPr>
          </w:p>
        </w:tc>
      </w:tr>
    </w:tbl>
    <w:p w14:paraId="2AD95510">
      <w:pPr>
        <w:spacing w:line="600" w:lineRule="exact"/>
        <w:rPr>
          <w:rFonts w:ascii="Times New Roman" w:hAnsi="Times New Roman"/>
          <w:b/>
          <w:color w:val="auto"/>
          <w:szCs w:val="21"/>
          <w:highlight w:val="none"/>
        </w:rPr>
      </w:pPr>
      <w:r>
        <w:rPr>
          <w:rFonts w:ascii="Times New Roman" w:hAnsi="Times New Roman"/>
          <w:b/>
          <w:color w:val="auto"/>
          <w:szCs w:val="21"/>
          <w:highlight w:val="none"/>
        </w:rPr>
        <w:t>注：对于招标文件第五章《货物需求及技术要求》和《合同条款前附表》中要求需有证明材料或书面承诺的，须在投标文件中提供证明材料。</w:t>
      </w:r>
    </w:p>
    <w:p w14:paraId="6EA11E1A">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21B16AB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360CBCBD">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75068D7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2E57AFF8">
            <w:pPr>
              <w:ind w:left="-921" w:leftChars="-439"/>
              <w:rPr>
                <w:rFonts w:ascii="Times New Roman" w:hAnsi="Times New Roman"/>
                <w:color w:val="auto"/>
                <w:szCs w:val="21"/>
                <w:highlight w:val="none"/>
              </w:rPr>
            </w:pPr>
          </w:p>
        </w:tc>
      </w:tr>
    </w:tbl>
    <w:p w14:paraId="176EF0CB">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1618634E">
      <w:pPr>
        <w:spacing w:line="360" w:lineRule="auto"/>
        <w:ind w:firstLine="4693" w:firstLineChars="2235"/>
        <w:rPr>
          <w:rFonts w:ascii="Times New Roman" w:hAnsi="Times New Roman"/>
          <w:b/>
          <w:color w:val="auto"/>
          <w:szCs w:val="21"/>
          <w:highlight w:val="none"/>
        </w:rPr>
      </w:pPr>
    </w:p>
    <w:p w14:paraId="40A66CB8">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br w:type="page"/>
      </w:r>
      <w:r>
        <w:rPr>
          <w:rFonts w:ascii="Times New Roman" w:hAnsi="Times New Roman"/>
          <w:b/>
          <w:color w:val="auto"/>
          <w:sz w:val="28"/>
          <w:szCs w:val="28"/>
          <w:highlight w:val="none"/>
        </w:rPr>
        <w:t>商务部分-格式8：</w:t>
      </w:r>
    </w:p>
    <w:p w14:paraId="4BA5B053">
      <w:pPr>
        <w:spacing w:line="360" w:lineRule="auto"/>
        <w:ind w:firstLine="4693" w:firstLineChars="2235"/>
        <w:rPr>
          <w:rFonts w:ascii="Times New Roman" w:hAnsi="Times New Roman"/>
          <w:b/>
          <w:color w:val="auto"/>
          <w:szCs w:val="21"/>
          <w:highlight w:val="none"/>
        </w:rPr>
      </w:pPr>
      <w:bookmarkStart w:id="241" w:name="_Hlk102987217"/>
    </w:p>
    <w:p w14:paraId="2E6A460E">
      <w:pPr>
        <w:pStyle w:val="3"/>
        <w:numPr>
          <w:ilvl w:val="0"/>
          <w:numId w:val="0"/>
        </w:numPr>
        <w:ind w:left="425"/>
        <w:jc w:val="center"/>
        <w:rPr>
          <w:rFonts w:ascii="Times New Roman" w:hAnsi="Times New Roman" w:eastAsia="宋体"/>
          <w:bCs/>
          <w:color w:val="auto"/>
          <w:sz w:val="32"/>
          <w:highlight w:val="none"/>
        </w:rPr>
      </w:pPr>
      <w:bookmarkStart w:id="242" w:name="_Toc112839442"/>
      <w:bookmarkStart w:id="243" w:name="_Toc10945"/>
      <w:bookmarkStart w:id="244" w:name="_Toc152862916"/>
      <w:bookmarkStart w:id="245" w:name="_Toc82784449"/>
      <w:bookmarkStart w:id="246" w:name="_Toc103158591"/>
      <w:r>
        <w:rPr>
          <w:rFonts w:ascii="Segoe UI Symbol" w:hAnsi="Segoe UI Symbol" w:eastAsia="宋体" w:cs="Segoe UI Symbol"/>
          <w:color w:val="auto"/>
          <w:szCs w:val="21"/>
          <w:highlight w:val="none"/>
        </w:rPr>
        <w:t>★</w:t>
      </w:r>
      <w:r>
        <w:rPr>
          <w:rFonts w:ascii="Times New Roman" w:hAnsi="Times New Roman" w:eastAsia="宋体"/>
          <w:color w:val="auto"/>
          <w:szCs w:val="28"/>
          <w:highlight w:val="none"/>
        </w:rPr>
        <w:t>关于“保证拟投产品在产品使用期间不受第三方提出侵犯其专利权、商标权、工业设计权、知识产权的起诉”的承诺</w:t>
      </w:r>
      <w:bookmarkEnd w:id="242"/>
      <w:bookmarkEnd w:id="243"/>
      <w:bookmarkEnd w:id="244"/>
      <w:bookmarkEnd w:id="245"/>
      <w:bookmarkEnd w:id="246"/>
    </w:p>
    <w:p w14:paraId="3E0E6220">
      <w:pPr>
        <w:spacing w:line="600" w:lineRule="exact"/>
        <w:jc w:val="center"/>
        <w:rPr>
          <w:rFonts w:ascii="Times New Roman" w:hAnsi="Times New Roman"/>
          <w:b/>
          <w:color w:val="auto"/>
          <w:szCs w:val="21"/>
          <w:highlight w:val="none"/>
        </w:rPr>
      </w:pPr>
      <w:r>
        <w:rPr>
          <w:rFonts w:ascii="Times New Roman" w:hAnsi="Times New Roman"/>
          <w:b/>
          <w:color w:val="auto"/>
          <w:szCs w:val="21"/>
          <w:highlight w:val="none"/>
        </w:rPr>
        <w:t>（格式内容自拟）</w:t>
      </w:r>
    </w:p>
    <w:p w14:paraId="48D733B3">
      <w:pPr>
        <w:spacing w:line="600" w:lineRule="exact"/>
        <w:rPr>
          <w:rFonts w:ascii="Times New Roman" w:hAnsi="Times New Roman"/>
          <w:b/>
          <w:color w:val="auto"/>
          <w:szCs w:val="21"/>
          <w:highlight w:val="none"/>
        </w:rPr>
      </w:pPr>
    </w:p>
    <w:bookmarkEnd w:id="241"/>
    <w:p w14:paraId="02E73E36">
      <w:pPr>
        <w:spacing w:line="600" w:lineRule="exact"/>
        <w:rPr>
          <w:rFonts w:ascii="Times New Roman" w:hAnsi="Times New Roman"/>
          <w:b/>
          <w:color w:val="auto"/>
          <w:szCs w:val="21"/>
          <w:highlight w:val="none"/>
        </w:rPr>
      </w:pPr>
    </w:p>
    <w:p w14:paraId="7C4A4B78">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745401EB">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493E4118">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3BF30F0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55DA8A28">
            <w:pPr>
              <w:ind w:left="-921" w:leftChars="-439"/>
              <w:rPr>
                <w:rFonts w:ascii="Times New Roman" w:hAnsi="Times New Roman"/>
                <w:color w:val="auto"/>
                <w:szCs w:val="21"/>
                <w:highlight w:val="none"/>
              </w:rPr>
            </w:pPr>
          </w:p>
        </w:tc>
      </w:tr>
    </w:tbl>
    <w:p w14:paraId="76953C7D">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563E6E49">
      <w:pPr>
        <w:spacing w:line="360" w:lineRule="auto"/>
        <w:jc w:val="left"/>
        <w:rPr>
          <w:rFonts w:ascii="Times New Roman" w:hAnsi="Times New Roman"/>
          <w:color w:val="auto"/>
          <w:szCs w:val="21"/>
          <w:highlight w:val="none"/>
        </w:rPr>
      </w:pPr>
      <w:r>
        <w:rPr>
          <w:rFonts w:ascii="Times New Roman" w:hAnsi="Times New Roman"/>
          <w:color w:val="auto"/>
          <w:szCs w:val="21"/>
          <w:highlight w:val="none"/>
        </w:rPr>
        <w:br w:type="page"/>
      </w:r>
      <w:r>
        <w:rPr>
          <w:rFonts w:ascii="Times New Roman" w:hAnsi="Times New Roman"/>
          <w:b/>
          <w:color w:val="auto"/>
          <w:sz w:val="28"/>
          <w:szCs w:val="28"/>
          <w:highlight w:val="none"/>
        </w:rPr>
        <w:t>商务部分-格式9：</w:t>
      </w:r>
    </w:p>
    <w:p w14:paraId="3419CF7F">
      <w:pPr>
        <w:pStyle w:val="3"/>
        <w:numPr>
          <w:ilvl w:val="0"/>
          <w:numId w:val="0"/>
        </w:numPr>
        <w:ind w:left="425"/>
        <w:jc w:val="center"/>
        <w:rPr>
          <w:rFonts w:ascii="Times New Roman" w:hAnsi="Times New Roman" w:eastAsia="宋体"/>
          <w:b w:val="0"/>
          <w:color w:val="auto"/>
          <w:szCs w:val="21"/>
          <w:highlight w:val="none"/>
        </w:rPr>
      </w:pPr>
      <w:bookmarkStart w:id="247" w:name="_Toc152862917"/>
      <w:bookmarkStart w:id="248" w:name="_Toc21138"/>
      <w:bookmarkStart w:id="249" w:name="_Toc112839443"/>
      <w:r>
        <w:rPr>
          <w:rFonts w:ascii="Segoe UI Symbol" w:hAnsi="Segoe UI Symbol" w:eastAsia="宋体" w:cs="Segoe UI Symbol"/>
          <w:color w:val="auto"/>
          <w:szCs w:val="21"/>
          <w:highlight w:val="none"/>
        </w:rPr>
        <w:t>★</w:t>
      </w:r>
      <w:r>
        <w:rPr>
          <w:rFonts w:ascii="Times New Roman" w:hAnsi="Times New Roman" w:eastAsia="宋体"/>
          <w:color w:val="auto"/>
          <w:szCs w:val="28"/>
          <w:highlight w:val="none"/>
        </w:rPr>
        <w:t>承诺书</w:t>
      </w:r>
      <w:bookmarkEnd w:id="247"/>
      <w:bookmarkEnd w:id="248"/>
      <w:bookmarkEnd w:id="249"/>
    </w:p>
    <w:p w14:paraId="5D3A00F8">
      <w:pPr>
        <w:spacing w:before="331" w:beforeLines="100" w:line="360" w:lineRule="auto"/>
        <w:jc w:val="left"/>
        <w:rPr>
          <w:rFonts w:ascii="Times New Roman" w:hAnsi="Times New Roman"/>
          <w:color w:val="auto"/>
          <w:szCs w:val="21"/>
          <w:highlight w:val="none"/>
        </w:rPr>
      </w:pPr>
      <w:r>
        <w:rPr>
          <w:rFonts w:ascii="Times New Roman" w:hAnsi="Times New Roman"/>
          <w:color w:val="auto"/>
          <w:szCs w:val="21"/>
          <w:highlight w:val="none"/>
        </w:rPr>
        <w:t>致：</w:t>
      </w:r>
      <w:r>
        <w:rPr>
          <w:rFonts w:ascii="Times New Roman" w:hAnsi="Times New Roman"/>
          <w:color w:val="auto"/>
          <w:szCs w:val="21"/>
          <w:highlight w:val="none"/>
          <w:u w:val="single"/>
        </w:rPr>
        <w:t>（采购人）</w:t>
      </w:r>
    </w:p>
    <w:p w14:paraId="15440F06">
      <w:pPr>
        <w:spacing w:before="165" w:beforeLines="50" w:line="360" w:lineRule="auto"/>
        <w:ind w:firstLine="420" w:firstLineChars="200"/>
        <w:jc w:val="left"/>
        <w:rPr>
          <w:rFonts w:ascii="Times New Roman" w:hAnsi="Times New Roman"/>
          <w:b/>
          <w:bCs/>
          <w:color w:val="auto"/>
          <w:szCs w:val="21"/>
          <w:highlight w:val="none"/>
        </w:rPr>
      </w:pPr>
      <w:r>
        <w:rPr>
          <w:rFonts w:ascii="Times New Roman" w:hAnsi="Times New Roman"/>
          <w:b/>
          <w:bCs/>
          <w:color w:val="auto"/>
          <w:szCs w:val="21"/>
          <w:highlight w:val="none"/>
        </w:rPr>
        <w:t>若我公司有幸中标，我公司承诺以下事宜：</w:t>
      </w:r>
    </w:p>
    <w:p w14:paraId="6F01265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1、我公司在接到领取中标/成交通知书的通知后，在</w:t>
      </w:r>
      <w:r>
        <w:rPr>
          <w:rFonts w:ascii="Times New Roman" w:hAnsi="Times New Roman"/>
          <w:color w:val="auto"/>
          <w:szCs w:val="21"/>
          <w:highlight w:val="none"/>
          <w:u w:val="single"/>
        </w:rPr>
        <w:t xml:space="preserve"> 3 </w:t>
      </w:r>
      <w:r>
        <w:rPr>
          <w:rFonts w:ascii="Times New Roman" w:hAnsi="Times New Roman"/>
          <w:color w:val="auto"/>
          <w:szCs w:val="21"/>
          <w:highlight w:val="none"/>
        </w:rPr>
        <w:t>个工作日内到采购代理机构领取中标/成交通知书。领取中标/成交通知书后在</w:t>
      </w:r>
      <w:r>
        <w:rPr>
          <w:rFonts w:ascii="Times New Roman" w:hAnsi="Times New Roman"/>
          <w:color w:val="auto"/>
          <w:szCs w:val="21"/>
          <w:highlight w:val="none"/>
          <w:u w:val="single"/>
        </w:rPr>
        <w:t xml:space="preserve"> 10 </w:t>
      </w:r>
      <w:r>
        <w:rPr>
          <w:rFonts w:ascii="Times New Roman" w:hAnsi="Times New Roman"/>
          <w:color w:val="auto"/>
          <w:szCs w:val="21"/>
          <w:highlight w:val="none"/>
        </w:rPr>
        <w:t>个工作日内按照昆明理工大学要求缴纳履约保证金。在</w:t>
      </w:r>
      <w:r>
        <w:rPr>
          <w:rFonts w:ascii="Times New Roman" w:hAnsi="Times New Roman"/>
          <w:color w:val="auto"/>
          <w:szCs w:val="21"/>
          <w:highlight w:val="none"/>
          <w:u w:val="single"/>
        </w:rPr>
        <w:t xml:space="preserve"> 10 </w:t>
      </w:r>
      <w:r>
        <w:rPr>
          <w:rFonts w:ascii="Times New Roman" w:hAnsi="Times New Roman"/>
          <w:color w:val="auto"/>
          <w:szCs w:val="21"/>
          <w:highlight w:val="none"/>
        </w:rPr>
        <w:t>个工作日内洽谈合同签订事宜。</w:t>
      </w:r>
    </w:p>
    <w:p w14:paraId="1A294E59">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（1）如因我公司无正当理由放弃中标（成交）或因我公司自身原因导致项目未能在法定期限内完成合同签订或拒不签订项目合同的，采购人或采购代理机构有权取消中标（成交）资格。投标保证金不予退还。</w:t>
      </w:r>
    </w:p>
    <w:p w14:paraId="3DAF655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0CD0104E">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2、在合同履行过程中，我公司严格按照合同约定进行交货/完成相关服务工作并达到项目验收标准。</w:t>
      </w:r>
    </w:p>
    <w:p w14:paraId="250E3550">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2D2001A6">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3FEC1100">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5E5502B7">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特此承诺！</w:t>
      </w:r>
    </w:p>
    <w:p w14:paraId="7E561EE3">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1CFE1AC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48EBE6B2">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2ECFA1F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5B56DFAC">
            <w:pPr>
              <w:ind w:left="-921" w:leftChars="-439"/>
              <w:rPr>
                <w:rFonts w:ascii="Times New Roman" w:hAnsi="Times New Roman"/>
                <w:color w:val="auto"/>
                <w:szCs w:val="21"/>
                <w:highlight w:val="none"/>
              </w:rPr>
            </w:pPr>
          </w:p>
        </w:tc>
      </w:tr>
    </w:tbl>
    <w:p w14:paraId="6E85BB26">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1B699E03">
      <w:pPr>
        <w:spacing w:line="360" w:lineRule="auto"/>
        <w:ind w:firstLine="4693" w:firstLineChars="2235"/>
        <w:rPr>
          <w:rFonts w:ascii="Times New Roman" w:hAnsi="Times New Roman"/>
          <w:b/>
          <w:color w:val="auto"/>
          <w:szCs w:val="21"/>
          <w:highlight w:val="none"/>
        </w:rPr>
      </w:pPr>
    </w:p>
    <w:p w14:paraId="3DDFA0A6">
      <w:pPr>
        <w:spacing w:line="588" w:lineRule="exact"/>
        <w:jc w:val="left"/>
        <w:rPr>
          <w:rFonts w:ascii="Times New Roman" w:hAnsi="Times New Roman"/>
          <w:b/>
          <w:color w:val="auto"/>
          <w:sz w:val="28"/>
          <w:szCs w:val="28"/>
          <w:highlight w:val="none"/>
        </w:rPr>
      </w:pPr>
      <w:r>
        <w:rPr>
          <w:rFonts w:ascii="Times New Roman" w:hAnsi="Times New Roman"/>
          <w:color w:val="auto"/>
          <w:szCs w:val="21"/>
          <w:highlight w:val="none"/>
        </w:rPr>
        <w:br w:type="page"/>
      </w:r>
    </w:p>
    <w:p w14:paraId="4722C5B0">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商务部分-格式10：</w:t>
      </w:r>
    </w:p>
    <w:p w14:paraId="1C06D26C">
      <w:pPr>
        <w:pStyle w:val="3"/>
        <w:numPr>
          <w:ilvl w:val="0"/>
          <w:numId w:val="0"/>
        </w:numPr>
        <w:ind w:left="596" w:hanging="596"/>
        <w:jc w:val="center"/>
        <w:rPr>
          <w:rFonts w:ascii="Times New Roman" w:hAnsi="Times New Roman" w:eastAsia="宋体"/>
          <w:color w:val="auto"/>
          <w:szCs w:val="28"/>
          <w:highlight w:val="none"/>
        </w:rPr>
      </w:pPr>
      <w:bookmarkStart w:id="250" w:name="_Toc103158592"/>
      <w:bookmarkStart w:id="251" w:name="_Toc69912439"/>
      <w:bookmarkStart w:id="252" w:name="_Toc522782875"/>
      <w:bookmarkStart w:id="253" w:name="_Toc91696443"/>
      <w:bookmarkStart w:id="254" w:name="_Toc152862918"/>
      <w:bookmarkStart w:id="255" w:name="_Toc112839444"/>
      <w:bookmarkStart w:id="256" w:name="_Toc27701"/>
      <w:r>
        <w:rPr>
          <w:rFonts w:ascii="Times New Roman" w:hAnsi="Times New Roman" w:eastAsia="宋体"/>
          <w:color w:val="auto"/>
          <w:szCs w:val="28"/>
          <w:highlight w:val="none"/>
        </w:rPr>
        <w:t>投标人信息表</w:t>
      </w:r>
      <w:bookmarkEnd w:id="250"/>
      <w:bookmarkEnd w:id="251"/>
      <w:bookmarkEnd w:id="252"/>
      <w:bookmarkEnd w:id="253"/>
      <w:bookmarkEnd w:id="254"/>
      <w:bookmarkEnd w:id="255"/>
      <w:bookmarkEnd w:id="256"/>
    </w:p>
    <w:p w14:paraId="4CC338C6">
      <w:pPr>
        <w:spacing w:line="400" w:lineRule="exact"/>
        <w:jc w:val="center"/>
        <w:rPr>
          <w:rFonts w:ascii="Times New Roman" w:hAnsi="Times New Roman"/>
          <w:b/>
          <w:color w:val="auto"/>
          <w:szCs w:val="21"/>
          <w:highlight w:val="none"/>
        </w:rPr>
      </w:pPr>
      <w:r>
        <w:rPr>
          <w:rFonts w:ascii="Times New Roman" w:hAnsi="Times New Roman"/>
          <w:b/>
          <w:color w:val="auto"/>
          <w:szCs w:val="21"/>
          <w:highlight w:val="none"/>
        </w:rPr>
        <w:t>（请投标人如实填写本表信息）</w:t>
      </w:r>
    </w:p>
    <w:tbl>
      <w:tblPr>
        <w:tblStyle w:val="39"/>
        <w:tblW w:w="91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45EBB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772" w:type="dxa"/>
            <w:gridSpan w:val="2"/>
            <w:tcBorders>
              <w:right w:val="single" w:color="auto" w:sz="4" w:space="0"/>
            </w:tcBorders>
            <w:noWrap/>
            <w:vAlign w:val="center"/>
          </w:tcPr>
          <w:p w14:paraId="7865DEF7">
            <w:pPr>
              <w:widowControl/>
              <w:jc w:val="center"/>
              <w:rPr>
                <w:rFonts w:ascii="Times New Roman" w:hAnsi="Times New Roman"/>
                <w:color w:val="auto"/>
                <w:szCs w:val="21"/>
                <w:highlight w:val="none"/>
              </w:rPr>
            </w:pPr>
            <w:r>
              <w:rPr>
                <w:rFonts w:ascii="Times New Roman" w:hAnsi="Times New Roman"/>
                <w:color w:val="auto"/>
                <w:szCs w:val="21"/>
                <w:highlight w:val="none"/>
              </w:rPr>
              <w:t>公司名称</w:t>
            </w:r>
          </w:p>
        </w:tc>
        <w:tc>
          <w:tcPr>
            <w:tcW w:w="6407" w:type="dxa"/>
            <w:gridSpan w:val="4"/>
            <w:tcBorders>
              <w:left w:val="single" w:color="auto" w:sz="4" w:space="0"/>
            </w:tcBorders>
            <w:noWrap/>
            <w:vAlign w:val="center"/>
          </w:tcPr>
          <w:p w14:paraId="77279E2A">
            <w:pPr>
              <w:widowControl/>
              <w:jc w:val="left"/>
              <w:rPr>
                <w:rFonts w:ascii="Times New Roman" w:hAnsi="Times New Roman"/>
                <w:color w:val="auto"/>
                <w:szCs w:val="21"/>
                <w:highlight w:val="none"/>
              </w:rPr>
            </w:pPr>
          </w:p>
        </w:tc>
      </w:tr>
      <w:tr w14:paraId="5EB029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772" w:type="dxa"/>
            <w:gridSpan w:val="2"/>
            <w:tcBorders>
              <w:right w:val="single" w:color="auto" w:sz="4" w:space="0"/>
            </w:tcBorders>
            <w:noWrap/>
            <w:vAlign w:val="center"/>
          </w:tcPr>
          <w:p w14:paraId="7F963B81">
            <w:pPr>
              <w:widowControl/>
              <w:jc w:val="center"/>
              <w:rPr>
                <w:rFonts w:ascii="Times New Roman" w:hAnsi="Times New Roman"/>
                <w:color w:val="auto"/>
                <w:szCs w:val="21"/>
                <w:highlight w:val="none"/>
              </w:rPr>
            </w:pPr>
            <w:r>
              <w:rPr>
                <w:rFonts w:ascii="Times New Roman" w:hAnsi="Times New Roman"/>
                <w:color w:val="auto"/>
                <w:szCs w:val="21"/>
                <w:highlight w:val="none"/>
              </w:rPr>
              <w:t>公司地址</w:t>
            </w:r>
          </w:p>
        </w:tc>
        <w:tc>
          <w:tcPr>
            <w:tcW w:w="6407" w:type="dxa"/>
            <w:gridSpan w:val="4"/>
            <w:tcBorders>
              <w:left w:val="single" w:color="auto" w:sz="4" w:space="0"/>
            </w:tcBorders>
            <w:noWrap/>
            <w:vAlign w:val="center"/>
          </w:tcPr>
          <w:p w14:paraId="4175C916">
            <w:pPr>
              <w:widowControl/>
              <w:jc w:val="center"/>
              <w:rPr>
                <w:rFonts w:ascii="Times New Roman" w:hAnsi="Times New Roman"/>
                <w:color w:val="auto"/>
                <w:szCs w:val="21"/>
                <w:highlight w:val="none"/>
              </w:rPr>
            </w:pPr>
          </w:p>
        </w:tc>
      </w:tr>
      <w:tr w14:paraId="6FB0CE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772" w:type="dxa"/>
            <w:gridSpan w:val="2"/>
            <w:tcBorders>
              <w:right w:val="single" w:color="auto" w:sz="4" w:space="0"/>
            </w:tcBorders>
            <w:noWrap/>
            <w:vAlign w:val="center"/>
          </w:tcPr>
          <w:p w14:paraId="272E81A4">
            <w:pPr>
              <w:widowControl/>
              <w:jc w:val="center"/>
              <w:rPr>
                <w:rFonts w:ascii="Times New Roman" w:hAnsi="Times New Roman"/>
                <w:color w:val="auto"/>
                <w:szCs w:val="21"/>
                <w:highlight w:val="none"/>
              </w:rPr>
            </w:pPr>
            <w:r>
              <w:rPr>
                <w:rFonts w:ascii="Times New Roman" w:hAnsi="Times New Roman"/>
                <w:color w:val="auto"/>
                <w:szCs w:val="21"/>
                <w:highlight w:val="none"/>
              </w:rPr>
              <w:t>公司性质</w:t>
            </w:r>
          </w:p>
        </w:tc>
        <w:tc>
          <w:tcPr>
            <w:tcW w:w="1716" w:type="dxa"/>
            <w:tcBorders>
              <w:left w:val="single" w:color="auto" w:sz="4" w:space="0"/>
              <w:right w:val="single" w:color="auto" w:sz="4" w:space="0"/>
            </w:tcBorders>
            <w:noWrap/>
            <w:vAlign w:val="center"/>
          </w:tcPr>
          <w:p w14:paraId="3E30294D">
            <w:pPr>
              <w:widowControl/>
              <w:jc w:val="center"/>
              <w:rPr>
                <w:rFonts w:ascii="Times New Roman" w:hAnsi="Times New Roman"/>
                <w:color w:val="auto"/>
                <w:szCs w:val="21"/>
                <w:highlight w:val="none"/>
              </w:rPr>
            </w:pPr>
          </w:p>
        </w:tc>
        <w:tc>
          <w:tcPr>
            <w:tcW w:w="2185" w:type="dxa"/>
            <w:gridSpan w:val="2"/>
            <w:tcBorders>
              <w:left w:val="single" w:color="auto" w:sz="4" w:space="0"/>
              <w:right w:val="single" w:color="auto" w:sz="4" w:space="0"/>
            </w:tcBorders>
            <w:noWrap/>
            <w:vAlign w:val="center"/>
          </w:tcPr>
          <w:p w14:paraId="58AD35B4">
            <w:pPr>
              <w:widowControl/>
              <w:jc w:val="center"/>
              <w:rPr>
                <w:rFonts w:ascii="Times New Roman" w:hAnsi="Times New Roman"/>
                <w:color w:val="auto"/>
                <w:szCs w:val="21"/>
                <w:highlight w:val="none"/>
              </w:rPr>
            </w:pPr>
            <w:r>
              <w:rPr>
                <w:rFonts w:ascii="Times New Roman" w:hAnsi="Times New Roman"/>
                <w:color w:val="auto"/>
                <w:szCs w:val="21"/>
                <w:highlight w:val="none"/>
              </w:rPr>
              <w:t>公司类型</w:t>
            </w:r>
          </w:p>
        </w:tc>
        <w:tc>
          <w:tcPr>
            <w:tcW w:w="2506" w:type="dxa"/>
            <w:tcBorders>
              <w:left w:val="single" w:color="auto" w:sz="4" w:space="0"/>
            </w:tcBorders>
            <w:noWrap/>
            <w:vAlign w:val="center"/>
          </w:tcPr>
          <w:p w14:paraId="07F22637">
            <w:pPr>
              <w:widowControl/>
              <w:jc w:val="center"/>
              <w:rPr>
                <w:rFonts w:ascii="Times New Roman" w:hAnsi="Times New Roman"/>
                <w:color w:val="auto"/>
                <w:szCs w:val="21"/>
                <w:highlight w:val="none"/>
              </w:rPr>
            </w:pPr>
          </w:p>
        </w:tc>
      </w:tr>
      <w:tr w14:paraId="7E94D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772" w:type="dxa"/>
            <w:gridSpan w:val="2"/>
            <w:noWrap/>
            <w:vAlign w:val="center"/>
          </w:tcPr>
          <w:p w14:paraId="6CDE43F4">
            <w:pPr>
              <w:widowControl/>
              <w:jc w:val="center"/>
              <w:rPr>
                <w:rFonts w:ascii="Times New Roman" w:hAnsi="Times New Roman"/>
                <w:color w:val="auto"/>
                <w:szCs w:val="21"/>
                <w:highlight w:val="none"/>
              </w:rPr>
            </w:pPr>
            <w:r>
              <w:rPr>
                <w:rFonts w:ascii="Times New Roman" w:hAnsi="Times New Roman"/>
                <w:color w:val="auto"/>
                <w:szCs w:val="21"/>
                <w:highlight w:val="none"/>
              </w:rPr>
              <w:t>法定代表人</w:t>
            </w:r>
          </w:p>
        </w:tc>
        <w:tc>
          <w:tcPr>
            <w:tcW w:w="1716" w:type="dxa"/>
            <w:noWrap/>
            <w:vAlign w:val="center"/>
          </w:tcPr>
          <w:p w14:paraId="25E1E97E">
            <w:pPr>
              <w:widowControl/>
              <w:jc w:val="center"/>
              <w:rPr>
                <w:rFonts w:ascii="Times New Roman" w:hAnsi="Times New Roman"/>
                <w:color w:val="auto"/>
                <w:szCs w:val="21"/>
                <w:highlight w:val="none"/>
              </w:rPr>
            </w:pPr>
          </w:p>
        </w:tc>
        <w:tc>
          <w:tcPr>
            <w:tcW w:w="2185" w:type="dxa"/>
            <w:gridSpan w:val="2"/>
            <w:tcBorders>
              <w:right w:val="single" w:color="auto" w:sz="4" w:space="0"/>
            </w:tcBorders>
            <w:noWrap/>
            <w:vAlign w:val="center"/>
          </w:tcPr>
          <w:p w14:paraId="66C7585E">
            <w:pPr>
              <w:widowControl/>
              <w:jc w:val="center"/>
              <w:rPr>
                <w:rFonts w:ascii="Times New Roman" w:hAnsi="Times New Roman"/>
                <w:color w:val="auto"/>
                <w:szCs w:val="21"/>
                <w:highlight w:val="none"/>
              </w:rPr>
            </w:pPr>
            <w:r>
              <w:rPr>
                <w:rFonts w:ascii="Times New Roman" w:hAnsi="Times New Roman"/>
                <w:color w:val="auto"/>
                <w:szCs w:val="21"/>
                <w:highlight w:val="none"/>
              </w:rPr>
              <w:t>注册资金</w:t>
            </w:r>
          </w:p>
        </w:tc>
        <w:tc>
          <w:tcPr>
            <w:tcW w:w="2506" w:type="dxa"/>
            <w:tcBorders>
              <w:left w:val="single" w:color="auto" w:sz="4" w:space="0"/>
            </w:tcBorders>
            <w:noWrap/>
            <w:vAlign w:val="center"/>
          </w:tcPr>
          <w:p w14:paraId="089606F0">
            <w:pPr>
              <w:widowControl/>
              <w:jc w:val="center"/>
              <w:rPr>
                <w:rFonts w:ascii="Times New Roman" w:hAnsi="Times New Roman"/>
                <w:color w:val="auto"/>
                <w:szCs w:val="21"/>
                <w:highlight w:val="none"/>
              </w:rPr>
            </w:pPr>
          </w:p>
        </w:tc>
      </w:tr>
      <w:tr w14:paraId="0877F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772" w:type="dxa"/>
            <w:gridSpan w:val="2"/>
            <w:vMerge w:val="restart"/>
            <w:noWrap/>
            <w:vAlign w:val="center"/>
          </w:tcPr>
          <w:p w14:paraId="2E29505D">
            <w:pPr>
              <w:widowControl/>
              <w:jc w:val="center"/>
              <w:rPr>
                <w:rFonts w:ascii="Times New Roman" w:hAnsi="Times New Roman"/>
                <w:color w:val="auto"/>
                <w:szCs w:val="21"/>
                <w:highlight w:val="none"/>
              </w:rPr>
            </w:pPr>
            <w:r>
              <w:rPr>
                <w:rFonts w:ascii="Times New Roman" w:hAnsi="Times New Roman"/>
                <w:color w:val="auto"/>
                <w:szCs w:val="21"/>
                <w:highlight w:val="none"/>
              </w:rPr>
              <w:t>注册日期</w:t>
            </w:r>
          </w:p>
        </w:tc>
        <w:tc>
          <w:tcPr>
            <w:tcW w:w="1716" w:type="dxa"/>
            <w:vMerge w:val="restart"/>
            <w:noWrap/>
            <w:vAlign w:val="center"/>
          </w:tcPr>
          <w:p w14:paraId="01FCCF70">
            <w:pPr>
              <w:widowControl/>
              <w:jc w:val="center"/>
              <w:rPr>
                <w:rFonts w:ascii="Times New Roman" w:hAnsi="Times New Roman"/>
                <w:color w:val="auto"/>
                <w:szCs w:val="21"/>
                <w:highlight w:val="none"/>
              </w:rPr>
            </w:pPr>
          </w:p>
        </w:tc>
        <w:tc>
          <w:tcPr>
            <w:tcW w:w="2185" w:type="dxa"/>
            <w:gridSpan w:val="2"/>
            <w:tcBorders>
              <w:bottom w:val="single" w:color="auto" w:sz="4" w:space="0"/>
            </w:tcBorders>
            <w:noWrap/>
            <w:vAlign w:val="center"/>
          </w:tcPr>
          <w:p w14:paraId="5AAEB262">
            <w:pPr>
              <w:widowControl/>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2506" w:type="dxa"/>
            <w:tcBorders>
              <w:bottom w:val="single" w:color="auto" w:sz="4" w:space="0"/>
            </w:tcBorders>
            <w:noWrap/>
            <w:vAlign w:val="center"/>
          </w:tcPr>
          <w:p w14:paraId="7AFE4A5E">
            <w:pPr>
              <w:widowControl/>
              <w:jc w:val="center"/>
              <w:rPr>
                <w:rFonts w:ascii="Times New Roman" w:hAnsi="Times New Roman"/>
                <w:color w:val="auto"/>
                <w:szCs w:val="21"/>
                <w:highlight w:val="none"/>
              </w:rPr>
            </w:pPr>
          </w:p>
        </w:tc>
      </w:tr>
      <w:tr w14:paraId="52C47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772" w:type="dxa"/>
            <w:gridSpan w:val="2"/>
            <w:vMerge w:val="continue"/>
            <w:noWrap/>
            <w:vAlign w:val="center"/>
          </w:tcPr>
          <w:p w14:paraId="7D516882">
            <w:pPr>
              <w:widowControl/>
              <w:jc w:val="center"/>
              <w:rPr>
                <w:rFonts w:ascii="Times New Roman" w:hAnsi="Times New Roman"/>
                <w:color w:val="auto"/>
                <w:szCs w:val="21"/>
                <w:highlight w:val="none"/>
              </w:rPr>
            </w:pPr>
          </w:p>
        </w:tc>
        <w:tc>
          <w:tcPr>
            <w:tcW w:w="1716" w:type="dxa"/>
            <w:vMerge w:val="continue"/>
            <w:noWrap/>
            <w:vAlign w:val="center"/>
          </w:tcPr>
          <w:p w14:paraId="37233F29">
            <w:pPr>
              <w:widowControl/>
              <w:jc w:val="center"/>
              <w:rPr>
                <w:rFonts w:ascii="Times New Roman" w:hAnsi="Times New Roman"/>
                <w:color w:val="auto"/>
                <w:szCs w:val="21"/>
                <w:highlight w:val="none"/>
              </w:rPr>
            </w:pPr>
          </w:p>
        </w:tc>
        <w:tc>
          <w:tcPr>
            <w:tcW w:w="2185" w:type="dxa"/>
            <w:gridSpan w:val="2"/>
            <w:tcBorders>
              <w:top w:val="single" w:color="auto" w:sz="4" w:space="0"/>
            </w:tcBorders>
            <w:noWrap/>
            <w:vAlign w:val="center"/>
          </w:tcPr>
          <w:p w14:paraId="5E3ACC27">
            <w:pPr>
              <w:widowControl/>
              <w:jc w:val="center"/>
              <w:rPr>
                <w:rFonts w:ascii="Times New Roman" w:hAnsi="Times New Roman"/>
                <w:color w:val="auto"/>
                <w:szCs w:val="21"/>
                <w:highlight w:val="none"/>
              </w:rPr>
            </w:pPr>
            <w:r>
              <w:rPr>
                <w:rFonts w:ascii="Times New Roman" w:hAnsi="Times New Roman"/>
                <w:color w:val="auto"/>
                <w:szCs w:val="21"/>
                <w:highlight w:val="none"/>
              </w:rPr>
              <w:t>开户基本账号</w:t>
            </w:r>
          </w:p>
        </w:tc>
        <w:tc>
          <w:tcPr>
            <w:tcW w:w="2506" w:type="dxa"/>
            <w:tcBorders>
              <w:top w:val="single" w:color="auto" w:sz="4" w:space="0"/>
            </w:tcBorders>
            <w:noWrap/>
            <w:vAlign w:val="center"/>
          </w:tcPr>
          <w:p w14:paraId="10B6E038">
            <w:pPr>
              <w:widowControl/>
              <w:jc w:val="center"/>
              <w:rPr>
                <w:rFonts w:ascii="Times New Roman" w:hAnsi="Times New Roman"/>
                <w:color w:val="auto"/>
                <w:szCs w:val="21"/>
                <w:highlight w:val="none"/>
              </w:rPr>
            </w:pPr>
          </w:p>
        </w:tc>
      </w:tr>
      <w:tr w14:paraId="11EFA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772" w:type="dxa"/>
            <w:gridSpan w:val="2"/>
            <w:vMerge w:val="restart"/>
            <w:noWrap/>
            <w:vAlign w:val="center"/>
          </w:tcPr>
          <w:p w14:paraId="55C849E0">
            <w:pPr>
              <w:widowControl/>
              <w:jc w:val="center"/>
              <w:rPr>
                <w:rFonts w:ascii="Times New Roman" w:hAnsi="Times New Roman"/>
                <w:color w:val="auto"/>
                <w:szCs w:val="21"/>
                <w:highlight w:val="none"/>
              </w:rPr>
            </w:pPr>
            <w:r>
              <w:rPr>
                <w:rFonts w:ascii="Times New Roman" w:hAnsi="Times New Roman"/>
                <w:color w:val="auto"/>
                <w:szCs w:val="21"/>
                <w:highlight w:val="none"/>
              </w:rPr>
              <w:t>联系人</w:t>
            </w:r>
          </w:p>
        </w:tc>
        <w:tc>
          <w:tcPr>
            <w:tcW w:w="1716" w:type="dxa"/>
            <w:vMerge w:val="restart"/>
            <w:noWrap/>
            <w:vAlign w:val="center"/>
          </w:tcPr>
          <w:p w14:paraId="7FC6F2E8">
            <w:pPr>
              <w:widowControl/>
              <w:jc w:val="center"/>
              <w:rPr>
                <w:rFonts w:ascii="Times New Roman" w:hAnsi="Times New Roman"/>
                <w:color w:val="auto"/>
                <w:szCs w:val="21"/>
                <w:highlight w:val="none"/>
              </w:rPr>
            </w:pPr>
          </w:p>
        </w:tc>
        <w:tc>
          <w:tcPr>
            <w:tcW w:w="1047" w:type="dxa"/>
            <w:vMerge w:val="restart"/>
            <w:noWrap/>
            <w:vAlign w:val="center"/>
          </w:tcPr>
          <w:p w14:paraId="0E61BB00">
            <w:pPr>
              <w:widowControl/>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1138" w:type="dxa"/>
            <w:noWrap/>
            <w:vAlign w:val="center"/>
          </w:tcPr>
          <w:p w14:paraId="564FA745">
            <w:pPr>
              <w:widowControl/>
              <w:jc w:val="center"/>
              <w:rPr>
                <w:rFonts w:ascii="Times New Roman" w:hAnsi="Times New Roman"/>
                <w:color w:val="auto"/>
                <w:szCs w:val="21"/>
                <w:highlight w:val="none"/>
              </w:rPr>
            </w:pPr>
            <w:r>
              <w:rPr>
                <w:rFonts w:ascii="Times New Roman" w:hAnsi="Times New Roman"/>
                <w:color w:val="auto"/>
                <w:szCs w:val="21"/>
                <w:highlight w:val="none"/>
              </w:rPr>
              <w:t>手机</w:t>
            </w:r>
          </w:p>
        </w:tc>
        <w:tc>
          <w:tcPr>
            <w:tcW w:w="2506" w:type="dxa"/>
            <w:noWrap/>
            <w:vAlign w:val="center"/>
          </w:tcPr>
          <w:p w14:paraId="48D0EBB7">
            <w:pPr>
              <w:widowControl/>
              <w:jc w:val="center"/>
              <w:rPr>
                <w:rFonts w:ascii="Times New Roman" w:hAnsi="Times New Roman"/>
                <w:color w:val="auto"/>
                <w:szCs w:val="21"/>
                <w:highlight w:val="none"/>
              </w:rPr>
            </w:pPr>
          </w:p>
        </w:tc>
      </w:tr>
      <w:tr w14:paraId="40DA5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772" w:type="dxa"/>
            <w:gridSpan w:val="2"/>
            <w:vMerge w:val="continue"/>
            <w:noWrap/>
            <w:vAlign w:val="center"/>
          </w:tcPr>
          <w:p w14:paraId="324CC4F6">
            <w:pPr>
              <w:widowControl/>
              <w:jc w:val="center"/>
              <w:rPr>
                <w:rFonts w:ascii="Times New Roman" w:hAnsi="Times New Roman"/>
                <w:color w:val="auto"/>
                <w:szCs w:val="21"/>
                <w:highlight w:val="none"/>
              </w:rPr>
            </w:pPr>
          </w:p>
        </w:tc>
        <w:tc>
          <w:tcPr>
            <w:tcW w:w="1716" w:type="dxa"/>
            <w:vMerge w:val="continue"/>
            <w:noWrap/>
            <w:vAlign w:val="center"/>
          </w:tcPr>
          <w:p w14:paraId="462CE1EA">
            <w:pPr>
              <w:widowControl/>
              <w:jc w:val="center"/>
              <w:rPr>
                <w:rFonts w:ascii="Times New Roman" w:hAnsi="Times New Roman"/>
                <w:color w:val="auto"/>
                <w:szCs w:val="21"/>
                <w:highlight w:val="none"/>
              </w:rPr>
            </w:pPr>
          </w:p>
        </w:tc>
        <w:tc>
          <w:tcPr>
            <w:tcW w:w="1047" w:type="dxa"/>
            <w:vMerge w:val="continue"/>
            <w:noWrap/>
            <w:vAlign w:val="center"/>
          </w:tcPr>
          <w:p w14:paraId="42E3B1F6">
            <w:pPr>
              <w:widowControl/>
              <w:jc w:val="center"/>
              <w:rPr>
                <w:rFonts w:ascii="Times New Roman" w:hAnsi="Times New Roman"/>
                <w:color w:val="auto"/>
                <w:szCs w:val="21"/>
                <w:highlight w:val="none"/>
              </w:rPr>
            </w:pPr>
          </w:p>
        </w:tc>
        <w:tc>
          <w:tcPr>
            <w:tcW w:w="1138" w:type="dxa"/>
            <w:noWrap/>
            <w:vAlign w:val="center"/>
          </w:tcPr>
          <w:p w14:paraId="342F100C">
            <w:pPr>
              <w:widowControl/>
              <w:jc w:val="center"/>
              <w:rPr>
                <w:rFonts w:ascii="Times New Roman" w:hAnsi="Times New Roman"/>
                <w:color w:val="auto"/>
                <w:szCs w:val="21"/>
                <w:highlight w:val="none"/>
              </w:rPr>
            </w:pPr>
            <w:r>
              <w:rPr>
                <w:rFonts w:ascii="Times New Roman" w:hAnsi="Times New Roman"/>
                <w:color w:val="auto"/>
                <w:szCs w:val="21"/>
                <w:highlight w:val="none"/>
              </w:rPr>
              <w:t>固话</w:t>
            </w:r>
          </w:p>
        </w:tc>
        <w:tc>
          <w:tcPr>
            <w:tcW w:w="2506" w:type="dxa"/>
            <w:noWrap/>
            <w:vAlign w:val="center"/>
          </w:tcPr>
          <w:p w14:paraId="0C87627F">
            <w:pPr>
              <w:widowControl/>
              <w:jc w:val="center"/>
              <w:rPr>
                <w:rFonts w:ascii="Times New Roman" w:hAnsi="Times New Roman"/>
                <w:color w:val="auto"/>
                <w:szCs w:val="21"/>
                <w:highlight w:val="none"/>
              </w:rPr>
            </w:pPr>
          </w:p>
        </w:tc>
      </w:tr>
      <w:tr w14:paraId="0F449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2772" w:type="dxa"/>
            <w:gridSpan w:val="2"/>
            <w:noWrap/>
            <w:vAlign w:val="center"/>
          </w:tcPr>
          <w:p w14:paraId="132A38AD">
            <w:pPr>
              <w:widowControl/>
              <w:jc w:val="center"/>
              <w:rPr>
                <w:rFonts w:ascii="Times New Roman" w:hAnsi="Times New Roman"/>
                <w:color w:val="auto"/>
                <w:szCs w:val="21"/>
                <w:highlight w:val="none"/>
              </w:rPr>
            </w:pPr>
            <w:r>
              <w:rPr>
                <w:rFonts w:ascii="Times New Roman" w:hAnsi="Times New Roman"/>
                <w:color w:val="auto"/>
                <w:szCs w:val="21"/>
                <w:highlight w:val="none"/>
              </w:rPr>
              <w:t>联系传真</w:t>
            </w:r>
          </w:p>
        </w:tc>
        <w:tc>
          <w:tcPr>
            <w:tcW w:w="1716" w:type="dxa"/>
            <w:noWrap/>
            <w:vAlign w:val="center"/>
          </w:tcPr>
          <w:p w14:paraId="55CCFD45">
            <w:pPr>
              <w:widowControl/>
              <w:jc w:val="center"/>
              <w:rPr>
                <w:rFonts w:ascii="Times New Roman" w:hAnsi="Times New Roman"/>
                <w:color w:val="auto"/>
                <w:szCs w:val="21"/>
                <w:highlight w:val="none"/>
              </w:rPr>
            </w:pPr>
          </w:p>
        </w:tc>
        <w:tc>
          <w:tcPr>
            <w:tcW w:w="2185" w:type="dxa"/>
            <w:gridSpan w:val="2"/>
            <w:noWrap/>
            <w:vAlign w:val="center"/>
          </w:tcPr>
          <w:p w14:paraId="341D114A">
            <w:pPr>
              <w:widowControl/>
              <w:jc w:val="center"/>
              <w:rPr>
                <w:rFonts w:ascii="Times New Roman" w:hAnsi="Times New Roman"/>
                <w:color w:val="auto"/>
                <w:szCs w:val="21"/>
                <w:highlight w:val="none"/>
              </w:rPr>
            </w:pPr>
            <w:r>
              <w:rPr>
                <w:rFonts w:ascii="Times New Roman" w:hAnsi="Times New Roman"/>
                <w:color w:val="auto"/>
                <w:szCs w:val="21"/>
                <w:highlight w:val="none"/>
              </w:rPr>
              <w:t>联系邮箱</w:t>
            </w:r>
          </w:p>
        </w:tc>
        <w:tc>
          <w:tcPr>
            <w:tcW w:w="2506" w:type="dxa"/>
            <w:noWrap/>
            <w:vAlign w:val="center"/>
          </w:tcPr>
          <w:p w14:paraId="5A2D19D3">
            <w:pPr>
              <w:widowControl/>
              <w:jc w:val="center"/>
              <w:rPr>
                <w:rFonts w:ascii="Times New Roman" w:hAnsi="Times New Roman"/>
                <w:color w:val="auto"/>
                <w:szCs w:val="21"/>
                <w:highlight w:val="none"/>
              </w:rPr>
            </w:pPr>
          </w:p>
        </w:tc>
      </w:tr>
      <w:tr w14:paraId="79134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2772" w:type="dxa"/>
            <w:gridSpan w:val="2"/>
            <w:noWrap/>
            <w:vAlign w:val="center"/>
          </w:tcPr>
          <w:p w14:paraId="55EBF5D0">
            <w:pPr>
              <w:widowControl/>
              <w:jc w:val="center"/>
              <w:rPr>
                <w:rFonts w:ascii="Times New Roman" w:hAnsi="Times New Roman"/>
                <w:color w:val="auto"/>
                <w:szCs w:val="21"/>
                <w:highlight w:val="none"/>
              </w:rPr>
            </w:pPr>
            <w:r>
              <w:rPr>
                <w:rFonts w:ascii="Times New Roman" w:hAnsi="Times New Roman"/>
                <w:color w:val="auto"/>
                <w:szCs w:val="21"/>
                <w:highlight w:val="none"/>
              </w:rPr>
              <w:t>经营范围</w:t>
            </w:r>
          </w:p>
        </w:tc>
        <w:tc>
          <w:tcPr>
            <w:tcW w:w="6407" w:type="dxa"/>
            <w:gridSpan w:val="4"/>
            <w:noWrap/>
            <w:vAlign w:val="center"/>
          </w:tcPr>
          <w:p w14:paraId="58420DAB">
            <w:pPr>
              <w:widowControl/>
              <w:jc w:val="center"/>
              <w:rPr>
                <w:rFonts w:ascii="Times New Roman" w:hAnsi="Times New Roman"/>
                <w:color w:val="auto"/>
                <w:szCs w:val="21"/>
                <w:highlight w:val="none"/>
              </w:rPr>
            </w:pPr>
          </w:p>
        </w:tc>
      </w:tr>
      <w:tr w14:paraId="6A265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772" w:type="dxa"/>
            <w:gridSpan w:val="2"/>
            <w:noWrap/>
            <w:vAlign w:val="center"/>
          </w:tcPr>
          <w:p w14:paraId="72ECBE23">
            <w:pPr>
              <w:widowControl/>
              <w:jc w:val="center"/>
              <w:rPr>
                <w:rFonts w:ascii="Times New Roman" w:hAnsi="Times New Roman"/>
                <w:color w:val="auto"/>
                <w:szCs w:val="21"/>
                <w:highlight w:val="none"/>
              </w:rPr>
            </w:pPr>
            <w:r>
              <w:rPr>
                <w:rFonts w:ascii="Times New Roman" w:hAnsi="Times New Roman"/>
                <w:color w:val="auto"/>
                <w:szCs w:val="21"/>
                <w:highlight w:val="none"/>
              </w:rPr>
              <w:t>公司管理体系认证</w:t>
            </w:r>
          </w:p>
        </w:tc>
        <w:tc>
          <w:tcPr>
            <w:tcW w:w="6407" w:type="dxa"/>
            <w:gridSpan w:val="4"/>
            <w:noWrap/>
            <w:vAlign w:val="center"/>
          </w:tcPr>
          <w:p w14:paraId="7F47376D">
            <w:pPr>
              <w:widowControl/>
              <w:jc w:val="center"/>
              <w:rPr>
                <w:rFonts w:ascii="Times New Roman" w:hAnsi="Times New Roman"/>
                <w:color w:val="auto"/>
                <w:szCs w:val="21"/>
                <w:highlight w:val="none"/>
              </w:rPr>
            </w:pPr>
            <w:r>
              <w:rPr>
                <w:rFonts w:ascii="Times New Roman" w:hAnsi="Times New Roman"/>
                <w:color w:val="auto"/>
                <w:szCs w:val="21"/>
                <w:highlight w:val="none"/>
              </w:rPr>
              <w:t>（质量、职业、环境管理体系）</w:t>
            </w:r>
          </w:p>
        </w:tc>
      </w:tr>
      <w:tr w14:paraId="6EBB1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179" w:type="dxa"/>
            <w:gridSpan w:val="6"/>
            <w:noWrap/>
            <w:vAlign w:val="center"/>
          </w:tcPr>
          <w:p w14:paraId="5B809403">
            <w:pPr>
              <w:widowControl/>
              <w:jc w:val="left"/>
              <w:rPr>
                <w:rFonts w:ascii="Times New Roman" w:hAnsi="Times New Roman"/>
                <w:color w:val="auto"/>
                <w:szCs w:val="21"/>
                <w:highlight w:val="none"/>
              </w:rPr>
            </w:pPr>
            <w:r>
              <w:rPr>
                <w:rFonts w:ascii="Times New Roman" w:hAnsi="Times New Roman"/>
                <w:color w:val="auto"/>
                <w:szCs w:val="21"/>
                <w:highlight w:val="none"/>
              </w:rPr>
              <w:t>公司资质及各类生产、经营许可</w:t>
            </w:r>
          </w:p>
        </w:tc>
      </w:tr>
      <w:tr w14:paraId="2DB37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jc w:val="center"/>
        </w:trPr>
        <w:tc>
          <w:tcPr>
            <w:tcW w:w="9179" w:type="dxa"/>
            <w:gridSpan w:val="6"/>
            <w:noWrap/>
            <w:vAlign w:val="center"/>
          </w:tcPr>
          <w:p w14:paraId="19996B3B">
            <w:pPr>
              <w:widowControl/>
              <w:rPr>
                <w:rFonts w:ascii="Times New Roman" w:hAnsi="Times New Roman"/>
                <w:color w:val="auto"/>
                <w:szCs w:val="21"/>
                <w:highlight w:val="none"/>
              </w:rPr>
            </w:pPr>
            <w:r>
              <w:rPr>
                <w:rFonts w:ascii="Times New Roman" w:hAnsi="Times New Roman"/>
                <w:color w:val="auto"/>
                <w:szCs w:val="21"/>
                <w:highlight w:val="none"/>
              </w:rPr>
              <w:t>如：工程类资质（工程单位）、设备制造商、经销商（生产、经营许可证、产品认证）、其它资质。</w:t>
            </w:r>
          </w:p>
        </w:tc>
      </w:tr>
      <w:tr w14:paraId="2ED58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367" w:type="dxa"/>
            <w:noWrap/>
            <w:vAlign w:val="center"/>
          </w:tcPr>
          <w:p w14:paraId="5851918A">
            <w:pPr>
              <w:widowControl/>
              <w:jc w:val="center"/>
              <w:rPr>
                <w:rFonts w:ascii="Times New Roman" w:hAnsi="Times New Roman"/>
                <w:color w:val="auto"/>
                <w:szCs w:val="21"/>
                <w:highlight w:val="none"/>
              </w:rPr>
            </w:pPr>
            <w:r>
              <w:rPr>
                <w:rFonts w:ascii="Times New Roman" w:hAnsi="Times New Roman"/>
                <w:color w:val="auto"/>
                <w:szCs w:val="21"/>
                <w:highlight w:val="none"/>
              </w:rPr>
              <w:t>备注</w:t>
            </w:r>
          </w:p>
        </w:tc>
        <w:tc>
          <w:tcPr>
            <w:tcW w:w="7812" w:type="dxa"/>
            <w:gridSpan w:val="5"/>
            <w:noWrap/>
            <w:vAlign w:val="center"/>
          </w:tcPr>
          <w:p w14:paraId="4C49307A">
            <w:pPr>
              <w:widowControl/>
              <w:jc w:val="center"/>
              <w:rPr>
                <w:rFonts w:ascii="Times New Roman" w:hAnsi="Times New Roman"/>
                <w:color w:val="auto"/>
                <w:szCs w:val="21"/>
                <w:highlight w:val="none"/>
              </w:rPr>
            </w:pPr>
          </w:p>
        </w:tc>
      </w:tr>
    </w:tbl>
    <w:p w14:paraId="51B127F0">
      <w:pPr>
        <w:widowControl/>
        <w:jc w:val="left"/>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1456004D">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商务部分-格式11：</w:t>
      </w:r>
    </w:p>
    <w:p w14:paraId="425642D8">
      <w:pPr>
        <w:pStyle w:val="3"/>
        <w:numPr>
          <w:ilvl w:val="0"/>
          <w:numId w:val="0"/>
        </w:numPr>
        <w:ind w:left="425"/>
        <w:jc w:val="center"/>
        <w:rPr>
          <w:rFonts w:ascii="Times New Roman" w:hAnsi="Times New Roman" w:eastAsia="宋体"/>
          <w:color w:val="auto"/>
          <w:szCs w:val="28"/>
          <w:highlight w:val="none"/>
        </w:rPr>
      </w:pPr>
      <w:bookmarkStart w:id="257" w:name="_Toc69912440"/>
      <w:bookmarkStart w:id="258" w:name="_Toc152862919"/>
      <w:bookmarkStart w:id="259" w:name="_Toc103158593"/>
      <w:bookmarkStart w:id="260" w:name="_Toc24762"/>
      <w:bookmarkStart w:id="261" w:name="_Toc91696444"/>
      <w:bookmarkStart w:id="262" w:name="_Toc112839445"/>
      <w:r>
        <w:rPr>
          <w:rFonts w:ascii="Times New Roman" w:hAnsi="Times New Roman" w:eastAsia="宋体"/>
          <w:color w:val="auto"/>
          <w:szCs w:val="28"/>
          <w:highlight w:val="none"/>
        </w:rPr>
        <w:t>投标保证金缴纳凭证</w:t>
      </w:r>
      <w:bookmarkEnd w:id="257"/>
      <w:bookmarkEnd w:id="258"/>
      <w:bookmarkEnd w:id="259"/>
      <w:bookmarkEnd w:id="260"/>
      <w:bookmarkEnd w:id="261"/>
      <w:bookmarkEnd w:id="262"/>
    </w:p>
    <w:p w14:paraId="024F2D24">
      <w:pPr>
        <w:spacing w:line="588" w:lineRule="exact"/>
        <w:jc w:val="left"/>
        <w:rPr>
          <w:rFonts w:ascii="Times New Roman" w:hAnsi="Times New Roman"/>
          <w:b/>
          <w:color w:val="auto"/>
          <w:sz w:val="28"/>
          <w:szCs w:val="28"/>
          <w:highlight w:val="none"/>
        </w:rPr>
      </w:pPr>
    </w:p>
    <w:p w14:paraId="32837B4C">
      <w:pPr>
        <w:widowControl/>
        <w:jc w:val="left"/>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791DD572">
      <w:pPr>
        <w:spacing w:line="588" w:lineRule="exact"/>
        <w:jc w:val="left"/>
        <w:rPr>
          <w:rFonts w:ascii="Times New Roman" w:hAnsi="Times New Roman"/>
          <w:b/>
          <w:color w:val="auto"/>
          <w:sz w:val="28"/>
          <w:szCs w:val="28"/>
          <w:highlight w:val="none"/>
        </w:rPr>
      </w:pPr>
      <w:r>
        <w:rPr>
          <w:rFonts w:ascii="Times New Roman" w:hAnsi="Times New Roman"/>
          <w:b/>
          <w:color w:val="auto"/>
          <w:sz w:val="28"/>
          <w:szCs w:val="28"/>
          <w:highlight w:val="none"/>
        </w:rPr>
        <w:t>商务部分-格式12：</w:t>
      </w:r>
    </w:p>
    <w:p w14:paraId="08926829">
      <w:pPr>
        <w:pStyle w:val="3"/>
        <w:numPr>
          <w:ilvl w:val="0"/>
          <w:numId w:val="0"/>
        </w:numPr>
        <w:ind w:left="425"/>
        <w:jc w:val="center"/>
        <w:rPr>
          <w:rFonts w:ascii="Times New Roman" w:hAnsi="Times New Roman" w:eastAsia="宋体"/>
          <w:color w:val="auto"/>
          <w:szCs w:val="28"/>
          <w:highlight w:val="none"/>
        </w:rPr>
      </w:pPr>
      <w:bookmarkStart w:id="263" w:name="_Toc8397"/>
      <w:bookmarkStart w:id="264" w:name="_Toc103158594"/>
      <w:bookmarkStart w:id="265" w:name="_Toc508636836"/>
      <w:bookmarkStart w:id="266" w:name="_Toc496521007"/>
      <w:bookmarkStart w:id="267" w:name="_Toc493600039"/>
      <w:bookmarkStart w:id="268" w:name="_Toc152862920"/>
      <w:bookmarkStart w:id="269" w:name="_Toc112839446"/>
      <w:bookmarkStart w:id="270" w:name="_Toc509829320"/>
      <w:bookmarkStart w:id="271" w:name="_Toc91696445"/>
      <w:bookmarkStart w:id="272" w:name="_Toc69912441"/>
      <w:r>
        <w:rPr>
          <w:rFonts w:ascii="Times New Roman" w:hAnsi="Times New Roman" w:eastAsia="宋体"/>
          <w:color w:val="auto"/>
          <w:szCs w:val="28"/>
          <w:highlight w:val="none"/>
        </w:rPr>
        <w:t>构成投标文件商务部分的其他资料</w:t>
      </w:r>
      <w:bookmarkEnd w:id="263"/>
      <w:bookmarkEnd w:id="264"/>
      <w:bookmarkEnd w:id="265"/>
      <w:bookmarkEnd w:id="266"/>
      <w:bookmarkEnd w:id="267"/>
      <w:bookmarkEnd w:id="268"/>
      <w:bookmarkEnd w:id="269"/>
      <w:bookmarkEnd w:id="270"/>
      <w:bookmarkEnd w:id="271"/>
      <w:bookmarkEnd w:id="272"/>
    </w:p>
    <w:p w14:paraId="73B2962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若有，请自拟格式。</w:t>
      </w:r>
    </w:p>
    <w:p w14:paraId="25383FC6">
      <w:pPr>
        <w:widowControl/>
        <w:jc w:val="left"/>
        <w:rPr>
          <w:rFonts w:ascii="Times New Roman" w:hAnsi="Times New Roman"/>
          <w:color w:val="auto"/>
          <w:szCs w:val="21"/>
          <w:highlight w:val="none"/>
        </w:rPr>
      </w:pPr>
      <w:r>
        <w:rPr>
          <w:rFonts w:ascii="Times New Roman" w:hAnsi="Times New Roman"/>
          <w:color w:val="auto"/>
          <w:szCs w:val="21"/>
          <w:highlight w:val="none"/>
        </w:rPr>
        <w:br w:type="page"/>
      </w:r>
    </w:p>
    <w:p w14:paraId="79F3597B">
      <w:pPr>
        <w:pStyle w:val="2"/>
        <w:numPr>
          <w:ilvl w:val="0"/>
          <w:numId w:val="0"/>
        </w:numPr>
        <w:ind w:left="284" w:hanging="284"/>
        <w:rPr>
          <w:rFonts w:ascii="Times New Roman" w:hAnsi="Times New Roman" w:eastAsia="宋体"/>
          <w:color w:val="auto"/>
          <w:highlight w:val="none"/>
        </w:rPr>
      </w:pPr>
      <w:bookmarkStart w:id="273" w:name="_Toc69912442"/>
      <w:bookmarkStart w:id="274" w:name="_Toc112839447"/>
      <w:bookmarkStart w:id="275" w:name="_Toc496521008"/>
      <w:bookmarkStart w:id="276" w:name="_Toc8673"/>
      <w:bookmarkStart w:id="277" w:name="_Toc91696446"/>
      <w:r>
        <w:rPr>
          <w:rFonts w:ascii="Times New Roman" w:hAnsi="Times New Roman" w:eastAsia="宋体"/>
          <w:color w:val="auto"/>
          <w:highlight w:val="none"/>
        </w:rPr>
        <w:t>四、技术部分</w:t>
      </w:r>
      <w:bookmarkEnd w:id="273"/>
      <w:bookmarkEnd w:id="274"/>
      <w:bookmarkEnd w:id="275"/>
      <w:bookmarkEnd w:id="276"/>
      <w:bookmarkEnd w:id="277"/>
    </w:p>
    <w:p w14:paraId="07BCB9A0">
      <w:pPr>
        <w:rPr>
          <w:rFonts w:ascii="Times New Roman" w:hAnsi="Times New Roman"/>
          <w:b/>
          <w:color w:val="auto"/>
          <w:sz w:val="28"/>
          <w:szCs w:val="28"/>
          <w:highlight w:val="none"/>
        </w:rPr>
      </w:pPr>
      <w:r>
        <w:rPr>
          <w:rFonts w:ascii="Times New Roman" w:hAnsi="Times New Roman"/>
          <w:b/>
          <w:color w:val="auto"/>
          <w:sz w:val="28"/>
          <w:szCs w:val="28"/>
          <w:highlight w:val="none"/>
        </w:rPr>
        <w:t>技术部分-格式1：</w:t>
      </w:r>
    </w:p>
    <w:p w14:paraId="6E29DF00">
      <w:pPr>
        <w:pStyle w:val="3"/>
        <w:numPr>
          <w:ilvl w:val="0"/>
          <w:numId w:val="0"/>
        </w:numPr>
        <w:ind w:left="596" w:hanging="596"/>
        <w:jc w:val="center"/>
        <w:rPr>
          <w:rFonts w:ascii="Times New Roman" w:hAnsi="Times New Roman" w:eastAsia="宋体"/>
          <w:color w:val="auto"/>
          <w:szCs w:val="28"/>
          <w:highlight w:val="none"/>
        </w:rPr>
      </w:pPr>
      <w:bookmarkStart w:id="278" w:name="_Toc522782879"/>
      <w:bookmarkStart w:id="279" w:name="_Toc152862922"/>
      <w:bookmarkStart w:id="280" w:name="_Toc69912443"/>
      <w:bookmarkStart w:id="281" w:name="_Toc213141099"/>
      <w:bookmarkStart w:id="282" w:name="_Toc112839448"/>
      <w:bookmarkStart w:id="283" w:name="_Toc19501"/>
      <w:bookmarkStart w:id="284" w:name="_Toc493600041"/>
      <w:bookmarkStart w:id="285" w:name="_Toc496521009"/>
      <w:bookmarkStart w:id="286" w:name="_Toc91696447"/>
      <w:r>
        <w:rPr>
          <w:rFonts w:ascii="Times New Roman" w:hAnsi="Times New Roman" w:eastAsia="宋体"/>
          <w:color w:val="auto"/>
          <w:szCs w:val="28"/>
          <w:highlight w:val="none"/>
        </w:rPr>
        <w:t>技术规格偏离表</w:t>
      </w:r>
      <w:bookmarkEnd w:id="278"/>
      <w:bookmarkEnd w:id="279"/>
      <w:bookmarkEnd w:id="280"/>
      <w:bookmarkEnd w:id="281"/>
      <w:bookmarkEnd w:id="282"/>
      <w:bookmarkEnd w:id="283"/>
      <w:bookmarkEnd w:id="284"/>
      <w:bookmarkEnd w:id="285"/>
      <w:bookmarkEnd w:id="286"/>
    </w:p>
    <w:p w14:paraId="575D05D3">
      <w:pPr>
        <w:ind w:firstLine="420" w:firstLineChars="200"/>
        <w:rPr>
          <w:rFonts w:ascii="Times New Roman" w:hAnsi="Times New Roman"/>
          <w:color w:val="auto"/>
          <w:szCs w:val="21"/>
          <w:highlight w:val="none"/>
        </w:rPr>
      </w:pPr>
      <w:r>
        <w:rPr>
          <w:rFonts w:ascii="Times New Roman" w:hAnsi="Times New Roman"/>
          <w:color w:val="auto"/>
          <w:szCs w:val="21"/>
          <w:highlight w:val="none"/>
        </w:rPr>
        <w:t>请按投标产品的实际技术参数，逐条对应招标文件</w:t>
      </w:r>
      <w:r>
        <w:rPr>
          <w:rFonts w:ascii="Times New Roman" w:hAnsi="Times New Roman"/>
          <w:bCs/>
          <w:color w:val="auto"/>
          <w:szCs w:val="21"/>
          <w:highlight w:val="none"/>
        </w:rPr>
        <w:t>第五章《货物需求及技术要求》</w:t>
      </w:r>
      <w:r>
        <w:rPr>
          <w:rFonts w:ascii="Times New Roman" w:hAnsi="Times New Roman"/>
          <w:color w:val="auto"/>
          <w:szCs w:val="21"/>
          <w:highlight w:val="none"/>
        </w:rPr>
        <w:t>中要求的技术规范认真填写该表，该表不能作为投标产品的技术文件。</w:t>
      </w:r>
    </w:p>
    <w:p w14:paraId="26B54F30">
      <w:pPr>
        <w:spacing w:line="500" w:lineRule="exact"/>
        <w:rPr>
          <w:rFonts w:ascii="Times New Roman" w:hAnsi="Times New Roman"/>
          <w:b/>
          <w:color w:val="auto"/>
          <w:szCs w:val="21"/>
          <w:highlight w:val="none"/>
        </w:rPr>
      </w:pPr>
      <w:r>
        <w:rPr>
          <w:rFonts w:ascii="Times New Roman" w:hAnsi="Times New Roman"/>
          <w:b/>
          <w:color w:val="auto"/>
          <w:szCs w:val="21"/>
          <w:highlight w:val="none"/>
        </w:rPr>
        <w:t>项目名称：</w:t>
      </w:r>
    </w:p>
    <w:p w14:paraId="14ABAE9F">
      <w:pPr>
        <w:spacing w:line="500" w:lineRule="exact"/>
        <w:rPr>
          <w:rFonts w:ascii="Times New Roman" w:hAnsi="Times New Roman"/>
          <w:color w:val="auto"/>
          <w:szCs w:val="21"/>
          <w:highlight w:val="none"/>
        </w:rPr>
      </w:pPr>
      <w:r>
        <w:rPr>
          <w:rFonts w:ascii="Times New Roman" w:hAnsi="Times New Roman"/>
          <w:b/>
          <w:color w:val="auto"/>
          <w:szCs w:val="21"/>
          <w:highlight w:val="none"/>
        </w:rPr>
        <w:t>项目编号：</w:t>
      </w:r>
    </w:p>
    <w:tbl>
      <w:tblPr>
        <w:tblStyle w:val="3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552"/>
        <w:gridCol w:w="2551"/>
        <w:gridCol w:w="2552"/>
        <w:gridCol w:w="850"/>
      </w:tblGrid>
      <w:tr w14:paraId="2E24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704" w:type="dxa"/>
            <w:noWrap/>
            <w:vAlign w:val="center"/>
          </w:tcPr>
          <w:p w14:paraId="1956B67F">
            <w:pPr>
              <w:jc w:val="center"/>
              <w:rPr>
                <w:rFonts w:ascii="Times New Roman" w:hAnsi="Times New Roman"/>
                <w:b/>
                <w:color w:val="auto"/>
                <w:szCs w:val="21"/>
                <w:highlight w:val="none"/>
              </w:rPr>
            </w:pPr>
            <w:r>
              <w:rPr>
                <w:rFonts w:ascii="Times New Roman" w:hAnsi="Times New Roman"/>
                <w:b/>
                <w:color w:val="auto"/>
                <w:szCs w:val="21"/>
                <w:highlight w:val="none"/>
              </w:rPr>
              <w:t>序号</w:t>
            </w:r>
          </w:p>
        </w:tc>
        <w:tc>
          <w:tcPr>
            <w:tcW w:w="2552" w:type="dxa"/>
            <w:vAlign w:val="center"/>
          </w:tcPr>
          <w:p w14:paraId="2EA3EA79">
            <w:pPr>
              <w:jc w:val="center"/>
              <w:rPr>
                <w:rFonts w:ascii="Times New Roman" w:hAnsi="Times New Roman"/>
                <w:b/>
                <w:color w:val="auto"/>
                <w:szCs w:val="21"/>
                <w:highlight w:val="none"/>
              </w:rPr>
            </w:pPr>
            <w:bookmarkStart w:id="287" w:name="_Hlk48740966"/>
            <w:r>
              <w:rPr>
                <w:rFonts w:ascii="Times New Roman" w:hAnsi="Times New Roman"/>
                <w:b/>
                <w:color w:val="auto"/>
                <w:szCs w:val="21"/>
                <w:highlight w:val="none"/>
              </w:rPr>
              <w:t>产品名称、品牌、型号</w:t>
            </w:r>
            <w:bookmarkEnd w:id="287"/>
          </w:p>
        </w:tc>
        <w:tc>
          <w:tcPr>
            <w:tcW w:w="2551" w:type="dxa"/>
            <w:noWrap/>
            <w:vAlign w:val="center"/>
          </w:tcPr>
          <w:p w14:paraId="6166F09B">
            <w:pPr>
              <w:jc w:val="center"/>
              <w:rPr>
                <w:rFonts w:ascii="Times New Roman" w:hAnsi="Times New Roman"/>
                <w:b/>
                <w:color w:val="auto"/>
                <w:szCs w:val="21"/>
                <w:highlight w:val="none"/>
              </w:rPr>
            </w:pPr>
            <w:bookmarkStart w:id="288" w:name="_Hlk48741068"/>
            <w:r>
              <w:rPr>
                <w:rFonts w:ascii="Times New Roman" w:hAnsi="Times New Roman"/>
                <w:b/>
                <w:color w:val="auto"/>
                <w:szCs w:val="21"/>
                <w:highlight w:val="none"/>
              </w:rPr>
              <w:t>招标文件技术规范、要求</w:t>
            </w:r>
            <w:bookmarkEnd w:id="288"/>
          </w:p>
        </w:tc>
        <w:tc>
          <w:tcPr>
            <w:tcW w:w="2552" w:type="dxa"/>
            <w:noWrap/>
            <w:vAlign w:val="center"/>
          </w:tcPr>
          <w:p w14:paraId="4529638B">
            <w:pPr>
              <w:jc w:val="center"/>
              <w:rPr>
                <w:rFonts w:ascii="Times New Roman" w:hAnsi="Times New Roman"/>
                <w:b/>
                <w:color w:val="auto"/>
                <w:szCs w:val="21"/>
                <w:highlight w:val="none"/>
              </w:rPr>
            </w:pPr>
            <w:r>
              <w:rPr>
                <w:rFonts w:ascii="Times New Roman" w:hAnsi="Times New Roman"/>
                <w:b/>
                <w:color w:val="auto"/>
                <w:szCs w:val="21"/>
                <w:highlight w:val="none"/>
              </w:rPr>
              <w:t>投标文件技术规范、要求</w:t>
            </w:r>
          </w:p>
        </w:tc>
        <w:tc>
          <w:tcPr>
            <w:tcW w:w="850" w:type="dxa"/>
            <w:noWrap/>
            <w:vAlign w:val="center"/>
          </w:tcPr>
          <w:p w14:paraId="5FDCA14A">
            <w:pPr>
              <w:jc w:val="center"/>
              <w:rPr>
                <w:rFonts w:ascii="Times New Roman" w:hAnsi="Times New Roman"/>
                <w:b/>
                <w:color w:val="auto"/>
                <w:szCs w:val="21"/>
                <w:highlight w:val="none"/>
              </w:rPr>
            </w:pPr>
            <w:r>
              <w:rPr>
                <w:rFonts w:ascii="Times New Roman" w:hAnsi="Times New Roman"/>
                <w:b/>
                <w:color w:val="auto"/>
                <w:szCs w:val="21"/>
                <w:highlight w:val="none"/>
              </w:rPr>
              <w:t>偏离</w:t>
            </w:r>
          </w:p>
        </w:tc>
      </w:tr>
      <w:tr w14:paraId="69C0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704" w:type="dxa"/>
            <w:noWrap/>
            <w:vAlign w:val="center"/>
          </w:tcPr>
          <w:p w14:paraId="4672854D">
            <w:pPr>
              <w:spacing w:line="360" w:lineRule="auto"/>
              <w:jc w:val="center"/>
              <w:rPr>
                <w:rFonts w:ascii="Times New Roman" w:hAnsi="Times New Roman"/>
                <w:color w:val="auto"/>
                <w:szCs w:val="21"/>
                <w:highlight w:val="none"/>
              </w:rPr>
            </w:pPr>
          </w:p>
        </w:tc>
        <w:tc>
          <w:tcPr>
            <w:tcW w:w="2552" w:type="dxa"/>
            <w:vAlign w:val="center"/>
          </w:tcPr>
          <w:p w14:paraId="3270BB55">
            <w:pPr>
              <w:spacing w:line="360" w:lineRule="auto"/>
              <w:jc w:val="center"/>
              <w:rPr>
                <w:rFonts w:ascii="Times New Roman" w:hAnsi="Times New Roman"/>
                <w:color w:val="auto"/>
                <w:szCs w:val="21"/>
                <w:highlight w:val="none"/>
              </w:rPr>
            </w:pPr>
          </w:p>
        </w:tc>
        <w:tc>
          <w:tcPr>
            <w:tcW w:w="2551" w:type="dxa"/>
            <w:noWrap/>
            <w:vAlign w:val="center"/>
          </w:tcPr>
          <w:p w14:paraId="29CF75FC">
            <w:pPr>
              <w:spacing w:line="360" w:lineRule="auto"/>
              <w:jc w:val="center"/>
              <w:rPr>
                <w:rFonts w:ascii="Times New Roman" w:hAnsi="Times New Roman"/>
                <w:color w:val="auto"/>
                <w:szCs w:val="21"/>
                <w:highlight w:val="none"/>
              </w:rPr>
            </w:pPr>
          </w:p>
        </w:tc>
        <w:tc>
          <w:tcPr>
            <w:tcW w:w="2552" w:type="dxa"/>
            <w:noWrap/>
            <w:vAlign w:val="center"/>
          </w:tcPr>
          <w:p w14:paraId="16EE10AD">
            <w:pPr>
              <w:spacing w:line="360" w:lineRule="auto"/>
              <w:jc w:val="center"/>
              <w:rPr>
                <w:rFonts w:ascii="Times New Roman" w:hAnsi="Times New Roman"/>
                <w:color w:val="auto"/>
                <w:szCs w:val="21"/>
                <w:highlight w:val="none"/>
              </w:rPr>
            </w:pPr>
          </w:p>
        </w:tc>
        <w:tc>
          <w:tcPr>
            <w:tcW w:w="850" w:type="dxa"/>
            <w:noWrap/>
            <w:vAlign w:val="center"/>
          </w:tcPr>
          <w:p w14:paraId="4602854E">
            <w:pPr>
              <w:spacing w:line="360" w:lineRule="auto"/>
              <w:jc w:val="center"/>
              <w:rPr>
                <w:rFonts w:ascii="Times New Roman" w:hAnsi="Times New Roman"/>
                <w:color w:val="auto"/>
                <w:szCs w:val="21"/>
                <w:highlight w:val="none"/>
              </w:rPr>
            </w:pPr>
          </w:p>
        </w:tc>
      </w:tr>
      <w:tr w14:paraId="6677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704" w:type="dxa"/>
            <w:noWrap/>
            <w:vAlign w:val="center"/>
          </w:tcPr>
          <w:p w14:paraId="249CD66E">
            <w:pPr>
              <w:spacing w:line="360" w:lineRule="auto"/>
              <w:jc w:val="center"/>
              <w:rPr>
                <w:rFonts w:ascii="Times New Roman" w:hAnsi="Times New Roman"/>
                <w:color w:val="auto"/>
                <w:szCs w:val="21"/>
                <w:highlight w:val="none"/>
              </w:rPr>
            </w:pPr>
          </w:p>
        </w:tc>
        <w:tc>
          <w:tcPr>
            <w:tcW w:w="2552" w:type="dxa"/>
            <w:vAlign w:val="center"/>
          </w:tcPr>
          <w:p w14:paraId="2FDAFDFF">
            <w:pPr>
              <w:spacing w:line="360" w:lineRule="auto"/>
              <w:jc w:val="center"/>
              <w:rPr>
                <w:rFonts w:ascii="Times New Roman" w:hAnsi="Times New Roman"/>
                <w:color w:val="auto"/>
                <w:szCs w:val="21"/>
                <w:highlight w:val="none"/>
              </w:rPr>
            </w:pPr>
          </w:p>
        </w:tc>
        <w:tc>
          <w:tcPr>
            <w:tcW w:w="2551" w:type="dxa"/>
            <w:noWrap/>
            <w:vAlign w:val="center"/>
          </w:tcPr>
          <w:p w14:paraId="7F4EF6C6">
            <w:pPr>
              <w:spacing w:line="360" w:lineRule="auto"/>
              <w:jc w:val="center"/>
              <w:rPr>
                <w:rFonts w:ascii="Times New Roman" w:hAnsi="Times New Roman"/>
                <w:color w:val="auto"/>
                <w:szCs w:val="21"/>
                <w:highlight w:val="none"/>
              </w:rPr>
            </w:pPr>
          </w:p>
        </w:tc>
        <w:tc>
          <w:tcPr>
            <w:tcW w:w="2552" w:type="dxa"/>
            <w:noWrap/>
            <w:vAlign w:val="center"/>
          </w:tcPr>
          <w:p w14:paraId="135E13A7">
            <w:pPr>
              <w:spacing w:line="360" w:lineRule="auto"/>
              <w:jc w:val="center"/>
              <w:rPr>
                <w:rFonts w:ascii="Times New Roman" w:hAnsi="Times New Roman"/>
                <w:color w:val="auto"/>
                <w:szCs w:val="21"/>
                <w:highlight w:val="none"/>
              </w:rPr>
            </w:pPr>
          </w:p>
        </w:tc>
        <w:tc>
          <w:tcPr>
            <w:tcW w:w="850" w:type="dxa"/>
            <w:noWrap/>
            <w:vAlign w:val="center"/>
          </w:tcPr>
          <w:p w14:paraId="1B249BC0">
            <w:pPr>
              <w:spacing w:line="360" w:lineRule="auto"/>
              <w:jc w:val="center"/>
              <w:rPr>
                <w:rFonts w:ascii="Times New Roman" w:hAnsi="Times New Roman"/>
                <w:color w:val="auto"/>
                <w:szCs w:val="21"/>
                <w:highlight w:val="none"/>
              </w:rPr>
            </w:pPr>
          </w:p>
        </w:tc>
      </w:tr>
      <w:tr w14:paraId="44C3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 w:hRule="atLeast"/>
          <w:jc w:val="center"/>
        </w:trPr>
        <w:tc>
          <w:tcPr>
            <w:tcW w:w="704" w:type="dxa"/>
            <w:noWrap/>
            <w:vAlign w:val="center"/>
          </w:tcPr>
          <w:p w14:paraId="205C9BC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w:t>
            </w:r>
          </w:p>
        </w:tc>
        <w:tc>
          <w:tcPr>
            <w:tcW w:w="2552" w:type="dxa"/>
            <w:vAlign w:val="center"/>
          </w:tcPr>
          <w:p w14:paraId="1BD1BABA">
            <w:pPr>
              <w:spacing w:line="360" w:lineRule="auto"/>
              <w:jc w:val="center"/>
              <w:rPr>
                <w:rFonts w:ascii="Times New Roman" w:hAnsi="Times New Roman"/>
                <w:color w:val="auto"/>
                <w:szCs w:val="21"/>
                <w:highlight w:val="none"/>
              </w:rPr>
            </w:pPr>
          </w:p>
        </w:tc>
        <w:tc>
          <w:tcPr>
            <w:tcW w:w="2551" w:type="dxa"/>
            <w:noWrap/>
            <w:vAlign w:val="center"/>
          </w:tcPr>
          <w:p w14:paraId="57F52E56">
            <w:pPr>
              <w:spacing w:line="360" w:lineRule="auto"/>
              <w:jc w:val="center"/>
              <w:rPr>
                <w:rFonts w:ascii="Times New Roman" w:hAnsi="Times New Roman"/>
                <w:color w:val="auto"/>
                <w:szCs w:val="21"/>
                <w:highlight w:val="none"/>
              </w:rPr>
            </w:pPr>
          </w:p>
        </w:tc>
        <w:tc>
          <w:tcPr>
            <w:tcW w:w="2552" w:type="dxa"/>
            <w:noWrap/>
            <w:vAlign w:val="center"/>
          </w:tcPr>
          <w:p w14:paraId="73FF7EFE">
            <w:pPr>
              <w:spacing w:line="360" w:lineRule="auto"/>
              <w:jc w:val="center"/>
              <w:rPr>
                <w:rFonts w:ascii="Times New Roman" w:hAnsi="Times New Roman"/>
                <w:color w:val="auto"/>
                <w:szCs w:val="21"/>
                <w:highlight w:val="none"/>
              </w:rPr>
            </w:pPr>
          </w:p>
        </w:tc>
        <w:tc>
          <w:tcPr>
            <w:tcW w:w="850" w:type="dxa"/>
            <w:noWrap/>
            <w:vAlign w:val="center"/>
          </w:tcPr>
          <w:p w14:paraId="2BB7C9BD">
            <w:pPr>
              <w:spacing w:line="360" w:lineRule="auto"/>
              <w:jc w:val="center"/>
              <w:rPr>
                <w:rFonts w:ascii="Times New Roman" w:hAnsi="Times New Roman"/>
                <w:color w:val="auto"/>
                <w:szCs w:val="21"/>
                <w:highlight w:val="none"/>
              </w:rPr>
            </w:pPr>
          </w:p>
        </w:tc>
      </w:tr>
    </w:tbl>
    <w:p w14:paraId="0ECA9320">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6172C9C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0C7AE368">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010AC2D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0BB3853A">
            <w:pPr>
              <w:ind w:left="-921" w:leftChars="-439"/>
              <w:rPr>
                <w:rFonts w:ascii="Times New Roman" w:hAnsi="Times New Roman"/>
                <w:color w:val="auto"/>
                <w:szCs w:val="21"/>
                <w:highlight w:val="none"/>
              </w:rPr>
            </w:pPr>
          </w:p>
        </w:tc>
      </w:tr>
    </w:tbl>
    <w:p w14:paraId="14E056A5">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7D68AA71">
      <w:pPr>
        <w:spacing w:line="440" w:lineRule="exact"/>
        <w:rPr>
          <w:rFonts w:ascii="Times New Roman" w:hAnsi="Times New Roman"/>
          <w:color w:val="auto"/>
          <w:szCs w:val="21"/>
          <w:highlight w:val="none"/>
        </w:rPr>
      </w:pPr>
      <w:r>
        <w:rPr>
          <w:rFonts w:ascii="Times New Roman" w:hAnsi="Times New Roman"/>
          <w:color w:val="auto"/>
          <w:szCs w:val="21"/>
          <w:highlight w:val="none"/>
        </w:rPr>
        <w:t>注：</w:t>
      </w:r>
    </w:p>
    <w:p w14:paraId="335FA6BA">
      <w:pPr>
        <w:spacing w:line="440" w:lineRule="exact"/>
        <w:rPr>
          <w:rFonts w:ascii="Times New Roman" w:hAnsi="Times New Roman"/>
          <w:bCs/>
          <w:color w:val="auto"/>
          <w:szCs w:val="21"/>
          <w:highlight w:val="none"/>
        </w:rPr>
      </w:pPr>
      <w:r>
        <w:rPr>
          <w:rFonts w:ascii="Times New Roman" w:hAnsi="Times New Roman"/>
          <w:color w:val="auto"/>
          <w:szCs w:val="21"/>
          <w:highlight w:val="none"/>
        </w:rPr>
        <w:t>1、表中的“序号”应对应该产品在</w:t>
      </w:r>
      <w:r>
        <w:rPr>
          <w:rFonts w:ascii="Times New Roman" w:hAnsi="Times New Roman"/>
          <w:bCs/>
          <w:color w:val="auto"/>
          <w:szCs w:val="21"/>
          <w:highlight w:val="none"/>
        </w:rPr>
        <w:t>第五章《货物需求及技术要求》中的序号。</w:t>
      </w:r>
    </w:p>
    <w:p w14:paraId="778BFE91">
      <w:pPr>
        <w:spacing w:line="440" w:lineRule="exact"/>
        <w:rPr>
          <w:rFonts w:ascii="Times New Roman" w:hAnsi="Times New Roman"/>
          <w:color w:val="auto"/>
          <w:szCs w:val="21"/>
          <w:highlight w:val="none"/>
        </w:rPr>
      </w:pPr>
      <w:r>
        <w:rPr>
          <w:rFonts w:ascii="Times New Roman" w:hAnsi="Times New Roman"/>
          <w:color w:val="auto"/>
          <w:szCs w:val="21"/>
          <w:highlight w:val="none"/>
        </w:rPr>
        <w:t>2、表中的“产品名称、品牌、型号”应按拟投产品的实际情况如实填写（产品名称应与</w:t>
      </w:r>
      <w:r>
        <w:rPr>
          <w:rFonts w:ascii="Times New Roman" w:hAnsi="Times New Roman"/>
          <w:bCs/>
          <w:color w:val="auto"/>
          <w:szCs w:val="21"/>
          <w:highlight w:val="none"/>
        </w:rPr>
        <w:t>第五章《货物需求及技术要求》中对应产品名称一致</w:t>
      </w:r>
      <w:r>
        <w:rPr>
          <w:rFonts w:ascii="Times New Roman" w:hAnsi="Times New Roman"/>
          <w:color w:val="auto"/>
          <w:szCs w:val="21"/>
          <w:highlight w:val="none"/>
        </w:rPr>
        <w:t>）。表格中“偏离”一列，投标人只能如实填写“正偏离”、“负偏离”或“无偏离”。凡投标内容高于招标文件要求的，按“正偏离”填写；低于招标文件要求的，按“负偏离”填写；满足招标文件要求的，按“无偏离”填写。</w:t>
      </w:r>
    </w:p>
    <w:p w14:paraId="50B1E813">
      <w:pPr>
        <w:spacing w:line="440" w:lineRule="exact"/>
        <w:rPr>
          <w:rFonts w:ascii="Times New Roman" w:hAnsi="Times New Roman"/>
          <w:color w:val="auto"/>
          <w:szCs w:val="21"/>
          <w:highlight w:val="none"/>
        </w:rPr>
      </w:pPr>
      <w:r>
        <w:rPr>
          <w:rFonts w:ascii="Times New Roman" w:hAnsi="Times New Roman"/>
          <w:color w:val="auto"/>
          <w:szCs w:val="21"/>
          <w:highlight w:val="none"/>
        </w:rPr>
        <w:t>3、表中的“招标文件技术规范、要求”为</w:t>
      </w:r>
      <w:r>
        <w:rPr>
          <w:rFonts w:ascii="Times New Roman" w:hAnsi="Times New Roman"/>
          <w:bCs/>
          <w:color w:val="auto"/>
          <w:szCs w:val="21"/>
          <w:highlight w:val="none"/>
        </w:rPr>
        <w:t>第五章《货物需求及技术要求》中对应产品的技术要求，投标人</w:t>
      </w:r>
      <w:r>
        <w:rPr>
          <w:rFonts w:ascii="Times New Roman" w:hAnsi="Times New Roman"/>
          <w:color w:val="auto"/>
          <w:szCs w:val="21"/>
          <w:highlight w:val="none"/>
        </w:rPr>
        <w:t>应按拟投产品的实际情况如实在“投标文件技术规范、要求”一栏注明拟投产品的技术参数。</w:t>
      </w:r>
    </w:p>
    <w:p w14:paraId="54211437">
      <w:pPr>
        <w:spacing w:line="440" w:lineRule="exact"/>
        <w:rPr>
          <w:rFonts w:ascii="Times New Roman" w:hAnsi="Times New Roman"/>
          <w:color w:val="auto"/>
          <w:szCs w:val="21"/>
          <w:highlight w:val="none"/>
        </w:rPr>
      </w:pPr>
      <w:r>
        <w:rPr>
          <w:rFonts w:ascii="Times New Roman" w:hAnsi="Times New Roman"/>
          <w:color w:val="auto"/>
          <w:szCs w:val="21"/>
          <w:highlight w:val="none"/>
        </w:rPr>
        <w:t>4、投标人</w:t>
      </w:r>
      <w:r>
        <w:rPr>
          <w:rFonts w:ascii="Times New Roman" w:hAnsi="Times New Roman"/>
          <w:bCs/>
          <w:color w:val="auto"/>
          <w:szCs w:val="21"/>
          <w:highlight w:val="none"/>
        </w:rPr>
        <w:t>须对招标文件第五章货物需求及技术要求中的技术参数要求作出全面、真实的反映，投标人除如实填写技术规格偏离表外，投标文件中必须提供最新技术支持资料支持参数技术规格偏离表应答。第五章《货物需求及技术要求》中要求提供技术支持资料的，投标人应按要求提供；第五章《货物需求及技术要求》中未明确要求提供技术支持资料的，投标人可根据实际情况自行提供相关技术支持资料。</w:t>
      </w:r>
    </w:p>
    <w:p w14:paraId="141170BA">
      <w:pPr>
        <w:spacing w:line="440" w:lineRule="exact"/>
        <w:rPr>
          <w:rFonts w:ascii="Times New Roman" w:hAnsi="Times New Roman"/>
          <w:color w:val="auto"/>
          <w:szCs w:val="21"/>
          <w:highlight w:val="none"/>
        </w:rPr>
      </w:pPr>
      <w:r>
        <w:rPr>
          <w:rFonts w:ascii="Times New Roman" w:hAnsi="Times New Roman"/>
          <w:color w:val="auto"/>
          <w:szCs w:val="21"/>
          <w:highlight w:val="none"/>
        </w:rPr>
        <w:t>5、</w:t>
      </w:r>
      <w:bookmarkStart w:id="289" w:name="_Hlk510201592"/>
      <w:r>
        <w:rPr>
          <w:rFonts w:ascii="Times New Roman" w:hAnsi="Times New Roman"/>
          <w:color w:val="auto"/>
          <w:szCs w:val="21"/>
          <w:highlight w:val="none"/>
        </w:rPr>
        <w:t>若投标文件中的技术支持资料与技术规格偏离表应答不符以技术支持资料为准；若投标人未提供技术支持资料且投标人又未在偏离表中作出说明和解释的，视为不响应该条技术参数要求。</w:t>
      </w:r>
      <w:bookmarkEnd w:id="289"/>
    </w:p>
    <w:p w14:paraId="7C1E54E0">
      <w:pPr>
        <w:rPr>
          <w:rFonts w:ascii="Times New Roman" w:hAnsi="Times New Roman"/>
          <w:b/>
          <w:color w:val="auto"/>
          <w:sz w:val="28"/>
          <w:szCs w:val="28"/>
          <w:highlight w:val="none"/>
        </w:rPr>
      </w:pPr>
      <w:r>
        <w:rPr>
          <w:rFonts w:ascii="Times New Roman" w:hAnsi="Times New Roman"/>
          <w:b/>
          <w:color w:val="auto"/>
          <w:sz w:val="28"/>
          <w:szCs w:val="28"/>
          <w:highlight w:val="none"/>
        </w:rPr>
        <w:t>技术部分-格式2：</w:t>
      </w:r>
    </w:p>
    <w:p w14:paraId="32AB1641">
      <w:pPr>
        <w:pStyle w:val="3"/>
        <w:numPr>
          <w:ilvl w:val="0"/>
          <w:numId w:val="0"/>
        </w:numPr>
        <w:ind w:left="596" w:hanging="596"/>
        <w:jc w:val="center"/>
        <w:rPr>
          <w:rFonts w:ascii="Times New Roman" w:hAnsi="Times New Roman" w:eastAsia="宋体"/>
          <w:color w:val="auto"/>
          <w:szCs w:val="28"/>
          <w:highlight w:val="none"/>
        </w:rPr>
      </w:pPr>
      <w:bookmarkStart w:id="290" w:name="_Toc152862923"/>
      <w:bookmarkStart w:id="291" w:name="_Toc69912444"/>
      <w:bookmarkStart w:id="292" w:name="_Toc112839449"/>
      <w:bookmarkStart w:id="293" w:name="_Toc91696448"/>
      <w:bookmarkStart w:id="294" w:name="_Toc12386"/>
      <w:r>
        <w:rPr>
          <w:rFonts w:ascii="Times New Roman" w:hAnsi="Times New Roman" w:eastAsia="宋体"/>
          <w:color w:val="auto"/>
          <w:szCs w:val="28"/>
          <w:highlight w:val="none"/>
        </w:rPr>
        <w:t>技术支持资料</w:t>
      </w:r>
      <w:bookmarkEnd w:id="290"/>
      <w:bookmarkEnd w:id="291"/>
      <w:bookmarkEnd w:id="292"/>
      <w:bookmarkEnd w:id="293"/>
      <w:bookmarkEnd w:id="294"/>
    </w:p>
    <w:p w14:paraId="68817F45">
      <w:pPr>
        <w:widowControl/>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包括但不限于所投货物的技术白皮书、产品相关鉴定资料、试验报告、检验报告、技术彩页或宣传资料、图纸资料等。投标人根据自身实际情况和产品特点自行提供，以证明其产品具体配置情况及技术指标响应的真实性。未提供上述资料导致评委无法进行技术评审的，后果由投标人自行承担。</w:t>
      </w:r>
    </w:p>
    <w:p w14:paraId="4AFC7B18">
      <w:pPr>
        <w:widowControl/>
        <w:jc w:val="left"/>
        <w:rPr>
          <w:rFonts w:ascii="Times New Roman" w:hAnsi="Times New Roman"/>
          <w:b/>
          <w:bCs/>
          <w:color w:val="auto"/>
          <w:szCs w:val="21"/>
          <w:highlight w:val="none"/>
        </w:rPr>
      </w:pPr>
      <w:r>
        <w:rPr>
          <w:rFonts w:ascii="Times New Roman" w:hAnsi="Times New Roman"/>
          <w:b/>
          <w:bCs/>
          <w:color w:val="auto"/>
          <w:szCs w:val="21"/>
          <w:highlight w:val="none"/>
        </w:rPr>
        <w:br w:type="page"/>
      </w:r>
    </w:p>
    <w:p w14:paraId="530B1951">
      <w:pPr>
        <w:rPr>
          <w:rFonts w:ascii="Times New Roman" w:hAnsi="Times New Roman"/>
          <w:b/>
          <w:color w:val="auto"/>
          <w:sz w:val="28"/>
          <w:szCs w:val="28"/>
          <w:highlight w:val="none"/>
        </w:rPr>
      </w:pPr>
      <w:r>
        <w:rPr>
          <w:rFonts w:ascii="Times New Roman" w:hAnsi="Times New Roman"/>
          <w:b/>
          <w:color w:val="auto"/>
          <w:sz w:val="28"/>
          <w:szCs w:val="28"/>
          <w:highlight w:val="none"/>
        </w:rPr>
        <w:t>技术部分-格式3：</w:t>
      </w:r>
    </w:p>
    <w:p w14:paraId="6BD70AD8">
      <w:pPr>
        <w:spacing w:line="600" w:lineRule="exact"/>
        <w:rPr>
          <w:rFonts w:ascii="Times New Roman" w:hAnsi="Times New Roman"/>
          <w:b/>
          <w:color w:val="auto"/>
          <w:sz w:val="28"/>
          <w:szCs w:val="28"/>
          <w:highlight w:val="none"/>
        </w:rPr>
      </w:pPr>
    </w:p>
    <w:p w14:paraId="33C7F92E">
      <w:pPr>
        <w:pStyle w:val="3"/>
        <w:numPr>
          <w:ilvl w:val="0"/>
          <w:numId w:val="0"/>
        </w:numPr>
        <w:ind w:left="425"/>
        <w:jc w:val="center"/>
        <w:rPr>
          <w:rFonts w:ascii="Times New Roman" w:hAnsi="Times New Roman" w:eastAsia="宋体"/>
          <w:color w:val="auto"/>
          <w:szCs w:val="28"/>
          <w:highlight w:val="none"/>
        </w:rPr>
      </w:pPr>
      <w:bookmarkStart w:id="295" w:name="_Toc496521010"/>
      <w:bookmarkStart w:id="296" w:name="_Toc91696449"/>
      <w:bookmarkStart w:id="297" w:name="_Toc69912445"/>
      <w:bookmarkStart w:id="298" w:name="_Toc493600042"/>
      <w:bookmarkStart w:id="299" w:name="_Toc112839450"/>
      <w:bookmarkStart w:id="300" w:name="_Toc152862924"/>
      <w:bookmarkStart w:id="301" w:name="_Toc22373"/>
      <w:bookmarkStart w:id="302" w:name="_Toc152862110"/>
      <w:r>
        <w:rPr>
          <w:rFonts w:ascii="Times New Roman" w:hAnsi="Times New Roman" w:eastAsia="宋体"/>
          <w:color w:val="auto"/>
          <w:szCs w:val="28"/>
          <w:highlight w:val="none"/>
        </w:rPr>
        <w:t>其他技术文件</w:t>
      </w:r>
      <w:bookmarkEnd w:id="295"/>
      <w:bookmarkEnd w:id="296"/>
      <w:bookmarkEnd w:id="297"/>
      <w:bookmarkEnd w:id="298"/>
      <w:bookmarkEnd w:id="299"/>
      <w:bookmarkEnd w:id="300"/>
      <w:bookmarkEnd w:id="301"/>
      <w:bookmarkEnd w:id="302"/>
    </w:p>
    <w:p w14:paraId="19AF252B">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应包括（但不限于）以下内容：</w:t>
      </w:r>
    </w:p>
    <w:p w14:paraId="6F3192B9">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1.投标人基本情况（投标人的组织机构、制造商的生产能力、主要加工机具装备等）概述；</w:t>
      </w:r>
    </w:p>
    <w:p w14:paraId="5BD6B492">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2.货物主要技术指标、参数及性能的详细说明；原材料选择、设计（使用）寿命；外购/外协件制造厂、产地；</w:t>
      </w:r>
    </w:p>
    <w:p w14:paraId="56DA3E7F">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3.货物设计、制造、检验（测）、试验、验收、包装、运输、储存及试车等拟采用的标准、规范和方式；</w:t>
      </w:r>
    </w:p>
    <w:p w14:paraId="0D9C78D7">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4.货物的供货、安装、调试、试运行实施方案及进度计划；</w:t>
      </w:r>
    </w:p>
    <w:p w14:paraId="46D4766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5.投标人提出的合理化建议（如技术方案的调整、设备配置及功能等）；</w:t>
      </w:r>
    </w:p>
    <w:p w14:paraId="5FCED38F">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w:t>
      </w:r>
    </w:p>
    <w:p w14:paraId="1C97111C">
      <w:pPr>
        <w:widowControl/>
        <w:jc w:val="left"/>
        <w:rPr>
          <w:rFonts w:ascii="Times New Roman" w:hAnsi="Times New Roman"/>
          <w:b/>
          <w:color w:val="auto"/>
          <w:sz w:val="28"/>
          <w:szCs w:val="28"/>
          <w:highlight w:val="none"/>
        </w:rPr>
      </w:pPr>
      <w:r>
        <w:rPr>
          <w:rFonts w:ascii="Times New Roman" w:hAnsi="Times New Roman"/>
          <w:b/>
          <w:color w:val="auto"/>
          <w:sz w:val="28"/>
          <w:szCs w:val="28"/>
          <w:highlight w:val="none"/>
        </w:rPr>
        <w:br w:type="page"/>
      </w:r>
    </w:p>
    <w:p w14:paraId="6A7811D2">
      <w:pPr>
        <w:widowControl/>
        <w:jc w:val="left"/>
        <w:rPr>
          <w:rFonts w:ascii="Times New Roman" w:hAnsi="Times New Roman"/>
          <w:b/>
          <w:color w:val="auto"/>
          <w:sz w:val="28"/>
          <w:szCs w:val="28"/>
          <w:highlight w:val="none"/>
        </w:rPr>
      </w:pPr>
    </w:p>
    <w:p w14:paraId="1B509D67">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技术部分-格式4：</w:t>
      </w:r>
    </w:p>
    <w:p w14:paraId="7EB33269">
      <w:pPr>
        <w:pStyle w:val="3"/>
        <w:numPr>
          <w:ilvl w:val="0"/>
          <w:numId w:val="0"/>
        </w:numPr>
        <w:ind w:left="425"/>
        <w:jc w:val="center"/>
        <w:rPr>
          <w:rFonts w:ascii="Times New Roman" w:hAnsi="Times New Roman" w:eastAsia="宋体"/>
          <w:color w:val="auto"/>
          <w:szCs w:val="28"/>
          <w:highlight w:val="none"/>
        </w:rPr>
      </w:pPr>
      <w:bookmarkStart w:id="303" w:name="_Toc152862925"/>
      <w:bookmarkStart w:id="304" w:name="_Toc112839451"/>
      <w:bookmarkStart w:id="305" w:name="_Toc12458"/>
      <w:bookmarkStart w:id="306" w:name="_Toc417298426"/>
      <w:bookmarkStart w:id="307" w:name="_Toc69912446"/>
      <w:bookmarkStart w:id="308" w:name="_Toc91696450"/>
      <w:bookmarkStart w:id="309" w:name="_Toc444940156"/>
      <w:bookmarkStart w:id="310" w:name="_Toc522782883"/>
      <w:r>
        <w:rPr>
          <w:rFonts w:ascii="Times New Roman" w:hAnsi="Times New Roman" w:eastAsia="宋体"/>
          <w:color w:val="auto"/>
          <w:szCs w:val="28"/>
          <w:highlight w:val="none"/>
        </w:rPr>
        <w:t>质量保证书</w:t>
      </w:r>
      <w:bookmarkEnd w:id="303"/>
      <w:bookmarkEnd w:id="304"/>
      <w:bookmarkEnd w:id="305"/>
      <w:bookmarkEnd w:id="306"/>
      <w:bookmarkEnd w:id="307"/>
      <w:bookmarkEnd w:id="308"/>
      <w:bookmarkEnd w:id="309"/>
      <w:bookmarkEnd w:id="310"/>
    </w:p>
    <w:p w14:paraId="3BA1D69D">
      <w:pPr>
        <w:jc w:val="center"/>
        <w:rPr>
          <w:rFonts w:ascii="Times New Roman" w:hAnsi="Times New Roman"/>
          <w:b/>
          <w:bCs/>
          <w:color w:val="auto"/>
          <w:highlight w:val="none"/>
        </w:rPr>
      </w:pPr>
      <w:r>
        <w:rPr>
          <w:rFonts w:ascii="Times New Roman" w:hAnsi="Times New Roman"/>
          <w:b/>
          <w:bCs/>
          <w:color w:val="auto"/>
          <w:highlight w:val="none"/>
        </w:rPr>
        <w:t>注：</w:t>
      </w:r>
      <w:r>
        <w:rPr>
          <w:rFonts w:ascii="Segoe UI Symbol" w:hAnsi="Segoe UI Symbol" w:cs="Segoe UI Symbol"/>
          <w:b/>
          <w:bCs/>
          <w:color w:val="auto"/>
          <w:highlight w:val="none"/>
        </w:rPr>
        <w:t>★</w:t>
      </w:r>
      <w:r>
        <w:rPr>
          <w:rFonts w:ascii="Times New Roman" w:hAnsi="Times New Roman"/>
          <w:b/>
          <w:bCs/>
          <w:color w:val="auto"/>
          <w:highlight w:val="none"/>
        </w:rPr>
        <w:t>质保期需满足招标文件要求，否则视为实质性不满足招标文件的要求、作废标处理。</w:t>
      </w:r>
    </w:p>
    <w:p w14:paraId="4AB3113D">
      <w:pPr>
        <w:spacing w:line="360" w:lineRule="auto"/>
        <w:rPr>
          <w:rFonts w:ascii="Times New Roman" w:hAnsi="Times New Roman"/>
          <w:color w:val="auto"/>
          <w:szCs w:val="21"/>
          <w:highlight w:val="none"/>
        </w:rPr>
      </w:pPr>
      <w:r>
        <w:rPr>
          <w:rFonts w:ascii="Times New Roman" w:hAnsi="Times New Roman"/>
          <w:color w:val="auto"/>
          <w:szCs w:val="21"/>
          <w:highlight w:val="none"/>
        </w:rPr>
        <w:t>致：</w:t>
      </w:r>
      <w:r>
        <w:rPr>
          <w:rFonts w:ascii="Times New Roman" w:hAnsi="Times New Roman"/>
          <w:color w:val="auto"/>
          <w:szCs w:val="21"/>
          <w:highlight w:val="none"/>
          <w:u w:val="single"/>
        </w:rPr>
        <w:t xml:space="preserve">（采购人）  </w:t>
      </w:r>
    </w:p>
    <w:p w14:paraId="52A9209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本书作为</w:t>
      </w:r>
      <w:r>
        <w:rPr>
          <w:rFonts w:ascii="Times New Roman" w:hAnsi="Times New Roman"/>
          <w:color w:val="auto"/>
          <w:szCs w:val="21"/>
          <w:highlight w:val="none"/>
          <w:u w:val="single"/>
        </w:rPr>
        <w:t>（投标人名称）</w:t>
      </w:r>
      <w:r>
        <w:rPr>
          <w:rFonts w:ascii="Times New Roman" w:hAnsi="Times New Roman"/>
          <w:color w:val="auto"/>
          <w:szCs w:val="21"/>
          <w:highlight w:val="none"/>
        </w:rPr>
        <w:t>对</w:t>
      </w:r>
      <w:r>
        <w:rPr>
          <w:rFonts w:ascii="Times New Roman" w:hAnsi="Times New Roman"/>
          <w:color w:val="auto"/>
          <w:szCs w:val="21"/>
          <w:highlight w:val="none"/>
          <w:u w:val="single"/>
        </w:rPr>
        <w:t>（项目名称）（项目编号：）</w:t>
      </w:r>
      <w:r>
        <w:rPr>
          <w:rFonts w:ascii="Times New Roman" w:hAnsi="Times New Roman"/>
          <w:color w:val="auto"/>
          <w:szCs w:val="21"/>
          <w:highlight w:val="none"/>
        </w:rPr>
        <w:t>公开招标提供的质量和服务的保证。</w:t>
      </w:r>
    </w:p>
    <w:p w14:paraId="3D53E2A6">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我方承诺提供以下质量保证并承担相应的法律责任：</w:t>
      </w:r>
    </w:p>
    <w:p w14:paraId="562AD112">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1．提供的产品是全新的、符合国家质量标准、中国有关部门手续完备、具有生产厂家质量保证书（或合格证书）的货物，拟投产品质保期为</w:t>
      </w:r>
      <w:r>
        <w:rPr>
          <w:rFonts w:ascii="Times New Roman" w:hAnsi="Times New Roman"/>
          <w:color w:val="auto"/>
          <w:szCs w:val="21"/>
          <w:highlight w:val="none"/>
          <w:u w:val="single"/>
        </w:rPr>
        <w:t>：（期限）。</w:t>
      </w:r>
    </w:p>
    <w:p w14:paraId="43A3866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2．提供的产品符合投标文件承诺和所签合同规定的技术要求及配套范围；</w:t>
      </w:r>
    </w:p>
    <w:p w14:paraId="73687968">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3．保证“售后服务承诺”全部内容的满足。</w:t>
      </w:r>
    </w:p>
    <w:p w14:paraId="0A067003">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w:t>
      </w:r>
    </w:p>
    <w:p w14:paraId="3403E5D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本保证书自投标之日起90天内有效，如我方中标则按照招标文件要求的保质期要求执行。</w:t>
      </w:r>
    </w:p>
    <w:p w14:paraId="1495AFF8">
      <w:pPr>
        <w:spacing w:line="360" w:lineRule="auto"/>
        <w:ind w:firstLine="420" w:firstLineChars="200"/>
        <w:rPr>
          <w:rFonts w:ascii="Times New Roman" w:hAnsi="Times New Roman"/>
          <w:b/>
          <w:color w:val="auto"/>
          <w:szCs w:val="21"/>
          <w:highlight w:val="none"/>
        </w:rPr>
      </w:pPr>
    </w:p>
    <w:p w14:paraId="4D8C736B">
      <w:pPr>
        <w:spacing w:line="480" w:lineRule="auto"/>
        <w:ind w:firstLine="480"/>
        <w:rPr>
          <w:rFonts w:ascii="Times New Roman" w:hAnsi="Times New Roman"/>
          <w:b/>
          <w:color w:val="auto"/>
          <w:szCs w:val="21"/>
          <w:highlight w:val="none"/>
        </w:rPr>
      </w:pPr>
    </w:p>
    <w:tbl>
      <w:tblPr>
        <w:tblStyle w:val="39"/>
        <w:tblW w:w="5534" w:type="dxa"/>
        <w:tblInd w:w="4294" w:type="dxa"/>
        <w:tblLayout w:type="fixed"/>
        <w:tblCellMar>
          <w:top w:w="0" w:type="dxa"/>
          <w:left w:w="108" w:type="dxa"/>
          <w:bottom w:w="0" w:type="dxa"/>
          <w:right w:w="108" w:type="dxa"/>
        </w:tblCellMar>
      </w:tblPr>
      <w:tblGrid>
        <w:gridCol w:w="5534"/>
      </w:tblGrid>
      <w:tr w14:paraId="1D96715B">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20349DCC">
            <w:pPr>
              <w:rPr>
                <w:rFonts w:ascii="Times New Roman" w:hAnsi="Times New Roman"/>
                <w:color w:val="auto"/>
                <w:szCs w:val="21"/>
                <w:highlight w:val="none"/>
              </w:rPr>
            </w:pPr>
            <w:r>
              <w:rPr>
                <w:rFonts w:ascii="Times New Roman" w:hAnsi="Times New Roman"/>
                <w:b/>
                <w:color w:val="auto"/>
                <w:szCs w:val="21"/>
                <w:highlight w:val="none"/>
              </w:rPr>
              <w:t>投标人：（加盖公章</w:t>
            </w:r>
            <w:r>
              <w:rPr>
                <w:rFonts w:hint="eastAsia" w:ascii="Times New Roman" w:hAnsi="Times New Roman"/>
                <w:b/>
                <w:color w:val="auto"/>
                <w:szCs w:val="21"/>
                <w:highlight w:val="none"/>
              </w:rPr>
              <w:t>或电子签章</w:t>
            </w:r>
            <w:r>
              <w:rPr>
                <w:rFonts w:ascii="Times New Roman" w:hAnsi="Times New Roman"/>
                <w:b/>
                <w:color w:val="auto"/>
                <w:szCs w:val="21"/>
                <w:highlight w:val="none"/>
              </w:rPr>
              <w:t>）</w:t>
            </w:r>
          </w:p>
        </w:tc>
      </w:tr>
      <w:tr w14:paraId="7866EBE9">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tcPr>
          <w:p w14:paraId="2F876628">
            <w:pPr>
              <w:ind w:left="-921" w:leftChars="-439"/>
              <w:rPr>
                <w:rFonts w:ascii="Times New Roman" w:hAnsi="Times New Roman"/>
                <w:color w:val="auto"/>
                <w:szCs w:val="21"/>
                <w:highlight w:val="none"/>
              </w:rPr>
            </w:pPr>
          </w:p>
        </w:tc>
      </w:tr>
    </w:tbl>
    <w:p w14:paraId="1F75529E">
      <w:pPr>
        <w:spacing w:line="360" w:lineRule="auto"/>
        <w:ind w:firstLine="4693" w:firstLineChars="2235"/>
        <w:rPr>
          <w:rFonts w:ascii="Times New Roman" w:hAnsi="Times New Roman"/>
          <w:b/>
          <w:color w:val="auto"/>
          <w:szCs w:val="21"/>
          <w:highlight w:val="none"/>
        </w:rPr>
      </w:pPr>
      <w:r>
        <w:rPr>
          <w:rFonts w:ascii="Times New Roman" w:hAnsi="Times New Roman"/>
          <w:b/>
          <w:color w:val="auto"/>
          <w:szCs w:val="21"/>
          <w:highlight w:val="none"/>
        </w:rPr>
        <w:t>年月日</w:t>
      </w:r>
    </w:p>
    <w:p w14:paraId="72EF2C5F">
      <w:pPr>
        <w:spacing w:line="360" w:lineRule="auto"/>
        <w:ind w:firstLine="420" w:firstLineChars="200"/>
        <w:rPr>
          <w:rFonts w:ascii="Times New Roman" w:hAnsi="Times New Roman"/>
          <w:color w:val="auto"/>
          <w:szCs w:val="21"/>
          <w:highlight w:val="none"/>
        </w:rPr>
      </w:pPr>
    </w:p>
    <w:p w14:paraId="5C862275">
      <w:pPr>
        <w:widowControl/>
        <w:jc w:val="left"/>
        <w:rPr>
          <w:rFonts w:ascii="Times New Roman" w:hAnsi="Times New Roman"/>
          <w:b/>
          <w:color w:val="auto"/>
          <w:sz w:val="28"/>
          <w:szCs w:val="28"/>
          <w:highlight w:val="none"/>
        </w:rPr>
      </w:pPr>
      <w:r>
        <w:rPr>
          <w:rFonts w:ascii="Times New Roman" w:hAnsi="Times New Roman"/>
          <w:color w:val="auto"/>
          <w:szCs w:val="21"/>
          <w:highlight w:val="none"/>
        </w:rPr>
        <w:br w:type="page"/>
      </w:r>
      <w:r>
        <w:rPr>
          <w:rFonts w:ascii="Times New Roman" w:hAnsi="Times New Roman"/>
          <w:b/>
          <w:color w:val="auto"/>
          <w:sz w:val="28"/>
          <w:szCs w:val="28"/>
          <w:highlight w:val="none"/>
        </w:rPr>
        <w:t>技术部分-格式6：</w:t>
      </w:r>
    </w:p>
    <w:p w14:paraId="20E4DCB7">
      <w:pPr>
        <w:spacing w:line="360" w:lineRule="auto"/>
        <w:rPr>
          <w:rFonts w:ascii="Times New Roman" w:hAnsi="Times New Roman"/>
          <w:b/>
          <w:color w:val="auto"/>
          <w:sz w:val="28"/>
          <w:szCs w:val="28"/>
          <w:highlight w:val="none"/>
        </w:rPr>
      </w:pPr>
    </w:p>
    <w:p w14:paraId="06F415C7">
      <w:pPr>
        <w:pStyle w:val="3"/>
        <w:numPr>
          <w:ilvl w:val="0"/>
          <w:numId w:val="0"/>
        </w:numPr>
        <w:ind w:left="425"/>
        <w:jc w:val="center"/>
        <w:rPr>
          <w:rFonts w:ascii="Times New Roman" w:hAnsi="Times New Roman" w:eastAsia="宋体"/>
          <w:color w:val="auto"/>
          <w:szCs w:val="28"/>
          <w:highlight w:val="none"/>
        </w:rPr>
      </w:pPr>
      <w:bookmarkStart w:id="311" w:name="_Toc112839452"/>
      <w:bookmarkStart w:id="312" w:name="_Toc69912447"/>
      <w:bookmarkStart w:id="313" w:name="_Toc152862926"/>
      <w:bookmarkStart w:id="314" w:name="_Toc493600044"/>
      <w:bookmarkStart w:id="315" w:name="_Toc7776"/>
      <w:bookmarkStart w:id="316" w:name="_Toc91696451"/>
      <w:bookmarkStart w:id="317" w:name="_Toc496521012"/>
      <w:r>
        <w:rPr>
          <w:rFonts w:ascii="Times New Roman" w:hAnsi="Times New Roman" w:eastAsia="宋体"/>
          <w:color w:val="auto"/>
          <w:szCs w:val="28"/>
          <w:highlight w:val="none"/>
        </w:rPr>
        <w:t>构成投标文件技术部分的其他资料</w:t>
      </w:r>
      <w:bookmarkEnd w:id="311"/>
      <w:bookmarkEnd w:id="312"/>
      <w:bookmarkEnd w:id="313"/>
      <w:bookmarkEnd w:id="314"/>
      <w:bookmarkEnd w:id="315"/>
      <w:bookmarkEnd w:id="316"/>
      <w:bookmarkEnd w:id="317"/>
    </w:p>
    <w:p w14:paraId="5CF416BC">
      <w:pPr>
        <w:spacing w:line="500" w:lineRule="exact"/>
        <w:ind w:firstLine="567" w:firstLineChars="270"/>
        <w:jc w:val="center"/>
        <w:rPr>
          <w:rFonts w:ascii="Times New Roman" w:hAnsi="Times New Roman"/>
          <w:color w:val="auto"/>
          <w:szCs w:val="21"/>
          <w:highlight w:val="none"/>
        </w:rPr>
      </w:pPr>
      <w:r>
        <w:rPr>
          <w:rFonts w:ascii="Times New Roman" w:hAnsi="Times New Roman"/>
          <w:color w:val="auto"/>
          <w:szCs w:val="21"/>
          <w:highlight w:val="none"/>
        </w:rPr>
        <w:t>若有,请自拟格式。</w:t>
      </w:r>
    </w:p>
    <w:p w14:paraId="1B1900EB">
      <w:pPr>
        <w:widowControl/>
        <w:jc w:val="left"/>
        <w:rPr>
          <w:rFonts w:ascii="Times New Roman" w:hAnsi="Times New Roman"/>
          <w:color w:val="auto"/>
          <w:sz w:val="30"/>
          <w:szCs w:val="30"/>
          <w:highlight w:val="none"/>
        </w:rPr>
      </w:pPr>
      <w:r>
        <w:rPr>
          <w:rFonts w:ascii="Times New Roman" w:hAnsi="Times New Roman"/>
          <w:color w:val="auto"/>
          <w:szCs w:val="21"/>
          <w:highlight w:val="none"/>
        </w:rPr>
        <w:br w:type="page"/>
      </w:r>
    </w:p>
    <w:bookmarkEnd w:id="113"/>
    <w:p w14:paraId="2944E9F3">
      <w:pPr>
        <w:pStyle w:val="2"/>
        <w:numPr>
          <w:ilvl w:val="0"/>
          <w:numId w:val="0"/>
        </w:numPr>
        <w:spacing w:line="240" w:lineRule="auto"/>
        <w:jc w:val="center"/>
        <w:rPr>
          <w:rFonts w:ascii="Times New Roman" w:hAnsi="Times New Roman" w:eastAsia="宋体"/>
          <w:bCs/>
          <w:color w:val="auto"/>
          <w:sz w:val="36"/>
          <w:highlight w:val="none"/>
        </w:rPr>
      </w:pPr>
      <w:bookmarkStart w:id="318" w:name="_Toc31583"/>
      <w:bookmarkStart w:id="319" w:name="_Toc69912448"/>
      <w:bookmarkStart w:id="320" w:name="_Toc91696452"/>
      <w:r>
        <w:rPr>
          <w:rFonts w:ascii="Times New Roman" w:hAnsi="Times New Roman" w:eastAsia="宋体"/>
          <w:bCs/>
          <w:color w:val="auto"/>
          <w:sz w:val="36"/>
          <w:highlight w:val="none"/>
        </w:rPr>
        <w:t>第五章  货物需求及技术要求</w:t>
      </w:r>
      <w:bookmarkEnd w:id="318"/>
      <w:bookmarkEnd w:id="319"/>
      <w:bookmarkEnd w:id="320"/>
    </w:p>
    <w:p w14:paraId="53CFDA0E">
      <w:pPr>
        <w:pStyle w:val="3"/>
        <w:numPr>
          <w:ilvl w:val="0"/>
          <w:numId w:val="0"/>
        </w:numPr>
        <w:rPr>
          <w:rFonts w:ascii="Times New Roman" w:hAnsi="Times New Roman" w:eastAsia="宋体"/>
          <w:color w:val="auto"/>
          <w:sz w:val="21"/>
          <w:szCs w:val="21"/>
          <w:highlight w:val="none"/>
        </w:rPr>
      </w:pPr>
      <w:bookmarkStart w:id="321" w:name="_Toc31215"/>
      <w:bookmarkStart w:id="322" w:name="_Toc91696453"/>
      <w:bookmarkStart w:id="323" w:name="_Toc69912449"/>
      <w:bookmarkStart w:id="324" w:name="_Toc152862928"/>
      <w:bookmarkStart w:id="325" w:name="_Toc509500411"/>
      <w:bookmarkStart w:id="326" w:name="_Toc509829330"/>
      <w:bookmarkStart w:id="327" w:name="_Toc213141118"/>
      <w:bookmarkStart w:id="328" w:name="_Toc514663418"/>
      <w:r>
        <w:rPr>
          <w:rFonts w:ascii="Times New Roman" w:hAnsi="Times New Roman" w:eastAsia="宋体"/>
          <w:color w:val="auto"/>
          <w:sz w:val="21"/>
          <w:szCs w:val="21"/>
          <w:highlight w:val="none"/>
        </w:rPr>
        <w:t>一、货物需求一览表</w:t>
      </w:r>
      <w:bookmarkEnd w:id="321"/>
      <w:bookmarkEnd w:id="322"/>
      <w:bookmarkEnd w:id="323"/>
      <w:bookmarkEnd w:id="324"/>
    </w:p>
    <w:tbl>
      <w:tblPr>
        <w:tblStyle w:val="39"/>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555"/>
        <w:gridCol w:w="1744"/>
        <w:gridCol w:w="851"/>
        <w:gridCol w:w="697"/>
        <w:gridCol w:w="1316"/>
        <w:gridCol w:w="1316"/>
        <w:gridCol w:w="2316"/>
      </w:tblGrid>
      <w:tr w14:paraId="2034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89" w:type="dxa"/>
            <w:noWrap/>
            <w:vAlign w:val="center"/>
          </w:tcPr>
          <w:p w14:paraId="67ED2F90">
            <w:pPr>
              <w:widowControl/>
              <w:jc w:val="center"/>
              <w:rPr>
                <w:rFonts w:ascii="Times New Roman" w:hAnsi="Times New Roman"/>
                <w:b/>
                <w:bCs/>
                <w:color w:val="auto"/>
                <w:kern w:val="0"/>
                <w:szCs w:val="21"/>
                <w:highlight w:val="none"/>
              </w:rPr>
            </w:pPr>
            <w:r>
              <w:rPr>
                <w:rFonts w:hint="eastAsia" w:ascii="Times New Roman" w:hAnsi="Times New Roman"/>
                <w:b/>
                <w:bCs/>
                <w:color w:val="auto"/>
                <w:kern w:val="0"/>
                <w:szCs w:val="21"/>
                <w:highlight w:val="none"/>
              </w:rPr>
              <w:t>标段</w:t>
            </w:r>
          </w:p>
        </w:tc>
        <w:tc>
          <w:tcPr>
            <w:tcW w:w="555" w:type="dxa"/>
            <w:vAlign w:val="center"/>
          </w:tcPr>
          <w:p w14:paraId="11469769">
            <w:pPr>
              <w:widowControl/>
              <w:jc w:val="center"/>
              <w:rPr>
                <w:rFonts w:ascii="Times New Roman" w:hAnsi="Times New Roman"/>
                <w:b/>
                <w:bCs/>
                <w:color w:val="auto"/>
                <w:kern w:val="0"/>
                <w:szCs w:val="21"/>
                <w:highlight w:val="none"/>
              </w:rPr>
            </w:pPr>
            <w:r>
              <w:rPr>
                <w:rFonts w:hint="eastAsia" w:ascii="Times New Roman" w:hAnsi="Times New Roman"/>
                <w:b/>
                <w:bCs/>
                <w:color w:val="auto"/>
                <w:kern w:val="0"/>
                <w:szCs w:val="21"/>
                <w:highlight w:val="none"/>
              </w:rPr>
              <w:t>序号</w:t>
            </w:r>
          </w:p>
        </w:tc>
        <w:tc>
          <w:tcPr>
            <w:tcW w:w="1744" w:type="dxa"/>
            <w:noWrap/>
            <w:vAlign w:val="center"/>
          </w:tcPr>
          <w:p w14:paraId="5C2B406E">
            <w:pPr>
              <w:widowControl/>
              <w:jc w:val="center"/>
              <w:rPr>
                <w:rFonts w:ascii="Times New Roman" w:hAnsi="Times New Roman"/>
                <w:b/>
                <w:bCs/>
                <w:color w:val="auto"/>
                <w:kern w:val="0"/>
                <w:szCs w:val="21"/>
                <w:highlight w:val="none"/>
              </w:rPr>
            </w:pPr>
            <w:r>
              <w:rPr>
                <w:rFonts w:ascii="Times New Roman" w:hAnsi="Times New Roman"/>
                <w:b/>
                <w:bCs/>
                <w:color w:val="auto"/>
                <w:kern w:val="0"/>
                <w:szCs w:val="21"/>
                <w:highlight w:val="none"/>
              </w:rPr>
              <w:t>产品（项目）名称</w:t>
            </w:r>
          </w:p>
        </w:tc>
        <w:tc>
          <w:tcPr>
            <w:tcW w:w="851" w:type="dxa"/>
            <w:noWrap/>
            <w:vAlign w:val="center"/>
          </w:tcPr>
          <w:p w14:paraId="02539907">
            <w:pPr>
              <w:widowControl/>
              <w:jc w:val="center"/>
              <w:rPr>
                <w:rFonts w:ascii="Times New Roman" w:hAnsi="Times New Roman"/>
                <w:b/>
                <w:bCs/>
                <w:color w:val="auto"/>
                <w:kern w:val="0"/>
                <w:szCs w:val="21"/>
                <w:highlight w:val="none"/>
              </w:rPr>
            </w:pPr>
            <w:r>
              <w:rPr>
                <w:rFonts w:ascii="Times New Roman" w:hAnsi="Times New Roman"/>
                <w:b/>
                <w:bCs/>
                <w:color w:val="auto"/>
                <w:kern w:val="0"/>
                <w:szCs w:val="21"/>
                <w:highlight w:val="none"/>
              </w:rPr>
              <w:t>数量</w:t>
            </w:r>
          </w:p>
        </w:tc>
        <w:tc>
          <w:tcPr>
            <w:tcW w:w="697" w:type="dxa"/>
            <w:vAlign w:val="center"/>
          </w:tcPr>
          <w:p w14:paraId="5C224595">
            <w:pPr>
              <w:widowControl/>
              <w:jc w:val="center"/>
              <w:rPr>
                <w:rFonts w:ascii="Times New Roman" w:hAnsi="Times New Roman"/>
                <w:b/>
                <w:bCs/>
                <w:color w:val="auto"/>
                <w:kern w:val="0"/>
                <w:szCs w:val="21"/>
                <w:highlight w:val="none"/>
              </w:rPr>
            </w:pPr>
            <w:r>
              <w:rPr>
                <w:rFonts w:ascii="Times New Roman" w:hAnsi="Times New Roman"/>
                <w:b/>
                <w:bCs/>
                <w:color w:val="auto"/>
                <w:kern w:val="0"/>
                <w:szCs w:val="21"/>
                <w:highlight w:val="none"/>
              </w:rPr>
              <w:t>计量单位</w:t>
            </w:r>
          </w:p>
        </w:tc>
        <w:tc>
          <w:tcPr>
            <w:tcW w:w="1316" w:type="dxa"/>
            <w:vAlign w:val="center"/>
          </w:tcPr>
          <w:p w14:paraId="29D44D22">
            <w:pPr>
              <w:widowControl/>
              <w:jc w:val="center"/>
              <w:rPr>
                <w:rFonts w:ascii="Times New Roman" w:hAnsi="Times New Roman"/>
                <w:b/>
                <w:bCs/>
                <w:color w:val="auto"/>
                <w:kern w:val="0"/>
                <w:szCs w:val="21"/>
                <w:highlight w:val="none"/>
              </w:rPr>
            </w:pPr>
            <w:r>
              <w:rPr>
                <w:rFonts w:ascii="Times New Roman" w:hAnsi="Times New Roman"/>
                <w:b/>
                <w:bCs/>
                <w:color w:val="auto"/>
                <w:kern w:val="0"/>
                <w:szCs w:val="21"/>
                <w:highlight w:val="none"/>
              </w:rPr>
              <w:t>预算单价（元）</w:t>
            </w:r>
          </w:p>
        </w:tc>
        <w:tc>
          <w:tcPr>
            <w:tcW w:w="1316" w:type="dxa"/>
            <w:vAlign w:val="center"/>
          </w:tcPr>
          <w:p w14:paraId="509FE053">
            <w:pPr>
              <w:widowControl/>
              <w:jc w:val="center"/>
              <w:rPr>
                <w:rFonts w:ascii="Times New Roman" w:hAnsi="Times New Roman"/>
                <w:b/>
                <w:bCs/>
                <w:color w:val="auto"/>
                <w:kern w:val="0"/>
                <w:szCs w:val="21"/>
                <w:highlight w:val="none"/>
              </w:rPr>
            </w:pPr>
            <w:r>
              <w:rPr>
                <w:rFonts w:hint="eastAsia" w:ascii="Times New Roman" w:hAnsi="Times New Roman"/>
                <w:b/>
                <w:bCs/>
                <w:color w:val="auto"/>
                <w:kern w:val="0"/>
                <w:szCs w:val="21"/>
                <w:highlight w:val="none"/>
              </w:rPr>
              <w:t>合计</w:t>
            </w:r>
            <w:r>
              <w:rPr>
                <w:rFonts w:ascii="Times New Roman" w:hAnsi="Times New Roman"/>
                <w:b/>
                <w:bCs/>
                <w:color w:val="auto"/>
                <w:kern w:val="0"/>
                <w:szCs w:val="21"/>
                <w:highlight w:val="none"/>
              </w:rPr>
              <w:t>金额（元）</w:t>
            </w:r>
          </w:p>
        </w:tc>
        <w:tc>
          <w:tcPr>
            <w:tcW w:w="2316" w:type="dxa"/>
            <w:vAlign w:val="center"/>
          </w:tcPr>
          <w:p w14:paraId="206DBB3A">
            <w:pPr>
              <w:widowControl/>
              <w:jc w:val="center"/>
              <w:rPr>
                <w:rFonts w:ascii="Times New Roman" w:hAnsi="Times New Roman"/>
                <w:b/>
                <w:bCs/>
                <w:color w:val="auto"/>
                <w:szCs w:val="21"/>
                <w:highlight w:val="none"/>
              </w:rPr>
            </w:pPr>
            <w:r>
              <w:rPr>
                <w:rFonts w:ascii="Times New Roman" w:hAnsi="Times New Roman"/>
                <w:b/>
                <w:bCs/>
                <w:color w:val="auto"/>
                <w:szCs w:val="21"/>
                <w:highlight w:val="none"/>
              </w:rPr>
              <w:t>交货地点</w:t>
            </w:r>
          </w:p>
          <w:p w14:paraId="2CB46934">
            <w:pPr>
              <w:widowControl/>
              <w:jc w:val="center"/>
              <w:rPr>
                <w:rFonts w:ascii="Times New Roman" w:hAnsi="Times New Roman"/>
                <w:b/>
                <w:bCs/>
                <w:color w:val="auto"/>
                <w:kern w:val="0"/>
                <w:szCs w:val="21"/>
                <w:highlight w:val="none"/>
              </w:rPr>
            </w:pPr>
            <w:r>
              <w:rPr>
                <w:rFonts w:ascii="Times New Roman" w:hAnsi="Times New Roman"/>
                <w:b/>
                <w:bCs/>
                <w:color w:val="auto"/>
                <w:szCs w:val="21"/>
                <w:highlight w:val="none"/>
              </w:rPr>
              <w:t>（备注）</w:t>
            </w:r>
          </w:p>
        </w:tc>
      </w:tr>
      <w:tr w14:paraId="6051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restart"/>
            <w:vAlign w:val="center"/>
          </w:tcPr>
          <w:p w14:paraId="200A0C33">
            <w:pPr>
              <w:widowControl/>
              <w:jc w:val="center"/>
              <w:rPr>
                <w:rFonts w:ascii="Times New Roman" w:hAnsi="Times New Roman"/>
                <w:b/>
                <w:bCs/>
                <w:color w:val="auto"/>
                <w:kern w:val="0"/>
                <w:szCs w:val="21"/>
                <w:highlight w:val="none"/>
              </w:rPr>
            </w:pPr>
            <w:r>
              <w:rPr>
                <w:rFonts w:hint="eastAsia" w:ascii="Times New Roman" w:hAnsi="Times New Roman"/>
                <w:b/>
                <w:bCs/>
                <w:color w:val="auto"/>
                <w:kern w:val="0"/>
                <w:szCs w:val="21"/>
                <w:highlight w:val="none"/>
              </w:rPr>
              <w:t>1</w:t>
            </w:r>
          </w:p>
          <w:p w14:paraId="3C82C7EF">
            <w:pPr>
              <w:widowControl/>
              <w:jc w:val="center"/>
              <w:rPr>
                <w:rFonts w:ascii="Times New Roman" w:hAnsi="Times New Roman"/>
                <w:b/>
                <w:bCs/>
                <w:color w:val="auto"/>
                <w:kern w:val="0"/>
                <w:szCs w:val="21"/>
                <w:highlight w:val="none"/>
              </w:rPr>
            </w:pPr>
          </w:p>
          <w:p w14:paraId="003CF9A3">
            <w:pPr>
              <w:widowControl/>
              <w:jc w:val="center"/>
              <w:rPr>
                <w:rFonts w:ascii="Times New Roman" w:hAnsi="Times New Roman"/>
                <w:b/>
                <w:bCs/>
                <w:color w:val="auto"/>
                <w:kern w:val="0"/>
                <w:szCs w:val="21"/>
                <w:highlight w:val="none"/>
              </w:rPr>
            </w:pPr>
          </w:p>
        </w:tc>
        <w:tc>
          <w:tcPr>
            <w:tcW w:w="555" w:type="dxa"/>
            <w:vAlign w:val="center"/>
          </w:tcPr>
          <w:p w14:paraId="3E41A593">
            <w:pPr>
              <w:widowControl/>
              <w:numPr>
                <w:ilvl w:val="0"/>
                <w:numId w:val="8"/>
              </w:numPr>
              <w:jc w:val="center"/>
              <w:rPr>
                <w:rFonts w:cs="Arial"/>
                <w:color w:val="auto"/>
                <w:szCs w:val="21"/>
                <w:highlight w:val="none"/>
              </w:rPr>
            </w:pPr>
          </w:p>
        </w:tc>
        <w:tc>
          <w:tcPr>
            <w:tcW w:w="1744" w:type="dxa"/>
            <w:vAlign w:val="center"/>
          </w:tcPr>
          <w:p w14:paraId="7779DD8E">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AIGC智创实训平台：手写输入输出设备</w:t>
            </w:r>
          </w:p>
        </w:tc>
        <w:tc>
          <w:tcPr>
            <w:tcW w:w="851" w:type="dxa"/>
            <w:vAlign w:val="center"/>
          </w:tcPr>
          <w:p w14:paraId="1935810E">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1</w:t>
            </w:r>
          </w:p>
        </w:tc>
        <w:tc>
          <w:tcPr>
            <w:tcW w:w="697" w:type="dxa"/>
            <w:vAlign w:val="center"/>
          </w:tcPr>
          <w:p w14:paraId="34A4C24A">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台</w:t>
            </w:r>
          </w:p>
        </w:tc>
        <w:tc>
          <w:tcPr>
            <w:tcW w:w="1316" w:type="dxa"/>
            <w:vAlign w:val="center"/>
          </w:tcPr>
          <w:p w14:paraId="2FBE604F">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35,000.00 </w:t>
            </w:r>
          </w:p>
        </w:tc>
        <w:tc>
          <w:tcPr>
            <w:tcW w:w="1316" w:type="dxa"/>
            <w:vAlign w:val="center"/>
          </w:tcPr>
          <w:p w14:paraId="35817EDB">
            <w:pPr>
              <w:widowControl/>
              <w:jc w:val="center"/>
              <w:textAlignment w:val="center"/>
              <w:rPr>
                <w:rFonts w:cs="宋体"/>
                <w:color w:val="auto"/>
                <w:kern w:val="0"/>
                <w:sz w:val="22"/>
                <w:szCs w:val="22"/>
                <w:highlight w:val="none"/>
                <w:lang w:bidi="ar"/>
              </w:rPr>
            </w:pPr>
            <w:r>
              <w:rPr>
                <w:rFonts w:hint="eastAsia" w:cs="宋体"/>
                <w:kern w:val="0"/>
                <w:sz w:val="18"/>
                <w:szCs w:val="18"/>
                <w:lang w:bidi="ar"/>
              </w:rPr>
              <w:t>35000.00</w:t>
            </w:r>
          </w:p>
        </w:tc>
        <w:tc>
          <w:tcPr>
            <w:tcW w:w="2316" w:type="dxa"/>
            <w:vAlign w:val="center"/>
          </w:tcPr>
          <w:p w14:paraId="43EC6E53">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1F98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2A04EE72">
            <w:pPr>
              <w:widowControl/>
              <w:jc w:val="center"/>
              <w:rPr>
                <w:rFonts w:ascii="Times New Roman" w:hAnsi="Times New Roman"/>
                <w:b/>
                <w:bCs/>
                <w:color w:val="auto"/>
                <w:kern w:val="0"/>
                <w:szCs w:val="21"/>
                <w:highlight w:val="none"/>
              </w:rPr>
            </w:pPr>
            <w:bookmarkStart w:id="329" w:name="_Toc69912450"/>
          </w:p>
        </w:tc>
        <w:tc>
          <w:tcPr>
            <w:tcW w:w="555" w:type="dxa"/>
            <w:vAlign w:val="center"/>
          </w:tcPr>
          <w:p w14:paraId="1A3C4A48">
            <w:pPr>
              <w:widowControl/>
              <w:numPr>
                <w:ilvl w:val="0"/>
                <w:numId w:val="8"/>
              </w:numPr>
              <w:jc w:val="center"/>
              <w:rPr>
                <w:rFonts w:cs="Arial"/>
                <w:color w:val="auto"/>
                <w:szCs w:val="21"/>
                <w:highlight w:val="none"/>
              </w:rPr>
            </w:pPr>
          </w:p>
        </w:tc>
        <w:tc>
          <w:tcPr>
            <w:tcW w:w="1744" w:type="dxa"/>
            <w:vAlign w:val="center"/>
          </w:tcPr>
          <w:p w14:paraId="15FA6ED8">
            <w:pPr>
              <w:widowControl/>
              <w:jc w:val="left"/>
              <w:textAlignment w:val="center"/>
              <w:rPr>
                <w:rFonts w:cs="Arial"/>
                <w:color w:val="auto"/>
                <w:szCs w:val="21"/>
                <w:highlight w:val="none"/>
              </w:rPr>
            </w:pPr>
            <w:r>
              <w:rPr>
                <w:rFonts w:hint="eastAsia" w:cs="宋体"/>
                <w:kern w:val="0"/>
                <w:sz w:val="18"/>
                <w:szCs w:val="18"/>
                <w:lang w:bidi="ar"/>
              </w:rPr>
              <w:t>AIGC智创实训平台：互动智能平板</w:t>
            </w:r>
          </w:p>
        </w:tc>
        <w:tc>
          <w:tcPr>
            <w:tcW w:w="851" w:type="dxa"/>
            <w:vAlign w:val="center"/>
          </w:tcPr>
          <w:p w14:paraId="437B2145">
            <w:pPr>
              <w:widowControl/>
              <w:jc w:val="center"/>
              <w:textAlignment w:val="center"/>
              <w:rPr>
                <w:rFonts w:ascii="Times New Roman" w:hAnsi="Times New Roman"/>
                <w:color w:val="auto"/>
                <w:szCs w:val="21"/>
                <w:highlight w:val="none"/>
              </w:rPr>
            </w:pPr>
            <w:r>
              <w:rPr>
                <w:rFonts w:hint="eastAsia" w:cs="宋体"/>
                <w:kern w:val="0"/>
                <w:sz w:val="18"/>
                <w:szCs w:val="18"/>
                <w:lang w:bidi="ar"/>
              </w:rPr>
              <w:t>1</w:t>
            </w:r>
          </w:p>
        </w:tc>
        <w:tc>
          <w:tcPr>
            <w:tcW w:w="697" w:type="dxa"/>
            <w:vAlign w:val="center"/>
          </w:tcPr>
          <w:p w14:paraId="65B834DF">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台</w:t>
            </w:r>
          </w:p>
        </w:tc>
        <w:tc>
          <w:tcPr>
            <w:tcW w:w="1316" w:type="dxa"/>
            <w:vAlign w:val="center"/>
          </w:tcPr>
          <w:p w14:paraId="66D142EC">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28,000.00 </w:t>
            </w:r>
          </w:p>
        </w:tc>
        <w:tc>
          <w:tcPr>
            <w:tcW w:w="1316" w:type="dxa"/>
            <w:vAlign w:val="center"/>
          </w:tcPr>
          <w:p w14:paraId="050157DE">
            <w:pPr>
              <w:widowControl/>
              <w:jc w:val="center"/>
              <w:textAlignment w:val="center"/>
              <w:rPr>
                <w:rFonts w:cs="宋体"/>
                <w:color w:val="auto"/>
                <w:kern w:val="0"/>
                <w:sz w:val="22"/>
                <w:szCs w:val="22"/>
                <w:highlight w:val="none"/>
                <w:lang w:bidi="ar"/>
              </w:rPr>
            </w:pPr>
            <w:r>
              <w:rPr>
                <w:rFonts w:hint="eastAsia" w:cs="宋体"/>
                <w:kern w:val="0"/>
                <w:sz w:val="18"/>
                <w:szCs w:val="18"/>
                <w:lang w:bidi="ar"/>
              </w:rPr>
              <w:t>28000.00</w:t>
            </w:r>
          </w:p>
        </w:tc>
        <w:tc>
          <w:tcPr>
            <w:tcW w:w="2316" w:type="dxa"/>
            <w:vAlign w:val="center"/>
          </w:tcPr>
          <w:p w14:paraId="1F9483FE">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24B6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336B2316">
            <w:pPr>
              <w:widowControl/>
              <w:jc w:val="center"/>
              <w:rPr>
                <w:rFonts w:ascii="Times New Roman" w:hAnsi="Times New Roman"/>
                <w:b/>
                <w:bCs/>
                <w:color w:val="auto"/>
                <w:kern w:val="0"/>
                <w:szCs w:val="21"/>
                <w:highlight w:val="none"/>
              </w:rPr>
            </w:pPr>
          </w:p>
        </w:tc>
        <w:tc>
          <w:tcPr>
            <w:tcW w:w="555" w:type="dxa"/>
            <w:vAlign w:val="center"/>
          </w:tcPr>
          <w:p w14:paraId="302DD245">
            <w:pPr>
              <w:widowControl/>
              <w:numPr>
                <w:ilvl w:val="0"/>
                <w:numId w:val="8"/>
              </w:numPr>
              <w:jc w:val="center"/>
              <w:rPr>
                <w:rFonts w:cs="Arial"/>
                <w:color w:val="auto"/>
                <w:szCs w:val="21"/>
                <w:highlight w:val="none"/>
              </w:rPr>
            </w:pPr>
          </w:p>
        </w:tc>
        <w:tc>
          <w:tcPr>
            <w:tcW w:w="1744" w:type="dxa"/>
            <w:vAlign w:val="center"/>
          </w:tcPr>
          <w:p w14:paraId="68E85B49">
            <w:pPr>
              <w:widowControl/>
              <w:jc w:val="left"/>
              <w:textAlignment w:val="center"/>
              <w:rPr>
                <w:rFonts w:cs="Arial"/>
                <w:color w:val="auto"/>
                <w:szCs w:val="21"/>
                <w:highlight w:val="none"/>
              </w:rPr>
            </w:pPr>
            <w:r>
              <w:rPr>
                <w:rFonts w:hint="eastAsia" w:cs="宋体"/>
                <w:kern w:val="0"/>
                <w:sz w:val="18"/>
                <w:szCs w:val="18"/>
                <w:lang w:bidi="ar"/>
              </w:rPr>
              <w:t>AIGC智创实训平台：互动软件套件</w:t>
            </w:r>
          </w:p>
        </w:tc>
        <w:tc>
          <w:tcPr>
            <w:tcW w:w="851" w:type="dxa"/>
            <w:vAlign w:val="center"/>
          </w:tcPr>
          <w:p w14:paraId="3502DE88">
            <w:pPr>
              <w:widowControl/>
              <w:jc w:val="center"/>
              <w:textAlignment w:val="center"/>
              <w:rPr>
                <w:rFonts w:ascii="Times New Roman" w:hAnsi="Times New Roman"/>
                <w:color w:val="auto"/>
                <w:szCs w:val="21"/>
                <w:highlight w:val="none"/>
              </w:rPr>
            </w:pPr>
            <w:r>
              <w:rPr>
                <w:rFonts w:hint="eastAsia" w:cs="宋体"/>
                <w:kern w:val="0"/>
                <w:sz w:val="18"/>
                <w:szCs w:val="18"/>
                <w:lang w:bidi="ar"/>
              </w:rPr>
              <w:t>1</w:t>
            </w:r>
          </w:p>
        </w:tc>
        <w:tc>
          <w:tcPr>
            <w:tcW w:w="697" w:type="dxa"/>
            <w:vAlign w:val="center"/>
          </w:tcPr>
          <w:p w14:paraId="4A1FC72C">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套</w:t>
            </w:r>
          </w:p>
        </w:tc>
        <w:tc>
          <w:tcPr>
            <w:tcW w:w="1316" w:type="dxa"/>
            <w:vAlign w:val="center"/>
          </w:tcPr>
          <w:p w14:paraId="4028AC90">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26,306.00 </w:t>
            </w:r>
          </w:p>
        </w:tc>
        <w:tc>
          <w:tcPr>
            <w:tcW w:w="1316" w:type="dxa"/>
            <w:vAlign w:val="center"/>
          </w:tcPr>
          <w:p w14:paraId="7370F863">
            <w:pPr>
              <w:widowControl/>
              <w:jc w:val="center"/>
              <w:textAlignment w:val="center"/>
              <w:rPr>
                <w:rFonts w:cs="宋体"/>
                <w:color w:val="auto"/>
                <w:kern w:val="0"/>
                <w:sz w:val="22"/>
                <w:szCs w:val="22"/>
                <w:highlight w:val="none"/>
                <w:lang w:bidi="ar"/>
              </w:rPr>
            </w:pPr>
            <w:r>
              <w:rPr>
                <w:rFonts w:hint="eastAsia" w:cs="宋体"/>
                <w:kern w:val="0"/>
                <w:sz w:val="18"/>
                <w:szCs w:val="18"/>
                <w:lang w:bidi="ar"/>
              </w:rPr>
              <w:t>26306.00</w:t>
            </w:r>
          </w:p>
        </w:tc>
        <w:tc>
          <w:tcPr>
            <w:tcW w:w="2316" w:type="dxa"/>
            <w:vAlign w:val="center"/>
          </w:tcPr>
          <w:p w14:paraId="4FF5D344">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4DBB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1318CCE4">
            <w:pPr>
              <w:widowControl/>
              <w:jc w:val="center"/>
              <w:rPr>
                <w:rFonts w:ascii="Times New Roman" w:hAnsi="Times New Roman"/>
                <w:b/>
                <w:bCs/>
                <w:color w:val="auto"/>
                <w:kern w:val="0"/>
                <w:szCs w:val="21"/>
                <w:highlight w:val="none"/>
              </w:rPr>
            </w:pPr>
          </w:p>
        </w:tc>
        <w:tc>
          <w:tcPr>
            <w:tcW w:w="555" w:type="dxa"/>
            <w:vAlign w:val="center"/>
          </w:tcPr>
          <w:p w14:paraId="397901A6">
            <w:pPr>
              <w:widowControl/>
              <w:numPr>
                <w:ilvl w:val="0"/>
                <w:numId w:val="8"/>
              </w:numPr>
              <w:jc w:val="center"/>
              <w:rPr>
                <w:rFonts w:cs="Arial"/>
                <w:color w:val="auto"/>
                <w:szCs w:val="21"/>
                <w:highlight w:val="none"/>
              </w:rPr>
            </w:pPr>
          </w:p>
        </w:tc>
        <w:tc>
          <w:tcPr>
            <w:tcW w:w="1744" w:type="dxa"/>
            <w:vAlign w:val="center"/>
          </w:tcPr>
          <w:p w14:paraId="72410755">
            <w:pPr>
              <w:widowControl/>
              <w:jc w:val="left"/>
              <w:textAlignment w:val="center"/>
              <w:rPr>
                <w:rFonts w:cs="Arial"/>
                <w:color w:val="auto"/>
                <w:szCs w:val="21"/>
                <w:highlight w:val="none"/>
              </w:rPr>
            </w:pPr>
            <w:r>
              <w:rPr>
                <w:rFonts w:hint="eastAsia" w:cs="宋体"/>
                <w:color w:val="000000" w:themeColor="text1"/>
                <w:kern w:val="0"/>
                <w:sz w:val="18"/>
                <w:szCs w:val="18"/>
                <w:lang w:bidi="ar"/>
                <w14:textFill>
                  <w14:solidFill>
                    <w14:schemeClr w14:val="tx1"/>
                  </w14:solidFill>
                </w14:textFill>
              </w:rPr>
              <w:t>AIGC智创实训平台：3D服装软件</w:t>
            </w:r>
          </w:p>
        </w:tc>
        <w:tc>
          <w:tcPr>
            <w:tcW w:w="851" w:type="dxa"/>
            <w:vAlign w:val="center"/>
          </w:tcPr>
          <w:p w14:paraId="43C33367">
            <w:pPr>
              <w:widowControl/>
              <w:jc w:val="center"/>
              <w:textAlignment w:val="center"/>
              <w:rPr>
                <w:rFonts w:ascii="Times New Roman" w:hAnsi="Times New Roman"/>
                <w:color w:val="auto"/>
                <w:szCs w:val="21"/>
                <w:highlight w:val="none"/>
              </w:rPr>
            </w:pPr>
            <w:r>
              <w:rPr>
                <w:rFonts w:hint="eastAsia" w:cs="宋体"/>
                <w:kern w:val="0"/>
                <w:sz w:val="18"/>
                <w:szCs w:val="18"/>
                <w:lang w:bidi="ar"/>
              </w:rPr>
              <w:t>1</w:t>
            </w:r>
          </w:p>
        </w:tc>
        <w:tc>
          <w:tcPr>
            <w:tcW w:w="697" w:type="dxa"/>
            <w:vAlign w:val="center"/>
          </w:tcPr>
          <w:p w14:paraId="3297C312">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套</w:t>
            </w:r>
          </w:p>
        </w:tc>
        <w:tc>
          <w:tcPr>
            <w:tcW w:w="1316" w:type="dxa"/>
            <w:vAlign w:val="center"/>
          </w:tcPr>
          <w:p w14:paraId="03235C6A">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16,000.00 </w:t>
            </w:r>
          </w:p>
        </w:tc>
        <w:tc>
          <w:tcPr>
            <w:tcW w:w="1316" w:type="dxa"/>
            <w:vAlign w:val="center"/>
          </w:tcPr>
          <w:p w14:paraId="7E9CFDEF">
            <w:pPr>
              <w:widowControl/>
              <w:jc w:val="center"/>
              <w:textAlignment w:val="center"/>
              <w:rPr>
                <w:rFonts w:cs="宋体"/>
                <w:color w:val="auto"/>
                <w:kern w:val="0"/>
                <w:sz w:val="22"/>
                <w:szCs w:val="22"/>
                <w:highlight w:val="none"/>
                <w:lang w:bidi="ar"/>
              </w:rPr>
            </w:pPr>
            <w:r>
              <w:rPr>
                <w:rFonts w:hint="eastAsia" w:cs="宋体"/>
                <w:kern w:val="0"/>
                <w:sz w:val="18"/>
                <w:szCs w:val="18"/>
                <w:lang w:bidi="ar"/>
              </w:rPr>
              <w:t>16000.00</w:t>
            </w:r>
          </w:p>
        </w:tc>
        <w:tc>
          <w:tcPr>
            <w:tcW w:w="2316" w:type="dxa"/>
            <w:vAlign w:val="center"/>
          </w:tcPr>
          <w:p w14:paraId="67C6B934">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00B8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3CDB92BE">
            <w:pPr>
              <w:widowControl/>
              <w:jc w:val="center"/>
              <w:rPr>
                <w:rFonts w:ascii="Times New Roman" w:hAnsi="Times New Roman"/>
                <w:b/>
                <w:bCs/>
                <w:color w:val="auto"/>
                <w:kern w:val="0"/>
                <w:szCs w:val="21"/>
                <w:highlight w:val="none"/>
              </w:rPr>
            </w:pPr>
          </w:p>
        </w:tc>
        <w:tc>
          <w:tcPr>
            <w:tcW w:w="555" w:type="dxa"/>
            <w:vAlign w:val="center"/>
          </w:tcPr>
          <w:p w14:paraId="4E9949D5">
            <w:pPr>
              <w:widowControl/>
              <w:numPr>
                <w:ilvl w:val="0"/>
                <w:numId w:val="8"/>
              </w:numPr>
              <w:jc w:val="center"/>
              <w:rPr>
                <w:rFonts w:cs="Arial"/>
                <w:color w:val="auto"/>
                <w:szCs w:val="21"/>
                <w:highlight w:val="none"/>
              </w:rPr>
            </w:pPr>
          </w:p>
        </w:tc>
        <w:tc>
          <w:tcPr>
            <w:tcW w:w="1744" w:type="dxa"/>
            <w:vAlign w:val="center"/>
          </w:tcPr>
          <w:p w14:paraId="69B23CCE">
            <w:pPr>
              <w:widowControl/>
              <w:jc w:val="left"/>
              <w:textAlignment w:val="center"/>
              <w:rPr>
                <w:rFonts w:cs="Arial"/>
                <w:color w:val="auto"/>
                <w:szCs w:val="21"/>
                <w:highlight w:val="none"/>
              </w:rPr>
            </w:pPr>
            <w:r>
              <w:rPr>
                <w:rFonts w:hint="eastAsia" w:cs="宋体"/>
                <w:kern w:val="0"/>
                <w:sz w:val="18"/>
                <w:szCs w:val="18"/>
                <w:lang w:bidi="ar"/>
              </w:rPr>
              <w:t>AIGC智创实训平台：喷切一体机服装</w:t>
            </w:r>
          </w:p>
        </w:tc>
        <w:tc>
          <w:tcPr>
            <w:tcW w:w="851" w:type="dxa"/>
            <w:vAlign w:val="center"/>
          </w:tcPr>
          <w:p w14:paraId="75D38F29">
            <w:pPr>
              <w:widowControl/>
              <w:jc w:val="center"/>
              <w:textAlignment w:val="center"/>
              <w:rPr>
                <w:rFonts w:ascii="Times New Roman" w:hAnsi="Times New Roman"/>
                <w:color w:val="auto"/>
                <w:szCs w:val="21"/>
                <w:highlight w:val="none"/>
              </w:rPr>
            </w:pPr>
            <w:r>
              <w:rPr>
                <w:rFonts w:hint="eastAsia" w:cs="宋体"/>
                <w:kern w:val="0"/>
                <w:sz w:val="18"/>
                <w:szCs w:val="18"/>
                <w:lang w:bidi="ar"/>
              </w:rPr>
              <w:t>1</w:t>
            </w:r>
          </w:p>
        </w:tc>
        <w:tc>
          <w:tcPr>
            <w:tcW w:w="697" w:type="dxa"/>
            <w:vAlign w:val="center"/>
          </w:tcPr>
          <w:p w14:paraId="5028206A">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台</w:t>
            </w:r>
          </w:p>
        </w:tc>
        <w:tc>
          <w:tcPr>
            <w:tcW w:w="1316" w:type="dxa"/>
            <w:vAlign w:val="center"/>
          </w:tcPr>
          <w:p w14:paraId="2E705A8D">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18,000.00 </w:t>
            </w:r>
          </w:p>
        </w:tc>
        <w:tc>
          <w:tcPr>
            <w:tcW w:w="1316" w:type="dxa"/>
            <w:vAlign w:val="center"/>
          </w:tcPr>
          <w:p w14:paraId="274E971C">
            <w:pPr>
              <w:widowControl/>
              <w:jc w:val="center"/>
              <w:textAlignment w:val="center"/>
              <w:rPr>
                <w:rFonts w:cs="宋体"/>
                <w:color w:val="auto"/>
                <w:kern w:val="0"/>
                <w:sz w:val="22"/>
                <w:szCs w:val="22"/>
                <w:highlight w:val="none"/>
                <w:lang w:bidi="ar"/>
              </w:rPr>
            </w:pPr>
            <w:r>
              <w:rPr>
                <w:rFonts w:hint="eastAsia" w:cs="宋体"/>
                <w:kern w:val="0"/>
                <w:sz w:val="18"/>
                <w:szCs w:val="18"/>
                <w:lang w:bidi="ar"/>
              </w:rPr>
              <w:t>18000.00</w:t>
            </w:r>
          </w:p>
        </w:tc>
        <w:tc>
          <w:tcPr>
            <w:tcW w:w="2316" w:type="dxa"/>
            <w:vAlign w:val="center"/>
          </w:tcPr>
          <w:p w14:paraId="0D07D661">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3EF45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2FC35181">
            <w:pPr>
              <w:widowControl/>
              <w:jc w:val="center"/>
              <w:rPr>
                <w:rFonts w:ascii="Times New Roman" w:hAnsi="Times New Roman"/>
                <w:b/>
                <w:bCs/>
                <w:color w:val="auto"/>
                <w:kern w:val="0"/>
                <w:szCs w:val="21"/>
                <w:highlight w:val="none"/>
              </w:rPr>
            </w:pPr>
          </w:p>
        </w:tc>
        <w:tc>
          <w:tcPr>
            <w:tcW w:w="555" w:type="dxa"/>
            <w:vAlign w:val="center"/>
          </w:tcPr>
          <w:p w14:paraId="731A89A5">
            <w:pPr>
              <w:widowControl/>
              <w:numPr>
                <w:ilvl w:val="0"/>
                <w:numId w:val="8"/>
              </w:numPr>
              <w:jc w:val="center"/>
              <w:rPr>
                <w:rFonts w:cs="Arial"/>
                <w:color w:val="auto"/>
                <w:szCs w:val="21"/>
                <w:highlight w:val="none"/>
              </w:rPr>
            </w:pPr>
          </w:p>
        </w:tc>
        <w:tc>
          <w:tcPr>
            <w:tcW w:w="1744" w:type="dxa"/>
            <w:vAlign w:val="center"/>
          </w:tcPr>
          <w:p w14:paraId="5C1F64BB">
            <w:pPr>
              <w:widowControl/>
              <w:jc w:val="left"/>
              <w:textAlignment w:val="center"/>
              <w:rPr>
                <w:rFonts w:cs="Arial"/>
                <w:color w:val="auto"/>
                <w:szCs w:val="21"/>
                <w:highlight w:val="none"/>
              </w:rPr>
            </w:pPr>
            <w:r>
              <w:rPr>
                <w:rFonts w:hint="eastAsia" w:cs="宋体"/>
                <w:kern w:val="0"/>
                <w:sz w:val="18"/>
                <w:szCs w:val="18"/>
                <w:lang w:bidi="ar"/>
              </w:rPr>
              <w:t>AIGC智创实训平台：艺术与科技设备</w:t>
            </w:r>
          </w:p>
        </w:tc>
        <w:tc>
          <w:tcPr>
            <w:tcW w:w="851" w:type="dxa"/>
            <w:vAlign w:val="center"/>
          </w:tcPr>
          <w:p w14:paraId="3B683DD0">
            <w:pPr>
              <w:widowControl/>
              <w:jc w:val="center"/>
              <w:textAlignment w:val="center"/>
              <w:rPr>
                <w:rFonts w:ascii="Times New Roman" w:hAnsi="Times New Roman"/>
                <w:color w:val="auto"/>
                <w:szCs w:val="21"/>
                <w:highlight w:val="none"/>
              </w:rPr>
            </w:pPr>
            <w:r>
              <w:rPr>
                <w:rFonts w:hint="eastAsia" w:cs="宋体"/>
                <w:kern w:val="0"/>
                <w:sz w:val="18"/>
                <w:szCs w:val="18"/>
                <w:lang w:bidi="ar"/>
              </w:rPr>
              <w:t>1</w:t>
            </w:r>
          </w:p>
        </w:tc>
        <w:tc>
          <w:tcPr>
            <w:tcW w:w="697" w:type="dxa"/>
            <w:vAlign w:val="center"/>
          </w:tcPr>
          <w:p w14:paraId="29183346">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套</w:t>
            </w:r>
          </w:p>
        </w:tc>
        <w:tc>
          <w:tcPr>
            <w:tcW w:w="1316" w:type="dxa"/>
            <w:vAlign w:val="center"/>
          </w:tcPr>
          <w:p w14:paraId="2073CEB0">
            <w:pPr>
              <w:widowControl/>
              <w:jc w:val="center"/>
              <w:textAlignment w:val="center"/>
              <w:rPr>
                <w:rFonts w:ascii="Times New Roman" w:hAnsi="Times New Roman"/>
                <w:color w:val="auto"/>
                <w:kern w:val="0"/>
                <w:szCs w:val="21"/>
                <w:highlight w:val="none"/>
              </w:rPr>
            </w:pPr>
            <w:r>
              <w:rPr>
                <w:rFonts w:hint="eastAsia" w:cs="宋体"/>
                <w:kern w:val="0"/>
                <w:sz w:val="18"/>
                <w:szCs w:val="18"/>
                <w:lang w:bidi="ar"/>
              </w:rPr>
              <w:t xml:space="preserve">9,500.00 </w:t>
            </w:r>
          </w:p>
        </w:tc>
        <w:tc>
          <w:tcPr>
            <w:tcW w:w="1316" w:type="dxa"/>
            <w:vAlign w:val="center"/>
          </w:tcPr>
          <w:p w14:paraId="15CCE9A4">
            <w:pPr>
              <w:widowControl/>
              <w:jc w:val="center"/>
              <w:textAlignment w:val="center"/>
              <w:rPr>
                <w:rFonts w:cs="宋体"/>
                <w:color w:val="auto"/>
                <w:kern w:val="0"/>
                <w:sz w:val="22"/>
                <w:szCs w:val="22"/>
                <w:highlight w:val="none"/>
                <w:lang w:bidi="ar"/>
              </w:rPr>
            </w:pPr>
            <w:r>
              <w:rPr>
                <w:rFonts w:hint="eastAsia" w:cs="宋体"/>
                <w:kern w:val="0"/>
                <w:sz w:val="18"/>
                <w:szCs w:val="18"/>
                <w:lang w:bidi="ar"/>
              </w:rPr>
              <w:t>9500.00</w:t>
            </w:r>
          </w:p>
        </w:tc>
        <w:tc>
          <w:tcPr>
            <w:tcW w:w="2316" w:type="dxa"/>
            <w:vAlign w:val="center"/>
          </w:tcPr>
          <w:p w14:paraId="712BF8CA">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1CB4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3DCB8B47">
            <w:pPr>
              <w:widowControl/>
              <w:jc w:val="center"/>
              <w:rPr>
                <w:rFonts w:ascii="Times New Roman" w:hAnsi="Times New Roman"/>
                <w:b/>
                <w:bCs/>
                <w:color w:val="auto"/>
                <w:kern w:val="0"/>
                <w:szCs w:val="21"/>
                <w:highlight w:val="none"/>
              </w:rPr>
            </w:pPr>
          </w:p>
        </w:tc>
        <w:tc>
          <w:tcPr>
            <w:tcW w:w="555" w:type="dxa"/>
            <w:vAlign w:val="center"/>
          </w:tcPr>
          <w:p w14:paraId="44AB0A58">
            <w:pPr>
              <w:widowControl/>
              <w:numPr>
                <w:ilvl w:val="0"/>
                <w:numId w:val="8"/>
              </w:numPr>
              <w:jc w:val="center"/>
              <w:rPr>
                <w:rFonts w:cs="Arial"/>
                <w:color w:val="auto"/>
                <w:szCs w:val="21"/>
                <w:highlight w:val="none"/>
              </w:rPr>
            </w:pPr>
          </w:p>
        </w:tc>
        <w:tc>
          <w:tcPr>
            <w:tcW w:w="1744" w:type="dxa"/>
            <w:vAlign w:val="center"/>
          </w:tcPr>
          <w:p w14:paraId="70B8ACDB">
            <w:pPr>
              <w:widowControl/>
              <w:jc w:val="left"/>
              <w:textAlignment w:val="center"/>
              <w:rPr>
                <w:rFonts w:cs="宋体"/>
                <w:color w:val="auto"/>
                <w:kern w:val="0"/>
                <w:sz w:val="17"/>
                <w:szCs w:val="17"/>
                <w:highlight w:val="none"/>
                <w:lang w:bidi="ar"/>
              </w:rPr>
            </w:pPr>
            <w:r>
              <w:rPr>
                <w:rFonts w:hint="eastAsia" w:cs="宋体"/>
                <w:kern w:val="0"/>
                <w:sz w:val="18"/>
                <w:szCs w:val="18"/>
                <w:lang w:bidi="ar"/>
              </w:rPr>
              <w:t>AIGC智创实训平台：熔融热挤压堆积立体成型设备</w:t>
            </w:r>
          </w:p>
        </w:tc>
        <w:tc>
          <w:tcPr>
            <w:tcW w:w="851" w:type="dxa"/>
            <w:vAlign w:val="center"/>
          </w:tcPr>
          <w:p w14:paraId="77CC340F">
            <w:pPr>
              <w:widowControl/>
              <w:jc w:val="center"/>
              <w:textAlignment w:val="center"/>
              <w:rPr>
                <w:rFonts w:cs="宋体"/>
                <w:color w:val="auto"/>
                <w:kern w:val="0"/>
                <w:sz w:val="17"/>
                <w:szCs w:val="17"/>
                <w:highlight w:val="none"/>
                <w:lang w:bidi="ar"/>
              </w:rPr>
            </w:pPr>
            <w:r>
              <w:rPr>
                <w:rFonts w:hint="eastAsia" w:cs="宋体"/>
                <w:kern w:val="0"/>
                <w:sz w:val="18"/>
                <w:szCs w:val="18"/>
                <w:lang w:bidi="ar"/>
              </w:rPr>
              <w:t>1</w:t>
            </w:r>
          </w:p>
        </w:tc>
        <w:tc>
          <w:tcPr>
            <w:tcW w:w="697" w:type="dxa"/>
            <w:vAlign w:val="center"/>
          </w:tcPr>
          <w:p w14:paraId="6FF60FDE">
            <w:pPr>
              <w:widowControl/>
              <w:jc w:val="center"/>
              <w:textAlignment w:val="center"/>
              <w:rPr>
                <w:rFonts w:cs="宋体"/>
                <w:color w:val="auto"/>
                <w:kern w:val="0"/>
                <w:sz w:val="17"/>
                <w:szCs w:val="17"/>
                <w:highlight w:val="none"/>
                <w:lang w:bidi="ar"/>
              </w:rPr>
            </w:pPr>
            <w:r>
              <w:rPr>
                <w:rFonts w:hint="eastAsia" w:cs="宋体"/>
                <w:kern w:val="0"/>
                <w:sz w:val="18"/>
                <w:szCs w:val="18"/>
                <w:lang w:bidi="ar"/>
              </w:rPr>
              <w:t>套</w:t>
            </w:r>
          </w:p>
        </w:tc>
        <w:tc>
          <w:tcPr>
            <w:tcW w:w="1316" w:type="dxa"/>
            <w:vAlign w:val="center"/>
          </w:tcPr>
          <w:p w14:paraId="4DCBB18E">
            <w:pPr>
              <w:widowControl/>
              <w:jc w:val="center"/>
              <w:textAlignment w:val="center"/>
              <w:rPr>
                <w:rFonts w:cs="宋体"/>
                <w:color w:val="auto"/>
                <w:kern w:val="0"/>
                <w:sz w:val="17"/>
                <w:szCs w:val="17"/>
                <w:highlight w:val="none"/>
                <w:lang w:bidi="ar"/>
              </w:rPr>
            </w:pPr>
            <w:r>
              <w:rPr>
                <w:rFonts w:hint="eastAsia" w:cs="宋体"/>
                <w:kern w:val="0"/>
                <w:sz w:val="18"/>
                <w:szCs w:val="18"/>
                <w:lang w:bidi="ar"/>
              </w:rPr>
              <w:t xml:space="preserve">28,000.00 </w:t>
            </w:r>
          </w:p>
        </w:tc>
        <w:tc>
          <w:tcPr>
            <w:tcW w:w="1316" w:type="dxa"/>
            <w:vAlign w:val="center"/>
          </w:tcPr>
          <w:p w14:paraId="1A6782CF">
            <w:pPr>
              <w:widowControl/>
              <w:jc w:val="center"/>
              <w:textAlignment w:val="center"/>
              <w:rPr>
                <w:rFonts w:cs="宋体"/>
                <w:color w:val="auto"/>
                <w:kern w:val="0"/>
                <w:sz w:val="22"/>
                <w:szCs w:val="22"/>
                <w:highlight w:val="none"/>
                <w:lang w:bidi="ar"/>
              </w:rPr>
            </w:pPr>
            <w:r>
              <w:rPr>
                <w:rFonts w:hint="eastAsia" w:cs="宋体"/>
                <w:kern w:val="0"/>
                <w:sz w:val="18"/>
                <w:szCs w:val="18"/>
                <w:lang w:bidi="ar"/>
              </w:rPr>
              <w:t>28000.00</w:t>
            </w:r>
          </w:p>
        </w:tc>
        <w:tc>
          <w:tcPr>
            <w:tcW w:w="2316" w:type="dxa"/>
            <w:vAlign w:val="center"/>
          </w:tcPr>
          <w:p w14:paraId="1011FA19">
            <w:pPr>
              <w:widowControl/>
              <w:jc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6E8E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4963C2E2">
            <w:pPr>
              <w:widowControl/>
              <w:jc w:val="center"/>
              <w:rPr>
                <w:rFonts w:ascii="Times New Roman" w:hAnsi="Times New Roman"/>
                <w:b/>
                <w:bCs/>
                <w:color w:val="auto"/>
                <w:kern w:val="0"/>
                <w:szCs w:val="21"/>
                <w:highlight w:val="none"/>
              </w:rPr>
            </w:pPr>
          </w:p>
        </w:tc>
        <w:tc>
          <w:tcPr>
            <w:tcW w:w="555" w:type="dxa"/>
            <w:vAlign w:val="center"/>
          </w:tcPr>
          <w:p w14:paraId="1338250E">
            <w:pPr>
              <w:widowControl/>
              <w:numPr>
                <w:ilvl w:val="0"/>
                <w:numId w:val="8"/>
              </w:numPr>
              <w:jc w:val="center"/>
              <w:rPr>
                <w:rFonts w:cs="Arial"/>
                <w:color w:val="auto"/>
                <w:szCs w:val="21"/>
                <w:highlight w:val="none"/>
              </w:rPr>
            </w:pPr>
          </w:p>
        </w:tc>
        <w:tc>
          <w:tcPr>
            <w:tcW w:w="1744" w:type="dxa"/>
            <w:vAlign w:val="center"/>
          </w:tcPr>
          <w:p w14:paraId="6BF25277">
            <w:pPr>
              <w:widowControl/>
              <w:jc w:val="left"/>
              <w:textAlignment w:val="center"/>
              <w:rPr>
                <w:rFonts w:cs="宋体"/>
                <w:color w:val="auto"/>
                <w:kern w:val="0"/>
                <w:sz w:val="22"/>
                <w:szCs w:val="22"/>
                <w:highlight w:val="none"/>
                <w:lang w:bidi="ar"/>
              </w:rPr>
            </w:pPr>
            <w:r>
              <w:rPr>
                <w:rFonts w:hint="eastAsia" w:cs="宋体"/>
                <w:kern w:val="0"/>
                <w:sz w:val="18"/>
                <w:szCs w:val="18"/>
                <w:lang w:bidi="ar"/>
              </w:rPr>
              <w:t>AIGC智创实训平台：光敏树脂精密立体成型设备</w:t>
            </w:r>
          </w:p>
        </w:tc>
        <w:tc>
          <w:tcPr>
            <w:tcW w:w="851" w:type="dxa"/>
            <w:vAlign w:val="center"/>
          </w:tcPr>
          <w:p w14:paraId="4A528AE7">
            <w:pPr>
              <w:widowControl/>
              <w:jc w:val="center"/>
              <w:textAlignment w:val="center"/>
              <w:rPr>
                <w:rFonts w:cs="宋体"/>
                <w:color w:val="auto"/>
                <w:kern w:val="0"/>
                <w:sz w:val="22"/>
                <w:szCs w:val="22"/>
                <w:highlight w:val="none"/>
                <w:lang w:bidi="ar"/>
              </w:rPr>
            </w:pPr>
            <w:r>
              <w:rPr>
                <w:rFonts w:hint="eastAsia" w:cs="宋体"/>
                <w:kern w:val="0"/>
                <w:sz w:val="18"/>
                <w:szCs w:val="18"/>
                <w:lang w:bidi="ar"/>
              </w:rPr>
              <w:t>1</w:t>
            </w:r>
          </w:p>
        </w:tc>
        <w:tc>
          <w:tcPr>
            <w:tcW w:w="697" w:type="dxa"/>
            <w:vAlign w:val="center"/>
          </w:tcPr>
          <w:p w14:paraId="5BA79A81">
            <w:pPr>
              <w:widowControl/>
              <w:jc w:val="center"/>
              <w:textAlignment w:val="center"/>
              <w:rPr>
                <w:rFonts w:cs="宋体"/>
                <w:color w:val="auto"/>
                <w:kern w:val="0"/>
                <w:sz w:val="22"/>
                <w:szCs w:val="22"/>
                <w:highlight w:val="none"/>
                <w:lang w:bidi="ar"/>
              </w:rPr>
            </w:pPr>
            <w:r>
              <w:rPr>
                <w:rFonts w:hint="eastAsia" w:cs="宋体"/>
                <w:kern w:val="0"/>
                <w:sz w:val="18"/>
                <w:szCs w:val="18"/>
                <w:lang w:bidi="ar"/>
              </w:rPr>
              <w:t>套</w:t>
            </w:r>
          </w:p>
        </w:tc>
        <w:tc>
          <w:tcPr>
            <w:tcW w:w="1316" w:type="dxa"/>
            <w:vAlign w:val="center"/>
          </w:tcPr>
          <w:p w14:paraId="47DF37DB">
            <w:pPr>
              <w:widowControl/>
              <w:jc w:val="center"/>
              <w:textAlignment w:val="center"/>
              <w:rPr>
                <w:rFonts w:cs="宋体"/>
                <w:color w:val="auto"/>
                <w:kern w:val="0"/>
                <w:sz w:val="22"/>
                <w:szCs w:val="22"/>
                <w:highlight w:val="none"/>
                <w:lang w:bidi="ar"/>
              </w:rPr>
            </w:pPr>
            <w:r>
              <w:rPr>
                <w:rFonts w:hint="eastAsia" w:cs="宋体"/>
                <w:kern w:val="0"/>
                <w:sz w:val="18"/>
                <w:szCs w:val="18"/>
                <w:lang w:bidi="ar"/>
              </w:rPr>
              <w:t xml:space="preserve">25,000.00 </w:t>
            </w:r>
          </w:p>
        </w:tc>
        <w:tc>
          <w:tcPr>
            <w:tcW w:w="1316" w:type="dxa"/>
            <w:vAlign w:val="center"/>
          </w:tcPr>
          <w:p w14:paraId="596EA319">
            <w:pPr>
              <w:widowControl/>
              <w:jc w:val="center"/>
              <w:textAlignment w:val="center"/>
              <w:rPr>
                <w:rFonts w:cs="宋体"/>
                <w:color w:val="auto"/>
                <w:kern w:val="0"/>
                <w:sz w:val="22"/>
                <w:szCs w:val="22"/>
                <w:highlight w:val="none"/>
                <w:lang w:bidi="ar"/>
              </w:rPr>
            </w:pPr>
            <w:r>
              <w:rPr>
                <w:rFonts w:hint="eastAsia" w:cs="宋体"/>
                <w:kern w:val="0"/>
                <w:sz w:val="18"/>
                <w:szCs w:val="18"/>
                <w:lang w:bidi="ar"/>
              </w:rPr>
              <w:t>25000.00</w:t>
            </w:r>
          </w:p>
        </w:tc>
        <w:tc>
          <w:tcPr>
            <w:tcW w:w="2316" w:type="dxa"/>
            <w:vAlign w:val="center"/>
          </w:tcPr>
          <w:p w14:paraId="0473EE6C">
            <w:pPr>
              <w:widowControl/>
              <w:jc w:val="center"/>
              <w:textAlignment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1FE3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644A62AB">
            <w:pPr>
              <w:widowControl/>
              <w:jc w:val="center"/>
              <w:rPr>
                <w:rFonts w:ascii="Times New Roman" w:hAnsi="Times New Roman"/>
                <w:b/>
                <w:bCs/>
                <w:color w:val="auto"/>
                <w:kern w:val="0"/>
                <w:szCs w:val="21"/>
                <w:highlight w:val="none"/>
              </w:rPr>
            </w:pPr>
          </w:p>
        </w:tc>
        <w:tc>
          <w:tcPr>
            <w:tcW w:w="555" w:type="dxa"/>
            <w:vAlign w:val="center"/>
          </w:tcPr>
          <w:p w14:paraId="14B82DBD">
            <w:pPr>
              <w:widowControl/>
              <w:numPr>
                <w:ilvl w:val="0"/>
                <w:numId w:val="8"/>
              </w:numPr>
              <w:jc w:val="center"/>
              <w:rPr>
                <w:rFonts w:cs="Arial"/>
                <w:color w:val="auto"/>
                <w:szCs w:val="21"/>
                <w:highlight w:val="none"/>
              </w:rPr>
            </w:pPr>
          </w:p>
        </w:tc>
        <w:tc>
          <w:tcPr>
            <w:tcW w:w="1744" w:type="dxa"/>
            <w:vAlign w:val="center"/>
          </w:tcPr>
          <w:p w14:paraId="78BF698C">
            <w:pPr>
              <w:widowControl/>
              <w:jc w:val="left"/>
              <w:textAlignment w:val="center"/>
              <w:rPr>
                <w:rFonts w:cs="宋体"/>
                <w:color w:val="auto"/>
                <w:kern w:val="0"/>
                <w:sz w:val="22"/>
                <w:szCs w:val="22"/>
                <w:highlight w:val="none"/>
                <w:lang w:bidi="ar"/>
              </w:rPr>
            </w:pPr>
            <w:r>
              <w:rPr>
                <w:rFonts w:hint="eastAsia" w:cs="宋体"/>
                <w:kern w:val="0"/>
                <w:sz w:val="18"/>
                <w:szCs w:val="18"/>
                <w:lang w:bidi="ar"/>
              </w:rPr>
              <w:t>AIGC智创实训平台：绘图工作站</w:t>
            </w:r>
          </w:p>
        </w:tc>
        <w:tc>
          <w:tcPr>
            <w:tcW w:w="851" w:type="dxa"/>
            <w:vAlign w:val="center"/>
          </w:tcPr>
          <w:p w14:paraId="62412169">
            <w:pPr>
              <w:widowControl/>
              <w:jc w:val="center"/>
              <w:textAlignment w:val="center"/>
              <w:rPr>
                <w:rFonts w:cs="宋体"/>
                <w:color w:val="auto"/>
                <w:kern w:val="0"/>
                <w:sz w:val="22"/>
                <w:szCs w:val="22"/>
                <w:highlight w:val="none"/>
                <w:lang w:bidi="ar"/>
              </w:rPr>
            </w:pPr>
            <w:r>
              <w:rPr>
                <w:rFonts w:hint="eastAsia" w:cs="宋体"/>
                <w:kern w:val="0"/>
                <w:sz w:val="18"/>
                <w:szCs w:val="18"/>
                <w:lang w:bidi="ar"/>
              </w:rPr>
              <w:t>46</w:t>
            </w:r>
          </w:p>
        </w:tc>
        <w:tc>
          <w:tcPr>
            <w:tcW w:w="697" w:type="dxa"/>
            <w:vAlign w:val="center"/>
          </w:tcPr>
          <w:p w14:paraId="77AB953A">
            <w:pPr>
              <w:widowControl/>
              <w:jc w:val="center"/>
              <w:textAlignment w:val="center"/>
              <w:rPr>
                <w:rFonts w:cs="宋体"/>
                <w:color w:val="auto"/>
                <w:kern w:val="0"/>
                <w:sz w:val="22"/>
                <w:szCs w:val="22"/>
                <w:highlight w:val="none"/>
                <w:lang w:bidi="ar"/>
              </w:rPr>
            </w:pPr>
            <w:r>
              <w:rPr>
                <w:rFonts w:hint="eastAsia" w:cs="宋体"/>
                <w:kern w:val="0"/>
                <w:sz w:val="18"/>
                <w:szCs w:val="18"/>
                <w:lang w:bidi="ar"/>
              </w:rPr>
              <w:t>台</w:t>
            </w:r>
          </w:p>
        </w:tc>
        <w:tc>
          <w:tcPr>
            <w:tcW w:w="1316" w:type="dxa"/>
            <w:vAlign w:val="center"/>
          </w:tcPr>
          <w:p w14:paraId="0C88DB58">
            <w:pPr>
              <w:widowControl/>
              <w:jc w:val="center"/>
              <w:textAlignment w:val="center"/>
              <w:rPr>
                <w:rFonts w:cs="宋体"/>
                <w:color w:val="auto"/>
                <w:kern w:val="0"/>
                <w:sz w:val="22"/>
                <w:szCs w:val="22"/>
                <w:highlight w:val="none"/>
                <w:lang w:bidi="ar"/>
              </w:rPr>
            </w:pPr>
            <w:r>
              <w:rPr>
                <w:rFonts w:hint="eastAsia" w:cs="宋体"/>
                <w:kern w:val="0"/>
                <w:sz w:val="18"/>
                <w:szCs w:val="18"/>
                <w:lang w:bidi="ar"/>
              </w:rPr>
              <w:t xml:space="preserve">13,049.00 </w:t>
            </w:r>
          </w:p>
        </w:tc>
        <w:tc>
          <w:tcPr>
            <w:tcW w:w="1316" w:type="dxa"/>
            <w:vAlign w:val="center"/>
          </w:tcPr>
          <w:p w14:paraId="79536973">
            <w:pPr>
              <w:widowControl/>
              <w:jc w:val="center"/>
              <w:textAlignment w:val="center"/>
              <w:rPr>
                <w:rFonts w:cs="宋体"/>
                <w:color w:val="auto"/>
                <w:kern w:val="0"/>
                <w:sz w:val="22"/>
                <w:szCs w:val="22"/>
                <w:highlight w:val="none"/>
                <w:lang w:bidi="ar"/>
              </w:rPr>
            </w:pPr>
            <w:r>
              <w:rPr>
                <w:rFonts w:hint="eastAsia" w:cs="宋体"/>
                <w:kern w:val="0"/>
                <w:sz w:val="18"/>
                <w:szCs w:val="18"/>
                <w:lang w:bidi="ar"/>
              </w:rPr>
              <w:t>600254.00</w:t>
            </w:r>
          </w:p>
        </w:tc>
        <w:tc>
          <w:tcPr>
            <w:tcW w:w="2316" w:type="dxa"/>
            <w:vAlign w:val="center"/>
          </w:tcPr>
          <w:p w14:paraId="1001609C">
            <w:pPr>
              <w:widowControl/>
              <w:jc w:val="center"/>
              <w:textAlignment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4899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066DAF3D">
            <w:pPr>
              <w:widowControl/>
              <w:jc w:val="center"/>
              <w:rPr>
                <w:rFonts w:ascii="Times New Roman" w:hAnsi="Times New Roman"/>
                <w:b/>
                <w:bCs/>
                <w:color w:val="auto"/>
                <w:kern w:val="0"/>
                <w:szCs w:val="21"/>
                <w:highlight w:val="none"/>
              </w:rPr>
            </w:pPr>
          </w:p>
        </w:tc>
        <w:tc>
          <w:tcPr>
            <w:tcW w:w="555" w:type="dxa"/>
            <w:vAlign w:val="center"/>
          </w:tcPr>
          <w:p w14:paraId="38E87B45">
            <w:pPr>
              <w:widowControl/>
              <w:numPr>
                <w:ilvl w:val="0"/>
                <w:numId w:val="8"/>
              </w:numPr>
              <w:jc w:val="center"/>
              <w:rPr>
                <w:rFonts w:cs="Arial"/>
                <w:color w:val="auto"/>
                <w:szCs w:val="21"/>
                <w:highlight w:val="none"/>
              </w:rPr>
            </w:pPr>
          </w:p>
        </w:tc>
        <w:tc>
          <w:tcPr>
            <w:tcW w:w="1744" w:type="dxa"/>
            <w:vAlign w:val="center"/>
          </w:tcPr>
          <w:p w14:paraId="49CDE42D">
            <w:pPr>
              <w:widowControl/>
              <w:jc w:val="left"/>
              <w:textAlignment w:val="center"/>
              <w:rPr>
                <w:rFonts w:cs="宋体"/>
                <w:color w:val="auto"/>
                <w:kern w:val="0"/>
                <w:sz w:val="22"/>
                <w:szCs w:val="22"/>
                <w:highlight w:val="none"/>
                <w:lang w:bidi="ar"/>
              </w:rPr>
            </w:pPr>
            <w:r>
              <w:rPr>
                <w:rFonts w:hint="eastAsia" w:cs="宋体"/>
                <w:kern w:val="0"/>
                <w:sz w:val="18"/>
                <w:szCs w:val="18"/>
                <w:lang w:bidi="ar"/>
              </w:rPr>
              <w:t>图形工作站</w:t>
            </w:r>
          </w:p>
        </w:tc>
        <w:tc>
          <w:tcPr>
            <w:tcW w:w="851" w:type="dxa"/>
            <w:vAlign w:val="center"/>
          </w:tcPr>
          <w:p w14:paraId="7AB77194">
            <w:pPr>
              <w:widowControl/>
              <w:jc w:val="center"/>
              <w:textAlignment w:val="center"/>
              <w:rPr>
                <w:rFonts w:cs="宋体"/>
                <w:color w:val="auto"/>
                <w:kern w:val="0"/>
                <w:sz w:val="22"/>
                <w:szCs w:val="22"/>
                <w:highlight w:val="none"/>
                <w:lang w:bidi="ar"/>
              </w:rPr>
            </w:pPr>
            <w:r>
              <w:rPr>
                <w:rFonts w:hint="eastAsia" w:cs="宋体"/>
                <w:kern w:val="0"/>
                <w:sz w:val="18"/>
                <w:szCs w:val="18"/>
                <w:lang w:bidi="ar"/>
              </w:rPr>
              <w:t>29</w:t>
            </w:r>
          </w:p>
        </w:tc>
        <w:tc>
          <w:tcPr>
            <w:tcW w:w="697" w:type="dxa"/>
            <w:vAlign w:val="center"/>
          </w:tcPr>
          <w:p w14:paraId="6A8D35CC">
            <w:pPr>
              <w:widowControl/>
              <w:jc w:val="center"/>
              <w:textAlignment w:val="center"/>
              <w:rPr>
                <w:rFonts w:cs="宋体"/>
                <w:color w:val="auto"/>
                <w:kern w:val="0"/>
                <w:sz w:val="22"/>
                <w:szCs w:val="22"/>
                <w:highlight w:val="none"/>
                <w:lang w:bidi="ar"/>
              </w:rPr>
            </w:pPr>
            <w:r>
              <w:rPr>
                <w:rFonts w:hint="eastAsia" w:cs="宋体"/>
                <w:kern w:val="0"/>
                <w:sz w:val="18"/>
                <w:szCs w:val="18"/>
                <w:lang w:bidi="ar"/>
              </w:rPr>
              <w:t>台</w:t>
            </w:r>
          </w:p>
        </w:tc>
        <w:tc>
          <w:tcPr>
            <w:tcW w:w="1316" w:type="dxa"/>
            <w:vAlign w:val="center"/>
          </w:tcPr>
          <w:p w14:paraId="4655B6D7">
            <w:pPr>
              <w:widowControl/>
              <w:jc w:val="center"/>
              <w:textAlignment w:val="center"/>
              <w:rPr>
                <w:rFonts w:cs="宋体"/>
                <w:color w:val="auto"/>
                <w:kern w:val="0"/>
                <w:sz w:val="22"/>
                <w:szCs w:val="22"/>
                <w:highlight w:val="none"/>
                <w:lang w:bidi="ar"/>
              </w:rPr>
            </w:pPr>
            <w:r>
              <w:rPr>
                <w:rFonts w:hint="eastAsia" w:cs="宋体"/>
                <w:kern w:val="0"/>
                <w:sz w:val="18"/>
                <w:szCs w:val="18"/>
                <w:lang w:bidi="ar"/>
              </w:rPr>
              <w:t>7,800.00</w:t>
            </w:r>
          </w:p>
        </w:tc>
        <w:tc>
          <w:tcPr>
            <w:tcW w:w="1316" w:type="dxa"/>
            <w:vAlign w:val="center"/>
          </w:tcPr>
          <w:p w14:paraId="615426E0">
            <w:pPr>
              <w:widowControl/>
              <w:jc w:val="center"/>
              <w:textAlignment w:val="center"/>
              <w:rPr>
                <w:rFonts w:cs="宋体"/>
                <w:color w:val="auto"/>
                <w:kern w:val="0"/>
                <w:sz w:val="22"/>
                <w:szCs w:val="22"/>
                <w:highlight w:val="none"/>
                <w:lang w:bidi="ar"/>
              </w:rPr>
            </w:pPr>
            <w:r>
              <w:rPr>
                <w:rFonts w:hint="eastAsia" w:cs="宋体"/>
                <w:kern w:val="0"/>
                <w:sz w:val="18"/>
                <w:szCs w:val="18"/>
                <w:lang w:bidi="ar"/>
              </w:rPr>
              <w:t>226200.00</w:t>
            </w:r>
          </w:p>
        </w:tc>
        <w:tc>
          <w:tcPr>
            <w:tcW w:w="2316" w:type="dxa"/>
            <w:vAlign w:val="center"/>
          </w:tcPr>
          <w:p w14:paraId="7464583B">
            <w:pPr>
              <w:widowControl/>
              <w:jc w:val="center"/>
              <w:textAlignment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3326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4FAB52CB">
            <w:pPr>
              <w:widowControl/>
              <w:jc w:val="center"/>
              <w:rPr>
                <w:rFonts w:ascii="Times New Roman" w:hAnsi="Times New Roman"/>
                <w:b/>
                <w:bCs/>
                <w:color w:val="auto"/>
                <w:kern w:val="0"/>
                <w:szCs w:val="21"/>
                <w:highlight w:val="none"/>
              </w:rPr>
            </w:pPr>
          </w:p>
        </w:tc>
        <w:tc>
          <w:tcPr>
            <w:tcW w:w="555" w:type="dxa"/>
            <w:vAlign w:val="center"/>
          </w:tcPr>
          <w:p w14:paraId="7A94059E">
            <w:pPr>
              <w:widowControl/>
              <w:numPr>
                <w:ilvl w:val="0"/>
                <w:numId w:val="8"/>
              </w:numPr>
              <w:jc w:val="center"/>
              <w:rPr>
                <w:rFonts w:cs="Arial"/>
                <w:color w:val="auto"/>
                <w:szCs w:val="21"/>
                <w:highlight w:val="none"/>
              </w:rPr>
            </w:pPr>
          </w:p>
        </w:tc>
        <w:tc>
          <w:tcPr>
            <w:tcW w:w="1744" w:type="dxa"/>
            <w:vAlign w:val="center"/>
          </w:tcPr>
          <w:p w14:paraId="1BA8705E">
            <w:pPr>
              <w:widowControl/>
              <w:jc w:val="left"/>
              <w:textAlignment w:val="center"/>
              <w:rPr>
                <w:rFonts w:cs="宋体"/>
                <w:color w:val="auto"/>
                <w:kern w:val="0"/>
                <w:sz w:val="22"/>
                <w:szCs w:val="22"/>
                <w:highlight w:val="none"/>
                <w:lang w:bidi="ar"/>
              </w:rPr>
            </w:pPr>
            <w:r>
              <w:rPr>
                <w:rFonts w:hint="eastAsia" w:cs="宋体"/>
                <w:kern w:val="0"/>
                <w:sz w:val="18"/>
                <w:szCs w:val="18"/>
                <w:lang w:bidi="ar"/>
              </w:rPr>
              <w:t>深度学习机</w:t>
            </w:r>
          </w:p>
        </w:tc>
        <w:tc>
          <w:tcPr>
            <w:tcW w:w="851" w:type="dxa"/>
            <w:vAlign w:val="center"/>
          </w:tcPr>
          <w:p w14:paraId="27EB8444">
            <w:pPr>
              <w:widowControl/>
              <w:jc w:val="center"/>
              <w:textAlignment w:val="center"/>
              <w:rPr>
                <w:rFonts w:cs="宋体"/>
                <w:color w:val="auto"/>
                <w:kern w:val="0"/>
                <w:sz w:val="22"/>
                <w:szCs w:val="22"/>
                <w:highlight w:val="none"/>
                <w:lang w:bidi="ar"/>
              </w:rPr>
            </w:pPr>
            <w:r>
              <w:rPr>
                <w:rFonts w:hint="eastAsia" w:cs="宋体"/>
                <w:kern w:val="0"/>
                <w:sz w:val="18"/>
                <w:szCs w:val="18"/>
                <w:lang w:bidi="ar"/>
              </w:rPr>
              <w:t>10</w:t>
            </w:r>
          </w:p>
        </w:tc>
        <w:tc>
          <w:tcPr>
            <w:tcW w:w="697" w:type="dxa"/>
            <w:vAlign w:val="center"/>
          </w:tcPr>
          <w:p w14:paraId="113DEE70">
            <w:pPr>
              <w:widowControl/>
              <w:jc w:val="center"/>
              <w:textAlignment w:val="center"/>
              <w:rPr>
                <w:rFonts w:cs="宋体"/>
                <w:color w:val="auto"/>
                <w:kern w:val="0"/>
                <w:sz w:val="22"/>
                <w:szCs w:val="22"/>
                <w:highlight w:val="none"/>
                <w:lang w:bidi="ar"/>
              </w:rPr>
            </w:pPr>
            <w:r>
              <w:rPr>
                <w:rFonts w:hint="eastAsia" w:cs="宋体"/>
                <w:kern w:val="0"/>
                <w:sz w:val="18"/>
                <w:szCs w:val="18"/>
                <w:lang w:bidi="ar"/>
              </w:rPr>
              <w:t>套</w:t>
            </w:r>
          </w:p>
        </w:tc>
        <w:tc>
          <w:tcPr>
            <w:tcW w:w="1316" w:type="dxa"/>
            <w:vAlign w:val="center"/>
          </w:tcPr>
          <w:p w14:paraId="0FF0E7FA">
            <w:pPr>
              <w:widowControl/>
              <w:jc w:val="center"/>
              <w:textAlignment w:val="center"/>
              <w:rPr>
                <w:rFonts w:cs="宋体"/>
                <w:color w:val="auto"/>
                <w:kern w:val="0"/>
                <w:sz w:val="22"/>
                <w:szCs w:val="22"/>
                <w:highlight w:val="none"/>
                <w:lang w:bidi="ar"/>
              </w:rPr>
            </w:pPr>
            <w:r>
              <w:rPr>
                <w:rFonts w:hint="eastAsia" w:cs="宋体"/>
                <w:kern w:val="0"/>
                <w:sz w:val="18"/>
                <w:szCs w:val="18"/>
                <w:lang w:bidi="ar"/>
              </w:rPr>
              <w:t xml:space="preserve">26,590.00 </w:t>
            </w:r>
          </w:p>
        </w:tc>
        <w:tc>
          <w:tcPr>
            <w:tcW w:w="1316" w:type="dxa"/>
            <w:vAlign w:val="center"/>
          </w:tcPr>
          <w:p w14:paraId="28001885">
            <w:pPr>
              <w:widowControl/>
              <w:jc w:val="center"/>
              <w:textAlignment w:val="center"/>
              <w:rPr>
                <w:rFonts w:cs="宋体"/>
                <w:color w:val="auto"/>
                <w:kern w:val="0"/>
                <w:sz w:val="22"/>
                <w:szCs w:val="22"/>
                <w:highlight w:val="none"/>
                <w:lang w:bidi="ar"/>
              </w:rPr>
            </w:pPr>
            <w:r>
              <w:rPr>
                <w:rFonts w:hint="eastAsia" w:cs="宋体"/>
                <w:kern w:val="0"/>
                <w:sz w:val="18"/>
                <w:szCs w:val="18"/>
                <w:lang w:bidi="ar"/>
              </w:rPr>
              <w:t>265900.00</w:t>
            </w:r>
          </w:p>
        </w:tc>
        <w:tc>
          <w:tcPr>
            <w:tcW w:w="2316" w:type="dxa"/>
            <w:vAlign w:val="center"/>
          </w:tcPr>
          <w:p w14:paraId="26B970B9">
            <w:pPr>
              <w:widowControl/>
              <w:jc w:val="center"/>
              <w:textAlignment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7B19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5A467ECD">
            <w:pPr>
              <w:widowControl/>
              <w:jc w:val="center"/>
              <w:rPr>
                <w:rFonts w:ascii="Times New Roman" w:hAnsi="Times New Roman"/>
                <w:b/>
                <w:bCs/>
                <w:color w:val="auto"/>
                <w:kern w:val="0"/>
                <w:szCs w:val="21"/>
                <w:highlight w:val="none"/>
              </w:rPr>
            </w:pPr>
          </w:p>
        </w:tc>
        <w:tc>
          <w:tcPr>
            <w:tcW w:w="555" w:type="dxa"/>
            <w:vAlign w:val="center"/>
          </w:tcPr>
          <w:p w14:paraId="5D7B729C">
            <w:pPr>
              <w:widowControl/>
              <w:numPr>
                <w:ilvl w:val="0"/>
                <w:numId w:val="8"/>
              </w:numPr>
              <w:jc w:val="center"/>
              <w:rPr>
                <w:rFonts w:cs="Arial"/>
                <w:color w:val="auto"/>
                <w:szCs w:val="21"/>
                <w:highlight w:val="none"/>
              </w:rPr>
            </w:pPr>
          </w:p>
        </w:tc>
        <w:tc>
          <w:tcPr>
            <w:tcW w:w="1744" w:type="dxa"/>
            <w:vAlign w:val="center"/>
          </w:tcPr>
          <w:p w14:paraId="63E8B957">
            <w:pPr>
              <w:widowControl/>
              <w:jc w:val="left"/>
              <w:textAlignment w:val="center"/>
              <w:rPr>
                <w:rFonts w:cs="宋体"/>
                <w:color w:val="auto"/>
                <w:kern w:val="0"/>
                <w:sz w:val="22"/>
                <w:szCs w:val="22"/>
                <w:highlight w:val="none"/>
                <w:lang w:bidi="ar"/>
              </w:rPr>
            </w:pPr>
            <w:r>
              <w:rPr>
                <w:rFonts w:hint="eastAsia" w:cs="宋体"/>
                <w:kern w:val="0"/>
                <w:sz w:val="18"/>
                <w:szCs w:val="18"/>
                <w:lang w:bidi="ar"/>
              </w:rPr>
              <w:t xml:space="preserve">AI训练机 </w:t>
            </w:r>
          </w:p>
        </w:tc>
        <w:tc>
          <w:tcPr>
            <w:tcW w:w="851" w:type="dxa"/>
            <w:vAlign w:val="center"/>
          </w:tcPr>
          <w:p w14:paraId="721B234E">
            <w:pPr>
              <w:widowControl/>
              <w:jc w:val="center"/>
              <w:textAlignment w:val="center"/>
              <w:rPr>
                <w:rFonts w:cs="宋体"/>
                <w:color w:val="auto"/>
                <w:kern w:val="0"/>
                <w:sz w:val="22"/>
                <w:szCs w:val="22"/>
                <w:highlight w:val="none"/>
                <w:lang w:bidi="ar"/>
              </w:rPr>
            </w:pPr>
            <w:r>
              <w:rPr>
                <w:rFonts w:hint="eastAsia" w:cs="宋体"/>
                <w:kern w:val="0"/>
                <w:sz w:val="18"/>
                <w:szCs w:val="18"/>
                <w:lang w:bidi="ar"/>
              </w:rPr>
              <w:t>50</w:t>
            </w:r>
          </w:p>
        </w:tc>
        <w:tc>
          <w:tcPr>
            <w:tcW w:w="697" w:type="dxa"/>
            <w:vAlign w:val="center"/>
          </w:tcPr>
          <w:p w14:paraId="16266C56">
            <w:pPr>
              <w:widowControl/>
              <w:jc w:val="center"/>
              <w:textAlignment w:val="center"/>
              <w:rPr>
                <w:rFonts w:cs="宋体"/>
                <w:color w:val="auto"/>
                <w:kern w:val="0"/>
                <w:sz w:val="22"/>
                <w:szCs w:val="22"/>
                <w:highlight w:val="none"/>
                <w:lang w:bidi="ar"/>
              </w:rPr>
            </w:pPr>
            <w:r>
              <w:rPr>
                <w:rFonts w:hint="eastAsia" w:cs="宋体"/>
                <w:kern w:val="0"/>
                <w:sz w:val="18"/>
                <w:szCs w:val="18"/>
                <w:lang w:bidi="ar"/>
              </w:rPr>
              <w:t>套</w:t>
            </w:r>
          </w:p>
        </w:tc>
        <w:tc>
          <w:tcPr>
            <w:tcW w:w="1316" w:type="dxa"/>
            <w:vAlign w:val="center"/>
          </w:tcPr>
          <w:p w14:paraId="5B16E29A">
            <w:pPr>
              <w:widowControl/>
              <w:jc w:val="center"/>
              <w:textAlignment w:val="center"/>
              <w:rPr>
                <w:rFonts w:cs="宋体"/>
                <w:color w:val="auto"/>
                <w:kern w:val="0"/>
                <w:sz w:val="22"/>
                <w:szCs w:val="22"/>
                <w:highlight w:val="none"/>
                <w:lang w:bidi="ar"/>
              </w:rPr>
            </w:pPr>
            <w:r>
              <w:rPr>
                <w:rFonts w:hint="eastAsia" w:cs="宋体"/>
                <w:kern w:val="0"/>
                <w:sz w:val="18"/>
                <w:szCs w:val="18"/>
                <w:lang w:bidi="ar"/>
              </w:rPr>
              <w:t xml:space="preserve">12,420.00 </w:t>
            </w:r>
          </w:p>
        </w:tc>
        <w:tc>
          <w:tcPr>
            <w:tcW w:w="1316" w:type="dxa"/>
            <w:vAlign w:val="center"/>
          </w:tcPr>
          <w:p w14:paraId="1800131A">
            <w:pPr>
              <w:widowControl/>
              <w:jc w:val="center"/>
              <w:textAlignment w:val="center"/>
              <w:rPr>
                <w:rFonts w:cs="宋体"/>
                <w:color w:val="auto"/>
                <w:kern w:val="0"/>
                <w:sz w:val="22"/>
                <w:szCs w:val="22"/>
                <w:highlight w:val="none"/>
                <w:lang w:bidi="ar"/>
              </w:rPr>
            </w:pPr>
            <w:r>
              <w:rPr>
                <w:rFonts w:hint="eastAsia" w:cs="宋体"/>
                <w:kern w:val="0"/>
                <w:sz w:val="18"/>
                <w:szCs w:val="18"/>
                <w:lang w:bidi="ar"/>
              </w:rPr>
              <w:t>621000.00</w:t>
            </w:r>
          </w:p>
        </w:tc>
        <w:tc>
          <w:tcPr>
            <w:tcW w:w="2316" w:type="dxa"/>
            <w:vAlign w:val="center"/>
          </w:tcPr>
          <w:p w14:paraId="55E9882A">
            <w:pPr>
              <w:widowControl/>
              <w:jc w:val="center"/>
              <w:textAlignment w:val="center"/>
              <w:rPr>
                <w:rFonts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34AB1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5FE73D26">
            <w:pPr>
              <w:widowControl/>
              <w:jc w:val="center"/>
              <w:rPr>
                <w:rFonts w:ascii="Times New Roman" w:hAnsi="Times New Roman"/>
                <w:b/>
                <w:bCs/>
                <w:color w:val="auto"/>
                <w:kern w:val="0"/>
                <w:szCs w:val="21"/>
                <w:highlight w:val="none"/>
              </w:rPr>
            </w:pPr>
          </w:p>
        </w:tc>
        <w:tc>
          <w:tcPr>
            <w:tcW w:w="555" w:type="dxa"/>
            <w:vAlign w:val="center"/>
          </w:tcPr>
          <w:p w14:paraId="65067EED">
            <w:pPr>
              <w:widowControl/>
              <w:numPr>
                <w:ilvl w:val="0"/>
                <w:numId w:val="8"/>
              </w:numPr>
              <w:jc w:val="center"/>
              <w:rPr>
                <w:rFonts w:cs="Arial"/>
                <w:color w:val="auto"/>
                <w:szCs w:val="21"/>
                <w:highlight w:val="none"/>
              </w:rPr>
            </w:pPr>
          </w:p>
        </w:tc>
        <w:tc>
          <w:tcPr>
            <w:tcW w:w="1744" w:type="dxa"/>
            <w:vAlign w:val="center"/>
          </w:tcPr>
          <w:p w14:paraId="73F98D36">
            <w:pPr>
              <w:widowControl/>
              <w:jc w:val="left"/>
              <w:textAlignment w:val="center"/>
              <w:rPr>
                <w:rFonts w:hint="eastAsia" w:cs="宋体"/>
                <w:color w:val="auto"/>
                <w:kern w:val="0"/>
                <w:sz w:val="18"/>
                <w:szCs w:val="18"/>
                <w:highlight w:val="none"/>
                <w:lang w:bidi="ar"/>
              </w:rPr>
            </w:pPr>
            <w:r>
              <w:rPr>
                <w:rFonts w:hint="eastAsia" w:cs="宋体"/>
                <w:kern w:val="0"/>
                <w:sz w:val="18"/>
                <w:szCs w:val="18"/>
                <w:lang w:bidi="ar"/>
              </w:rPr>
              <w:t>智慧超显屏</w:t>
            </w:r>
          </w:p>
        </w:tc>
        <w:tc>
          <w:tcPr>
            <w:tcW w:w="851" w:type="dxa"/>
            <w:vAlign w:val="center"/>
          </w:tcPr>
          <w:p w14:paraId="26AEF3A9">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31</w:t>
            </w:r>
          </w:p>
        </w:tc>
        <w:tc>
          <w:tcPr>
            <w:tcW w:w="697" w:type="dxa"/>
            <w:vAlign w:val="center"/>
          </w:tcPr>
          <w:p w14:paraId="355DB879">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台</w:t>
            </w:r>
          </w:p>
        </w:tc>
        <w:tc>
          <w:tcPr>
            <w:tcW w:w="1316" w:type="dxa"/>
            <w:vAlign w:val="center"/>
          </w:tcPr>
          <w:p w14:paraId="45446378">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 xml:space="preserve">6,000.00 </w:t>
            </w:r>
          </w:p>
        </w:tc>
        <w:tc>
          <w:tcPr>
            <w:tcW w:w="1316" w:type="dxa"/>
            <w:vAlign w:val="center"/>
          </w:tcPr>
          <w:p w14:paraId="12278D2D">
            <w:pPr>
              <w:widowControl/>
              <w:jc w:val="center"/>
              <w:textAlignment w:val="center"/>
              <w:rPr>
                <w:rFonts w:hint="default" w:cs="宋体"/>
                <w:color w:val="auto"/>
                <w:kern w:val="0"/>
                <w:sz w:val="18"/>
                <w:szCs w:val="18"/>
                <w:highlight w:val="none"/>
                <w:lang w:val="en-US" w:bidi="ar"/>
              </w:rPr>
            </w:pPr>
            <w:r>
              <w:rPr>
                <w:rFonts w:hint="eastAsia" w:ascii="等线" w:hAnsi="等线" w:eastAsia="等线" w:cs="等线"/>
                <w:kern w:val="0"/>
                <w:sz w:val="18"/>
                <w:szCs w:val="18"/>
                <w:lang w:bidi="ar"/>
              </w:rPr>
              <w:t>186000.00</w:t>
            </w:r>
          </w:p>
        </w:tc>
        <w:tc>
          <w:tcPr>
            <w:tcW w:w="2316" w:type="dxa"/>
            <w:vAlign w:val="center"/>
          </w:tcPr>
          <w:p w14:paraId="5CB1085A">
            <w:pPr>
              <w:widowControl/>
              <w:jc w:val="center"/>
              <w:textAlignment w:val="center"/>
              <w:rPr>
                <w:rFonts w:hint="eastAsia"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r w14:paraId="6627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89" w:type="dxa"/>
            <w:vMerge w:val="continue"/>
            <w:vAlign w:val="center"/>
          </w:tcPr>
          <w:p w14:paraId="348F90A9">
            <w:pPr>
              <w:widowControl/>
              <w:jc w:val="center"/>
              <w:rPr>
                <w:rFonts w:ascii="Times New Roman" w:hAnsi="Times New Roman"/>
                <w:b/>
                <w:bCs/>
                <w:color w:val="auto"/>
                <w:kern w:val="0"/>
                <w:szCs w:val="21"/>
                <w:highlight w:val="none"/>
              </w:rPr>
            </w:pPr>
          </w:p>
        </w:tc>
        <w:tc>
          <w:tcPr>
            <w:tcW w:w="555" w:type="dxa"/>
            <w:vAlign w:val="center"/>
          </w:tcPr>
          <w:p w14:paraId="238C2843">
            <w:pPr>
              <w:widowControl/>
              <w:numPr>
                <w:ilvl w:val="0"/>
                <w:numId w:val="8"/>
              </w:numPr>
              <w:jc w:val="center"/>
              <w:rPr>
                <w:rFonts w:cs="Arial"/>
                <w:color w:val="auto"/>
                <w:szCs w:val="21"/>
                <w:highlight w:val="none"/>
              </w:rPr>
            </w:pPr>
          </w:p>
        </w:tc>
        <w:tc>
          <w:tcPr>
            <w:tcW w:w="1744" w:type="dxa"/>
            <w:vAlign w:val="center"/>
          </w:tcPr>
          <w:p w14:paraId="79D068FD">
            <w:pPr>
              <w:widowControl/>
              <w:jc w:val="left"/>
              <w:textAlignment w:val="center"/>
              <w:rPr>
                <w:rFonts w:hint="eastAsia" w:cs="宋体"/>
                <w:color w:val="auto"/>
                <w:kern w:val="0"/>
                <w:sz w:val="18"/>
                <w:szCs w:val="18"/>
                <w:highlight w:val="none"/>
                <w:lang w:bidi="ar"/>
              </w:rPr>
            </w:pPr>
            <w:r>
              <w:rPr>
                <w:rFonts w:hint="eastAsia" w:cs="宋体"/>
                <w:kern w:val="0"/>
                <w:sz w:val="18"/>
                <w:szCs w:val="18"/>
                <w:lang w:bidi="ar"/>
              </w:rPr>
              <w:t>智能网络显示器</w:t>
            </w:r>
          </w:p>
        </w:tc>
        <w:tc>
          <w:tcPr>
            <w:tcW w:w="851" w:type="dxa"/>
            <w:vAlign w:val="center"/>
          </w:tcPr>
          <w:p w14:paraId="29265F32">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3</w:t>
            </w:r>
          </w:p>
        </w:tc>
        <w:tc>
          <w:tcPr>
            <w:tcW w:w="697" w:type="dxa"/>
            <w:vAlign w:val="center"/>
          </w:tcPr>
          <w:p w14:paraId="6CAFF90F">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台</w:t>
            </w:r>
          </w:p>
        </w:tc>
        <w:tc>
          <w:tcPr>
            <w:tcW w:w="1316" w:type="dxa"/>
            <w:vAlign w:val="center"/>
          </w:tcPr>
          <w:p w14:paraId="4C5C02F9">
            <w:pPr>
              <w:widowControl/>
              <w:jc w:val="center"/>
              <w:textAlignment w:val="center"/>
              <w:rPr>
                <w:rFonts w:hint="eastAsia" w:cs="宋体"/>
                <w:color w:val="auto"/>
                <w:kern w:val="0"/>
                <w:sz w:val="18"/>
                <w:szCs w:val="18"/>
                <w:highlight w:val="none"/>
                <w:lang w:bidi="ar"/>
              </w:rPr>
            </w:pPr>
            <w:r>
              <w:rPr>
                <w:rFonts w:hint="eastAsia" w:cs="宋体"/>
                <w:kern w:val="0"/>
                <w:sz w:val="18"/>
                <w:szCs w:val="18"/>
                <w:lang w:bidi="ar"/>
              </w:rPr>
              <w:t xml:space="preserve">10,400.00 </w:t>
            </w:r>
          </w:p>
        </w:tc>
        <w:tc>
          <w:tcPr>
            <w:tcW w:w="1316" w:type="dxa"/>
            <w:vAlign w:val="center"/>
          </w:tcPr>
          <w:p w14:paraId="74D6D979">
            <w:pPr>
              <w:widowControl/>
              <w:jc w:val="center"/>
              <w:textAlignment w:val="center"/>
              <w:rPr>
                <w:rFonts w:hint="default" w:cs="宋体"/>
                <w:color w:val="auto"/>
                <w:kern w:val="0"/>
                <w:sz w:val="18"/>
                <w:szCs w:val="18"/>
                <w:highlight w:val="none"/>
                <w:lang w:val="en-US" w:bidi="ar"/>
              </w:rPr>
            </w:pPr>
            <w:r>
              <w:rPr>
                <w:rFonts w:hint="eastAsia" w:ascii="等线" w:hAnsi="等线" w:eastAsia="等线" w:cs="等线"/>
                <w:kern w:val="0"/>
                <w:sz w:val="18"/>
                <w:szCs w:val="18"/>
                <w:lang w:bidi="ar"/>
              </w:rPr>
              <w:t>31200.00</w:t>
            </w:r>
          </w:p>
        </w:tc>
        <w:tc>
          <w:tcPr>
            <w:tcW w:w="2316" w:type="dxa"/>
            <w:vAlign w:val="center"/>
          </w:tcPr>
          <w:p w14:paraId="201799F4">
            <w:pPr>
              <w:widowControl/>
              <w:jc w:val="center"/>
              <w:textAlignment w:val="center"/>
              <w:rPr>
                <w:rFonts w:hint="eastAsia" w:ascii="Times New Roman" w:hAnsi="Times New Roman"/>
                <w:color w:val="auto"/>
                <w:kern w:val="0"/>
                <w:szCs w:val="21"/>
                <w:highlight w:val="none"/>
              </w:rPr>
            </w:pPr>
            <w:r>
              <w:rPr>
                <w:rFonts w:hint="eastAsia" w:ascii="Times New Roman" w:hAnsi="Times New Roman"/>
                <w:color w:val="auto"/>
                <w:kern w:val="0"/>
                <w:szCs w:val="21"/>
                <w:highlight w:val="none"/>
              </w:rPr>
              <w:t>昆明理工大学呈贡校区</w:t>
            </w:r>
          </w:p>
        </w:tc>
      </w:tr>
    </w:tbl>
    <w:p w14:paraId="01C3B48A">
      <w:pPr>
        <w:ind w:firstLine="420" w:firstLineChars="200"/>
        <w:rPr>
          <w:rFonts w:ascii="Times New Roman" w:hAnsi="Times New Roman"/>
          <w:b/>
          <w:bCs/>
          <w:color w:val="auto"/>
          <w:kern w:val="0"/>
          <w:szCs w:val="21"/>
          <w:highlight w:val="none"/>
        </w:rPr>
      </w:pPr>
    </w:p>
    <w:p w14:paraId="59FB9196">
      <w:pPr>
        <w:ind w:firstLine="420" w:firstLineChars="200"/>
        <w:rPr>
          <w:rFonts w:ascii="Times New Roman" w:hAnsi="Times New Roman"/>
          <w:b/>
          <w:bCs/>
          <w:color w:val="auto"/>
          <w:kern w:val="0"/>
          <w:szCs w:val="21"/>
          <w:highlight w:val="none"/>
        </w:rPr>
      </w:pPr>
      <w:r>
        <w:rPr>
          <w:rFonts w:ascii="Times New Roman" w:hAnsi="Times New Roman"/>
          <w:b/>
          <w:bCs/>
          <w:color w:val="auto"/>
          <w:kern w:val="0"/>
          <w:szCs w:val="21"/>
          <w:highlight w:val="none"/>
        </w:rPr>
        <w:t>本项目</w:t>
      </w:r>
      <w:r>
        <w:rPr>
          <w:rFonts w:hint="eastAsia" w:ascii="Times New Roman" w:hAnsi="Times New Roman"/>
          <w:b/>
          <w:bCs/>
          <w:color w:val="auto"/>
          <w:kern w:val="0"/>
          <w:szCs w:val="21"/>
          <w:highlight w:val="none"/>
        </w:rPr>
        <w:t>核心产品</w:t>
      </w:r>
      <w:r>
        <w:rPr>
          <w:rFonts w:ascii="Times New Roman" w:hAnsi="Times New Roman"/>
          <w:b/>
          <w:bCs/>
          <w:color w:val="auto"/>
          <w:kern w:val="0"/>
          <w:szCs w:val="21"/>
          <w:highlight w:val="none"/>
        </w:rPr>
        <w:t>为“AI训练机”</w:t>
      </w:r>
    </w:p>
    <w:p w14:paraId="230D1CD5">
      <w:pPr>
        <w:ind w:firstLine="420" w:firstLineChars="200"/>
        <w:rPr>
          <w:rFonts w:ascii="Times New Roman" w:hAnsi="Times New Roman"/>
          <w:b/>
          <w:bCs/>
          <w:color w:val="auto"/>
          <w:kern w:val="0"/>
          <w:szCs w:val="21"/>
          <w:highlight w:val="none"/>
        </w:rPr>
      </w:pPr>
      <w:r>
        <w:rPr>
          <w:rFonts w:ascii="Times New Roman" w:hAnsi="Times New Roman"/>
          <w:b/>
          <w:bCs/>
          <w:color w:val="auto"/>
          <w:kern w:val="0"/>
          <w:szCs w:val="21"/>
          <w:highlight w:val="none"/>
        </w:rPr>
        <w:t>本项目明确的所属行业为“工业”</w:t>
      </w:r>
    </w:p>
    <w:p w14:paraId="4917DC17">
      <w:pPr>
        <w:pStyle w:val="3"/>
        <w:numPr>
          <w:ilvl w:val="0"/>
          <w:numId w:val="0"/>
        </w:numPr>
        <w:rPr>
          <w:rFonts w:ascii="Times New Roman" w:hAnsi="Times New Roman" w:eastAsia="宋体"/>
          <w:color w:val="auto"/>
          <w:sz w:val="21"/>
          <w:szCs w:val="21"/>
          <w:highlight w:val="none"/>
        </w:rPr>
      </w:pPr>
      <w:bookmarkStart w:id="330" w:name="_Toc152862929"/>
      <w:bookmarkStart w:id="331" w:name="_Toc91696454"/>
      <w:bookmarkStart w:id="332" w:name="_Toc26056"/>
      <w:r>
        <w:rPr>
          <w:rFonts w:ascii="Times New Roman" w:hAnsi="Times New Roman" w:eastAsia="宋体"/>
          <w:color w:val="auto"/>
          <w:sz w:val="21"/>
          <w:szCs w:val="21"/>
          <w:highlight w:val="none"/>
        </w:rPr>
        <w:t>二、技术要求</w:t>
      </w:r>
      <w:bookmarkEnd w:id="329"/>
      <w:bookmarkEnd w:id="330"/>
      <w:bookmarkEnd w:id="331"/>
      <w:bookmarkEnd w:id="332"/>
    </w:p>
    <w:tbl>
      <w:tblPr>
        <w:tblStyle w:val="3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1096"/>
        <w:gridCol w:w="6947"/>
        <w:gridCol w:w="965"/>
      </w:tblGrid>
      <w:tr w14:paraId="091B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620" w:type="dxa"/>
            <w:vAlign w:val="center"/>
          </w:tcPr>
          <w:p w14:paraId="3363277D">
            <w:pPr>
              <w:widowControl/>
              <w:jc w:val="center"/>
              <w:rPr>
                <w:rFonts w:ascii="Times New Roman" w:hAnsi="Times New Roman"/>
                <w:b/>
                <w:bCs/>
                <w:color w:val="auto"/>
                <w:kern w:val="0"/>
                <w:szCs w:val="22"/>
                <w:highlight w:val="none"/>
              </w:rPr>
            </w:pPr>
            <w:r>
              <w:rPr>
                <w:rFonts w:hint="eastAsia" w:ascii="Times New Roman" w:hAnsi="Times New Roman"/>
                <w:b/>
                <w:bCs/>
                <w:color w:val="auto"/>
                <w:kern w:val="0"/>
                <w:szCs w:val="22"/>
                <w:highlight w:val="none"/>
              </w:rPr>
              <w:t>序号</w:t>
            </w:r>
          </w:p>
        </w:tc>
        <w:tc>
          <w:tcPr>
            <w:tcW w:w="1096" w:type="dxa"/>
            <w:vAlign w:val="center"/>
          </w:tcPr>
          <w:p w14:paraId="7DEEA4AC">
            <w:pPr>
              <w:widowControl/>
              <w:jc w:val="center"/>
              <w:rPr>
                <w:rFonts w:ascii="Times New Roman" w:hAnsi="Times New Roman"/>
                <w:b/>
                <w:bCs/>
                <w:color w:val="auto"/>
                <w:kern w:val="0"/>
                <w:szCs w:val="22"/>
                <w:highlight w:val="none"/>
              </w:rPr>
            </w:pPr>
            <w:r>
              <w:rPr>
                <w:rFonts w:hint="eastAsia" w:ascii="Times New Roman" w:hAnsi="Times New Roman"/>
                <w:b/>
                <w:bCs/>
                <w:color w:val="auto"/>
                <w:kern w:val="0"/>
                <w:szCs w:val="22"/>
                <w:highlight w:val="none"/>
              </w:rPr>
              <w:t>产品项目名称</w:t>
            </w:r>
          </w:p>
        </w:tc>
        <w:tc>
          <w:tcPr>
            <w:tcW w:w="6947" w:type="dxa"/>
            <w:vAlign w:val="center"/>
          </w:tcPr>
          <w:p w14:paraId="47305883">
            <w:pPr>
              <w:widowControl/>
              <w:jc w:val="center"/>
              <w:rPr>
                <w:rFonts w:ascii="Times New Roman" w:hAnsi="Times New Roman"/>
                <w:b/>
                <w:bCs/>
                <w:color w:val="auto"/>
                <w:kern w:val="0"/>
                <w:szCs w:val="22"/>
                <w:highlight w:val="none"/>
              </w:rPr>
            </w:pPr>
            <w:r>
              <w:rPr>
                <w:rFonts w:hint="eastAsia" w:ascii="Times New Roman" w:hAnsi="Times New Roman"/>
                <w:b/>
                <w:bCs/>
                <w:color w:val="auto"/>
                <w:kern w:val="0"/>
                <w:szCs w:val="22"/>
                <w:highlight w:val="none"/>
              </w:rPr>
              <w:t>规格（技术参数、性能要求）</w:t>
            </w:r>
          </w:p>
        </w:tc>
        <w:tc>
          <w:tcPr>
            <w:tcW w:w="965" w:type="dxa"/>
            <w:vAlign w:val="center"/>
          </w:tcPr>
          <w:p w14:paraId="24C08783">
            <w:pPr>
              <w:widowControl/>
              <w:jc w:val="center"/>
              <w:rPr>
                <w:rFonts w:ascii="Times New Roman" w:hAnsi="Times New Roman"/>
                <w:b/>
                <w:bCs/>
                <w:color w:val="auto"/>
                <w:kern w:val="0"/>
                <w:szCs w:val="22"/>
                <w:highlight w:val="none"/>
              </w:rPr>
            </w:pPr>
            <w:r>
              <w:rPr>
                <w:rFonts w:ascii="Times New Roman" w:hAnsi="Times New Roman"/>
                <w:b/>
                <w:bCs/>
                <w:color w:val="auto"/>
                <w:kern w:val="0"/>
                <w:szCs w:val="22"/>
                <w:highlight w:val="none"/>
              </w:rPr>
              <w:t>备注</w:t>
            </w:r>
          </w:p>
        </w:tc>
      </w:tr>
      <w:tr w14:paraId="3DC2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7CF03EEF">
            <w:pPr>
              <w:widowControl/>
              <w:numPr>
                <w:ilvl w:val="0"/>
                <w:numId w:val="9"/>
              </w:numPr>
              <w:jc w:val="center"/>
              <w:rPr>
                <w:rFonts w:ascii="Times New Roman" w:hAnsi="Times New Roman"/>
                <w:color w:val="auto"/>
                <w:kern w:val="0"/>
                <w:szCs w:val="22"/>
                <w:highlight w:val="none"/>
              </w:rPr>
            </w:pPr>
          </w:p>
        </w:tc>
        <w:tc>
          <w:tcPr>
            <w:tcW w:w="1096" w:type="dxa"/>
            <w:vAlign w:val="center"/>
          </w:tcPr>
          <w:p w14:paraId="27AB6317">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AIGC智创实训平台：手写输入输出设备</w:t>
            </w:r>
          </w:p>
        </w:tc>
        <w:tc>
          <w:tcPr>
            <w:tcW w:w="6947" w:type="dxa"/>
            <w:vAlign w:val="center"/>
          </w:tcPr>
          <w:p w14:paraId="4FA256AD">
            <w:pPr>
              <w:widowControl/>
              <w:jc w:val="left"/>
              <w:textAlignment w:val="center"/>
              <w:rPr>
                <w:rFonts w:cs="宋体"/>
                <w:kern w:val="0"/>
                <w:sz w:val="18"/>
                <w:szCs w:val="18"/>
              </w:rPr>
            </w:pPr>
            <w:r>
              <w:rPr>
                <w:rFonts w:hint="eastAsia" w:cs="宋体"/>
                <w:kern w:val="0"/>
                <w:sz w:val="18"/>
                <w:szCs w:val="18"/>
              </w:rPr>
              <w:t xml:space="preserve">1.数位感应信息 </w:t>
            </w:r>
          </w:p>
          <w:p w14:paraId="09C84903">
            <w:pPr>
              <w:widowControl/>
              <w:jc w:val="left"/>
              <w:textAlignment w:val="center"/>
              <w:rPr>
                <w:rFonts w:cs="宋体"/>
                <w:kern w:val="0"/>
                <w:sz w:val="18"/>
                <w:szCs w:val="18"/>
              </w:rPr>
            </w:pPr>
            <w:r>
              <w:rPr>
                <w:rFonts w:hint="eastAsia" w:cs="宋体"/>
                <w:kern w:val="0"/>
                <w:sz w:val="18"/>
                <w:szCs w:val="18"/>
              </w:rPr>
              <w:t>(1)▲笔感应区域/屏幕面积≥ 596 x 335 毫米</w:t>
            </w:r>
          </w:p>
          <w:p w14:paraId="2232ED69">
            <w:pPr>
              <w:widowControl/>
              <w:jc w:val="left"/>
              <w:textAlignment w:val="center"/>
              <w:rPr>
                <w:rFonts w:cs="宋体"/>
                <w:kern w:val="0"/>
                <w:sz w:val="18"/>
                <w:szCs w:val="18"/>
              </w:rPr>
            </w:pPr>
            <w:r>
              <w:rPr>
                <w:rFonts w:hint="eastAsia" w:cs="宋体"/>
                <w:kern w:val="0"/>
                <w:sz w:val="18"/>
                <w:szCs w:val="18"/>
              </w:rPr>
              <w:t xml:space="preserve">2.显示器信息 </w:t>
            </w:r>
          </w:p>
          <w:p w14:paraId="0F31FBAA">
            <w:pPr>
              <w:widowControl/>
              <w:jc w:val="left"/>
              <w:textAlignment w:val="center"/>
              <w:rPr>
                <w:rFonts w:cs="宋体"/>
                <w:kern w:val="0"/>
                <w:sz w:val="18"/>
                <w:szCs w:val="18"/>
              </w:rPr>
            </w:pPr>
            <w:r>
              <w:rPr>
                <w:rFonts w:hint="eastAsia" w:cs="宋体"/>
                <w:kern w:val="0"/>
                <w:sz w:val="18"/>
                <w:szCs w:val="18"/>
              </w:rPr>
              <w:t>(1)▲屏幕尺寸:≥26.9 英寸</w:t>
            </w:r>
          </w:p>
          <w:p w14:paraId="01987615">
            <w:pPr>
              <w:widowControl/>
              <w:jc w:val="left"/>
              <w:textAlignment w:val="center"/>
              <w:rPr>
                <w:rFonts w:cs="宋体"/>
                <w:kern w:val="0"/>
                <w:sz w:val="18"/>
                <w:szCs w:val="18"/>
              </w:rPr>
            </w:pPr>
            <w:r>
              <w:rPr>
                <w:rFonts w:hint="eastAsia" w:cs="宋体"/>
                <w:kern w:val="0"/>
                <w:sz w:val="18"/>
                <w:szCs w:val="18"/>
              </w:rPr>
              <w:t>(2)▲屏幕分辨率:≥3840 x 2160 UHD 4K 超高清</w:t>
            </w:r>
          </w:p>
          <w:p w14:paraId="4D3DF89B">
            <w:pPr>
              <w:widowControl/>
              <w:jc w:val="left"/>
              <w:textAlignment w:val="center"/>
              <w:rPr>
                <w:rFonts w:cs="宋体"/>
                <w:kern w:val="0"/>
                <w:sz w:val="18"/>
                <w:szCs w:val="18"/>
              </w:rPr>
            </w:pPr>
            <w:r>
              <w:rPr>
                <w:rFonts w:hint="eastAsia" w:cs="宋体"/>
                <w:kern w:val="0"/>
                <w:sz w:val="18"/>
                <w:szCs w:val="18"/>
              </w:rPr>
              <w:t>(3)屏幕技术:IPS</w:t>
            </w:r>
          </w:p>
          <w:p w14:paraId="2C6494BE">
            <w:pPr>
              <w:widowControl/>
              <w:jc w:val="left"/>
              <w:textAlignment w:val="center"/>
              <w:rPr>
                <w:rFonts w:cs="宋体"/>
                <w:kern w:val="0"/>
                <w:sz w:val="18"/>
                <w:szCs w:val="18"/>
              </w:rPr>
            </w:pPr>
            <w:r>
              <w:rPr>
                <w:rFonts w:hint="eastAsia" w:cs="宋体"/>
                <w:kern w:val="0"/>
                <w:sz w:val="18"/>
                <w:szCs w:val="18"/>
              </w:rPr>
              <w:t>(4)外屏/屏幕表面:全覆盖防眩光蚀刻钢化玻璃</w:t>
            </w:r>
          </w:p>
          <w:p w14:paraId="3DB68016">
            <w:pPr>
              <w:widowControl/>
              <w:jc w:val="left"/>
              <w:textAlignment w:val="center"/>
              <w:rPr>
                <w:rFonts w:cs="宋体"/>
                <w:kern w:val="0"/>
                <w:sz w:val="18"/>
                <w:szCs w:val="18"/>
              </w:rPr>
            </w:pPr>
            <w:r>
              <w:rPr>
                <w:rFonts w:hint="eastAsia" w:cs="宋体"/>
                <w:kern w:val="0"/>
                <w:sz w:val="18"/>
                <w:szCs w:val="18"/>
              </w:rPr>
              <w:t>(5)显示区域:≥596 x 335 毫米</w:t>
            </w:r>
          </w:p>
          <w:p w14:paraId="2AFB9E23">
            <w:pPr>
              <w:widowControl/>
              <w:jc w:val="left"/>
              <w:textAlignment w:val="center"/>
              <w:rPr>
                <w:rFonts w:cs="宋体"/>
                <w:kern w:val="0"/>
                <w:sz w:val="18"/>
                <w:szCs w:val="18"/>
              </w:rPr>
            </w:pPr>
            <w:r>
              <w:rPr>
                <w:rFonts w:hint="eastAsia" w:cs="宋体"/>
                <w:kern w:val="0"/>
                <w:sz w:val="18"/>
                <w:szCs w:val="18"/>
              </w:rPr>
              <w:t>(6)屏幕比例:16:9</w:t>
            </w:r>
          </w:p>
          <w:p w14:paraId="663386BA">
            <w:pPr>
              <w:widowControl/>
              <w:jc w:val="left"/>
              <w:textAlignment w:val="center"/>
              <w:rPr>
                <w:rFonts w:cs="宋体"/>
                <w:kern w:val="0"/>
                <w:sz w:val="18"/>
                <w:szCs w:val="18"/>
              </w:rPr>
            </w:pPr>
            <w:r>
              <w:rPr>
                <w:rFonts w:hint="eastAsia" w:cs="宋体"/>
                <w:kern w:val="0"/>
                <w:sz w:val="18"/>
                <w:szCs w:val="18"/>
              </w:rPr>
              <w:t>(7)屏幕像素数:≥8294400</w:t>
            </w:r>
          </w:p>
          <w:p w14:paraId="5B949BB1">
            <w:pPr>
              <w:widowControl/>
              <w:jc w:val="left"/>
              <w:textAlignment w:val="center"/>
              <w:rPr>
                <w:rFonts w:cs="宋体"/>
                <w:kern w:val="0"/>
                <w:sz w:val="18"/>
                <w:szCs w:val="18"/>
              </w:rPr>
            </w:pPr>
            <w:r>
              <w:rPr>
                <w:rFonts w:hint="eastAsia" w:cs="宋体"/>
                <w:kern w:val="0"/>
                <w:sz w:val="18"/>
                <w:szCs w:val="18"/>
              </w:rPr>
              <w:t>(8)屏幕背光均匀度:支持</w:t>
            </w:r>
          </w:p>
          <w:p w14:paraId="13F3C2E6">
            <w:pPr>
              <w:widowControl/>
              <w:jc w:val="left"/>
              <w:textAlignment w:val="center"/>
              <w:rPr>
                <w:rFonts w:cs="宋体"/>
                <w:kern w:val="0"/>
                <w:sz w:val="18"/>
                <w:szCs w:val="18"/>
              </w:rPr>
            </w:pPr>
            <w:r>
              <w:rPr>
                <w:rFonts w:hint="eastAsia" w:cs="宋体"/>
                <w:kern w:val="0"/>
                <w:sz w:val="18"/>
                <w:szCs w:val="18"/>
              </w:rPr>
              <w:t>(9)像素间距:≤0.15525 （水平） x 0.15525 （垂直） 毫米</w:t>
            </w:r>
          </w:p>
          <w:p w14:paraId="21D5EF4F">
            <w:pPr>
              <w:widowControl/>
              <w:jc w:val="left"/>
              <w:textAlignment w:val="center"/>
              <w:rPr>
                <w:rFonts w:cs="宋体"/>
                <w:kern w:val="0"/>
                <w:sz w:val="18"/>
                <w:szCs w:val="18"/>
              </w:rPr>
            </w:pPr>
            <w:r>
              <w:rPr>
                <w:rFonts w:hint="eastAsia" w:cs="宋体"/>
                <w:kern w:val="0"/>
                <w:sz w:val="18"/>
                <w:szCs w:val="18"/>
              </w:rPr>
              <w:t>(10)可视角度：≥"178 度</w:t>
            </w:r>
          </w:p>
          <w:p w14:paraId="1B7A4553">
            <w:pPr>
              <w:widowControl/>
              <w:jc w:val="left"/>
              <w:textAlignment w:val="center"/>
              <w:rPr>
                <w:rFonts w:cs="宋体"/>
                <w:kern w:val="0"/>
                <w:sz w:val="18"/>
                <w:szCs w:val="18"/>
              </w:rPr>
            </w:pPr>
            <w:r>
              <w:rPr>
                <w:rFonts w:hint="eastAsia" w:cs="宋体"/>
                <w:kern w:val="0"/>
                <w:sz w:val="18"/>
                <w:szCs w:val="18"/>
              </w:rPr>
              <w:t>(11)▲刷新率：最高≥120Hz</w:t>
            </w:r>
          </w:p>
          <w:p w14:paraId="50495895">
            <w:pPr>
              <w:widowControl/>
              <w:jc w:val="left"/>
              <w:textAlignment w:val="center"/>
              <w:rPr>
                <w:rFonts w:cs="宋体"/>
                <w:kern w:val="0"/>
                <w:sz w:val="18"/>
                <w:szCs w:val="18"/>
              </w:rPr>
            </w:pPr>
            <w:r>
              <w:rPr>
                <w:rFonts w:hint="eastAsia" w:cs="宋体"/>
                <w:kern w:val="0"/>
                <w:sz w:val="18"/>
                <w:szCs w:val="18"/>
              </w:rPr>
              <w:t>(12)显示色彩：≥10.7 亿色彩</w:t>
            </w:r>
          </w:p>
          <w:p w14:paraId="6B3399DA">
            <w:pPr>
              <w:widowControl/>
              <w:jc w:val="left"/>
              <w:textAlignment w:val="center"/>
              <w:rPr>
                <w:rFonts w:cs="宋体"/>
                <w:kern w:val="0"/>
                <w:sz w:val="18"/>
                <w:szCs w:val="18"/>
              </w:rPr>
            </w:pPr>
            <w:r>
              <w:rPr>
                <w:rFonts w:hint="eastAsia" w:cs="宋体"/>
                <w:kern w:val="0"/>
                <w:sz w:val="18"/>
                <w:szCs w:val="18"/>
              </w:rPr>
              <w:t>(13)▲色深：≥10 位 x RGB = 30 位</w:t>
            </w:r>
          </w:p>
          <w:p w14:paraId="30723A68">
            <w:pPr>
              <w:widowControl/>
              <w:wordWrap w:val="0"/>
              <w:jc w:val="left"/>
              <w:textAlignment w:val="center"/>
              <w:rPr>
                <w:rFonts w:cs="宋体"/>
                <w:kern w:val="0"/>
                <w:sz w:val="18"/>
                <w:szCs w:val="18"/>
              </w:rPr>
            </w:pPr>
            <w:r>
              <w:rPr>
                <w:rFonts w:hint="eastAsia" w:cs="宋体"/>
                <w:kern w:val="0"/>
                <w:sz w:val="18"/>
                <w:szCs w:val="18"/>
              </w:rPr>
              <w:t>(14)▲色域覆盖：≥98% DCI P3 (CIE 1931) （典型值），99% Adobe RGB (CIE 1931) （典型值），100% Rec709（典型值）；色温/自定义颜色 5000K/5700K/6500K/7500K/9300K/10000K/DCI-P3；自定义颜色</w:t>
            </w:r>
          </w:p>
          <w:p w14:paraId="39AEF7A1">
            <w:pPr>
              <w:widowControl/>
              <w:jc w:val="left"/>
              <w:textAlignment w:val="center"/>
              <w:rPr>
                <w:rFonts w:cs="宋体"/>
                <w:kern w:val="0"/>
                <w:sz w:val="18"/>
                <w:szCs w:val="18"/>
              </w:rPr>
            </w:pPr>
            <w:r>
              <w:rPr>
                <w:rFonts w:hint="eastAsia" w:cs="宋体"/>
                <w:kern w:val="0"/>
                <w:sz w:val="18"/>
                <w:szCs w:val="18"/>
              </w:rPr>
              <w:t>(15)对比度：≥1000:1 （典型值）</w:t>
            </w:r>
          </w:p>
          <w:p w14:paraId="7D816773">
            <w:pPr>
              <w:widowControl/>
              <w:jc w:val="left"/>
              <w:textAlignment w:val="center"/>
              <w:rPr>
                <w:rFonts w:cs="宋体"/>
                <w:kern w:val="0"/>
                <w:sz w:val="18"/>
                <w:szCs w:val="18"/>
              </w:rPr>
            </w:pPr>
            <w:r>
              <w:rPr>
                <w:rFonts w:hint="eastAsia" w:cs="宋体"/>
                <w:kern w:val="0"/>
                <w:sz w:val="18"/>
                <w:szCs w:val="18"/>
              </w:rPr>
              <w:t>(16)亮度：≥400 cd/m²（典型值）</w:t>
            </w:r>
          </w:p>
          <w:p w14:paraId="46A48A40">
            <w:pPr>
              <w:widowControl/>
              <w:jc w:val="left"/>
              <w:textAlignment w:val="center"/>
              <w:rPr>
                <w:rFonts w:cs="宋体"/>
                <w:kern w:val="0"/>
                <w:sz w:val="18"/>
                <w:szCs w:val="18"/>
              </w:rPr>
            </w:pPr>
            <w:r>
              <w:rPr>
                <w:rFonts w:hint="eastAsia" w:cs="宋体"/>
                <w:kern w:val="0"/>
                <w:sz w:val="18"/>
                <w:szCs w:val="18"/>
              </w:rPr>
              <w:t>(17)响应时间：不高于10 毫秒（典型值）</w:t>
            </w:r>
          </w:p>
          <w:p w14:paraId="58823264">
            <w:pPr>
              <w:widowControl/>
              <w:jc w:val="left"/>
              <w:textAlignment w:val="center"/>
              <w:rPr>
                <w:rFonts w:cs="宋体"/>
                <w:kern w:val="0"/>
                <w:sz w:val="18"/>
                <w:szCs w:val="18"/>
              </w:rPr>
            </w:pPr>
            <w:r>
              <w:rPr>
                <w:rFonts w:hint="eastAsia" w:cs="宋体"/>
                <w:kern w:val="0"/>
                <w:sz w:val="18"/>
                <w:szCs w:val="18"/>
              </w:rPr>
              <w:t>(18)▲为保证显示性能满足使用要求，通过彩通认证认证，以确保在网页设计、印刷设计、摄影和影视等领域使用中，选择数位屏预设的主流相关色彩空间值时，能准确显示色彩</w:t>
            </w:r>
          </w:p>
          <w:p w14:paraId="36795924">
            <w:pPr>
              <w:widowControl/>
              <w:jc w:val="left"/>
              <w:textAlignment w:val="center"/>
              <w:rPr>
                <w:rFonts w:cs="宋体"/>
                <w:kern w:val="0"/>
                <w:sz w:val="18"/>
                <w:szCs w:val="18"/>
              </w:rPr>
            </w:pPr>
            <w:r>
              <w:rPr>
                <w:rFonts w:hint="eastAsia" w:cs="宋体"/>
                <w:kern w:val="0"/>
                <w:sz w:val="18"/>
                <w:szCs w:val="18"/>
              </w:rPr>
              <w:t>3.压感笔规格</w:t>
            </w:r>
          </w:p>
          <w:p w14:paraId="4E697D25">
            <w:pPr>
              <w:widowControl/>
              <w:jc w:val="left"/>
              <w:textAlignment w:val="center"/>
              <w:rPr>
                <w:rFonts w:cs="宋体"/>
                <w:kern w:val="0"/>
                <w:sz w:val="18"/>
                <w:szCs w:val="18"/>
              </w:rPr>
            </w:pPr>
            <w:r>
              <w:rPr>
                <w:rFonts w:hint="eastAsia" w:cs="宋体"/>
                <w:kern w:val="0"/>
                <w:sz w:val="18"/>
                <w:szCs w:val="18"/>
              </w:rPr>
              <w:t>(1)压感笔技术：电磁感应技术</w:t>
            </w:r>
          </w:p>
          <w:p w14:paraId="4DB0F1E7">
            <w:pPr>
              <w:widowControl/>
              <w:jc w:val="left"/>
              <w:textAlignment w:val="center"/>
              <w:rPr>
                <w:rFonts w:cs="宋体"/>
                <w:kern w:val="0"/>
                <w:sz w:val="18"/>
                <w:szCs w:val="18"/>
              </w:rPr>
            </w:pPr>
            <w:r>
              <w:rPr>
                <w:rFonts w:hint="eastAsia" w:cs="宋体"/>
                <w:kern w:val="0"/>
                <w:sz w:val="18"/>
                <w:szCs w:val="18"/>
              </w:rPr>
              <w:t>(2)笔压感级别：8192 级</w:t>
            </w:r>
          </w:p>
          <w:p w14:paraId="57F1A3EC">
            <w:pPr>
              <w:widowControl/>
              <w:jc w:val="left"/>
              <w:textAlignment w:val="center"/>
              <w:rPr>
                <w:rFonts w:cs="宋体"/>
                <w:kern w:val="0"/>
                <w:sz w:val="18"/>
                <w:szCs w:val="18"/>
              </w:rPr>
            </w:pPr>
            <w:r>
              <w:rPr>
                <w:rFonts w:hint="eastAsia" w:cs="宋体"/>
                <w:kern w:val="0"/>
                <w:sz w:val="18"/>
                <w:szCs w:val="18"/>
              </w:rPr>
              <w:t>(3)笔类型：无源无线压感笔、具备可更换笔握按键及调整重量</w:t>
            </w:r>
          </w:p>
          <w:p w14:paraId="5C70F2A7">
            <w:pPr>
              <w:widowControl/>
              <w:jc w:val="left"/>
              <w:textAlignment w:val="center"/>
              <w:rPr>
                <w:rFonts w:cs="宋体"/>
                <w:kern w:val="0"/>
                <w:sz w:val="18"/>
                <w:szCs w:val="18"/>
              </w:rPr>
            </w:pPr>
            <w:r>
              <w:rPr>
                <w:rFonts w:hint="eastAsia" w:cs="宋体"/>
                <w:kern w:val="0"/>
                <w:sz w:val="18"/>
                <w:szCs w:val="18"/>
              </w:rPr>
              <w:t>(4)笔侧按键数量：≥3 颗按键的条形键帽或无按键的键帽</w:t>
            </w:r>
          </w:p>
          <w:p w14:paraId="441732E5">
            <w:pPr>
              <w:widowControl/>
              <w:jc w:val="left"/>
              <w:textAlignment w:val="center"/>
              <w:rPr>
                <w:rFonts w:cs="宋体"/>
                <w:kern w:val="0"/>
                <w:sz w:val="18"/>
                <w:szCs w:val="18"/>
              </w:rPr>
            </w:pPr>
            <w:r>
              <w:rPr>
                <w:rFonts w:hint="eastAsia" w:cs="宋体"/>
                <w:kern w:val="0"/>
                <w:sz w:val="18"/>
                <w:szCs w:val="18"/>
              </w:rPr>
              <w:t>(5)倾角感应支持：≥± 60 度</w:t>
            </w:r>
          </w:p>
          <w:p w14:paraId="6D16AC94">
            <w:pPr>
              <w:widowControl/>
              <w:jc w:val="left"/>
              <w:textAlignment w:val="center"/>
              <w:rPr>
                <w:rFonts w:cs="宋体"/>
                <w:kern w:val="0"/>
                <w:sz w:val="18"/>
                <w:szCs w:val="18"/>
              </w:rPr>
            </w:pPr>
            <w:r>
              <w:rPr>
                <w:rFonts w:hint="eastAsia" w:cs="宋体"/>
                <w:kern w:val="0"/>
                <w:sz w:val="18"/>
                <w:szCs w:val="18"/>
              </w:rPr>
              <w:t>(6)笔迹解析度：≥5080 lpi （线/英寸）或 0.005 毫米/点</w:t>
            </w:r>
          </w:p>
          <w:p w14:paraId="6D00E3DF">
            <w:pPr>
              <w:widowControl/>
              <w:jc w:val="left"/>
              <w:textAlignment w:val="center"/>
              <w:rPr>
                <w:rFonts w:cs="宋体"/>
                <w:kern w:val="0"/>
                <w:sz w:val="18"/>
                <w:szCs w:val="18"/>
              </w:rPr>
            </w:pPr>
            <w:r>
              <w:rPr>
                <w:rFonts w:hint="eastAsia" w:cs="宋体"/>
                <w:kern w:val="0"/>
                <w:sz w:val="18"/>
                <w:szCs w:val="18"/>
              </w:rPr>
              <w:t>(7)最高跟笔读取率（运笔跟笔率）：≥240 rps（次/秒）</w:t>
            </w:r>
          </w:p>
          <w:p w14:paraId="4D7AE603">
            <w:pPr>
              <w:widowControl/>
              <w:jc w:val="left"/>
              <w:textAlignment w:val="center"/>
              <w:rPr>
                <w:rFonts w:cs="宋体"/>
                <w:kern w:val="0"/>
                <w:sz w:val="18"/>
                <w:szCs w:val="18"/>
              </w:rPr>
            </w:pPr>
            <w:r>
              <w:rPr>
                <w:rFonts w:hint="eastAsia" w:cs="宋体"/>
                <w:kern w:val="0"/>
                <w:sz w:val="18"/>
                <w:szCs w:val="18"/>
              </w:rPr>
              <w:t>(8)识别高度：≥10 毫米或更高</w:t>
            </w:r>
          </w:p>
          <w:p w14:paraId="57B0160D">
            <w:pPr>
              <w:widowControl/>
              <w:jc w:val="left"/>
              <w:textAlignment w:val="center"/>
              <w:rPr>
                <w:rFonts w:cs="宋体"/>
                <w:kern w:val="0"/>
                <w:sz w:val="18"/>
                <w:szCs w:val="18"/>
              </w:rPr>
            </w:pPr>
            <w:r>
              <w:rPr>
                <w:rFonts w:hint="eastAsia" w:cs="宋体"/>
                <w:kern w:val="0"/>
                <w:sz w:val="18"/>
                <w:szCs w:val="18"/>
              </w:rPr>
              <w:t>4.触控规格</w:t>
            </w:r>
          </w:p>
          <w:p w14:paraId="6DE68D62">
            <w:pPr>
              <w:widowControl/>
              <w:jc w:val="left"/>
              <w:textAlignment w:val="center"/>
              <w:rPr>
                <w:rFonts w:cs="宋体"/>
                <w:kern w:val="0"/>
                <w:sz w:val="18"/>
                <w:szCs w:val="18"/>
              </w:rPr>
            </w:pPr>
            <w:r>
              <w:rPr>
                <w:rFonts w:hint="eastAsia" w:cs="宋体"/>
                <w:kern w:val="0"/>
                <w:sz w:val="18"/>
                <w:szCs w:val="18"/>
              </w:rPr>
              <w:t>(1)▲多指触控：支持</w:t>
            </w:r>
          </w:p>
          <w:p w14:paraId="15307507">
            <w:pPr>
              <w:widowControl/>
              <w:jc w:val="left"/>
              <w:textAlignment w:val="center"/>
              <w:rPr>
                <w:rFonts w:cs="宋体"/>
                <w:kern w:val="0"/>
                <w:sz w:val="18"/>
                <w:szCs w:val="18"/>
              </w:rPr>
            </w:pPr>
            <w:r>
              <w:rPr>
                <w:rFonts w:hint="eastAsia" w:cs="宋体"/>
                <w:kern w:val="0"/>
                <w:sz w:val="18"/>
                <w:szCs w:val="18"/>
              </w:rPr>
              <w:t>(2)触控技术：投射电容式技术</w:t>
            </w:r>
          </w:p>
          <w:p w14:paraId="73AB9413">
            <w:pPr>
              <w:widowControl/>
              <w:jc w:val="left"/>
              <w:textAlignment w:val="center"/>
              <w:rPr>
                <w:rFonts w:cs="宋体"/>
                <w:kern w:val="0"/>
                <w:sz w:val="18"/>
                <w:szCs w:val="18"/>
              </w:rPr>
            </w:pPr>
            <w:r>
              <w:rPr>
                <w:rFonts w:hint="eastAsia" w:cs="宋体"/>
                <w:kern w:val="0"/>
                <w:sz w:val="18"/>
                <w:szCs w:val="18"/>
              </w:rPr>
              <w:t>(3)可识别数量：≥10 指</w:t>
            </w:r>
          </w:p>
          <w:p w14:paraId="47EECFC5">
            <w:pPr>
              <w:widowControl/>
              <w:jc w:val="left"/>
              <w:textAlignment w:val="center"/>
              <w:rPr>
                <w:rFonts w:cs="宋体"/>
                <w:kern w:val="0"/>
                <w:sz w:val="18"/>
                <w:szCs w:val="18"/>
              </w:rPr>
            </w:pPr>
            <w:r>
              <w:rPr>
                <w:rFonts w:hint="eastAsia" w:cs="宋体"/>
                <w:kern w:val="0"/>
                <w:sz w:val="18"/>
                <w:szCs w:val="18"/>
              </w:rPr>
              <w:t>(4)触控识别分辨率：不高于0.025 毫米/点</w:t>
            </w:r>
          </w:p>
          <w:p w14:paraId="76C1F6A6">
            <w:pPr>
              <w:widowControl/>
              <w:jc w:val="left"/>
              <w:textAlignment w:val="center"/>
              <w:rPr>
                <w:rFonts w:cs="宋体"/>
                <w:kern w:val="0"/>
                <w:sz w:val="18"/>
                <w:szCs w:val="18"/>
              </w:rPr>
            </w:pPr>
            <w:r>
              <w:rPr>
                <w:rFonts w:hint="eastAsia" w:cs="宋体"/>
                <w:kern w:val="0"/>
                <w:sz w:val="18"/>
                <w:szCs w:val="18"/>
              </w:rPr>
              <w:t>(5)触控坐标精度：不高于"± 1 毫米（中心坐标，即边缘内 3.5 毫米至中间区域）</w:t>
            </w:r>
          </w:p>
          <w:p w14:paraId="619D2E04">
            <w:pPr>
              <w:widowControl/>
              <w:jc w:val="left"/>
              <w:textAlignment w:val="center"/>
              <w:rPr>
                <w:rFonts w:cs="宋体"/>
                <w:kern w:val="0"/>
                <w:sz w:val="18"/>
                <w:szCs w:val="18"/>
              </w:rPr>
            </w:pPr>
            <w:r>
              <w:rPr>
                <w:rFonts w:hint="eastAsia" w:cs="宋体"/>
                <w:kern w:val="0"/>
                <w:sz w:val="18"/>
                <w:szCs w:val="18"/>
              </w:rPr>
              <w:t>(6)± 2 毫米（边缘坐标，即边缘处 3.5 毫米区域）"</w:t>
            </w:r>
          </w:p>
          <w:p w14:paraId="71EDAE6D">
            <w:pPr>
              <w:widowControl/>
              <w:jc w:val="left"/>
              <w:textAlignment w:val="center"/>
              <w:rPr>
                <w:rFonts w:cs="宋体"/>
                <w:kern w:val="0"/>
                <w:sz w:val="18"/>
                <w:szCs w:val="18"/>
              </w:rPr>
            </w:pPr>
            <w:r>
              <w:rPr>
                <w:rFonts w:hint="eastAsia" w:cs="宋体"/>
                <w:kern w:val="0"/>
                <w:sz w:val="18"/>
                <w:szCs w:val="18"/>
              </w:rPr>
              <w:t xml:space="preserve"> (7) ▲最高触控读取率：≥120Hz</w:t>
            </w:r>
          </w:p>
          <w:p w14:paraId="0EB21AF1">
            <w:pPr>
              <w:widowControl/>
              <w:jc w:val="left"/>
              <w:textAlignment w:val="center"/>
              <w:rPr>
                <w:rFonts w:cs="宋体"/>
                <w:kern w:val="0"/>
                <w:sz w:val="18"/>
                <w:szCs w:val="18"/>
              </w:rPr>
            </w:pPr>
            <w:r>
              <w:rPr>
                <w:rFonts w:hint="eastAsia" w:cs="宋体"/>
                <w:kern w:val="0"/>
                <w:sz w:val="18"/>
                <w:szCs w:val="18"/>
              </w:rPr>
              <w:t xml:space="preserve">5.生产力提升工具/增效工具 </w:t>
            </w:r>
          </w:p>
          <w:p w14:paraId="67380239">
            <w:pPr>
              <w:widowControl/>
              <w:jc w:val="left"/>
              <w:textAlignment w:val="center"/>
              <w:rPr>
                <w:rFonts w:cs="宋体"/>
                <w:kern w:val="0"/>
                <w:sz w:val="18"/>
                <w:szCs w:val="18"/>
              </w:rPr>
            </w:pPr>
            <w:r>
              <w:rPr>
                <w:rFonts w:hint="eastAsia" w:cs="宋体"/>
                <w:kern w:val="0"/>
                <w:sz w:val="18"/>
                <w:szCs w:val="18"/>
              </w:rPr>
              <w:t>(1)快捷键：支持，内置≥共 8 颗按键，左右侧边背后各 4 颗</w:t>
            </w:r>
          </w:p>
          <w:p w14:paraId="73D49847">
            <w:pPr>
              <w:widowControl/>
              <w:jc w:val="left"/>
              <w:textAlignment w:val="center"/>
              <w:rPr>
                <w:rFonts w:cs="宋体"/>
                <w:kern w:val="0"/>
                <w:sz w:val="18"/>
                <w:szCs w:val="18"/>
              </w:rPr>
            </w:pPr>
            <w:r>
              <w:rPr>
                <w:rFonts w:hint="eastAsia" w:cs="宋体"/>
                <w:kern w:val="0"/>
                <w:sz w:val="18"/>
                <w:szCs w:val="18"/>
              </w:rPr>
              <w:t>(2)触控开关：支持 - 屏幕背面实体开关</w:t>
            </w:r>
          </w:p>
          <w:p w14:paraId="7EC60BE1">
            <w:pPr>
              <w:widowControl/>
              <w:jc w:val="left"/>
              <w:textAlignment w:val="center"/>
              <w:rPr>
                <w:rFonts w:cs="宋体"/>
                <w:kern w:val="0"/>
                <w:sz w:val="18"/>
                <w:szCs w:val="18"/>
              </w:rPr>
            </w:pPr>
            <w:r>
              <w:rPr>
                <w:rFonts w:hint="eastAsia" w:cs="宋体"/>
                <w:kern w:val="0"/>
                <w:sz w:val="18"/>
                <w:szCs w:val="18"/>
              </w:rPr>
              <w:t>(3)精确模式：支持</w:t>
            </w:r>
          </w:p>
          <w:p w14:paraId="04D82445">
            <w:pPr>
              <w:widowControl/>
              <w:jc w:val="left"/>
              <w:textAlignment w:val="center"/>
              <w:rPr>
                <w:rFonts w:cs="宋体"/>
                <w:kern w:val="0"/>
                <w:sz w:val="18"/>
                <w:szCs w:val="18"/>
              </w:rPr>
            </w:pPr>
            <w:r>
              <w:rPr>
                <w:rFonts w:hint="eastAsia" w:cs="宋体"/>
                <w:kern w:val="0"/>
                <w:sz w:val="18"/>
                <w:szCs w:val="18"/>
              </w:rPr>
              <w:t>(4)径向菜单：支持</w:t>
            </w:r>
          </w:p>
          <w:p w14:paraId="1C6F9FCB">
            <w:pPr>
              <w:widowControl/>
              <w:jc w:val="left"/>
              <w:textAlignment w:val="center"/>
              <w:rPr>
                <w:rFonts w:cs="宋体"/>
                <w:kern w:val="0"/>
                <w:sz w:val="18"/>
                <w:szCs w:val="18"/>
              </w:rPr>
            </w:pPr>
            <w:r>
              <w:rPr>
                <w:rFonts w:hint="eastAsia" w:cs="宋体"/>
                <w:kern w:val="0"/>
                <w:sz w:val="18"/>
                <w:szCs w:val="18"/>
              </w:rPr>
              <w:t>6、人体工学支架</w:t>
            </w:r>
          </w:p>
          <w:p w14:paraId="100663EC">
            <w:pPr>
              <w:widowControl/>
              <w:jc w:val="left"/>
              <w:textAlignment w:val="center"/>
              <w:rPr>
                <w:rFonts w:ascii="Times New Roman" w:hAnsi="Times New Roman"/>
                <w:color w:val="auto"/>
                <w:kern w:val="0"/>
                <w:szCs w:val="21"/>
                <w:highlight w:val="none"/>
              </w:rPr>
            </w:pPr>
            <w:r>
              <w:rPr>
                <w:rFonts w:hint="eastAsia" w:cs="宋体"/>
                <w:kern w:val="0"/>
                <w:sz w:val="18"/>
                <w:szCs w:val="18"/>
              </w:rPr>
              <w:t>（1）可快速调节高度、角度或在每个方向上旋转 20 度，以便用自然的手部动作进行绘图。</w:t>
            </w:r>
          </w:p>
        </w:tc>
        <w:tc>
          <w:tcPr>
            <w:tcW w:w="965" w:type="dxa"/>
            <w:vAlign w:val="center"/>
          </w:tcPr>
          <w:p w14:paraId="0352C8F3">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9</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274DBEF2">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0FB2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673C1D4C">
            <w:pPr>
              <w:widowControl/>
              <w:numPr>
                <w:ilvl w:val="0"/>
                <w:numId w:val="9"/>
              </w:numPr>
              <w:jc w:val="center"/>
              <w:rPr>
                <w:rFonts w:ascii="Times New Roman" w:hAnsi="Times New Roman"/>
                <w:color w:val="auto"/>
                <w:kern w:val="0"/>
                <w:szCs w:val="22"/>
                <w:highlight w:val="none"/>
              </w:rPr>
            </w:pPr>
          </w:p>
        </w:tc>
        <w:tc>
          <w:tcPr>
            <w:tcW w:w="1096" w:type="dxa"/>
            <w:vAlign w:val="center"/>
          </w:tcPr>
          <w:p w14:paraId="083CD55D">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AIGC智创实训平台：互动智能平板</w:t>
            </w:r>
          </w:p>
        </w:tc>
        <w:tc>
          <w:tcPr>
            <w:tcW w:w="6947" w:type="dxa"/>
            <w:vAlign w:val="center"/>
          </w:tcPr>
          <w:p w14:paraId="411977B9">
            <w:pPr>
              <w:widowControl/>
              <w:jc w:val="left"/>
              <w:textAlignment w:val="center"/>
              <w:rPr>
                <w:rFonts w:cs="宋体"/>
                <w:kern w:val="0"/>
                <w:sz w:val="18"/>
                <w:szCs w:val="18"/>
              </w:rPr>
            </w:pPr>
            <w:r>
              <w:rPr>
                <w:rFonts w:hint="eastAsia" w:cs="宋体"/>
                <w:kern w:val="0"/>
                <w:sz w:val="18"/>
                <w:szCs w:val="18"/>
              </w:rPr>
              <w:t>一、整机硬件要求</w:t>
            </w:r>
          </w:p>
          <w:p w14:paraId="40CB842C">
            <w:pPr>
              <w:widowControl/>
              <w:jc w:val="left"/>
              <w:textAlignment w:val="center"/>
              <w:rPr>
                <w:rFonts w:cs="宋体"/>
                <w:kern w:val="0"/>
                <w:sz w:val="18"/>
                <w:szCs w:val="18"/>
              </w:rPr>
            </w:pPr>
            <w:r>
              <w:rPr>
                <w:rFonts w:hint="eastAsia" w:cs="宋体"/>
                <w:kern w:val="0"/>
                <w:sz w:val="18"/>
                <w:szCs w:val="18"/>
              </w:rPr>
              <w:t>1.整机采用一体设计，外部无任何可见内部功能模块连接线。边角采用弧形设计，表面无尖锐边缘或凸起（提供检验检测中心所出具的权威检测报告复印件并加盖厂家公章）。</w:t>
            </w:r>
          </w:p>
          <w:p w14:paraId="62EE8779">
            <w:pPr>
              <w:widowControl/>
              <w:jc w:val="left"/>
              <w:textAlignment w:val="center"/>
              <w:rPr>
                <w:rFonts w:cs="宋体"/>
                <w:kern w:val="0"/>
                <w:sz w:val="18"/>
                <w:szCs w:val="18"/>
              </w:rPr>
            </w:pPr>
            <w:r>
              <w:rPr>
                <w:rFonts w:hint="eastAsia" w:cs="宋体"/>
                <w:kern w:val="0"/>
                <w:sz w:val="18"/>
                <w:szCs w:val="18"/>
              </w:rPr>
              <w:t>2.整机采用全金属外壳设计，屏幕边缘采用金属圆角包边防护，整机背板采用金属材质，有效屏蔽内部电路器件辐射；防潮耐盐雾蚀锈，适应多种教学环境。</w:t>
            </w:r>
          </w:p>
          <w:p w14:paraId="79933CAB">
            <w:pPr>
              <w:widowControl/>
              <w:jc w:val="left"/>
              <w:textAlignment w:val="center"/>
              <w:rPr>
                <w:rFonts w:cs="宋体"/>
                <w:kern w:val="0"/>
                <w:sz w:val="18"/>
                <w:szCs w:val="18"/>
              </w:rPr>
            </w:pPr>
            <w:r>
              <w:rPr>
                <w:rFonts w:hint="eastAsia" w:cs="宋体"/>
                <w:kern w:val="0"/>
                <w:sz w:val="18"/>
                <w:szCs w:val="18"/>
              </w:rPr>
              <w:t>3.整机屏幕采用86英寸液晶显示器。（提供检验检测中心所出具的权威检测报告复印件并加盖厂家公章）。</w:t>
            </w:r>
          </w:p>
          <w:p w14:paraId="26F5BE7B">
            <w:pPr>
              <w:widowControl/>
              <w:jc w:val="left"/>
              <w:textAlignment w:val="center"/>
              <w:rPr>
                <w:rFonts w:cs="宋体"/>
                <w:kern w:val="0"/>
                <w:sz w:val="18"/>
                <w:szCs w:val="18"/>
              </w:rPr>
            </w:pPr>
            <w:r>
              <w:rPr>
                <w:rFonts w:hint="eastAsia" w:cs="宋体"/>
                <w:kern w:val="0"/>
                <w:sz w:val="18"/>
                <w:szCs w:val="18"/>
              </w:rPr>
              <w:t>4.整机采用超高清LED液晶显示屏，显示比例16:9，分辨率3840×2160（提供检验检测中心所出具的权威检测报告复印件并加盖厂家公章）。</w:t>
            </w:r>
          </w:p>
          <w:p w14:paraId="625D3AAA">
            <w:pPr>
              <w:widowControl/>
              <w:jc w:val="left"/>
              <w:textAlignment w:val="center"/>
              <w:rPr>
                <w:rFonts w:cs="宋体"/>
                <w:kern w:val="0"/>
                <w:sz w:val="18"/>
                <w:szCs w:val="18"/>
              </w:rPr>
            </w:pPr>
            <w:r>
              <w:rPr>
                <w:rFonts w:hint="eastAsia" w:cs="宋体"/>
                <w:kern w:val="0"/>
                <w:sz w:val="18"/>
                <w:szCs w:val="18"/>
              </w:rPr>
              <w:t>5.侧置输入接口具备2路HDMI、1路RS232、1路USB接口；侧置输出接口具备1路音频输出、1路触控USB输出；前置输入接口具备3路USB接口（包含1路Type-C、2路USB）（提供检验检测中心所出具的权威检测报告复印件并加盖厂家公章）。</w:t>
            </w:r>
          </w:p>
          <w:p w14:paraId="30A557CA">
            <w:pPr>
              <w:widowControl/>
              <w:jc w:val="left"/>
              <w:textAlignment w:val="center"/>
              <w:rPr>
                <w:rFonts w:cs="宋体"/>
                <w:kern w:val="0"/>
                <w:sz w:val="18"/>
                <w:szCs w:val="18"/>
              </w:rPr>
            </w:pPr>
            <w:r>
              <w:rPr>
                <w:rFonts w:hint="eastAsia" w:cs="宋体"/>
                <w:kern w:val="0"/>
                <w:sz w:val="18"/>
                <w:szCs w:val="18"/>
              </w:rPr>
              <w:t>6.嵌入式系统版本不低于Android 13，内存≥2GB，存储空间≥8GB（提供检验检测中心所出具的权威检测报告复印件并加盖厂家公章）。</w:t>
            </w:r>
          </w:p>
          <w:p w14:paraId="47C2CF0E">
            <w:pPr>
              <w:widowControl/>
              <w:jc w:val="left"/>
              <w:textAlignment w:val="center"/>
              <w:rPr>
                <w:rFonts w:cs="宋体"/>
                <w:kern w:val="0"/>
                <w:sz w:val="18"/>
                <w:szCs w:val="18"/>
              </w:rPr>
            </w:pPr>
            <w:r>
              <w:rPr>
                <w:rFonts w:hint="eastAsia" w:cs="宋体"/>
                <w:kern w:val="0"/>
                <w:sz w:val="18"/>
                <w:szCs w:val="18"/>
              </w:rPr>
              <w:t>7.钢化玻璃表面硬度≥9H（提供检验检测中心所出具的权威检测报告复印件并加盖厂家公章）。</w:t>
            </w:r>
          </w:p>
          <w:p w14:paraId="001BE01C">
            <w:pPr>
              <w:widowControl/>
              <w:jc w:val="left"/>
              <w:textAlignment w:val="center"/>
              <w:rPr>
                <w:rFonts w:cs="宋体"/>
                <w:kern w:val="0"/>
                <w:sz w:val="18"/>
                <w:szCs w:val="18"/>
              </w:rPr>
            </w:pPr>
            <w:r>
              <w:rPr>
                <w:rFonts w:hint="eastAsia" w:cs="宋体"/>
                <w:kern w:val="0"/>
                <w:sz w:val="18"/>
                <w:szCs w:val="18"/>
              </w:rPr>
              <w:t>8.采用红外触控技术，支持Windows系统中进行30点或以上触控，支持在Android系统中进行30点或以上触控（提供检验检测中心所出具的权威检测报告复印件并加盖厂家公章）。</w:t>
            </w:r>
          </w:p>
          <w:p w14:paraId="088015CC">
            <w:pPr>
              <w:widowControl/>
              <w:jc w:val="left"/>
              <w:textAlignment w:val="center"/>
              <w:rPr>
                <w:rFonts w:cs="宋体"/>
                <w:kern w:val="0"/>
                <w:sz w:val="18"/>
                <w:szCs w:val="18"/>
              </w:rPr>
            </w:pPr>
            <w:r>
              <w:rPr>
                <w:rFonts w:hint="eastAsia" w:cs="宋体"/>
                <w:kern w:val="0"/>
                <w:sz w:val="18"/>
                <w:szCs w:val="18"/>
              </w:rPr>
              <w:t>9.从内部PC通道切换到外部通道后，触摸框至少在3s内达到可触控状态（提供检验检测中心所出具的权威检测报告复印件并加盖厂家公章）。</w:t>
            </w:r>
          </w:p>
          <w:p w14:paraId="24273A7B">
            <w:pPr>
              <w:widowControl/>
              <w:jc w:val="left"/>
              <w:textAlignment w:val="center"/>
              <w:rPr>
                <w:rFonts w:cs="宋体"/>
                <w:kern w:val="0"/>
                <w:sz w:val="18"/>
                <w:szCs w:val="18"/>
              </w:rPr>
            </w:pPr>
            <w:r>
              <w:rPr>
                <w:rFonts w:hint="eastAsia" w:cs="宋体"/>
                <w:kern w:val="0"/>
                <w:sz w:val="18"/>
                <w:szCs w:val="18"/>
              </w:rPr>
              <w:t>10.前置USB接口支持Android系统、Windows系统读取外接移动存储设备（提供检验检测中心所出具的权威检测报告复印件并加盖厂家公章）。</w:t>
            </w:r>
          </w:p>
          <w:p w14:paraId="559ADC7D">
            <w:pPr>
              <w:widowControl/>
              <w:jc w:val="left"/>
              <w:textAlignment w:val="center"/>
              <w:rPr>
                <w:rFonts w:cs="宋体"/>
                <w:kern w:val="0"/>
                <w:sz w:val="18"/>
                <w:szCs w:val="18"/>
              </w:rPr>
            </w:pPr>
            <w:r>
              <w:rPr>
                <w:rFonts w:hint="eastAsia" w:cs="宋体"/>
                <w:kern w:val="0"/>
                <w:sz w:val="18"/>
                <w:szCs w:val="18"/>
              </w:rPr>
              <w:t>11.部署单根网线可实现Android、Windows系统双系统有线网络连通（提供检验检测中心所出具的权威检测报告复印件并加盖厂家公章）。</w:t>
            </w:r>
          </w:p>
          <w:p w14:paraId="41DEE71D">
            <w:pPr>
              <w:widowControl/>
              <w:jc w:val="left"/>
              <w:textAlignment w:val="center"/>
              <w:rPr>
                <w:rFonts w:cs="宋体"/>
                <w:kern w:val="0"/>
                <w:sz w:val="18"/>
                <w:szCs w:val="18"/>
              </w:rPr>
            </w:pPr>
            <w:r>
              <w:rPr>
                <w:rFonts w:hint="eastAsia" w:cs="宋体"/>
                <w:kern w:val="0"/>
                <w:sz w:val="18"/>
                <w:szCs w:val="18"/>
              </w:rPr>
              <w:t>12.整机能感应并自动调节屏幕亮度来达到在不同光照环境下的不同亮度显示效果，此功能可自行开启或关闭（提供检验检测中心所出具的权威检测报告复印件并加盖厂家公章）。</w:t>
            </w:r>
          </w:p>
          <w:p w14:paraId="29EAD1C2">
            <w:pPr>
              <w:widowControl/>
              <w:jc w:val="left"/>
              <w:textAlignment w:val="center"/>
              <w:rPr>
                <w:rFonts w:cs="宋体"/>
                <w:kern w:val="0"/>
                <w:sz w:val="18"/>
                <w:szCs w:val="18"/>
              </w:rPr>
            </w:pPr>
            <w:r>
              <w:rPr>
                <w:rFonts w:hint="eastAsia" w:cs="宋体"/>
                <w:kern w:val="0"/>
                <w:sz w:val="18"/>
                <w:szCs w:val="18"/>
              </w:rPr>
              <w:t>13.整机内置2.2声道扬声器，位于设备上边框，顶置朝前发声，前朝向10W高音扬声器2个，上朝向20W中低音扬声器2个，额定总功率60W（提供检验检测中心所出具的权威检测报告复印件并加盖厂家公章）。</w:t>
            </w:r>
          </w:p>
          <w:p w14:paraId="30B2B4E1">
            <w:pPr>
              <w:widowControl/>
              <w:jc w:val="left"/>
              <w:textAlignment w:val="center"/>
              <w:rPr>
                <w:rFonts w:cs="宋体"/>
                <w:kern w:val="0"/>
                <w:sz w:val="18"/>
                <w:szCs w:val="18"/>
              </w:rPr>
            </w:pPr>
            <w:r>
              <w:rPr>
                <w:rFonts w:hint="eastAsia" w:cs="宋体"/>
                <w:kern w:val="0"/>
                <w:sz w:val="18"/>
                <w:szCs w:val="18"/>
              </w:rPr>
              <w:t>14.整机可选择高级音效设置，支持在左右声道平衡显示范围中进行更改；中低频段显示调节范围125Hz～1KHz，高频段显示调节范围 2KHz～16KHz，分贝显示-12dB～12dB 调节范围（提供检验检测中心所出具的权威检测报告复印件并加盖厂家公章）。</w:t>
            </w:r>
          </w:p>
          <w:p w14:paraId="0DCA084F">
            <w:pPr>
              <w:widowControl/>
              <w:jc w:val="left"/>
              <w:textAlignment w:val="center"/>
              <w:rPr>
                <w:rFonts w:cs="宋体"/>
                <w:kern w:val="0"/>
                <w:sz w:val="18"/>
                <w:szCs w:val="18"/>
              </w:rPr>
            </w:pPr>
            <w:r>
              <w:rPr>
                <w:rFonts w:hint="eastAsia" w:cs="宋体"/>
                <w:kern w:val="0"/>
                <w:sz w:val="18"/>
                <w:szCs w:val="18"/>
              </w:rPr>
              <w:t>15.整机内置非独立外扩展的8阵列麦克风，拾音角度≥180°，可用于对教室环境音频进行采集，拾音距离≥12m（提供检验检测中心所出具的权威检测报告复印件并加盖厂家公章）。</w:t>
            </w:r>
          </w:p>
          <w:p w14:paraId="3F3074B4">
            <w:pPr>
              <w:widowControl/>
              <w:jc w:val="left"/>
              <w:textAlignment w:val="center"/>
              <w:rPr>
                <w:rFonts w:cs="宋体"/>
                <w:kern w:val="0"/>
                <w:sz w:val="18"/>
                <w:szCs w:val="18"/>
              </w:rPr>
            </w:pPr>
            <w:r>
              <w:rPr>
                <w:rFonts w:hint="eastAsia" w:cs="宋体"/>
                <w:kern w:val="0"/>
                <w:sz w:val="18"/>
                <w:szCs w:val="18"/>
              </w:rPr>
              <w:t>16.整机内置扬声器采用缝隙发声技术，喇叭采用槽式开口设计，不大于5.8mm（提供检验检测中心所出具的权威检测报告复印件并加盖厂家公章）。</w:t>
            </w:r>
          </w:p>
          <w:p w14:paraId="77E45C41">
            <w:pPr>
              <w:widowControl/>
              <w:jc w:val="left"/>
              <w:textAlignment w:val="center"/>
              <w:rPr>
                <w:rFonts w:cs="宋体"/>
                <w:kern w:val="0"/>
                <w:sz w:val="18"/>
                <w:szCs w:val="18"/>
              </w:rPr>
            </w:pPr>
            <w:r>
              <w:rPr>
                <w:rFonts w:hint="eastAsia" w:cs="宋体"/>
                <w:kern w:val="0"/>
                <w:sz w:val="18"/>
                <w:szCs w:val="18"/>
              </w:rPr>
              <w:t>17.整机扬声器在100%音量下，可做到1米处声压级≥88db，10米处声压级≥79dB（提供检验检测中心所出具的权威检测报告复印件并加盖厂家公章）。</w:t>
            </w:r>
          </w:p>
          <w:p w14:paraId="3DC39187">
            <w:pPr>
              <w:widowControl/>
              <w:jc w:val="left"/>
              <w:textAlignment w:val="center"/>
              <w:rPr>
                <w:rFonts w:cs="宋体"/>
                <w:kern w:val="0"/>
                <w:sz w:val="18"/>
                <w:szCs w:val="18"/>
              </w:rPr>
            </w:pPr>
            <w:r>
              <w:rPr>
                <w:rFonts w:hint="eastAsia" w:cs="宋体"/>
                <w:kern w:val="0"/>
                <w:sz w:val="18"/>
                <w:szCs w:val="18"/>
              </w:rPr>
              <w:t>18.内置摄像头、麦克风无需外接线材连接，无任何可见外接线材及模块化拼接痕迹，未占用整机设备端口。（提供检验检测中心所出具的权威检测报告复印件并加盖厂家公章）。</w:t>
            </w:r>
          </w:p>
          <w:p w14:paraId="1CA1274C">
            <w:pPr>
              <w:widowControl/>
              <w:jc w:val="left"/>
              <w:textAlignment w:val="center"/>
              <w:rPr>
                <w:rFonts w:cs="宋体"/>
                <w:kern w:val="0"/>
                <w:sz w:val="18"/>
                <w:szCs w:val="18"/>
              </w:rPr>
            </w:pPr>
            <w:r>
              <w:rPr>
                <w:rFonts w:hint="eastAsia" w:cs="宋体"/>
                <w:kern w:val="0"/>
                <w:sz w:val="18"/>
                <w:szCs w:val="18"/>
              </w:rPr>
              <w:t>19.支持标准、听力、观影和AI空间感知音效模式，AI空间感知音效模式可通过内置麦克风采集教室物理环境声音，自动生成符合当前教室物理环境的频段、音量、音效（提供检验检测中心所出具的权威检测报告复印件并加盖厂家公章）。</w:t>
            </w:r>
          </w:p>
          <w:p w14:paraId="4785C751">
            <w:pPr>
              <w:widowControl/>
              <w:jc w:val="left"/>
              <w:textAlignment w:val="center"/>
              <w:rPr>
                <w:rFonts w:cs="宋体"/>
                <w:kern w:val="0"/>
                <w:sz w:val="18"/>
                <w:szCs w:val="18"/>
              </w:rPr>
            </w:pPr>
            <w:r>
              <w:rPr>
                <w:rFonts w:hint="eastAsia" w:cs="宋体"/>
                <w:kern w:val="0"/>
                <w:sz w:val="18"/>
                <w:szCs w:val="18"/>
              </w:rPr>
              <w:t>20.整机色域覆盖率（NTSC）≥72%（提供检验检测中心所出具的权威检测报告复印件并加盖厂家公章）。</w:t>
            </w:r>
          </w:p>
          <w:p w14:paraId="009DB506">
            <w:pPr>
              <w:widowControl/>
              <w:jc w:val="left"/>
              <w:textAlignment w:val="center"/>
              <w:rPr>
                <w:rFonts w:cs="宋体"/>
                <w:kern w:val="0"/>
                <w:sz w:val="18"/>
                <w:szCs w:val="18"/>
              </w:rPr>
            </w:pPr>
            <w:r>
              <w:rPr>
                <w:rFonts w:hint="eastAsia" w:cs="宋体"/>
                <w:kern w:val="0"/>
                <w:sz w:val="18"/>
                <w:szCs w:val="18"/>
              </w:rPr>
              <w:t>21.整机背光系统支持DC调光方式，多级亮度调节，支持白颜色背景下最暗亮度≤100nit，用于提升显示对比度（提供检验检测中心所出具的权威检测报告复印件并加盖厂家公章）。</w:t>
            </w:r>
          </w:p>
          <w:p w14:paraId="4094E6FA">
            <w:pPr>
              <w:widowControl/>
              <w:jc w:val="left"/>
              <w:textAlignment w:val="center"/>
              <w:rPr>
                <w:rFonts w:cs="宋体"/>
                <w:kern w:val="0"/>
                <w:sz w:val="18"/>
                <w:szCs w:val="18"/>
              </w:rPr>
            </w:pPr>
            <w:r>
              <w:rPr>
                <w:rFonts w:hint="eastAsia" w:cs="宋体"/>
                <w:kern w:val="0"/>
                <w:sz w:val="18"/>
                <w:szCs w:val="18"/>
              </w:rPr>
              <w:t>22.灰度等级≥256级（提供检验检测中心所出具的权威检测报告复印件并加盖厂家公章）。</w:t>
            </w:r>
          </w:p>
          <w:p w14:paraId="0C3BC9E4">
            <w:pPr>
              <w:widowControl/>
              <w:jc w:val="left"/>
              <w:textAlignment w:val="center"/>
              <w:rPr>
                <w:rFonts w:cs="宋体"/>
                <w:kern w:val="0"/>
                <w:sz w:val="18"/>
                <w:szCs w:val="18"/>
              </w:rPr>
            </w:pPr>
            <w:r>
              <w:rPr>
                <w:rFonts w:hint="eastAsia" w:cs="宋体"/>
                <w:kern w:val="0"/>
                <w:sz w:val="18"/>
                <w:szCs w:val="18"/>
              </w:rPr>
              <w:t>23.整机支持色彩空间可选，包含标准模式和sRGB模式，在sRGB模式下可做到高色准△E≤1（提供检验检测中心所出具的权威检测报告复印件并加盖厂家公章）。</w:t>
            </w:r>
          </w:p>
          <w:p w14:paraId="07A7CE83">
            <w:pPr>
              <w:widowControl/>
              <w:jc w:val="left"/>
              <w:textAlignment w:val="center"/>
              <w:rPr>
                <w:rFonts w:cs="宋体"/>
                <w:kern w:val="0"/>
                <w:sz w:val="18"/>
                <w:szCs w:val="18"/>
              </w:rPr>
            </w:pPr>
            <w:r>
              <w:rPr>
                <w:rFonts w:hint="eastAsia" w:cs="宋体"/>
                <w:kern w:val="0"/>
                <w:sz w:val="18"/>
                <w:szCs w:val="18"/>
              </w:rPr>
              <w:t>二、OPS模块</w:t>
            </w:r>
          </w:p>
          <w:p w14:paraId="427AABB7">
            <w:pPr>
              <w:widowControl/>
              <w:jc w:val="left"/>
              <w:textAlignment w:val="center"/>
              <w:rPr>
                <w:rFonts w:cs="宋体"/>
                <w:kern w:val="0"/>
                <w:sz w:val="18"/>
                <w:szCs w:val="18"/>
              </w:rPr>
            </w:pPr>
            <w:r>
              <w:rPr>
                <w:rFonts w:hint="eastAsia" w:cs="宋体"/>
                <w:kern w:val="0"/>
                <w:sz w:val="18"/>
                <w:szCs w:val="18"/>
              </w:rPr>
              <w:t>1.模块机身采用热浸镀锌金属材质，采用智能风扇低噪音散热设计。</w:t>
            </w:r>
          </w:p>
          <w:p w14:paraId="7FFE5A5C">
            <w:pPr>
              <w:widowControl/>
              <w:jc w:val="left"/>
              <w:textAlignment w:val="center"/>
              <w:rPr>
                <w:rFonts w:cs="宋体"/>
                <w:kern w:val="0"/>
                <w:sz w:val="18"/>
                <w:szCs w:val="18"/>
              </w:rPr>
            </w:pPr>
            <w:r>
              <w:rPr>
                <w:rFonts w:hint="eastAsia" w:cs="宋体"/>
                <w:kern w:val="0"/>
                <w:sz w:val="18"/>
                <w:szCs w:val="18"/>
              </w:rPr>
              <w:t>2.搭载Intel 酷睿系列 i5十代CPU。</w:t>
            </w:r>
          </w:p>
          <w:p w14:paraId="637650D8">
            <w:pPr>
              <w:widowControl/>
              <w:jc w:val="left"/>
              <w:textAlignment w:val="center"/>
              <w:rPr>
                <w:rFonts w:cs="宋体"/>
                <w:kern w:val="0"/>
                <w:sz w:val="18"/>
                <w:szCs w:val="18"/>
              </w:rPr>
            </w:pPr>
            <w:r>
              <w:rPr>
                <w:rFonts w:hint="eastAsia" w:cs="宋体"/>
                <w:kern w:val="0"/>
                <w:sz w:val="18"/>
                <w:szCs w:val="18"/>
              </w:rPr>
              <w:t>3.内存：8GB DDR4笔记本内存或以上配置；硬盘：256GB或以上SSD固态硬盘。</w:t>
            </w:r>
          </w:p>
          <w:p w14:paraId="7EC1F5D4">
            <w:pPr>
              <w:widowControl/>
              <w:jc w:val="left"/>
              <w:textAlignment w:val="center"/>
              <w:rPr>
                <w:rFonts w:cs="宋体"/>
                <w:kern w:val="0"/>
                <w:sz w:val="18"/>
                <w:szCs w:val="18"/>
              </w:rPr>
            </w:pPr>
            <w:r>
              <w:rPr>
                <w:rFonts w:hint="eastAsia" w:cs="宋体"/>
                <w:kern w:val="0"/>
                <w:sz w:val="18"/>
                <w:szCs w:val="18"/>
              </w:rPr>
              <w:t>4.PC模块可抽拉式插入整机，采用按压式卡扣，为维护方便，不接受以螺丝固定OPS模块的形式。</w:t>
            </w:r>
          </w:p>
          <w:p w14:paraId="3ED74EC4">
            <w:pPr>
              <w:widowControl/>
              <w:jc w:val="left"/>
              <w:textAlignment w:val="center"/>
              <w:rPr>
                <w:rFonts w:cs="宋体"/>
                <w:kern w:val="0"/>
                <w:sz w:val="18"/>
                <w:szCs w:val="18"/>
              </w:rPr>
            </w:pPr>
            <w:r>
              <w:rPr>
                <w:rFonts w:hint="eastAsia" w:cs="宋体"/>
                <w:kern w:val="0"/>
                <w:sz w:val="18"/>
                <w:szCs w:val="18"/>
              </w:rPr>
              <w:t>5.PC模块支持不断电情况下热插拔，以便快速维护或替换模块。</w:t>
            </w:r>
          </w:p>
          <w:p w14:paraId="15D160AD">
            <w:pPr>
              <w:widowControl/>
              <w:jc w:val="left"/>
              <w:textAlignment w:val="center"/>
              <w:rPr>
                <w:rFonts w:cs="宋体"/>
                <w:kern w:val="0"/>
                <w:sz w:val="18"/>
                <w:szCs w:val="18"/>
              </w:rPr>
            </w:pPr>
            <w:r>
              <w:rPr>
                <w:rFonts w:hint="eastAsia" w:cs="宋体"/>
                <w:kern w:val="0"/>
                <w:sz w:val="18"/>
                <w:szCs w:val="18"/>
              </w:rPr>
              <w:t>6.和整机的连接采用万兆级接口，传输速率≥10Gbps。</w:t>
            </w:r>
          </w:p>
          <w:p w14:paraId="35F8D318">
            <w:pPr>
              <w:widowControl/>
              <w:jc w:val="left"/>
              <w:textAlignment w:val="center"/>
              <w:rPr>
                <w:rFonts w:cs="宋体"/>
                <w:kern w:val="0"/>
                <w:sz w:val="18"/>
                <w:szCs w:val="18"/>
              </w:rPr>
            </w:pPr>
            <w:r>
              <w:rPr>
                <w:rFonts w:hint="eastAsia" w:cs="宋体"/>
                <w:kern w:val="0"/>
                <w:sz w:val="18"/>
                <w:szCs w:val="18"/>
              </w:rPr>
              <w:t>7.和整机的连接接口针脚数≤40pin。</w:t>
            </w:r>
          </w:p>
          <w:p w14:paraId="2397128C">
            <w:pPr>
              <w:widowControl/>
              <w:jc w:val="left"/>
              <w:textAlignment w:val="center"/>
              <w:rPr>
                <w:rFonts w:cs="宋体"/>
                <w:kern w:val="0"/>
                <w:sz w:val="18"/>
                <w:szCs w:val="18"/>
              </w:rPr>
            </w:pPr>
            <w:r>
              <w:rPr>
                <w:rFonts w:hint="eastAsia" w:cs="宋体"/>
                <w:kern w:val="0"/>
                <w:sz w:val="18"/>
                <w:szCs w:val="18"/>
              </w:rPr>
              <w:t>8.PC模块接口：≥1路HDMI，≥3路USB。</w:t>
            </w:r>
          </w:p>
          <w:p w14:paraId="04D58F3C">
            <w:pPr>
              <w:widowControl/>
              <w:jc w:val="left"/>
              <w:textAlignment w:val="center"/>
              <w:rPr>
                <w:rFonts w:ascii="Times New Roman" w:hAnsi="Times New Roman"/>
                <w:color w:val="auto"/>
                <w:kern w:val="0"/>
                <w:szCs w:val="21"/>
                <w:highlight w:val="none"/>
              </w:rPr>
            </w:pPr>
            <w:r>
              <w:rPr>
                <w:rFonts w:hint="eastAsia" w:cs="宋体"/>
                <w:kern w:val="0"/>
                <w:sz w:val="18"/>
                <w:szCs w:val="18"/>
              </w:rPr>
              <w:t>三、包含移动支架</w:t>
            </w:r>
          </w:p>
        </w:tc>
        <w:tc>
          <w:tcPr>
            <w:tcW w:w="965" w:type="dxa"/>
            <w:vAlign w:val="center"/>
          </w:tcPr>
          <w:p w14:paraId="0BB084D8">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678262D1">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757E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3AEE2571">
            <w:pPr>
              <w:widowControl/>
              <w:numPr>
                <w:ilvl w:val="0"/>
                <w:numId w:val="9"/>
              </w:numPr>
              <w:jc w:val="center"/>
              <w:rPr>
                <w:rFonts w:ascii="Times New Roman" w:hAnsi="Times New Roman"/>
                <w:color w:val="auto"/>
                <w:kern w:val="0"/>
                <w:szCs w:val="22"/>
                <w:highlight w:val="none"/>
              </w:rPr>
            </w:pPr>
          </w:p>
        </w:tc>
        <w:tc>
          <w:tcPr>
            <w:tcW w:w="1096" w:type="dxa"/>
            <w:vAlign w:val="center"/>
          </w:tcPr>
          <w:p w14:paraId="5D1F2E46">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AIGC智创实训平台：互动软件套件</w:t>
            </w:r>
          </w:p>
        </w:tc>
        <w:tc>
          <w:tcPr>
            <w:tcW w:w="6947" w:type="dxa"/>
            <w:vAlign w:val="center"/>
          </w:tcPr>
          <w:p w14:paraId="426EF315">
            <w:pPr>
              <w:widowControl/>
              <w:jc w:val="left"/>
              <w:textAlignment w:val="center"/>
              <w:rPr>
                <w:rFonts w:ascii="Times New Roman" w:hAnsi="Times New Roman"/>
                <w:kern w:val="0"/>
                <w:sz w:val="18"/>
                <w:szCs w:val="18"/>
              </w:rPr>
            </w:pPr>
            <w:r>
              <w:rPr>
                <w:rFonts w:hint="eastAsia" w:ascii="Times New Roman" w:hAnsi="Times New Roman"/>
                <w:kern w:val="0"/>
                <w:sz w:val="18"/>
                <w:szCs w:val="18"/>
              </w:rPr>
              <w:t>一、基本功能：</w:t>
            </w:r>
          </w:p>
          <w:p w14:paraId="6E07E406">
            <w:pPr>
              <w:widowControl/>
              <w:jc w:val="left"/>
              <w:textAlignment w:val="center"/>
              <w:rPr>
                <w:rFonts w:ascii="Times New Roman" w:hAnsi="Times New Roman"/>
                <w:kern w:val="0"/>
                <w:sz w:val="18"/>
                <w:szCs w:val="18"/>
              </w:rPr>
            </w:pPr>
            <w:r>
              <w:rPr>
                <w:rFonts w:ascii="Times New Roman" w:hAnsi="Times New Roman"/>
                <w:kern w:val="0"/>
                <w:sz w:val="18"/>
                <w:szCs w:val="18"/>
              </w:rPr>
              <w:t>1.打版放码、改版等模块功能： 参数打版自主选择打版方式，自由组合打版；</w:t>
            </w:r>
          </w:p>
          <w:p w14:paraId="5461FB69">
            <w:pPr>
              <w:widowControl/>
              <w:jc w:val="left"/>
              <w:textAlignment w:val="center"/>
              <w:rPr>
                <w:rFonts w:ascii="Times New Roman" w:hAnsi="Times New Roman"/>
                <w:kern w:val="0"/>
                <w:sz w:val="18"/>
                <w:szCs w:val="18"/>
              </w:rPr>
            </w:pPr>
            <w:r>
              <w:rPr>
                <w:rFonts w:ascii="Times New Roman" w:hAnsi="Times New Roman"/>
                <w:kern w:val="0"/>
                <w:sz w:val="18"/>
                <w:szCs w:val="18"/>
              </w:rPr>
              <w:t>2.正常款式版型修改处理：一步进行联动化高精度的修改，同步进行其它处关联部位操作，样版/裁片/排料文件同步完成；</w:t>
            </w:r>
          </w:p>
          <w:p w14:paraId="1DC6E970">
            <w:pPr>
              <w:widowControl/>
              <w:jc w:val="left"/>
              <w:textAlignment w:val="center"/>
              <w:rPr>
                <w:rFonts w:ascii="Times New Roman" w:hAnsi="Times New Roman"/>
                <w:kern w:val="0"/>
                <w:sz w:val="18"/>
                <w:szCs w:val="18"/>
              </w:rPr>
            </w:pPr>
            <w:r>
              <w:rPr>
                <w:rFonts w:ascii="Times New Roman" w:hAnsi="Times New Roman"/>
                <w:kern w:val="0"/>
                <w:sz w:val="18"/>
                <w:szCs w:val="18"/>
              </w:rPr>
              <w:t>3.特殊体型版型修改处理：直接对特殊体型的版型进行修改，如：弯腰，凸肚，驼背、溜肩等；</w:t>
            </w:r>
          </w:p>
          <w:p w14:paraId="0F561FA4">
            <w:pPr>
              <w:widowControl/>
              <w:jc w:val="left"/>
              <w:textAlignment w:val="center"/>
              <w:rPr>
                <w:rFonts w:ascii="Times New Roman" w:hAnsi="Times New Roman"/>
                <w:kern w:val="0"/>
                <w:sz w:val="18"/>
                <w:szCs w:val="18"/>
              </w:rPr>
            </w:pPr>
            <w:r>
              <w:rPr>
                <w:rFonts w:ascii="Times New Roman" w:hAnsi="Times New Roman"/>
                <w:kern w:val="0"/>
                <w:sz w:val="18"/>
                <w:szCs w:val="18"/>
              </w:rPr>
              <w:t>4. 导入/导出使用标准化数据格式（Dxf，Plt，Cut文件），具有良好的兼容特性；</w:t>
            </w:r>
          </w:p>
          <w:p w14:paraId="7005B645">
            <w:pPr>
              <w:widowControl/>
              <w:jc w:val="left"/>
              <w:textAlignment w:val="center"/>
              <w:rPr>
                <w:rFonts w:ascii="Times New Roman" w:hAnsi="Times New Roman"/>
                <w:kern w:val="0"/>
                <w:sz w:val="18"/>
                <w:szCs w:val="18"/>
              </w:rPr>
            </w:pPr>
            <w:r>
              <w:rPr>
                <w:rFonts w:ascii="Times New Roman" w:hAnsi="Times New Roman"/>
                <w:kern w:val="0"/>
                <w:sz w:val="18"/>
                <w:szCs w:val="18"/>
              </w:rPr>
              <w:t>5. 其它：自动无缝连接量体尺寸数据、样板、裁片、排料图等，一键生成所需样版。</w:t>
            </w:r>
          </w:p>
          <w:p w14:paraId="7C3F3F2A">
            <w:pPr>
              <w:widowControl/>
              <w:jc w:val="left"/>
              <w:textAlignment w:val="center"/>
              <w:rPr>
                <w:rFonts w:ascii="Times New Roman" w:hAnsi="Times New Roman"/>
                <w:kern w:val="0"/>
                <w:sz w:val="18"/>
                <w:szCs w:val="18"/>
              </w:rPr>
            </w:pPr>
            <w:r>
              <w:rPr>
                <w:rFonts w:hint="eastAsia" w:ascii="Times New Roman" w:hAnsi="Times New Roman"/>
                <w:kern w:val="0"/>
                <w:sz w:val="18"/>
                <w:szCs w:val="18"/>
              </w:rPr>
              <w:t>二、功能特点：</w:t>
            </w:r>
          </w:p>
          <w:p w14:paraId="7CD5ABEE">
            <w:pPr>
              <w:widowControl/>
              <w:jc w:val="left"/>
              <w:textAlignment w:val="center"/>
              <w:rPr>
                <w:rFonts w:ascii="Times New Roman" w:hAnsi="Times New Roman"/>
                <w:kern w:val="0"/>
                <w:sz w:val="18"/>
                <w:szCs w:val="18"/>
              </w:rPr>
            </w:pPr>
            <w:r>
              <w:rPr>
                <w:rFonts w:ascii="Times New Roman" w:hAnsi="Times New Roman"/>
                <w:kern w:val="0"/>
                <w:sz w:val="18"/>
                <w:szCs w:val="18"/>
              </w:rPr>
              <w:t>1.</w:t>
            </w:r>
            <w:r>
              <w:rPr>
                <w:rFonts w:hint="eastAsia" w:ascii="Times New Roman" w:hAnsi="Times New Roman"/>
                <w:kern w:val="0"/>
                <w:sz w:val="18"/>
                <w:szCs w:val="18"/>
              </w:rPr>
              <w:t xml:space="preserve"> ▲</w:t>
            </w:r>
            <w:r>
              <w:rPr>
                <w:rFonts w:ascii="Times New Roman" w:hAnsi="Times New Roman"/>
                <w:kern w:val="0"/>
                <w:sz w:val="18"/>
                <w:szCs w:val="18"/>
              </w:rPr>
              <w:t>智能便捷：智能模式下一支笔可以完成大多数设计，简单易上手</w:t>
            </w:r>
            <w:r>
              <w:rPr>
                <w:rFonts w:hint="eastAsia" w:ascii="Times New Roman" w:hAnsi="Times New Roman"/>
                <w:kern w:val="0"/>
                <w:sz w:val="18"/>
                <w:szCs w:val="18"/>
              </w:rPr>
              <w:t>；</w:t>
            </w:r>
          </w:p>
          <w:p w14:paraId="74E41059">
            <w:pPr>
              <w:widowControl/>
              <w:jc w:val="left"/>
              <w:textAlignment w:val="center"/>
              <w:rPr>
                <w:rFonts w:ascii="Times New Roman" w:hAnsi="Times New Roman"/>
                <w:kern w:val="0"/>
                <w:sz w:val="18"/>
                <w:szCs w:val="18"/>
              </w:rPr>
            </w:pPr>
            <w:r>
              <w:rPr>
                <w:rFonts w:ascii="Times New Roman" w:hAnsi="Times New Roman"/>
                <w:kern w:val="0"/>
                <w:sz w:val="18"/>
                <w:szCs w:val="18"/>
              </w:rPr>
              <w:t>2.</w:t>
            </w:r>
            <w:r>
              <w:rPr>
                <w:rFonts w:hint="eastAsia" w:ascii="Times New Roman" w:hAnsi="Times New Roman"/>
                <w:kern w:val="0"/>
                <w:sz w:val="18"/>
                <w:szCs w:val="18"/>
              </w:rPr>
              <w:t xml:space="preserve"> ▲</w:t>
            </w:r>
            <w:r>
              <w:rPr>
                <w:rFonts w:ascii="Times New Roman" w:hAnsi="Times New Roman"/>
                <w:kern w:val="0"/>
                <w:sz w:val="18"/>
                <w:szCs w:val="18"/>
              </w:rPr>
              <w:t>智能调版：数字化自动放码功能可以瞬间完成规格的放缩，自动设计功能可以通过输入尺码快速生成样板</w:t>
            </w:r>
            <w:r>
              <w:rPr>
                <w:rFonts w:hint="eastAsia" w:ascii="Times New Roman" w:hAnsi="Times New Roman"/>
                <w:kern w:val="0"/>
                <w:sz w:val="18"/>
                <w:szCs w:val="18"/>
              </w:rPr>
              <w:t>；</w:t>
            </w:r>
          </w:p>
          <w:p w14:paraId="7A03C069">
            <w:pPr>
              <w:widowControl/>
              <w:jc w:val="left"/>
              <w:textAlignment w:val="center"/>
              <w:rPr>
                <w:rFonts w:ascii="Times New Roman" w:hAnsi="Times New Roman"/>
                <w:kern w:val="0"/>
                <w:sz w:val="18"/>
                <w:szCs w:val="18"/>
              </w:rPr>
            </w:pPr>
            <w:r>
              <w:rPr>
                <w:rFonts w:ascii="Times New Roman" w:hAnsi="Times New Roman"/>
                <w:kern w:val="0"/>
                <w:sz w:val="18"/>
                <w:szCs w:val="18"/>
              </w:rPr>
              <w:t>3.</w:t>
            </w:r>
            <w:r>
              <w:rPr>
                <w:rFonts w:hint="eastAsia" w:ascii="Times New Roman" w:hAnsi="Times New Roman"/>
                <w:kern w:val="0"/>
                <w:sz w:val="18"/>
                <w:szCs w:val="18"/>
              </w:rPr>
              <w:t xml:space="preserve"> ▲</w:t>
            </w:r>
            <w:r>
              <w:rPr>
                <w:rFonts w:ascii="Times New Roman" w:hAnsi="Times New Roman"/>
                <w:kern w:val="0"/>
                <w:sz w:val="18"/>
                <w:szCs w:val="18"/>
              </w:rPr>
              <w:t>联动修改：数字化记忆功能可以将任何部位的数据显示出来并直接修改;联动修改功能可以自动完成关联部位的修改</w:t>
            </w:r>
            <w:r>
              <w:rPr>
                <w:rFonts w:hint="eastAsia" w:ascii="Times New Roman" w:hAnsi="Times New Roman"/>
                <w:kern w:val="0"/>
                <w:sz w:val="18"/>
                <w:szCs w:val="18"/>
              </w:rPr>
              <w:t>；</w:t>
            </w:r>
          </w:p>
          <w:p w14:paraId="38AE8351">
            <w:pPr>
              <w:widowControl/>
              <w:jc w:val="left"/>
              <w:textAlignment w:val="center"/>
              <w:rPr>
                <w:rFonts w:ascii="Times New Roman" w:hAnsi="Times New Roman"/>
                <w:kern w:val="0"/>
                <w:sz w:val="18"/>
                <w:szCs w:val="18"/>
              </w:rPr>
            </w:pPr>
            <w:r>
              <w:rPr>
                <w:rFonts w:ascii="Times New Roman" w:hAnsi="Times New Roman"/>
                <w:kern w:val="0"/>
                <w:sz w:val="18"/>
                <w:szCs w:val="18"/>
              </w:rPr>
              <w:t>4.安全可靠：系统具备安全恢复功能，确保文件不会损坏丢失。独特的文件加密功能可以通过加密设置确保您的文件不被盗取</w:t>
            </w:r>
            <w:r>
              <w:rPr>
                <w:rFonts w:hint="eastAsia" w:ascii="Times New Roman" w:hAnsi="Times New Roman"/>
                <w:kern w:val="0"/>
                <w:sz w:val="18"/>
                <w:szCs w:val="18"/>
              </w:rPr>
              <w:t>；</w:t>
            </w:r>
          </w:p>
          <w:p w14:paraId="614C2ABB">
            <w:pPr>
              <w:widowControl/>
              <w:jc w:val="left"/>
              <w:textAlignment w:val="center"/>
              <w:rPr>
                <w:rFonts w:ascii="Times New Roman" w:hAnsi="Times New Roman"/>
                <w:color w:val="auto"/>
                <w:kern w:val="0"/>
                <w:szCs w:val="21"/>
                <w:highlight w:val="none"/>
              </w:rPr>
            </w:pPr>
            <w:r>
              <w:rPr>
                <w:rFonts w:ascii="Times New Roman" w:hAnsi="Times New Roman"/>
                <w:kern w:val="0"/>
                <w:sz w:val="18"/>
                <w:szCs w:val="18"/>
              </w:rPr>
              <w:t>5.兼容性强：全面兼容各类DXF、PLT文件，并直接读取美国格柏和法国力克等系统文件，且不会发生变形</w:t>
            </w:r>
            <w:r>
              <w:rPr>
                <w:rFonts w:hint="eastAsia" w:ascii="Times New Roman" w:hAnsi="Times New Roman"/>
                <w:kern w:val="0"/>
                <w:sz w:val="18"/>
                <w:szCs w:val="18"/>
              </w:rPr>
              <w:t>；</w:t>
            </w:r>
          </w:p>
        </w:tc>
        <w:tc>
          <w:tcPr>
            <w:tcW w:w="965" w:type="dxa"/>
            <w:vAlign w:val="center"/>
          </w:tcPr>
          <w:p w14:paraId="2F20E6DB">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3</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2280EAE7">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6E32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0D2E7745">
            <w:pPr>
              <w:widowControl/>
              <w:numPr>
                <w:ilvl w:val="0"/>
                <w:numId w:val="9"/>
              </w:numPr>
              <w:jc w:val="center"/>
              <w:rPr>
                <w:rFonts w:ascii="Times New Roman" w:hAnsi="Times New Roman"/>
                <w:color w:val="auto"/>
                <w:kern w:val="0"/>
                <w:szCs w:val="22"/>
                <w:highlight w:val="none"/>
              </w:rPr>
            </w:pPr>
          </w:p>
        </w:tc>
        <w:tc>
          <w:tcPr>
            <w:tcW w:w="1096" w:type="dxa"/>
            <w:vAlign w:val="center"/>
          </w:tcPr>
          <w:p w14:paraId="4AA24BD6">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AIGC智创实训平台：3D服装软件</w:t>
            </w:r>
          </w:p>
        </w:tc>
        <w:tc>
          <w:tcPr>
            <w:tcW w:w="6947" w:type="dxa"/>
            <w:vAlign w:val="center"/>
          </w:tcPr>
          <w:p w14:paraId="1B1A2A06">
            <w:pPr>
              <w:widowControl/>
              <w:jc w:val="left"/>
              <w:textAlignment w:val="center"/>
              <w:rPr>
                <w:rFonts w:cs="宋体"/>
                <w:kern w:val="0"/>
                <w:sz w:val="18"/>
                <w:szCs w:val="18"/>
                <w:lang w:bidi="ar"/>
              </w:rPr>
            </w:pPr>
            <w:r>
              <w:rPr>
                <w:rFonts w:hint="eastAsia" w:cs="宋体"/>
                <w:kern w:val="0"/>
                <w:sz w:val="18"/>
                <w:szCs w:val="18"/>
                <w:lang w:bidi="ar"/>
              </w:rPr>
              <w:t>1.3D 服装设计: 提供直观的 3D 设计界面，方便用户进行款式设计、修改和调整；</w:t>
            </w:r>
          </w:p>
          <w:p w14:paraId="1340A486">
            <w:pPr>
              <w:widowControl/>
              <w:jc w:val="left"/>
              <w:textAlignment w:val="center"/>
              <w:rPr>
                <w:rFonts w:cs="宋体"/>
                <w:kern w:val="0"/>
                <w:sz w:val="18"/>
                <w:szCs w:val="18"/>
                <w:lang w:bidi="ar"/>
              </w:rPr>
            </w:pPr>
            <w:r>
              <w:rPr>
                <w:rFonts w:hint="eastAsia" w:cs="宋体"/>
                <w:kern w:val="0"/>
                <w:sz w:val="18"/>
                <w:szCs w:val="18"/>
                <w:lang w:bidi="ar"/>
              </w:rPr>
              <w:t>2.虚拟样衣制作: 能够根据 2D 版片自动生成 3D 虚拟样衣；</w:t>
            </w:r>
          </w:p>
          <w:p w14:paraId="7F78D1D3">
            <w:pPr>
              <w:widowControl/>
              <w:jc w:val="left"/>
              <w:textAlignment w:val="center"/>
              <w:rPr>
                <w:rFonts w:cs="宋体"/>
                <w:kern w:val="0"/>
                <w:sz w:val="18"/>
                <w:szCs w:val="18"/>
                <w:lang w:bidi="ar"/>
              </w:rPr>
            </w:pPr>
            <w:r>
              <w:rPr>
                <w:rFonts w:hint="eastAsia" w:cs="宋体"/>
                <w:kern w:val="0"/>
                <w:sz w:val="18"/>
                <w:szCs w:val="18"/>
                <w:lang w:bidi="ar"/>
              </w:rPr>
              <w:t>3.面料模拟: 提供丰富的面料库和逼真的面料模拟效果，包括纹理、光泽、悬垂性等；</w:t>
            </w:r>
          </w:p>
          <w:p w14:paraId="5C3112DE">
            <w:pPr>
              <w:widowControl/>
              <w:jc w:val="left"/>
              <w:textAlignment w:val="center"/>
              <w:rPr>
                <w:rFonts w:cs="宋体"/>
                <w:kern w:val="0"/>
                <w:sz w:val="18"/>
                <w:szCs w:val="18"/>
                <w:lang w:bidi="ar"/>
              </w:rPr>
            </w:pPr>
            <w:r>
              <w:rPr>
                <w:rFonts w:hint="eastAsia" w:cs="宋体"/>
                <w:kern w:val="0"/>
                <w:sz w:val="18"/>
                <w:szCs w:val="18"/>
                <w:lang w:bidi="ar"/>
              </w:rPr>
              <w:t>4.版型设计和修改: 支持 2D 版片的设计、修改和导入，并能实时反映在 3D 虚拟样衣上；</w:t>
            </w:r>
          </w:p>
          <w:p w14:paraId="3231101C">
            <w:pPr>
              <w:widowControl/>
              <w:jc w:val="left"/>
              <w:textAlignment w:val="center"/>
              <w:rPr>
                <w:rFonts w:cs="宋体"/>
                <w:kern w:val="0"/>
                <w:sz w:val="18"/>
                <w:szCs w:val="18"/>
                <w:lang w:bidi="ar"/>
              </w:rPr>
            </w:pPr>
            <w:r>
              <w:rPr>
                <w:rFonts w:hint="eastAsia" w:cs="宋体"/>
                <w:kern w:val="0"/>
                <w:sz w:val="18"/>
                <w:szCs w:val="18"/>
                <w:lang w:bidi="ar"/>
              </w:rPr>
              <w:t>5.合身性评估: 提供精确的合身性评估工具，包括压力图、拉伸图等，帮助设计师优化版型；</w:t>
            </w:r>
          </w:p>
          <w:p w14:paraId="72B4DDD5">
            <w:pPr>
              <w:widowControl/>
              <w:jc w:val="left"/>
              <w:textAlignment w:val="center"/>
              <w:rPr>
                <w:rFonts w:cs="宋体"/>
                <w:kern w:val="0"/>
                <w:sz w:val="18"/>
                <w:szCs w:val="18"/>
                <w:lang w:bidi="ar"/>
              </w:rPr>
            </w:pPr>
            <w:r>
              <w:rPr>
                <w:rFonts w:hint="eastAsia" w:cs="宋体"/>
                <w:kern w:val="0"/>
                <w:sz w:val="18"/>
                <w:szCs w:val="18"/>
                <w:lang w:bidi="ar"/>
              </w:rPr>
              <w:t>6.虚拟试穿: 支持虚拟模特试穿，并可自定义模特尺寸和体型；</w:t>
            </w:r>
          </w:p>
          <w:p w14:paraId="525DBF28">
            <w:pPr>
              <w:widowControl/>
              <w:jc w:val="left"/>
              <w:textAlignment w:val="center"/>
              <w:rPr>
                <w:rFonts w:cs="宋体"/>
                <w:kern w:val="0"/>
                <w:sz w:val="18"/>
                <w:szCs w:val="18"/>
                <w:lang w:bidi="ar"/>
              </w:rPr>
            </w:pPr>
            <w:r>
              <w:rPr>
                <w:rFonts w:hint="eastAsia" w:cs="宋体"/>
                <w:kern w:val="0"/>
                <w:sz w:val="18"/>
                <w:szCs w:val="18"/>
                <w:lang w:bidi="ar"/>
              </w:rPr>
              <w:t>7.动画和渲染: 支持服装动画制作和高质量的渲染输出，用于产品展示和营销；</w:t>
            </w:r>
          </w:p>
          <w:p w14:paraId="434DAE2A">
            <w:pPr>
              <w:widowControl/>
              <w:jc w:val="left"/>
              <w:textAlignment w:val="center"/>
              <w:rPr>
                <w:rFonts w:cs="宋体"/>
                <w:kern w:val="0"/>
                <w:sz w:val="18"/>
                <w:szCs w:val="18"/>
                <w:lang w:bidi="ar"/>
              </w:rPr>
            </w:pPr>
            <w:r>
              <w:rPr>
                <w:rFonts w:hint="eastAsia" w:cs="宋体"/>
                <w:kern w:val="0"/>
                <w:sz w:val="18"/>
                <w:szCs w:val="18"/>
                <w:lang w:bidi="ar"/>
              </w:rPr>
              <w:t>8.数据导入和导出: 支持多种文件格式的导入和导出，包括 DXF、OBJ、FBX 等；</w:t>
            </w:r>
          </w:p>
          <w:p w14:paraId="24238318">
            <w:pPr>
              <w:widowControl/>
              <w:jc w:val="left"/>
              <w:textAlignment w:val="center"/>
              <w:rPr>
                <w:rFonts w:cs="宋体"/>
                <w:kern w:val="0"/>
                <w:sz w:val="18"/>
                <w:szCs w:val="18"/>
                <w:lang w:bidi="ar"/>
              </w:rPr>
            </w:pPr>
            <w:r>
              <w:rPr>
                <w:rFonts w:hint="eastAsia" w:cs="宋体"/>
                <w:kern w:val="0"/>
                <w:sz w:val="18"/>
                <w:szCs w:val="18"/>
                <w:lang w:bidi="ar"/>
              </w:rPr>
              <w:t>9.关键帧动画：通过将关键帧应用于各种项目来创建复杂的动态视觉效果；</w:t>
            </w:r>
          </w:p>
          <w:p w14:paraId="302B42D1">
            <w:pPr>
              <w:spacing w:line="320" w:lineRule="exact"/>
              <w:rPr>
                <w:rFonts w:cs="宋体"/>
                <w:color w:val="auto"/>
                <w:kern w:val="0"/>
                <w:sz w:val="18"/>
                <w:szCs w:val="18"/>
                <w:highlight w:val="none"/>
                <w:lang w:bidi="ar"/>
              </w:rPr>
            </w:pPr>
            <w:r>
              <w:rPr>
                <w:rFonts w:hint="eastAsia" w:cs="宋体"/>
                <w:kern w:val="0"/>
                <w:sz w:val="18"/>
                <w:szCs w:val="18"/>
                <w:lang w:bidi="ar"/>
              </w:rPr>
              <w:t>10.板片生成器：只需要输入最少的测量数值，就能创建可用于精确编辑的参数化板片。</w:t>
            </w:r>
          </w:p>
        </w:tc>
        <w:tc>
          <w:tcPr>
            <w:tcW w:w="965" w:type="dxa"/>
            <w:vAlign w:val="center"/>
          </w:tcPr>
          <w:p w14:paraId="7D54C833">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6D6F9EFB">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2654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34D0ED67">
            <w:pPr>
              <w:widowControl/>
              <w:numPr>
                <w:ilvl w:val="0"/>
                <w:numId w:val="9"/>
              </w:numPr>
              <w:jc w:val="center"/>
              <w:rPr>
                <w:rFonts w:ascii="Times New Roman" w:hAnsi="Times New Roman"/>
                <w:color w:val="auto"/>
                <w:kern w:val="0"/>
                <w:szCs w:val="22"/>
                <w:highlight w:val="none"/>
              </w:rPr>
            </w:pPr>
          </w:p>
        </w:tc>
        <w:tc>
          <w:tcPr>
            <w:tcW w:w="1096" w:type="dxa"/>
            <w:vAlign w:val="center"/>
          </w:tcPr>
          <w:p w14:paraId="4E304EC6">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AIGC智创实训平台：喷切一体机服装</w:t>
            </w:r>
          </w:p>
        </w:tc>
        <w:tc>
          <w:tcPr>
            <w:tcW w:w="6947" w:type="dxa"/>
            <w:vAlign w:val="center"/>
          </w:tcPr>
          <w:p w14:paraId="43394147">
            <w:pPr>
              <w:numPr>
                <w:ilvl w:val="0"/>
                <w:numId w:val="10"/>
              </w:numPr>
              <w:tabs>
                <w:tab w:val="left" w:pos="297"/>
              </w:tabs>
              <w:ind w:left="155" w:hanging="155"/>
              <w:rPr>
                <w:rFonts w:eastAsiaTheme="minorEastAsia"/>
                <w:sz w:val="18"/>
                <w:szCs w:val="18"/>
              </w:rPr>
            </w:pPr>
            <w:r>
              <w:rPr>
                <w:rFonts w:hint="eastAsia"/>
                <w:sz w:val="18"/>
                <w:szCs w:val="18"/>
              </w:rPr>
              <w:t>兼打印,切割双功能 薄纸,厚纸完美切割；</w:t>
            </w:r>
          </w:p>
          <w:p w14:paraId="48DF1253">
            <w:pPr>
              <w:numPr>
                <w:ilvl w:val="0"/>
                <w:numId w:val="10"/>
              </w:numPr>
              <w:tabs>
                <w:tab w:val="left" w:pos="297"/>
              </w:tabs>
              <w:ind w:left="155" w:hanging="155"/>
              <w:rPr>
                <w:rFonts w:eastAsiaTheme="minorEastAsia"/>
                <w:sz w:val="18"/>
                <w:szCs w:val="18"/>
              </w:rPr>
            </w:pPr>
            <w:r>
              <w:rPr>
                <w:rFonts w:hint="eastAsia"/>
                <w:sz w:val="18"/>
                <w:szCs w:val="18"/>
              </w:rPr>
              <w:t>切绘宽度:≥165；</w:t>
            </w:r>
          </w:p>
          <w:p w14:paraId="706616AD">
            <w:pPr>
              <w:numPr>
                <w:ilvl w:val="0"/>
                <w:numId w:val="10"/>
              </w:numPr>
              <w:tabs>
                <w:tab w:val="left" w:pos="297"/>
              </w:tabs>
              <w:ind w:left="155" w:hanging="155"/>
              <w:rPr>
                <w:sz w:val="18"/>
                <w:szCs w:val="18"/>
              </w:rPr>
            </w:pPr>
            <w:r>
              <w:rPr>
                <w:rFonts w:hint="eastAsia"/>
                <w:sz w:val="18"/>
                <w:szCs w:val="18"/>
              </w:rPr>
              <w:t>喷头类型:(双墨盒,自清洗)；</w:t>
            </w:r>
          </w:p>
          <w:p w14:paraId="10C7067C">
            <w:pPr>
              <w:numPr>
                <w:ilvl w:val="0"/>
                <w:numId w:val="10"/>
              </w:numPr>
              <w:tabs>
                <w:tab w:val="left" w:pos="297"/>
              </w:tabs>
              <w:ind w:left="155" w:hanging="155"/>
              <w:rPr>
                <w:rFonts w:eastAsiaTheme="minorEastAsia"/>
                <w:sz w:val="18"/>
                <w:szCs w:val="18"/>
              </w:rPr>
            </w:pPr>
            <w:r>
              <w:rPr>
                <w:rFonts w:hint="eastAsia"/>
                <w:sz w:val="18"/>
                <w:szCs w:val="18"/>
              </w:rPr>
              <w:t>传输接口:USB；</w:t>
            </w:r>
          </w:p>
          <w:p w14:paraId="6E6456BF">
            <w:pPr>
              <w:numPr>
                <w:ilvl w:val="0"/>
                <w:numId w:val="10"/>
              </w:numPr>
              <w:tabs>
                <w:tab w:val="left" w:pos="297"/>
              </w:tabs>
              <w:ind w:left="155" w:hanging="155"/>
              <w:rPr>
                <w:rFonts w:eastAsiaTheme="minorEastAsia"/>
                <w:sz w:val="18"/>
                <w:szCs w:val="18"/>
              </w:rPr>
            </w:pPr>
            <w:r>
              <w:rPr>
                <w:rFonts w:hint="eastAsia"/>
                <w:sz w:val="18"/>
                <w:szCs w:val="18"/>
              </w:rPr>
              <w:t>绘图速度:≥100㎡/h；</w:t>
            </w:r>
          </w:p>
          <w:p w14:paraId="038D8CA7">
            <w:pPr>
              <w:numPr>
                <w:ilvl w:val="0"/>
                <w:numId w:val="10"/>
              </w:numPr>
              <w:tabs>
                <w:tab w:val="left" w:pos="297"/>
              </w:tabs>
              <w:ind w:left="155" w:hanging="155"/>
              <w:rPr>
                <w:rFonts w:eastAsiaTheme="minorEastAsia"/>
                <w:sz w:val="18"/>
                <w:szCs w:val="18"/>
              </w:rPr>
            </w:pPr>
            <w:r>
              <w:rPr>
                <w:rFonts w:hint="eastAsia"/>
                <w:sz w:val="18"/>
                <w:szCs w:val="18"/>
              </w:rPr>
              <w:t>切割速度:≥1000mm/s；</w:t>
            </w:r>
          </w:p>
          <w:p w14:paraId="6F8A81E4">
            <w:pPr>
              <w:numPr>
                <w:ilvl w:val="0"/>
                <w:numId w:val="10"/>
              </w:numPr>
              <w:tabs>
                <w:tab w:val="left" w:pos="297"/>
              </w:tabs>
              <w:ind w:left="155" w:hanging="155"/>
              <w:rPr>
                <w:rFonts w:eastAsiaTheme="minorEastAsia"/>
                <w:sz w:val="18"/>
                <w:szCs w:val="18"/>
              </w:rPr>
            </w:pPr>
            <w:r>
              <w:rPr>
                <w:rFonts w:hint="eastAsia"/>
                <w:sz w:val="18"/>
                <w:szCs w:val="18"/>
              </w:rPr>
              <w:t>打印精度:600Dpl；</w:t>
            </w:r>
          </w:p>
          <w:p w14:paraId="622B8B31">
            <w:pPr>
              <w:numPr>
                <w:ilvl w:val="0"/>
                <w:numId w:val="10"/>
              </w:numPr>
              <w:tabs>
                <w:tab w:val="left" w:pos="297"/>
              </w:tabs>
              <w:ind w:left="155" w:hanging="155"/>
              <w:rPr>
                <w:rFonts w:eastAsiaTheme="minorEastAsia"/>
                <w:sz w:val="18"/>
                <w:szCs w:val="18"/>
              </w:rPr>
            </w:pPr>
            <w:r>
              <w:rPr>
                <w:rFonts w:hint="eastAsia"/>
                <w:sz w:val="18"/>
                <w:szCs w:val="18"/>
              </w:rPr>
              <w:t>语言格式:HGPL/HGPL-2；</w:t>
            </w:r>
          </w:p>
          <w:p w14:paraId="1BFBC53F">
            <w:pPr>
              <w:numPr>
                <w:ilvl w:val="0"/>
                <w:numId w:val="10"/>
              </w:numPr>
              <w:tabs>
                <w:tab w:val="left" w:pos="297"/>
              </w:tabs>
              <w:ind w:left="155" w:leftChars="0" w:hanging="155" w:firstLineChars="0"/>
              <w:rPr>
                <w:rFonts w:cs="宋体"/>
                <w:color w:val="auto"/>
                <w:kern w:val="0"/>
                <w:sz w:val="18"/>
                <w:szCs w:val="18"/>
                <w:highlight w:val="none"/>
                <w:lang w:bidi="ar"/>
              </w:rPr>
            </w:pPr>
            <w:r>
              <w:rPr>
                <w:rFonts w:hint="eastAsia"/>
                <w:sz w:val="18"/>
                <w:szCs w:val="18"/>
              </w:rPr>
              <w:t>打印介质:绘图40g-300g,切割80g-300g。</w:t>
            </w:r>
          </w:p>
        </w:tc>
        <w:tc>
          <w:tcPr>
            <w:tcW w:w="965" w:type="dxa"/>
            <w:vAlign w:val="center"/>
          </w:tcPr>
          <w:p w14:paraId="34D89069">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2A3CCD96">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4C346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2175E477">
            <w:pPr>
              <w:widowControl/>
              <w:numPr>
                <w:ilvl w:val="0"/>
                <w:numId w:val="9"/>
              </w:numPr>
              <w:jc w:val="center"/>
              <w:rPr>
                <w:rFonts w:ascii="Times New Roman" w:hAnsi="Times New Roman"/>
                <w:color w:val="auto"/>
                <w:kern w:val="0"/>
                <w:szCs w:val="22"/>
                <w:highlight w:val="none"/>
              </w:rPr>
            </w:pPr>
          </w:p>
        </w:tc>
        <w:tc>
          <w:tcPr>
            <w:tcW w:w="1096" w:type="dxa"/>
            <w:vAlign w:val="center"/>
          </w:tcPr>
          <w:p w14:paraId="42CA7655">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AIGC智创实训平台：艺术与科技设备</w:t>
            </w:r>
          </w:p>
        </w:tc>
        <w:tc>
          <w:tcPr>
            <w:tcW w:w="6947" w:type="dxa"/>
            <w:vAlign w:val="center"/>
          </w:tcPr>
          <w:p w14:paraId="78F64A82">
            <w:pPr>
              <w:widowControl/>
              <w:jc w:val="left"/>
              <w:textAlignment w:val="center"/>
              <w:rPr>
                <w:kern w:val="0"/>
                <w:sz w:val="18"/>
                <w:szCs w:val="18"/>
              </w:rPr>
            </w:pPr>
            <w:r>
              <w:rPr>
                <w:rFonts w:hint="eastAsia"/>
                <w:kern w:val="0"/>
                <w:sz w:val="18"/>
                <w:szCs w:val="18"/>
              </w:rPr>
              <w:t>一、激光雷达+网络转接板*1</w:t>
            </w:r>
          </w:p>
          <w:p w14:paraId="4B771766">
            <w:pPr>
              <w:widowControl/>
              <w:jc w:val="left"/>
              <w:textAlignment w:val="center"/>
              <w:rPr>
                <w:kern w:val="0"/>
                <w:sz w:val="18"/>
                <w:szCs w:val="18"/>
              </w:rPr>
            </w:pPr>
            <w:r>
              <w:rPr>
                <w:rFonts w:hint="eastAsia"/>
                <w:kern w:val="0"/>
                <w:sz w:val="18"/>
                <w:szCs w:val="18"/>
              </w:rPr>
              <w:t>1.探测范围</w:t>
            </w:r>
            <w:r>
              <w:rPr>
                <w:kern w:val="0"/>
                <w:sz w:val="18"/>
                <w:szCs w:val="18"/>
              </w:rPr>
              <w:t xml:space="preserve"> @90%反射率：≥c50m</w:t>
            </w:r>
            <w:r>
              <w:rPr>
                <w:rFonts w:hint="eastAsia"/>
                <w:kern w:val="0"/>
                <w:sz w:val="18"/>
                <w:szCs w:val="18"/>
              </w:rPr>
              <w:t>；探测范围</w:t>
            </w:r>
            <w:r>
              <w:rPr>
                <w:kern w:val="0"/>
                <w:sz w:val="18"/>
                <w:szCs w:val="18"/>
              </w:rPr>
              <w:t xml:space="preserve"> @10%反射率：≥20m</w:t>
            </w:r>
          </w:p>
          <w:p w14:paraId="74E7493E">
            <w:pPr>
              <w:widowControl/>
              <w:jc w:val="left"/>
              <w:textAlignment w:val="center"/>
              <w:rPr>
                <w:kern w:val="0"/>
                <w:sz w:val="18"/>
                <w:szCs w:val="18"/>
              </w:rPr>
            </w:pPr>
            <w:r>
              <w:rPr>
                <w:rFonts w:hint="eastAsia"/>
                <w:kern w:val="0"/>
                <w:sz w:val="18"/>
                <w:szCs w:val="18"/>
              </w:rPr>
              <w:t>2.测距精度：±</w:t>
            </w:r>
            <w:r>
              <w:rPr>
                <w:kern w:val="0"/>
                <w:sz w:val="18"/>
                <w:szCs w:val="18"/>
              </w:rPr>
              <w:t>20mm</w:t>
            </w:r>
          </w:p>
          <w:p w14:paraId="1AA53156">
            <w:pPr>
              <w:widowControl/>
              <w:jc w:val="left"/>
              <w:textAlignment w:val="center"/>
              <w:rPr>
                <w:kern w:val="0"/>
                <w:sz w:val="18"/>
                <w:szCs w:val="18"/>
              </w:rPr>
            </w:pPr>
            <w:r>
              <w:rPr>
                <w:rFonts w:hint="eastAsia"/>
                <w:kern w:val="0"/>
                <w:sz w:val="18"/>
                <w:szCs w:val="18"/>
              </w:rPr>
              <w:t>3.近距离测距精度</w:t>
            </w:r>
            <w:r>
              <w:rPr>
                <w:kern w:val="0"/>
                <w:sz w:val="18"/>
                <w:szCs w:val="18"/>
              </w:rPr>
              <w:t xml:space="preserve"> (0.1m ~ 15m)：±10mm</w:t>
            </w:r>
          </w:p>
          <w:p w14:paraId="2F2165C9">
            <w:pPr>
              <w:widowControl/>
              <w:jc w:val="left"/>
              <w:textAlignment w:val="center"/>
              <w:rPr>
                <w:kern w:val="0"/>
                <w:sz w:val="18"/>
                <w:szCs w:val="18"/>
              </w:rPr>
            </w:pPr>
            <w:r>
              <w:rPr>
                <w:rFonts w:hint="eastAsia"/>
                <w:kern w:val="0"/>
                <w:sz w:val="18"/>
                <w:szCs w:val="18"/>
              </w:rPr>
              <w:t>4.扫描范围≥</w:t>
            </w:r>
            <w:r>
              <w:rPr>
                <w:kern w:val="0"/>
                <w:sz w:val="18"/>
                <w:szCs w:val="18"/>
              </w:rPr>
              <w:t>280°</w:t>
            </w:r>
          </w:p>
          <w:p w14:paraId="7AFD2234">
            <w:pPr>
              <w:widowControl/>
              <w:jc w:val="left"/>
              <w:textAlignment w:val="center"/>
              <w:rPr>
                <w:kern w:val="0"/>
                <w:sz w:val="18"/>
                <w:szCs w:val="18"/>
              </w:rPr>
            </w:pPr>
            <w:r>
              <w:rPr>
                <w:rFonts w:hint="eastAsia"/>
                <w:kern w:val="0"/>
                <w:sz w:val="18"/>
                <w:szCs w:val="18"/>
              </w:rPr>
              <w:t>二、金属与雷达匹配保护罩*1</w:t>
            </w:r>
          </w:p>
          <w:p w14:paraId="2ADA5273">
            <w:pPr>
              <w:widowControl/>
              <w:jc w:val="left"/>
              <w:textAlignment w:val="center"/>
              <w:rPr>
                <w:kern w:val="0"/>
                <w:sz w:val="18"/>
                <w:szCs w:val="18"/>
              </w:rPr>
            </w:pPr>
            <w:r>
              <w:rPr>
                <w:rFonts w:hint="eastAsia"/>
                <w:kern w:val="0"/>
                <w:sz w:val="18"/>
                <w:szCs w:val="18"/>
              </w:rPr>
              <w:t>三、雷达调试校准软件*1</w:t>
            </w:r>
          </w:p>
          <w:p w14:paraId="53405D6F">
            <w:pPr>
              <w:widowControl/>
              <w:jc w:val="left"/>
              <w:textAlignment w:val="center"/>
              <w:rPr>
                <w:kern w:val="0"/>
                <w:sz w:val="18"/>
                <w:szCs w:val="18"/>
              </w:rPr>
            </w:pPr>
            <w:r>
              <w:rPr>
                <w:rFonts w:hint="eastAsia"/>
                <w:kern w:val="0"/>
                <w:sz w:val="18"/>
                <w:szCs w:val="18"/>
              </w:rPr>
              <w:t>1.</w:t>
            </w:r>
            <w:r>
              <w:rPr>
                <w:kern w:val="0"/>
                <w:sz w:val="18"/>
                <w:szCs w:val="18"/>
              </w:rPr>
              <w:t>通过 TUIO 协议实现 TOF 激光雷达与TouchDesigner、Unity、Unreal Engine 等交互开发软件之间的数据通信</w:t>
            </w:r>
            <w:r>
              <w:rPr>
                <w:rFonts w:hint="eastAsia"/>
                <w:kern w:val="0"/>
                <w:sz w:val="18"/>
                <w:szCs w:val="18"/>
              </w:rPr>
              <w:t>；</w:t>
            </w:r>
          </w:p>
          <w:p w14:paraId="64939D0E">
            <w:pPr>
              <w:widowControl/>
              <w:jc w:val="left"/>
              <w:textAlignment w:val="center"/>
              <w:rPr>
                <w:kern w:val="0"/>
                <w:sz w:val="18"/>
                <w:szCs w:val="18"/>
              </w:rPr>
            </w:pPr>
            <w:r>
              <w:rPr>
                <w:rFonts w:hint="eastAsia"/>
                <w:kern w:val="0"/>
                <w:sz w:val="18"/>
                <w:szCs w:val="18"/>
              </w:rPr>
              <w:t>2.主</w:t>
            </w:r>
            <w:r>
              <w:rPr>
                <w:kern w:val="0"/>
                <w:sz w:val="18"/>
                <w:szCs w:val="18"/>
              </w:rPr>
              <w:t>要功能</w:t>
            </w:r>
            <w:r>
              <w:rPr>
                <w:rFonts w:hint="eastAsia"/>
                <w:kern w:val="0"/>
                <w:sz w:val="18"/>
                <w:szCs w:val="18"/>
              </w:rPr>
              <w:t>：具有TUIO信号发送、调节雷达感应区、设置雷达参数、调节识别区块等功能；</w:t>
            </w:r>
          </w:p>
          <w:p w14:paraId="1720744B">
            <w:pPr>
              <w:widowControl/>
              <w:jc w:val="left"/>
              <w:textAlignment w:val="center"/>
              <w:rPr>
                <w:kern w:val="0"/>
                <w:sz w:val="18"/>
                <w:szCs w:val="18"/>
              </w:rPr>
            </w:pPr>
            <w:r>
              <w:rPr>
                <w:rFonts w:hint="eastAsia"/>
                <w:kern w:val="0"/>
                <w:sz w:val="18"/>
                <w:szCs w:val="18"/>
              </w:rPr>
              <w:t>3.数值调节：可调节雷达最小识别区块、最大识别区块、点距离、删除起始点、不动点阈值、平滑数据；</w:t>
            </w:r>
          </w:p>
          <w:p w14:paraId="69CEF07B">
            <w:pPr>
              <w:widowControl/>
              <w:jc w:val="left"/>
              <w:textAlignment w:val="center"/>
              <w:rPr>
                <w:rFonts w:ascii="Times New Roman" w:hAnsi="Times New Roman"/>
                <w:color w:val="auto"/>
                <w:kern w:val="0"/>
                <w:sz w:val="18"/>
                <w:szCs w:val="18"/>
                <w:highlight w:val="none"/>
              </w:rPr>
            </w:pPr>
            <w:r>
              <w:rPr>
                <w:rFonts w:hint="eastAsia"/>
                <w:kern w:val="0"/>
                <w:sz w:val="18"/>
                <w:szCs w:val="18"/>
              </w:rPr>
              <w:t>4..</w:t>
            </w:r>
            <w:r>
              <w:rPr>
                <w:kern w:val="0"/>
                <w:sz w:val="18"/>
                <w:szCs w:val="18"/>
              </w:rPr>
              <w:t>支持 EAI</w:t>
            </w:r>
            <w:r>
              <w:rPr>
                <w:rFonts w:hint="eastAsia"/>
                <w:kern w:val="0"/>
                <w:sz w:val="18"/>
                <w:szCs w:val="18"/>
              </w:rPr>
              <w:t xml:space="preserve"> </w:t>
            </w:r>
            <w:r>
              <w:rPr>
                <w:kern w:val="0"/>
                <w:sz w:val="18"/>
                <w:szCs w:val="18"/>
              </w:rPr>
              <w:t>Ydlidar、北阳 Hokuyo</w:t>
            </w:r>
            <w:r>
              <w:rPr>
                <w:rFonts w:hint="eastAsia"/>
                <w:kern w:val="0"/>
                <w:sz w:val="18"/>
                <w:szCs w:val="18"/>
              </w:rPr>
              <w:t xml:space="preserve"> </w:t>
            </w:r>
            <w:r>
              <w:rPr>
                <w:kern w:val="0"/>
                <w:sz w:val="18"/>
                <w:szCs w:val="18"/>
              </w:rPr>
              <w:t>UST-10LX、思岚 Slamtec</w:t>
            </w:r>
            <w:r>
              <w:rPr>
                <w:rFonts w:hint="eastAsia"/>
                <w:kern w:val="0"/>
                <w:sz w:val="18"/>
                <w:szCs w:val="18"/>
              </w:rPr>
              <w:t xml:space="preserve"> </w:t>
            </w:r>
            <w:r>
              <w:rPr>
                <w:kern w:val="0"/>
                <w:sz w:val="18"/>
                <w:szCs w:val="18"/>
              </w:rPr>
              <w:t>S2、星秒SIMINICS SIMO-LS-10LH、加速通 JSUTO</w:t>
            </w:r>
            <w:r>
              <w:rPr>
                <w:rFonts w:hint="eastAsia"/>
                <w:kern w:val="0"/>
                <w:sz w:val="18"/>
                <w:szCs w:val="18"/>
              </w:rPr>
              <w:t xml:space="preserve"> </w:t>
            </w:r>
            <w:r>
              <w:rPr>
                <w:kern w:val="0"/>
                <w:sz w:val="18"/>
                <w:szCs w:val="18"/>
              </w:rPr>
              <w:t>JSUTO-JJ-10S</w:t>
            </w:r>
            <w:r>
              <w:rPr>
                <w:rFonts w:hint="eastAsia"/>
                <w:kern w:val="0"/>
                <w:sz w:val="18"/>
                <w:szCs w:val="18"/>
              </w:rPr>
              <w:t>等</w:t>
            </w:r>
            <w:r>
              <w:rPr>
                <w:kern w:val="0"/>
                <w:sz w:val="18"/>
                <w:szCs w:val="18"/>
              </w:rPr>
              <w:t>品牌和型号的雷达</w:t>
            </w:r>
            <w:r>
              <w:rPr>
                <w:rFonts w:hint="eastAsia"/>
                <w:kern w:val="0"/>
                <w:sz w:val="18"/>
                <w:szCs w:val="18"/>
              </w:rPr>
              <w:t>，进行互动展示。</w:t>
            </w:r>
          </w:p>
        </w:tc>
        <w:tc>
          <w:tcPr>
            <w:tcW w:w="965" w:type="dxa"/>
            <w:vAlign w:val="center"/>
          </w:tcPr>
          <w:p w14:paraId="3D9C2F8B">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21A38460">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0DF8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10EE98CB">
            <w:pPr>
              <w:widowControl/>
              <w:numPr>
                <w:ilvl w:val="0"/>
                <w:numId w:val="9"/>
              </w:numPr>
              <w:jc w:val="center"/>
              <w:rPr>
                <w:rFonts w:ascii="Times New Roman" w:hAnsi="Times New Roman"/>
                <w:color w:val="auto"/>
                <w:kern w:val="0"/>
                <w:szCs w:val="22"/>
                <w:highlight w:val="none"/>
              </w:rPr>
            </w:pPr>
          </w:p>
        </w:tc>
        <w:tc>
          <w:tcPr>
            <w:tcW w:w="1096" w:type="dxa"/>
            <w:vAlign w:val="center"/>
          </w:tcPr>
          <w:p w14:paraId="2C687053">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AIGC智创实训平台：熔融热挤压堆积立体成型设备</w:t>
            </w:r>
          </w:p>
        </w:tc>
        <w:tc>
          <w:tcPr>
            <w:tcW w:w="6947" w:type="dxa"/>
            <w:vAlign w:val="center"/>
          </w:tcPr>
          <w:p w14:paraId="61AB3330">
            <w:pPr>
              <w:widowControl/>
              <w:jc w:val="left"/>
              <w:textAlignment w:val="center"/>
              <w:rPr>
                <w:rFonts w:ascii="Times New Roman" w:hAnsi="Times New Roman"/>
                <w:b/>
                <w:bCs/>
                <w:kern w:val="0"/>
                <w:sz w:val="18"/>
                <w:szCs w:val="18"/>
              </w:rPr>
            </w:pPr>
            <w:r>
              <w:rPr>
                <w:rFonts w:hint="eastAsia" w:ascii="Times New Roman" w:hAnsi="Times New Roman"/>
                <w:b/>
                <w:bCs/>
                <w:kern w:val="0"/>
                <w:sz w:val="18"/>
                <w:szCs w:val="18"/>
              </w:rPr>
              <w:t>一、熔融沉积成型设备</w:t>
            </w:r>
          </w:p>
          <w:p w14:paraId="1F265EE5">
            <w:pPr>
              <w:rPr>
                <w:rFonts w:ascii="Times New Roman" w:hAnsi="Times New Roman"/>
                <w:b/>
                <w:bCs/>
                <w:kern w:val="0"/>
                <w:sz w:val="18"/>
                <w:szCs w:val="18"/>
              </w:rPr>
            </w:pPr>
            <w:r>
              <w:rPr>
                <w:rFonts w:hint="eastAsia" w:ascii="Times New Roman" w:hAnsi="Times New Roman"/>
                <w:b/>
                <w:bCs/>
                <w:kern w:val="0"/>
                <w:sz w:val="18"/>
                <w:szCs w:val="18"/>
              </w:rPr>
              <w:t>(一）机身参数要求</w:t>
            </w:r>
          </w:p>
          <w:p w14:paraId="4B270B0F">
            <w:pPr>
              <w:rPr>
                <w:rFonts w:ascii="Times New Roman" w:hAnsi="Times New Roman"/>
                <w:kern w:val="0"/>
                <w:sz w:val="18"/>
                <w:szCs w:val="18"/>
              </w:rPr>
            </w:pPr>
            <w:r>
              <w:rPr>
                <w:rFonts w:hint="eastAsia" w:ascii="Times New Roman" w:hAnsi="Times New Roman"/>
                <w:kern w:val="0"/>
                <w:sz w:val="18"/>
                <w:szCs w:val="18"/>
              </w:rPr>
              <w:t>1. 打印尺寸：单喷嘴模式:≥325*320*325 mm</w:t>
            </w:r>
            <w:r>
              <w:rPr>
                <w:rFonts w:hint="eastAsia" w:ascii="Times New Roman" w:hAnsi="Times New Roman"/>
                <w:kern w:val="0"/>
                <w:sz w:val="18"/>
                <w:szCs w:val="18"/>
                <w:lang w:eastAsia="zh-CN"/>
              </w:rPr>
              <w:t>；</w:t>
            </w:r>
            <w:r>
              <w:rPr>
                <w:rFonts w:hint="eastAsia" w:ascii="Times New Roman" w:hAnsi="Times New Roman"/>
                <w:kern w:val="0"/>
                <w:sz w:val="18"/>
                <w:szCs w:val="18"/>
              </w:rPr>
              <w:t>双喷嘴交集:≥300*320*325 mm</w:t>
            </w:r>
            <w:r>
              <w:rPr>
                <w:rFonts w:hint="eastAsia" w:ascii="Times New Roman" w:hAnsi="Times New Roman"/>
                <w:kern w:val="0"/>
                <w:sz w:val="18"/>
                <w:szCs w:val="18"/>
                <w:lang w:eastAsia="zh-CN"/>
              </w:rPr>
              <w:t>；</w:t>
            </w:r>
            <w:r>
              <w:rPr>
                <w:rFonts w:hint="eastAsia" w:ascii="Times New Roman" w:hAnsi="Times New Roman"/>
                <w:kern w:val="0"/>
                <w:sz w:val="18"/>
                <w:szCs w:val="18"/>
              </w:rPr>
              <w:t>双喷嘴并集:≥</w:t>
            </w:r>
            <w:r>
              <w:rPr>
                <w:rFonts w:hint="eastAsia" w:ascii="Times New Roman" w:hAnsi="Times New Roman"/>
                <w:kern w:val="0"/>
                <w:sz w:val="18"/>
                <w:szCs w:val="18"/>
                <w:lang w:val="en-US" w:eastAsia="zh-CN"/>
              </w:rPr>
              <w:t>300</w:t>
            </w:r>
            <w:r>
              <w:rPr>
                <w:rFonts w:hint="eastAsia" w:ascii="Times New Roman" w:hAnsi="Times New Roman"/>
                <w:kern w:val="0"/>
                <w:sz w:val="18"/>
                <w:szCs w:val="18"/>
              </w:rPr>
              <w:t>*320*325 mm</w:t>
            </w:r>
          </w:p>
          <w:p w14:paraId="2CCEB50F">
            <w:pPr>
              <w:rPr>
                <w:rFonts w:ascii="Times New Roman" w:hAnsi="Times New Roman"/>
                <w:kern w:val="0"/>
                <w:sz w:val="18"/>
                <w:szCs w:val="18"/>
              </w:rPr>
            </w:pPr>
            <w:r>
              <w:rPr>
                <w:rFonts w:hint="eastAsia" w:ascii="Times New Roman" w:hAnsi="Times New Roman"/>
                <w:kern w:val="0"/>
                <w:sz w:val="18"/>
                <w:szCs w:val="18"/>
              </w:rPr>
              <w:t>2. 激光防护视窗：标配</w:t>
            </w:r>
          </w:p>
          <w:p w14:paraId="00D2987B">
            <w:pPr>
              <w:rPr>
                <w:rFonts w:ascii="Times New Roman" w:hAnsi="Times New Roman"/>
                <w:b/>
                <w:bCs/>
                <w:kern w:val="0"/>
                <w:sz w:val="18"/>
                <w:szCs w:val="18"/>
              </w:rPr>
            </w:pPr>
            <w:r>
              <w:rPr>
                <w:rFonts w:hint="eastAsia" w:ascii="Times New Roman" w:hAnsi="Times New Roman"/>
                <w:b/>
                <w:bCs/>
                <w:kern w:val="0"/>
                <w:sz w:val="18"/>
                <w:szCs w:val="18"/>
              </w:rPr>
              <w:t>(二）打印参数</w:t>
            </w:r>
          </w:p>
          <w:p w14:paraId="34048677">
            <w:pPr>
              <w:rPr>
                <w:rFonts w:ascii="Times New Roman" w:hAnsi="Times New Roman"/>
                <w:kern w:val="0"/>
                <w:sz w:val="18"/>
                <w:szCs w:val="18"/>
              </w:rPr>
            </w:pPr>
            <w:r>
              <w:rPr>
                <w:rFonts w:hint="eastAsia" w:ascii="Times New Roman" w:hAnsi="Times New Roman"/>
                <w:kern w:val="0"/>
                <w:sz w:val="18"/>
                <w:szCs w:val="18"/>
              </w:rPr>
              <w:t>1. 熔融沉积成型；</w:t>
            </w:r>
          </w:p>
          <w:p w14:paraId="096B75BF">
            <w:pPr>
              <w:rPr>
                <w:rFonts w:ascii="Times New Roman" w:hAnsi="Times New Roman"/>
                <w:kern w:val="0"/>
                <w:sz w:val="18"/>
                <w:szCs w:val="18"/>
              </w:rPr>
            </w:pPr>
            <w:r>
              <w:rPr>
                <w:rFonts w:hint="eastAsia" w:ascii="Times New Roman" w:hAnsi="Times New Roman"/>
                <w:kern w:val="0"/>
                <w:sz w:val="18"/>
                <w:szCs w:val="18"/>
              </w:rPr>
              <w:t>2. 工具头：全金属热端、硬化钢挤出机齿轮、硬化钢喷嘴，内置工具头切刀，喷嘴最高温度不低于350 ℃、喷嘴直径自带0.4 mm，可选0.2 mm，0.6 mm，0.8 mm；</w:t>
            </w:r>
          </w:p>
          <w:p w14:paraId="1E4E1795">
            <w:pPr>
              <w:rPr>
                <w:rFonts w:ascii="Times New Roman" w:hAnsi="Times New Roman"/>
                <w:kern w:val="0"/>
                <w:sz w:val="18"/>
                <w:szCs w:val="18"/>
              </w:rPr>
            </w:pPr>
            <w:r>
              <w:rPr>
                <w:rFonts w:hint="eastAsia" w:ascii="Times New Roman" w:hAnsi="Times New Roman"/>
                <w:kern w:val="0"/>
                <w:sz w:val="18"/>
                <w:szCs w:val="18"/>
              </w:rPr>
              <w:t>3. 支持打印面板类型：双面纹理PEI成型面板，光面成型面板，热床最高温度不低于120℃；</w:t>
            </w:r>
          </w:p>
          <w:p w14:paraId="6C629071">
            <w:pPr>
              <w:rPr>
                <w:rFonts w:ascii="Times New Roman" w:hAnsi="Times New Roman"/>
                <w:kern w:val="0"/>
                <w:sz w:val="18"/>
                <w:szCs w:val="18"/>
              </w:rPr>
            </w:pPr>
            <w:r>
              <w:rPr>
                <w:rFonts w:hint="eastAsia" w:ascii="Times New Roman" w:hAnsi="Times New Roman"/>
                <w:kern w:val="0"/>
                <w:sz w:val="18"/>
                <w:szCs w:val="18"/>
              </w:rPr>
              <w:t>4. 工具头最大移动速度不低于1000 mm/s，工具头最大移动加速度不低于20000 mm/s，高流量热端最大流速不低于65 mm³/s；</w:t>
            </w:r>
          </w:p>
          <w:p w14:paraId="50214D2D">
            <w:pPr>
              <w:rPr>
                <w:rFonts w:ascii="Times New Roman" w:hAnsi="Times New Roman"/>
                <w:kern w:val="0"/>
                <w:sz w:val="18"/>
                <w:szCs w:val="18"/>
              </w:rPr>
            </w:pPr>
            <w:r>
              <w:rPr>
                <w:rFonts w:hint="eastAsia" w:ascii="Times New Roman" w:hAnsi="Times New Roman"/>
                <w:kern w:val="0"/>
                <w:sz w:val="18"/>
                <w:szCs w:val="18"/>
              </w:rPr>
              <w:t>5. 支持耗材类型：PLA、PETG、TPU、ABS、ASA、PVA、PET、尼龙线材（PA)、聚碳酸酯线材（PC)、PPA-CF/GF、PPS、PPS-CF/GF、碳/玻璃纤维增强线材及相关支撑隔离材料等；</w:t>
            </w:r>
          </w:p>
          <w:p w14:paraId="7BF3DB34">
            <w:pPr>
              <w:rPr>
                <w:rFonts w:ascii="Times New Roman" w:hAnsi="Times New Roman"/>
                <w:kern w:val="0"/>
                <w:sz w:val="18"/>
                <w:szCs w:val="18"/>
              </w:rPr>
            </w:pPr>
            <w:r>
              <w:rPr>
                <w:rFonts w:hint="eastAsia" w:ascii="Times New Roman" w:hAnsi="Times New Roman"/>
                <w:kern w:val="0"/>
                <w:sz w:val="18"/>
                <w:szCs w:val="18"/>
              </w:rPr>
              <w:t>6. 配备四摄像头计算机视觉系统，实现微米级测量精度，支持AI首层检测、炒面检测；</w:t>
            </w:r>
          </w:p>
          <w:p w14:paraId="5118886B">
            <w:pPr>
              <w:rPr>
                <w:rFonts w:ascii="Times New Roman" w:hAnsi="Times New Roman"/>
                <w:kern w:val="0"/>
                <w:sz w:val="18"/>
                <w:szCs w:val="18"/>
              </w:rPr>
            </w:pPr>
            <w:r>
              <w:rPr>
                <w:rFonts w:hint="eastAsia" w:ascii="Times New Roman" w:hAnsi="Times New Roman"/>
                <w:kern w:val="0"/>
                <w:sz w:val="18"/>
                <w:szCs w:val="18"/>
              </w:rPr>
              <w:t>7.配备喷嘴摄像头、工具头摄像头，支持开门检测；</w:t>
            </w:r>
          </w:p>
          <w:p w14:paraId="1802B26E">
            <w:pPr>
              <w:rPr>
                <w:rFonts w:ascii="Times New Roman" w:hAnsi="Times New Roman"/>
                <w:kern w:val="0"/>
                <w:sz w:val="18"/>
                <w:szCs w:val="18"/>
              </w:rPr>
            </w:pPr>
            <w:r>
              <w:rPr>
                <w:rFonts w:hint="eastAsia" w:ascii="Times New Roman" w:hAnsi="Times New Roman"/>
                <w:kern w:val="0"/>
                <w:sz w:val="18"/>
                <w:szCs w:val="18"/>
              </w:rPr>
              <w:t>8. 支持断料检测、缠料检测、断电续打，具备监控设备状态的健康管理系统；</w:t>
            </w:r>
          </w:p>
          <w:p w14:paraId="23659AF4">
            <w:pPr>
              <w:rPr>
                <w:rFonts w:ascii="Times New Roman" w:hAnsi="Times New Roman"/>
                <w:kern w:val="0"/>
                <w:sz w:val="18"/>
                <w:szCs w:val="18"/>
              </w:rPr>
            </w:pPr>
            <w:r>
              <w:rPr>
                <w:rFonts w:hint="eastAsia" w:ascii="Times New Roman" w:hAnsi="Times New Roman"/>
                <w:kern w:val="0"/>
                <w:sz w:val="18"/>
                <w:szCs w:val="18"/>
              </w:rPr>
              <w:t>9. 支持耗材用量及余料检测，支持多色成型；</w:t>
            </w:r>
          </w:p>
          <w:p w14:paraId="38D1470C">
            <w:pPr>
              <w:rPr>
                <w:rFonts w:ascii="Times New Roman" w:hAnsi="Times New Roman"/>
                <w:kern w:val="0"/>
                <w:sz w:val="18"/>
                <w:szCs w:val="18"/>
              </w:rPr>
            </w:pPr>
            <w:r>
              <w:rPr>
                <w:rFonts w:hint="eastAsia" w:ascii="Times New Roman" w:hAnsi="Times New Roman"/>
                <w:kern w:val="0"/>
                <w:sz w:val="18"/>
                <w:szCs w:val="18"/>
              </w:rPr>
              <w:t>10. 自带空气过滤系统，</w:t>
            </w:r>
            <w:r>
              <w:rPr>
                <w:rFonts w:hint="eastAsia" w:ascii="Times New Roman" w:hAnsi="Times New Roman"/>
                <w:kern w:val="0"/>
                <w:sz w:val="18"/>
                <w:szCs w:val="18"/>
                <w:lang w:val="en-US" w:eastAsia="zh-CN"/>
              </w:rPr>
              <w:t>支持自适应空气循环，配备椰壳活性炭滤芯，</w:t>
            </w:r>
            <w:r>
              <w:rPr>
                <w:rFonts w:hint="eastAsia" w:ascii="Times New Roman" w:hAnsi="Times New Roman"/>
                <w:kern w:val="0"/>
                <w:sz w:val="18"/>
                <w:szCs w:val="18"/>
              </w:rPr>
              <w:t>初级过滤等级G3，HEPA滤网等级H12；</w:t>
            </w:r>
          </w:p>
          <w:p w14:paraId="1EA76FC1">
            <w:pPr>
              <w:rPr>
                <w:rFonts w:ascii="Times New Roman" w:hAnsi="Times New Roman"/>
                <w:kern w:val="0"/>
                <w:sz w:val="18"/>
                <w:szCs w:val="18"/>
              </w:rPr>
            </w:pPr>
            <w:r>
              <w:rPr>
                <w:rFonts w:hint="eastAsia" w:ascii="Times New Roman" w:hAnsi="Times New Roman"/>
                <w:kern w:val="0"/>
                <w:sz w:val="18"/>
                <w:szCs w:val="18"/>
              </w:rPr>
              <w:t>11. 支持主动腔热控制，最大加热腔温不低于65℃；</w:t>
            </w:r>
          </w:p>
          <w:p w14:paraId="25609AF2">
            <w:pPr>
              <w:rPr>
                <w:rFonts w:ascii="Times New Roman" w:hAnsi="Times New Roman"/>
                <w:kern w:val="0"/>
                <w:sz w:val="18"/>
                <w:szCs w:val="18"/>
              </w:rPr>
            </w:pPr>
            <w:r>
              <w:rPr>
                <w:rFonts w:hint="eastAsia" w:ascii="Times New Roman" w:hAnsi="Times New Roman"/>
                <w:kern w:val="0"/>
                <w:sz w:val="18"/>
                <w:szCs w:val="18"/>
              </w:rPr>
              <w:t>12. 支持Wi-Fi通讯；</w:t>
            </w:r>
          </w:p>
          <w:p w14:paraId="4D993063">
            <w:pPr>
              <w:rPr>
                <w:rFonts w:ascii="Times New Roman" w:hAnsi="Times New Roman"/>
                <w:kern w:val="0"/>
                <w:sz w:val="18"/>
                <w:szCs w:val="18"/>
              </w:rPr>
            </w:pPr>
            <w:r>
              <w:rPr>
                <w:rFonts w:hint="eastAsia" w:ascii="Times New Roman" w:hAnsi="Times New Roman"/>
                <w:kern w:val="0"/>
                <w:sz w:val="18"/>
                <w:szCs w:val="18"/>
              </w:rPr>
              <w:t xml:space="preserve">13. </w:t>
            </w:r>
            <w:r>
              <w:rPr>
                <w:rFonts w:hint="eastAsia"/>
              </w:rPr>
              <w:t>▲</w:t>
            </w:r>
            <w:r>
              <w:rPr>
                <w:rFonts w:hint="eastAsia" w:ascii="Times New Roman" w:hAnsi="Times New Roman"/>
                <w:kern w:val="0"/>
                <w:sz w:val="18"/>
                <w:szCs w:val="18"/>
              </w:rPr>
              <w:t>配备半导体激光器，最大功率不低于40瓦，最大雕刻速度不低于1000 mm/s，最大雕刻面积不低于310×250 mm²，最大切割厚度不低于15 mm；</w:t>
            </w:r>
          </w:p>
          <w:p w14:paraId="3D343D6C">
            <w:pPr>
              <w:rPr>
                <w:rFonts w:ascii="Times New Roman" w:hAnsi="Times New Roman"/>
                <w:kern w:val="0"/>
                <w:sz w:val="18"/>
                <w:szCs w:val="18"/>
              </w:rPr>
            </w:pPr>
            <w:r>
              <w:rPr>
                <w:rFonts w:hint="eastAsia" w:ascii="Times New Roman" w:hAnsi="Times New Roman"/>
                <w:kern w:val="0"/>
                <w:sz w:val="18"/>
                <w:szCs w:val="18"/>
              </w:rPr>
              <w:t>14. 支持火焰检测、激光模组在位检测，配备俯视摄像头、激光防护视窗、激光气流辅助气泵；</w:t>
            </w:r>
          </w:p>
          <w:p w14:paraId="10D4C179">
            <w:pPr>
              <w:rPr>
                <w:rFonts w:ascii="Times New Roman" w:hAnsi="Times New Roman"/>
                <w:kern w:val="0"/>
                <w:sz w:val="18"/>
                <w:szCs w:val="18"/>
              </w:rPr>
            </w:pPr>
            <w:r>
              <w:rPr>
                <w:rFonts w:hint="eastAsia" w:ascii="Times New Roman" w:hAnsi="Times New Roman"/>
                <w:kern w:val="0"/>
                <w:sz w:val="18"/>
                <w:szCs w:val="18"/>
              </w:rPr>
              <w:t>15. 支持切割材料类型：木材、橡胶、金属片、皮革、深色亚克力、石材等；</w:t>
            </w:r>
          </w:p>
          <w:p w14:paraId="293B7D4D">
            <w:pPr>
              <w:rPr>
                <w:rFonts w:ascii="Times New Roman" w:hAnsi="Times New Roman"/>
                <w:kern w:val="0"/>
                <w:sz w:val="18"/>
                <w:szCs w:val="18"/>
              </w:rPr>
            </w:pPr>
            <w:r>
              <w:rPr>
                <w:rFonts w:hint="eastAsia" w:ascii="Times New Roman" w:hAnsi="Times New Roman"/>
                <w:kern w:val="0"/>
                <w:sz w:val="18"/>
                <w:szCs w:val="18"/>
              </w:rPr>
              <w:t xml:space="preserve">16. </w:t>
            </w:r>
            <w:r>
              <w:rPr>
                <w:rFonts w:hint="eastAsia"/>
              </w:rPr>
              <w:t>▲</w:t>
            </w:r>
            <w:r>
              <w:rPr>
                <w:rFonts w:hint="eastAsia" w:ascii="Times New Roman" w:hAnsi="Times New Roman"/>
                <w:kern w:val="0"/>
                <w:sz w:val="18"/>
                <w:szCs w:val="18"/>
              </w:rPr>
              <w:t>配备刀切模块，最大切割面积不低于300×285 mm²；</w:t>
            </w:r>
          </w:p>
          <w:p w14:paraId="5AF49ED3">
            <w:pPr>
              <w:rPr>
                <w:rFonts w:ascii="Times New Roman" w:hAnsi="Times New Roman"/>
                <w:kern w:val="0"/>
                <w:sz w:val="18"/>
                <w:szCs w:val="18"/>
              </w:rPr>
            </w:pPr>
            <w:r>
              <w:rPr>
                <w:rFonts w:hint="eastAsia" w:ascii="Times New Roman" w:hAnsi="Times New Roman"/>
                <w:kern w:val="0"/>
                <w:sz w:val="18"/>
                <w:szCs w:val="18"/>
              </w:rPr>
              <w:t xml:space="preserve">17. </w:t>
            </w:r>
            <w:r>
              <w:rPr>
                <w:rFonts w:hint="eastAsia"/>
              </w:rPr>
              <w:t>▲</w:t>
            </w:r>
            <w:r>
              <w:rPr>
                <w:rFonts w:hint="eastAsia" w:ascii="Times New Roman" w:hAnsi="Times New Roman"/>
                <w:kern w:val="0"/>
                <w:sz w:val="18"/>
                <w:szCs w:val="18"/>
              </w:rPr>
              <w:t>支持画笔直径10.5-12.5 mm，最大绘画面积不低于300×255 mm²；</w:t>
            </w:r>
          </w:p>
          <w:p w14:paraId="3799DB28">
            <w:pPr>
              <w:rPr>
                <w:rFonts w:ascii="Times New Roman" w:hAnsi="Times New Roman"/>
                <w:kern w:val="0"/>
                <w:sz w:val="18"/>
                <w:szCs w:val="18"/>
              </w:rPr>
            </w:pPr>
            <w:r>
              <w:rPr>
                <w:rFonts w:hint="eastAsia" w:ascii="Times New Roman" w:hAnsi="Times New Roman"/>
                <w:kern w:val="0"/>
                <w:sz w:val="18"/>
                <w:szCs w:val="18"/>
              </w:rPr>
              <w:t>18. 配备熔融沉积成型切片软件；</w:t>
            </w:r>
          </w:p>
          <w:p w14:paraId="6AE622CD">
            <w:pPr>
              <w:widowControl/>
              <w:jc w:val="left"/>
              <w:textAlignment w:val="center"/>
              <w:rPr>
                <w:rFonts w:ascii="Times New Roman" w:hAnsi="Times New Roman"/>
                <w:kern w:val="0"/>
                <w:sz w:val="18"/>
                <w:szCs w:val="18"/>
              </w:rPr>
            </w:pPr>
            <w:r>
              <w:rPr>
                <w:rFonts w:hint="eastAsia" w:ascii="Times New Roman" w:hAnsi="Times New Roman"/>
                <w:kern w:val="0"/>
                <w:sz w:val="18"/>
                <w:szCs w:val="18"/>
              </w:rPr>
              <w:t>19. 包含熔融沉积成型同品牌测试用树脂。</w:t>
            </w:r>
          </w:p>
          <w:p w14:paraId="2C69C0CC">
            <w:pPr>
              <w:rPr>
                <w:rFonts w:ascii="Times New Roman" w:hAnsi="Times New Roman"/>
                <w:b/>
                <w:bCs/>
                <w:kern w:val="0"/>
                <w:sz w:val="18"/>
                <w:szCs w:val="18"/>
              </w:rPr>
            </w:pPr>
            <w:r>
              <w:rPr>
                <w:rFonts w:hint="eastAsia" w:ascii="Times New Roman" w:hAnsi="Times New Roman"/>
                <w:b/>
                <w:bCs/>
                <w:kern w:val="0"/>
                <w:sz w:val="18"/>
                <w:szCs w:val="18"/>
              </w:rPr>
              <w:t>二、立体成型设备空气净化设备</w:t>
            </w:r>
          </w:p>
          <w:p w14:paraId="473BE902">
            <w:pPr>
              <w:rPr>
                <w:rFonts w:ascii="Times New Roman" w:hAnsi="Times New Roman"/>
                <w:kern w:val="0"/>
                <w:sz w:val="18"/>
                <w:szCs w:val="18"/>
              </w:rPr>
            </w:pPr>
            <w:r>
              <w:rPr>
                <w:rFonts w:ascii="Times New Roman" w:hAnsi="Times New Roman"/>
                <w:kern w:val="0"/>
                <w:sz w:val="18"/>
                <w:szCs w:val="18"/>
              </w:rPr>
              <w:t>1</w:t>
            </w:r>
            <w:r>
              <w:rPr>
                <w:rFonts w:hint="eastAsia" w:ascii="Times New Roman" w:hAnsi="Times New Roman"/>
                <w:kern w:val="0"/>
                <w:sz w:val="18"/>
                <w:szCs w:val="18"/>
              </w:rPr>
              <w:t>. ▲</w:t>
            </w:r>
            <w:r>
              <w:rPr>
                <w:rFonts w:ascii="Times New Roman" w:hAnsi="Times New Roman"/>
                <w:kern w:val="0"/>
                <w:sz w:val="18"/>
                <w:szCs w:val="18"/>
              </w:rPr>
              <w:t>适用面积范围为 56 至 96 平方米</w:t>
            </w:r>
            <w:r>
              <w:rPr>
                <w:rFonts w:hint="eastAsia" w:ascii="Times New Roman" w:hAnsi="Times New Roman"/>
                <w:kern w:val="0"/>
                <w:sz w:val="18"/>
                <w:szCs w:val="18"/>
              </w:rPr>
              <w:t>；</w:t>
            </w:r>
          </w:p>
          <w:p w14:paraId="28FF2D72">
            <w:pPr>
              <w:rPr>
                <w:rFonts w:ascii="Times New Roman" w:hAnsi="Times New Roman"/>
                <w:kern w:val="0"/>
                <w:sz w:val="18"/>
                <w:szCs w:val="18"/>
              </w:rPr>
            </w:pPr>
            <w:r>
              <w:rPr>
                <w:rFonts w:ascii="Times New Roman" w:hAnsi="Times New Roman"/>
                <w:kern w:val="0"/>
                <w:sz w:val="18"/>
                <w:szCs w:val="18"/>
              </w:rPr>
              <w:t>2</w:t>
            </w:r>
            <w:r>
              <w:rPr>
                <w:rFonts w:hint="eastAsia" w:ascii="Times New Roman" w:hAnsi="Times New Roman"/>
                <w:kern w:val="0"/>
                <w:sz w:val="18"/>
                <w:szCs w:val="18"/>
              </w:rPr>
              <w:t>. 固态</w:t>
            </w:r>
            <w:r>
              <w:rPr>
                <w:rFonts w:ascii="Times New Roman" w:hAnsi="Times New Roman"/>
                <w:kern w:val="0"/>
                <w:sz w:val="18"/>
                <w:szCs w:val="18"/>
              </w:rPr>
              <w:t>空气量（CADR）不低于 800 立方米每小时</w:t>
            </w:r>
            <w:r>
              <w:rPr>
                <w:rFonts w:hint="eastAsia" w:ascii="Times New Roman" w:hAnsi="Times New Roman"/>
                <w:kern w:val="0"/>
                <w:sz w:val="18"/>
                <w:szCs w:val="18"/>
              </w:rPr>
              <w:t>；</w:t>
            </w:r>
          </w:p>
          <w:p w14:paraId="77C65270">
            <w:pPr>
              <w:rPr>
                <w:rFonts w:ascii="Times New Roman" w:hAnsi="Times New Roman"/>
                <w:kern w:val="0"/>
                <w:sz w:val="18"/>
                <w:szCs w:val="18"/>
              </w:rPr>
            </w:pPr>
            <w:r>
              <w:rPr>
                <w:rFonts w:ascii="Times New Roman" w:hAnsi="Times New Roman"/>
                <w:kern w:val="0"/>
                <w:sz w:val="18"/>
                <w:szCs w:val="18"/>
              </w:rPr>
              <w:t>3</w:t>
            </w:r>
            <w:r>
              <w:rPr>
                <w:rFonts w:hint="eastAsia" w:ascii="Times New Roman" w:hAnsi="Times New Roman"/>
                <w:kern w:val="0"/>
                <w:sz w:val="18"/>
                <w:szCs w:val="18"/>
              </w:rPr>
              <w:t>. 气态</w:t>
            </w:r>
            <w:r>
              <w:rPr>
                <w:rFonts w:ascii="Times New Roman" w:hAnsi="Times New Roman"/>
                <w:kern w:val="0"/>
                <w:sz w:val="18"/>
                <w:szCs w:val="18"/>
              </w:rPr>
              <w:t>空气量（CADR）不低于 400 立方米每小时</w:t>
            </w:r>
            <w:r>
              <w:rPr>
                <w:rFonts w:hint="eastAsia" w:ascii="Times New Roman" w:hAnsi="Times New Roman"/>
                <w:kern w:val="0"/>
                <w:sz w:val="18"/>
                <w:szCs w:val="18"/>
              </w:rPr>
              <w:t>；</w:t>
            </w:r>
          </w:p>
          <w:p w14:paraId="30422D09">
            <w:pPr>
              <w:rPr>
                <w:rFonts w:ascii="Times New Roman" w:hAnsi="Times New Roman"/>
                <w:color w:val="auto"/>
                <w:kern w:val="0"/>
                <w:sz w:val="18"/>
                <w:szCs w:val="18"/>
                <w:highlight w:val="none"/>
              </w:rPr>
            </w:pPr>
            <w:r>
              <w:rPr>
                <w:rFonts w:ascii="Times New Roman" w:hAnsi="Times New Roman"/>
                <w:kern w:val="0"/>
                <w:sz w:val="18"/>
                <w:szCs w:val="18"/>
              </w:rPr>
              <w:t>4</w:t>
            </w:r>
            <w:r>
              <w:rPr>
                <w:rFonts w:hint="eastAsia" w:ascii="Times New Roman" w:hAnsi="Times New Roman"/>
                <w:kern w:val="0"/>
                <w:sz w:val="18"/>
                <w:szCs w:val="18"/>
              </w:rPr>
              <w:t xml:space="preserve">. </w:t>
            </w:r>
            <w:r>
              <w:rPr>
                <w:rFonts w:ascii="Times New Roman" w:hAnsi="Times New Roman"/>
                <w:kern w:val="0"/>
                <w:sz w:val="18"/>
                <w:szCs w:val="18"/>
              </w:rPr>
              <w:t>产品采用复合滤芯结构，包含初效滤网、抗菌抗病毒涂层、高效过滤层、活性炭组合滤网，有效过滤 PM2.5、甲醛、异味及细菌病毒。</w:t>
            </w:r>
          </w:p>
        </w:tc>
        <w:tc>
          <w:tcPr>
            <w:tcW w:w="965" w:type="dxa"/>
            <w:vAlign w:val="center"/>
          </w:tcPr>
          <w:p w14:paraId="77A02723">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4</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0E9CDA7D">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14FE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162E6750">
            <w:pPr>
              <w:widowControl/>
              <w:numPr>
                <w:ilvl w:val="0"/>
                <w:numId w:val="9"/>
              </w:numPr>
              <w:jc w:val="center"/>
              <w:rPr>
                <w:rFonts w:ascii="Times New Roman" w:hAnsi="Times New Roman"/>
                <w:color w:val="auto"/>
                <w:kern w:val="0"/>
                <w:szCs w:val="22"/>
                <w:highlight w:val="none"/>
              </w:rPr>
            </w:pPr>
          </w:p>
        </w:tc>
        <w:tc>
          <w:tcPr>
            <w:tcW w:w="1096" w:type="dxa"/>
            <w:vAlign w:val="center"/>
          </w:tcPr>
          <w:p w14:paraId="0D3E1E04">
            <w:pPr>
              <w:widowControl/>
              <w:jc w:val="left"/>
              <w:textAlignment w:val="center"/>
              <w:rPr>
                <w:rFonts w:ascii="Times New Roman" w:hAnsi="Times New Roman"/>
                <w:color w:val="auto"/>
                <w:kern w:val="0"/>
                <w:szCs w:val="21"/>
                <w:highlight w:val="none"/>
              </w:rPr>
            </w:pPr>
            <w:r>
              <w:rPr>
                <w:rFonts w:hint="eastAsia" w:cs="宋体"/>
                <w:color w:val="auto"/>
                <w:kern w:val="0"/>
                <w:sz w:val="18"/>
                <w:szCs w:val="18"/>
                <w:lang w:bidi="ar"/>
              </w:rPr>
              <w:t>AIGC智创实训平台：光敏树脂精密立体成型设备</w:t>
            </w:r>
          </w:p>
        </w:tc>
        <w:tc>
          <w:tcPr>
            <w:tcW w:w="6947" w:type="dxa"/>
            <w:vAlign w:val="center"/>
          </w:tcPr>
          <w:p w14:paraId="5B878CD7">
            <w:pPr>
              <w:widowControl/>
              <w:jc w:val="left"/>
              <w:textAlignment w:val="center"/>
              <w:rPr>
                <w:b/>
                <w:bCs/>
                <w:color w:val="auto"/>
                <w:kern w:val="0"/>
                <w:sz w:val="18"/>
                <w:szCs w:val="18"/>
              </w:rPr>
            </w:pPr>
            <w:r>
              <w:rPr>
                <w:rFonts w:hint="eastAsia"/>
                <w:b/>
                <w:bCs/>
                <w:color w:val="auto"/>
                <w:kern w:val="0"/>
                <w:sz w:val="18"/>
                <w:szCs w:val="18"/>
              </w:rPr>
              <w:t>一、立体成型设备</w:t>
            </w:r>
          </w:p>
          <w:p w14:paraId="59487065">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w:t>
            </w:r>
            <w:r>
              <w:rPr>
                <w:color w:val="auto"/>
                <w:kern w:val="0"/>
                <w:sz w:val="18"/>
                <w:szCs w:val="18"/>
              </w:rPr>
              <w:t>LCD屏幕：9.25英寸 6K 琥珀屏</w:t>
            </w:r>
          </w:p>
          <w:p w14:paraId="222A8313">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▲光源：</w:t>
            </w:r>
            <w:r>
              <w:rPr>
                <w:color w:val="auto"/>
                <w:kern w:val="0"/>
                <w:sz w:val="18"/>
                <w:szCs w:val="18"/>
              </w:rPr>
              <w:t>385nm 光源</w:t>
            </w:r>
          </w:p>
          <w:p w14:paraId="07789287">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Z轴精度：C5级精度</w:t>
            </w:r>
          </w:p>
          <w:p w14:paraId="31DB606B">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打印尺寸：</w:t>
            </w:r>
            <w:r>
              <w:rPr>
                <w:color w:val="auto"/>
                <w:kern w:val="0"/>
                <w:sz w:val="18"/>
                <w:szCs w:val="18"/>
              </w:rPr>
              <w:t>19</w:t>
            </w:r>
            <w:r>
              <w:rPr>
                <w:rFonts w:hint="eastAsia"/>
                <w:color w:val="auto"/>
                <w:kern w:val="0"/>
                <w:sz w:val="18"/>
                <w:szCs w:val="18"/>
              </w:rPr>
              <w:t>2</w:t>
            </w:r>
            <w:r>
              <w:rPr>
                <w:color w:val="auto"/>
                <w:kern w:val="0"/>
                <w:sz w:val="18"/>
                <w:szCs w:val="18"/>
              </w:rPr>
              <w:t>× 12</w:t>
            </w:r>
            <w:r>
              <w:rPr>
                <w:rFonts w:hint="eastAsia"/>
                <w:color w:val="auto"/>
                <w:kern w:val="0"/>
                <w:sz w:val="18"/>
                <w:szCs w:val="18"/>
              </w:rPr>
              <w:t>1</w:t>
            </w:r>
            <w:r>
              <w:rPr>
                <w:color w:val="auto"/>
                <w:kern w:val="0"/>
                <w:sz w:val="18"/>
                <w:szCs w:val="18"/>
              </w:rPr>
              <w:t xml:space="preserve"> × 220 mm</w:t>
            </w:r>
          </w:p>
          <w:p w14:paraId="7E3BC387">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▲自动调平：240μm间隙调平</w:t>
            </w:r>
          </w:p>
          <w:p w14:paraId="00C81EFE">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自动加料：支持</w:t>
            </w:r>
          </w:p>
          <w:p w14:paraId="0044DF78">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树脂加热：料盘加热</w:t>
            </w:r>
          </w:p>
          <w:p w14:paraId="4C075182">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残留物检测：可检测0.2mm残留物</w:t>
            </w:r>
          </w:p>
          <w:p w14:paraId="6C2AD00B">
            <w:pPr>
              <w:widowControl/>
              <w:numPr>
                <w:ilvl w:val="0"/>
                <w:numId w:val="11"/>
              </w:numPr>
              <w:ind w:left="299" w:hanging="284"/>
              <w:jc w:val="left"/>
              <w:textAlignment w:val="center"/>
              <w:rPr>
                <w:color w:val="auto"/>
                <w:kern w:val="0"/>
                <w:sz w:val="18"/>
                <w:szCs w:val="18"/>
              </w:rPr>
            </w:pPr>
            <w:r>
              <w:rPr>
                <w:rFonts w:hint="eastAsia"/>
                <w:color w:val="auto"/>
                <w:kern w:val="0"/>
                <w:sz w:val="18"/>
                <w:szCs w:val="18"/>
              </w:rPr>
              <w:t>适配材料：PAU10、PAU20、PAC10、PAS10、PAP10、PAT10、PAM10、PAH10、PAE10、PARP10、PAWW10、PAWR10</w:t>
            </w:r>
          </w:p>
          <w:p w14:paraId="2B44DC77">
            <w:pPr>
              <w:widowControl/>
              <w:jc w:val="left"/>
              <w:textAlignment w:val="center"/>
              <w:rPr>
                <w:b/>
                <w:bCs/>
                <w:color w:val="auto"/>
                <w:kern w:val="0"/>
                <w:sz w:val="18"/>
                <w:szCs w:val="18"/>
              </w:rPr>
            </w:pPr>
            <w:r>
              <w:rPr>
                <w:rFonts w:hint="eastAsia"/>
                <w:b/>
                <w:bCs/>
                <w:color w:val="auto"/>
                <w:kern w:val="0"/>
                <w:sz w:val="18"/>
                <w:szCs w:val="18"/>
              </w:rPr>
              <w:t>二、高性能固化机</w:t>
            </w:r>
          </w:p>
          <w:p w14:paraId="0DA2F27F">
            <w:pPr>
              <w:widowControl/>
              <w:numPr>
                <w:ilvl w:val="0"/>
                <w:numId w:val="12"/>
              </w:numPr>
              <w:ind w:left="299" w:hanging="299"/>
              <w:jc w:val="left"/>
              <w:textAlignment w:val="center"/>
              <w:rPr>
                <w:rFonts w:hint="eastAsia"/>
                <w:color w:val="auto"/>
                <w:kern w:val="0"/>
                <w:sz w:val="18"/>
                <w:szCs w:val="18"/>
              </w:rPr>
            </w:pPr>
            <w:r>
              <w:rPr>
                <w:rFonts w:hint="eastAsia"/>
                <w:color w:val="auto"/>
                <w:kern w:val="0"/>
                <w:sz w:val="18"/>
                <w:szCs w:val="18"/>
              </w:rPr>
              <w:t>▲系统:与立体成型设备统一系统</w:t>
            </w:r>
          </w:p>
          <w:p w14:paraId="13CB7A98">
            <w:pPr>
              <w:widowControl/>
              <w:numPr>
                <w:ilvl w:val="0"/>
                <w:numId w:val="12"/>
              </w:numPr>
              <w:ind w:left="299" w:hanging="299"/>
              <w:jc w:val="left"/>
              <w:textAlignment w:val="center"/>
              <w:rPr>
                <w:color w:val="auto"/>
                <w:kern w:val="0"/>
                <w:sz w:val="18"/>
                <w:szCs w:val="18"/>
              </w:rPr>
            </w:pPr>
            <w:r>
              <w:rPr>
                <w:rFonts w:hint="eastAsia"/>
                <w:color w:val="auto"/>
                <w:kern w:val="0"/>
                <w:sz w:val="18"/>
                <w:szCs w:val="18"/>
              </w:rPr>
              <w:t>▲额定功率：≤</w:t>
            </w:r>
            <w:r>
              <w:rPr>
                <w:color w:val="auto"/>
                <w:kern w:val="0"/>
                <w:sz w:val="18"/>
                <w:szCs w:val="18"/>
              </w:rPr>
              <w:t>350 W</w:t>
            </w:r>
          </w:p>
          <w:p w14:paraId="20F47D38">
            <w:pPr>
              <w:widowControl/>
              <w:numPr>
                <w:ilvl w:val="0"/>
                <w:numId w:val="12"/>
              </w:numPr>
              <w:ind w:left="299" w:hanging="299"/>
              <w:jc w:val="left"/>
              <w:textAlignment w:val="center"/>
              <w:rPr>
                <w:color w:val="auto"/>
                <w:kern w:val="0"/>
                <w:sz w:val="18"/>
                <w:szCs w:val="18"/>
              </w:rPr>
            </w:pPr>
            <w:r>
              <w:rPr>
                <w:rFonts w:hint="eastAsia"/>
                <w:color w:val="auto"/>
                <w:kern w:val="0"/>
                <w:sz w:val="18"/>
                <w:szCs w:val="18"/>
              </w:rPr>
              <w:t>▲</w:t>
            </w:r>
            <w:r>
              <w:rPr>
                <w:color w:val="auto"/>
                <w:kern w:val="0"/>
                <w:sz w:val="18"/>
                <w:szCs w:val="18"/>
              </w:rPr>
              <w:t>UV灯：</w:t>
            </w:r>
            <w:r>
              <w:rPr>
                <w:rFonts w:hint="eastAsia"/>
                <w:color w:val="auto"/>
                <w:kern w:val="0"/>
                <w:sz w:val="18"/>
                <w:szCs w:val="18"/>
              </w:rPr>
              <w:t>≥</w:t>
            </w:r>
            <w:r>
              <w:rPr>
                <w:color w:val="auto"/>
                <w:kern w:val="0"/>
                <w:sz w:val="18"/>
                <w:szCs w:val="18"/>
              </w:rPr>
              <w:t>405±365 nm</w:t>
            </w:r>
            <w:r>
              <w:rPr>
                <w:color w:val="auto"/>
                <w:kern w:val="0"/>
                <w:sz w:val="18"/>
                <w:szCs w:val="18"/>
              </w:rPr>
              <w:br w:type="textWrapping"/>
            </w:r>
            <w:r>
              <w:rPr>
                <w:rFonts w:hint="eastAsia"/>
                <w:color w:val="auto"/>
                <w:kern w:val="0"/>
                <w:sz w:val="18"/>
                <w:szCs w:val="18"/>
              </w:rPr>
              <w:t>固化时间：≤60 min</w:t>
            </w:r>
          </w:p>
          <w:p w14:paraId="1EB022F1">
            <w:pPr>
              <w:widowControl/>
              <w:numPr>
                <w:ilvl w:val="0"/>
                <w:numId w:val="12"/>
              </w:numPr>
              <w:ind w:left="299" w:hanging="299"/>
              <w:jc w:val="left"/>
              <w:textAlignment w:val="center"/>
              <w:rPr>
                <w:color w:val="auto"/>
                <w:kern w:val="0"/>
                <w:sz w:val="18"/>
                <w:szCs w:val="18"/>
              </w:rPr>
            </w:pPr>
            <w:r>
              <w:rPr>
                <w:rFonts w:hint="eastAsia"/>
                <w:color w:val="auto"/>
                <w:kern w:val="0"/>
                <w:sz w:val="18"/>
                <w:szCs w:val="18"/>
              </w:rPr>
              <w:t>固化尺寸：≥198×124×220 mm</w:t>
            </w:r>
          </w:p>
          <w:p w14:paraId="740DC851">
            <w:pPr>
              <w:widowControl/>
              <w:numPr>
                <w:ilvl w:val="0"/>
                <w:numId w:val="12"/>
              </w:numPr>
              <w:ind w:left="299" w:hanging="299"/>
              <w:jc w:val="left"/>
              <w:textAlignment w:val="center"/>
              <w:rPr>
                <w:color w:val="auto"/>
                <w:kern w:val="0"/>
                <w:sz w:val="18"/>
                <w:szCs w:val="18"/>
              </w:rPr>
            </w:pPr>
            <w:r>
              <w:rPr>
                <w:rFonts w:hint="eastAsia"/>
                <w:color w:val="auto"/>
                <w:kern w:val="0"/>
                <w:sz w:val="18"/>
                <w:szCs w:val="18"/>
              </w:rPr>
              <w:t>最大固化温度：60°—80℃</w:t>
            </w:r>
          </w:p>
          <w:p w14:paraId="1F858A0E">
            <w:pPr>
              <w:widowControl/>
              <w:jc w:val="left"/>
              <w:textAlignment w:val="center"/>
              <w:rPr>
                <w:b/>
                <w:bCs/>
                <w:color w:val="auto"/>
                <w:kern w:val="0"/>
                <w:sz w:val="18"/>
                <w:szCs w:val="18"/>
              </w:rPr>
            </w:pPr>
            <w:r>
              <w:rPr>
                <w:rFonts w:hint="eastAsia"/>
                <w:b/>
                <w:bCs/>
                <w:color w:val="auto"/>
                <w:kern w:val="0"/>
                <w:sz w:val="18"/>
                <w:szCs w:val="18"/>
              </w:rPr>
              <w:t>三、震荡清洗机</w:t>
            </w:r>
          </w:p>
          <w:p w14:paraId="4CABBE3B">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▲系统:与立体成型设备统一系统</w:t>
            </w:r>
          </w:p>
          <w:p w14:paraId="622742FE">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额定功率：≤80W</w:t>
            </w:r>
          </w:p>
          <w:p w14:paraId="2FCC289A">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清洗时间：≤4分钟</w:t>
            </w:r>
          </w:p>
          <w:p w14:paraId="7118A532">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清洗尺寸：≥198 × 123 × 150 mm</w:t>
            </w:r>
          </w:p>
          <w:p w14:paraId="7CCFAB6C">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兼容溶剂：95%以上酒精</w:t>
            </w:r>
          </w:p>
          <w:p w14:paraId="298E495E">
            <w:pPr>
              <w:widowControl/>
              <w:numPr>
                <w:ilvl w:val="0"/>
                <w:numId w:val="13"/>
              </w:numPr>
              <w:ind w:left="299" w:hanging="299"/>
              <w:jc w:val="left"/>
              <w:textAlignment w:val="center"/>
              <w:rPr>
                <w:color w:val="auto"/>
                <w:kern w:val="0"/>
                <w:sz w:val="18"/>
                <w:szCs w:val="18"/>
              </w:rPr>
            </w:pPr>
            <w:r>
              <w:rPr>
                <w:rFonts w:hint="eastAsia"/>
                <w:color w:val="auto"/>
                <w:kern w:val="0"/>
                <w:sz w:val="18"/>
                <w:szCs w:val="18"/>
              </w:rPr>
              <w:t>联网方式：U盘 / WiFi</w:t>
            </w:r>
          </w:p>
          <w:p w14:paraId="62DAC111">
            <w:pPr>
              <w:widowControl/>
              <w:jc w:val="left"/>
              <w:textAlignment w:val="center"/>
              <w:rPr>
                <w:b/>
                <w:bCs/>
                <w:color w:val="auto"/>
                <w:kern w:val="0"/>
                <w:sz w:val="18"/>
                <w:szCs w:val="18"/>
              </w:rPr>
            </w:pPr>
            <w:r>
              <w:rPr>
                <w:rFonts w:hint="eastAsia"/>
                <w:b/>
                <w:bCs/>
                <w:color w:val="auto"/>
                <w:kern w:val="0"/>
                <w:sz w:val="18"/>
                <w:szCs w:val="18"/>
              </w:rPr>
              <w:t>四、脉冲剥离模块</w:t>
            </w:r>
          </w:p>
          <w:p w14:paraId="1CF9F5A3">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▲系统:与立体成型设备统一系统</w:t>
            </w:r>
          </w:p>
          <w:p w14:paraId="492A9EA8">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输入：24V DC</w:t>
            </w:r>
          </w:p>
          <w:p w14:paraId="24C57A30">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功率：25W</w:t>
            </w:r>
          </w:p>
          <w:p w14:paraId="50123FC6">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▲降低约50%剥离力</w:t>
            </w:r>
          </w:p>
          <w:p w14:paraId="1861B210">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▲支撑点面积减少74%-88%</w:t>
            </w:r>
          </w:p>
          <w:p w14:paraId="28B8367E">
            <w:pPr>
              <w:widowControl/>
              <w:numPr>
                <w:ilvl w:val="0"/>
                <w:numId w:val="14"/>
              </w:numPr>
              <w:ind w:left="299" w:hanging="284"/>
              <w:jc w:val="left"/>
              <w:textAlignment w:val="center"/>
              <w:rPr>
                <w:color w:val="auto"/>
                <w:kern w:val="0"/>
                <w:sz w:val="18"/>
                <w:szCs w:val="18"/>
              </w:rPr>
            </w:pPr>
            <w:r>
              <w:rPr>
                <w:rFonts w:hint="eastAsia"/>
                <w:color w:val="auto"/>
                <w:kern w:val="0"/>
                <w:sz w:val="18"/>
                <w:szCs w:val="18"/>
              </w:rPr>
              <w:t>▲支撑树脂用量减少42%-71%</w:t>
            </w:r>
          </w:p>
          <w:p w14:paraId="56538468">
            <w:pPr>
              <w:widowControl/>
              <w:jc w:val="left"/>
              <w:textAlignment w:val="center"/>
              <w:rPr>
                <w:b/>
                <w:bCs/>
                <w:color w:val="auto"/>
                <w:kern w:val="0"/>
                <w:sz w:val="18"/>
                <w:szCs w:val="18"/>
              </w:rPr>
            </w:pPr>
            <w:r>
              <w:rPr>
                <w:rFonts w:hint="eastAsia"/>
                <w:b/>
                <w:bCs/>
                <w:color w:val="auto"/>
                <w:kern w:val="0"/>
                <w:sz w:val="18"/>
                <w:szCs w:val="18"/>
              </w:rPr>
              <w:t>五、空气净化方案</w:t>
            </w:r>
          </w:p>
          <w:p w14:paraId="22B7E4E9">
            <w:pPr>
              <w:widowControl/>
              <w:numPr>
                <w:ilvl w:val="0"/>
                <w:numId w:val="15"/>
              </w:numPr>
              <w:ind w:left="299" w:hanging="299"/>
              <w:jc w:val="left"/>
              <w:textAlignment w:val="center"/>
              <w:rPr>
                <w:color w:val="auto"/>
                <w:kern w:val="0"/>
                <w:sz w:val="18"/>
                <w:szCs w:val="18"/>
              </w:rPr>
            </w:pPr>
            <w:r>
              <w:rPr>
                <w:rFonts w:hint="eastAsia"/>
                <w:color w:val="auto"/>
                <w:kern w:val="0"/>
                <w:sz w:val="18"/>
                <w:szCs w:val="18"/>
              </w:rPr>
              <w:t>▲系统:与立体成型设备统一系统</w:t>
            </w:r>
          </w:p>
          <w:p w14:paraId="02CAE1A7">
            <w:pPr>
              <w:widowControl/>
              <w:numPr>
                <w:ilvl w:val="0"/>
                <w:numId w:val="15"/>
              </w:numPr>
              <w:ind w:left="299" w:hanging="299"/>
              <w:jc w:val="left"/>
              <w:textAlignment w:val="center"/>
              <w:rPr>
                <w:color w:val="auto"/>
                <w:kern w:val="0"/>
                <w:sz w:val="18"/>
                <w:szCs w:val="18"/>
              </w:rPr>
            </w:pPr>
            <w:r>
              <w:rPr>
                <w:rFonts w:hint="eastAsia"/>
                <w:color w:val="auto"/>
                <w:kern w:val="0"/>
                <w:sz w:val="18"/>
                <w:szCs w:val="18"/>
              </w:rPr>
              <w:t>功能：有效</w:t>
            </w:r>
            <w:r>
              <w:rPr>
                <w:color w:val="auto"/>
                <w:kern w:val="0"/>
                <w:sz w:val="18"/>
                <w:szCs w:val="18"/>
              </w:rPr>
              <w:t>TVOC挥发物消减</w:t>
            </w:r>
          </w:p>
          <w:p w14:paraId="71B31986">
            <w:pPr>
              <w:widowControl/>
              <w:numPr>
                <w:ilvl w:val="0"/>
                <w:numId w:val="15"/>
              </w:numPr>
              <w:ind w:left="299" w:hanging="299"/>
              <w:jc w:val="left"/>
              <w:textAlignment w:val="center"/>
              <w:rPr>
                <w:color w:val="auto"/>
                <w:kern w:val="0"/>
                <w:sz w:val="18"/>
                <w:szCs w:val="18"/>
              </w:rPr>
            </w:pPr>
            <w:r>
              <w:rPr>
                <w:rFonts w:hint="eastAsia"/>
                <w:color w:val="auto"/>
                <w:kern w:val="0"/>
                <w:sz w:val="18"/>
                <w:szCs w:val="18"/>
              </w:rPr>
              <w:t>功率：84 W</w:t>
            </w:r>
          </w:p>
          <w:p w14:paraId="0C5FCBCE">
            <w:pPr>
              <w:widowControl/>
              <w:numPr>
                <w:ilvl w:val="0"/>
                <w:numId w:val="15"/>
              </w:numPr>
              <w:ind w:left="299" w:hanging="299"/>
              <w:jc w:val="left"/>
              <w:textAlignment w:val="center"/>
              <w:rPr>
                <w:color w:val="auto"/>
                <w:kern w:val="0"/>
                <w:sz w:val="18"/>
                <w:szCs w:val="18"/>
              </w:rPr>
            </w:pPr>
            <w:r>
              <w:rPr>
                <w:rFonts w:hint="eastAsia"/>
                <w:color w:val="auto"/>
                <w:kern w:val="0"/>
                <w:sz w:val="18"/>
                <w:szCs w:val="18"/>
              </w:rPr>
              <w:t>风量档位：3档</w:t>
            </w:r>
          </w:p>
          <w:p w14:paraId="4747D97C">
            <w:pPr>
              <w:widowControl/>
              <w:numPr>
                <w:ilvl w:val="0"/>
                <w:numId w:val="15"/>
              </w:numPr>
              <w:ind w:left="299" w:hanging="299"/>
              <w:jc w:val="left"/>
              <w:textAlignment w:val="center"/>
              <w:rPr>
                <w:color w:val="auto"/>
                <w:kern w:val="0"/>
                <w:sz w:val="18"/>
                <w:szCs w:val="18"/>
              </w:rPr>
            </w:pPr>
            <w:r>
              <w:rPr>
                <w:rFonts w:hint="eastAsia"/>
                <w:color w:val="auto"/>
                <w:kern w:val="0"/>
                <w:sz w:val="18"/>
                <w:szCs w:val="18"/>
              </w:rPr>
              <w:t>噪声：47 dB(A)~60 dB(A)</w:t>
            </w:r>
          </w:p>
          <w:p w14:paraId="68EAD170">
            <w:pPr>
              <w:rPr>
                <w:rFonts w:ascii="Times New Roman" w:hAnsi="Times New Roman"/>
                <w:color w:val="auto"/>
                <w:kern w:val="0"/>
                <w:sz w:val="18"/>
                <w:szCs w:val="18"/>
                <w:highlight w:val="none"/>
              </w:rPr>
            </w:pPr>
            <w:r>
              <w:rPr>
                <w:rFonts w:hint="eastAsia"/>
                <w:color w:val="auto"/>
                <w:kern w:val="0"/>
                <w:sz w:val="18"/>
                <w:szCs w:val="18"/>
              </w:rPr>
              <w:t>6. 包含立体成型设备同品牌测试用树脂</w:t>
            </w:r>
          </w:p>
        </w:tc>
        <w:tc>
          <w:tcPr>
            <w:tcW w:w="965" w:type="dxa"/>
            <w:vAlign w:val="center"/>
          </w:tcPr>
          <w:p w14:paraId="4C832E18">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12</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0F6D8BE9">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p>
        </w:tc>
      </w:tr>
      <w:tr w14:paraId="07E4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70FA9F93">
            <w:pPr>
              <w:widowControl/>
              <w:numPr>
                <w:ilvl w:val="0"/>
                <w:numId w:val="9"/>
              </w:numPr>
              <w:jc w:val="center"/>
              <w:rPr>
                <w:rFonts w:ascii="Times New Roman" w:hAnsi="Times New Roman"/>
                <w:color w:val="auto"/>
                <w:kern w:val="0"/>
                <w:szCs w:val="22"/>
                <w:highlight w:val="none"/>
              </w:rPr>
            </w:pPr>
          </w:p>
        </w:tc>
        <w:tc>
          <w:tcPr>
            <w:tcW w:w="1096" w:type="dxa"/>
            <w:vAlign w:val="center"/>
          </w:tcPr>
          <w:p w14:paraId="59C8D0E6">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AIGC智创实训平台：绘图工作站</w:t>
            </w:r>
          </w:p>
        </w:tc>
        <w:tc>
          <w:tcPr>
            <w:tcW w:w="6947" w:type="dxa"/>
            <w:vAlign w:val="center"/>
          </w:tcPr>
          <w:p w14:paraId="0AED044F">
            <w:pPr>
              <w:widowControl/>
              <w:jc w:val="left"/>
              <w:textAlignment w:val="center"/>
              <w:rPr>
                <w:kern w:val="0"/>
                <w:sz w:val="18"/>
                <w:szCs w:val="18"/>
              </w:rPr>
            </w:pPr>
            <w:r>
              <w:rPr>
                <w:rFonts w:hint="eastAsia"/>
                <w:kern w:val="0"/>
                <w:sz w:val="18"/>
                <w:szCs w:val="18"/>
              </w:rPr>
              <w:t>一、绘图工作站</w:t>
            </w:r>
          </w:p>
          <w:p w14:paraId="6395A222">
            <w:pPr>
              <w:widowControl/>
              <w:jc w:val="left"/>
              <w:textAlignment w:val="center"/>
              <w:rPr>
                <w:kern w:val="0"/>
                <w:sz w:val="18"/>
                <w:szCs w:val="18"/>
              </w:rPr>
            </w:pPr>
            <w:r>
              <w:rPr>
                <w:rFonts w:hint="eastAsia"/>
                <w:kern w:val="0"/>
                <w:sz w:val="18"/>
                <w:szCs w:val="18"/>
              </w:rPr>
              <w:t>1、机型：商用工作站产品，在产品认证中证明投标机型为工作站产品</w:t>
            </w:r>
          </w:p>
          <w:p w14:paraId="315D3894">
            <w:pPr>
              <w:widowControl/>
              <w:jc w:val="left"/>
              <w:textAlignment w:val="center"/>
              <w:rPr>
                <w:kern w:val="0"/>
                <w:sz w:val="18"/>
                <w:szCs w:val="18"/>
              </w:rPr>
            </w:pPr>
            <w:r>
              <w:rPr>
                <w:rFonts w:hint="eastAsia"/>
                <w:kern w:val="0"/>
                <w:sz w:val="18"/>
                <w:szCs w:val="18"/>
              </w:rPr>
              <w:t>2、</w:t>
            </w:r>
            <w:r>
              <w:rPr>
                <w:rFonts w:hint="eastAsia" w:ascii="宋体" w:hAnsi="宋体" w:eastAsia="宋体" w:cs="宋体"/>
                <w:i w:val="0"/>
                <w:iCs w:val="0"/>
                <w:color w:val="auto"/>
                <w:kern w:val="0"/>
                <w:sz w:val="18"/>
                <w:szCs w:val="18"/>
                <w:highlight w:val="none"/>
                <w:u w:val="none"/>
                <w:lang w:val="en-US" w:eastAsia="zh-CN" w:bidi="ar"/>
              </w:rPr>
              <w:t>▲</w:t>
            </w:r>
            <w:r>
              <w:rPr>
                <w:rFonts w:hint="eastAsia"/>
                <w:kern w:val="0"/>
                <w:sz w:val="18"/>
                <w:szCs w:val="18"/>
              </w:rPr>
              <w:t xml:space="preserve">CPU：性能不低于Intel I7- </w:t>
            </w:r>
            <w:r>
              <w:rPr>
                <w:kern w:val="0"/>
                <w:sz w:val="18"/>
                <w:szCs w:val="18"/>
              </w:rPr>
              <w:t>14700</w:t>
            </w:r>
            <w:r>
              <w:rPr>
                <w:rFonts w:hint="eastAsia"/>
                <w:kern w:val="0"/>
                <w:sz w:val="18"/>
                <w:szCs w:val="18"/>
              </w:rPr>
              <w:t>处理器及以上</w:t>
            </w:r>
          </w:p>
          <w:p w14:paraId="0987B5E6">
            <w:pPr>
              <w:widowControl/>
              <w:jc w:val="left"/>
              <w:textAlignment w:val="center"/>
              <w:rPr>
                <w:kern w:val="0"/>
                <w:sz w:val="18"/>
                <w:szCs w:val="18"/>
              </w:rPr>
            </w:pPr>
            <w:r>
              <w:rPr>
                <w:rFonts w:hint="eastAsia"/>
                <w:kern w:val="0"/>
                <w:sz w:val="18"/>
                <w:szCs w:val="18"/>
              </w:rPr>
              <w:t>3、▲主板：性能不低于Intel芯片组</w:t>
            </w:r>
          </w:p>
          <w:p w14:paraId="3806E36D">
            <w:pPr>
              <w:widowControl/>
              <w:jc w:val="left"/>
              <w:textAlignment w:val="center"/>
              <w:rPr>
                <w:kern w:val="0"/>
                <w:sz w:val="18"/>
                <w:szCs w:val="18"/>
              </w:rPr>
            </w:pPr>
            <w:r>
              <w:rPr>
                <w:rFonts w:hint="eastAsia"/>
                <w:kern w:val="0"/>
                <w:sz w:val="18"/>
                <w:szCs w:val="18"/>
              </w:rPr>
              <w:t>4、★内存：≥32G DDR5内存，提供4个内存槽位</w:t>
            </w:r>
          </w:p>
          <w:p w14:paraId="7103BAF7">
            <w:pPr>
              <w:widowControl/>
              <w:jc w:val="left"/>
              <w:textAlignment w:val="center"/>
              <w:rPr>
                <w:kern w:val="0"/>
                <w:sz w:val="18"/>
                <w:szCs w:val="18"/>
              </w:rPr>
            </w:pPr>
            <w:r>
              <w:rPr>
                <w:rFonts w:hint="eastAsia"/>
                <w:kern w:val="0"/>
                <w:sz w:val="18"/>
                <w:szCs w:val="18"/>
              </w:rPr>
              <w:t>5、★显卡：性能不低于5060 8G独立显卡</w:t>
            </w:r>
          </w:p>
          <w:p w14:paraId="4F43F3DA">
            <w:pPr>
              <w:widowControl/>
              <w:jc w:val="left"/>
              <w:textAlignment w:val="center"/>
              <w:rPr>
                <w:kern w:val="0"/>
                <w:sz w:val="18"/>
                <w:szCs w:val="18"/>
              </w:rPr>
            </w:pPr>
            <w:r>
              <w:rPr>
                <w:rFonts w:hint="eastAsia"/>
                <w:kern w:val="0"/>
                <w:sz w:val="18"/>
                <w:szCs w:val="18"/>
              </w:rPr>
              <w:t>6、声卡：集成声卡</w:t>
            </w:r>
          </w:p>
          <w:p w14:paraId="5CA5D9A9">
            <w:pPr>
              <w:widowControl/>
              <w:jc w:val="left"/>
              <w:textAlignment w:val="center"/>
              <w:rPr>
                <w:kern w:val="0"/>
                <w:sz w:val="18"/>
                <w:szCs w:val="18"/>
              </w:rPr>
            </w:pPr>
            <w:r>
              <w:rPr>
                <w:rFonts w:hint="eastAsia"/>
                <w:kern w:val="0"/>
                <w:sz w:val="18"/>
                <w:szCs w:val="18"/>
              </w:rPr>
              <w:t>7、★硬盘：≥</w:t>
            </w:r>
            <w:r>
              <w:rPr>
                <w:kern w:val="0"/>
                <w:sz w:val="18"/>
                <w:szCs w:val="18"/>
              </w:rPr>
              <w:t>1T M.2 NVME SSD</w:t>
            </w:r>
          </w:p>
          <w:p w14:paraId="13B41108">
            <w:pPr>
              <w:widowControl/>
              <w:jc w:val="left"/>
              <w:textAlignment w:val="center"/>
              <w:rPr>
                <w:kern w:val="0"/>
                <w:sz w:val="18"/>
                <w:szCs w:val="18"/>
              </w:rPr>
            </w:pPr>
            <w:r>
              <w:rPr>
                <w:rFonts w:hint="eastAsia"/>
                <w:kern w:val="0"/>
                <w:sz w:val="18"/>
                <w:szCs w:val="18"/>
              </w:rPr>
              <w:t>8、网卡：1000M以太网卡</w:t>
            </w:r>
          </w:p>
          <w:p w14:paraId="284F6E13">
            <w:pPr>
              <w:widowControl/>
              <w:jc w:val="left"/>
              <w:textAlignment w:val="center"/>
              <w:rPr>
                <w:kern w:val="0"/>
                <w:sz w:val="18"/>
                <w:szCs w:val="18"/>
              </w:rPr>
            </w:pPr>
            <w:r>
              <w:rPr>
                <w:rFonts w:hint="eastAsia"/>
                <w:kern w:val="0"/>
                <w:sz w:val="18"/>
                <w:szCs w:val="18"/>
              </w:rPr>
              <w:t>9、键盘、鼠标 原厂防水机械键盘、抗菌鼠标</w:t>
            </w:r>
          </w:p>
          <w:p w14:paraId="7BC2DD1E">
            <w:pPr>
              <w:widowControl/>
              <w:jc w:val="left"/>
              <w:textAlignment w:val="center"/>
              <w:rPr>
                <w:kern w:val="0"/>
                <w:sz w:val="18"/>
                <w:szCs w:val="18"/>
              </w:rPr>
            </w:pPr>
            <w:r>
              <w:rPr>
                <w:rFonts w:hint="eastAsia"/>
                <w:kern w:val="0"/>
                <w:sz w:val="18"/>
                <w:szCs w:val="18"/>
              </w:rPr>
              <w:t>10、USB接口 ≥9个USB 3.2接口(前置至少1个TYPE-C接口)</w:t>
            </w:r>
          </w:p>
          <w:p w14:paraId="03543BC2">
            <w:pPr>
              <w:widowControl/>
              <w:jc w:val="left"/>
              <w:textAlignment w:val="center"/>
              <w:rPr>
                <w:kern w:val="0"/>
                <w:sz w:val="18"/>
                <w:szCs w:val="18"/>
              </w:rPr>
            </w:pPr>
            <w:r>
              <w:rPr>
                <w:rFonts w:hint="eastAsia"/>
                <w:kern w:val="0"/>
                <w:sz w:val="18"/>
                <w:szCs w:val="18"/>
              </w:rPr>
              <w:t>11、其它接口 主板集成至少1个VGA接口，1个HDMI接口，1个DP接口</w:t>
            </w:r>
          </w:p>
          <w:p w14:paraId="241CBD90">
            <w:pPr>
              <w:widowControl/>
              <w:jc w:val="left"/>
              <w:textAlignment w:val="center"/>
              <w:rPr>
                <w:kern w:val="0"/>
                <w:sz w:val="18"/>
                <w:szCs w:val="18"/>
              </w:rPr>
            </w:pPr>
            <w:r>
              <w:rPr>
                <w:rFonts w:hint="eastAsia"/>
                <w:kern w:val="0"/>
                <w:sz w:val="18"/>
                <w:szCs w:val="18"/>
              </w:rPr>
              <w:t>12、插槽 至少1个PCIE x16 、2个PCIE x1、3个PCIe M.2 接口</w:t>
            </w:r>
          </w:p>
          <w:p w14:paraId="3B76745F">
            <w:pPr>
              <w:widowControl/>
              <w:jc w:val="left"/>
              <w:textAlignment w:val="center"/>
              <w:rPr>
                <w:kern w:val="0"/>
                <w:sz w:val="18"/>
                <w:szCs w:val="18"/>
              </w:rPr>
            </w:pPr>
            <w:r>
              <w:rPr>
                <w:rFonts w:hint="eastAsia"/>
                <w:kern w:val="0"/>
                <w:sz w:val="18"/>
                <w:szCs w:val="18"/>
              </w:rPr>
              <w:t>13、电源 ≥500W 92%</w:t>
            </w:r>
          </w:p>
          <w:p w14:paraId="528D6481">
            <w:pPr>
              <w:widowControl/>
              <w:jc w:val="left"/>
              <w:textAlignment w:val="center"/>
              <w:rPr>
                <w:kern w:val="0"/>
                <w:sz w:val="18"/>
                <w:szCs w:val="18"/>
              </w:rPr>
            </w:pPr>
            <w:r>
              <w:rPr>
                <w:rFonts w:hint="eastAsia"/>
                <w:kern w:val="0"/>
                <w:sz w:val="18"/>
                <w:szCs w:val="18"/>
              </w:rPr>
              <w:t xml:space="preserve">14、操作系统 预装Windows 正版操作系统 </w:t>
            </w:r>
          </w:p>
          <w:p w14:paraId="404F9F07">
            <w:pPr>
              <w:widowControl/>
              <w:jc w:val="left"/>
              <w:textAlignment w:val="center"/>
              <w:rPr>
                <w:kern w:val="0"/>
                <w:sz w:val="18"/>
                <w:szCs w:val="18"/>
              </w:rPr>
            </w:pPr>
            <w:r>
              <w:rPr>
                <w:rFonts w:hint="eastAsia"/>
                <w:kern w:val="0"/>
                <w:sz w:val="18"/>
                <w:szCs w:val="18"/>
              </w:rPr>
              <w:t>15、安全:BIOS级别USB端口单独开关，智能USB数据保护(可设置仅识别鼠标键盘，不识别USB存储设备)</w:t>
            </w:r>
          </w:p>
          <w:p w14:paraId="3C7F5E46">
            <w:pPr>
              <w:widowControl/>
              <w:jc w:val="left"/>
              <w:textAlignment w:val="center"/>
              <w:rPr>
                <w:kern w:val="0"/>
                <w:sz w:val="18"/>
                <w:szCs w:val="18"/>
              </w:rPr>
            </w:pPr>
            <w:r>
              <w:rPr>
                <w:rFonts w:hint="eastAsia"/>
                <w:kern w:val="0"/>
                <w:sz w:val="18"/>
                <w:szCs w:val="18"/>
              </w:rPr>
              <w:t>16、机箱:塔式标准机箱≥17L，带锁</w:t>
            </w:r>
          </w:p>
          <w:p w14:paraId="1819100F">
            <w:pPr>
              <w:widowControl/>
              <w:jc w:val="left"/>
              <w:textAlignment w:val="center"/>
              <w:rPr>
                <w:kern w:val="0"/>
                <w:sz w:val="18"/>
                <w:szCs w:val="18"/>
              </w:rPr>
            </w:pPr>
            <w:r>
              <w:rPr>
                <w:rFonts w:hint="eastAsia"/>
                <w:kern w:val="0"/>
                <w:sz w:val="18"/>
                <w:szCs w:val="18"/>
              </w:rPr>
              <w:t>17、≥24英寸同品牌显示器</w:t>
            </w:r>
          </w:p>
          <w:p w14:paraId="5CCD2B7B">
            <w:pPr>
              <w:widowControl/>
              <w:jc w:val="left"/>
              <w:textAlignment w:val="center"/>
              <w:rPr>
                <w:kern w:val="0"/>
                <w:sz w:val="18"/>
                <w:szCs w:val="18"/>
              </w:rPr>
            </w:pPr>
            <w:r>
              <w:rPr>
                <w:rFonts w:hint="eastAsia"/>
                <w:kern w:val="0"/>
                <w:sz w:val="18"/>
                <w:szCs w:val="18"/>
              </w:rPr>
              <w:t>18、▲服务:原厂提供三年上门服务，提供制造商针对本项目的售后服务承诺书</w:t>
            </w:r>
          </w:p>
          <w:p w14:paraId="418F10E2">
            <w:pPr>
              <w:widowControl/>
              <w:jc w:val="left"/>
              <w:textAlignment w:val="center"/>
              <w:rPr>
                <w:kern w:val="0"/>
                <w:sz w:val="18"/>
                <w:szCs w:val="18"/>
              </w:rPr>
            </w:pPr>
            <w:r>
              <w:rPr>
                <w:rFonts w:hint="eastAsia"/>
                <w:kern w:val="0"/>
                <w:sz w:val="18"/>
                <w:szCs w:val="18"/>
              </w:rPr>
              <w:t>19、★满足国家强制节能认证要求及环保认证要求</w:t>
            </w:r>
          </w:p>
          <w:p w14:paraId="7BD26E7C">
            <w:pPr>
              <w:widowControl/>
              <w:jc w:val="left"/>
              <w:textAlignment w:val="center"/>
              <w:rPr>
                <w:kern w:val="0"/>
                <w:sz w:val="18"/>
                <w:szCs w:val="18"/>
              </w:rPr>
            </w:pPr>
            <w:r>
              <w:rPr>
                <w:rFonts w:hint="eastAsia"/>
                <w:kern w:val="0"/>
                <w:sz w:val="18"/>
                <w:szCs w:val="18"/>
              </w:rPr>
              <w:t>20、★满足国家3C认证要求</w:t>
            </w:r>
          </w:p>
          <w:p w14:paraId="4E729FFC">
            <w:pPr>
              <w:widowControl/>
              <w:jc w:val="left"/>
              <w:textAlignment w:val="center"/>
              <w:rPr>
                <w:kern w:val="0"/>
                <w:sz w:val="18"/>
                <w:szCs w:val="18"/>
              </w:rPr>
            </w:pPr>
            <w:r>
              <w:rPr>
                <w:rFonts w:hint="eastAsia"/>
                <w:kern w:val="0"/>
                <w:sz w:val="18"/>
                <w:szCs w:val="18"/>
              </w:rPr>
              <w:t>二、绘图板</w:t>
            </w:r>
          </w:p>
          <w:p w14:paraId="300244C9">
            <w:pPr>
              <w:widowControl/>
              <w:jc w:val="left"/>
              <w:textAlignment w:val="center"/>
              <w:rPr>
                <w:kern w:val="0"/>
                <w:sz w:val="18"/>
                <w:szCs w:val="18"/>
              </w:rPr>
            </w:pPr>
            <w:r>
              <w:rPr>
                <w:rFonts w:hint="eastAsia"/>
                <w:kern w:val="0"/>
                <w:sz w:val="18"/>
                <w:szCs w:val="18"/>
              </w:rPr>
              <w:t>1.活动区域：≥216 x 135 mm</w:t>
            </w:r>
          </w:p>
          <w:p w14:paraId="563A443E">
            <w:pPr>
              <w:widowControl/>
              <w:jc w:val="left"/>
              <w:textAlignment w:val="center"/>
              <w:rPr>
                <w:kern w:val="0"/>
                <w:sz w:val="18"/>
                <w:szCs w:val="18"/>
              </w:rPr>
            </w:pPr>
            <w:r>
              <w:rPr>
                <w:rFonts w:hint="eastAsia"/>
                <w:kern w:val="0"/>
                <w:sz w:val="18"/>
                <w:szCs w:val="18"/>
              </w:rPr>
              <w:t>2.压力级别：≥4096</w:t>
            </w:r>
          </w:p>
          <w:p w14:paraId="0F7C2047">
            <w:pPr>
              <w:widowControl/>
              <w:jc w:val="left"/>
              <w:textAlignment w:val="center"/>
              <w:rPr>
                <w:kern w:val="0"/>
                <w:sz w:val="18"/>
                <w:szCs w:val="18"/>
              </w:rPr>
            </w:pPr>
            <w:r>
              <w:rPr>
                <w:rFonts w:hint="eastAsia"/>
                <w:kern w:val="0"/>
                <w:sz w:val="18"/>
                <w:szCs w:val="18"/>
              </w:rPr>
              <w:t>3.无线支持：支持</w:t>
            </w:r>
          </w:p>
          <w:p w14:paraId="476A8A14">
            <w:pPr>
              <w:widowControl/>
              <w:jc w:val="left"/>
              <w:textAlignment w:val="center"/>
              <w:rPr>
                <w:kern w:val="0"/>
                <w:sz w:val="18"/>
                <w:szCs w:val="18"/>
              </w:rPr>
            </w:pPr>
            <w:r>
              <w:rPr>
                <w:rFonts w:hint="eastAsia"/>
                <w:kern w:val="0"/>
                <w:sz w:val="18"/>
                <w:szCs w:val="18"/>
              </w:rPr>
              <w:t>4.替换笔尖：标准笔尖不少于3支</w:t>
            </w:r>
          </w:p>
          <w:p w14:paraId="0EBAF3DD">
            <w:pPr>
              <w:widowControl/>
              <w:jc w:val="left"/>
              <w:textAlignment w:val="center"/>
              <w:rPr>
                <w:kern w:val="0"/>
                <w:sz w:val="18"/>
                <w:szCs w:val="18"/>
              </w:rPr>
            </w:pPr>
            <w:r>
              <w:rPr>
                <w:rFonts w:hint="eastAsia"/>
                <w:kern w:val="0"/>
                <w:sz w:val="18"/>
                <w:szCs w:val="18"/>
              </w:rPr>
              <w:t>5.分辨率：≥2540lpi</w:t>
            </w:r>
          </w:p>
          <w:p w14:paraId="6687D6BF">
            <w:pPr>
              <w:widowControl/>
              <w:jc w:val="left"/>
              <w:textAlignment w:val="center"/>
              <w:rPr>
                <w:kern w:val="0"/>
                <w:sz w:val="18"/>
                <w:szCs w:val="18"/>
              </w:rPr>
            </w:pPr>
            <w:r>
              <w:rPr>
                <w:rFonts w:hint="eastAsia"/>
                <w:kern w:val="0"/>
                <w:sz w:val="18"/>
                <w:szCs w:val="18"/>
              </w:rPr>
              <w:t>6.倾斜角度：≥60度</w:t>
            </w:r>
          </w:p>
          <w:p w14:paraId="0CD65454">
            <w:pPr>
              <w:widowControl/>
              <w:jc w:val="left"/>
              <w:textAlignment w:val="center"/>
              <w:rPr>
                <w:kern w:val="0"/>
                <w:sz w:val="18"/>
                <w:szCs w:val="18"/>
              </w:rPr>
            </w:pPr>
            <w:r>
              <w:rPr>
                <w:rFonts w:hint="eastAsia"/>
                <w:kern w:val="0"/>
                <w:sz w:val="18"/>
                <w:szCs w:val="18"/>
              </w:rPr>
              <w:t>三、管理软件要求</w:t>
            </w:r>
          </w:p>
          <w:p w14:paraId="1C9C3D8E">
            <w:pPr>
              <w:widowControl/>
              <w:jc w:val="left"/>
              <w:textAlignment w:val="center"/>
              <w:rPr>
                <w:kern w:val="0"/>
                <w:sz w:val="18"/>
                <w:szCs w:val="18"/>
              </w:rPr>
            </w:pPr>
            <w:r>
              <w:rPr>
                <w:rFonts w:hint="eastAsia"/>
                <w:kern w:val="0"/>
                <w:sz w:val="18"/>
                <w:szCs w:val="18"/>
              </w:rPr>
              <w:t>1.为实现异构平台混合管理，要求云桌面管理平台支持在Windows或麒麟等国产系统搭建，支持对终端的操作系统镜像生成与统一分发管理；</w:t>
            </w:r>
          </w:p>
          <w:p w14:paraId="3489140E">
            <w:pPr>
              <w:widowControl/>
              <w:jc w:val="left"/>
              <w:textAlignment w:val="center"/>
              <w:rPr>
                <w:kern w:val="0"/>
                <w:sz w:val="18"/>
                <w:szCs w:val="18"/>
              </w:rPr>
            </w:pPr>
            <w:r>
              <w:rPr>
                <w:rFonts w:hint="eastAsia"/>
                <w:kern w:val="0"/>
                <w:sz w:val="18"/>
                <w:szCs w:val="18"/>
              </w:rPr>
              <w:t>2.针对不同楼宇、年级、学科的终端支持分组管理，可将终端进行分组，管理员可根据配置好的镜像分配给相应的分组；为不影响教学，可在正常上课的同时完成镜像缓存下载；</w:t>
            </w:r>
          </w:p>
          <w:p w14:paraId="61F394ED">
            <w:pPr>
              <w:widowControl/>
              <w:jc w:val="left"/>
              <w:textAlignment w:val="center"/>
              <w:rPr>
                <w:kern w:val="0"/>
                <w:sz w:val="18"/>
                <w:szCs w:val="18"/>
              </w:rPr>
            </w:pPr>
            <w:r>
              <w:rPr>
                <w:rFonts w:hint="eastAsia"/>
                <w:kern w:val="0"/>
                <w:sz w:val="18"/>
                <w:szCs w:val="18"/>
              </w:rPr>
              <w:t>3.可充分利用学校现有网络，支持在镜像下发时进行组内网络探测与网速传输测试，提前优化镜像下发策略，保障传输效率；</w:t>
            </w:r>
          </w:p>
          <w:p w14:paraId="217561CC">
            <w:pPr>
              <w:widowControl/>
              <w:jc w:val="left"/>
              <w:textAlignment w:val="center"/>
              <w:rPr>
                <w:kern w:val="0"/>
                <w:sz w:val="18"/>
                <w:szCs w:val="18"/>
              </w:rPr>
            </w:pPr>
            <w:r>
              <w:rPr>
                <w:rFonts w:hint="eastAsia"/>
                <w:kern w:val="0"/>
                <w:sz w:val="18"/>
                <w:szCs w:val="18"/>
              </w:rPr>
              <w:t>4.为适配大型或复杂型学校网络环境，云桌面支持跨校区、跨广域网部署，IP可达即可部署；为满足学校的WiFi使用场景，简化网络结构，支持通过wifi进行镜像更新和平台管理；为满足学校对多教学场景的切换，支持三种模式对某一系统盘和数据盘的管理，即还原模式、读写模式、 学习模式；</w:t>
            </w:r>
          </w:p>
          <w:p w14:paraId="0EB30990">
            <w:pPr>
              <w:widowControl/>
              <w:jc w:val="left"/>
              <w:textAlignment w:val="center"/>
              <w:rPr>
                <w:kern w:val="0"/>
                <w:sz w:val="18"/>
                <w:szCs w:val="18"/>
              </w:rPr>
            </w:pPr>
            <w:r>
              <w:rPr>
                <w:rFonts w:hint="eastAsia"/>
                <w:kern w:val="0"/>
                <w:sz w:val="18"/>
                <w:szCs w:val="18"/>
              </w:rPr>
              <w:t>5.为了提升机房的统一部署与更新时间，减少老师的操作步骤与等待时间，支持镜像下发时的策略设置，更新镜像时锁定终端屏幕和更新时隐藏下载窗口；支持系统镜像下发后自动执行关机、重启等操作；（提供此功能界面截图证明）</w:t>
            </w:r>
          </w:p>
          <w:p w14:paraId="18A1334F">
            <w:pPr>
              <w:widowControl/>
              <w:jc w:val="left"/>
              <w:textAlignment w:val="center"/>
              <w:rPr>
                <w:kern w:val="0"/>
                <w:sz w:val="18"/>
                <w:szCs w:val="18"/>
              </w:rPr>
            </w:pPr>
            <w:r>
              <w:rPr>
                <w:rFonts w:hint="eastAsia"/>
                <w:kern w:val="0"/>
                <w:sz w:val="18"/>
                <w:szCs w:val="18"/>
              </w:rPr>
              <w:t>6.支持从服务器端对客户端发起远程开机、关机、发送通知消息、发送远程命令等指令，支持管理员对客户端进行远程协助排障；</w:t>
            </w:r>
          </w:p>
          <w:p w14:paraId="4D4D9B01">
            <w:pPr>
              <w:widowControl/>
              <w:jc w:val="left"/>
              <w:textAlignment w:val="center"/>
              <w:rPr>
                <w:kern w:val="0"/>
                <w:sz w:val="18"/>
                <w:szCs w:val="18"/>
              </w:rPr>
            </w:pPr>
            <w:r>
              <w:rPr>
                <w:rFonts w:hint="eastAsia"/>
                <w:kern w:val="0"/>
                <w:sz w:val="18"/>
                <w:szCs w:val="18"/>
              </w:rPr>
              <w:t>7.为方便学校进行硬件资产统计，支持平台收集所有终端硬件配置信息，包含但不限于终端名称、主板型号、CPU型号、内存容量、最近运行时间、合计运行时间、硬件变更和记录信息等；（需提供国家认可的第三方检测机构出具的检测报告）</w:t>
            </w:r>
          </w:p>
          <w:p w14:paraId="767F2389">
            <w:pPr>
              <w:widowControl/>
              <w:jc w:val="left"/>
              <w:textAlignment w:val="center"/>
              <w:rPr>
                <w:kern w:val="0"/>
                <w:sz w:val="18"/>
                <w:szCs w:val="18"/>
              </w:rPr>
            </w:pPr>
            <w:r>
              <w:rPr>
                <w:rFonts w:hint="eastAsia"/>
                <w:kern w:val="0"/>
                <w:sz w:val="18"/>
                <w:szCs w:val="18"/>
              </w:rPr>
              <w:t>8.▲为方便学校掌握终端硬件运行情况，支持平台收集所有终端的运行状态信息，包含但不限于终端名称、CPU温度、开机时间、硬盘信息等；（需提供国家认可的第三方检测机构出具的检测报告）</w:t>
            </w:r>
          </w:p>
          <w:p w14:paraId="25513364">
            <w:pPr>
              <w:widowControl/>
              <w:jc w:val="left"/>
              <w:textAlignment w:val="center"/>
              <w:rPr>
                <w:kern w:val="0"/>
                <w:sz w:val="18"/>
                <w:szCs w:val="18"/>
              </w:rPr>
            </w:pPr>
            <w:r>
              <w:rPr>
                <w:rFonts w:hint="eastAsia"/>
                <w:kern w:val="0"/>
                <w:sz w:val="18"/>
                <w:szCs w:val="18"/>
              </w:rPr>
              <w:t>9.为方便学校对教学软件运行情况的统计，支持平台收集所有终端的软件信息，包含但不限于程序名称、运行次数、运行时长、版本、程序大小等；（需提供国家认可的第三方检测机构出具的检测报告）</w:t>
            </w:r>
          </w:p>
          <w:p w14:paraId="3ADADD14">
            <w:pPr>
              <w:widowControl/>
              <w:jc w:val="left"/>
              <w:textAlignment w:val="center"/>
              <w:rPr>
                <w:kern w:val="0"/>
                <w:sz w:val="18"/>
                <w:szCs w:val="18"/>
              </w:rPr>
            </w:pPr>
            <w:r>
              <w:rPr>
                <w:rFonts w:hint="eastAsia"/>
                <w:kern w:val="0"/>
                <w:sz w:val="18"/>
                <w:szCs w:val="18"/>
              </w:rPr>
              <w:t>10.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p>
          <w:p w14:paraId="288CD30E">
            <w:pPr>
              <w:widowControl/>
              <w:jc w:val="left"/>
              <w:textAlignment w:val="center"/>
              <w:rPr>
                <w:kern w:val="0"/>
                <w:sz w:val="18"/>
                <w:szCs w:val="18"/>
              </w:rPr>
            </w:pPr>
            <w:r>
              <w:rPr>
                <w:rFonts w:hint="eastAsia"/>
                <w:kern w:val="0"/>
                <w:sz w:val="18"/>
                <w:szCs w:val="18"/>
              </w:rPr>
              <w:t>11.支持平台可以计划任务设置，可以设置固定时间、每天、每周、每月进行定时执行各种任务类型，包括开机、关机、切换模板、下发模版、还原系统盘、还原数据盘；</w:t>
            </w:r>
          </w:p>
          <w:p w14:paraId="1D7224D5">
            <w:pPr>
              <w:widowControl/>
              <w:jc w:val="left"/>
              <w:textAlignment w:val="center"/>
              <w:rPr>
                <w:kern w:val="0"/>
                <w:sz w:val="18"/>
                <w:szCs w:val="18"/>
              </w:rPr>
            </w:pPr>
            <w:r>
              <w:rPr>
                <w:rFonts w:hint="eastAsia"/>
                <w:kern w:val="0"/>
                <w:sz w:val="18"/>
                <w:szCs w:val="18"/>
              </w:rPr>
              <w:t>12.▲支持大数据展示。可展示包括但不限于资产统计、设备详情、开关机对比、日志、系统使用情况等信息；（需提供国家认可的第三方检测机构出具的检测报告）</w:t>
            </w:r>
          </w:p>
          <w:p w14:paraId="3646A272">
            <w:pPr>
              <w:widowControl/>
              <w:jc w:val="left"/>
              <w:textAlignment w:val="center"/>
              <w:rPr>
                <w:rFonts w:cs="宋体"/>
                <w:kern w:val="0"/>
                <w:sz w:val="18"/>
                <w:szCs w:val="18"/>
              </w:rPr>
            </w:pPr>
            <w:r>
              <w:rPr>
                <w:rFonts w:hint="eastAsia" w:cs="宋体"/>
                <w:kern w:val="0"/>
                <w:sz w:val="18"/>
                <w:szCs w:val="18"/>
              </w:rPr>
              <w:t>13.为避免网络端口被占用而引起的教学环境不可用的问题，云桌面管理平台支持对服务器使用的网络端口进行检测，并通过检测结果帮助管理员快速分析和解决问题；</w:t>
            </w:r>
            <w:r>
              <w:rPr>
                <w:rFonts w:hint="eastAsia" w:cs="宋体"/>
                <w:kern w:val="0"/>
                <w:sz w:val="18"/>
                <w:szCs w:val="18"/>
              </w:rPr>
              <w:br w:type="textWrapping"/>
            </w:r>
            <w:r>
              <w:rPr>
                <w:rFonts w:hint="eastAsia" w:cs="宋体"/>
                <w:kern w:val="0"/>
                <w:sz w:val="18"/>
                <w:szCs w:val="18"/>
              </w:rPr>
              <w:t>14.可提供网盘功能：支持用户在终端登录网盘，实现数据漫游与数据共享；支持用户将网盘中的文件分享给其他用户，其他用户可通过链接和提取码查看文件；为防止误删重要文件，删除的文件会先保留在回收站，可根据实际情况按需取回；</w:t>
            </w:r>
            <w:r>
              <w:rPr>
                <w:rFonts w:hint="eastAsia" w:cs="宋体"/>
                <w:kern w:val="0"/>
                <w:sz w:val="18"/>
                <w:szCs w:val="18"/>
              </w:rPr>
              <w:br w:type="textWrapping"/>
            </w:r>
            <w:r>
              <w:rPr>
                <w:rFonts w:hint="eastAsia" w:cs="宋体"/>
                <w:kern w:val="0"/>
                <w:sz w:val="18"/>
                <w:szCs w:val="18"/>
              </w:rPr>
              <w:t>15.为满足客户单位形象与风格的统一要求，支持系统名称、LOGO、登录背景图等可按需修改成客户单位名称；为简化管理，云桌面管理平台支持创建组织、用户、角色，支持管理员对不同用户和角色进行分级分权管理；</w:t>
            </w:r>
            <w:r>
              <w:rPr>
                <w:rFonts w:hint="eastAsia" w:cs="宋体"/>
                <w:kern w:val="0"/>
                <w:sz w:val="18"/>
                <w:szCs w:val="18"/>
              </w:rPr>
              <w:br w:type="textWrapping"/>
            </w:r>
            <w:r>
              <w:rPr>
                <w:rFonts w:hint="eastAsia" w:cs="宋体"/>
                <w:kern w:val="0"/>
                <w:sz w:val="18"/>
                <w:szCs w:val="18"/>
              </w:rPr>
              <w:t>16.须配备支称软件的工作站硬件；</w:t>
            </w:r>
            <w:r>
              <w:rPr>
                <w:rFonts w:hint="eastAsia" w:cs="宋体"/>
                <w:kern w:val="0"/>
                <w:sz w:val="18"/>
                <w:szCs w:val="18"/>
              </w:rPr>
              <w:br w:type="textWrapping"/>
            </w:r>
            <w:r>
              <w:rPr>
                <w:rFonts w:hint="eastAsia" w:cs="宋体"/>
                <w:kern w:val="0"/>
                <w:sz w:val="18"/>
                <w:szCs w:val="18"/>
              </w:rPr>
              <w:t>17.屏幕录制：教师机可以将本地的操作和讲解过程录制为ASF录像文件，可以用 Windows 自带的 Media Player 直接播放。（提供此功能界面截图证明，并提供国家认可的第三方检测机构出具的检测报告）</w:t>
            </w:r>
            <w:r>
              <w:rPr>
                <w:rFonts w:hint="eastAsia" w:cs="宋体"/>
                <w:kern w:val="0"/>
                <w:sz w:val="18"/>
                <w:szCs w:val="18"/>
              </w:rPr>
              <w:br w:type="textWrapping"/>
            </w:r>
            <w:r>
              <w:rPr>
                <w:rFonts w:hint="eastAsia" w:cs="宋体"/>
                <w:kern w:val="0"/>
                <w:sz w:val="18"/>
                <w:szCs w:val="18"/>
              </w:rPr>
              <w:t>18.上网限制：支持对学生访问网站的黑名单或白名单设置，支持对学生可以访问的Internet站点进行管理。支持多浏览器限制，包括但不限于QQ、IE、谷歌、360、遨游等浏览器。（提供此功能界面截图证明，并提供国家认可的第三方检测机构出具的检测报告）</w:t>
            </w:r>
            <w:r>
              <w:rPr>
                <w:rFonts w:hint="eastAsia" w:cs="宋体"/>
                <w:kern w:val="0"/>
                <w:sz w:val="18"/>
                <w:szCs w:val="18"/>
              </w:rPr>
              <w:br w:type="textWrapping"/>
            </w:r>
            <w:r>
              <w:rPr>
                <w:rFonts w:hint="eastAsia" w:cs="宋体"/>
                <w:kern w:val="0"/>
                <w:sz w:val="18"/>
                <w:szCs w:val="18"/>
              </w:rPr>
              <w:t>19.程序限制：为防止学生在教学过程中打游戏或使用QQ、MSN等聊天工具，支持通过各种策略限制学生使用程序。（提供此功能界面截图证明，并提供国家认可的第三方检测机构出具的检测报告）</w:t>
            </w:r>
          </w:p>
          <w:p w14:paraId="3394D313">
            <w:pPr>
              <w:widowControl/>
              <w:jc w:val="left"/>
              <w:textAlignment w:val="center"/>
              <w:rPr>
                <w:rFonts w:ascii="Times New Roman" w:hAnsi="Times New Roman"/>
                <w:color w:val="auto"/>
                <w:kern w:val="0"/>
                <w:sz w:val="18"/>
                <w:szCs w:val="18"/>
                <w:highlight w:val="none"/>
              </w:rPr>
            </w:pPr>
            <w:r>
              <w:rPr>
                <w:rFonts w:hint="eastAsia"/>
                <w:kern w:val="0"/>
                <w:sz w:val="18"/>
                <w:szCs w:val="18"/>
              </w:rPr>
              <w:t>20.▲支持公有云知识库，知识库包括软硬件产品介绍、用户手册等。用户输入指令时，优先对库中文档进行分析、归纳、总结，然后提供匹配的答案。有AI资源搜索、AI教案编写、AI讲义编写、AI做课件、AI写文档等功能。</w:t>
            </w:r>
          </w:p>
        </w:tc>
        <w:tc>
          <w:tcPr>
            <w:tcW w:w="965" w:type="dxa"/>
            <w:vAlign w:val="center"/>
          </w:tcPr>
          <w:p w14:paraId="05609507">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6</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6BBA2DEA">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hint="eastAsia" w:cs="宋体"/>
                <w:color w:val="auto"/>
                <w:kern w:val="0"/>
                <w:sz w:val="22"/>
                <w:szCs w:val="22"/>
                <w:highlight w:val="none"/>
                <w:lang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r w14:paraId="77FF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6BB47C8A">
            <w:pPr>
              <w:widowControl/>
              <w:numPr>
                <w:ilvl w:val="0"/>
                <w:numId w:val="9"/>
              </w:numPr>
              <w:jc w:val="center"/>
              <w:rPr>
                <w:rFonts w:ascii="Times New Roman" w:hAnsi="Times New Roman"/>
                <w:color w:val="auto"/>
                <w:kern w:val="0"/>
                <w:szCs w:val="22"/>
                <w:highlight w:val="none"/>
              </w:rPr>
            </w:pPr>
          </w:p>
        </w:tc>
        <w:tc>
          <w:tcPr>
            <w:tcW w:w="1096" w:type="dxa"/>
            <w:vAlign w:val="center"/>
          </w:tcPr>
          <w:p w14:paraId="061A9D0B">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图形工作站</w:t>
            </w:r>
          </w:p>
        </w:tc>
        <w:tc>
          <w:tcPr>
            <w:tcW w:w="6947" w:type="dxa"/>
            <w:vAlign w:val="center"/>
          </w:tcPr>
          <w:p w14:paraId="78D65F39">
            <w:pPr>
              <w:widowControl/>
              <w:jc w:val="left"/>
              <w:textAlignment w:val="center"/>
              <w:rPr>
                <w:kern w:val="0"/>
                <w:sz w:val="18"/>
                <w:szCs w:val="18"/>
              </w:rPr>
            </w:pPr>
            <w:r>
              <w:rPr>
                <w:rFonts w:hint="eastAsia"/>
                <w:kern w:val="0"/>
                <w:sz w:val="18"/>
                <w:szCs w:val="18"/>
              </w:rPr>
              <w:t>一、图形工作站</w:t>
            </w:r>
          </w:p>
          <w:p w14:paraId="2EB00C52">
            <w:pPr>
              <w:widowControl/>
              <w:jc w:val="left"/>
              <w:textAlignment w:val="center"/>
              <w:rPr>
                <w:kern w:val="0"/>
                <w:sz w:val="18"/>
                <w:szCs w:val="18"/>
              </w:rPr>
            </w:pPr>
            <w:r>
              <w:rPr>
                <w:rFonts w:hint="eastAsia"/>
                <w:kern w:val="0"/>
                <w:sz w:val="18"/>
                <w:szCs w:val="18"/>
              </w:rPr>
              <w:t>1、▲CPU：≥14代 i5-14400</w:t>
            </w:r>
          </w:p>
          <w:p w14:paraId="66ACEE7B">
            <w:pPr>
              <w:widowControl/>
              <w:jc w:val="left"/>
              <w:textAlignment w:val="center"/>
              <w:rPr>
                <w:kern w:val="0"/>
                <w:sz w:val="18"/>
                <w:szCs w:val="18"/>
              </w:rPr>
            </w:pPr>
            <w:r>
              <w:rPr>
                <w:rFonts w:hint="eastAsia"/>
                <w:kern w:val="0"/>
                <w:sz w:val="18"/>
                <w:szCs w:val="18"/>
              </w:rPr>
              <w:t>2、▲主板：≥B760芯片组</w:t>
            </w:r>
          </w:p>
          <w:p w14:paraId="6D559076">
            <w:pPr>
              <w:widowControl/>
              <w:jc w:val="left"/>
              <w:textAlignment w:val="center"/>
              <w:rPr>
                <w:kern w:val="0"/>
                <w:sz w:val="18"/>
                <w:szCs w:val="18"/>
              </w:rPr>
            </w:pPr>
            <w:r>
              <w:rPr>
                <w:rFonts w:hint="eastAsia"/>
                <w:kern w:val="0"/>
                <w:sz w:val="18"/>
                <w:szCs w:val="18"/>
              </w:rPr>
              <w:t>3、▲内存：≥16G DDR4，最大支持64G内存</w:t>
            </w:r>
          </w:p>
          <w:p w14:paraId="4688350A">
            <w:pPr>
              <w:widowControl/>
              <w:jc w:val="left"/>
              <w:textAlignment w:val="center"/>
              <w:rPr>
                <w:kern w:val="0"/>
                <w:sz w:val="18"/>
                <w:szCs w:val="18"/>
              </w:rPr>
            </w:pPr>
            <w:r>
              <w:rPr>
                <w:rFonts w:hint="eastAsia"/>
                <w:kern w:val="0"/>
                <w:sz w:val="18"/>
                <w:szCs w:val="18"/>
              </w:rPr>
              <w:t>4、▲硬盘：≥512G M.2 SSD，支持≥3个SATA接口，≥3个M.2接口</w:t>
            </w:r>
          </w:p>
          <w:p w14:paraId="5A0518D1">
            <w:pPr>
              <w:widowControl/>
              <w:jc w:val="left"/>
              <w:textAlignment w:val="center"/>
              <w:rPr>
                <w:kern w:val="0"/>
                <w:sz w:val="18"/>
                <w:szCs w:val="18"/>
              </w:rPr>
            </w:pPr>
            <w:r>
              <w:rPr>
                <w:rFonts w:hint="eastAsia"/>
                <w:kern w:val="0"/>
                <w:sz w:val="18"/>
                <w:szCs w:val="18"/>
              </w:rPr>
              <w:t>5、★显卡：8G 独立显卡</w:t>
            </w:r>
          </w:p>
          <w:p w14:paraId="6A158162">
            <w:pPr>
              <w:widowControl/>
              <w:jc w:val="left"/>
              <w:textAlignment w:val="center"/>
              <w:rPr>
                <w:kern w:val="0"/>
                <w:sz w:val="18"/>
                <w:szCs w:val="18"/>
              </w:rPr>
            </w:pPr>
            <w:r>
              <w:rPr>
                <w:rFonts w:hint="eastAsia"/>
                <w:kern w:val="0"/>
                <w:sz w:val="18"/>
                <w:szCs w:val="18"/>
              </w:rPr>
              <w:t>6、前置接口：4* USB3.2 Gen1，后置4*USB3.2 Gen1+2*USB2.0 +1*type-C，1* HDMI1.4 +1* DP</w:t>
            </w:r>
          </w:p>
          <w:p w14:paraId="24107138">
            <w:pPr>
              <w:widowControl/>
              <w:jc w:val="left"/>
              <w:textAlignment w:val="center"/>
              <w:rPr>
                <w:kern w:val="0"/>
                <w:sz w:val="18"/>
                <w:szCs w:val="18"/>
              </w:rPr>
            </w:pPr>
            <w:r>
              <w:rPr>
                <w:rFonts w:hint="eastAsia"/>
                <w:kern w:val="0"/>
                <w:sz w:val="18"/>
                <w:szCs w:val="18"/>
              </w:rPr>
              <w:t>7、扩展IO:1* PCIe x16 Gen5,1*PCIe x1</w:t>
            </w:r>
          </w:p>
          <w:p w14:paraId="0701C040">
            <w:pPr>
              <w:widowControl/>
              <w:jc w:val="left"/>
              <w:textAlignment w:val="center"/>
              <w:rPr>
                <w:kern w:val="0"/>
                <w:sz w:val="18"/>
                <w:szCs w:val="18"/>
              </w:rPr>
            </w:pPr>
            <w:r>
              <w:rPr>
                <w:rFonts w:hint="eastAsia"/>
                <w:kern w:val="0"/>
                <w:sz w:val="18"/>
                <w:szCs w:val="18"/>
              </w:rPr>
              <w:t>8、网卡：千兆集成网卡，可选：Wifi 6</w:t>
            </w:r>
          </w:p>
          <w:p w14:paraId="47EE7360">
            <w:pPr>
              <w:widowControl/>
              <w:jc w:val="left"/>
              <w:textAlignment w:val="center"/>
              <w:rPr>
                <w:kern w:val="0"/>
                <w:sz w:val="18"/>
                <w:szCs w:val="18"/>
              </w:rPr>
            </w:pPr>
            <w:r>
              <w:rPr>
                <w:rFonts w:hint="eastAsia"/>
                <w:kern w:val="0"/>
                <w:sz w:val="18"/>
                <w:szCs w:val="18"/>
              </w:rPr>
              <w:t>9、机箱电源：≥15L四面钢机身机箱，≥260W</w:t>
            </w:r>
          </w:p>
          <w:p w14:paraId="33DFCAC5">
            <w:pPr>
              <w:widowControl/>
              <w:jc w:val="left"/>
              <w:textAlignment w:val="center"/>
              <w:rPr>
                <w:kern w:val="0"/>
                <w:sz w:val="18"/>
                <w:szCs w:val="18"/>
              </w:rPr>
            </w:pPr>
            <w:r>
              <w:rPr>
                <w:rFonts w:hint="eastAsia"/>
                <w:kern w:val="0"/>
                <w:sz w:val="18"/>
                <w:szCs w:val="18"/>
              </w:rPr>
              <w:t>10、显示器：≥同品牌23.8寸液晶显示器，带DP接口，配DP链接线</w:t>
            </w:r>
          </w:p>
          <w:p w14:paraId="76A3DA91">
            <w:pPr>
              <w:widowControl/>
              <w:jc w:val="left"/>
              <w:textAlignment w:val="center"/>
              <w:rPr>
                <w:kern w:val="0"/>
                <w:sz w:val="18"/>
                <w:szCs w:val="18"/>
              </w:rPr>
            </w:pPr>
            <w:r>
              <w:rPr>
                <w:rFonts w:hint="eastAsia"/>
                <w:kern w:val="0"/>
                <w:sz w:val="18"/>
                <w:szCs w:val="18"/>
              </w:rPr>
              <w:t>11、▲服务：原厂提供三年上门服务，提供制造商针对本项目的售后服务承诺书</w:t>
            </w:r>
            <w:r>
              <w:rPr>
                <w:kern w:val="0"/>
                <w:sz w:val="18"/>
                <w:szCs w:val="18"/>
              </w:rPr>
              <w:br w:type="textWrapping"/>
            </w:r>
            <w:r>
              <w:rPr>
                <w:rFonts w:hint="eastAsia"/>
                <w:kern w:val="0"/>
                <w:sz w:val="18"/>
                <w:szCs w:val="18"/>
              </w:rPr>
              <w:t>12、★满足国家强制节能认证要求及环保认证要求</w:t>
            </w:r>
          </w:p>
          <w:p w14:paraId="53AFE101">
            <w:pPr>
              <w:widowControl/>
              <w:jc w:val="left"/>
              <w:textAlignment w:val="center"/>
              <w:rPr>
                <w:kern w:val="0"/>
                <w:sz w:val="18"/>
                <w:szCs w:val="18"/>
              </w:rPr>
            </w:pPr>
            <w:r>
              <w:rPr>
                <w:rFonts w:hint="eastAsia"/>
                <w:kern w:val="0"/>
                <w:sz w:val="18"/>
                <w:szCs w:val="18"/>
              </w:rPr>
              <w:t>13、★满足国家3C认证要求</w:t>
            </w:r>
          </w:p>
          <w:p w14:paraId="38439B72">
            <w:pPr>
              <w:widowControl/>
              <w:jc w:val="left"/>
              <w:textAlignment w:val="center"/>
              <w:rPr>
                <w:kern w:val="0"/>
                <w:sz w:val="18"/>
                <w:szCs w:val="18"/>
              </w:rPr>
            </w:pPr>
            <w:r>
              <w:rPr>
                <w:rFonts w:hint="eastAsia"/>
                <w:kern w:val="0"/>
                <w:sz w:val="18"/>
                <w:szCs w:val="18"/>
              </w:rPr>
              <w:t>二、管理软件要求</w:t>
            </w:r>
          </w:p>
          <w:p w14:paraId="5CB729F4">
            <w:pPr>
              <w:widowControl/>
              <w:jc w:val="left"/>
              <w:textAlignment w:val="center"/>
              <w:rPr>
                <w:kern w:val="0"/>
                <w:sz w:val="18"/>
                <w:szCs w:val="18"/>
              </w:rPr>
            </w:pPr>
            <w:r>
              <w:rPr>
                <w:rFonts w:hint="eastAsia"/>
                <w:kern w:val="0"/>
                <w:sz w:val="18"/>
                <w:szCs w:val="18"/>
              </w:rPr>
              <w:t>1.为实现异构平台混合管理，要求云桌面管理平台支持在Windows或麒麟等国产系统搭建，支持对终端的操作系统镜像生成与统一分发管理；</w:t>
            </w:r>
          </w:p>
          <w:p w14:paraId="47AFC016">
            <w:pPr>
              <w:widowControl/>
              <w:jc w:val="left"/>
              <w:textAlignment w:val="center"/>
              <w:rPr>
                <w:kern w:val="0"/>
                <w:sz w:val="18"/>
                <w:szCs w:val="18"/>
              </w:rPr>
            </w:pPr>
            <w:r>
              <w:rPr>
                <w:rFonts w:hint="eastAsia"/>
                <w:kern w:val="0"/>
                <w:sz w:val="18"/>
                <w:szCs w:val="18"/>
              </w:rPr>
              <w:t>2.针对不同楼宇、年级、学科的终端支持分组管理，可将终端进行分组，管理员可根据配置好的镜像分配给相应的分组；为不影响教学，可在正常上课的同时完成镜像缓存下载；</w:t>
            </w:r>
          </w:p>
          <w:p w14:paraId="092272EB">
            <w:pPr>
              <w:widowControl/>
              <w:jc w:val="left"/>
              <w:textAlignment w:val="center"/>
              <w:rPr>
                <w:kern w:val="0"/>
                <w:sz w:val="18"/>
                <w:szCs w:val="18"/>
              </w:rPr>
            </w:pPr>
            <w:r>
              <w:rPr>
                <w:rFonts w:hint="eastAsia"/>
                <w:kern w:val="0"/>
                <w:sz w:val="18"/>
                <w:szCs w:val="18"/>
              </w:rPr>
              <w:t>3.可充分利用学校现有网络，支持在镜像下发时进行组内网络探测与网速传输测试，提前优化镜像下发策略，保障传输效率；</w:t>
            </w:r>
          </w:p>
          <w:p w14:paraId="234545FC">
            <w:pPr>
              <w:widowControl/>
              <w:jc w:val="left"/>
              <w:textAlignment w:val="center"/>
              <w:rPr>
                <w:kern w:val="0"/>
                <w:sz w:val="18"/>
                <w:szCs w:val="18"/>
              </w:rPr>
            </w:pPr>
            <w:r>
              <w:rPr>
                <w:rFonts w:hint="eastAsia"/>
                <w:kern w:val="0"/>
                <w:sz w:val="18"/>
                <w:szCs w:val="18"/>
              </w:rPr>
              <w:t>4.为适配大型或复杂型学校网络环境，云桌面支持跨校区、跨广域网部署，IP可达即可部署；为满足学校的WiFi使用场景，简化网络结构，支持通过wifi进行镜像更新和平台管理；为满足学校对多教学场景的切换，支持三种模式对某一系统盘和数据盘的管理，即还原模式、读写模式、 学习模式；</w:t>
            </w:r>
          </w:p>
          <w:p w14:paraId="5BD05039">
            <w:pPr>
              <w:widowControl/>
              <w:jc w:val="left"/>
              <w:textAlignment w:val="center"/>
              <w:rPr>
                <w:kern w:val="0"/>
                <w:sz w:val="18"/>
                <w:szCs w:val="18"/>
              </w:rPr>
            </w:pPr>
            <w:r>
              <w:rPr>
                <w:rFonts w:hint="eastAsia"/>
                <w:kern w:val="0"/>
                <w:sz w:val="18"/>
                <w:szCs w:val="18"/>
              </w:rPr>
              <w:t>5. 为了提升机房的统一部署与更新时间，减少老师的操作步骤与等待时间，支持镜像下发时的策略设置，更新镜像时锁定终端屏幕和更新时隐藏下载窗口；支持系统镜像下发后自动执行关机、重启等操作；（提供此功能界面截图证明）</w:t>
            </w:r>
          </w:p>
          <w:p w14:paraId="3BFFD413">
            <w:pPr>
              <w:widowControl/>
              <w:jc w:val="left"/>
              <w:textAlignment w:val="center"/>
              <w:rPr>
                <w:kern w:val="0"/>
                <w:sz w:val="18"/>
                <w:szCs w:val="18"/>
              </w:rPr>
            </w:pPr>
            <w:r>
              <w:rPr>
                <w:rFonts w:hint="eastAsia"/>
                <w:kern w:val="0"/>
                <w:sz w:val="18"/>
                <w:szCs w:val="18"/>
              </w:rPr>
              <w:t>6.支持从服务器端对客户端发起远程开机、关机、发送通知消息、发送远程命令等指令，支持管理员对客户端进行远程协助排障；</w:t>
            </w:r>
          </w:p>
          <w:p w14:paraId="726ED8B0">
            <w:pPr>
              <w:widowControl/>
              <w:jc w:val="left"/>
              <w:textAlignment w:val="center"/>
              <w:rPr>
                <w:kern w:val="0"/>
                <w:sz w:val="18"/>
                <w:szCs w:val="18"/>
              </w:rPr>
            </w:pPr>
            <w:r>
              <w:rPr>
                <w:rFonts w:hint="eastAsia"/>
                <w:kern w:val="0"/>
                <w:sz w:val="18"/>
                <w:szCs w:val="18"/>
              </w:rPr>
              <w:t>7. 为方便学校进行硬件资产统计，支持平台收集所有终端硬件配置信息，包含但不限于终端名称、主板型号、CPU型号、内存容量、最近运行时间、合计运行时间、硬件变更和记录信息等；（需提供国家认可的第三方检测机构出具的检测报告）</w:t>
            </w:r>
          </w:p>
          <w:p w14:paraId="17707B76">
            <w:pPr>
              <w:widowControl/>
              <w:jc w:val="left"/>
              <w:textAlignment w:val="center"/>
              <w:rPr>
                <w:kern w:val="0"/>
                <w:sz w:val="18"/>
                <w:szCs w:val="18"/>
              </w:rPr>
            </w:pPr>
            <w:r>
              <w:rPr>
                <w:rFonts w:hint="eastAsia"/>
                <w:kern w:val="0"/>
                <w:sz w:val="18"/>
                <w:szCs w:val="18"/>
              </w:rPr>
              <w:t>8. ▲为方便学校掌握终端硬件运行情况，支持平台收集所有终端的运行状态信息，包含但不限于终端名称、CPU温度、开机时间、硬盘信息等；（需提供国家认可的第三方检测机构出具的检测报告）</w:t>
            </w:r>
          </w:p>
          <w:p w14:paraId="4B176977">
            <w:pPr>
              <w:widowControl/>
              <w:jc w:val="left"/>
              <w:textAlignment w:val="center"/>
              <w:rPr>
                <w:rFonts w:ascii="Times New Roman" w:hAnsi="Times New Roman"/>
                <w:color w:val="auto"/>
                <w:kern w:val="0"/>
                <w:sz w:val="18"/>
                <w:szCs w:val="18"/>
                <w:highlight w:val="none"/>
              </w:rPr>
            </w:pPr>
            <w:r>
              <w:rPr>
                <w:rFonts w:hint="eastAsia" w:cs="宋体"/>
                <w:kern w:val="0"/>
                <w:sz w:val="18"/>
                <w:szCs w:val="18"/>
              </w:rPr>
              <w:t>9.为方便学校对教学软件运行情况的统计，支持平台收集所有终端的软件信息，包含但不限于程序名称、运行次数、运行时长、版本、程序大小等；（需提供国家认可的第三方检测机构出具的检测报告）</w:t>
            </w:r>
            <w:r>
              <w:rPr>
                <w:rFonts w:hint="eastAsia" w:cs="宋体"/>
                <w:kern w:val="0"/>
                <w:sz w:val="18"/>
                <w:szCs w:val="18"/>
              </w:rPr>
              <w:br w:type="textWrapping"/>
            </w:r>
            <w:r>
              <w:rPr>
                <w:rFonts w:hint="eastAsia" w:cs="宋体"/>
                <w:kern w:val="0"/>
                <w:sz w:val="18"/>
                <w:szCs w:val="18"/>
              </w:rPr>
              <w:t>10.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rPr>
                <w:rFonts w:hint="eastAsia" w:cs="宋体"/>
                <w:kern w:val="0"/>
                <w:sz w:val="18"/>
                <w:szCs w:val="18"/>
              </w:rPr>
              <w:br w:type="textWrapping"/>
            </w:r>
            <w:r>
              <w:rPr>
                <w:rFonts w:hint="eastAsia" w:cs="宋体"/>
                <w:kern w:val="0"/>
                <w:sz w:val="18"/>
                <w:szCs w:val="18"/>
              </w:rPr>
              <w:t>11.支持平台可以计划任务设置，可以设置固定时间、每天、每周、每月进行定时执行各种任务类型，包括开机、关机、切换模板、下发模版、还原系统盘、还原数据盘；</w:t>
            </w:r>
            <w:r>
              <w:rPr>
                <w:rFonts w:hint="eastAsia" w:cs="宋体"/>
                <w:kern w:val="0"/>
                <w:sz w:val="18"/>
                <w:szCs w:val="18"/>
              </w:rPr>
              <w:br w:type="textWrapping"/>
            </w:r>
            <w:r>
              <w:rPr>
                <w:rFonts w:hint="eastAsia" w:cs="宋体"/>
                <w:kern w:val="0"/>
                <w:sz w:val="18"/>
                <w:szCs w:val="18"/>
              </w:rPr>
              <w:t>12.</w:t>
            </w:r>
            <w:r>
              <w:rPr>
                <w:rFonts w:hint="eastAsia"/>
                <w:kern w:val="0"/>
                <w:sz w:val="18"/>
                <w:szCs w:val="18"/>
              </w:rPr>
              <w:t>▲</w:t>
            </w:r>
            <w:r>
              <w:rPr>
                <w:rFonts w:hint="eastAsia" w:cs="宋体"/>
                <w:kern w:val="0"/>
                <w:sz w:val="18"/>
                <w:szCs w:val="18"/>
              </w:rPr>
              <w:t>支持大数据展示。可展示包括但不限于资产统计、设备详情、开关机对比、日志、系统使用情况等信息；（需提供国家认可的第三方检测机构出具的检测报告）</w:t>
            </w:r>
            <w:r>
              <w:rPr>
                <w:rFonts w:hint="eastAsia" w:cs="宋体"/>
                <w:kern w:val="0"/>
                <w:sz w:val="18"/>
                <w:szCs w:val="18"/>
              </w:rPr>
              <w:br w:type="textWrapping"/>
            </w:r>
            <w:r>
              <w:rPr>
                <w:rFonts w:hint="eastAsia" w:cs="宋体"/>
                <w:kern w:val="0"/>
                <w:sz w:val="18"/>
                <w:szCs w:val="18"/>
              </w:rPr>
              <w:t>13.为避免网络端口被占用而引起的教学环境不可用的问题，云桌面管理平台支持对服务器使用的网络端口进行检测，并通过检测结果帮助管理员快速分析和解决问题；</w:t>
            </w:r>
            <w:r>
              <w:rPr>
                <w:rFonts w:hint="eastAsia" w:cs="宋体"/>
                <w:kern w:val="0"/>
                <w:sz w:val="18"/>
                <w:szCs w:val="18"/>
              </w:rPr>
              <w:br w:type="textWrapping"/>
            </w:r>
            <w:r>
              <w:rPr>
                <w:rFonts w:hint="eastAsia" w:cs="宋体"/>
                <w:kern w:val="0"/>
                <w:sz w:val="18"/>
                <w:szCs w:val="18"/>
              </w:rPr>
              <w:t>14.可提供网盘功能：支持用户在终端登录网盘，实现数据漫游与数据共享；支持用户将网盘中的文件分享给其他用户，其他用户可通过链接和提取码查看文件；为防止误删重要文件，删除的文件会先保留在回收站，可根据实际情况按需取回；</w:t>
            </w:r>
            <w:r>
              <w:rPr>
                <w:rFonts w:hint="eastAsia" w:cs="宋体"/>
                <w:kern w:val="0"/>
                <w:sz w:val="18"/>
                <w:szCs w:val="18"/>
              </w:rPr>
              <w:br w:type="textWrapping"/>
            </w:r>
            <w:r>
              <w:rPr>
                <w:rFonts w:hint="eastAsia" w:cs="宋体"/>
                <w:kern w:val="0"/>
                <w:sz w:val="18"/>
                <w:szCs w:val="18"/>
              </w:rPr>
              <w:t>15.为满足客户单位形象与风格的统一要求，支持系统名称、LOGO、登录背景图等可按需修改成客户单位名称；为简化管理，云桌面管理平台支持创建组织、用户、角色，支持管理员对不同用户和角色进行分级分权管理；</w:t>
            </w:r>
            <w:r>
              <w:rPr>
                <w:rFonts w:hint="eastAsia" w:cs="宋体"/>
                <w:kern w:val="0"/>
                <w:sz w:val="18"/>
                <w:szCs w:val="18"/>
              </w:rPr>
              <w:br w:type="textWrapping"/>
            </w:r>
            <w:r>
              <w:rPr>
                <w:rFonts w:hint="eastAsia" w:cs="宋体"/>
                <w:kern w:val="0"/>
                <w:sz w:val="18"/>
                <w:szCs w:val="18"/>
              </w:rPr>
              <w:t>16.须配备支称软件的的工作站硬件；</w:t>
            </w:r>
            <w:r>
              <w:rPr>
                <w:rFonts w:hint="eastAsia" w:cs="宋体"/>
                <w:kern w:val="0"/>
                <w:sz w:val="18"/>
                <w:szCs w:val="18"/>
              </w:rPr>
              <w:br w:type="textWrapping"/>
            </w:r>
            <w:r>
              <w:rPr>
                <w:rFonts w:hint="eastAsia" w:cs="宋体"/>
                <w:kern w:val="0"/>
                <w:sz w:val="18"/>
                <w:szCs w:val="18"/>
              </w:rPr>
              <w:t>17.屏幕录制：教师机可以将本地的操作和讲解过程录制为ASF录像文件，可以用 Windows 自带的 Media Player 直接播放。（提供此功能界面截图证明，并提供国家认可的第三方检测机构出具的检测报告）</w:t>
            </w:r>
            <w:r>
              <w:rPr>
                <w:rFonts w:hint="eastAsia" w:cs="宋体"/>
                <w:kern w:val="0"/>
                <w:sz w:val="18"/>
                <w:szCs w:val="18"/>
              </w:rPr>
              <w:br w:type="textWrapping"/>
            </w:r>
            <w:r>
              <w:rPr>
                <w:rFonts w:hint="eastAsia" w:cs="宋体"/>
                <w:kern w:val="0"/>
                <w:sz w:val="18"/>
                <w:szCs w:val="18"/>
              </w:rPr>
              <w:t>18.上网限制：支持对学生访问网站的黑名单或白名单设置，支持对学生可以访问的Internet站点进行管理。支持多浏览器限制，包括但不限于QQ、IE、谷歌、360、遨游等浏览器。（提供此功能界面截图证明，并提供国家认可的第三方检测机构出具的检测报告）</w:t>
            </w:r>
            <w:r>
              <w:rPr>
                <w:rFonts w:hint="eastAsia" w:cs="宋体"/>
                <w:kern w:val="0"/>
                <w:sz w:val="18"/>
                <w:szCs w:val="18"/>
              </w:rPr>
              <w:br w:type="textWrapping"/>
            </w:r>
            <w:r>
              <w:rPr>
                <w:rFonts w:hint="eastAsia" w:cs="宋体"/>
                <w:kern w:val="0"/>
                <w:sz w:val="18"/>
                <w:szCs w:val="18"/>
              </w:rPr>
              <w:t>19.程序限制：为防止学生在教学过程中打游戏或使用QQ、MSN等聊天工具，支持通过各种策略限制学生使用程序。（提供此功能界面截图证明，并提供国家认可的第三方检测机构出具的检测报告）</w:t>
            </w:r>
          </w:p>
        </w:tc>
        <w:tc>
          <w:tcPr>
            <w:tcW w:w="965" w:type="dxa"/>
            <w:vAlign w:val="center"/>
          </w:tcPr>
          <w:p w14:paraId="2A93C5CA">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7</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4A84C697">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hint="eastAsia" w:cs="宋体"/>
                <w:color w:val="auto"/>
                <w:kern w:val="0"/>
                <w:sz w:val="22"/>
                <w:szCs w:val="22"/>
                <w:highlight w:val="none"/>
                <w:lang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r w14:paraId="1E0C7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26C6862B">
            <w:pPr>
              <w:widowControl/>
              <w:numPr>
                <w:ilvl w:val="0"/>
                <w:numId w:val="9"/>
              </w:numPr>
              <w:jc w:val="center"/>
              <w:rPr>
                <w:rFonts w:ascii="Times New Roman" w:hAnsi="Times New Roman"/>
                <w:color w:val="auto"/>
                <w:kern w:val="0"/>
                <w:szCs w:val="22"/>
                <w:highlight w:val="none"/>
              </w:rPr>
            </w:pPr>
          </w:p>
        </w:tc>
        <w:tc>
          <w:tcPr>
            <w:tcW w:w="1096" w:type="dxa"/>
            <w:vAlign w:val="center"/>
          </w:tcPr>
          <w:p w14:paraId="2915E2FC">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深度学习机</w:t>
            </w:r>
          </w:p>
        </w:tc>
        <w:tc>
          <w:tcPr>
            <w:tcW w:w="6947" w:type="dxa"/>
            <w:vAlign w:val="center"/>
          </w:tcPr>
          <w:p w14:paraId="3E4E2C77">
            <w:pPr>
              <w:widowControl/>
              <w:jc w:val="left"/>
              <w:textAlignment w:val="center"/>
              <w:rPr>
                <w:color w:val="auto"/>
                <w:kern w:val="0"/>
                <w:sz w:val="18"/>
                <w:szCs w:val="18"/>
              </w:rPr>
            </w:pPr>
            <w:r>
              <w:rPr>
                <w:rFonts w:hint="eastAsia"/>
                <w:color w:val="auto"/>
                <w:kern w:val="0"/>
                <w:sz w:val="18"/>
                <w:szCs w:val="18"/>
              </w:rPr>
              <w:t>一、深度学习机</w:t>
            </w:r>
          </w:p>
          <w:p w14:paraId="775611A4">
            <w:pPr>
              <w:widowControl/>
              <w:jc w:val="left"/>
              <w:textAlignment w:val="center"/>
              <w:rPr>
                <w:color w:val="auto"/>
                <w:kern w:val="0"/>
                <w:sz w:val="18"/>
                <w:szCs w:val="18"/>
              </w:rPr>
            </w:pPr>
            <w:r>
              <w:rPr>
                <w:rFonts w:hint="eastAsia"/>
                <w:color w:val="auto"/>
                <w:kern w:val="0"/>
                <w:sz w:val="18"/>
                <w:szCs w:val="18"/>
              </w:rPr>
              <w:t>1、★CPU：性能不低于 IntelCore i9 14900 处理器及以上</w:t>
            </w:r>
          </w:p>
          <w:p w14:paraId="7C51D00B">
            <w:pPr>
              <w:widowControl/>
              <w:jc w:val="left"/>
              <w:textAlignment w:val="center"/>
              <w:rPr>
                <w:color w:val="auto"/>
                <w:kern w:val="0"/>
                <w:sz w:val="18"/>
                <w:szCs w:val="18"/>
              </w:rPr>
            </w:pPr>
            <w:r>
              <w:rPr>
                <w:rFonts w:hint="eastAsia"/>
                <w:color w:val="auto"/>
                <w:kern w:val="0"/>
                <w:sz w:val="18"/>
                <w:szCs w:val="18"/>
              </w:rPr>
              <w:t>2、★主板：性能不低于 Intel W680 及以上芯片组</w:t>
            </w:r>
          </w:p>
          <w:p w14:paraId="7385E3E9">
            <w:pPr>
              <w:widowControl/>
              <w:jc w:val="left"/>
              <w:textAlignment w:val="center"/>
              <w:rPr>
                <w:color w:val="auto"/>
                <w:kern w:val="0"/>
                <w:sz w:val="18"/>
                <w:szCs w:val="18"/>
              </w:rPr>
            </w:pPr>
            <w:r>
              <w:rPr>
                <w:rFonts w:hint="eastAsia"/>
                <w:color w:val="auto"/>
                <w:kern w:val="0"/>
                <w:sz w:val="18"/>
                <w:szCs w:val="18"/>
              </w:rPr>
              <w:t>3、★内存：≥64G（2*32G）DDR5 内存，提供4个内存槽位</w:t>
            </w:r>
          </w:p>
          <w:p w14:paraId="0610F918">
            <w:pPr>
              <w:widowControl/>
              <w:jc w:val="left"/>
              <w:textAlignment w:val="center"/>
              <w:rPr>
                <w:color w:val="auto"/>
                <w:kern w:val="0"/>
                <w:sz w:val="18"/>
                <w:szCs w:val="18"/>
              </w:rPr>
            </w:pPr>
            <w:r>
              <w:rPr>
                <w:rFonts w:hint="eastAsia"/>
                <w:color w:val="auto"/>
                <w:kern w:val="0"/>
                <w:sz w:val="18"/>
                <w:szCs w:val="18"/>
              </w:rPr>
              <w:t>4、★显卡：性能不低于5080 16G独立显卡</w:t>
            </w:r>
          </w:p>
          <w:p w14:paraId="3D6309DA">
            <w:pPr>
              <w:widowControl/>
              <w:jc w:val="left"/>
              <w:textAlignment w:val="center"/>
              <w:rPr>
                <w:color w:val="auto"/>
                <w:kern w:val="0"/>
                <w:sz w:val="18"/>
                <w:szCs w:val="18"/>
              </w:rPr>
            </w:pPr>
            <w:r>
              <w:rPr>
                <w:rFonts w:hint="eastAsia"/>
                <w:color w:val="auto"/>
                <w:kern w:val="0"/>
                <w:sz w:val="18"/>
                <w:szCs w:val="18"/>
              </w:rPr>
              <w:t>5、声卡：集成声卡</w:t>
            </w:r>
          </w:p>
          <w:p w14:paraId="4534EC45">
            <w:pPr>
              <w:widowControl/>
              <w:jc w:val="left"/>
              <w:textAlignment w:val="center"/>
              <w:rPr>
                <w:color w:val="auto"/>
                <w:kern w:val="0"/>
                <w:sz w:val="18"/>
                <w:szCs w:val="18"/>
              </w:rPr>
            </w:pPr>
            <w:r>
              <w:rPr>
                <w:rFonts w:hint="eastAsia"/>
                <w:color w:val="auto"/>
                <w:kern w:val="0"/>
                <w:sz w:val="18"/>
                <w:szCs w:val="18"/>
              </w:rPr>
              <w:t>6、★硬盘：≥2T M.2 NVME SSD + 2TB SATA3 7200rpm HDD</w:t>
            </w:r>
          </w:p>
          <w:p w14:paraId="5C7C29F2">
            <w:pPr>
              <w:widowControl/>
              <w:jc w:val="left"/>
              <w:textAlignment w:val="center"/>
              <w:rPr>
                <w:color w:val="auto"/>
                <w:kern w:val="0"/>
                <w:sz w:val="18"/>
                <w:szCs w:val="18"/>
              </w:rPr>
            </w:pPr>
            <w:r>
              <w:rPr>
                <w:rFonts w:hint="eastAsia"/>
                <w:color w:val="auto"/>
                <w:kern w:val="0"/>
                <w:sz w:val="18"/>
                <w:szCs w:val="18"/>
              </w:rPr>
              <w:t>7、网卡：集成10/100/1000M以太网卡；</w:t>
            </w:r>
          </w:p>
          <w:p w14:paraId="51A26352">
            <w:pPr>
              <w:widowControl/>
              <w:jc w:val="left"/>
              <w:textAlignment w:val="center"/>
              <w:rPr>
                <w:color w:val="auto"/>
                <w:kern w:val="0"/>
                <w:sz w:val="18"/>
                <w:szCs w:val="18"/>
              </w:rPr>
            </w:pPr>
            <w:r>
              <w:rPr>
                <w:rFonts w:hint="eastAsia"/>
                <w:color w:val="auto"/>
                <w:kern w:val="0"/>
                <w:sz w:val="18"/>
                <w:szCs w:val="18"/>
              </w:rPr>
              <w:t>8、光驱：无</w:t>
            </w:r>
          </w:p>
          <w:p w14:paraId="552ABB85">
            <w:pPr>
              <w:widowControl/>
              <w:jc w:val="left"/>
              <w:textAlignment w:val="center"/>
              <w:rPr>
                <w:color w:val="auto"/>
                <w:kern w:val="0"/>
                <w:sz w:val="18"/>
                <w:szCs w:val="18"/>
              </w:rPr>
            </w:pPr>
            <w:r>
              <w:rPr>
                <w:rFonts w:hint="eastAsia"/>
                <w:color w:val="auto"/>
                <w:kern w:val="0"/>
                <w:sz w:val="18"/>
                <w:szCs w:val="18"/>
              </w:rPr>
              <w:t>9、扩展槽：键盘、鼠标 原厂防水键盘、抗菌鼠标；</w:t>
            </w:r>
          </w:p>
          <w:p w14:paraId="50737F13">
            <w:pPr>
              <w:widowControl/>
              <w:jc w:val="left"/>
              <w:textAlignment w:val="center"/>
              <w:rPr>
                <w:color w:val="auto"/>
                <w:kern w:val="0"/>
                <w:sz w:val="18"/>
                <w:szCs w:val="18"/>
              </w:rPr>
            </w:pPr>
            <w:r>
              <w:rPr>
                <w:rFonts w:hint="eastAsia"/>
                <w:color w:val="auto"/>
                <w:kern w:val="0"/>
                <w:sz w:val="18"/>
                <w:szCs w:val="18"/>
              </w:rPr>
              <w:t>10、接口 前置：≥5个USB 3.2接口（至少1个USB Type-C）、2个音频接口</w:t>
            </w:r>
          </w:p>
          <w:p w14:paraId="21B5D4A2">
            <w:pPr>
              <w:widowControl/>
              <w:jc w:val="left"/>
              <w:textAlignment w:val="center"/>
              <w:rPr>
                <w:color w:val="auto"/>
                <w:kern w:val="0"/>
                <w:sz w:val="18"/>
                <w:szCs w:val="18"/>
              </w:rPr>
            </w:pPr>
            <w:r>
              <w:rPr>
                <w:rFonts w:hint="eastAsia"/>
                <w:color w:val="auto"/>
                <w:kern w:val="0"/>
                <w:sz w:val="18"/>
                <w:szCs w:val="18"/>
              </w:rPr>
              <w:t>11、后置：≥</w:t>
            </w:r>
            <w:r>
              <w:rPr>
                <w:color w:val="auto"/>
                <w:kern w:val="0"/>
                <w:sz w:val="18"/>
                <w:szCs w:val="18"/>
              </w:rPr>
              <w:t>4个USB 接口、2个DP接口</w:t>
            </w:r>
          </w:p>
          <w:p w14:paraId="2075B491">
            <w:pPr>
              <w:widowControl/>
              <w:jc w:val="left"/>
              <w:textAlignment w:val="center"/>
              <w:rPr>
                <w:color w:val="auto"/>
                <w:kern w:val="0"/>
                <w:sz w:val="18"/>
                <w:szCs w:val="18"/>
              </w:rPr>
            </w:pPr>
            <w:r>
              <w:rPr>
                <w:rFonts w:hint="eastAsia"/>
                <w:color w:val="auto"/>
                <w:kern w:val="0"/>
                <w:sz w:val="18"/>
                <w:szCs w:val="18"/>
              </w:rPr>
              <w:t>12、电源 ≥1100W 92% 电源转化效率（提供80PLUS相关检测报告）</w:t>
            </w:r>
          </w:p>
          <w:p w14:paraId="74DA9EAE">
            <w:pPr>
              <w:widowControl/>
              <w:jc w:val="left"/>
              <w:textAlignment w:val="center"/>
              <w:rPr>
                <w:color w:val="auto"/>
                <w:kern w:val="0"/>
                <w:sz w:val="18"/>
                <w:szCs w:val="18"/>
              </w:rPr>
            </w:pPr>
            <w:r>
              <w:rPr>
                <w:rFonts w:hint="eastAsia"/>
                <w:color w:val="auto"/>
                <w:kern w:val="0"/>
                <w:sz w:val="18"/>
                <w:szCs w:val="18"/>
              </w:rPr>
              <w:t xml:space="preserve">13、操作系统 预装Windows 正版操作系统 </w:t>
            </w:r>
          </w:p>
          <w:p w14:paraId="22CFD7EA">
            <w:pPr>
              <w:widowControl/>
              <w:jc w:val="left"/>
              <w:textAlignment w:val="center"/>
              <w:rPr>
                <w:color w:val="auto"/>
                <w:kern w:val="0"/>
                <w:sz w:val="18"/>
                <w:szCs w:val="18"/>
              </w:rPr>
            </w:pPr>
            <w:r>
              <w:rPr>
                <w:rFonts w:hint="eastAsia"/>
                <w:color w:val="auto"/>
                <w:kern w:val="0"/>
                <w:sz w:val="18"/>
                <w:szCs w:val="18"/>
              </w:rPr>
              <w:t>14、安全特性</w:t>
            </w:r>
            <w:r>
              <w:rPr>
                <w:color w:val="auto"/>
                <w:kern w:val="0"/>
                <w:sz w:val="18"/>
                <w:szCs w:val="18"/>
              </w:rPr>
              <w:t xml:space="preserve"> 机箱 塔式标准机箱，机箱体积≥27L</w:t>
            </w:r>
            <w:r>
              <w:rPr>
                <w:rFonts w:hint="eastAsia"/>
                <w:color w:val="auto"/>
                <w:kern w:val="0"/>
                <w:sz w:val="18"/>
                <w:szCs w:val="18"/>
              </w:rPr>
              <w:t>，带锁</w:t>
            </w:r>
          </w:p>
          <w:p w14:paraId="53175DAE">
            <w:pPr>
              <w:widowControl/>
              <w:jc w:val="left"/>
              <w:textAlignment w:val="center"/>
              <w:rPr>
                <w:color w:val="auto"/>
                <w:kern w:val="0"/>
                <w:sz w:val="18"/>
                <w:szCs w:val="18"/>
              </w:rPr>
            </w:pPr>
            <w:r>
              <w:rPr>
                <w:rFonts w:hint="eastAsia"/>
                <w:color w:val="auto"/>
                <w:kern w:val="0"/>
                <w:sz w:val="18"/>
                <w:szCs w:val="18"/>
              </w:rPr>
              <w:t>15、≥27寸同品牌液晶显示器</w:t>
            </w:r>
          </w:p>
          <w:p w14:paraId="01CD5695">
            <w:pPr>
              <w:widowControl/>
              <w:jc w:val="left"/>
              <w:textAlignment w:val="center"/>
              <w:rPr>
                <w:color w:val="auto"/>
                <w:kern w:val="0"/>
                <w:sz w:val="18"/>
                <w:szCs w:val="18"/>
              </w:rPr>
            </w:pPr>
            <w:r>
              <w:rPr>
                <w:rFonts w:hint="eastAsia"/>
                <w:color w:val="auto"/>
                <w:kern w:val="0"/>
                <w:sz w:val="18"/>
                <w:szCs w:val="18"/>
              </w:rPr>
              <w:t>16、▲服务：原厂提供三年上门服务，提供制造商针对本项目的售后服务承诺书</w:t>
            </w:r>
          </w:p>
          <w:p w14:paraId="4903AE39">
            <w:pPr>
              <w:widowControl/>
              <w:jc w:val="left"/>
              <w:textAlignment w:val="center"/>
              <w:rPr>
                <w:color w:val="auto"/>
                <w:kern w:val="0"/>
                <w:sz w:val="18"/>
                <w:szCs w:val="18"/>
              </w:rPr>
            </w:pPr>
            <w:r>
              <w:rPr>
                <w:rFonts w:hint="eastAsia"/>
                <w:color w:val="auto"/>
                <w:kern w:val="0"/>
                <w:sz w:val="18"/>
                <w:szCs w:val="18"/>
              </w:rPr>
              <w:t>17、★满足国家强制节能认证要求及环保认证要求</w:t>
            </w:r>
          </w:p>
          <w:p w14:paraId="7EDC7BBA">
            <w:pPr>
              <w:widowControl/>
              <w:jc w:val="left"/>
              <w:textAlignment w:val="center"/>
              <w:rPr>
                <w:color w:val="auto"/>
                <w:kern w:val="0"/>
                <w:sz w:val="18"/>
                <w:szCs w:val="18"/>
              </w:rPr>
            </w:pPr>
            <w:r>
              <w:rPr>
                <w:rFonts w:hint="eastAsia"/>
                <w:color w:val="auto"/>
                <w:kern w:val="0"/>
                <w:sz w:val="18"/>
                <w:szCs w:val="18"/>
              </w:rPr>
              <w:t>18、★满足国家3C认证要求</w:t>
            </w:r>
          </w:p>
          <w:p w14:paraId="5DEEB8C7">
            <w:pPr>
              <w:widowControl/>
              <w:jc w:val="left"/>
              <w:textAlignment w:val="center"/>
              <w:rPr>
                <w:color w:val="auto"/>
                <w:kern w:val="0"/>
                <w:sz w:val="18"/>
                <w:szCs w:val="18"/>
              </w:rPr>
            </w:pPr>
            <w:r>
              <w:rPr>
                <w:rFonts w:hint="eastAsia"/>
                <w:color w:val="auto"/>
                <w:kern w:val="0"/>
                <w:sz w:val="18"/>
                <w:szCs w:val="18"/>
              </w:rPr>
              <w:t>二、绘图板</w:t>
            </w:r>
          </w:p>
          <w:p w14:paraId="6A9E64F6">
            <w:pPr>
              <w:widowControl/>
              <w:jc w:val="left"/>
              <w:textAlignment w:val="center"/>
              <w:rPr>
                <w:color w:val="auto"/>
                <w:kern w:val="0"/>
                <w:sz w:val="18"/>
                <w:szCs w:val="18"/>
              </w:rPr>
            </w:pPr>
            <w:r>
              <w:rPr>
                <w:rFonts w:hint="eastAsia"/>
                <w:color w:val="auto"/>
                <w:kern w:val="0"/>
                <w:sz w:val="18"/>
                <w:szCs w:val="18"/>
              </w:rPr>
              <w:t>1.活动区域：≥216 x 135 mm</w:t>
            </w:r>
          </w:p>
          <w:p w14:paraId="7E08F6C5">
            <w:pPr>
              <w:widowControl/>
              <w:jc w:val="left"/>
              <w:textAlignment w:val="center"/>
              <w:rPr>
                <w:color w:val="auto"/>
                <w:kern w:val="0"/>
                <w:sz w:val="18"/>
                <w:szCs w:val="18"/>
              </w:rPr>
            </w:pPr>
            <w:r>
              <w:rPr>
                <w:rFonts w:hint="eastAsia"/>
                <w:color w:val="auto"/>
                <w:kern w:val="0"/>
                <w:sz w:val="18"/>
                <w:szCs w:val="18"/>
              </w:rPr>
              <w:t>2.压力级别：≥4096</w:t>
            </w:r>
          </w:p>
          <w:p w14:paraId="573ACC04">
            <w:pPr>
              <w:widowControl/>
              <w:jc w:val="left"/>
              <w:textAlignment w:val="center"/>
              <w:rPr>
                <w:color w:val="auto"/>
                <w:kern w:val="0"/>
                <w:sz w:val="18"/>
                <w:szCs w:val="18"/>
              </w:rPr>
            </w:pPr>
            <w:r>
              <w:rPr>
                <w:rFonts w:hint="eastAsia"/>
                <w:color w:val="auto"/>
                <w:kern w:val="0"/>
                <w:sz w:val="18"/>
                <w:szCs w:val="18"/>
              </w:rPr>
              <w:t>3.无线支持：支持</w:t>
            </w:r>
          </w:p>
          <w:p w14:paraId="48DD5126">
            <w:pPr>
              <w:widowControl/>
              <w:jc w:val="left"/>
              <w:textAlignment w:val="center"/>
              <w:rPr>
                <w:color w:val="auto"/>
                <w:kern w:val="0"/>
                <w:sz w:val="18"/>
                <w:szCs w:val="18"/>
              </w:rPr>
            </w:pPr>
            <w:r>
              <w:rPr>
                <w:rFonts w:hint="eastAsia"/>
                <w:color w:val="auto"/>
                <w:kern w:val="0"/>
                <w:sz w:val="18"/>
                <w:szCs w:val="18"/>
              </w:rPr>
              <w:t>4.替换笔尖：标准笔尖不少于3支</w:t>
            </w:r>
          </w:p>
          <w:p w14:paraId="24A2D500">
            <w:pPr>
              <w:widowControl/>
              <w:jc w:val="left"/>
              <w:textAlignment w:val="center"/>
              <w:rPr>
                <w:color w:val="auto"/>
                <w:kern w:val="0"/>
                <w:sz w:val="18"/>
                <w:szCs w:val="18"/>
              </w:rPr>
            </w:pPr>
            <w:r>
              <w:rPr>
                <w:rFonts w:hint="eastAsia"/>
                <w:color w:val="auto"/>
                <w:kern w:val="0"/>
                <w:sz w:val="18"/>
                <w:szCs w:val="18"/>
              </w:rPr>
              <w:t>5.分辨率：≥2540lpi</w:t>
            </w:r>
          </w:p>
          <w:p w14:paraId="3770F53F">
            <w:pPr>
              <w:widowControl/>
              <w:jc w:val="left"/>
              <w:textAlignment w:val="center"/>
              <w:rPr>
                <w:color w:val="auto"/>
                <w:kern w:val="0"/>
                <w:sz w:val="18"/>
                <w:szCs w:val="18"/>
              </w:rPr>
            </w:pPr>
            <w:r>
              <w:rPr>
                <w:rFonts w:hint="eastAsia"/>
                <w:color w:val="auto"/>
                <w:kern w:val="0"/>
                <w:sz w:val="18"/>
                <w:szCs w:val="18"/>
              </w:rPr>
              <w:t>6.倾斜角度：≥60度</w:t>
            </w:r>
          </w:p>
          <w:p w14:paraId="6C1268C3">
            <w:pPr>
              <w:widowControl/>
              <w:jc w:val="left"/>
              <w:textAlignment w:val="center"/>
              <w:rPr>
                <w:color w:val="auto"/>
                <w:kern w:val="0"/>
                <w:sz w:val="18"/>
                <w:szCs w:val="18"/>
              </w:rPr>
            </w:pPr>
            <w:r>
              <w:rPr>
                <w:rFonts w:hint="eastAsia"/>
                <w:color w:val="auto"/>
                <w:kern w:val="0"/>
                <w:sz w:val="18"/>
                <w:szCs w:val="18"/>
              </w:rPr>
              <w:t>三、管理软件要求</w:t>
            </w:r>
          </w:p>
          <w:p w14:paraId="53085359">
            <w:pPr>
              <w:widowControl/>
              <w:jc w:val="left"/>
              <w:textAlignment w:val="center"/>
              <w:rPr>
                <w:rFonts w:cs="宋体"/>
                <w:color w:val="auto"/>
                <w:kern w:val="0"/>
                <w:sz w:val="18"/>
                <w:szCs w:val="18"/>
              </w:rPr>
            </w:pPr>
            <w:r>
              <w:rPr>
                <w:rFonts w:hint="eastAsia" w:cs="宋体"/>
                <w:color w:val="auto"/>
                <w:kern w:val="0"/>
                <w:sz w:val="18"/>
                <w:szCs w:val="18"/>
              </w:rPr>
              <w:t>1.为实现异构平台混合管理，要求云桌面管理平台支持在Windows或麒麟等国产系统搭建，支持对终端的操作系统镜像生成与统一分发管理；</w:t>
            </w:r>
            <w:r>
              <w:rPr>
                <w:rFonts w:hint="eastAsia" w:cs="宋体"/>
                <w:color w:val="auto"/>
                <w:kern w:val="0"/>
                <w:sz w:val="18"/>
                <w:szCs w:val="18"/>
              </w:rPr>
              <w:br w:type="textWrapping"/>
            </w:r>
            <w:r>
              <w:rPr>
                <w:rFonts w:hint="eastAsia" w:cs="宋体"/>
                <w:color w:val="auto"/>
                <w:kern w:val="0"/>
                <w:sz w:val="18"/>
                <w:szCs w:val="18"/>
              </w:rPr>
              <w:t>2.针对不同楼宇、年级、学科的终端支持分组管理，可将终端进行分组，管理员可根据配置好的镜像分配给相应的分组；为不影响教学，可在正常上课的同时完成镜像缓存下载；</w:t>
            </w:r>
            <w:r>
              <w:rPr>
                <w:rFonts w:hint="eastAsia" w:cs="宋体"/>
                <w:color w:val="auto"/>
                <w:kern w:val="0"/>
                <w:sz w:val="18"/>
                <w:szCs w:val="18"/>
              </w:rPr>
              <w:br w:type="textWrapping"/>
            </w:r>
            <w:r>
              <w:rPr>
                <w:rFonts w:hint="eastAsia" w:cs="宋体"/>
                <w:color w:val="auto"/>
                <w:kern w:val="0"/>
                <w:sz w:val="18"/>
                <w:szCs w:val="18"/>
              </w:rPr>
              <w:t>3.可充分利用学校现有网络，支持在镜像下发时进行组内网络探测与网速传输测试，提前优化镜像下发策略，保障传输效率；</w:t>
            </w:r>
            <w:r>
              <w:rPr>
                <w:rFonts w:hint="eastAsia" w:cs="宋体"/>
                <w:color w:val="auto"/>
                <w:kern w:val="0"/>
                <w:sz w:val="18"/>
                <w:szCs w:val="18"/>
              </w:rPr>
              <w:br w:type="textWrapping"/>
            </w:r>
            <w:r>
              <w:rPr>
                <w:rFonts w:hint="eastAsia" w:cs="宋体"/>
                <w:color w:val="auto"/>
                <w:kern w:val="0"/>
                <w:sz w:val="18"/>
                <w:szCs w:val="18"/>
              </w:rPr>
              <w:t>4.为适配大型或复杂型学校网络环境，云桌面支持跨校区、跨广域网部署，IP可达即可部署；为满足学校的WiFi使用场景，简化网络结构，支持通过wifi进行镜像更新和平台管理；为满足学校对多教学场景的切换，支持三种模式对某一系统盘和数据盘的管理，即还原模式、读写模式、学习模式；</w:t>
            </w:r>
            <w:r>
              <w:rPr>
                <w:rFonts w:hint="eastAsia" w:cs="宋体"/>
                <w:color w:val="auto"/>
                <w:kern w:val="0"/>
                <w:sz w:val="18"/>
                <w:szCs w:val="18"/>
              </w:rPr>
              <w:br w:type="textWrapping"/>
            </w:r>
            <w:r>
              <w:rPr>
                <w:rFonts w:hint="eastAsia" w:cs="宋体"/>
                <w:color w:val="auto"/>
                <w:kern w:val="0"/>
                <w:sz w:val="18"/>
                <w:szCs w:val="18"/>
              </w:rPr>
              <w:t>5.为了提升机房的统一部署与更新时间，减少老师的操作步骤与等待时间，支持镜像下发时的策略设置，更新镜像时锁定终端屏幕和更新时隐藏下载窗口；支持系统镜像下发后自动执行关机、重启等操作（提供此功能界面截图证明）；</w:t>
            </w:r>
            <w:r>
              <w:rPr>
                <w:rFonts w:hint="eastAsia" w:cs="宋体"/>
                <w:color w:val="auto"/>
                <w:kern w:val="0"/>
                <w:sz w:val="18"/>
                <w:szCs w:val="18"/>
              </w:rPr>
              <w:br w:type="textWrapping"/>
            </w:r>
            <w:r>
              <w:rPr>
                <w:rFonts w:hint="eastAsia" w:cs="宋体"/>
                <w:color w:val="auto"/>
                <w:kern w:val="0"/>
                <w:sz w:val="18"/>
                <w:szCs w:val="18"/>
              </w:rPr>
              <w:t>6.支持从服务器端对客户端发起远程开机、关机、发送通知消息、发送远程命令等指令，支持管理员对客户端进行远程协助排障；</w:t>
            </w:r>
            <w:r>
              <w:rPr>
                <w:rFonts w:hint="eastAsia" w:cs="宋体"/>
                <w:color w:val="auto"/>
                <w:kern w:val="0"/>
                <w:sz w:val="18"/>
                <w:szCs w:val="18"/>
              </w:rPr>
              <w:br w:type="textWrapping"/>
            </w:r>
            <w:r>
              <w:rPr>
                <w:rFonts w:hint="eastAsia" w:cs="宋体"/>
                <w:color w:val="auto"/>
                <w:kern w:val="0"/>
                <w:sz w:val="18"/>
                <w:szCs w:val="18"/>
              </w:rPr>
              <w:t>7.</w:t>
            </w:r>
            <w:r>
              <w:rPr>
                <w:rFonts w:hint="eastAsia"/>
                <w:color w:val="auto"/>
                <w:kern w:val="0"/>
                <w:sz w:val="18"/>
                <w:szCs w:val="18"/>
              </w:rPr>
              <w:t>▲</w:t>
            </w:r>
            <w:r>
              <w:rPr>
                <w:rFonts w:hint="eastAsia" w:cs="宋体"/>
                <w:color w:val="auto"/>
                <w:kern w:val="0"/>
                <w:sz w:val="18"/>
                <w:szCs w:val="18"/>
              </w:rPr>
              <w:t>为方便学校进行硬件资产统计，支持平台收集所有终端硬件配置信息，包含但不限于终端名称、主板型号、CPU型号、内存容量、最近运行时间、合计运行时间、硬件变更和记录信息等；（需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8.为方便学校掌握终端硬件运行情况，支持平台收集所有终端的运行状态信息，包含但不限于终端名称、CPU温度、开机时间、硬盘信息等（需提供国家认可的第三方检测机构出具的检测报告）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9.为方便学校对教学软件运行情况的统计，支持平台收集所有终端的软件信息，包含但不限于程序名称、运行次数、运行时长、版本、程序大小等；（需提供国家认可的第三方检测机构出具的检测报告）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10.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rPr>
                <w:rFonts w:hint="eastAsia" w:cs="宋体"/>
                <w:color w:val="auto"/>
                <w:kern w:val="0"/>
                <w:sz w:val="18"/>
                <w:szCs w:val="18"/>
              </w:rPr>
              <w:br w:type="textWrapping"/>
            </w:r>
            <w:r>
              <w:rPr>
                <w:rFonts w:hint="eastAsia" w:cs="宋体"/>
                <w:color w:val="auto"/>
                <w:kern w:val="0"/>
                <w:sz w:val="18"/>
                <w:szCs w:val="18"/>
              </w:rPr>
              <w:t>11.支持平台可以计划任务设置，可以设置固定时间、每天、每周、每月进行定时执行各种任务类型，包括开机、关机、切换模板、下发模版、还原系统盘、还原数据盘；</w:t>
            </w:r>
            <w:r>
              <w:rPr>
                <w:rFonts w:hint="eastAsia" w:cs="宋体"/>
                <w:color w:val="auto"/>
                <w:kern w:val="0"/>
                <w:sz w:val="18"/>
                <w:szCs w:val="18"/>
              </w:rPr>
              <w:br w:type="textWrapping"/>
            </w:r>
            <w:r>
              <w:rPr>
                <w:rFonts w:hint="eastAsia" w:cs="宋体"/>
                <w:color w:val="auto"/>
                <w:kern w:val="0"/>
                <w:sz w:val="18"/>
                <w:szCs w:val="18"/>
              </w:rPr>
              <w:t>12.</w:t>
            </w:r>
            <w:r>
              <w:rPr>
                <w:rFonts w:hint="eastAsia"/>
                <w:color w:val="auto"/>
                <w:kern w:val="0"/>
                <w:sz w:val="18"/>
                <w:szCs w:val="18"/>
              </w:rPr>
              <w:t>▲</w:t>
            </w:r>
            <w:r>
              <w:rPr>
                <w:rFonts w:hint="eastAsia" w:cs="宋体"/>
                <w:color w:val="auto"/>
                <w:kern w:val="0"/>
                <w:sz w:val="18"/>
                <w:szCs w:val="18"/>
              </w:rPr>
              <w:t>支持大数据展示。可展示包括但不限于资产统计、设备详情、开关机对比、日志、系统使用情况等信息；（需提供国家认可的第三方检测机构出具的检测报告）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13.为避免网络端口被占用而引起的教学环境不可用的问题，云桌面管理平台支持对服务器使用的网络端口进行检测，并通过检测结果帮助管理员快速分析和解决问题；</w:t>
            </w:r>
            <w:r>
              <w:rPr>
                <w:rFonts w:hint="eastAsia" w:cs="宋体"/>
                <w:color w:val="auto"/>
                <w:kern w:val="0"/>
                <w:sz w:val="18"/>
                <w:szCs w:val="18"/>
              </w:rPr>
              <w:br w:type="textWrapping"/>
            </w:r>
            <w:r>
              <w:rPr>
                <w:rFonts w:hint="eastAsia" w:cs="宋体"/>
                <w:color w:val="auto"/>
                <w:kern w:val="0"/>
                <w:sz w:val="18"/>
                <w:szCs w:val="18"/>
              </w:rPr>
              <w:t>14.可提供网盘功能：支持用户在终端登录网盘，实现数据漫游与数据共享；支持用户将网盘中的文件分享给其他用户，其他用户可通过链接和提取码查看文件；为防止误删重要文件，删除的文件会先保留在回收站，可根据实际情况按需取回；</w:t>
            </w:r>
            <w:r>
              <w:rPr>
                <w:rFonts w:hint="eastAsia" w:cs="宋体"/>
                <w:color w:val="auto"/>
                <w:kern w:val="0"/>
                <w:sz w:val="18"/>
                <w:szCs w:val="18"/>
              </w:rPr>
              <w:br w:type="textWrapping"/>
            </w:r>
            <w:r>
              <w:rPr>
                <w:rFonts w:hint="eastAsia" w:cs="宋体"/>
                <w:color w:val="auto"/>
                <w:kern w:val="0"/>
                <w:sz w:val="18"/>
                <w:szCs w:val="18"/>
              </w:rPr>
              <w:t>15.为满足客户单位形象与风格的统一要求，支持系统名称、LOGO、登录背景图等可按需修改成客户单位名称；为简化管理，云桌面管理平台支持创建组织、用户、角色，支持管理员对不同用户和角色进行分级分权管理；</w:t>
            </w:r>
            <w:r>
              <w:rPr>
                <w:rFonts w:hint="eastAsia" w:cs="宋体"/>
                <w:color w:val="auto"/>
                <w:kern w:val="0"/>
                <w:sz w:val="18"/>
                <w:szCs w:val="18"/>
              </w:rPr>
              <w:br w:type="textWrapping"/>
            </w:r>
            <w:r>
              <w:rPr>
                <w:rFonts w:hint="eastAsia" w:cs="宋体"/>
                <w:color w:val="auto"/>
                <w:kern w:val="0"/>
                <w:sz w:val="18"/>
                <w:szCs w:val="18"/>
              </w:rPr>
              <w:t>16.须配备支称软件的工作站硬件；</w:t>
            </w:r>
            <w:r>
              <w:rPr>
                <w:rFonts w:hint="eastAsia" w:cs="宋体"/>
                <w:color w:val="auto"/>
                <w:kern w:val="0"/>
                <w:sz w:val="18"/>
                <w:szCs w:val="18"/>
              </w:rPr>
              <w:br w:type="textWrapping"/>
            </w:r>
            <w:r>
              <w:rPr>
                <w:rFonts w:hint="eastAsia" w:cs="宋体"/>
                <w:color w:val="auto"/>
                <w:kern w:val="0"/>
                <w:sz w:val="18"/>
                <w:szCs w:val="18"/>
              </w:rPr>
              <w:t>17.屏幕录制：教师机可以将本地的操作和讲解过程录制为ASF录像文件，可以用 Windows 自带的 Media Player 直接播放。（提供此功能界面截图证明，并提供国家认可的第三方检测机构出具的检测报告）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18.上网限制：支持对学生访问网站的黑名单或白名单设置，支持对学生可以访问的Internet站点进行管理。支持多浏览器限制，包括但不限于QQ、IE、谷歌、360、遨游等浏览器。（提供此功能界面截图证明，并提供国家认可的第三方检测机构出具的检测报告）</w:t>
            </w:r>
            <w:r>
              <w:rPr>
                <w:rFonts w:hint="eastAsia" w:cs="宋体"/>
                <w:color w:val="auto"/>
                <w:kern w:val="0"/>
                <w:sz w:val="18"/>
                <w:szCs w:val="18"/>
              </w:rPr>
              <w:br w:type="textWrapping"/>
            </w:r>
            <w:r>
              <w:rPr>
                <w:rFonts w:hint="eastAsia" w:cs="宋体"/>
                <w:color w:val="auto"/>
                <w:kern w:val="0"/>
                <w:sz w:val="18"/>
                <w:szCs w:val="18"/>
              </w:rPr>
              <w:t>19.程序限制：为防止学生在教学过程中打游戏或使用QQ、MSN等聊天工具，支持通过各种策略限制学生使用程序。（提供此功能界面截图证明，并提供国家认可的第三方检测机构出具的检测报告）</w:t>
            </w:r>
          </w:p>
          <w:p w14:paraId="2BE3F71A">
            <w:pPr>
              <w:widowControl/>
              <w:jc w:val="left"/>
              <w:textAlignment w:val="center"/>
              <w:rPr>
                <w:rFonts w:ascii="Times New Roman" w:hAnsi="Times New Roman"/>
                <w:color w:val="auto"/>
                <w:kern w:val="0"/>
                <w:sz w:val="18"/>
                <w:szCs w:val="18"/>
                <w:highlight w:val="none"/>
              </w:rPr>
            </w:pPr>
            <w:r>
              <w:rPr>
                <w:rFonts w:hint="eastAsia"/>
                <w:color w:val="auto"/>
                <w:kern w:val="0"/>
                <w:sz w:val="18"/>
                <w:szCs w:val="18"/>
              </w:rPr>
              <w:t>20. ▲支持公有云知识库，知识库包括软硬件产品介绍、用户手册等。用户输入指令时，优先对库中文档进行分析、归纳、总结，然后提供匹配的答案。有AI资源搜索、AI教案编写、AI讲义编写、AI做课件、AI写文档等功能。</w:t>
            </w:r>
          </w:p>
        </w:tc>
        <w:tc>
          <w:tcPr>
            <w:tcW w:w="965" w:type="dxa"/>
            <w:vAlign w:val="center"/>
          </w:tcPr>
          <w:p w14:paraId="7E9F7693">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4</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3F1CBD29">
            <w:pPr>
              <w:jc w:val="center"/>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hint="eastAsia" w:cs="宋体"/>
                <w:color w:val="auto"/>
                <w:kern w:val="0"/>
                <w:sz w:val="22"/>
                <w:szCs w:val="22"/>
                <w:highlight w:val="none"/>
                <w:lang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r w14:paraId="37F1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608BA78E">
            <w:pPr>
              <w:widowControl/>
              <w:numPr>
                <w:ilvl w:val="0"/>
                <w:numId w:val="9"/>
              </w:numPr>
              <w:jc w:val="center"/>
              <w:rPr>
                <w:rFonts w:ascii="Times New Roman" w:hAnsi="Times New Roman"/>
                <w:color w:val="auto"/>
                <w:kern w:val="0"/>
                <w:szCs w:val="22"/>
                <w:highlight w:val="none"/>
              </w:rPr>
            </w:pPr>
          </w:p>
        </w:tc>
        <w:tc>
          <w:tcPr>
            <w:tcW w:w="1096" w:type="dxa"/>
            <w:vAlign w:val="center"/>
          </w:tcPr>
          <w:p w14:paraId="68A7CEE5">
            <w:pPr>
              <w:widowControl/>
              <w:jc w:val="left"/>
              <w:textAlignment w:val="center"/>
              <w:rPr>
                <w:rFonts w:ascii="Times New Roman" w:hAnsi="Times New Roman"/>
                <w:color w:val="auto"/>
                <w:kern w:val="0"/>
                <w:szCs w:val="21"/>
                <w:highlight w:val="none"/>
              </w:rPr>
            </w:pPr>
            <w:r>
              <w:rPr>
                <w:rFonts w:hint="eastAsia" w:cs="宋体"/>
                <w:kern w:val="0"/>
                <w:sz w:val="18"/>
                <w:szCs w:val="18"/>
                <w:lang w:bidi="ar"/>
              </w:rPr>
              <w:t>AI训练机</w:t>
            </w:r>
          </w:p>
        </w:tc>
        <w:tc>
          <w:tcPr>
            <w:tcW w:w="6947" w:type="dxa"/>
            <w:vAlign w:val="center"/>
          </w:tcPr>
          <w:p w14:paraId="226D7017">
            <w:pPr>
              <w:widowControl/>
              <w:jc w:val="left"/>
              <w:textAlignment w:val="center"/>
              <w:rPr>
                <w:kern w:val="0"/>
                <w:sz w:val="18"/>
                <w:szCs w:val="18"/>
              </w:rPr>
            </w:pPr>
            <w:r>
              <w:rPr>
                <w:rFonts w:hint="eastAsia"/>
                <w:kern w:val="0"/>
                <w:sz w:val="18"/>
                <w:szCs w:val="18"/>
              </w:rPr>
              <w:t>一、AI训练机</w:t>
            </w:r>
          </w:p>
          <w:p w14:paraId="55E854F3">
            <w:pPr>
              <w:widowControl/>
              <w:jc w:val="left"/>
              <w:textAlignment w:val="center"/>
              <w:rPr>
                <w:kern w:val="0"/>
                <w:sz w:val="18"/>
                <w:szCs w:val="18"/>
              </w:rPr>
            </w:pPr>
            <w:r>
              <w:rPr>
                <w:rFonts w:hint="eastAsia"/>
                <w:kern w:val="0"/>
                <w:sz w:val="18"/>
                <w:szCs w:val="18"/>
              </w:rPr>
              <w:t>1、机型：商用工作站产品，在产品认证中证明投标机型为工作站产品</w:t>
            </w:r>
          </w:p>
          <w:p w14:paraId="60A196A6">
            <w:pPr>
              <w:widowControl/>
              <w:jc w:val="left"/>
              <w:textAlignment w:val="center"/>
              <w:rPr>
                <w:kern w:val="0"/>
                <w:sz w:val="18"/>
                <w:szCs w:val="18"/>
              </w:rPr>
            </w:pPr>
            <w:r>
              <w:rPr>
                <w:rFonts w:hint="eastAsia"/>
                <w:kern w:val="0"/>
                <w:sz w:val="18"/>
                <w:szCs w:val="18"/>
              </w:rPr>
              <w:t>2、</w:t>
            </w:r>
            <w:r>
              <w:rPr>
                <w:rFonts w:hint="eastAsia" w:ascii="宋体" w:hAnsi="宋体" w:eastAsia="宋体" w:cs="宋体"/>
                <w:i w:val="0"/>
                <w:iCs w:val="0"/>
                <w:color w:val="auto"/>
                <w:kern w:val="0"/>
                <w:sz w:val="18"/>
                <w:szCs w:val="18"/>
                <w:highlight w:val="none"/>
                <w:u w:val="none"/>
                <w:lang w:val="en-US" w:eastAsia="zh-CN" w:bidi="ar"/>
              </w:rPr>
              <w:t>▲</w:t>
            </w:r>
            <w:r>
              <w:rPr>
                <w:rFonts w:hint="eastAsia"/>
                <w:kern w:val="0"/>
                <w:sz w:val="18"/>
                <w:szCs w:val="18"/>
              </w:rPr>
              <w:t>CPU：性能不低于Intel I7-14700处理器及以上</w:t>
            </w:r>
          </w:p>
          <w:p w14:paraId="79840D19">
            <w:pPr>
              <w:widowControl/>
              <w:jc w:val="left"/>
              <w:textAlignment w:val="center"/>
              <w:rPr>
                <w:kern w:val="0"/>
                <w:sz w:val="18"/>
                <w:szCs w:val="18"/>
              </w:rPr>
            </w:pPr>
            <w:r>
              <w:rPr>
                <w:rFonts w:hint="eastAsia"/>
                <w:kern w:val="0"/>
                <w:sz w:val="18"/>
                <w:szCs w:val="18"/>
              </w:rPr>
              <w:t>3、</w:t>
            </w:r>
            <w:r>
              <w:rPr>
                <w:rFonts w:hint="eastAsia" w:ascii="宋体" w:hAnsi="宋体" w:eastAsia="宋体" w:cs="宋体"/>
                <w:i w:val="0"/>
                <w:iCs w:val="0"/>
                <w:color w:val="auto"/>
                <w:kern w:val="0"/>
                <w:sz w:val="18"/>
                <w:szCs w:val="18"/>
                <w:highlight w:val="none"/>
                <w:u w:val="none"/>
                <w:lang w:val="en-US" w:eastAsia="zh-CN" w:bidi="ar"/>
              </w:rPr>
              <w:t>▲</w:t>
            </w:r>
            <w:r>
              <w:rPr>
                <w:rFonts w:hint="eastAsia"/>
                <w:kern w:val="0"/>
                <w:sz w:val="18"/>
                <w:szCs w:val="18"/>
              </w:rPr>
              <w:t>主板：性能不低于Intel芯片组</w:t>
            </w:r>
          </w:p>
          <w:p w14:paraId="0823CE49">
            <w:pPr>
              <w:widowControl/>
              <w:jc w:val="left"/>
              <w:textAlignment w:val="center"/>
              <w:rPr>
                <w:kern w:val="0"/>
                <w:sz w:val="18"/>
                <w:szCs w:val="18"/>
              </w:rPr>
            </w:pPr>
            <w:r>
              <w:rPr>
                <w:rFonts w:hint="eastAsia"/>
                <w:kern w:val="0"/>
                <w:sz w:val="18"/>
                <w:szCs w:val="18"/>
              </w:rPr>
              <w:t>4、★内存：≥32G DDR5内存，提供4个内存槽位</w:t>
            </w:r>
          </w:p>
          <w:p w14:paraId="607DE61F">
            <w:pPr>
              <w:widowControl/>
              <w:jc w:val="left"/>
              <w:textAlignment w:val="center"/>
              <w:rPr>
                <w:kern w:val="0"/>
                <w:sz w:val="18"/>
                <w:szCs w:val="18"/>
              </w:rPr>
            </w:pPr>
            <w:r>
              <w:rPr>
                <w:rFonts w:hint="eastAsia"/>
                <w:kern w:val="0"/>
                <w:sz w:val="18"/>
                <w:szCs w:val="18"/>
              </w:rPr>
              <w:t>5、★显卡：性能不低于5060 8G独立显卡</w:t>
            </w:r>
          </w:p>
          <w:p w14:paraId="6E2A5586">
            <w:pPr>
              <w:widowControl/>
              <w:jc w:val="left"/>
              <w:textAlignment w:val="center"/>
              <w:rPr>
                <w:kern w:val="0"/>
                <w:sz w:val="18"/>
                <w:szCs w:val="18"/>
              </w:rPr>
            </w:pPr>
            <w:r>
              <w:rPr>
                <w:rFonts w:hint="eastAsia"/>
                <w:kern w:val="0"/>
                <w:sz w:val="18"/>
                <w:szCs w:val="18"/>
              </w:rPr>
              <w:t>6、声卡：集成声卡</w:t>
            </w:r>
          </w:p>
          <w:p w14:paraId="2D20C935">
            <w:pPr>
              <w:widowControl/>
              <w:jc w:val="left"/>
              <w:textAlignment w:val="center"/>
              <w:rPr>
                <w:kern w:val="0"/>
                <w:sz w:val="18"/>
                <w:szCs w:val="18"/>
              </w:rPr>
            </w:pPr>
            <w:r>
              <w:rPr>
                <w:rFonts w:hint="eastAsia"/>
                <w:kern w:val="0"/>
                <w:sz w:val="18"/>
                <w:szCs w:val="18"/>
              </w:rPr>
              <w:t>7、★硬盘：≥1T M.2 NVME SSD</w:t>
            </w:r>
          </w:p>
          <w:p w14:paraId="4F086730">
            <w:pPr>
              <w:widowControl/>
              <w:jc w:val="left"/>
              <w:textAlignment w:val="center"/>
              <w:rPr>
                <w:kern w:val="0"/>
                <w:sz w:val="18"/>
                <w:szCs w:val="18"/>
              </w:rPr>
            </w:pPr>
            <w:r>
              <w:rPr>
                <w:rFonts w:hint="eastAsia"/>
                <w:kern w:val="0"/>
                <w:sz w:val="18"/>
                <w:szCs w:val="18"/>
              </w:rPr>
              <w:t>8、网卡：1000M以太网卡</w:t>
            </w:r>
          </w:p>
          <w:p w14:paraId="051B4C41">
            <w:pPr>
              <w:widowControl/>
              <w:jc w:val="left"/>
              <w:textAlignment w:val="center"/>
              <w:rPr>
                <w:kern w:val="0"/>
                <w:sz w:val="18"/>
                <w:szCs w:val="18"/>
              </w:rPr>
            </w:pPr>
            <w:r>
              <w:rPr>
                <w:rFonts w:hint="eastAsia"/>
                <w:kern w:val="0"/>
                <w:sz w:val="18"/>
                <w:szCs w:val="18"/>
              </w:rPr>
              <w:t>9、键盘、鼠标 同品牌无线键盘、鼠标套装；</w:t>
            </w:r>
          </w:p>
          <w:p w14:paraId="76A8293C">
            <w:pPr>
              <w:widowControl/>
              <w:jc w:val="left"/>
              <w:textAlignment w:val="center"/>
              <w:rPr>
                <w:kern w:val="0"/>
                <w:sz w:val="18"/>
                <w:szCs w:val="18"/>
              </w:rPr>
            </w:pPr>
            <w:r>
              <w:rPr>
                <w:rFonts w:hint="eastAsia"/>
                <w:kern w:val="0"/>
                <w:sz w:val="18"/>
                <w:szCs w:val="18"/>
              </w:rPr>
              <w:t>10、USB接口 ≥9个USB 3.2接口(前置至少1个TYPE-C接口)</w:t>
            </w:r>
          </w:p>
          <w:p w14:paraId="0EBC68D0">
            <w:pPr>
              <w:widowControl/>
              <w:jc w:val="left"/>
              <w:textAlignment w:val="center"/>
              <w:rPr>
                <w:kern w:val="0"/>
                <w:sz w:val="18"/>
                <w:szCs w:val="18"/>
              </w:rPr>
            </w:pPr>
            <w:r>
              <w:rPr>
                <w:rFonts w:hint="eastAsia"/>
                <w:kern w:val="0"/>
                <w:sz w:val="18"/>
                <w:szCs w:val="18"/>
              </w:rPr>
              <w:t>11、其它接口 主板集成至少1个VGA接口，1个HDMI接口，1个DP接口</w:t>
            </w:r>
          </w:p>
          <w:p w14:paraId="2955B953">
            <w:pPr>
              <w:widowControl/>
              <w:jc w:val="left"/>
              <w:textAlignment w:val="center"/>
              <w:rPr>
                <w:kern w:val="0"/>
                <w:sz w:val="18"/>
                <w:szCs w:val="18"/>
              </w:rPr>
            </w:pPr>
            <w:r>
              <w:rPr>
                <w:rFonts w:hint="eastAsia"/>
                <w:kern w:val="0"/>
                <w:sz w:val="18"/>
                <w:szCs w:val="18"/>
              </w:rPr>
              <w:t>12、插槽 至少1个PCIE x16、2个PCIE x1、3个PCIe M.2 接口</w:t>
            </w:r>
          </w:p>
          <w:p w14:paraId="2DC4886A">
            <w:pPr>
              <w:widowControl/>
              <w:jc w:val="left"/>
              <w:textAlignment w:val="center"/>
              <w:rPr>
                <w:kern w:val="0"/>
                <w:sz w:val="18"/>
                <w:szCs w:val="18"/>
              </w:rPr>
            </w:pPr>
            <w:r>
              <w:rPr>
                <w:rFonts w:hint="eastAsia"/>
                <w:kern w:val="0"/>
                <w:sz w:val="18"/>
                <w:szCs w:val="18"/>
              </w:rPr>
              <w:t>13、电源 ≥500W 92%</w:t>
            </w:r>
          </w:p>
          <w:p w14:paraId="22835101">
            <w:pPr>
              <w:widowControl/>
              <w:jc w:val="left"/>
              <w:textAlignment w:val="center"/>
              <w:rPr>
                <w:kern w:val="0"/>
                <w:sz w:val="18"/>
                <w:szCs w:val="18"/>
              </w:rPr>
            </w:pPr>
            <w:r>
              <w:rPr>
                <w:rFonts w:hint="eastAsia"/>
                <w:kern w:val="0"/>
                <w:sz w:val="18"/>
                <w:szCs w:val="18"/>
              </w:rPr>
              <w:t>14、操作系统 预装Windows 正版操作系统</w:t>
            </w:r>
          </w:p>
          <w:p w14:paraId="17A5896F">
            <w:pPr>
              <w:widowControl/>
              <w:jc w:val="left"/>
              <w:textAlignment w:val="center"/>
              <w:rPr>
                <w:kern w:val="0"/>
                <w:sz w:val="18"/>
                <w:szCs w:val="18"/>
              </w:rPr>
            </w:pPr>
            <w:r>
              <w:rPr>
                <w:rFonts w:hint="eastAsia"/>
                <w:kern w:val="0"/>
                <w:sz w:val="18"/>
                <w:szCs w:val="18"/>
              </w:rPr>
              <w:t>15、安全：BIOS级别USB端口单独开关，智能USB数据保护(可设置仅识别鼠标键盘，不识别USB存储设备)</w:t>
            </w:r>
          </w:p>
          <w:p w14:paraId="5BDE8EF4">
            <w:pPr>
              <w:widowControl/>
              <w:jc w:val="left"/>
              <w:textAlignment w:val="center"/>
              <w:rPr>
                <w:kern w:val="0"/>
                <w:sz w:val="18"/>
                <w:szCs w:val="18"/>
              </w:rPr>
            </w:pPr>
            <w:r>
              <w:rPr>
                <w:rFonts w:hint="eastAsia"/>
                <w:kern w:val="0"/>
                <w:sz w:val="18"/>
                <w:szCs w:val="18"/>
              </w:rPr>
              <w:t>16、机箱：塔式标准机箱≥17L，带锁</w:t>
            </w:r>
          </w:p>
          <w:p w14:paraId="0E3EE373">
            <w:pPr>
              <w:widowControl/>
              <w:jc w:val="left"/>
              <w:textAlignment w:val="center"/>
              <w:rPr>
                <w:kern w:val="0"/>
                <w:sz w:val="18"/>
                <w:szCs w:val="18"/>
              </w:rPr>
            </w:pPr>
            <w:r>
              <w:rPr>
                <w:rFonts w:hint="eastAsia"/>
                <w:kern w:val="0"/>
                <w:sz w:val="18"/>
                <w:szCs w:val="18"/>
              </w:rPr>
              <w:t>17、≥24英寸同品牌显示器</w:t>
            </w:r>
          </w:p>
          <w:p w14:paraId="199FBC06">
            <w:pPr>
              <w:widowControl/>
              <w:jc w:val="left"/>
              <w:textAlignment w:val="center"/>
              <w:rPr>
                <w:kern w:val="0"/>
                <w:sz w:val="18"/>
                <w:szCs w:val="18"/>
              </w:rPr>
            </w:pPr>
            <w:r>
              <w:rPr>
                <w:rFonts w:hint="eastAsia"/>
                <w:kern w:val="0"/>
                <w:sz w:val="18"/>
                <w:szCs w:val="18"/>
              </w:rPr>
              <w:t>18、▲服务：原厂提供三年上门服务，提供制造商针对本项目的售后服务承诺书</w:t>
            </w:r>
            <w:r>
              <w:rPr>
                <w:kern w:val="0"/>
                <w:sz w:val="18"/>
                <w:szCs w:val="18"/>
              </w:rPr>
              <w:br w:type="textWrapping"/>
            </w:r>
            <w:r>
              <w:rPr>
                <w:rFonts w:hint="eastAsia"/>
                <w:kern w:val="0"/>
                <w:sz w:val="18"/>
                <w:szCs w:val="18"/>
              </w:rPr>
              <w:t>19、★满足国家强制节能认证要求及环保认证要求</w:t>
            </w:r>
          </w:p>
          <w:p w14:paraId="49B159F0">
            <w:pPr>
              <w:widowControl/>
              <w:jc w:val="left"/>
              <w:textAlignment w:val="center"/>
              <w:rPr>
                <w:kern w:val="0"/>
                <w:sz w:val="18"/>
                <w:szCs w:val="18"/>
              </w:rPr>
            </w:pPr>
            <w:r>
              <w:rPr>
                <w:rFonts w:hint="eastAsia"/>
                <w:kern w:val="0"/>
                <w:sz w:val="18"/>
                <w:szCs w:val="18"/>
              </w:rPr>
              <w:t>20、★满足国家3C认证要求</w:t>
            </w:r>
          </w:p>
          <w:p w14:paraId="16D3AAF0">
            <w:pPr>
              <w:widowControl/>
              <w:jc w:val="left"/>
              <w:textAlignment w:val="center"/>
              <w:rPr>
                <w:kern w:val="0"/>
                <w:sz w:val="18"/>
                <w:szCs w:val="18"/>
              </w:rPr>
            </w:pPr>
            <w:r>
              <w:rPr>
                <w:rFonts w:hint="eastAsia"/>
                <w:kern w:val="0"/>
                <w:sz w:val="18"/>
                <w:szCs w:val="18"/>
              </w:rPr>
              <w:t>二、管理软件要求</w:t>
            </w:r>
          </w:p>
          <w:p w14:paraId="74DD419B">
            <w:pPr>
              <w:widowControl/>
              <w:jc w:val="left"/>
              <w:textAlignment w:val="center"/>
              <w:rPr>
                <w:kern w:val="0"/>
                <w:sz w:val="18"/>
                <w:szCs w:val="18"/>
              </w:rPr>
            </w:pPr>
            <w:r>
              <w:rPr>
                <w:rFonts w:hint="eastAsia"/>
                <w:kern w:val="0"/>
                <w:sz w:val="18"/>
                <w:szCs w:val="18"/>
              </w:rPr>
              <w:t>1.为实现异构平台混合管理，要求云桌面管理平台支持在Windows或麒麟等国产系统搭建，支持对终端的操作系统镜像生成与统一分发管理；</w:t>
            </w:r>
          </w:p>
          <w:p w14:paraId="39708803">
            <w:pPr>
              <w:widowControl/>
              <w:jc w:val="left"/>
              <w:textAlignment w:val="center"/>
              <w:rPr>
                <w:kern w:val="0"/>
                <w:sz w:val="18"/>
                <w:szCs w:val="18"/>
              </w:rPr>
            </w:pPr>
            <w:r>
              <w:rPr>
                <w:rFonts w:hint="eastAsia"/>
                <w:kern w:val="0"/>
                <w:sz w:val="18"/>
                <w:szCs w:val="18"/>
              </w:rPr>
              <w:t>2.针对不同楼宇、年级、学科的终端支持分组管理，可将终端进行分组，管理员可根据配置好的镜像分配给相应的分组；为不影响教学，可在正常上课的同时完成镜像缓存下载；</w:t>
            </w:r>
          </w:p>
          <w:p w14:paraId="3092164D">
            <w:pPr>
              <w:widowControl/>
              <w:jc w:val="left"/>
              <w:textAlignment w:val="center"/>
              <w:rPr>
                <w:kern w:val="0"/>
                <w:sz w:val="18"/>
                <w:szCs w:val="18"/>
              </w:rPr>
            </w:pPr>
            <w:r>
              <w:rPr>
                <w:rFonts w:hint="eastAsia"/>
                <w:kern w:val="0"/>
                <w:sz w:val="18"/>
                <w:szCs w:val="18"/>
              </w:rPr>
              <w:t>3.可充分利用学校现有网络，支持在镜像下发时进行组内网络探测与网速传输测试，提前优化镜像下发策略，保障传输效率；</w:t>
            </w:r>
          </w:p>
          <w:p w14:paraId="375AB808">
            <w:pPr>
              <w:widowControl/>
              <w:jc w:val="left"/>
              <w:textAlignment w:val="center"/>
              <w:rPr>
                <w:kern w:val="0"/>
                <w:sz w:val="18"/>
                <w:szCs w:val="18"/>
              </w:rPr>
            </w:pPr>
            <w:r>
              <w:rPr>
                <w:rFonts w:hint="eastAsia"/>
                <w:kern w:val="0"/>
                <w:sz w:val="18"/>
                <w:szCs w:val="18"/>
              </w:rPr>
              <w:t>4.为适配大型或复杂型学校网络环境，云桌面支持跨校区、跨广域网部署，IP可达即可部署；为满足学校的WiFi使用场景，简化网络结构，支持通过wifi进行镜像更新和平台管理；为满足学校对多教学场景的切换，支持三种模式对某一系统盘和数据盘的管理，即还原模式、读写模式、 学习模式；</w:t>
            </w:r>
          </w:p>
          <w:p w14:paraId="32957A4F">
            <w:pPr>
              <w:widowControl/>
              <w:jc w:val="left"/>
              <w:textAlignment w:val="center"/>
              <w:rPr>
                <w:kern w:val="0"/>
                <w:sz w:val="18"/>
                <w:szCs w:val="18"/>
              </w:rPr>
            </w:pPr>
            <w:r>
              <w:rPr>
                <w:rFonts w:hint="eastAsia"/>
                <w:kern w:val="0"/>
                <w:sz w:val="18"/>
                <w:szCs w:val="18"/>
              </w:rPr>
              <w:t>5. 为了提升机房的统一部署与更新时间，减少老师的操作步骤与等待时间，支持镜像下发时的策略设置，更新镜像时锁定终端屏幕和更新时隐藏下载窗口；支持系统镜像下发后自动执行关机、重启等操作；（提供此功能界面截图证明）</w:t>
            </w:r>
          </w:p>
          <w:p w14:paraId="6C30A550">
            <w:pPr>
              <w:widowControl/>
              <w:jc w:val="left"/>
              <w:textAlignment w:val="center"/>
              <w:rPr>
                <w:kern w:val="0"/>
                <w:sz w:val="18"/>
                <w:szCs w:val="18"/>
              </w:rPr>
            </w:pPr>
            <w:r>
              <w:rPr>
                <w:rFonts w:hint="eastAsia"/>
                <w:kern w:val="0"/>
                <w:sz w:val="18"/>
                <w:szCs w:val="18"/>
              </w:rPr>
              <w:t>6.支持从服务器端对客户端发起远程开机、关机、发送通知消息、发送远程命令等指令，支持管理员对客户端进行远程协助排障；</w:t>
            </w:r>
          </w:p>
          <w:p w14:paraId="58D9CE99">
            <w:pPr>
              <w:widowControl/>
              <w:jc w:val="left"/>
              <w:textAlignment w:val="center"/>
              <w:rPr>
                <w:kern w:val="0"/>
                <w:sz w:val="18"/>
                <w:szCs w:val="18"/>
              </w:rPr>
            </w:pPr>
            <w:r>
              <w:rPr>
                <w:rFonts w:hint="eastAsia"/>
                <w:kern w:val="0"/>
                <w:sz w:val="18"/>
                <w:szCs w:val="18"/>
              </w:rPr>
              <w:t>7. ▲为方便学校进行硬件资产统计，支持平台收集所有终端硬件配置信息，包含但不限于终端名称、主板型号、CPU型号、内存容量、最近运行时间、合计运行时间、硬件变更和记录信息等；（需提供国家认可的第三方检测机构出具的检测报告）</w:t>
            </w:r>
          </w:p>
          <w:p w14:paraId="0C63604D">
            <w:pPr>
              <w:widowControl/>
              <w:jc w:val="left"/>
              <w:textAlignment w:val="center"/>
              <w:rPr>
                <w:kern w:val="0"/>
                <w:sz w:val="18"/>
                <w:szCs w:val="18"/>
              </w:rPr>
            </w:pPr>
            <w:r>
              <w:rPr>
                <w:rFonts w:hint="eastAsia"/>
                <w:kern w:val="0"/>
                <w:sz w:val="18"/>
                <w:szCs w:val="18"/>
              </w:rPr>
              <w:t>8. 为方便学校掌握终端硬件运行情况，支持平台收集所有终端的运行状态信息，包含但不限于终端名称、CPU温度、开机时间、硬盘信息等；（需提供国家认可的第三方检测机构出具的检测报告）</w:t>
            </w:r>
          </w:p>
          <w:p w14:paraId="3F810020">
            <w:pPr>
              <w:widowControl/>
              <w:jc w:val="left"/>
              <w:textAlignment w:val="center"/>
              <w:rPr>
                <w:kern w:val="0"/>
                <w:sz w:val="18"/>
                <w:szCs w:val="18"/>
              </w:rPr>
            </w:pPr>
            <w:r>
              <w:rPr>
                <w:rFonts w:hint="eastAsia"/>
                <w:kern w:val="0"/>
                <w:sz w:val="18"/>
                <w:szCs w:val="18"/>
              </w:rPr>
              <w:t>9.为方便学校对教学软件运行情况的统计，支持平台收集所有终端的软件信息，包含但不限于程序名称、运行次数、运行时长、版本、程序大小等；（需提供国家认可的第三方检测机构出具的检测报告）</w:t>
            </w:r>
          </w:p>
          <w:p w14:paraId="7725D4D5">
            <w:pPr>
              <w:widowControl/>
              <w:jc w:val="left"/>
              <w:textAlignment w:val="center"/>
              <w:rPr>
                <w:kern w:val="0"/>
                <w:sz w:val="18"/>
                <w:szCs w:val="18"/>
              </w:rPr>
            </w:pPr>
            <w:r>
              <w:rPr>
                <w:rFonts w:hint="eastAsia"/>
                <w:kern w:val="0"/>
                <w:sz w:val="18"/>
                <w:szCs w:val="18"/>
              </w:rPr>
              <w:t>10.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p>
          <w:p w14:paraId="197B9DA3">
            <w:pPr>
              <w:widowControl/>
              <w:jc w:val="left"/>
              <w:textAlignment w:val="center"/>
              <w:rPr>
                <w:kern w:val="0"/>
                <w:sz w:val="18"/>
                <w:szCs w:val="18"/>
              </w:rPr>
            </w:pPr>
            <w:r>
              <w:rPr>
                <w:rFonts w:hint="eastAsia"/>
                <w:kern w:val="0"/>
                <w:sz w:val="18"/>
                <w:szCs w:val="18"/>
              </w:rPr>
              <w:t>11.支持平台可以计划任务设置，可以设置固定时间、每天、每周、每月进行定时执行各种任务类型，包括开机、关机、切换模板、下发模版、还原系统盘、还原数据盘；</w:t>
            </w:r>
          </w:p>
          <w:p w14:paraId="1A8125BA">
            <w:pPr>
              <w:widowControl/>
              <w:jc w:val="left"/>
              <w:textAlignment w:val="center"/>
              <w:rPr>
                <w:kern w:val="0"/>
                <w:sz w:val="18"/>
                <w:szCs w:val="18"/>
              </w:rPr>
            </w:pPr>
            <w:r>
              <w:rPr>
                <w:rFonts w:hint="eastAsia"/>
                <w:kern w:val="0"/>
                <w:sz w:val="18"/>
                <w:szCs w:val="18"/>
              </w:rPr>
              <w:t>12.▲支持大数据展示。可展示包括但不限于资产统计、设备详情、开关机对比、日志、系统使用情况等信息；（需提供国家认可的第三方检测机构出具的检测报告）</w:t>
            </w:r>
          </w:p>
          <w:p w14:paraId="507D3F54">
            <w:pPr>
              <w:widowControl/>
              <w:jc w:val="left"/>
              <w:textAlignment w:val="center"/>
              <w:rPr>
                <w:kern w:val="0"/>
                <w:sz w:val="18"/>
                <w:szCs w:val="18"/>
              </w:rPr>
            </w:pPr>
            <w:r>
              <w:rPr>
                <w:rFonts w:hint="eastAsia"/>
                <w:kern w:val="0"/>
                <w:sz w:val="18"/>
                <w:szCs w:val="18"/>
              </w:rPr>
              <w:t>13.为避免网络端口被占用而引起的教学环境不可用的问题，云桌面管理平台支持对服务器使用的网络端口进行检测，并通过检测结果帮助管理员快速分析和解决问题；</w:t>
            </w:r>
          </w:p>
          <w:p w14:paraId="614AB6B6">
            <w:pPr>
              <w:widowControl/>
              <w:jc w:val="left"/>
              <w:textAlignment w:val="center"/>
              <w:rPr>
                <w:kern w:val="0"/>
                <w:sz w:val="18"/>
                <w:szCs w:val="18"/>
              </w:rPr>
            </w:pPr>
            <w:r>
              <w:rPr>
                <w:rFonts w:hint="eastAsia"/>
                <w:kern w:val="0"/>
                <w:sz w:val="18"/>
                <w:szCs w:val="18"/>
              </w:rPr>
              <w:t>14.可提供网盘功能：支持用户在终端登录网盘，实现数据漫游与数据共享；支持用户将网盘中的文件分享给其他用户，其他用户可通过链接和提取码查看文件；为防止误删重要文件，删除的文件会先保留在回收站，可根据实际情况按需取回；</w:t>
            </w:r>
          </w:p>
          <w:p w14:paraId="1AE5096A">
            <w:pPr>
              <w:widowControl/>
              <w:jc w:val="left"/>
              <w:textAlignment w:val="center"/>
              <w:rPr>
                <w:kern w:val="0"/>
                <w:sz w:val="18"/>
                <w:szCs w:val="18"/>
              </w:rPr>
            </w:pPr>
            <w:r>
              <w:rPr>
                <w:rFonts w:hint="eastAsia"/>
                <w:kern w:val="0"/>
                <w:sz w:val="18"/>
                <w:szCs w:val="18"/>
              </w:rPr>
              <w:t>15.为满足客户单位形象与风格的统一要求，支持系统名称、LOGO、登录背景图等可按需修改成客户单位名称；为简化管理，云桌面管理平台支持创建组织、用户、角色，支持管理员对不同用户和角色进行分级分权管理；</w:t>
            </w:r>
          </w:p>
          <w:p w14:paraId="6696F5E7">
            <w:pPr>
              <w:widowControl/>
              <w:jc w:val="left"/>
              <w:textAlignment w:val="center"/>
              <w:rPr>
                <w:kern w:val="0"/>
                <w:sz w:val="18"/>
                <w:szCs w:val="18"/>
              </w:rPr>
            </w:pPr>
            <w:r>
              <w:rPr>
                <w:rFonts w:hint="eastAsia"/>
                <w:kern w:val="0"/>
                <w:sz w:val="18"/>
                <w:szCs w:val="18"/>
              </w:rPr>
              <w:t>16.屏幕录制：教师机可以将本地的操作和讲解过程录制为ASF录像文件，可以用 Windows 自带的 Media Player 直接播放。</w:t>
            </w:r>
            <w:r>
              <w:rPr>
                <w:rFonts w:hint="eastAsia" w:cs="宋体"/>
                <w:kern w:val="0"/>
                <w:sz w:val="18"/>
                <w:szCs w:val="18"/>
              </w:rPr>
              <w:t>（提供此功能界面截图证明，并提供国家认可的第三方检测机构出具的检测报告）</w:t>
            </w:r>
          </w:p>
          <w:p w14:paraId="70474E14">
            <w:pPr>
              <w:widowControl/>
              <w:jc w:val="left"/>
              <w:textAlignment w:val="center"/>
              <w:rPr>
                <w:kern w:val="0"/>
                <w:sz w:val="18"/>
                <w:szCs w:val="18"/>
              </w:rPr>
            </w:pPr>
            <w:r>
              <w:rPr>
                <w:rFonts w:hint="eastAsia"/>
                <w:kern w:val="0"/>
                <w:sz w:val="18"/>
                <w:szCs w:val="18"/>
              </w:rPr>
              <w:t>17.上网限制：支持对学生访问网站的黑名单或白名单设置，支持对学生可以访问的Internet站点进行管理。支持多浏览器限制，包括但不限于QQ、IE、谷歌、360、遨游等浏览器。</w:t>
            </w:r>
            <w:r>
              <w:rPr>
                <w:rFonts w:hint="eastAsia" w:cs="宋体"/>
                <w:kern w:val="0"/>
                <w:sz w:val="18"/>
                <w:szCs w:val="18"/>
              </w:rPr>
              <w:t>（提供此功能界面截图证明，并提供国家认可的第三方检测机构出具的检测报告）</w:t>
            </w:r>
          </w:p>
          <w:p w14:paraId="1E08005D">
            <w:pPr>
              <w:widowControl/>
              <w:jc w:val="left"/>
              <w:textAlignment w:val="center"/>
              <w:rPr>
                <w:kern w:val="0"/>
                <w:sz w:val="18"/>
                <w:szCs w:val="18"/>
              </w:rPr>
            </w:pPr>
            <w:r>
              <w:rPr>
                <w:rFonts w:hint="eastAsia"/>
                <w:kern w:val="0"/>
                <w:sz w:val="18"/>
                <w:szCs w:val="18"/>
              </w:rPr>
              <w:t>18.程序限制：为防止学生在教学过程中打游戏或使用QQ、MSN等聊天工具，支持通过各种策略限制学生使用程序。</w:t>
            </w:r>
            <w:r>
              <w:rPr>
                <w:rFonts w:hint="eastAsia" w:cs="宋体"/>
                <w:kern w:val="0"/>
                <w:sz w:val="18"/>
                <w:szCs w:val="18"/>
              </w:rPr>
              <w:t>（提供此功能界面截图证明，并提供国家认可的第三方检测机构出具的检测报告）</w:t>
            </w:r>
          </w:p>
          <w:p w14:paraId="29632352">
            <w:pPr>
              <w:widowControl/>
              <w:jc w:val="left"/>
              <w:textAlignment w:val="center"/>
              <w:rPr>
                <w:rFonts w:ascii="Times New Roman" w:hAnsi="Times New Roman"/>
                <w:color w:val="auto"/>
                <w:kern w:val="0"/>
                <w:sz w:val="18"/>
                <w:szCs w:val="18"/>
                <w:highlight w:val="none"/>
              </w:rPr>
            </w:pPr>
            <w:r>
              <w:rPr>
                <w:rFonts w:hint="eastAsia"/>
                <w:kern w:val="0"/>
                <w:sz w:val="18"/>
                <w:szCs w:val="18"/>
              </w:rPr>
              <w:t>19.▲支持公有云知识库，知识库包括软硬件产品介绍、用户手册等。用户输入指令时，优先对库中文档进行分析、归纳、总结，然后提供匹配的答案。有AI资源搜索、AI教案编写、AI讲义编写、AI做课件、AI写文档等功能。</w:t>
            </w:r>
          </w:p>
        </w:tc>
        <w:tc>
          <w:tcPr>
            <w:tcW w:w="965" w:type="dxa"/>
            <w:vAlign w:val="center"/>
          </w:tcPr>
          <w:p w14:paraId="42392366">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6</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0D99C91B">
            <w:pPr>
              <w:jc w:val="center"/>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hint="eastAsia" w:cs="宋体"/>
                <w:color w:val="auto"/>
                <w:kern w:val="0"/>
                <w:sz w:val="22"/>
                <w:szCs w:val="22"/>
                <w:highlight w:val="none"/>
                <w:lang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r w14:paraId="06DF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0EBEFA26">
            <w:pPr>
              <w:widowControl/>
              <w:numPr>
                <w:ilvl w:val="0"/>
                <w:numId w:val="9"/>
              </w:numPr>
              <w:jc w:val="center"/>
              <w:rPr>
                <w:rFonts w:ascii="Times New Roman" w:hAnsi="Times New Roman"/>
                <w:color w:val="auto"/>
                <w:kern w:val="0"/>
                <w:szCs w:val="22"/>
                <w:highlight w:val="none"/>
              </w:rPr>
            </w:pPr>
          </w:p>
        </w:tc>
        <w:tc>
          <w:tcPr>
            <w:tcW w:w="1096" w:type="dxa"/>
            <w:vAlign w:val="center"/>
          </w:tcPr>
          <w:p w14:paraId="6E7F286F">
            <w:pPr>
              <w:widowControl/>
              <w:jc w:val="left"/>
              <w:textAlignment w:val="center"/>
              <w:rPr>
                <w:rFonts w:hint="eastAsia" w:cs="宋体"/>
                <w:color w:val="auto"/>
                <w:kern w:val="0"/>
                <w:sz w:val="18"/>
                <w:szCs w:val="18"/>
                <w:highlight w:val="none"/>
                <w:lang w:bidi="ar"/>
              </w:rPr>
            </w:pPr>
            <w:r>
              <w:rPr>
                <w:rFonts w:hint="eastAsia" w:cs="宋体"/>
                <w:kern w:val="0"/>
                <w:sz w:val="18"/>
                <w:szCs w:val="18"/>
                <w:lang w:bidi="ar"/>
              </w:rPr>
              <w:t>智慧超显屏</w:t>
            </w:r>
          </w:p>
        </w:tc>
        <w:tc>
          <w:tcPr>
            <w:tcW w:w="6947" w:type="dxa"/>
            <w:vAlign w:val="center"/>
          </w:tcPr>
          <w:p w14:paraId="105A17A2">
            <w:pPr>
              <w:widowControl/>
              <w:wordWrap w:val="0"/>
              <w:jc w:val="left"/>
              <w:textAlignment w:val="center"/>
              <w:rPr>
                <w:rFonts w:cs="宋体"/>
                <w:kern w:val="0"/>
                <w:sz w:val="18"/>
                <w:szCs w:val="18"/>
                <w:lang w:bidi="ar"/>
              </w:rPr>
            </w:pPr>
            <w:r>
              <w:rPr>
                <w:rFonts w:hint="eastAsia" w:cs="宋体"/>
                <w:kern w:val="0"/>
                <w:sz w:val="18"/>
                <w:szCs w:val="18"/>
                <w:lang w:bidi="ar"/>
              </w:rPr>
              <w:t>1.</w:t>
            </w:r>
            <w:r>
              <w:rPr>
                <w:rFonts w:cs="宋体"/>
                <w:kern w:val="0"/>
                <w:sz w:val="18"/>
                <w:szCs w:val="18"/>
                <w:lang w:bidi="ar"/>
              </w:rPr>
              <w:t>CPU架构≥A73</w:t>
            </w:r>
            <w:r>
              <w:rPr>
                <w:rFonts w:hint="eastAsia" w:cs="宋体"/>
                <w:kern w:val="0"/>
                <w:sz w:val="18"/>
                <w:szCs w:val="18"/>
                <w:lang w:bidi="ar"/>
              </w:rPr>
              <w:t>，屏幕尺寸≥85英寸，屏幕刷新率≥</w:t>
            </w:r>
            <w:r>
              <w:rPr>
                <w:rFonts w:cs="宋体"/>
                <w:kern w:val="0"/>
                <w:sz w:val="18"/>
                <w:szCs w:val="18"/>
                <w:lang w:bidi="ar"/>
              </w:rPr>
              <w:t>144Hz/240Hz(DLG)</w:t>
            </w:r>
            <w:r>
              <w:rPr>
                <w:rFonts w:hint="eastAsia" w:cs="宋体"/>
                <w:kern w:val="0"/>
                <w:sz w:val="18"/>
                <w:szCs w:val="18"/>
                <w:lang w:bidi="ar"/>
              </w:rPr>
              <w:t>，视角≥178°，内存</w:t>
            </w:r>
            <w:r>
              <w:rPr>
                <w:rFonts w:cs="宋体"/>
                <w:kern w:val="0"/>
                <w:sz w:val="18"/>
                <w:szCs w:val="18"/>
                <w:lang w:bidi="ar"/>
              </w:rPr>
              <w:t>≥4+64GB</w:t>
            </w:r>
            <w:r>
              <w:rPr>
                <w:rFonts w:hint="eastAsia" w:cs="宋体"/>
                <w:kern w:val="0"/>
                <w:sz w:val="18"/>
                <w:szCs w:val="18"/>
                <w:lang w:bidi="ar"/>
              </w:rPr>
              <w:t>，</w:t>
            </w:r>
            <w:r>
              <w:rPr>
                <w:rFonts w:cs="宋体"/>
                <w:kern w:val="0"/>
                <w:sz w:val="18"/>
                <w:szCs w:val="18"/>
                <w:lang w:bidi="ar"/>
              </w:rPr>
              <w:t>物理分辨率 3840×2160</w:t>
            </w:r>
            <w:r>
              <w:rPr>
                <w:rFonts w:hint="eastAsia" w:cs="宋体"/>
                <w:kern w:val="0"/>
                <w:sz w:val="18"/>
                <w:szCs w:val="18"/>
                <w:lang w:bidi="ar"/>
              </w:rPr>
              <w:t>，</w:t>
            </w:r>
            <w:r>
              <w:rPr>
                <w:rFonts w:cs="宋体"/>
                <w:kern w:val="0"/>
                <w:sz w:val="18"/>
                <w:szCs w:val="18"/>
                <w:lang w:bidi="ar"/>
              </w:rPr>
              <w:t>色域 140%(BT.709）</w:t>
            </w:r>
            <w:r>
              <w:rPr>
                <w:rFonts w:hint="eastAsia" w:cs="宋体"/>
                <w:kern w:val="0"/>
                <w:sz w:val="18"/>
                <w:szCs w:val="18"/>
                <w:lang w:bidi="ar"/>
              </w:rPr>
              <w:t>，支持人工智能语音控制</w:t>
            </w:r>
            <w:r>
              <w:rPr>
                <w:rFonts w:hint="eastAsia" w:cs="宋体"/>
                <w:kern w:val="0"/>
                <w:sz w:val="18"/>
                <w:szCs w:val="18"/>
                <w:lang w:bidi="ar"/>
              </w:rPr>
              <w:br w:type="textWrapping"/>
            </w:r>
            <w:r>
              <w:rPr>
                <w:rFonts w:hint="eastAsia" w:cs="宋体"/>
                <w:kern w:val="0"/>
                <w:sz w:val="18"/>
                <w:szCs w:val="18"/>
                <w:lang w:bidi="ar"/>
              </w:rPr>
              <w:t>2.屏幕分辨率超高清4K，</w:t>
            </w:r>
            <w:r>
              <w:rPr>
                <w:rFonts w:cs="宋体"/>
                <w:kern w:val="0"/>
                <w:sz w:val="18"/>
                <w:szCs w:val="18"/>
                <w:lang w:bidi="ar"/>
              </w:rPr>
              <w:t>峰值亮度 400/450nit</w:t>
            </w:r>
            <w:r>
              <w:rPr>
                <w:rFonts w:hint="eastAsia" w:cs="宋体"/>
                <w:kern w:val="0"/>
                <w:sz w:val="18"/>
                <w:szCs w:val="18"/>
                <w:lang w:bidi="ar"/>
              </w:rPr>
              <w:t>，</w:t>
            </w:r>
            <w:r>
              <w:rPr>
                <w:rFonts w:cs="宋体"/>
                <w:kern w:val="0"/>
                <w:sz w:val="18"/>
                <w:szCs w:val="18"/>
                <w:lang w:bidi="ar"/>
              </w:rPr>
              <w:t>响应速度 8.5ms（TYP）</w:t>
            </w:r>
            <w:r>
              <w:rPr>
                <w:rFonts w:hint="eastAsia" w:cs="宋体"/>
                <w:kern w:val="0"/>
                <w:sz w:val="18"/>
                <w:szCs w:val="18"/>
                <w:lang w:bidi="ar"/>
              </w:rPr>
              <w:br w:type="textWrapping"/>
            </w:r>
            <w:r>
              <w:rPr>
                <w:rFonts w:hint="eastAsia" w:cs="宋体"/>
                <w:kern w:val="0"/>
                <w:sz w:val="18"/>
                <w:szCs w:val="18"/>
                <w:lang w:bidi="ar"/>
              </w:rPr>
              <w:t xml:space="preserve">3.裸机尺寸（不含底座）宽1890mm；高1088mm；厚88mm </w:t>
            </w:r>
            <w:r>
              <w:rPr>
                <w:rFonts w:hint="eastAsia" w:cs="宋体"/>
                <w:kern w:val="0"/>
                <w:sz w:val="18"/>
                <w:szCs w:val="18"/>
                <w:lang w:bidi="ar"/>
              </w:rPr>
              <w:br w:type="textWrapping"/>
            </w:r>
            <w:r>
              <w:rPr>
                <w:rFonts w:hint="eastAsia" w:cs="宋体"/>
                <w:kern w:val="0"/>
                <w:sz w:val="18"/>
                <w:szCs w:val="18"/>
                <w:lang w:bidi="ar"/>
              </w:rPr>
              <w:t>4.</w:t>
            </w:r>
            <w:r>
              <w:rPr>
                <w:color w:val="000000"/>
                <w:sz w:val="16"/>
                <w:szCs w:val="16"/>
              </w:rPr>
              <w:t>HDMI 2.1接口</w:t>
            </w:r>
            <w:r>
              <w:rPr>
                <w:rFonts w:hint="eastAsia"/>
                <w:color w:val="000000"/>
                <w:sz w:val="16"/>
                <w:szCs w:val="16"/>
              </w:rPr>
              <w:t>*4；</w:t>
            </w:r>
            <w:r>
              <w:rPr>
                <w:rFonts w:cs="宋体"/>
                <w:kern w:val="0"/>
                <w:sz w:val="18"/>
                <w:szCs w:val="18"/>
                <w:lang w:bidi="ar"/>
              </w:rPr>
              <w:t>USB 2.0*1+ USB 3.0*1</w:t>
            </w:r>
            <w:r>
              <w:rPr>
                <w:rFonts w:hint="eastAsia" w:cs="宋体"/>
                <w:kern w:val="0"/>
                <w:sz w:val="18"/>
                <w:szCs w:val="18"/>
                <w:lang w:bidi="ar"/>
              </w:rPr>
              <w:t>，运行系统Android</w:t>
            </w:r>
            <w:r>
              <w:rPr>
                <w:rFonts w:hint="eastAsia" w:cs="宋体"/>
                <w:kern w:val="0"/>
                <w:sz w:val="18"/>
                <w:szCs w:val="18"/>
                <w:lang w:bidi="ar"/>
              </w:rPr>
              <w:br w:type="textWrapping"/>
            </w:r>
            <w:r>
              <w:rPr>
                <w:rFonts w:hint="eastAsia" w:cs="宋体"/>
                <w:kern w:val="0"/>
                <w:sz w:val="18"/>
                <w:szCs w:val="18"/>
                <w:lang w:bidi="ar"/>
              </w:rPr>
              <w:t>5.开机无广告，</w:t>
            </w:r>
            <w:r>
              <w:rPr>
                <w:rFonts w:cs="宋体"/>
                <w:kern w:val="0"/>
                <w:sz w:val="18"/>
                <w:szCs w:val="18"/>
                <w:lang w:bidi="ar"/>
              </w:rPr>
              <w:t>功能模块</w:t>
            </w:r>
            <w:r>
              <w:rPr>
                <w:rFonts w:hint="eastAsia" w:cs="宋体"/>
                <w:kern w:val="0"/>
                <w:sz w:val="18"/>
                <w:szCs w:val="18"/>
                <w:lang w:bidi="ar"/>
              </w:rPr>
              <w:t>：</w:t>
            </w:r>
            <w:r>
              <w:rPr>
                <w:rFonts w:cs="宋体"/>
                <w:kern w:val="0"/>
                <w:sz w:val="18"/>
                <w:szCs w:val="18"/>
                <w:lang w:bidi="ar"/>
              </w:rPr>
              <w:t>蓝牙5.2+双频双通道WIFI</w:t>
            </w:r>
            <w:r>
              <w:rPr>
                <w:rFonts w:hint="eastAsia" w:cs="宋体"/>
                <w:kern w:val="0"/>
                <w:sz w:val="18"/>
                <w:szCs w:val="18"/>
                <w:lang w:bidi="ar"/>
              </w:rPr>
              <w:br w:type="textWrapping"/>
            </w:r>
            <w:r>
              <w:rPr>
                <w:rFonts w:hint="eastAsia" w:cs="宋体"/>
                <w:kern w:val="0"/>
                <w:sz w:val="18"/>
                <w:szCs w:val="18"/>
                <w:lang w:bidi="ar"/>
              </w:rPr>
              <w:t>6.设备包含移动底座壁装支架，首次免费安装</w:t>
            </w:r>
          </w:p>
          <w:p w14:paraId="26F54FFE">
            <w:pPr>
              <w:widowControl/>
              <w:wordWrap w:val="0"/>
              <w:jc w:val="left"/>
              <w:textAlignment w:val="center"/>
              <w:rPr>
                <w:rFonts w:ascii="Times New Roman" w:hAnsi="Times New Roman"/>
                <w:color w:val="auto"/>
                <w:kern w:val="0"/>
                <w:sz w:val="18"/>
                <w:szCs w:val="18"/>
                <w:highlight w:val="none"/>
              </w:rPr>
            </w:pPr>
            <w:r>
              <w:rPr>
                <w:rFonts w:hint="eastAsia" w:cs="宋体"/>
                <w:kern w:val="0"/>
                <w:sz w:val="18"/>
                <w:szCs w:val="18"/>
                <w:lang w:bidi="ar"/>
              </w:rPr>
              <w:t>7.★认证:需提供国家强制CCC、质检、中国节能认证等证书</w:t>
            </w:r>
          </w:p>
        </w:tc>
        <w:tc>
          <w:tcPr>
            <w:tcW w:w="965" w:type="dxa"/>
            <w:vAlign w:val="center"/>
          </w:tcPr>
          <w:p w14:paraId="44D50208">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5DB54F3A">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hint="eastAsia" w:cs="宋体"/>
                <w:color w:val="auto"/>
                <w:kern w:val="0"/>
                <w:sz w:val="22"/>
                <w:szCs w:val="22"/>
                <w:highlight w:val="none"/>
                <w:lang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r w14:paraId="2EB6C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dxa"/>
            <w:noWrap/>
            <w:vAlign w:val="center"/>
          </w:tcPr>
          <w:p w14:paraId="2A5E1EB9">
            <w:pPr>
              <w:widowControl/>
              <w:numPr>
                <w:ilvl w:val="0"/>
                <w:numId w:val="9"/>
              </w:numPr>
              <w:jc w:val="center"/>
              <w:rPr>
                <w:rFonts w:ascii="Times New Roman" w:hAnsi="Times New Roman"/>
                <w:color w:val="auto"/>
                <w:kern w:val="0"/>
                <w:szCs w:val="22"/>
                <w:highlight w:val="none"/>
              </w:rPr>
            </w:pPr>
          </w:p>
        </w:tc>
        <w:tc>
          <w:tcPr>
            <w:tcW w:w="1096" w:type="dxa"/>
            <w:vAlign w:val="center"/>
          </w:tcPr>
          <w:p w14:paraId="15E70600">
            <w:pPr>
              <w:widowControl/>
              <w:jc w:val="left"/>
              <w:textAlignment w:val="center"/>
              <w:rPr>
                <w:rFonts w:hint="eastAsia" w:cs="宋体"/>
                <w:color w:val="auto"/>
                <w:kern w:val="0"/>
                <w:sz w:val="18"/>
                <w:szCs w:val="18"/>
                <w:highlight w:val="none"/>
                <w:lang w:bidi="ar"/>
              </w:rPr>
            </w:pPr>
            <w:r>
              <w:rPr>
                <w:rFonts w:hint="eastAsia" w:cs="宋体"/>
                <w:kern w:val="0"/>
                <w:sz w:val="18"/>
                <w:szCs w:val="18"/>
                <w:lang w:bidi="ar"/>
              </w:rPr>
              <w:t>智能网络显示器</w:t>
            </w:r>
          </w:p>
        </w:tc>
        <w:tc>
          <w:tcPr>
            <w:tcW w:w="6947" w:type="dxa"/>
            <w:vAlign w:val="center"/>
          </w:tcPr>
          <w:p w14:paraId="4D18510D">
            <w:pPr>
              <w:widowControl/>
              <w:wordWrap w:val="0"/>
              <w:jc w:val="left"/>
              <w:textAlignment w:val="center"/>
              <w:rPr>
                <w:rFonts w:ascii="Times New Roman" w:hAnsi="Times New Roman"/>
                <w:color w:val="auto"/>
                <w:kern w:val="0"/>
                <w:sz w:val="18"/>
                <w:szCs w:val="18"/>
                <w:highlight w:val="none"/>
              </w:rPr>
            </w:pPr>
            <w:r>
              <w:rPr>
                <w:rFonts w:hint="eastAsia" w:cs="宋体"/>
                <w:kern w:val="0"/>
                <w:sz w:val="18"/>
                <w:szCs w:val="18"/>
                <w:lang w:bidi="ar"/>
              </w:rPr>
              <w:t>1.</w:t>
            </w:r>
            <w:r>
              <w:rPr>
                <w:rFonts w:cs="宋体"/>
                <w:kern w:val="0"/>
                <w:sz w:val="18"/>
                <w:szCs w:val="18"/>
                <w:lang w:bidi="ar"/>
              </w:rPr>
              <w:t>CPU架构≥A73</w:t>
            </w:r>
            <w:r>
              <w:rPr>
                <w:rFonts w:hint="eastAsia" w:cs="宋体"/>
                <w:kern w:val="0"/>
                <w:sz w:val="18"/>
                <w:szCs w:val="18"/>
                <w:lang w:bidi="ar"/>
              </w:rPr>
              <w:t>，屏幕尺寸≥98英寸，</w:t>
            </w:r>
            <w:r>
              <w:rPr>
                <w:rFonts w:cs="宋体"/>
                <w:kern w:val="0"/>
                <w:sz w:val="18"/>
                <w:szCs w:val="18"/>
                <w:lang w:bidi="ar"/>
              </w:rPr>
              <w:t>屏体刷新率</w:t>
            </w:r>
            <w:r>
              <w:rPr>
                <w:rFonts w:hint="eastAsia" w:cs="宋体"/>
                <w:kern w:val="0"/>
                <w:sz w:val="18"/>
                <w:szCs w:val="18"/>
                <w:lang w:bidi="ar"/>
              </w:rPr>
              <w:t>≥</w:t>
            </w:r>
            <w:r>
              <w:rPr>
                <w:rFonts w:cs="宋体"/>
                <w:kern w:val="0"/>
                <w:sz w:val="18"/>
                <w:szCs w:val="18"/>
                <w:lang w:bidi="ar"/>
              </w:rPr>
              <w:t>144Hz/288Hz(DLG)</w:t>
            </w:r>
            <w:r>
              <w:rPr>
                <w:rFonts w:hint="eastAsia" w:cs="宋体"/>
                <w:kern w:val="0"/>
                <w:sz w:val="18"/>
                <w:szCs w:val="18"/>
                <w:lang w:bidi="ar"/>
              </w:rPr>
              <w:t>，视角≥178°，</w:t>
            </w:r>
            <w:r>
              <w:rPr>
                <w:rFonts w:cs="宋体"/>
                <w:kern w:val="0"/>
                <w:sz w:val="18"/>
                <w:szCs w:val="18"/>
                <w:lang w:bidi="ar"/>
              </w:rPr>
              <w:t>功能模块 蓝牙5.4+WIFI 6</w:t>
            </w:r>
            <w:r>
              <w:rPr>
                <w:rFonts w:hint="eastAsia" w:cs="宋体"/>
                <w:kern w:val="0"/>
                <w:sz w:val="18"/>
                <w:szCs w:val="18"/>
                <w:lang w:bidi="ar"/>
              </w:rPr>
              <w:t>，内存</w:t>
            </w:r>
            <w:r>
              <w:rPr>
                <w:rFonts w:cs="宋体"/>
                <w:kern w:val="0"/>
                <w:sz w:val="18"/>
                <w:szCs w:val="18"/>
                <w:lang w:bidi="ar"/>
              </w:rPr>
              <w:t>≥4+64GB</w:t>
            </w:r>
            <w:r>
              <w:rPr>
                <w:rFonts w:hint="eastAsia" w:cs="宋体"/>
                <w:kern w:val="0"/>
                <w:sz w:val="18"/>
                <w:szCs w:val="18"/>
                <w:lang w:bidi="ar"/>
              </w:rPr>
              <w:t>，</w:t>
            </w:r>
            <w:r>
              <w:rPr>
                <w:rFonts w:cs="宋体"/>
                <w:kern w:val="0"/>
                <w:sz w:val="18"/>
                <w:szCs w:val="18"/>
                <w:lang w:bidi="ar"/>
              </w:rPr>
              <w:t>物理分辨率 3840×2160</w:t>
            </w:r>
            <w:r>
              <w:rPr>
                <w:rFonts w:hint="eastAsia" w:cs="宋体"/>
                <w:kern w:val="0"/>
                <w:sz w:val="18"/>
                <w:szCs w:val="18"/>
                <w:lang w:bidi="ar"/>
              </w:rPr>
              <w:t>，</w:t>
            </w:r>
            <w:r>
              <w:rPr>
                <w:rFonts w:cs="宋体"/>
                <w:kern w:val="0"/>
                <w:sz w:val="18"/>
                <w:szCs w:val="18"/>
                <w:lang w:bidi="ar"/>
              </w:rPr>
              <w:t>对比度 6000:1</w:t>
            </w:r>
            <w:r>
              <w:rPr>
                <w:rFonts w:hint="eastAsia" w:cs="宋体"/>
                <w:kern w:val="0"/>
                <w:sz w:val="18"/>
                <w:szCs w:val="18"/>
                <w:lang w:bidi="ar"/>
              </w:rPr>
              <w:t>，</w:t>
            </w:r>
            <w:r>
              <w:rPr>
                <w:rFonts w:cs="宋体"/>
                <w:kern w:val="0"/>
                <w:sz w:val="18"/>
                <w:szCs w:val="18"/>
                <w:lang w:bidi="ar"/>
              </w:rPr>
              <w:t>响应速度 6.5ms（TYP）</w:t>
            </w:r>
            <w:r>
              <w:rPr>
                <w:rFonts w:hint="eastAsia" w:cs="宋体"/>
                <w:kern w:val="0"/>
                <w:sz w:val="18"/>
                <w:szCs w:val="18"/>
                <w:lang w:bidi="ar"/>
              </w:rPr>
              <w:t>，</w:t>
            </w:r>
            <w:r>
              <w:rPr>
                <w:rFonts w:cs="宋体"/>
                <w:kern w:val="0"/>
                <w:sz w:val="18"/>
                <w:szCs w:val="18"/>
                <w:lang w:bidi="ar"/>
              </w:rPr>
              <w:t>灰度级 8bit+FRC</w:t>
            </w:r>
            <w:r>
              <w:rPr>
                <w:rFonts w:hint="eastAsia" w:cs="宋体"/>
                <w:kern w:val="0"/>
                <w:sz w:val="18"/>
                <w:szCs w:val="18"/>
                <w:lang w:bidi="ar"/>
              </w:rPr>
              <w:t>，支持人工智能语音控制</w:t>
            </w:r>
            <w:r>
              <w:rPr>
                <w:rFonts w:hint="eastAsia" w:cs="宋体"/>
                <w:kern w:val="0"/>
                <w:sz w:val="18"/>
                <w:szCs w:val="18"/>
                <w:lang w:bidi="ar"/>
              </w:rPr>
              <w:br w:type="textWrapping"/>
            </w:r>
            <w:r>
              <w:rPr>
                <w:rFonts w:hint="eastAsia" w:cs="宋体"/>
                <w:kern w:val="0"/>
                <w:sz w:val="18"/>
                <w:szCs w:val="18"/>
                <w:lang w:bidi="ar"/>
              </w:rPr>
              <w:t>2.屏幕分辨率超高清4K，</w:t>
            </w:r>
            <w:r>
              <w:rPr>
                <w:rFonts w:cs="宋体"/>
                <w:kern w:val="0"/>
                <w:sz w:val="18"/>
                <w:szCs w:val="18"/>
                <w:lang w:bidi="ar"/>
              </w:rPr>
              <w:t>色域 130%(BT.709）</w:t>
            </w:r>
            <w:r>
              <w:rPr>
                <w:rFonts w:hint="eastAsia" w:cs="宋体"/>
                <w:kern w:val="0"/>
                <w:sz w:val="18"/>
                <w:szCs w:val="18"/>
                <w:lang w:bidi="ar"/>
              </w:rPr>
              <w:t>，</w:t>
            </w:r>
            <w:r>
              <w:rPr>
                <w:rFonts w:cs="宋体"/>
                <w:kern w:val="0"/>
                <w:sz w:val="18"/>
                <w:szCs w:val="18"/>
                <w:lang w:bidi="ar"/>
              </w:rPr>
              <w:t>峰值亮度 400/450nit</w:t>
            </w:r>
            <w:r>
              <w:rPr>
                <w:rFonts w:hint="eastAsia" w:cs="宋体"/>
                <w:kern w:val="0"/>
                <w:sz w:val="18"/>
                <w:szCs w:val="18"/>
                <w:lang w:bidi="ar"/>
              </w:rPr>
              <w:br w:type="textWrapping"/>
            </w:r>
            <w:r>
              <w:rPr>
                <w:rFonts w:hint="eastAsia" w:cs="宋体"/>
                <w:kern w:val="0"/>
                <w:sz w:val="18"/>
                <w:szCs w:val="18"/>
                <w:lang w:bidi="ar"/>
              </w:rPr>
              <w:t>3.裸机尺寸（不含底座）宽2178mm；高1247mm；厚82mm</w:t>
            </w:r>
            <w:r>
              <w:rPr>
                <w:rFonts w:hint="eastAsia" w:cs="宋体"/>
                <w:kern w:val="0"/>
                <w:sz w:val="18"/>
                <w:szCs w:val="18"/>
                <w:lang w:bidi="ar"/>
              </w:rPr>
              <w:br w:type="textWrapping"/>
            </w:r>
            <w:r>
              <w:rPr>
                <w:rFonts w:hint="eastAsia" w:cs="宋体"/>
                <w:kern w:val="0"/>
                <w:sz w:val="18"/>
                <w:szCs w:val="18"/>
                <w:lang w:bidi="ar"/>
              </w:rPr>
              <w:t>4.</w:t>
            </w:r>
            <w:r>
              <w:rPr>
                <w:color w:val="000000"/>
                <w:sz w:val="16"/>
                <w:szCs w:val="16"/>
              </w:rPr>
              <w:t>HDMI 2.1接口</w:t>
            </w:r>
            <w:r>
              <w:rPr>
                <w:rFonts w:hint="eastAsia"/>
                <w:color w:val="000000"/>
                <w:sz w:val="16"/>
                <w:szCs w:val="16"/>
              </w:rPr>
              <w:t>*4</w:t>
            </w:r>
            <w:r>
              <w:rPr>
                <w:rFonts w:cs="宋体"/>
                <w:kern w:val="0"/>
                <w:sz w:val="18"/>
                <w:szCs w:val="18"/>
                <w:lang w:bidi="ar"/>
              </w:rPr>
              <w:t>USB 2.0*1+ USB 3.0*1</w:t>
            </w:r>
            <w:r>
              <w:rPr>
                <w:rFonts w:hint="eastAsia" w:cs="宋体"/>
                <w:kern w:val="0"/>
                <w:sz w:val="18"/>
                <w:szCs w:val="18"/>
                <w:lang w:bidi="ar"/>
              </w:rPr>
              <w:t>，运行系统Android</w:t>
            </w:r>
            <w:r>
              <w:rPr>
                <w:rFonts w:hint="eastAsia" w:cs="宋体"/>
                <w:kern w:val="0"/>
                <w:sz w:val="18"/>
                <w:szCs w:val="18"/>
                <w:lang w:bidi="ar"/>
              </w:rPr>
              <w:br w:type="textWrapping"/>
            </w:r>
            <w:r>
              <w:rPr>
                <w:rFonts w:hint="eastAsia" w:cs="宋体"/>
                <w:kern w:val="0"/>
                <w:sz w:val="18"/>
                <w:szCs w:val="18"/>
                <w:lang w:bidi="ar"/>
              </w:rPr>
              <w:t>5.开机无广告，</w:t>
            </w:r>
            <w:r>
              <w:rPr>
                <w:rFonts w:cs="宋体"/>
                <w:kern w:val="0"/>
                <w:sz w:val="18"/>
                <w:szCs w:val="18"/>
                <w:lang w:bidi="ar"/>
              </w:rPr>
              <w:t>功能模块 蓝牙5.4+WIFI 6</w:t>
            </w:r>
            <w:r>
              <w:rPr>
                <w:rFonts w:cs="宋体"/>
                <w:kern w:val="0"/>
                <w:sz w:val="18"/>
                <w:szCs w:val="18"/>
                <w:lang w:bidi="ar"/>
              </w:rPr>
              <w:br w:type="textWrapping"/>
            </w:r>
            <w:r>
              <w:rPr>
                <w:rFonts w:hint="eastAsia" w:cs="宋体"/>
                <w:kern w:val="0"/>
                <w:sz w:val="18"/>
                <w:szCs w:val="18"/>
                <w:lang w:bidi="ar"/>
              </w:rPr>
              <w:t>6.★认证:需提供国家强制CCC、质检、中国节能认证等证书</w:t>
            </w:r>
          </w:p>
        </w:tc>
        <w:tc>
          <w:tcPr>
            <w:tcW w:w="965" w:type="dxa"/>
            <w:vAlign w:val="center"/>
          </w:tcPr>
          <w:p w14:paraId="10C9F4EC">
            <w:pPr>
              <w:jc w:val="center"/>
              <w:rPr>
                <w:rFonts w:ascii="Times New Roman" w:hAnsi="Times New Roman"/>
                <w:color w:val="auto"/>
                <w:szCs w:val="21"/>
                <w:highlight w:val="none"/>
              </w:rPr>
            </w:pPr>
            <w:r>
              <w:rPr>
                <w:rFonts w:hint="eastAsia" w:ascii="Times New Roman" w:hAnsi="Times New Roman"/>
                <w:color w:val="auto"/>
                <w:szCs w:val="21"/>
                <w:highlight w:val="none"/>
              </w:rPr>
              <w:t>本设备共有标记</w:t>
            </w:r>
            <w:r>
              <w:rPr>
                <w:rFonts w:ascii="Times New Roman" w:hAnsi="Times New Roman"/>
                <w:color w:val="auto"/>
                <w:szCs w:val="21"/>
                <w:highlight w:val="none"/>
              </w:rPr>
              <w:t>“</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的重要技术参数计</w:t>
            </w:r>
            <w:r>
              <w:rPr>
                <w:rFonts w:hint="eastAsia" w:ascii="Times New Roman" w:hAnsi="Times New Roman"/>
                <w:color w:val="auto"/>
                <w:szCs w:val="21"/>
                <w:highlight w:val="none"/>
                <w:u w:val="single"/>
                <w:lang w:val="en-US" w:eastAsia="zh-CN"/>
              </w:rPr>
              <w:t>0</w:t>
            </w:r>
            <w:r>
              <w:rPr>
                <w:rFonts w:ascii="Times New Roman" w:hAnsi="Times New Roman"/>
                <w:color w:val="auto"/>
                <w:szCs w:val="21"/>
                <w:highlight w:val="none"/>
              </w:rPr>
              <w:t>条</w:t>
            </w:r>
            <w:r>
              <w:rPr>
                <w:rFonts w:hint="eastAsia" w:ascii="Times New Roman" w:hAnsi="Times New Roman"/>
                <w:color w:val="auto"/>
                <w:szCs w:val="21"/>
                <w:highlight w:val="none"/>
              </w:rPr>
              <w:t>；</w:t>
            </w:r>
          </w:p>
          <w:p w14:paraId="56F5740B">
            <w:pPr>
              <w:jc w:val="center"/>
              <w:rPr>
                <w:rFonts w:ascii="Times New Roman" w:hAnsi="Times New Roman"/>
                <w:color w:val="auto"/>
                <w:szCs w:val="21"/>
                <w:highlight w:val="none"/>
              </w:rPr>
            </w:pPr>
            <w:r>
              <w:rPr>
                <w:rFonts w:hint="eastAsia" w:ascii="Times New Roman" w:hAnsi="Times New Roman"/>
                <w:color w:val="auto"/>
                <w:szCs w:val="21"/>
                <w:highlight w:val="none"/>
                <w:lang w:val="en-US" w:eastAsia="zh-CN"/>
              </w:rPr>
              <w:t>其余</w:t>
            </w:r>
            <w:r>
              <w:rPr>
                <w:rFonts w:ascii="Times New Roman" w:hAnsi="Times New Roman"/>
                <w:color w:val="auto"/>
                <w:szCs w:val="21"/>
                <w:highlight w:val="none"/>
              </w:rPr>
              <w:t>未标记“</w:t>
            </w:r>
            <w:r>
              <w:rPr>
                <w:rFonts w:hint="eastAsia" w:ascii="宋体" w:hAnsi="宋体" w:eastAsia="宋体" w:cs="宋体"/>
                <w:i w:val="0"/>
                <w:iCs w:val="0"/>
                <w:color w:val="auto"/>
                <w:kern w:val="0"/>
                <w:sz w:val="18"/>
                <w:szCs w:val="18"/>
                <w:highlight w:val="none"/>
                <w:u w:val="none"/>
                <w:lang w:val="en-US" w:eastAsia="zh-CN" w:bidi="ar"/>
              </w:rPr>
              <w:t>▲</w:t>
            </w:r>
            <w:r>
              <w:rPr>
                <w:rFonts w:ascii="Times New Roman" w:hAnsi="Times New Roman"/>
                <w:color w:val="auto"/>
                <w:szCs w:val="21"/>
                <w:highlight w:val="none"/>
              </w:rPr>
              <w:t>”</w:t>
            </w:r>
            <w:r>
              <w:rPr>
                <w:rFonts w:hint="eastAsia" w:ascii="Times New Roman" w:hAnsi="Times New Roman"/>
                <w:color w:val="auto"/>
                <w:szCs w:val="21"/>
                <w:highlight w:val="none"/>
              </w:rPr>
              <w:t>的一般技术参数计</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1</w:t>
            </w:r>
            <w:r>
              <w:rPr>
                <w:rFonts w:ascii="Times New Roman" w:hAnsi="Times New Roman"/>
                <w:color w:val="auto"/>
                <w:szCs w:val="21"/>
                <w:highlight w:val="none"/>
              </w:rPr>
              <w:t>条</w:t>
            </w:r>
            <w:r>
              <w:rPr>
                <w:rFonts w:hint="eastAsia" w:ascii="Times New Roman" w:hAnsi="Times New Roman"/>
                <w:color w:val="auto"/>
                <w:szCs w:val="21"/>
                <w:highlight w:val="none"/>
                <w:lang w:val="en-US" w:eastAsia="zh-CN"/>
              </w:rPr>
              <w:t>。</w:t>
            </w:r>
            <w:r>
              <w:rPr>
                <w:rFonts w:hint="eastAsia" w:cs="宋体"/>
                <w:color w:val="auto"/>
                <w:kern w:val="0"/>
                <w:sz w:val="22"/>
                <w:szCs w:val="22"/>
                <w:highlight w:val="none"/>
                <w:lang w:bidi="ar"/>
              </w:rPr>
              <w:t>★</w:t>
            </w:r>
            <w:r>
              <w:rPr>
                <w:rFonts w:hint="eastAsia" w:ascii="Times New Roman" w:hAnsi="Times New Roman"/>
                <w:color w:val="auto"/>
                <w:szCs w:val="21"/>
                <w:highlight w:val="none"/>
                <w:lang w:val="en-US" w:eastAsia="zh-CN"/>
              </w:rPr>
              <w:t>为</w:t>
            </w:r>
            <w:r>
              <w:rPr>
                <w:rFonts w:ascii="Times New Roman" w:hAnsi="Times New Roman"/>
                <w:color w:val="auto"/>
                <w:szCs w:val="21"/>
                <w:highlight w:val="none"/>
              </w:rPr>
              <w:t>实质性响应招标文件</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不满足不通过符合性评审。</w:t>
            </w:r>
          </w:p>
        </w:tc>
      </w:tr>
    </w:tbl>
    <w:p w14:paraId="3CFE1BD5">
      <w:pPr>
        <w:rPr>
          <w:color w:val="auto"/>
          <w:highlight w:val="none"/>
        </w:rPr>
      </w:pPr>
      <w:r>
        <w:rPr>
          <w:rFonts w:hint="eastAsia"/>
          <w:color w:val="auto"/>
          <w:highlight w:val="none"/>
        </w:rPr>
        <w:t xml:space="preserve"> </w:t>
      </w:r>
    </w:p>
    <w:p w14:paraId="7B7EA1ED">
      <w:pPr>
        <w:pStyle w:val="3"/>
        <w:numPr>
          <w:ilvl w:val="0"/>
          <w:numId w:val="0"/>
        </w:numPr>
        <w:rPr>
          <w:rFonts w:ascii="Times New Roman" w:hAnsi="Times New Roman" w:eastAsia="宋体"/>
          <w:color w:val="auto"/>
          <w:sz w:val="21"/>
          <w:szCs w:val="21"/>
          <w:highlight w:val="none"/>
        </w:rPr>
      </w:pPr>
      <w:bookmarkStart w:id="333" w:name="_Toc91696455"/>
      <w:bookmarkStart w:id="334" w:name="_Toc13069"/>
      <w:bookmarkStart w:id="335" w:name="_Toc152862930"/>
      <w:r>
        <w:rPr>
          <w:rFonts w:ascii="Times New Roman" w:hAnsi="Times New Roman" w:eastAsia="宋体"/>
          <w:color w:val="auto"/>
          <w:sz w:val="21"/>
          <w:szCs w:val="21"/>
          <w:highlight w:val="none"/>
        </w:rPr>
        <w:t>三、商务要求</w:t>
      </w:r>
      <w:bookmarkEnd w:id="333"/>
      <w:bookmarkEnd w:id="334"/>
      <w:bookmarkEnd w:id="335"/>
    </w:p>
    <w:p w14:paraId="44170259">
      <w:pPr>
        <w:rPr>
          <w:rFonts w:ascii="Times New Roman" w:hAnsi="Times New Roman"/>
          <w:color w:val="auto"/>
          <w:szCs w:val="21"/>
          <w:highlight w:val="none"/>
        </w:rPr>
      </w:pPr>
      <w:r>
        <w:rPr>
          <w:rFonts w:ascii="Times New Roman" w:hAnsi="Times New Roman"/>
          <w:color w:val="auto"/>
          <w:szCs w:val="21"/>
          <w:highlight w:val="none"/>
        </w:rPr>
        <w:t>1、交货期：详见招标公告。</w:t>
      </w:r>
    </w:p>
    <w:p w14:paraId="41C1F6E9">
      <w:pPr>
        <w:rPr>
          <w:rFonts w:ascii="Times New Roman" w:hAnsi="Times New Roman"/>
          <w:color w:val="auto"/>
          <w:szCs w:val="21"/>
          <w:highlight w:val="none"/>
        </w:rPr>
      </w:pPr>
      <w:r>
        <w:rPr>
          <w:rFonts w:ascii="Times New Roman" w:hAnsi="Times New Roman"/>
          <w:color w:val="auto"/>
          <w:szCs w:val="21"/>
          <w:highlight w:val="none"/>
        </w:rPr>
        <w:t>2、交货地点：详见招标公告。</w:t>
      </w:r>
    </w:p>
    <w:p w14:paraId="492A15AC">
      <w:pPr>
        <w:rPr>
          <w:rFonts w:ascii="Times New Roman" w:hAnsi="Times New Roman"/>
          <w:color w:val="auto"/>
          <w:szCs w:val="21"/>
          <w:highlight w:val="none"/>
        </w:rPr>
      </w:pPr>
      <w:r>
        <w:rPr>
          <w:rFonts w:ascii="Times New Roman" w:hAnsi="Times New Roman"/>
          <w:color w:val="auto"/>
          <w:szCs w:val="21"/>
          <w:highlight w:val="none"/>
        </w:rPr>
        <w:t>3、付款条件（进度和方式）：详见招标文件第三章《合同书样式及主要条款》。</w:t>
      </w:r>
    </w:p>
    <w:p w14:paraId="6E8E36D5">
      <w:pPr>
        <w:rPr>
          <w:rFonts w:ascii="Times New Roman" w:hAnsi="Times New Roman"/>
          <w:color w:val="auto"/>
          <w:szCs w:val="21"/>
          <w:highlight w:val="none"/>
        </w:rPr>
      </w:pPr>
      <w:r>
        <w:rPr>
          <w:rFonts w:ascii="Times New Roman" w:hAnsi="Times New Roman"/>
          <w:color w:val="auto"/>
          <w:szCs w:val="21"/>
          <w:highlight w:val="none"/>
        </w:rPr>
        <w:t>4、质保期：详见招标公告。</w:t>
      </w:r>
    </w:p>
    <w:p w14:paraId="60DA70EE">
      <w:pPr>
        <w:spacing w:line="360" w:lineRule="auto"/>
        <w:rPr>
          <w:rFonts w:ascii="Times New Roman" w:hAnsi="Times New Roman"/>
          <w:color w:val="auto"/>
          <w:szCs w:val="21"/>
          <w:highlight w:val="none"/>
        </w:rPr>
      </w:pPr>
      <w:r>
        <w:rPr>
          <w:rFonts w:ascii="Times New Roman" w:hAnsi="Times New Roman"/>
          <w:color w:val="auto"/>
          <w:szCs w:val="21"/>
          <w:highlight w:val="none"/>
        </w:rPr>
        <w:t>5、售后服务要求：维修时间</w:t>
      </w:r>
      <w:r>
        <w:rPr>
          <w:rFonts w:hint="eastAsia" w:ascii="Times New Roman" w:hAnsi="Times New Roman"/>
          <w:color w:val="auto"/>
          <w:szCs w:val="21"/>
          <w:highlight w:val="none"/>
        </w:rPr>
        <w:t>：</w:t>
      </w:r>
      <w:r>
        <w:rPr>
          <w:rFonts w:ascii="Times New Roman" w:hAnsi="Times New Roman"/>
          <w:color w:val="auto"/>
          <w:szCs w:val="21"/>
          <w:highlight w:val="none"/>
        </w:rPr>
        <w:t>在保修期内，卖方工程师在收到用户的维修服务要求后</w:t>
      </w:r>
      <w:r>
        <w:rPr>
          <w:rFonts w:hint="eastAsia" w:ascii="Times New Roman" w:hAnsi="Times New Roman"/>
          <w:color w:val="auto"/>
          <w:szCs w:val="21"/>
          <w:highlight w:val="none"/>
        </w:rPr>
        <w:t>，</w:t>
      </w:r>
      <w:r>
        <w:rPr>
          <w:rFonts w:ascii="Times New Roman" w:hAnsi="Times New Roman"/>
          <w:color w:val="auto"/>
          <w:szCs w:val="21"/>
          <w:highlight w:val="none"/>
        </w:rPr>
        <w:t>3日内完成或解决问题。</w:t>
      </w:r>
      <w:r>
        <w:rPr>
          <w:rFonts w:hint="eastAsia" w:ascii="Times New Roman" w:hAnsi="Times New Roman"/>
          <w:color w:val="auto"/>
          <w:szCs w:val="21"/>
          <w:highlight w:val="none"/>
        </w:rPr>
        <w:t>提供售后服务承诺及定期检查与维护保养计划。</w:t>
      </w:r>
    </w:p>
    <w:p w14:paraId="372B3580">
      <w:pPr>
        <w:spacing w:line="360" w:lineRule="auto"/>
        <w:rPr>
          <w:color w:val="auto"/>
          <w:szCs w:val="21"/>
          <w:highlight w:val="none"/>
        </w:rPr>
      </w:pPr>
      <w:r>
        <w:rPr>
          <w:rFonts w:hint="eastAsia" w:ascii="Times New Roman" w:hAnsi="Times New Roman"/>
          <w:color w:val="auto"/>
          <w:szCs w:val="21"/>
          <w:highlight w:val="none"/>
        </w:rPr>
        <w:t>6、项目实施方案：包括</w:t>
      </w:r>
      <w:r>
        <w:rPr>
          <w:rFonts w:hint="eastAsia"/>
          <w:color w:val="auto"/>
          <w:szCs w:val="21"/>
          <w:highlight w:val="none"/>
        </w:rPr>
        <w:t>系统调试及试运行方案；培训方案；系统设计方案；</w:t>
      </w:r>
    </w:p>
    <w:p w14:paraId="0FB03D94">
      <w:pPr>
        <w:rPr>
          <w:rStyle w:val="93"/>
          <w:color w:val="auto"/>
          <w:sz w:val="36"/>
          <w:szCs w:val="36"/>
          <w:highlight w:val="none"/>
        </w:rPr>
      </w:pPr>
      <w:bookmarkStart w:id="336" w:name="_Toc69912451"/>
      <w:bookmarkStart w:id="337" w:name="_Toc91696457"/>
      <w:r>
        <w:rPr>
          <w:rStyle w:val="93"/>
          <w:color w:val="auto"/>
          <w:sz w:val="36"/>
          <w:szCs w:val="36"/>
          <w:highlight w:val="none"/>
        </w:rPr>
        <w:br w:type="page"/>
      </w:r>
    </w:p>
    <w:p w14:paraId="77371494">
      <w:pPr>
        <w:pStyle w:val="2"/>
        <w:numPr>
          <w:ilvl w:val="0"/>
          <w:numId w:val="0"/>
        </w:numPr>
        <w:spacing w:line="240" w:lineRule="auto"/>
        <w:jc w:val="center"/>
        <w:rPr>
          <w:rFonts w:ascii="Times New Roman" w:hAnsi="Times New Roman" w:eastAsia="宋体"/>
          <w:b w:val="0"/>
          <w:color w:val="auto"/>
          <w:szCs w:val="21"/>
          <w:highlight w:val="none"/>
        </w:rPr>
      </w:pPr>
      <w:bookmarkStart w:id="338" w:name="_Toc643"/>
      <w:r>
        <w:rPr>
          <w:rStyle w:val="93"/>
          <w:rFonts w:eastAsia="宋体"/>
          <w:b/>
          <w:color w:val="auto"/>
          <w:sz w:val="36"/>
          <w:szCs w:val="36"/>
          <w:highlight w:val="none"/>
        </w:rPr>
        <w:t>第六章  资格评审标准</w:t>
      </w:r>
      <w:bookmarkEnd w:id="325"/>
      <w:bookmarkEnd w:id="326"/>
      <w:bookmarkEnd w:id="336"/>
      <w:bookmarkEnd w:id="337"/>
      <w:bookmarkEnd w:id="338"/>
    </w:p>
    <w:p w14:paraId="171D6C5A">
      <w:pPr>
        <w:tabs>
          <w:tab w:val="left" w:pos="2472"/>
        </w:tabs>
        <w:ind w:firstLine="420" w:firstLineChars="200"/>
        <w:rPr>
          <w:rFonts w:ascii="Times New Roman" w:hAnsi="Times New Roman"/>
          <w:b/>
          <w:color w:val="auto"/>
          <w:szCs w:val="21"/>
          <w:highlight w:val="none"/>
        </w:rPr>
      </w:pPr>
      <w:bookmarkStart w:id="339" w:name="_Hlk17286885"/>
      <w:r>
        <w:rPr>
          <w:rFonts w:ascii="Times New Roman" w:hAnsi="Times New Roman"/>
          <w:b/>
          <w:color w:val="auto"/>
          <w:szCs w:val="21"/>
          <w:highlight w:val="none"/>
        </w:rPr>
        <w:t>开标结束后，采购人或者采购代理机构应当依法对投标人的资格进行审查，见评审内容及标准。下列条款若有一条不符合要求的，即资格评审不予通过，当资格评审合格投标人不足3家的，不得评标。</w:t>
      </w:r>
    </w:p>
    <w:bookmarkEnd w:id="339"/>
    <w:tbl>
      <w:tblPr>
        <w:tblStyle w:val="39"/>
        <w:tblW w:w="10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690"/>
        <w:gridCol w:w="8801"/>
      </w:tblGrid>
      <w:tr w14:paraId="62D6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jc w:val="center"/>
        </w:trPr>
        <w:tc>
          <w:tcPr>
            <w:tcW w:w="905" w:type="dxa"/>
            <w:vAlign w:val="center"/>
          </w:tcPr>
          <w:p w14:paraId="5ED27277">
            <w:pPr>
              <w:spacing w:before="100" w:beforeAutospacing="1" w:after="100" w:afterAutospacing="1"/>
              <w:jc w:val="center"/>
              <w:rPr>
                <w:rFonts w:ascii="Times New Roman" w:hAnsi="Times New Roman"/>
                <w:b/>
                <w:color w:val="auto"/>
                <w:szCs w:val="21"/>
                <w:highlight w:val="none"/>
              </w:rPr>
            </w:pPr>
            <w:r>
              <w:rPr>
                <w:rFonts w:ascii="Times New Roman" w:hAnsi="Times New Roman"/>
                <w:b/>
                <w:color w:val="auto"/>
                <w:szCs w:val="21"/>
                <w:highlight w:val="none"/>
              </w:rPr>
              <w:t>评审程序</w:t>
            </w:r>
          </w:p>
        </w:tc>
        <w:tc>
          <w:tcPr>
            <w:tcW w:w="9491" w:type="dxa"/>
            <w:gridSpan w:val="2"/>
            <w:vAlign w:val="center"/>
          </w:tcPr>
          <w:p w14:paraId="4A7E1ACB">
            <w:pPr>
              <w:spacing w:before="100" w:beforeAutospacing="1" w:after="100" w:afterAutospacing="1"/>
              <w:jc w:val="center"/>
              <w:rPr>
                <w:rFonts w:ascii="Times New Roman" w:hAnsi="Times New Roman"/>
                <w:b/>
                <w:color w:val="auto"/>
                <w:szCs w:val="21"/>
                <w:highlight w:val="none"/>
              </w:rPr>
            </w:pPr>
            <w:r>
              <w:rPr>
                <w:rFonts w:ascii="Times New Roman" w:hAnsi="Times New Roman"/>
                <w:b/>
                <w:color w:val="auto"/>
                <w:szCs w:val="21"/>
                <w:highlight w:val="none"/>
              </w:rPr>
              <w:t>评 审 内 容 及 标 准</w:t>
            </w:r>
          </w:p>
        </w:tc>
      </w:tr>
      <w:tr w14:paraId="0BEE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jc w:val="center"/>
        </w:trPr>
        <w:tc>
          <w:tcPr>
            <w:tcW w:w="905" w:type="dxa"/>
            <w:vMerge w:val="restart"/>
            <w:vAlign w:val="center"/>
          </w:tcPr>
          <w:p w14:paraId="621A097D">
            <w:pPr>
              <w:spacing w:before="100" w:beforeAutospacing="1" w:after="100" w:afterAutospacing="1"/>
              <w:jc w:val="center"/>
              <w:rPr>
                <w:rFonts w:ascii="Times New Roman" w:hAnsi="Times New Roman"/>
                <w:b/>
                <w:color w:val="auto"/>
                <w:szCs w:val="21"/>
                <w:highlight w:val="none"/>
              </w:rPr>
            </w:pPr>
            <w:r>
              <w:rPr>
                <w:rFonts w:ascii="Times New Roman" w:hAnsi="Times New Roman"/>
                <w:color w:val="auto"/>
                <w:szCs w:val="21"/>
                <w:highlight w:val="none"/>
              </w:rPr>
              <w:t>资格评审标准</w:t>
            </w:r>
          </w:p>
        </w:tc>
        <w:tc>
          <w:tcPr>
            <w:tcW w:w="690" w:type="dxa"/>
            <w:vAlign w:val="center"/>
          </w:tcPr>
          <w:p w14:paraId="1BEAFD9E">
            <w:pPr>
              <w:spacing w:before="100" w:beforeAutospacing="1" w:after="100" w:afterAutospacing="1" w:line="320" w:lineRule="exact"/>
              <w:jc w:val="center"/>
              <w:rPr>
                <w:rFonts w:ascii="Times New Roman" w:hAnsi="Times New Roman"/>
                <w:b/>
                <w:color w:val="auto"/>
                <w:szCs w:val="21"/>
                <w:highlight w:val="none"/>
              </w:rPr>
            </w:pPr>
            <w:r>
              <w:rPr>
                <w:rFonts w:ascii="Times New Roman" w:hAnsi="Times New Roman"/>
                <w:b/>
                <w:color w:val="auto"/>
                <w:szCs w:val="21"/>
                <w:highlight w:val="none"/>
              </w:rPr>
              <w:t>1</w:t>
            </w:r>
          </w:p>
        </w:tc>
        <w:tc>
          <w:tcPr>
            <w:tcW w:w="8801" w:type="dxa"/>
            <w:vAlign w:val="center"/>
          </w:tcPr>
          <w:p w14:paraId="21105DE2">
            <w:pPr>
              <w:spacing w:before="100" w:beforeAutospacing="1" w:after="100" w:afterAutospacing="1" w:line="320" w:lineRule="exact"/>
              <w:jc w:val="left"/>
              <w:rPr>
                <w:rFonts w:ascii="Times New Roman" w:hAnsi="Times New Roman"/>
                <w:b/>
                <w:color w:val="auto"/>
                <w:szCs w:val="21"/>
                <w:highlight w:val="none"/>
              </w:rPr>
            </w:pPr>
            <w:r>
              <w:rPr>
                <w:rFonts w:ascii="Times New Roman" w:hAnsi="Times New Roman"/>
                <w:b/>
                <w:color w:val="auto"/>
                <w:szCs w:val="21"/>
                <w:highlight w:val="none"/>
              </w:rPr>
              <w:t>投标人应具备《中华人民共和国政府采购法》第二十二条规定的条件，并提供下列材料：</w:t>
            </w:r>
          </w:p>
        </w:tc>
      </w:tr>
      <w:tr w14:paraId="0898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53B95E8E">
            <w:pPr>
              <w:spacing w:before="100" w:beforeAutospacing="1" w:after="100" w:afterAutospacing="1"/>
              <w:jc w:val="center"/>
              <w:rPr>
                <w:rFonts w:ascii="Times New Roman" w:hAnsi="Times New Roman"/>
                <w:color w:val="auto"/>
                <w:szCs w:val="21"/>
                <w:highlight w:val="none"/>
              </w:rPr>
            </w:pPr>
          </w:p>
        </w:tc>
        <w:tc>
          <w:tcPr>
            <w:tcW w:w="690" w:type="dxa"/>
            <w:vAlign w:val="center"/>
          </w:tcPr>
          <w:p w14:paraId="096D531E">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1.1</w:t>
            </w:r>
          </w:p>
        </w:tc>
        <w:tc>
          <w:tcPr>
            <w:tcW w:w="8801" w:type="dxa"/>
            <w:vAlign w:val="center"/>
          </w:tcPr>
          <w:p w14:paraId="421A5E18">
            <w:pPr>
              <w:spacing w:before="100" w:beforeAutospacing="1" w:after="100" w:afterAutospacing="1" w:line="320" w:lineRule="exact"/>
              <w:jc w:val="left"/>
              <w:rPr>
                <w:rFonts w:ascii="Times New Roman" w:hAnsi="Times New Roman"/>
                <w:color w:val="auto"/>
                <w:szCs w:val="21"/>
                <w:highlight w:val="none"/>
              </w:rPr>
            </w:pPr>
            <w:r>
              <w:rPr>
                <w:rFonts w:ascii="Times New Roman" w:hAnsi="Times New Roman"/>
                <w:color w:val="auto"/>
                <w:szCs w:val="21"/>
                <w:highlight w:val="none"/>
              </w:rPr>
              <w:t>投标人具有独立承担民事责任的能力</w:t>
            </w:r>
            <w:r>
              <w:rPr>
                <w:rFonts w:hint="eastAsia" w:ascii="Times New Roman" w:hAnsi="Times New Roman"/>
                <w:color w:val="auto"/>
                <w:szCs w:val="21"/>
                <w:highlight w:val="none"/>
              </w:rPr>
              <w:t>：提供法人或者其他组织或自然人等有效的营业执照或同等证明文件</w:t>
            </w:r>
            <w:r>
              <w:rPr>
                <w:rFonts w:ascii="Times New Roman" w:hAnsi="Times New Roman"/>
                <w:color w:val="auto"/>
                <w:szCs w:val="21"/>
                <w:highlight w:val="none"/>
              </w:rPr>
              <w:t>；</w:t>
            </w:r>
          </w:p>
        </w:tc>
      </w:tr>
      <w:tr w14:paraId="52F0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6274A85C">
            <w:pPr>
              <w:spacing w:before="100" w:beforeAutospacing="1" w:after="100" w:afterAutospacing="1"/>
              <w:jc w:val="center"/>
              <w:rPr>
                <w:rFonts w:ascii="Times New Roman" w:hAnsi="Times New Roman"/>
                <w:color w:val="auto"/>
                <w:szCs w:val="21"/>
                <w:highlight w:val="none"/>
              </w:rPr>
            </w:pPr>
          </w:p>
        </w:tc>
        <w:tc>
          <w:tcPr>
            <w:tcW w:w="690" w:type="dxa"/>
            <w:vAlign w:val="center"/>
          </w:tcPr>
          <w:p w14:paraId="306BB740">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1.2</w:t>
            </w:r>
          </w:p>
        </w:tc>
        <w:tc>
          <w:tcPr>
            <w:tcW w:w="8801" w:type="dxa"/>
            <w:vAlign w:val="center"/>
          </w:tcPr>
          <w:p w14:paraId="2F61E652">
            <w:pPr>
              <w:ind w:firstLine="422" w:firstLineChars="201"/>
              <w:rPr>
                <w:rFonts w:ascii="Times New Roman" w:hAnsi="Times New Roman"/>
                <w:color w:val="auto"/>
                <w:szCs w:val="21"/>
                <w:highlight w:val="none"/>
              </w:rPr>
            </w:pPr>
            <w:r>
              <w:rPr>
                <w:rFonts w:ascii="Times New Roman" w:hAnsi="Times New Roman"/>
                <w:color w:val="auto"/>
                <w:szCs w:val="21"/>
                <w:highlight w:val="none"/>
              </w:rPr>
              <w:t>投标人具有良好的商业信誉和健全的财务会计制度：</w:t>
            </w:r>
          </w:p>
          <w:p w14:paraId="59CDA9FC">
            <w:pPr>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①提供2023年或2024年经审计的财务报告（包括资产负债表、利润表/损益表、现金流量表、所有者权益变动表及其附注，执行小企业会计制度的可不用提供所有者权益变动表，事业单位可不用提供利润表/损益表）；</w:t>
            </w:r>
          </w:p>
          <w:p w14:paraId="41FF0C5A">
            <w:pPr>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②提供自投标文件提交截止时间前三个月内基本开户银行出具的资信证明；</w:t>
            </w:r>
          </w:p>
          <w:p w14:paraId="7089B06F">
            <w:pPr>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③提供财政部门认可的政府采购专业担保机构对供应商进行资信审查后出具的投标担保函（担保机构须为财政部门认可的政府采购专业担保机构，需提供证明材料）；</w:t>
            </w:r>
          </w:p>
          <w:p w14:paraId="6D42870F">
            <w:pPr>
              <w:ind w:firstLine="422" w:firstLineChars="201"/>
              <w:rPr>
                <w:rFonts w:ascii="Times New Roman" w:hAnsi="Times New Roman"/>
                <w:color w:val="auto"/>
                <w:szCs w:val="21"/>
                <w:highlight w:val="none"/>
              </w:rPr>
            </w:pPr>
            <w:r>
              <w:rPr>
                <w:rFonts w:hint="eastAsia" w:ascii="Times New Roman" w:hAnsi="Times New Roman"/>
                <w:color w:val="auto"/>
                <w:szCs w:val="21"/>
                <w:highlight w:val="none"/>
              </w:rPr>
              <w:t>2025年新成立的供应商可提供②或③。</w:t>
            </w:r>
          </w:p>
          <w:p w14:paraId="2C444AA7">
            <w:pPr>
              <w:rPr>
                <w:rFonts w:ascii="Times New Roman" w:hAnsi="Times New Roman"/>
                <w:color w:val="auto"/>
                <w:highlight w:val="none"/>
              </w:rPr>
            </w:pPr>
            <w:r>
              <w:rPr>
                <w:rFonts w:ascii="Times New Roman" w:hAnsi="Times New Roman"/>
                <w:color w:val="auto"/>
                <w:szCs w:val="21"/>
                <w:highlight w:val="none"/>
              </w:rPr>
              <w:t>（投标人可根据自身情况提供上述任意一种证明材料）</w:t>
            </w:r>
          </w:p>
        </w:tc>
      </w:tr>
      <w:tr w14:paraId="2A8D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782C54DD">
            <w:pPr>
              <w:spacing w:before="100" w:beforeAutospacing="1" w:after="100" w:afterAutospacing="1"/>
              <w:jc w:val="center"/>
              <w:rPr>
                <w:rFonts w:ascii="Times New Roman" w:hAnsi="Times New Roman"/>
                <w:color w:val="auto"/>
                <w:szCs w:val="21"/>
                <w:highlight w:val="none"/>
              </w:rPr>
            </w:pPr>
          </w:p>
        </w:tc>
        <w:tc>
          <w:tcPr>
            <w:tcW w:w="690" w:type="dxa"/>
            <w:vAlign w:val="center"/>
          </w:tcPr>
          <w:p w14:paraId="57C092C0">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1.3</w:t>
            </w:r>
          </w:p>
        </w:tc>
        <w:tc>
          <w:tcPr>
            <w:tcW w:w="8801" w:type="dxa"/>
            <w:vAlign w:val="center"/>
          </w:tcPr>
          <w:p w14:paraId="11CAC252">
            <w:pPr>
              <w:rPr>
                <w:rFonts w:ascii="Times New Roman" w:hAnsi="Times New Roman"/>
                <w:color w:val="auto"/>
                <w:highlight w:val="none"/>
              </w:rPr>
            </w:pPr>
            <w:r>
              <w:rPr>
                <w:rFonts w:ascii="Times New Roman" w:hAnsi="Times New Roman"/>
                <w:color w:val="auto"/>
                <w:szCs w:val="21"/>
                <w:highlight w:val="none"/>
              </w:rPr>
              <w:t>投标人具有履行合同所必需的设备和专业技术能力（投标人提供书面声明或证明材料）；</w:t>
            </w:r>
          </w:p>
        </w:tc>
      </w:tr>
      <w:tr w14:paraId="19FA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0E95AF5B">
            <w:pPr>
              <w:spacing w:before="100" w:beforeAutospacing="1" w:after="100" w:afterAutospacing="1"/>
              <w:rPr>
                <w:rFonts w:ascii="Times New Roman" w:hAnsi="Times New Roman"/>
                <w:color w:val="auto"/>
                <w:szCs w:val="21"/>
                <w:highlight w:val="none"/>
              </w:rPr>
            </w:pPr>
          </w:p>
        </w:tc>
        <w:tc>
          <w:tcPr>
            <w:tcW w:w="690" w:type="dxa"/>
            <w:vAlign w:val="center"/>
          </w:tcPr>
          <w:p w14:paraId="1F74E677">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1.4</w:t>
            </w:r>
          </w:p>
        </w:tc>
        <w:tc>
          <w:tcPr>
            <w:tcW w:w="8801" w:type="dxa"/>
          </w:tcPr>
          <w:p w14:paraId="62BA23BE">
            <w:pPr>
              <w:rPr>
                <w:rFonts w:ascii="Times New Roman" w:hAnsi="Times New Roman"/>
                <w:color w:val="auto"/>
                <w:highlight w:val="none"/>
              </w:rPr>
            </w:pPr>
            <w:r>
              <w:rPr>
                <w:rFonts w:ascii="Times New Roman" w:hAnsi="Times New Roman"/>
                <w:color w:val="auto"/>
                <w:szCs w:val="21"/>
                <w:highlight w:val="none"/>
              </w:rPr>
              <w:t>投标人具有依法缴纳税收和社会保障资金的良好记录：投标人须提供缴税所属时间在202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税务局税收通用缴款书或银行电子缴税（费）凭证或税务局出具纳税情况的相关证明，依法免税的，应提供依法免税的相关证明文件；投标人须提供缴费所属时间在202</w:t>
            </w:r>
            <w:r>
              <w:rPr>
                <w:rFonts w:hint="eastAsia" w:ascii="Times New Roman" w:hAnsi="Times New Roman"/>
                <w:color w:val="auto"/>
                <w:szCs w:val="21"/>
                <w:highlight w:val="none"/>
              </w:rPr>
              <w:t>4</w:t>
            </w:r>
            <w:r>
              <w:rPr>
                <w:rFonts w:ascii="Times New Roman" w:hAnsi="Times New Roman"/>
                <w:color w:val="auto"/>
                <w:szCs w:val="21"/>
                <w:highlight w:val="none"/>
              </w:rPr>
              <w:t>年01月至本项目投标文件提交截止时间前任意2个月的社会保险费缴款书或银行电子缴税（费）凭证或社保管理部门出具的有效的缴款证明，依法免缴的，应提供依法免缴的相关证明文件；成立未满3个月的提供成立以来的税收和社会保障资金缴纳凭证或相关情况说明</w:t>
            </w:r>
            <w:r>
              <w:rPr>
                <w:rFonts w:hint="eastAsia" w:ascii="Times New Roman" w:hAnsi="Times New Roman"/>
                <w:color w:val="auto"/>
                <w:szCs w:val="21"/>
                <w:highlight w:val="none"/>
              </w:rPr>
              <w:t>。</w:t>
            </w:r>
          </w:p>
        </w:tc>
      </w:tr>
      <w:tr w14:paraId="05D7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905" w:type="dxa"/>
            <w:vMerge w:val="continue"/>
            <w:vAlign w:val="center"/>
          </w:tcPr>
          <w:p w14:paraId="2A9AFAF7">
            <w:pPr>
              <w:spacing w:before="100" w:beforeAutospacing="1" w:after="100" w:afterAutospacing="1"/>
              <w:rPr>
                <w:rFonts w:ascii="Times New Roman" w:hAnsi="Times New Roman"/>
                <w:color w:val="auto"/>
                <w:szCs w:val="21"/>
                <w:highlight w:val="none"/>
              </w:rPr>
            </w:pPr>
          </w:p>
        </w:tc>
        <w:tc>
          <w:tcPr>
            <w:tcW w:w="690" w:type="dxa"/>
            <w:vAlign w:val="center"/>
          </w:tcPr>
          <w:p w14:paraId="169A986B">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1.5</w:t>
            </w:r>
          </w:p>
        </w:tc>
        <w:tc>
          <w:tcPr>
            <w:tcW w:w="8801" w:type="dxa"/>
            <w:vAlign w:val="center"/>
          </w:tcPr>
          <w:p w14:paraId="43D60DAC">
            <w:pPr>
              <w:spacing w:before="100" w:beforeAutospacing="1" w:after="100" w:afterAutospacing="1" w:line="320" w:lineRule="exact"/>
              <w:jc w:val="left"/>
              <w:rPr>
                <w:rFonts w:ascii="Times New Roman" w:hAnsi="Times New Roman"/>
                <w:color w:val="auto"/>
                <w:szCs w:val="21"/>
                <w:highlight w:val="none"/>
              </w:rPr>
            </w:pPr>
            <w:r>
              <w:rPr>
                <w:rFonts w:ascii="Times New Roman" w:hAnsi="Times New Roman"/>
                <w:color w:val="auto"/>
                <w:szCs w:val="21"/>
                <w:highlight w:val="none"/>
              </w:rPr>
              <w:t>投标人参加政府采购活动前三年内，在经营活动中没有重大违法记录（投标人提供书面声明即可）；</w:t>
            </w:r>
          </w:p>
        </w:tc>
      </w:tr>
      <w:tr w14:paraId="0E62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905" w:type="dxa"/>
            <w:vMerge w:val="continue"/>
            <w:vAlign w:val="center"/>
          </w:tcPr>
          <w:p w14:paraId="3295EACC">
            <w:pPr>
              <w:spacing w:before="100" w:beforeAutospacing="1" w:after="100" w:afterAutospacing="1"/>
              <w:rPr>
                <w:rFonts w:ascii="Times New Roman" w:hAnsi="Times New Roman"/>
                <w:color w:val="auto"/>
                <w:szCs w:val="21"/>
                <w:highlight w:val="none"/>
              </w:rPr>
            </w:pPr>
          </w:p>
        </w:tc>
        <w:tc>
          <w:tcPr>
            <w:tcW w:w="690" w:type="dxa"/>
            <w:vAlign w:val="center"/>
          </w:tcPr>
          <w:p w14:paraId="3C5D6DE0">
            <w:pPr>
              <w:spacing w:before="100" w:beforeAutospacing="1" w:after="100" w:afterAutospacing="1" w:line="320" w:lineRule="exact"/>
              <w:jc w:val="center"/>
              <w:rPr>
                <w:rFonts w:ascii="Times New Roman" w:hAnsi="Times New Roman"/>
                <w:color w:val="auto"/>
                <w:szCs w:val="21"/>
                <w:highlight w:val="none"/>
              </w:rPr>
            </w:pPr>
            <w:r>
              <w:rPr>
                <w:rFonts w:ascii="Times New Roman" w:hAnsi="Times New Roman"/>
                <w:color w:val="auto"/>
                <w:szCs w:val="21"/>
                <w:highlight w:val="none"/>
              </w:rPr>
              <w:t>1.6</w:t>
            </w:r>
          </w:p>
        </w:tc>
        <w:tc>
          <w:tcPr>
            <w:tcW w:w="8801" w:type="dxa"/>
            <w:vAlign w:val="center"/>
          </w:tcPr>
          <w:p w14:paraId="674CF514">
            <w:pPr>
              <w:spacing w:before="100" w:beforeAutospacing="1" w:after="100" w:afterAutospacing="1" w:line="320" w:lineRule="exact"/>
              <w:jc w:val="left"/>
              <w:rPr>
                <w:rFonts w:ascii="Times New Roman" w:hAnsi="Times New Roman"/>
                <w:color w:val="auto"/>
                <w:szCs w:val="21"/>
                <w:highlight w:val="none"/>
              </w:rPr>
            </w:pPr>
            <w:r>
              <w:rPr>
                <w:rFonts w:ascii="Times New Roman" w:hAnsi="Times New Roman"/>
                <w:color w:val="auto"/>
                <w:szCs w:val="21"/>
                <w:highlight w:val="none"/>
              </w:rPr>
              <w:t>法律、行政法规规定的其他条件。</w:t>
            </w:r>
          </w:p>
        </w:tc>
      </w:tr>
      <w:tr w14:paraId="4272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905" w:type="dxa"/>
            <w:vMerge w:val="continue"/>
            <w:vAlign w:val="center"/>
          </w:tcPr>
          <w:p w14:paraId="01E2E926">
            <w:pPr>
              <w:spacing w:before="100" w:beforeAutospacing="1" w:after="100" w:afterAutospacing="1"/>
              <w:rPr>
                <w:rFonts w:ascii="Times New Roman" w:hAnsi="Times New Roman"/>
                <w:color w:val="auto"/>
                <w:szCs w:val="21"/>
                <w:highlight w:val="none"/>
              </w:rPr>
            </w:pPr>
          </w:p>
        </w:tc>
        <w:tc>
          <w:tcPr>
            <w:tcW w:w="690" w:type="dxa"/>
            <w:vAlign w:val="center"/>
          </w:tcPr>
          <w:p w14:paraId="7916FFB6">
            <w:pPr>
              <w:spacing w:before="100" w:beforeAutospacing="1" w:after="100" w:afterAutospacing="1" w:line="320" w:lineRule="exact"/>
              <w:jc w:val="center"/>
              <w:rPr>
                <w:rFonts w:ascii="Times New Roman" w:hAnsi="Times New Roman"/>
                <w:color w:val="auto"/>
                <w:szCs w:val="21"/>
                <w:highlight w:val="none"/>
              </w:rPr>
            </w:pPr>
            <w:r>
              <w:rPr>
                <w:rFonts w:hint="eastAsia" w:ascii="Times New Roman" w:hAnsi="Times New Roman"/>
                <w:color w:val="auto"/>
                <w:szCs w:val="21"/>
                <w:highlight w:val="none"/>
              </w:rPr>
              <w:t>2</w:t>
            </w:r>
          </w:p>
        </w:tc>
        <w:tc>
          <w:tcPr>
            <w:tcW w:w="8801" w:type="dxa"/>
            <w:vAlign w:val="center"/>
          </w:tcPr>
          <w:p w14:paraId="025CF012">
            <w:pPr>
              <w:spacing w:before="100" w:beforeAutospacing="1" w:after="100" w:afterAutospacing="1" w:line="320" w:lineRule="exact"/>
              <w:jc w:val="left"/>
              <w:rPr>
                <w:rFonts w:ascii="Times New Roman" w:hAnsi="Times New Roman"/>
                <w:color w:val="auto"/>
                <w:szCs w:val="21"/>
                <w:highlight w:val="none"/>
              </w:rPr>
            </w:pPr>
            <w:r>
              <w:rPr>
                <w:rFonts w:ascii="Times New Roman" w:hAnsi="Times New Roman"/>
                <w:b/>
                <w:bCs/>
                <w:color w:val="auto"/>
                <w:szCs w:val="21"/>
                <w:highlight w:val="none"/>
              </w:rPr>
              <w:t>落实政府采购政策需满足的资格要求：</w:t>
            </w:r>
            <w:r>
              <w:rPr>
                <w:rFonts w:ascii="Times New Roman" w:hAnsi="Times New Roman"/>
                <w:b/>
                <w:bCs/>
                <w:color w:val="auto"/>
                <w:szCs w:val="21"/>
                <w:highlight w:val="none"/>
                <w:u w:val="single"/>
              </w:rPr>
              <w:t>本项目非专门面向中小微企业采购的项目。</w:t>
            </w:r>
          </w:p>
        </w:tc>
      </w:tr>
      <w:tr w14:paraId="55BA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3F6AFAB7">
            <w:pPr>
              <w:spacing w:before="100" w:beforeAutospacing="1" w:after="100" w:afterAutospacing="1"/>
              <w:rPr>
                <w:rFonts w:ascii="Times New Roman" w:hAnsi="Times New Roman"/>
                <w:color w:val="auto"/>
                <w:szCs w:val="21"/>
                <w:highlight w:val="none"/>
              </w:rPr>
            </w:pPr>
          </w:p>
        </w:tc>
        <w:tc>
          <w:tcPr>
            <w:tcW w:w="690" w:type="dxa"/>
            <w:vAlign w:val="center"/>
          </w:tcPr>
          <w:p w14:paraId="06211FE4">
            <w:pPr>
              <w:spacing w:before="100" w:beforeAutospacing="1" w:after="100" w:afterAutospacing="1" w:line="320" w:lineRule="exact"/>
              <w:jc w:val="center"/>
              <w:rPr>
                <w:rFonts w:ascii="Times New Roman" w:hAnsi="Times New Roman"/>
                <w:b/>
                <w:color w:val="auto"/>
                <w:szCs w:val="21"/>
                <w:highlight w:val="none"/>
              </w:rPr>
            </w:pPr>
            <w:r>
              <w:rPr>
                <w:rFonts w:hint="eastAsia" w:ascii="Times New Roman" w:hAnsi="Times New Roman"/>
                <w:b/>
                <w:color w:val="auto"/>
                <w:szCs w:val="21"/>
                <w:highlight w:val="none"/>
              </w:rPr>
              <w:t>3</w:t>
            </w:r>
          </w:p>
        </w:tc>
        <w:tc>
          <w:tcPr>
            <w:tcW w:w="8801" w:type="dxa"/>
            <w:vAlign w:val="center"/>
          </w:tcPr>
          <w:p w14:paraId="3FD12666">
            <w:pPr>
              <w:spacing w:before="100" w:beforeAutospacing="1" w:after="100" w:afterAutospacing="1" w:line="320" w:lineRule="exact"/>
              <w:jc w:val="left"/>
              <w:rPr>
                <w:rFonts w:ascii="Times New Roman" w:hAnsi="Times New Roman"/>
                <w:b/>
                <w:color w:val="auto"/>
                <w:szCs w:val="21"/>
                <w:highlight w:val="none"/>
              </w:rPr>
            </w:pPr>
            <w:r>
              <w:rPr>
                <w:rFonts w:ascii="Times New Roman" w:hAnsi="Times New Roman"/>
                <w:b/>
                <w:color w:val="auto"/>
                <w:szCs w:val="21"/>
                <w:highlight w:val="none"/>
              </w:rPr>
              <w:t>投标人应符合采购人根据采购项目的特殊要求规定的特定条件：</w:t>
            </w:r>
          </w:p>
        </w:tc>
      </w:tr>
      <w:tr w14:paraId="329A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008469AF">
            <w:pPr>
              <w:spacing w:before="100" w:beforeAutospacing="1" w:after="100" w:afterAutospacing="1"/>
              <w:rPr>
                <w:rFonts w:ascii="Times New Roman" w:hAnsi="Times New Roman"/>
                <w:color w:val="auto"/>
                <w:szCs w:val="21"/>
                <w:highlight w:val="none"/>
              </w:rPr>
            </w:pPr>
          </w:p>
        </w:tc>
        <w:tc>
          <w:tcPr>
            <w:tcW w:w="690" w:type="dxa"/>
            <w:vAlign w:val="center"/>
          </w:tcPr>
          <w:p w14:paraId="72D71FE9">
            <w:pPr>
              <w:spacing w:before="100" w:beforeAutospacing="1" w:after="100" w:afterAutospacing="1" w:line="320" w:lineRule="exact"/>
              <w:jc w:val="center"/>
              <w:rPr>
                <w:rFonts w:ascii="Times New Roman" w:hAnsi="Times New Roman"/>
                <w:bCs/>
                <w:color w:val="auto"/>
                <w:szCs w:val="21"/>
                <w:highlight w:val="none"/>
              </w:rPr>
            </w:pPr>
            <w:r>
              <w:rPr>
                <w:rFonts w:hint="eastAsia" w:ascii="Times New Roman" w:hAnsi="Times New Roman"/>
                <w:bCs/>
                <w:color w:val="auto"/>
                <w:szCs w:val="21"/>
                <w:highlight w:val="none"/>
              </w:rPr>
              <w:t>3</w:t>
            </w:r>
            <w:r>
              <w:rPr>
                <w:rFonts w:ascii="Times New Roman" w:hAnsi="Times New Roman"/>
                <w:bCs/>
                <w:color w:val="auto"/>
                <w:szCs w:val="21"/>
                <w:highlight w:val="none"/>
              </w:rPr>
              <w:t>.1</w:t>
            </w:r>
          </w:p>
        </w:tc>
        <w:tc>
          <w:tcPr>
            <w:tcW w:w="8801" w:type="dxa"/>
            <w:vAlign w:val="center"/>
          </w:tcPr>
          <w:p w14:paraId="41F01678">
            <w:pPr>
              <w:spacing w:before="100" w:beforeAutospacing="1" w:after="100" w:afterAutospacing="1" w:line="320" w:lineRule="exact"/>
              <w:jc w:val="left"/>
              <w:rPr>
                <w:rFonts w:ascii="Times New Roman" w:hAnsi="Times New Roman"/>
                <w:b/>
                <w:color w:val="auto"/>
                <w:szCs w:val="21"/>
                <w:highlight w:val="none"/>
              </w:rPr>
            </w:pPr>
            <w:r>
              <w:rPr>
                <w:rFonts w:ascii="Times New Roman" w:hAnsi="Times New Roman"/>
                <w:color w:val="auto"/>
                <w:szCs w:val="21"/>
                <w:highlight w:val="none"/>
              </w:rPr>
              <w:t>单位负责人为同一人或者存在直接控股、管理关系的不同投标人，不得参加同一合同项下的政府采购活动</w:t>
            </w:r>
            <w:r>
              <w:rPr>
                <w:rFonts w:hint="eastAsia" w:ascii="Times New Roman" w:hAnsi="Times New Roman"/>
                <w:color w:val="auto"/>
                <w:szCs w:val="21"/>
                <w:highlight w:val="none"/>
              </w:rPr>
              <w:t>。</w:t>
            </w:r>
          </w:p>
        </w:tc>
      </w:tr>
      <w:tr w14:paraId="53A3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7B153F51">
            <w:pPr>
              <w:spacing w:before="100" w:beforeAutospacing="1" w:after="100" w:afterAutospacing="1"/>
              <w:rPr>
                <w:rFonts w:ascii="Times New Roman" w:hAnsi="Times New Roman"/>
                <w:color w:val="auto"/>
                <w:szCs w:val="21"/>
                <w:highlight w:val="none"/>
              </w:rPr>
            </w:pPr>
          </w:p>
        </w:tc>
        <w:tc>
          <w:tcPr>
            <w:tcW w:w="690" w:type="dxa"/>
            <w:vAlign w:val="center"/>
          </w:tcPr>
          <w:p w14:paraId="792B06A0">
            <w:pPr>
              <w:spacing w:before="100" w:beforeAutospacing="1" w:after="100" w:afterAutospacing="1" w:line="320" w:lineRule="exact"/>
              <w:jc w:val="center"/>
              <w:rPr>
                <w:rFonts w:ascii="Times New Roman" w:hAnsi="Times New Roman"/>
                <w:bCs/>
                <w:color w:val="auto"/>
                <w:szCs w:val="21"/>
                <w:highlight w:val="none"/>
              </w:rPr>
            </w:pPr>
            <w:r>
              <w:rPr>
                <w:rFonts w:hint="eastAsia" w:ascii="Times New Roman" w:hAnsi="Times New Roman"/>
                <w:bCs/>
                <w:color w:val="auto"/>
                <w:szCs w:val="21"/>
                <w:highlight w:val="none"/>
              </w:rPr>
              <w:t>3.2</w:t>
            </w:r>
          </w:p>
        </w:tc>
        <w:tc>
          <w:tcPr>
            <w:tcW w:w="8801" w:type="dxa"/>
            <w:vAlign w:val="center"/>
          </w:tcPr>
          <w:p w14:paraId="02AA203D">
            <w:pPr>
              <w:spacing w:before="100" w:beforeAutospacing="1" w:after="100" w:afterAutospacing="1" w:line="320" w:lineRule="exact"/>
              <w:jc w:val="left"/>
              <w:rPr>
                <w:rFonts w:ascii="Times New Roman" w:hAnsi="Times New Roman"/>
                <w:color w:val="auto"/>
                <w:szCs w:val="21"/>
                <w:highlight w:val="none"/>
              </w:rPr>
            </w:pPr>
            <w:r>
              <w:rPr>
                <w:rFonts w:hint="eastAsia" w:ascii="Times New Roman" w:hAnsi="Times New Roman"/>
                <w:color w:val="auto"/>
                <w:szCs w:val="21"/>
                <w:highlight w:val="none"/>
              </w:rPr>
              <w:t>为采购项目提供整体设计、规范编制或者项目管理、监理、检测等服务的供应商，不得再参加该采购项目的其他采购活动。</w:t>
            </w:r>
          </w:p>
        </w:tc>
      </w:tr>
      <w:tr w14:paraId="41869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422E6E82">
            <w:pPr>
              <w:spacing w:before="100" w:beforeAutospacing="1" w:after="100" w:afterAutospacing="1"/>
              <w:rPr>
                <w:rFonts w:ascii="Times New Roman" w:hAnsi="Times New Roman"/>
                <w:color w:val="auto"/>
                <w:szCs w:val="21"/>
                <w:highlight w:val="none"/>
              </w:rPr>
            </w:pPr>
          </w:p>
        </w:tc>
        <w:tc>
          <w:tcPr>
            <w:tcW w:w="690" w:type="dxa"/>
            <w:vAlign w:val="center"/>
          </w:tcPr>
          <w:p w14:paraId="0A52503D">
            <w:pPr>
              <w:spacing w:before="100" w:beforeAutospacing="1" w:after="100" w:afterAutospacing="1" w:line="320" w:lineRule="exact"/>
              <w:jc w:val="center"/>
              <w:rPr>
                <w:rFonts w:ascii="Times New Roman" w:hAnsi="Times New Roman"/>
                <w:bCs/>
                <w:color w:val="auto"/>
                <w:szCs w:val="21"/>
                <w:highlight w:val="none"/>
              </w:rPr>
            </w:pPr>
            <w:r>
              <w:rPr>
                <w:rFonts w:hint="eastAsia" w:ascii="Times New Roman" w:hAnsi="Times New Roman"/>
                <w:bCs/>
                <w:color w:val="auto"/>
                <w:szCs w:val="21"/>
                <w:highlight w:val="none"/>
              </w:rPr>
              <w:t>3</w:t>
            </w:r>
            <w:r>
              <w:rPr>
                <w:rFonts w:ascii="Times New Roman" w:hAnsi="Times New Roman"/>
                <w:bCs/>
                <w:color w:val="auto"/>
                <w:szCs w:val="21"/>
                <w:highlight w:val="none"/>
              </w:rPr>
              <w:t>.</w:t>
            </w:r>
            <w:r>
              <w:rPr>
                <w:rFonts w:hint="eastAsia" w:ascii="Times New Roman" w:hAnsi="Times New Roman"/>
                <w:bCs/>
                <w:color w:val="auto"/>
                <w:szCs w:val="21"/>
                <w:highlight w:val="none"/>
              </w:rPr>
              <w:t>3</w:t>
            </w:r>
          </w:p>
        </w:tc>
        <w:tc>
          <w:tcPr>
            <w:tcW w:w="8801" w:type="dxa"/>
            <w:vAlign w:val="center"/>
          </w:tcPr>
          <w:p w14:paraId="12DCF3ED">
            <w:pPr>
              <w:spacing w:before="100" w:beforeAutospacing="1" w:after="100" w:afterAutospacing="1" w:line="320" w:lineRule="exact"/>
              <w:jc w:val="left"/>
              <w:rPr>
                <w:rFonts w:ascii="Times New Roman" w:hAnsi="Times New Roman"/>
                <w:color w:val="auto"/>
                <w:szCs w:val="21"/>
                <w:highlight w:val="none"/>
              </w:rPr>
            </w:pPr>
            <w:r>
              <w:rPr>
                <w:rFonts w:ascii="Times New Roman" w:hAnsi="Times New Roman"/>
                <w:color w:val="auto"/>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r>
              <w:rPr>
                <w:rFonts w:hint="eastAsia" w:ascii="Times New Roman" w:hAnsi="Times New Roman"/>
                <w:color w:val="auto"/>
                <w:szCs w:val="21"/>
                <w:highlight w:val="none"/>
              </w:rPr>
              <w:t>。</w:t>
            </w:r>
          </w:p>
        </w:tc>
      </w:tr>
      <w:tr w14:paraId="4346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630298EC">
            <w:pPr>
              <w:spacing w:before="100" w:beforeAutospacing="1" w:after="100" w:afterAutospacing="1"/>
              <w:rPr>
                <w:rFonts w:ascii="Times New Roman" w:hAnsi="Times New Roman"/>
                <w:color w:val="auto"/>
                <w:szCs w:val="21"/>
                <w:highlight w:val="none"/>
              </w:rPr>
            </w:pPr>
          </w:p>
        </w:tc>
        <w:tc>
          <w:tcPr>
            <w:tcW w:w="690" w:type="dxa"/>
            <w:vAlign w:val="center"/>
          </w:tcPr>
          <w:p w14:paraId="75B17B09">
            <w:pPr>
              <w:spacing w:before="100" w:beforeAutospacing="1" w:after="100" w:afterAutospacing="1" w:line="320" w:lineRule="exact"/>
              <w:jc w:val="center"/>
              <w:rPr>
                <w:rFonts w:ascii="Times New Roman" w:hAnsi="Times New Roman"/>
                <w:bCs/>
                <w:color w:val="auto"/>
                <w:szCs w:val="21"/>
                <w:highlight w:val="none"/>
              </w:rPr>
            </w:pPr>
            <w:r>
              <w:rPr>
                <w:rFonts w:hint="eastAsia" w:ascii="Times New Roman" w:hAnsi="Times New Roman"/>
                <w:bCs/>
                <w:color w:val="auto"/>
                <w:szCs w:val="21"/>
                <w:highlight w:val="none"/>
              </w:rPr>
              <w:t>3.4</w:t>
            </w:r>
          </w:p>
        </w:tc>
        <w:tc>
          <w:tcPr>
            <w:tcW w:w="8801" w:type="dxa"/>
            <w:vAlign w:val="center"/>
          </w:tcPr>
          <w:p w14:paraId="34C9F84A">
            <w:pPr>
              <w:spacing w:before="100" w:beforeAutospacing="1" w:after="100" w:afterAutospacing="1"/>
              <w:jc w:val="left"/>
              <w:rPr>
                <w:rFonts w:ascii="Times New Roman" w:hAnsi="Times New Roman"/>
                <w:color w:val="auto"/>
                <w:sz w:val="24"/>
                <w:highlight w:val="none"/>
              </w:rPr>
            </w:pPr>
            <w:r>
              <w:rPr>
                <w:rFonts w:ascii="Times New Roman" w:hAnsi="Times New Roman"/>
                <w:color w:val="auto"/>
                <w:szCs w:val="21"/>
                <w:highlight w:val="none"/>
              </w:rPr>
              <w:t>本项目不接受联合体。</w:t>
            </w:r>
          </w:p>
        </w:tc>
      </w:tr>
    </w:tbl>
    <w:p w14:paraId="1497105E">
      <w:pPr>
        <w:widowControl/>
        <w:jc w:val="left"/>
        <w:rPr>
          <w:rFonts w:ascii="Times New Roman" w:hAnsi="Times New Roman"/>
          <w:color w:val="auto"/>
          <w:kern w:val="44"/>
          <w:sz w:val="36"/>
          <w:szCs w:val="20"/>
          <w:highlight w:val="none"/>
        </w:rPr>
      </w:pPr>
      <w:r>
        <w:rPr>
          <w:rFonts w:ascii="Times New Roman" w:hAnsi="Times New Roman"/>
          <w:b/>
          <w:color w:val="auto"/>
          <w:sz w:val="36"/>
          <w:highlight w:val="none"/>
        </w:rPr>
        <w:br w:type="page"/>
      </w:r>
    </w:p>
    <w:p w14:paraId="025BAC10">
      <w:pPr>
        <w:pStyle w:val="2"/>
        <w:numPr>
          <w:ilvl w:val="0"/>
          <w:numId w:val="0"/>
        </w:numPr>
        <w:spacing w:line="240" w:lineRule="auto"/>
        <w:jc w:val="center"/>
        <w:rPr>
          <w:rFonts w:ascii="Times New Roman" w:hAnsi="Times New Roman" w:eastAsia="宋体"/>
          <w:b w:val="0"/>
          <w:color w:val="auto"/>
          <w:sz w:val="36"/>
          <w:highlight w:val="none"/>
        </w:rPr>
      </w:pPr>
      <w:bookmarkStart w:id="340" w:name="_Toc91696458"/>
      <w:bookmarkStart w:id="341" w:name="_Toc28997"/>
      <w:bookmarkStart w:id="342" w:name="_Toc69912452"/>
      <w:r>
        <w:rPr>
          <w:rFonts w:ascii="Times New Roman" w:hAnsi="Times New Roman" w:eastAsia="宋体"/>
          <w:b w:val="0"/>
          <w:color w:val="auto"/>
          <w:sz w:val="36"/>
          <w:highlight w:val="none"/>
        </w:rPr>
        <w:t>第七章  评标办法</w:t>
      </w:r>
      <w:bookmarkEnd w:id="327"/>
      <w:bookmarkEnd w:id="328"/>
      <w:bookmarkEnd w:id="340"/>
      <w:bookmarkEnd w:id="341"/>
      <w:bookmarkEnd w:id="342"/>
    </w:p>
    <w:p w14:paraId="11E480FC">
      <w:pPr>
        <w:pStyle w:val="3"/>
        <w:numPr>
          <w:ilvl w:val="1"/>
          <w:numId w:val="0"/>
        </w:numPr>
        <w:spacing w:line="240" w:lineRule="auto"/>
        <w:jc w:val="center"/>
        <w:rPr>
          <w:rFonts w:ascii="Times New Roman" w:hAnsi="Times New Roman" w:eastAsia="宋体"/>
          <w:color w:val="auto"/>
          <w:highlight w:val="none"/>
        </w:rPr>
      </w:pPr>
      <w:bookmarkStart w:id="343" w:name="_Toc514663419"/>
      <w:bookmarkStart w:id="344" w:name="_Toc326218110"/>
      <w:bookmarkStart w:id="345" w:name="_Toc17603"/>
      <w:bookmarkStart w:id="346" w:name="_Toc69912453"/>
      <w:bookmarkStart w:id="347" w:name="_Toc91696459"/>
      <w:bookmarkStart w:id="348" w:name="_Toc152862934"/>
      <w:bookmarkStart w:id="349" w:name="_Hlk17287793"/>
      <w:r>
        <w:rPr>
          <w:rFonts w:ascii="Times New Roman" w:hAnsi="Times New Roman" w:eastAsia="宋体"/>
          <w:color w:val="auto"/>
          <w:highlight w:val="none"/>
        </w:rPr>
        <w:t>评标办法前附表</w:t>
      </w:r>
      <w:bookmarkEnd w:id="343"/>
      <w:bookmarkEnd w:id="344"/>
      <w:bookmarkEnd w:id="345"/>
      <w:bookmarkEnd w:id="346"/>
      <w:bookmarkEnd w:id="347"/>
      <w:bookmarkEnd w:id="348"/>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997"/>
        <w:gridCol w:w="1418"/>
        <w:gridCol w:w="6662"/>
      </w:tblGrid>
      <w:tr w14:paraId="4DED876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Align w:val="center"/>
          </w:tcPr>
          <w:p w14:paraId="06350C9C">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条款号</w:t>
            </w:r>
          </w:p>
        </w:tc>
        <w:tc>
          <w:tcPr>
            <w:tcW w:w="8080" w:type="dxa"/>
            <w:gridSpan w:val="2"/>
            <w:vAlign w:val="center"/>
          </w:tcPr>
          <w:p w14:paraId="3C31649C">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评 审 内 容 及 标 准</w:t>
            </w:r>
          </w:p>
        </w:tc>
      </w:tr>
      <w:tr w14:paraId="3908442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0" w:hRule="atLeast"/>
          <w:jc w:val="center"/>
        </w:trPr>
        <w:tc>
          <w:tcPr>
            <w:tcW w:w="817" w:type="dxa"/>
            <w:vMerge w:val="restart"/>
            <w:vAlign w:val="center"/>
          </w:tcPr>
          <w:p w14:paraId="2C6FF58D">
            <w:pPr>
              <w:spacing w:line="360" w:lineRule="auto"/>
              <w:jc w:val="center"/>
              <w:rPr>
                <w:rFonts w:ascii="Times New Roman" w:hAnsi="Times New Roman"/>
                <w:color w:val="auto"/>
                <w:szCs w:val="21"/>
                <w:highlight w:val="none"/>
              </w:rPr>
            </w:pPr>
            <w:bookmarkStart w:id="350" w:name="_Hlk149559862"/>
            <w:r>
              <w:rPr>
                <w:rFonts w:ascii="Times New Roman" w:hAnsi="Times New Roman"/>
                <w:color w:val="auto"/>
                <w:szCs w:val="21"/>
                <w:highlight w:val="none"/>
              </w:rPr>
              <w:t>3.1</w:t>
            </w:r>
          </w:p>
        </w:tc>
        <w:tc>
          <w:tcPr>
            <w:tcW w:w="997" w:type="dxa"/>
            <w:vMerge w:val="restart"/>
            <w:vAlign w:val="center"/>
          </w:tcPr>
          <w:p w14:paraId="5E2BDD1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符合性评审标准</w:t>
            </w:r>
          </w:p>
        </w:tc>
        <w:tc>
          <w:tcPr>
            <w:tcW w:w="1418" w:type="dxa"/>
            <w:vAlign w:val="center"/>
          </w:tcPr>
          <w:p w14:paraId="53CE98E5">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保证金</w:t>
            </w:r>
          </w:p>
        </w:tc>
        <w:tc>
          <w:tcPr>
            <w:tcW w:w="6662" w:type="dxa"/>
            <w:vAlign w:val="center"/>
          </w:tcPr>
          <w:p w14:paraId="37CC7098">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按照招标文件的规定提交投标保证金的；</w:t>
            </w:r>
          </w:p>
        </w:tc>
      </w:tr>
      <w:tr w14:paraId="08130FF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0" w:hRule="atLeast"/>
          <w:jc w:val="center"/>
        </w:trPr>
        <w:tc>
          <w:tcPr>
            <w:tcW w:w="817" w:type="dxa"/>
            <w:vMerge w:val="continue"/>
            <w:vAlign w:val="center"/>
          </w:tcPr>
          <w:p w14:paraId="0D2C145E">
            <w:pPr>
              <w:spacing w:line="360" w:lineRule="auto"/>
              <w:rPr>
                <w:rFonts w:ascii="Times New Roman" w:hAnsi="Times New Roman"/>
                <w:color w:val="auto"/>
                <w:highlight w:val="none"/>
              </w:rPr>
            </w:pPr>
          </w:p>
        </w:tc>
        <w:tc>
          <w:tcPr>
            <w:tcW w:w="997" w:type="dxa"/>
            <w:vMerge w:val="continue"/>
            <w:vAlign w:val="center"/>
          </w:tcPr>
          <w:p w14:paraId="6F161F74">
            <w:pPr>
              <w:spacing w:line="360" w:lineRule="auto"/>
              <w:rPr>
                <w:rFonts w:ascii="Times New Roman" w:hAnsi="Times New Roman"/>
                <w:color w:val="auto"/>
                <w:highlight w:val="none"/>
              </w:rPr>
            </w:pPr>
          </w:p>
        </w:tc>
        <w:tc>
          <w:tcPr>
            <w:tcW w:w="1418" w:type="dxa"/>
            <w:vAlign w:val="center"/>
          </w:tcPr>
          <w:p w14:paraId="3EC1A605">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签署、盖章</w:t>
            </w:r>
          </w:p>
        </w:tc>
        <w:tc>
          <w:tcPr>
            <w:tcW w:w="6662" w:type="dxa"/>
            <w:vAlign w:val="center"/>
          </w:tcPr>
          <w:p w14:paraId="260AD17B">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投标文件中“开标一览表”、“法定代表人身份证明书”、“法定代表人授权委托书”、“投标函”、“保证拟投产品在产品使用期间不受第三方提出侵犯其专利权、商标权、工业设计权、知识产权的起诉”的承诺”、“</w:t>
            </w:r>
            <w:r>
              <w:rPr>
                <w:rFonts w:ascii="Times New Roman" w:hAnsi="Times New Roman"/>
                <w:color w:val="auto"/>
                <w:szCs w:val="28"/>
                <w:highlight w:val="none"/>
              </w:rPr>
              <w:t>投标人在投标文件中未提供虚假材料的承诺</w:t>
            </w:r>
            <w:r>
              <w:rPr>
                <w:rFonts w:ascii="Times New Roman" w:hAnsi="Times New Roman"/>
                <w:color w:val="auto"/>
                <w:szCs w:val="21"/>
                <w:highlight w:val="none"/>
              </w:rPr>
              <w:t>”按招标文件要求签署、盖章的；</w:t>
            </w:r>
          </w:p>
        </w:tc>
      </w:tr>
      <w:tr w14:paraId="2965FA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4" w:hRule="atLeast"/>
          <w:jc w:val="center"/>
        </w:trPr>
        <w:tc>
          <w:tcPr>
            <w:tcW w:w="817" w:type="dxa"/>
            <w:vMerge w:val="continue"/>
            <w:vAlign w:val="center"/>
          </w:tcPr>
          <w:p w14:paraId="5E590824">
            <w:pPr>
              <w:spacing w:line="360" w:lineRule="auto"/>
              <w:rPr>
                <w:rFonts w:ascii="Times New Roman" w:hAnsi="Times New Roman"/>
                <w:color w:val="auto"/>
                <w:highlight w:val="none"/>
              </w:rPr>
            </w:pPr>
          </w:p>
        </w:tc>
        <w:tc>
          <w:tcPr>
            <w:tcW w:w="997" w:type="dxa"/>
            <w:vMerge w:val="continue"/>
            <w:vAlign w:val="center"/>
          </w:tcPr>
          <w:p w14:paraId="189A45DE">
            <w:pPr>
              <w:spacing w:line="360" w:lineRule="auto"/>
              <w:rPr>
                <w:rFonts w:ascii="Times New Roman" w:hAnsi="Times New Roman"/>
                <w:color w:val="auto"/>
                <w:highlight w:val="none"/>
              </w:rPr>
            </w:pPr>
          </w:p>
        </w:tc>
        <w:tc>
          <w:tcPr>
            <w:tcW w:w="1418" w:type="dxa"/>
            <w:vAlign w:val="center"/>
          </w:tcPr>
          <w:p w14:paraId="717701A1">
            <w:pPr>
              <w:spacing w:line="360" w:lineRule="auto"/>
              <w:jc w:val="center"/>
              <w:rPr>
                <w:rFonts w:ascii="Times New Roman" w:hAnsi="Times New Roman"/>
                <w:color w:val="auto"/>
                <w:highlight w:val="none"/>
              </w:rPr>
            </w:pPr>
            <w:r>
              <w:rPr>
                <w:rFonts w:ascii="Times New Roman" w:hAnsi="Times New Roman"/>
                <w:color w:val="auto"/>
                <w:szCs w:val="21"/>
                <w:highlight w:val="none"/>
              </w:rPr>
              <w:t>投标报价</w:t>
            </w:r>
          </w:p>
        </w:tc>
        <w:tc>
          <w:tcPr>
            <w:tcW w:w="6662" w:type="dxa"/>
            <w:vAlign w:val="center"/>
          </w:tcPr>
          <w:p w14:paraId="7D866F3A">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报价未超过招标文件中规定的预算金额或者招标最高限价的；</w:t>
            </w:r>
          </w:p>
        </w:tc>
      </w:tr>
      <w:tr w14:paraId="59D29DE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04" w:hRule="atLeast"/>
          <w:jc w:val="center"/>
        </w:trPr>
        <w:tc>
          <w:tcPr>
            <w:tcW w:w="817" w:type="dxa"/>
            <w:vMerge w:val="continue"/>
            <w:vAlign w:val="center"/>
          </w:tcPr>
          <w:p w14:paraId="4837D4C4">
            <w:pPr>
              <w:spacing w:line="360" w:lineRule="auto"/>
              <w:rPr>
                <w:rFonts w:ascii="Times New Roman" w:hAnsi="Times New Roman"/>
                <w:color w:val="auto"/>
                <w:highlight w:val="none"/>
              </w:rPr>
            </w:pPr>
          </w:p>
        </w:tc>
        <w:tc>
          <w:tcPr>
            <w:tcW w:w="997" w:type="dxa"/>
            <w:vMerge w:val="continue"/>
            <w:vAlign w:val="center"/>
          </w:tcPr>
          <w:p w14:paraId="20EA3494">
            <w:pPr>
              <w:spacing w:line="360" w:lineRule="auto"/>
              <w:rPr>
                <w:rFonts w:ascii="Times New Roman" w:hAnsi="Times New Roman"/>
                <w:color w:val="auto"/>
                <w:highlight w:val="none"/>
              </w:rPr>
            </w:pPr>
          </w:p>
        </w:tc>
        <w:tc>
          <w:tcPr>
            <w:tcW w:w="1418" w:type="dxa"/>
            <w:vAlign w:val="center"/>
          </w:tcPr>
          <w:p w14:paraId="53EFCF48">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实质性条件</w:t>
            </w:r>
          </w:p>
        </w:tc>
        <w:tc>
          <w:tcPr>
            <w:tcW w:w="6662" w:type="dxa"/>
            <w:vAlign w:val="center"/>
          </w:tcPr>
          <w:p w14:paraId="31EFDBDE">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实质性响应招标文件中标注</w:t>
            </w:r>
            <w:r>
              <w:rPr>
                <w:rFonts w:ascii="Segoe UI Symbol" w:hAnsi="Segoe UI Symbol" w:cs="Segoe UI Symbol"/>
                <w:color w:val="auto"/>
                <w:szCs w:val="21"/>
                <w:highlight w:val="none"/>
              </w:rPr>
              <w:t>★</w:t>
            </w:r>
            <w:r>
              <w:rPr>
                <w:rFonts w:ascii="Times New Roman" w:hAnsi="Times New Roman"/>
                <w:color w:val="auto"/>
                <w:szCs w:val="21"/>
                <w:highlight w:val="none"/>
              </w:rPr>
              <w:t>条款内容的；</w:t>
            </w:r>
          </w:p>
        </w:tc>
      </w:tr>
      <w:tr w14:paraId="13BEE96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17" w:type="dxa"/>
            <w:vMerge w:val="continue"/>
            <w:vAlign w:val="center"/>
          </w:tcPr>
          <w:p w14:paraId="000080FC">
            <w:pPr>
              <w:spacing w:line="360" w:lineRule="auto"/>
              <w:rPr>
                <w:rFonts w:ascii="Times New Roman" w:hAnsi="Times New Roman"/>
                <w:color w:val="auto"/>
                <w:highlight w:val="none"/>
              </w:rPr>
            </w:pPr>
          </w:p>
        </w:tc>
        <w:tc>
          <w:tcPr>
            <w:tcW w:w="997" w:type="dxa"/>
            <w:vMerge w:val="continue"/>
            <w:vAlign w:val="center"/>
          </w:tcPr>
          <w:p w14:paraId="2E6103C3">
            <w:pPr>
              <w:spacing w:line="360" w:lineRule="auto"/>
              <w:rPr>
                <w:rFonts w:ascii="Times New Roman" w:hAnsi="Times New Roman"/>
                <w:color w:val="auto"/>
                <w:highlight w:val="none"/>
              </w:rPr>
            </w:pPr>
          </w:p>
        </w:tc>
        <w:tc>
          <w:tcPr>
            <w:tcW w:w="1418" w:type="dxa"/>
            <w:vAlign w:val="center"/>
          </w:tcPr>
          <w:p w14:paraId="5ADA1CDE">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其他要求</w:t>
            </w:r>
          </w:p>
        </w:tc>
        <w:tc>
          <w:tcPr>
            <w:tcW w:w="6662" w:type="dxa"/>
            <w:vAlign w:val="center"/>
          </w:tcPr>
          <w:p w14:paraId="7C924DC8">
            <w:pPr>
              <w:spacing w:before="100" w:beforeAutospacing="1" w:after="100" w:afterAutospacing="1" w:line="360" w:lineRule="auto"/>
              <w:jc w:val="center"/>
              <w:rPr>
                <w:rFonts w:ascii="Times New Roman" w:hAnsi="Times New Roman"/>
                <w:color w:val="auto"/>
                <w:szCs w:val="21"/>
                <w:highlight w:val="none"/>
              </w:rPr>
            </w:pPr>
            <w:r>
              <w:rPr>
                <w:rFonts w:ascii="Times New Roman" w:hAnsi="Times New Roman"/>
                <w:color w:val="auto"/>
                <w:szCs w:val="21"/>
                <w:highlight w:val="none"/>
              </w:rPr>
              <w:t>投标文件未含有采购人不能接受的附加条件的，法律、法规和招标文件规定的其他无效情形。</w:t>
            </w:r>
          </w:p>
        </w:tc>
      </w:tr>
      <w:bookmarkEnd w:id="350"/>
      <w:tr w14:paraId="75A0D7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Align w:val="center"/>
          </w:tcPr>
          <w:p w14:paraId="1E0C855C">
            <w:pPr>
              <w:spacing w:line="360" w:lineRule="auto"/>
              <w:jc w:val="center"/>
              <w:rPr>
                <w:rFonts w:ascii="Times New Roman" w:hAnsi="Times New Roman"/>
                <w:color w:val="auto"/>
                <w:szCs w:val="21"/>
                <w:highlight w:val="none"/>
              </w:rPr>
            </w:pPr>
            <w:r>
              <w:rPr>
                <w:rFonts w:ascii="Times New Roman" w:hAnsi="Times New Roman"/>
                <w:b/>
                <w:color w:val="auto"/>
                <w:szCs w:val="21"/>
                <w:highlight w:val="none"/>
              </w:rPr>
              <w:t>条款号</w:t>
            </w:r>
          </w:p>
        </w:tc>
        <w:tc>
          <w:tcPr>
            <w:tcW w:w="1418" w:type="dxa"/>
            <w:vAlign w:val="center"/>
          </w:tcPr>
          <w:p w14:paraId="6164E0B4">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条款内容</w:t>
            </w:r>
          </w:p>
        </w:tc>
        <w:tc>
          <w:tcPr>
            <w:tcW w:w="6662" w:type="dxa"/>
            <w:vAlign w:val="center"/>
          </w:tcPr>
          <w:p w14:paraId="760D41C3">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编列内容</w:t>
            </w:r>
          </w:p>
        </w:tc>
      </w:tr>
      <w:tr w14:paraId="71634C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Merge w:val="restart"/>
            <w:vAlign w:val="center"/>
          </w:tcPr>
          <w:p w14:paraId="366593F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3.2.1</w:t>
            </w:r>
          </w:p>
        </w:tc>
        <w:tc>
          <w:tcPr>
            <w:tcW w:w="1418" w:type="dxa"/>
            <w:vMerge w:val="restart"/>
            <w:vAlign w:val="center"/>
          </w:tcPr>
          <w:p w14:paraId="71EB1B29">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分值构成</w:t>
            </w:r>
          </w:p>
          <w:p w14:paraId="637DF452">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（满分100分）</w:t>
            </w:r>
          </w:p>
        </w:tc>
        <w:tc>
          <w:tcPr>
            <w:tcW w:w="6662" w:type="dxa"/>
            <w:vAlign w:val="center"/>
          </w:tcPr>
          <w:p w14:paraId="7212D483">
            <w:pPr>
              <w:spacing w:line="360" w:lineRule="auto"/>
              <w:rPr>
                <w:rFonts w:ascii="Times New Roman" w:hAnsi="Times New Roman"/>
                <w:color w:val="auto"/>
                <w:szCs w:val="21"/>
                <w:highlight w:val="none"/>
              </w:rPr>
            </w:pPr>
            <w:r>
              <w:rPr>
                <w:rFonts w:ascii="Times New Roman" w:hAnsi="Times New Roman"/>
                <w:color w:val="auto"/>
                <w:szCs w:val="21"/>
                <w:highlight w:val="none"/>
              </w:rPr>
              <w:t>投标人的评标总得分＝F1＋F2＋F3</w:t>
            </w:r>
          </w:p>
          <w:p w14:paraId="576FA6EA">
            <w:pPr>
              <w:spacing w:line="360" w:lineRule="auto"/>
              <w:rPr>
                <w:rFonts w:ascii="Times New Roman" w:hAnsi="Times New Roman"/>
                <w:color w:val="auto"/>
                <w:szCs w:val="21"/>
                <w:highlight w:val="none"/>
              </w:rPr>
            </w:pPr>
            <w:r>
              <w:rPr>
                <w:rFonts w:ascii="Times New Roman" w:hAnsi="Times New Roman"/>
                <w:color w:val="auto"/>
                <w:szCs w:val="21"/>
                <w:highlight w:val="none"/>
              </w:rPr>
              <w:t>其中：F1、F2、F3分别为投标报价、技术部分、业绩及服务部分3项评分因素的汇总得分。</w:t>
            </w:r>
          </w:p>
        </w:tc>
      </w:tr>
      <w:tr w14:paraId="28A8709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Merge w:val="continue"/>
            <w:vAlign w:val="center"/>
          </w:tcPr>
          <w:p w14:paraId="097F8C5E">
            <w:pPr>
              <w:spacing w:line="360" w:lineRule="auto"/>
              <w:rPr>
                <w:rFonts w:ascii="Times New Roman" w:hAnsi="Times New Roman"/>
                <w:color w:val="auto"/>
                <w:highlight w:val="none"/>
              </w:rPr>
            </w:pPr>
          </w:p>
        </w:tc>
        <w:tc>
          <w:tcPr>
            <w:tcW w:w="1418" w:type="dxa"/>
            <w:vMerge w:val="continue"/>
            <w:vAlign w:val="center"/>
          </w:tcPr>
          <w:p w14:paraId="7D389789">
            <w:pPr>
              <w:spacing w:line="360" w:lineRule="auto"/>
              <w:rPr>
                <w:rFonts w:ascii="Times New Roman" w:hAnsi="Times New Roman"/>
                <w:color w:val="auto"/>
                <w:highlight w:val="none"/>
              </w:rPr>
            </w:pPr>
          </w:p>
        </w:tc>
        <w:tc>
          <w:tcPr>
            <w:tcW w:w="6662" w:type="dxa"/>
            <w:vAlign w:val="center"/>
          </w:tcPr>
          <w:p w14:paraId="7F1A551B">
            <w:pPr>
              <w:spacing w:line="360" w:lineRule="auto"/>
              <w:ind w:left="1258" w:hanging="1258"/>
              <w:rPr>
                <w:rFonts w:ascii="Times New Roman" w:hAnsi="Times New Roman"/>
                <w:color w:val="auto"/>
                <w:szCs w:val="21"/>
                <w:highlight w:val="none"/>
              </w:rPr>
            </w:pPr>
            <w:r>
              <w:rPr>
                <w:rFonts w:ascii="Times New Roman" w:hAnsi="Times New Roman"/>
                <w:color w:val="auto"/>
                <w:szCs w:val="21"/>
                <w:highlight w:val="none"/>
              </w:rPr>
              <w:t>投标报价F1：</w:t>
            </w:r>
            <w:r>
              <w:rPr>
                <w:rFonts w:hint="eastAsia" w:ascii="Times New Roman" w:hAnsi="Times New Roman"/>
                <w:color w:val="auto"/>
                <w:szCs w:val="21"/>
                <w:highlight w:val="none"/>
                <w:lang w:val="en-US" w:eastAsia="zh-CN"/>
              </w:rPr>
              <w:t>4</w:t>
            </w:r>
            <w:r>
              <w:rPr>
                <w:rFonts w:hint="eastAsia" w:ascii="Times New Roman" w:hAnsi="Times New Roman"/>
                <w:color w:val="auto"/>
                <w:szCs w:val="21"/>
                <w:highlight w:val="none"/>
              </w:rPr>
              <w:t>0</w:t>
            </w:r>
            <w:r>
              <w:rPr>
                <w:rFonts w:ascii="Times New Roman" w:hAnsi="Times New Roman"/>
                <w:color w:val="auto"/>
                <w:szCs w:val="21"/>
                <w:highlight w:val="none"/>
              </w:rPr>
              <w:t>分。</w:t>
            </w:r>
          </w:p>
          <w:p w14:paraId="303FF435">
            <w:pPr>
              <w:spacing w:line="360" w:lineRule="auto"/>
              <w:rPr>
                <w:rFonts w:ascii="Times New Roman" w:hAnsi="Times New Roman"/>
                <w:color w:val="auto"/>
                <w:szCs w:val="21"/>
                <w:highlight w:val="none"/>
              </w:rPr>
            </w:pPr>
            <w:r>
              <w:rPr>
                <w:rFonts w:ascii="Times New Roman" w:hAnsi="Times New Roman"/>
                <w:color w:val="auto"/>
                <w:szCs w:val="21"/>
                <w:highlight w:val="none"/>
              </w:rPr>
              <w:t>技术部分F2：</w:t>
            </w:r>
            <w:r>
              <w:rPr>
                <w:rFonts w:hint="eastAsia" w:ascii="Times New Roman" w:hAnsi="Times New Roman"/>
                <w:color w:val="auto"/>
                <w:szCs w:val="21"/>
                <w:highlight w:val="none"/>
                <w:lang w:val="en-US" w:eastAsia="zh-CN"/>
              </w:rPr>
              <w:t>5</w:t>
            </w:r>
            <w:r>
              <w:rPr>
                <w:rFonts w:hint="eastAsia" w:ascii="Times New Roman" w:hAnsi="Times New Roman"/>
                <w:color w:val="auto"/>
                <w:szCs w:val="21"/>
                <w:highlight w:val="none"/>
              </w:rPr>
              <w:t>0</w:t>
            </w:r>
            <w:r>
              <w:rPr>
                <w:rFonts w:ascii="Times New Roman" w:hAnsi="Times New Roman"/>
                <w:color w:val="auto"/>
                <w:szCs w:val="21"/>
                <w:highlight w:val="none"/>
              </w:rPr>
              <w:t>分。</w:t>
            </w:r>
          </w:p>
          <w:p w14:paraId="2088516C">
            <w:pPr>
              <w:spacing w:line="360" w:lineRule="auto"/>
              <w:rPr>
                <w:rFonts w:ascii="Times New Roman" w:hAnsi="Times New Roman"/>
                <w:color w:val="auto"/>
                <w:szCs w:val="21"/>
                <w:highlight w:val="none"/>
              </w:rPr>
            </w:pPr>
            <w:r>
              <w:rPr>
                <w:rFonts w:ascii="Times New Roman" w:hAnsi="Times New Roman"/>
                <w:color w:val="auto"/>
                <w:szCs w:val="21"/>
                <w:highlight w:val="none"/>
              </w:rPr>
              <w:t>业绩及服务F3：</w:t>
            </w:r>
            <w:r>
              <w:rPr>
                <w:rFonts w:hint="eastAsia" w:ascii="Times New Roman" w:hAnsi="Times New Roman"/>
                <w:color w:val="auto"/>
                <w:szCs w:val="21"/>
                <w:highlight w:val="none"/>
              </w:rPr>
              <w:t>10</w:t>
            </w:r>
            <w:r>
              <w:rPr>
                <w:rFonts w:ascii="Times New Roman" w:hAnsi="Times New Roman"/>
                <w:color w:val="auto"/>
                <w:szCs w:val="21"/>
                <w:highlight w:val="none"/>
              </w:rPr>
              <w:t>分。</w:t>
            </w:r>
          </w:p>
        </w:tc>
      </w:tr>
    </w:tbl>
    <w:p w14:paraId="60F4B203">
      <w:pPr>
        <w:widowControl/>
        <w:jc w:val="left"/>
        <w:rPr>
          <w:rFonts w:ascii="Times New Roman" w:hAnsi="Times New Roman"/>
          <w:b/>
          <w:color w:val="auto"/>
          <w:szCs w:val="21"/>
          <w:highlight w:val="none"/>
        </w:rPr>
      </w:pPr>
      <w:r>
        <w:rPr>
          <w:rFonts w:ascii="Times New Roman" w:hAnsi="Times New Roman"/>
          <w:b/>
          <w:color w:val="auto"/>
          <w:szCs w:val="21"/>
          <w:highlight w:val="none"/>
        </w:rPr>
        <w:br w:type="page"/>
      </w:r>
    </w:p>
    <w:p w14:paraId="265E16C6">
      <w:pPr>
        <w:tabs>
          <w:tab w:val="left" w:pos="1634"/>
          <w:tab w:val="left" w:pos="3373"/>
        </w:tabs>
        <w:jc w:val="right"/>
        <w:rPr>
          <w:rFonts w:ascii="Times New Roman" w:hAnsi="Times New Roman"/>
          <w:b/>
          <w:color w:val="auto"/>
          <w:szCs w:val="21"/>
          <w:highlight w:val="none"/>
        </w:rPr>
      </w:pPr>
      <w:r>
        <w:rPr>
          <w:rFonts w:ascii="Times New Roman" w:hAnsi="Times New Roman"/>
          <w:b/>
          <w:color w:val="auto"/>
          <w:szCs w:val="21"/>
          <w:highlight w:val="none"/>
        </w:rPr>
        <w:t>续表1</w:t>
      </w:r>
    </w:p>
    <w:tbl>
      <w:tblPr>
        <w:tblStyle w:val="39"/>
        <w:tblW w:w="990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5"/>
        <w:gridCol w:w="766"/>
        <w:gridCol w:w="1529"/>
        <w:gridCol w:w="6848"/>
      </w:tblGrid>
      <w:tr w14:paraId="672A4B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531" w:type="dxa"/>
            <w:gridSpan w:val="2"/>
            <w:vAlign w:val="center"/>
          </w:tcPr>
          <w:p w14:paraId="029C832C">
            <w:pPr>
              <w:spacing w:line="360" w:lineRule="auto"/>
              <w:jc w:val="center"/>
              <w:rPr>
                <w:rFonts w:ascii="Times New Roman" w:hAnsi="Times New Roman"/>
                <w:color w:val="auto"/>
                <w:szCs w:val="21"/>
                <w:highlight w:val="none"/>
              </w:rPr>
            </w:pPr>
            <w:r>
              <w:rPr>
                <w:rFonts w:ascii="Times New Roman" w:hAnsi="Times New Roman"/>
                <w:b/>
                <w:color w:val="auto"/>
                <w:szCs w:val="21"/>
                <w:highlight w:val="none"/>
              </w:rPr>
              <w:t>条款号</w:t>
            </w:r>
          </w:p>
        </w:tc>
        <w:tc>
          <w:tcPr>
            <w:tcW w:w="1529" w:type="dxa"/>
            <w:vAlign w:val="center"/>
          </w:tcPr>
          <w:p w14:paraId="4960EF46">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评分因素</w:t>
            </w:r>
          </w:p>
        </w:tc>
        <w:tc>
          <w:tcPr>
            <w:tcW w:w="6848" w:type="dxa"/>
            <w:vAlign w:val="center"/>
          </w:tcPr>
          <w:p w14:paraId="26C8246E">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评分标准</w:t>
            </w:r>
          </w:p>
        </w:tc>
      </w:tr>
      <w:tr w14:paraId="0C3076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vAlign w:val="center"/>
          </w:tcPr>
          <w:p w14:paraId="5CABE2E0">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3.2.2（1）</w:t>
            </w:r>
          </w:p>
        </w:tc>
        <w:tc>
          <w:tcPr>
            <w:tcW w:w="766" w:type="dxa"/>
            <w:vAlign w:val="center"/>
          </w:tcPr>
          <w:p w14:paraId="492B8391">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投标报价</w:t>
            </w:r>
          </w:p>
          <w:p w14:paraId="25632380">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F1</w:t>
            </w:r>
          </w:p>
          <w:p w14:paraId="6755A676">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评分标准</w:t>
            </w:r>
            <w:r>
              <w:rPr>
                <w:rFonts w:ascii="Times New Roman" w:hAnsi="Times New Roman"/>
                <w:b/>
                <w:bCs/>
                <w:color w:val="auto"/>
                <w:szCs w:val="21"/>
                <w:highlight w:val="none"/>
              </w:rPr>
              <w:t>（满分</w:t>
            </w:r>
            <w:r>
              <w:rPr>
                <w:rFonts w:hint="eastAsia" w:ascii="Times New Roman" w:hAnsi="Times New Roman"/>
                <w:b/>
                <w:bCs/>
                <w:color w:val="auto"/>
                <w:szCs w:val="21"/>
                <w:highlight w:val="none"/>
                <w:lang w:val="en-US" w:eastAsia="zh-CN"/>
              </w:rPr>
              <w:t>4</w:t>
            </w:r>
            <w:r>
              <w:rPr>
                <w:rFonts w:hint="eastAsia" w:ascii="Times New Roman" w:hAnsi="Times New Roman"/>
                <w:b/>
                <w:bCs/>
                <w:color w:val="auto"/>
                <w:szCs w:val="21"/>
                <w:highlight w:val="none"/>
              </w:rPr>
              <w:t>0</w:t>
            </w:r>
            <w:r>
              <w:rPr>
                <w:rFonts w:ascii="Times New Roman" w:hAnsi="Times New Roman"/>
                <w:b/>
                <w:bCs/>
                <w:color w:val="auto"/>
                <w:szCs w:val="21"/>
                <w:highlight w:val="none"/>
              </w:rPr>
              <w:t>）</w:t>
            </w:r>
          </w:p>
        </w:tc>
        <w:tc>
          <w:tcPr>
            <w:tcW w:w="1529" w:type="dxa"/>
            <w:vAlign w:val="center"/>
          </w:tcPr>
          <w:p w14:paraId="5BDFE936">
            <w:pPr>
              <w:spacing w:line="360" w:lineRule="auto"/>
              <w:ind w:left="2250"/>
              <w:jc w:val="center"/>
              <w:rPr>
                <w:color w:val="auto"/>
                <w:highlight w:val="none"/>
              </w:rPr>
            </w:pPr>
            <w:r>
              <w:rPr>
                <w:rFonts w:ascii="Times New Roman" w:hAnsi="Times New Roman"/>
                <w:color w:val="auto"/>
                <w:szCs w:val="21"/>
                <w:highlight w:val="none"/>
              </w:rPr>
              <w:t>投标报价评分计算公式</w:t>
            </w:r>
            <w:r>
              <w:rPr>
                <w:rFonts w:ascii="Times New Roman" w:hAnsi="Times New Roman"/>
                <w:b/>
                <w:bCs/>
                <w:color w:val="auto"/>
                <w:szCs w:val="21"/>
                <w:highlight w:val="none"/>
              </w:rPr>
              <w:t>（满分</w:t>
            </w:r>
            <w:r>
              <w:rPr>
                <w:rFonts w:hint="eastAsia" w:ascii="Times New Roman" w:hAnsi="Times New Roman"/>
                <w:b/>
                <w:bCs/>
                <w:color w:val="auto"/>
                <w:szCs w:val="21"/>
                <w:highlight w:val="none"/>
              </w:rPr>
              <w:t>40</w:t>
            </w:r>
            <w:r>
              <w:rPr>
                <w:rFonts w:ascii="Times New Roman" w:hAnsi="Times New Roman"/>
                <w:b/>
                <w:bCs/>
                <w:color w:val="auto"/>
                <w:szCs w:val="21"/>
                <w:highlight w:val="none"/>
              </w:rPr>
              <w:t>）</w:t>
            </w:r>
          </w:p>
        </w:tc>
        <w:tc>
          <w:tcPr>
            <w:tcW w:w="6848" w:type="dxa"/>
            <w:vAlign w:val="center"/>
          </w:tcPr>
          <w:p w14:paraId="3802AF7C">
            <w:pPr>
              <w:spacing w:line="360" w:lineRule="auto"/>
              <w:rPr>
                <w:rFonts w:ascii="Times New Roman" w:hAnsi="Times New Roman"/>
                <w:color w:val="auto"/>
                <w:szCs w:val="21"/>
                <w:highlight w:val="none"/>
              </w:rPr>
            </w:pPr>
            <w:r>
              <w:rPr>
                <w:rFonts w:ascii="Times New Roman" w:hAnsi="Times New Roman"/>
                <w:color w:val="auto"/>
                <w:szCs w:val="21"/>
                <w:highlight w:val="none"/>
              </w:rPr>
              <w:t>投标报价得分=(评标基准价／投标报价)×</w:t>
            </w:r>
            <w:r>
              <w:rPr>
                <w:rFonts w:hint="eastAsia" w:ascii="Times New Roman" w:hAnsi="Times New Roman"/>
                <w:color w:val="auto"/>
                <w:szCs w:val="21"/>
                <w:highlight w:val="none"/>
                <w:lang w:val="en-US" w:eastAsia="zh-CN"/>
              </w:rPr>
              <w:t>4</w:t>
            </w:r>
            <w:r>
              <w:rPr>
                <w:rFonts w:hint="eastAsia" w:ascii="Times New Roman" w:hAnsi="Times New Roman"/>
                <w:color w:val="auto"/>
                <w:szCs w:val="21"/>
                <w:highlight w:val="none"/>
              </w:rPr>
              <w:t>0</w:t>
            </w:r>
          </w:p>
          <w:p w14:paraId="5A12ECFB">
            <w:pPr>
              <w:spacing w:line="360" w:lineRule="auto"/>
              <w:rPr>
                <w:rFonts w:hint="default" w:ascii="Times New Roman" w:hAnsi="Times New Roman" w:eastAsia="宋体"/>
                <w:color w:val="auto"/>
                <w:szCs w:val="21"/>
                <w:highlight w:val="none"/>
                <w:lang w:val="en-US" w:eastAsia="zh-CN"/>
              </w:rPr>
            </w:pPr>
            <w:r>
              <w:rPr>
                <w:rFonts w:ascii="Times New Roman" w:hAnsi="Times New Roman"/>
                <w:color w:val="auto"/>
                <w:szCs w:val="21"/>
                <w:highlight w:val="none"/>
              </w:rPr>
              <w:t>即：F1=[C/（B1，B2，…，Bn）]×</w:t>
            </w:r>
            <w:r>
              <w:rPr>
                <w:rFonts w:hint="eastAsia" w:ascii="Times New Roman" w:hAnsi="Times New Roman"/>
                <w:color w:val="auto"/>
                <w:szCs w:val="21"/>
                <w:highlight w:val="none"/>
                <w:lang w:val="en-US" w:eastAsia="zh-CN"/>
              </w:rPr>
              <w:t>40</w:t>
            </w:r>
          </w:p>
          <w:p w14:paraId="231A3738">
            <w:pPr>
              <w:spacing w:line="360" w:lineRule="auto"/>
              <w:rPr>
                <w:rFonts w:ascii="Times New Roman" w:hAnsi="Times New Roman"/>
                <w:color w:val="auto"/>
                <w:szCs w:val="21"/>
                <w:highlight w:val="none"/>
              </w:rPr>
            </w:pPr>
            <w:r>
              <w:rPr>
                <w:rFonts w:ascii="Times New Roman" w:hAnsi="Times New Roman"/>
                <w:color w:val="auto"/>
                <w:szCs w:val="21"/>
                <w:highlight w:val="none"/>
              </w:rPr>
              <w:t>注：C为评标基准价，即经初步审查合格且投标价格最低的有效投标报价；</w:t>
            </w:r>
          </w:p>
          <w:p w14:paraId="3FC5379C">
            <w:pPr>
              <w:spacing w:line="360" w:lineRule="auto"/>
              <w:rPr>
                <w:rFonts w:ascii="Times New Roman" w:hAnsi="Times New Roman"/>
                <w:color w:val="auto"/>
                <w:szCs w:val="21"/>
                <w:highlight w:val="none"/>
              </w:rPr>
            </w:pPr>
            <w:r>
              <w:rPr>
                <w:rFonts w:ascii="Times New Roman" w:hAnsi="Times New Roman"/>
                <w:color w:val="auto"/>
                <w:szCs w:val="21"/>
                <w:highlight w:val="none"/>
              </w:rPr>
              <w:t>B1，B2，…，Bn为第n个经初步审查合格的有效投标报价。</w:t>
            </w:r>
          </w:p>
          <w:p w14:paraId="0BF33477">
            <w:pPr>
              <w:spacing w:line="360" w:lineRule="auto"/>
              <w:rPr>
                <w:rFonts w:ascii="Times New Roman" w:hAnsi="Times New Roman"/>
                <w:color w:val="auto"/>
                <w:szCs w:val="21"/>
                <w:highlight w:val="none"/>
              </w:rPr>
            </w:pPr>
            <w:r>
              <w:rPr>
                <w:rFonts w:ascii="Times New Roman" w:hAnsi="Times New Roman"/>
                <w:color w:val="auto"/>
                <w:szCs w:val="21"/>
                <w:highlight w:val="none"/>
              </w:rPr>
              <w:t>注：在计算投标报价得分时，对小型或微型企业产品的价格给予10%的扣除，监狱企业、残疾人福利性单位均视同小型或微型企业。（不重复享受优惠政策）</w:t>
            </w:r>
          </w:p>
        </w:tc>
      </w:tr>
      <w:tr w14:paraId="5FCA9D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765" w:type="dxa"/>
            <w:vMerge w:val="restart"/>
            <w:vAlign w:val="center"/>
          </w:tcPr>
          <w:p w14:paraId="3A2E7D43">
            <w:pPr>
              <w:jc w:val="center"/>
              <w:rPr>
                <w:rFonts w:ascii="Times New Roman" w:hAnsi="Times New Roman"/>
                <w:color w:val="auto"/>
                <w:szCs w:val="21"/>
                <w:highlight w:val="none"/>
              </w:rPr>
            </w:pPr>
            <w:r>
              <w:rPr>
                <w:rFonts w:ascii="Times New Roman" w:hAnsi="Times New Roman"/>
                <w:color w:val="auto"/>
                <w:szCs w:val="21"/>
                <w:highlight w:val="none"/>
              </w:rPr>
              <w:t>3.2.2（2）</w:t>
            </w:r>
          </w:p>
        </w:tc>
        <w:tc>
          <w:tcPr>
            <w:tcW w:w="766" w:type="dxa"/>
            <w:vMerge w:val="restart"/>
            <w:vAlign w:val="center"/>
          </w:tcPr>
          <w:p w14:paraId="24883C52">
            <w:pPr>
              <w:jc w:val="center"/>
              <w:rPr>
                <w:rFonts w:ascii="Times New Roman" w:hAnsi="Times New Roman"/>
                <w:color w:val="auto"/>
                <w:szCs w:val="21"/>
                <w:highlight w:val="none"/>
              </w:rPr>
            </w:pPr>
            <w:r>
              <w:rPr>
                <w:rFonts w:ascii="Times New Roman" w:hAnsi="Times New Roman"/>
                <w:color w:val="auto"/>
                <w:szCs w:val="21"/>
                <w:highlight w:val="none"/>
              </w:rPr>
              <w:t>技术部分</w:t>
            </w:r>
          </w:p>
          <w:p w14:paraId="197EEC7C">
            <w:pPr>
              <w:jc w:val="center"/>
              <w:rPr>
                <w:rFonts w:ascii="Times New Roman" w:hAnsi="Times New Roman"/>
                <w:color w:val="auto"/>
                <w:szCs w:val="21"/>
                <w:highlight w:val="none"/>
              </w:rPr>
            </w:pPr>
            <w:r>
              <w:rPr>
                <w:rFonts w:ascii="Times New Roman" w:hAnsi="Times New Roman"/>
                <w:color w:val="auto"/>
                <w:szCs w:val="21"/>
                <w:highlight w:val="none"/>
              </w:rPr>
              <w:t>F2</w:t>
            </w:r>
          </w:p>
          <w:p w14:paraId="35430A98">
            <w:pPr>
              <w:jc w:val="center"/>
              <w:rPr>
                <w:rFonts w:ascii="Times New Roman" w:hAnsi="Times New Roman"/>
                <w:color w:val="auto"/>
                <w:szCs w:val="21"/>
                <w:highlight w:val="none"/>
              </w:rPr>
            </w:pPr>
            <w:r>
              <w:rPr>
                <w:rFonts w:ascii="Times New Roman" w:hAnsi="Times New Roman"/>
                <w:color w:val="auto"/>
                <w:szCs w:val="21"/>
                <w:highlight w:val="none"/>
              </w:rPr>
              <w:t>评分标准</w:t>
            </w:r>
            <w:r>
              <w:rPr>
                <w:rFonts w:ascii="Times New Roman" w:hAnsi="Times New Roman"/>
                <w:b/>
                <w:bCs/>
                <w:color w:val="auto"/>
                <w:szCs w:val="21"/>
                <w:highlight w:val="none"/>
              </w:rPr>
              <w:t>（满分</w:t>
            </w:r>
            <w:r>
              <w:rPr>
                <w:rFonts w:hint="eastAsia" w:ascii="Times New Roman" w:hAnsi="Times New Roman"/>
                <w:b/>
                <w:bCs/>
                <w:color w:val="auto"/>
                <w:szCs w:val="21"/>
                <w:highlight w:val="none"/>
                <w:lang w:val="en-US" w:eastAsia="zh-CN"/>
              </w:rPr>
              <w:t>50</w:t>
            </w:r>
            <w:r>
              <w:rPr>
                <w:rFonts w:ascii="Times New Roman" w:hAnsi="Times New Roman"/>
                <w:b/>
                <w:bCs/>
                <w:color w:val="auto"/>
                <w:szCs w:val="21"/>
                <w:highlight w:val="none"/>
              </w:rPr>
              <w:t>）</w:t>
            </w:r>
          </w:p>
        </w:tc>
        <w:tc>
          <w:tcPr>
            <w:tcW w:w="1529" w:type="dxa"/>
            <w:vAlign w:val="center"/>
          </w:tcPr>
          <w:p w14:paraId="67FA2FE0">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技术指标的响应程度</w:t>
            </w:r>
            <w:r>
              <w:rPr>
                <w:rFonts w:ascii="Times New Roman" w:hAnsi="Times New Roman"/>
                <w:b/>
                <w:bCs/>
                <w:color w:val="auto"/>
                <w:szCs w:val="21"/>
                <w:highlight w:val="none"/>
              </w:rPr>
              <w:t>（满分</w:t>
            </w:r>
            <w:r>
              <w:rPr>
                <w:rFonts w:hint="eastAsia" w:ascii="Times New Roman" w:hAnsi="Times New Roman"/>
                <w:b/>
                <w:bCs/>
                <w:color w:val="auto"/>
                <w:szCs w:val="21"/>
                <w:highlight w:val="none"/>
                <w:lang w:val="en-US" w:eastAsia="zh-CN"/>
              </w:rPr>
              <w:t>5</w:t>
            </w:r>
            <w:r>
              <w:rPr>
                <w:rFonts w:hint="eastAsia" w:ascii="Times New Roman" w:hAnsi="Times New Roman"/>
                <w:b/>
                <w:bCs/>
                <w:color w:val="auto"/>
                <w:szCs w:val="21"/>
                <w:highlight w:val="none"/>
              </w:rPr>
              <w:t>0</w:t>
            </w:r>
            <w:r>
              <w:rPr>
                <w:rFonts w:ascii="Times New Roman" w:hAnsi="Times New Roman"/>
                <w:b/>
                <w:bCs/>
                <w:color w:val="auto"/>
                <w:szCs w:val="21"/>
                <w:highlight w:val="none"/>
              </w:rPr>
              <w:t>）</w:t>
            </w:r>
          </w:p>
        </w:tc>
        <w:tc>
          <w:tcPr>
            <w:tcW w:w="6848" w:type="dxa"/>
            <w:vAlign w:val="center"/>
          </w:tcPr>
          <w:p w14:paraId="040B893C">
            <w:pPr>
              <w:snapToGrid w:val="0"/>
              <w:spacing w:line="360" w:lineRule="auto"/>
              <w:rPr>
                <w:rFonts w:ascii="Times New Roman" w:hAnsi="Times New Roman"/>
                <w:color w:val="auto"/>
                <w:szCs w:val="21"/>
                <w:highlight w:val="none"/>
              </w:rPr>
            </w:pPr>
            <w:r>
              <w:rPr>
                <w:rFonts w:ascii="Times New Roman" w:hAnsi="Times New Roman"/>
                <w:color w:val="auto"/>
                <w:szCs w:val="21"/>
                <w:highlight w:val="none"/>
              </w:rPr>
              <w:t>根据投标人对招标文件</w:t>
            </w:r>
            <w:r>
              <w:rPr>
                <w:rFonts w:ascii="Times New Roman" w:hAnsi="Times New Roman"/>
                <w:bCs/>
                <w:color w:val="auto"/>
                <w:szCs w:val="21"/>
                <w:highlight w:val="none"/>
              </w:rPr>
              <w:t>第五章《货物需求及技术要求》</w:t>
            </w:r>
            <w:r>
              <w:rPr>
                <w:rFonts w:ascii="Times New Roman" w:hAnsi="Times New Roman"/>
                <w:color w:val="auto"/>
                <w:szCs w:val="21"/>
                <w:highlight w:val="none"/>
              </w:rPr>
              <w:t>的技术指标的响应情况进行评审，评审规则如下：</w:t>
            </w:r>
          </w:p>
          <w:p w14:paraId="499C62A4">
            <w:pPr>
              <w:snapToGrid w:val="0"/>
              <w:spacing w:line="360" w:lineRule="auto"/>
              <w:rPr>
                <w:rFonts w:ascii="Times New Roman" w:hAnsi="Times New Roman"/>
                <w:color w:val="auto"/>
                <w:szCs w:val="21"/>
                <w:highlight w:val="none"/>
              </w:rPr>
            </w:pPr>
            <w:r>
              <w:rPr>
                <w:rFonts w:ascii="Times New Roman" w:hAnsi="Times New Roman"/>
                <w:color w:val="auto"/>
                <w:szCs w:val="21"/>
                <w:highlight w:val="none"/>
              </w:rPr>
              <w:t>1.本项目共计划分</w:t>
            </w:r>
            <w:r>
              <w:rPr>
                <w:rFonts w:hint="eastAsia" w:ascii="Times New Roman" w:hAnsi="Times New Roman"/>
                <w:b/>
                <w:bCs/>
                <w:color w:val="auto"/>
                <w:szCs w:val="21"/>
                <w:highlight w:val="none"/>
                <w:lang w:val="en-US" w:eastAsia="zh-CN"/>
              </w:rPr>
              <w:t>14</w:t>
            </w:r>
            <w:r>
              <w:rPr>
                <w:rFonts w:ascii="Times New Roman" w:hAnsi="Times New Roman"/>
                <w:b/>
                <w:bCs/>
                <w:color w:val="auto"/>
                <w:szCs w:val="21"/>
                <w:highlight w:val="none"/>
              </w:rPr>
              <w:t>项</w:t>
            </w:r>
            <w:r>
              <w:rPr>
                <w:rFonts w:ascii="Times New Roman" w:hAnsi="Times New Roman"/>
                <w:color w:val="auto"/>
                <w:szCs w:val="21"/>
                <w:highlight w:val="none"/>
              </w:rPr>
              <w:t>一般技术指标、</w:t>
            </w:r>
            <w:r>
              <w:rPr>
                <w:rFonts w:hint="eastAsia" w:ascii="Times New Roman" w:hAnsi="Times New Roman"/>
                <w:b/>
                <w:bCs/>
                <w:color w:val="auto"/>
                <w:szCs w:val="21"/>
                <w:highlight w:val="none"/>
                <w:lang w:val="en-US" w:eastAsia="zh-CN"/>
              </w:rPr>
              <w:t>51</w:t>
            </w:r>
            <w:r>
              <w:rPr>
                <w:rFonts w:ascii="Times New Roman" w:hAnsi="Times New Roman"/>
                <w:b/>
                <w:bCs/>
                <w:color w:val="auto"/>
                <w:szCs w:val="21"/>
                <w:highlight w:val="none"/>
              </w:rPr>
              <w:t>项</w:t>
            </w:r>
            <w:r>
              <w:rPr>
                <w:rFonts w:ascii="Times New Roman" w:hAnsi="Times New Roman"/>
                <w:color w:val="auto"/>
                <w:szCs w:val="21"/>
                <w:highlight w:val="none"/>
              </w:rPr>
              <w:t>重要技术指标，技术指标划分详见第五章《</w:t>
            </w:r>
            <w:r>
              <w:rPr>
                <w:rFonts w:ascii="Times New Roman" w:hAnsi="Times New Roman"/>
                <w:bCs/>
                <w:color w:val="auto"/>
                <w:szCs w:val="21"/>
                <w:highlight w:val="none"/>
              </w:rPr>
              <w:t>货物需求及技术要求</w:t>
            </w:r>
            <w:r>
              <w:rPr>
                <w:rFonts w:ascii="Times New Roman" w:hAnsi="Times New Roman"/>
                <w:color w:val="auto"/>
                <w:szCs w:val="21"/>
                <w:highlight w:val="none"/>
              </w:rPr>
              <w:t>》。</w:t>
            </w:r>
          </w:p>
          <w:p w14:paraId="0F810EFD">
            <w:pPr>
              <w:snapToGrid w:val="0"/>
              <w:spacing w:line="360" w:lineRule="auto"/>
              <w:rPr>
                <w:rFonts w:ascii="Times New Roman" w:hAnsi="Times New Roman"/>
                <w:color w:val="auto"/>
                <w:szCs w:val="21"/>
                <w:highlight w:val="none"/>
              </w:rPr>
            </w:pPr>
            <w:r>
              <w:rPr>
                <w:rFonts w:ascii="Times New Roman" w:hAnsi="Times New Roman"/>
                <w:color w:val="auto"/>
                <w:szCs w:val="21"/>
                <w:highlight w:val="none"/>
              </w:rPr>
              <w:t>2.评审标准：技术指标部分共</w:t>
            </w:r>
            <w:r>
              <w:rPr>
                <w:rFonts w:hint="eastAsia" w:ascii="Times New Roman" w:hAnsi="Times New Roman"/>
                <w:color w:val="auto"/>
                <w:szCs w:val="21"/>
                <w:highlight w:val="none"/>
                <w:lang w:val="en-US" w:eastAsia="zh-CN"/>
              </w:rPr>
              <w:t>50</w:t>
            </w:r>
            <w:r>
              <w:rPr>
                <w:rFonts w:ascii="Times New Roman" w:hAnsi="Times New Roman"/>
                <w:color w:val="auto"/>
                <w:szCs w:val="21"/>
                <w:highlight w:val="none"/>
              </w:rPr>
              <w:t>分。投标人每出现任意内容不满足对应项下的一般技术指标要求的，每项扣</w:t>
            </w:r>
            <w:r>
              <w:rPr>
                <w:rFonts w:hint="eastAsia" w:ascii="Times New Roman" w:hAnsi="Times New Roman"/>
                <w:b/>
                <w:bCs/>
                <w:color w:val="auto"/>
                <w:szCs w:val="21"/>
                <w:highlight w:val="none"/>
              </w:rPr>
              <w:t>（10÷</w:t>
            </w:r>
            <w:r>
              <w:rPr>
                <w:rFonts w:hint="eastAsia" w:ascii="Times New Roman" w:hAnsi="Times New Roman"/>
                <w:b/>
                <w:bCs/>
                <w:color w:val="auto"/>
                <w:szCs w:val="21"/>
                <w:highlight w:val="none"/>
                <w:lang w:val="en-US" w:eastAsia="zh-CN"/>
              </w:rPr>
              <w:t>14</w:t>
            </w:r>
            <w:r>
              <w:rPr>
                <w:rFonts w:hint="eastAsia" w:ascii="Times New Roman" w:hAnsi="Times New Roman"/>
                <w:b/>
                <w:bCs/>
                <w:color w:val="auto"/>
                <w:szCs w:val="21"/>
                <w:highlight w:val="none"/>
              </w:rPr>
              <w:t>）</w:t>
            </w:r>
            <w:r>
              <w:rPr>
                <w:rFonts w:ascii="Times New Roman" w:hAnsi="Times New Roman"/>
                <w:color w:val="auto"/>
                <w:szCs w:val="21"/>
                <w:highlight w:val="none"/>
              </w:rPr>
              <w:t>分；投标人每出现任意内容不满足对应项下的重要技术指标要求的，每项扣</w:t>
            </w:r>
            <w:r>
              <w:rPr>
                <w:rFonts w:hint="eastAsia" w:ascii="Times New Roman" w:hAnsi="Times New Roman"/>
                <w:b/>
                <w:bCs/>
                <w:color w:val="auto"/>
                <w:szCs w:val="21"/>
                <w:highlight w:val="none"/>
              </w:rPr>
              <w:t>（</w:t>
            </w:r>
            <w:r>
              <w:rPr>
                <w:rFonts w:hint="eastAsia" w:ascii="Times New Roman" w:hAnsi="Times New Roman"/>
                <w:b/>
                <w:bCs/>
                <w:color w:val="auto"/>
                <w:szCs w:val="21"/>
                <w:highlight w:val="none"/>
                <w:lang w:val="en-US" w:eastAsia="zh-CN"/>
              </w:rPr>
              <w:t>4</w:t>
            </w:r>
            <w:r>
              <w:rPr>
                <w:rFonts w:hint="eastAsia" w:ascii="Times New Roman" w:hAnsi="Times New Roman"/>
                <w:b/>
                <w:bCs/>
                <w:color w:val="auto"/>
                <w:szCs w:val="21"/>
                <w:highlight w:val="none"/>
              </w:rPr>
              <w:t>0÷</w:t>
            </w:r>
            <w:r>
              <w:rPr>
                <w:rFonts w:hint="eastAsia" w:ascii="Times New Roman" w:hAnsi="Times New Roman"/>
                <w:b/>
                <w:bCs/>
                <w:color w:val="auto"/>
                <w:szCs w:val="21"/>
                <w:highlight w:val="none"/>
                <w:lang w:val="en-US" w:eastAsia="zh-CN"/>
              </w:rPr>
              <w:t>51</w:t>
            </w:r>
            <w:r>
              <w:rPr>
                <w:rFonts w:hint="eastAsia" w:ascii="Times New Roman" w:hAnsi="Times New Roman"/>
                <w:b/>
                <w:bCs/>
                <w:color w:val="auto"/>
                <w:szCs w:val="21"/>
                <w:highlight w:val="none"/>
              </w:rPr>
              <w:t>）</w:t>
            </w:r>
            <w:r>
              <w:rPr>
                <w:rFonts w:ascii="Times New Roman" w:hAnsi="Times New Roman"/>
                <w:color w:val="auto"/>
                <w:szCs w:val="21"/>
                <w:highlight w:val="none"/>
              </w:rPr>
              <w:t>分。</w:t>
            </w:r>
          </w:p>
          <w:p w14:paraId="6528B87B">
            <w:pPr>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①</w:t>
            </w:r>
            <w:r>
              <w:rPr>
                <w:rFonts w:ascii="Times New Roman" w:hAnsi="Times New Roman"/>
                <w:b/>
                <w:bCs/>
                <w:color w:val="auto"/>
                <w:szCs w:val="21"/>
                <w:highlight w:val="none"/>
              </w:rPr>
              <w:t>技术指标的响应程度的评审参考投标人提供的技术偏离表</w:t>
            </w:r>
            <w:bookmarkStart w:id="351" w:name="_Hlk19872790"/>
            <w:r>
              <w:rPr>
                <w:rFonts w:ascii="Times New Roman" w:hAnsi="Times New Roman"/>
                <w:b/>
                <w:bCs/>
                <w:color w:val="auto"/>
                <w:szCs w:val="21"/>
                <w:highlight w:val="none"/>
              </w:rPr>
              <w:t>，以投标人提供的技术支持资料为准</w:t>
            </w:r>
            <w:bookmarkEnd w:id="351"/>
            <w:r>
              <w:rPr>
                <w:rFonts w:hint="eastAsia" w:ascii="Times New Roman" w:hAnsi="Times New Roman"/>
                <w:b/>
                <w:bCs/>
                <w:color w:val="auto"/>
                <w:szCs w:val="21"/>
                <w:highlight w:val="none"/>
              </w:rPr>
              <w:t>；</w:t>
            </w:r>
          </w:p>
          <w:p w14:paraId="663A25D7">
            <w:pPr>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②计算时保留小数点后2位。</w:t>
            </w:r>
          </w:p>
        </w:tc>
      </w:tr>
      <w:tr w14:paraId="6681E7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65" w:type="dxa"/>
            <w:vMerge w:val="continue"/>
            <w:vAlign w:val="center"/>
          </w:tcPr>
          <w:p w14:paraId="7AFC6252">
            <w:pPr>
              <w:spacing w:line="360" w:lineRule="auto"/>
              <w:rPr>
                <w:rFonts w:ascii="Times New Roman" w:hAnsi="Times New Roman"/>
                <w:color w:val="auto"/>
                <w:szCs w:val="21"/>
                <w:highlight w:val="none"/>
              </w:rPr>
            </w:pPr>
          </w:p>
        </w:tc>
        <w:tc>
          <w:tcPr>
            <w:tcW w:w="766" w:type="dxa"/>
            <w:vMerge w:val="continue"/>
            <w:vAlign w:val="center"/>
          </w:tcPr>
          <w:p w14:paraId="3F54CC9D">
            <w:pPr>
              <w:spacing w:line="360" w:lineRule="auto"/>
              <w:rPr>
                <w:rFonts w:ascii="Times New Roman" w:hAnsi="Times New Roman"/>
                <w:color w:val="auto"/>
                <w:szCs w:val="21"/>
                <w:highlight w:val="none"/>
              </w:rPr>
            </w:pPr>
          </w:p>
        </w:tc>
        <w:tc>
          <w:tcPr>
            <w:tcW w:w="8377" w:type="dxa"/>
            <w:gridSpan w:val="2"/>
            <w:vAlign w:val="center"/>
          </w:tcPr>
          <w:p w14:paraId="333A815F">
            <w:pPr>
              <w:spacing w:line="360" w:lineRule="auto"/>
              <w:rPr>
                <w:rFonts w:ascii="Times New Roman" w:hAnsi="Times New Roman"/>
                <w:b/>
                <w:color w:val="auto"/>
                <w:szCs w:val="21"/>
                <w:highlight w:val="none"/>
              </w:rPr>
            </w:pPr>
            <w:r>
              <w:rPr>
                <w:rFonts w:ascii="Times New Roman" w:hAnsi="Times New Roman"/>
                <w:b/>
                <w:color w:val="auto"/>
                <w:szCs w:val="21"/>
                <w:highlight w:val="none"/>
              </w:rPr>
              <w:t>备注：根据进入详细评审的投标人的投标文件，对评分因素的响应情况进行打分。</w:t>
            </w:r>
          </w:p>
        </w:tc>
      </w:tr>
    </w:tbl>
    <w:p w14:paraId="2092CA31">
      <w:pPr>
        <w:widowControl/>
        <w:jc w:val="left"/>
        <w:rPr>
          <w:rFonts w:ascii="Times New Roman" w:hAnsi="Times New Roman"/>
          <w:b/>
          <w:color w:val="auto"/>
          <w:szCs w:val="21"/>
          <w:highlight w:val="none"/>
        </w:rPr>
      </w:pPr>
      <w:r>
        <w:rPr>
          <w:rFonts w:ascii="Times New Roman" w:hAnsi="Times New Roman"/>
          <w:b/>
          <w:color w:val="auto"/>
          <w:szCs w:val="21"/>
          <w:highlight w:val="none"/>
        </w:rPr>
        <w:t>续表2</w:t>
      </w:r>
    </w:p>
    <w:tbl>
      <w:tblPr>
        <w:tblStyle w:val="39"/>
        <w:tblW w:w="9908"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728"/>
        <w:gridCol w:w="1261"/>
        <w:gridCol w:w="7102"/>
      </w:tblGrid>
      <w:tr w14:paraId="6B3C43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545" w:type="dxa"/>
            <w:gridSpan w:val="2"/>
            <w:vAlign w:val="center"/>
          </w:tcPr>
          <w:p w14:paraId="3A637824">
            <w:pPr>
              <w:spacing w:line="360" w:lineRule="auto"/>
              <w:jc w:val="center"/>
              <w:rPr>
                <w:rFonts w:ascii="Times New Roman" w:hAnsi="Times New Roman"/>
                <w:color w:val="auto"/>
                <w:szCs w:val="21"/>
                <w:highlight w:val="none"/>
              </w:rPr>
            </w:pPr>
            <w:r>
              <w:rPr>
                <w:rFonts w:ascii="Times New Roman" w:hAnsi="Times New Roman"/>
                <w:b/>
                <w:color w:val="auto"/>
                <w:szCs w:val="21"/>
                <w:highlight w:val="none"/>
              </w:rPr>
              <w:t>条款号</w:t>
            </w:r>
          </w:p>
        </w:tc>
        <w:tc>
          <w:tcPr>
            <w:tcW w:w="1261" w:type="dxa"/>
            <w:vAlign w:val="center"/>
          </w:tcPr>
          <w:p w14:paraId="1504DBB7">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评分因素</w:t>
            </w:r>
          </w:p>
        </w:tc>
        <w:tc>
          <w:tcPr>
            <w:tcW w:w="7102" w:type="dxa"/>
            <w:vAlign w:val="center"/>
          </w:tcPr>
          <w:p w14:paraId="766DBEC3">
            <w:pPr>
              <w:spacing w:line="360" w:lineRule="auto"/>
              <w:jc w:val="center"/>
              <w:rPr>
                <w:rFonts w:ascii="Times New Roman" w:hAnsi="Times New Roman"/>
                <w:b/>
                <w:color w:val="auto"/>
                <w:szCs w:val="21"/>
                <w:highlight w:val="none"/>
              </w:rPr>
            </w:pPr>
            <w:r>
              <w:rPr>
                <w:rFonts w:ascii="Times New Roman" w:hAnsi="Times New Roman"/>
                <w:b/>
                <w:color w:val="auto"/>
                <w:szCs w:val="21"/>
                <w:highlight w:val="none"/>
              </w:rPr>
              <w:t>评分标准</w:t>
            </w:r>
          </w:p>
        </w:tc>
      </w:tr>
      <w:tr w14:paraId="168BC79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817" w:type="dxa"/>
            <w:vMerge w:val="restart"/>
            <w:tcBorders>
              <w:right w:val="single" w:color="auto" w:sz="4" w:space="0"/>
            </w:tcBorders>
            <w:vAlign w:val="center"/>
          </w:tcPr>
          <w:p w14:paraId="01F2133F">
            <w:pPr>
              <w:spacing w:line="360" w:lineRule="auto"/>
              <w:jc w:val="center"/>
              <w:rPr>
                <w:rFonts w:ascii="Times New Roman" w:hAnsi="Times New Roman"/>
                <w:color w:val="auto"/>
                <w:highlight w:val="none"/>
              </w:rPr>
            </w:pPr>
            <w:r>
              <w:rPr>
                <w:rFonts w:ascii="Times New Roman" w:hAnsi="Times New Roman"/>
                <w:color w:val="auto"/>
                <w:szCs w:val="21"/>
                <w:highlight w:val="none"/>
              </w:rPr>
              <w:t>3.2.2（3）</w:t>
            </w:r>
          </w:p>
        </w:tc>
        <w:tc>
          <w:tcPr>
            <w:tcW w:w="728" w:type="dxa"/>
            <w:vMerge w:val="restart"/>
            <w:tcBorders>
              <w:left w:val="single" w:color="auto" w:sz="4" w:space="0"/>
            </w:tcBorders>
            <w:vAlign w:val="center"/>
          </w:tcPr>
          <w:p w14:paraId="3ED9091D">
            <w:pPr>
              <w:jc w:val="center"/>
              <w:rPr>
                <w:rFonts w:ascii="Times New Roman" w:hAnsi="Times New Roman"/>
                <w:color w:val="auto"/>
                <w:szCs w:val="21"/>
                <w:highlight w:val="none"/>
              </w:rPr>
            </w:pPr>
            <w:r>
              <w:rPr>
                <w:rFonts w:ascii="Times New Roman" w:hAnsi="Times New Roman"/>
                <w:color w:val="auto"/>
                <w:szCs w:val="21"/>
                <w:highlight w:val="none"/>
              </w:rPr>
              <w:t>业绩及服务部分</w:t>
            </w:r>
          </w:p>
          <w:p w14:paraId="273F8457">
            <w:pPr>
              <w:jc w:val="center"/>
              <w:rPr>
                <w:rFonts w:ascii="Times New Roman" w:hAnsi="Times New Roman"/>
                <w:color w:val="auto"/>
                <w:szCs w:val="21"/>
                <w:highlight w:val="none"/>
              </w:rPr>
            </w:pPr>
            <w:r>
              <w:rPr>
                <w:rFonts w:ascii="Times New Roman" w:hAnsi="Times New Roman"/>
                <w:color w:val="auto"/>
                <w:szCs w:val="21"/>
                <w:highlight w:val="none"/>
              </w:rPr>
              <w:t>F3</w:t>
            </w:r>
          </w:p>
          <w:p w14:paraId="4AC4D02D">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评分标准</w:t>
            </w:r>
            <w:r>
              <w:rPr>
                <w:rFonts w:ascii="Times New Roman" w:hAnsi="Times New Roman"/>
                <w:b/>
                <w:bCs/>
                <w:color w:val="auto"/>
                <w:szCs w:val="21"/>
                <w:highlight w:val="none"/>
              </w:rPr>
              <w:t>（满分</w:t>
            </w:r>
            <w:r>
              <w:rPr>
                <w:rFonts w:hint="eastAsia" w:ascii="Times New Roman" w:hAnsi="Times New Roman"/>
                <w:b/>
                <w:bCs/>
                <w:color w:val="auto"/>
                <w:szCs w:val="21"/>
                <w:highlight w:val="none"/>
              </w:rPr>
              <w:t>10</w:t>
            </w:r>
            <w:r>
              <w:rPr>
                <w:rFonts w:ascii="Times New Roman" w:hAnsi="Times New Roman"/>
                <w:b/>
                <w:bCs/>
                <w:color w:val="auto"/>
                <w:szCs w:val="21"/>
                <w:highlight w:val="none"/>
              </w:rPr>
              <w:t>）</w:t>
            </w:r>
          </w:p>
        </w:tc>
        <w:tc>
          <w:tcPr>
            <w:tcW w:w="1261" w:type="dxa"/>
            <w:vAlign w:val="center"/>
          </w:tcPr>
          <w:p w14:paraId="7B732EA1">
            <w:pPr>
              <w:spacing w:line="360" w:lineRule="auto"/>
              <w:jc w:val="center"/>
              <w:rPr>
                <w:rFonts w:ascii="Times New Roman" w:hAnsi="Times New Roman"/>
                <w:color w:val="auto"/>
                <w:szCs w:val="21"/>
                <w:highlight w:val="none"/>
              </w:rPr>
            </w:pPr>
            <w:r>
              <w:rPr>
                <w:rFonts w:ascii="Times New Roman" w:hAnsi="Times New Roman"/>
                <w:bCs/>
                <w:color w:val="auto"/>
                <w:szCs w:val="21"/>
                <w:highlight w:val="none"/>
              </w:rPr>
              <w:t>售后服务响应时间、</w:t>
            </w:r>
            <w:bookmarkStart w:id="352" w:name="_Hlk77166548"/>
            <w:r>
              <w:rPr>
                <w:rFonts w:ascii="Times New Roman" w:hAnsi="Times New Roman"/>
                <w:bCs/>
                <w:color w:val="auto"/>
                <w:szCs w:val="21"/>
                <w:highlight w:val="none"/>
              </w:rPr>
              <w:t>售后服务承诺及定期检查与维护保养计划</w:t>
            </w:r>
            <w:bookmarkEnd w:id="352"/>
            <w:r>
              <w:rPr>
                <w:rFonts w:ascii="Times New Roman" w:hAnsi="Times New Roman"/>
                <w:b/>
                <w:bCs/>
                <w:color w:val="auto"/>
                <w:szCs w:val="21"/>
                <w:highlight w:val="none"/>
              </w:rPr>
              <w:t>（满分</w:t>
            </w:r>
            <w:r>
              <w:rPr>
                <w:rFonts w:hint="eastAsia" w:ascii="Times New Roman" w:hAnsi="Times New Roman"/>
                <w:b/>
                <w:bCs/>
                <w:color w:val="auto"/>
                <w:szCs w:val="21"/>
                <w:highlight w:val="none"/>
              </w:rPr>
              <w:t>4</w:t>
            </w:r>
            <w:r>
              <w:rPr>
                <w:rFonts w:ascii="Times New Roman" w:hAnsi="Times New Roman"/>
                <w:b/>
                <w:bCs/>
                <w:color w:val="auto"/>
                <w:szCs w:val="21"/>
                <w:highlight w:val="none"/>
              </w:rPr>
              <w:t>分）</w:t>
            </w:r>
          </w:p>
        </w:tc>
        <w:tc>
          <w:tcPr>
            <w:tcW w:w="7102" w:type="dxa"/>
            <w:vAlign w:val="center"/>
          </w:tcPr>
          <w:p w14:paraId="0CD0BFFE">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售后服务方案评审评分（满分4分）</w:t>
            </w:r>
          </w:p>
          <w:p w14:paraId="3F621D29">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根据投标人结合项目实际情况提供售后服务方案的内容评审评分，内容包括但不限于：①设备的运行情况制定预防和常用解决方案；②应急故障响应处理时间；③售后运维服务方案；④违约承诺及惩罚措施；</w:t>
            </w:r>
          </w:p>
          <w:p w14:paraId="320575FA">
            <w:pPr>
              <w:spacing w:line="360" w:lineRule="auto"/>
              <w:jc w:val="left"/>
              <w:rPr>
                <w:rFonts w:ascii="Times New Roman" w:hAnsi="Times New Roman"/>
                <w:color w:val="auto"/>
                <w:szCs w:val="21"/>
                <w:highlight w:val="none"/>
              </w:rPr>
            </w:pPr>
            <w:r>
              <w:rPr>
                <w:rFonts w:hint="eastAsia" w:ascii="Times New Roman" w:hAnsi="Times New Roman"/>
                <w:color w:val="auto"/>
                <w:szCs w:val="21"/>
                <w:highlight w:val="none"/>
              </w:rPr>
              <w:t>投标人提供售后服务方案中针对设备的运行情况制定预防和常用解决方案，应急故障响应、处理时间迅速（完全满足采购人要求的响应及处理时限）。违约承诺及惩罚措施完整可行，完全满足采购人要求的得4分，方案中每有一个内容缺项漏项的每处扣1分，不全面或内容存在合理性、可行性不足的每处扣0</w:t>
            </w:r>
            <w:r>
              <w:rPr>
                <w:rFonts w:ascii="Times New Roman" w:hAnsi="Times New Roman"/>
                <w:color w:val="auto"/>
                <w:szCs w:val="21"/>
                <w:highlight w:val="none"/>
              </w:rPr>
              <w:t>.5</w:t>
            </w:r>
            <w:r>
              <w:rPr>
                <w:rFonts w:hint="eastAsia" w:ascii="Times New Roman" w:hAnsi="Times New Roman"/>
                <w:color w:val="auto"/>
                <w:szCs w:val="21"/>
                <w:highlight w:val="none"/>
              </w:rPr>
              <w:t>分。</w:t>
            </w:r>
          </w:p>
        </w:tc>
      </w:tr>
      <w:tr w14:paraId="6D77AAF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817" w:type="dxa"/>
            <w:vMerge w:val="continue"/>
            <w:tcBorders>
              <w:right w:val="single" w:color="auto" w:sz="4" w:space="0"/>
            </w:tcBorders>
            <w:vAlign w:val="center"/>
          </w:tcPr>
          <w:p w14:paraId="0B75E366">
            <w:pPr>
              <w:spacing w:line="360" w:lineRule="auto"/>
              <w:jc w:val="center"/>
              <w:rPr>
                <w:rFonts w:ascii="Times New Roman" w:hAnsi="Times New Roman"/>
                <w:color w:val="auto"/>
                <w:szCs w:val="21"/>
                <w:highlight w:val="none"/>
              </w:rPr>
            </w:pPr>
          </w:p>
        </w:tc>
        <w:tc>
          <w:tcPr>
            <w:tcW w:w="728" w:type="dxa"/>
            <w:vMerge w:val="continue"/>
            <w:tcBorders>
              <w:left w:val="single" w:color="auto" w:sz="4" w:space="0"/>
            </w:tcBorders>
            <w:vAlign w:val="center"/>
          </w:tcPr>
          <w:p w14:paraId="44A18237">
            <w:pPr>
              <w:jc w:val="center"/>
              <w:rPr>
                <w:rFonts w:ascii="Times New Roman" w:hAnsi="Times New Roman"/>
                <w:color w:val="auto"/>
                <w:szCs w:val="21"/>
                <w:highlight w:val="none"/>
              </w:rPr>
            </w:pPr>
          </w:p>
        </w:tc>
        <w:tc>
          <w:tcPr>
            <w:tcW w:w="1261" w:type="dxa"/>
            <w:vAlign w:val="center"/>
          </w:tcPr>
          <w:p w14:paraId="030D60BC">
            <w:pPr>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业绩</w:t>
            </w:r>
          </w:p>
          <w:p w14:paraId="3344BD3A">
            <w:pPr>
              <w:spacing w:line="360" w:lineRule="auto"/>
              <w:jc w:val="center"/>
              <w:rPr>
                <w:rFonts w:ascii="Times New Roman" w:hAnsi="Times New Roman"/>
                <w:b/>
                <w:bCs/>
                <w:color w:val="auto"/>
                <w:szCs w:val="21"/>
                <w:highlight w:val="none"/>
              </w:rPr>
            </w:pPr>
            <w:r>
              <w:rPr>
                <w:rFonts w:ascii="Times New Roman" w:hAnsi="Times New Roman"/>
                <w:b/>
                <w:bCs/>
                <w:color w:val="auto"/>
                <w:szCs w:val="21"/>
                <w:highlight w:val="none"/>
              </w:rPr>
              <w:t>（满分</w:t>
            </w:r>
            <w:r>
              <w:rPr>
                <w:rFonts w:hint="eastAsia" w:ascii="Times New Roman" w:hAnsi="Times New Roman"/>
                <w:b/>
                <w:bCs/>
                <w:color w:val="auto"/>
                <w:szCs w:val="21"/>
                <w:highlight w:val="none"/>
              </w:rPr>
              <w:t>5</w:t>
            </w:r>
            <w:r>
              <w:rPr>
                <w:rFonts w:ascii="Times New Roman" w:hAnsi="Times New Roman"/>
                <w:b/>
                <w:bCs/>
                <w:color w:val="auto"/>
                <w:szCs w:val="21"/>
                <w:highlight w:val="none"/>
              </w:rPr>
              <w:t>分）</w:t>
            </w:r>
          </w:p>
        </w:tc>
        <w:tc>
          <w:tcPr>
            <w:tcW w:w="7102" w:type="dxa"/>
            <w:vAlign w:val="center"/>
          </w:tcPr>
          <w:p w14:paraId="6F1C2500">
            <w:pPr>
              <w:spacing w:line="360" w:lineRule="auto"/>
              <w:rPr>
                <w:color w:val="auto"/>
                <w:highlight w:val="none"/>
              </w:rPr>
            </w:pPr>
            <w:r>
              <w:rPr>
                <w:rFonts w:hint="eastAsia"/>
                <w:color w:val="auto"/>
                <w:highlight w:val="none"/>
              </w:rPr>
              <w:t>投标产品类似业绩评审评分（满分5分）</w:t>
            </w:r>
          </w:p>
          <w:p w14:paraId="25C4540F">
            <w:pPr>
              <w:spacing w:line="360" w:lineRule="auto"/>
              <w:rPr>
                <w:color w:val="auto"/>
                <w:highlight w:val="none"/>
              </w:rPr>
            </w:pPr>
            <w:r>
              <w:rPr>
                <w:rFonts w:hint="eastAsia"/>
                <w:color w:val="auto"/>
                <w:highlight w:val="none"/>
              </w:rPr>
              <w:t>根据投标人（本项目投标文件提交截止时间前）投标产品类似业绩进行打分，每提供一项业绩得2.5分，最高得5分。未提供业绩列表及相关证明材料的不得分。</w:t>
            </w:r>
          </w:p>
          <w:p w14:paraId="77D97C04">
            <w:pPr>
              <w:spacing w:line="360" w:lineRule="auto"/>
              <w:rPr>
                <w:rFonts w:ascii="Times New Roman" w:hAnsi="Times New Roman"/>
                <w:color w:val="auto"/>
                <w:szCs w:val="21"/>
                <w:highlight w:val="none"/>
              </w:rPr>
            </w:pPr>
            <w:r>
              <w:rPr>
                <w:rFonts w:hint="eastAsia"/>
                <w:color w:val="auto"/>
                <w:highlight w:val="none"/>
              </w:rPr>
              <w:t>注：投标文件中须提供业绩列表及相对应的业绩证明材料，证明材料为类似业绩的合同或中标/成交通知书复印件等证明材料，无证明材料或未按要求提供证明材料或证明材料无法体现内容的，不予认可。日期以合同签订日期或中标/成交通知书日期为准。</w:t>
            </w:r>
          </w:p>
        </w:tc>
      </w:tr>
      <w:tr w14:paraId="0CC855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835" w:hRule="atLeast"/>
          <w:jc w:val="center"/>
        </w:trPr>
        <w:tc>
          <w:tcPr>
            <w:tcW w:w="817" w:type="dxa"/>
            <w:vMerge w:val="continue"/>
            <w:tcBorders>
              <w:right w:val="single" w:color="auto" w:sz="4" w:space="0"/>
            </w:tcBorders>
            <w:vAlign w:val="center"/>
          </w:tcPr>
          <w:p w14:paraId="22E706AC">
            <w:pPr>
              <w:spacing w:line="360" w:lineRule="auto"/>
              <w:jc w:val="center"/>
              <w:rPr>
                <w:rFonts w:ascii="Times New Roman" w:hAnsi="Times New Roman"/>
                <w:color w:val="auto"/>
                <w:szCs w:val="21"/>
                <w:highlight w:val="none"/>
              </w:rPr>
            </w:pPr>
          </w:p>
        </w:tc>
        <w:tc>
          <w:tcPr>
            <w:tcW w:w="728" w:type="dxa"/>
            <w:vMerge w:val="continue"/>
            <w:tcBorders>
              <w:left w:val="single" w:color="auto" w:sz="4" w:space="0"/>
            </w:tcBorders>
            <w:vAlign w:val="center"/>
          </w:tcPr>
          <w:p w14:paraId="13F7C3D6">
            <w:pPr>
              <w:jc w:val="center"/>
              <w:rPr>
                <w:rFonts w:ascii="Times New Roman" w:hAnsi="Times New Roman"/>
                <w:color w:val="auto"/>
                <w:szCs w:val="21"/>
                <w:highlight w:val="none"/>
              </w:rPr>
            </w:pPr>
          </w:p>
        </w:tc>
        <w:tc>
          <w:tcPr>
            <w:tcW w:w="1261" w:type="dxa"/>
            <w:vAlign w:val="center"/>
          </w:tcPr>
          <w:p w14:paraId="2320A9EF">
            <w:pPr>
              <w:spacing w:line="360" w:lineRule="auto"/>
              <w:jc w:val="center"/>
              <w:rPr>
                <w:rFonts w:ascii="Times New Roman" w:hAnsi="Times New Roman"/>
                <w:b/>
                <w:bCs/>
                <w:color w:val="auto"/>
                <w:szCs w:val="21"/>
                <w:highlight w:val="none"/>
              </w:rPr>
            </w:pPr>
            <w:r>
              <w:rPr>
                <w:rFonts w:hint="eastAsia" w:ascii="Times New Roman" w:hAnsi="Times New Roman"/>
                <w:color w:val="auto"/>
                <w:szCs w:val="21"/>
                <w:highlight w:val="none"/>
              </w:rPr>
              <w:t>节能产品、环境标志产品</w:t>
            </w:r>
            <w:r>
              <w:rPr>
                <w:rFonts w:ascii="Times New Roman" w:hAnsi="Times New Roman"/>
                <w:b/>
                <w:bCs/>
                <w:color w:val="auto"/>
                <w:szCs w:val="21"/>
                <w:highlight w:val="none"/>
              </w:rPr>
              <w:t>（满分</w:t>
            </w:r>
            <w:r>
              <w:rPr>
                <w:rFonts w:hint="eastAsia" w:ascii="Times New Roman" w:hAnsi="Times New Roman"/>
                <w:b/>
                <w:bCs/>
                <w:color w:val="auto"/>
                <w:szCs w:val="21"/>
                <w:highlight w:val="none"/>
              </w:rPr>
              <w:t>1</w:t>
            </w:r>
            <w:r>
              <w:rPr>
                <w:rFonts w:ascii="Times New Roman" w:hAnsi="Times New Roman"/>
                <w:b/>
                <w:bCs/>
                <w:color w:val="auto"/>
                <w:szCs w:val="21"/>
                <w:highlight w:val="none"/>
              </w:rPr>
              <w:t>分）</w:t>
            </w:r>
          </w:p>
        </w:tc>
        <w:tc>
          <w:tcPr>
            <w:tcW w:w="7102" w:type="dxa"/>
            <w:vAlign w:val="center"/>
          </w:tcPr>
          <w:p w14:paraId="3723EA5A">
            <w:pPr>
              <w:spacing w:line="360" w:lineRule="auto"/>
              <w:rPr>
                <w:color w:val="auto"/>
                <w:highlight w:val="none"/>
              </w:rPr>
            </w:pPr>
            <w:r>
              <w:rPr>
                <w:rFonts w:hint="eastAsia"/>
                <w:color w:val="auto"/>
                <w:highlight w:val="none"/>
              </w:rPr>
              <w:t>1.投标产品（除政府强制采购节能产品外）为节能产品并提供在有效期内的认证证书得</w:t>
            </w:r>
            <w:r>
              <w:rPr>
                <w:rFonts w:hint="eastAsia"/>
                <w:color w:val="auto"/>
                <w:highlight w:val="none"/>
                <w:lang w:val="en-US" w:eastAsia="zh-CN"/>
              </w:rPr>
              <w:t>0.5</w:t>
            </w:r>
            <w:r>
              <w:rPr>
                <w:rFonts w:hint="eastAsia"/>
                <w:color w:val="auto"/>
                <w:highlight w:val="none"/>
              </w:rPr>
              <w:t>分，不提供的不得分。</w:t>
            </w:r>
          </w:p>
          <w:p w14:paraId="77E23ED5">
            <w:pPr>
              <w:spacing w:line="360" w:lineRule="auto"/>
              <w:rPr>
                <w:color w:val="auto"/>
                <w:highlight w:val="none"/>
              </w:rPr>
            </w:pPr>
            <w:r>
              <w:rPr>
                <w:rFonts w:hint="eastAsia"/>
                <w:color w:val="auto"/>
                <w:highlight w:val="none"/>
              </w:rPr>
              <w:t>2.投标产品为环境标志产品并提供在有效期内的认证证书得</w:t>
            </w:r>
            <w:r>
              <w:rPr>
                <w:rFonts w:hint="eastAsia"/>
                <w:color w:val="auto"/>
                <w:highlight w:val="none"/>
                <w:lang w:val="en-US" w:eastAsia="zh-CN"/>
              </w:rPr>
              <w:t>0.5</w:t>
            </w:r>
            <w:r>
              <w:rPr>
                <w:rFonts w:hint="eastAsia"/>
                <w:color w:val="auto"/>
                <w:highlight w:val="none"/>
              </w:rPr>
              <w:t>分，不提供的不得分。</w:t>
            </w:r>
          </w:p>
          <w:p w14:paraId="3D915DCD">
            <w:pPr>
              <w:spacing w:line="360" w:lineRule="auto"/>
              <w:rPr>
                <w:color w:val="auto"/>
                <w:highlight w:val="none"/>
              </w:rPr>
            </w:pPr>
          </w:p>
        </w:tc>
      </w:tr>
      <w:tr w14:paraId="11E03FE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17" w:type="dxa"/>
            <w:vMerge w:val="continue"/>
            <w:tcBorders>
              <w:right w:val="single" w:color="auto" w:sz="4" w:space="0"/>
            </w:tcBorders>
            <w:vAlign w:val="center"/>
          </w:tcPr>
          <w:p w14:paraId="7C726898">
            <w:pPr>
              <w:spacing w:line="360" w:lineRule="auto"/>
              <w:rPr>
                <w:rFonts w:ascii="Times New Roman" w:hAnsi="Times New Roman"/>
                <w:color w:val="auto"/>
                <w:highlight w:val="none"/>
              </w:rPr>
            </w:pPr>
          </w:p>
        </w:tc>
        <w:tc>
          <w:tcPr>
            <w:tcW w:w="728" w:type="dxa"/>
            <w:vMerge w:val="continue"/>
            <w:tcBorders>
              <w:left w:val="single" w:color="auto" w:sz="4" w:space="0"/>
            </w:tcBorders>
            <w:vAlign w:val="center"/>
          </w:tcPr>
          <w:p w14:paraId="4C238FDF">
            <w:pPr>
              <w:spacing w:line="360" w:lineRule="auto"/>
              <w:rPr>
                <w:rFonts w:ascii="Times New Roman" w:hAnsi="Times New Roman"/>
                <w:color w:val="auto"/>
                <w:highlight w:val="none"/>
              </w:rPr>
            </w:pPr>
          </w:p>
        </w:tc>
        <w:tc>
          <w:tcPr>
            <w:tcW w:w="8363" w:type="dxa"/>
            <w:gridSpan w:val="2"/>
            <w:vAlign w:val="center"/>
          </w:tcPr>
          <w:p w14:paraId="0B533335">
            <w:pPr>
              <w:spacing w:line="360" w:lineRule="auto"/>
              <w:rPr>
                <w:rFonts w:ascii="Times New Roman" w:hAnsi="Times New Roman"/>
                <w:b/>
                <w:color w:val="auto"/>
                <w:szCs w:val="21"/>
                <w:highlight w:val="none"/>
              </w:rPr>
            </w:pPr>
            <w:r>
              <w:rPr>
                <w:rFonts w:ascii="Times New Roman" w:hAnsi="Times New Roman"/>
                <w:b/>
                <w:color w:val="auto"/>
                <w:szCs w:val="21"/>
                <w:highlight w:val="none"/>
              </w:rPr>
              <w:t>备注：根据进入详细评审的投标人的投标文件，对评分因素的响应情况进行打分。</w:t>
            </w:r>
          </w:p>
        </w:tc>
      </w:tr>
    </w:tbl>
    <w:p w14:paraId="62FFB3D1">
      <w:pPr>
        <w:rPr>
          <w:rFonts w:ascii="Times New Roman" w:hAnsi="Times New Roman"/>
          <w:bCs/>
          <w:color w:val="auto"/>
          <w:sz w:val="24"/>
          <w:highlight w:val="none"/>
        </w:rPr>
      </w:pPr>
      <w:r>
        <w:rPr>
          <w:rFonts w:ascii="Times New Roman" w:hAnsi="Times New Roman"/>
          <w:bCs/>
          <w:color w:val="auto"/>
          <w:sz w:val="24"/>
          <w:highlight w:val="none"/>
        </w:rPr>
        <w:br w:type="page"/>
      </w:r>
      <w:bookmarkStart w:id="353" w:name="_Toc508191814"/>
    </w:p>
    <w:p w14:paraId="06A2364A">
      <w:pPr>
        <w:pStyle w:val="3"/>
        <w:numPr>
          <w:ilvl w:val="1"/>
          <w:numId w:val="0"/>
        </w:numPr>
        <w:spacing w:before="0"/>
        <w:rPr>
          <w:rFonts w:ascii="Times New Roman" w:hAnsi="Times New Roman" w:eastAsia="宋体"/>
          <w:color w:val="auto"/>
          <w:szCs w:val="28"/>
          <w:highlight w:val="none"/>
        </w:rPr>
      </w:pPr>
      <w:bookmarkStart w:id="354" w:name="_Toc1390"/>
      <w:bookmarkStart w:id="355" w:name="_Toc152862935"/>
      <w:bookmarkStart w:id="356" w:name="_Toc69912454"/>
      <w:bookmarkStart w:id="357" w:name="_Toc91696460"/>
      <w:r>
        <w:rPr>
          <w:rFonts w:ascii="Times New Roman" w:hAnsi="Times New Roman" w:eastAsia="宋体"/>
          <w:color w:val="auto"/>
          <w:szCs w:val="28"/>
          <w:highlight w:val="none"/>
        </w:rPr>
        <w:t>1. 评标方法</w:t>
      </w:r>
      <w:bookmarkEnd w:id="353"/>
      <w:bookmarkEnd w:id="354"/>
      <w:bookmarkEnd w:id="355"/>
      <w:bookmarkEnd w:id="356"/>
      <w:bookmarkEnd w:id="357"/>
    </w:p>
    <w:p w14:paraId="180974CD">
      <w:pPr>
        <w:adjustRightInd w:val="0"/>
        <w:spacing w:line="360" w:lineRule="auto"/>
        <w:ind w:firstLine="420" w:firstLineChars="200"/>
        <w:rPr>
          <w:rFonts w:ascii="Times New Roman" w:hAnsi="Times New Roman"/>
          <w:color w:val="auto"/>
          <w:szCs w:val="21"/>
          <w:highlight w:val="none"/>
        </w:rPr>
      </w:pPr>
      <w:bookmarkStart w:id="358" w:name="_Toc508191815"/>
      <w:r>
        <w:rPr>
          <w:rFonts w:ascii="Times New Roman" w:hAnsi="Times New Roman"/>
          <w:b/>
          <w:bCs/>
          <w:color w:val="auto"/>
          <w:szCs w:val="21"/>
          <w:highlight w:val="none"/>
        </w:rPr>
        <w:t>本次评标采用综合评分法。</w:t>
      </w:r>
      <w:bookmarkStart w:id="359" w:name="_Toc91696461"/>
      <w:bookmarkStart w:id="360" w:name="_Toc69912455"/>
    </w:p>
    <w:p w14:paraId="3DD28DA0">
      <w:pPr>
        <w:adjustRightInd w:val="0"/>
        <w:spacing w:line="360" w:lineRule="auto"/>
        <w:ind w:firstLine="420" w:firstLineChars="200"/>
        <w:rPr>
          <w:rFonts w:ascii="Times New Roman" w:hAnsi="Times New Roman"/>
          <w:color w:val="auto"/>
          <w:szCs w:val="28"/>
          <w:highlight w:val="none"/>
        </w:rPr>
      </w:pPr>
      <w:r>
        <w:rPr>
          <w:rFonts w:ascii="Times New Roman" w:hAnsi="Times New Roman"/>
          <w:color w:val="auto"/>
          <w:szCs w:val="28"/>
          <w:highlight w:val="none"/>
        </w:rPr>
        <w:t>2.政府采购政策</w:t>
      </w:r>
      <w:bookmarkEnd w:id="358"/>
      <w:bookmarkEnd w:id="359"/>
      <w:bookmarkEnd w:id="360"/>
    </w:p>
    <w:p w14:paraId="519012F5">
      <w:pPr>
        <w:spacing w:line="360" w:lineRule="auto"/>
        <w:ind w:firstLine="420" w:firstLineChars="200"/>
        <w:rPr>
          <w:rFonts w:ascii="Times New Roman" w:hAnsi="Times New Roman"/>
          <w:b/>
          <w:color w:val="auto"/>
          <w:szCs w:val="21"/>
          <w:highlight w:val="none"/>
        </w:rPr>
      </w:pPr>
      <w:bookmarkStart w:id="361" w:name="_Toc326218112"/>
      <w:bookmarkStart w:id="362" w:name="_Toc508191816"/>
      <w:bookmarkStart w:id="363" w:name="_Toc314817934"/>
      <w:r>
        <w:rPr>
          <w:rFonts w:ascii="Times New Roman" w:hAnsi="Times New Roman"/>
          <w:b/>
          <w:color w:val="auto"/>
          <w:szCs w:val="21"/>
          <w:highlight w:val="none"/>
        </w:rPr>
        <w:t>2.1中小企业</w:t>
      </w:r>
    </w:p>
    <w:p w14:paraId="1F34270F">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2.1.1根据财政部《政府采购促进中小企业发展管理办法》（财库〔2020〕46号）、《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2ECB2D10">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2.1.2在政府采购活动中，供应商提供的货物、工程或者服务符合下列情形的，享受本办法规定的中小企业扶持政策：</w:t>
      </w:r>
    </w:p>
    <w:p w14:paraId="438C84A5">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（一）在货物采购项目中，货物由中小企业制造，即货物由中小企业生产且使用该中小企业商号或者注册商标；</w:t>
      </w:r>
    </w:p>
    <w:p w14:paraId="00C992E0">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（二）在工程采购项目中，工程由中小企业承建，即工程施工单位为中小企业；</w:t>
      </w:r>
    </w:p>
    <w:p w14:paraId="50144230">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（三）在服务采购项目中，服务由中小企业承接，即提供服务的人员为中小企业依照《中华人民共和国劳动合同法》订立劳动合同的从业人员。</w:t>
      </w:r>
    </w:p>
    <w:p w14:paraId="343C08BA">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2.1.3在货物采购项目中，供应商提供的货物既有中小企业制造货物，也有大型企业制造货物的，不享受本办法规定的中小企业扶持政策。</w:t>
      </w:r>
    </w:p>
    <w:p w14:paraId="7E278BFA">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2.1.4以联合体形式参加政府采购活动，联合体各方均为中小企业的，联合体视同中小企业。其中，联合体各方均为小微企业的，联合体视同小微企业。</w:t>
      </w:r>
    </w:p>
    <w:p w14:paraId="4E31EFCE">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2.1.5本规定所称中小企业划分标准，是指国务院有关部门根据企业从业人员、营业收入、资产总额等指标制定的中小企业划型标准，详见《关于印发中小企业划型标准规定的通知》（工信部联企业〔2011〕300号）。</w:t>
      </w:r>
    </w:p>
    <w:p w14:paraId="6CC98095">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2.1.6中小企业参加政府采购活动，应当出具本《政府采购促进中小企业发展管理办法》（财库</w:t>
      </w:r>
      <w:r>
        <w:rPr>
          <w:rFonts w:hint="eastAsia" w:ascii="Times New Roman" w:hAnsi="Times New Roman"/>
          <w:color w:val="auto"/>
          <w:szCs w:val="21"/>
          <w:highlight w:val="none"/>
        </w:rPr>
        <w:t>〔2020〕46号</w:t>
      </w:r>
      <w:r>
        <w:rPr>
          <w:rFonts w:ascii="Times New Roman" w:hAnsi="Times New Roman"/>
          <w:color w:val="auto"/>
          <w:szCs w:val="21"/>
          <w:highlight w:val="none"/>
        </w:rPr>
        <w:t>）规定的《中小企业声明函》，否则不得享受相关中小企业扶持政策。</w:t>
      </w:r>
    </w:p>
    <w:p w14:paraId="0956D0AA">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注：本项目不接受联合体投标。</w:t>
      </w:r>
    </w:p>
    <w:p w14:paraId="628FB909">
      <w:pPr>
        <w:tabs>
          <w:tab w:val="left" w:pos="2472"/>
        </w:tabs>
        <w:spacing w:line="360" w:lineRule="auto"/>
        <w:ind w:firstLine="420" w:firstLineChars="200"/>
        <w:rPr>
          <w:rFonts w:ascii="Times New Roman" w:hAnsi="Times New Roman"/>
          <w:b/>
          <w:color w:val="auto"/>
          <w:szCs w:val="21"/>
          <w:highlight w:val="none"/>
        </w:rPr>
      </w:pPr>
      <w:r>
        <w:rPr>
          <w:rFonts w:ascii="Times New Roman" w:hAnsi="Times New Roman"/>
          <w:b/>
          <w:color w:val="auto"/>
          <w:szCs w:val="21"/>
          <w:highlight w:val="none"/>
        </w:rPr>
        <w:t>2.2监狱企业</w:t>
      </w:r>
    </w:p>
    <w:p w14:paraId="3EBA7FB6">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3C2431C">
      <w:pPr>
        <w:tabs>
          <w:tab w:val="left" w:pos="2472"/>
        </w:tabs>
        <w:spacing w:line="360" w:lineRule="auto"/>
        <w:ind w:firstLine="420" w:firstLineChars="200"/>
        <w:rPr>
          <w:rFonts w:ascii="Times New Roman" w:hAnsi="Times New Roman"/>
          <w:b/>
          <w:color w:val="auto"/>
          <w:szCs w:val="21"/>
          <w:highlight w:val="none"/>
        </w:rPr>
      </w:pPr>
      <w:r>
        <w:rPr>
          <w:rFonts w:ascii="Times New Roman" w:hAnsi="Times New Roman"/>
          <w:b/>
          <w:color w:val="auto"/>
          <w:szCs w:val="21"/>
          <w:highlight w:val="none"/>
        </w:rPr>
        <w:t>2.3残疾人福利性单位</w:t>
      </w:r>
    </w:p>
    <w:p w14:paraId="1E95426B">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2.3.1根据《财政部 民政部 中国残疾人联合会关于促进残疾人就业政府采购政策的通知》，享受政府采购支持政策的残疾人福利性单位应当同时满足以下条件：</w:t>
      </w:r>
    </w:p>
    <w:p w14:paraId="5F21D404">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（1）安置的残疾人占本单位在职职工人数的比例不低于25%（含25%），并且安置的残疾人人数不少于10人（含10人）；</w:t>
      </w:r>
    </w:p>
    <w:p w14:paraId="2FCF92CB">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（2）依法与安置的每位残疾人签订了一年以上（含一年）的劳动合同或服务协议；</w:t>
      </w:r>
    </w:p>
    <w:p w14:paraId="493F3A75">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（3）为安置的每位残疾人按月足额缴纳了基本养老保险、基本医疗保险、失业保险、工伤保险和生育保险等社会保险费；</w:t>
      </w:r>
    </w:p>
    <w:p w14:paraId="19B263A3">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（4）通过银行等金融机构向安置的每位残疾人，按月支付了不低于单位所在区县适用的经省级人民政府批准的月最低工资标准的工资；</w:t>
      </w:r>
    </w:p>
    <w:p w14:paraId="6BA5227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（5）提供本单位制造的货物、承担的工程或者服务（以下简称产品），或者提供其他残疾人福利性单位制造的货物（不包括使用非残疾人福利性单位注册商标的货物）。</w:t>
      </w:r>
    </w:p>
    <w:p w14:paraId="3928A05A">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69C6440">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2.3.2符合条件的残疾人福利性单位在参加政府采购活动时，应当提供《残疾人福利性单位声明函》，并对声明的真实性负责。</w:t>
      </w:r>
    </w:p>
    <w:p w14:paraId="18BED700">
      <w:pPr>
        <w:tabs>
          <w:tab w:val="left" w:pos="2472"/>
        </w:tabs>
        <w:spacing w:line="360" w:lineRule="auto"/>
        <w:ind w:firstLine="420" w:firstLineChars="200"/>
        <w:rPr>
          <w:rFonts w:ascii="Times New Roman" w:hAnsi="Times New Roman"/>
          <w:b/>
          <w:color w:val="auto"/>
          <w:szCs w:val="21"/>
          <w:highlight w:val="none"/>
        </w:rPr>
      </w:pPr>
      <w:r>
        <w:rPr>
          <w:rFonts w:ascii="Times New Roman" w:hAnsi="Times New Roman"/>
          <w:b/>
          <w:color w:val="auto"/>
          <w:szCs w:val="21"/>
          <w:highlight w:val="none"/>
        </w:rPr>
        <w:t>2.4节能、环境标志产品</w:t>
      </w:r>
    </w:p>
    <w:p w14:paraId="6C4AD61E">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2.4.1节能产品是指列入财政部和国家发改委公布的《节能产品政府采购品目清单》中的产品。政府强制采购节能产品是指《节能产品政府采购品目清单》中以“</w:t>
      </w:r>
      <w:r>
        <w:rPr>
          <w:rFonts w:ascii="Segoe UI Symbol" w:hAnsi="Segoe UI Symbol" w:cs="Segoe UI Symbol"/>
          <w:color w:val="auto"/>
          <w:szCs w:val="21"/>
          <w:highlight w:val="none"/>
        </w:rPr>
        <w:t>★</w:t>
      </w:r>
      <w:r>
        <w:rPr>
          <w:rFonts w:ascii="Times New Roman" w:hAnsi="Times New Roman"/>
          <w:color w:val="auto"/>
          <w:szCs w:val="21"/>
          <w:highlight w:val="none"/>
        </w:rPr>
        <w:t>”标注类别的产品。</w:t>
      </w:r>
    </w:p>
    <w:p w14:paraId="0E0522CE">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2.4.2环境标志产品是指列入财政部、生态环境部公布的《环境标志产品政府采购品目清单》中的产品。</w:t>
      </w:r>
    </w:p>
    <w:p w14:paraId="7614ED82">
      <w:pPr>
        <w:adjustRightInd w:val="0"/>
        <w:spacing w:line="360" w:lineRule="auto"/>
        <w:ind w:firstLine="420" w:firstLineChars="200"/>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1BE888AB">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42CFC616">
      <w:pPr>
        <w:adjustRightInd w:val="0"/>
        <w:spacing w:line="360" w:lineRule="auto"/>
        <w:ind w:firstLine="420" w:firstLineChars="200"/>
        <w:rPr>
          <w:rFonts w:ascii="Times New Roman" w:hAnsi="Times New Roman"/>
          <w:bCs/>
          <w:color w:val="auto"/>
          <w:szCs w:val="21"/>
          <w:highlight w:val="none"/>
        </w:rPr>
      </w:pPr>
      <w:r>
        <w:rPr>
          <w:rFonts w:ascii="Times New Roman" w:hAnsi="Times New Roman"/>
          <w:b/>
          <w:color w:val="auto"/>
          <w:szCs w:val="21"/>
          <w:highlight w:val="none"/>
        </w:rPr>
        <w:t>2.5</w:t>
      </w:r>
      <w:r>
        <w:rPr>
          <w:rFonts w:ascii="Times New Roman" w:hAnsi="Times New Roman"/>
          <w:bCs/>
          <w:color w:val="auto"/>
          <w:szCs w:val="21"/>
          <w:highlight w:val="none"/>
        </w:rPr>
        <w:t>政府采购在同等条件下，优先采购列入品目清单内非强制采购的节能产品、环境标志产品，优先采购监狱企业、残疾人福利性单位的产品和服务。</w:t>
      </w:r>
    </w:p>
    <w:p w14:paraId="37EF1C26">
      <w:pPr>
        <w:pStyle w:val="3"/>
        <w:numPr>
          <w:ilvl w:val="1"/>
          <w:numId w:val="0"/>
        </w:numPr>
        <w:spacing w:before="0"/>
        <w:rPr>
          <w:rFonts w:ascii="Times New Roman" w:hAnsi="Times New Roman" w:eastAsia="宋体"/>
          <w:color w:val="auto"/>
          <w:szCs w:val="21"/>
          <w:highlight w:val="none"/>
        </w:rPr>
      </w:pPr>
      <w:bookmarkStart w:id="364" w:name="_Toc91696462"/>
      <w:bookmarkStart w:id="365" w:name="_Toc687"/>
      <w:bookmarkStart w:id="366" w:name="_Toc152862936"/>
      <w:bookmarkStart w:id="367" w:name="_Toc69912456"/>
      <w:r>
        <w:rPr>
          <w:rFonts w:ascii="Times New Roman" w:hAnsi="Times New Roman" w:eastAsia="宋体"/>
          <w:color w:val="auto"/>
          <w:szCs w:val="28"/>
          <w:highlight w:val="none"/>
        </w:rPr>
        <w:t>3. 评审标准</w:t>
      </w:r>
      <w:bookmarkEnd w:id="361"/>
      <w:bookmarkEnd w:id="362"/>
      <w:bookmarkEnd w:id="363"/>
      <w:bookmarkEnd w:id="364"/>
      <w:bookmarkEnd w:id="365"/>
      <w:bookmarkEnd w:id="366"/>
      <w:bookmarkEnd w:id="367"/>
    </w:p>
    <w:p w14:paraId="6B17B5B1">
      <w:pPr>
        <w:pStyle w:val="4"/>
        <w:numPr>
          <w:ilvl w:val="2"/>
          <w:numId w:val="0"/>
        </w:numPr>
        <w:spacing w:before="0"/>
        <w:ind w:firstLine="480" w:firstLineChars="200"/>
        <w:rPr>
          <w:rFonts w:ascii="Times New Roman" w:hAnsi="Times New Roman" w:eastAsia="宋体"/>
          <w:color w:val="auto"/>
          <w:sz w:val="24"/>
          <w:szCs w:val="24"/>
          <w:highlight w:val="none"/>
        </w:rPr>
      </w:pPr>
      <w:bookmarkStart w:id="368" w:name="_Toc91696463"/>
      <w:bookmarkStart w:id="369" w:name="_Toc152862937"/>
      <w:bookmarkStart w:id="370" w:name="_Toc15123"/>
      <w:r>
        <w:rPr>
          <w:rFonts w:ascii="Times New Roman" w:hAnsi="Times New Roman" w:eastAsia="宋体"/>
          <w:color w:val="auto"/>
          <w:sz w:val="24"/>
          <w:szCs w:val="24"/>
          <w:highlight w:val="none"/>
        </w:rPr>
        <w:t>3.1符合性评审</w:t>
      </w:r>
      <w:bookmarkEnd w:id="368"/>
      <w:bookmarkEnd w:id="369"/>
      <w:bookmarkEnd w:id="370"/>
    </w:p>
    <w:p w14:paraId="07A249FB">
      <w:pPr>
        <w:tabs>
          <w:tab w:val="left" w:pos="2472"/>
        </w:tabs>
        <w:spacing w:line="360" w:lineRule="auto"/>
        <w:ind w:firstLine="420" w:firstLineChars="200"/>
        <w:rPr>
          <w:rFonts w:ascii="Times New Roman" w:hAnsi="Times New Roman"/>
          <w:color w:val="auto"/>
          <w:szCs w:val="21"/>
          <w:highlight w:val="none"/>
        </w:rPr>
      </w:pPr>
      <w:bookmarkStart w:id="371" w:name="_Hlk48744286"/>
      <w:r>
        <w:rPr>
          <w:rFonts w:ascii="Times New Roman" w:hAnsi="Times New Roman"/>
          <w:color w:val="auto"/>
          <w:szCs w:val="21"/>
          <w:highlight w:val="none"/>
        </w:rPr>
        <w:t>依据招标文件的规定，从投标文件的有效性、完整性和对招标文件的响应程度进行审查，以确定是否对招标文件的实质性要求作出响应；见评标办法前附表。</w:t>
      </w:r>
    </w:p>
    <w:bookmarkEnd w:id="371"/>
    <w:p w14:paraId="77FCCD44">
      <w:pPr>
        <w:pStyle w:val="4"/>
        <w:numPr>
          <w:ilvl w:val="2"/>
          <w:numId w:val="0"/>
        </w:numPr>
        <w:spacing w:before="0"/>
        <w:ind w:firstLine="480" w:firstLineChars="200"/>
        <w:rPr>
          <w:rFonts w:ascii="Times New Roman" w:hAnsi="Times New Roman" w:eastAsia="宋体"/>
          <w:color w:val="auto"/>
          <w:sz w:val="24"/>
          <w:szCs w:val="24"/>
          <w:highlight w:val="none"/>
        </w:rPr>
      </w:pPr>
      <w:bookmarkStart w:id="372" w:name="_Toc30625"/>
      <w:bookmarkStart w:id="373" w:name="_Toc152862938"/>
      <w:bookmarkStart w:id="374" w:name="_Toc326218114"/>
      <w:bookmarkStart w:id="375" w:name="_Toc91696464"/>
      <w:bookmarkStart w:id="376" w:name="_Toc314817936"/>
      <w:r>
        <w:rPr>
          <w:rFonts w:ascii="Times New Roman" w:hAnsi="Times New Roman" w:eastAsia="宋体"/>
          <w:color w:val="auto"/>
          <w:sz w:val="24"/>
          <w:szCs w:val="24"/>
          <w:highlight w:val="none"/>
        </w:rPr>
        <w:t>3.2分值构成与评分标准</w:t>
      </w:r>
      <w:bookmarkEnd w:id="372"/>
      <w:bookmarkEnd w:id="373"/>
      <w:bookmarkEnd w:id="374"/>
      <w:bookmarkEnd w:id="375"/>
      <w:bookmarkEnd w:id="376"/>
    </w:p>
    <w:p w14:paraId="385B948D">
      <w:pPr>
        <w:tabs>
          <w:tab w:val="left" w:pos="2472"/>
        </w:tabs>
        <w:spacing w:line="360" w:lineRule="auto"/>
        <w:ind w:firstLine="420" w:firstLineChars="200"/>
        <w:rPr>
          <w:rFonts w:ascii="Times New Roman" w:hAnsi="Times New Roman"/>
          <w:color w:val="auto"/>
          <w:szCs w:val="21"/>
          <w:highlight w:val="none"/>
        </w:rPr>
      </w:pPr>
      <w:bookmarkStart w:id="377" w:name="_Hlk48744311"/>
      <w:r>
        <w:rPr>
          <w:rFonts w:ascii="Times New Roman" w:hAnsi="Times New Roman"/>
          <w:color w:val="auto"/>
          <w:szCs w:val="21"/>
          <w:highlight w:val="none"/>
        </w:rPr>
        <w:t>3.2.1 分值构成</w:t>
      </w:r>
    </w:p>
    <w:p w14:paraId="2C5EBFF6">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（1）投标报价：见评标办法前附表；</w:t>
      </w:r>
    </w:p>
    <w:p w14:paraId="49F718EF">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（2）技术部分：见评标办法前附表；</w:t>
      </w:r>
    </w:p>
    <w:p w14:paraId="27845720">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（3）业绩及服务部分：见评标办法前附表。</w:t>
      </w:r>
    </w:p>
    <w:p w14:paraId="1B0F3959">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3.2.2评分标准</w:t>
      </w:r>
    </w:p>
    <w:p w14:paraId="3217D330">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按招标文件中规定的评标方法和标准，对资格评审和符合性评审合格的投标文件进行商务和技术评估，综合比较与评价。</w:t>
      </w:r>
    </w:p>
    <w:p w14:paraId="570DB9B1">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（1）投标报价评分标准：见评标办法前附表；</w:t>
      </w:r>
    </w:p>
    <w:p w14:paraId="4499B2A9">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（2）技术部分评分标准：见评标办法前附表；</w:t>
      </w:r>
    </w:p>
    <w:p w14:paraId="5767E4CB">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（3）业绩及服务部分评分标准：见评标办法前附表。</w:t>
      </w:r>
      <w:bookmarkEnd w:id="377"/>
    </w:p>
    <w:p w14:paraId="47C13310">
      <w:pPr>
        <w:pStyle w:val="3"/>
        <w:numPr>
          <w:ilvl w:val="1"/>
          <w:numId w:val="0"/>
        </w:numPr>
        <w:spacing w:before="0"/>
        <w:rPr>
          <w:rFonts w:ascii="Times New Roman" w:hAnsi="Times New Roman" w:eastAsia="宋体"/>
          <w:color w:val="auto"/>
          <w:szCs w:val="28"/>
          <w:highlight w:val="none"/>
        </w:rPr>
      </w:pPr>
      <w:bookmarkStart w:id="378" w:name="_Toc28220"/>
      <w:bookmarkStart w:id="379" w:name="_Toc69912457"/>
      <w:bookmarkStart w:id="380" w:name="_Toc326218115"/>
      <w:bookmarkStart w:id="381" w:name="_Toc508191817"/>
      <w:bookmarkStart w:id="382" w:name="_Toc91696465"/>
      <w:bookmarkStart w:id="383" w:name="_Toc314817937"/>
      <w:bookmarkStart w:id="384" w:name="_Toc152862939"/>
      <w:r>
        <w:rPr>
          <w:rFonts w:ascii="Times New Roman" w:hAnsi="Times New Roman" w:eastAsia="宋体"/>
          <w:color w:val="auto"/>
          <w:szCs w:val="28"/>
          <w:highlight w:val="none"/>
        </w:rPr>
        <w:t>4. 评标程序</w:t>
      </w:r>
      <w:bookmarkEnd w:id="378"/>
      <w:bookmarkEnd w:id="379"/>
      <w:bookmarkEnd w:id="380"/>
      <w:bookmarkEnd w:id="381"/>
      <w:bookmarkEnd w:id="382"/>
      <w:bookmarkEnd w:id="383"/>
      <w:bookmarkEnd w:id="384"/>
    </w:p>
    <w:p w14:paraId="59D0B531">
      <w:pPr>
        <w:pStyle w:val="4"/>
        <w:numPr>
          <w:ilvl w:val="2"/>
          <w:numId w:val="0"/>
        </w:numPr>
        <w:spacing w:before="0"/>
        <w:ind w:firstLine="480" w:firstLineChars="200"/>
        <w:rPr>
          <w:rFonts w:ascii="Times New Roman" w:hAnsi="Times New Roman" w:eastAsia="宋体"/>
          <w:color w:val="auto"/>
          <w:sz w:val="24"/>
          <w:szCs w:val="24"/>
          <w:highlight w:val="none"/>
        </w:rPr>
      </w:pPr>
      <w:bookmarkStart w:id="385" w:name="_Toc152862940"/>
      <w:bookmarkStart w:id="386" w:name="_Toc11591"/>
      <w:bookmarkStart w:id="387" w:name="_Toc91696466"/>
      <w:r>
        <w:rPr>
          <w:rFonts w:ascii="Times New Roman" w:hAnsi="Times New Roman" w:eastAsia="宋体"/>
          <w:color w:val="auto"/>
          <w:sz w:val="24"/>
          <w:szCs w:val="24"/>
          <w:highlight w:val="none"/>
        </w:rPr>
        <w:t>4.1符合性评审</w:t>
      </w:r>
      <w:bookmarkEnd w:id="385"/>
      <w:bookmarkEnd w:id="386"/>
      <w:bookmarkEnd w:id="387"/>
    </w:p>
    <w:p w14:paraId="36C40479">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依据本章第3.2项规定的标准对投标文件进行符合性评审。有一项不符合评审标准的，作废标处理。</w:t>
      </w:r>
    </w:p>
    <w:p w14:paraId="18EC7079">
      <w:pPr>
        <w:pStyle w:val="4"/>
        <w:numPr>
          <w:ilvl w:val="2"/>
          <w:numId w:val="0"/>
        </w:numPr>
        <w:spacing w:before="0"/>
        <w:ind w:firstLine="480" w:firstLineChars="200"/>
        <w:rPr>
          <w:rFonts w:ascii="Times New Roman" w:hAnsi="Times New Roman" w:eastAsia="宋体"/>
          <w:color w:val="auto"/>
          <w:sz w:val="24"/>
          <w:szCs w:val="24"/>
          <w:highlight w:val="none"/>
        </w:rPr>
      </w:pPr>
      <w:bookmarkStart w:id="388" w:name="_Toc152862941"/>
      <w:bookmarkStart w:id="389" w:name="_Toc326218117"/>
      <w:bookmarkStart w:id="390" w:name="_Toc20608"/>
      <w:bookmarkStart w:id="391" w:name="_Toc91696467"/>
      <w:bookmarkStart w:id="392" w:name="_Toc314817939"/>
      <w:r>
        <w:rPr>
          <w:rFonts w:ascii="Times New Roman" w:hAnsi="Times New Roman" w:eastAsia="宋体"/>
          <w:color w:val="auto"/>
          <w:sz w:val="24"/>
          <w:szCs w:val="24"/>
          <w:highlight w:val="none"/>
        </w:rPr>
        <w:t>4.2 详细评审</w:t>
      </w:r>
      <w:bookmarkEnd w:id="388"/>
      <w:bookmarkEnd w:id="389"/>
      <w:bookmarkEnd w:id="390"/>
      <w:bookmarkEnd w:id="391"/>
      <w:bookmarkEnd w:id="392"/>
    </w:p>
    <w:p w14:paraId="41A3959E">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4.2.1 评标委员会按本章第3.2款规定的量化因素和分值进行打分，并计算出投标人的评标总得分。</w:t>
      </w:r>
    </w:p>
    <w:p w14:paraId="3BAFA910">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（1）按本章第3.2.2（1）目规定的评分因素和分值对投标报价计算出得分F1；</w:t>
      </w:r>
    </w:p>
    <w:p w14:paraId="5CF59C68">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（2）按本章第3.2.2（2）目规定的评分因素和分值对技术部分计算出得分F2；</w:t>
      </w:r>
    </w:p>
    <w:p w14:paraId="557E3A91">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（3）按本章第3.2.2（3）目规定的评分因素和分值对业绩及服务部分计算出得分F3；</w:t>
      </w:r>
    </w:p>
    <w:p w14:paraId="66999F05">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（4）按本章第3.2.1项所列公式计算评标总得分。</w:t>
      </w:r>
    </w:p>
    <w:p w14:paraId="2E76748F">
      <w:pPr>
        <w:tabs>
          <w:tab w:val="left" w:pos="2472"/>
          <w:tab w:val="right" w:pos="8650"/>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4.2.2 投标文件如果出现计算或表达上的错误，修正错误的原则如下：</w:t>
      </w:r>
      <w:r>
        <w:rPr>
          <w:rFonts w:ascii="Times New Roman" w:hAnsi="Times New Roman"/>
          <w:color w:val="auto"/>
          <w:szCs w:val="21"/>
          <w:highlight w:val="none"/>
        </w:rPr>
        <w:tab/>
      </w:r>
    </w:p>
    <w:p w14:paraId="11626174">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（一）投标文件中开标一览表（报价表）内容与投标文件中相应内容不一致的，以开标一览表（报价表）为准；</w:t>
      </w:r>
    </w:p>
    <w:p w14:paraId="064147E8">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（二）大写金额和小写金额不一致的，以大写金额为准；</w:t>
      </w:r>
    </w:p>
    <w:p w14:paraId="11703B91">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（三）单价金额小数点或者百分比有明显错位的，以开标一览表的总价为准，并修改单价；</w:t>
      </w:r>
    </w:p>
    <w:p w14:paraId="19A9EA91">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（四）总价金额与按单价汇总金额不一致的，以单价金额计算结果为准。</w:t>
      </w:r>
    </w:p>
    <w:p w14:paraId="26987BB1">
      <w:pPr>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同时出现两种以上不一致的，按照前款规定的顺序修正。修正后的报价按照本章3.2款的规定经投标人确认后产生约束力，投标人不确认的，其投标无效。</w:t>
      </w:r>
    </w:p>
    <w:p w14:paraId="42CE05EC">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4.2.3技术部分（F2）和业绩及服务部分（F3）得分由评标委员会成员独立评分，计算各投标人得分的算术平均值计入各投标人总分。评分分值计算保留小数点后两位，小数点后第三位“四舍五入”。</w:t>
      </w:r>
    </w:p>
    <w:p w14:paraId="74C619A7">
      <w:pPr>
        <w:spacing w:line="360" w:lineRule="auto"/>
        <w:ind w:firstLine="420" w:firstLineChars="200"/>
        <w:jc w:val="left"/>
        <w:rPr>
          <w:rFonts w:ascii="Times New Roman" w:hAnsi="Times New Roman"/>
          <w:color w:val="auto"/>
          <w:szCs w:val="21"/>
          <w:highlight w:val="none"/>
        </w:rPr>
      </w:pPr>
      <w:r>
        <w:rPr>
          <w:rFonts w:ascii="Segoe UI Symbol" w:hAnsi="Segoe UI Symbol" w:cs="Segoe UI Symbol"/>
          <w:color w:val="auto"/>
          <w:szCs w:val="21"/>
          <w:highlight w:val="none"/>
        </w:rPr>
        <w:t>★</w:t>
      </w:r>
      <w:r>
        <w:rPr>
          <w:rFonts w:ascii="Times New Roman" w:hAnsi="Times New Roman"/>
          <w:color w:val="auto"/>
          <w:szCs w:val="21"/>
          <w:highlight w:val="none"/>
        </w:rPr>
        <w:t>4.2.4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ED32396">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35091E84">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4.2.6评标中若遇特殊问题，由评标委员会根据有关法律、法规研究决定。</w:t>
      </w:r>
    </w:p>
    <w:p w14:paraId="39E46C85">
      <w:pPr>
        <w:pStyle w:val="4"/>
        <w:numPr>
          <w:ilvl w:val="2"/>
          <w:numId w:val="0"/>
        </w:numPr>
        <w:spacing w:before="0"/>
        <w:ind w:firstLine="480" w:firstLineChars="200"/>
        <w:rPr>
          <w:rFonts w:ascii="Times New Roman" w:hAnsi="Times New Roman" w:eastAsia="宋体"/>
          <w:color w:val="auto"/>
          <w:sz w:val="24"/>
          <w:szCs w:val="24"/>
          <w:highlight w:val="none"/>
        </w:rPr>
      </w:pPr>
      <w:bookmarkStart w:id="393" w:name="_Toc91696468"/>
      <w:bookmarkStart w:id="394" w:name="_Toc326218118"/>
      <w:bookmarkStart w:id="395" w:name="_Toc314817940"/>
      <w:bookmarkStart w:id="396" w:name="_Toc152862942"/>
      <w:bookmarkStart w:id="397" w:name="_Toc11006"/>
      <w:r>
        <w:rPr>
          <w:rFonts w:ascii="Times New Roman" w:hAnsi="Times New Roman" w:eastAsia="宋体"/>
          <w:color w:val="auto"/>
          <w:sz w:val="24"/>
          <w:szCs w:val="24"/>
          <w:highlight w:val="none"/>
        </w:rPr>
        <w:t>4.3 投标文件的澄清和补正统计分数原则</w:t>
      </w:r>
      <w:bookmarkEnd w:id="393"/>
      <w:bookmarkEnd w:id="394"/>
      <w:bookmarkEnd w:id="395"/>
      <w:bookmarkEnd w:id="396"/>
      <w:bookmarkEnd w:id="397"/>
    </w:p>
    <w:p w14:paraId="0B23F77F">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DDA7A0E">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418970C2">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4.3.3 评标委员会对投标人提交的澄清、说明有疑问的，可以要求投标人进一步澄清、说明。</w:t>
      </w:r>
    </w:p>
    <w:p w14:paraId="50B79E1D">
      <w:pPr>
        <w:pStyle w:val="4"/>
        <w:numPr>
          <w:ilvl w:val="2"/>
          <w:numId w:val="0"/>
        </w:numPr>
        <w:spacing w:before="0"/>
        <w:ind w:firstLine="480" w:firstLineChars="200"/>
        <w:rPr>
          <w:rFonts w:ascii="Times New Roman" w:hAnsi="Times New Roman" w:eastAsia="宋体"/>
          <w:color w:val="auto"/>
          <w:sz w:val="24"/>
          <w:szCs w:val="24"/>
          <w:highlight w:val="none"/>
        </w:rPr>
      </w:pPr>
      <w:bookmarkStart w:id="398" w:name="_Toc91696469"/>
      <w:bookmarkStart w:id="399" w:name="_Toc24438"/>
      <w:bookmarkStart w:id="400" w:name="_Toc152862943"/>
      <w:bookmarkStart w:id="401" w:name="_Toc326218119"/>
      <w:bookmarkStart w:id="402" w:name="_Toc314817941"/>
      <w:r>
        <w:rPr>
          <w:rFonts w:ascii="Times New Roman" w:hAnsi="Times New Roman" w:eastAsia="宋体"/>
          <w:color w:val="auto"/>
          <w:sz w:val="24"/>
          <w:szCs w:val="24"/>
          <w:highlight w:val="none"/>
        </w:rPr>
        <w:t>4.4 评标结果</w:t>
      </w:r>
      <w:bookmarkEnd w:id="398"/>
      <w:bookmarkEnd w:id="399"/>
      <w:bookmarkEnd w:id="400"/>
      <w:bookmarkEnd w:id="401"/>
      <w:bookmarkEnd w:id="402"/>
    </w:p>
    <w:p w14:paraId="2F399DFF">
      <w:pPr>
        <w:adjustRightInd w:val="0"/>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4.4.1评标委员会对满足招标文件资格评审及符合性评审要求的投标文件，</w:t>
      </w:r>
      <w:bookmarkStart w:id="403" w:name="_Hlk49243521"/>
      <w:r>
        <w:rPr>
          <w:rFonts w:ascii="Times New Roman" w:hAnsi="Times New Roman"/>
          <w:color w:val="auto"/>
          <w:szCs w:val="21"/>
          <w:highlight w:val="none"/>
        </w:rPr>
        <w:t>按照本章前附表规定的评分标准</w:t>
      </w:r>
      <w:bookmarkEnd w:id="403"/>
      <w:r>
        <w:rPr>
          <w:rFonts w:ascii="Times New Roman" w:hAnsi="Times New Roman"/>
          <w:color w:val="auto"/>
          <w:szCs w:val="21"/>
          <w:highlight w:val="none"/>
        </w:rPr>
        <w:t>进行打分。</w:t>
      </w:r>
    </w:p>
    <w:p w14:paraId="506F02D9">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评标委员按照本章前附表规定的评分标准评审并计算评标总得分后，按总得分由高到低的顺序推荐中标候选人排序。评标总得分相等时，按投标报价由低到高顺序排序；评标总得分相等且投标报价相同时，按技术部分得分由高到低顺序排序；所有得分均相等时，按</w:t>
      </w:r>
      <w:r>
        <w:rPr>
          <w:rFonts w:ascii="Times New Roman" w:hAnsi="Times New Roman"/>
          <w:bCs/>
          <w:color w:val="auto"/>
          <w:szCs w:val="21"/>
          <w:highlight w:val="none"/>
        </w:rPr>
        <w:t>优先采购列入品目清单内非强制采购的节能产品、环境标志产品，优先采购监狱企业、残疾人福利性单位的产品和服务</w:t>
      </w:r>
      <w:r>
        <w:rPr>
          <w:rFonts w:ascii="Times New Roman" w:hAnsi="Times New Roman"/>
          <w:color w:val="auto"/>
          <w:szCs w:val="21"/>
          <w:highlight w:val="none"/>
        </w:rPr>
        <w:t>的顺序排列；所有得分均相等且政府采购政策均相同时，按技术指标高优先、质保期长优先、响应时间短优先的原则进行</w:t>
      </w:r>
      <w:r>
        <w:rPr>
          <w:rFonts w:hint="eastAsia" w:ascii="Times New Roman" w:hAnsi="Times New Roman"/>
          <w:color w:val="auto"/>
          <w:szCs w:val="21"/>
          <w:highlight w:val="none"/>
          <w:lang w:val="en-US" w:eastAsia="zh-CN"/>
        </w:rPr>
        <w:t>记名</w:t>
      </w:r>
      <w:r>
        <w:rPr>
          <w:rFonts w:ascii="Times New Roman" w:hAnsi="Times New Roman"/>
          <w:color w:val="auto"/>
          <w:szCs w:val="21"/>
          <w:highlight w:val="none"/>
        </w:rPr>
        <w:t>投票推荐，根据投票结果推荐中标候选人排序。</w:t>
      </w:r>
    </w:p>
    <w:p w14:paraId="4DCD160C">
      <w:pPr>
        <w:tabs>
          <w:tab w:val="left" w:pos="2472"/>
        </w:tabs>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评标委员会推荐3名中标候选人，并提出书面评标报告。</w:t>
      </w:r>
    </w:p>
    <w:p w14:paraId="4FD3B4AF">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4.4.2采购人根据评标委员会提出的书面评标报告和推荐的中标候选人名单，确定中标人。</w:t>
      </w:r>
    </w:p>
    <w:p w14:paraId="07C76DC0">
      <w:pPr>
        <w:spacing w:line="360" w:lineRule="auto"/>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08CA1FDE">
      <w:pPr>
        <w:spacing w:line="360" w:lineRule="auto"/>
        <w:ind w:firstLine="420" w:firstLineChars="200"/>
        <w:jc w:val="left"/>
        <w:rPr>
          <w:rFonts w:ascii="Times New Roman" w:hAnsi="Times New Roman"/>
          <w:color w:val="auto"/>
          <w:szCs w:val="21"/>
          <w:highlight w:val="none"/>
        </w:rPr>
      </w:pPr>
    </w:p>
    <w:bookmarkEnd w:id="349"/>
    <w:p w14:paraId="4D353534">
      <w:pPr>
        <w:pStyle w:val="4"/>
        <w:numPr>
          <w:ilvl w:val="2"/>
          <w:numId w:val="0"/>
        </w:numPr>
        <w:tabs>
          <w:tab w:val="clear" w:pos="360"/>
        </w:tabs>
        <w:spacing w:before="0"/>
        <w:ind w:firstLine="480" w:firstLineChars="200"/>
        <w:rPr>
          <w:rFonts w:ascii="Times New Roman" w:hAnsi="Times New Roman" w:eastAsia="宋体"/>
          <w:color w:val="auto"/>
          <w:sz w:val="24"/>
          <w:szCs w:val="24"/>
          <w:highlight w:val="none"/>
        </w:rPr>
      </w:pPr>
      <w:bookmarkStart w:id="404" w:name="_Toc152862944"/>
      <w:bookmarkStart w:id="405" w:name="_Toc1251"/>
      <w:bookmarkStart w:id="406" w:name="_Toc91696470"/>
      <w:r>
        <w:rPr>
          <w:rFonts w:ascii="Times New Roman" w:hAnsi="Times New Roman" w:eastAsia="宋体"/>
          <w:color w:val="auto"/>
          <w:sz w:val="24"/>
          <w:szCs w:val="24"/>
          <w:highlight w:val="none"/>
        </w:rPr>
        <w:t>4.5其他</w:t>
      </w:r>
      <w:bookmarkEnd w:id="404"/>
      <w:bookmarkEnd w:id="405"/>
      <w:bookmarkEnd w:id="406"/>
    </w:p>
    <w:p w14:paraId="0D46F684">
      <w:pPr>
        <w:spacing w:line="360" w:lineRule="auto"/>
        <w:ind w:firstLine="420" w:firstLineChars="200"/>
        <w:jc w:val="left"/>
        <w:rPr>
          <w:rFonts w:ascii="Times New Roman" w:hAnsi="Times New Roman"/>
          <w:color w:val="auto"/>
          <w:szCs w:val="21"/>
          <w:highlight w:val="none"/>
          <w:lang w:val="zh-CN"/>
        </w:rPr>
      </w:pPr>
      <w:r>
        <w:rPr>
          <w:rFonts w:ascii="Times New Roman" w:hAnsi="Times New Roman"/>
          <w:color w:val="auto"/>
          <w:szCs w:val="21"/>
          <w:highlight w:val="none"/>
        </w:rPr>
        <w:t>其他未尽事宜遵照国家相关法律法规执行。</w:t>
      </w:r>
    </w:p>
    <w:sectPr>
      <w:footerReference r:id="rId10" w:type="default"/>
      <w:pgSz w:w="11906" w:h="16838"/>
      <w:pgMar w:top="993" w:right="1418" w:bottom="993" w:left="1418" w:header="720" w:footer="624" w:gutter="0"/>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A9C65">
    <w:pPr>
      <w:jc w:val="center"/>
    </w:pPr>
    <w:r>
      <w:fldChar w:fldCharType="begin"/>
    </w:r>
    <w:r>
      <w:instrText xml:space="preserve">PAGE   \* MERGEFORMAT</w:instrText>
    </w:r>
    <w:r>
      <w:fldChar w:fldCharType="separate"/>
    </w:r>
    <w:r>
      <w:t>IV</w:t>
    </w:r>
    <w:r>
      <w:fldChar w:fldCharType="end"/>
    </w:r>
  </w:p>
  <w:p w14:paraId="016ED56B">
    <w:pPr>
      <w:pStyle w:val="132"/>
      <w:ind w:right="9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4981B">
    <w:pPr>
      <w:pStyle w:val="132"/>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30F37DA4"/>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dNXvrQAAAAAwEAAA8AAAAAAAAAAQAgAAAAIgAAAGRycy9kb3ducmV2LnhtbFBL&#10;AQIUABQAAAAIAIdO4kByeq0D/gEAAA4EAAAOAAAAAAAAAAEAIAAAAB8BAABkcnMvZTJvRG9jLnht&#10;bFBLBQYAAAAABgAGAFkBAACPBQAAAAA=&#10;">
              <v:fill on="f" focussize="0,0"/>
              <v:stroke on="f"/>
              <v:imagedata o:title=""/>
              <o:lock v:ext="edit" aspectratio="f"/>
              <v:textbox inset="0mm,0mm,0mm,0mm" style="mso-fit-shape-to-text:t;">
                <w:txbxContent>
                  <w:p w14:paraId="30F37DA4"/>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2CBE8">
    <w:pPr>
      <w:pStyle w:val="132"/>
      <w:jc w:val="center"/>
    </w:pPr>
    <w:r>
      <w:fldChar w:fldCharType="begin"/>
    </w:r>
    <w:r>
      <w:instrText xml:space="preserve">PAGE   \* MERGEFORMAT</w:instrText>
    </w:r>
    <w:r>
      <w:fldChar w:fldCharType="separate"/>
    </w:r>
    <w:r>
      <w:rPr>
        <w:lang w:val="zh-CN"/>
      </w:rPr>
      <w:t>55</w:t>
    </w:r>
    <w:r>
      <w:rPr>
        <w:lang w:val="zh-CN"/>
      </w:rPr>
      <w:fldChar w:fldCharType="end"/>
    </w:r>
  </w:p>
  <w:p w14:paraId="2D354EFF">
    <w:pPr>
      <w:pStyle w:val="13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294D3">
    <w:pPr>
      <w:jc w:val="center"/>
    </w:pPr>
    <w:r>
      <w:fldChar w:fldCharType="begin"/>
    </w:r>
    <w:r>
      <w:instrText xml:space="preserve">PAGE   \* MERGEFORMAT</w:instrText>
    </w:r>
    <w:r>
      <w:fldChar w:fldCharType="separate"/>
    </w:r>
    <w:r>
      <w:t>30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0A4C7">
    <w:pPr>
      <w:pStyle w:val="132"/>
      <w:ind w:left="-2" w:leftChars="-1" w:firstLine="1"/>
      <w:jc w:val="center"/>
    </w:pPr>
    <w:r>
      <w:fldChar w:fldCharType="begin"/>
    </w:r>
    <w:r>
      <w:instrText xml:space="preserve">PAGE   \* MERGEFORMAT</w:instrText>
    </w:r>
    <w:r>
      <w:fldChar w:fldCharType="separate"/>
    </w:r>
    <w:r>
      <w:rPr>
        <w:lang w:val="zh-CN"/>
      </w:rPr>
      <w:t>2</w:t>
    </w:r>
    <w:r>
      <w:fldChar w:fldCharType="end"/>
    </w:r>
  </w:p>
  <w:p w14:paraId="06BE4CCC">
    <w:pPr>
      <w:pStyle w:val="132"/>
    </w:pPr>
  </w:p>
  <w:p w14:paraId="4D94F42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5FE88">
    <w:pPr>
      <w:jc w:val="center"/>
    </w:pPr>
    <w:r>
      <w:fldChar w:fldCharType="begin"/>
    </w:r>
    <w:r>
      <w:instrText xml:space="preserve">PAGE   \* MERGEFORMAT</w:instrText>
    </w:r>
    <w:r>
      <w:fldChar w:fldCharType="separate"/>
    </w:r>
    <w:r>
      <w:t>66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D4565">
    <w:pPr>
      <w:pStyle w:val="23"/>
      <w:jc w:val="right"/>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288C2">
    <w:r>
      <w:rPr>
        <w:rFonts w:hint="eastAsia"/>
      </w:rPr>
      <w:t>昆明理工大学2019年农业与食品学院进口科研仪器设备购置</w:t>
    </w:r>
  </w:p>
  <w:p w14:paraId="685549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6DE53B"/>
    <w:multiLevelType w:val="singleLevel"/>
    <w:tmpl w:val="EC6DE53B"/>
    <w:lvl w:ilvl="0" w:tentative="0">
      <w:start w:val="1"/>
      <w:numFmt w:val="decimal"/>
      <w:lvlText w:val="%1."/>
      <w:lvlJc w:val="left"/>
      <w:pPr>
        <w:ind w:left="425" w:hanging="425"/>
      </w:pPr>
      <w:rPr>
        <w:rFonts w:hint="default"/>
      </w:rPr>
    </w:lvl>
  </w:abstractNum>
  <w:abstractNum w:abstractNumId="1">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2">
    <w:nsid w:val="00000001"/>
    <w:multiLevelType w:val="multilevel"/>
    <w:tmpl w:val="00000001"/>
    <w:lvl w:ilvl="0" w:tentative="0">
      <w:start w:val="1"/>
      <w:numFmt w:val="decimal"/>
      <w:lvlText w:val="%1、"/>
      <w:lvlJc w:val="left"/>
      <w:pPr>
        <w:tabs>
          <w:tab w:val="left" w:pos="502"/>
        </w:tabs>
        <w:ind w:left="502" w:hanging="360"/>
      </w:pPr>
    </w:lvl>
    <w:lvl w:ilvl="1" w:tentative="0">
      <w:start w:val="1"/>
      <w:numFmt w:val="decimal"/>
      <w:lvlText w:val="%2."/>
      <w:lvlJc w:val="left"/>
      <w:pPr>
        <w:tabs>
          <w:tab w:val="left" w:pos="1102"/>
        </w:tabs>
        <w:ind w:left="1102" w:hanging="360"/>
      </w:pPr>
    </w:lvl>
    <w:lvl w:ilvl="2" w:tentative="0">
      <w:start w:val="1"/>
      <w:numFmt w:val="decimal"/>
      <w:lvlText w:val="%3."/>
      <w:lvlJc w:val="left"/>
      <w:pPr>
        <w:tabs>
          <w:tab w:val="left" w:pos="1822"/>
        </w:tabs>
        <w:ind w:left="1822" w:hanging="360"/>
      </w:pPr>
    </w:lvl>
    <w:lvl w:ilvl="3" w:tentative="0">
      <w:start w:val="1"/>
      <w:numFmt w:val="decimal"/>
      <w:lvlText w:val="%4."/>
      <w:lvlJc w:val="left"/>
      <w:pPr>
        <w:tabs>
          <w:tab w:val="left" w:pos="2542"/>
        </w:tabs>
        <w:ind w:left="2542" w:hanging="360"/>
      </w:pPr>
    </w:lvl>
    <w:lvl w:ilvl="4" w:tentative="0">
      <w:start w:val="1"/>
      <w:numFmt w:val="decimal"/>
      <w:lvlText w:val="%5."/>
      <w:lvlJc w:val="left"/>
      <w:pPr>
        <w:tabs>
          <w:tab w:val="left" w:pos="3262"/>
        </w:tabs>
        <w:ind w:left="3262" w:hanging="360"/>
      </w:pPr>
    </w:lvl>
    <w:lvl w:ilvl="5" w:tentative="0">
      <w:start w:val="1"/>
      <w:numFmt w:val="decimal"/>
      <w:lvlText w:val="%6."/>
      <w:lvlJc w:val="left"/>
      <w:pPr>
        <w:tabs>
          <w:tab w:val="left" w:pos="3982"/>
        </w:tabs>
        <w:ind w:left="3982" w:hanging="360"/>
      </w:pPr>
    </w:lvl>
    <w:lvl w:ilvl="6" w:tentative="0">
      <w:start w:val="1"/>
      <w:numFmt w:val="decimal"/>
      <w:lvlText w:val="%7."/>
      <w:lvlJc w:val="left"/>
      <w:pPr>
        <w:tabs>
          <w:tab w:val="left" w:pos="4702"/>
        </w:tabs>
        <w:ind w:left="4702" w:hanging="360"/>
      </w:pPr>
    </w:lvl>
    <w:lvl w:ilvl="7" w:tentative="0">
      <w:start w:val="1"/>
      <w:numFmt w:val="decimal"/>
      <w:lvlText w:val="%8."/>
      <w:lvlJc w:val="left"/>
      <w:pPr>
        <w:tabs>
          <w:tab w:val="left" w:pos="5422"/>
        </w:tabs>
        <w:ind w:left="5422" w:hanging="360"/>
      </w:pPr>
    </w:lvl>
    <w:lvl w:ilvl="8" w:tentative="0">
      <w:start w:val="1"/>
      <w:numFmt w:val="decimal"/>
      <w:lvlText w:val="%9."/>
      <w:lvlJc w:val="left"/>
      <w:pPr>
        <w:tabs>
          <w:tab w:val="left" w:pos="6142"/>
        </w:tabs>
        <w:ind w:left="6142" w:hanging="360"/>
      </w:p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97907D7"/>
    <w:multiLevelType w:val="multilevel"/>
    <w:tmpl w:val="097907D7"/>
    <w:lvl w:ilvl="0" w:tentative="0">
      <w:start w:val="1"/>
      <w:numFmt w:val="decimal"/>
      <w:pStyle w:val="193"/>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7B41541"/>
    <w:multiLevelType w:val="multilevel"/>
    <w:tmpl w:val="17B41541"/>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B9E0444"/>
    <w:multiLevelType w:val="multilevel"/>
    <w:tmpl w:val="2B9E044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41053003"/>
    <w:multiLevelType w:val="multilevel"/>
    <w:tmpl w:val="41053003"/>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CAE64ED"/>
    <w:multiLevelType w:val="multilevel"/>
    <w:tmpl w:val="4CAE64E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518479AE"/>
    <w:multiLevelType w:val="multilevel"/>
    <w:tmpl w:val="518479A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5A51101F"/>
    <w:multiLevelType w:val="multilevel"/>
    <w:tmpl w:val="5A51101F"/>
    <w:lvl w:ilvl="0" w:tentative="0">
      <w:start w:val="1"/>
      <w:numFmt w:val="japaneseCounting"/>
      <w:lvlText w:val="第%1章"/>
      <w:lvlJc w:val="left"/>
      <w:pPr>
        <w:ind w:left="1260" w:hanging="12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FB040F0"/>
    <w:multiLevelType w:val="multilevel"/>
    <w:tmpl w:val="5FB040F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63852405"/>
    <w:multiLevelType w:val="multilevel"/>
    <w:tmpl w:val="63852405"/>
    <w:lvl w:ilvl="0" w:tentative="0">
      <w:start w:val="1"/>
      <w:numFmt w:val="decimal"/>
      <w:pStyle w:val="169"/>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3">
    <w:nsid w:val="6C0C587C"/>
    <w:multiLevelType w:val="multilevel"/>
    <w:tmpl w:val="6C0C587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12"/>
  </w:num>
  <w:num w:numId="4">
    <w:abstractNumId w:val="4"/>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7"/>
  </w:num>
  <w:num w:numId="9">
    <w:abstractNumId w:val="5"/>
  </w:num>
  <w:num w:numId="10">
    <w:abstractNumId w:val="0"/>
  </w:num>
  <w:num w:numId="11">
    <w:abstractNumId w:val="11"/>
  </w:num>
  <w:num w:numId="12">
    <w:abstractNumId w:val="6"/>
  </w:num>
  <w:num w:numId="13">
    <w:abstractNumId w:val="13"/>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mJjMGUyMDNhMGI0MjllZTc4OTE3ODRjOTBjMWQifQ=="/>
  </w:docVars>
  <w:rsids>
    <w:rsidRoot w:val="00A21078"/>
    <w:rsid w:val="000003FB"/>
    <w:rsid w:val="00000416"/>
    <w:rsid w:val="00001932"/>
    <w:rsid w:val="0000241B"/>
    <w:rsid w:val="0000291B"/>
    <w:rsid w:val="00002B38"/>
    <w:rsid w:val="00003547"/>
    <w:rsid w:val="00003FD6"/>
    <w:rsid w:val="0000405C"/>
    <w:rsid w:val="00004374"/>
    <w:rsid w:val="00004EAB"/>
    <w:rsid w:val="00004EFD"/>
    <w:rsid w:val="000051E3"/>
    <w:rsid w:val="000054BE"/>
    <w:rsid w:val="00007097"/>
    <w:rsid w:val="00007211"/>
    <w:rsid w:val="000072A0"/>
    <w:rsid w:val="00007846"/>
    <w:rsid w:val="00007A2A"/>
    <w:rsid w:val="00007F83"/>
    <w:rsid w:val="00010154"/>
    <w:rsid w:val="000101A8"/>
    <w:rsid w:val="000105AA"/>
    <w:rsid w:val="000107A4"/>
    <w:rsid w:val="000111B4"/>
    <w:rsid w:val="0001131E"/>
    <w:rsid w:val="000123A6"/>
    <w:rsid w:val="00012F3D"/>
    <w:rsid w:val="00013E6F"/>
    <w:rsid w:val="00014087"/>
    <w:rsid w:val="00014307"/>
    <w:rsid w:val="0001480F"/>
    <w:rsid w:val="0001575F"/>
    <w:rsid w:val="000161EB"/>
    <w:rsid w:val="000162CB"/>
    <w:rsid w:val="00016892"/>
    <w:rsid w:val="00016A8C"/>
    <w:rsid w:val="00016CB0"/>
    <w:rsid w:val="00016EBB"/>
    <w:rsid w:val="00017BE9"/>
    <w:rsid w:val="00017C95"/>
    <w:rsid w:val="00017FDA"/>
    <w:rsid w:val="000207FD"/>
    <w:rsid w:val="00020BD0"/>
    <w:rsid w:val="00020F88"/>
    <w:rsid w:val="0002140F"/>
    <w:rsid w:val="00021A39"/>
    <w:rsid w:val="00021B69"/>
    <w:rsid w:val="00021B8C"/>
    <w:rsid w:val="00021DD3"/>
    <w:rsid w:val="00021EC5"/>
    <w:rsid w:val="000221B6"/>
    <w:rsid w:val="0002297D"/>
    <w:rsid w:val="00022B49"/>
    <w:rsid w:val="00022F5E"/>
    <w:rsid w:val="000253D2"/>
    <w:rsid w:val="0002557B"/>
    <w:rsid w:val="00025E3B"/>
    <w:rsid w:val="00026470"/>
    <w:rsid w:val="0002648E"/>
    <w:rsid w:val="000273FE"/>
    <w:rsid w:val="000274D9"/>
    <w:rsid w:val="000274E3"/>
    <w:rsid w:val="00030D67"/>
    <w:rsid w:val="00030E31"/>
    <w:rsid w:val="000313A4"/>
    <w:rsid w:val="00031B31"/>
    <w:rsid w:val="000320AF"/>
    <w:rsid w:val="00032A6B"/>
    <w:rsid w:val="00032B7D"/>
    <w:rsid w:val="00032B8C"/>
    <w:rsid w:val="00033506"/>
    <w:rsid w:val="000343CA"/>
    <w:rsid w:val="0003443D"/>
    <w:rsid w:val="00034A12"/>
    <w:rsid w:val="00034E42"/>
    <w:rsid w:val="00035937"/>
    <w:rsid w:val="00035F18"/>
    <w:rsid w:val="0004067B"/>
    <w:rsid w:val="00040B0F"/>
    <w:rsid w:val="00040DF3"/>
    <w:rsid w:val="00040FFB"/>
    <w:rsid w:val="00041180"/>
    <w:rsid w:val="000413B7"/>
    <w:rsid w:val="00041576"/>
    <w:rsid w:val="00041A62"/>
    <w:rsid w:val="00041C99"/>
    <w:rsid w:val="0004218D"/>
    <w:rsid w:val="000421B3"/>
    <w:rsid w:val="000422F0"/>
    <w:rsid w:val="00042498"/>
    <w:rsid w:val="0004267B"/>
    <w:rsid w:val="00042E3D"/>
    <w:rsid w:val="00042FFA"/>
    <w:rsid w:val="000430D5"/>
    <w:rsid w:val="00043169"/>
    <w:rsid w:val="0004346B"/>
    <w:rsid w:val="000436A7"/>
    <w:rsid w:val="00043B3F"/>
    <w:rsid w:val="000450DA"/>
    <w:rsid w:val="00045E5D"/>
    <w:rsid w:val="00045F72"/>
    <w:rsid w:val="00046B40"/>
    <w:rsid w:val="00047F83"/>
    <w:rsid w:val="00050840"/>
    <w:rsid w:val="0005148F"/>
    <w:rsid w:val="00051E14"/>
    <w:rsid w:val="0005226D"/>
    <w:rsid w:val="00052290"/>
    <w:rsid w:val="00052BAA"/>
    <w:rsid w:val="00052BAF"/>
    <w:rsid w:val="000530B8"/>
    <w:rsid w:val="000540E8"/>
    <w:rsid w:val="0005452A"/>
    <w:rsid w:val="000553D1"/>
    <w:rsid w:val="00055C69"/>
    <w:rsid w:val="0005650D"/>
    <w:rsid w:val="00057031"/>
    <w:rsid w:val="00057281"/>
    <w:rsid w:val="00057FB5"/>
    <w:rsid w:val="00060901"/>
    <w:rsid w:val="000609A0"/>
    <w:rsid w:val="000611F0"/>
    <w:rsid w:val="000613E7"/>
    <w:rsid w:val="00061672"/>
    <w:rsid w:val="00061682"/>
    <w:rsid w:val="00061EBC"/>
    <w:rsid w:val="00063327"/>
    <w:rsid w:val="00063782"/>
    <w:rsid w:val="00063788"/>
    <w:rsid w:val="00064455"/>
    <w:rsid w:val="00064B5D"/>
    <w:rsid w:val="000659E4"/>
    <w:rsid w:val="00066082"/>
    <w:rsid w:val="000664AA"/>
    <w:rsid w:val="0007142B"/>
    <w:rsid w:val="00071B90"/>
    <w:rsid w:val="00071D5E"/>
    <w:rsid w:val="00072333"/>
    <w:rsid w:val="0007268E"/>
    <w:rsid w:val="0007273A"/>
    <w:rsid w:val="0007290C"/>
    <w:rsid w:val="00072912"/>
    <w:rsid w:val="00072AEC"/>
    <w:rsid w:val="0007302B"/>
    <w:rsid w:val="00073369"/>
    <w:rsid w:val="00073597"/>
    <w:rsid w:val="00073731"/>
    <w:rsid w:val="0007387D"/>
    <w:rsid w:val="00073BF5"/>
    <w:rsid w:val="00073D63"/>
    <w:rsid w:val="0007439D"/>
    <w:rsid w:val="00074548"/>
    <w:rsid w:val="000747DA"/>
    <w:rsid w:val="00074B25"/>
    <w:rsid w:val="0007526C"/>
    <w:rsid w:val="000753B5"/>
    <w:rsid w:val="00075CA6"/>
    <w:rsid w:val="00075D47"/>
    <w:rsid w:val="00075EF7"/>
    <w:rsid w:val="00076444"/>
    <w:rsid w:val="0007646A"/>
    <w:rsid w:val="0007675A"/>
    <w:rsid w:val="000771D0"/>
    <w:rsid w:val="00077249"/>
    <w:rsid w:val="000779EE"/>
    <w:rsid w:val="00077A59"/>
    <w:rsid w:val="00077BF9"/>
    <w:rsid w:val="00077F02"/>
    <w:rsid w:val="0008086C"/>
    <w:rsid w:val="000809A0"/>
    <w:rsid w:val="00081BB1"/>
    <w:rsid w:val="000825C6"/>
    <w:rsid w:val="0008261F"/>
    <w:rsid w:val="00082AF6"/>
    <w:rsid w:val="00082BA2"/>
    <w:rsid w:val="00082CB4"/>
    <w:rsid w:val="00082D8E"/>
    <w:rsid w:val="0008395E"/>
    <w:rsid w:val="000839DC"/>
    <w:rsid w:val="00083B3D"/>
    <w:rsid w:val="000844A1"/>
    <w:rsid w:val="00084B40"/>
    <w:rsid w:val="00085163"/>
    <w:rsid w:val="00085C13"/>
    <w:rsid w:val="00086438"/>
    <w:rsid w:val="000865B4"/>
    <w:rsid w:val="000873F4"/>
    <w:rsid w:val="00087A6D"/>
    <w:rsid w:val="00087B59"/>
    <w:rsid w:val="000902BA"/>
    <w:rsid w:val="0009043B"/>
    <w:rsid w:val="0009073F"/>
    <w:rsid w:val="00090ABB"/>
    <w:rsid w:val="00090FDF"/>
    <w:rsid w:val="00091180"/>
    <w:rsid w:val="00091226"/>
    <w:rsid w:val="000918E6"/>
    <w:rsid w:val="000921EE"/>
    <w:rsid w:val="00092605"/>
    <w:rsid w:val="00092616"/>
    <w:rsid w:val="000932FE"/>
    <w:rsid w:val="000934BB"/>
    <w:rsid w:val="000936C9"/>
    <w:rsid w:val="000936DE"/>
    <w:rsid w:val="00093CB8"/>
    <w:rsid w:val="0009464C"/>
    <w:rsid w:val="00094C7C"/>
    <w:rsid w:val="000955DB"/>
    <w:rsid w:val="00095B23"/>
    <w:rsid w:val="00095C42"/>
    <w:rsid w:val="00095DBB"/>
    <w:rsid w:val="00096E5E"/>
    <w:rsid w:val="00096E66"/>
    <w:rsid w:val="00097142"/>
    <w:rsid w:val="000971C5"/>
    <w:rsid w:val="0009793C"/>
    <w:rsid w:val="00097D16"/>
    <w:rsid w:val="000A0C07"/>
    <w:rsid w:val="000A1434"/>
    <w:rsid w:val="000A1B2E"/>
    <w:rsid w:val="000A1DC2"/>
    <w:rsid w:val="000A1FA1"/>
    <w:rsid w:val="000A3C44"/>
    <w:rsid w:val="000A561B"/>
    <w:rsid w:val="000A58AF"/>
    <w:rsid w:val="000A615B"/>
    <w:rsid w:val="000A6D64"/>
    <w:rsid w:val="000A6FDA"/>
    <w:rsid w:val="000A769F"/>
    <w:rsid w:val="000A7BB1"/>
    <w:rsid w:val="000A7CF0"/>
    <w:rsid w:val="000A7EB4"/>
    <w:rsid w:val="000B171F"/>
    <w:rsid w:val="000B1A70"/>
    <w:rsid w:val="000B1C18"/>
    <w:rsid w:val="000B2404"/>
    <w:rsid w:val="000B2B6A"/>
    <w:rsid w:val="000B3328"/>
    <w:rsid w:val="000B3741"/>
    <w:rsid w:val="000B3A2E"/>
    <w:rsid w:val="000B3A83"/>
    <w:rsid w:val="000B3D96"/>
    <w:rsid w:val="000B44F9"/>
    <w:rsid w:val="000B45F2"/>
    <w:rsid w:val="000B4897"/>
    <w:rsid w:val="000B4A65"/>
    <w:rsid w:val="000B53CA"/>
    <w:rsid w:val="000B5915"/>
    <w:rsid w:val="000B5CF8"/>
    <w:rsid w:val="000B6177"/>
    <w:rsid w:val="000B7564"/>
    <w:rsid w:val="000B7873"/>
    <w:rsid w:val="000C0183"/>
    <w:rsid w:val="000C034D"/>
    <w:rsid w:val="000C0514"/>
    <w:rsid w:val="000C1550"/>
    <w:rsid w:val="000C16B5"/>
    <w:rsid w:val="000C1F8E"/>
    <w:rsid w:val="000C20E3"/>
    <w:rsid w:val="000C2298"/>
    <w:rsid w:val="000C2405"/>
    <w:rsid w:val="000C2C1A"/>
    <w:rsid w:val="000C2F86"/>
    <w:rsid w:val="000C3475"/>
    <w:rsid w:val="000C3BC1"/>
    <w:rsid w:val="000C3CF3"/>
    <w:rsid w:val="000C3F13"/>
    <w:rsid w:val="000C4BCC"/>
    <w:rsid w:val="000C4EDC"/>
    <w:rsid w:val="000C5410"/>
    <w:rsid w:val="000C571B"/>
    <w:rsid w:val="000C5D65"/>
    <w:rsid w:val="000C5D9D"/>
    <w:rsid w:val="000C61B0"/>
    <w:rsid w:val="000C62E2"/>
    <w:rsid w:val="000C6A38"/>
    <w:rsid w:val="000C7404"/>
    <w:rsid w:val="000C75E7"/>
    <w:rsid w:val="000D0ED8"/>
    <w:rsid w:val="000D16AB"/>
    <w:rsid w:val="000D226F"/>
    <w:rsid w:val="000D24B9"/>
    <w:rsid w:val="000D2872"/>
    <w:rsid w:val="000D2E79"/>
    <w:rsid w:val="000D2F32"/>
    <w:rsid w:val="000D3248"/>
    <w:rsid w:val="000D47CB"/>
    <w:rsid w:val="000D48C8"/>
    <w:rsid w:val="000D4C4A"/>
    <w:rsid w:val="000D55C7"/>
    <w:rsid w:val="000D5A02"/>
    <w:rsid w:val="000D5D91"/>
    <w:rsid w:val="000D612C"/>
    <w:rsid w:val="000D6371"/>
    <w:rsid w:val="000D63CF"/>
    <w:rsid w:val="000D68DA"/>
    <w:rsid w:val="000D6D3B"/>
    <w:rsid w:val="000D6E63"/>
    <w:rsid w:val="000D6E86"/>
    <w:rsid w:val="000D7187"/>
    <w:rsid w:val="000D7283"/>
    <w:rsid w:val="000D782E"/>
    <w:rsid w:val="000E0452"/>
    <w:rsid w:val="000E0D8D"/>
    <w:rsid w:val="000E0F20"/>
    <w:rsid w:val="000E1CD9"/>
    <w:rsid w:val="000E203B"/>
    <w:rsid w:val="000E213D"/>
    <w:rsid w:val="000E313C"/>
    <w:rsid w:val="000E482A"/>
    <w:rsid w:val="000E545A"/>
    <w:rsid w:val="000E5B62"/>
    <w:rsid w:val="000E60A7"/>
    <w:rsid w:val="000E6CA2"/>
    <w:rsid w:val="000E6D26"/>
    <w:rsid w:val="000E78B3"/>
    <w:rsid w:val="000E7B0A"/>
    <w:rsid w:val="000F030A"/>
    <w:rsid w:val="000F0A90"/>
    <w:rsid w:val="000F0AB3"/>
    <w:rsid w:val="000F180B"/>
    <w:rsid w:val="000F226E"/>
    <w:rsid w:val="000F24D0"/>
    <w:rsid w:val="000F2C40"/>
    <w:rsid w:val="000F303D"/>
    <w:rsid w:val="000F3053"/>
    <w:rsid w:val="000F350B"/>
    <w:rsid w:val="000F3776"/>
    <w:rsid w:val="000F3BCD"/>
    <w:rsid w:val="000F3D67"/>
    <w:rsid w:val="000F42A3"/>
    <w:rsid w:val="000F47D9"/>
    <w:rsid w:val="000F48EF"/>
    <w:rsid w:val="000F57B2"/>
    <w:rsid w:val="000F5E28"/>
    <w:rsid w:val="000F5F6F"/>
    <w:rsid w:val="000F6247"/>
    <w:rsid w:val="000F63AE"/>
    <w:rsid w:val="000F6950"/>
    <w:rsid w:val="000F6C46"/>
    <w:rsid w:val="000F6DD8"/>
    <w:rsid w:val="000F6DEE"/>
    <w:rsid w:val="000F6EF1"/>
    <w:rsid w:val="000F7865"/>
    <w:rsid w:val="00100577"/>
    <w:rsid w:val="0010087A"/>
    <w:rsid w:val="00100E7A"/>
    <w:rsid w:val="00100F3D"/>
    <w:rsid w:val="00101336"/>
    <w:rsid w:val="001018F8"/>
    <w:rsid w:val="00101B2D"/>
    <w:rsid w:val="00101C23"/>
    <w:rsid w:val="001020AE"/>
    <w:rsid w:val="0010278B"/>
    <w:rsid w:val="0010285C"/>
    <w:rsid w:val="001029E7"/>
    <w:rsid w:val="00102B8F"/>
    <w:rsid w:val="00103265"/>
    <w:rsid w:val="00103400"/>
    <w:rsid w:val="0010366D"/>
    <w:rsid w:val="00103E0F"/>
    <w:rsid w:val="00103F2A"/>
    <w:rsid w:val="00104009"/>
    <w:rsid w:val="00104850"/>
    <w:rsid w:val="00104983"/>
    <w:rsid w:val="00105AE5"/>
    <w:rsid w:val="00106231"/>
    <w:rsid w:val="00106D72"/>
    <w:rsid w:val="00106DEC"/>
    <w:rsid w:val="00106EC9"/>
    <w:rsid w:val="00107C66"/>
    <w:rsid w:val="00107C9F"/>
    <w:rsid w:val="00107E48"/>
    <w:rsid w:val="00110B44"/>
    <w:rsid w:val="00111B37"/>
    <w:rsid w:val="00111E0A"/>
    <w:rsid w:val="00111F12"/>
    <w:rsid w:val="00112B14"/>
    <w:rsid w:val="00112F38"/>
    <w:rsid w:val="00113BCC"/>
    <w:rsid w:val="00113F47"/>
    <w:rsid w:val="00115F05"/>
    <w:rsid w:val="00117883"/>
    <w:rsid w:val="00117B44"/>
    <w:rsid w:val="00117BF0"/>
    <w:rsid w:val="00117CBB"/>
    <w:rsid w:val="0012036E"/>
    <w:rsid w:val="00120873"/>
    <w:rsid w:val="00120995"/>
    <w:rsid w:val="001212CF"/>
    <w:rsid w:val="0012139B"/>
    <w:rsid w:val="0012173D"/>
    <w:rsid w:val="00121877"/>
    <w:rsid w:val="00121D94"/>
    <w:rsid w:val="00122907"/>
    <w:rsid w:val="00122BDB"/>
    <w:rsid w:val="00122DDB"/>
    <w:rsid w:val="001233B3"/>
    <w:rsid w:val="00123408"/>
    <w:rsid w:val="00123531"/>
    <w:rsid w:val="00123D62"/>
    <w:rsid w:val="00124243"/>
    <w:rsid w:val="001246EC"/>
    <w:rsid w:val="0012472D"/>
    <w:rsid w:val="00124810"/>
    <w:rsid w:val="00124B99"/>
    <w:rsid w:val="00124B9B"/>
    <w:rsid w:val="00125708"/>
    <w:rsid w:val="00125756"/>
    <w:rsid w:val="00125EC7"/>
    <w:rsid w:val="00125F73"/>
    <w:rsid w:val="001261D9"/>
    <w:rsid w:val="0012621F"/>
    <w:rsid w:val="00126D0C"/>
    <w:rsid w:val="0012723B"/>
    <w:rsid w:val="0012778E"/>
    <w:rsid w:val="00127CEC"/>
    <w:rsid w:val="00127CED"/>
    <w:rsid w:val="00127E84"/>
    <w:rsid w:val="00127F49"/>
    <w:rsid w:val="00130256"/>
    <w:rsid w:val="00130571"/>
    <w:rsid w:val="00131EC2"/>
    <w:rsid w:val="001320ED"/>
    <w:rsid w:val="00132B9C"/>
    <w:rsid w:val="00132BD5"/>
    <w:rsid w:val="00132FAE"/>
    <w:rsid w:val="0013308F"/>
    <w:rsid w:val="0013319F"/>
    <w:rsid w:val="00133449"/>
    <w:rsid w:val="00134827"/>
    <w:rsid w:val="00134B04"/>
    <w:rsid w:val="001350B4"/>
    <w:rsid w:val="0013580A"/>
    <w:rsid w:val="00135A7C"/>
    <w:rsid w:val="00135F16"/>
    <w:rsid w:val="00136754"/>
    <w:rsid w:val="00136AE4"/>
    <w:rsid w:val="00136C0B"/>
    <w:rsid w:val="001378DD"/>
    <w:rsid w:val="00137E64"/>
    <w:rsid w:val="00140256"/>
    <w:rsid w:val="0014040D"/>
    <w:rsid w:val="00141629"/>
    <w:rsid w:val="00142044"/>
    <w:rsid w:val="0014229D"/>
    <w:rsid w:val="00142C47"/>
    <w:rsid w:val="00143168"/>
    <w:rsid w:val="001435A9"/>
    <w:rsid w:val="00143901"/>
    <w:rsid w:val="00143E51"/>
    <w:rsid w:val="00144C4D"/>
    <w:rsid w:val="00144EBF"/>
    <w:rsid w:val="001462B6"/>
    <w:rsid w:val="00146B2F"/>
    <w:rsid w:val="00146D1E"/>
    <w:rsid w:val="00146D29"/>
    <w:rsid w:val="00146E8B"/>
    <w:rsid w:val="0014785E"/>
    <w:rsid w:val="00147D40"/>
    <w:rsid w:val="001501A9"/>
    <w:rsid w:val="001504D7"/>
    <w:rsid w:val="0015098B"/>
    <w:rsid w:val="00150C1A"/>
    <w:rsid w:val="00150C8E"/>
    <w:rsid w:val="00150EE6"/>
    <w:rsid w:val="00150FF8"/>
    <w:rsid w:val="0015115B"/>
    <w:rsid w:val="00151D3E"/>
    <w:rsid w:val="00151DB0"/>
    <w:rsid w:val="0015213D"/>
    <w:rsid w:val="001521DD"/>
    <w:rsid w:val="0015290A"/>
    <w:rsid w:val="00152ACF"/>
    <w:rsid w:val="00152C40"/>
    <w:rsid w:val="00153466"/>
    <w:rsid w:val="001534B3"/>
    <w:rsid w:val="0015351D"/>
    <w:rsid w:val="001538A3"/>
    <w:rsid w:val="00153906"/>
    <w:rsid w:val="00153C9D"/>
    <w:rsid w:val="00154E81"/>
    <w:rsid w:val="00155EDE"/>
    <w:rsid w:val="00156EC1"/>
    <w:rsid w:val="001572F2"/>
    <w:rsid w:val="00157ECD"/>
    <w:rsid w:val="00160FC7"/>
    <w:rsid w:val="0016101A"/>
    <w:rsid w:val="00161082"/>
    <w:rsid w:val="00161844"/>
    <w:rsid w:val="00162364"/>
    <w:rsid w:val="00162B24"/>
    <w:rsid w:val="00162BB3"/>
    <w:rsid w:val="00162F61"/>
    <w:rsid w:val="00163668"/>
    <w:rsid w:val="0016458A"/>
    <w:rsid w:val="00164A48"/>
    <w:rsid w:val="00165890"/>
    <w:rsid w:val="00165A32"/>
    <w:rsid w:val="001661CD"/>
    <w:rsid w:val="00166252"/>
    <w:rsid w:val="00166822"/>
    <w:rsid w:val="00166B51"/>
    <w:rsid w:val="00166C76"/>
    <w:rsid w:val="001675B0"/>
    <w:rsid w:val="001678CD"/>
    <w:rsid w:val="0017050E"/>
    <w:rsid w:val="001709AF"/>
    <w:rsid w:val="00170F41"/>
    <w:rsid w:val="00171121"/>
    <w:rsid w:val="001714E5"/>
    <w:rsid w:val="00173408"/>
    <w:rsid w:val="00174B6B"/>
    <w:rsid w:val="00174DB0"/>
    <w:rsid w:val="00174FDD"/>
    <w:rsid w:val="00175056"/>
    <w:rsid w:val="00175532"/>
    <w:rsid w:val="00175EC8"/>
    <w:rsid w:val="00176628"/>
    <w:rsid w:val="001768E9"/>
    <w:rsid w:val="001769E4"/>
    <w:rsid w:val="001773EC"/>
    <w:rsid w:val="00177676"/>
    <w:rsid w:val="0017774A"/>
    <w:rsid w:val="00177B7C"/>
    <w:rsid w:val="0018080F"/>
    <w:rsid w:val="00180EAB"/>
    <w:rsid w:val="001812F4"/>
    <w:rsid w:val="00181622"/>
    <w:rsid w:val="00181DA7"/>
    <w:rsid w:val="00181E98"/>
    <w:rsid w:val="00182C0F"/>
    <w:rsid w:val="001839ED"/>
    <w:rsid w:val="00183CE1"/>
    <w:rsid w:val="001843B6"/>
    <w:rsid w:val="001844D4"/>
    <w:rsid w:val="00184510"/>
    <w:rsid w:val="00184639"/>
    <w:rsid w:val="00184BBA"/>
    <w:rsid w:val="00184CC5"/>
    <w:rsid w:val="0018510C"/>
    <w:rsid w:val="00185129"/>
    <w:rsid w:val="00185150"/>
    <w:rsid w:val="001861F2"/>
    <w:rsid w:val="00186D12"/>
    <w:rsid w:val="00186F86"/>
    <w:rsid w:val="00187B65"/>
    <w:rsid w:val="00187BF7"/>
    <w:rsid w:val="00187C37"/>
    <w:rsid w:val="00187D6F"/>
    <w:rsid w:val="0019099F"/>
    <w:rsid w:val="00190AF7"/>
    <w:rsid w:val="0019112D"/>
    <w:rsid w:val="0019125D"/>
    <w:rsid w:val="00191463"/>
    <w:rsid w:val="00191CB1"/>
    <w:rsid w:val="00191EF7"/>
    <w:rsid w:val="001925F3"/>
    <w:rsid w:val="001926C5"/>
    <w:rsid w:val="00193135"/>
    <w:rsid w:val="00193459"/>
    <w:rsid w:val="0019520B"/>
    <w:rsid w:val="00195385"/>
    <w:rsid w:val="001954A8"/>
    <w:rsid w:val="0019682C"/>
    <w:rsid w:val="00196CB3"/>
    <w:rsid w:val="00197558"/>
    <w:rsid w:val="00197C02"/>
    <w:rsid w:val="00197FBD"/>
    <w:rsid w:val="001A01A0"/>
    <w:rsid w:val="001A0729"/>
    <w:rsid w:val="001A0890"/>
    <w:rsid w:val="001A0BDD"/>
    <w:rsid w:val="001A0FF8"/>
    <w:rsid w:val="001A1857"/>
    <w:rsid w:val="001A1908"/>
    <w:rsid w:val="001A1E4C"/>
    <w:rsid w:val="001A259A"/>
    <w:rsid w:val="001A2BBA"/>
    <w:rsid w:val="001A2C68"/>
    <w:rsid w:val="001A3CEE"/>
    <w:rsid w:val="001A406B"/>
    <w:rsid w:val="001A4CAA"/>
    <w:rsid w:val="001A4D34"/>
    <w:rsid w:val="001A4DFA"/>
    <w:rsid w:val="001A5550"/>
    <w:rsid w:val="001A568E"/>
    <w:rsid w:val="001A5DB6"/>
    <w:rsid w:val="001A5F51"/>
    <w:rsid w:val="001A5FE4"/>
    <w:rsid w:val="001A66CD"/>
    <w:rsid w:val="001A6D48"/>
    <w:rsid w:val="001A6DEC"/>
    <w:rsid w:val="001A6F05"/>
    <w:rsid w:val="001A6F36"/>
    <w:rsid w:val="001A7005"/>
    <w:rsid w:val="001A74F8"/>
    <w:rsid w:val="001A76F4"/>
    <w:rsid w:val="001A7791"/>
    <w:rsid w:val="001A7C68"/>
    <w:rsid w:val="001B0243"/>
    <w:rsid w:val="001B07CE"/>
    <w:rsid w:val="001B0B76"/>
    <w:rsid w:val="001B0C0D"/>
    <w:rsid w:val="001B0D1E"/>
    <w:rsid w:val="001B1037"/>
    <w:rsid w:val="001B1681"/>
    <w:rsid w:val="001B16C8"/>
    <w:rsid w:val="001B1771"/>
    <w:rsid w:val="001B1A25"/>
    <w:rsid w:val="001B27F3"/>
    <w:rsid w:val="001B2FF7"/>
    <w:rsid w:val="001B3446"/>
    <w:rsid w:val="001B36CD"/>
    <w:rsid w:val="001B4628"/>
    <w:rsid w:val="001B501A"/>
    <w:rsid w:val="001B5CE4"/>
    <w:rsid w:val="001B5E2D"/>
    <w:rsid w:val="001B6AC1"/>
    <w:rsid w:val="001B6D5C"/>
    <w:rsid w:val="001B7397"/>
    <w:rsid w:val="001B78A4"/>
    <w:rsid w:val="001B7A6E"/>
    <w:rsid w:val="001B7E4A"/>
    <w:rsid w:val="001B7F0B"/>
    <w:rsid w:val="001C0025"/>
    <w:rsid w:val="001C06D6"/>
    <w:rsid w:val="001C0AD0"/>
    <w:rsid w:val="001C0C05"/>
    <w:rsid w:val="001C0D8E"/>
    <w:rsid w:val="001C114D"/>
    <w:rsid w:val="001C1C72"/>
    <w:rsid w:val="001C1F7C"/>
    <w:rsid w:val="001C26F0"/>
    <w:rsid w:val="001C3050"/>
    <w:rsid w:val="001C30A8"/>
    <w:rsid w:val="001C3B2C"/>
    <w:rsid w:val="001C3E17"/>
    <w:rsid w:val="001C412A"/>
    <w:rsid w:val="001C4299"/>
    <w:rsid w:val="001C45B5"/>
    <w:rsid w:val="001C4613"/>
    <w:rsid w:val="001C4915"/>
    <w:rsid w:val="001C5F51"/>
    <w:rsid w:val="001C6773"/>
    <w:rsid w:val="001C6FCF"/>
    <w:rsid w:val="001C7197"/>
    <w:rsid w:val="001C729A"/>
    <w:rsid w:val="001D0B71"/>
    <w:rsid w:val="001D0B8A"/>
    <w:rsid w:val="001D12B3"/>
    <w:rsid w:val="001D2A04"/>
    <w:rsid w:val="001D2EA8"/>
    <w:rsid w:val="001D3494"/>
    <w:rsid w:val="001D38A4"/>
    <w:rsid w:val="001D3E70"/>
    <w:rsid w:val="001D3FB6"/>
    <w:rsid w:val="001D42AF"/>
    <w:rsid w:val="001D43E5"/>
    <w:rsid w:val="001D49B6"/>
    <w:rsid w:val="001D4CB8"/>
    <w:rsid w:val="001D4F00"/>
    <w:rsid w:val="001D5150"/>
    <w:rsid w:val="001D605D"/>
    <w:rsid w:val="001D6AE9"/>
    <w:rsid w:val="001D7501"/>
    <w:rsid w:val="001D75B1"/>
    <w:rsid w:val="001E06C8"/>
    <w:rsid w:val="001E0EB4"/>
    <w:rsid w:val="001E1A7D"/>
    <w:rsid w:val="001E1C8E"/>
    <w:rsid w:val="001E217B"/>
    <w:rsid w:val="001E21FD"/>
    <w:rsid w:val="001E2451"/>
    <w:rsid w:val="001E2487"/>
    <w:rsid w:val="001E2A5A"/>
    <w:rsid w:val="001E30EC"/>
    <w:rsid w:val="001E4C25"/>
    <w:rsid w:val="001E5148"/>
    <w:rsid w:val="001E526F"/>
    <w:rsid w:val="001E5800"/>
    <w:rsid w:val="001E5C44"/>
    <w:rsid w:val="001E5C8C"/>
    <w:rsid w:val="001E68DF"/>
    <w:rsid w:val="001E6981"/>
    <w:rsid w:val="001E6BF7"/>
    <w:rsid w:val="001E7260"/>
    <w:rsid w:val="001E7F85"/>
    <w:rsid w:val="001F0E1C"/>
    <w:rsid w:val="001F0F11"/>
    <w:rsid w:val="001F1112"/>
    <w:rsid w:val="001F21D0"/>
    <w:rsid w:val="001F2722"/>
    <w:rsid w:val="001F2794"/>
    <w:rsid w:val="001F2D98"/>
    <w:rsid w:val="001F33C2"/>
    <w:rsid w:val="001F33E0"/>
    <w:rsid w:val="001F35F8"/>
    <w:rsid w:val="001F465F"/>
    <w:rsid w:val="001F4B43"/>
    <w:rsid w:val="001F4D5F"/>
    <w:rsid w:val="001F4F7F"/>
    <w:rsid w:val="001F4FDA"/>
    <w:rsid w:val="001F6884"/>
    <w:rsid w:val="001F6954"/>
    <w:rsid w:val="001F6BFD"/>
    <w:rsid w:val="001F75BA"/>
    <w:rsid w:val="001F76A8"/>
    <w:rsid w:val="001F7BD0"/>
    <w:rsid w:val="001F7D03"/>
    <w:rsid w:val="00200D02"/>
    <w:rsid w:val="002017DD"/>
    <w:rsid w:val="00201D94"/>
    <w:rsid w:val="002027A3"/>
    <w:rsid w:val="00202B5B"/>
    <w:rsid w:val="0020433B"/>
    <w:rsid w:val="00204354"/>
    <w:rsid w:val="00204690"/>
    <w:rsid w:val="00204A78"/>
    <w:rsid w:val="00204C34"/>
    <w:rsid w:val="0020511C"/>
    <w:rsid w:val="0020511E"/>
    <w:rsid w:val="00205190"/>
    <w:rsid w:val="00205C56"/>
    <w:rsid w:val="00206105"/>
    <w:rsid w:val="00206146"/>
    <w:rsid w:val="00206254"/>
    <w:rsid w:val="00206344"/>
    <w:rsid w:val="00206590"/>
    <w:rsid w:val="002066B5"/>
    <w:rsid w:val="0020718F"/>
    <w:rsid w:val="002075A2"/>
    <w:rsid w:val="002103F9"/>
    <w:rsid w:val="002107D5"/>
    <w:rsid w:val="00211900"/>
    <w:rsid w:val="00212F91"/>
    <w:rsid w:val="00212FAD"/>
    <w:rsid w:val="0021346F"/>
    <w:rsid w:val="00213504"/>
    <w:rsid w:val="002140D5"/>
    <w:rsid w:val="0021424F"/>
    <w:rsid w:val="0021455B"/>
    <w:rsid w:val="002145AC"/>
    <w:rsid w:val="00214BF5"/>
    <w:rsid w:val="00215644"/>
    <w:rsid w:val="0021591C"/>
    <w:rsid w:val="00215C6C"/>
    <w:rsid w:val="0021628F"/>
    <w:rsid w:val="002166CC"/>
    <w:rsid w:val="00216E2B"/>
    <w:rsid w:val="002175B1"/>
    <w:rsid w:val="002176EA"/>
    <w:rsid w:val="00220059"/>
    <w:rsid w:val="00220487"/>
    <w:rsid w:val="00220992"/>
    <w:rsid w:val="0022099F"/>
    <w:rsid w:val="00220A1A"/>
    <w:rsid w:val="00221211"/>
    <w:rsid w:val="00221432"/>
    <w:rsid w:val="00221D17"/>
    <w:rsid w:val="00222274"/>
    <w:rsid w:val="002227B1"/>
    <w:rsid w:val="002233ED"/>
    <w:rsid w:val="00223F45"/>
    <w:rsid w:val="00224AD8"/>
    <w:rsid w:val="0022518C"/>
    <w:rsid w:val="002257FC"/>
    <w:rsid w:val="00225B5B"/>
    <w:rsid w:val="00226473"/>
    <w:rsid w:val="002271B7"/>
    <w:rsid w:val="002275CF"/>
    <w:rsid w:val="0022788E"/>
    <w:rsid w:val="00230534"/>
    <w:rsid w:val="00230CFB"/>
    <w:rsid w:val="00230E4F"/>
    <w:rsid w:val="002312BB"/>
    <w:rsid w:val="002315C1"/>
    <w:rsid w:val="0023165E"/>
    <w:rsid w:val="00231709"/>
    <w:rsid w:val="00231EB5"/>
    <w:rsid w:val="00232389"/>
    <w:rsid w:val="002325FE"/>
    <w:rsid w:val="002327C0"/>
    <w:rsid w:val="00232B9B"/>
    <w:rsid w:val="00232BB0"/>
    <w:rsid w:val="00232EE3"/>
    <w:rsid w:val="00232F4B"/>
    <w:rsid w:val="002333C6"/>
    <w:rsid w:val="002333C9"/>
    <w:rsid w:val="0023352F"/>
    <w:rsid w:val="00233BEC"/>
    <w:rsid w:val="00233F47"/>
    <w:rsid w:val="002345DF"/>
    <w:rsid w:val="002347E7"/>
    <w:rsid w:val="00234D4E"/>
    <w:rsid w:val="00234D6E"/>
    <w:rsid w:val="00234FC5"/>
    <w:rsid w:val="0023567B"/>
    <w:rsid w:val="00235757"/>
    <w:rsid w:val="0023626A"/>
    <w:rsid w:val="00236CE8"/>
    <w:rsid w:val="0023715B"/>
    <w:rsid w:val="00237207"/>
    <w:rsid w:val="002373BF"/>
    <w:rsid w:val="00237F26"/>
    <w:rsid w:val="00237FD1"/>
    <w:rsid w:val="002407FD"/>
    <w:rsid w:val="00240EC2"/>
    <w:rsid w:val="0024134F"/>
    <w:rsid w:val="00241943"/>
    <w:rsid w:val="00241ACE"/>
    <w:rsid w:val="002420E0"/>
    <w:rsid w:val="00243D25"/>
    <w:rsid w:val="0024425A"/>
    <w:rsid w:val="002443C3"/>
    <w:rsid w:val="0024544B"/>
    <w:rsid w:val="0024622E"/>
    <w:rsid w:val="00246432"/>
    <w:rsid w:val="00246DD3"/>
    <w:rsid w:val="00247879"/>
    <w:rsid w:val="00247AD2"/>
    <w:rsid w:val="002503F0"/>
    <w:rsid w:val="00250912"/>
    <w:rsid w:val="00250A10"/>
    <w:rsid w:val="00250CE6"/>
    <w:rsid w:val="00250DE7"/>
    <w:rsid w:val="00251B9B"/>
    <w:rsid w:val="00252357"/>
    <w:rsid w:val="00252AD5"/>
    <w:rsid w:val="00252CE5"/>
    <w:rsid w:val="002532B0"/>
    <w:rsid w:val="00253340"/>
    <w:rsid w:val="002535C7"/>
    <w:rsid w:val="002564F3"/>
    <w:rsid w:val="002568AE"/>
    <w:rsid w:val="00256D9E"/>
    <w:rsid w:val="00257096"/>
    <w:rsid w:val="002579C3"/>
    <w:rsid w:val="00260126"/>
    <w:rsid w:val="0026075B"/>
    <w:rsid w:val="002614E5"/>
    <w:rsid w:val="00261A1B"/>
    <w:rsid w:val="00261A4B"/>
    <w:rsid w:val="00261DF9"/>
    <w:rsid w:val="00261FB8"/>
    <w:rsid w:val="00262388"/>
    <w:rsid w:val="002624E3"/>
    <w:rsid w:val="002624EE"/>
    <w:rsid w:val="00262F39"/>
    <w:rsid w:val="0026314F"/>
    <w:rsid w:val="00263A2A"/>
    <w:rsid w:val="00263B5F"/>
    <w:rsid w:val="00263B6C"/>
    <w:rsid w:val="0026446E"/>
    <w:rsid w:val="00264583"/>
    <w:rsid w:val="002646DA"/>
    <w:rsid w:val="002649D4"/>
    <w:rsid w:val="00264ED8"/>
    <w:rsid w:val="00265A1A"/>
    <w:rsid w:val="00265A6B"/>
    <w:rsid w:val="002660D7"/>
    <w:rsid w:val="002669F5"/>
    <w:rsid w:val="00266D67"/>
    <w:rsid w:val="00266DB9"/>
    <w:rsid w:val="00266DD9"/>
    <w:rsid w:val="0026740B"/>
    <w:rsid w:val="00267618"/>
    <w:rsid w:val="0026797D"/>
    <w:rsid w:val="00267DA7"/>
    <w:rsid w:val="0027042A"/>
    <w:rsid w:val="002706BD"/>
    <w:rsid w:val="00270E1A"/>
    <w:rsid w:val="00271289"/>
    <w:rsid w:val="00271474"/>
    <w:rsid w:val="0027191C"/>
    <w:rsid w:val="00271E56"/>
    <w:rsid w:val="00272230"/>
    <w:rsid w:val="00272B50"/>
    <w:rsid w:val="00272CE6"/>
    <w:rsid w:val="00272F21"/>
    <w:rsid w:val="00273437"/>
    <w:rsid w:val="002739F9"/>
    <w:rsid w:val="00273F7D"/>
    <w:rsid w:val="00274312"/>
    <w:rsid w:val="002760AE"/>
    <w:rsid w:val="00276DEF"/>
    <w:rsid w:val="00276F9B"/>
    <w:rsid w:val="00277080"/>
    <w:rsid w:val="0027739E"/>
    <w:rsid w:val="0027752C"/>
    <w:rsid w:val="002778F2"/>
    <w:rsid w:val="00277A27"/>
    <w:rsid w:val="00277E68"/>
    <w:rsid w:val="00277ECB"/>
    <w:rsid w:val="00280340"/>
    <w:rsid w:val="00280DE6"/>
    <w:rsid w:val="00280E45"/>
    <w:rsid w:val="00280FE5"/>
    <w:rsid w:val="002812BC"/>
    <w:rsid w:val="002818EA"/>
    <w:rsid w:val="00282679"/>
    <w:rsid w:val="00283181"/>
    <w:rsid w:val="00283507"/>
    <w:rsid w:val="00283538"/>
    <w:rsid w:val="00284359"/>
    <w:rsid w:val="00285302"/>
    <w:rsid w:val="002862FA"/>
    <w:rsid w:val="002869A3"/>
    <w:rsid w:val="002871C8"/>
    <w:rsid w:val="002879AE"/>
    <w:rsid w:val="00287EF9"/>
    <w:rsid w:val="00291967"/>
    <w:rsid w:val="00291EF2"/>
    <w:rsid w:val="00292BED"/>
    <w:rsid w:val="002933ED"/>
    <w:rsid w:val="00293413"/>
    <w:rsid w:val="00293D7D"/>
    <w:rsid w:val="00293FFD"/>
    <w:rsid w:val="0029414C"/>
    <w:rsid w:val="002943CC"/>
    <w:rsid w:val="0029495D"/>
    <w:rsid w:val="00294A5C"/>
    <w:rsid w:val="00295FEF"/>
    <w:rsid w:val="00296458"/>
    <w:rsid w:val="0029665F"/>
    <w:rsid w:val="00296707"/>
    <w:rsid w:val="002974BA"/>
    <w:rsid w:val="002974C3"/>
    <w:rsid w:val="0029779B"/>
    <w:rsid w:val="0029782E"/>
    <w:rsid w:val="00297F6F"/>
    <w:rsid w:val="002A03E4"/>
    <w:rsid w:val="002A04F3"/>
    <w:rsid w:val="002A0FA2"/>
    <w:rsid w:val="002A14A2"/>
    <w:rsid w:val="002A1D93"/>
    <w:rsid w:val="002A1D9A"/>
    <w:rsid w:val="002A28E2"/>
    <w:rsid w:val="002A2993"/>
    <w:rsid w:val="002A3FA8"/>
    <w:rsid w:val="002A4060"/>
    <w:rsid w:val="002A41CC"/>
    <w:rsid w:val="002A4A7B"/>
    <w:rsid w:val="002A51D3"/>
    <w:rsid w:val="002A52BD"/>
    <w:rsid w:val="002A5929"/>
    <w:rsid w:val="002A609D"/>
    <w:rsid w:val="002A63B2"/>
    <w:rsid w:val="002A6821"/>
    <w:rsid w:val="002A6A2A"/>
    <w:rsid w:val="002A727C"/>
    <w:rsid w:val="002A72FE"/>
    <w:rsid w:val="002A77B2"/>
    <w:rsid w:val="002A7B8F"/>
    <w:rsid w:val="002B0C34"/>
    <w:rsid w:val="002B115E"/>
    <w:rsid w:val="002B17F3"/>
    <w:rsid w:val="002B1979"/>
    <w:rsid w:val="002B2291"/>
    <w:rsid w:val="002B35BD"/>
    <w:rsid w:val="002B3609"/>
    <w:rsid w:val="002B38E8"/>
    <w:rsid w:val="002B3A02"/>
    <w:rsid w:val="002B407E"/>
    <w:rsid w:val="002B40A6"/>
    <w:rsid w:val="002B425C"/>
    <w:rsid w:val="002B4A64"/>
    <w:rsid w:val="002B4B35"/>
    <w:rsid w:val="002B515B"/>
    <w:rsid w:val="002B5547"/>
    <w:rsid w:val="002B5E69"/>
    <w:rsid w:val="002B6B78"/>
    <w:rsid w:val="002B6D6F"/>
    <w:rsid w:val="002B7530"/>
    <w:rsid w:val="002B7EC0"/>
    <w:rsid w:val="002C07D5"/>
    <w:rsid w:val="002C0E5E"/>
    <w:rsid w:val="002C1558"/>
    <w:rsid w:val="002C17D0"/>
    <w:rsid w:val="002C1BA1"/>
    <w:rsid w:val="002C2847"/>
    <w:rsid w:val="002C2D79"/>
    <w:rsid w:val="002C3125"/>
    <w:rsid w:val="002C3150"/>
    <w:rsid w:val="002C31DB"/>
    <w:rsid w:val="002C3692"/>
    <w:rsid w:val="002C371C"/>
    <w:rsid w:val="002C39C4"/>
    <w:rsid w:val="002C3B5B"/>
    <w:rsid w:val="002C3E1C"/>
    <w:rsid w:val="002C44CE"/>
    <w:rsid w:val="002C4573"/>
    <w:rsid w:val="002C49F0"/>
    <w:rsid w:val="002C4CEA"/>
    <w:rsid w:val="002C4D2C"/>
    <w:rsid w:val="002C50E4"/>
    <w:rsid w:val="002C5553"/>
    <w:rsid w:val="002C5733"/>
    <w:rsid w:val="002C57E3"/>
    <w:rsid w:val="002C5F96"/>
    <w:rsid w:val="002C6311"/>
    <w:rsid w:val="002C6316"/>
    <w:rsid w:val="002C64A3"/>
    <w:rsid w:val="002C65C3"/>
    <w:rsid w:val="002C6785"/>
    <w:rsid w:val="002C6FC8"/>
    <w:rsid w:val="002C73E4"/>
    <w:rsid w:val="002C7839"/>
    <w:rsid w:val="002C78BE"/>
    <w:rsid w:val="002C7D9F"/>
    <w:rsid w:val="002D02CE"/>
    <w:rsid w:val="002D03DB"/>
    <w:rsid w:val="002D04E9"/>
    <w:rsid w:val="002D0CE3"/>
    <w:rsid w:val="002D22D9"/>
    <w:rsid w:val="002D26EF"/>
    <w:rsid w:val="002D27E4"/>
    <w:rsid w:val="002D310F"/>
    <w:rsid w:val="002D31DD"/>
    <w:rsid w:val="002D407C"/>
    <w:rsid w:val="002D4394"/>
    <w:rsid w:val="002D43C5"/>
    <w:rsid w:val="002D4F10"/>
    <w:rsid w:val="002D502B"/>
    <w:rsid w:val="002D5A53"/>
    <w:rsid w:val="002D5D25"/>
    <w:rsid w:val="002D686F"/>
    <w:rsid w:val="002D68DE"/>
    <w:rsid w:val="002D6C15"/>
    <w:rsid w:val="002D7662"/>
    <w:rsid w:val="002E0272"/>
    <w:rsid w:val="002E08B8"/>
    <w:rsid w:val="002E0E87"/>
    <w:rsid w:val="002E10B4"/>
    <w:rsid w:val="002E169C"/>
    <w:rsid w:val="002E1E64"/>
    <w:rsid w:val="002E1E94"/>
    <w:rsid w:val="002E23EC"/>
    <w:rsid w:val="002E2594"/>
    <w:rsid w:val="002E321A"/>
    <w:rsid w:val="002E4BE6"/>
    <w:rsid w:val="002E4CC9"/>
    <w:rsid w:val="002E5711"/>
    <w:rsid w:val="002E5C93"/>
    <w:rsid w:val="002E5F70"/>
    <w:rsid w:val="002E62BA"/>
    <w:rsid w:val="002E6370"/>
    <w:rsid w:val="002E682A"/>
    <w:rsid w:val="002E753D"/>
    <w:rsid w:val="002E7B88"/>
    <w:rsid w:val="002F001C"/>
    <w:rsid w:val="002F02C8"/>
    <w:rsid w:val="002F08EC"/>
    <w:rsid w:val="002F0E0D"/>
    <w:rsid w:val="002F0E1B"/>
    <w:rsid w:val="002F116A"/>
    <w:rsid w:val="002F122E"/>
    <w:rsid w:val="002F1BA4"/>
    <w:rsid w:val="002F3D26"/>
    <w:rsid w:val="002F41D9"/>
    <w:rsid w:val="002F468C"/>
    <w:rsid w:val="002F472E"/>
    <w:rsid w:val="002F4B24"/>
    <w:rsid w:val="002F4FE2"/>
    <w:rsid w:val="002F4FF7"/>
    <w:rsid w:val="002F539C"/>
    <w:rsid w:val="002F54A7"/>
    <w:rsid w:val="002F619D"/>
    <w:rsid w:val="002F6633"/>
    <w:rsid w:val="002F6E5C"/>
    <w:rsid w:val="002F6E90"/>
    <w:rsid w:val="002F72C3"/>
    <w:rsid w:val="002F775A"/>
    <w:rsid w:val="003000E0"/>
    <w:rsid w:val="00300306"/>
    <w:rsid w:val="0030036C"/>
    <w:rsid w:val="003003DA"/>
    <w:rsid w:val="00300590"/>
    <w:rsid w:val="00300BA2"/>
    <w:rsid w:val="00301AC5"/>
    <w:rsid w:val="00303CC3"/>
    <w:rsid w:val="00303D54"/>
    <w:rsid w:val="00303F76"/>
    <w:rsid w:val="0030427E"/>
    <w:rsid w:val="00304F2C"/>
    <w:rsid w:val="00304FA8"/>
    <w:rsid w:val="0030547E"/>
    <w:rsid w:val="00305854"/>
    <w:rsid w:val="00305891"/>
    <w:rsid w:val="00305CEF"/>
    <w:rsid w:val="0030621D"/>
    <w:rsid w:val="00306984"/>
    <w:rsid w:val="003074B6"/>
    <w:rsid w:val="00307780"/>
    <w:rsid w:val="003078E2"/>
    <w:rsid w:val="00307983"/>
    <w:rsid w:val="00307DA0"/>
    <w:rsid w:val="003103EC"/>
    <w:rsid w:val="003103EE"/>
    <w:rsid w:val="00310864"/>
    <w:rsid w:val="003117AA"/>
    <w:rsid w:val="003119FA"/>
    <w:rsid w:val="00311F14"/>
    <w:rsid w:val="00312475"/>
    <w:rsid w:val="003127F5"/>
    <w:rsid w:val="00312EF9"/>
    <w:rsid w:val="003134E4"/>
    <w:rsid w:val="003136C0"/>
    <w:rsid w:val="0031388E"/>
    <w:rsid w:val="00313FDA"/>
    <w:rsid w:val="00314118"/>
    <w:rsid w:val="003143A7"/>
    <w:rsid w:val="0031477F"/>
    <w:rsid w:val="0031557E"/>
    <w:rsid w:val="003158D2"/>
    <w:rsid w:val="00315E1A"/>
    <w:rsid w:val="00315F49"/>
    <w:rsid w:val="003162B9"/>
    <w:rsid w:val="00316D2E"/>
    <w:rsid w:val="003170C6"/>
    <w:rsid w:val="00317430"/>
    <w:rsid w:val="003175AB"/>
    <w:rsid w:val="00317997"/>
    <w:rsid w:val="00317B85"/>
    <w:rsid w:val="00317DF6"/>
    <w:rsid w:val="003204FA"/>
    <w:rsid w:val="00320FD5"/>
    <w:rsid w:val="003213B1"/>
    <w:rsid w:val="0032245C"/>
    <w:rsid w:val="0032256A"/>
    <w:rsid w:val="00322ACD"/>
    <w:rsid w:val="003233F0"/>
    <w:rsid w:val="0032352B"/>
    <w:rsid w:val="00323605"/>
    <w:rsid w:val="003239CB"/>
    <w:rsid w:val="00323AE3"/>
    <w:rsid w:val="00323C9B"/>
    <w:rsid w:val="00323CFD"/>
    <w:rsid w:val="00323F31"/>
    <w:rsid w:val="00324E32"/>
    <w:rsid w:val="00324F22"/>
    <w:rsid w:val="00325B36"/>
    <w:rsid w:val="00325EAA"/>
    <w:rsid w:val="0032620F"/>
    <w:rsid w:val="0032671D"/>
    <w:rsid w:val="00326812"/>
    <w:rsid w:val="00326B25"/>
    <w:rsid w:val="00327230"/>
    <w:rsid w:val="003273A2"/>
    <w:rsid w:val="00327578"/>
    <w:rsid w:val="00327666"/>
    <w:rsid w:val="00327A5D"/>
    <w:rsid w:val="00330680"/>
    <w:rsid w:val="0033080C"/>
    <w:rsid w:val="00330E7D"/>
    <w:rsid w:val="00331361"/>
    <w:rsid w:val="003313AE"/>
    <w:rsid w:val="003314E0"/>
    <w:rsid w:val="00331ABD"/>
    <w:rsid w:val="00331BF0"/>
    <w:rsid w:val="003322B4"/>
    <w:rsid w:val="00332AF7"/>
    <w:rsid w:val="00332EA1"/>
    <w:rsid w:val="00333526"/>
    <w:rsid w:val="00333A69"/>
    <w:rsid w:val="00333BE2"/>
    <w:rsid w:val="00334499"/>
    <w:rsid w:val="00334676"/>
    <w:rsid w:val="00334794"/>
    <w:rsid w:val="003349FB"/>
    <w:rsid w:val="003351D2"/>
    <w:rsid w:val="003360CE"/>
    <w:rsid w:val="00336209"/>
    <w:rsid w:val="0033659D"/>
    <w:rsid w:val="00337265"/>
    <w:rsid w:val="00337CA2"/>
    <w:rsid w:val="003403D7"/>
    <w:rsid w:val="0034078D"/>
    <w:rsid w:val="00341430"/>
    <w:rsid w:val="003415BB"/>
    <w:rsid w:val="00341A14"/>
    <w:rsid w:val="00341B16"/>
    <w:rsid w:val="00341E91"/>
    <w:rsid w:val="003426AF"/>
    <w:rsid w:val="003428F1"/>
    <w:rsid w:val="003434C6"/>
    <w:rsid w:val="0034369E"/>
    <w:rsid w:val="00343A0A"/>
    <w:rsid w:val="003441E0"/>
    <w:rsid w:val="003442D2"/>
    <w:rsid w:val="00344611"/>
    <w:rsid w:val="0034464E"/>
    <w:rsid w:val="00345383"/>
    <w:rsid w:val="00345816"/>
    <w:rsid w:val="00345A7C"/>
    <w:rsid w:val="00347E89"/>
    <w:rsid w:val="0035009B"/>
    <w:rsid w:val="0035025F"/>
    <w:rsid w:val="003502D3"/>
    <w:rsid w:val="00350A1D"/>
    <w:rsid w:val="00350A49"/>
    <w:rsid w:val="00351522"/>
    <w:rsid w:val="003516A1"/>
    <w:rsid w:val="00351BDA"/>
    <w:rsid w:val="00351E54"/>
    <w:rsid w:val="00352927"/>
    <w:rsid w:val="00352A59"/>
    <w:rsid w:val="00352E30"/>
    <w:rsid w:val="003531B2"/>
    <w:rsid w:val="00353397"/>
    <w:rsid w:val="003535DF"/>
    <w:rsid w:val="00353694"/>
    <w:rsid w:val="00353B06"/>
    <w:rsid w:val="00353E13"/>
    <w:rsid w:val="0035406C"/>
    <w:rsid w:val="003540C1"/>
    <w:rsid w:val="00354277"/>
    <w:rsid w:val="003550A5"/>
    <w:rsid w:val="0035529C"/>
    <w:rsid w:val="00355E33"/>
    <w:rsid w:val="0035629F"/>
    <w:rsid w:val="00356651"/>
    <w:rsid w:val="0035668C"/>
    <w:rsid w:val="00356A35"/>
    <w:rsid w:val="00356C6C"/>
    <w:rsid w:val="00356D69"/>
    <w:rsid w:val="0035707E"/>
    <w:rsid w:val="00357B30"/>
    <w:rsid w:val="00357D98"/>
    <w:rsid w:val="00357E15"/>
    <w:rsid w:val="00360175"/>
    <w:rsid w:val="003604E2"/>
    <w:rsid w:val="00360855"/>
    <w:rsid w:val="0036157F"/>
    <w:rsid w:val="0036202B"/>
    <w:rsid w:val="0036205F"/>
    <w:rsid w:val="003629F3"/>
    <w:rsid w:val="00362E15"/>
    <w:rsid w:val="00362E7D"/>
    <w:rsid w:val="00363D33"/>
    <w:rsid w:val="003640FC"/>
    <w:rsid w:val="003645BF"/>
    <w:rsid w:val="00364A23"/>
    <w:rsid w:val="00364ACE"/>
    <w:rsid w:val="00364BF8"/>
    <w:rsid w:val="00365478"/>
    <w:rsid w:val="00365667"/>
    <w:rsid w:val="00365727"/>
    <w:rsid w:val="003657E0"/>
    <w:rsid w:val="00365F5C"/>
    <w:rsid w:val="00366034"/>
    <w:rsid w:val="0036654F"/>
    <w:rsid w:val="003667EE"/>
    <w:rsid w:val="00366842"/>
    <w:rsid w:val="00366C2B"/>
    <w:rsid w:val="003675F5"/>
    <w:rsid w:val="00370A2D"/>
    <w:rsid w:val="00371617"/>
    <w:rsid w:val="00372052"/>
    <w:rsid w:val="00372B5E"/>
    <w:rsid w:val="00373182"/>
    <w:rsid w:val="0037397F"/>
    <w:rsid w:val="00373A10"/>
    <w:rsid w:val="00374074"/>
    <w:rsid w:val="00374591"/>
    <w:rsid w:val="0037476B"/>
    <w:rsid w:val="003749AA"/>
    <w:rsid w:val="00374AD4"/>
    <w:rsid w:val="00375DFC"/>
    <w:rsid w:val="0037651C"/>
    <w:rsid w:val="00376C1D"/>
    <w:rsid w:val="00376E62"/>
    <w:rsid w:val="0037700F"/>
    <w:rsid w:val="00377A8E"/>
    <w:rsid w:val="00380070"/>
    <w:rsid w:val="00380945"/>
    <w:rsid w:val="00381513"/>
    <w:rsid w:val="003815F5"/>
    <w:rsid w:val="00381F5B"/>
    <w:rsid w:val="00382371"/>
    <w:rsid w:val="00382685"/>
    <w:rsid w:val="00383B10"/>
    <w:rsid w:val="00384B02"/>
    <w:rsid w:val="00385450"/>
    <w:rsid w:val="0038573E"/>
    <w:rsid w:val="00385B6C"/>
    <w:rsid w:val="00386577"/>
    <w:rsid w:val="003867BC"/>
    <w:rsid w:val="003878D9"/>
    <w:rsid w:val="00387B2A"/>
    <w:rsid w:val="00387EE3"/>
    <w:rsid w:val="003902F6"/>
    <w:rsid w:val="0039075B"/>
    <w:rsid w:val="0039079A"/>
    <w:rsid w:val="003910A7"/>
    <w:rsid w:val="003916D5"/>
    <w:rsid w:val="00392208"/>
    <w:rsid w:val="0039326C"/>
    <w:rsid w:val="0039424F"/>
    <w:rsid w:val="0039443A"/>
    <w:rsid w:val="00394D6F"/>
    <w:rsid w:val="00394EE8"/>
    <w:rsid w:val="00395585"/>
    <w:rsid w:val="00395988"/>
    <w:rsid w:val="00395A48"/>
    <w:rsid w:val="00395D41"/>
    <w:rsid w:val="00395F0B"/>
    <w:rsid w:val="00395F60"/>
    <w:rsid w:val="00395FF3"/>
    <w:rsid w:val="00396F5A"/>
    <w:rsid w:val="003977ED"/>
    <w:rsid w:val="003A007C"/>
    <w:rsid w:val="003A0373"/>
    <w:rsid w:val="003A06C7"/>
    <w:rsid w:val="003A0839"/>
    <w:rsid w:val="003A0CCE"/>
    <w:rsid w:val="003A1A29"/>
    <w:rsid w:val="003A226D"/>
    <w:rsid w:val="003A2422"/>
    <w:rsid w:val="003A3056"/>
    <w:rsid w:val="003A39FA"/>
    <w:rsid w:val="003A3A5A"/>
    <w:rsid w:val="003A3A67"/>
    <w:rsid w:val="003A3EE6"/>
    <w:rsid w:val="003A48E9"/>
    <w:rsid w:val="003A5066"/>
    <w:rsid w:val="003A507C"/>
    <w:rsid w:val="003A56FD"/>
    <w:rsid w:val="003A5F4D"/>
    <w:rsid w:val="003A6301"/>
    <w:rsid w:val="003A668A"/>
    <w:rsid w:val="003A6825"/>
    <w:rsid w:val="003A7277"/>
    <w:rsid w:val="003A75AA"/>
    <w:rsid w:val="003A7D75"/>
    <w:rsid w:val="003B09C0"/>
    <w:rsid w:val="003B0DEF"/>
    <w:rsid w:val="003B1260"/>
    <w:rsid w:val="003B1622"/>
    <w:rsid w:val="003B1647"/>
    <w:rsid w:val="003B1974"/>
    <w:rsid w:val="003B21AF"/>
    <w:rsid w:val="003B2FE7"/>
    <w:rsid w:val="003B337B"/>
    <w:rsid w:val="003B37DF"/>
    <w:rsid w:val="003B4863"/>
    <w:rsid w:val="003B4E3B"/>
    <w:rsid w:val="003B4EFB"/>
    <w:rsid w:val="003B5136"/>
    <w:rsid w:val="003B564B"/>
    <w:rsid w:val="003B5BD2"/>
    <w:rsid w:val="003B614A"/>
    <w:rsid w:val="003B654E"/>
    <w:rsid w:val="003B69A3"/>
    <w:rsid w:val="003B6A1F"/>
    <w:rsid w:val="003B7329"/>
    <w:rsid w:val="003B7838"/>
    <w:rsid w:val="003C0677"/>
    <w:rsid w:val="003C0861"/>
    <w:rsid w:val="003C1E30"/>
    <w:rsid w:val="003C1EE2"/>
    <w:rsid w:val="003C2144"/>
    <w:rsid w:val="003C22C4"/>
    <w:rsid w:val="003C2696"/>
    <w:rsid w:val="003C472F"/>
    <w:rsid w:val="003C4869"/>
    <w:rsid w:val="003C4DE0"/>
    <w:rsid w:val="003C4F1E"/>
    <w:rsid w:val="003C549D"/>
    <w:rsid w:val="003C5D71"/>
    <w:rsid w:val="003C5E71"/>
    <w:rsid w:val="003C603A"/>
    <w:rsid w:val="003C63E2"/>
    <w:rsid w:val="003C66E2"/>
    <w:rsid w:val="003C6769"/>
    <w:rsid w:val="003C6818"/>
    <w:rsid w:val="003C7369"/>
    <w:rsid w:val="003C73C9"/>
    <w:rsid w:val="003C7BC3"/>
    <w:rsid w:val="003C7D73"/>
    <w:rsid w:val="003D02E1"/>
    <w:rsid w:val="003D1E9D"/>
    <w:rsid w:val="003D2191"/>
    <w:rsid w:val="003D2601"/>
    <w:rsid w:val="003D2901"/>
    <w:rsid w:val="003D3207"/>
    <w:rsid w:val="003D35C3"/>
    <w:rsid w:val="003D3DC9"/>
    <w:rsid w:val="003D40F9"/>
    <w:rsid w:val="003D439C"/>
    <w:rsid w:val="003D5565"/>
    <w:rsid w:val="003D5673"/>
    <w:rsid w:val="003D57D1"/>
    <w:rsid w:val="003D6651"/>
    <w:rsid w:val="003D6B82"/>
    <w:rsid w:val="003D6ED8"/>
    <w:rsid w:val="003D7BA5"/>
    <w:rsid w:val="003E097D"/>
    <w:rsid w:val="003E0D87"/>
    <w:rsid w:val="003E0DE1"/>
    <w:rsid w:val="003E1042"/>
    <w:rsid w:val="003E1528"/>
    <w:rsid w:val="003E16A0"/>
    <w:rsid w:val="003E17E5"/>
    <w:rsid w:val="003E1E85"/>
    <w:rsid w:val="003E2C52"/>
    <w:rsid w:val="003E2C8B"/>
    <w:rsid w:val="003E2D71"/>
    <w:rsid w:val="003E37A1"/>
    <w:rsid w:val="003E3B08"/>
    <w:rsid w:val="003E3EB4"/>
    <w:rsid w:val="003E4D67"/>
    <w:rsid w:val="003E5699"/>
    <w:rsid w:val="003E5862"/>
    <w:rsid w:val="003E5874"/>
    <w:rsid w:val="003E5C50"/>
    <w:rsid w:val="003E616E"/>
    <w:rsid w:val="003E6510"/>
    <w:rsid w:val="003E691B"/>
    <w:rsid w:val="003E7465"/>
    <w:rsid w:val="003E7656"/>
    <w:rsid w:val="003E7765"/>
    <w:rsid w:val="003F072A"/>
    <w:rsid w:val="003F0BA7"/>
    <w:rsid w:val="003F0EA0"/>
    <w:rsid w:val="003F1364"/>
    <w:rsid w:val="003F18D3"/>
    <w:rsid w:val="003F23EF"/>
    <w:rsid w:val="003F2E85"/>
    <w:rsid w:val="003F2EB5"/>
    <w:rsid w:val="003F370D"/>
    <w:rsid w:val="003F513C"/>
    <w:rsid w:val="003F51A4"/>
    <w:rsid w:val="003F5276"/>
    <w:rsid w:val="003F5612"/>
    <w:rsid w:val="003F5D5C"/>
    <w:rsid w:val="003F5F62"/>
    <w:rsid w:val="003F5FCA"/>
    <w:rsid w:val="003F62DD"/>
    <w:rsid w:val="003F69B2"/>
    <w:rsid w:val="003F7017"/>
    <w:rsid w:val="003F7242"/>
    <w:rsid w:val="003F72FA"/>
    <w:rsid w:val="003F7466"/>
    <w:rsid w:val="003F7F6C"/>
    <w:rsid w:val="004003AE"/>
    <w:rsid w:val="00400944"/>
    <w:rsid w:val="00400CC9"/>
    <w:rsid w:val="00400FA5"/>
    <w:rsid w:val="004010DB"/>
    <w:rsid w:val="00401605"/>
    <w:rsid w:val="004019EA"/>
    <w:rsid w:val="00401B51"/>
    <w:rsid w:val="00401B8D"/>
    <w:rsid w:val="00401E59"/>
    <w:rsid w:val="00401FDB"/>
    <w:rsid w:val="00402476"/>
    <w:rsid w:val="00402994"/>
    <w:rsid w:val="004029A2"/>
    <w:rsid w:val="00402D62"/>
    <w:rsid w:val="00402FEC"/>
    <w:rsid w:val="004035F3"/>
    <w:rsid w:val="0040362B"/>
    <w:rsid w:val="0040368A"/>
    <w:rsid w:val="00403776"/>
    <w:rsid w:val="00403BE3"/>
    <w:rsid w:val="004040E9"/>
    <w:rsid w:val="00404EF4"/>
    <w:rsid w:val="00405301"/>
    <w:rsid w:val="00405D21"/>
    <w:rsid w:val="00405E54"/>
    <w:rsid w:val="00405FAE"/>
    <w:rsid w:val="004063D5"/>
    <w:rsid w:val="00407321"/>
    <w:rsid w:val="00407D53"/>
    <w:rsid w:val="00410CF6"/>
    <w:rsid w:val="00410E8B"/>
    <w:rsid w:val="00411125"/>
    <w:rsid w:val="00411CB4"/>
    <w:rsid w:val="004124F1"/>
    <w:rsid w:val="0041334C"/>
    <w:rsid w:val="004142A8"/>
    <w:rsid w:val="00414591"/>
    <w:rsid w:val="00414B1A"/>
    <w:rsid w:val="00414DFD"/>
    <w:rsid w:val="00415B07"/>
    <w:rsid w:val="00415B5F"/>
    <w:rsid w:val="00415F68"/>
    <w:rsid w:val="00416846"/>
    <w:rsid w:val="004172F2"/>
    <w:rsid w:val="00417582"/>
    <w:rsid w:val="004175AE"/>
    <w:rsid w:val="0042018D"/>
    <w:rsid w:val="0042021D"/>
    <w:rsid w:val="00420445"/>
    <w:rsid w:val="00420E61"/>
    <w:rsid w:val="0042159A"/>
    <w:rsid w:val="00421F09"/>
    <w:rsid w:val="004222BF"/>
    <w:rsid w:val="0042238B"/>
    <w:rsid w:val="004223E1"/>
    <w:rsid w:val="004226A7"/>
    <w:rsid w:val="00422AAA"/>
    <w:rsid w:val="0042339A"/>
    <w:rsid w:val="00423721"/>
    <w:rsid w:val="00423E53"/>
    <w:rsid w:val="00423FF5"/>
    <w:rsid w:val="0042417E"/>
    <w:rsid w:val="004243F8"/>
    <w:rsid w:val="004245E0"/>
    <w:rsid w:val="004257D2"/>
    <w:rsid w:val="00425861"/>
    <w:rsid w:val="00425A31"/>
    <w:rsid w:val="00425B63"/>
    <w:rsid w:val="00425FAC"/>
    <w:rsid w:val="004275BC"/>
    <w:rsid w:val="0042770F"/>
    <w:rsid w:val="004277D1"/>
    <w:rsid w:val="00427846"/>
    <w:rsid w:val="004302DC"/>
    <w:rsid w:val="004304E0"/>
    <w:rsid w:val="0043069D"/>
    <w:rsid w:val="004308F9"/>
    <w:rsid w:val="00430ABE"/>
    <w:rsid w:val="00430C37"/>
    <w:rsid w:val="00430E17"/>
    <w:rsid w:val="004313AA"/>
    <w:rsid w:val="004317B6"/>
    <w:rsid w:val="00431A3F"/>
    <w:rsid w:val="004320E8"/>
    <w:rsid w:val="0043227B"/>
    <w:rsid w:val="00433739"/>
    <w:rsid w:val="004339A2"/>
    <w:rsid w:val="00433DFD"/>
    <w:rsid w:val="00433F58"/>
    <w:rsid w:val="004340AB"/>
    <w:rsid w:val="00434124"/>
    <w:rsid w:val="00434471"/>
    <w:rsid w:val="004349C3"/>
    <w:rsid w:val="0043500C"/>
    <w:rsid w:val="004353B5"/>
    <w:rsid w:val="0043567E"/>
    <w:rsid w:val="004358F6"/>
    <w:rsid w:val="00435B4E"/>
    <w:rsid w:val="004361CF"/>
    <w:rsid w:val="00436311"/>
    <w:rsid w:val="00436716"/>
    <w:rsid w:val="00436F76"/>
    <w:rsid w:val="00436FFE"/>
    <w:rsid w:val="004371B7"/>
    <w:rsid w:val="004371CC"/>
    <w:rsid w:val="004376A6"/>
    <w:rsid w:val="00437C77"/>
    <w:rsid w:val="00440332"/>
    <w:rsid w:val="004404B2"/>
    <w:rsid w:val="004409D5"/>
    <w:rsid w:val="00440B6A"/>
    <w:rsid w:val="00440F96"/>
    <w:rsid w:val="0044125A"/>
    <w:rsid w:val="004416EB"/>
    <w:rsid w:val="004420DD"/>
    <w:rsid w:val="00442717"/>
    <w:rsid w:val="00442AEB"/>
    <w:rsid w:val="00442E00"/>
    <w:rsid w:val="00442F62"/>
    <w:rsid w:val="004433A9"/>
    <w:rsid w:val="00444050"/>
    <w:rsid w:val="00444485"/>
    <w:rsid w:val="00444F23"/>
    <w:rsid w:val="00444F52"/>
    <w:rsid w:val="004450AA"/>
    <w:rsid w:val="004473E5"/>
    <w:rsid w:val="0044797F"/>
    <w:rsid w:val="00447980"/>
    <w:rsid w:val="00447AD9"/>
    <w:rsid w:val="0045008A"/>
    <w:rsid w:val="00450294"/>
    <w:rsid w:val="0045043B"/>
    <w:rsid w:val="004516CA"/>
    <w:rsid w:val="004518C4"/>
    <w:rsid w:val="0045282C"/>
    <w:rsid w:val="00452974"/>
    <w:rsid w:val="0045313A"/>
    <w:rsid w:val="00453811"/>
    <w:rsid w:val="0045421D"/>
    <w:rsid w:val="004546DE"/>
    <w:rsid w:val="00454A9A"/>
    <w:rsid w:val="00454E23"/>
    <w:rsid w:val="00454E2D"/>
    <w:rsid w:val="00454EC4"/>
    <w:rsid w:val="00454FAA"/>
    <w:rsid w:val="00456225"/>
    <w:rsid w:val="0045785F"/>
    <w:rsid w:val="004603A2"/>
    <w:rsid w:val="004604F7"/>
    <w:rsid w:val="00460616"/>
    <w:rsid w:val="00460E94"/>
    <w:rsid w:val="00461006"/>
    <w:rsid w:val="004615DF"/>
    <w:rsid w:val="0046186F"/>
    <w:rsid w:val="00461F92"/>
    <w:rsid w:val="00462277"/>
    <w:rsid w:val="0046320A"/>
    <w:rsid w:val="00463B58"/>
    <w:rsid w:val="00465574"/>
    <w:rsid w:val="00465595"/>
    <w:rsid w:val="0046599C"/>
    <w:rsid w:val="004659E1"/>
    <w:rsid w:val="004662AA"/>
    <w:rsid w:val="00466465"/>
    <w:rsid w:val="004667FA"/>
    <w:rsid w:val="00466C6D"/>
    <w:rsid w:val="0046713A"/>
    <w:rsid w:val="00467402"/>
    <w:rsid w:val="00467AD6"/>
    <w:rsid w:val="00470007"/>
    <w:rsid w:val="00470384"/>
    <w:rsid w:val="004706BE"/>
    <w:rsid w:val="00470E49"/>
    <w:rsid w:val="00470FA8"/>
    <w:rsid w:val="00471C9F"/>
    <w:rsid w:val="00471EC0"/>
    <w:rsid w:val="0047243D"/>
    <w:rsid w:val="00472C5F"/>
    <w:rsid w:val="00473A14"/>
    <w:rsid w:val="00475CB2"/>
    <w:rsid w:val="004760F0"/>
    <w:rsid w:val="004767A7"/>
    <w:rsid w:val="004769DE"/>
    <w:rsid w:val="00476BDD"/>
    <w:rsid w:val="00476FE0"/>
    <w:rsid w:val="00477020"/>
    <w:rsid w:val="00477476"/>
    <w:rsid w:val="004778BF"/>
    <w:rsid w:val="004778F4"/>
    <w:rsid w:val="00477950"/>
    <w:rsid w:val="00477A67"/>
    <w:rsid w:val="00477E5F"/>
    <w:rsid w:val="004801F7"/>
    <w:rsid w:val="00480261"/>
    <w:rsid w:val="0048085F"/>
    <w:rsid w:val="00480D45"/>
    <w:rsid w:val="00480F1F"/>
    <w:rsid w:val="00480FCB"/>
    <w:rsid w:val="004812E8"/>
    <w:rsid w:val="00482112"/>
    <w:rsid w:val="0048287A"/>
    <w:rsid w:val="00482968"/>
    <w:rsid w:val="00482D11"/>
    <w:rsid w:val="004832DC"/>
    <w:rsid w:val="00483314"/>
    <w:rsid w:val="00483380"/>
    <w:rsid w:val="00483519"/>
    <w:rsid w:val="00483685"/>
    <w:rsid w:val="0048377F"/>
    <w:rsid w:val="00483914"/>
    <w:rsid w:val="0048391D"/>
    <w:rsid w:val="00483E13"/>
    <w:rsid w:val="00484925"/>
    <w:rsid w:val="00484D7D"/>
    <w:rsid w:val="00484EFB"/>
    <w:rsid w:val="00485926"/>
    <w:rsid w:val="00485FFA"/>
    <w:rsid w:val="00486132"/>
    <w:rsid w:val="00486211"/>
    <w:rsid w:val="004862BF"/>
    <w:rsid w:val="00486A1E"/>
    <w:rsid w:val="00486E0F"/>
    <w:rsid w:val="0048774D"/>
    <w:rsid w:val="0049026B"/>
    <w:rsid w:val="004908AE"/>
    <w:rsid w:val="00490A17"/>
    <w:rsid w:val="00490D05"/>
    <w:rsid w:val="00490E62"/>
    <w:rsid w:val="00491049"/>
    <w:rsid w:val="004910B5"/>
    <w:rsid w:val="0049172C"/>
    <w:rsid w:val="00491E72"/>
    <w:rsid w:val="00491F70"/>
    <w:rsid w:val="00492062"/>
    <w:rsid w:val="004921A8"/>
    <w:rsid w:val="004923CF"/>
    <w:rsid w:val="00492448"/>
    <w:rsid w:val="00492474"/>
    <w:rsid w:val="00493289"/>
    <w:rsid w:val="004944E7"/>
    <w:rsid w:val="0049471A"/>
    <w:rsid w:val="004947E7"/>
    <w:rsid w:val="004949C6"/>
    <w:rsid w:val="00494F53"/>
    <w:rsid w:val="00495005"/>
    <w:rsid w:val="00495A2E"/>
    <w:rsid w:val="00495CC8"/>
    <w:rsid w:val="00495DE1"/>
    <w:rsid w:val="0049629F"/>
    <w:rsid w:val="00496497"/>
    <w:rsid w:val="0049658A"/>
    <w:rsid w:val="004969D3"/>
    <w:rsid w:val="00496A53"/>
    <w:rsid w:val="00496E9D"/>
    <w:rsid w:val="004A0301"/>
    <w:rsid w:val="004A0359"/>
    <w:rsid w:val="004A09B2"/>
    <w:rsid w:val="004A0A99"/>
    <w:rsid w:val="004A0D16"/>
    <w:rsid w:val="004A1152"/>
    <w:rsid w:val="004A2FBC"/>
    <w:rsid w:val="004A3028"/>
    <w:rsid w:val="004A3315"/>
    <w:rsid w:val="004A3D33"/>
    <w:rsid w:val="004A3E65"/>
    <w:rsid w:val="004A4DBB"/>
    <w:rsid w:val="004A55C3"/>
    <w:rsid w:val="004A59E2"/>
    <w:rsid w:val="004A5AEC"/>
    <w:rsid w:val="004A5E7F"/>
    <w:rsid w:val="004A6972"/>
    <w:rsid w:val="004A78EB"/>
    <w:rsid w:val="004A7EC8"/>
    <w:rsid w:val="004B00D2"/>
    <w:rsid w:val="004B04B3"/>
    <w:rsid w:val="004B0F6A"/>
    <w:rsid w:val="004B1388"/>
    <w:rsid w:val="004B1C4A"/>
    <w:rsid w:val="004B1F54"/>
    <w:rsid w:val="004B224C"/>
    <w:rsid w:val="004B2406"/>
    <w:rsid w:val="004B2EAB"/>
    <w:rsid w:val="004B33BF"/>
    <w:rsid w:val="004B350E"/>
    <w:rsid w:val="004B3A4A"/>
    <w:rsid w:val="004B3A90"/>
    <w:rsid w:val="004B400F"/>
    <w:rsid w:val="004B448A"/>
    <w:rsid w:val="004B4DDE"/>
    <w:rsid w:val="004B59AC"/>
    <w:rsid w:val="004B5C02"/>
    <w:rsid w:val="004B64F9"/>
    <w:rsid w:val="004B69B8"/>
    <w:rsid w:val="004B6CD9"/>
    <w:rsid w:val="004B6EAF"/>
    <w:rsid w:val="004B728C"/>
    <w:rsid w:val="004B7B81"/>
    <w:rsid w:val="004C0DF2"/>
    <w:rsid w:val="004C0F32"/>
    <w:rsid w:val="004C110C"/>
    <w:rsid w:val="004C16CD"/>
    <w:rsid w:val="004C27B5"/>
    <w:rsid w:val="004C283E"/>
    <w:rsid w:val="004C2F56"/>
    <w:rsid w:val="004C385E"/>
    <w:rsid w:val="004C3A59"/>
    <w:rsid w:val="004C3DD9"/>
    <w:rsid w:val="004C4691"/>
    <w:rsid w:val="004C47BA"/>
    <w:rsid w:val="004C4867"/>
    <w:rsid w:val="004C5335"/>
    <w:rsid w:val="004C59CA"/>
    <w:rsid w:val="004C6625"/>
    <w:rsid w:val="004C6775"/>
    <w:rsid w:val="004C6D63"/>
    <w:rsid w:val="004C6DD7"/>
    <w:rsid w:val="004C6E6D"/>
    <w:rsid w:val="004C73DE"/>
    <w:rsid w:val="004C79AE"/>
    <w:rsid w:val="004C79FB"/>
    <w:rsid w:val="004C7BEE"/>
    <w:rsid w:val="004D0038"/>
    <w:rsid w:val="004D1B52"/>
    <w:rsid w:val="004D248C"/>
    <w:rsid w:val="004D2DC7"/>
    <w:rsid w:val="004D401A"/>
    <w:rsid w:val="004D4328"/>
    <w:rsid w:val="004D488B"/>
    <w:rsid w:val="004D529F"/>
    <w:rsid w:val="004D5335"/>
    <w:rsid w:val="004D53B7"/>
    <w:rsid w:val="004D53C4"/>
    <w:rsid w:val="004D546C"/>
    <w:rsid w:val="004D5D04"/>
    <w:rsid w:val="004D6244"/>
    <w:rsid w:val="004D63C5"/>
    <w:rsid w:val="004D66BC"/>
    <w:rsid w:val="004D7C2D"/>
    <w:rsid w:val="004D7EF6"/>
    <w:rsid w:val="004E0026"/>
    <w:rsid w:val="004E016E"/>
    <w:rsid w:val="004E03AE"/>
    <w:rsid w:val="004E05BC"/>
    <w:rsid w:val="004E0892"/>
    <w:rsid w:val="004E3ADE"/>
    <w:rsid w:val="004E3F9D"/>
    <w:rsid w:val="004E4180"/>
    <w:rsid w:val="004E4500"/>
    <w:rsid w:val="004E450F"/>
    <w:rsid w:val="004E4BC3"/>
    <w:rsid w:val="004E4F66"/>
    <w:rsid w:val="004E545B"/>
    <w:rsid w:val="004E57BE"/>
    <w:rsid w:val="004E5AFA"/>
    <w:rsid w:val="004E5DFC"/>
    <w:rsid w:val="004E6299"/>
    <w:rsid w:val="004E6C44"/>
    <w:rsid w:val="004E6D03"/>
    <w:rsid w:val="004E6EDB"/>
    <w:rsid w:val="004E77A8"/>
    <w:rsid w:val="004E7935"/>
    <w:rsid w:val="004F09F9"/>
    <w:rsid w:val="004F15B9"/>
    <w:rsid w:val="004F1A44"/>
    <w:rsid w:val="004F2304"/>
    <w:rsid w:val="004F23C4"/>
    <w:rsid w:val="004F2FF9"/>
    <w:rsid w:val="004F30E6"/>
    <w:rsid w:val="004F3891"/>
    <w:rsid w:val="004F39ED"/>
    <w:rsid w:val="004F4164"/>
    <w:rsid w:val="004F4E5B"/>
    <w:rsid w:val="004F4EA9"/>
    <w:rsid w:val="004F5751"/>
    <w:rsid w:val="004F5B5C"/>
    <w:rsid w:val="004F605E"/>
    <w:rsid w:val="004F613D"/>
    <w:rsid w:val="004F643B"/>
    <w:rsid w:val="004F64A1"/>
    <w:rsid w:val="004F6523"/>
    <w:rsid w:val="004F69BA"/>
    <w:rsid w:val="004F6AFB"/>
    <w:rsid w:val="004F6E71"/>
    <w:rsid w:val="004F709A"/>
    <w:rsid w:val="004F74BF"/>
    <w:rsid w:val="004F7734"/>
    <w:rsid w:val="00500A53"/>
    <w:rsid w:val="00500DBB"/>
    <w:rsid w:val="00501C27"/>
    <w:rsid w:val="00501E93"/>
    <w:rsid w:val="00501F50"/>
    <w:rsid w:val="0050225D"/>
    <w:rsid w:val="005024DA"/>
    <w:rsid w:val="00502B00"/>
    <w:rsid w:val="005036FB"/>
    <w:rsid w:val="00503966"/>
    <w:rsid w:val="00503B1B"/>
    <w:rsid w:val="00503C59"/>
    <w:rsid w:val="00504982"/>
    <w:rsid w:val="00505861"/>
    <w:rsid w:val="00505A12"/>
    <w:rsid w:val="00505D90"/>
    <w:rsid w:val="00505F2C"/>
    <w:rsid w:val="00505FE9"/>
    <w:rsid w:val="00506282"/>
    <w:rsid w:val="00506425"/>
    <w:rsid w:val="00506650"/>
    <w:rsid w:val="005070D1"/>
    <w:rsid w:val="0050724C"/>
    <w:rsid w:val="00507583"/>
    <w:rsid w:val="00507F16"/>
    <w:rsid w:val="00507F42"/>
    <w:rsid w:val="005102EC"/>
    <w:rsid w:val="00510CF1"/>
    <w:rsid w:val="00510DB9"/>
    <w:rsid w:val="00511593"/>
    <w:rsid w:val="00511EC0"/>
    <w:rsid w:val="00511FBD"/>
    <w:rsid w:val="00512CA3"/>
    <w:rsid w:val="00512E55"/>
    <w:rsid w:val="00513AC0"/>
    <w:rsid w:val="00513D04"/>
    <w:rsid w:val="005143BB"/>
    <w:rsid w:val="005145BD"/>
    <w:rsid w:val="00514757"/>
    <w:rsid w:val="00514A90"/>
    <w:rsid w:val="00514B66"/>
    <w:rsid w:val="00515008"/>
    <w:rsid w:val="00515177"/>
    <w:rsid w:val="00516148"/>
    <w:rsid w:val="0051631F"/>
    <w:rsid w:val="005163B4"/>
    <w:rsid w:val="0051663D"/>
    <w:rsid w:val="00516826"/>
    <w:rsid w:val="00516FE8"/>
    <w:rsid w:val="00520418"/>
    <w:rsid w:val="0052244D"/>
    <w:rsid w:val="00522941"/>
    <w:rsid w:val="005229E7"/>
    <w:rsid w:val="00522A54"/>
    <w:rsid w:val="00522CB8"/>
    <w:rsid w:val="00522D9E"/>
    <w:rsid w:val="00522F5D"/>
    <w:rsid w:val="0052309A"/>
    <w:rsid w:val="005239F8"/>
    <w:rsid w:val="00524E93"/>
    <w:rsid w:val="00525201"/>
    <w:rsid w:val="00525378"/>
    <w:rsid w:val="005259FC"/>
    <w:rsid w:val="005268C7"/>
    <w:rsid w:val="00526AAE"/>
    <w:rsid w:val="005270E8"/>
    <w:rsid w:val="005275C4"/>
    <w:rsid w:val="00527BF8"/>
    <w:rsid w:val="00527E0C"/>
    <w:rsid w:val="00530325"/>
    <w:rsid w:val="005306CC"/>
    <w:rsid w:val="00530AF5"/>
    <w:rsid w:val="00530C4D"/>
    <w:rsid w:val="005316D1"/>
    <w:rsid w:val="00531A2B"/>
    <w:rsid w:val="00531D6C"/>
    <w:rsid w:val="00531EC2"/>
    <w:rsid w:val="00532158"/>
    <w:rsid w:val="0053228E"/>
    <w:rsid w:val="005328A5"/>
    <w:rsid w:val="00532B4C"/>
    <w:rsid w:val="005334B3"/>
    <w:rsid w:val="005335E2"/>
    <w:rsid w:val="00533DAC"/>
    <w:rsid w:val="005344EB"/>
    <w:rsid w:val="005349FA"/>
    <w:rsid w:val="00535AE7"/>
    <w:rsid w:val="00536105"/>
    <w:rsid w:val="00536700"/>
    <w:rsid w:val="00536786"/>
    <w:rsid w:val="00536EDE"/>
    <w:rsid w:val="005371B1"/>
    <w:rsid w:val="0053753B"/>
    <w:rsid w:val="00540306"/>
    <w:rsid w:val="005413D2"/>
    <w:rsid w:val="0054174F"/>
    <w:rsid w:val="00541875"/>
    <w:rsid w:val="00542120"/>
    <w:rsid w:val="0054252E"/>
    <w:rsid w:val="005426A6"/>
    <w:rsid w:val="00542E52"/>
    <w:rsid w:val="0054376B"/>
    <w:rsid w:val="0054383D"/>
    <w:rsid w:val="00544188"/>
    <w:rsid w:val="00544825"/>
    <w:rsid w:val="00544F32"/>
    <w:rsid w:val="00544FA1"/>
    <w:rsid w:val="005451BA"/>
    <w:rsid w:val="00545249"/>
    <w:rsid w:val="005452FA"/>
    <w:rsid w:val="005453A7"/>
    <w:rsid w:val="005453F3"/>
    <w:rsid w:val="0054651C"/>
    <w:rsid w:val="00546F11"/>
    <w:rsid w:val="00547047"/>
    <w:rsid w:val="00547203"/>
    <w:rsid w:val="00547269"/>
    <w:rsid w:val="005477C7"/>
    <w:rsid w:val="005477E3"/>
    <w:rsid w:val="0054790F"/>
    <w:rsid w:val="005501EE"/>
    <w:rsid w:val="00550741"/>
    <w:rsid w:val="00550BD7"/>
    <w:rsid w:val="00551AB6"/>
    <w:rsid w:val="005529C5"/>
    <w:rsid w:val="00553A03"/>
    <w:rsid w:val="00553D4F"/>
    <w:rsid w:val="00553E02"/>
    <w:rsid w:val="00554282"/>
    <w:rsid w:val="005543CE"/>
    <w:rsid w:val="00554819"/>
    <w:rsid w:val="0055514C"/>
    <w:rsid w:val="005552D5"/>
    <w:rsid w:val="0055574E"/>
    <w:rsid w:val="005558FA"/>
    <w:rsid w:val="00555F55"/>
    <w:rsid w:val="00557200"/>
    <w:rsid w:val="00557B64"/>
    <w:rsid w:val="005603F5"/>
    <w:rsid w:val="005604AC"/>
    <w:rsid w:val="00560D92"/>
    <w:rsid w:val="005612EF"/>
    <w:rsid w:val="005626D6"/>
    <w:rsid w:val="00562B85"/>
    <w:rsid w:val="00563873"/>
    <w:rsid w:val="00564C6C"/>
    <w:rsid w:val="00565460"/>
    <w:rsid w:val="00565DFB"/>
    <w:rsid w:val="00565E67"/>
    <w:rsid w:val="00566131"/>
    <w:rsid w:val="0056678A"/>
    <w:rsid w:val="00566821"/>
    <w:rsid w:val="00566E12"/>
    <w:rsid w:val="00567DE6"/>
    <w:rsid w:val="00567F47"/>
    <w:rsid w:val="00570598"/>
    <w:rsid w:val="00570D3E"/>
    <w:rsid w:val="00571121"/>
    <w:rsid w:val="005713A6"/>
    <w:rsid w:val="00571C49"/>
    <w:rsid w:val="00572684"/>
    <w:rsid w:val="0057273A"/>
    <w:rsid w:val="00573558"/>
    <w:rsid w:val="0057548B"/>
    <w:rsid w:val="0057556F"/>
    <w:rsid w:val="0057563E"/>
    <w:rsid w:val="00576D37"/>
    <w:rsid w:val="0057709C"/>
    <w:rsid w:val="00577146"/>
    <w:rsid w:val="0058097F"/>
    <w:rsid w:val="005811DD"/>
    <w:rsid w:val="005819AB"/>
    <w:rsid w:val="00581DC9"/>
    <w:rsid w:val="0058204C"/>
    <w:rsid w:val="0058258E"/>
    <w:rsid w:val="00582BC6"/>
    <w:rsid w:val="00582CD1"/>
    <w:rsid w:val="00583776"/>
    <w:rsid w:val="00583C16"/>
    <w:rsid w:val="00583D1D"/>
    <w:rsid w:val="00584E40"/>
    <w:rsid w:val="0058515F"/>
    <w:rsid w:val="005851D3"/>
    <w:rsid w:val="005852C2"/>
    <w:rsid w:val="005853E1"/>
    <w:rsid w:val="005856FC"/>
    <w:rsid w:val="005858F7"/>
    <w:rsid w:val="00585F5E"/>
    <w:rsid w:val="00586653"/>
    <w:rsid w:val="005869BF"/>
    <w:rsid w:val="00586A23"/>
    <w:rsid w:val="00586AB0"/>
    <w:rsid w:val="00586F6A"/>
    <w:rsid w:val="0058710E"/>
    <w:rsid w:val="005907A1"/>
    <w:rsid w:val="005915E1"/>
    <w:rsid w:val="0059171F"/>
    <w:rsid w:val="00591ABF"/>
    <w:rsid w:val="00592CD3"/>
    <w:rsid w:val="00592FE9"/>
    <w:rsid w:val="00593D31"/>
    <w:rsid w:val="00593F94"/>
    <w:rsid w:val="005940B3"/>
    <w:rsid w:val="005942BF"/>
    <w:rsid w:val="005942CF"/>
    <w:rsid w:val="0059559B"/>
    <w:rsid w:val="00595BA0"/>
    <w:rsid w:val="00596EAA"/>
    <w:rsid w:val="005974C8"/>
    <w:rsid w:val="00597D54"/>
    <w:rsid w:val="00597E79"/>
    <w:rsid w:val="005A0CA3"/>
    <w:rsid w:val="005A0F90"/>
    <w:rsid w:val="005A1790"/>
    <w:rsid w:val="005A264A"/>
    <w:rsid w:val="005A27AD"/>
    <w:rsid w:val="005A2ECD"/>
    <w:rsid w:val="005A3622"/>
    <w:rsid w:val="005A36A4"/>
    <w:rsid w:val="005A3AE7"/>
    <w:rsid w:val="005A3CED"/>
    <w:rsid w:val="005A3DE9"/>
    <w:rsid w:val="005A3EEE"/>
    <w:rsid w:val="005A43CC"/>
    <w:rsid w:val="005A4DA2"/>
    <w:rsid w:val="005A6645"/>
    <w:rsid w:val="005A6957"/>
    <w:rsid w:val="005A72E6"/>
    <w:rsid w:val="005A74B0"/>
    <w:rsid w:val="005A77CB"/>
    <w:rsid w:val="005B035D"/>
    <w:rsid w:val="005B0DF4"/>
    <w:rsid w:val="005B10C9"/>
    <w:rsid w:val="005B11C8"/>
    <w:rsid w:val="005B1591"/>
    <w:rsid w:val="005B1961"/>
    <w:rsid w:val="005B1A9D"/>
    <w:rsid w:val="005B1ECE"/>
    <w:rsid w:val="005B23D5"/>
    <w:rsid w:val="005B25F4"/>
    <w:rsid w:val="005B2CE0"/>
    <w:rsid w:val="005B3323"/>
    <w:rsid w:val="005B360C"/>
    <w:rsid w:val="005B4847"/>
    <w:rsid w:val="005B4C00"/>
    <w:rsid w:val="005B5992"/>
    <w:rsid w:val="005B6297"/>
    <w:rsid w:val="005B66BD"/>
    <w:rsid w:val="005B66D4"/>
    <w:rsid w:val="005B6DD8"/>
    <w:rsid w:val="005B77D6"/>
    <w:rsid w:val="005B7F56"/>
    <w:rsid w:val="005C0561"/>
    <w:rsid w:val="005C0590"/>
    <w:rsid w:val="005C12BB"/>
    <w:rsid w:val="005C19EC"/>
    <w:rsid w:val="005C1EC8"/>
    <w:rsid w:val="005C3527"/>
    <w:rsid w:val="005C3BA0"/>
    <w:rsid w:val="005C3C01"/>
    <w:rsid w:val="005C3CC5"/>
    <w:rsid w:val="005C423B"/>
    <w:rsid w:val="005C4493"/>
    <w:rsid w:val="005C474F"/>
    <w:rsid w:val="005C4EE9"/>
    <w:rsid w:val="005C542F"/>
    <w:rsid w:val="005C5685"/>
    <w:rsid w:val="005C6104"/>
    <w:rsid w:val="005C62C5"/>
    <w:rsid w:val="005C6AE9"/>
    <w:rsid w:val="005C6B2B"/>
    <w:rsid w:val="005C6E18"/>
    <w:rsid w:val="005C7118"/>
    <w:rsid w:val="005C782E"/>
    <w:rsid w:val="005C7853"/>
    <w:rsid w:val="005C79E8"/>
    <w:rsid w:val="005D0818"/>
    <w:rsid w:val="005D0BE5"/>
    <w:rsid w:val="005D1871"/>
    <w:rsid w:val="005D21D5"/>
    <w:rsid w:val="005D23E4"/>
    <w:rsid w:val="005D2F10"/>
    <w:rsid w:val="005D2FE1"/>
    <w:rsid w:val="005D3440"/>
    <w:rsid w:val="005D3B71"/>
    <w:rsid w:val="005D42D4"/>
    <w:rsid w:val="005D443D"/>
    <w:rsid w:val="005D45AC"/>
    <w:rsid w:val="005D47D0"/>
    <w:rsid w:val="005D4B29"/>
    <w:rsid w:val="005D5A15"/>
    <w:rsid w:val="005D753B"/>
    <w:rsid w:val="005D7582"/>
    <w:rsid w:val="005D7C4B"/>
    <w:rsid w:val="005E01D1"/>
    <w:rsid w:val="005E063D"/>
    <w:rsid w:val="005E137D"/>
    <w:rsid w:val="005E1E1E"/>
    <w:rsid w:val="005E1F76"/>
    <w:rsid w:val="005E24F5"/>
    <w:rsid w:val="005E27A9"/>
    <w:rsid w:val="005E2814"/>
    <w:rsid w:val="005E2F7D"/>
    <w:rsid w:val="005E2FD2"/>
    <w:rsid w:val="005E30F0"/>
    <w:rsid w:val="005E51AC"/>
    <w:rsid w:val="005E560C"/>
    <w:rsid w:val="005E5B1E"/>
    <w:rsid w:val="005E6941"/>
    <w:rsid w:val="005E70D9"/>
    <w:rsid w:val="005E74C7"/>
    <w:rsid w:val="005E7CC7"/>
    <w:rsid w:val="005F049B"/>
    <w:rsid w:val="005F1096"/>
    <w:rsid w:val="005F1224"/>
    <w:rsid w:val="005F1329"/>
    <w:rsid w:val="005F1F1A"/>
    <w:rsid w:val="005F1F62"/>
    <w:rsid w:val="005F1FF3"/>
    <w:rsid w:val="005F23D5"/>
    <w:rsid w:val="005F2C52"/>
    <w:rsid w:val="005F2D62"/>
    <w:rsid w:val="005F3624"/>
    <w:rsid w:val="005F37FF"/>
    <w:rsid w:val="005F3CB8"/>
    <w:rsid w:val="005F3EEE"/>
    <w:rsid w:val="005F3FB0"/>
    <w:rsid w:val="005F468E"/>
    <w:rsid w:val="005F469A"/>
    <w:rsid w:val="005F4C1D"/>
    <w:rsid w:val="005F4C9A"/>
    <w:rsid w:val="005F4EA4"/>
    <w:rsid w:val="005F5217"/>
    <w:rsid w:val="005F521F"/>
    <w:rsid w:val="005F59BB"/>
    <w:rsid w:val="005F6239"/>
    <w:rsid w:val="005F668A"/>
    <w:rsid w:val="005F6A7C"/>
    <w:rsid w:val="005F6D6A"/>
    <w:rsid w:val="005F6DC6"/>
    <w:rsid w:val="005F735B"/>
    <w:rsid w:val="005F7C41"/>
    <w:rsid w:val="005F7F33"/>
    <w:rsid w:val="006007FF"/>
    <w:rsid w:val="00600CA3"/>
    <w:rsid w:val="006018F9"/>
    <w:rsid w:val="00601921"/>
    <w:rsid w:val="00601DFA"/>
    <w:rsid w:val="00601F12"/>
    <w:rsid w:val="00602419"/>
    <w:rsid w:val="00602F06"/>
    <w:rsid w:val="006035CF"/>
    <w:rsid w:val="00604193"/>
    <w:rsid w:val="00604250"/>
    <w:rsid w:val="006045C1"/>
    <w:rsid w:val="00604FA0"/>
    <w:rsid w:val="0060502C"/>
    <w:rsid w:val="006060A7"/>
    <w:rsid w:val="006066CE"/>
    <w:rsid w:val="00606E0E"/>
    <w:rsid w:val="00606EF5"/>
    <w:rsid w:val="006074BA"/>
    <w:rsid w:val="0060784D"/>
    <w:rsid w:val="006079B6"/>
    <w:rsid w:val="00607A8F"/>
    <w:rsid w:val="00610295"/>
    <w:rsid w:val="0061073D"/>
    <w:rsid w:val="00610BC3"/>
    <w:rsid w:val="006118FB"/>
    <w:rsid w:val="00611B6B"/>
    <w:rsid w:val="00612179"/>
    <w:rsid w:val="006121D3"/>
    <w:rsid w:val="006122E2"/>
    <w:rsid w:val="006125E4"/>
    <w:rsid w:val="00612C6B"/>
    <w:rsid w:val="006133E3"/>
    <w:rsid w:val="0061374C"/>
    <w:rsid w:val="00613CE9"/>
    <w:rsid w:val="00615D91"/>
    <w:rsid w:val="00616A5C"/>
    <w:rsid w:val="00616C4B"/>
    <w:rsid w:val="0061717D"/>
    <w:rsid w:val="00620164"/>
    <w:rsid w:val="006203A8"/>
    <w:rsid w:val="006207D4"/>
    <w:rsid w:val="00621AC1"/>
    <w:rsid w:val="00621D73"/>
    <w:rsid w:val="00621F65"/>
    <w:rsid w:val="006223BC"/>
    <w:rsid w:val="00622DD0"/>
    <w:rsid w:val="00623E24"/>
    <w:rsid w:val="00624FFE"/>
    <w:rsid w:val="00625403"/>
    <w:rsid w:val="00625520"/>
    <w:rsid w:val="00625789"/>
    <w:rsid w:val="00625B84"/>
    <w:rsid w:val="00625F12"/>
    <w:rsid w:val="00626E9E"/>
    <w:rsid w:val="00626EA3"/>
    <w:rsid w:val="006274E3"/>
    <w:rsid w:val="00630AC3"/>
    <w:rsid w:val="00630BBE"/>
    <w:rsid w:val="006311E2"/>
    <w:rsid w:val="00631692"/>
    <w:rsid w:val="006319A9"/>
    <w:rsid w:val="00631AD8"/>
    <w:rsid w:val="00631B2E"/>
    <w:rsid w:val="0063237F"/>
    <w:rsid w:val="00632418"/>
    <w:rsid w:val="00632DFA"/>
    <w:rsid w:val="00632E61"/>
    <w:rsid w:val="006336F4"/>
    <w:rsid w:val="00633BFB"/>
    <w:rsid w:val="00634A34"/>
    <w:rsid w:val="006352C4"/>
    <w:rsid w:val="006357F6"/>
    <w:rsid w:val="00635C1F"/>
    <w:rsid w:val="00635DAF"/>
    <w:rsid w:val="006363E7"/>
    <w:rsid w:val="00636D0F"/>
    <w:rsid w:val="0063718C"/>
    <w:rsid w:val="00637E42"/>
    <w:rsid w:val="00637FAC"/>
    <w:rsid w:val="00640C15"/>
    <w:rsid w:val="006412DC"/>
    <w:rsid w:val="00641390"/>
    <w:rsid w:val="0064153A"/>
    <w:rsid w:val="00641CEC"/>
    <w:rsid w:val="0064205B"/>
    <w:rsid w:val="00642290"/>
    <w:rsid w:val="00642639"/>
    <w:rsid w:val="00642C2E"/>
    <w:rsid w:val="00642DF2"/>
    <w:rsid w:val="0064365C"/>
    <w:rsid w:val="00643A1A"/>
    <w:rsid w:val="00643C36"/>
    <w:rsid w:val="006440D1"/>
    <w:rsid w:val="0064421D"/>
    <w:rsid w:val="006447B1"/>
    <w:rsid w:val="00645412"/>
    <w:rsid w:val="00645821"/>
    <w:rsid w:val="00645AF3"/>
    <w:rsid w:val="00646BBC"/>
    <w:rsid w:val="00647093"/>
    <w:rsid w:val="00647584"/>
    <w:rsid w:val="006476BA"/>
    <w:rsid w:val="00650149"/>
    <w:rsid w:val="00650B93"/>
    <w:rsid w:val="00650DAC"/>
    <w:rsid w:val="00650FCF"/>
    <w:rsid w:val="006513E3"/>
    <w:rsid w:val="00651425"/>
    <w:rsid w:val="006518FA"/>
    <w:rsid w:val="00652278"/>
    <w:rsid w:val="0065229D"/>
    <w:rsid w:val="006522E3"/>
    <w:rsid w:val="00652328"/>
    <w:rsid w:val="006523B7"/>
    <w:rsid w:val="00652B02"/>
    <w:rsid w:val="0065357F"/>
    <w:rsid w:val="0065393C"/>
    <w:rsid w:val="00653B2C"/>
    <w:rsid w:val="00653C3A"/>
    <w:rsid w:val="00653D19"/>
    <w:rsid w:val="00653DA7"/>
    <w:rsid w:val="00653F9B"/>
    <w:rsid w:val="0065431A"/>
    <w:rsid w:val="006543D6"/>
    <w:rsid w:val="00654CFE"/>
    <w:rsid w:val="0065526C"/>
    <w:rsid w:val="006565D8"/>
    <w:rsid w:val="00656903"/>
    <w:rsid w:val="00657A45"/>
    <w:rsid w:val="0066055E"/>
    <w:rsid w:val="00660B83"/>
    <w:rsid w:val="00660C8D"/>
    <w:rsid w:val="006612CE"/>
    <w:rsid w:val="00661437"/>
    <w:rsid w:val="0066147A"/>
    <w:rsid w:val="00661EE4"/>
    <w:rsid w:val="0066222F"/>
    <w:rsid w:val="0066263E"/>
    <w:rsid w:val="006629B5"/>
    <w:rsid w:val="006642E9"/>
    <w:rsid w:val="006648AF"/>
    <w:rsid w:val="00665635"/>
    <w:rsid w:val="0066578E"/>
    <w:rsid w:val="006658C5"/>
    <w:rsid w:val="00665B4B"/>
    <w:rsid w:val="00665B85"/>
    <w:rsid w:val="00666531"/>
    <w:rsid w:val="006665E6"/>
    <w:rsid w:val="00666777"/>
    <w:rsid w:val="00666AC6"/>
    <w:rsid w:val="00666C03"/>
    <w:rsid w:val="00666DBE"/>
    <w:rsid w:val="00666F65"/>
    <w:rsid w:val="00666F6F"/>
    <w:rsid w:val="00667018"/>
    <w:rsid w:val="00667E7C"/>
    <w:rsid w:val="00667F16"/>
    <w:rsid w:val="00667F6B"/>
    <w:rsid w:val="0067070D"/>
    <w:rsid w:val="00670ADD"/>
    <w:rsid w:val="00670C5A"/>
    <w:rsid w:val="0067125A"/>
    <w:rsid w:val="0067138F"/>
    <w:rsid w:val="0067149D"/>
    <w:rsid w:val="006716CC"/>
    <w:rsid w:val="0067185A"/>
    <w:rsid w:val="00671DC6"/>
    <w:rsid w:val="006722AB"/>
    <w:rsid w:val="00672618"/>
    <w:rsid w:val="00672ED3"/>
    <w:rsid w:val="0067346F"/>
    <w:rsid w:val="006737B0"/>
    <w:rsid w:val="00673FC4"/>
    <w:rsid w:val="00674597"/>
    <w:rsid w:val="00674818"/>
    <w:rsid w:val="00674C86"/>
    <w:rsid w:val="0067517E"/>
    <w:rsid w:val="00675DEF"/>
    <w:rsid w:val="00676929"/>
    <w:rsid w:val="0067751B"/>
    <w:rsid w:val="006779B2"/>
    <w:rsid w:val="00680360"/>
    <w:rsid w:val="006812E2"/>
    <w:rsid w:val="00681773"/>
    <w:rsid w:val="00681997"/>
    <w:rsid w:val="00681C38"/>
    <w:rsid w:val="00681D87"/>
    <w:rsid w:val="006823F4"/>
    <w:rsid w:val="00682649"/>
    <w:rsid w:val="00682B8E"/>
    <w:rsid w:val="00682D55"/>
    <w:rsid w:val="00682D91"/>
    <w:rsid w:val="00682FDB"/>
    <w:rsid w:val="0068372A"/>
    <w:rsid w:val="006842D0"/>
    <w:rsid w:val="006844B3"/>
    <w:rsid w:val="006846A3"/>
    <w:rsid w:val="006847CD"/>
    <w:rsid w:val="00684D74"/>
    <w:rsid w:val="006858B7"/>
    <w:rsid w:val="00685A18"/>
    <w:rsid w:val="00685F7E"/>
    <w:rsid w:val="00686077"/>
    <w:rsid w:val="00686786"/>
    <w:rsid w:val="00686DDF"/>
    <w:rsid w:val="00687378"/>
    <w:rsid w:val="00687516"/>
    <w:rsid w:val="0068792A"/>
    <w:rsid w:val="00687FB5"/>
    <w:rsid w:val="00690902"/>
    <w:rsid w:val="00690963"/>
    <w:rsid w:val="00691C71"/>
    <w:rsid w:val="00691EE7"/>
    <w:rsid w:val="006920B8"/>
    <w:rsid w:val="00692909"/>
    <w:rsid w:val="00693207"/>
    <w:rsid w:val="0069389F"/>
    <w:rsid w:val="00693B28"/>
    <w:rsid w:val="00693C3A"/>
    <w:rsid w:val="00693E83"/>
    <w:rsid w:val="006950E7"/>
    <w:rsid w:val="006950F7"/>
    <w:rsid w:val="006953E6"/>
    <w:rsid w:val="00695B3E"/>
    <w:rsid w:val="00695DE2"/>
    <w:rsid w:val="006962A9"/>
    <w:rsid w:val="006963FB"/>
    <w:rsid w:val="0069656D"/>
    <w:rsid w:val="006967EE"/>
    <w:rsid w:val="00697BF0"/>
    <w:rsid w:val="006A04E9"/>
    <w:rsid w:val="006A1A02"/>
    <w:rsid w:val="006A1AD7"/>
    <w:rsid w:val="006A2199"/>
    <w:rsid w:val="006A2751"/>
    <w:rsid w:val="006A2770"/>
    <w:rsid w:val="006A2A32"/>
    <w:rsid w:val="006A320F"/>
    <w:rsid w:val="006A34EB"/>
    <w:rsid w:val="006A3D51"/>
    <w:rsid w:val="006A4472"/>
    <w:rsid w:val="006A5287"/>
    <w:rsid w:val="006A5398"/>
    <w:rsid w:val="006A59DD"/>
    <w:rsid w:val="006A5C6B"/>
    <w:rsid w:val="006A6405"/>
    <w:rsid w:val="006A696B"/>
    <w:rsid w:val="006A6AB1"/>
    <w:rsid w:val="006A6D04"/>
    <w:rsid w:val="006A7387"/>
    <w:rsid w:val="006A772B"/>
    <w:rsid w:val="006A7C56"/>
    <w:rsid w:val="006B08BE"/>
    <w:rsid w:val="006B093E"/>
    <w:rsid w:val="006B139C"/>
    <w:rsid w:val="006B158B"/>
    <w:rsid w:val="006B1C82"/>
    <w:rsid w:val="006B1E86"/>
    <w:rsid w:val="006B216C"/>
    <w:rsid w:val="006B2267"/>
    <w:rsid w:val="006B22A9"/>
    <w:rsid w:val="006B22C7"/>
    <w:rsid w:val="006B2441"/>
    <w:rsid w:val="006B2804"/>
    <w:rsid w:val="006B2932"/>
    <w:rsid w:val="006B2A95"/>
    <w:rsid w:val="006B31FD"/>
    <w:rsid w:val="006B3EB8"/>
    <w:rsid w:val="006B45F1"/>
    <w:rsid w:val="006B46AE"/>
    <w:rsid w:val="006B4814"/>
    <w:rsid w:val="006B4B71"/>
    <w:rsid w:val="006B4D2E"/>
    <w:rsid w:val="006B5C60"/>
    <w:rsid w:val="006B5F51"/>
    <w:rsid w:val="006B7B42"/>
    <w:rsid w:val="006B7BD5"/>
    <w:rsid w:val="006C05F7"/>
    <w:rsid w:val="006C07A1"/>
    <w:rsid w:val="006C0A1F"/>
    <w:rsid w:val="006C101B"/>
    <w:rsid w:val="006C14E0"/>
    <w:rsid w:val="006C16D9"/>
    <w:rsid w:val="006C1900"/>
    <w:rsid w:val="006C1C46"/>
    <w:rsid w:val="006C1E51"/>
    <w:rsid w:val="006C2323"/>
    <w:rsid w:val="006C3F76"/>
    <w:rsid w:val="006C46A0"/>
    <w:rsid w:val="006C4A8F"/>
    <w:rsid w:val="006C4D7C"/>
    <w:rsid w:val="006C4EB3"/>
    <w:rsid w:val="006C5088"/>
    <w:rsid w:val="006C50C3"/>
    <w:rsid w:val="006C5347"/>
    <w:rsid w:val="006C58CE"/>
    <w:rsid w:val="006C59DE"/>
    <w:rsid w:val="006C5D85"/>
    <w:rsid w:val="006C6077"/>
    <w:rsid w:val="006C63A2"/>
    <w:rsid w:val="006C6B24"/>
    <w:rsid w:val="006C6EA3"/>
    <w:rsid w:val="006C6F4A"/>
    <w:rsid w:val="006C70EA"/>
    <w:rsid w:val="006C7263"/>
    <w:rsid w:val="006C76B4"/>
    <w:rsid w:val="006C7867"/>
    <w:rsid w:val="006D028C"/>
    <w:rsid w:val="006D06F3"/>
    <w:rsid w:val="006D1FE5"/>
    <w:rsid w:val="006D28B2"/>
    <w:rsid w:val="006D2C0D"/>
    <w:rsid w:val="006D3E1E"/>
    <w:rsid w:val="006D3FD1"/>
    <w:rsid w:val="006D4C34"/>
    <w:rsid w:val="006D4C47"/>
    <w:rsid w:val="006D5F7F"/>
    <w:rsid w:val="006D61DA"/>
    <w:rsid w:val="006D633B"/>
    <w:rsid w:val="006D6465"/>
    <w:rsid w:val="006D6751"/>
    <w:rsid w:val="006D6753"/>
    <w:rsid w:val="006D6C46"/>
    <w:rsid w:val="006D7112"/>
    <w:rsid w:val="006D7ABC"/>
    <w:rsid w:val="006D7B33"/>
    <w:rsid w:val="006D7B36"/>
    <w:rsid w:val="006D7D95"/>
    <w:rsid w:val="006E001B"/>
    <w:rsid w:val="006E00B7"/>
    <w:rsid w:val="006E05C9"/>
    <w:rsid w:val="006E06B1"/>
    <w:rsid w:val="006E08C8"/>
    <w:rsid w:val="006E0957"/>
    <w:rsid w:val="006E10D9"/>
    <w:rsid w:val="006E1FF6"/>
    <w:rsid w:val="006E229B"/>
    <w:rsid w:val="006E2F30"/>
    <w:rsid w:val="006E32B1"/>
    <w:rsid w:val="006E3738"/>
    <w:rsid w:val="006E3F8C"/>
    <w:rsid w:val="006E4368"/>
    <w:rsid w:val="006E4ADB"/>
    <w:rsid w:val="006E5A19"/>
    <w:rsid w:val="006E5F1E"/>
    <w:rsid w:val="006E6532"/>
    <w:rsid w:val="006E725E"/>
    <w:rsid w:val="006E7A1A"/>
    <w:rsid w:val="006E7E11"/>
    <w:rsid w:val="006F056D"/>
    <w:rsid w:val="006F11AF"/>
    <w:rsid w:val="006F1463"/>
    <w:rsid w:val="006F293C"/>
    <w:rsid w:val="006F2E38"/>
    <w:rsid w:val="006F3433"/>
    <w:rsid w:val="006F4882"/>
    <w:rsid w:val="006F5190"/>
    <w:rsid w:val="006F51A2"/>
    <w:rsid w:val="006F5272"/>
    <w:rsid w:val="006F56EE"/>
    <w:rsid w:val="006F56F0"/>
    <w:rsid w:val="006F62A8"/>
    <w:rsid w:val="006F648B"/>
    <w:rsid w:val="006F684B"/>
    <w:rsid w:val="006F7112"/>
    <w:rsid w:val="0070051E"/>
    <w:rsid w:val="00700D64"/>
    <w:rsid w:val="00700D85"/>
    <w:rsid w:val="00700F90"/>
    <w:rsid w:val="0070100D"/>
    <w:rsid w:val="00701E40"/>
    <w:rsid w:val="00702888"/>
    <w:rsid w:val="00702CB5"/>
    <w:rsid w:val="00702D2F"/>
    <w:rsid w:val="00703290"/>
    <w:rsid w:val="00703307"/>
    <w:rsid w:val="00703383"/>
    <w:rsid w:val="0070469F"/>
    <w:rsid w:val="007051BE"/>
    <w:rsid w:val="0070567C"/>
    <w:rsid w:val="00705D4C"/>
    <w:rsid w:val="00706653"/>
    <w:rsid w:val="00706774"/>
    <w:rsid w:val="007069DA"/>
    <w:rsid w:val="00706B03"/>
    <w:rsid w:val="00706F15"/>
    <w:rsid w:val="00707DED"/>
    <w:rsid w:val="0071059F"/>
    <w:rsid w:val="0071129D"/>
    <w:rsid w:val="00711B13"/>
    <w:rsid w:val="00711D28"/>
    <w:rsid w:val="00712183"/>
    <w:rsid w:val="00712651"/>
    <w:rsid w:val="00712A41"/>
    <w:rsid w:val="00712CC0"/>
    <w:rsid w:val="00713DB4"/>
    <w:rsid w:val="0071439C"/>
    <w:rsid w:val="0071455A"/>
    <w:rsid w:val="007146A4"/>
    <w:rsid w:val="00714990"/>
    <w:rsid w:val="00715B5B"/>
    <w:rsid w:val="00715BF2"/>
    <w:rsid w:val="0071649C"/>
    <w:rsid w:val="007166A2"/>
    <w:rsid w:val="007166D0"/>
    <w:rsid w:val="007166E1"/>
    <w:rsid w:val="0071697E"/>
    <w:rsid w:val="00716C13"/>
    <w:rsid w:val="00716C53"/>
    <w:rsid w:val="00716FD1"/>
    <w:rsid w:val="00717B62"/>
    <w:rsid w:val="00717EA8"/>
    <w:rsid w:val="00717F5F"/>
    <w:rsid w:val="0072016C"/>
    <w:rsid w:val="007201AD"/>
    <w:rsid w:val="0072077D"/>
    <w:rsid w:val="007207BB"/>
    <w:rsid w:val="00720D30"/>
    <w:rsid w:val="0072147F"/>
    <w:rsid w:val="00721F15"/>
    <w:rsid w:val="0072235A"/>
    <w:rsid w:val="00722B28"/>
    <w:rsid w:val="00722C6E"/>
    <w:rsid w:val="00723A27"/>
    <w:rsid w:val="00723A48"/>
    <w:rsid w:val="0072406D"/>
    <w:rsid w:val="007240D2"/>
    <w:rsid w:val="00725501"/>
    <w:rsid w:val="007255F1"/>
    <w:rsid w:val="00725E44"/>
    <w:rsid w:val="007269F9"/>
    <w:rsid w:val="0072749C"/>
    <w:rsid w:val="007279E3"/>
    <w:rsid w:val="007279FC"/>
    <w:rsid w:val="00727EA1"/>
    <w:rsid w:val="00730058"/>
    <w:rsid w:val="00730385"/>
    <w:rsid w:val="00730CAF"/>
    <w:rsid w:val="00731050"/>
    <w:rsid w:val="007318B3"/>
    <w:rsid w:val="00731A40"/>
    <w:rsid w:val="00731ABF"/>
    <w:rsid w:val="00731EFC"/>
    <w:rsid w:val="007320A4"/>
    <w:rsid w:val="007328A7"/>
    <w:rsid w:val="007328AE"/>
    <w:rsid w:val="00733214"/>
    <w:rsid w:val="007334F7"/>
    <w:rsid w:val="00733B2E"/>
    <w:rsid w:val="007344FE"/>
    <w:rsid w:val="00734CD6"/>
    <w:rsid w:val="007361A7"/>
    <w:rsid w:val="007368C0"/>
    <w:rsid w:val="00736D93"/>
    <w:rsid w:val="0073711D"/>
    <w:rsid w:val="00737454"/>
    <w:rsid w:val="0073785C"/>
    <w:rsid w:val="00737B4B"/>
    <w:rsid w:val="00737CC5"/>
    <w:rsid w:val="007407AF"/>
    <w:rsid w:val="00740CA4"/>
    <w:rsid w:val="00741AA7"/>
    <w:rsid w:val="00742259"/>
    <w:rsid w:val="00742C0B"/>
    <w:rsid w:val="00742F7D"/>
    <w:rsid w:val="0074352D"/>
    <w:rsid w:val="007435DC"/>
    <w:rsid w:val="0074392C"/>
    <w:rsid w:val="00743CAA"/>
    <w:rsid w:val="00743D8C"/>
    <w:rsid w:val="00743E19"/>
    <w:rsid w:val="007446CB"/>
    <w:rsid w:val="0074472C"/>
    <w:rsid w:val="00745D4F"/>
    <w:rsid w:val="007462C9"/>
    <w:rsid w:val="0074637F"/>
    <w:rsid w:val="00746D5B"/>
    <w:rsid w:val="0074742A"/>
    <w:rsid w:val="00750664"/>
    <w:rsid w:val="00750907"/>
    <w:rsid w:val="00750A5B"/>
    <w:rsid w:val="00750C9D"/>
    <w:rsid w:val="00751026"/>
    <w:rsid w:val="00751055"/>
    <w:rsid w:val="00751166"/>
    <w:rsid w:val="00751AE1"/>
    <w:rsid w:val="007520DE"/>
    <w:rsid w:val="0075242E"/>
    <w:rsid w:val="007525D0"/>
    <w:rsid w:val="007536A9"/>
    <w:rsid w:val="00753DE7"/>
    <w:rsid w:val="007544D4"/>
    <w:rsid w:val="007546E7"/>
    <w:rsid w:val="00754A82"/>
    <w:rsid w:val="00754C21"/>
    <w:rsid w:val="00754CA2"/>
    <w:rsid w:val="0075501D"/>
    <w:rsid w:val="0075573E"/>
    <w:rsid w:val="00755F05"/>
    <w:rsid w:val="00756B6D"/>
    <w:rsid w:val="00756F9F"/>
    <w:rsid w:val="00757289"/>
    <w:rsid w:val="007572F6"/>
    <w:rsid w:val="00757608"/>
    <w:rsid w:val="007576B6"/>
    <w:rsid w:val="00757715"/>
    <w:rsid w:val="00760219"/>
    <w:rsid w:val="0076099F"/>
    <w:rsid w:val="00760A43"/>
    <w:rsid w:val="00761321"/>
    <w:rsid w:val="007616C5"/>
    <w:rsid w:val="00761E03"/>
    <w:rsid w:val="00761F5E"/>
    <w:rsid w:val="007621D8"/>
    <w:rsid w:val="00762611"/>
    <w:rsid w:val="00762B11"/>
    <w:rsid w:val="00762FCA"/>
    <w:rsid w:val="00763497"/>
    <w:rsid w:val="0076376A"/>
    <w:rsid w:val="007642B9"/>
    <w:rsid w:val="007643CB"/>
    <w:rsid w:val="00764674"/>
    <w:rsid w:val="00764D21"/>
    <w:rsid w:val="00764EB1"/>
    <w:rsid w:val="00766AC7"/>
    <w:rsid w:val="00766D32"/>
    <w:rsid w:val="00767C85"/>
    <w:rsid w:val="00771289"/>
    <w:rsid w:val="00772524"/>
    <w:rsid w:val="007728E2"/>
    <w:rsid w:val="0077310E"/>
    <w:rsid w:val="007734B3"/>
    <w:rsid w:val="00773724"/>
    <w:rsid w:val="00773D8D"/>
    <w:rsid w:val="00774438"/>
    <w:rsid w:val="007745D1"/>
    <w:rsid w:val="00774BC2"/>
    <w:rsid w:val="0077547A"/>
    <w:rsid w:val="00775532"/>
    <w:rsid w:val="00775846"/>
    <w:rsid w:val="007766F9"/>
    <w:rsid w:val="007768E9"/>
    <w:rsid w:val="00776B87"/>
    <w:rsid w:val="00777588"/>
    <w:rsid w:val="00777925"/>
    <w:rsid w:val="007779F8"/>
    <w:rsid w:val="00777D9C"/>
    <w:rsid w:val="00777EFA"/>
    <w:rsid w:val="00780905"/>
    <w:rsid w:val="00780AB0"/>
    <w:rsid w:val="00780DC3"/>
    <w:rsid w:val="00781414"/>
    <w:rsid w:val="0078228E"/>
    <w:rsid w:val="00782B8C"/>
    <w:rsid w:val="00782BA3"/>
    <w:rsid w:val="00782DFC"/>
    <w:rsid w:val="007830CF"/>
    <w:rsid w:val="0078375F"/>
    <w:rsid w:val="00784740"/>
    <w:rsid w:val="00784F0E"/>
    <w:rsid w:val="00785CE9"/>
    <w:rsid w:val="00785F6D"/>
    <w:rsid w:val="00786460"/>
    <w:rsid w:val="00786713"/>
    <w:rsid w:val="007869F4"/>
    <w:rsid w:val="00786A25"/>
    <w:rsid w:val="00787582"/>
    <w:rsid w:val="00787F1B"/>
    <w:rsid w:val="00790E25"/>
    <w:rsid w:val="00790EAB"/>
    <w:rsid w:val="0079125A"/>
    <w:rsid w:val="00791551"/>
    <w:rsid w:val="0079158F"/>
    <w:rsid w:val="0079200B"/>
    <w:rsid w:val="007925DE"/>
    <w:rsid w:val="00792C00"/>
    <w:rsid w:val="00792F67"/>
    <w:rsid w:val="0079315A"/>
    <w:rsid w:val="00793231"/>
    <w:rsid w:val="0079385B"/>
    <w:rsid w:val="00793FC0"/>
    <w:rsid w:val="0079441A"/>
    <w:rsid w:val="00794904"/>
    <w:rsid w:val="00794BA8"/>
    <w:rsid w:val="00794E4E"/>
    <w:rsid w:val="0079540E"/>
    <w:rsid w:val="00795557"/>
    <w:rsid w:val="007958CE"/>
    <w:rsid w:val="007959C0"/>
    <w:rsid w:val="007967AC"/>
    <w:rsid w:val="00796C5C"/>
    <w:rsid w:val="00796D55"/>
    <w:rsid w:val="0079783D"/>
    <w:rsid w:val="00797A24"/>
    <w:rsid w:val="00797DE4"/>
    <w:rsid w:val="007A02C0"/>
    <w:rsid w:val="007A0629"/>
    <w:rsid w:val="007A0F45"/>
    <w:rsid w:val="007A1812"/>
    <w:rsid w:val="007A20BB"/>
    <w:rsid w:val="007A2184"/>
    <w:rsid w:val="007A2275"/>
    <w:rsid w:val="007A288D"/>
    <w:rsid w:val="007A2A1D"/>
    <w:rsid w:val="007A2B2B"/>
    <w:rsid w:val="007A334C"/>
    <w:rsid w:val="007A33BC"/>
    <w:rsid w:val="007A3D26"/>
    <w:rsid w:val="007A48EC"/>
    <w:rsid w:val="007A4A11"/>
    <w:rsid w:val="007A554D"/>
    <w:rsid w:val="007A5832"/>
    <w:rsid w:val="007A5DFB"/>
    <w:rsid w:val="007A5E18"/>
    <w:rsid w:val="007A5EF5"/>
    <w:rsid w:val="007A6C32"/>
    <w:rsid w:val="007A72BE"/>
    <w:rsid w:val="007A73B7"/>
    <w:rsid w:val="007A7B2D"/>
    <w:rsid w:val="007A7B2F"/>
    <w:rsid w:val="007A7B5F"/>
    <w:rsid w:val="007B0001"/>
    <w:rsid w:val="007B00C4"/>
    <w:rsid w:val="007B01AA"/>
    <w:rsid w:val="007B0492"/>
    <w:rsid w:val="007B065A"/>
    <w:rsid w:val="007B0ADB"/>
    <w:rsid w:val="007B0CA4"/>
    <w:rsid w:val="007B12EA"/>
    <w:rsid w:val="007B13F2"/>
    <w:rsid w:val="007B1437"/>
    <w:rsid w:val="007B25AB"/>
    <w:rsid w:val="007B2D76"/>
    <w:rsid w:val="007B33B1"/>
    <w:rsid w:val="007B357D"/>
    <w:rsid w:val="007B3930"/>
    <w:rsid w:val="007B3B3A"/>
    <w:rsid w:val="007B3C3E"/>
    <w:rsid w:val="007B3C46"/>
    <w:rsid w:val="007B4C9C"/>
    <w:rsid w:val="007B5458"/>
    <w:rsid w:val="007B63F7"/>
    <w:rsid w:val="007B704C"/>
    <w:rsid w:val="007B7555"/>
    <w:rsid w:val="007B7790"/>
    <w:rsid w:val="007B7884"/>
    <w:rsid w:val="007C0139"/>
    <w:rsid w:val="007C0154"/>
    <w:rsid w:val="007C0A9B"/>
    <w:rsid w:val="007C1771"/>
    <w:rsid w:val="007C181E"/>
    <w:rsid w:val="007C1880"/>
    <w:rsid w:val="007C2C10"/>
    <w:rsid w:val="007C2E1C"/>
    <w:rsid w:val="007C30CC"/>
    <w:rsid w:val="007C3A83"/>
    <w:rsid w:val="007C3E83"/>
    <w:rsid w:val="007C52B6"/>
    <w:rsid w:val="007C5B46"/>
    <w:rsid w:val="007C63F2"/>
    <w:rsid w:val="007C63FA"/>
    <w:rsid w:val="007C66E5"/>
    <w:rsid w:val="007C6741"/>
    <w:rsid w:val="007C6F9B"/>
    <w:rsid w:val="007C7216"/>
    <w:rsid w:val="007C749C"/>
    <w:rsid w:val="007C7F87"/>
    <w:rsid w:val="007D008E"/>
    <w:rsid w:val="007D032F"/>
    <w:rsid w:val="007D11F7"/>
    <w:rsid w:val="007D2251"/>
    <w:rsid w:val="007D2440"/>
    <w:rsid w:val="007D2474"/>
    <w:rsid w:val="007D27E3"/>
    <w:rsid w:val="007D2E6F"/>
    <w:rsid w:val="007D314F"/>
    <w:rsid w:val="007D3B39"/>
    <w:rsid w:val="007D469A"/>
    <w:rsid w:val="007D4EDA"/>
    <w:rsid w:val="007D611F"/>
    <w:rsid w:val="007D64B0"/>
    <w:rsid w:val="007D73DA"/>
    <w:rsid w:val="007D7775"/>
    <w:rsid w:val="007D7852"/>
    <w:rsid w:val="007D7D94"/>
    <w:rsid w:val="007E1060"/>
    <w:rsid w:val="007E10EC"/>
    <w:rsid w:val="007E12CB"/>
    <w:rsid w:val="007E13A1"/>
    <w:rsid w:val="007E170D"/>
    <w:rsid w:val="007E2243"/>
    <w:rsid w:val="007E27E0"/>
    <w:rsid w:val="007E2C8D"/>
    <w:rsid w:val="007E35A1"/>
    <w:rsid w:val="007E3DBC"/>
    <w:rsid w:val="007E3DF4"/>
    <w:rsid w:val="007E3FF0"/>
    <w:rsid w:val="007E4519"/>
    <w:rsid w:val="007E49AF"/>
    <w:rsid w:val="007E4B39"/>
    <w:rsid w:val="007E4BE1"/>
    <w:rsid w:val="007E52EA"/>
    <w:rsid w:val="007E55A0"/>
    <w:rsid w:val="007E5C64"/>
    <w:rsid w:val="007E5FFA"/>
    <w:rsid w:val="007E66C9"/>
    <w:rsid w:val="007E6FC8"/>
    <w:rsid w:val="007E72E1"/>
    <w:rsid w:val="007E732E"/>
    <w:rsid w:val="007E74C1"/>
    <w:rsid w:val="007F0172"/>
    <w:rsid w:val="007F0377"/>
    <w:rsid w:val="007F0489"/>
    <w:rsid w:val="007F0639"/>
    <w:rsid w:val="007F07D5"/>
    <w:rsid w:val="007F0FBA"/>
    <w:rsid w:val="007F158D"/>
    <w:rsid w:val="007F1D17"/>
    <w:rsid w:val="007F2106"/>
    <w:rsid w:val="007F25EC"/>
    <w:rsid w:val="007F2C2C"/>
    <w:rsid w:val="007F307A"/>
    <w:rsid w:val="007F30E1"/>
    <w:rsid w:val="007F3176"/>
    <w:rsid w:val="007F32EE"/>
    <w:rsid w:val="007F3819"/>
    <w:rsid w:val="007F444D"/>
    <w:rsid w:val="007F47D9"/>
    <w:rsid w:val="007F4F87"/>
    <w:rsid w:val="007F58F5"/>
    <w:rsid w:val="007F5C32"/>
    <w:rsid w:val="007F616D"/>
    <w:rsid w:val="007F6423"/>
    <w:rsid w:val="007F79EF"/>
    <w:rsid w:val="007F7DEF"/>
    <w:rsid w:val="007F7FFE"/>
    <w:rsid w:val="00800115"/>
    <w:rsid w:val="00800DD2"/>
    <w:rsid w:val="00800F46"/>
    <w:rsid w:val="00801033"/>
    <w:rsid w:val="00801570"/>
    <w:rsid w:val="00801C0B"/>
    <w:rsid w:val="008020FC"/>
    <w:rsid w:val="00802662"/>
    <w:rsid w:val="008027D7"/>
    <w:rsid w:val="0080287A"/>
    <w:rsid w:val="00802F5A"/>
    <w:rsid w:val="00803562"/>
    <w:rsid w:val="00803B21"/>
    <w:rsid w:val="00803CA0"/>
    <w:rsid w:val="00803DA2"/>
    <w:rsid w:val="00803E98"/>
    <w:rsid w:val="00803F6E"/>
    <w:rsid w:val="00804048"/>
    <w:rsid w:val="00804B36"/>
    <w:rsid w:val="00804B55"/>
    <w:rsid w:val="00804CE4"/>
    <w:rsid w:val="0080588B"/>
    <w:rsid w:val="00806119"/>
    <w:rsid w:val="0080693A"/>
    <w:rsid w:val="00806D8D"/>
    <w:rsid w:val="0081021F"/>
    <w:rsid w:val="00810559"/>
    <w:rsid w:val="008105AD"/>
    <w:rsid w:val="008105B4"/>
    <w:rsid w:val="00810854"/>
    <w:rsid w:val="00810CB4"/>
    <w:rsid w:val="0081121C"/>
    <w:rsid w:val="008115AA"/>
    <w:rsid w:val="00811684"/>
    <w:rsid w:val="0081188A"/>
    <w:rsid w:val="00811DE9"/>
    <w:rsid w:val="00811ED6"/>
    <w:rsid w:val="00811FA5"/>
    <w:rsid w:val="00812225"/>
    <w:rsid w:val="0081330B"/>
    <w:rsid w:val="008138EC"/>
    <w:rsid w:val="00813D36"/>
    <w:rsid w:val="00813EC4"/>
    <w:rsid w:val="00814169"/>
    <w:rsid w:val="00814211"/>
    <w:rsid w:val="00814362"/>
    <w:rsid w:val="00814ABE"/>
    <w:rsid w:val="00814E9D"/>
    <w:rsid w:val="00815286"/>
    <w:rsid w:val="00815884"/>
    <w:rsid w:val="00816399"/>
    <w:rsid w:val="00817350"/>
    <w:rsid w:val="008174C8"/>
    <w:rsid w:val="008178C6"/>
    <w:rsid w:val="00817E07"/>
    <w:rsid w:val="00820AA3"/>
    <w:rsid w:val="00820F53"/>
    <w:rsid w:val="008216FD"/>
    <w:rsid w:val="0082177D"/>
    <w:rsid w:val="00821BC9"/>
    <w:rsid w:val="00821CE8"/>
    <w:rsid w:val="00821FFA"/>
    <w:rsid w:val="00822DF4"/>
    <w:rsid w:val="008235DF"/>
    <w:rsid w:val="00823B99"/>
    <w:rsid w:val="008240E6"/>
    <w:rsid w:val="00824252"/>
    <w:rsid w:val="00824ABA"/>
    <w:rsid w:val="00824B1F"/>
    <w:rsid w:val="00824FEB"/>
    <w:rsid w:val="008251EE"/>
    <w:rsid w:val="0082588B"/>
    <w:rsid w:val="00825DAD"/>
    <w:rsid w:val="0082625A"/>
    <w:rsid w:val="00826A95"/>
    <w:rsid w:val="00826E45"/>
    <w:rsid w:val="00827B18"/>
    <w:rsid w:val="00830C10"/>
    <w:rsid w:val="00831279"/>
    <w:rsid w:val="00831296"/>
    <w:rsid w:val="0083144D"/>
    <w:rsid w:val="00831E45"/>
    <w:rsid w:val="00831F4A"/>
    <w:rsid w:val="008320D3"/>
    <w:rsid w:val="008320D7"/>
    <w:rsid w:val="008321E5"/>
    <w:rsid w:val="00832227"/>
    <w:rsid w:val="00832229"/>
    <w:rsid w:val="008322EF"/>
    <w:rsid w:val="008324F1"/>
    <w:rsid w:val="0083281A"/>
    <w:rsid w:val="008339AE"/>
    <w:rsid w:val="00833A6F"/>
    <w:rsid w:val="0083465F"/>
    <w:rsid w:val="00834697"/>
    <w:rsid w:val="008349CE"/>
    <w:rsid w:val="00834FC5"/>
    <w:rsid w:val="0083542A"/>
    <w:rsid w:val="00835635"/>
    <w:rsid w:val="008358A4"/>
    <w:rsid w:val="00835B4E"/>
    <w:rsid w:val="00835BBF"/>
    <w:rsid w:val="00836557"/>
    <w:rsid w:val="00836768"/>
    <w:rsid w:val="00836E2D"/>
    <w:rsid w:val="0083700D"/>
    <w:rsid w:val="0083734F"/>
    <w:rsid w:val="0083752A"/>
    <w:rsid w:val="008377EA"/>
    <w:rsid w:val="008378FB"/>
    <w:rsid w:val="00840009"/>
    <w:rsid w:val="0084031C"/>
    <w:rsid w:val="00840F5E"/>
    <w:rsid w:val="008410C2"/>
    <w:rsid w:val="0084162E"/>
    <w:rsid w:val="008416C3"/>
    <w:rsid w:val="008418EC"/>
    <w:rsid w:val="00842E68"/>
    <w:rsid w:val="00842EDA"/>
    <w:rsid w:val="00843725"/>
    <w:rsid w:val="00843B05"/>
    <w:rsid w:val="00844277"/>
    <w:rsid w:val="00844AF7"/>
    <w:rsid w:val="00844ED2"/>
    <w:rsid w:val="008453D0"/>
    <w:rsid w:val="00845CF3"/>
    <w:rsid w:val="00845E9D"/>
    <w:rsid w:val="00846618"/>
    <w:rsid w:val="00846787"/>
    <w:rsid w:val="00846868"/>
    <w:rsid w:val="00846F62"/>
    <w:rsid w:val="008501C5"/>
    <w:rsid w:val="0085043C"/>
    <w:rsid w:val="008504E9"/>
    <w:rsid w:val="00850B89"/>
    <w:rsid w:val="0085136A"/>
    <w:rsid w:val="00851BAC"/>
    <w:rsid w:val="00851D24"/>
    <w:rsid w:val="00852638"/>
    <w:rsid w:val="00852DB3"/>
    <w:rsid w:val="008530CC"/>
    <w:rsid w:val="00853815"/>
    <w:rsid w:val="008538BE"/>
    <w:rsid w:val="00854452"/>
    <w:rsid w:val="00854F41"/>
    <w:rsid w:val="00855C1B"/>
    <w:rsid w:val="00855CDD"/>
    <w:rsid w:val="00856C78"/>
    <w:rsid w:val="00856E56"/>
    <w:rsid w:val="008570A1"/>
    <w:rsid w:val="00857467"/>
    <w:rsid w:val="00857AEB"/>
    <w:rsid w:val="00857BFF"/>
    <w:rsid w:val="0086014C"/>
    <w:rsid w:val="008604F8"/>
    <w:rsid w:val="00860704"/>
    <w:rsid w:val="00860BBF"/>
    <w:rsid w:val="00861363"/>
    <w:rsid w:val="00861FD6"/>
    <w:rsid w:val="00862519"/>
    <w:rsid w:val="00863150"/>
    <w:rsid w:val="0086368A"/>
    <w:rsid w:val="00864092"/>
    <w:rsid w:val="0086581A"/>
    <w:rsid w:val="00865852"/>
    <w:rsid w:val="008659B8"/>
    <w:rsid w:val="00865D6E"/>
    <w:rsid w:val="00865E7C"/>
    <w:rsid w:val="008662BA"/>
    <w:rsid w:val="00867A73"/>
    <w:rsid w:val="00867B95"/>
    <w:rsid w:val="00867C15"/>
    <w:rsid w:val="00867E03"/>
    <w:rsid w:val="00870684"/>
    <w:rsid w:val="00870D5E"/>
    <w:rsid w:val="00870FA9"/>
    <w:rsid w:val="00871505"/>
    <w:rsid w:val="00871787"/>
    <w:rsid w:val="00871C4E"/>
    <w:rsid w:val="00872903"/>
    <w:rsid w:val="00872A95"/>
    <w:rsid w:val="00872CF5"/>
    <w:rsid w:val="00872E22"/>
    <w:rsid w:val="00873475"/>
    <w:rsid w:val="0087368E"/>
    <w:rsid w:val="008744C3"/>
    <w:rsid w:val="00874630"/>
    <w:rsid w:val="008750C2"/>
    <w:rsid w:val="0087560D"/>
    <w:rsid w:val="008761D8"/>
    <w:rsid w:val="00876656"/>
    <w:rsid w:val="00876A67"/>
    <w:rsid w:val="00876D4B"/>
    <w:rsid w:val="008771FE"/>
    <w:rsid w:val="008776CE"/>
    <w:rsid w:val="00877755"/>
    <w:rsid w:val="00877869"/>
    <w:rsid w:val="008779F4"/>
    <w:rsid w:val="008809EA"/>
    <w:rsid w:val="00880A33"/>
    <w:rsid w:val="008816E2"/>
    <w:rsid w:val="008818DF"/>
    <w:rsid w:val="0088201B"/>
    <w:rsid w:val="0088242E"/>
    <w:rsid w:val="008824F0"/>
    <w:rsid w:val="0088257F"/>
    <w:rsid w:val="008825E6"/>
    <w:rsid w:val="008828AC"/>
    <w:rsid w:val="00882AA8"/>
    <w:rsid w:val="00883142"/>
    <w:rsid w:val="00883889"/>
    <w:rsid w:val="00883AE4"/>
    <w:rsid w:val="00883CFA"/>
    <w:rsid w:val="00883E8F"/>
    <w:rsid w:val="00883F7C"/>
    <w:rsid w:val="0088460A"/>
    <w:rsid w:val="008849B4"/>
    <w:rsid w:val="00884A89"/>
    <w:rsid w:val="00884BC4"/>
    <w:rsid w:val="00884BCE"/>
    <w:rsid w:val="00885B73"/>
    <w:rsid w:val="00885D03"/>
    <w:rsid w:val="00885EFE"/>
    <w:rsid w:val="00886615"/>
    <w:rsid w:val="008873CE"/>
    <w:rsid w:val="00890305"/>
    <w:rsid w:val="00890809"/>
    <w:rsid w:val="0089085F"/>
    <w:rsid w:val="0089094D"/>
    <w:rsid w:val="00891059"/>
    <w:rsid w:val="008910CA"/>
    <w:rsid w:val="0089116B"/>
    <w:rsid w:val="008916E7"/>
    <w:rsid w:val="00891F6D"/>
    <w:rsid w:val="008928C9"/>
    <w:rsid w:val="0089318E"/>
    <w:rsid w:val="00893CAA"/>
    <w:rsid w:val="00894184"/>
    <w:rsid w:val="00894340"/>
    <w:rsid w:val="00894B08"/>
    <w:rsid w:val="00895E96"/>
    <w:rsid w:val="00896840"/>
    <w:rsid w:val="00897735"/>
    <w:rsid w:val="00897F90"/>
    <w:rsid w:val="008A00C3"/>
    <w:rsid w:val="008A0C90"/>
    <w:rsid w:val="008A1062"/>
    <w:rsid w:val="008A186D"/>
    <w:rsid w:val="008A197D"/>
    <w:rsid w:val="008A1A6E"/>
    <w:rsid w:val="008A245C"/>
    <w:rsid w:val="008A2902"/>
    <w:rsid w:val="008A344D"/>
    <w:rsid w:val="008A490D"/>
    <w:rsid w:val="008A49DD"/>
    <w:rsid w:val="008A4B08"/>
    <w:rsid w:val="008A4B71"/>
    <w:rsid w:val="008A4DCC"/>
    <w:rsid w:val="008A4E84"/>
    <w:rsid w:val="008A516D"/>
    <w:rsid w:val="008A539A"/>
    <w:rsid w:val="008A59AF"/>
    <w:rsid w:val="008A5B50"/>
    <w:rsid w:val="008A5BF5"/>
    <w:rsid w:val="008A666C"/>
    <w:rsid w:val="008A7337"/>
    <w:rsid w:val="008A7FAE"/>
    <w:rsid w:val="008B0379"/>
    <w:rsid w:val="008B06D4"/>
    <w:rsid w:val="008B1E59"/>
    <w:rsid w:val="008B1F31"/>
    <w:rsid w:val="008B26D4"/>
    <w:rsid w:val="008B2989"/>
    <w:rsid w:val="008B2F18"/>
    <w:rsid w:val="008B318D"/>
    <w:rsid w:val="008B370D"/>
    <w:rsid w:val="008B383F"/>
    <w:rsid w:val="008B3EA8"/>
    <w:rsid w:val="008B3F47"/>
    <w:rsid w:val="008B430D"/>
    <w:rsid w:val="008B43C5"/>
    <w:rsid w:val="008B6037"/>
    <w:rsid w:val="008B60D0"/>
    <w:rsid w:val="008B6453"/>
    <w:rsid w:val="008B64AE"/>
    <w:rsid w:val="008B6BB9"/>
    <w:rsid w:val="008B738C"/>
    <w:rsid w:val="008B76F8"/>
    <w:rsid w:val="008B7AF6"/>
    <w:rsid w:val="008B7E5A"/>
    <w:rsid w:val="008C003A"/>
    <w:rsid w:val="008C0041"/>
    <w:rsid w:val="008C096C"/>
    <w:rsid w:val="008C0C71"/>
    <w:rsid w:val="008C0DDE"/>
    <w:rsid w:val="008C1515"/>
    <w:rsid w:val="008C162C"/>
    <w:rsid w:val="008C1C19"/>
    <w:rsid w:val="008C2FB6"/>
    <w:rsid w:val="008C42BB"/>
    <w:rsid w:val="008C4D6E"/>
    <w:rsid w:val="008C5140"/>
    <w:rsid w:val="008C53B1"/>
    <w:rsid w:val="008C556F"/>
    <w:rsid w:val="008C57C1"/>
    <w:rsid w:val="008C5BE9"/>
    <w:rsid w:val="008C5CC3"/>
    <w:rsid w:val="008C5F9A"/>
    <w:rsid w:val="008C689E"/>
    <w:rsid w:val="008C6961"/>
    <w:rsid w:val="008C69F4"/>
    <w:rsid w:val="008C6BF7"/>
    <w:rsid w:val="008C6DE3"/>
    <w:rsid w:val="008C6F1B"/>
    <w:rsid w:val="008C6F26"/>
    <w:rsid w:val="008C7624"/>
    <w:rsid w:val="008C76FE"/>
    <w:rsid w:val="008C7FF6"/>
    <w:rsid w:val="008D01D7"/>
    <w:rsid w:val="008D0C31"/>
    <w:rsid w:val="008D0CF2"/>
    <w:rsid w:val="008D0D01"/>
    <w:rsid w:val="008D0FA5"/>
    <w:rsid w:val="008D10D1"/>
    <w:rsid w:val="008D1453"/>
    <w:rsid w:val="008D16C8"/>
    <w:rsid w:val="008D1E33"/>
    <w:rsid w:val="008D2523"/>
    <w:rsid w:val="008D2BEF"/>
    <w:rsid w:val="008D2FDF"/>
    <w:rsid w:val="008D3155"/>
    <w:rsid w:val="008D4116"/>
    <w:rsid w:val="008D4233"/>
    <w:rsid w:val="008D439B"/>
    <w:rsid w:val="008D48D1"/>
    <w:rsid w:val="008D5457"/>
    <w:rsid w:val="008D5857"/>
    <w:rsid w:val="008D5A85"/>
    <w:rsid w:val="008D5C05"/>
    <w:rsid w:val="008D5E4A"/>
    <w:rsid w:val="008D6E62"/>
    <w:rsid w:val="008D71D1"/>
    <w:rsid w:val="008D7381"/>
    <w:rsid w:val="008D795C"/>
    <w:rsid w:val="008D7BAC"/>
    <w:rsid w:val="008D7EEB"/>
    <w:rsid w:val="008D7FAA"/>
    <w:rsid w:val="008E02B3"/>
    <w:rsid w:val="008E065D"/>
    <w:rsid w:val="008E0816"/>
    <w:rsid w:val="008E0D4E"/>
    <w:rsid w:val="008E1313"/>
    <w:rsid w:val="008E1706"/>
    <w:rsid w:val="008E20A7"/>
    <w:rsid w:val="008E2110"/>
    <w:rsid w:val="008E21D3"/>
    <w:rsid w:val="008E2B8B"/>
    <w:rsid w:val="008E2F19"/>
    <w:rsid w:val="008E2F82"/>
    <w:rsid w:val="008E3040"/>
    <w:rsid w:val="008E311F"/>
    <w:rsid w:val="008E3168"/>
    <w:rsid w:val="008E3794"/>
    <w:rsid w:val="008E3AEF"/>
    <w:rsid w:val="008E45E5"/>
    <w:rsid w:val="008E48CC"/>
    <w:rsid w:val="008E4BB5"/>
    <w:rsid w:val="008E4E30"/>
    <w:rsid w:val="008E559B"/>
    <w:rsid w:val="008E5BBA"/>
    <w:rsid w:val="008E6033"/>
    <w:rsid w:val="008E6D81"/>
    <w:rsid w:val="008E71CD"/>
    <w:rsid w:val="008E7587"/>
    <w:rsid w:val="008E7606"/>
    <w:rsid w:val="008E7C43"/>
    <w:rsid w:val="008F0033"/>
    <w:rsid w:val="008F0501"/>
    <w:rsid w:val="008F0AAE"/>
    <w:rsid w:val="008F1A62"/>
    <w:rsid w:val="008F2130"/>
    <w:rsid w:val="008F267B"/>
    <w:rsid w:val="008F2900"/>
    <w:rsid w:val="008F2C17"/>
    <w:rsid w:val="008F2DDF"/>
    <w:rsid w:val="008F2F43"/>
    <w:rsid w:val="008F37F4"/>
    <w:rsid w:val="008F3E33"/>
    <w:rsid w:val="008F41E1"/>
    <w:rsid w:val="008F46E1"/>
    <w:rsid w:val="008F4F75"/>
    <w:rsid w:val="008F51EB"/>
    <w:rsid w:val="008F5AE1"/>
    <w:rsid w:val="008F5ED2"/>
    <w:rsid w:val="008F64CB"/>
    <w:rsid w:val="008F6718"/>
    <w:rsid w:val="008F7591"/>
    <w:rsid w:val="008F7869"/>
    <w:rsid w:val="009009C4"/>
    <w:rsid w:val="00900B02"/>
    <w:rsid w:val="00900E19"/>
    <w:rsid w:val="00901790"/>
    <w:rsid w:val="0090199C"/>
    <w:rsid w:val="00901EED"/>
    <w:rsid w:val="00902063"/>
    <w:rsid w:val="0090210A"/>
    <w:rsid w:val="009026C2"/>
    <w:rsid w:val="00902956"/>
    <w:rsid w:val="00902A84"/>
    <w:rsid w:val="00902DA3"/>
    <w:rsid w:val="009031B8"/>
    <w:rsid w:val="00903E94"/>
    <w:rsid w:val="0090458E"/>
    <w:rsid w:val="00906B63"/>
    <w:rsid w:val="00907034"/>
    <w:rsid w:val="0090738D"/>
    <w:rsid w:val="009073A9"/>
    <w:rsid w:val="009075A8"/>
    <w:rsid w:val="009078AB"/>
    <w:rsid w:val="00907944"/>
    <w:rsid w:val="0091088D"/>
    <w:rsid w:val="009113A6"/>
    <w:rsid w:val="0091141F"/>
    <w:rsid w:val="009118AD"/>
    <w:rsid w:val="00911C29"/>
    <w:rsid w:val="00912072"/>
    <w:rsid w:val="00912299"/>
    <w:rsid w:val="00912415"/>
    <w:rsid w:val="009124BD"/>
    <w:rsid w:val="009124E2"/>
    <w:rsid w:val="0091259B"/>
    <w:rsid w:val="009135F1"/>
    <w:rsid w:val="0091412F"/>
    <w:rsid w:val="00914224"/>
    <w:rsid w:val="009147C7"/>
    <w:rsid w:val="00914878"/>
    <w:rsid w:val="009152E4"/>
    <w:rsid w:val="0091545E"/>
    <w:rsid w:val="0091556A"/>
    <w:rsid w:val="00915689"/>
    <w:rsid w:val="0091568A"/>
    <w:rsid w:val="00915803"/>
    <w:rsid w:val="00915BD5"/>
    <w:rsid w:val="00915C31"/>
    <w:rsid w:val="009160E5"/>
    <w:rsid w:val="009163F4"/>
    <w:rsid w:val="0091640B"/>
    <w:rsid w:val="009166AA"/>
    <w:rsid w:val="009168A0"/>
    <w:rsid w:val="00916D75"/>
    <w:rsid w:val="00916E54"/>
    <w:rsid w:val="00917305"/>
    <w:rsid w:val="009175B9"/>
    <w:rsid w:val="0091766F"/>
    <w:rsid w:val="00917BE8"/>
    <w:rsid w:val="0092057F"/>
    <w:rsid w:val="009209F7"/>
    <w:rsid w:val="00920B6B"/>
    <w:rsid w:val="00921496"/>
    <w:rsid w:val="0092192C"/>
    <w:rsid w:val="00921AF7"/>
    <w:rsid w:val="00921CF5"/>
    <w:rsid w:val="00923219"/>
    <w:rsid w:val="00923865"/>
    <w:rsid w:val="00923951"/>
    <w:rsid w:val="00923D8D"/>
    <w:rsid w:val="009241BD"/>
    <w:rsid w:val="0092438C"/>
    <w:rsid w:val="00924A86"/>
    <w:rsid w:val="00924ED7"/>
    <w:rsid w:val="00925168"/>
    <w:rsid w:val="00925314"/>
    <w:rsid w:val="00925362"/>
    <w:rsid w:val="009257EE"/>
    <w:rsid w:val="00925A8E"/>
    <w:rsid w:val="00926081"/>
    <w:rsid w:val="0092609A"/>
    <w:rsid w:val="009264B2"/>
    <w:rsid w:val="00926F93"/>
    <w:rsid w:val="009274BC"/>
    <w:rsid w:val="009278D4"/>
    <w:rsid w:val="009279E6"/>
    <w:rsid w:val="00927C24"/>
    <w:rsid w:val="00927E8D"/>
    <w:rsid w:val="00927F31"/>
    <w:rsid w:val="009304FC"/>
    <w:rsid w:val="00931567"/>
    <w:rsid w:val="00933192"/>
    <w:rsid w:val="00933728"/>
    <w:rsid w:val="0093437E"/>
    <w:rsid w:val="009343A4"/>
    <w:rsid w:val="00934C09"/>
    <w:rsid w:val="00934D97"/>
    <w:rsid w:val="009351BB"/>
    <w:rsid w:val="00935AF8"/>
    <w:rsid w:val="00935CDF"/>
    <w:rsid w:val="00936413"/>
    <w:rsid w:val="00936466"/>
    <w:rsid w:val="00936E99"/>
    <w:rsid w:val="00936FB1"/>
    <w:rsid w:val="00937005"/>
    <w:rsid w:val="00937190"/>
    <w:rsid w:val="00937844"/>
    <w:rsid w:val="00937AE1"/>
    <w:rsid w:val="00940326"/>
    <w:rsid w:val="009407BB"/>
    <w:rsid w:val="009412F0"/>
    <w:rsid w:val="009412FD"/>
    <w:rsid w:val="00941405"/>
    <w:rsid w:val="009418FD"/>
    <w:rsid w:val="009426E9"/>
    <w:rsid w:val="00942AC8"/>
    <w:rsid w:val="00942B00"/>
    <w:rsid w:val="00943D10"/>
    <w:rsid w:val="0094419C"/>
    <w:rsid w:val="0094428C"/>
    <w:rsid w:val="00944A98"/>
    <w:rsid w:val="009454B4"/>
    <w:rsid w:val="0094564F"/>
    <w:rsid w:val="00946324"/>
    <w:rsid w:val="009472B1"/>
    <w:rsid w:val="009475A5"/>
    <w:rsid w:val="009479AC"/>
    <w:rsid w:val="009500C4"/>
    <w:rsid w:val="009509C2"/>
    <w:rsid w:val="00950B2F"/>
    <w:rsid w:val="00951262"/>
    <w:rsid w:val="00951D8E"/>
    <w:rsid w:val="00951EB2"/>
    <w:rsid w:val="00952DF6"/>
    <w:rsid w:val="00953B2B"/>
    <w:rsid w:val="00953D6D"/>
    <w:rsid w:val="00954149"/>
    <w:rsid w:val="00955743"/>
    <w:rsid w:val="0095639B"/>
    <w:rsid w:val="0095644E"/>
    <w:rsid w:val="00956B3A"/>
    <w:rsid w:val="00957ADF"/>
    <w:rsid w:val="009606DD"/>
    <w:rsid w:val="009607F2"/>
    <w:rsid w:val="00960C21"/>
    <w:rsid w:val="00960FD7"/>
    <w:rsid w:val="009610E2"/>
    <w:rsid w:val="0096134C"/>
    <w:rsid w:val="00961EC8"/>
    <w:rsid w:val="00962474"/>
    <w:rsid w:val="00962EC1"/>
    <w:rsid w:val="009635C9"/>
    <w:rsid w:val="00963D47"/>
    <w:rsid w:val="00963E68"/>
    <w:rsid w:val="00965B5C"/>
    <w:rsid w:val="00966262"/>
    <w:rsid w:val="00966F41"/>
    <w:rsid w:val="00967825"/>
    <w:rsid w:val="0097095F"/>
    <w:rsid w:val="00971EF7"/>
    <w:rsid w:val="009720D8"/>
    <w:rsid w:val="009728AC"/>
    <w:rsid w:val="00972EF9"/>
    <w:rsid w:val="00973D01"/>
    <w:rsid w:val="009741EF"/>
    <w:rsid w:val="00974721"/>
    <w:rsid w:val="00974B75"/>
    <w:rsid w:val="00974D64"/>
    <w:rsid w:val="009755B0"/>
    <w:rsid w:val="009766F8"/>
    <w:rsid w:val="0097724F"/>
    <w:rsid w:val="009774DB"/>
    <w:rsid w:val="00977CAD"/>
    <w:rsid w:val="0098026B"/>
    <w:rsid w:val="00980373"/>
    <w:rsid w:val="0098061D"/>
    <w:rsid w:val="00980B96"/>
    <w:rsid w:val="009815D4"/>
    <w:rsid w:val="00982023"/>
    <w:rsid w:val="00982ECA"/>
    <w:rsid w:val="009831A7"/>
    <w:rsid w:val="0098366E"/>
    <w:rsid w:val="0098368A"/>
    <w:rsid w:val="00983A56"/>
    <w:rsid w:val="00983CED"/>
    <w:rsid w:val="0098432B"/>
    <w:rsid w:val="00984940"/>
    <w:rsid w:val="0098495C"/>
    <w:rsid w:val="00984B89"/>
    <w:rsid w:val="009857A5"/>
    <w:rsid w:val="009858FA"/>
    <w:rsid w:val="00985C80"/>
    <w:rsid w:val="009862D1"/>
    <w:rsid w:val="009865F7"/>
    <w:rsid w:val="009867F7"/>
    <w:rsid w:val="009869A6"/>
    <w:rsid w:val="00986AD8"/>
    <w:rsid w:val="00986CAA"/>
    <w:rsid w:val="00986E66"/>
    <w:rsid w:val="0098790E"/>
    <w:rsid w:val="00990791"/>
    <w:rsid w:val="00991037"/>
    <w:rsid w:val="009910EC"/>
    <w:rsid w:val="00991549"/>
    <w:rsid w:val="00991B84"/>
    <w:rsid w:val="0099207D"/>
    <w:rsid w:val="0099225F"/>
    <w:rsid w:val="00992579"/>
    <w:rsid w:val="009926E1"/>
    <w:rsid w:val="00992A7F"/>
    <w:rsid w:val="00992B7E"/>
    <w:rsid w:val="009932C9"/>
    <w:rsid w:val="0099338E"/>
    <w:rsid w:val="009935AD"/>
    <w:rsid w:val="0099377C"/>
    <w:rsid w:val="009942CF"/>
    <w:rsid w:val="009947DA"/>
    <w:rsid w:val="00994E8A"/>
    <w:rsid w:val="009955ED"/>
    <w:rsid w:val="00995A96"/>
    <w:rsid w:val="009975EF"/>
    <w:rsid w:val="009A00CA"/>
    <w:rsid w:val="009A00FB"/>
    <w:rsid w:val="009A04E9"/>
    <w:rsid w:val="009A05EB"/>
    <w:rsid w:val="009A07CF"/>
    <w:rsid w:val="009A0AB2"/>
    <w:rsid w:val="009A2357"/>
    <w:rsid w:val="009A28A5"/>
    <w:rsid w:val="009A2E09"/>
    <w:rsid w:val="009A375B"/>
    <w:rsid w:val="009A3785"/>
    <w:rsid w:val="009A37A3"/>
    <w:rsid w:val="009A39AB"/>
    <w:rsid w:val="009A3E5C"/>
    <w:rsid w:val="009A4524"/>
    <w:rsid w:val="009A469C"/>
    <w:rsid w:val="009A5CF7"/>
    <w:rsid w:val="009A5D90"/>
    <w:rsid w:val="009A7827"/>
    <w:rsid w:val="009B0AB3"/>
    <w:rsid w:val="009B10A7"/>
    <w:rsid w:val="009B12A3"/>
    <w:rsid w:val="009B1E61"/>
    <w:rsid w:val="009B2299"/>
    <w:rsid w:val="009B2ACE"/>
    <w:rsid w:val="009B2B6B"/>
    <w:rsid w:val="009B2BD5"/>
    <w:rsid w:val="009B34EF"/>
    <w:rsid w:val="009B39AA"/>
    <w:rsid w:val="009B3F07"/>
    <w:rsid w:val="009B4247"/>
    <w:rsid w:val="009B42C9"/>
    <w:rsid w:val="009B4693"/>
    <w:rsid w:val="009B4740"/>
    <w:rsid w:val="009B4918"/>
    <w:rsid w:val="009B4A39"/>
    <w:rsid w:val="009B4FFB"/>
    <w:rsid w:val="009B58AF"/>
    <w:rsid w:val="009B5BB2"/>
    <w:rsid w:val="009B6583"/>
    <w:rsid w:val="009B6E4B"/>
    <w:rsid w:val="009B7933"/>
    <w:rsid w:val="009C0332"/>
    <w:rsid w:val="009C2474"/>
    <w:rsid w:val="009C29FE"/>
    <w:rsid w:val="009C2F26"/>
    <w:rsid w:val="009C3075"/>
    <w:rsid w:val="009C35EC"/>
    <w:rsid w:val="009C3EA1"/>
    <w:rsid w:val="009C40C3"/>
    <w:rsid w:val="009C4136"/>
    <w:rsid w:val="009C4206"/>
    <w:rsid w:val="009C46F2"/>
    <w:rsid w:val="009C4756"/>
    <w:rsid w:val="009C47D2"/>
    <w:rsid w:val="009C4D48"/>
    <w:rsid w:val="009C57C3"/>
    <w:rsid w:val="009C72DE"/>
    <w:rsid w:val="009C75BD"/>
    <w:rsid w:val="009D00FC"/>
    <w:rsid w:val="009D0266"/>
    <w:rsid w:val="009D03CD"/>
    <w:rsid w:val="009D0DAA"/>
    <w:rsid w:val="009D19D4"/>
    <w:rsid w:val="009D228C"/>
    <w:rsid w:val="009D32FA"/>
    <w:rsid w:val="009D3754"/>
    <w:rsid w:val="009D3FFD"/>
    <w:rsid w:val="009D47BD"/>
    <w:rsid w:val="009D5096"/>
    <w:rsid w:val="009D55AD"/>
    <w:rsid w:val="009D58E1"/>
    <w:rsid w:val="009D5C96"/>
    <w:rsid w:val="009D5CDD"/>
    <w:rsid w:val="009D5FC4"/>
    <w:rsid w:val="009D6802"/>
    <w:rsid w:val="009D6E11"/>
    <w:rsid w:val="009D7539"/>
    <w:rsid w:val="009D75AD"/>
    <w:rsid w:val="009D76FB"/>
    <w:rsid w:val="009E0847"/>
    <w:rsid w:val="009E1AC6"/>
    <w:rsid w:val="009E20C6"/>
    <w:rsid w:val="009E239B"/>
    <w:rsid w:val="009E260E"/>
    <w:rsid w:val="009E35DD"/>
    <w:rsid w:val="009E3B10"/>
    <w:rsid w:val="009E3CC8"/>
    <w:rsid w:val="009E461D"/>
    <w:rsid w:val="009E48B0"/>
    <w:rsid w:val="009E4C04"/>
    <w:rsid w:val="009E5605"/>
    <w:rsid w:val="009E5916"/>
    <w:rsid w:val="009E5E72"/>
    <w:rsid w:val="009E635D"/>
    <w:rsid w:val="009E6E06"/>
    <w:rsid w:val="009E76D8"/>
    <w:rsid w:val="009E7B3E"/>
    <w:rsid w:val="009F13E4"/>
    <w:rsid w:val="009F1425"/>
    <w:rsid w:val="009F1476"/>
    <w:rsid w:val="009F1B0D"/>
    <w:rsid w:val="009F2503"/>
    <w:rsid w:val="009F28F3"/>
    <w:rsid w:val="009F2A8F"/>
    <w:rsid w:val="009F2BD4"/>
    <w:rsid w:val="009F32DF"/>
    <w:rsid w:val="009F33CB"/>
    <w:rsid w:val="009F3748"/>
    <w:rsid w:val="009F387C"/>
    <w:rsid w:val="009F3961"/>
    <w:rsid w:val="009F3A78"/>
    <w:rsid w:val="009F3B3E"/>
    <w:rsid w:val="009F3BC2"/>
    <w:rsid w:val="009F3C17"/>
    <w:rsid w:val="009F3FE3"/>
    <w:rsid w:val="009F495C"/>
    <w:rsid w:val="009F4CDF"/>
    <w:rsid w:val="009F57FC"/>
    <w:rsid w:val="009F59EC"/>
    <w:rsid w:val="009F61F9"/>
    <w:rsid w:val="009F6C95"/>
    <w:rsid w:val="009F71BF"/>
    <w:rsid w:val="009F79DC"/>
    <w:rsid w:val="00A005FD"/>
    <w:rsid w:val="00A00764"/>
    <w:rsid w:val="00A00D84"/>
    <w:rsid w:val="00A01850"/>
    <w:rsid w:val="00A01851"/>
    <w:rsid w:val="00A01DA9"/>
    <w:rsid w:val="00A01E4E"/>
    <w:rsid w:val="00A02D19"/>
    <w:rsid w:val="00A03107"/>
    <w:rsid w:val="00A0323D"/>
    <w:rsid w:val="00A03A76"/>
    <w:rsid w:val="00A047DD"/>
    <w:rsid w:val="00A05543"/>
    <w:rsid w:val="00A0571F"/>
    <w:rsid w:val="00A057B9"/>
    <w:rsid w:val="00A05A1C"/>
    <w:rsid w:val="00A064AB"/>
    <w:rsid w:val="00A06863"/>
    <w:rsid w:val="00A07E56"/>
    <w:rsid w:val="00A07FA5"/>
    <w:rsid w:val="00A1019B"/>
    <w:rsid w:val="00A103BC"/>
    <w:rsid w:val="00A10CE2"/>
    <w:rsid w:val="00A11A4D"/>
    <w:rsid w:val="00A11EED"/>
    <w:rsid w:val="00A12BAE"/>
    <w:rsid w:val="00A12C4E"/>
    <w:rsid w:val="00A13582"/>
    <w:rsid w:val="00A1428A"/>
    <w:rsid w:val="00A1456F"/>
    <w:rsid w:val="00A148F1"/>
    <w:rsid w:val="00A14D2E"/>
    <w:rsid w:val="00A15391"/>
    <w:rsid w:val="00A15C7E"/>
    <w:rsid w:val="00A164A0"/>
    <w:rsid w:val="00A164C2"/>
    <w:rsid w:val="00A16DB1"/>
    <w:rsid w:val="00A17330"/>
    <w:rsid w:val="00A176E2"/>
    <w:rsid w:val="00A20317"/>
    <w:rsid w:val="00A2046D"/>
    <w:rsid w:val="00A20DB8"/>
    <w:rsid w:val="00A21078"/>
    <w:rsid w:val="00A21719"/>
    <w:rsid w:val="00A2193B"/>
    <w:rsid w:val="00A21A65"/>
    <w:rsid w:val="00A21E47"/>
    <w:rsid w:val="00A2268F"/>
    <w:rsid w:val="00A22801"/>
    <w:rsid w:val="00A22A6C"/>
    <w:rsid w:val="00A22DA8"/>
    <w:rsid w:val="00A22FBF"/>
    <w:rsid w:val="00A23117"/>
    <w:rsid w:val="00A23D26"/>
    <w:rsid w:val="00A241EC"/>
    <w:rsid w:val="00A246B4"/>
    <w:rsid w:val="00A25D9F"/>
    <w:rsid w:val="00A25DEC"/>
    <w:rsid w:val="00A263AE"/>
    <w:rsid w:val="00A26571"/>
    <w:rsid w:val="00A26C15"/>
    <w:rsid w:val="00A26D14"/>
    <w:rsid w:val="00A27E68"/>
    <w:rsid w:val="00A3023A"/>
    <w:rsid w:val="00A304D5"/>
    <w:rsid w:val="00A30641"/>
    <w:rsid w:val="00A309FC"/>
    <w:rsid w:val="00A31006"/>
    <w:rsid w:val="00A3147D"/>
    <w:rsid w:val="00A315D1"/>
    <w:rsid w:val="00A317A3"/>
    <w:rsid w:val="00A319A0"/>
    <w:rsid w:val="00A31F29"/>
    <w:rsid w:val="00A32FD7"/>
    <w:rsid w:val="00A334DB"/>
    <w:rsid w:val="00A335FC"/>
    <w:rsid w:val="00A3360B"/>
    <w:rsid w:val="00A33727"/>
    <w:rsid w:val="00A33BC5"/>
    <w:rsid w:val="00A347CF"/>
    <w:rsid w:val="00A34D0F"/>
    <w:rsid w:val="00A359FC"/>
    <w:rsid w:val="00A35DDB"/>
    <w:rsid w:val="00A36213"/>
    <w:rsid w:val="00A36852"/>
    <w:rsid w:val="00A36B09"/>
    <w:rsid w:val="00A37487"/>
    <w:rsid w:val="00A40DB8"/>
    <w:rsid w:val="00A40F71"/>
    <w:rsid w:val="00A41178"/>
    <w:rsid w:val="00A41752"/>
    <w:rsid w:val="00A41A05"/>
    <w:rsid w:val="00A41BCE"/>
    <w:rsid w:val="00A41D3B"/>
    <w:rsid w:val="00A42461"/>
    <w:rsid w:val="00A4321F"/>
    <w:rsid w:val="00A43A53"/>
    <w:rsid w:val="00A43BAF"/>
    <w:rsid w:val="00A43F01"/>
    <w:rsid w:val="00A43F9D"/>
    <w:rsid w:val="00A43F9F"/>
    <w:rsid w:val="00A44001"/>
    <w:rsid w:val="00A44D6F"/>
    <w:rsid w:val="00A45A43"/>
    <w:rsid w:val="00A45A6B"/>
    <w:rsid w:val="00A45ECD"/>
    <w:rsid w:val="00A45F5C"/>
    <w:rsid w:val="00A46295"/>
    <w:rsid w:val="00A4641B"/>
    <w:rsid w:val="00A46AB6"/>
    <w:rsid w:val="00A46C65"/>
    <w:rsid w:val="00A46FBD"/>
    <w:rsid w:val="00A4707A"/>
    <w:rsid w:val="00A47889"/>
    <w:rsid w:val="00A47ED0"/>
    <w:rsid w:val="00A50136"/>
    <w:rsid w:val="00A504B1"/>
    <w:rsid w:val="00A5131C"/>
    <w:rsid w:val="00A51507"/>
    <w:rsid w:val="00A51596"/>
    <w:rsid w:val="00A5167E"/>
    <w:rsid w:val="00A51E44"/>
    <w:rsid w:val="00A53497"/>
    <w:rsid w:val="00A535AF"/>
    <w:rsid w:val="00A53AB8"/>
    <w:rsid w:val="00A53D20"/>
    <w:rsid w:val="00A53E4B"/>
    <w:rsid w:val="00A5425F"/>
    <w:rsid w:val="00A548A8"/>
    <w:rsid w:val="00A54C62"/>
    <w:rsid w:val="00A54FD8"/>
    <w:rsid w:val="00A56196"/>
    <w:rsid w:val="00A56461"/>
    <w:rsid w:val="00A5647E"/>
    <w:rsid w:val="00A56706"/>
    <w:rsid w:val="00A56D07"/>
    <w:rsid w:val="00A5728A"/>
    <w:rsid w:val="00A57FFA"/>
    <w:rsid w:val="00A60249"/>
    <w:rsid w:val="00A6088D"/>
    <w:rsid w:val="00A609E7"/>
    <w:rsid w:val="00A61453"/>
    <w:rsid w:val="00A6215C"/>
    <w:rsid w:val="00A630C2"/>
    <w:rsid w:val="00A6391A"/>
    <w:rsid w:val="00A63CA4"/>
    <w:rsid w:val="00A6491D"/>
    <w:rsid w:val="00A64A2B"/>
    <w:rsid w:val="00A64AF4"/>
    <w:rsid w:val="00A64D6A"/>
    <w:rsid w:val="00A65205"/>
    <w:rsid w:val="00A657DA"/>
    <w:rsid w:val="00A65BDA"/>
    <w:rsid w:val="00A667EA"/>
    <w:rsid w:val="00A67314"/>
    <w:rsid w:val="00A675A6"/>
    <w:rsid w:val="00A67BCA"/>
    <w:rsid w:val="00A67BDB"/>
    <w:rsid w:val="00A7027B"/>
    <w:rsid w:val="00A702A2"/>
    <w:rsid w:val="00A70433"/>
    <w:rsid w:val="00A7114F"/>
    <w:rsid w:val="00A71A00"/>
    <w:rsid w:val="00A72169"/>
    <w:rsid w:val="00A72461"/>
    <w:rsid w:val="00A72CCC"/>
    <w:rsid w:val="00A73086"/>
    <w:rsid w:val="00A7327F"/>
    <w:rsid w:val="00A73494"/>
    <w:rsid w:val="00A737E4"/>
    <w:rsid w:val="00A73FB3"/>
    <w:rsid w:val="00A74337"/>
    <w:rsid w:val="00A749AD"/>
    <w:rsid w:val="00A74EAC"/>
    <w:rsid w:val="00A7557A"/>
    <w:rsid w:val="00A75719"/>
    <w:rsid w:val="00A773A7"/>
    <w:rsid w:val="00A800BF"/>
    <w:rsid w:val="00A801D8"/>
    <w:rsid w:val="00A802EE"/>
    <w:rsid w:val="00A80D21"/>
    <w:rsid w:val="00A80E33"/>
    <w:rsid w:val="00A80E39"/>
    <w:rsid w:val="00A80FEA"/>
    <w:rsid w:val="00A810D1"/>
    <w:rsid w:val="00A81D7C"/>
    <w:rsid w:val="00A81E67"/>
    <w:rsid w:val="00A82064"/>
    <w:rsid w:val="00A82525"/>
    <w:rsid w:val="00A83B10"/>
    <w:rsid w:val="00A83CA2"/>
    <w:rsid w:val="00A83F90"/>
    <w:rsid w:val="00A845D7"/>
    <w:rsid w:val="00A8499D"/>
    <w:rsid w:val="00A852AC"/>
    <w:rsid w:val="00A854C2"/>
    <w:rsid w:val="00A85846"/>
    <w:rsid w:val="00A858A1"/>
    <w:rsid w:val="00A86B6E"/>
    <w:rsid w:val="00A87D58"/>
    <w:rsid w:val="00A87FB9"/>
    <w:rsid w:val="00A9105F"/>
    <w:rsid w:val="00A9125E"/>
    <w:rsid w:val="00A91E77"/>
    <w:rsid w:val="00A92154"/>
    <w:rsid w:val="00A9225F"/>
    <w:rsid w:val="00A9238F"/>
    <w:rsid w:val="00A92688"/>
    <w:rsid w:val="00A9341E"/>
    <w:rsid w:val="00A93E13"/>
    <w:rsid w:val="00A93F23"/>
    <w:rsid w:val="00A943B9"/>
    <w:rsid w:val="00A94A55"/>
    <w:rsid w:val="00A94D27"/>
    <w:rsid w:val="00A95502"/>
    <w:rsid w:val="00A959E2"/>
    <w:rsid w:val="00A95CB3"/>
    <w:rsid w:val="00A9604D"/>
    <w:rsid w:val="00A96701"/>
    <w:rsid w:val="00A96ABC"/>
    <w:rsid w:val="00A96CE5"/>
    <w:rsid w:val="00A97216"/>
    <w:rsid w:val="00A9725A"/>
    <w:rsid w:val="00A97675"/>
    <w:rsid w:val="00A978A8"/>
    <w:rsid w:val="00A97D10"/>
    <w:rsid w:val="00AA0BDD"/>
    <w:rsid w:val="00AA1645"/>
    <w:rsid w:val="00AA16EA"/>
    <w:rsid w:val="00AA2C98"/>
    <w:rsid w:val="00AA2E8D"/>
    <w:rsid w:val="00AA31BA"/>
    <w:rsid w:val="00AA3CD5"/>
    <w:rsid w:val="00AA40E1"/>
    <w:rsid w:val="00AA4224"/>
    <w:rsid w:val="00AA4A12"/>
    <w:rsid w:val="00AA4AC2"/>
    <w:rsid w:val="00AA4DE2"/>
    <w:rsid w:val="00AA5726"/>
    <w:rsid w:val="00AA5D24"/>
    <w:rsid w:val="00AA5D60"/>
    <w:rsid w:val="00AA6231"/>
    <w:rsid w:val="00AA75DC"/>
    <w:rsid w:val="00AA7EFF"/>
    <w:rsid w:val="00AA7F0B"/>
    <w:rsid w:val="00AB012D"/>
    <w:rsid w:val="00AB04BE"/>
    <w:rsid w:val="00AB0C6A"/>
    <w:rsid w:val="00AB0CF5"/>
    <w:rsid w:val="00AB0FA2"/>
    <w:rsid w:val="00AB10EB"/>
    <w:rsid w:val="00AB13FA"/>
    <w:rsid w:val="00AB17DB"/>
    <w:rsid w:val="00AB1B2B"/>
    <w:rsid w:val="00AB1EDA"/>
    <w:rsid w:val="00AB22A6"/>
    <w:rsid w:val="00AB2685"/>
    <w:rsid w:val="00AB2CFF"/>
    <w:rsid w:val="00AB2D4D"/>
    <w:rsid w:val="00AB3A24"/>
    <w:rsid w:val="00AB3D25"/>
    <w:rsid w:val="00AB4460"/>
    <w:rsid w:val="00AB465F"/>
    <w:rsid w:val="00AB5E5E"/>
    <w:rsid w:val="00AB6F32"/>
    <w:rsid w:val="00AB70C8"/>
    <w:rsid w:val="00AB7AA2"/>
    <w:rsid w:val="00AC06C1"/>
    <w:rsid w:val="00AC091F"/>
    <w:rsid w:val="00AC0FCA"/>
    <w:rsid w:val="00AC105E"/>
    <w:rsid w:val="00AC11CC"/>
    <w:rsid w:val="00AC1707"/>
    <w:rsid w:val="00AC17B3"/>
    <w:rsid w:val="00AC199D"/>
    <w:rsid w:val="00AC210E"/>
    <w:rsid w:val="00AC21B6"/>
    <w:rsid w:val="00AC318B"/>
    <w:rsid w:val="00AC3ADB"/>
    <w:rsid w:val="00AC45ED"/>
    <w:rsid w:val="00AC5303"/>
    <w:rsid w:val="00AC54D3"/>
    <w:rsid w:val="00AC573C"/>
    <w:rsid w:val="00AC5C5A"/>
    <w:rsid w:val="00AC614B"/>
    <w:rsid w:val="00AD01DC"/>
    <w:rsid w:val="00AD0DE9"/>
    <w:rsid w:val="00AD0E5D"/>
    <w:rsid w:val="00AD0EC3"/>
    <w:rsid w:val="00AD1385"/>
    <w:rsid w:val="00AD149A"/>
    <w:rsid w:val="00AD1585"/>
    <w:rsid w:val="00AD1B73"/>
    <w:rsid w:val="00AD2221"/>
    <w:rsid w:val="00AD2E8E"/>
    <w:rsid w:val="00AD3388"/>
    <w:rsid w:val="00AD3BE6"/>
    <w:rsid w:val="00AD3E91"/>
    <w:rsid w:val="00AD42CC"/>
    <w:rsid w:val="00AD43E8"/>
    <w:rsid w:val="00AD603F"/>
    <w:rsid w:val="00AD607E"/>
    <w:rsid w:val="00AD6A2A"/>
    <w:rsid w:val="00AD6F93"/>
    <w:rsid w:val="00AD7484"/>
    <w:rsid w:val="00AD7689"/>
    <w:rsid w:val="00AE03B6"/>
    <w:rsid w:val="00AE069B"/>
    <w:rsid w:val="00AE1874"/>
    <w:rsid w:val="00AE1B54"/>
    <w:rsid w:val="00AE208E"/>
    <w:rsid w:val="00AE20AF"/>
    <w:rsid w:val="00AE29DC"/>
    <w:rsid w:val="00AE2C1A"/>
    <w:rsid w:val="00AE2EC9"/>
    <w:rsid w:val="00AE449B"/>
    <w:rsid w:val="00AE46DA"/>
    <w:rsid w:val="00AE4865"/>
    <w:rsid w:val="00AE500A"/>
    <w:rsid w:val="00AE5295"/>
    <w:rsid w:val="00AF061C"/>
    <w:rsid w:val="00AF11B6"/>
    <w:rsid w:val="00AF11CD"/>
    <w:rsid w:val="00AF1648"/>
    <w:rsid w:val="00AF16CF"/>
    <w:rsid w:val="00AF182D"/>
    <w:rsid w:val="00AF184F"/>
    <w:rsid w:val="00AF19E5"/>
    <w:rsid w:val="00AF2947"/>
    <w:rsid w:val="00AF2B3D"/>
    <w:rsid w:val="00AF2C48"/>
    <w:rsid w:val="00AF333B"/>
    <w:rsid w:val="00AF3F4C"/>
    <w:rsid w:val="00AF481F"/>
    <w:rsid w:val="00AF482C"/>
    <w:rsid w:val="00AF4D9D"/>
    <w:rsid w:val="00AF4DFF"/>
    <w:rsid w:val="00AF50EE"/>
    <w:rsid w:val="00AF5281"/>
    <w:rsid w:val="00AF52B1"/>
    <w:rsid w:val="00AF5540"/>
    <w:rsid w:val="00AF5A89"/>
    <w:rsid w:val="00AF5C1B"/>
    <w:rsid w:val="00AF5DFE"/>
    <w:rsid w:val="00AF690F"/>
    <w:rsid w:val="00AF7283"/>
    <w:rsid w:val="00B00AD0"/>
    <w:rsid w:val="00B00BF1"/>
    <w:rsid w:val="00B00E07"/>
    <w:rsid w:val="00B00F12"/>
    <w:rsid w:val="00B01582"/>
    <w:rsid w:val="00B018DB"/>
    <w:rsid w:val="00B01EF8"/>
    <w:rsid w:val="00B02372"/>
    <w:rsid w:val="00B031E4"/>
    <w:rsid w:val="00B03788"/>
    <w:rsid w:val="00B03814"/>
    <w:rsid w:val="00B03877"/>
    <w:rsid w:val="00B03C88"/>
    <w:rsid w:val="00B03CCA"/>
    <w:rsid w:val="00B046A2"/>
    <w:rsid w:val="00B04753"/>
    <w:rsid w:val="00B04940"/>
    <w:rsid w:val="00B057CE"/>
    <w:rsid w:val="00B05C27"/>
    <w:rsid w:val="00B10B23"/>
    <w:rsid w:val="00B11406"/>
    <w:rsid w:val="00B11F0B"/>
    <w:rsid w:val="00B131C1"/>
    <w:rsid w:val="00B131DB"/>
    <w:rsid w:val="00B13303"/>
    <w:rsid w:val="00B134E6"/>
    <w:rsid w:val="00B13DEF"/>
    <w:rsid w:val="00B13E93"/>
    <w:rsid w:val="00B13F6F"/>
    <w:rsid w:val="00B14552"/>
    <w:rsid w:val="00B14654"/>
    <w:rsid w:val="00B1473D"/>
    <w:rsid w:val="00B14E5D"/>
    <w:rsid w:val="00B15343"/>
    <w:rsid w:val="00B1582C"/>
    <w:rsid w:val="00B15A97"/>
    <w:rsid w:val="00B15C7D"/>
    <w:rsid w:val="00B16270"/>
    <w:rsid w:val="00B162A5"/>
    <w:rsid w:val="00B162B2"/>
    <w:rsid w:val="00B16A41"/>
    <w:rsid w:val="00B16C4D"/>
    <w:rsid w:val="00B16C6B"/>
    <w:rsid w:val="00B16E43"/>
    <w:rsid w:val="00B1715E"/>
    <w:rsid w:val="00B17644"/>
    <w:rsid w:val="00B17F82"/>
    <w:rsid w:val="00B2071E"/>
    <w:rsid w:val="00B216A6"/>
    <w:rsid w:val="00B22908"/>
    <w:rsid w:val="00B22C35"/>
    <w:rsid w:val="00B22FCB"/>
    <w:rsid w:val="00B23032"/>
    <w:rsid w:val="00B2373A"/>
    <w:rsid w:val="00B244E5"/>
    <w:rsid w:val="00B24AE5"/>
    <w:rsid w:val="00B24F93"/>
    <w:rsid w:val="00B2577D"/>
    <w:rsid w:val="00B26411"/>
    <w:rsid w:val="00B26911"/>
    <w:rsid w:val="00B26E5B"/>
    <w:rsid w:val="00B272E0"/>
    <w:rsid w:val="00B276F1"/>
    <w:rsid w:val="00B277E0"/>
    <w:rsid w:val="00B27869"/>
    <w:rsid w:val="00B27A6A"/>
    <w:rsid w:val="00B301B5"/>
    <w:rsid w:val="00B3026D"/>
    <w:rsid w:val="00B302F2"/>
    <w:rsid w:val="00B3039E"/>
    <w:rsid w:val="00B31131"/>
    <w:rsid w:val="00B315E1"/>
    <w:rsid w:val="00B31713"/>
    <w:rsid w:val="00B319B3"/>
    <w:rsid w:val="00B31B48"/>
    <w:rsid w:val="00B31CD7"/>
    <w:rsid w:val="00B327F7"/>
    <w:rsid w:val="00B32C24"/>
    <w:rsid w:val="00B32E81"/>
    <w:rsid w:val="00B33574"/>
    <w:rsid w:val="00B337B9"/>
    <w:rsid w:val="00B33E9E"/>
    <w:rsid w:val="00B3487A"/>
    <w:rsid w:val="00B34A7D"/>
    <w:rsid w:val="00B34FFF"/>
    <w:rsid w:val="00B35156"/>
    <w:rsid w:val="00B35207"/>
    <w:rsid w:val="00B355B3"/>
    <w:rsid w:val="00B35B47"/>
    <w:rsid w:val="00B35C55"/>
    <w:rsid w:val="00B37579"/>
    <w:rsid w:val="00B37895"/>
    <w:rsid w:val="00B37EF0"/>
    <w:rsid w:val="00B40A2F"/>
    <w:rsid w:val="00B41A26"/>
    <w:rsid w:val="00B41AF6"/>
    <w:rsid w:val="00B41C1E"/>
    <w:rsid w:val="00B41C77"/>
    <w:rsid w:val="00B421D1"/>
    <w:rsid w:val="00B42233"/>
    <w:rsid w:val="00B42422"/>
    <w:rsid w:val="00B42807"/>
    <w:rsid w:val="00B42DFF"/>
    <w:rsid w:val="00B43193"/>
    <w:rsid w:val="00B43823"/>
    <w:rsid w:val="00B43D10"/>
    <w:rsid w:val="00B43FFE"/>
    <w:rsid w:val="00B44666"/>
    <w:rsid w:val="00B4468A"/>
    <w:rsid w:val="00B44EF7"/>
    <w:rsid w:val="00B455CB"/>
    <w:rsid w:val="00B4578B"/>
    <w:rsid w:val="00B45DCD"/>
    <w:rsid w:val="00B462A8"/>
    <w:rsid w:val="00B47734"/>
    <w:rsid w:val="00B5008B"/>
    <w:rsid w:val="00B500FB"/>
    <w:rsid w:val="00B504F2"/>
    <w:rsid w:val="00B50939"/>
    <w:rsid w:val="00B50A6C"/>
    <w:rsid w:val="00B515F3"/>
    <w:rsid w:val="00B51CAE"/>
    <w:rsid w:val="00B51E9D"/>
    <w:rsid w:val="00B521B7"/>
    <w:rsid w:val="00B529DA"/>
    <w:rsid w:val="00B530FF"/>
    <w:rsid w:val="00B531D7"/>
    <w:rsid w:val="00B53889"/>
    <w:rsid w:val="00B538F7"/>
    <w:rsid w:val="00B54A64"/>
    <w:rsid w:val="00B551B8"/>
    <w:rsid w:val="00B55FE6"/>
    <w:rsid w:val="00B5646D"/>
    <w:rsid w:val="00B56528"/>
    <w:rsid w:val="00B56FB7"/>
    <w:rsid w:val="00B57390"/>
    <w:rsid w:val="00B57393"/>
    <w:rsid w:val="00B57896"/>
    <w:rsid w:val="00B57CBC"/>
    <w:rsid w:val="00B57FF9"/>
    <w:rsid w:val="00B608EE"/>
    <w:rsid w:val="00B6091E"/>
    <w:rsid w:val="00B609B9"/>
    <w:rsid w:val="00B60B40"/>
    <w:rsid w:val="00B61454"/>
    <w:rsid w:val="00B617BA"/>
    <w:rsid w:val="00B61826"/>
    <w:rsid w:val="00B618AF"/>
    <w:rsid w:val="00B61C75"/>
    <w:rsid w:val="00B623AE"/>
    <w:rsid w:val="00B62529"/>
    <w:rsid w:val="00B6311D"/>
    <w:rsid w:val="00B6316C"/>
    <w:rsid w:val="00B63242"/>
    <w:rsid w:val="00B634AF"/>
    <w:rsid w:val="00B639D8"/>
    <w:rsid w:val="00B641D5"/>
    <w:rsid w:val="00B642BC"/>
    <w:rsid w:val="00B64908"/>
    <w:rsid w:val="00B64B89"/>
    <w:rsid w:val="00B64D91"/>
    <w:rsid w:val="00B64FC0"/>
    <w:rsid w:val="00B65D77"/>
    <w:rsid w:val="00B66427"/>
    <w:rsid w:val="00B66718"/>
    <w:rsid w:val="00B6685D"/>
    <w:rsid w:val="00B66B45"/>
    <w:rsid w:val="00B66F82"/>
    <w:rsid w:val="00B67391"/>
    <w:rsid w:val="00B67399"/>
    <w:rsid w:val="00B6740B"/>
    <w:rsid w:val="00B677DA"/>
    <w:rsid w:val="00B67BD0"/>
    <w:rsid w:val="00B70153"/>
    <w:rsid w:val="00B701A2"/>
    <w:rsid w:val="00B7054F"/>
    <w:rsid w:val="00B70565"/>
    <w:rsid w:val="00B70820"/>
    <w:rsid w:val="00B70C53"/>
    <w:rsid w:val="00B712D6"/>
    <w:rsid w:val="00B72474"/>
    <w:rsid w:val="00B72962"/>
    <w:rsid w:val="00B72D51"/>
    <w:rsid w:val="00B73014"/>
    <w:rsid w:val="00B73B12"/>
    <w:rsid w:val="00B74394"/>
    <w:rsid w:val="00B743E5"/>
    <w:rsid w:val="00B749F3"/>
    <w:rsid w:val="00B74C42"/>
    <w:rsid w:val="00B74E09"/>
    <w:rsid w:val="00B757C4"/>
    <w:rsid w:val="00B766F9"/>
    <w:rsid w:val="00B76E6F"/>
    <w:rsid w:val="00B76FA0"/>
    <w:rsid w:val="00B77065"/>
    <w:rsid w:val="00B773FB"/>
    <w:rsid w:val="00B777CB"/>
    <w:rsid w:val="00B77902"/>
    <w:rsid w:val="00B8021D"/>
    <w:rsid w:val="00B807D4"/>
    <w:rsid w:val="00B80A9A"/>
    <w:rsid w:val="00B81102"/>
    <w:rsid w:val="00B814AD"/>
    <w:rsid w:val="00B81548"/>
    <w:rsid w:val="00B81BC9"/>
    <w:rsid w:val="00B81DA0"/>
    <w:rsid w:val="00B837D4"/>
    <w:rsid w:val="00B83DAE"/>
    <w:rsid w:val="00B841E8"/>
    <w:rsid w:val="00B8454A"/>
    <w:rsid w:val="00B84971"/>
    <w:rsid w:val="00B84D39"/>
    <w:rsid w:val="00B85740"/>
    <w:rsid w:val="00B8585C"/>
    <w:rsid w:val="00B85B86"/>
    <w:rsid w:val="00B864BB"/>
    <w:rsid w:val="00B87522"/>
    <w:rsid w:val="00B87EEA"/>
    <w:rsid w:val="00B9029F"/>
    <w:rsid w:val="00B905E8"/>
    <w:rsid w:val="00B91A0B"/>
    <w:rsid w:val="00B9264D"/>
    <w:rsid w:val="00B927F8"/>
    <w:rsid w:val="00B92CBE"/>
    <w:rsid w:val="00B933E6"/>
    <w:rsid w:val="00B93557"/>
    <w:rsid w:val="00B9368E"/>
    <w:rsid w:val="00B944B0"/>
    <w:rsid w:val="00B958C2"/>
    <w:rsid w:val="00B958D5"/>
    <w:rsid w:val="00B95B7D"/>
    <w:rsid w:val="00B966E0"/>
    <w:rsid w:val="00B96FC5"/>
    <w:rsid w:val="00B978F2"/>
    <w:rsid w:val="00B9794C"/>
    <w:rsid w:val="00B979BD"/>
    <w:rsid w:val="00B97AEE"/>
    <w:rsid w:val="00B97E1D"/>
    <w:rsid w:val="00BA04CC"/>
    <w:rsid w:val="00BA04DA"/>
    <w:rsid w:val="00BA0712"/>
    <w:rsid w:val="00BA0723"/>
    <w:rsid w:val="00BA0D70"/>
    <w:rsid w:val="00BA0FA5"/>
    <w:rsid w:val="00BA118E"/>
    <w:rsid w:val="00BA1455"/>
    <w:rsid w:val="00BA179B"/>
    <w:rsid w:val="00BA188E"/>
    <w:rsid w:val="00BA1D31"/>
    <w:rsid w:val="00BA20DC"/>
    <w:rsid w:val="00BA20DE"/>
    <w:rsid w:val="00BA227D"/>
    <w:rsid w:val="00BA2D46"/>
    <w:rsid w:val="00BA343E"/>
    <w:rsid w:val="00BA3CE8"/>
    <w:rsid w:val="00BA428C"/>
    <w:rsid w:val="00BA42BC"/>
    <w:rsid w:val="00BA4368"/>
    <w:rsid w:val="00BA436D"/>
    <w:rsid w:val="00BA5BBF"/>
    <w:rsid w:val="00BA5D53"/>
    <w:rsid w:val="00BA7885"/>
    <w:rsid w:val="00BA7ED0"/>
    <w:rsid w:val="00BA7F11"/>
    <w:rsid w:val="00BB0B55"/>
    <w:rsid w:val="00BB0E2F"/>
    <w:rsid w:val="00BB0EB7"/>
    <w:rsid w:val="00BB0F04"/>
    <w:rsid w:val="00BB10E0"/>
    <w:rsid w:val="00BB1245"/>
    <w:rsid w:val="00BB1A8A"/>
    <w:rsid w:val="00BB22CE"/>
    <w:rsid w:val="00BB23DD"/>
    <w:rsid w:val="00BB268D"/>
    <w:rsid w:val="00BB2A55"/>
    <w:rsid w:val="00BB2C2E"/>
    <w:rsid w:val="00BB3200"/>
    <w:rsid w:val="00BB3E43"/>
    <w:rsid w:val="00BB5147"/>
    <w:rsid w:val="00BB521E"/>
    <w:rsid w:val="00BB524F"/>
    <w:rsid w:val="00BB5450"/>
    <w:rsid w:val="00BB69D3"/>
    <w:rsid w:val="00BB6E01"/>
    <w:rsid w:val="00BB7D88"/>
    <w:rsid w:val="00BB7EAA"/>
    <w:rsid w:val="00BC0204"/>
    <w:rsid w:val="00BC083E"/>
    <w:rsid w:val="00BC0986"/>
    <w:rsid w:val="00BC0E87"/>
    <w:rsid w:val="00BC1210"/>
    <w:rsid w:val="00BC1D93"/>
    <w:rsid w:val="00BC205B"/>
    <w:rsid w:val="00BC20FA"/>
    <w:rsid w:val="00BC282C"/>
    <w:rsid w:val="00BC2960"/>
    <w:rsid w:val="00BC296D"/>
    <w:rsid w:val="00BC2F77"/>
    <w:rsid w:val="00BC44FE"/>
    <w:rsid w:val="00BC52C5"/>
    <w:rsid w:val="00BC5566"/>
    <w:rsid w:val="00BC55E0"/>
    <w:rsid w:val="00BC56EF"/>
    <w:rsid w:val="00BC6213"/>
    <w:rsid w:val="00BC6983"/>
    <w:rsid w:val="00BC6A68"/>
    <w:rsid w:val="00BC6EF7"/>
    <w:rsid w:val="00BC703D"/>
    <w:rsid w:val="00BC7127"/>
    <w:rsid w:val="00BC7C31"/>
    <w:rsid w:val="00BD00A3"/>
    <w:rsid w:val="00BD099B"/>
    <w:rsid w:val="00BD0EB4"/>
    <w:rsid w:val="00BD10DB"/>
    <w:rsid w:val="00BD143D"/>
    <w:rsid w:val="00BD153E"/>
    <w:rsid w:val="00BD1C93"/>
    <w:rsid w:val="00BD1EBC"/>
    <w:rsid w:val="00BD297F"/>
    <w:rsid w:val="00BD2D0A"/>
    <w:rsid w:val="00BD3180"/>
    <w:rsid w:val="00BD342D"/>
    <w:rsid w:val="00BD425D"/>
    <w:rsid w:val="00BD4C01"/>
    <w:rsid w:val="00BD5337"/>
    <w:rsid w:val="00BD585D"/>
    <w:rsid w:val="00BD5BAB"/>
    <w:rsid w:val="00BD6E22"/>
    <w:rsid w:val="00BD722B"/>
    <w:rsid w:val="00BD75C1"/>
    <w:rsid w:val="00BD7DE0"/>
    <w:rsid w:val="00BE05D1"/>
    <w:rsid w:val="00BE0ED2"/>
    <w:rsid w:val="00BE16F8"/>
    <w:rsid w:val="00BE1966"/>
    <w:rsid w:val="00BE24EC"/>
    <w:rsid w:val="00BE276C"/>
    <w:rsid w:val="00BE2A40"/>
    <w:rsid w:val="00BE3561"/>
    <w:rsid w:val="00BE37D9"/>
    <w:rsid w:val="00BE3DCF"/>
    <w:rsid w:val="00BE4499"/>
    <w:rsid w:val="00BE49A8"/>
    <w:rsid w:val="00BE5D68"/>
    <w:rsid w:val="00BE5DA2"/>
    <w:rsid w:val="00BE5E6C"/>
    <w:rsid w:val="00BE6311"/>
    <w:rsid w:val="00BE7447"/>
    <w:rsid w:val="00BE795D"/>
    <w:rsid w:val="00BF0239"/>
    <w:rsid w:val="00BF12A5"/>
    <w:rsid w:val="00BF2E23"/>
    <w:rsid w:val="00BF33B9"/>
    <w:rsid w:val="00BF362A"/>
    <w:rsid w:val="00BF366D"/>
    <w:rsid w:val="00BF37AC"/>
    <w:rsid w:val="00BF4BEF"/>
    <w:rsid w:val="00BF5DB2"/>
    <w:rsid w:val="00BF5EB2"/>
    <w:rsid w:val="00BF5F43"/>
    <w:rsid w:val="00BF62C3"/>
    <w:rsid w:val="00BF6B45"/>
    <w:rsid w:val="00BF6CAA"/>
    <w:rsid w:val="00BF6DE3"/>
    <w:rsid w:val="00BF6F95"/>
    <w:rsid w:val="00BF703A"/>
    <w:rsid w:val="00BF774D"/>
    <w:rsid w:val="00C00B30"/>
    <w:rsid w:val="00C01392"/>
    <w:rsid w:val="00C01D04"/>
    <w:rsid w:val="00C01EE5"/>
    <w:rsid w:val="00C01F17"/>
    <w:rsid w:val="00C01F4D"/>
    <w:rsid w:val="00C02001"/>
    <w:rsid w:val="00C03206"/>
    <w:rsid w:val="00C03681"/>
    <w:rsid w:val="00C03BC3"/>
    <w:rsid w:val="00C045C1"/>
    <w:rsid w:val="00C05267"/>
    <w:rsid w:val="00C052EB"/>
    <w:rsid w:val="00C0581A"/>
    <w:rsid w:val="00C05ABC"/>
    <w:rsid w:val="00C06567"/>
    <w:rsid w:val="00C0659E"/>
    <w:rsid w:val="00C06663"/>
    <w:rsid w:val="00C06F94"/>
    <w:rsid w:val="00C076F4"/>
    <w:rsid w:val="00C07A60"/>
    <w:rsid w:val="00C07B90"/>
    <w:rsid w:val="00C07DBF"/>
    <w:rsid w:val="00C07F9B"/>
    <w:rsid w:val="00C10583"/>
    <w:rsid w:val="00C107DF"/>
    <w:rsid w:val="00C109A7"/>
    <w:rsid w:val="00C110F2"/>
    <w:rsid w:val="00C111CA"/>
    <w:rsid w:val="00C11DC7"/>
    <w:rsid w:val="00C124B8"/>
    <w:rsid w:val="00C12B07"/>
    <w:rsid w:val="00C12D82"/>
    <w:rsid w:val="00C12E6F"/>
    <w:rsid w:val="00C13A07"/>
    <w:rsid w:val="00C13B7E"/>
    <w:rsid w:val="00C14603"/>
    <w:rsid w:val="00C1499B"/>
    <w:rsid w:val="00C14FBA"/>
    <w:rsid w:val="00C1536B"/>
    <w:rsid w:val="00C15519"/>
    <w:rsid w:val="00C15555"/>
    <w:rsid w:val="00C15954"/>
    <w:rsid w:val="00C166AB"/>
    <w:rsid w:val="00C1670D"/>
    <w:rsid w:val="00C17DFF"/>
    <w:rsid w:val="00C2058C"/>
    <w:rsid w:val="00C20820"/>
    <w:rsid w:val="00C20DA1"/>
    <w:rsid w:val="00C21590"/>
    <w:rsid w:val="00C21AD4"/>
    <w:rsid w:val="00C21E2A"/>
    <w:rsid w:val="00C22404"/>
    <w:rsid w:val="00C2272A"/>
    <w:rsid w:val="00C22EF0"/>
    <w:rsid w:val="00C22FBE"/>
    <w:rsid w:val="00C2316E"/>
    <w:rsid w:val="00C232FF"/>
    <w:rsid w:val="00C23E73"/>
    <w:rsid w:val="00C23F44"/>
    <w:rsid w:val="00C24639"/>
    <w:rsid w:val="00C248AA"/>
    <w:rsid w:val="00C24B8D"/>
    <w:rsid w:val="00C25A61"/>
    <w:rsid w:val="00C25BE6"/>
    <w:rsid w:val="00C26828"/>
    <w:rsid w:val="00C26AFD"/>
    <w:rsid w:val="00C26E1E"/>
    <w:rsid w:val="00C27F1A"/>
    <w:rsid w:val="00C310CC"/>
    <w:rsid w:val="00C319E5"/>
    <w:rsid w:val="00C320CC"/>
    <w:rsid w:val="00C322C4"/>
    <w:rsid w:val="00C3244F"/>
    <w:rsid w:val="00C32550"/>
    <w:rsid w:val="00C3285D"/>
    <w:rsid w:val="00C3311C"/>
    <w:rsid w:val="00C33174"/>
    <w:rsid w:val="00C3340A"/>
    <w:rsid w:val="00C33A23"/>
    <w:rsid w:val="00C33AF7"/>
    <w:rsid w:val="00C343FB"/>
    <w:rsid w:val="00C344FF"/>
    <w:rsid w:val="00C34EAE"/>
    <w:rsid w:val="00C361E7"/>
    <w:rsid w:val="00C364B4"/>
    <w:rsid w:val="00C3693E"/>
    <w:rsid w:val="00C36F37"/>
    <w:rsid w:val="00C371F8"/>
    <w:rsid w:val="00C37B2A"/>
    <w:rsid w:val="00C4033C"/>
    <w:rsid w:val="00C41060"/>
    <w:rsid w:val="00C41165"/>
    <w:rsid w:val="00C412F3"/>
    <w:rsid w:val="00C413F6"/>
    <w:rsid w:val="00C42063"/>
    <w:rsid w:val="00C42E8A"/>
    <w:rsid w:val="00C4306A"/>
    <w:rsid w:val="00C44023"/>
    <w:rsid w:val="00C44536"/>
    <w:rsid w:val="00C446A4"/>
    <w:rsid w:val="00C4540E"/>
    <w:rsid w:val="00C45656"/>
    <w:rsid w:val="00C4576F"/>
    <w:rsid w:val="00C457CA"/>
    <w:rsid w:val="00C45D4E"/>
    <w:rsid w:val="00C46693"/>
    <w:rsid w:val="00C46B68"/>
    <w:rsid w:val="00C46B85"/>
    <w:rsid w:val="00C46C63"/>
    <w:rsid w:val="00C47516"/>
    <w:rsid w:val="00C4791F"/>
    <w:rsid w:val="00C47B4B"/>
    <w:rsid w:val="00C47CBF"/>
    <w:rsid w:val="00C47D8A"/>
    <w:rsid w:val="00C47E77"/>
    <w:rsid w:val="00C47F3A"/>
    <w:rsid w:val="00C50038"/>
    <w:rsid w:val="00C5058F"/>
    <w:rsid w:val="00C505EA"/>
    <w:rsid w:val="00C507AD"/>
    <w:rsid w:val="00C50CFD"/>
    <w:rsid w:val="00C51082"/>
    <w:rsid w:val="00C51A13"/>
    <w:rsid w:val="00C51AA2"/>
    <w:rsid w:val="00C527ED"/>
    <w:rsid w:val="00C52952"/>
    <w:rsid w:val="00C52A60"/>
    <w:rsid w:val="00C5300A"/>
    <w:rsid w:val="00C530B7"/>
    <w:rsid w:val="00C53189"/>
    <w:rsid w:val="00C54848"/>
    <w:rsid w:val="00C54A1D"/>
    <w:rsid w:val="00C54B8A"/>
    <w:rsid w:val="00C54E09"/>
    <w:rsid w:val="00C5513F"/>
    <w:rsid w:val="00C5550D"/>
    <w:rsid w:val="00C5592B"/>
    <w:rsid w:val="00C56FCA"/>
    <w:rsid w:val="00C56FE4"/>
    <w:rsid w:val="00C57123"/>
    <w:rsid w:val="00C57CE8"/>
    <w:rsid w:val="00C602EA"/>
    <w:rsid w:val="00C6046B"/>
    <w:rsid w:val="00C60828"/>
    <w:rsid w:val="00C60CC2"/>
    <w:rsid w:val="00C60FC8"/>
    <w:rsid w:val="00C6121B"/>
    <w:rsid w:val="00C61C34"/>
    <w:rsid w:val="00C623A7"/>
    <w:rsid w:val="00C62843"/>
    <w:rsid w:val="00C62BD4"/>
    <w:rsid w:val="00C62D68"/>
    <w:rsid w:val="00C62F36"/>
    <w:rsid w:val="00C62FE7"/>
    <w:rsid w:val="00C63515"/>
    <w:rsid w:val="00C636D8"/>
    <w:rsid w:val="00C639AF"/>
    <w:rsid w:val="00C63A93"/>
    <w:rsid w:val="00C6501F"/>
    <w:rsid w:val="00C650E1"/>
    <w:rsid w:val="00C65514"/>
    <w:rsid w:val="00C655B0"/>
    <w:rsid w:val="00C65635"/>
    <w:rsid w:val="00C65A10"/>
    <w:rsid w:val="00C664B4"/>
    <w:rsid w:val="00C6656E"/>
    <w:rsid w:val="00C6694F"/>
    <w:rsid w:val="00C67ABA"/>
    <w:rsid w:val="00C7043A"/>
    <w:rsid w:val="00C70502"/>
    <w:rsid w:val="00C70E6F"/>
    <w:rsid w:val="00C72B10"/>
    <w:rsid w:val="00C72D41"/>
    <w:rsid w:val="00C73DA6"/>
    <w:rsid w:val="00C74380"/>
    <w:rsid w:val="00C744E3"/>
    <w:rsid w:val="00C74D15"/>
    <w:rsid w:val="00C755A6"/>
    <w:rsid w:val="00C75DAA"/>
    <w:rsid w:val="00C7676F"/>
    <w:rsid w:val="00C76F1B"/>
    <w:rsid w:val="00C77B80"/>
    <w:rsid w:val="00C77BD1"/>
    <w:rsid w:val="00C8079A"/>
    <w:rsid w:val="00C807FE"/>
    <w:rsid w:val="00C80811"/>
    <w:rsid w:val="00C80813"/>
    <w:rsid w:val="00C80D0B"/>
    <w:rsid w:val="00C815B0"/>
    <w:rsid w:val="00C819D2"/>
    <w:rsid w:val="00C8304F"/>
    <w:rsid w:val="00C8305E"/>
    <w:rsid w:val="00C8335E"/>
    <w:rsid w:val="00C8348E"/>
    <w:rsid w:val="00C83687"/>
    <w:rsid w:val="00C836C8"/>
    <w:rsid w:val="00C838CE"/>
    <w:rsid w:val="00C84051"/>
    <w:rsid w:val="00C8432C"/>
    <w:rsid w:val="00C84BA1"/>
    <w:rsid w:val="00C85781"/>
    <w:rsid w:val="00C857E4"/>
    <w:rsid w:val="00C858C5"/>
    <w:rsid w:val="00C85C98"/>
    <w:rsid w:val="00C85CEB"/>
    <w:rsid w:val="00C864B0"/>
    <w:rsid w:val="00C86736"/>
    <w:rsid w:val="00C86A7C"/>
    <w:rsid w:val="00C87E50"/>
    <w:rsid w:val="00C909D7"/>
    <w:rsid w:val="00C922AF"/>
    <w:rsid w:val="00C9232A"/>
    <w:rsid w:val="00C924A7"/>
    <w:rsid w:val="00C92974"/>
    <w:rsid w:val="00C9358B"/>
    <w:rsid w:val="00C93B0B"/>
    <w:rsid w:val="00C93DEE"/>
    <w:rsid w:val="00C944C5"/>
    <w:rsid w:val="00C94CF1"/>
    <w:rsid w:val="00C9540C"/>
    <w:rsid w:val="00C95529"/>
    <w:rsid w:val="00C95A17"/>
    <w:rsid w:val="00C9672C"/>
    <w:rsid w:val="00C96DCC"/>
    <w:rsid w:val="00C971E7"/>
    <w:rsid w:val="00C97228"/>
    <w:rsid w:val="00C97829"/>
    <w:rsid w:val="00C97B95"/>
    <w:rsid w:val="00CA0225"/>
    <w:rsid w:val="00CA0427"/>
    <w:rsid w:val="00CA053C"/>
    <w:rsid w:val="00CA0DBE"/>
    <w:rsid w:val="00CA0F42"/>
    <w:rsid w:val="00CA146A"/>
    <w:rsid w:val="00CA157F"/>
    <w:rsid w:val="00CA1EB9"/>
    <w:rsid w:val="00CA21F9"/>
    <w:rsid w:val="00CA2A3F"/>
    <w:rsid w:val="00CA2FA0"/>
    <w:rsid w:val="00CA3388"/>
    <w:rsid w:val="00CA424B"/>
    <w:rsid w:val="00CA4925"/>
    <w:rsid w:val="00CA52A0"/>
    <w:rsid w:val="00CA5302"/>
    <w:rsid w:val="00CA6598"/>
    <w:rsid w:val="00CA6855"/>
    <w:rsid w:val="00CA6E50"/>
    <w:rsid w:val="00CA6E96"/>
    <w:rsid w:val="00CA76C8"/>
    <w:rsid w:val="00CA7C19"/>
    <w:rsid w:val="00CA7DD5"/>
    <w:rsid w:val="00CA7F62"/>
    <w:rsid w:val="00CB0E8E"/>
    <w:rsid w:val="00CB1851"/>
    <w:rsid w:val="00CB1AAF"/>
    <w:rsid w:val="00CB1DA4"/>
    <w:rsid w:val="00CB1ED9"/>
    <w:rsid w:val="00CB29B6"/>
    <w:rsid w:val="00CB2AD7"/>
    <w:rsid w:val="00CB2DC4"/>
    <w:rsid w:val="00CB2F5A"/>
    <w:rsid w:val="00CB3030"/>
    <w:rsid w:val="00CB4018"/>
    <w:rsid w:val="00CB4102"/>
    <w:rsid w:val="00CB43CD"/>
    <w:rsid w:val="00CB47E9"/>
    <w:rsid w:val="00CB5585"/>
    <w:rsid w:val="00CB599F"/>
    <w:rsid w:val="00CB5AA6"/>
    <w:rsid w:val="00CB63BD"/>
    <w:rsid w:val="00CB741A"/>
    <w:rsid w:val="00CB7680"/>
    <w:rsid w:val="00CB78C0"/>
    <w:rsid w:val="00CB7D7D"/>
    <w:rsid w:val="00CB7DD0"/>
    <w:rsid w:val="00CC0B70"/>
    <w:rsid w:val="00CC1198"/>
    <w:rsid w:val="00CC136B"/>
    <w:rsid w:val="00CC1CBA"/>
    <w:rsid w:val="00CC20DE"/>
    <w:rsid w:val="00CC23E0"/>
    <w:rsid w:val="00CC297F"/>
    <w:rsid w:val="00CC29F6"/>
    <w:rsid w:val="00CC2B96"/>
    <w:rsid w:val="00CC2BDC"/>
    <w:rsid w:val="00CC2C10"/>
    <w:rsid w:val="00CC2DB9"/>
    <w:rsid w:val="00CC2F82"/>
    <w:rsid w:val="00CC30B7"/>
    <w:rsid w:val="00CC32A7"/>
    <w:rsid w:val="00CC33F8"/>
    <w:rsid w:val="00CC4278"/>
    <w:rsid w:val="00CC45FD"/>
    <w:rsid w:val="00CC46E8"/>
    <w:rsid w:val="00CC50E9"/>
    <w:rsid w:val="00CC54B2"/>
    <w:rsid w:val="00CC5E5A"/>
    <w:rsid w:val="00CC64D5"/>
    <w:rsid w:val="00CC68D5"/>
    <w:rsid w:val="00CC6BEA"/>
    <w:rsid w:val="00CC740A"/>
    <w:rsid w:val="00CC757B"/>
    <w:rsid w:val="00CD0062"/>
    <w:rsid w:val="00CD042D"/>
    <w:rsid w:val="00CD0F77"/>
    <w:rsid w:val="00CD131B"/>
    <w:rsid w:val="00CD25B1"/>
    <w:rsid w:val="00CD2C1A"/>
    <w:rsid w:val="00CD2D9F"/>
    <w:rsid w:val="00CD3475"/>
    <w:rsid w:val="00CD3B57"/>
    <w:rsid w:val="00CD407F"/>
    <w:rsid w:val="00CD43E9"/>
    <w:rsid w:val="00CD44EA"/>
    <w:rsid w:val="00CD45EC"/>
    <w:rsid w:val="00CD4BD5"/>
    <w:rsid w:val="00CD4BF3"/>
    <w:rsid w:val="00CD56CC"/>
    <w:rsid w:val="00CD5F3E"/>
    <w:rsid w:val="00CD66B3"/>
    <w:rsid w:val="00CD6895"/>
    <w:rsid w:val="00CD71CB"/>
    <w:rsid w:val="00CD7360"/>
    <w:rsid w:val="00CD7C46"/>
    <w:rsid w:val="00CD7F74"/>
    <w:rsid w:val="00CE00B5"/>
    <w:rsid w:val="00CE05B9"/>
    <w:rsid w:val="00CE05E6"/>
    <w:rsid w:val="00CE05F1"/>
    <w:rsid w:val="00CE09AA"/>
    <w:rsid w:val="00CE0BCF"/>
    <w:rsid w:val="00CE0EAC"/>
    <w:rsid w:val="00CE14CD"/>
    <w:rsid w:val="00CE17F1"/>
    <w:rsid w:val="00CE1C51"/>
    <w:rsid w:val="00CE235B"/>
    <w:rsid w:val="00CE269C"/>
    <w:rsid w:val="00CE2D2E"/>
    <w:rsid w:val="00CE314B"/>
    <w:rsid w:val="00CE365B"/>
    <w:rsid w:val="00CE397F"/>
    <w:rsid w:val="00CE3FE8"/>
    <w:rsid w:val="00CE4485"/>
    <w:rsid w:val="00CE473E"/>
    <w:rsid w:val="00CE474A"/>
    <w:rsid w:val="00CE4C26"/>
    <w:rsid w:val="00CE4C8E"/>
    <w:rsid w:val="00CE504D"/>
    <w:rsid w:val="00CE5551"/>
    <w:rsid w:val="00CE5865"/>
    <w:rsid w:val="00CE5E00"/>
    <w:rsid w:val="00CE5E6C"/>
    <w:rsid w:val="00CE60C9"/>
    <w:rsid w:val="00CE6290"/>
    <w:rsid w:val="00CE6569"/>
    <w:rsid w:val="00CE6CBA"/>
    <w:rsid w:val="00CE7665"/>
    <w:rsid w:val="00CE77CF"/>
    <w:rsid w:val="00CF099B"/>
    <w:rsid w:val="00CF0D5D"/>
    <w:rsid w:val="00CF1672"/>
    <w:rsid w:val="00CF237D"/>
    <w:rsid w:val="00CF31B5"/>
    <w:rsid w:val="00CF364F"/>
    <w:rsid w:val="00CF3E89"/>
    <w:rsid w:val="00CF3F36"/>
    <w:rsid w:val="00CF4083"/>
    <w:rsid w:val="00CF4510"/>
    <w:rsid w:val="00CF4BF9"/>
    <w:rsid w:val="00CF4F39"/>
    <w:rsid w:val="00CF51F1"/>
    <w:rsid w:val="00CF53DC"/>
    <w:rsid w:val="00CF59BE"/>
    <w:rsid w:val="00CF5A1F"/>
    <w:rsid w:val="00CF619A"/>
    <w:rsid w:val="00CF67C6"/>
    <w:rsid w:val="00CF6878"/>
    <w:rsid w:val="00CF6939"/>
    <w:rsid w:val="00CF6A15"/>
    <w:rsid w:val="00CF6E16"/>
    <w:rsid w:val="00CF752E"/>
    <w:rsid w:val="00CF76AB"/>
    <w:rsid w:val="00CF7A8B"/>
    <w:rsid w:val="00CF7BAE"/>
    <w:rsid w:val="00D0042D"/>
    <w:rsid w:val="00D00974"/>
    <w:rsid w:val="00D00E5A"/>
    <w:rsid w:val="00D0101E"/>
    <w:rsid w:val="00D019AE"/>
    <w:rsid w:val="00D01BC6"/>
    <w:rsid w:val="00D01E21"/>
    <w:rsid w:val="00D0228C"/>
    <w:rsid w:val="00D02748"/>
    <w:rsid w:val="00D02898"/>
    <w:rsid w:val="00D02B53"/>
    <w:rsid w:val="00D03104"/>
    <w:rsid w:val="00D0383A"/>
    <w:rsid w:val="00D03929"/>
    <w:rsid w:val="00D0477E"/>
    <w:rsid w:val="00D04AEF"/>
    <w:rsid w:val="00D05418"/>
    <w:rsid w:val="00D056AD"/>
    <w:rsid w:val="00D0577A"/>
    <w:rsid w:val="00D05C8D"/>
    <w:rsid w:val="00D06001"/>
    <w:rsid w:val="00D066CB"/>
    <w:rsid w:val="00D075E9"/>
    <w:rsid w:val="00D101EE"/>
    <w:rsid w:val="00D10440"/>
    <w:rsid w:val="00D10EC5"/>
    <w:rsid w:val="00D118F4"/>
    <w:rsid w:val="00D1195F"/>
    <w:rsid w:val="00D121EE"/>
    <w:rsid w:val="00D12B02"/>
    <w:rsid w:val="00D135F7"/>
    <w:rsid w:val="00D13684"/>
    <w:rsid w:val="00D13905"/>
    <w:rsid w:val="00D13EF1"/>
    <w:rsid w:val="00D14174"/>
    <w:rsid w:val="00D1458D"/>
    <w:rsid w:val="00D148FB"/>
    <w:rsid w:val="00D1524D"/>
    <w:rsid w:val="00D1539F"/>
    <w:rsid w:val="00D15946"/>
    <w:rsid w:val="00D15ADE"/>
    <w:rsid w:val="00D15D33"/>
    <w:rsid w:val="00D1645A"/>
    <w:rsid w:val="00D1652E"/>
    <w:rsid w:val="00D165EE"/>
    <w:rsid w:val="00D16732"/>
    <w:rsid w:val="00D16AD0"/>
    <w:rsid w:val="00D17491"/>
    <w:rsid w:val="00D20541"/>
    <w:rsid w:val="00D206EF"/>
    <w:rsid w:val="00D20720"/>
    <w:rsid w:val="00D20771"/>
    <w:rsid w:val="00D2080A"/>
    <w:rsid w:val="00D21330"/>
    <w:rsid w:val="00D214C7"/>
    <w:rsid w:val="00D21513"/>
    <w:rsid w:val="00D228B1"/>
    <w:rsid w:val="00D22948"/>
    <w:rsid w:val="00D22EFC"/>
    <w:rsid w:val="00D23013"/>
    <w:rsid w:val="00D235B4"/>
    <w:rsid w:val="00D23D62"/>
    <w:rsid w:val="00D23F82"/>
    <w:rsid w:val="00D2430C"/>
    <w:rsid w:val="00D2472E"/>
    <w:rsid w:val="00D24B36"/>
    <w:rsid w:val="00D25131"/>
    <w:rsid w:val="00D251AC"/>
    <w:rsid w:val="00D25775"/>
    <w:rsid w:val="00D26D47"/>
    <w:rsid w:val="00D26F64"/>
    <w:rsid w:val="00D27409"/>
    <w:rsid w:val="00D27D61"/>
    <w:rsid w:val="00D27E12"/>
    <w:rsid w:val="00D27E1E"/>
    <w:rsid w:val="00D30F5C"/>
    <w:rsid w:val="00D3191E"/>
    <w:rsid w:val="00D31BA0"/>
    <w:rsid w:val="00D329B1"/>
    <w:rsid w:val="00D32B5B"/>
    <w:rsid w:val="00D330B4"/>
    <w:rsid w:val="00D3318B"/>
    <w:rsid w:val="00D33497"/>
    <w:rsid w:val="00D3366F"/>
    <w:rsid w:val="00D344C6"/>
    <w:rsid w:val="00D3486D"/>
    <w:rsid w:val="00D35213"/>
    <w:rsid w:val="00D3557E"/>
    <w:rsid w:val="00D3558A"/>
    <w:rsid w:val="00D356D1"/>
    <w:rsid w:val="00D359A9"/>
    <w:rsid w:val="00D35A41"/>
    <w:rsid w:val="00D35CDC"/>
    <w:rsid w:val="00D36372"/>
    <w:rsid w:val="00D37057"/>
    <w:rsid w:val="00D37352"/>
    <w:rsid w:val="00D3735F"/>
    <w:rsid w:val="00D40079"/>
    <w:rsid w:val="00D40485"/>
    <w:rsid w:val="00D411A5"/>
    <w:rsid w:val="00D41323"/>
    <w:rsid w:val="00D415D9"/>
    <w:rsid w:val="00D41C12"/>
    <w:rsid w:val="00D41C5F"/>
    <w:rsid w:val="00D41F5C"/>
    <w:rsid w:val="00D425DD"/>
    <w:rsid w:val="00D42C7F"/>
    <w:rsid w:val="00D42D39"/>
    <w:rsid w:val="00D43347"/>
    <w:rsid w:val="00D433C1"/>
    <w:rsid w:val="00D43754"/>
    <w:rsid w:val="00D437A5"/>
    <w:rsid w:val="00D43878"/>
    <w:rsid w:val="00D43D8C"/>
    <w:rsid w:val="00D43FC3"/>
    <w:rsid w:val="00D44A64"/>
    <w:rsid w:val="00D44CFA"/>
    <w:rsid w:val="00D45BCF"/>
    <w:rsid w:val="00D45C57"/>
    <w:rsid w:val="00D45DCB"/>
    <w:rsid w:val="00D46C0B"/>
    <w:rsid w:val="00D47681"/>
    <w:rsid w:val="00D4788B"/>
    <w:rsid w:val="00D47E12"/>
    <w:rsid w:val="00D500E5"/>
    <w:rsid w:val="00D50347"/>
    <w:rsid w:val="00D50645"/>
    <w:rsid w:val="00D50F5D"/>
    <w:rsid w:val="00D51263"/>
    <w:rsid w:val="00D5141C"/>
    <w:rsid w:val="00D51D57"/>
    <w:rsid w:val="00D522E6"/>
    <w:rsid w:val="00D5238F"/>
    <w:rsid w:val="00D52442"/>
    <w:rsid w:val="00D524CD"/>
    <w:rsid w:val="00D5403D"/>
    <w:rsid w:val="00D544D7"/>
    <w:rsid w:val="00D559A8"/>
    <w:rsid w:val="00D559BC"/>
    <w:rsid w:val="00D55E67"/>
    <w:rsid w:val="00D56703"/>
    <w:rsid w:val="00D56DEC"/>
    <w:rsid w:val="00D570ED"/>
    <w:rsid w:val="00D5764A"/>
    <w:rsid w:val="00D608DB"/>
    <w:rsid w:val="00D60E01"/>
    <w:rsid w:val="00D619CD"/>
    <w:rsid w:val="00D6256C"/>
    <w:rsid w:val="00D62638"/>
    <w:rsid w:val="00D627E9"/>
    <w:rsid w:val="00D62D29"/>
    <w:rsid w:val="00D6350C"/>
    <w:rsid w:val="00D63D84"/>
    <w:rsid w:val="00D64780"/>
    <w:rsid w:val="00D6491E"/>
    <w:rsid w:val="00D64E46"/>
    <w:rsid w:val="00D65733"/>
    <w:rsid w:val="00D664FD"/>
    <w:rsid w:val="00D6653C"/>
    <w:rsid w:val="00D66DD4"/>
    <w:rsid w:val="00D70079"/>
    <w:rsid w:val="00D7170E"/>
    <w:rsid w:val="00D71898"/>
    <w:rsid w:val="00D71A24"/>
    <w:rsid w:val="00D71A92"/>
    <w:rsid w:val="00D71D3F"/>
    <w:rsid w:val="00D7280C"/>
    <w:rsid w:val="00D735CD"/>
    <w:rsid w:val="00D7379D"/>
    <w:rsid w:val="00D7431A"/>
    <w:rsid w:val="00D744AB"/>
    <w:rsid w:val="00D74B80"/>
    <w:rsid w:val="00D74CE8"/>
    <w:rsid w:val="00D75252"/>
    <w:rsid w:val="00D753BE"/>
    <w:rsid w:val="00D75422"/>
    <w:rsid w:val="00D7642A"/>
    <w:rsid w:val="00D76452"/>
    <w:rsid w:val="00D76657"/>
    <w:rsid w:val="00D76C67"/>
    <w:rsid w:val="00D77AD5"/>
    <w:rsid w:val="00D77DA8"/>
    <w:rsid w:val="00D801C8"/>
    <w:rsid w:val="00D81079"/>
    <w:rsid w:val="00D811E1"/>
    <w:rsid w:val="00D813AC"/>
    <w:rsid w:val="00D814D3"/>
    <w:rsid w:val="00D81A85"/>
    <w:rsid w:val="00D81F3F"/>
    <w:rsid w:val="00D82460"/>
    <w:rsid w:val="00D82631"/>
    <w:rsid w:val="00D82B6A"/>
    <w:rsid w:val="00D82CE5"/>
    <w:rsid w:val="00D82F14"/>
    <w:rsid w:val="00D83014"/>
    <w:rsid w:val="00D83159"/>
    <w:rsid w:val="00D831C1"/>
    <w:rsid w:val="00D83A36"/>
    <w:rsid w:val="00D841C7"/>
    <w:rsid w:val="00D843BF"/>
    <w:rsid w:val="00D84C9A"/>
    <w:rsid w:val="00D857E4"/>
    <w:rsid w:val="00D85830"/>
    <w:rsid w:val="00D85BD6"/>
    <w:rsid w:val="00D85E87"/>
    <w:rsid w:val="00D860C9"/>
    <w:rsid w:val="00D86C30"/>
    <w:rsid w:val="00D86C67"/>
    <w:rsid w:val="00D86D40"/>
    <w:rsid w:val="00D87034"/>
    <w:rsid w:val="00D877D5"/>
    <w:rsid w:val="00D904FC"/>
    <w:rsid w:val="00D90CAD"/>
    <w:rsid w:val="00D90DAF"/>
    <w:rsid w:val="00D91422"/>
    <w:rsid w:val="00D91734"/>
    <w:rsid w:val="00D91CFA"/>
    <w:rsid w:val="00D924B1"/>
    <w:rsid w:val="00D933BB"/>
    <w:rsid w:val="00D933F9"/>
    <w:rsid w:val="00D93806"/>
    <w:rsid w:val="00D938AE"/>
    <w:rsid w:val="00D93C09"/>
    <w:rsid w:val="00D9418C"/>
    <w:rsid w:val="00D948F8"/>
    <w:rsid w:val="00D94D67"/>
    <w:rsid w:val="00D9549E"/>
    <w:rsid w:val="00D95BD7"/>
    <w:rsid w:val="00D95CCA"/>
    <w:rsid w:val="00D95E69"/>
    <w:rsid w:val="00D965B8"/>
    <w:rsid w:val="00D9793A"/>
    <w:rsid w:val="00DA035C"/>
    <w:rsid w:val="00DA0E25"/>
    <w:rsid w:val="00DA11DC"/>
    <w:rsid w:val="00DA13EC"/>
    <w:rsid w:val="00DA166F"/>
    <w:rsid w:val="00DA185D"/>
    <w:rsid w:val="00DA187E"/>
    <w:rsid w:val="00DA27E5"/>
    <w:rsid w:val="00DA2897"/>
    <w:rsid w:val="00DA3D4D"/>
    <w:rsid w:val="00DA53EA"/>
    <w:rsid w:val="00DA563F"/>
    <w:rsid w:val="00DA59DD"/>
    <w:rsid w:val="00DA6A3C"/>
    <w:rsid w:val="00DA6FAC"/>
    <w:rsid w:val="00DA7319"/>
    <w:rsid w:val="00DA7E8F"/>
    <w:rsid w:val="00DB16DA"/>
    <w:rsid w:val="00DB2A82"/>
    <w:rsid w:val="00DB3B82"/>
    <w:rsid w:val="00DB4142"/>
    <w:rsid w:val="00DB45A7"/>
    <w:rsid w:val="00DB46DC"/>
    <w:rsid w:val="00DB52AB"/>
    <w:rsid w:val="00DB57C5"/>
    <w:rsid w:val="00DB5CE5"/>
    <w:rsid w:val="00DB60DC"/>
    <w:rsid w:val="00DB624E"/>
    <w:rsid w:val="00DB6505"/>
    <w:rsid w:val="00DB6666"/>
    <w:rsid w:val="00DB6CC2"/>
    <w:rsid w:val="00DB7C0D"/>
    <w:rsid w:val="00DC016F"/>
    <w:rsid w:val="00DC07D9"/>
    <w:rsid w:val="00DC1165"/>
    <w:rsid w:val="00DC1180"/>
    <w:rsid w:val="00DC119A"/>
    <w:rsid w:val="00DC1AC9"/>
    <w:rsid w:val="00DC22D2"/>
    <w:rsid w:val="00DC25BC"/>
    <w:rsid w:val="00DC3F9D"/>
    <w:rsid w:val="00DC40DA"/>
    <w:rsid w:val="00DC492C"/>
    <w:rsid w:val="00DC5A65"/>
    <w:rsid w:val="00DC5F94"/>
    <w:rsid w:val="00DC6306"/>
    <w:rsid w:val="00DC6547"/>
    <w:rsid w:val="00DC6D04"/>
    <w:rsid w:val="00DC753B"/>
    <w:rsid w:val="00DC76AC"/>
    <w:rsid w:val="00DC781C"/>
    <w:rsid w:val="00DD02BA"/>
    <w:rsid w:val="00DD0A39"/>
    <w:rsid w:val="00DD0AA5"/>
    <w:rsid w:val="00DD0B5D"/>
    <w:rsid w:val="00DD0E97"/>
    <w:rsid w:val="00DD15FA"/>
    <w:rsid w:val="00DD17F2"/>
    <w:rsid w:val="00DD1D5D"/>
    <w:rsid w:val="00DD1FFE"/>
    <w:rsid w:val="00DD2043"/>
    <w:rsid w:val="00DD22E4"/>
    <w:rsid w:val="00DD2896"/>
    <w:rsid w:val="00DD3216"/>
    <w:rsid w:val="00DD3221"/>
    <w:rsid w:val="00DD3F7D"/>
    <w:rsid w:val="00DD419F"/>
    <w:rsid w:val="00DD421E"/>
    <w:rsid w:val="00DD4DCB"/>
    <w:rsid w:val="00DD4E51"/>
    <w:rsid w:val="00DD5C2B"/>
    <w:rsid w:val="00DD64FF"/>
    <w:rsid w:val="00DD660D"/>
    <w:rsid w:val="00DD68D6"/>
    <w:rsid w:val="00DD694A"/>
    <w:rsid w:val="00DD701B"/>
    <w:rsid w:val="00DD71EF"/>
    <w:rsid w:val="00DD7356"/>
    <w:rsid w:val="00DD7A17"/>
    <w:rsid w:val="00DE019B"/>
    <w:rsid w:val="00DE1515"/>
    <w:rsid w:val="00DE1523"/>
    <w:rsid w:val="00DE1DF3"/>
    <w:rsid w:val="00DE2EB8"/>
    <w:rsid w:val="00DE2F22"/>
    <w:rsid w:val="00DE3057"/>
    <w:rsid w:val="00DE32D2"/>
    <w:rsid w:val="00DE3488"/>
    <w:rsid w:val="00DE391A"/>
    <w:rsid w:val="00DE3FCE"/>
    <w:rsid w:val="00DE416E"/>
    <w:rsid w:val="00DE463A"/>
    <w:rsid w:val="00DE58EB"/>
    <w:rsid w:val="00DE5A67"/>
    <w:rsid w:val="00DE648D"/>
    <w:rsid w:val="00DE671F"/>
    <w:rsid w:val="00DE683C"/>
    <w:rsid w:val="00DE6BB2"/>
    <w:rsid w:val="00DE6F2B"/>
    <w:rsid w:val="00DE7A4E"/>
    <w:rsid w:val="00DF089A"/>
    <w:rsid w:val="00DF092A"/>
    <w:rsid w:val="00DF1089"/>
    <w:rsid w:val="00DF119C"/>
    <w:rsid w:val="00DF1CF1"/>
    <w:rsid w:val="00DF1D19"/>
    <w:rsid w:val="00DF230B"/>
    <w:rsid w:val="00DF2786"/>
    <w:rsid w:val="00DF28C6"/>
    <w:rsid w:val="00DF2941"/>
    <w:rsid w:val="00DF2FD7"/>
    <w:rsid w:val="00DF312A"/>
    <w:rsid w:val="00DF3227"/>
    <w:rsid w:val="00DF32A5"/>
    <w:rsid w:val="00DF3ABA"/>
    <w:rsid w:val="00DF3ABD"/>
    <w:rsid w:val="00DF3B49"/>
    <w:rsid w:val="00DF3C70"/>
    <w:rsid w:val="00DF3EFF"/>
    <w:rsid w:val="00DF456F"/>
    <w:rsid w:val="00DF47DE"/>
    <w:rsid w:val="00DF4BEB"/>
    <w:rsid w:val="00DF5EBC"/>
    <w:rsid w:val="00DF621A"/>
    <w:rsid w:val="00DF6291"/>
    <w:rsid w:val="00DF6E39"/>
    <w:rsid w:val="00DF6F95"/>
    <w:rsid w:val="00DF71FF"/>
    <w:rsid w:val="00DF7B3F"/>
    <w:rsid w:val="00DF7BDD"/>
    <w:rsid w:val="00DF7DB2"/>
    <w:rsid w:val="00DF7F57"/>
    <w:rsid w:val="00E0025C"/>
    <w:rsid w:val="00E003F4"/>
    <w:rsid w:val="00E00C0E"/>
    <w:rsid w:val="00E0104E"/>
    <w:rsid w:val="00E01351"/>
    <w:rsid w:val="00E025F5"/>
    <w:rsid w:val="00E027A5"/>
    <w:rsid w:val="00E030FB"/>
    <w:rsid w:val="00E0321B"/>
    <w:rsid w:val="00E03472"/>
    <w:rsid w:val="00E03C3E"/>
    <w:rsid w:val="00E03E3F"/>
    <w:rsid w:val="00E041DF"/>
    <w:rsid w:val="00E05657"/>
    <w:rsid w:val="00E057AB"/>
    <w:rsid w:val="00E05A2B"/>
    <w:rsid w:val="00E06A4F"/>
    <w:rsid w:val="00E07721"/>
    <w:rsid w:val="00E07FFE"/>
    <w:rsid w:val="00E1046A"/>
    <w:rsid w:val="00E11211"/>
    <w:rsid w:val="00E114A9"/>
    <w:rsid w:val="00E1159D"/>
    <w:rsid w:val="00E119D4"/>
    <w:rsid w:val="00E119E1"/>
    <w:rsid w:val="00E11CCC"/>
    <w:rsid w:val="00E120C6"/>
    <w:rsid w:val="00E1211B"/>
    <w:rsid w:val="00E12420"/>
    <w:rsid w:val="00E1276B"/>
    <w:rsid w:val="00E12A4C"/>
    <w:rsid w:val="00E12A95"/>
    <w:rsid w:val="00E12DC1"/>
    <w:rsid w:val="00E12E40"/>
    <w:rsid w:val="00E131BD"/>
    <w:rsid w:val="00E138D1"/>
    <w:rsid w:val="00E13982"/>
    <w:rsid w:val="00E13B33"/>
    <w:rsid w:val="00E13B73"/>
    <w:rsid w:val="00E13C76"/>
    <w:rsid w:val="00E14037"/>
    <w:rsid w:val="00E149B7"/>
    <w:rsid w:val="00E14C37"/>
    <w:rsid w:val="00E14DD6"/>
    <w:rsid w:val="00E1526E"/>
    <w:rsid w:val="00E1584A"/>
    <w:rsid w:val="00E15ABA"/>
    <w:rsid w:val="00E15DA4"/>
    <w:rsid w:val="00E16568"/>
    <w:rsid w:val="00E178E5"/>
    <w:rsid w:val="00E1795A"/>
    <w:rsid w:val="00E17E20"/>
    <w:rsid w:val="00E205E5"/>
    <w:rsid w:val="00E20C5F"/>
    <w:rsid w:val="00E21309"/>
    <w:rsid w:val="00E213B0"/>
    <w:rsid w:val="00E2194D"/>
    <w:rsid w:val="00E21FB1"/>
    <w:rsid w:val="00E2254F"/>
    <w:rsid w:val="00E226E3"/>
    <w:rsid w:val="00E22846"/>
    <w:rsid w:val="00E233CF"/>
    <w:rsid w:val="00E24311"/>
    <w:rsid w:val="00E24589"/>
    <w:rsid w:val="00E25352"/>
    <w:rsid w:val="00E2541B"/>
    <w:rsid w:val="00E259B7"/>
    <w:rsid w:val="00E25AD9"/>
    <w:rsid w:val="00E263DF"/>
    <w:rsid w:val="00E264C7"/>
    <w:rsid w:val="00E26848"/>
    <w:rsid w:val="00E2719C"/>
    <w:rsid w:val="00E271AC"/>
    <w:rsid w:val="00E27495"/>
    <w:rsid w:val="00E278B1"/>
    <w:rsid w:val="00E278BE"/>
    <w:rsid w:val="00E27C90"/>
    <w:rsid w:val="00E27CC2"/>
    <w:rsid w:val="00E27D0D"/>
    <w:rsid w:val="00E30468"/>
    <w:rsid w:val="00E305BF"/>
    <w:rsid w:val="00E30EEF"/>
    <w:rsid w:val="00E311E1"/>
    <w:rsid w:val="00E31580"/>
    <w:rsid w:val="00E32562"/>
    <w:rsid w:val="00E32CB7"/>
    <w:rsid w:val="00E32F53"/>
    <w:rsid w:val="00E33311"/>
    <w:rsid w:val="00E33B2D"/>
    <w:rsid w:val="00E365C8"/>
    <w:rsid w:val="00E36E85"/>
    <w:rsid w:val="00E36EEE"/>
    <w:rsid w:val="00E376DB"/>
    <w:rsid w:val="00E37A87"/>
    <w:rsid w:val="00E37EDE"/>
    <w:rsid w:val="00E4023E"/>
    <w:rsid w:val="00E403C0"/>
    <w:rsid w:val="00E410E3"/>
    <w:rsid w:val="00E41454"/>
    <w:rsid w:val="00E415E2"/>
    <w:rsid w:val="00E41C07"/>
    <w:rsid w:val="00E41FB0"/>
    <w:rsid w:val="00E42153"/>
    <w:rsid w:val="00E42E0D"/>
    <w:rsid w:val="00E432E9"/>
    <w:rsid w:val="00E43835"/>
    <w:rsid w:val="00E4383C"/>
    <w:rsid w:val="00E447F9"/>
    <w:rsid w:val="00E44FB1"/>
    <w:rsid w:val="00E454E5"/>
    <w:rsid w:val="00E46542"/>
    <w:rsid w:val="00E46631"/>
    <w:rsid w:val="00E46C0D"/>
    <w:rsid w:val="00E46F55"/>
    <w:rsid w:val="00E47542"/>
    <w:rsid w:val="00E47934"/>
    <w:rsid w:val="00E47BEC"/>
    <w:rsid w:val="00E50114"/>
    <w:rsid w:val="00E5016E"/>
    <w:rsid w:val="00E50652"/>
    <w:rsid w:val="00E508AD"/>
    <w:rsid w:val="00E50DE8"/>
    <w:rsid w:val="00E51890"/>
    <w:rsid w:val="00E519AD"/>
    <w:rsid w:val="00E52024"/>
    <w:rsid w:val="00E527A5"/>
    <w:rsid w:val="00E5281C"/>
    <w:rsid w:val="00E52BAA"/>
    <w:rsid w:val="00E52F86"/>
    <w:rsid w:val="00E5306B"/>
    <w:rsid w:val="00E531A5"/>
    <w:rsid w:val="00E53597"/>
    <w:rsid w:val="00E535F9"/>
    <w:rsid w:val="00E546FA"/>
    <w:rsid w:val="00E54B02"/>
    <w:rsid w:val="00E54C35"/>
    <w:rsid w:val="00E54C89"/>
    <w:rsid w:val="00E55316"/>
    <w:rsid w:val="00E5583A"/>
    <w:rsid w:val="00E55AA4"/>
    <w:rsid w:val="00E55F50"/>
    <w:rsid w:val="00E56859"/>
    <w:rsid w:val="00E56CA2"/>
    <w:rsid w:val="00E572DF"/>
    <w:rsid w:val="00E60081"/>
    <w:rsid w:val="00E603BC"/>
    <w:rsid w:val="00E60408"/>
    <w:rsid w:val="00E61059"/>
    <w:rsid w:val="00E616A7"/>
    <w:rsid w:val="00E61D43"/>
    <w:rsid w:val="00E629CF"/>
    <w:rsid w:val="00E62E2C"/>
    <w:rsid w:val="00E62ED7"/>
    <w:rsid w:val="00E62FE8"/>
    <w:rsid w:val="00E63292"/>
    <w:rsid w:val="00E634ED"/>
    <w:rsid w:val="00E63739"/>
    <w:rsid w:val="00E637D2"/>
    <w:rsid w:val="00E639A4"/>
    <w:rsid w:val="00E63C1A"/>
    <w:rsid w:val="00E64151"/>
    <w:rsid w:val="00E64A6F"/>
    <w:rsid w:val="00E64A99"/>
    <w:rsid w:val="00E650B5"/>
    <w:rsid w:val="00E65250"/>
    <w:rsid w:val="00E652A3"/>
    <w:rsid w:val="00E6542A"/>
    <w:rsid w:val="00E65539"/>
    <w:rsid w:val="00E657A8"/>
    <w:rsid w:val="00E6599A"/>
    <w:rsid w:val="00E65F50"/>
    <w:rsid w:val="00E66818"/>
    <w:rsid w:val="00E66C3A"/>
    <w:rsid w:val="00E679D8"/>
    <w:rsid w:val="00E67C81"/>
    <w:rsid w:val="00E67E2C"/>
    <w:rsid w:val="00E700BA"/>
    <w:rsid w:val="00E70473"/>
    <w:rsid w:val="00E7087E"/>
    <w:rsid w:val="00E70E0C"/>
    <w:rsid w:val="00E711E3"/>
    <w:rsid w:val="00E71DA9"/>
    <w:rsid w:val="00E72644"/>
    <w:rsid w:val="00E728EF"/>
    <w:rsid w:val="00E72E95"/>
    <w:rsid w:val="00E73122"/>
    <w:rsid w:val="00E73232"/>
    <w:rsid w:val="00E7342C"/>
    <w:rsid w:val="00E73823"/>
    <w:rsid w:val="00E7389B"/>
    <w:rsid w:val="00E73C19"/>
    <w:rsid w:val="00E73D22"/>
    <w:rsid w:val="00E74398"/>
    <w:rsid w:val="00E76A61"/>
    <w:rsid w:val="00E76F8C"/>
    <w:rsid w:val="00E7784E"/>
    <w:rsid w:val="00E77DB9"/>
    <w:rsid w:val="00E77F81"/>
    <w:rsid w:val="00E80307"/>
    <w:rsid w:val="00E804A0"/>
    <w:rsid w:val="00E8074E"/>
    <w:rsid w:val="00E80949"/>
    <w:rsid w:val="00E80FF5"/>
    <w:rsid w:val="00E811E7"/>
    <w:rsid w:val="00E811FB"/>
    <w:rsid w:val="00E81B34"/>
    <w:rsid w:val="00E81B62"/>
    <w:rsid w:val="00E825D3"/>
    <w:rsid w:val="00E82A7B"/>
    <w:rsid w:val="00E82C77"/>
    <w:rsid w:val="00E83068"/>
    <w:rsid w:val="00E8346D"/>
    <w:rsid w:val="00E83EAA"/>
    <w:rsid w:val="00E84882"/>
    <w:rsid w:val="00E84B48"/>
    <w:rsid w:val="00E850BC"/>
    <w:rsid w:val="00E850D2"/>
    <w:rsid w:val="00E8547E"/>
    <w:rsid w:val="00E85D73"/>
    <w:rsid w:val="00E8681A"/>
    <w:rsid w:val="00E8688E"/>
    <w:rsid w:val="00E86B7C"/>
    <w:rsid w:val="00E86D50"/>
    <w:rsid w:val="00E87772"/>
    <w:rsid w:val="00E87A39"/>
    <w:rsid w:val="00E87D53"/>
    <w:rsid w:val="00E9069D"/>
    <w:rsid w:val="00E90A6B"/>
    <w:rsid w:val="00E90A75"/>
    <w:rsid w:val="00E90F82"/>
    <w:rsid w:val="00E915DF"/>
    <w:rsid w:val="00E9169F"/>
    <w:rsid w:val="00E917DE"/>
    <w:rsid w:val="00E91BE9"/>
    <w:rsid w:val="00E9230E"/>
    <w:rsid w:val="00E92CED"/>
    <w:rsid w:val="00E92F19"/>
    <w:rsid w:val="00E93132"/>
    <w:rsid w:val="00E93577"/>
    <w:rsid w:val="00E9437B"/>
    <w:rsid w:val="00E9439A"/>
    <w:rsid w:val="00E94431"/>
    <w:rsid w:val="00E94B32"/>
    <w:rsid w:val="00E94CA5"/>
    <w:rsid w:val="00E9592A"/>
    <w:rsid w:val="00E968AE"/>
    <w:rsid w:val="00E96BAD"/>
    <w:rsid w:val="00E96DEE"/>
    <w:rsid w:val="00E96FB3"/>
    <w:rsid w:val="00E97084"/>
    <w:rsid w:val="00E971C4"/>
    <w:rsid w:val="00E977E5"/>
    <w:rsid w:val="00E97A1A"/>
    <w:rsid w:val="00E97EE3"/>
    <w:rsid w:val="00EA0322"/>
    <w:rsid w:val="00EA0D5B"/>
    <w:rsid w:val="00EA0EF3"/>
    <w:rsid w:val="00EA117B"/>
    <w:rsid w:val="00EA15F8"/>
    <w:rsid w:val="00EA1C91"/>
    <w:rsid w:val="00EA1E53"/>
    <w:rsid w:val="00EA2217"/>
    <w:rsid w:val="00EA2301"/>
    <w:rsid w:val="00EA2454"/>
    <w:rsid w:val="00EA27CC"/>
    <w:rsid w:val="00EA2814"/>
    <w:rsid w:val="00EA28F1"/>
    <w:rsid w:val="00EA2949"/>
    <w:rsid w:val="00EA2AAC"/>
    <w:rsid w:val="00EA2DFC"/>
    <w:rsid w:val="00EA302B"/>
    <w:rsid w:val="00EA30C7"/>
    <w:rsid w:val="00EA3340"/>
    <w:rsid w:val="00EA3B01"/>
    <w:rsid w:val="00EA41E8"/>
    <w:rsid w:val="00EA48C6"/>
    <w:rsid w:val="00EA55AE"/>
    <w:rsid w:val="00EA56F1"/>
    <w:rsid w:val="00EA58DF"/>
    <w:rsid w:val="00EA624A"/>
    <w:rsid w:val="00EA6610"/>
    <w:rsid w:val="00EA7028"/>
    <w:rsid w:val="00EA71CE"/>
    <w:rsid w:val="00EA730D"/>
    <w:rsid w:val="00EA7566"/>
    <w:rsid w:val="00EA7AC3"/>
    <w:rsid w:val="00EB06F2"/>
    <w:rsid w:val="00EB1206"/>
    <w:rsid w:val="00EB159A"/>
    <w:rsid w:val="00EB15ED"/>
    <w:rsid w:val="00EB1938"/>
    <w:rsid w:val="00EB1C40"/>
    <w:rsid w:val="00EB1CC3"/>
    <w:rsid w:val="00EB1F27"/>
    <w:rsid w:val="00EB22E4"/>
    <w:rsid w:val="00EB2BCD"/>
    <w:rsid w:val="00EB36F4"/>
    <w:rsid w:val="00EB3E7A"/>
    <w:rsid w:val="00EB4CF2"/>
    <w:rsid w:val="00EB51E5"/>
    <w:rsid w:val="00EB59B7"/>
    <w:rsid w:val="00EB66FF"/>
    <w:rsid w:val="00EB6953"/>
    <w:rsid w:val="00EB6A04"/>
    <w:rsid w:val="00EB6DCF"/>
    <w:rsid w:val="00EB7244"/>
    <w:rsid w:val="00EB7465"/>
    <w:rsid w:val="00EB748E"/>
    <w:rsid w:val="00EB767E"/>
    <w:rsid w:val="00EB7C0B"/>
    <w:rsid w:val="00EC01DE"/>
    <w:rsid w:val="00EC02AA"/>
    <w:rsid w:val="00EC0954"/>
    <w:rsid w:val="00EC0D04"/>
    <w:rsid w:val="00EC1393"/>
    <w:rsid w:val="00EC2091"/>
    <w:rsid w:val="00EC27AC"/>
    <w:rsid w:val="00EC2837"/>
    <w:rsid w:val="00EC293D"/>
    <w:rsid w:val="00EC2B9E"/>
    <w:rsid w:val="00EC44BA"/>
    <w:rsid w:val="00EC457D"/>
    <w:rsid w:val="00EC45F8"/>
    <w:rsid w:val="00EC481C"/>
    <w:rsid w:val="00EC4C35"/>
    <w:rsid w:val="00EC5748"/>
    <w:rsid w:val="00EC5D5F"/>
    <w:rsid w:val="00EC6266"/>
    <w:rsid w:val="00EC67C1"/>
    <w:rsid w:val="00EC6EC7"/>
    <w:rsid w:val="00EC77F0"/>
    <w:rsid w:val="00EC7B1F"/>
    <w:rsid w:val="00ED0C73"/>
    <w:rsid w:val="00ED1050"/>
    <w:rsid w:val="00ED208E"/>
    <w:rsid w:val="00ED257A"/>
    <w:rsid w:val="00ED25F1"/>
    <w:rsid w:val="00ED2776"/>
    <w:rsid w:val="00ED3528"/>
    <w:rsid w:val="00ED37EF"/>
    <w:rsid w:val="00ED3995"/>
    <w:rsid w:val="00ED3BEE"/>
    <w:rsid w:val="00ED3F2D"/>
    <w:rsid w:val="00ED4258"/>
    <w:rsid w:val="00ED48B4"/>
    <w:rsid w:val="00ED5088"/>
    <w:rsid w:val="00ED5386"/>
    <w:rsid w:val="00ED5D17"/>
    <w:rsid w:val="00ED6064"/>
    <w:rsid w:val="00ED6774"/>
    <w:rsid w:val="00ED677B"/>
    <w:rsid w:val="00ED6788"/>
    <w:rsid w:val="00ED6970"/>
    <w:rsid w:val="00ED6C28"/>
    <w:rsid w:val="00ED6C48"/>
    <w:rsid w:val="00ED770F"/>
    <w:rsid w:val="00EE00BA"/>
    <w:rsid w:val="00EE0138"/>
    <w:rsid w:val="00EE0BC6"/>
    <w:rsid w:val="00EE0C3A"/>
    <w:rsid w:val="00EE0F3C"/>
    <w:rsid w:val="00EE104D"/>
    <w:rsid w:val="00EE1228"/>
    <w:rsid w:val="00EE12E1"/>
    <w:rsid w:val="00EE13F5"/>
    <w:rsid w:val="00EE14C6"/>
    <w:rsid w:val="00EE1F6D"/>
    <w:rsid w:val="00EE2476"/>
    <w:rsid w:val="00EE24BD"/>
    <w:rsid w:val="00EE250E"/>
    <w:rsid w:val="00EE2FBB"/>
    <w:rsid w:val="00EE3871"/>
    <w:rsid w:val="00EE3C4E"/>
    <w:rsid w:val="00EE48DA"/>
    <w:rsid w:val="00EE49AE"/>
    <w:rsid w:val="00EE49CB"/>
    <w:rsid w:val="00EE4F86"/>
    <w:rsid w:val="00EE515E"/>
    <w:rsid w:val="00EE6037"/>
    <w:rsid w:val="00EE610C"/>
    <w:rsid w:val="00EE61D4"/>
    <w:rsid w:val="00EE6F6A"/>
    <w:rsid w:val="00EF06C7"/>
    <w:rsid w:val="00EF1BF9"/>
    <w:rsid w:val="00EF1D7D"/>
    <w:rsid w:val="00EF233F"/>
    <w:rsid w:val="00EF2407"/>
    <w:rsid w:val="00EF29D0"/>
    <w:rsid w:val="00EF2C2F"/>
    <w:rsid w:val="00EF3545"/>
    <w:rsid w:val="00EF39C9"/>
    <w:rsid w:val="00EF3B82"/>
    <w:rsid w:val="00EF3D85"/>
    <w:rsid w:val="00EF446B"/>
    <w:rsid w:val="00EF4E3F"/>
    <w:rsid w:val="00EF4F93"/>
    <w:rsid w:val="00EF578D"/>
    <w:rsid w:val="00EF5A56"/>
    <w:rsid w:val="00EF6407"/>
    <w:rsid w:val="00EF671B"/>
    <w:rsid w:val="00EF6720"/>
    <w:rsid w:val="00EF6B78"/>
    <w:rsid w:val="00EF773C"/>
    <w:rsid w:val="00EF7925"/>
    <w:rsid w:val="00EF7CF5"/>
    <w:rsid w:val="00F0017B"/>
    <w:rsid w:val="00F00732"/>
    <w:rsid w:val="00F01DD0"/>
    <w:rsid w:val="00F0215E"/>
    <w:rsid w:val="00F021A9"/>
    <w:rsid w:val="00F02669"/>
    <w:rsid w:val="00F02820"/>
    <w:rsid w:val="00F02E06"/>
    <w:rsid w:val="00F032EB"/>
    <w:rsid w:val="00F03C94"/>
    <w:rsid w:val="00F041A0"/>
    <w:rsid w:val="00F04AC2"/>
    <w:rsid w:val="00F0557A"/>
    <w:rsid w:val="00F05BE8"/>
    <w:rsid w:val="00F06320"/>
    <w:rsid w:val="00F06473"/>
    <w:rsid w:val="00F06D2B"/>
    <w:rsid w:val="00F07521"/>
    <w:rsid w:val="00F10263"/>
    <w:rsid w:val="00F10302"/>
    <w:rsid w:val="00F109E4"/>
    <w:rsid w:val="00F10E50"/>
    <w:rsid w:val="00F111F0"/>
    <w:rsid w:val="00F1135D"/>
    <w:rsid w:val="00F11665"/>
    <w:rsid w:val="00F11D07"/>
    <w:rsid w:val="00F11D0C"/>
    <w:rsid w:val="00F12256"/>
    <w:rsid w:val="00F1227F"/>
    <w:rsid w:val="00F12884"/>
    <w:rsid w:val="00F1309B"/>
    <w:rsid w:val="00F14123"/>
    <w:rsid w:val="00F14C61"/>
    <w:rsid w:val="00F157DE"/>
    <w:rsid w:val="00F1586F"/>
    <w:rsid w:val="00F160D8"/>
    <w:rsid w:val="00F1642D"/>
    <w:rsid w:val="00F16E06"/>
    <w:rsid w:val="00F17AB2"/>
    <w:rsid w:val="00F20CE6"/>
    <w:rsid w:val="00F20F35"/>
    <w:rsid w:val="00F21160"/>
    <w:rsid w:val="00F21223"/>
    <w:rsid w:val="00F21302"/>
    <w:rsid w:val="00F21B94"/>
    <w:rsid w:val="00F233F4"/>
    <w:rsid w:val="00F234BD"/>
    <w:rsid w:val="00F2433D"/>
    <w:rsid w:val="00F24C35"/>
    <w:rsid w:val="00F24DCE"/>
    <w:rsid w:val="00F254AB"/>
    <w:rsid w:val="00F258E9"/>
    <w:rsid w:val="00F25A10"/>
    <w:rsid w:val="00F25B42"/>
    <w:rsid w:val="00F25B88"/>
    <w:rsid w:val="00F25C7D"/>
    <w:rsid w:val="00F26133"/>
    <w:rsid w:val="00F26369"/>
    <w:rsid w:val="00F264C3"/>
    <w:rsid w:val="00F2740D"/>
    <w:rsid w:val="00F279C3"/>
    <w:rsid w:val="00F300DF"/>
    <w:rsid w:val="00F30492"/>
    <w:rsid w:val="00F306FE"/>
    <w:rsid w:val="00F30CEF"/>
    <w:rsid w:val="00F31032"/>
    <w:rsid w:val="00F318FC"/>
    <w:rsid w:val="00F32998"/>
    <w:rsid w:val="00F33778"/>
    <w:rsid w:val="00F339B9"/>
    <w:rsid w:val="00F33A1A"/>
    <w:rsid w:val="00F33B4B"/>
    <w:rsid w:val="00F34A01"/>
    <w:rsid w:val="00F3515D"/>
    <w:rsid w:val="00F35325"/>
    <w:rsid w:val="00F35535"/>
    <w:rsid w:val="00F35A4F"/>
    <w:rsid w:val="00F35BEF"/>
    <w:rsid w:val="00F3602E"/>
    <w:rsid w:val="00F365C6"/>
    <w:rsid w:val="00F37109"/>
    <w:rsid w:val="00F375D5"/>
    <w:rsid w:val="00F37B0A"/>
    <w:rsid w:val="00F400B0"/>
    <w:rsid w:val="00F40236"/>
    <w:rsid w:val="00F402F8"/>
    <w:rsid w:val="00F404BB"/>
    <w:rsid w:val="00F40647"/>
    <w:rsid w:val="00F40D47"/>
    <w:rsid w:val="00F41C8F"/>
    <w:rsid w:val="00F42467"/>
    <w:rsid w:val="00F425E8"/>
    <w:rsid w:val="00F42629"/>
    <w:rsid w:val="00F42938"/>
    <w:rsid w:val="00F43A9D"/>
    <w:rsid w:val="00F43B62"/>
    <w:rsid w:val="00F43E20"/>
    <w:rsid w:val="00F4441D"/>
    <w:rsid w:val="00F44B8C"/>
    <w:rsid w:val="00F44FCB"/>
    <w:rsid w:val="00F454E8"/>
    <w:rsid w:val="00F456A1"/>
    <w:rsid w:val="00F45BB9"/>
    <w:rsid w:val="00F46373"/>
    <w:rsid w:val="00F46412"/>
    <w:rsid w:val="00F4670B"/>
    <w:rsid w:val="00F4684A"/>
    <w:rsid w:val="00F478F1"/>
    <w:rsid w:val="00F5034D"/>
    <w:rsid w:val="00F50521"/>
    <w:rsid w:val="00F50BB8"/>
    <w:rsid w:val="00F50BC5"/>
    <w:rsid w:val="00F5195F"/>
    <w:rsid w:val="00F527D8"/>
    <w:rsid w:val="00F52B2C"/>
    <w:rsid w:val="00F52D8E"/>
    <w:rsid w:val="00F53706"/>
    <w:rsid w:val="00F53732"/>
    <w:rsid w:val="00F53769"/>
    <w:rsid w:val="00F53E74"/>
    <w:rsid w:val="00F53F6D"/>
    <w:rsid w:val="00F54348"/>
    <w:rsid w:val="00F54BA1"/>
    <w:rsid w:val="00F54CA4"/>
    <w:rsid w:val="00F5559B"/>
    <w:rsid w:val="00F56017"/>
    <w:rsid w:val="00F56044"/>
    <w:rsid w:val="00F561DA"/>
    <w:rsid w:val="00F569A8"/>
    <w:rsid w:val="00F56AAF"/>
    <w:rsid w:val="00F56D9B"/>
    <w:rsid w:val="00F57535"/>
    <w:rsid w:val="00F575EE"/>
    <w:rsid w:val="00F57DF4"/>
    <w:rsid w:val="00F60041"/>
    <w:rsid w:val="00F603E4"/>
    <w:rsid w:val="00F60B9C"/>
    <w:rsid w:val="00F60F96"/>
    <w:rsid w:val="00F6146F"/>
    <w:rsid w:val="00F61BB8"/>
    <w:rsid w:val="00F61C69"/>
    <w:rsid w:val="00F62064"/>
    <w:rsid w:val="00F632E7"/>
    <w:rsid w:val="00F6334A"/>
    <w:rsid w:val="00F63774"/>
    <w:rsid w:val="00F63783"/>
    <w:rsid w:val="00F63D8F"/>
    <w:rsid w:val="00F64591"/>
    <w:rsid w:val="00F65F2F"/>
    <w:rsid w:val="00F6610A"/>
    <w:rsid w:val="00F662EB"/>
    <w:rsid w:val="00F669EC"/>
    <w:rsid w:val="00F66E25"/>
    <w:rsid w:val="00F67452"/>
    <w:rsid w:val="00F70680"/>
    <w:rsid w:val="00F71C9B"/>
    <w:rsid w:val="00F72484"/>
    <w:rsid w:val="00F725B4"/>
    <w:rsid w:val="00F7273C"/>
    <w:rsid w:val="00F7277A"/>
    <w:rsid w:val="00F72B7C"/>
    <w:rsid w:val="00F72DF3"/>
    <w:rsid w:val="00F73068"/>
    <w:rsid w:val="00F736F6"/>
    <w:rsid w:val="00F73EA6"/>
    <w:rsid w:val="00F7449A"/>
    <w:rsid w:val="00F74C5B"/>
    <w:rsid w:val="00F754D8"/>
    <w:rsid w:val="00F7594D"/>
    <w:rsid w:val="00F76233"/>
    <w:rsid w:val="00F769D2"/>
    <w:rsid w:val="00F76DAF"/>
    <w:rsid w:val="00F76F7F"/>
    <w:rsid w:val="00F77AB6"/>
    <w:rsid w:val="00F801A9"/>
    <w:rsid w:val="00F80E2E"/>
    <w:rsid w:val="00F80E5C"/>
    <w:rsid w:val="00F8115F"/>
    <w:rsid w:val="00F81242"/>
    <w:rsid w:val="00F8178A"/>
    <w:rsid w:val="00F83375"/>
    <w:rsid w:val="00F833B0"/>
    <w:rsid w:val="00F841AF"/>
    <w:rsid w:val="00F8425A"/>
    <w:rsid w:val="00F8473D"/>
    <w:rsid w:val="00F84A06"/>
    <w:rsid w:val="00F8582D"/>
    <w:rsid w:val="00F8594F"/>
    <w:rsid w:val="00F85E2A"/>
    <w:rsid w:val="00F86366"/>
    <w:rsid w:val="00F87837"/>
    <w:rsid w:val="00F8797D"/>
    <w:rsid w:val="00F87ECD"/>
    <w:rsid w:val="00F90057"/>
    <w:rsid w:val="00F90F32"/>
    <w:rsid w:val="00F91072"/>
    <w:rsid w:val="00F915F2"/>
    <w:rsid w:val="00F91ED6"/>
    <w:rsid w:val="00F91FD6"/>
    <w:rsid w:val="00F927A5"/>
    <w:rsid w:val="00F928CE"/>
    <w:rsid w:val="00F932B3"/>
    <w:rsid w:val="00F9348E"/>
    <w:rsid w:val="00F934DF"/>
    <w:rsid w:val="00F9364F"/>
    <w:rsid w:val="00F94182"/>
    <w:rsid w:val="00F94294"/>
    <w:rsid w:val="00F945C6"/>
    <w:rsid w:val="00F946DA"/>
    <w:rsid w:val="00F94BC2"/>
    <w:rsid w:val="00F950F2"/>
    <w:rsid w:val="00F9535E"/>
    <w:rsid w:val="00F9588A"/>
    <w:rsid w:val="00F9601B"/>
    <w:rsid w:val="00F965CA"/>
    <w:rsid w:val="00F97037"/>
    <w:rsid w:val="00F97B5D"/>
    <w:rsid w:val="00FA03FD"/>
    <w:rsid w:val="00FA0B85"/>
    <w:rsid w:val="00FA0E8C"/>
    <w:rsid w:val="00FA0F0E"/>
    <w:rsid w:val="00FA1293"/>
    <w:rsid w:val="00FA1E82"/>
    <w:rsid w:val="00FA2343"/>
    <w:rsid w:val="00FA346C"/>
    <w:rsid w:val="00FA3538"/>
    <w:rsid w:val="00FA3564"/>
    <w:rsid w:val="00FA380E"/>
    <w:rsid w:val="00FA5A12"/>
    <w:rsid w:val="00FA5BD3"/>
    <w:rsid w:val="00FA5F78"/>
    <w:rsid w:val="00FA633C"/>
    <w:rsid w:val="00FA6D9F"/>
    <w:rsid w:val="00FA6DBA"/>
    <w:rsid w:val="00FA7610"/>
    <w:rsid w:val="00FA78B6"/>
    <w:rsid w:val="00FA7954"/>
    <w:rsid w:val="00FA7C83"/>
    <w:rsid w:val="00FA7FF6"/>
    <w:rsid w:val="00FB0BB8"/>
    <w:rsid w:val="00FB16FB"/>
    <w:rsid w:val="00FB180B"/>
    <w:rsid w:val="00FB20AB"/>
    <w:rsid w:val="00FB2547"/>
    <w:rsid w:val="00FB30B9"/>
    <w:rsid w:val="00FB3115"/>
    <w:rsid w:val="00FB36AD"/>
    <w:rsid w:val="00FB4D13"/>
    <w:rsid w:val="00FB58A2"/>
    <w:rsid w:val="00FB59F9"/>
    <w:rsid w:val="00FB5B5B"/>
    <w:rsid w:val="00FB621F"/>
    <w:rsid w:val="00FB6267"/>
    <w:rsid w:val="00FB6329"/>
    <w:rsid w:val="00FB6A70"/>
    <w:rsid w:val="00FB7CA4"/>
    <w:rsid w:val="00FC022C"/>
    <w:rsid w:val="00FC09C9"/>
    <w:rsid w:val="00FC119B"/>
    <w:rsid w:val="00FC1488"/>
    <w:rsid w:val="00FC15F4"/>
    <w:rsid w:val="00FC2406"/>
    <w:rsid w:val="00FC3433"/>
    <w:rsid w:val="00FC355E"/>
    <w:rsid w:val="00FC35D4"/>
    <w:rsid w:val="00FC38C2"/>
    <w:rsid w:val="00FC3BF4"/>
    <w:rsid w:val="00FC3C2B"/>
    <w:rsid w:val="00FC456F"/>
    <w:rsid w:val="00FC4D7C"/>
    <w:rsid w:val="00FC5333"/>
    <w:rsid w:val="00FC53D1"/>
    <w:rsid w:val="00FC5C96"/>
    <w:rsid w:val="00FC5FBA"/>
    <w:rsid w:val="00FC60CD"/>
    <w:rsid w:val="00FC647B"/>
    <w:rsid w:val="00FC664E"/>
    <w:rsid w:val="00FC6DAA"/>
    <w:rsid w:val="00FD04ED"/>
    <w:rsid w:val="00FD09D3"/>
    <w:rsid w:val="00FD0F2C"/>
    <w:rsid w:val="00FD100B"/>
    <w:rsid w:val="00FD1518"/>
    <w:rsid w:val="00FD16A6"/>
    <w:rsid w:val="00FD183D"/>
    <w:rsid w:val="00FD1CE8"/>
    <w:rsid w:val="00FD2088"/>
    <w:rsid w:val="00FD2E13"/>
    <w:rsid w:val="00FD31E5"/>
    <w:rsid w:val="00FD422E"/>
    <w:rsid w:val="00FD43EA"/>
    <w:rsid w:val="00FD4671"/>
    <w:rsid w:val="00FD51B5"/>
    <w:rsid w:val="00FD5294"/>
    <w:rsid w:val="00FD5F7E"/>
    <w:rsid w:val="00FD65CC"/>
    <w:rsid w:val="00FD6FEB"/>
    <w:rsid w:val="00FE0AAF"/>
    <w:rsid w:val="00FE0D2A"/>
    <w:rsid w:val="00FE108F"/>
    <w:rsid w:val="00FE28F5"/>
    <w:rsid w:val="00FE3497"/>
    <w:rsid w:val="00FE36EC"/>
    <w:rsid w:val="00FE4441"/>
    <w:rsid w:val="00FE49AD"/>
    <w:rsid w:val="00FE4B4F"/>
    <w:rsid w:val="00FE670E"/>
    <w:rsid w:val="00FE6E5F"/>
    <w:rsid w:val="00FE6ED9"/>
    <w:rsid w:val="00FE6F1A"/>
    <w:rsid w:val="00FE745A"/>
    <w:rsid w:val="00FF03CF"/>
    <w:rsid w:val="00FF15EB"/>
    <w:rsid w:val="00FF1E3F"/>
    <w:rsid w:val="00FF2B27"/>
    <w:rsid w:val="00FF2D46"/>
    <w:rsid w:val="00FF2DD9"/>
    <w:rsid w:val="00FF37E2"/>
    <w:rsid w:val="00FF3A29"/>
    <w:rsid w:val="00FF461C"/>
    <w:rsid w:val="00FF4D54"/>
    <w:rsid w:val="00FF61E3"/>
    <w:rsid w:val="00FF6499"/>
    <w:rsid w:val="00FF6616"/>
    <w:rsid w:val="00FF68E8"/>
    <w:rsid w:val="00FF6A60"/>
    <w:rsid w:val="00FF706B"/>
    <w:rsid w:val="00FF79AE"/>
    <w:rsid w:val="00FF7DE6"/>
    <w:rsid w:val="015F61E0"/>
    <w:rsid w:val="01A81952"/>
    <w:rsid w:val="02000C01"/>
    <w:rsid w:val="03EB70EB"/>
    <w:rsid w:val="04971097"/>
    <w:rsid w:val="05F805E9"/>
    <w:rsid w:val="067352A9"/>
    <w:rsid w:val="06A501CA"/>
    <w:rsid w:val="08595B00"/>
    <w:rsid w:val="08DC60EB"/>
    <w:rsid w:val="08F978EE"/>
    <w:rsid w:val="09095327"/>
    <w:rsid w:val="09A22D62"/>
    <w:rsid w:val="09B93C06"/>
    <w:rsid w:val="0A153C2B"/>
    <w:rsid w:val="0A3E257A"/>
    <w:rsid w:val="0A5F1409"/>
    <w:rsid w:val="0B5D4529"/>
    <w:rsid w:val="0BD848FB"/>
    <w:rsid w:val="0D1E1590"/>
    <w:rsid w:val="0F9FE468"/>
    <w:rsid w:val="101428A6"/>
    <w:rsid w:val="10D85778"/>
    <w:rsid w:val="11085120"/>
    <w:rsid w:val="116024A1"/>
    <w:rsid w:val="11A135E6"/>
    <w:rsid w:val="13B62550"/>
    <w:rsid w:val="149572F8"/>
    <w:rsid w:val="154537CD"/>
    <w:rsid w:val="15A57B5E"/>
    <w:rsid w:val="187327BD"/>
    <w:rsid w:val="18BF3C55"/>
    <w:rsid w:val="18EB79B5"/>
    <w:rsid w:val="190F03BC"/>
    <w:rsid w:val="1A5953CF"/>
    <w:rsid w:val="1B157E72"/>
    <w:rsid w:val="1B1A0862"/>
    <w:rsid w:val="1C2E5379"/>
    <w:rsid w:val="1C9176B6"/>
    <w:rsid w:val="1C9B22E3"/>
    <w:rsid w:val="1CA53161"/>
    <w:rsid w:val="1CCC56DC"/>
    <w:rsid w:val="1CF904CA"/>
    <w:rsid w:val="1E8E1043"/>
    <w:rsid w:val="1F35522A"/>
    <w:rsid w:val="1FBB477E"/>
    <w:rsid w:val="1FCB1703"/>
    <w:rsid w:val="1FEF081E"/>
    <w:rsid w:val="1FFF7857"/>
    <w:rsid w:val="204038CD"/>
    <w:rsid w:val="20A77BA7"/>
    <w:rsid w:val="20D40A87"/>
    <w:rsid w:val="20D53CCE"/>
    <w:rsid w:val="22AF6AE8"/>
    <w:rsid w:val="252D5599"/>
    <w:rsid w:val="25761B3F"/>
    <w:rsid w:val="26685070"/>
    <w:rsid w:val="26D90A14"/>
    <w:rsid w:val="26F854DC"/>
    <w:rsid w:val="276F7429"/>
    <w:rsid w:val="27787DF0"/>
    <w:rsid w:val="28CC7C7C"/>
    <w:rsid w:val="294F2FF6"/>
    <w:rsid w:val="29A67A91"/>
    <w:rsid w:val="2A9E3197"/>
    <w:rsid w:val="2B6526C3"/>
    <w:rsid w:val="2CB979B4"/>
    <w:rsid w:val="2DB140EA"/>
    <w:rsid w:val="2EB226DD"/>
    <w:rsid w:val="334E1955"/>
    <w:rsid w:val="33976685"/>
    <w:rsid w:val="33A26F6E"/>
    <w:rsid w:val="33BD093C"/>
    <w:rsid w:val="35591191"/>
    <w:rsid w:val="364B29FE"/>
    <w:rsid w:val="3779434B"/>
    <w:rsid w:val="394E09B1"/>
    <w:rsid w:val="3A7B3070"/>
    <w:rsid w:val="3B7D4576"/>
    <w:rsid w:val="3C7F1D42"/>
    <w:rsid w:val="3E136BDF"/>
    <w:rsid w:val="3E4D3301"/>
    <w:rsid w:val="3E5C04C3"/>
    <w:rsid w:val="3E621E2D"/>
    <w:rsid w:val="3E9C1A5E"/>
    <w:rsid w:val="3F6251B6"/>
    <w:rsid w:val="3FBD6E1D"/>
    <w:rsid w:val="424C1C02"/>
    <w:rsid w:val="42701F79"/>
    <w:rsid w:val="42CD488F"/>
    <w:rsid w:val="44A21BB1"/>
    <w:rsid w:val="454967B2"/>
    <w:rsid w:val="45F73300"/>
    <w:rsid w:val="46D55C28"/>
    <w:rsid w:val="470577EE"/>
    <w:rsid w:val="4A413841"/>
    <w:rsid w:val="4B124BDE"/>
    <w:rsid w:val="4BCB7C3F"/>
    <w:rsid w:val="4CB93828"/>
    <w:rsid w:val="4CC72AFC"/>
    <w:rsid w:val="4DE27972"/>
    <w:rsid w:val="4DEA7729"/>
    <w:rsid w:val="4ECD1DD8"/>
    <w:rsid w:val="4F2A2B4F"/>
    <w:rsid w:val="53BB5DB6"/>
    <w:rsid w:val="53EE479F"/>
    <w:rsid w:val="543604AD"/>
    <w:rsid w:val="55E043D6"/>
    <w:rsid w:val="55E932D7"/>
    <w:rsid w:val="562C04FC"/>
    <w:rsid w:val="56847F0C"/>
    <w:rsid w:val="56EC3CDC"/>
    <w:rsid w:val="58BC6DED"/>
    <w:rsid w:val="59343C67"/>
    <w:rsid w:val="5A350910"/>
    <w:rsid w:val="5AC21DFD"/>
    <w:rsid w:val="5CD1179C"/>
    <w:rsid w:val="5D6977F5"/>
    <w:rsid w:val="5DB96BD3"/>
    <w:rsid w:val="5E830E1F"/>
    <w:rsid w:val="5E91072E"/>
    <w:rsid w:val="5F774941"/>
    <w:rsid w:val="5FEA2932"/>
    <w:rsid w:val="60340051"/>
    <w:rsid w:val="603F17AC"/>
    <w:rsid w:val="60EF16F1"/>
    <w:rsid w:val="61AE2B22"/>
    <w:rsid w:val="629B4934"/>
    <w:rsid w:val="62CE52F7"/>
    <w:rsid w:val="643F52F9"/>
    <w:rsid w:val="64B71AE7"/>
    <w:rsid w:val="64E97925"/>
    <w:rsid w:val="65E95C82"/>
    <w:rsid w:val="66AB7C09"/>
    <w:rsid w:val="66F4119F"/>
    <w:rsid w:val="67CA1777"/>
    <w:rsid w:val="68907DEF"/>
    <w:rsid w:val="68DA089B"/>
    <w:rsid w:val="69EE301F"/>
    <w:rsid w:val="6AD23AB6"/>
    <w:rsid w:val="6B421844"/>
    <w:rsid w:val="6B851F3D"/>
    <w:rsid w:val="6D205AA7"/>
    <w:rsid w:val="6D751724"/>
    <w:rsid w:val="6F7B3F78"/>
    <w:rsid w:val="6F7D8BE4"/>
    <w:rsid w:val="6F7F5D60"/>
    <w:rsid w:val="6FC9455C"/>
    <w:rsid w:val="70B1470F"/>
    <w:rsid w:val="70C14F73"/>
    <w:rsid w:val="71F46FB9"/>
    <w:rsid w:val="730B69EF"/>
    <w:rsid w:val="732C45A0"/>
    <w:rsid w:val="73FC6FA1"/>
    <w:rsid w:val="741A14EF"/>
    <w:rsid w:val="7562038E"/>
    <w:rsid w:val="76482F88"/>
    <w:rsid w:val="77AB0ED6"/>
    <w:rsid w:val="79316AFC"/>
    <w:rsid w:val="7BDE4315"/>
    <w:rsid w:val="7C0B46AD"/>
    <w:rsid w:val="7D3F1B45"/>
    <w:rsid w:val="7DCA4F70"/>
    <w:rsid w:val="7E181B17"/>
    <w:rsid w:val="7EF37A89"/>
    <w:rsid w:val="7FE951C1"/>
    <w:rsid w:val="B7EFB60E"/>
    <w:rsid w:val="CFDA97A9"/>
    <w:rsid w:val="DCFF02BB"/>
    <w:rsid w:val="DEBF23FE"/>
    <w:rsid w:val="F677838B"/>
    <w:rsid w:val="F9F6DC4F"/>
    <w:rsid w:val="FE5FB618"/>
    <w:rsid w:val="FF5B7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qFormat="1" w:uiPriority="99"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kern w:val="2"/>
      <w:sz w:val="21"/>
      <w:szCs w:val="24"/>
      <w:lang w:val="en-US" w:eastAsia="zh-CN" w:bidi="ar-SA"/>
    </w:rPr>
  </w:style>
  <w:style w:type="paragraph" w:styleId="2">
    <w:name w:val="heading 1"/>
    <w:basedOn w:val="1"/>
    <w:next w:val="1"/>
    <w:link w:val="48"/>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49"/>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50"/>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5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52"/>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1260"/>
      <w:jc w:val="left"/>
    </w:pPr>
    <w:rPr>
      <w:sz w:val="18"/>
      <w:szCs w:val="18"/>
    </w:rPr>
  </w:style>
  <w:style w:type="paragraph" w:styleId="8">
    <w:name w:val="Normal Indent"/>
    <w:basedOn w:val="1"/>
    <w:link w:val="53"/>
    <w:qFormat/>
    <w:uiPriority w:val="0"/>
    <w:pPr>
      <w:ind w:firstLine="420"/>
    </w:pPr>
    <w:rPr>
      <w:szCs w:val="21"/>
    </w:rPr>
  </w:style>
  <w:style w:type="paragraph" w:styleId="9">
    <w:name w:val="Document Map"/>
    <w:basedOn w:val="1"/>
    <w:link w:val="54"/>
    <w:qFormat/>
    <w:uiPriority w:val="0"/>
    <w:pPr>
      <w:shd w:val="clear" w:color="auto" w:fill="000080"/>
    </w:pPr>
  </w:style>
  <w:style w:type="paragraph" w:styleId="10">
    <w:name w:val="annotation text"/>
    <w:basedOn w:val="1"/>
    <w:link w:val="55"/>
    <w:qFormat/>
    <w:uiPriority w:val="0"/>
    <w:pPr>
      <w:jc w:val="left"/>
    </w:pPr>
  </w:style>
  <w:style w:type="paragraph" w:styleId="11">
    <w:name w:val="Body Text 3"/>
    <w:basedOn w:val="1"/>
    <w:link w:val="56"/>
    <w:qFormat/>
    <w:uiPriority w:val="0"/>
    <w:rPr>
      <w:sz w:val="24"/>
    </w:rPr>
  </w:style>
  <w:style w:type="paragraph" w:styleId="12">
    <w:name w:val="Body Text"/>
    <w:basedOn w:val="1"/>
    <w:link w:val="57"/>
    <w:qFormat/>
    <w:uiPriority w:val="0"/>
    <w:rPr>
      <w:rFonts w:ascii="金山简黑体" w:hAnsi="金山简黑体" w:eastAsia="金山简黑体"/>
      <w:b/>
      <w:spacing w:val="-8"/>
      <w:sz w:val="44"/>
      <w:szCs w:val="20"/>
    </w:rPr>
  </w:style>
  <w:style w:type="paragraph" w:styleId="13">
    <w:name w:val="Body Text Indent"/>
    <w:basedOn w:val="1"/>
    <w:link w:val="58"/>
    <w:qFormat/>
    <w:uiPriority w:val="0"/>
    <w:pPr>
      <w:spacing w:line="200" w:lineRule="exact"/>
      <w:ind w:firstLine="301"/>
    </w:pPr>
    <w:rPr>
      <w:spacing w:val="-4"/>
      <w:sz w:val="18"/>
      <w:szCs w:val="20"/>
    </w:rPr>
  </w:style>
  <w:style w:type="paragraph" w:styleId="14">
    <w:name w:val="Block Text"/>
    <w:basedOn w:val="1"/>
    <w:qFormat/>
    <w:uiPriority w:val="0"/>
    <w:pPr>
      <w:widowControl/>
      <w:ind w:left="720" w:right="-48" w:hanging="720"/>
    </w:pPr>
    <w:rPr>
      <w:rFonts w:ascii="Times New Roman" w:hAnsi="Times New Roman"/>
      <w:kern w:val="0"/>
      <w:sz w:val="20"/>
      <w:szCs w:val="20"/>
    </w:rPr>
  </w:style>
  <w:style w:type="paragraph" w:styleId="15">
    <w:name w:val="toc 5"/>
    <w:basedOn w:val="1"/>
    <w:next w:val="1"/>
    <w:qFormat/>
    <w:uiPriority w:val="0"/>
    <w:pPr>
      <w:ind w:left="840"/>
      <w:jc w:val="left"/>
    </w:pPr>
    <w:rPr>
      <w:sz w:val="18"/>
      <w:szCs w:val="18"/>
    </w:rPr>
  </w:style>
  <w:style w:type="paragraph" w:styleId="16">
    <w:name w:val="toc 3"/>
    <w:basedOn w:val="1"/>
    <w:next w:val="1"/>
    <w:qFormat/>
    <w:uiPriority w:val="39"/>
    <w:pPr>
      <w:ind w:firstLine="400" w:firstLineChars="400"/>
      <w:jc w:val="left"/>
    </w:pPr>
    <w:rPr>
      <w:i/>
      <w:iCs/>
      <w:sz w:val="20"/>
      <w:szCs w:val="20"/>
    </w:rPr>
  </w:style>
  <w:style w:type="paragraph" w:styleId="17">
    <w:name w:val="Plain Text"/>
    <w:basedOn w:val="1"/>
    <w:link w:val="59"/>
    <w:qFormat/>
    <w:uiPriority w:val="0"/>
    <w:rPr>
      <w:szCs w:val="20"/>
    </w:rPr>
  </w:style>
  <w:style w:type="paragraph" w:styleId="18">
    <w:name w:val="toc 8"/>
    <w:basedOn w:val="1"/>
    <w:next w:val="1"/>
    <w:qFormat/>
    <w:uiPriority w:val="0"/>
    <w:pPr>
      <w:ind w:left="1470"/>
      <w:jc w:val="left"/>
    </w:pPr>
    <w:rPr>
      <w:sz w:val="18"/>
      <w:szCs w:val="18"/>
    </w:rPr>
  </w:style>
  <w:style w:type="paragraph" w:styleId="19">
    <w:name w:val="Date"/>
    <w:basedOn w:val="1"/>
    <w:next w:val="1"/>
    <w:link w:val="60"/>
    <w:qFormat/>
    <w:uiPriority w:val="0"/>
    <w:pPr>
      <w:ind w:left="100" w:leftChars="2500"/>
    </w:pPr>
  </w:style>
  <w:style w:type="paragraph" w:styleId="20">
    <w:name w:val="Body Text Indent 2"/>
    <w:basedOn w:val="1"/>
    <w:link w:val="61"/>
    <w:qFormat/>
    <w:uiPriority w:val="0"/>
    <w:pPr>
      <w:spacing w:after="120" w:line="480" w:lineRule="auto"/>
      <w:ind w:left="200" w:leftChars="200"/>
    </w:pPr>
  </w:style>
  <w:style w:type="paragraph" w:styleId="21">
    <w:name w:val="Balloon Text"/>
    <w:basedOn w:val="1"/>
    <w:link w:val="62"/>
    <w:qFormat/>
    <w:uiPriority w:val="0"/>
    <w:rPr>
      <w:sz w:val="18"/>
      <w:szCs w:val="18"/>
    </w:rPr>
  </w:style>
  <w:style w:type="paragraph" w:styleId="22">
    <w:name w:val="footer"/>
    <w:basedOn w:val="1"/>
    <w:link w:val="63"/>
    <w:qFormat/>
    <w:uiPriority w:val="0"/>
    <w:pPr>
      <w:tabs>
        <w:tab w:val="center" w:pos="4153"/>
        <w:tab w:val="right" w:pos="8306"/>
      </w:tabs>
      <w:snapToGrid w:val="0"/>
      <w:jc w:val="left"/>
    </w:pPr>
    <w:rPr>
      <w:sz w:val="18"/>
      <w:szCs w:val="20"/>
    </w:rPr>
  </w:style>
  <w:style w:type="paragraph" w:styleId="23">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072"/>
      </w:tabs>
      <w:ind w:firstLine="74" w:firstLineChars="74"/>
      <w:jc w:val="left"/>
    </w:pPr>
    <w:rPr>
      <w:b/>
      <w:bCs/>
      <w:caps/>
      <w:sz w:val="20"/>
      <w:szCs w:val="20"/>
    </w:rPr>
  </w:style>
  <w:style w:type="paragraph" w:styleId="25">
    <w:name w:val="toc 4"/>
    <w:basedOn w:val="1"/>
    <w:next w:val="1"/>
    <w:qFormat/>
    <w:uiPriority w:val="0"/>
    <w:pPr>
      <w:ind w:left="630"/>
      <w:jc w:val="left"/>
    </w:pPr>
    <w:rPr>
      <w:sz w:val="18"/>
      <w:szCs w:val="18"/>
    </w:rPr>
  </w:style>
  <w:style w:type="paragraph" w:styleId="26">
    <w:name w:val="Subtitle"/>
    <w:basedOn w:val="1"/>
    <w:next w:val="1"/>
    <w:link w:val="65"/>
    <w:qFormat/>
    <w:uiPriority w:val="0"/>
    <w:pPr>
      <w:tabs>
        <w:tab w:val="left" w:pos="360"/>
      </w:tabs>
      <w:ind w:left="284" w:hanging="284"/>
      <w:jc w:val="left"/>
      <w:outlineLvl w:val="1"/>
    </w:pPr>
    <w:rPr>
      <w:rFonts w:ascii="Century Gothic" w:hAnsi="Century Gothic"/>
      <w:kern w:val="28"/>
      <w:szCs w:val="21"/>
    </w:rPr>
  </w:style>
  <w:style w:type="paragraph" w:styleId="27">
    <w:name w:val="footnote text"/>
    <w:basedOn w:val="1"/>
    <w:link w:val="66"/>
    <w:semiHidden/>
    <w:qFormat/>
    <w:uiPriority w:val="0"/>
    <w:pPr>
      <w:widowControl/>
      <w:jc w:val="left"/>
    </w:pPr>
    <w:rPr>
      <w:rFonts w:ascii="Times New Roman" w:hAnsi="Times New Roman"/>
      <w:kern w:val="0"/>
      <w:sz w:val="20"/>
      <w:szCs w:val="20"/>
      <w:lang w:val="de-DE"/>
    </w:rPr>
  </w:style>
  <w:style w:type="paragraph" w:styleId="28">
    <w:name w:val="toc 6"/>
    <w:basedOn w:val="1"/>
    <w:next w:val="1"/>
    <w:qFormat/>
    <w:uiPriority w:val="0"/>
    <w:pPr>
      <w:ind w:left="1050"/>
      <w:jc w:val="left"/>
    </w:pPr>
    <w:rPr>
      <w:sz w:val="18"/>
      <w:szCs w:val="18"/>
    </w:rPr>
  </w:style>
  <w:style w:type="paragraph" w:styleId="29">
    <w:name w:val="Body Text Indent 3"/>
    <w:basedOn w:val="1"/>
    <w:qFormat/>
    <w:uiPriority w:val="0"/>
    <w:pPr>
      <w:spacing w:line="400" w:lineRule="exact"/>
      <w:ind w:left="360"/>
    </w:pPr>
    <w:rPr>
      <w:sz w:val="24"/>
    </w:rPr>
  </w:style>
  <w:style w:type="paragraph" w:styleId="30">
    <w:name w:val="toc 2"/>
    <w:basedOn w:val="1"/>
    <w:next w:val="1"/>
    <w:qFormat/>
    <w:uiPriority w:val="39"/>
    <w:pPr>
      <w:tabs>
        <w:tab w:val="right" w:leader="dot" w:pos="9072"/>
      </w:tabs>
      <w:ind w:firstLine="200" w:firstLineChars="200"/>
      <w:jc w:val="left"/>
    </w:pPr>
    <w:rPr>
      <w:smallCaps/>
      <w:sz w:val="20"/>
      <w:szCs w:val="20"/>
    </w:rPr>
  </w:style>
  <w:style w:type="paragraph" w:styleId="31">
    <w:name w:val="toc 9"/>
    <w:basedOn w:val="1"/>
    <w:next w:val="1"/>
    <w:qFormat/>
    <w:uiPriority w:val="0"/>
    <w:pPr>
      <w:ind w:left="1680"/>
      <w:jc w:val="left"/>
    </w:pPr>
    <w:rPr>
      <w:sz w:val="18"/>
      <w:szCs w:val="18"/>
    </w:rPr>
  </w:style>
  <w:style w:type="paragraph" w:styleId="32">
    <w:name w:val="Body Text 2"/>
    <w:basedOn w:val="1"/>
    <w:link w:val="67"/>
    <w:qFormat/>
    <w:uiPriority w:val="0"/>
    <w:rPr>
      <w:sz w:val="13"/>
      <w:szCs w:val="20"/>
    </w:rPr>
  </w:style>
  <w:style w:type="paragraph" w:styleId="33">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4">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35">
    <w:name w:val="Normal (Web)"/>
    <w:basedOn w:val="1"/>
    <w:qFormat/>
    <w:uiPriority w:val="0"/>
    <w:pPr>
      <w:widowControl/>
      <w:spacing w:before="100" w:beforeAutospacing="1" w:after="100" w:afterAutospacing="1"/>
      <w:jc w:val="left"/>
    </w:pPr>
    <w:rPr>
      <w:rFonts w:ascii="Arial Unicode MS" w:hAnsi="Arial Unicode MS" w:eastAsia="Arial Unicode MS" w:cs="华文仿宋"/>
      <w:kern w:val="0"/>
      <w:sz w:val="24"/>
    </w:rPr>
  </w:style>
  <w:style w:type="paragraph" w:styleId="36">
    <w:name w:val="index 1"/>
    <w:basedOn w:val="1"/>
    <w:next w:val="1"/>
    <w:qFormat/>
    <w:uiPriority w:val="0"/>
    <w:pPr>
      <w:tabs>
        <w:tab w:val="left" w:pos="780"/>
      </w:tabs>
      <w:spacing w:line="360" w:lineRule="auto"/>
      <w:ind w:left="780" w:hanging="360"/>
    </w:pPr>
    <w:rPr>
      <w:szCs w:val="20"/>
    </w:rPr>
  </w:style>
  <w:style w:type="paragraph" w:styleId="37">
    <w:name w:val="Title"/>
    <w:basedOn w:val="1"/>
    <w:next w:val="1"/>
    <w:link w:val="68"/>
    <w:qFormat/>
    <w:uiPriority w:val="0"/>
    <w:pPr>
      <w:spacing w:before="240" w:after="60"/>
      <w:jc w:val="center"/>
      <w:outlineLvl w:val="0"/>
    </w:pPr>
    <w:rPr>
      <w:rFonts w:ascii="Cambria" w:hAnsi="Cambria"/>
      <w:b/>
      <w:bCs/>
      <w:kern w:val="0"/>
      <w:sz w:val="32"/>
      <w:szCs w:val="32"/>
    </w:rPr>
  </w:style>
  <w:style w:type="paragraph" w:styleId="38">
    <w:name w:val="annotation subject"/>
    <w:basedOn w:val="10"/>
    <w:next w:val="10"/>
    <w:link w:val="69"/>
    <w:qFormat/>
    <w:uiPriority w:val="0"/>
    <w:rPr>
      <w:b/>
      <w:bCs/>
    </w:rPr>
  </w:style>
  <w:style w:type="table" w:styleId="40">
    <w:name w:val="Table Grid"/>
    <w:basedOn w:val="3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99"/>
    <w:rPr>
      <w:color w:val="800080"/>
      <w:u w:val="single"/>
    </w:rPr>
  </w:style>
  <w:style w:type="character" w:styleId="45">
    <w:name w:val="Emphasis"/>
    <w:qFormat/>
    <w:uiPriority w:val="0"/>
    <w:rPr>
      <w:color w:val="CC0033"/>
    </w:rPr>
  </w:style>
  <w:style w:type="character" w:styleId="46">
    <w:name w:val="Hyperlink"/>
    <w:qFormat/>
    <w:uiPriority w:val="99"/>
    <w:rPr>
      <w:color w:val="0000FF"/>
      <w:u w:val="single"/>
    </w:rPr>
  </w:style>
  <w:style w:type="character" w:styleId="47">
    <w:name w:val="annotation reference"/>
    <w:qFormat/>
    <w:uiPriority w:val="0"/>
    <w:rPr>
      <w:sz w:val="21"/>
      <w:szCs w:val="21"/>
    </w:rPr>
  </w:style>
  <w:style w:type="character" w:customStyle="1" w:styleId="48">
    <w:name w:val="标题 1 字符"/>
    <w:link w:val="2"/>
    <w:qFormat/>
    <w:uiPriority w:val="0"/>
    <w:rPr>
      <w:rFonts w:eastAsia="黑体"/>
      <w:b/>
      <w:kern w:val="44"/>
      <w:sz w:val="28"/>
    </w:rPr>
  </w:style>
  <w:style w:type="character" w:customStyle="1" w:styleId="49">
    <w:name w:val="标题 2 字符"/>
    <w:link w:val="3"/>
    <w:qFormat/>
    <w:uiPriority w:val="0"/>
    <w:rPr>
      <w:rFonts w:eastAsia="黑体"/>
      <w:b/>
      <w:sz w:val="28"/>
    </w:rPr>
  </w:style>
  <w:style w:type="character" w:customStyle="1" w:styleId="50">
    <w:name w:val="标题 3 字符"/>
    <w:link w:val="4"/>
    <w:qFormat/>
    <w:uiPriority w:val="0"/>
    <w:rPr>
      <w:rFonts w:eastAsia="黑体"/>
      <w:b/>
      <w:sz w:val="28"/>
    </w:rPr>
  </w:style>
  <w:style w:type="character" w:customStyle="1" w:styleId="51">
    <w:name w:val="标题 4 字符"/>
    <w:link w:val="5"/>
    <w:qFormat/>
    <w:uiPriority w:val="0"/>
    <w:rPr>
      <w:rFonts w:ascii="Arial" w:hAnsi="Arial" w:eastAsia="黑体"/>
      <w:sz w:val="28"/>
    </w:rPr>
  </w:style>
  <w:style w:type="character" w:customStyle="1" w:styleId="52">
    <w:name w:val="标题 5 字符1"/>
    <w:link w:val="6"/>
    <w:qFormat/>
    <w:uiPriority w:val="0"/>
    <w:rPr>
      <w:b/>
      <w:sz w:val="28"/>
      <w:szCs w:val="24"/>
    </w:rPr>
  </w:style>
  <w:style w:type="character" w:customStyle="1" w:styleId="53">
    <w:name w:val="正文缩进 字符"/>
    <w:link w:val="8"/>
    <w:qFormat/>
    <w:uiPriority w:val="0"/>
    <w:rPr>
      <w:kern w:val="2"/>
      <w:sz w:val="21"/>
      <w:szCs w:val="21"/>
    </w:rPr>
  </w:style>
  <w:style w:type="character" w:customStyle="1" w:styleId="54">
    <w:name w:val="文档结构图 字符"/>
    <w:link w:val="9"/>
    <w:qFormat/>
    <w:uiPriority w:val="99"/>
    <w:rPr>
      <w:kern w:val="2"/>
      <w:sz w:val="21"/>
      <w:szCs w:val="24"/>
      <w:shd w:val="clear" w:color="auto" w:fill="000080"/>
    </w:rPr>
  </w:style>
  <w:style w:type="character" w:customStyle="1" w:styleId="55">
    <w:name w:val="批注文字 字符"/>
    <w:link w:val="10"/>
    <w:qFormat/>
    <w:uiPriority w:val="0"/>
    <w:rPr>
      <w:kern w:val="2"/>
      <w:sz w:val="21"/>
      <w:szCs w:val="24"/>
    </w:rPr>
  </w:style>
  <w:style w:type="character" w:customStyle="1" w:styleId="56">
    <w:name w:val="正文文本 3 字符1"/>
    <w:link w:val="11"/>
    <w:qFormat/>
    <w:uiPriority w:val="0"/>
    <w:rPr>
      <w:kern w:val="2"/>
      <w:sz w:val="24"/>
      <w:szCs w:val="24"/>
    </w:rPr>
  </w:style>
  <w:style w:type="character" w:customStyle="1" w:styleId="57">
    <w:name w:val="正文文本 字符"/>
    <w:link w:val="12"/>
    <w:qFormat/>
    <w:uiPriority w:val="0"/>
    <w:rPr>
      <w:rFonts w:ascii="金山简黑体" w:hAnsi="金山简黑体" w:eastAsia="金山简黑体"/>
      <w:b/>
      <w:spacing w:val="-8"/>
      <w:kern w:val="2"/>
      <w:sz w:val="44"/>
    </w:rPr>
  </w:style>
  <w:style w:type="character" w:customStyle="1" w:styleId="58">
    <w:name w:val="正文文本缩进 字符"/>
    <w:link w:val="13"/>
    <w:qFormat/>
    <w:uiPriority w:val="99"/>
    <w:rPr>
      <w:rFonts w:ascii="宋体"/>
      <w:spacing w:val="-4"/>
      <w:kern w:val="2"/>
      <w:sz w:val="18"/>
    </w:rPr>
  </w:style>
  <w:style w:type="character" w:customStyle="1" w:styleId="59">
    <w:name w:val="纯文本 字符2"/>
    <w:link w:val="17"/>
    <w:qFormat/>
    <w:uiPriority w:val="0"/>
    <w:rPr>
      <w:rFonts w:ascii="宋体"/>
      <w:kern w:val="2"/>
      <w:sz w:val="21"/>
    </w:rPr>
  </w:style>
  <w:style w:type="character" w:customStyle="1" w:styleId="60">
    <w:name w:val="日期 字符"/>
    <w:link w:val="19"/>
    <w:qFormat/>
    <w:uiPriority w:val="0"/>
    <w:rPr>
      <w:kern w:val="2"/>
      <w:sz w:val="21"/>
      <w:szCs w:val="24"/>
    </w:rPr>
  </w:style>
  <w:style w:type="character" w:customStyle="1" w:styleId="61">
    <w:name w:val="正文文本缩进 2 字符"/>
    <w:link w:val="20"/>
    <w:qFormat/>
    <w:uiPriority w:val="0"/>
    <w:rPr>
      <w:kern w:val="2"/>
      <w:sz w:val="21"/>
      <w:szCs w:val="24"/>
    </w:rPr>
  </w:style>
  <w:style w:type="character" w:customStyle="1" w:styleId="62">
    <w:name w:val="批注框文本 字符"/>
    <w:link w:val="21"/>
    <w:qFormat/>
    <w:uiPriority w:val="0"/>
    <w:rPr>
      <w:kern w:val="2"/>
      <w:sz w:val="18"/>
      <w:szCs w:val="18"/>
    </w:rPr>
  </w:style>
  <w:style w:type="character" w:customStyle="1" w:styleId="63">
    <w:name w:val="页脚 字符1"/>
    <w:link w:val="22"/>
    <w:qFormat/>
    <w:uiPriority w:val="99"/>
    <w:rPr>
      <w:rFonts w:ascii="宋体"/>
      <w:kern w:val="2"/>
      <w:sz w:val="18"/>
    </w:rPr>
  </w:style>
  <w:style w:type="character" w:customStyle="1" w:styleId="64">
    <w:name w:val="页眉 字符"/>
    <w:link w:val="23"/>
    <w:qFormat/>
    <w:uiPriority w:val="99"/>
    <w:rPr>
      <w:kern w:val="2"/>
      <w:sz w:val="18"/>
      <w:szCs w:val="18"/>
    </w:rPr>
  </w:style>
  <w:style w:type="character" w:customStyle="1" w:styleId="65">
    <w:name w:val="副标题 字符"/>
    <w:link w:val="26"/>
    <w:qFormat/>
    <w:uiPriority w:val="0"/>
    <w:rPr>
      <w:rFonts w:ascii="Century Gothic" w:hAnsi="Century Gothic" w:cs="Century Gothic"/>
      <w:kern w:val="28"/>
      <w:sz w:val="21"/>
      <w:szCs w:val="21"/>
    </w:rPr>
  </w:style>
  <w:style w:type="character" w:customStyle="1" w:styleId="66">
    <w:name w:val="脚注文本 字符"/>
    <w:link w:val="27"/>
    <w:semiHidden/>
    <w:qFormat/>
    <w:uiPriority w:val="0"/>
    <w:rPr>
      <w:rFonts w:ascii="Times New Roman" w:hAnsi="Times New Roman"/>
      <w:lang w:val="de-DE"/>
    </w:rPr>
  </w:style>
  <w:style w:type="character" w:customStyle="1" w:styleId="67">
    <w:name w:val="正文文本 2 字符1"/>
    <w:link w:val="32"/>
    <w:qFormat/>
    <w:uiPriority w:val="0"/>
    <w:rPr>
      <w:rFonts w:ascii="宋体"/>
      <w:kern w:val="2"/>
      <w:sz w:val="13"/>
    </w:rPr>
  </w:style>
  <w:style w:type="character" w:customStyle="1" w:styleId="68">
    <w:name w:val="标题 字符"/>
    <w:link w:val="37"/>
    <w:qFormat/>
    <w:uiPriority w:val="0"/>
    <w:rPr>
      <w:rFonts w:ascii="Cambria" w:hAnsi="Cambria" w:cs="黑体"/>
      <w:b/>
      <w:bCs/>
      <w:sz w:val="32"/>
      <w:szCs w:val="32"/>
    </w:rPr>
  </w:style>
  <w:style w:type="character" w:customStyle="1" w:styleId="69">
    <w:name w:val="批注主题 字符"/>
    <w:link w:val="38"/>
    <w:qFormat/>
    <w:uiPriority w:val="0"/>
    <w:rPr>
      <w:b/>
      <w:bCs/>
      <w:kern w:val="2"/>
      <w:sz w:val="21"/>
      <w:szCs w:val="24"/>
    </w:rPr>
  </w:style>
  <w:style w:type="character" w:customStyle="1" w:styleId="70">
    <w:name w:val="font91"/>
    <w:qFormat/>
    <w:uiPriority w:val="0"/>
    <w:rPr>
      <w:rFonts w:hint="eastAsia" w:ascii="华文楷体" w:eastAsia="华文楷体"/>
      <w:color w:val="000000"/>
      <w:sz w:val="20"/>
      <w:szCs w:val="20"/>
      <w:u w:val="none"/>
    </w:rPr>
  </w:style>
  <w:style w:type="character" w:customStyle="1" w:styleId="71">
    <w:name w:val="font121"/>
    <w:qFormat/>
    <w:uiPriority w:val="0"/>
    <w:rPr>
      <w:rFonts w:hint="default" w:ascii="Arial" w:hAnsi="Arial" w:cs="Arial"/>
      <w:color w:val="000000"/>
      <w:sz w:val="18"/>
      <w:szCs w:val="18"/>
      <w:u w:val="none"/>
    </w:rPr>
  </w:style>
  <w:style w:type="character" w:customStyle="1" w:styleId="72">
    <w:name w:val="Anrede1IhrZeichen"/>
    <w:qFormat/>
    <w:uiPriority w:val="0"/>
    <w:rPr>
      <w:rFonts w:ascii="Arial" w:hAnsi="Arial"/>
      <w:sz w:val="20"/>
    </w:rPr>
  </w:style>
  <w:style w:type="character" w:customStyle="1" w:styleId="73">
    <w:name w:val="样式4 Char"/>
    <w:link w:val="74"/>
    <w:qFormat/>
    <w:uiPriority w:val="0"/>
    <w:rPr>
      <w:bCs/>
      <w:kern w:val="2"/>
      <w:sz w:val="18"/>
      <w:szCs w:val="18"/>
    </w:rPr>
  </w:style>
  <w:style w:type="paragraph" w:customStyle="1" w:styleId="74">
    <w:name w:val="样式4"/>
    <w:basedOn w:val="23"/>
    <w:link w:val="73"/>
    <w:qFormat/>
    <w:uiPriority w:val="0"/>
    <w:pPr>
      <w:pBdr>
        <w:bottom w:val="thickThinSmallGap" w:color="auto" w:sz="12" w:space="1"/>
      </w:pBdr>
      <w:jc w:val="both"/>
    </w:pPr>
    <w:rPr>
      <w:bCs/>
    </w:rPr>
  </w:style>
  <w:style w:type="character" w:customStyle="1" w:styleId="75">
    <w:name w:val="标题 3 Char2"/>
    <w:qFormat/>
    <w:uiPriority w:val="0"/>
    <w:rPr>
      <w:rFonts w:eastAsia="黑体"/>
      <w:b/>
      <w:sz w:val="28"/>
    </w:rPr>
  </w:style>
  <w:style w:type="character" w:customStyle="1" w:styleId="76">
    <w:name w:val="font01"/>
    <w:qFormat/>
    <w:uiPriority w:val="0"/>
    <w:rPr>
      <w:rFonts w:hint="eastAsia" w:ascii="宋体" w:hAnsi="宋体" w:eastAsia="宋体"/>
      <w:color w:val="000000"/>
      <w:sz w:val="20"/>
      <w:szCs w:val="20"/>
      <w:u w:val="none"/>
    </w:rPr>
  </w:style>
  <w:style w:type="character" w:customStyle="1" w:styleId="77">
    <w:name w:val="样式7 Char"/>
    <w:link w:val="78"/>
    <w:qFormat/>
    <w:uiPriority w:val="0"/>
    <w:rPr>
      <w:kern w:val="2"/>
      <w:sz w:val="18"/>
      <w:szCs w:val="18"/>
    </w:rPr>
  </w:style>
  <w:style w:type="paragraph" w:customStyle="1" w:styleId="78">
    <w:name w:val="样式7"/>
    <w:basedOn w:val="23"/>
    <w:link w:val="77"/>
    <w:qFormat/>
    <w:uiPriority w:val="0"/>
    <w:pPr>
      <w:pBdr>
        <w:top w:val="single" w:color="auto" w:sz="6" w:space="1"/>
        <w:left w:val="single" w:color="auto" w:sz="6" w:space="4"/>
        <w:bottom w:val="thickThinSmallGap" w:color="auto" w:sz="12" w:space="1"/>
        <w:right w:val="single" w:color="auto" w:sz="6" w:space="4"/>
      </w:pBdr>
    </w:pPr>
  </w:style>
  <w:style w:type="character" w:customStyle="1" w:styleId="79">
    <w:name w:val="样式8 Char"/>
    <w:link w:val="80"/>
    <w:qFormat/>
    <w:uiPriority w:val="0"/>
    <w:rPr>
      <w:kern w:val="2"/>
      <w:sz w:val="18"/>
      <w:szCs w:val="18"/>
    </w:rPr>
  </w:style>
  <w:style w:type="paragraph" w:customStyle="1" w:styleId="80">
    <w:name w:val="样式8"/>
    <w:basedOn w:val="78"/>
    <w:link w:val="79"/>
    <w:qFormat/>
    <w:uiPriority w:val="0"/>
    <w:pPr>
      <w:pBdr>
        <w:top w:val="none" w:color="auto" w:sz="0" w:space="0"/>
        <w:left w:val="none" w:color="auto" w:sz="0" w:space="0"/>
        <w:right w:val="none" w:color="auto" w:sz="0" w:space="0"/>
      </w:pBdr>
    </w:pPr>
  </w:style>
  <w:style w:type="character" w:customStyle="1" w:styleId="81">
    <w:name w:val="副标题 Char1"/>
    <w:qFormat/>
    <w:uiPriority w:val="0"/>
    <w:rPr>
      <w:rFonts w:ascii="Cambria" w:hAnsi="Cambria" w:cs="Times New Roman"/>
      <w:b/>
      <w:bCs/>
      <w:kern w:val="28"/>
      <w:sz w:val="32"/>
      <w:szCs w:val="32"/>
    </w:rPr>
  </w:style>
  <w:style w:type="character" w:customStyle="1" w:styleId="82">
    <w:name w:val="font61"/>
    <w:qFormat/>
    <w:uiPriority w:val="0"/>
    <w:rPr>
      <w:rFonts w:hint="default" w:ascii="宋体" w:hAnsi="宋体"/>
      <w:color w:val="000000"/>
      <w:sz w:val="18"/>
      <w:szCs w:val="18"/>
      <w:u w:val="none"/>
    </w:rPr>
  </w:style>
  <w:style w:type="character" w:customStyle="1" w:styleId="83">
    <w:name w:val="_Style 265"/>
    <w:qFormat/>
    <w:uiPriority w:val="0"/>
    <w:rPr>
      <w:rFonts w:eastAsia="仿宋_GB2312"/>
      <w:iCs/>
      <w:color w:val="auto"/>
      <w:sz w:val="24"/>
    </w:rPr>
  </w:style>
  <w:style w:type="character" w:customStyle="1" w:styleId="84">
    <w:name w:val="脚注文本 字符1"/>
    <w:semiHidden/>
    <w:qFormat/>
    <w:uiPriority w:val="0"/>
    <w:rPr>
      <w:kern w:val="2"/>
      <w:sz w:val="18"/>
      <w:szCs w:val="18"/>
    </w:rPr>
  </w:style>
  <w:style w:type="character" w:customStyle="1" w:styleId="85">
    <w:name w:val="纯文本 字符"/>
    <w:qFormat/>
    <w:uiPriority w:val="0"/>
    <w:rPr>
      <w:rFonts w:ascii="宋体"/>
      <w:kern w:val="2"/>
      <w:sz w:val="21"/>
    </w:rPr>
  </w:style>
  <w:style w:type="character" w:customStyle="1" w:styleId="86">
    <w:name w:val="_Style 273"/>
    <w:qFormat/>
    <w:uiPriority w:val="32"/>
    <w:rPr>
      <w:b/>
      <w:bCs/>
      <w:smallCaps/>
      <w:color w:val="C0504D"/>
      <w:spacing w:val="5"/>
      <w:u w:val="single"/>
    </w:rPr>
  </w:style>
  <w:style w:type="character" w:customStyle="1" w:styleId="87">
    <w:name w:val="px12h161"/>
    <w:qFormat/>
    <w:uiPriority w:val="0"/>
    <w:rPr>
      <w:sz w:val="14"/>
      <w:szCs w:val="14"/>
    </w:rPr>
  </w:style>
  <w:style w:type="character" w:customStyle="1" w:styleId="88">
    <w:name w:val="页脚 字符"/>
    <w:qFormat/>
    <w:uiPriority w:val="99"/>
    <w:rPr>
      <w:kern w:val="2"/>
      <w:sz w:val="18"/>
      <w:szCs w:val="18"/>
    </w:rPr>
  </w:style>
  <w:style w:type="character" w:customStyle="1" w:styleId="89">
    <w:name w:val="样式3 Char Char"/>
    <w:qFormat/>
    <w:uiPriority w:val="0"/>
    <w:rPr>
      <w:rFonts w:ascii="Century Gothic" w:hAnsi="Century Gothic" w:eastAsia="宋体"/>
      <w:kern w:val="2"/>
      <w:sz w:val="21"/>
      <w:szCs w:val="21"/>
      <w:lang w:val="en-US" w:eastAsia="zh-CN" w:bidi="ar-SA"/>
    </w:rPr>
  </w:style>
  <w:style w:type="character" w:customStyle="1" w:styleId="90">
    <w:name w:val="font112"/>
    <w:qFormat/>
    <w:uiPriority w:val="0"/>
    <w:rPr>
      <w:rFonts w:ascii="Wingdings" w:hAnsi="Wingdings" w:cs="Wingdings"/>
      <w:color w:val="000000"/>
      <w:sz w:val="18"/>
      <w:szCs w:val="18"/>
      <w:u w:val="none"/>
    </w:rPr>
  </w:style>
  <w:style w:type="character" w:customStyle="1" w:styleId="91">
    <w:name w:val="样式5 Char"/>
    <w:link w:val="92"/>
    <w:qFormat/>
    <w:uiPriority w:val="0"/>
    <w:rPr>
      <w:rFonts w:ascii="宋体"/>
      <w:kern w:val="2"/>
      <w:sz w:val="21"/>
      <w:u w:val="single"/>
    </w:rPr>
  </w:style>
  <w:style w:type="paragraph" w:customStyle="1" w:styleId="92">
    <w:name w:val="样式5"/>
    <w:basedOn w:val="17"/>
    <w:link w:val="91"/>
    <w:qFormat/>
    <w:uiPriority w:val="0"/>
    <w:pPr>
      <w:pBdr>
        <w:bottom w:val="thickThinSmallGap" w:color="auto" w:sz="12" w:space="1"/>
      </w:pBdr>
      <w:tabs>
        <w:tab w:val="center" w:pos="4535"/>
      </w:tabs>
      <w:jc w:val="center"/>
    </w:pPr>
    <w:rPr>
      <w:u w:val="single"/>
    </w:rPr>
  </w:style>
  <w:style w:type="character" w:customStyle="1" w:styleId="93">
    <w:name w:val="font41"/>
    <w:qFormat/>
    <w:uiPriority w:val="0"/>
    <w:rPr>
      <w:rFonts w:hint="default" w:ascii="Times New Roman" w:hAnsi="Times New Roman" w:cs="Times New Roman"/>
      <w:b/>
      <w:bCs/>
      <w:color w:val="000000"/>
      <w:sz w:val="20"/>
      <w:szCs w:val="20"/>
      <w:u w:val="none"/>
    </w:rPr>
  </w:style>
  <w:style w:type="character" w:customStyle="1" w:styleId="94">
    <w:name w:val="font81"/>
    <w:qFormat/>
    <w:uiPriority w:val="0"/>
    <w:rPr>
      <w:rFonts w:hint="default" w:ascii="宋体" w:hAnsi="宋体"/>
      <w:color w:val="000000"/>
      <w:sz w:val="24"/>
      <w:szCs w:val="24"/>
      <w:u w:val="none"/>
    </w:rPr>
  </w:style>
  <w:style w:type="character" w:customStyle="1" w:styleId="95">
    <w:name w:val="font151"/>
    <w:qFormat/>
    <w:uiPriority w:val="0"/>
    <w:rPr>
      <w:rFonts w:ascii="Calibri" w:hAnsi="Calibri" w:cs="Calibri"/>
      <w:color w:val="000000"/>
      <w:sz w:val="18"/>
      <w:szCs w:val="18"/>
      <w:u w:val="none"/>
    </w:rPr>
  </w:style>
  <w:style w:type="character" w:customStyle="1" w:styleId="96">
    <w:name w:val="正文文本 3 字符"/>
    <w:qFormat/>
    <w:uiPriority w:val="0"/>
    <w:rPr>
      <w:kern w:val="2"/>
      <w:sz w:val="16"/>
      <w:szCs w:val="16"/>
    </w:rPr>
  </w:style>
  <w:style w:type="character" w:customStyle="1" w:styleId="97">
    <w:name w:val="样式3 Char"/>
    <w:link w:val="98"/>
    <w:qFormat/>
    <w:uiPriority w:val="0"/>
    <w:rPr>
      <w:rFonts w:ascii="黑体" w:hAnsi="黑体" w:eastAsia="黑体"/>
      <w:bCs/>
      <w:kern w:val="2"/>
      <w:sz w:val="18"/>
      <w:szCs w:val="18"/>
    </w:rPr>
  </w:style>
  <w:style w:type="paragraph" w:customStyle="1" w:styleId="98">
    <w:name w:val="样式3"/>
    <w:basedOn w:val="23"/>
    <w:link w:val="97"/>
    <w:qFormat/>
    <w:uiPriority w:val="0"/>
    <w:pPr>
      <w:pBdr>
        <w:bottom w:val="thickThinSmallGap" w:color="auto" w:sz="12" w:space="1"/>
      </w:pBdr>
      <w:jc w:val="left"/>
    </w:pPr>
    <w:rPr>
      <w:rFonts w:ascii="黑体" w:hAnsi="黑体" w:eastAsia="黑体"/>
      <w:bCs/>
    </w:rPr>
  </w:style>
  <w:style w:type="character" w:customStyle="1" w:styleId="99">
    <w:name w:val="dy_biao_content1"/>
    <w:qFormat/>
    <w:uiPriority w:val="0"/>
    <w:rPr>
      <w:rFonts w:hint="eastAsia" w:ascii="宋体" w:hAnsi="宋体" w:eastAsia="宋体"/>
      <w:sz w:val="24"/>
      <w:szCs w:val="24"/>
    </w:rPr>
  </w:style>
  <w:style w:type="character" w:customStyle="1" w:styleId="100">
    <w:name w:val="font21"/>
    <w:qFormat/>
    <w:uiPriority w:val="0"/>
    <w:rPr>
      <w:rFonts w:hint="default" w:ascii="Times New Roman" w:hAnsi="Times New Roman" w:cs="Times New Roman"/>
      <w:color w:val="000000"/>
      <w:sz w:val="20"/>
      <w:szCs w:val="20"/>
      <w:u w:val="none"/>
    </w:rPr>
  </w:style>
  <w:style w:type="character" w:customStyle="1" w:styleId="101">
    <w:name w:val="Char Char2"/>
    <w:qFormat/>
    <w:uiPriority w:val="0"/>
    <w:rPr>
      <w:rFonts w:eastAsia="宋体"/>
      <w:kern w:val="2"/>
      <w:sz w:val="18"/>
      <w:szCs w:val="18"/>
      <w:lang w:val="en-US" w:eastAsia="zh-CN" w:bidi="ar-SA"/>
    </w:rPr>
  </w:style>
  <w:style w:type="character" w:customStyle="1" w:styleId="102">
    <w:name w:val="font31"/>
    <w:qFormat/>
    <w:uiPriority w:val="0"/>
    <w:rPr>
      <w:rFonts w:hint="eastAsia" w:ascii="宋体" w:hAnsi="宋体" w:eastAsia="宋体" w:cs="宋体"/>
      <w:color w:val="000000"/>
      <w:sz w:val="18"/>
      <w:szCs w:val="18"/>
      <w:u w:val="none"/>
    </w:rPr>
  </w:style>
  <w:style w:type="character" w:customStyle="1" w:styleId="103">
    <w:name w:val="标题 Char1"/>
    <w:qFormat/>
    <w:uiPriority w:val="0"/>
    <w:rPr>
      <w:rFonts w:ascii="Calibri Light" w:hAnsi="Calibri Light" w:cs="Times New Roman"/>
      <w:b/>
      <w:bCs/>
      <w:kern w:val="2"/>
      <w:sz w:val="32"/>
      <w:szCs w:val="32"/>
    </w:rPr>
  </w:style>
  <w:style w:type="character" w:customStyle="1" w:styleId="104">
    <w:name w:val="标题 3 Char1"/>
    <w:qFormat/>
    <w:uiPriority w:val="0"/>
    <w:rPr>
      <w:rFonts w:eastAsia="宋体"/>
      <w:b/>
      <w:bCs/>
      <w:kern w:val="2"/>
      <w:sz w:val="32"/>
      <w:szCs w:val="32"/>
      <w:lang w:val="en-US" w:eastAsia="zh-CN" w:bidi="ar-SA"/>
    </w:rPr>
  </w:style>
  <w:style w:type="character" w:customStyle="1" w:styleId="105">
    <w:name w:val="纯文本 字符1"/>
    <w:qFormat/>
    <w:uiPriority w:val="0"/>
    <w:rPr>
      <w:rFonts w:ascii="宋体" w:eastAsia="宋体"/>
      <w:kern w:val="2"/>
      <w:sz w:val="21"/>
      <w:lang w:val="en-US" w:eastAsia="zh-CN" w:bidi="ar-SA"/>
    </w:rPr>
  </w:style>
  <w:style w:type="character" w:customStyle="1" w:styleId="106">
    <w:name w:val="grame"/>
    <w:qFormat/>
    <w:uiPriority w:val="0"/>
  </w:style>
  <w:style w:type="character" w:customStyle="1" w:styleId="107">
    <w:name w:val="列出段落 字符"/>
    <w:qFormat/>
    <w:uiPriority w:val="0"/>
    <w:rPr>
      <w:rFonts w:ascii="Times New Roman" w:hAnsi="Times New Roman" w:eastAsia="宋体" w:cs="Times New Roman"/>
      <w:kern w:val="2"/>
      <w:sz w:val="21"/>
      <w:szCs w:val="24"/>
    </w:rPr>
  </w:style>
  <w:style w:type="character" w:customStyle="1" w:styleId="108">
    <w:name w:val="未处理的提及1"/>
    <w:unhideWhenUsed/>
    <w:qFormat/>
    <w:uiPriority w:val="99"/>
    <w:rPr>
      <w:color w:val="605E5C"/>
      <w:shd w:val="clear" w:color="auto" w:fill="E1DFDD"/>
    </w:rPr>
  </w:style>
  <w:style w:type="character" w:customStyle="1" w:styleId="109">
    <w:name w:val="font51"/>
    <w:qFormat/>
    <w:uiPriority w:val="0"/>
    <w:rPr>
      <w:rFonts w:hint="eastAsia" w:ascii="宋体" w:hAnsi="宋体" w:eastAsia="宋体"/>
      <w:b/>
      <w:bCs/>
      <w:color w:val="000000"/>
      <w:sz w:val="20"/>
      <w:szCs w:val="20"/>
      <w:u w:val="none"/>
    </w:rPr>
  </w:style>
  <w:style w:type="character" w:customStyle="1" w:styleId="110">
    <w:name w:val="承康医疗 Char"/>
    <w:link w:val="111"/>
    <w:qFormat/>
    <w:uiPriority w:val="0"/>
    <w:rPr>
      <w:rFonts w:ascii="微软雅黑" w:hAnsi="微软雅黑" w:eastAsia="微软雅黑"/>
      <w:sz w:val="21"/>
      <w:szCs w:val="21"/>
    </w:rPr>
  </w:style>
  <w:style w:type="paragraph" w:customStyle="1" w:styleId="111">
    <w:name w:val="承康医疗"/>
    <w:basedOn w:val="1"/>
    <w:link w:val="110"/>
    <w:qFormat/>
    <w:uiPriority w:val="0"/>
    <w:pPr>
      <w:widowControl/>
      <w:jc w:val="left"/>
    </w:pPr>
    <w:rPr>
      <w:rFonts w:ascii="微软雅黑" w:hAnsi="微软雅黑" w:eastAsia="微软雅黑"/>
      <w:kern w:val="0"/>
      <w:szCs w:val="21"/>
    </w:rPr>
  </w:style>
  <w:style w:type="character" w:customStyle="1" w:styleId="112">
    <w:name w:val="正文文本 2 字符"/>
    <w:qFormat/>
    <w:uiPriority w:val="0"/>
    <w:rPr>
      <w:kern w:val="2"/>
      <w:sz w:val="21"/>
      <w:szCs w:val="24"/>
    </w:rPr>
  </w:style>
  <w:style w:type="character" w:customStyle="1" w:styleId="113">
    <w:name w:val="font141"/>
    <w:qFormat/>
    <w:uiPriority w:val="0"/>
    <w:rPr>
      <w:rFonts w:ascii="Cambria Math" w:hAnsi="Cambria Math" w:eastAsia="Cambria Math" w:cs="Cambria Math"/>
      <w:color w:val="000000"/>
      <w:sz w:val="18"/>
      <w:szCs w:val="18"/>
      <w:u w:val="none"/>
    </w:rPr>
  </w:style>
  <w:style w:type="character" w:customStyle="1" w:styleId="114">
    <w:name w:val="Char Char"/>
    <w:qFormat/>
    <w:uiPriority w:val="0"/>
    <w:rPr>
      <w:rFonts w:ascii="Century Gothic" w:hAnsi="Century Gothic"/>
      <w:bCs/>
      <w:kern w:val="28"/>
      <w:sz w:val="21"/>
      <w:szCs w:val="32"/>
    </w:rPr>
  </w:style>
  <w:style w:type="character" w:customStyle="1" w:styleId="115">
    <w:name w:val="不明显参考1"/>
    <w:qFormat/>
    <w:uiPriority w:val="31"/>
    <w:rPr>
      <w:smallCaps/>
      <w:color w:val="5A5A5A"/>
    </w:rPr>
  </w:style>
  <w:style w:type="character" w:customStyle="1" w:styleId="116">
    <w:name w:val="列表段落 字符"/>
    <w:link w:val="117"/>
    <w:qFormat/>
    <w:uiPriority w:val="34"/>
    <w:rPr>
      <w:kern w:val="2"/>
      <w:sz w:val="21"/>
      <w:szCs w:val="21"/>
    </w:rPr>
  </w:style>
  <w:style w:type="paragraph" w:styleId="117">
    <w:name w:val="List Paragraph"/>
    <w:basedOn w:val="1"/>
    <w:link w:val="116"/>
    <w:qFormat/>
    <w:uiPriority w:val="34"/>
    <w:pPr>
      <w:ind w:firstLine="420" w:firstLineChars="200"/>
    </w:pPr>
    <w:rPr>
      <w:szCs w:val="21"/>
    </w:rPr>
  </w:style>
  <w:style w:type="character" w:customStyle="1" w:styleId="118">
    <w:name w:val="样式6 Char"/>
    <w:link w:val="119"/>
    <w:qFormat/>
    <w:uiPriority w:val="0"/>
    <w:rPr>
      <w:kern w:val="2"/>
      <w:sz w:val="18"/>
      <w:szCs w:val="18"/>
    </w:rPr>
  </w:style>
  <w:style w:type="paragraph" w:customStyle="1" w:styleId="119">
    <w:name w:val="样式6"/>
    <w:basedOn w:val="23"/>
    <w:link w:val="118"/>
    <w:qFormat/>
    <w:uiPriority w:val="0"/>
    <w:pPr>
      <w:pBdr>
        <w:bottom w:val="thickThinSmallGap" w:color="auto" w:sz="12" w:space="1"/>
      </w:pBdr>
      <w:jc w:val="both"/>
    </w:pPr>
  </w:style>
  <w:style w:type="character" w:customStyle="1" w:styleId="120">
    <w:name w:val="标题 5 字符"/>
    <w:semiHidden/>
    <w:qFormat/>
    <w:uiPriority w:val="0"/>
    <w:rPr>
      <w:b/>
      <w:bCs/>
      <w:kern w:val="2"/>
      <w:sz w:val="28"/>
      <w:szCs w:val="28"/>
    </w:rPr>
  </w:style>
  <w:style w:type="character" w:customStyle="1" w:styleId="121">
    <w:name w:val="font71"/>
    <w:qFormat/>
    <w:uiPriority w:val="0"/>
    <w:rPr>
      <w:rFonts w:hint="eastAsia" w:ascii="宋体" w:hAnsi="宋体" w:eastAsia="宋体"/>
      <w:b/>
      <w:bCs/>
      <w:color w:val="000000"/>
      <w:sz w:val="24"/>
      <w:szCs w:val="24"/>
      <w:u w:val="none"/>
    </w:rPr>
  </w:style>
  <w:style w:type="character" w:customStyle="1" w:styleId="122">
    <w:name w:val="普通文字1 Char1"/>
    <w:qFormat/>
    <w:uiPriority w:val="0"/>
    <w:rPr>
      <w:rFonts w:ascii="宋体" w:eastAsia="宋体"/>
      <w:kern w:val="2"/>
      <w:sz w:val="21"/>
      <w:lang w:val="en-US" w:eastAsia="zh-CN" w:bidi="ar-SA"/>
    </w:rPr>
  </w:style>
  <w:style w:type="character" w:customStyle="1" w:styleId="123">
    <w:name w:val="未处理的提及2"/>
    <w:unhideWhenUsed/>
    <w:qFormat/>
    <w:uiPriority w:val="99"/>
    <w:rPr>
      <w:color w:val="605E5C"/>
      <w:shd w:val="clear" w:color="auto" w:fill="E1DFDD"/>
    </w:rPr>
  </w:style>
  <w:style w:type="character" w:customStyle="1" w:styleId="124">
    <w:name w:val="纯文本 字符4"/>
    <w:qFormat/>
    <w:uiPriority w:val="0"/>
    <w:rPr>
      <w:rFonts w:ascii="宋体"/>
      <w:kern w:val="2"/>
      <w:sz w:val="21"/>
    </w:rPr>
  </w:style>
  <w:style w:type="character" w:customStyle="1" w:styleId="125">
    <w:name w:val="font131"/>
    <w:qFormat/>
    <w:uiPriority w:val="0"/>
    <w:rPr>
      <w:rFonts w:ascii="Tahoma" w:hAnsi="Tahoma" w:eastAsia="Tahoma" w:cs="Tahoma"/>
      <w:color w:val="000000"/>
      <w:sz w:val="18"/>
      <w:szCs w:val="18"/>
      <w:u w:val="none"/>
    </w:rPr>
  </w:style>
  <w:style w:type="character" w:customStyle="1" w:styleId="126">
    <w:name w:val="Date Char Char"/>
    <w:link w:val="127"/>
    <w:qFormat/>
    <w:uiPriority w:val="0"/>
    <w:rPr>
      <w:kern w:val="2"/>
      <w:sz w:val="21"/>
    </w:rPr>
  </w:style>
  <w:style w:type="paragraph" w:customStyle="1" w:styleId="127">
    <w:name w:val="日期1"/>
    <w:basedOn w:val="1"/>
    <w:next w:val="1"/>
    <w:link w:val="126"/>
    <w:qFormat/>
    <w:uiPriority w:val="0"/>
    <w:rPr>
      <w:szCs w:val="20"/>
    </w:rPr>
  </w:style>
  <w:style w:type="character" w:customStyle="1" w:styleId="128">
    <w:name w:val="纯文本 Char1"/>
    <w:qFormat/>
    <w:uiPriority w:val="0"/>
    <w:rPr>
      <w:rFonts w:ascii="宋体" w:eastAsia="宋体"/>
      <w:kern w:val="2"/>
      <w:sz w:val="21"/>
      <w:lang w:val="en-US" w:eastAsia="zh-CN" w:bidi="ar-SA"/>
    </w:rPr>
  </w:style>
  <w:style w:type="character" w:customStyle="1" w:styleId="129">
    <w:name w:val="纯文本 Char2"/>
    <w:qFormat/>
    <w:uiPriority w:val="0"/>
    <w:rPr>
      <w:rFonts w:ascii="宋体" w:hAnsi="Times New Roman" w:eastAsia="宋体" w:cs="Times New Roman"/>
      <w:kern w:val="2"/>
      <w:sz w:val="21"/>
      <w:lang w:val="en-US" w:eastAsia="zh-CN" w:bidi="ar-SA"/>
    </w:rPr>
  </w:style>
  <w:style w:type="paragraph" w:customStyle="1" w:styleId="130">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1">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2">
    <w:name w:val="普通(网站) New"/>
    <w:basedOn w:val="133"/>
    <w:qFormat/>
    <w:uiPriority w:val="0"/>
    <w:pPr>
      <w:widowControl/>
      <w:spacing w:before="100" w:beforeAutospacing="1" w:after="100" w:afterAutospacing="1"/>
      <w:jc w:val="left"/>
    </w:pPr>
    <w:rPr>
      <w:kern w:val="0"/>
      <w:sz w:val="24"/>
      <w:szCs w:val="24"/>
    </w:rPr>
  </w:style>
  <w:style w:type="paragraph" w:customStyle="1" w:styleId="133">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4">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135">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6">
    <w:name w:val="样式1"/>
    <w:basedOn w:val="3"/>
    <w:qFormat/>
    <w:uiPriority w:val="0"/>
    <w:pPr>
      <w:tabs>
        <w:tab w:val="left" w:pos="360"/>
      </w:tabs>
    </w:pPr>
  </w:style>
  <w:style w:type="paragraph" w:customStyle="1" w:styleId="137">
    <w:name w:val="缺省文本"/>
    <w:basedOn w:val="1"/>
    <w:qFormat/>
    <w:uiPriority w:val="0"/>
    <w:pPr>
      <w:autoSpaceDE w:val="0"/>
      <w:autoSpaceDN w:val="0"/>
      <w:adjustRightInd w:val="0"/>
      <w:jc w:val="left"/>
    </w:pPr>
    <w:rPr>
      <w:kern w:val="0"/>
      <w:sz w:val="24"/>
      <w:szCs w:val="20"/>
    </w:rPr>
  </w:style>
  <w:style w:type="paragraph" w:customStyle="1" w:styleId="13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39">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40">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1">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4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43">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144">
    <w:name w:val="说明"/>
    <w:basedOn w:val="1"/>
    <w:qFormat/>
    <w:uiPriority w:val="0"/>
    <w:pPr>
      <w:ind w:left="1" w:leftChars="-52" w:hanging="110" w:hangingChars="61"/>
      <w:jc w:val="center"/>
    </w:pPr>
    <w:rPr>
      <w:szCs w:val="20"/>
    </w:rPr>
  </w:style>
  <w:style w:type="paragraph" w:customStyle="1" w:styleId="14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styleId="146">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147">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4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149">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0">
    <w:name w:val="列出段落1"/>
    <w:basedOn w:val="1"/>
    <w:qFormat/>
    <w:uiPriority w:val="34"/>
    <w:pPr>
      <w:ind w:firstLine="420" w:firstLineChars="200"/>
    </w:pPr>
    <w:rPr>
      <w:szCs w:val="20"/>
    </w:rPr>
  </w:style>
  <w:style w:type="paragraph" w:customStyle="1" w:styleId="151">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52">
    <w:name w:val="正文五号"/>
    <w:basedOn w:val="1"/>
    <w:qFormat/>
    <w:uiPriority w:val="0"/>
    <w:rPr>
      <w:rFonts w:hint="eastAsia" w:eastAsia="仿宋_GB2312"/>
      <w:szCs w:val="20"/>
    </w:rPr>
  </w:style>
  <w:style w:type="paragraph" w:customStyle="1" w:styleId="153">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155">
    <w:name w:val="Char"/>
    <w:basedOn w:val="1"/>
    <w:qFormat/>
    <w:uiPriority w:val="0"/>
    <w:rPr>
      <w:rFonts w:ascii="Tahoma" w:hAnsi="Tahoma"/>
      <w:sz w:val="24"/>
      <w:szCs w:val="20"/>
    </w:rPr>
  </w:style>
  <w:style w:type="paragraph" w:customStyle="1" w:styleId="156">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157">
    <w:name w:val="Char Char Char Char Char Char Char Char Char Char"/>
    <w:basedOn w:val="1"/>
    <w:qFormat/>
    <w:uiPriority w:val="0"/>
    <w:pPr>
      <w:tabs>
        <w:tab w:val="left" w:pos="360"/>
      </w:tabs>
      <w:ind w:left="360" w:hanging="360" w:hangingChars="200"/>
    </w:pPr>
    <w:rPr>
      <w:szCs w:val="20"/>
    </w:rPr>
  </w:style>
  <w:style w:type="paragraph" w:customStyle="1" w:styleId="158">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59">
    <w:name w:val="Char Char Char Char Char Char"/>
    <w:basedOn w:val="1"/>
    <w:qFormat/>
    <w:uiPriority w:val="0"/>
    <w:rPr>
      <w:rFonts w:ascii="Tahoma" w:hAnsi="Tahoma"/>
      <w:sz w:val="24"/>
      <w:szCs w:val="20"/>
    </w:rPr>
  </w:style>
  <w:style w:type="paragraph" w:customStyle="1" w:styleId="160">
    <w:name w:val="H-TextFormat"/>
    <w:qFormat/>
    <w:uiPriority w:val="0"/>
    <w:pPr>
      <w:autoSpaceDE w:val="0"/>
      <w:autoSpaceDN w:val="0"/>
      <w:adjustRightInd w:val="0"/>
    </w:pPr>
    <w:rPr>
      <w:rFonts w:ascii="Arial" w:hAnsi="Arial" w:eastAsia="宋体" w:cs="Arial"/>
      <w:sz w:val="22"/>
      <w:szCs w:val="22"/>
      <w:lang w:val="en-US" w:eastAsia="en-US" w:bidi="ar-SA"/>
    </w:rPr>
  </w:style>
  <w:style w:type="paragraph" w:customStyle="1" w:styleId="161">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162">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6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164">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5">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67">
    <w:name w:val="表格"/>
    <w:basedOn w:val="1"/>
    <w:qFormat/>
    <w:uiPriority w:val="0"/>
    <w:pPr>
      <w:tabs>
        <w:tab w:val="left" w:pos="1200"/>
      </w:tabs>
      <w:spacing w:line="500" w:lineRule="exact"/>
      <w:jc w:val="center"/>
    </w:pPr>
    <w:rPr>
      <w:sz w:val="24"/>
      <w:szCs w:val="18"/>
    </w:rPr>
  </w:style>
  <w:style w:type="paragraph" w:customStyle="1" w:styleId="168">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9">
    <w:name w:val="副标题 New New New"/>
    <w:basedOn w:val="170"/>
    <w:next w:val="170"/>
    <w:qFormat/>
    <w:uiPriority w:val="0"/>
    <w:pPr>
      <w:numPr>
        <w:ilvl w:val="0"/>
        <w:numId w:val="3"/>
      </w:numPr>
      <w:jc w:val="left"/>
      <w:outlineLvl w:val="1"/>
    </w:pPr>
    <w:rPr>
      <w:rFonts w:ascii="Century Gothic" w:hAnsi="Century Gothic"/>
      <w:bCs/>
      <w:kern w:val="28"/>
      <w:szCs w:val="32"/>
    </w:rPr>
  </w:style>
  <w:style w:type="paragraph" w:customStyle="1" w:styleId="170">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172">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3">
    <w:name w:val="TOC 标题1"/>
    <w:basedOn w:val="2"/>
    <w:next w:val="1"/>
    <w:unhideWhenUsed/>
    <w:qFormat/>
    <w:uiPriority w:val="39"/>
    <w:pPr>
      <w:widowControl/>
      <w:numPr>
        <w:numId w:val="0"/>
      </w:numPr>
      <w:tabs>
        <w:tab w:val="clear" w:pos="360"/>
      </w:tabs>
      <w:adjustRightInd/>
      <w:spacing w:before="240" w:line="259" w:lineRule="auto"/>
      <w:jc w:val="left"/>
      <w:textAlignment w:val="auto"/>
      <w:outlineLvl w:val="9"/>
    </w:pPr>
    <w:rPr>
      <w:rFonts w:ascii="Cambria" w:hAnsi="Cambria" w:eastAsia="宋体"/>
      <w:b w:val="0"/>
      <w:color w:val="366091"/>
      <w:kern w:val="0"/>
      <w:sz w:val="32"/>
      <w:szCs w:val="32"/>
    </w:rPr>
  </w:style>
  <w:style w:type="paragraph" w:customStyle="1" w:styleId="174">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175">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7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7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7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79">
    <w:name w:val="AbsatzTableFormat"/>
    <w:basedOn w:val="1"/>
    <w:qFormat/>
    <w:uiPriority w:val="0"/>
    <w:pPr>
      <w:widowControl/>
      <w:jc w:val="left"/>
    </w:pPr>
    <w:rPr>
      <w:rFonts w:ascii="Times New Roman" w:hAnsi="Times New Roman"/>
      <w:bCs/>
      <w:kern w:val="0"/>
      <w:sz w:val="22"/>
      <w:szCs w:val="20"/>
      <w:lang w:val="pt-BR" w:eastAsia="en-US"/>
    </w:rPr>
  </w:style>
  <w:style w:type="paragraph" w:customStyle="1" w:styleId="180">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81">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82">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3">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84">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5">
    <w:name w:val="文档正文"/>
    <w:basedOn w:val="1"/>
    <w:qFormat/>
    <w:uiPriority w:val="0"/>
    <w:pPr>
      <w:adjustRightInd w:val="0"/>
      <w:snapToGrid w:val="0"/>
      <w:spacing w:line="360" w:lineRule="auto"/>
      <w:ind w:left="13" w:leftChars="-45" w:hanging="107" w:hangingChars="51"/>
    </w:pPr>
    <w:rPr>
      <w:color w:val="FF0000"/>
      <w:kern w:val="0"/>
      <w:szCs w:val="20"/>
    </w:rPr>
  </w:style>
  <w:style w:type="paragraph" w:customStyle="1" w:styleId="186">
    <w:name w:val="修订1"/>
    <w:semiHidden/>
    <w:qFormat/>
    <w:uiPriority w:val="99"/>
    <w:rPr>
      <w:rFonts w:ascii="宋体" w:hAnsi="宋体" w:eastAsia="宋体" w:cs="Times New Roman"/>
      <w:kern w:val="2"/>
      <w:sz w:val="21"/>
      <w:szCs w:val="24"/>
      <w:lang w:val="en-US" w:eastAsia="zh-CN" w:bidi="ar-SA"/>
    </w:rPr>
  </w:style>
  <w:style w:type="paragraph" w:customStyle="1" w:styleId="18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8">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89">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90">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1">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2">
    <w:name w:val="无间隔11"/>
    <w:basedOn w:val="1"/>
    <w:qFormat/>
    <w:uiPriority w:val="0"/>
    <w:pPr>
      <w:widowControl/>
      <w:jc w:val="left"/>
    </w:pPr>
    <w:rPr>
      <w:kern w:val="0"/>
      <w:sz w:val="22"/>
      <w:szCs w:val="20"/>
      <w:lang w:eastAsia="en-US" w:bidi="en-US"/>
    </w:rPr>
  </w:style>
  <w:style w:type="paragraph" w:customStyle="1" w:styleId="193">
    <w:name w:val="副标题 New"/>
    <w:basedOn w:val="1"/>
    <w:next w:val="1"/>
    <w:qFormat/>
    <w:uiPriority w:val="0"/>
    <w:pPr>
      <w:numPr>
        <w:ilvl w:val="0"/>
        <w:numId w:val="4"/>
      </w:numPr>
      <w:jc w:val="left"/>
      <w:outlineLvl w:val="1"/>
    </w:pPr>
    <w:rPr>
      <w:rFonts w:ascii="Century Gothic" w:hAnsi="Century Gothic" w:cs="Century Gothic"/>
      <w:kern w:val="28"/>
      <w:szCs w:val="21"/>
    </w:rPr>
  </w:style>
  <w:style w:type="paragraph" w:customStyle="1" w:styleId="194">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5">
    <w:name w:val="Char1"/>
    <w:basedOn w:val="1"/>
    <w:qFormat/>
    <w:uiPriority w:val="0"/>
    <w:rPr>
      <w:szCs w:val="20"/>
    </w:rPr>
  </w:style>
  <w:style w:type="paragraph" w:customStyle="1" w:styleId="196">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97">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98">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199">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00">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01">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02">
    <w:name w:val="Char Char Char"/>
    <w:basedOn w:val="1"/>
    <w:qFormat/>
    <w:uiPriority w:val="0"/>
    <w:pPr>
      <w:ind w:firstLine="200" w:firstLineChars="200"/>
    </w:pPr>
    <w:rPr>
      <w:sz w:val="24"/>
    </w:rPr>
  </w:style>
  <w:style w:type="paragraph" w:customStyle="1" w:styleId="20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04">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205">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206">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207">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08">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09">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210">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11">
    <w:name w:val="抬头"/>
    <w:basedOn w:val="1"/>
    <w:qFormat/>
    <w:uiPriority w:val="0"/>
    <w:pPr>
      <w:spacing w:beforeLines="50" w:line="360" w:lineRule="auto"/>
    </w:pPr>
    <w:rPr>
      <w:sz w:val="24"/>
    </w:rPr>
  </w:style>
  <w:style w:type="paragraph" w:customStyle="1" w:styleId="212">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3">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214">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15">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6">
    <w:name w:val="Table Paragraph"/>
    <w:basedOn w:val="1"/>
    <w:qFormat/>
    <w:uiPriority w:val="1"/>
    <w:pPr>
      <w:widowControl/>
      <w:spacing w:before="40"/>
      <w:ind w:left="327"/>
      <w:jc w:val="left"/>
    </w:pPr>
    <w:rPr>
      <w:rFonts w:cs="宋体"/>
      <w:kern w:val="0"/>
      <w:sz w:val="24"/>
      <w:szCs w:val="20"/>
      <w:lang w:val="zh-CN" w:bidi="zh-CN"/>
    </w:rPr>
  </w:style>
  <w:style w:type="paragraph" w:customStyle="1" w:styleId="21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18">
    <w:name w:val="Char2 Char Char Char Char Char Char"/>
    <w:basedOn w:val="9"/>
    <w:qFormat/>
    <w:uiPriority w:val="0"/>
    <w:rPr>
      <w:rFonts w:ascii="Tahoma" w:hAnsi="Tahoma"/>
      <w:sz w:val="24"/>
    </w:rPr>
  </w:style>
  <w:style w:type="paragraph" w:customStyle="1" w:styleId="219">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0">
    <w:name w:val="注"/>
    <w:basedOn w:val="1"/>
    <w:qFormat/>
    <w:uiPriority w:val="0"/>
    <w:pPr>
      <w:spacing w:line="360" w:lineRule="auto"/>
      <w:ind w:left="200" w:hanging="200" w:hangingChars="200"/>
    </w:pPr>
    <w:rPr>
      <w:b/>
    </w:rPr>
  </w:style>
  <w:style w:type="paragraph" w:customStyle="1" w:styleId="22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22">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223">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224">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5">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226">
    <w:name w:val="纯文本 New New"/>
    <w:basedOn w:val="224"/>
    <w:qFormat/>
    <w:uiPriority w:val="0"/>
    <w:pPr>
      <w:widowControl/>
      <w:spacing w:before="100" w:beforeAutospacing="1" w:after="100" w:afterAutospacing="1"/>
      <w:jc w:val="left"/>
    </w:pPr>
    <w:rPr>
      <w:rFonts w:cs="宋体"/>
      <w:sz w:val="24"/>
      <w:szCs w:val="24"/>
    </w:rPr>
  </w:style>
  <w:style w:type="paragraph" w:customStyle="1" w:styleId="227">
    <w:name w:val="xl23"/>
    <w:next w:val="31"/>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228">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9">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30">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231">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3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33">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3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35">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36">
    <w:name w:val="p0"/>
    <w:basedOn w:val="1"/>
    <w:qFormat/>
    <w:uiPriority w:val="0"/>
    <w:pPr>
      <w:widowControl/>
    </w:pPr>
    <w:rPr>
      <w:kern w:val="0"/>
      <w:szCs w:val="21"/>
    </w:rPr>
  </w:style>
  <w:style w:type="paragraph" w:customStyle="1" w:styleId="23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38">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23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0">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241">
    <w:name w:val="列出段落11"/>
    <w:basedOn w:val="1"/>
    <w:qFormat/>
    <w:uiPriority w:val="0"/>
    <w:pPr>
      <w:ind w:firstLine="420" w:firstLineChars="200"/>
    </w:pPr>
    <w:rPr>
      <w:szCs w:val="21"/>
    </w:rPr>
  </w:style>
  <w:style w:type="paragraph" w:customStyle="1" w:styleId="242">
    <w:name w:val="清單段落"/>
    <w:basedOn w:val="1"/>
    <w:qFormat/>
    <w:uiPriority w:val="99"/>
    <w:pPr>
      <w:ind w:left="480" w:leftChars="200"/>
    </w:pPr>
  </w:style>
  <w:style w:type="paragraph" w:customStyle="1" w:styleId="243">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4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245">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46">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247">
    <w:name w:val="清單段落1"/>
    <w:basedOn w:val="1"/>
    <w:qFormat/>
    <w:uiPriority w:val="34"/>
    <w:pPr>
      <w:ind w:left="720"/>
      <w:contextualSpacing/>
    </w:pPr>
  </w:style>
  <w:style w:type="paragraph" w:customStyle="1" w:styleId="24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49">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250">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51">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252">
    <w:name w:val="纯文本 New"/>
    <w:basedOn w:val="135"/>
    <w:qFormat/>
    <w:uiPriority w:val="0"/>
    <w:pPr>
      <w:widowControl/>
      <w:spacing w:before="100" w:beforeAutospacing="1" w:after="100" w:afterAutospacing="1"/>
      <w:jc w:val="left"/>
    </w:pPr>
    <w:rPr>
      <w:rFonts w:cs="宋体"/>
      <w:sz w:val="24"/>
      <w:szCs w:val="24"/>
    </w:rPr>
  </w:style>
  <w:style w:type="paragraph" w:customStyle="1" w:styleId="253">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25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255">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256">
    <w:name w:val="Absatz2AL"/>
    <w:basedOn w:val="12"/>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57">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5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9">
    <w:name w:val="Char1 Char Char"/>
    <w:basedOn w:val="1"/>
    <w:qFormat/>
    <w:uiPriority w:val="0"/>
    <w:pPr>
      <w:adjustRightInd w:val="0"/>
      <w:spacing w:line="360" w:lineRule="auto"/>
    </w:pPr>
    <w:rPr>
      <w:rFonts w:ascii="Times New Roman" w:hAnsi="Times New Roman"/>
      <w:kern w:val="0"/>
      <w:sz w:val="24"/>
      <w:szCs w:val="20"/>
    </w:rPr>
  </w:style>
  <w:style w:type="paragraph" w:customStyle="1" w:styleId="260">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61">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26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63">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64">
    <w:name w:val="xl145"/>
    <w:basedOn w:val="1"/>
    <w:qFormat/>
    <w:uiPriority w:val="0"/>
    <w:pPr>
      <w:widowControl/>
      <w:spacing w:before="100" w:beforeAutospacing="1" w:after="100" w:afterAutospacing="1"/>
      <w:jc w:val="left"/>
    </w:pPr>
    <w:rPr>
      <w:rFonts w:cs="宋体"/>
      <w:kern w:val="0"/>
      <w:sz w:val="24"/>
    </w:rPr>
  </w:style>
  <w:style w:type="paragraph" w:customStyle="1" w:styleId="265">
    <w:name w:val="纯文本 New New New"/>
    <w:basedOn w:val="199"/>
    <w:qFormat/>
    <w:uiPriority w:val="0"/>
  </w:style>
  <w:style w:type="paragraph" w:customStyle="1" w:styleId="26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67">
    <w:name w:val="5"/>
    <w:basedOn w:val="1"/>
    <w:qFormat/>
    <w:uiPriority w:val="0"/>
    <w:pPr>
      <w:tabs>
        <w:tab w:val="right" w:pos="-2120"/>
      </w:tabs>
      <w:snapToGrid w:val="0"/>
    </w:pPr>
    <w:rPr>
      <w:rFonts w:ascii="Tahoma" w:hAnsi="Tahoma"/>
      <w:spacing w:val="6"/>
      <w:sz w:val="24"/>
      <w:szCs w:val="20"/>
    </w:rPr>
  </w:style>
  <w:style w:type="paragraph" w:customStyle="1" w:styleId="26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69">
    <w:name w:val="彩色列表 - 强调文字颜色 11"/>
    <w:basedOn w:val="1"/>
    <w:qFormat/>
    <w:uiPriority w:val="34"/>
    <w:pPr>
      <w:ind w:firstLine="420" w:firstLineChars="200"/>
    </w:pPr>
    <w:rPr>
      <w:rFonts w:ascii="Cambria" w:hAnsi="Cambria"/>
      <w:sz w:val="24"/>
    </w:rPr>
  </w:style>
  <w:style w:type="paragraph" w:customStyle="1" w:styleId="27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71">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272">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27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274">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275">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76">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77">
    <w:name w:val="列出段落2"/>
    <w:basedOn w:val="1"/>
    <w:qFormat/>
    <w:uiPriority w:val="0"/>
    <w:pPr>
      <w:ind w:firstLine="420" w:firstLineChars="200"/>
    </w:pPr>
    <w:rPr>
      <w:rFonts w:ascii="Calibri" w:hAnsi="Calibri"/>
      <w:szCs w:val="22"/>
    </w:rPr>
  </w:style>
  <w:style w:type="paragraph" w:customStyle="1" w:styleId="278">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79">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81">
    <w:name w:val="列表段落1"/>
    <w:basedOn w:val="1"/>
    <w:qFormat/>
    <w:uiPriority w:val="34"/>
    <w:pPr>
      <w:ind w:firstLine="420" w:firstLineChars="200"/>
    </w:pPr>
  </w:style>
  <w:style w:type="paragraph" w:customStyle="1" w:styleId="28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83">
    <w:name w:val="列表段落2"/>
    <w:basedOn w:val="1"/>
    <w:qFormat/>
    <w:uiPriority w:val="0"/>
    <w:pPr>
      <w:ind w:firstLine="420" w:firstLineChars="200"/>
    </w:pPr>
    <w:rPr>
      <w:rFonts w:ascii="Calibri" w:hAnsi="Calibri"/>
      <w:szCs w:val="22"/>
    </w:rPr>
  </w:style>
  <w:style w:type="paragraph" w:customStyle="1" w:styleId="28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85">
    <w:name w:val="Char2"/>
    <w:basedOn w:val="1"/>
    <w:qFormat/>
    <w:uiPriority w:val="0"/>
    <w:pPr>
      <w:widowControl/>
      <w:spacing w:after="160" w:line="240" w:lineRule="exact"/>
      <w:jc w:val="left"/>
    </w:pPr>
    <w:rPr>
      <w:szCs w:val="20"/>
    </w:rPr>
  </w:style>
  <w:style w:type="paragraph" w:customStyle="1" w:styleId="286">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7">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288">
    <w:name w:val="xl146"/>
    <w:basedOn w:val="1"/>
    <w:qFormat/>
    <w:uiPriority w:val="0"/>
    <w:pPr>
      <w:widowControl/>
      <w:spacing w:before="100" w:beforeAutospacing="1" w:after="100" w:afterAutospacing="1"/>
      <w:jc w:val="center"/>
    </w:pPr>
    <w:rPr>
      <w:rFonts w:cs="宋体"/>
      <w:kern w:val="0"/>
      <w:sz w:val="24"/>
    </w:rPr>
  </w:style>
  <w:style w:type="paragraph" w:customStyle="1" w:styleId="28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90">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91">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292">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2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94">
    <w:name w:val="样式2"/>
    <w:basedOn w:val="3"/>
    <w:qFormat/>
    <w:uiPriority w:val="0"/>
    <w:pPr>
      <w:tabs>
        <w:tab w:val="left" w:pos="360"/>
      </w:tabs>
      <w:spacing w:line="440" w:lineRule="exact"/>
      <w:jc w:val="center"/>
    </w:pPr>
    <w:rPr>
      <w:b w:val="0"/>
      <w:sz w:val="32"/>
    </w:rPr>
  </w:style>
  <w:style w:type="paragraph" w:customStyle="1" w:styleId="29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9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97">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98">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29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300">
    <w:name w:val="default"/>
    <w:basedOn w:val="1"/>
    <w:qFormat/>
    <w:uiPriority w:val="0"/>
    <w:pPr>
      <w:widowControl/>
      <w:spacing w:before="100" w:beforeAutospacing="1" w:after="100" w:afterAutospacing="1"/>
      <w:jc w:val="left"/>
    </w:pPr>
    <w:rPr>
      <w:rFonts w:cs="宋体"/>
      <w:kern w:val="0"/>
      <w:sz w:val="24"/>
    </w:rPr>
  </w:style>
  <w:style w:type="paragraph" w:customStyle="1" w:styleId="301">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30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03">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305">
    <w:name w:val="Char Char1 Char Char"/>
    <w:basedOn w:val="1"/>
    <w:qFormat/>
    <w:uiPriority w:val="0"/>
    <w:pPr>
      <w:tabs>
        <w:tab w:val="left" w:pos="360"/>
      </w:tabs>
    </w:pPr>
    <w:rPr>
      <w:szCs w:val="20"/>
    </w:rPr>
  </w:style>
  <w:style w:type="paragraph" w:customStyle="1" w:styleId="3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307">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08">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309">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310">
    <w:name w:val="Char13"/>
    <w:basedOn w:val="1"/>
    <w:qFormat/>
    <w:uiPriority w:val="0"/>
  </w:style>
  <w:style w:type="paragraph" w:customStyle="1" w:styleId="311">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31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313">
    <w:name w:val="Char Char Char1"/>
    <w:basedOn w:val="1"/>
    <w:qFormat/>
    <w:uiPriority w:val="0"/>
    <w:pPr>
      <w:ind w:firstLine="200" w:firstLineChars="200"/>
    </w:pPr>
    <w:rPr>
      <w:sz w:val="24"/>
    </w:rPr>
  </w:style>
  <w:style w:type="paragraph" w:customStyle="1" w:styleId="314">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31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1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character" w:customStyle="1" w:styleId="317">
    <w:name w:val="_Style 316"/>
    <w:qFormat/>
    <w:uiPriority w:val="31"/>
    <w:rPr>
      <w:smallCaps/>
      <w:color w:val="5A5A5A"/>
    </w:rPr>
  </w:style>
  <w:style w:type="paragraph" w:customStyle="1" w:styleId="318">
    <w:name w:val="_Style 317"/>
    <w:basedOn w:val="2"/>
    <w:next w:val="1"/>
    <w:qFormat/>
    <w:uiPriority w:val="39"/>
    <w:pPr>
      <w:widowControl/>
      <w:numPr>
        <w:numId w:val="0"/>
      </w:numPr>
      <w:tabs>
        <w:tab w:val="clear" w:pos="360"/>
      </w:tabs>
      <w:adjustRightInd/>
      <w:spacing w:before="240" w:line="259" w:lineRule="auto"/>
      <w:jc w:val="left"/>
      <w:textAlignment w:val="auto"/>
      <w:outlineLvl w:val="9"/>
    </w:pPr>
    <w:rPr>
      <w:rFonts w:ascii="Cambria" w:hAnsi="Cambria" w:eastAsia="宋体"/>
      <w:b w:val="0"/>
      <w:color w:val="365F91"/>
      <w:kern w:val="0"/>
      <w:sz w:val="32"/>
      <w:szCs w:val="32"/>
    </w:rPr>
  </w:style>
  <w:style w:type="paragraph" w:customStyle="1" w:styleId="319">
    <w:name w:val="p1"/>
    <w:basedOn w:val="1"/>
    <w:qFormat/>
    <w:uiPriority w:val="0"/>
    <w:pPr>
      <w:widowControl/>
      <w:spacing w:line="480" w:lineRule="auto"/>
      <w:jc w:val="center"/>
    </w:pPr>
    <w:rPr>
      <w:rFonts w:cs="宋体"/>
      <w:kern w:val="0"/>
      <w:sz w:val="28"/>
      <w:szCs w:val="28"/>
    </w:rPr>
  </w:style>
  <w:style w:type="paragraph" w:customStyle="1" w:styleId="320">
    <w:name w:val="p2"/>
    <w:basedOn w:val="1"/>
    <w:qFormat/>
    <w:uiPriority w:val="0"/>
    <w:pPr>
      <w:widowControl/>
      <w:spacing w:line="480" w:lineRule="auto"/>
      <w:ind w:firstLine="420"/>
      <w:jc w:val="left"/>
    </w:pPr>
    <w:rPr>
      <w:rFonts w:cs="宋体"/>
      <w:kern w:val="0"/>
      <w:szCs w:val="21"/>
    </w:rPr>
  </w:style>
  <w:style w:type="paragraph" w:customStyle="1" w:styleId="321">
    <w:name w:val="Bullet_Title"/>
    <w:basedOn w:val="1"/>
    <w:qFormat/>
    <w:uiPriority w:val="0"/>
    <w:pPr>
      <w:tabs>
        <w:tab w:val="left" w:pos="814"/>
      </w:tabs>
      <w:spacing w:after="78" w:line="300" w:lineRule="auto"/>
      <w:ind w:left="794" w:hanging="340"/>
    </w:pPr>
    <w:rPr>
      <w:rFonts w:ascii="Arial Narrow" w:hAnsi="Arial Narrow"/>
      <w:sz w:val="24"/>
      <w:szCs w:val="20"/>
    </w:rPr>
  </w:style>
  <w:style w:type="character" w:customStyle="1" w:styleId="322">
    <w:name w:val="_Style 321"/>
    <w:unhideWhenUsed/>
    <w:qFormat/>
    <w:uiPriority w:val="99"/>
    <w:rPr>
      <w:color w:val="605E5C"/>
      <w:shd w:val="clear" w:color="auto" w:fill="E1DFDD"/>
    </w:rPr>
  </w:style>
  <w:style w:type="paragraph" w:customStyle="1" w:styleId="323">
    <w:name w:val="_Style 322"/>
    <w:unhideWhenUsed/>
    <w:qFormat/>
    <w:uiPriority w:val="99"/>
    <w:rPr>
      <w:rFonts w:ascii="宋体" w:hAnsi="宋体" w:eastAsia="宋体" w:cs="Times New Roman"/>
      <w:kern w:val="2"/>
      <w:sz w:val="21"/>
      <w:szCs w:val="24"/>
      <w:lang w:val="en-US" w:eastAsia="zh-CN" w:bidi="ar-SA"/>
    </w:rPr>
  </w:style>
  <w:style w:type="paragraph" w:customStyle="1" w:styleId="324">
    <w:name w:val="正文_1"/>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云南招标股份有限公司</Company>
  <Pages>92</Pages>
  <Words>9068</Words>
  <Characters>10086</Characters>
  <Lines>912</Lines>
  <Paragraphs>482</Paragraphs>
  <TotalTime>12</TotalTime>
  <ScaleCrop>false</ScaleCrop>
  <LinksUpToDate>false</LinksUpToDate>
  <CharactersWithSpaces>10296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2025-07-16T07:57:00Z</dcterms:created>
  <dc:creator>云南招标股份有限公司</dc:creator>
  <cp:lastModifiedBy>eline</cp:lastModifiedBy>
  <cp:lastPrinted>2024-09-15T17:56:00Z</cp:lastPrinted>
  <dcterms:modified xsi:type="dcterms:W3CDTF">2025-08-31T03:34:51Z</dcterms:modified>
  <dc:title>政府采购招标文件</dc:title>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B06F0665E6B84659A268CB1F10988F45_13</vt:lpwstr>
  </property>
  <property fmtid="{D5CDD505-2E9C-101B-9397-08002B2CF9AE}" pid="4" name="KSOTemplateDocerSaveRecord">
    <vt:lpwstr>eyJoZGlkIjoiNDc3NmIxZWU5ZDgzMzlkOWNhN2M4MDgzZWUwYmExMjkiLCJ1c2VySWQiOiIxMjI1Njg5ODM2In0=</vt:lpwstr>
  </property>
</Properties>
</file>