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52E416">
      <w:pPr>
        <w:jc w:val="center"/>
        <w:outlineLvl w:val="1"/>
        <w:rPr>
          <w:rFonts w:hint="eastAsia" w:ascii="Calibri" w:hAnsi="Calibri" w:eastAsia="宋体" w:cs="Times New Roman"/>
          <w:lang w:val="en-US" w:eastAsia="zh-Hans"/>
        </w:rPr>
      </w:pPr>
      <w:bookmarkStart w:id="0" w:name="_GoBack"/>
      <w:bookmarkEnd w:id="0"/>
      <w:r>
        <w:rPr>
          <w:rFonts w:hint="eastAsia" w:ascii="仿宋_GB2312" w:hAnsi="仿宋_GB2312" w:eastAsia="仿宋_GB2312" w:cs="仿宋_GB2312"/>
          <w:b/>
          <w:sz w:val="36"/>
          <w:lang w:val="en-US" w:eastAsia="zh-Hans"/>
        </w:rPr>
        <w:t>技术、服务及其他要求</w:t>
      </w:r>
    </w:p>
    <w:p w14:paraId="64EAC7D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1FAF46BA">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396642E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1DB162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1,352,250.00</w:t>
      </w:r>
    </w:p>
    <w:p w14:paraId="084A2E5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1,352,250.00</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52C8D7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2E40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15B1CD7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334A348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1E8A85C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5E51710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41B6BB4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383FAEE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072E850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03AC756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0CC7A07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001B0AA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50ED7C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2B08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24BEBD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C17010300 其他增值电信服务</w:t>
            </w:r>
          </w:p>
        </w:tc>
        <w:tc>
          <w:tcPr>
            <w:tcW w:w="821" w:type="dxa"/>
          </w:tcPr>
          <w:p w14:paraId="56E9AD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视频监控专网接入及存储服务</w:t>
            </w:r>
          </w:p>
        </w:tc>
        <w:tc>
          <w:tcPr>
            <w:tcW w:w="821" w:type="dxa"/>
          </w:tcPr>
          <w:p w14:paraId="3295285A">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3814DA9F">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1,352,250.00</w:t>
            </w:r>
          </w:p>
        </w:tc>
        <w:tc>
          <w:tcPr>
            <w:tcW w:w="821" w:type="dxa"/>
          </w:tcPr>
          <w:p w14:paraId="003637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软件和信息技术服务业</w:t>
            </w:r>
          </w:p>
        </w:tc>
        <w:tc>
          <w:tcPr>
            <w:tcW w:w="821" w:type="dxa"/>
          </w:tcPr>
          <w:p w14:paraId="3708D8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5A93B1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1AC5D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18BA9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A69B0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0217F00B">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023235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41BBAF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129F7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59" w:type="dxa"/>
          </w:tcPr>
          <w:p w14:paraId="21C53A4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977" w:type="dxa"/>
          </w:tcPr>
          <w:p w14:paraId="3E6DDE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计量单位</w:t>
            </w:r>
          </w:p>
        </w:tc>
        <w:tc>
          <w:tcPr>
            <w:tcW w:w="977" w:type="dxa"/>
          </w:tcPr>
          <w:p w14:paraId="7126D9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报价单位</w:t>
            </w:r>
          </w:p>
        </w:tc>
        <w:tc>
          <w:tcPr>
            <w:tcW w:w="1466" w:type="dxa"/>
          </w:tcPr>
          <w:p w14:paraId="7A32F3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977" w:type="dxa"/>
          </w:tcPr>
          <w:p w14:paraId="477ED0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466" w:type="dxa"/>
          </w:tcPr>
          <w:p w14:paraId="1999A7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1EBE8F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54E0183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59" w:type="dxa"/>
          </w:tcPr>
          <w:p w14:paraId="3D29A85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视频监控专网接入及存储服务</w:t>
            </w:r>
          </w:p>
        </w:tc>
        <w:tc>
          <w:tcPr>
            <w:tcW w:w="977" w:type="dxa"/>
          </w:tcPr>
          <w:p w14:paraId="79914AD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个</w:t>
            </w:r>
          </w:p>
        </w:tc>
        <w:tc>
          <w:tcPr>
            <w:tcW w:w="977" w:type="dxa"/>
          </w:tcPr>
          <w:p w14:paraId="63CB99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元</w:t>
            </w:r>
          </w:p>
        </w:tc>
        <w:tc>
          <w:tcPr>
            <w:tcW w:w="1466" w:type="dxa"/>
          </w:tcPr>
          <w:p w14:paraId="7A20511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w:t>
            </w:r>
          </w:p>
        </w:tc>
        <w:tc>
          <w:tcPr>
            <w:tcW w:w="977" w:type="dxa"/>
          </w:tcPr>
          <w:p w14:paraId="468E4C4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单价</w:t>
            </w:r>
          </w:p>
        </w:tc>
        <w:tc>
          <w:tcPr>
            <w:tcW w:w="1466" w:type="dxa"/>
          </w:tcPr>
          <w:p w14:paraId="2A35D0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1.每个摄像头每月服务费不超过30元。 2.本项目按单价报价，履约过程中在预算范围内据实结算。 3.此处最高限价为单价最高限价。</w:t>
            </w:r>
          </w:p>
        </w:tc>
      </w:tr>
    </w:tbl>
    <w:p w14:paraId="3E0859B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★注：采购包涉及采购货物的，投标人响应产品应当明确品牌和规格型号并指向唯一产品，不能指向唯一产品的，应通过报价表唯一产品说明栏补充说明。</w:t>
      </w:r>
    </w:p>
    <w:p w14:paraId="16DE2491">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本项目涉及核心产品：</w:t>
      </w:r>
    </w:p>
    <w:p w14:paraId="2962598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CDBF4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145A9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037EB75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CA660B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75DF6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AEE30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395C9A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5B40AD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69A17FC5">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39D7DE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8B71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CFD7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B0A18F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863C1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4D5B603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DACDD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B22E8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96C03CD">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71A6F58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047902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D871C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CE26C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0A0DF2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A4E5AB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62E21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3C72E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426C0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A725C89">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1F0FD0D">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6B1507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6F5B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E8638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F385EB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09CC2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DA72B9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1BCF5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75E9AF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6DD39FD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BC072B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34C592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3C945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97B0F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122CA2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052ACC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08ED3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0776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1D4B3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332C882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9959F99">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794807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519D7E9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标的名称：视频监控专网接入及存储服务</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975B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0491D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0B7E87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26979E4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28D2DC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DB85E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2A96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2169FC9">
            <w:pPr>
              <w:rPr>
                <w:rFonts w:ascii="Calibri" w:hAnsi="Calibri" w:eastAsia="宋体" w:cs="Times New Roman"/>
              </w:rPr>
            </w:pPr>
          </w:p>
        </w:tc>
        <w:tc>
          <w:tcPr>
            <w:tcW w:w="1495" w:type="dxa"/>
          </w:tcPr>
          <w:p w14:paraId="5F9DDE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技术服务要求</w:t>
            </w:r>
          </w:p>
        </w:tc>
        <w:tc>
          <w:tcPr>
            <w:tcW w:w="5814" w:type="dxa"/>
          </w:tcPr>
          <w:p w14:paraId="0B40C544">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（一）服务内容及要求：</w:t>
            </w:r>
          </w:p>
          <w:p w14:paraId="47E61165">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w:t>
            </w:r>
            <w:r>
              <w:rPr>
                <w:rFonts w:hint="eastAsia" w:ascii="仿宋_GB2312" w:hAnsi="仿宋_GB2312" w:eastAsia="仿宋_GB2312" w:cs="仿宋_GB2312"/>
                <w:b/>
                <w:sz w:val="24"/>
                <w:lang w:val="en-US" w:eastAsia="zh-Hans"/>
              </w:rPr>
              <w:t>1、基本要求：</w:t>
            </w:r>
          </w:p>
          <w:p w14:paraId="63F2D429">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（1）为全市73所中小学幼儿园提供联网视频监控接入运维及存储服务，共计3005路。为各点位提供不少于10天前端本地存储及不少于3个月云端存储能力。</w:t>
            </w:r>
          </w:p>
          <w:p w14:paraId="5A0ED830">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视频监控网络管理平台及存储服务支持与成都市学校应急安全管理平台实现对接，支持对接采购人指定的区县级接入平台，需满足成教安〔2021〕13号《成都市教育局关于进一步推进学校监控视频数据接入市学校安防视频汇聚信息平台的通知》文件相关技术要求。</w:t>
            </w:r>
          </w:p>
          <w:p w14:paraId="1F25DFB9">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（3）为73所学校分别提供一条视频监控网络管理平台接入专线，保证每个前端点位平均带宽不低于5M且每所学校总带宽不低于500M。该专线只能为视频监控网络管理平台专用。</w:t>
            </w:r>
          </w:p>
          <w:p w14:paraId="6920378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（4）本地存储及云端存储视频分辨率不低于1080P。</w:t>
            </w:r>
          </w:p>
          <w:p w14:paraId="7011F91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2、现有设备清单</w:t>
            </w:r>
          </w:p>
          <w:tbl>
            <w:tblPr>
              <w:tblStyle w:val="7"/>
              <w:tblW w:w="0" w:type="auto"/>
              <w:tblInd w:w="9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19"/>
              <w:gridCol w:w="778"/>
              <w:gridCol w:w="733"/>
              <w:gridCol w:w="1910"/>
              <w:gridCol w:w="739"/>
              <w:gridCol w:w="822"/>
            </w:tblGrid>
            <w:tr w14:paraId="5B6778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07912339">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序号</w:t>
                  </w:r>
                </w:p>
              </w:tc>
              <w:tc>
                <w:tcPr>
                  <w:tcW w:w="99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026AE0E">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产品名称</w:t>
                  </w:r>
                </w:p>
              </w:tc>
              <w:tc>
                <w:tcPr>
                  <w:tcW w:w="99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74EB179E">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品牌</w:t>
                  </w:r>
                </w:p>
              </w:tc>
              <w:tc>
                <w:tcPr>
                  <w:tcW w:w="99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18D7CA8E">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型号</w:t>
                  </w:r>
                </w:p>
              </w:tc>
              <w:tc>
                <w:tcPr>
                  <w:tcW w:w="844"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574E2294">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数量</w:t>
                  </w:r>
                </w:p>
              </w:tc>
              <w:tc>
                <w:tcPr>
                  <w:tcW w:w="115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F517DF4">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单位</w:t>
                  </w:r>
                </w:p>
              </w:tc>
            </w:tr>
            <w:tr w14:paraId="5B8425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9B8A31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764764B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枪式摄像机</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75C7447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中国移动</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27C2911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CMCC-IPC-A417</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6AC8EDB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2972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7C275A7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17C477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F47A80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2A2783A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球式摄像机</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4851431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海康威视</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5D76466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iDS-2SE7C144IW-DB</w:t>
                  </w:r>
                  <w:r>
                    <w:rPr>
                      <w:rFonts w:hint="eastAsia" w:ascii="仿宋_GB2312" w:hAnsi="仿宋_GB2312" w:eastAsia="仿宋_GB2312" w:cs="仿宋_GB2312"/>
                      <w:sz w:val="21"/>
                      <w:lang w:val="en-US" w:eastAsia="zh-Hans"/>
                    </w:rPr>
                    <w:t xml:space="preserve"> 23X/F1 S5</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46DEC4C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0E34595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43034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EC1808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3280F3A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网络硬盘录像机1</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716A4D1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海康威视</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3A5CD72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DS-8664N-I16</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304F5E8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61416FC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4DCA1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EB26FC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44F83C8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网络硬盘录像机2</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DCAED8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海康威视</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7471BA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DS-8632NX-K8</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28E64AE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7058E12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6A3F47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8EE92D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4CB970A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网络硬盘录像机3</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68B97B9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海康威视</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27EE341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DS-7716NX-K4</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3522780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25</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062594A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14B836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DE40A8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27788A8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网络硬盘录像机4</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3048EF9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海康威视</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3AFBC80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DS-7708NX-K4</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39906E9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17786AF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563300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D29A01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0EB2E6D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硬盘</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934E3D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海康威视</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2CC0719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ST6000VX001</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53BE3DC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350</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144B80C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块</w:t>
                  </w:r>
                </w:p>
              </w:tc>
            </w:tr>
            <w:tr w14:paraId="20435B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64C456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4BB5011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千兆光模块</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4133B21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05E4261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SFP-GE-LX-1310</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34768CB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5375234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对</w:t>
                  </w:r>
                </w:p>
              </w:tc>
            </w:tr>
            <w:tr w14:paraId="75DB1E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695EB6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6F39210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汇聚交换机1</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B0B6F9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501083F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IS320-28TXF-AC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2A916C2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773EBCC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3201FC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39EE4F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6A6397F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汇聚交换机2</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0607380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557C498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IS320-52TF-AC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0E4BED4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25A3BA3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654215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D847BA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11</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3F27EE3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汇聚交换机3</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978978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26627E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IS330-28TXF-AC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32EC8CA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17</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6C6AEF0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484576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C36936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12</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A3AD95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汇聚交换机4</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59ABB35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31DA700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IS330-54TXF-AC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7714831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3F315C7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42B5F8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58757A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13</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0926C9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汇聚交换机5</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7DD28E1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64A2B0A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IS430-54TGXF</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783D6FE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3244EF8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28E161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610A7A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3BB2DAE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POE交换机1</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3D65CE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5836E2E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IS160-5TP-AC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3E4A154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71</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6D72B89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5B30BA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DC5D01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15</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420D543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POE交换机2</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0BE8F25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66894DD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IS170-10TP-AC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1059D27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232</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67282E6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395CC3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2EAD8D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78DEF3F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POE交换机3</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606B7FD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F008D9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IS170-26TP-AC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6460F8D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98</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1219F57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438731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95DA39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17</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76CB521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普通交换机1</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2B269B5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AC00B6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IS160-5T-AC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491F2AB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24</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09CA067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2100B6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28088F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18</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FFB5C2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普通交换机2</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7485838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5D9787A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IS160-8TF-AC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284BF17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31</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154A204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r w14:paraId="158CC6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39F3B2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19</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10B00ED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普通交换机3</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0E4B851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迈普</w:t>
                  </w:r>
                </w:p>
              </w:tc>
              <w:tc>
                <w:tcPr>
                  <w:tcW w:w="996" w:type="dxa"/>
                  <w:tcBorders>
                    <w:top w:val="nil"/>
                    <w:left w:val="nil"/>
                    <w:bottom w:val="single" w:color="000000" w:sz="4" w:space="0"/>
                    <w:right w:val="single" w:color="000000" w:sz="4" w:space="0"/>
                  </w:tcBorders>
                  <w:tcMar>
                    <w:top w:w="0" w:type="dxa"/>
                    <w:left w:w="105" w:type="dxa"/>
                    <w:bottom w:w="0" w:type="dxa"/>
                    <w:right w:w="105" w:type="dxa"/>
                  </w:tcMar>
                </w:tcPr>
                <w:p w14:paraId="4614F17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S1700-18TF-AC</w:t>
                  </w:r>
                </w:p>
              </w:tc>
              <w:tc>
                <w:tcPr>
                  <w:tcW w:w="844" w:type="dxa"/>
                  <w:tcBorders>
                    <w:top w:val="nil"/>
                    <w:left w:val="nil"/>
                    <w:bottom w:val="single" w:color="000000" w:sz="4" w:space="0"/>
                    <w:right w:val="single" w:color="000000" w:sz="4" w:space="0"/>
                  </w:tcBorders>
                  <w:tcMar>
                    <w:top w:w="0" w:type="dxa"/>
                    <w:left w:w="105" w:type="dxa"/>
                    <w:bottom w:w="0" w:type="dxa"/>
                    <w:right w:w="105" w:type="dxa"/>
                  </w:tcMar>
                </w:tcPr>
                <w:p w14:paraId="1BDDB53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1156" w:type="dxa"/>
                  <w:tcBorders>
                    <w:top w:val="nil"/>
                    <w:left w:val="nil"/>
                    <w:bottom w:val="single" w:color="000000" w:sz="4" w:space="0"/>
                    <w:right w:val="single" w:color="000000" w:sz="4" w:space="0"/>
                  </w:tcBorders>
                  <w:tcMar>
                    <w:top w:w="0" w:type="dxa"/>
                    <w:left w:w="105" w:type="dxa"/>
                    <w:bottom w:w="0" w:type="dxa"/>
                    <w:right w:w="105" w:type="dxa"/>
                  </w:tcMar>
                </w:tcPr>
                <w:p w14:paraId="506FFC4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台</w:t>
                  </w:r>
                </w:p>
              </w:tc>
            </w:tr>
          </w:tbl>
          <w:p w14:paraId="0A153D0C">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此项不作为评分项</w:t>
            </w:r>
          </w:p>
          <w:p w14:paraId="0BFAE398">
            <w:pPr>
              <w:ind w:firstLine="482"/>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3、服务要求：</w:t>
            </w:r>
          </w:p>
          <w:p w14:paraId="23825546">
            <w:pPr>
              <w:ind w:firstLine="482"/>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（1）★网络性能指标要求满足：电路可用率达到≥99.9%，网络丢包率≤0.01%，网络延时≤100ms（投标人提供承诺函原件，格式自拟）。</w:t>
            </w:r>
          </w:p>
          <w:p w14:paraId="1CF4A5D9">
            <w:pPr>
              <w:ind w:firstLine="482"/>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（2）培训要求：①服务商应向学校管理人员提供对服务内容使用进行培训。包括软件的操作使用、日常维护等培训工作。②项目服务期内，对学校全体人员集中培训至少1次/学期。</w:t>
            </w:r>
          </w:p>
          <w:p w14:paraId="01387DB7">
            <w:pPr>
              <w:ind w:firstLine="482"/>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服务响应时间要求（故障响应）：针对本项目提供专门的故障管理流程。故障恢复与故障解决的最大时限要求如下：四级故障：72小时内远程受理并提供处理方案；三级故障：24小时响应，24小时出发前往现场；二级故障：4小时响应，6小时到达故障现场；一级故障：1小时响应，2小时到达故障现场。故障处理应具备升级流程，确保故障能够得到快速、有效解决（投标人提供承诺函原件，格式自拟）。</w:t>
            </w:r>
          </w:p>
          <w:p w14:paraId="06B97B15">
            <w:pPr>
              <w:ind w:firstLine="482"/>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（4）★服务期间为满足服务要求更换的硬件设备须满足服务要求，技术参数不低于更换的设备。</w:t>
            </w:r>
          </w:p>
          <w:p w14:paraId="7551A43C">
            <w:pPr>
              <w:ind w:firstLine="482"/>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（5）★项目服务期满后，视频监控网络存储需保留3个月的访问服务。</w:t>
            </w:r>
          </w:p>
          <w:p w14:paraId="59877E93">
            <w:pPr>
              <w:ind w:firstLine="482"/>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（6）★项目服务期满后，前端监控采集及本地存储服务和监控数据汇聚服务更换的相关设备归采购人所有。</w:t>
            </w:r>
          </w:p>
          <w:p w14:paraId="7E61A213">
            <w:pPr>
              <w:ind w:firstLine="482"/>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4、视频监控网络管理平台及存储服务要求</w:t>
            </w:r>
          </w:p>
          <w:tbl>
            <w:tblPr>
              <w:tblStyle w:val="7"/>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2"/>
              <w:gridCol w:w="789"/>
              <w:gridCol w:w="3941"/>
              <w:gridCol w:w="411"/>
            </w:tblGrid>
            <w:tr w14:paraId="30C9B8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5A9A34E1">
                  <w:pPr>
                    <w:jc w:val="center"/>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序号</w:t>
                  </w:r>
                </w:p>
              </w:tc>
              <w:tc>
                <w:tcPr>
                  <w:tcW w:w="791"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37A8925C">
                  <w:pPr>
                    <w:jc w:val="center"/>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功能要求</w:t>
                  </w:r>
                </w:p>
              </w:tc>
              <w:tc>
                <w:tcPr>
                  <w:tcW w:w="3957"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DC0EC25">
                  <w:pPr>
                    <w:jc w:val="center"/>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服务要求</w:t>
                  </w:r>
                </w:p>
              </w:tc>
              <w:tc>
                <w:tcPr>
                  <w:tcW w:w="396"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499A1003">
                  <w:pPr>
                    <w:jc w:val="center"/>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备注</w:t>
                  </w:r>
                </w:p>
              </w:tc>
            </w:tr>
            <w:tr w14:paraId="5992A9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AF76654">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791" w:type="dxa"/>
                  <w:tcBorders>
                    <w:top w:val="nil"/>
                    <w:left w:val="nil"/>
                    <w:bottom w:val="single" w:color="000000" w:sz="4" w:space="0"/>
                    <w:right w:val="single" w:color="000000" w:sz="4" w:space="0"/>
                  </w:tcBorders>
                  <w:tcMar>
                    <w:top w:w="0" w:type="dxa"/>
                    <w:left w:w="105" w:type="dxa"/>
                    <w:bottom w:w="0" w:type="dxa"/>
                    <w:right w:w="105" w:type="dxa"/>
                  </w:tcMar>
                </w:tcPr>
                <w:p w14:paraId="0D46E479">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视频监控功能</w:t>
                  </w:r>
                </w:p>
              </w:tc>
              <w:tc>
                <w:tcPr>
                  <w:tcW w:w="3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6B7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1.单/多分屏视频直播：支持单/多分屏直播，右上角选择分屏，进入多分屏直播模式，不少于25分屏直播。</w:t>
                  </w:r>
                </w:p>
                <w:p w14:paraId="0667D1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2.多样化的查看方式：支持事件标记，红色：声音告警，蓝色：动作告警，灰色：无告警、正常播放。支持视频下载。</w:t>
                  </w:r>
                </w:p>
                <w:p w14:paraId="395C83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3.支持90天云存储，支持查看本地NVR存储。</w:t>
                  </w:r>
                </w:p>
                <w:p w14:paraId="106D1D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4.语音对讲/按住说话：直播可操作语音对讲/按住说话（根据设备能力集成）。</w:t>
                  </w:r>
                </w:p>
                <w:p w14:paraId="403D8E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▲5.支持云广播: 通过智能摄像头进行一对多喊话，可实现智能云广播。(提供功能截图并加盖投标人公章)</w:t>
                  </w:r>
                </w:p>
                <w:p w14:paraId="6CCCD2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6.设备关注/播放历史：可将重点关注的设备收藏入关注列表。可在历史页面查看前播放的历史记录。</w:t>
                  </w:r>
                </w:p>
                <w:p w14:paraId="5C8BEC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7.轮巡播放：进入轮巡页面,选择设备分组，定时轮巡播放。</w:t>
                  </w:r>
                </w:p>
                <w:p w14:paraId="75DF3B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8.历史视频便捷查阅：通过划动时间轴（精确到分/秒），可快速定位对应时间点的监控画面，便捷调取历史视频。可回放云存储/本地存储两种录像。</w:t>
                  </w:r>
                </w:p>
                <w:p w14:paraId="69C30C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9.直播可点击切换高标清画面录制。</w:t>
                  </w:r>
                </w:p>
                <w:p w14:paraId="037F782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10.有云台的摄像机，直播可调出云台控制。</w:t>
                  </w:r>
                </w:p>
                <w:p w14:paraId="212C37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11.能对设备云存储进行剪辑、下载。能通过时间轴对云存储进行视频回放。</w:t>
                  </w:r>
                </w:p>
              </w:tc>
              <w:tc>
                <w:tcPr>
                  <w:tcW w:w="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BC0746">
                  <w:pPr>
                    <w:jc w:val="center"/>
                    <w:rPr>
                      <w:rFonts w:hint="eastAsia" w:ascii="Calibri" w:hAnsi="Calibri" w:eastAsia="宋体" w:cs="Times New Roman"/>
                      <w:lang w:val="en-US" w:eastAsia="zh-Hans"/>
                    </w:rPr>
                  </w:pPr>
                </w:p>
              </w:tc>
            </w:tr>
            <w:tr w14:paraId="43E36C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4E0255B">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w:t>
                  </w:r>
                </w:p>
              </w:tc>
              <w:tc>
                <w:tcPr>
                  <w:tcW w:w="791" w:type="dxa"/>
                  <w:tcBorders>
                    <w:top w:val="nil"/>
                    <w:left w:val="nil"/>
                    <w:bottom w:val="single" w:color="000000" w:sz="4" w:space="0"/>
                    <w:right w:val="single" w:color="000000" w:sz="4" w:space="0"/>
                  </w:tcBorders>
                  <w:tcMar>
                    <w:top w:w="0" w:type="dxa"/>
                    <w:left w:w="105" w:type="dxa"/>
                    <w:bottom w:w="0" w:type="dxa"/>
                    <w:right w:w="105" w:type="dxa"/>
                  </w:tcMar>
                </w:tcPr>
                <w:p w14:paraId="2AFA601B">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分层分级管理功能</w:t>
                  </w:r>
                </w:p>
              </w:tc>
              <w:tc>
                <w:tcPr>
                  <w:tcW w:w="3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1C0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▲1.监管账户分级功能：平台按照机构进行区域划分，由超级管理员在超管账户下精细分配和管控各层级的角色权限。至上而下依次构建一套完整的视频监管体系。(提供功能截图，加盖投标人公章)</w:t>
                  </w:r>
                </w:p>
                <w:p w14:paraId="36F39E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2.管理员视频监控功能：各层级管理员可依次查看所在层级范维内的视频监控，但管理员无法修改操作摄像头的配置信息，只作为有视频查看需要时，浏览监控画面。</w:t>
                  </w:r>
                </w:p>
                <w:p w14:paraId="4E5527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3.支持组织树维护功能：管理员可自行维护设备的组织树结构。</w:t>
                  </w:r>
                </w:p>
              </w:tc>
              <w:tc>
                <w:tcPr>
                  <w:tcW w:w="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4492D3">
                  <w:pPr>
                    <w:jc w:val="center"/>
                    <w:rPr>
                      <w:rFonts w:hint="eastAsia" w:ascii="Calibri" w:hAnsi="Calibri" w:eastAsia="宋体" w:cs="Times New Roman"/>
                      <w:lang w:val="en-US" w:eastAsia="zh-Hans"/>
                    </w:rPr>
                  </w:pPr>
                </w:p>
              </w:tc>
            </w:tr>
            <w:tr w14:paraId="39050D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99D3A0F">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w:t>
                  </w:r>
                </w:p>
              </w:tc>
              <w:tc>
                <w:tcPr>
                  <w:tcW w:w="791" w:type="dxa"/>
                  <w:tcBorders>
                    <w:top w:val="nil"/>
                    <w:left w:val="nil"/>
                    <w:bottom w:val="single" w:color="000000" w:sz="4" w:space="0"/>
                    <w:right w:val="single" w:color="000000" w:sz="4" w:space="0"/>
                  </w:tcBorders>
                  <w:tcMar>
                    <w:top w:w="0" w:type="dxa"/>
                    <w:left w:w="105" w:type="dxa"/>
                    <w:bottom w:w="0" w:type="dxa"/>
                    <w:right w:w="105" w:type="dxa"/>
                  </w:tcMar>
                </w:tcPr>
                <w:p w14:paraId="5AD6C0E1">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设备管理功能</w:t>
                  </w:r>
                </w:p>
              </w:tc>
              <w:tc>
                <w:tcPr>
                  <w:tcW w:w="3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D117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1.在设备管理页面可以配置企业下监控设备的单日在线规则。配置规则后，通过在线率报表导出，可查看各监控点的每日在线情况。</w:t>
                  </w:r>
                </w:p>
                <w:p w14:paraId="48AE47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2.设备管理功能：通过左侧导航栏“设备管理”进入设备管理界面。支持监控设备的查询及导出、设备单日在线规则设置、设备在线率报表导出。</w:t>
                  </w:r>
                </w:p>
              </w:tc>
              <w:tc>
                <w:tcPr>
                  <w:tcW w:w="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4C689">
                  <w:pPr>
                    <w:jc w:val="center"/>
                    <w:rPr>
                      <w:rFonts w:hint="eastAsia" w:ascii="Calibri" w:hAnsi="Calibri" w:eastAsia="宋体" w:cs="Times New Roman"/>
                      <w:lang w:val="en-US" w:eastAsia="zh-Hans"/>
                    </w:rPr>
                  </w:pPr>
                </w:p>
              </w:tc>
            </w:tr>
            <w:tr w14:paraId="44F5AA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7CC8A7B">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w:t>
                  </w:r>
                </w:p>
              </w:tc>
              <w:tc>
                <w:tcPr>
                  <w:tcW w:w="791" w:type="dxa"/>
                  <w:tcBorders>
                    <w:top w:val="nil"/>
                    <w:left w:val="nil"/>
                    <w:bottom w:val="single" w:color="000000" w:sz="4" w:space="0"/>
                    <w:right w:val="single" w:color="000000" w:sz="4" w:space="0"/>
                  </w:tcBorders>
                  <w:tcMar>
                    <w:top w:w="0" w:type="dxa"/>
                    <w:left w:w="105" w:type="dxa"/>
                    <w:bottom w:w="0" w:type="dxa"/>
                    <w:right w:w="105" w:type="dxa"/>
                  </w:tcMar>
                </w:tcPr>
                <w:p w14:paraId="4F286530">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数据大屏管理功能</w:t>
                  </w:r>
                </w:p>
              </w:tc>
              <w:tc>
                <w:tcPr>
                  <w:tcW w:w="3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F17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▲1.设备统计：可以查看目前设备总数、在线设备数、离线设备数。(提供功能截图，加盖投标人公章)</w:t>
                  </w:r>
                </w:p>
                <w:p w14:paraId="4AABB5A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▲2.机构分布：可以将带有经纬度信息的摄像机的分布情况进行统计在地图上进行展示，同时可以拖动/放大/缩小/全屏查看地图。(提供功能截图，加盖投标人公章)</w:t>
                  </w:r>
                </w:p>
                <w:p w14:paraId="159F1E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3.支持动作和声音告警统计。可实现不小于4分屏查看轮播；能对机构中的人员总数以及各角色的人员数量进行统计。</w:t>
                  </w:r>
                </w:p>
              </w:tc>
              <w:tc>
                <w:tcPr>
                  <w:tcW w:w="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5F562">
                  <w:pPr>
                    <w:jc w:val="center"/>
                    <w:rPr>
                      <w:rFonts w:hint="eastAsia" w:ascii="Calibri" w:hAnsi="Calibri" w:eastAsia="宋体" w:cs="Times New Roman"/>
                      <w:lang w:val="en-US" w:eastAsia="zh-Hans"/>
                    </w:rPr>
                  </w:pPr>
                </w:p>
              </w:tc>
            </w:tr>
            <w:tr w14:paraId="4D329E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8AA4BD6">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w:t>
                  </w:r>
                </w:p>
              </w:tc>
              <w:tc>
                <w:tcPr>
                  <w:tcW w:w="791" w:type="dxa"/>
                  <w:tcBorders>
                    <w:top w:val="nil"/>
                    <w:left w:val="nil"/>
                    <w:bottom w:val="single" w:color="000000" w:sz="4" w:space="0"/>
                    <w:right w:val="single" w:color="000000" w:sz="4" w:space="0"/>
                  </w:tcBorders>
                  <w:tcMar>
                    <w:top w:w="0" w:type="dxa"/>
                    <w:left w:w="105" w:type="dxa"/>
                    <w:bottom w:w="0" w:type="dxa"/>
                    <w:right w:w="105" w:type="dxa"/>
                  </w:tcMar>
                </w:tcPr>
                <w:p w14:paraId="7EB6BA48">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三方平台对接功能</w:t>
                  </w:r>
                </w:p>
              </w:tc>
              <w:tc>
                <w:tcPr>
                  <w:tcW w:w="3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9761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1.支持GB28181-2016方式与上级和下级平台进行对接。</w:t>
                  </w:r>
                </w:p>
              </w:tc>
              <w:tc>
                <w:tcPr>
                  <w:tcW w:w="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5F81F">
                  <w:pPr>
                    <w:jc w:val="center"/>
                    <w:rPr>
                      <w:rFonts w:hint="eastAsia" w:ascii="Calibri" w:hAnsi="Calibri" w:eastAsia="宋体" w:cs="Times New Roman"/>
                      <w:lang w:val="en-US" w:eastAsia="zh-Hans"/>
                    </w:rPr>
                  </w:pPr>
                </w:p>
              </w:tc>
            </w:tr>
            <w:tr w14:paraId="0AB244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2"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DC4551B">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w:t>
                  </w:r>
                </w:p>
              </w:tc>
              <w:tc>
                <w:tcPr>
                  <w:tcW w:w="791" w:type="dxa"/>
                  <w:tcBorders>
                    <w:top w:val="nil"/>
                    <w:left w:val="nil"/>
                    <w:bottom w:val="single" w:color="000000" w:sz="4" w:space="0"/>
                    <w:right w:val="single" w:color="000000" w:sz="4" w:space="0"/>
                  </w:tcBorders>
                  <w:tcMar>
                    <w:top w:w="0" w:type="dxa"/>
                    <w:left w:w="105" w:type="dxa"/>
                    <w:bottom w:w="0" w:type="dxa"/>
                    <w:right w:w="105" w:type="dxa"/>
                  </w:tcMar>
                </w:tcPr>
                <w:p w14:paraId="63016D38">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多类型客户端功能</w:t>
                  </w:r>
                </w:p>
              </w:tc>
              <w:tc>
                <w:tcPr>
                  <w:tcW w:w="39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A04C8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▲1.支持安卓，ios，web，pc4种不同类型的客户端。(提供功能截图，加盖投标人公章)</w:t>
                  </w:r>
                </w:p>
              </w:tc>
              <w:tc>
                <w:tcPr>
                  <w:tcW w:w="3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AC9D60">
                  <w:pPr>
                    <w:jc w:val="center"/>
                    <w:rPr>
                      <w:rFonts w:hint="eastAsia" w:ascii="Calibri" w:hAnsi="Calibri" w:eastAsia="宋体" w:cs="Times New Roman"/>
                      <w:lang w:val="en-US" w:eastAsia="zh-Hans"/>
                    </w:rPr>
                  </w:pPr>
                </w:p>
              </w:tc>
            </w:tr>
          </w:tbl>
          <w:p w14:paraId="00C7A99E">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（二）其他要求：</w:t>
            </w:r>
          </w:p>
          <w:p w14:paraId="623697B6">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为满足服务要求所投入或更换的产品若涉及3C认证、进网许可证、无线电发射设备型号核准证、销售许可证等前置许可的须满足前置许可要求；所投入或更换产品若涉及信息安全产品的，该产品须具有安全产品认证证书。（</w:t>
            </w:r>
            <w:r>
              <w:rPr>
                <w:rFonts w:hint="eastAsia" w:ascii="仿宋_GB2312" w:hAnsi="仿宋_GB2312" w:eastAsia="仿宋_GB2312" w:cs="仿宋_GB2312"/>
                <w:b/>
                <w:sz w:val="24"/>
                <w:lang w:val="en-US" w:eastAsia="zh-Hans"/>
              </w:rPr>
              <w:t>投标人在投标文件中单独提供承诺函，加盖投标人电子签章，承诺函格式自拟</w:t>
            </w:r>
            <w:r>
              <w:rPr>
                <w:rFonts w:hint="eastAsia" w:ascii="仿宋_GB2312" w:hAnsi="仿宋_GB2312" w:eastAsia="仿宋_GB2312" w:cs="仿宋_GB2312"/>
                <w:sz w:val="24"/>
                <w:lang w:val="en-US" w:eastAsia="zh-Hans"/>
              </w:rPr>
              <w:t>）</w:t>
            </w:r>
          </w:p>
          <w:p w14:paraId="72E8BEB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本项目采购文件中所引相关法律制度、国家、行业标准或以外的相关法律制度、国家、行业标准，采购过程中国家出台新标准的，则按照新标准执行，同时如这些标准存在不一致，或矛盾，或冲突，应该以最优的标准为准。按照变化后的相关法律制度、国家、行业标准规定执行。本项目采购文件规定的内容条款，在本项目递交投标/响应文件截止时间届满后，因相关法律制度、国家、行业标准规定的变化导致不符合相关法律制度、国家、行业标准规定的，直接按照变化后的相关法律制度、国家、行业标准规定执行，即以最新的现行有效的相关法律制度、国家、行业标准规定为准，本项目采购文件不再作调整。</w:t>
            </w:r>
          </w:p>
          <w:p w14:paraId="50945FD5">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7557E686">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5917ECC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58923727">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r w14:paraId="1A43FE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1EE0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34674B4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CCF2B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服务学校及点位数</w:t>
            </w:r>
          </w:p>
        </w:tc>
        <w:tc>
          <w:tcPr>
            <w:tcW w:w="5814" w:type="dxa"/>
          </w:tcPr>
          <w:p w14:paraId="051C02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3BE994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bl>
            <w:tblPr>
              <w:tblStyle w:val="7"/>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99"/>
              <w:gridCol w:w="2397"/>
              <w:gridCol w:w="799"/>
              <w:gridCol w:w="799"/>
              <w:gridCol w:w="799"/>
            </w:tblGrid>
            <w:tr w14:paraId="32BB41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2AE5676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序号</w:t>
                  </w:r>
                </w:p>
              </w:tc>
              <w:tc>
                <w:tcPr>
                  <w:tcW w:w="2398"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5D1DA13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学校名称</w:t>
                  </w:r>
                </w:p>
              </w:tc>
              <w:tc>
                <w:tcPr>
                  <w:tcW w:w="79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DA4089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枪机</w:t>
                  </w:r>
                </w:p>
              </w:tc>
              <w:tc>
                <w:tcPr>
                  <w:tcW w:w="79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3B045F4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球机</w:t>
                  </w:r>
                </w:p>
              </w:tc>
              <w:tc>
                <w:tcPr>
                  <w:tcW w:w="79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1A734E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总数量</w:t>
                  </w:r>
                </w:p>
              </w:tc>
            </w:tr>
            <w:tr w14:paraId="0D8527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D043D9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B48B81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邛崃市白鹤九年制学校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E92E4C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33443F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A0E9C9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32</w:t>
                  </w:r>
                </w:p>
              </w:tc>
            </w:tr>
            <w:tr w14:paraId="789059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705006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009522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邛崃市白鹤幼儿园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DA0BE2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CA0FCF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FED239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25</w:t>
                  </w:r>
                </w:p>
              </w:tc>
            </w:tr>
            <w:tr w14:paraId="68C14C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BE76B6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3CFC56D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邛崃市宝林镇中心小学校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104EA9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6B7088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EDF297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55</w:t>
                  </w:r>
                </w:p>
              </w:tc>
            </w:tr>
            <w:tr w14:paraId="1EC6E2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3A492A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0B40C9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邛崃市宝林镇初级中学校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87ABB0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28</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884C8C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3BB0B4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28</w:t>
                  </w:r>
                </w:p>
              </w:tc>
            </w:tr>
            <w:tr w14:paraId="55774C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4340BF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D9E7E9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邛崃市北街小学校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3A0883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59</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C0473D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CF4DF1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60</w:t>
                  </w:r>
                </w:p>
              </w:tc>
            </w:tr>
            <w:tr w14:paraId="0259C2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45F376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71D85F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邛崃市茶园小学</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913F5F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19</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D12337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385CB0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w:t>
                  </w:r>
                </w:p>
              </w:tc>
            </w:tr>
            <w:tr w14:paraId="358270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E17CF7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525E1DA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邛崃市城北幼儿园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C16069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775E48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BA5A89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w:t>
                  </w:r>
                </w:p>
              </w:tc>
            </w:tr>
            <w:tr w14:paraId="429589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A300D6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4001BC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邛崃市大同九年制义务教育学校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55CE14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DADE59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3F376E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w:t>
                  </w:r>
                </w:p>
              </w:tc>
            </w:tr>
            <w:tr w14:paraId="60B214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0F1A6A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A5E3B4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邛崃市道佐乡中心小学校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BA7455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18EA77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84E4D4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35</w:t>
                  </w:r>
                </w:p>
              </w:tc>
            </w:tr>
            <w:tr w14:paraId="50BA39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E112E9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70A7839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邛崃市道佐乡中心幼儿园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7588BE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49</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036DD0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D58099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49</w:t>
                  </w:r>
                </w:p>
              </w:tc>
            </w:tr>
            <w:tr w14:paraId="579B74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03CA17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11</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57348B2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邛崃市冉义镇付安中心小学校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D0612C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CE981D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E21E5D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46</w:t>
                  </w:r>
                </w:p>
              </w:tc>
            </w:tr>
            <w:tr w14:paraId="7B1F74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583E5C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12</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E45F05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邛崃市高埂九年制义务教育学校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4B21BC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DD57B0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A840F8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86</w:t>
                  </w:r>
                </w:p>
              </w:tc>
            </w:tr>
            <w:tr w14:paraId="25FADF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D5742B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13</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03DF1A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邛崃市高埂镇中心幼儿园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BFB5B5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CB6E20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085F22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72</w:t>
                  </w:r>
                </w:p>
              </w:tc>
            </w:tr>
            <w:tr w14:paraId="7CDCC1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D85983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BF1CFF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邛崃市高埂中学</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2050A5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135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8B2909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97AD5E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137</w:t>
                  </w:r>
                </w:p>
              </w:tc>
            </w:tr>
            <w:tr w14:paraId="532691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7D561A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15</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71E9F11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邛崃市高何九年制义务教育学校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4DF1B5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3585C5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2C6618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r>
            <w:tr w14:paraId="3F9D15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6D0638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171D48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邛崃市拱辰小学校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E0328C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8A4279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DC9951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32</w:t>
                  </w:r>
                </w:p>
              </w:tc>
            </w:tr>
            <w:tr w14:paraId="1B8383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49F77B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17</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6E7389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邛崃市临邛镇拱辰中心幼儿园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A40642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A32312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83B0C4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50</w:t>
                  </w:r>
                </w:p>
              </w:tc>
            </w:tr>
            <w:tr w14:paraId="60A3AA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3705C9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18</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34612E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邛崃市拱辰初级中学校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30FF31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E76172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AAA7F1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31</w:t>
                  </w:r>
                </w:p>
              </w:tc>
            </w:tr>
            <w:tr w14:paraId="0913D9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235AA3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19</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32AC9FE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邛崃市固驿镇中心小学校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EE62F6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055637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3BCACE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21</w:t>
                  </w:r>
                </w:p>
              </w:tc>
            </w:tr>
            <w:tr w14:paraId="55EF78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C28AD9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39E041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邛崃市夹关镇郭坝幼儿园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015BF0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34</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71DBA1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9DA36F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34</w:t>
                  </w:r>
                </w:p>
              </w:tc>
            </w:tr>
            <w:tr w14:paraId="715781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067E89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21</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36779E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邛崃市回龙镇中心小学校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CDE57E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80DD60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71E6B9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21</w:t>
                  </w:r>
                </w:p>
              </w:tc>
            </w:tr>
            <w:tr w14:paraId="244647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6FFD81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22</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AE658F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邛崃市火井镇中心小学校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6BD07C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069275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485975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62</w:t>
                  </w:r>
                </w:p>
              </w:tc>
            </w:tr>
            <w:tr w14:paraId="5A810C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6786EA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23</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40ECFD4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邛崃市火井镇初级中学校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8D0565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5F3E44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4ED5BC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50</w:t>
                  </w:r>
                </w:p>
              </w:tc>
            </w:tr>
            <w:tr w14:paraId="2395D6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5793ED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24</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47ED96F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邛崃市冉义镇火星幼儿园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8096D9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084889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D4479B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53</w:t>
                  </w:r>
                </w:p>
              </w:tc>
            </w:tr>
            <w:tr w14:paraId="70FC24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EBD691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25</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4AC7D30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邛崃市夹关九年制学校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FEA0E1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DD5D27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347C6D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32</w:t>
                  </w:r>
                </w:p>
              </w:tc>
            </w:tr>
            <w:tr w14:paraId="40BA30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4ADF69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26</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5B931F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邛崃市桑园镇南君平小学校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7A065A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64</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CF54CD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09BB14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64</w:t>
                  </w:r>
                </w:p>
              </w:tc>
            </w:tr>
            <w:tr w14:paraId="361868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3FFFE1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27</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7C2BBC4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邛崃市桑园镇南君平幼儿园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A9CF4D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07FC53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FC34F2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r>
            <w:tr w14:paraId="72993F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7A599E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28</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5919B1A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邛崃市孔明乡九年制学校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2778F5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D4B9D9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492494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26</w:t>
                  </w:r>
                </w:p>
              </w:tc>
            </w:tr>
            <w:tr w14:paraId="3CE2F4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4D4B4F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29</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8F20AE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邛崃市孔明乡中心幼儿园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1EA4DD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18</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0EDD54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B32E31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18</w:t>
                  </w:r>
                </w:p>
              </w:tc>
            </w:tr>
            <w:tr w14:paraId="49B383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45B2C3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7FB4E4D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邛崃市临济九年制学校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5151EB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0EBEAE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F4E83D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25</w:t>
                  </w:r>
                </w:p>
              </w:tc>
            </w:tr>
            <w:tr w14:paraId="45302C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958D81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31</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167920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邛崃市临济镇中心幼儿园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36CAF2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9AB295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CA1EED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36</w:t>
                  </w:r>
                </w:p>
              </w:tc>
            </w:tr>
            <w:tr w14:paraId="16BBF7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89714B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32</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A91245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邛崃市临邛初级中学学校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201E7D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6EE808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B51940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15</w:t>
                  </w:r>
                </w:p>
              </w:tc>
            </w:tr>
            <w:tr w14:paraId="7080A3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392D68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33</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6AC962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邛崃市水口镇马湖中心小学校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41ED08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A1E115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A0F2C4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w:t>
                  </w:r>
                </w:p>
              </w:tc>
            </w:tr>
            <w:tr w14:paraId="3638D6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EE379A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34</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5D0C406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邛崃市水口镇马湖中心幼儿园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BF165F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8468F5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F371A4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r>
            <w:tr w14:paraId="0F8371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C2223A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35</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1E27A8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邛崃市火井镇蒙正幼儿园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22DD54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2425D7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5AC8D7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20</w:t>
                  </w:r>
                </w:p>
              </w:tc>
            </w:tr>
            <w:tr w14:paraId="3BF18B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328304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36</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794AFA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邛崃市牟礼镇中心小学校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0C9279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FC41C4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6470A4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96</w:t>
                  </w:r>
                </w:p>
              </w:tc>
            </w:tr>
            <w:tr w14:paraId="2C311E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492541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37</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3FE1909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邛崃市牟礼镇初级中学校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62394A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3FA3FD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CB31F3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r>
            <w:tr w14:paraId="4B365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4FED6B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38</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81D3EF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邛崃市油榨小学</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EF61BD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1432A4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2EEC7A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56</w:t>
                  </w:r>
                </w:p>
              </w:tc>
            </w:tr>
            <w:tr w14:paraId="09E05B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CB415D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39</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4E83600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邛崃市南宝山镇油榨中心幼儿园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430BD0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E19909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CF0F3A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r>
            <w:tr w14:paraId="79010F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229C30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40</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779FCD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邛崃市南街小学校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4993A2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E5BA49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E6AC00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31</w:t>
                  </w:r>
                </w:p>
              </w:tc>
            </w:tr>
            <w:tr w14:paraId="3A14CE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183037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41</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7143915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邛崃市平乐九年制义务教育学校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527DEA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B6E318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DD7854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26</w:t>
                  </w:r>
                </w:p>
              </w:tc>
            </w:tr>
            <w:tr w14:paraId="37C3D4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58A86A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42</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49835B3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邛崃市平乐中学校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941C9C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109</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5CDBBA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4226A0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111</w:t>
                  </w:r>
                </w:p>
              </w:tc>
            </w:tr>
            <w:tr w14:paraId="25ACBB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7C131A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43</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51B4E20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邛崃市前进镇中心小学校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A21BDA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58</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7835D3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5DE355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58</w:t>
                  </w:r>
                </w:p>
              </w:tc>
            </w:tr>
            <w:tr w14:paraId="63B97A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8C7423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44</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C51B84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邛崃市第二中学校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151F3D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19</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CAD886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C8022D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22</w:t>
                  </w:r>
                </w:p>
              </w:tc>
            </w:tr>
            <w:tr w14:paraId="34EA77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83ECF3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45</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706ABF4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邛崃市第一中学校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5AC5E0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59</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1627C3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18AAC9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60</w:t>
                  </w:r>
                </w:p>
              </w:tc>
            </w:tr>
            <w:tr w14:paraId="761FF9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FA19C0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46</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8EFB5E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邛崃市羊安镇泉水小学校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29EE5E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367C7D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932ADA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w:t>
                  </w:r>
                </w:p>
              </w:tc>
            </w:tr>
            <w:tr w14:paraId="198A7E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B0B38C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47</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BE86AE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邛崃市羊安镇泉水中心幼儿园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1CEA9D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5036E4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13262D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w:t>
                  </w:r>
                </w:p>
              </w:tc>
            </w:tr>
            <w:tr w14:paraId="3C824F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B37EF5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48</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C5433D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邛崃市冉义镇中心小学校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9F349E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F4AC64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1F54EE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w:t>
                  </w:r>
                </w:p>
              </w:tc>
            </w:tr>
            <w:tr w14:paraId="5AE2C3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85E318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49</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5B1CB82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邛崃市冉义镇中心幼儿园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18BD93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74D7BB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270FDF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73</w:t>
                  </w:r>
                </w:p>
              </w:tc>
            </w:tr>
            <w:tr w14:paraId="798C17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4DEBA9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50</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A755A0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邛崃市冉义镇初级中学校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8D773B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7492A2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698485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15</w:t>
                  </w:r>
                </w:p>
              </w:tc>
            </w:tr>
            <w:tr w14:paraId="0B76E2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A2A38E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51</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D86BBC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邛崃市桑园镇小学校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803B0A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4F4FAE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2D0610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36</w:t>
                  </w:r>
                </w:p>
              </w:tc>
            </w:tr>
            <w:tr w14:paraId="795595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029DD9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52</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CDABF0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邛崃市十方堂小学</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5FDB77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109</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BE5318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8BAA9A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109</w:t>
                  </w:r>
                </w:p>
              </w:tc>
            </w:tr>
            <w:tr w14:paraId="5690B7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9485A2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53</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7DF3D3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邛崃市十方堂幼儿园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E8F25B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E780B3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010562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42</w:t>
                  </w:r>
                </w:p>
              </w:tc>
            </w:tr>
            <w:tr w14:paraId="17B9DF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DC903F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54</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0E8A5F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邛崃市临济镇石头中心幼儿园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5FD0AE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2227E4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AB5531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w:t>
                  </w:r>
                </w:p>
              </w:tc>
            </w:tr>
            <w:tr w14:paraId="027774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A05031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55</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5E3F2ED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邛崃市水口镇九年制义务教育学校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0A610B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63F4B4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3B491F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16</w:t>
                  </w:r>
                </w:p>
              </w:tc>
            </w:tr>
            <w:tr w14:paraId="18AFC0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72C28C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56</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C1FC77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邛崃市水口镇中心幼儿园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166D45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67C95C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CFF99D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61</w:t>
                  </w:r>
                </w:p>
              </w:tc>
            </w:tr>
            <w:tr w14:paraId="6E68B4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D41DDF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57</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33615A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邛崃市太和乡九年制学校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B4B223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69CB3B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9E35EA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w:t>
                  </w:r>
                </w:p>
              </w:tc>
            </w:tr>
            <w:tr w14:paraId="08B6B7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B0B4E8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58</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6676E7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邛崃市天台山镇中心幼儿园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03CCD6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A7BDBE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3CD62A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w:t>
                  </w:r>
                </w:p>
              </w:tc>
            </w:tr>
            <w:tr w14:paraId="7CDE8B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2AB13A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59</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6E5906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邛崃市天台九年制义务教育学校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71DA13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6EA4BC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3CE4A7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64</w:t>
                  </w:r>
                </w:p>
              </w:tc>
            </w:tr>
            <w:tr w14:paraId="21CB28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BD775E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60</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4F926D6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邛崃市文昌小学</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14ACA0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34</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22D88D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CA2EFF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34</w:t>
                  </w:r>
                </w:p>
              </w:tc>
            </w:tr>
            <w:tr w14:paraId="3E0DAE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8C930E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61</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78187BD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邛崃市文昌幼儿园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87354D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E7A531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6F4F9C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31</w:t>
                  </w:r>
                </w:p>
              </w:tc>
            </w:tr>
            <w:tr w14:paraId="44AF94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1BC60B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62</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7962AF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邛崃市西街小学</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D76FF1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402214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8B998C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w:t>
                  </w:r>
                </w:p>
              </w:tc>
            </w:tr>
            <w:tr w14:paraId="00360F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C8F1FC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63</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64AB030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邛崃市西桥九年制学校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83DD68A">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8C0D4B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0DE782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w:t>
                  </w:r>
                </w:p>
              </w:tc>
            </w:tr>
            <w:tr w14:paraId="0272F9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09BABF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64</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470B1CE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邛崃市下坝中心小学校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BB644B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35</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53E7FD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1B3C370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35</w:t>
                  </w:r>
                </w:p>
              </w:tc>
            </w:tr>
            <w:tr w14:paraId="545CB4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58D091D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65</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C1A085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邛崃市牟礼镇兴贤小学校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B2A7FA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B23DE6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978134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40</w:t>
                  </w:r>
                </w:p>
              </w:tc>
            </w:tr>
            <w:tr w14:paraId="588954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4C6EB0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66</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36AA8D1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邛崃市牟礼镇兴贤初级中学校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19FEED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B3755A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2CCDB0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80</w:t>
                  </w:r>
                </w:p>
              </w:tc>
            </w:tr>
            <w:tr w14:paraId="446AA3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53363D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67</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1ABC92C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邛崃市羊安镇中心小学校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08F74C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144</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E1696C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75B7E2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145</w:t>
                  </w:r>
                </w:p>
              </w:tc>
            </w:tr>
            <w:tr w14:paraId="478627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6FBBAB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68</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27F8016">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邛崃市羊安镇中心幼儿园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677B8E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24</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24179C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B37043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24</w:t>
                  </w:r>
                </w:p>
              </w:tc>
            </w:tr>
            <w:tr w14:paraId="57D106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0FD683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69</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348094F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邛崃市羊安镇初级中学校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92E5377">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723C19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6B2CF7F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r>
            <w:tr w14:paraId="668242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2720048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70</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0341D70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邛崃市牟礼镇永丰小学校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CD8E5E8">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47B746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2DABA32">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63</w:t>
                  </w:r>
                </w:p>
              </w:tc>
            </w:tr>
            <w:tr w14:paraId="6963A2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ACE714D">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71</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3108D2E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邛崃市牟礼镇永丰慈济幼儿园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774356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048E9A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0</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05B4B77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w:t>
                  </w:r>
                </w:p>
              </w:tc>
            </w:tr>
            <w:tr w14:paraId="2F8224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6AB1C730">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72</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2A0FAA8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邛崃市渔桥幼儿园</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B767C8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27</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9FD911C">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68446E9">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30</w:t>
                  </w:r>
                </w:p>
              </w:tc>
            </w:tr>
            <w:tr w14:paraId="28B7A4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99"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855B9E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73</w:t>
                  </w:r>
                </w:p>
              </w:tc>
              <w:tc>
                <w:tcPr>
                  <w:tcW w:w="2398" w:type="dxa"/>
                  <w:tcBorders>
                    <w:top w:val="nil"/>
                    <w:left w:val="nil"/>
                    <w:bottom w:val="single" w:color="000000" w:sz="4" w:space="0"/>
                    <w:right w:val="single" w:color="000000" w:sz="4" w:space="0"/>
                  </w:tcBorders>
                  <w:tcMar>
                    <w:top w:w="0" w:type="dxa"/>
                    <w:left w:w="105" w:type="dxa"/>
                    <w:bottom w:w="0" w:type="dxa"/>
                    <w:right w:w="105" w:type="dxa"/>
                  </w:tcMar>
                </w:tcPr>
                <w:p w14:paraId="52235811">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邛崃市职业教育中心</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212A4EB">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183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308DC7FE">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73518754">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185</w:t>
                  </w:r>
                </w:p>
              </w:tc>
            </w:tr>
            <w:tr w14:paraId="70E58C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97"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1A2E3CC5">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合计</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51108C8D">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2972</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267C7FA6">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33</w:t>
                  </w:r>
                </w:p>
              </w:tc>
              <w:tc>
                <w:tcPr>
                  <w:tcW w:w="799" w:type="dxa"/>
                  <w:tcBorders>
                    <w:top w:val="nil"/>
                    <w:left w:val="nil"/>
                    <w:bottom w:val="single" w:color="000000" w:sz="4" w:space="0"/>
                    <w:right w:val="single" w:color="000000" w:sz="4" w:space="0"/>
                  </w:tcBorders>
                  <w:tcMar>
                    <w:top w:w="0" w:type="dxa"/>
                    <w:left w:w="105" w:type="dxa"/>
                    <w:bottom w:w="0" w:type="dxa"/>
                    <w:right w:w="105" w:type="dxa"/>
                  </w:tcMar>
                </w:tcPr>
                <w:p w14:paraId="49B0CBF7">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3005</w:t>
                  </w:r>
                </w:p>
              </w:tc>
            </w:tr>
          </w:tbl>
          <w:p w14:paraId="0E0222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32FEFB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tc>
      </w:tr>
    </w:tbl>
    <w:p w14:paraId="639A2AEC">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4104A02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61B335A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86EE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8C89E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7EA1BE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7580EA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23F7A6D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5F2FE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3F01B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EF0F8C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816B3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满意度测评</w:t>
            </w:r>
          </w:p>
        </w:tc>
        <w:tc>
          <w:tcPr>
            <w:tcW w:w="5814" w:type="dxa"/>
          </w:tcPr>
          <w:p w14:paraId="2370FF7D">
            <w:pPr>
              <w:ind w:left="45"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（1）每学期组织一次满意度测评，根据测评满意度按以下要求支付服务费：</w:t>
            </w:r>
          </w:p>
          <w:p w14:paraId="0BA4333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满意度达85分及以上的支付系数为：1；</w:t>
            </w:r>
          </w:p>
          <w:p w14:paraId="07842B3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满意度达75分及以上的支付系数为：0.8；</w:t>
            </w:r>
          </w:p>
          <w:p w14:paraId="1117C19C">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满意度达60分及以上的支付系数为：0.6；</w:t>
            </w:r>
          </w:p>
          <w:p w14:paraId="168D5AE0">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满意度在60分以下的本年度服务费不予支付。</w:t>
            </w:r>
          </w:p>
          <w:p w14:paraId="1FB0802B">
            <w:pPr>
              <w:ind w:left="45"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（2）满意度测评办法</w:t>
            </w:r>
          </w:p>
          <w:p w14:paraId="6528838F">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每学期测评分值为100分，采取倒扣分制进行满意度测评，年度考核以两学期中得分最少的一次作为考核结果，考核细则如下：</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3"/>
              <w:gridCol w:w="627"/>
              <w:gridCol w:w="3351"/>
              <w:gridCol w:w="930"/>
            </w:tblGrid>
            <w:tr w14:paraId="2E536E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tcPr>
                <w:p w14:paraId="0B6E38C3">
                  <w:pPr>
                    <w:jc w:val="cente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考核项目</w:t>
                  </w:r>
                </w:p>
              </w:tc>
              <w:tc>
                <w:tcPr>
                  <w:tcW w:w="628"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25B6449B">
                  <w:pPr>
                    <w:jc w:val="cente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考核分值</w:t>
                  </w:r>
                </w:p>
              </w:tc>
              <w:tc>
                <w:tcPr>
                  <w:tcW w:w="3369"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009E09FD">
                  <w:pPr>
                    <w:jc w:val="cente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考核标准</w:t>
                  </w:r>
                </w:p>
              </w:tc>
              <w:tc>
                <w:tcPr>
                  <w:tcW w:w="914" w:type="dxa"/>
                  <w:tcBorders>
                    <w:top w:val="single" w:color="000000" w:sz="4" w:space="0"/>
                    <w:left w:val="nil"/>
                    <w:bottom w:val="single" w:color="000000" w:sz="4" w:space="0"/>
                    <w:right w:val="single" w:color="000000" w:sz="4" w:space="0"/>
                  </w:tcBorders>
                  <w:tcMar>
                    <w:top w:w="0" w:type="dxa"/>
                    <w:left w:w="105" w:type="dxa"/>
                    <w:bottom w:w="0" w:type="dxa"/>
                    <w:right w:w="105" w:type="dxa"/>
                  </w:tcMar>
                </w:tcPr>
                <w:p w14:paraId="66FF879B">
                  <w:pPr>
                    <w:jc w:val="cente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备注</w:t>
                  </w:r>
                </w:p>
              </w:tc>
            </w:tr>
            <w:tr w14:paraId="30144D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FF254D4">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前端本地存储服务</w:t>
                  </w:r>
                </w:p>
              </w:tc>
              <w:tc>
                <w:tcPr>
                  <w:tcW w:w="628" w:type="dxa"/>
                  <w:tcBorders>
                    <w:top w:val="nil"/>
                    <w:left w:val="nil"/>
                    <w:bottom w:val="single" w:color="000000" w:sz="4" w:space="0"/>
                    <w:right w:val="single" w:color="000000" w:sz="4" w:space="0"/>
                  </w:tcBorders>
                  <w:tcMar>
                    <w:top w:w="0" w:type="dxa"/>
                    <w:left w:w="105" w:type="dxa"/>
                    <w:bottom w:w="0" w:type="dxa"/>
                    <w:right w:w="105" w:type="dxa"/>
                  </w:tcMar>
                </w:tcPr>
                <w:p w14:paraId="1262BFA7">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20</w:t>
                  </w:r>
                </w:p>
              </w:tc>
              <w:tc>
                <w:tcPr>
                  <w:tcW w:w="3369" w:type="dxa"/>
                  <w:tcBorders>
                    <w:top w:val="nil"/>
                    <w:left w:val="nil"/>
                    <w:bottom w:val="single" w:color="000000" w:sz="4" w:space="0"/>
                    <w:right w:val="single" w:color="000000" w:sz="4" w:space="0"/>
                  </w:tcBorders>
                  <w:tcMar>
                    <w:top w:w="0" w:type="dxa"/>
                    <w:left w:w="105" w:type="dxa"/>
                    <w:bottom w:w="0" w:type="dxa"/>
                    <w:right w:w="105" w:type="dxa"/>
                  </w:tcMar>
                </w:tcPr>
                <w:p w14:paraId="77CF20CF">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若出现前端本地存储数据丢失，每发生一次扣5分，扣完为止。</w:t>
                  </w:r>
                </w:p>
              </w:tc>
              <w:tc>
                <w:tcPr>
                  <w:tcW w:w="914" w:type="dxa"/>
                  <w:vMerge w:val="restart"/>
                  <w:tcBorders>
                    <w:top w:val="nil"/>
                    <w:left w:val="nil"/>
                    <w:bottom w:val="single" w:color="000000" w:sz="4" w:space="0"/>
                    <w:right w:val="single" w:color="000000" w:sz="4" w:space="0"/>
                  </w:tcBorders>
                  <w:tcMar>
                    <w:top w:w="0" w:type="dxa"/>
                    <w:left w:w="105" w:type="dxa"/>
                    <w:bottom w:w="0" w:type="dxa"/>
                    <w:right w:w="105" w:type="dxa"/>
                  </w:tcMar>
                </w:tcPr>
                <w:p w14:paraId="3CC4E96B">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每项考核得分取服务学校中得分最少的作为该项考核结果，每条考核项目得分相加作为甲方对乙方的最终考核得分（因不可抗力因素及甲方原因造成的，不作为考核依据）。</w:t>
                  </w:r>
                </w:p>
              </w:tc>
            </w:tr>
            <w:tr w14:paraId="4A0A4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BD4878F">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云平台及存储服务</w:t>
                  </w:r>
                </w:p>
              </w:tc>
              <w:tc>
                <w:tcPr>
                  <w:tcW w:w="628" w:type="dxa"/>
                  <w:tcBorders>
                    <w:top w:val="nil"/>
                    <w:left w:val="nil"/>
                    <w:bottom w:val="single" w:color="000000" w:sz="4" w:space="0"/>
                    <w:right w:val="single" w:color="000000" w:sz="4" w:space="0"/>
                  </w:tcBorders>
                  <w:tcMar>
                    <w:top w:w="0" w:type="dxa"/>
                    <w:left w:w="105" w:type="dxa"/>
                    <w:bottom w:w="0" w:type="dxa"/>
                    <w:right w:w="105" w:type="dxa"/>
                  </w:tcMar>
                </w:tcPr>
                <w:p w14:paraId="5331A94C">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10</w:t>
                  </w:r>
                </w:p>
              </w:tc>
              <w:tc>
                <w:tcPr>
                  <w:tcW w:w="3369" w:type="dxa"/>
                  <w:tcBorders>
                    <w:top w:val="nil"/>
                    <w:left w:val="nil"/>
                    <w:bottom w:val="single" w:color="000000" w:sz="4" w:space="0"/>
                    <w:right w:val="single" w:color="000000" w:sz="4" w:space="0"/>
                  </w:tcBorders>
                  <w:tcMar>
                    <w:top w:w="0" w:type="dxa"/>
                    <w:left w:w="105" w:type="dxa"/>
                    <w:bottom w:w="0" w:type="dxa"/>
                    <w:right w:w="105" w:type="dxa"/>
                  </w:tcMar>
                </w:tcPr>
                <w:p w14:paraId="75523568">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乙方应保障视频监控云平台正常运行，若进行升级维护需提前24小时通知甲方，未提前通知的，每发生一次扣2分；若出现云平台存储数据丢失，每发生一次扣5分，扣完为止。</w:t>
                  </w:r>
                </w:p>
              </w:tc>
              <w:tc>
                <w:tcPr>
                  <w:tcW w:w="914" w:type="dxa"/>
                  <w:vMerge w:val="continue"/>
                  <w:tcBorders>
                    <w:top w:val="nil"/>
                    <w:left w:val="nil"/>
                    <w:bottom w:val="single" w:color="000000" w:sz="4" w:space="0"/>
                    <w:right w:val="single" w:color="000000" w:sz="4" w:space="0"/>
                  </w:tcBorders>
                </w:tcPr>
                <w:p w14:paraId="7579A791">
                  <w:pPr>
                    <w:rPr>
                      <w:rFonts w:ascii="Calibri" w:hAnsi="Calibri" w:eastAsia="宋体" w:cs="Times New Roman"/>
                    </w:rPr>
                  </w:pPr>
                </w:p>
              </w:tc>
            </w:tr>
            <w:tr w14:paraId="0E65C0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0EAF62D6">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监控服务点位平均在线率</w:t>
                  </w:r>
                </w:p>
              </w:tc>
              <w:tc>
                <w:tcPr>
                  <w:tcW w:w="628" w:type="dxa"/>
                  <w:tcBorders>
                    <w:top w:val="nil"/>
                    <w:left w:val="nil"/>
                    <w:bottom w:val="single" w:color="000000" w:sz="4" w:space="0"/>
                    <w:right w:val="single" w:color="000000" w:sz="4" w:space="0"/>
                  </w:tcBorders>
                  <w:tcMar>
                    <w:top w:w="0" w:type="dxa"/>
                    <w:left w:w="105" w:type="dxa"/>
                    <w:bottom w:w="0" w:type="dxa"/>
                    <w:right w:w="105" w:type="dxa"/>
                  </w:tcMar>
                </w:tcPr>
                <w:p w14:paraId="77A0F73B">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20</w:t>
                  </w:r>
                </w:p>
              </w:tc>
              <w:tc>
                <w:tcPr>
                  <w:tcW w:w="3369" w:type="dxa"/>
                  <w:tcBorders>
                    <w:top w:val="nil"/>
                    <w:left w:val="nil"/>
                    <w:bottom w:val="single" w:color="000000" w:sz="4" w:space="0"/>
                    <w:right w:val="single" w:color="000000" w:sz="4" w:space="0"/>
                  </w:tcBorders>
                  <w:tcMar>
                    <w:top w:w="0" w:type="dxa"/>
                    <w:left w:w="105" w:type="dxa"/>
                    <w:bottom w:w="0" w:type="dxa"/>
                    <w:right w:w="105" w:type="dxa"/>
                  </w:tcMar>
                </w:tcPr>
                <w:p w14:paraId="596C499D">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监控服务点位平均在线率达到95%未达到100%的，扣5分；监控服务点位平均在线率达到90%未达到95%的，扣10分；监控服务点位平均在线率未达到90%的，扣20分。</w:t>
                  </w:r>
                </w:p>
              </w:tc>
              <w:tc>
                <w:tcPr>
                  <w:tcW w:w="914" w:type="dxa"/>
                  <w:vMerge w:val="continue"/>
                  <w:tcBorders>
                    <w:top w:val="nil"/>
                    <w:left w:val="nil"/>
                    <w:bottom w:val="single" w:color="000000" w:sz="4" w:space="0"/>
                    <w:right w:val="single" w:color="000000" w:sz="4" w:space="0"/>
                  </w:tcBorders>
                </w:tcPr>
                <w:p w14:paraId="2C633A8E">
                  <w:pPr>
                    <w:rPr>
                      <w:rFonts w:ascii="Calibri" w:hAnsi="Calibri" w:eastAsia="宋体" w:cs="Times New Roman"/>
                    </w:rPr>
                  </w:pPr>
                </w:p>
              </w:tc>
            </w:tr>
            <w:tr w14:paraId="017943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7470B539">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故障响应和恢复</w:t>
                  </w:r>
                </w:p>
              </w:tc>
              <w:tc>
                <w:tcPr>
                  <w:tcW w:w="628" w:type="dxa"/>
                  <w:tcBorders>
                    <w:top w:val="nil"/>
                    <w:left w:val="nil"/>
                    <w:bottom w:val="single" w:color="000000" w:sz="4" w:space="0"/>
                    <w:right w:val="single" w:color="000000" w:sz="4" w:space="0"/>
                  </w:tcBorders>
                  <w:tcMar>
                    <w:top w:w="0" w:type="dxa"/>
                    <w:left w:w="105" w:type="dxa"/>
                    <w:bottom w:w="0" w:type="dxa"/>
                    <w:right w:w="105" w:type="dxa"/>
                  </w:tcMar>
                </w:tcPr>
                <w:p w14:paraId="03AAA5F0">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30</w:t>
                  </w:r>
                </w:p>
              </w:tc>
              <w:tc>
                <w:tcPr>
                  <w:tcW w:w="3369" w:type="dxa"/>
                  <w:tcBorders>
                    <w:top w:val="nil"/>
                    <w:left w:val="nil"/>
                    <w:bottom w:val="single" w:color="000000" w:sz="4" w:space="0"/>
                    <w:right w:val="single" w:color="000000" w:sz="4" w:space="0"/>
                  </w:tcBorders>
                  <w:tcMar>
                    <w:top w:w="0" w:type="dxa"/>
                    <w:left w:w="105" w:type="dxa"/>
                    <w:bottom w:w="0" w:type="dxa"/>
                    <w:right w:w="105" w:type="dxa"/>
                  </w:tcMar>
                </w:tcPr>
                <w:p w14:paraId="1568EBFA">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乙方在接到甲方故障通知后，未按招标文件售后服务第2点要求处理的，四级故障每发生一次扣2分，三级故障每发生一次扣4分，二级故障每发生一次扣6分，一级故障每发生一次扣8分，扣完为止。</w:t>
                  </w:r>
                </w:p>
              </w:tc>
              <w:tc>
                <w:tcPr>
                  <w:tcW w:w="914" w:type="dxa"/>
                  <w:vMerge w:val="continue"/>
                  <w:tcBorders>
                    <w:top w:val="nil"/>
                    <w:left w:val="nil"/>
                    <w:bottom w:val="single" w:color="000000" w:sz="4" w:space="0"/>
                    <w:right w:val="single" w:color="000000" w:sz="4" w:space="0"/>
                  </w:tcBorders>
                </w:tcPr>
                <w:p w14:paraId="15BBA076">
                  <w:pPr>
                    <w:rPr>
                      <w:rFonts w:ascii="Calibri" w:hAnsi="Calibri" w:eastAsia="宋体" w:cs="Times New Roman"/>
                    </w:rPr>
                  </w:pPr>
                </w:p>
              </w:tc>
            </w:tr>
            <w:tr w14:paraId="4701BC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38C7527D">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巡检和维护</w:t>
                  </w:r>
                </w:p>
              </w:tc>
              <w:tc>
                <w:tcPr>
                  <w:tcW w:w="628" w:type="dxa"/>
                  <w:tcBorders>
                    <w:top w:val="nil"/>
                    <w:left w:val="nil"/>
                    <w:bottom w:val="single" w:color="000000" w:sz="4" w:space="0"/>
                    <w:right w:val="single" w:color="000000" w:sz="4" w:space="0"/>
                  </w:tcBorders>
                  <w:tcMar>
                    <w:top w:w="0" w:type="dxa"/>
                    <w:left w:w="105" w:type="dxa"/>
                    <w:bottom w:w="0" w:type="dxa"/>
                    <w:right w:w="105" w:type="dxa"/>
                  </w:tcMar>
                </w:tcPr>
                <w:p w14:paraId="1F6E5306">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10</w:t>
                  </w:r>
                </w:p>
              </w:tc>
              <w:tc>
                <w:tcPr>
                  <w:tcW w:w="3369" w:type="dxa"/>
                  <w:tcBorders>
                    <w:top w:val="nil"/>
                    <w:left w:val="nil"/>
                    <w:bottom w:val="single" w:color="000000" w:sz="4" w:space="0"/>
                    <w:right w:val="single" w:color="000000" w:sz="4" w:space="0"/>
                  </w:tcBorders>
                  <w:tcMar>
                    <w:top w:w="0" w:type="dxa"/>
                    <w:left w:w="105" w:type="dxa"/>
                    <w:bottom w:w="0" w:type="dxa"/>
                    <w:right w:w="105" w:type="dxa"/>
                  </w:tcMar>
                </w:tcPr>
                <w:p w14:paraId="154D2E03">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乙方应安排专业人员定期对服务学校进行巡检和维护，每学期至少2次，每缺失一次扣5分，扣完为止。</w:t>
                  </w:r>
                </w:p>
              </w:tc>
              <w:tc>
                <w:tcPr>
                  <w:tcW w:w="914" w:type="dxa"/>
                  <w:vMerge w:val="continue"/>
                  <w:tcBorders>
                    <w:top w:val="nil"/>
                    <w:left w:val="nil"/>
                    <w:bottom w:val="single" w:color="000000" w:sz="4" w:space="0"/>
                    <w:right w:val="single" w:color="000000" w:sz="4" w:space="0"/>
                  </w:tcBorders>
                </w:tcPr>
                <w:p w14:paraId="097C36CF">
                  <w:pPr>
                    <w:rPr>
                      <w:rFonts w:ascii="Calibri" w:hAnsi="Calibri" w:eastAsia="宋体" w:cs="Times New Roman"/>
                    </w:rPr>
                  </w:pPr>
                </w:p>
              </w:tc>
            </w:tr>
            <w:tr w14:paraId="4BC8F5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5" w:type="dxa"/>
                  <w:tcBorders>
                    <w:top w:val="nil"/>
                    <w:left w:val="single" w:color="000000" w:sz="4" w:space="0"/>
                    <w:bottom w:val="single" w:color="000000" w:sz="4" w:space="0"/>
                    <w:right w:val="single" w:color="000000" w:sz="4" w:space="0"/>
                  </w:tcBorders>
                  <w:tcMar>
                    <w:top w:w="0" w:type="dxa"/>
                    <w:left w:w="105" w:type="dxa"/>
                    <w:bottom w:w="0" w:type="dxa"/>
                    <w:right w:w="105" w:type="dxa"/>
                  </w:tcMar>
                </w:tcPr>
                <w:p w14:paraId="4C305268">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数据传输服务</w:t>
                  </w:r>
                </w:p>
              </w:tc>
              <w:tc>
                <w:tcPr>
                  <w:tcW w:w="628" w:type="dxa"/>
                  <w:tcBorders>
                    <w:top w:val="nil"/>
                    <w:left w:val="nil"/>
                    <w:bottom w:val="single" w:color="000000" w:sz="4" w:space="0"/>
                    <w:right w:val="single" w:color="000000" w:sz="4" w:space="0"/>
                  </w:tcBorders>
                  <w:tcMar>
                    <w:top w:w="0" w:type="dxa"/>
                    <w:left w:w="105" w:type="dxa"/>
                    <w:bottom w:w="0" w:type="dxa"/>
                    <w:right w:w="105" w:type="dxa"/>
                  </w:tcMar>
                </w:tcPr>
                <w:p w14:paraId="388086D5">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10</w:t>
                  </w:r>
                </w:p>
              </w:tc>
              <w:tc>
                <w:tcPr>
                  <w:tcW w:w="3369" w:type="dxa"/>
                  <w:tcBorders>
                    <w:top w:val="nil"/>
                    <w:left w:val="nil"/>
                    <w:bottom w:val="single" w:color="000000" w:sz="4" w:space="0"/>
                    <w:right w:val="single" w:color="000000" w:sz="4" w:space="0"/>
                  </w:tcBorders>
                  <w:tcMar>
                    <w:top w:w="0" w:type="dxa"/>
                    <w:left w:w="105" w:type="dxa"/>
                    <w:bottom w:w="0" w:type="dxa"/>
                    <w:right w:w="105" w:type="dxa"/>
                  </w:tcMar>
                </w:tcPr>
                <w:p w14:paraId="336C4D13">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平台至学校监控数据汇聚点在3000比特PING值时丢包率大于3%则判为传输卡顿，每发生一次扣2分，扣完为止。</w:t>
                  </w:r>
                </w:p>
              </w:tc>
              <w:tc>
                <w:tcPr>
                  <w:tcW w:w="914" w:type="dxa"/>
                  <w:vMerge w:val="continue"/>
                  <w:tcBorders>
                    <w:top w:val="nil"/>
                    <w:left w:val="nil"/>
                    <w:bottom w:val="single" w:color="000000" w:sz="4" w:space="0"/>
                    <w:right w:val="single" w:color="000000" w:sz="4" w:space="0"/>
                  </w:tcBorders>
                </w:tcPr>
                <w:p w14:paraId="5432C2AC">
                  <w:pPr>
                    <w:rPr>
                      <w:rFonts w:ascii="Calibri" w:hAnsi="Calibri" w:eastAsia="宋体" w:cs="Times New Roman"/>
                    </w:rPr>
                  </w:pPr>
                </w:p>
              </w:tc>
            </w:tr>
          </w:tbl>
          <w:p w14:paraId="28956137">
            <w:pPr>
              <w:rPr>
                <w:rFonts w:ascii="Calibri" w:hAnsi="Calibri" w:eastAsia="宋体" w:cs="Times New Roman"/>
              </w:rPr>
            </w:pPr>
          </w:p>
        </w:tc>
      </w:tr>
      <w:tr w14:paraId="1B6D15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5E66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09117B4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AC05E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安全责任</w:t>
            </w:r>
          </w:p>
        </w:tc>
        <w:tc>
          <w:tcPr>
            <w:tcW w:w="5814" w:type="dxa"/>
          </w:tcPr>
          <w:p w14:paraId="4CBF39B2">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合同履约期内，如因供应商在履行过程中的疏忽、失职、过错等主观或客观原因给采购人造成损失或侵害，包括但不限于采购人本身的财产损失、由此而导致的采购人对任何第三方的法律责任等，供应商对此均应承担全部的赔偿责任；服务人员在服务现场、工作期间出现的安全事故责任均由供应商负责；服务人员因操作不当引起事故或发生意外伤亡事故，成交供应商应承担其全部责任和所有的经济补偿，采购人概不承担任何责任和经济赔偿。其他条款具体详见政府采购合同草案。</w:t>
            </w:r>
          </w:p>
        </w:tc>
      </w:tr>
      <w:tr w14:paraId="545F79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7443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27E95F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DE640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5814" w:type="dxa"/>
          </w:tcPr>
          <w:p w14:paraId="39AF30C0">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0F0D4C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72300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4F9333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6A814E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09CC990A">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（由于系统固化原因，3.3.2.商务要求中付款进度安排不适用，以此处为准）</w:t>
            </w:r>
          </w:p>
          <w:p w14:paraId="6B4BF89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签订合同之日起30天内支付服务总费用的30%，半年服务期满支付实际发生的服务费减30%预付服务费；总服务期满以后，支付剩余服务费；在支付服务费时根据满意度测评结果的支付系数测算支付金额，半年服务期满服务费支付方法：（∑每月服务点位数*服务单价）*支付系数-预付30%费用；服务期满后服务费支付方法：（∑每月服务点位数*服务单价）*支付系数。</w:t>
            </w:r>
          </w:p>
        </w:tc>
      </w:tr>
    </w:tbl>
    <w:p w14:paraId="099CFF16">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5F2752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EFDD6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FFC0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E3B46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9D7DB4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5814" w:type="dxa"/>
          </w:tcPr>
          <w:p w14:paraId="1A67F5F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266F7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D4BC2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39AA8D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1D937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w:t>
            </w:r>
          </w:p>
        </w:tc>
        <w:tc>
          <w:tcPr>
            <w:tcW w:w="5814" w:type="dxa"/>
          </w:tcPr>
          <w:p w14:paraId="4F3D34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合同签订后到2026年12月31日，合同签订日起到本月末不足15日本月不计算，超过15日的按1个月计算。</w:t>
            </w:r>
          </w:p>
        </w:tc>
      </w:tr>
      <w:tr w14:paraId="4046F7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5EFCD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71DB62B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0442E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服务地点</w:t>
            </w:r>
          </w:p>
        </w:tc>
        <w:tc>
          <w:tcPr>
            <w:tcW w:w="5814" w:type="dxa"/>
          </w:tcPr>
          <w:p w14:paraId="77303D7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邛崃市各学校（详见服务学校及点位数）</w:t>
            </w:r>
          </w:p>
        </w:tc>
      </w:tr>
      <w:tr w14:paraId="092DA7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5E96E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6431632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51A51C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5814" w:type="dxa"/>
          </w:tcPr>
          <w:p w14:paraId="1104572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内容详见招标文件2.6.6履约验收方案，投标人需按照2.6.6履约验收方案的内容进行应答，2.6.6履约验收方案为实质性要求。</w:t>
            </w:r>
          </w:p>
        </w:tc>
      </w:tr>
      <w:tr w14:paraId="03E466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3899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7C0171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276DBB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5814" w:type="dxa"/>
          </w:tcPr>
          <w:p w14:paraId="62AAC2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2E1282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ECE4D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0760AE43">
            <w:pPr>
              <w:rPr>
                <w:rFonts w:ascii="Calibri" w:hAnsi="Calibri" w:eastAsia="宋体" w:cs="Times New Roman"/>
              </w:rPr>
            </w:pPr>
          </w:p>
        </w:tc>
        <w:tc>
          <w:tcPr>
            <w:tcW w:w="1495" w:type="dxa"/>
          </w:tcPr>
          <w:p w14:paraId="439399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76C2B5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根据实际服务点位数以月为单位据实结算据实结算，达到付款条件起30日内，据实情况说明为签订合同之日起30天内支付服务总费用的30%，半年服务期满支付实际发生的服务费减30%预付服务费；总服务期满以后，支付剩余服务费；在支付服务费时根据满意度测评结果的支付系数测算支付金额，半年服务期满服务费支付方法：（∑每月服务点位数*服务单价）*支付系数-预付30%费用；服务期满后服务费支付方法：（∑每月服务点位数*服务单价）*支付系数</w:t>
            </w:r>
          </w:p>
        </w:tc>
      </w:tr>
      <w:tr w14:paraId="6769F7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7F1C1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581" w:type="dxa"/>
          </w:tcPr>
          <w:p w14:paraId="537F9B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362D2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5814" w:type="dxa"/>
          </w:tcPr>
          <w:p w14:paraId="3B5C10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（1）供应商必须遵守采购合同并执行合同中的各项规定，保证采购合同的正常履行。 （2）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3）供应商应当遵守采购人的相关项目需求及相关技术要求及实质性条款，实施完成采购合同应当完全满足相关项目需求及相关技术要求及实质性条款，若供应商瑕疵履行采购合同，采购人有权向供应商要求赔偿合同总价款20%的违约金，若造成相关损失的，采购人有权要求供应商承担所有赔偿责任。 （4）有下列情形之一的，当事人可以解除合同：①因不可抗力致使不能实现合同目的(由于非供应商或采购人原因，致使合同实质性条款无法实现的)；②当事人一方迟延履行主要债务，经催告后在合理期限内仍未履行；③当事人一方迟延履行债务或者有其他违约行为致使不能实现合同目的；④法律规定的其他情形。解决争议的方法 项目实施过程中如发生争议，双方应本着互相尊重、友好合作的原则，互相协商，妥善解决；协商不成的，任何一方均有权向采购人所在地有管辖权的人民法院提起诉讼。 （5）合同履行期间,若双方发生争议，可协商或由有关部门调解解决，协商或调解不成的，由当事人依法维护其合法权益。</w:t>
            </w:r>
          </w:p>
        </w:tc>
      </w:tr>
    </w:tbl>
    <w:p w14:paraId="29144C80">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31AE3B64">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25979E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p w14:paraId="51890A6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55332B"/>
    <w:rsid w:val="0D460355"/>
    <w:rsid w:val="0D7D67CB"/>
    <w:rsid w:val="0E370B89"/>
    <w:rsid w:val="1655332B"/>
    <w:rsid w:val="1C9061EF"/>
    <w:rsid w:val="25E55152"/>
    <w:rsid w:val="2DD33ABD"/>
    <w:rsid w:val="51EB11CD"/>
    <w:rsid w:val="6D647D7D"/>
    <w:rsid w:val="6EA569AA"/>
    <w:rsid w:val="754C32EF"/>
    <w:rsid w:val="759756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360" w:lineRule="auto"/>
      <w:jc w:val="center"/>
      <w:outlineLvl w:val="0"/>
    </w:pPr>
    <w:rPr>
      <w:rFonts w:eastAsia="宋体" w:cs="Times New Roman"/>
      <w:b/>
      <w:bCs/>
      <w:color w:val="auto"/>
      <w:kern w:val="44"/>
      <w:sz w:val="32"/>
      <w:szCs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360" w:lineRule="auto"/>
      <w:outlineLvl w:val="1"/>
    </w:pPr>
    <w:rPr>
      <w:rFonts w:ascii="Arial" w:hAnsi="Arial" w:eastAsia="黑体"/>
      <w:b/>
      <w:sz w:val="30"/>
    </w:rPr>
  </w:style>
  <w:style w:type="paragraph" w:styleId="4">
    <w:name w:val="heading 3"/>
    <w:basedOn w:val="1"/>
    <w:next w:val="1"/>
    <w:semiHidden/>
    <w:unhideWhenUsed/>
    <w:qFormat/>
    <w:uiPriority w:val="0"/>
    <w:pPr>
      <w:keepNext/>
      <w:keepLines/>
      <w:spacing w:before="260" w:beforeLines="0" w:beforeAutospacing="0" w:after="260" w:afterLines="0" w:afterAutospacing="0" w:line="360" w:lineRule="auto"/>
      <w:outlineLvl w:val="2"/>
    </w:pPr>
    <w:rPr>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rPr>
      <w:rFonts w:asciiTheme="minorAscii" w:hAnsiTheme="minorAscii"/>
      <w:sz w:val="21"/>
    </w:rPr>
  </w:style>
  <w:style w:type="paragraph" w:styleId="6">
    <w:name w:val="Body Text"/>
    <w:basedOn w:val="1"/>
    <w:qFormat/>
    <w:uiPriority w:val="0"/>
    <w:pPr>
      <w:spacing w:after="120" w:afterLines="0" w:afterAutospacing="0"/>
    </w:p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2025-09-29T09:43:00Z</dcterms:created>
  <dc:creator>杨静</dc:creator>
  <cp:lastModifiedBy>杨静</cp:lastModifiedBy>
  <dcterms:modified xsi:type="dcterms:W3CDTF">2025-09-29T09:43:39Z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415CB3B06F2F4BBEAB7417233CC6951A_11</vt:lpwstr>
  </property>
  <property fmtid="{D5CDD505-2E9C-101B-9397-08002B2CF9AE}" pid="4" name="KSOTemplateDocerSaveRecord">
    <vt:lpwstr>eyJoZGlkIjoiMTQwNjZjNjQ0M2M3NjJkNTAxNjdjMDY4YzUzODllZmYiLCJ1c2VySWQiOiI1ODgxMjY0MzIifQ==</vt:lpwstr>
  </property>
</Properties>
</file>