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5170B">
      <w:pPr>
        <w:jc w:val="right"/>
        <w:rPr>
          <w:rFonts w:ascii="仿宋" w:hAnsi="仿宋" w:cs="仿宋_GB2312"/>
          <w:bCs/>
          <w:color w:val="auto"/>
          <w:sz w:val="24"/>
        </w:rPr>
      </w:pPr>
      <w:r>
        <w:rPr>
          <w:rFonts w:ascii="仿宋" w:hAnsi="仿宋"/>
          <w:color w:val="auto"/>
        </w:rPr>
        <w:t xml:space="preserve"> </w:t>
      </w:r>
    </w:p>
    <w:p w14:paraId="40A79B8C">
      <w:pPr>
        <w:spacing w:line="360" w:lineRule="auto"/>
        <w:ind w:firstLine="260" w:firstLineChars="50"/>
        <w:jc w:val="center"/>
        <w:rPr>
          <w:rFonts w:ascii="仿宋" w:hAnsi="仿宋" w:cs="仿宋_GB2312"/>
          <w:b/>
          <w:color w:val="auto"/>
          <w:sz w:val="52"/>
          <w:szCs w:val="52"/>
        </w:rPr>
      </w:pPr>
    </w:p>
    <w:p w14:paraId="2327093C">
      <w:pPr>
        <w:spacing w:after="249" w:line="259" w:lineRule="auto"/>
        <w:ind w:right="9"/>
        <w:jc w:val="center"/>
        <w:rPr>
          <w:rFonts w:ascii="方正小标宋简体" w:hAnsi="仿宋" w:eastAsia="方正小标宋简体"/>
          <w:color w:val="auto"/>
          <w:sz w:val="52"/>
        </w:rPr>
      </w:pPr>
      <w:r>
        <w:rPr>
          <w:rFonts w:hint="eastAsia" w:ascii="方正小标宋简体" w:hAnsi="仿宋" w:eastAsia="方正小标宋简体"/>
          <w:color w:val="auto"/>
          <w:sz w:val="52"/>
        </w:rPr>
        <w:t>辽宁省政府采购项目</w:t>
      </w:r>
    </w:p>
    <w:p w14:paraId="7B01CD35">
      <w:pPr>
        <w:spacing w:line="360" w:lineRule="auto"/>
        <w:ind w:firstLine="120" w:firstLineChars="50"/>
        <w:jc w:val="center"/>
        <w:rPr>
          <w:rFonts w:ascii="仿宋" w:hAnsi="仿宋" w:cs="仿宋_GB2312"/>
          <w:b/>
          <w:color w:val="auto"/>
          <w:sz w:val="24"/>
        </w:rPr>
      </w:pPr>
    </w:p>
    <w:p w14:paraId="3F88ABA6">
      <w:pPr>
        <w:pStyle w:val="18"/>
        <w:rPr>
          <w:color w:val="auto"/>
        </w:rPr>
      </w:pPr>
    </w:p>
    <w:p w14:paraId="79FEDF85">
      <w:pPr>
        <w:spacing w:line="360" w:lineRule="auto"/>
        <w:ind w:firstLine="240" w:firstLineChars="50"/>
        <w:jc w:val="center"/>
        <w:rPr>
          <w:rFonts w:ascii="楷体_GB2312" w:hAnsi="仿宋" w:eastAsia="楷体_GB2312" w:cs="仿宋_GB2312"/>
          <w:bCs/>
          <w:color w:val="auto"/>
          <w:sz w:val="48"/>
          <w:szCs w:val="48"/>
        </w:rPr>
      </w:pPr>
      <w:r>
        <w:rPr>
          <w:rFonts w:hint="eastAsia" w:ascii="楷体_GB2312" w:hAnsi="仿宋" w:eastAsia="楷体_GB2312" w:cs="仿宋_GB2312"/>
          <w:bCs/>
          <w:color w:val="auto"/>
          <w:sz w:val="48"/>
          <w:szCs w:val="48"/>
        </w:rPr>
        <w:t>服务类公开招标</w:t>
      </w:r>
    </w:p>
    <w:p w14:paraId="553F20FA">
      <w:pPr>
        <w:spacing w:line="360" w:lineRule="auto"/>
        <w:ind w:firstLine="120" w:firstLineChars="50"/>
        <w:jc w:val="center"/>
        <w:rPr>
          <w:rFonts w:ascii="仿宋" w:hAnsi="仿宋" w:cs="仿宋_GB2312"/>
          <w:b/>
          <w:color w:val="auto"/>
          <w:sz w:val="24"/>
        </w:rPr>
      </w:pPr>
    </w:p>
    <w:p w14:paraId="46AAA971">
      <w:pPr>
        <w:pStyle w:val="18"/>
        <w:rPr>
          <w:color w:val="auto"/>
        </w:rPr>
      </w:pPr>
    </w:p>
    <w:p w14:paraId="526656CF">
      <w:pPr>
        <w:pStyle w:val="18"/>
        <w:rPr>
          <w:color w:val="auto"/>
        </w:rPr>
      </w:pPr>
    </w:p>
    <w:p w14:paraId="6884AE38">
      <w:pPr>
        <w:pStyle w:val="18"/>
        <w:rPr>
          <w:color w:val="auto"/>
        </w:rPr>
      </w:pPr>
    </w:p>
    <w:p w14:paraId="2AB3A10F">
      <w:pPr>
        <w:spacing w:line="360" w:lineRule="auto"/>
        <w:ind w:firstLine="360" w:firstLineChars="50"/>
        <w:jc w:val="center"/>
        <w:rPr>
          <w:rFonts w:ascii="黑体" w:hAnsi="黑体" w:eastAsia="黑体" w:cs="仿宋_GB2312"/>
          <w:b/>
          <w:color w:val="auto"/>
          <w:sz w:val="100"/>
          <w:szCs w:val="100"/>
        </w:rPr>
      </w:pPr>
      <w:r>
        <w:rPr>
          <w:rFonts w:hint="eastAsia" w:ascii="黑体" w:hAnsi="黑体" w:eastAsia="黑体" w:cs="仿宋_GB2312"/>
          <w:b/>
          <w:color w:val="auto"/>
          <w:sz w:val="72"/>
          <w:szCs w:val="72"/>
        </w:rPr>
        <w:t>采购文件</w:t>
      </w:r>
    </w:p>
    <w:p w14:paraId="19165BCC">
      <w:pPr>
        <w:jc w:val="center"/>
        <w:rPr>
          <w:rFonts w:ascii="仿宋_GB2312" w:hAnsi="仿宋_GB2312" w:eastAsia="仿宋_GB2312" w:cs="仿宋_GB2312"/>
          <w:color w:val="auto"/>
          <w:sz w:val="56"/>
          <w:szCs w:val="96"/>
        </w:rPr>
      </w:pPr>
    </w:p>
    <w:p w14:paraId="2E3DE53D">
      <w:pPr>
        <w:spacing w:line="480" w:lineRule="exact"/>
        <w:jc w:val="center"/>
        <w:rPr>
          <w:rFonts w:ascii="仿宋" w:hAnsi="仿宋" w:cs="仿宋_GB2312"/>
          <w:b/>
          <w:color w:val="auto"/>
          <w:sz w:val="24"/>
        </w:rPr>
      </w:pPr>
    </w:p>
    <w:p w14:paraId="0DC57C70">
      <w:pPr>
        <w:spacing w:line="480" w:lineRule="exact"/>
        <w:jc w:val="center"/>
        <w:rPr>
          <w:rFonts w:ascii="仿宋" w:hAnsi="仿宋" w:cs="仿宋_GB2312"/>
          <w:b/>
          <w:color w:val="auto"/>
          <w:sz w:val="24"/>
        </w:rPr>
      </w:pPr>
    </w:p>
    <w:p w14:paraId="323571D4">
      <w:pPr>
        <w:spacing w:line="480" w:lineRule="exact"/>
        <w:jc w:val="center"/>
        <w:rPr>
          <w:rFonts w:ascii="仿宋" w:hAnsi="仿宋" w:cs="仿宋_GB2312"/>
          <w:b/>
          <w:color w:val="auto"/>
          <w:sz w:val="24"/>
        </w:rPr>
      </w:pPr>
    </w:p>
    <w:p w14:paraId="33DB1A13">
      <w:pPr>
        <w:spacing w:line="480" w:lineRule="exact"/>
        <w:jc w:val="center"/>
        <w:rPr>
          <w:rFonts w:ascii="仿宋" w:hAnsi="仿宋" w:cs="仿宋_GB2312"/>
          <w:b/>
          <w:color w:val="auto"/>
          <w:sz w:val="24"/>
        </w:rPr>
      </w:pPr>
    </w:p>
    <w:p w14:paraId="7A704920">
      <w:pPr>
        <w:spacing w:line="480" w:lineRule="exact"/>
        <w:jc w:val="center"/>
        <w:rPr>
          <w:rFonts w:ascii="仿宋" w:hAnsi="仿宋" w:cs="仿宋_GB2312"/>
          <w:b/>
          <w:color w:val="auto"/>
          <w:sz w:val="24"/>
        </w:rPr>
      </w:pPr>
    </w:p>
    <w:p w14:paraId="323DEB22">
      <w:pPr>
        <w:spacing w:line="360" w:lineRule="auto"/>
        <w:ind w:left="630" w:leftChars="300"/>
        <w:jc w:val="left"/>
        <w:rPr>
          <w:rFonts w:hint="eastAsia" w:ascii="楷体_GB2312" w:hAnsi="仿宋" w:eastAsia="楷体_GB2312" w:cs="仿宋_GB2312"/>
          <w:bCs/>
          <w:color w:val="auto"/>
          <w:spacing w:val="-6"/>
          <w:w w:val="95"/>
          <w:sz w:val="32"/>
          <w:szCs w:val="32"/>
        </w:rPr>
      </w:pPr>
      <w:r>
        <w:rPr>
          <w:rFonts w:hint="eastAsia" w:ascii="楷体_GB2312" w:hAnsi="仿宋" w:eastAsia="楷体_GB2312" w:cs="仿宋_GB2312"/>
          <w:bCs/>
          <w:color w:val="auto"/>
          <w:sz w:val="32"/>
          <w:szCs w:val="32"/>
        </w:rPr>
        <w:t>项目名称</w:t>
      </w:r>
      <w:r>
        <w:rPr>
          <w:rFonts w:hint="eastAsia" w:ascii="楷体_GB2312" w:hAnsi="仿宋" w:eastAsia="楷体_GB2312" w:cs="仿宋_GB2312"/>
          <w:bCs/>
          <w:color w:val="auto"/>
          <w:spacing w:val="-6"/>
          <w:w w:val="95"/>
          <w:sz w:val="32"/>
          <w:szCs w:val="32"/>
        </w:rPr>
        <w:t>：建平县2025年高素质农民培育项目</w:t>
      </w:r>
    </w:p>
    <w:p w14:paraId="6E5DB910">
      <w:pPr>
        <w:spacing w:line="360" w:lineRule="auto"/>
        <w:ind w:left="630" w:leftChars="300"/>
        <w:jc w:val="left"/>
        <w:rPr>
          <w:rFonts w:ascii="楷体_GB2312" w:hAnsi="仿宋" w:eastAsia="楷体_GB2312" w:cs="仿宋_GB2312"/>
          <w:bCs/>
          <w:color w:val="auto"/>
          <w:sz w:val="32"/>
          <w:szCs w:val="32"/>
        </w:rPr>
      </w:pPr>
      <w:r>
        <w:rPr>
          <w:rFonts w:hint="eastAsia" w:ascii="楷体_GB2312" w:hAnsi="仿宋" w:eastAsia="楷体_GB2312" w:cs="仿宋_GB2312"/>
          <w:bCs/>
          <w:color w:val="auto"/>
          <w:sz w:val="32"/>
          <w:szCs w:val="32"/>
        </w:rPr>
        <w:t>项目编号：</w:t>
      </w:r>
      <w:r>
        <w:rPr>
          <w:rFonts w:hint="eastAsia" w:ascii="楷体_GB2312" w:hAnsi="仿宋" w:eastAsia="楷体_GB2312" w:cs="仿宋_GB2312"/>
          <w:bCs/>
          <w:color w:val="auto"/>
          <w:spacing w:val="-6"/>
          <w:w w:val="95"/>
          <w:sz w:val="32"/>
          <w:szCs w:val="32"/>
        </w:rPr>
        <w:t>JH25-211322-00090</w:t>
      </w:r>
    </w:p>
    <w:p w14:paraId="3C042E00">
      <w:pPr>
        <w:spacing w:line="360" w:lineRule="auto"/>
        <w:ind w:firstLine="640" w:firstLineChars="200"/>
        <w:rPr>
          <w:rFonts w:ascii="楷体_GB2312" w:hAnsi="仿宋" w:eastAsia="楷体_GB2312" w:cs="仿宋_GB2312"/>
          <w:bCs/>
          <w:color w:val="auto"/>
          <w:sz w:val="40"/>
          <w:szCs w:val="40"/>
        </w:rPr>
      </w:pPr>
      <w:r>
        <w:rPr>
          <w:rFonts w:hint="eastAsia" w:ascii="楷体_GB2312" w:hAnsi="仿宋" w:eastAsia="楷体_GB2312" w:cs="仿宋_GB2312"/>
          <w:bCs/>
          <w:color w:val="auto"/>
          <w:sz w:val="32"/>
          <w:szCs w:val="32"/>
        </w:rPr>
        <w:t>编制单位：辽宁</w:t>
      </w:r>
      <w:r>
        <w:rPr>
          <w:rFonts w:hint="eastAsia" w:ascii="楷体_GB2312" w:hAnsi="仿宋" w:eastAsia="楷体_GB2312" w:cs="仿宋_GB2312"/>
          <w:bCs/>
          <w:color w:val="auto"/>
          <w:sz w:val="32"/>
          <w:szCs w:val="32"/>
          <w:lang w:val="en-US" w:eastAsia="zh-CN"/>
        </w:rPr>
        <w:t>聚诚项目管理</w:t>
      </w:r>
      <w:r>
        <w:rPr>
          <w:rFonts w:hint="eastAsia" w:ascii="楷体_GB2312" w:hAnsi="仿宋" w:eastAsia="楷体_GB2312" w:cs="仿宋_GB2312"/>
          <w:bCs/>
          <w:color w:val="auto"/>
          <w:sz w:val="32"/>
          <w:szCs w:val="32"/>
        </w:rPr>
        <w:t>有限公司</w:t>
      </w:r>
    </w:p>
    <w:p w14:paraId="2628B811">
      <w:pPr>
        <w:jc w:val="center"/>
        <w:rPr>
          <w:rFonts w:ascii="仿宋" w:hAnsi="仿宋" w:cs="仿宋_GB2312"/>
          <w:bCs/>
          <w:color w:val="auto"/>
          <w:sz w:val="40"/>
          <w:szCs w:val="40"/>
        </w:rPr>
        <w:sectPr>
          <w:headerReference r:id="rId3" w:type="default"/>
          <w:pgSz w:w="11906" w:h="16838"/>
          <w:pgMar w:top="1440" w:right="1700" w:bottom="1440" w:left="1701" w:header="851" w:footer="992" w:gutter="0"/>
          <w:pgNumType w:start="1"/>
          <w:cols w:space="720" w:num="1"/>
          <w:titlePg/>
          <w:docGrid w:type="linesAndChars" w:linePitch="312" w:charSpace="0"/>
        </w:sectPr>
      </w:pPr>
    </w:p>
    <w:p w14:paraId="4AE48484">
      <w:pPr>
        <w:spacing w:before="312" w:beforeLines="100" w:after="312" w:afterLines="100" w:line="480" w:lineRule="auto"/>
        <w:jc w:val="center"/>
        <w:rPr>
          <w:rFonts w:ascii="仿宋" w:hAnsi="仿宋" w:cs="仿宋_GB2312"/>
          <w:b/>
          <w:bCs/>
          <w:color w:val="auto"/>
          <w:sz w:val="44"/>
          <w:szCs w:val="44"/>
        </w:rPr>
      </w:pPr>
      <w:r>
        <w:rPr>
          <w:rFonts w:hint="eastAsia" w:ascii="黑体" w:hAnsi="黑体" w:eastAsia="黑体" w:cs="仿宋_GB2312"/>
          <w:b/>
          <w:bCs/>
          <w:color w:val="auto"/>
          <w:sz w:val="44"/>
          <w:szCs w:val="44"/>
        </w:rPr>
        <w:t>目  录</w:t>
      </w:r>
    </w:p>
    <w:p w14:paraId="5247AC5E">
      <w:pPr>
        <w:pStyle w:val="21"/>
        <w:tabs>
          <w:tab w:val="right" w:leader="dot" w:pos="8290"/>
        </w:tabs>
        <w:spacing w:line="720" w:lineRule="auto"/>
        <w:rPr>
          <w:rFonts w:ascii="仿宋_GB2312" w:hAnsi="仿宋_GB2312" w:eastAsia="仿宋_GB2312" w:cs="仿宋_GB2312"/>
          <w:b/>
          <w:bCs/>
          <w:color w:val="auto"/>
          <w:sz w:val="32"/>
          <w:szCs w:val="32"/>
        </w:rPr>
      </w:pPr>
      <w:bookmarkStart w:id="0" w:name="_Toc1124_WPSOffice_Level1"/>
      <w:bookmarkStart w:id="1" w:name="_Toc2983"/>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TOC \o "1-1" \h \u </w:instrText>
      </w:r>
      <w:r>
        <w:rPr>
          <w:rFonts w:hint="eastAsia" w:ascii="仿宋_GB2312" w:hAnsi="仿宋_GB2312" w:eastAsia="仿宋_GB2312" w:cs="仿宋_GB2312"/>
          <w:b/>
          <w:bCs/>
          <w:color w:val="auto"/>
          <w:sz w:val="32"/>
          <w:szCs w:val="32"/>
        </w:rPr>
        <w:fldChar w:fldCharType="separate"/>
      </w:r>
      <w:r>
        <w:rPr>
          <w:color w:val="auto"/>
        </w:rPr>
        <w:fldChar w:fldCharType="begin"/>
      </w:r>
      <w:r>
        <w:rPr>
          <w:color w:val="auto"/>
        </w:rPr>
        <w:instrText xml:space="preserve"> HYPERLINK \l "_Toc9740" </w:instrText>
      </w:r>
      <w:r>
        <w:rPr>
          <w:color w:val="auto"/>
        </w:rPr>
        <w:fldChar w:fldCharType="separate"/>
      </w:r>
      <w:r>
        <w:rPr>
          <w:rFonts w:hint="eastAsia" w:ascii="仿宋_GB2312" w:hAnsi="仿宋_GB2312" w:eastAsia="仿宋_GB2312" w:cs="仿宋_GB2312"/>
          <w:b/>
          <w:bCs/>
          <w:color w:val="auto"/>
          <w:sz w:val="32"/>
          <w:szCs w:val="32"/>
        </w:rPr>
        <w:t>招标公告</w:t>
      </w:r>
      <w:r>
        <w:rPr>
          <w:rFonts w:hint="eastAsia" w:ascii="仿宋_GB2312" w:hAnsi="仿宋_GB2312" w:eastAsia="仿宋_GB2312" w:cs="仿宋_GB2312"/>
          <w:b/>
          <w:bCs/>
          <w:color w:val="auto"/>
          <w:sz w:val="32"/>
          <w:szCs w:val="32"/>
        </w:rPr>
        <w:tab/>
      </w:r>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 PAGEREF _Toc9740 \h </w:instrText>
      </w:r>
      <w:r>
        <w:rPr>
          <w:rFonts w:hint="eastAsia" w:ascii="仿宋_GB2312" w:hAnsi="仿宋_GB2312" w:eastAsia="仿宋_GB2312" w:cs="仿宋_GB2312"/>
          <w:b/>
          <w:bCs/>
          <w:color w:val="auto"/>
          <w:sz w:val="32"/>
          <w:szCs w:val="32"/>
        </w:rPr>
        <w:fldChar w:fldCharType="separate"/>
      </w:r>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rPr>
        <w:fldChar w:fldCharType="end"/>
      </w:r>
    </w:p>
    <w:p w14:paraId="0F550698">
      <w:pPr>
        <w:pStyle w:val="21"/>
        <w:tabs>
          <w:tab w:val="right" w:leader="dot" w:pos="8290"/>
        </w:tabs>
        <w:spacing w:line="720" w:lineRule="auto"/>
        <w:rPr>
          <w:rFonts w:ascii="仿宋_GB2312" w:hAnsi="仿宋_GB2312" w:eastAsia="仿宋_GB2312" w:cs="仿宋_GB2312"/>
          <w:b/>
          <w:bCs/>
          <w:color w:val="auto"/>
          <w:sz w:val="32"/>
          <w:szCs w:val="32"/>
        </w:rPr>
      </w:pPr>
      <w:r>
        <w:rPr>
          <w:color w:val="auto"/>
        </w:rPr>
        <w:fldChar w:fldCharType="begin"/>
      </w:r>
      <w:r>
        <w:rPr>
          <w:color w:val="auto"/>
        </w:rPr>
        <w:instrText xml:space="preserve"> HYPERLINK \l "_Toc24714" </w:instrText>
      </w:r>
      <w:r>
        <w:rPr>
          <w:color w:val="auto"/>
        </w:rPr>
        <w:fldChar w:fldCharType="separate"/>
      </w:r>
      <w:r>
        <w:rPr>
          <w:rFonts w:hint="eastAsia" w:ascii="仿宋_GB2312" w:hAnsi="仿宋_GB2312" w:eastAsia="仿宋_GB2312" w:cs="仿宋_GB2312"/>
          <w:b/>
          <w:bCs/>
          <w:color w:val="auto"/>
          <w:sz w:val="32"/>
          <w:szCs w:val="32"/>
        </w:rPr>
        <w:t>第一章 投标人须知</w:t>
      </w:r>
      <w:r>
        <w:rPr>
          <w:rFonts w:hint="eastAsia" w:ascii="仿宋_GB2312" w:hAnsi="仿宋_GB2312" w:eastAsia="仿宋_GB2312" w:cs="仿宋_GB2312"/>
          <w:b/>
          <w:bCs/>
          <w:color w:val="auto"/>
          <w:sz w:val="32"/>
          <w:szCs w:val="32"/>
        </w:rPr>
        <w:tab/>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fldChar w:fldCharType="end"/>
      </w:r>
    </w:p>
    <w:p w14:paraId="7161472D">
      <w:pPr>
        <w:pStyle w:val="21"/>
        <w:tabs>
          <w:tab w:val="right" w:leader="dot" w:pos="8290"/>
        </w:tabs>
        <w:spacing w:line="720" w:lineRule="auto"/>
        <w:rPr>
          <w:rFonts w:hint="eastAsia" w:ascii="仿宋_GB2312" w:hAnsi="仿宋_GB2312" w:eastAsia="仿宋_GB2312" w:cs="仿宋_GB2312"/>
          <w:b/>
          <w:bCs/>
          <w:color w:val="auto"/>
          <w:sz w:val="32"/>
          <w:szCs w:val="32"/>
          <w:lang w:val="en-US" w:eastAsia="zh-CN"/>
        </w:rPr>
      </w:pPr>
      <w:r>
        <w:rPr>
          <w:color w:val="auto"/>
        </w:rPr>
        <w:fldChar w:fldCharType="begin"/>
      </w:r>
      <w:r>
        <w:rPr>
          <w:color w:val="auto"/>
        </w:rPr>
        <w:instrText xml:space="preserve"> HYPERLINK \l "_Toc19603" </w:instrText>
      </w:r>
      <w:r>
        <w:rPr>
          <w:color w:val="auto"/>
        </w:rPr>
        <w:fldChar w:fldCharType="separate"/>
      </w:r>
      <w:r>
        <w:rPr>
          <w:rFonts w:hint="eastAsia" w:ascii="仿宋_GB2312" w:hAnsi="仿宋_GB2312" w:eastAsia="仿宋_GB2312" w:cs="仿宋_GB2312"/>
          <w:b/>
          <w:bCs/>
          <w:color w:val="auto"/>
          <w:sz w:val="32"/>
          <w:szCs w:val="32"/>
        </w:rPr>
        <w:t>第二章 投标文件内容及格式</w:t>
      </w:r>
      <w:r>
        <w:rPr>
          <w:rFonts w:hint="eastAsia" w:ascii="仿宋_GB2312" w:hAnsi="仿宋_GB2312" w:eastAsia="仿宋_GB2312" w:cs="仿宋_GB2312"/>
          <w:b/>
          <w:bCs/>
          <w:color w:val="auto"/>
          <w:sz w:val="32"/>
          <w:szCs w:val="32"/>
        </w:rPr>
        <w:tab/>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lang w:val="en-US" w:eastAsia="zh-CN"/>
        </w:rPr>
        <w:t>6</w:t>
      </w:r>
    </w:p>
    <w:p w14:paraId="3C904454">
      <w:pPr>
        <w:pStyle w:val="21"/>
        <w:tabs>
          <w:tab w:val="right" w:leader="dot" w:pos="8290"/>
        </w:tabs>
        <w:spacing w:line="720" w:lineRule="auto"/>
        <w:rPr>
          <w:rFonts w:hint="eastAsia" w:ascii="仿宋_GB2312" w:hAnsi="仿宋_GB2312" w:eastAsia="仿宋_GB2312" w:cs="仿宋_GB2312"/>
          <w:b/>
          <w:bCs/>
          <w:color w:val="auto"/>
          <w:sz w:val="32"/>
          <w:szCs w:val="32"/>
          <w:lang w:val="en-US" w:eastAsia="zh-CN"/>
        </w:rPr>
      </w:pPr>
      <w:r>
        <w:rPr>
          <w:color w:val="auto"/>
        </w:rPr>
        <w:fldChar w:fldCharType="begin"/>
      </w:r>
      <w:r>
        <w:rPr>
          <w:color w:val="auto"/>
        </w:rPr>
        <w:instrText xml:space="preserve"> HYPERLINK \l "_Toc17242" </w:instrText>
      </w:r>
      <w:r>
        <w:rPr>
          <w:color w:val="auto"/>
        </w:rPr>
        <w:fldChar w:fldCharType="separate"/>
      </w:r>
      <w:r>
        <w:rPr>
          <w:rFonts w:hint="eastAsia" w:ascii="仿宋_GB2312" w:hAnsi="仿宋_GB2312" w:eastAsia="仿宋_GB2312" w:cs="仿宋_GB2312"/>
          <w:b/>
          <w:bCs/>
          <w:color w:val="auto"/>
          <w:sz w:val="32"/>
          <w:szCs w:val="32"/>
        </w:rPr>
        <w:t>第三章 服务需求</w:t>
      </w:r>
      <w:r>
        <w:rPr>
          <w:rFonts w:hint="eastAsia" w:ascii="仿宋_GB2312" w:hAnsi="仿宋_GB2312" w:eastAsia="仿宋_GB2312" w:cs="仿宋_GB2312"/>
          <w:b/>
          <w:bCs/>
          <w:color w:val="auto"/>
          <w:sz w:val="32"/>
          <w:szCs w:val="32"/>
        </w:rPr>
        <w:tab/>
      </w: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lang w:val="en-US" w:eastAsia="zh-CN"/>
        </w:rPr>
        <w:t>7</w:t>
      </w:r>
    </w:p>
    <w:p w14:paraId="09063CC1">
      <w:pPr>
        <w:pStyle w:val="21"/>
        <w:tabs>
          <w:tab w:val="right" w:leader="dot" w:pos="8290"/>
        </w:tabs>
        <w:spacing w:line="720" w:lineRule="auto"/>
        <w:rPr>
          <w:rFonts w:hint="eastAsia" w:ascii="仿宋_GB2312" w:hAnsi="仿宋_GB2312" w:eastAsia="仿宋_GB2312" w:cs="仿宋_GB2312"/>
          <w:b/>
          <w:bCs/>
          <w:color w:val="auto"/>
          <w:sz w:val="32"/>
          <w:szCs w:val="32"/>
          <w:lang w:val="en-US" w:eastAsia="zh-CN"/>
        </w:rPr>
      </w:pPr>
      <w:r>
        <w:rPr>
          <w:color w:val="auto"/>
        </w:rPr>
        <w:fldChar w:fldCharType="begin"/>
      </w:r>
      <w:r>
        <w:rPr>
          <w:color w:val="auto"/>
        </w:rPr>
        <w:instrText xml:space="preserve"> HYPERLINK \l "_Toc17935" </w:instrText>
      </w:r>
      <w:r>
        <w:rPr>
          <w:color w:val="auto"/>
        </w:rPr>
        <w:fldChar w:fldCharType="separate"/>
      </w:r>
      <w:r>
        <w:rPr>
          <w:rFonts w:hint="eastAsia" w:ascii="仿宋_GB2312" w:hAnsi="仿宋_GB2312" w:eastAsia="仿宋_GB2312" w:cs="仿宋_GB2312"/>
          <w:b/>
          <w:bCs/>
          <w:color w:val="auto"/>
          <w:sz w:val="32"/>
          <w:szCs w:val="32"/>
        </w:rPr>
        <w:t>第四章 评标方法</w:t>
      </w:r>
      <w:r>
        <w:rPr>
          <w:rFonts w:hint="eastAsia" w:ascii="仿宋_GB2312" w:hAnsi="仿宋_GB2312" w:eastAsia="仿宋_GB2312" w:cs="仿宋_GB2312"/>
          <w:b/>
          <w:bCs/>
          <w:color w:val="auto"/>
          <w:sz w:val="32"/>
          <w:szCs w:val="32"/>
        </w:rPr>
        <w:tab/>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lang w:val="en-US" w:eastAsia="zh-CN"/>
        </w:rPr>
        <w:t>9</w:t>
      </w:r>
    </w:p>
    <w:p w14:paraId="5C733193">
      <w:pPr>
        <w:pStyle w:val="21"/>
        <w:tabs>
          <w:tab w:val="right" w:leader="dot" w:pos="8290"/>
        </w:tabs>
        <w:spacing w:line="720" w:lineRule="auto"/>
        <w:rPr>
          <w:rFonts w:hint="eastAsia" w:ascii="仿宋_GB2312" w:hAnsi="仿宋_GB2312" w:eastAsia="仿宋_GB2312" w:cs="仿宋_GB2312"/>
          <w:b/>
          <w:bCs/>
          <w:color w:val="auto"/>
          <w:sz w:val="32"/>
          <w:szCs w:val="32"/>
          <w:lang w:val="en-US" w:eastAsia="zh-CN"/>
        </w:rPr>
      </w:pPr>
      <w:r>
        <w:rPr>
          <w:color w:val="auto"/>
        </w:rPr>
        <w:fldChar w:fldCharType="begin"/>
      </w:r>
      <w:r>
        <w:rPr>
          <w:color w:val="auto"/>
        </w:rPr>
        <w:instrText xml:space="preserve"> HYPERLINK \l "_Toc452" </w:instrText>
      </w:r>
      <w:r>
        <w:rPr>
          <w:color w:val="auto"/>
        </w:rPr>
        <w:fldChar w:fldCharType="separate"/>
      </w:r>
      <w:r>
        <w:rPr>
          <w:rFonts w:hint="eastAsia" w:ascii="仿宋_GB2312" w:hAnsi="仿宋_GB2312" w:eastAsia="仿宋_GB2312" w:cs="仿宋_GB2312"/>
          <w:b/>
          <w:bCs/>
          <w:color w:val="auto"/>
          <w:sz w:val="32"/>
          <w:szCs w:val="32"/>
        </w:rPr>
        <w:t>第五章 政府采购合同条款及格式</w:t>
      </w:r>
      <w:r>
        <w:rPr>
          <w:rFonts w:hint="eastAsia" w:ascii="仿宋_GB2312" w:hAnsi="仿宋_GB2312" w:eastAsia="仿宋_GB2312" w:cs="仿宋_GB2312"/>
          <w:b/>
          <w:bCs/>
          <w:color w:val="auto"/>
          <w:sz w:val="32"/>
          <w:szCs w:val="32"/>
        </w:rPr>
        <w:tab/>
      </w:r>
      <w:r>
        <w:rPr>
          <w:rFonts w:hint="eastAsia" w:ascii="仿宋_GB2312" w:hAnsi="仿宋_GB2312" w:eastAsia="仿宋_GB2312" w:cs="仿宋_GB2312"/>
          <w:b/>
          <w:bCs/>
          <w:color w:val="auto"/>
          <w:sz w:val="32"/>
          <w:szCs w:val="32"/>
          <w:lang w:val="en-US" w:eastAsia="zh-CN"/>
        </w:rPr>
        <w:t>7</w:t>
      </w:r>
      <w:r>
        <w:rPr>
          <w:rFonts w:hint="eastAsia" w:ascii="仿宋_GB2312" w:hAnsi="仿宋_GB2312" w:eastAsia="仿宋_GB2312" w:cs="仿宋_GB2312"/>
          <w:b/>
          <w:bCs/>
          <w:color w:val="auto"/>
          <w:sz w:val="32"/>
          <w:szCs w:val="32"/>
        </w:rPr>
        <w:fldChar w:fldCharType="end"/>
      </w:r>
      <w:r>
        <w:rPr>
          <w:rFonts w:hint="eastAsia" w:ascii="仿宋_GB2312" w:hAnsi="仿宋_GB2312" w:eastAsia="仿宋_GB2312" w:cs="仿宋_GB2312"/>
          <w:b/>
          <w:bCs/>
          <w:color w:val="auto"/>
          <w:sz w:val="32"/>
          <w:szCs w:val="32"/>
          <w:lang w:val="en-US" w:eastAsia="zh-CN"/>
        </w:rPr>
        <w:t>0</w:t>
      </w:r>
    </w:p>
    <w:p w14:paraId="7FECE0FF">
      <w:pPr>
        <w:pStyle w:val="21"/>
        <w:tabs>
          <w:tab w:val="right" w:leader="dot" w:pos="8290"/>
        </w:tabs>
        <w:spacing w:line="720" w:lineRule="auto"/>
        <w:rPr>
          <w:rFonts w:hAnsi="仿宋"/>
          <w:color w:val="auto"/>
        </w:rPr>
        <w:sectPr>
          <w:footerReference r:id="rId4" w:type="default"/>
          <w:pgSz w:w="11906" w:h="16838"/>
          <w:pgMar w:top="1563" w:right="1803" w:bottom="1440" w:left="1803" w:header="956" w:footer="801" w:gutter="0"/>
          <w:pgNumType w:fmt="upperRoman" w:start="1"/>
          <w:cols w:space="720" w:num="1"/>
          <w:docGrid w:type="linesAndChars" w:linePitch="312" w:charSpace="0"/>
        </w:sectPr>
      </w:pPr>
      <w:r>
        <w:rPr>
          <w:rFonts w:hint="eastAsia" w:ascii="仿宋_GB2312" w:hAnsi="仿宋_GB2312" w:eastAsia="仿宋_GB2312" w:cs="仿宋_GB2312"/>
          <w:b/>
          <w:bCs/>
          <w:color w:val="auto"/>
          <w:sz w:val="32"/>
          <w:szCs w:val="32"/>
        </w:rPr>
        <w:fldChar w:fldCharType="end"/>
      </w:r>
    </w:p>
    <w:bookmarkEnd w:id="0"/>
    <w:bookmarkEnd w:id="1"/>
    <w:p w14:paraId="1E995654">
      <w:pPr>
        <w:pStyle w:val="3"/>
        <w:snapToGrid w:val="0"/>
        <w:rPr>
          <w:rFonts w:ascii="方正小标宋简体" w:hAnsi="方正小标宋简体" w:eastAsia="方正小标宋简体" w:cs="方正小标宋简体"/>
          <w:b w:val="0"/>
          <w:bCs/>
          <w:color w:val="auto"/>
          <w:sz w:val="40"/>
          <w:szCs w:val="22"/>
        </w:rPr>
      </w:pPr>
      <w:bookmarkStart w:id="2" w:name="_Toc9740"/>
      <w:bookmarkStart w:id="3" w:name="_Toc116291175"/>
      <w:bookmarkStart w:id="4" w:name="_Toc14248"/>
      <w:r>
        <w:rPr>
          <w:rFonts w:hint="eastAsia" w:ascii="方正小标宋简体" w:hAnsi="方正小标宋简体" w:eastAsia="方正小标宋简体" w:cs="方正小标宋简体"/>
          <w:b w:val="0"/>
          <w:bCs/>
          <w:color w:val="auto"/>
          <w:sz w:val="40"/>
          <w:szCs w:val="22"/>
        </w:rPr>
        <w:t>建平县2025年高素质农民培育项目招标公告</w:t>
      </w:r>
      <w:bookmarkEnd w:id="2"/>
      <w:bookmarkEnd w:id="3"/>
      <w:bookmarkEnd w:id="4"/>
    </w:p>
    <w:p w14:paraId="10D7FEEF">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项目概况</w:t>
      </w:r>
    </w:p>
    <w:p w14:paraId="2BED3991">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u w:val="single"/>
        </w:rPr>
        <w:t>建平县2025年高素质农民培育项目</w:t>
      </w:r>
      <w:r>
        <w:rPr>
          <w:rFonts w:hint="eastAsia" w:ascii="仿宋_GB2312" w:hAnsi="仿宋" w:eastAsia="仿宋_GB2312" w:cs="仿宋_GB2312"/>
          <w:color w:val="auto"/>
          <w:sz w:val="24"/>
        </w:rPr>
        <w:t>招标项目的潜在供应商应在</w:t>
      </w:r>
      <w:r>
        <w:rPr>
          <w:rFonts w:hint="eastAsia" w:ascii="仿宋_GB2312" w:hAnsi="仿宋" w:eastAsia="仿宋_GB2312" w:cs="仿宋_GB2312"/>
          <w:color w:val="auto"/>
          <w:sz w:val="24"/>
          <w:u w:val="single"/>
        </w:rPr>
        <w:t>辽宁政府采购网</w:t>
      </w:r>
      <w:r>
        <w:rPr>
          <w:rFonts w:hint="eastAsia" w:ascii="仿宋_GB2312" w:hAnsi="仿宋" w:eastAsia="仿宋_GB2312" w:cs="仿宋_GB2312"/>
          <w:color w:val="auto"/>
          <w:sz w:val="24"/>
        </w:rPr>
        <w:t>获取招标文件，并于</w:t>
      </w:r>
      <w:r>
        <w:rPr>
          <w:rFonts w:hint="eastAsia" w:ascii="仿宋_GB2312" w:hAnsi="仿宋" w:eastAsia="仿宋_GB2312" w:cs="仿宋_GB2312"/>
          <w:color w:val="auto"/>
          <w:sz w:val="24"/>
          <w:u w:val="single"/>
        </w:rPr>
        <w:t>2025年</w:t>
      </w:r>
      <w:r>
        <w:rPr>
          <w:rFonts w:hint="eastAsia" w:ascii="仿宋_GB2312" w:hAnsi="仿宋" w:eastAsia="仿宋_GB2312" w:cs="仿宋_GB2312"/>
          <w:color w:val="auto"/>
          <w:sz w:val="24"/>
          <w:u w:val="single"/>
          <w:lang w:val="en-US" w:eastAsia="zh-CN"/>
        </w:rPr>
        <w:t>10</w:t>
      </w:r>
      <w:r>
        <w:rPr>
          <w:rFonts w:hint="eastAsia" w:ascii="仿宋_GB2312" w:hAnsi="仿宋" w:eastAsia="仿宋_GB2312" w:cs="仿宋_GB2312"/>
          <w:color w:val="auto"/>
          <w:sz w:val="24"/>
          <w:u w:val="single"/>
        </w:rPr>
        <w:t>月</w:t>
      </w:r>
      <w:r>
        <w:rPr>
          <w:rFonts w:hint="eastAsia" w:ascii="仿宋_GB2312" w:hAnsi="仿宋" w:eastAsia="仿宋_GB2312" w:cs="仿宋_GB2312"/>
          <w:color w:val="auto"/>
          <w:sz w:val="24"/>
          <w:u w:val="single"/>
          <w:lang w:val="en-US" w:eastAsia="zh-CN"/>
        </w:rPr>
        <w:t>15</w:t>
      </w:r>
      <w:r>
        <w:rPr>
          <w:rFonts w:hint="eastAsia" w:ascii="仿宋_GB2312" w:hAnsi="仿宋" w:eastAsia="仿宋_GB2312" w:cs="仿宋_GB2312"/>
          <w:color w:val="auto"/>
          <w:sz w:val="24"/>
          <w:u w:val="single"/>
        </w:rPr>
        <w:t>日09时00分</w:t>
      </w:r>
      <w:r>
        <w:rPr>
          <w:rFonts w:hint="eastAsia" w:ascii="仿宋_GB2312" w:hAnsi="仿宋" w:eastAsia="仿宋_GB2312" w:cs="仿宋_GB2312"/>
          <w:bCs/>
          <w:color w:val="auto"/>
          <w:sz w:val="24"/>
        </w:rPr>
        <w:t>（北京时间）前递交投标文件</w:t>
      </w:r>
      <w:r>
        <w:rPr>
          <w:rFonts w:hint="eastAsia" w:ascii="仿宋_GB2312" w:hAnsi="仿宋" w:eastAsia="仿宋_GB2312" w:cs="仿宋_GB2312"/>
          <w:color w:val="auto"/>
          <w:sz w:val="24"/>
        </w:rPr>
        <w:t>。</w:t>
      </w:r>
    </w:p>
    <w:p w14:paraId="4620DB6A">
      <w:pPr>
        <w:adjustRightInd w:val="0"/>
        <w:snapToGrid w:val="0"/>
        <w:spacing w:line="360" w:lineRule="auto"/>
        <w:ind w:right="-518" w:rightChars="-247"/>
        <w:jc w:val="left"/>
        <w:rPr>
          <w:rFonts w:ascii="仿宋_GB2312" w:hAnsi="仿宋" w:eastAsia="仿宋_GB2312" w:cs="仿宋_GB2312"/>
          <w:b/>
          <w:bCs/>
          <w:color w:val="auto"/>
          <w:sz w:val="24"/>
        </w:rPr>
      </w:pPr>
      <w:bookmarkStart w:id="5" w:name="_Toc28359079"/>
      <w:bookmarkStart w:id="6" w:name="_Toc35393790"/>
      <w:bookmarkStart w:id="7" w:name="_Toc28359002"/>
      <w:bookmarkStart w:id="8" w:name="_Toc35393621"/>
      <w:bookmarkStart w:id="9" w:name="_Hlk24379207"/>
      <w:r>
        <w:rPr>
          <w:rFonts w:hint="eastAsia" w:ascii="仿宋_GB2312" w:hAnsi="仿宋" w:eastAsia="仿宋_GB2312" w:cs="仿宋_GB2312"/>
          <w:b/>
          <w:bCs/>
          <w:color w:val="auto"/>
          <w:sz w:val="24"/>
        </w:rPr>
        <w:t>一、项目基本情况</w:t>
      </w:r>
      <w:bookmarkEnd w:id="5"/>
      <w:bookmarkEnd w:id="6"/>
      <w:bookmarkEnd w:id="7"/>
      <w:bookmarkEnd w:id="8"/>
    </w:p>
    <w:p w14:paraId="01682295">
      <w:pPr>
        <w:adjustRightInd w:val="0"/>
        <w:snapToGrid w:val="0"/>
        <w:spacing w:line="360" w:lineRule="auto"/>
        <w:jc w:val="left"/>
        <w:rPr>
          <w:rFonts w:ascii="仿宋_GB2312" w:hAnsi="仿宋" w:eastAsia="仿宋_GB2312" w:cs="仿宋_GB2312"/>
          <w:color w:val="0000FF"/>
          <w:sz w:val="24"/>
        </w:rPr>
      </w:pPr>
      <w:r>
        <w:rPr>
          <w:rFonts w:hint="eastAsia" w:ascii="仿宋_GB2312" w:hAnsi="仿宋" w:eastAsia="仿宋_GB2312" w:cs="仿宋_GB2312"/>
          <w:color w:val="auto"/>
          <w:sz w:val="24"/>
        </w:rPr>
        <w:t>项目编号：JH25-211322-00090</w:t>
      </w:r>
    </w:p>
    <w:p w14:paraId="25C84685">
      <w:pPr>
        <w:adjustRightInd w:val="0"/>
        <w:snapToGrid w:val="0"/>
        <w:spacing w:line="360"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bookmarkEnd w:id="9"/>
      <w:r>
        <w:rPr>
          <w:rFonts w:hint="eastAsia" w:ascii="仿宋_GB2312" w:hAnsi="仿宋" w:eastAsia="仿宋_GB2312" w:cs="仿宋_GB2312"/>
          <w:color w:val="auto"/>
          <w:sz w:val="24"/>
        </w:rPr>
        <w:t>建平县2025年高素质农民培育项目</w:t>
      </w:r>
    </w:p>
    <w:p w14:paraId="7599A481">
      <w:pPr>
        <w:adjustRightInd w:val="0"/>
        <w:snapToGrid w:val="0"/>
        <w:spacing w:line="360" w:lineRule="auto"/>
        <w:jc w:val="left"/>
        <w:rPr>
          <w:rFonts w:hint="default" w:ascii="仿宋_GB2312" w:hAnsi="仿宋" w:eastAsia="仿宋_GB2312" w:cs="仿宋_GB2312"/>
          <w:color w:val="0000FF"/>
          <w:sz w:val="24"/>
          <w:lang w:val="en-US" w:eastAsia="zh-CN"/>
        </w:rPr>
      </w:pPr>
      <w:r>
        <w:rPr>
          <w:rFonts w:hint="eastAsia" w:ascii="仿宋_GB2312" w:hAnsi="仿宋" w:eastAsia="仿宋_GB2312" w:cs="仿宋_GB2312"/>
          <w:color w:val="auto"/>
          <w:sz w:val="24"/>
        </w:rPr>
        <w:t>预算金额：</w:t>
      </w:r>
      <w:r>
        <w:rPr>
          <w:rFonts w:hint="eastAsia" w:ascii="仿宋_GB2312" w:hAnsi="仿宋" w:eastAsia="仿宋_GB2312" w:cs="仿宋_GB2312"/>
          <w:color w:val="auto"/>
          <w:sz w:val="24"/>
          <w:lang w:val="en-US" w:eastAsia="zh-CN"/>
        </w:rPr>
        <w:t>2994999.00元</w:t>
      </w:r>
    </w:p>
    <w:p w14:paraId="249C87FF">
      <w:pPr>
        <w:adjustRightInd w:val="0"/>
        <w:snapToGrid w:val="0"/>
        <w:spacing w:line="360" w:lineRule="auto"/>
        <w:jc w:val="left"/>
        <w:rPr>
          <w:rFonts w:ascii="仿宋_GB2312" w:hAnsi="仿宋" w:eastAsia="仿宋_GB2312" w:cs="仿宋_GB2312"/>
          <w:color w:val="0000FF"/>
          <w:sz w:val="24"/>
        </w:rPr>
      </w:pPr>
      <w:r>
        <w:rPr>
          <w:rFonts w:hint="eastAsia" w:ascii="仿宋_GB2312" w:hAnsi="仿宋" w:eastAsia="仿宋_GB2312" w:cs="仿宋_GB2312"/>
          <w:color w:val="auto"/>
          <w:sz w:val="24"/>
        </w:rPr>
        <w:t>最高限价：</w:t>
      </w:r>
      <w:r>
        <w:rPr>
          <w:rFonts w:hint="eastAsia" w:ascii="仿宋_GB2312" w:hAnsi="仿宋" w:eastAsia="仿宋_GB2312" w:cs="仿宋_GB2312"/>
          <w:color w:val="auto"/>
          <w:sz w:val="24"/>
          <w:lang w:val="en-US" w:eastAsia="zh-CN"/>
        </w:rPr>
        <w:t>2994999.00元</w:t>
      </w:r>
    </w:p>
    <w:p w14:paraId="4286011A">
      <w:pPr>
        <w:bidi w:val="0"/>
        <w:spacing w:line="360" w:lineRule="auto"/>
        <w:jc w:val="left"/>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rPr>
        <w:t>采购需求：2025年全县培育高素质农民750人，其中常规班任务目标550人;专题班任务目标200人。根据今年人数和《高素质农民培育规范(修订)》共设置15个班级，每个班级50人，其中常规班11个，专题班4个，原则上当年完成培训任务，学员满意度达到90%以上，训后开展跟踪服务时长不超过1年，</w:t>
      </w:r>
      <w:r>
        <w:rPr>
          <w:rFonts w:hint="eastAsia" w:ascii="仿宋_GB2312" w:hAnsi="仿宋" w:eastAsia="仿宋_GB2312" w:cs="仿宋_GB2312"/>
          <w:color w:val="auto"/>
          <w:sz w:val="24"/>
          <w:lang w:val="en-US" w:eastAsia="zh-CN"/>
        </w:rPr>
        <w:t xml:space="preserve">   </w:t>
      </w:r>
      <w:r>
        <w:rPr>
          <w:rFonts w:hint="eastAsia" w:ascii="仿宋_GB2312" w:hAnsi="仿宋" w:eastAsia="仿宋_GB2312" w:cs="仿宋_GB2312"/>
          <w:color w:val="auto"/>
          <w:sz w:val="24"/>
        </w:rPr>
        <w:t>次数不少于2</w:t>
      </w:r>
      <w:r>
        <w:rPr>
          <w:rFonts w:hint="eastAsia" w:ascii="仿宋_GB2312" w:hAnsi="仿宋" w:eastAsia="仿宋_GB2312" w:cs="仿宋_GB2312"/>
          <w:color w:val="auto"/>
          <w:sz w:val="24"/>
          <w:lang w:val="en-US" w:eastAsia="zh-CN"/>
        </w:rPr>
        <w:t>次。</w:t>
      </w:r>
    </w:p>
    <w:p w14:paraId="12C133CB">
      <w:pPr>
        <w:pStyle w:val="2"/>
        <w:jc w:val="left"/>
        <w:rPr>
          <w:rFonts w:hint="eastAsia"/>
        </w:rPr>
      </w:pPr>
    </w:p>
    <w:p w14:paraId="3F59BBEF">
      <w:pPr>
        <w:adjustRightInd w:val="0"/>
        <w:snapToGrid w:val="0"/>
        <w:jc w:val="left"/>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lang w:val="en-US" w:eastAsia="zh-CN"/>
        </w:rPr>
        <w:t>本项目各包组兼投不兼中,主要内容见下表:</w:t>
      </w:r>
    </w:p>
    <w:p w14:paraId="1D4BAFAC">
      <w:pPr>
        <w:pStyle w:val="2"/>
        <w:rPr>
          <w:rFonts w:hint="default"/>
          <w:lang w:val="en-US" w:eastAsia="zh-CN"/>
        </w:rPr>
      </w:pPr>
    </w:p>
    <w:tbl>
      <w:tblPr>
        <w:tblStyle w:val="25"/>
        <w:tblW w:w="9738" w:type="dxa"/>
        <w:tblInd w:w="-5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554"/>
        <w:gridCol w:w="3563"/>
        <w:gridCol w:w="1300"/>
        <w:gridCol w:w="1450"/>
      </w:tblGrid>
      <w:tr w14:paraId="2DB2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871" w:type="dxa"/>
            <w:tcBorders>
              <w:top w:val="single" w:color="auto" w:sz="4" w:space="0"/>
              <w:left w:val="single" w:color="auto" w:sz="4" w:space="0"/>
              <w:bottom w:val="single" w:color="auto" w:sz="4" w:space="0"/>
              <w:right w:val="single" w:color="auto" w:sz="4" w:space="0"/>
            </w:tcBorders>
            <w:vAlign w:val="center"/>
          </w:tcPr>
          <w:p w14:paraId="5644852C">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包号</w:t>
            </w:r>
          </w:p>
        </w:tc>
        <w:tc>
          <w:tcPr>
            <w:tcW w:w="2554" w:type="dxa"/>
            <w:tcBorders>
              <w:top w:val="single" w:color="auto" w:sz="4" w:space="0"/>
              <w:left w:val="single" w:color="auto" w:sz="4" w:space="0"/>
              <w:bottom w:val="single" w:color="auto" w:sz="4" w:space="0"/>
              <w:right w:val="single" w:color="auto" w:sz="4" w:space="0"/>
            </w:tcBorders>
            <w:vAlign w:val="center"/>
          </w:tcPr>
          <w:p w14:paraId="2EE9F475">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包组名称</w:t>
            </w:r>
          </w:p>
        </w:tc>
        <w:tc>
          <w:tcPr>
            <w:tcW w:w="3563" w:type="dxa"/>
            <w:tcBorders>
              <w:top w:val="single" w:color="auto" w:sz="4" w:space="0"/>
              <w:left w:val="single" w:color="auto" w:sz="4" w:space="0"/>
              <w:bottom w:val="single" w:color="auto" w:sz="4" w:space="0"/>
              <w:right w:val="single" w:color="auto" w:sz="4" w:space="0"/>
            </w:tcBorders>
            <w:vAlign w:val="center"/>
          </w:tcPr>
          <w:p w14:paraId="266303FD">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采购需求</w:t>
            </w:r>
          </w:p>
        </w:tc>
        <w:tc>
          <w:tcPr>
            <w:tcW w:w="1300" w:type="dxa"/>
            <w:tcBorders>
              <w:top w:val="single" w:color="auto" w:sz="4" w:space="0"/>
              <w:left w:val="single" w:color="auto" w:sz="4" w:space="0"/>
              <w:bottom w:val="single" w:color="auto" w:sz="4" w:space="0"/>
              <w:right w:val="single" w:color="auto" w:sz="4" w:space="0"/>
            </w:tcBorders>
            <w:vAlign w:val="center"/>
          </w:tcPr>
          <w:p w14:paraId="5092D5EE">
            <w:pPr>
              <w:adjustRightInd w:val="0"/>
              <w:snapToGrid w:val="0"/>
              <w:jc w:val="center"/>
              <w:rPr>
                <w:rFonts w:hint="eastAsia" w:ascii="仿宋_GB2312" w:hAnsi="仿宋_GB2312" w:eastAsia="仿宋_GB2312" w:cs="仿宋_GB2312"/>
                <w:b/>
                <w:color w:val="auto"/>
                <w:sz w:val="24"/>
                <w:lang w:val="en-US" w:eastAsia="zh-CN"/>
              </w:rPr>
            </w:pPr>
            <w:r>
              <w:rPr>
                <w:rFonts w:hint="eastAsia" w:ascii="仿宋_GB2312" w:hAnsi="仿宋_GB2312" w:eastAsia="仿宋_GB2312" w:cs="仿宋_GB2312"/>
                <w:b/>
                <w:color w:val="auto"/>
                <w:sz w:val="24"/>
                <w:lang w:val="en-US" w:eastAsia="zh-CN"/>
              </w:rPr>
              <w:t>人均单价</w:t>
            </w:r>
          </w:p>
          <w:p w14:paraId="5487FE33">
            <w:pPr>
              <w:adjustRightInd w:val="0"/>
              <w:snapToGrid w:val="0"/>
              <w:jc w:val="center"/>
              <w:rPr>
                <w:rFonts w:hint="default" w:ascii="仿宋_GB2312" w:hAnsi="仿宋_GB2312" w:eastAsia="仿宋_GB2312" w:cs="仿宋_GB2312"/>
                <w:b/>
                <w:color w:val="auto"/>
                <w:sz w:val="24"/>
                <w:lang w:val="en-US" w:eastAsia="zh-CN"/>
              </w:rPr>
            </w:pPr>
            <w:r>
              <w:rPr>
                <w:rFonts w:hint="eastAsia" w:ascii="仿宋_GB2312" w:hAnsi="仿宋_GB2312" w:eastAsia="仿宋_GB2312" w:cs="仿宋_GB2312"/>
                <w:b/>
                <w:color w:val="auto"/>
                <w:sz w:val="24"/>
                <w:lang w:val="en-US" w:eastAsia="zh-CN"/>
              </w:rPr>
              <w:t>（元/人）</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14:paraId="3A151C00">
            <w:pPr>
              <w:adjustRightInd w:val="0"/>
              <w:snapToGrid w:val="0"/>
              <w:jc w:val="center"/>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sz w:val="24"/>
              </w:rPr>
              <w:t>最高限价（元）</w:t>
            </w:r>
          </w:p>
        </w:tc>
      </w:tr>
      <w:tr w14:paraId="7DF42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71" w:type="dxa"/>
            <w:tcBorders>
              <w:top w:val="single" w:color="auto" w:sz="4" w:space="0"/>
              <w:left w:val="single" w:color="auto" w:sz="4" w:space="0"/>
              <w:bottom w:val="single" w:color="auto" w:sz="4" w:space="0"/>
              <w:right w:val="single" w:color="auto" w:sz="4" w:space="0"/>
            </w:tcBorders>
            <w:vAlign w:val="center"/>
          </w:tcPr>
          <w:p w14:paraId="48EF746C">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001</w:t>
            </w:r>
          </w:p>
        </w:tc>
        <w:tc>
          <w:tcPr>
            <w:tcW w:w="2554" w:type="dxa"/>
            <w:tcBorders>
              <w:top w:val="single" w:color="auto" w:sz="4" w:space="0"/>
              <w:left w:val="single" w:color="auto" w:sz="4" w:space="0"/>
              <w:bottom w:val="single" w:color="auto" w:sz="4" w:space="0"/>
              <w:right w:val="single" w:color="auto" w:sz="4" w:space="0"/>
            </w:tcBorders>
            <w:vAlign w:val="center"/>
          </w:tcPr>
          <w:p w14:paraId="7DC839DC">
            <w:pPr>
              <w:widowControl/>
              <w:jc w:val="center"/>
              <w:textAlignment w:val="center"/>
              <w:rPr>
                <w:rFonts w:hint="eastAsia" w:ascii="仿宋_GB2312" w:hAnsi="仿宋_GB2312" w:eastAsia="仿宋_GB2312" w:cs="仿宋_GB2312"/>
                <w:color w:val="auto"/>
                <w:kern w:val="0"/>
                <w:sz w:val="24"/>
                <w:lang w:eastAsia="zh-CN"/>
              </w:rPr>
            </w:pPr>
            <w:r>
              <w:rPr>
                <w:rFonts w:hint="eastAsia" w:ascii="仿宋_GB2312" w:hAnsi="宋体" w:eastAsia="仿宋_GB2312" w:cs="仿宋_GB2312"/>
                <w:color w:val="auto"/>
                <w:kern w:val="0"/>
                <w:sz w:val="24"/>
                <w:lang w:eastAsia="zh-CN" w:bidi="ar"/>
              </w:rPr>
              <w:t>玉米单产提升培训班</w:t>
            </w:r>
          </w:p>
        </w:tc>
        <w:tc>
          <w:tcPr>
            <w:tcW w:w="3563" w:type="dxa"/>
            <w:tcBorders>
              <w:top w:val="single" w:color="auto" w:sz="4" w:space="0"/>
              <w:left w:val="single" w:color="auto" w:sz="4" w:space="0"/>
              <w:bottom w:val="single" w:color="auto" w:sz="4" w:space="0"/>
              <w:right w:val="single" w:color="auto" w:sz="4" w:space="0"/>
            </w:tcBorders>
            <w:vAlign w:val="center"/>
          </w:tcPr>
          <w:p w14:paraId="182D5BC0">
            <w:pPr>
              <w:adjustRightInd w:val="0"/>
              <w:snapToGrid w:val="0"/>
              <w:jc w:val="center"/>
              <w:rPr>
                <w:rFonts w:ascii="仿宋_GB2312" w:hAnsi="仿宋_GB2312" w:eastAsia="仿宋_GB2312" w:cs="仿宋_GB2312"/>
                <w:color w:val="auto"/>
                <w:sz w:val="24"/>
              </w:rPr>
            </w:pPr>
            <w:r>
              <w:rPr>
                <w:rFonts w:hint="eastAsia" w:ascii="仿宋_GB2312" w:hAnsi="宋体" w:eastAsia="仿宋_GB2312" w:cs="仿宋_GB2312"/>
                <w:color w:val="auto"/>
                <w:kern w:val="0"/>
                <w:sz w:val="24"/>
                <w:lang w:eastAsia="zh-CN" w:bidi="ar"/>
              </w:rPr>
              <w:t>玉米单产提升培训班，</w:t>
            </w:r>
            <w:r>
              <w:rPr>
                <w:rFonts w:hint="eastAsia" w:ascii="仿宋_GB2312" w:hAnsi="宋体" w:eastAsia="仿宋_GB2312" w:cs="仿宋_GB2312"/>
                <w:color w:val="auto"/>
                <w:kern w:val="0"/>
                <w:sz w:val="24"/>
                <w:lang w:val="en-US" w:eastAsia="zh-CN" w:bidi="ar"/>
              </w:rPr>
              <w:t>共4个班，每班50人，</w:t>
            </w:r>
            <w:r>
              <w:rPr>
                <w:rFonts w:hint="eastAsia" w:ascii="仿宋_GB2312" w:hAnsi="仿宋_GB2312" w:eastAsia="仿宋_GB2312" w:cs="仿宋_GB2312"/>
                <w:color w:val="auto"/>
                <w:sz w:val="24"/>
                <w:lang w:val="en-US" w:eastAsia="zh-CN"/>
              </w:rPr>
              <w:t>共计200人</w:t>
            </w:r>
            <w:r>
              <w:rPr>
                <w:rFonts w:hint="eastAsia" w:ascii="仿宋_GB2312" w:hAnsi="仿宋_GB2312" w:eastAsia="仿宋_GB2312" w:cs="仿宋_GB2312"/>
                <w:color w:val="auto"/>
                <w:sz w:val="24"/>
              </w:rPr>
              <w:t>。</w:t>
            </w:r>
          </w:p>
        </w:tc>
        <w:tc>
          <w:tcPr>
            <w:tcW w:w="1300" w:type="dxa"/>
            <w:tcBorders>
              <w:top w:val="single" w:color="auto" w:sz="4" w:space="0"/>
              <w:left w:val="single" w:color="auto" w:sz="4" w:space="0"/>
              <w:bottom w:val="single" w:color="auto" w:sz="4" w:space="0"/>
              <w:right w:val="single" w:color="auto" w:sz="4" w:space="0"/>
            </w:tcBorders>
            <w:vAlign w:val="center"/>
          </w:tcPr>
          <w:p w14:paraId="2889AAB7">
            <w:pPr>
              <w:adjustRightInd w:val="0"/>
              <w:snapToGrid w:val="0"/>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3318.18</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14:paraId="16B98237">
            <w:pPr>
              <w:adjustRightInd w:val="0"/>
              <w:snapToGrid w:val="0"/>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lang w:val="en-US" w:eastAsia="zh-CN"/>
              </w:rPr>
              <w:t>663636.00</w:t>
            </w:r>
          </w:p>
        </w:tc>
      </w:tr>
      <w:tr w14:paraId="76A7A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71" w:type="dxa"/>
            <w:tcBorders>
              <w:top w:val="single" w:color="auto" w:sz="4" w:space="0"/>
              <w:left w:val="single" w:color="auto" w:sz="4" w:space="0"/>
              <w:bottom w:val="single" w:color="auto" w:sz="4" w:space="0"/>
              <w:right w:val="single" w:color="auto" w:sz="4" w:space="0"/>
            </w:tcBorders>
            <w:vAlign w:val="center"/>
          </w:tcPr>
          <w:p w14:paraId="63A650B1">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002</w:t>
            </w:r>
          </w:p>
        </w:tc>
        <w:tc>
          <w:tcPr>
            <w:tcW w:w="2554" w:type="dxa"/>
            <w:tcBorders>
              <w:top w:val="single" w:color="auto" w:sz="4" w:space="0"/>
              <w:left w:val="single" w:color="auto" w:sz="4" w:space="0"/>
              <w:bottom w:val="single" w:color="auto" w:sz="4" w:space="0"/>
              <w:right w:val="single" w:color="auto" w:sz="4" w:space="0"/>
            </w:tcBorders>
            <w:vAlign w:val="center"/>
          </w:tcPr>
          <w:p w14:paraId="1D863614">
            <w:pPr>
              <w:widowControl/>
              <w:jc w:val="center"/>
              <w:textAlignment w:val="center"/>
              <w:rPr>
                <w:rFonts w:hint="default" w:ascii="仿宋_GB2312" w:hAnsi="仿宋_GB2312" w:eastAsia="仿宋_GB2312" w:cs="仿宋_GB2312"/>
                <w:color w:val="auto"/>
                <w:sz w:val="24"/>
                <w:lang w:val="en-US" w:eastAsia="zh-CN"/>
              </w:rPr>
            </w:pPr>
            <w:r>
              <w:rPr>
                <w:rFonts w:hint="eastAsia" w:ascii="仿宋_GB2312" w:hAnsi="宋体" w:eastAsia="仿宋_GB2312" w:cs="仿宋_GB2312"/>
                <w:color w:val="auto"/>
                <w:kern w:val="0"/>
                <w:sz w:val="24"/>
                <w:lang w:val="en-US" w:eastAsia="zh-CN" w:bidi="ar"/>
              </w:rPr>
              <w:t>专业农机手培训班</w:t>
            </w:r>
          </w:p>
        </w:tc>
        <w:tc>
          <w:tcPr>
            <w:tcW w:w="3563" w:type="dxa"/>
            <w:tcBorders>
              <w:top w:val="single" w:color="auto" w:sz="4" w:space="0"/>
              <w:left w:val="single" w:color="auto" w:sz="4" w:space="0"/>
              <w:bottom w:val="single" w:color="auto" w:sz="4" w:space="0"/>
              <w:right w:val="single" w:color="auto" w:sz="4" w:space="0"/>
            </w:tcBorders>
            <w:vAlign w:val="center"/>
          </w:tcPr>
          <w:p w14:paraId="345766C9">
            <w:pPr>
              <w:adjustRightInd w:val="0"/>
              <w:snapToGrid w:val="0"/>
              <w:jc w:val="center"/>
              <w:rPr>
                <w:rFonts w:ascii="仿宋_GB2312" w:hAnsi="仿宋_GB2312" w:eastAsia="仿宋_GB2312" w:cs="仿宋_GB2312"/>
                <w:color w:val="auto"/>
                <w:sz w:val="24"/>
              </w:rPr>
            </w:pPr>
            <w:r>
              <w:rPr>
                <w:rFonts w:hint="eastAsia" w:ascii="仿宋_GB2312" w:hAnsi="宋体" w:eastAsia="仿宋_GB2312" w:cs="仿宋_GB2312"/>
                <w:color w:val="auto"/>
                <w:kern w:val="0"/>
                <w:sz w:val="24"/>
                <w:lang w:val="en-US" w:eastAsia="zh-CN" w:bidi="ar"/>
              </w:rPr>
              <w:t>专业农机手培训班</w:t>
            </w:r>
            <w:r>
              <w:rPr>
                <w:rFonts w:hint="eastAsia" w:ascii="仿宋_GB2312" w:hAnsi="仿宋_GB2312" w:eastAsia="仿宋_GB2312" w:cs="仿宋_GB2312"/>
                <w:color w:val="auto"/>
                <w:sz w:val="24"/>
              </w:rPr>
              <w:t>，</w:t>
            </w:r>
            <w:r>
              <w:rPr>
                <w:rFonts w:hint="eastAsia" w:ascii="仿宋_GB2312" w:hAnsi="仿宋_GB2312" w:eastAsia="仿宋_GB2312" w:cs="仿宋_GB2312"/>
                <w:color w:val="auto"/>
                <w:sz w:val="24"/>
                <w:lang w:val="en-US" w:eastAsia="zh-CN"/>
              </w:rPr>
              <w:t>共计4个班，每班50人，共计200人</w:t>
            </w:r>
            <w:r>
              <w:rPr>
                <w:rFonts w:hint="eastAsia" w:ascii="仿宋_GB2312" w:hAnsi="仿宋_GB2312" w:eastAsia="仿宋_GB2312" w:cs="仿宋_GB2312"/>
                <w:color w:val="auto"/>
                <w:sz w:val="24"/>
              </w:rPr>
              <w:t>。</w:t>
            </w:r>
          </w:p>
        </w:tc>
        <w:tc>
          <w:tcPr>
            <w:tcW w:w="1300" w:type="dxa"/>
            <w:tcBorders>
              <w:top w:val="single" w:color="auto" w:sz="4" w:space="0"/>
              <w:left w:val="single" w:color="auto" w:sz="4" w:space="0"/>
              <w:bottom w:val="single" w:color="auto" w:sz="4" w:space="0"/>
              <w:right w:val="single" w:color="auto" w:sz="4" w:space="0"/>
            </w:tcBorders>
            <w:vAlign w:val="center"/>
          </w:tcPr>
          <w:p w14:paraId="69518229">
            <w:pPr>
              <w:adjustRightInd w:val="0"/>
              <w:snapToGrid w:val="0"/>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3318.18</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14:paraId="58FAF4FE">
            <w:pPr>
              <w:adjustRightInd w:val="0"/>
              <w:snapToGrid w:val="0"/>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lang w:val="en-US" w:eastAsia="zh-CN"/>
              </w:rPr>
              <w:t>663636.00</w:t>
            </w:r>
          </w:p>
        </w:tc>
      </w:tr>
      <w:tr w14:paraId="2D64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71" w:type="dxa"/>
            <w:tcBorders>
              <w:top w:val="single" w:color="auto" w:sz="4" w:space="0"/>
              <w:left w:val="single" w:color="auto" w:sz="4" w:space="0"/>
              <w:bottom w:val="single" w:color="auto" w:sz="4" w:space="0"/>
              <w:right w:val="single" w:color="auto" w:sz="4" w:space="0"/>
            </w:tcBorders>
            <w:vAlign w:val="center"/>
          </w:tcPr>
          <w:p w14:paraId="63847AD5">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003</w:t>
            </w:r>
          </w:p>
        </w:tc>
        <w:tc>
          <w:tcPr>
            <w:tcW w:w="2554" w:type="dxa"/>
            <w:tcBorders>
              <w:top w:val="single" w:color="auto" w:sz="4" w:space="0"/>
              <w:left w:val="single" w:color="auto" w:sz="4" w:space="0"/>
              <w:bottom w:val="single" w:color="auto" w:sz="4" w:space="0"/>
              <w:right w:val="single" w:color="auto" w:sz="4" w:space="0"/>
            </w:tcBorders>
            <w:vAlign w:val="center"/>
          </w:tcPr>
          <w:p w14:paraId="64B802A4">
            <w:pPr>
              <w:widowControl/>
              <w:jc w:val="center"/>
              <w:textAlignment w:val="center"/>
              <w:rPr>
                <w:rFonts w:hint="default" w:ascii="仿宋_GB2312" w:hAnsi="仿宋_GB2312" w:eastAsia="仿宋_GB2312" w:cs="仿宋_GB2312"/>
                <w:color w:val="auto"/>
                <w:kern w:val="0"/>
                <w:sz w:val="24"/>
                <w:lang w:val="en-US" w:eastAsia="zh-CN"/>
              </w:rPr>
            </w:pPr>
            <w:r>
              <w:rPr>
                <w:rFonts w:hint="eastAsia" w:ascii="仿宋_GB2312" w:hAnsi="仿宋_GB2312" w:eastAsia="仿宋_GB2312" w:cs="仿宋_GB2312"/>
                <w:color w:val="auto"/>
                <w:kern w:val="0"/>
                <w:sz w:val="24"/>
                <w:lang w:val="en-US" w:eastAsia="zh-CN"/>
              </w:rPr>
              <w:t>肉牛、奶牛养殖培训班</w:t>
            </w:r>
          </w:p>
        </w:tc>
        <w:tc>
          <w:tcPr>
            <w:tcW w:w="3563" w:type="dxa"/>
            <w:tcBorders>
              <w:top w:val="single" w:color="auto" w:sz="4" w:space="0"/>
              <w:left w:val="single" w:color="auto" w:sz="4" w:space="0"/>
              <w:bottom w:val="single" w:color="auto" w:sz="4" w:space="0"/>
              <w:right w:val="single" w:color="auto" w:sz="4" w:space="0"/>
            </w:tcBorders>
            <w:vAlign w:val="center"/>
          </w:tcPr>
          <w:p w14:paraId="23EC55D0">
            <w:pPr>
              <w:adjustRightInd w:val="0"/>
              <w:snapToGrid w:val="0"/>
              <w:jc w:val="center"/>
              <w:rPr>
                <w:rFonts w:ascii="仿宋_GB2312" w:hAnsi="仿宋_GB2312" w:eastAsia="仿宋_GB2312" w:cs="仿宋_GB2312"/>
                <w:color w:val="auto"/>
                <w:kern w:val="0"/>
                <w:sz w:val="24"/>
              </w:rPr>
            </w:pPr>
            <w:r>
              <w:rPr>
                <w:rFonts w:hint="eastAsia" w:ascii="仿宋_GB2312" w:hAnsi="仿宋_GB2312" w:eastAsia="仿宋_GB2312" w:cs="仿宋_GB2312"/>
                <w:color w:val="auto"/>
                <w:sz w:val="24"/>
                <w:lang w:val="en-US" w:eastAsia="zh-CN"/>
              </w:rPr>
              <w:t>肉牛、奶牛养殖培训班，共计3个班，每班50人，共计150人</w:t>
            </w:r>
            <w:r>
              <w:rPr>
                <w:rFonts w:hint="eastAsia" w:ascii="仿宋_GB2312" w:hAnsi="仿宋_GB2312" w:eastAsia="仿宋_GB2312" w:cs="仿宋_GB2312"/>
                <w:color w:val="auto"/>
                <w:sz w:val="24"/>
              </w:rPr>
              <w:t>。</w:t>
            </w:r>
          </w:p>
        </w:tc>
        <w:tc>
          <w:tcPr>
            <w:tcW w:w="1300" w:type="dxa"/>
            <w:tcBorders>
              <w:top w:val="single" w:color="auto" w:sz="4" w:space="0"/>
              <w:left w:val="single" w:color="auto" w:sz="4" w:space="0"/>
              <w:bottom w:val="single" w:color="auto" w:sz="4" w:space="0"/>
              <w:right w:val="single" w:color="auto" w:sz="4" w:space="0"/>
            </w:tcBorders>
            <w:vAlign w:val="center"/>
          </w:tcPr>
          <w:p w14:paraId="0340DEA9">
            <w:pPr>
              <w:adjustRightInd w:val="0"/>
              <w:snapToGrid w:val="0"/>
              <w:jc w:val="center"/>
              <w:rPr>
                <w:rFonts w:hint="default" w:ascii="仿宋_GB2312" w:hAnsi="仿宋" w:eastAsia="仿宋_GB2312" w:cs="仿宋_GB2312"/>
                <w:color w:val="auto"/>
                <w:sz w:val="24"/>
                <w:lang w:val="en-US" w:eastAsia="zh-CN"/>
              </w:rPr>
            </w:pPr>
            <w:r>
              <w:rPr>
                <w:rFonts w:hint="eastAsia" w:ascii="仿宋_GB2312" w:hAnsi="仿宋" w:eastAsia="仿宋_GB2312" w:cs="仿宋_GB2312"/>
                <w:color w:val="auto"/>
                <w:sz w:val="24"/>
                <w:lang w:val="en-US" w:eastAsia="zh-CN"/>
              </w:rPr>
              <w:t>3318.18</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14:paraId="33DA3F0C">
            <w:pPr>
              <w:adjustRightInd w:val="0"/>
              <w:snapToGrid w:val="0"/>
              <w:jc w:val="center"/>
              <w:rPr>
                <w:rFonts w:hint="eastAsia" w:ascii="仿宋_GB2312" w:hAnsi="仿宋" w:eastAsia="仿宋_GB2312" w:cs="仿宋_GB2312"/>
                <w:color w:val="auto"/>
                <w:kern w:val="2"/>
                <w:sz w:val="24"/>
                <w:szCs w:val="24"/>
                <w:lang w:val="en-US" w:eastAsia="zh-CN" w:bidi="ar-SA"/>
              </w:rPr>
            </w:pPr>
            <w:r>
              <w:rPr>
                <w:rFonts w:hint="eastAsia" w:ascii="仿宋_GB2312" w:hAnsi="仿宋" w:eastAsia="仿宋_GB2312" w:cs="仿宋_GB2312"/>
                <w:color w:val="auto"/>
                <w:sz w:val="24"/>
                <w:lang w:val="en-US" w:eastAsia="zh-CN"/>
              </w:rPr>
              <w:t>497727.00</w:t>
            </w:r>
          </w:p>
        </w:tc>
      </w:tr>
      <w:tr w14:paraId="5719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71" w:type="dxa"/>
            <w:tcBorders>
              <w:top w:val="single" w:color="auto" w:sz="4" w:space="0"/>
              <w:left w:val="single" w:color="auto" w:sz="4" w:space="0"/>
              <w:bottom w:val="single" w:color="auto" w:sz="4" w:space="0"/>
              <w:right w:val="single" w:color="auto" w:sz="4" w:space="0"/>
            </w:tcBorders>
            <w:vAlign w:val="center"/>
          </w:tcPr>
          <w:p w14:paraId="2266A955">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004</w:t>
            </w:r>
          </w:p>
        </w:tc>
        <w:tc>
          <w:tcPr>
            <w:tcW w:w="2554" w:type="dxa"/>
            <w:tcBorders>
              <w:top w:val="single" w:color="auto" w:sz="4" w:space="0"/>
              <w:left w:val="single" w:color="auto" w:sz="4" w:space="0"/>
              <w:bottom w:val="single" w:color="auto" w:sz="4" w:space="0"/>
              <w:right w:val="single" w:color="auto" w:sz="4" w:space="0"/>
            </w:tcBorders>
            <w:vAlign w:val="center"/>
          </w:tcPr>
          <w:p w14:paraId="2601D352">
            <w:pPr>
              <w:widowControl/>
              <w:jc w:val="center"/>
              <w:textAlignment w:val="center"/>
              <w:rPr>
                <w:rFonts w:hint="default" w:ascii="仿宋_GB2312" w:hAnsi="仿宋_GB2312" w:eastAsia="仿宋_GB2312" w:cs="仿宋_GB2312"/>
                <w:color w:val="auto"/>
                <w:kern w:val="0"/>
                <w:sz w:val="24"/>
                <w:lang w:val="en-US" w:eastAsia="zh-CN"/>
              </w:rPr>
            </w:pPr>
            <w:r>
              <w:rPr>
                <w:rFonts w:hint="eastAsia" w:ascii="仿宋_GB2312" w:hAnsi="宋体" w:eastAsia="仿宋_GB2312" w:cs="仿宋_GB2312"/>
                <w:color w:val="auto"/>
                <w:kern w:val="0"/>
                <w:sz w:val="24"/>
                <w:lang w:val="en-US" w:eastAsia="zh-CN" w:bidi="ar"/>
              </w:rPr>
              <w:t>农机手专题班</w:t>
            </w:r>
          </w:p>
        </w:tc>
        <w:tc>
          <w:tcPr>
            <w:tcW w:w="3563" w:type="dxa"/>
            <w:tcBorders>
              <w:top w:val="single" w:color="auto" w:sz="4" w:space="0"/>
              <w:left w:val="single" w:color="auto" w:sz="4" w:space="0"/>
              <w:bottom w:val="single" w:color="auto" w:sz="4" w:space="0"/>
              <w:right w:val="single" w:color="auto" w:sz="4" w:space="0"/>
            </w:tcBorders>
            <w:vAlign w:val="center"/>
          </w:tcPr>
          <w:p w14:paraId="3D1FF482">
            <w:pPr>
              <w:adjustRightInd w:val="0"/>
              <w:snapToGrid w:val="0"/>
              <w:jc w:val="center"/>
              <w:rPr>
                <w:rFonts w:ascii="仿宋_GB2312" w:hAnsi="仿宋_GB2312" w:eastAsia="仿宋_GB2312" w:cs="仿宋_GB2312"/>
                <w:color w:val="auto"/>
                <w:kern w:val="0"/>
                <w:sz w:val="24"/>
              </w:rPr>
            </w:pPr>
            <w:r>
              <w:rPr>
                <w:rFonts w:hint="eastAsia" w:ascii="仿宋_GB2312" w:hAnsi="仿宋_GB2312" w:eastAsia="仿宋_GB2312" w:cs="仿宋_GB2312"/>
                <w:color w:val="auto"/>
                <w:sz w:val="24"/>
                <w:lang w:val="en-US" w:eastAsia="zh-CN"/>
              </w:rPr>
              <w:t>农机手专题班，共计4个班，每班50人，共计200人</w:t>
            </w:r>
            <w:r>
              <w:rPr>
                <w:rFonts w:hint="eastAsia" w:ascii="仿宋_GB2312" w:hAnsi="仿宋_GB2312" w:eastAsia="仿宋_GB2312" w:cs="仿宋_GB2312"/>
                <w:color w:val="auto"/>
                <w:sz w:val="24"/>
              </w:rPr>
              <w:t>。</w:t>
            </w:r>
          </w:p>
        </w:tc>
        <w:tc>
          <w:tcPr>
            <w:tcW w:w="1300" w:type="dxa"/>
            <w:tcBorders>
              <w:top w:val="single" w:color="auto" w:sz="4" w:space="0"/>
              <w:left w:val="single" w:color="auto" w:sz="4" w:space="0"/>
              <w:bottom w:val="single" w:color="auto" w:sz="4" w:space="0"/>
              <w:right w:val="single" w:color="auto" w:sz="4" w:space="0"/>
            </w:tcBorders>
            <w:vAlign w:val="center"/>
          </w:tcPr>
          <w:p w14:paraId="2F1122B0">
            <w:pPr>
              <w:adjustRightInd w:val="0"/>
              <w:snapToGrid w:val="0"/>
              <w:jc w:val="center"/>
              <w:rPr>
                <w:rFonts w:hint="default" w:ascii="仿宋_GB2312" w:hAnsi="仿宋" w:eastAsia="仿宋_GB2312" w:cs="仿宋_GB2312"/>
                <w:color w:val="auto"/>
                <w:sz w:val="24"/>
                <w:lang w:val="en-US" w:eastAsia="zh-CN"/>
              </w:rPr>
            </w:pPr>
            <w:r>
              <w:rPr>
                <w:rFonts w:hint="eastAsia" w:ascii="仿宋_GB2312" w:hAnsi="仿宋" w:eastAsia="仿宋_GB2312" w:cs="仿宋_GB2312"/>
                <w:color w:val="auto"/>
                <w:sz w:val="24"/>
                <w:lang w:val="en-US" w:eastAsia="zh-CN"/>
              </w:rPr>
              <w:t>5850.00</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14:paraId="1975DC2F">
            <w:pPr>
              <w:adjustRightInd w:val="0"/>
              <w:snapToGrid w:val="0"/>
              <w:jc w:val="center"/>
              <w:rPr>
                <w:rFonts w:hint="eastAsia" w:ascii="仿宋_GB2312" w:hAnsi="仿宋" w:eastAsia="仿宋_GB2312" w:cs="仿宋_GB2312"/>
                <w:color w:val="auto"/>
                <w:kern w:val="2"/>
                <w:sz w:val="24"/>
                <w:szCs w:val="24"/>
                <w:lang w:val="en-US" w:eastAsia="zh-CN" w:bidi="ar-SA"/>
              </w:rPr>
            </w:pPr>
            <w:r>
              <w:rPr>
                <w:rFonts w:hint="eastAsia" w:ascii="仿宋_GB2312" w:hAnsi="仿宋" w:eastAsia="仿宋_GB2312" w:cs="仿宋_GB2312"/>
                <w:color w:val="auto"/>
                <w:sz w:val="24"/>
                <w:lang w:val="en-US" w:eastAsia="zh-CN"/>
              </w:rPr>
              <w:t>1170000.00</w:t>
            </w:r>
          </w:p>
        </w:tc>
      </w:tr>
    </w:tbl>
    <w:p w14:paraId="0E204A22">
      <w:pPr>
        <w:adjustRightInd w:val="0"/>
        <w:snapToGrid w:val="0"/>
        <w:spacing w:line="360" w:lineRule="auto"/>
        <w:ind w:firstLine="480" w:firstLineChars="200"/>
        <w:rPr>
          <w:rFonts w:hint="eastAsia" w:ascii="仿宋_GB2312" w:hAnsi="仿宋" w:eastAsia="仿宋_GB2312" w:cs="仿宋_GB2312"/>
          <w:color w:val="auto"/>
          <w:sz w:val="24"/>
        </w:rPr>
      </w:pPr>
    </w:p>
    <w:p w14:paraId="4E22AF41">
      <w:pPr>
        <w:adjustRightInd w:val="0"/>
        <w:snapToGrid w:val="0"/>
        <w:spacing w:line="360" w:lineRule="auto"/>
        <w:ind w:firstLine="480" w:firstLineChars="200"/>
        <w:rPr>
          <w:rFonts w:hint="eastAsia" w:ascii="仿宋_GB2312" w:hAnsi="仿宋" w:eastAsia="仿宋_GB2312" w:cs="仿宋_GB2312"/>
          <w:color w:val="0000FF"/>
          <w:sz w:val="24"/>
          <w:lang w:val="en-US" w:eastAsia="zh-CN"/>
        </w:rPr>
      </w:pPr>
      <w:r>
        <w:rPr>
          <w:rFonts w:hint="eastAsia" w:ascii="仿宋_GB2312" w:hAnsi="仿宋" w:eastAsia="仿宋_GB2312" w:cs="仿宋_GB2312"/>
          <w:color w:val="auto"/>
          <w:sz w:val="24"/>
        </w:rPr>
        <w:t>合同履行期限：</w:t>
      </w:r>
      <w:r>
        <w:rPr>
          <w:rFonts w:hint="eastAsia" w:ascii="仿宋_GB2312" w:hAnsi="仿宋" w:eastAsia="仿宋_GB2312" w:cs="仿宋_GB2312"/>
          <w:color w:val="auto"/>
          <w:sz w:val="24"/>
          <w:lang w:val="en-US" w:eastAsia="zh-CN"/>
        </w:rPr>
        <w:t>截止2025年11月30日前完成培训任务</w:t>
      </w:r>
    </w:p>
    <w:p w14:paraId="68FCF7D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olor w:val="auto"/>
          <w:sz w:val="24"/>
        </w:rPr>
        <w:t>需落实的政府采购政策内容：</w:t>
      </w:r>
      <w:bookmarkStart w:id="10" w:name="_Hlk80692934"/>
      <w:r>
        <w:rPr>
          <w:rFonts w:hint="eastAsia" w:ascii="仿宋_GB2312" w:hAnsi="仿宋" w:eastAsia="仿宋_GB2312"/>
          <w:color w:val="auto"/>
          <w:sz w:val="24"/>
        </w:rPr>
        <w:t>中小微企业（含监狱企业）、残疾人就业政府采购政策、节能产品、环境标志产品、聘用建档立卡贫困人员物业公司相关规定。</w:t>
      </w:r>
      <w:bookmarkEnd w:id="10"/>
    </w:p>
    <w:p w14:paraId="31289D6A">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本项目（是/否）接受联合体投标：否。</w:t>
      </w:r>
    </w:p>
    <w:p w14:paraId="281B5E23">
      <w:pPr>
        <w:adjustRightInd w:val="0"/>
        <w:snapToGrid w:val="0"/>
        <w:spacing w:line="360" w:lineRule="auto"/>
        <w:rPr>
          <w:rFonts w:ascii="仿宋_GB2312" w:hAnsi="仿宋" w:eastAsia="仿宋_GB2312" w:cs="仿宋_GB2312"/>
          <w:b/>
          <w:bCs/>
          <w:color w:val="auto"/>
          <w:sz w:val="24"/>
        </w:rPr>
      </w:pPr>
      <w:bookmarkStart w:id="11" w:name="_Toc35393791"/>
      <w:bookmarkStart w:id="12" w:name="_Toc28359080"/>
      <w:bookmarkStart w:id="13" w:name="_Toc35393622"/>
      <w:bookmarkStart w:id="14" w:name="_Toc28359003"/>
      <w:r>
        <w:rPr>
          <w:rFonts w:hint="eastAsia" w:ascii="仿宋_GB2312" w:hAnsi="仿宋" w:eastAsia="仿宋_GB2312" w:cs="仿宋_GB2312"/>
          <w:b/>
          <w:bCs/>
          <w:color w:val="auto"/>
          <w:sz w:val="24"/>
        </w:rPr>
        <w:t>二、供应商的资格要求：</w:t>
      </w:r>
      <w:bookmarkEnd w:id="11"/>
      <w:bookmarkEnd w:id="12"/>
      <w:bookmarkEnd w:id="13"/>
      <w:bookmarkEnd w:id="14"/>
    </w:p>
    <w:p w14:paraId="5451842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1.满足《中华人民共和国政府采购法》第二十二条规定；</w:t>
      </w:r>
    </w:p>
    <w:p w14:paraId="79265246">
      <w:pPr>
        <w:adjustRightInd w:val="0"/>
        <w:snapToGrid w:val="0"/>
        <w:spacing w:line="360" w:lineRule="auto"/>
        <w:ind w:firstLine="480" w:firstLineChars="200"/>
        <w:rPr>
          <w:rFonts w:hint="eastAsia" w:ascii="仿宋_GB2312" w:hAnsi="仿宋" w:eastAsia="仿宋_GB2312" w:cs="仿宋_GB2312"/>
          <w:color w:val="auto"/>
          <w:sz w:val="24"/>
          <w:lang w:val="en-US" w:eastAsia="zh-CN"/>
        </w:rPr>
      </w:pPr>
      <w:bookmarkStart w:id="15" w:name="_Toc28359004"/>
      <w:bookmarkStart w:id="16" w:name="_Toc28359081"/>
      <w:r>
        <w:rPr>
          <w:rFonts w:hint="eastAsia" w:ascii="仿宋_GB2312" w:hAnsi="仿宋" w:eastAsia="仿宋_GB2312" w:cs="仿宋_GB2312"/>
          <w:color w:val="auto"/>
          <w:sz w:val="24"/>
        </w:rPr>
        <w:t>2.落实政府采购政策需满足的资格要求：</w:t>
      </w:r>
      <w:r>
        <w:rPr>
          <w:rFonts w:hint="eastAsia" w:ascii="仿宋_GB2312" w:hAnsi="仿宋" w:eastAsia="仿宋_GB2312" w:cs="仿宋_GB2312"/>
          <w:color w:val="auto"/>
          <w:sz w:val="24"/>
          <w:lang w:val="en-US" w:eastAsia="zh-CN"/>
        </w:rPr>
        <w:t>无</w:t>
      </w:r>
    </w:p>
    <w:p w14:paraId="0BB2D8D6">
      <w:pPr>
        <w:adjustRightInd w:val="0"/>
        <w:snapToGrid w:val="0"/>
        <w:spacing w:line="360" w:lineRule="auto"/>
        <w:ind w:firstLine="480" w:firstLineChars="200"/>
        <w:rPr>
          <w:rFonts w:hint="eastAsia" w:ascii="仿宋_GB2312" w:hAnsi="仿宋" w:eastAsia="仿宋_GB2312" w:cs="仿宋_GB2312"/>
          <w:color w:val="auto"/>
          <w:sz w:val="24"/>
        </w:rPr>
      </w:pPr>
      <w:r>
        <w:rPr>
          <w:rFonts w:hint="eastAsia" w:ascii="仿宋_GB2312" w:hAnsi="仿宋" w:eastAsia="仿宋_GB2312" w:cs="仿宋_GB2312"/>
          <w:color w:val="auto"/>
          <w:sz w:val="24"/>
        </w:rPr>
        <w:t>3.本项目的特定资格要求：供应商</w:t>
      </w:r>
      <w:r>
        <w:rPr>
          <w:rFonts w:hint="eastAsia" w:ascii="仿宋_GB2312" w:hAnsi="仿宋" w:eastAsia="仿宋_GB2312" w:cs="仿宋_GB2312"/>
          <w:color w:val="auto"/>
          <w:sz w:val="24"/>
          <w:lang w:eastAsia="zh-CN"/>
        </w:rPr>
        <w:t>应</w:t>
      </w:r>
      <w:r>
        <w:rPr>
          <w:rFonts w:hint="eastAsia" w:ascii="仿宋_GB2312" w:hAnsi="仿宋" w:eastAsia="仿宋_GB2312" w:cs="仿宋_GB2312"/>
          <w:color w:val="auto"/>
          <w:sz w:val="24"/>
        </w:rPr>
        <w:t>具有</w:t>
      </w:r>
      <w:r>
        <w:rPr>
          <w:rFonts w:hint="eastAsia" w:ascii="仿宋_GB2312" w:hAnsi="仿宋" w:eastAsia="仿宋_GB2312" w:cs="仿宋_GB2312"/>
          <w:color w:val="auto"/>
          <w:sz w:val="24"/>
          <w:lang w:val="en-US" w:eastAsia="zh-CN"/>
        </w:rPr>
        <w:t>中华人民共和国境内注册的独立法人资格并能</w:t>
      </w:r>
      <w:r>
        <w:rPr>
          <w:rFonts w:hint="eastAsia" w:ascii="仿宋_GB2312" w:hAnsi="仿宋" w:eastAsia="仿宋_GB2312" w:cs="仿宋_GB2312"/>
          <w:color w:val="auto"/>
          <w:sz w:val="24"/>
          <w:lang w:eastAsia="zh-CN"/>
        </w:rPr>
        <w:t>承担本项目的能力。</w:t>
      </w:r>
    </w:p>
    <w:p w14:paraId="76D64B9D">
      <w:pPr>
        <w:adjustRightInd w:val="0"/>
        <w:snapToGrid w:val="0"/>
        <w:spacing w:line="360" w:lineRule="auto"/>
        <w:rPr>
          <w:rFonts w:ascii="仿宋_GB2312" w:hAnsi="仿宋" w:eastAsia="仿宋_GB2312" w:cs="仿宋_GB2312"/>
          <w:b/>
          <w:bCs/>
          <w:color w:val="auto"/>
          <w:sz w:val="24"/>
        </w:rPr>
      </w:pPr>
      <w:r>
        <w:rPr>
          <w:rFonts w:hint="eastAsia" w:ascii="仿宋_GB2312" w:hAnsi="仿宋" w:eastAsia="仿宋_GB2312" w:cs="仿宋_GB2312"/>
          <w:b/>
          <w:bCs/>
          <w:color w:val="auto"/>
          <w:sz w:val="24"/>
        </w:rPr>
        <w:t>三、政府采购供应商入库须知</w:t>
      </w:r>
    </w:p>
    <w:p w14:paraId="63144C7E">
      <w:pPr>
        <w:adjustRightInd w:val="0"/>
        <w:snapToGrid w:val="0"/>
        <w:spacing w:line="360" w:lineRule="auto"/>
        <w:ind w:firstLine="480" w:firstLineChars="200"/>
        <w:rPr>
          <w:rFonts w:ascii="仿宋_GB2312" w:hAnsi="仿宋" w:eastAsia="仿宋_GB2312" w:cs="仿宋_GB2312"/>
          <w:color w:val="auto"/>
          <w:sz w:val="24"/>
        </w:rPr>
      </w:pPr>
      <w:bookmarkStart w:id="17" w:name="_Toc35393623"/>
      <w:bookmarkStart w:id="18" w:name="_Toc35393792"/>
      <w:r>
        <w:rPr>
          <w:rFonts w:hint="eastAsia" w:ascii="仿宋_GB2312" w:hAnsi="仿宋" w:eastAsia="仿宋_GB2312" w:cs="仿宋_GB2312"/>
          <w:color w:val="auto"/>
          <w:sz w:val="24"/>
        </w:rPr>
        <w:t>参加辽宁省政府采购活动的供应商未进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1251A891">
      <w:pPr>
        <w:adjustRightInd w:val="0"/>
        <w:snapToGrid w:val="0"/>
        <w:spacing w:line="360" w:lineRule="auto"/>
        <w:rPr>
          <w:rFonts w:ascii="仿宋_GB2312" w:hAnsi="仿宋" w:eastAsia="仿宋_GB2312" w:cs="仿宋_GB2312"/>
          <w:b/>
          <w:bCs/>
          <w:color w:val="auto"/>
          <w:sz w:val="24"/>
        </w:rPr>
      </w:pPr>
      <w:r>
        <w:rPr>
          <w:rFonts w:hint="eastAsia" w:ascii="仿宋_GB2312" w:hAnsi="仿宋" w:eastAsia="仿宋_GB2312" w:cs="仿宋_GB2312"/>
          <w:b/>
          <w:bCs/>
          <w:color w:val="auto"/>
          <w:sz w:val="24"/>
        </w:rPr>
        <w:t>四、获取招标文件</w:t>
      </w:r>
      <w:bookmarkEnd w:id="15"/>
      <w:bookmarkEnd w:id="16"/>
      <w:bookmarkEnd w:id="17"/>
      <w:bookmarkEnd w:id="18"/>
    </w:p>
    <w:p w14:paraId="741D1138">
      <w:pPr>
        <w:snapToGrid w:val="0"/>
        <w:spacing w:line="360" w:lineRule="auto"/>
        <w:ind w:firstLine="540"/>
        <w:jc w:val="left"/>
        <w:rPr>
          <w:rFonts w:ascii="仿宋_GB2312" w:hAnsi="仿宋" w:eastAsia="仿宋_GB2312" w:cs="宋体"/>
          <w:color w:val="0000FF"/>
          <w:sz w:val="24"/>
        </w:rPr>
      </w:pPr>
      <w:r>
        <w:rPr>
          <w:rFonts w:hint="eastAsia" w:ascii="仿宋_GB2312" w:hAnsi="仿宋" w:eastAsia="仿宋_GB2312" w:cs="仿宋_GB2312"/>
          <w:color w:val="auto"/>
          <w:sz w:val="24"/>
        </w:rPr>
        <w:t>时间：</w:t>
      </w:r>
      <w:r>
        <w:rPr>
          <w:rFonts w:hint="eastAsia" w:ascii="仿宋_GB2312" w:hAnsi="仿宋" w:eastAsia="仿宋_GB2312" w:cs="仿宋_GB2312"/>
          <w:color w:val="auto"/>
          <w:sz w:val="24"/>
          <w:u w:val="single"/>
        </w:rPr>
        <w:t>2025年</w:t>
      </w:r>
      <w:r>
        <w:rPr>
          <w:rFonts w:hint="eastAsia" w:ascii="仿宋_GB2312" w:hAnsi="仿宋" w:eastAsia="仿宋_GB2312" w:cs="仿宋_GB2312"/>
          <w:color w:val="auto"/>
          <w:sz w:val="24"/>
          <w:u w:val="single"/>
          <w:lang w:val="en-US" w:eastAsia="zh-CN"/>
        </w:rPr>
        <w:t>09</w:t>
      </w:r>
      <w:r>
        <w:rPr>
          <w:rFonts w:hint="eastAsia" w:ascii="仿宋_GB2312" w:hAnsi="仿宋" w:eastAsia="仿宋_GB2312" w:cs="仿宋_GB2312"/>
          <w:color w:val="auto"/>
          <w:sz w:val="24"/>
          <w:u w:val="single"/>
        </w:rPr>
        <w:t>月</w:t>
      </w:r>
      <w:r>
        <w:rPr>
          <w:rFonts w:hint="eastAsia" w:ascii="仿宋_GB2312" w:hAnsi="仿宋" w:eastAsia="仿宋_GB2312" w:cs="仿宋_GB2312"/>
          <w:color w:val="auto"/>
          <w:sz w:val="24"/>
          <w:u w:val="single"/>
          <w:lang w:val="en-US" w:eastAsia="zh-CN"/>
        </w:rPr>
        <w:t>18</w:t>
      </w:r>
      <w:r>
        <w:rPr>
          <w:rFonts w:hint="eastAsia" w:ascii="仿宋_GB2312" w:hAnsi="仿宋" w:eastAsia="仿宋_GB2312" w:cs="仿宋_GB2312"/>
          <w:color w:val="auto"/>
          <w:sz w:val="24"/>
          <w:u w:val="single"/>
        </w:rPr>
        <w:t>日</w:t>
      </w:r>
      <w:r>
        <w:rPr>
          <w:rFonts w:hint="eastAsia" w:ascii="仿宋_GB2312" w:hAnsi="仿宋" w:eastAsia="仿宋_GB2312" w:cs="仿宋_GB2312"/>
          <w:color w:val="auto"/>
          <w:sz w:val="24"/>
          <w:u w:val="single"/>
          <w:lang w:val="en-US" w:eastAsia="zh-CN"/>
        </w:rPr>
        <w:t>17</w:t>
      </w:r>
      <w:r>
        <w:rPr>
          <w:rFonts w:hint="eastAsia" w:ascii="仿宋_GB2312" w:hAnsi="仿宋" w:eastAsia="仿宋_GB2312" w:cs="仿宋_GB2312"/>
          <w:color w:val="auto"/>
          <w:sz w:val="24"/>
          <w:u w:val="single"/>
        </w:rPr>
        <w:t>时</w:t>
      </w:r>
      <w:r>
        <w:rPr>
          <w:rFonts w:hint="eastAsia" w:ascii="仿宋_GB2312" w:hAnsi="仿宋" w:eastAsia="仿宋_GB2312" w:cs="仿宋_GB2312"/>
          <w:color w:val="auto"/>
          <w:sz w:val="24"/>
          <w:u w:val="single"/>
          <w:lang w:val="en-US" w:eastAsia="zh-CN"/>
        </w:rPr>
        <w:t>00</w:t>
      </w:r>
      <w:r>
        <w:rPr>
          <w:rFonts w:hint="eastAsia" w:ascii="仿宋_GB2312" w:hAnsi="仿宋" w:eastAsia="仿宋_GB2312" w:cs="仿宋_GB2312"/>
          <w:color w:val="auto"/>
          <w:sz w:val="24"/>
          <w:u w:val="single"/>
        </w:rPr>
        <w:t>分至2025年</w:t>
      </w:r>
      <w:r>
        <w:rPr>
          <w:rFonts w:hint="eastAsia" w:ascii="仿宋_GB2312" w:hAnsi="仿宋" w:eastAsia="仿宋_GB2312" w:cs="仿宋_GB2312"/>
          <w:color w:val="auto"/>
          <w:sz w:val="24"/>
          <w:u w:val="single"/>
          <w:lang w:val="en-US" w:eastAsia="zh-CN"/>
        </w:rPr>
        <w:t>09</w:t>
      </w:r>
      <w:r>
        <w:rPr>
          <w:rFonts w:hint="eastAsia" w:ascii="仿宋_GB2312" w:hAnsi="仿宋" w:eastAsia="仿宋_GB2312" w:cs="仿宋_GB2312"/>
          <w:color w:val="auto"/>
          <w:sz w:val="24"/>
          <w:u w:val="single"/>
        </w:rPr>
        <w:t>月</w:t>
      </w:r>
      <w:r>
        <w:rPr>
          <w:rFonts w:hint="eastAsia" w:ascii="仿宋_GB2312" w:hAnsi="仿宋" w:eastAsia="仿宋_GB2312" w:cs="仿宋_GB2312"/>
          <w:color w:val="auto"/>
          <w:sz w:val="24"/>
          <w:u w:val="single"/>
          <w:lang w:val="en-US" w:eastAsia="zh-CN"/>
        </w:rPr>
        <w:t>26</w:t>
      </w:r>
      <w:r>
        <w:rPr>
          <w:rFonts w:hint="eastAsia" w:ascii="仿宋_GB2312" w:hAnsi="仿宋" w:eastAsia="仿宋_GB2312" w:cs="仿宋_GB2312"/>
          <w:color w:val="auto"/>
          <w:sz w:val="24"/>
          <w:u w:val="single"/>
        </w:rPr>
        <w:t>日</w:t>
      </w:r>
      <w:r>
        <w:rPr>
          <w:rFonts w:hint="eastAsia" w:ascii="仿宋_GB2312" w:hAnsi="仿宋" w:eastAsia="仿宋_GB2312" w:cs="仿宋_GB2312"/>
          <w:color w:val="auto"/>
          <w:sz w:val="24"/>
          <w:u w:val="single"/>
          <w:lang w:val="en-US" w:eastAsia="zh-CN"/>
        </w:rPr>
        <w:t>17</w:t>
      </w:r>
      <w:r>
        <w:rPr>
          <w:rFonts w:hint="eastAsia" w:ascii="仿宋_GB2312" w:hAnsi="仿宋" w:eastAsia="仿宋_GB2312" w:cs="仿宋_GB2312"/>
          <w:color w:val="auto"/>
          <w:sz w:val="24"/>
          <w:u w:val="single"/>
        </w:rPr>
        <w:t>时</w:t>
      </w:r>
      <w:r>
        <w:rPr>
          <w:rFonts w:hint="eastAsia" w:ascii="仿宋_GB2312" w:hAnsi="仿宋" w:eastAsia="仿宋_GB2312" w:cs="仿宋_GB2312"/>
          <w:color w:val="auto"/>
          <w:sz w:val="24"/>
          <w:u w:val="single"/>
          <w:lang w:val="en-US" w:eastAsia="zh-CN"/>
        </w:rPr>
        <w:t>0</w:t>
      </w:r>
      <w:bookmarkStart w:id="165" w:name="_GoBack"/>
      <w:bookmarkEnd w:id="165"/>
      <w:r>
        <w:rPr>
          <w:rFonts w:hint="eastAsia" w:ascii="仿宋_GB2312" w:hAnsi="仿宋" w:eastAsia="仿宋_GB2312" w:cs="仿宋_GB2312"/>
          <w:color w:val="auto"/>
          <w:sz w:val="24"/>
          <w:u w:val="single"/>
          <w:lang w:val="en-US" w:eastAsia="zh-CN"/>
        </w:rPr>
        <w:t>0</w:t>
      </w:r>
      <w:r>
        <w:rPr>
          <w:rFonts w:hint="eastAsia" w:ascii="仿宋_GB2312" w:hAnsi="仿宋" w:eastAsia="仿宋_GB2312" w:cs="仿宋_GB2312"/>
          <w:color w:val="auto"/>
          <w:sz w:val="24"/>
          <w:u w:val="single"/>
        </w:rPr>
        <w:t>分00秒</w:t>
      </w:r>
      <w:r>
        <w:rPr>
          <w:rFonts w:hint="eastAsia" w:ascii="仿宋_GB2312" w:hAnsi="仿宋" w:eastAsia="仿宋_GB2312" w:cs="仿宋_GB2312"/>
          <w:color w:val="auto"/>
          <w:sz w:val="24"/>
        </w:rPr>
        <w:t>(提供期限自本公告发布之日起不得少于5个工作日)。</w:t>
      </w:r>
    </w:p>
    <w:p w14:paraId="2F2B8F33">
      <w:pPr>
        <w:snapToGrid w:val="0"/>
        <w:spacing w:line="360" w:lineRule="auto"/>
        <w:ind w:firstLine="540"/>
        <w:jc w:val="left"/>
        <w:rPr>
          <w:rFonts w:ascii="仿宋_GB2312" w:hAnsi="仿宋" w:eastAsia="仿宋_GB2312" w:cs="仿宋_GB2312"/>
          <w:color w:val="auto"/>
          <w:sz w:val="24"/>
        </w:rPr>
      </w:pPr>
      <w:r>
        <w:rPr>
          <w:rFonts w:hint="eastAsia" w:ascii="仿宋_GB2312" w:hAnsi="仿宋" w:eastAsia="仿宋_GB2312" w:cs="仿宋_GB2312"/>
          <w:color w:val="auto"/>
          <w:sz w:val="24"/>
        </w:rPr>
        <w:t>地点：辽宁政府采购网</w:t>
      </w:r>
    </w:p>
    <w:p w14:paraId="11A1D7BB">
      <w:pPr>
        <w:adjustRightInd w:val="0"/>
        <w:snapToGrid w:val="0"/>
        <w:spacing w:line="360" w:lineRule="auto"/>
        <w:ind w:firstLine="540"/>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rPr>
        <w:t>方式：</w:t>
      </w:r>
      <w:r>
        <w:rPr>
          <w:rFonts w:hint="eastAsia" w:ascii="仿宋_GB2312" w:hAnsi="仿宋" w:eastAsia="仿宋_GB2312" w:cs="仿宋_GB2312"/>
          <w:color w:val="auto"/>
          <w:sz w:val="24"/>
          <w:lang w:val="en-US" w:eastAsia="zh-CN"/>
        </w:rPr>
        <w:t>线上</w:t>
      </w:r>
    </w:p>
    <w:p w14:paraId="14D2DDB6">
      <w:pPr>
        <w:adjustRightInd w:val="0"/>
        <w:snapToGrid w:val="0"/>
        <w:spacing w:line="360" w:lineRule="auto"/>
        <w:ind w:firstLine="540"/>
        <w:rPr>
          <w:rFonts w:ascii="仿宋_GB2312" w:hAnsi="仿宋" w:eastAsia="仿宋_GB2312" w:cs="仿宋_GB2312"/>
          <w:color w:val="auto"/>
          <w:sz w:val="24"/>
        </w:rPr>
      </w:pPr>
      <w:r>
        <w:rPr>
          <w:rFonts w:hint="eastAsia" w:ascii="仿宋_GB2312" w:hAnsi="仿宋" w:eastAsia="仿宋_GB2312" w:cs="仿宋_GB2312"/>
          <w:color w:val="auto"/>
          <w:sz w:val="24"/>
        </w:rPr>
        <w:t>售价：免费</w:t>
      </w:r>
    </w:p>
    <w:p w14:paraId="13626D5E">
      <w:pPr>
        <w:adjustRightInd w:val="0"/>
        <w:snapToGrid w:val="0"/>
        <w:spacing w:line="360" w:lineRule="auto"/>
        <w:rPr>
          <w:rFonts w:ascii="仿宋_GB2312" w:hAnsi="仿宋" w:eastAsia="仿宋_GB2312" w:cs="仿宋_GB2312"/>
          <w:b/>
          <w:bCs/>
          <w:color w:val="auto"/>
          <w:sz w:val="24"/>
        </w:rPr>
      </w:pPr>
      <w:bookmarkStart w:id="19" w:name="_Toc28359005"/>
      <w:bookmarkStart w:id="20" w:name="_Toc28359082"/>
      <w:bookmarkStart w:id="21" w:name="_Toc35393624"/>
      <w:bookmarkStart w:id="22" w:name="_Toc35393793"/>
      <w:r>
        <w:rPr>
          <w:rFonts w:hint="eastAsia" w:ascii="仿宋_GB2312" w:hAnsi="仿宋" w:eastAsia="仿宋_GB2312" w:cs="仿宋_GB2312"/>
          <w:b/>
          <w:bCs/>
          <w:color w:val="auto"/>
          <w:sz w:val="24"/>
        </w:rPr>
        <w:t>五、提交投标文件</w:t>
      </w:r>
      <w:bookmarkEnd w:id="19"/>
      <w:bookmarkEnd w:id="20"/>
      <w:r>
        <w:rPr>
          <w:rFonts w:hint="eastAsia" w:ascii="仿宋_GB2312" w:hAnsi="仿宋" w:eastAsia="仿宋_GB2312" w:cs="仿宋_GB2312"/>
          <w:b/>
          <w:bCs/>
          <w:color w:val="auto"/>
          <w:sz w:val="24"/>
        </w:rPr>
        <w:t>截止时间、开标时间和地点</w:t>
      </w:r>
      <w:bookmarkEnd w:id="21"/>
      <w:bookmarkEnd w:id="22"/>
    </w:p>
    <w:p w14:paraId="6F8F756F">
      <w:pPr>
        <w:adjustRightInd w:val="0"/>
        <w:snapToGrid w:val="0"/>
        <w:spacing w:line="360" w:lineRule="auto"/>
        <w:ind w:firstLine="480" w:firstLineChars="200"/>
        <w:rPr>
          <w:rFonts w:ascii="仿宋_GB2312" w:hAnsi="仿宋" w:eastAsia="仿宋_GB2312" w:cs="仿宋_GB2312"/>
          <w:bCs/>
          <w:color w:val="auto"/>
          <w:sz w:val="24"/>
          <w:u w:val="single"/>
        </w:rPr>
      </w:pPr>
      <w:r>
        <w:rPr>
          <w:rFonts w:hint="eastAsia" w:ascii="仿宋_GB2312" w:hAnsi="仿宋" w:eastAsia="仿宋_GB2312" w:cs="仿宋_GB2312"/>
          <w:color w:val="auto"/>
          <w:sz w:val="24"/>
          <w:lang w:val="en-US" w:eastAsia="zh-CN"/>
        </w:rPr>
        <w:t>时间：</w:t>
      </w:r>
      <w:r>
        <w:rPr>
          <w:rFonts w:hint="eastAsia" w:ascii="仿宋_GB2312" w:hAnsi="仿宋" w:eastAsia="仿宋_GB2312" w:cs="仿宋_GB2312"/>
          <w:color w:val="auto"/>
          <w:sz w:val="24"/>
          <w:u w:val="single"/>
          <w:lang w:val="en-US" w:eastAsia="zh-CN"/>
        </w:rPr>
        <w:t>2025</w:t>
      </w:r>
      <w:r>
        <w:rPr>
          <w:rFonts w:hint="eastAsia" w:ascii="仿宋_GB2312" w:hAnsi="仿宋" w:eastAsia="仿宋_GB2312" w:cs="仿宋_GB2312"/>
          <w:color w:val="auto"/>
          <w:sz w:val="24"/>
          <w:u w:val="single"/>
        </w:rPr>
        <w:t xml:space="preserve"> 年</w:t>
      </w:r>
      <w:r>
        <w:rPr>
          <w:rFonts w:hint="eastAsia" w:ascii="仿宋_GB2312" w:hAnsi="仿宋" w:eastAsia="仿宋_GB2312" w:cs="仿宋_GB2312"/>
          <w:color w:val="auto"/>
          <w:sz w:val="24"/>
          <w:u w:val="single"/>
          <w:lang w:val="en-US" w:eastAsia="zh-CN"/>
        </w:rPr>
        <w:t>10</w:t>
      </w:r>
      <w:r>
        <w:rPr>
          <w:rFonts w:hint="eastAsia" w:ascii="仿宋_GB2312" w:hAnsi="仿宋" w:eastAsia="仿宋_GB2312" w:cs="仿宋_GB2312"/>
          <w:color w:val="auto"/>
          <w:sz w:val="24"/>
          <w:u w:val="single"/>
        </w:rPr>
        <w:t xml:space="preserve">月 </w:t>
      </w:r>
      <w:r>
        <w:rPr>
          <w:rFonts w:hint="eastAsia" w:ascii="仿宋_GB2312" w:hAnsi="仿宋" w:eastAsia="仿宋_GB2312" w:cs="仿宋_GB2312"/>
          <w:color w:val="auto"/>
          <w:sz w:val="24"/>
          <w:u w:val="single"/>
          <w:lang w:val="en-US" w:eastAsia="zh-CN"/>
        </w:rPr>
        <w:t>15</w:t>
      </w:r>
      <w:r>
        <w:rPr>
          <w:rFonts w:hint="eastAsia" w:ascii="仿宋_GB2312" w:hAnsi="仿宋" w:eastAsia="仿宋_GB2312" w:cs="仿宋_GB2312"/>
          <w:color w:val="auto"/>
          <w:sz w:val="24"/>
          <w:u w:val="single"/>
        </w:rPr>
        <w:t xml:space="preserve">日 </w:t>
      </w:r>
      <w:r>
        <w:rPr>
          <w:rFonts w:hint="eastAsia" w:ascii="仿宋_GB2312" w:hAnsi="仿宋" w:eastAsia="仿宋_GB2312" w:cs="仿宋_GB2312"/>
          <w:color w:val="auto"/>
          <w:sz w:val="24"/>
          <w:u w:val="single"/>
          <w:lang w:val="en-US" w:eastAsia="zh-CN"/>
        </w:rPr>
        <w:t>9</w:t>
      </w:r>
      <w:r>
        <w:rPr>
          <w:rFonts w:hint="eastAsia" w:ascii="仿宋_GB2312" w:hAnsi="仿宋" w:eastAsia="仿宋_GB2312" w:cs="仿宋_GB2312"/>
          <w:color w:val="auto"/>
          <w:sz w:val="24"/>
          <w:u w:val="single"/>
        </w:rPr>
        <w:t xml:space="preserve">点 </w:t>
      </w:r>
      <w:r>
        <w:rPr>
          <w:rFonts w:hint="eastAsia" w:ascii="仿宋_GB2312" w:hAnsi="仿宋" w:eastAsia="仿宋_GB2312" w:cs="仿宋_GB2312"/>
          <w:color w:val="auto"/>
          <w:sz w:val="24"/>
          <w:u w:val="single"/>
          <w:lang w:val="en-US" w:eastAsia="zh-CN"/>
        </w:rPr>
        <w:t>00</w:t>
      </w:r>
      <w:r>
        <w:rPr>
          <w:rFonts w:hint="eastAsia" w:ascii="仿宋_GB2312" w:hAnsi="仿宋" w:eastAsia="仿宋_GB2312" w:cs="仿宋_GB2312"/>
          <w:color w:val="auto"/>
          <w:sz w:val="24"/>
          <w:u w:val="single"/>
        </w:rPr>
        <w:t xml:space="preserve"> 分（北京时间）</w:t>
      </w:r>
      <w:r>
        <w:rPr>
          <w:rFonts w:hint="eastAsia" w:ascii="仿宋_GB2312" w:hAnsi="仿宋" w:eastAsia="仿宋_GB2312" w:cs="仿宋_GB2312"/>
          <w:color w:val="auto"/>
          <w:sz w:val="24"/>
        </w:rPr>
        <w:t>（自招标文件开始发出之日起至投标人提交投标文件截止之日止，不得少于20日</w:t>
      </w:r>
      <w:r>
        <w:rPr>
          <w:rFonts w:hint="eastAsia" w:ascii="仿宋_GB2312" w:hAnsi="仿宋" w:eastAsia="仿宋_GB2312" w:cs="仿宋_GB2312"/>
          <w:bCs/>
          <w:color w:val="0000FF"/>
          <w:sz w:val="24"/>
        </w:rPr>
        <w:t>）</w:t>
      </w:r>
    </w:p>
    <w:p w14:paraId="01E4EC1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地点：朝阳市公共资源交易中心建平分中心（建平县红山街道人民路149段2号即西环岛农业发展银行东侧一楼）</w:t>
      </w:r>
    </w:p>
    <w:p w14:paraId="7F8BA1D7">
      <w:pPr>
        <w:adjustRightInd w:val="0"/>
        <w:snapToGrid w:val="0"/>
        <w:spacing w:line="360" w:lineRule="auto"/>
        <w:rPr>
          <w:rFonts w:ascii="仿宋_GB2312" w:hAnsi="仿宋" w:eastAsia="仿宋_GB2312" w:cs="仿宋_GB2312"/>
          <w:b/>
          <w:bCs/>
          <w:color w:val="auto"/>
          <w:sz w:val="24"/>
        </w:rPr>
      </w:pPr>
      <w:bookmarkStart w:id="23" w:name="_Toc28359084"/>
      <w:bookmarkStart w:id="24" w:name="_Toc28359007"/>
      <w:bookmarkStart w:id="25" w:name="_Toc35393625"/>
      <w:bookmarkStart w:id="26" w:name="_Toc35393794"/>
      <w:r>
        <w:rPr>
          <w:rFonts w:hint="eastAsia" w:ascii="仿宋_GB2312" w:hAnsi="仿宋" w:eastAsia="仿宋_GB2312" w:cs="仿宋_GB2312"/>
          <w:b/>
          <w:bCs/>
          <w:color w:val="auto"/>
          <w:sz w:val="24"/>
        </w:rPr>
        <w:t>六、公告期限</w:t>
      </w:r>
      <w:bookmarkEnd w:id="23"/>
      <w:bookmarkEnd w:id="24"/>
      <w:bookmarkEnd w:id="25"/>
      <w:bookmarkEnd w:id="26"/>
    </w:p>
    <w:p w14:paraId="1F79150F">
      <w:pPr>
        <w:adjustRightInd w:val="0"/>
        <w:snapToGrid w:val="0"/>
        <w:spacing w:line="360" w:lineRule="auto"/>
        <w:ind w:firstLine="424" w:firstLineChars="177"/>
        <w:rPr>
          <w:rFonts w:ascii="仿宋_GB2312" w:hAnsi="仿宋" w:eastAsia="仿宋_GB2312" w:cs="仿宋_GB2312"/>
          <w:color w:val="auto"/>
          <w:sz w:val="24"/>
        </w:rPr>
      </w:pPr>
      <w:r>
        <w:rPr>
          <w:rFonts w:hint="eastAsia" w:ascii="仿宋_GB2312" w:hAnsi="仿宋" w:eastAsia="仿宋_GB2312" w:cs="仿宋_GB2312"/>
          <w:color w:val="auto"/>
          <w:sz w:val="24"/>
        </w:rPr>
        <w:t>自本公告发布之日起5个工作日。</w:t>
      </w:r>
    </w:p>
    <w:p w14:paraId="1B5F483F">
      <w:pPr>
        <w:keepNext/>
        <w:keepLines/>
        <w:adjustRightInd w:val="0"/>
        <w:snapToGrid w:val="0"/>
        <w:spacing w:line="360" w:lineRule="auto"/>
        <w:rPr>
          <w:rFonts w:ascii="仿宋_GB2312" w:hAnsi="仿宋" w:eastAsia="仿宋_GB2312" w:cs="仿宋_GB2312"/>
          <w:b/>
          <w:color w:val="auto"/>
          <w:sz w:val="24"/>
        </w:rPr>
      </w:pPr>
      <w:r>
        <w:rPr>
          <w:rFonts w:hint="eastAsia" w:ascii="仿宋_GB2312" w:hAnsi="仿宋" w:eastAsia="仿宋_GB2312" w:cs="仿宋_GB2312"/>
          <w:b/>
          <w:color w:val="auto"/>
          <w:sz w:val="24"/>
        </w:rPr>
        <w:t>七、质疑与投诉</w:t>
      </w:r>
    </w:p>
    <w:p w14:paraId="408989AF">
      <w:pPr>
        <w:keepNext/>
        <w:keepLines/>
        <w:adjustRightInd w:val="0"/>
        <w:snapToGrid w:val="0"/>
        <w:spacing w:line="360" w:lineRule="auto"/>
        <w:ind w:firstLine="480" w:firstLineChars="200"/>
        <w:rPr>
          <w:rFonts w:hint="eastAsia" w:ascii="仿宋_GB2312" w:hAnsi="仿宋" w:eastAsia="仿宋_GB2312" w:cs="宋体"/>
          <w:color w:val="auto"/>
          <w:sz w:val="24"/>
        </w:rPr>
      </w:pPr>
      <w:bookmarkStart w:id="27" w:name="_Toc35393626"/>
      <w:bookmarkStart w:id="28" w:name="_Toc35393795"/>
      <w:r>
        <w:rPr>
          <w:rFonts w:hint="eastAsia" w:ascii="仿宋_GB2312" w:hAnsi="仿宋" w:eastAsia="仿宋_GB2312" w:cs="宋体"/>
          <w:color w:val="auto"/>
          <w:sz w:val="24"/>
        </w:rPr>
        <w:t>供应商认为自己的权益受到损害的，可以在知道或者应知其权益受到损害之日起七个工作日内，向采购代理机构或采购人提出质疑。</w:t>
      </w:r>
    </w:p>
    <w:p w14:paraId="72DE5F6D">
      <w:pPr>
        <w:keepNext/>
        <w:keepLines/>
        <w:adjustRightInd w:val="0"/>
        <w:snapToGrid w:val="0"/>
        <w:spacing w:line="360" w:lineRule="auto"/>
        <w:ind w:firstLine="480" w:firstLineChars="200"/>
        <w:rPr>
          <w:rFonts w:hint="eastAsia" w:ascii="仿宋_GB2312" w:hAnsi="仿宋" w:eastAsia="仿宋_GB2312" w:cs="宋体"/>
          <w:color w:val="auto"/>
          <w:sz w:val="24"/>
        </w:rPr>
      </w:pPr>
      <w:r>
        <w:rPr>
          <w:rFonts w:hint="eastAsia" w:ascii="仿宋_GB2312" w:hAnsi="仿宋" w:eastAsia="仿宋_GB2312" w:cs="宋体"/>
          <w:color w:val="auto"/>
          <w:sz w:val="24"/>
        </w:rPr>
        <w:t>1、接收质疑函方式：线上或书面纸质质疑函</w:t>
      </w:r>
    </w:p>
    <w:p w14:paraId="5F4438C2">
      <w:pPr>
        <w:keepNext/>
        <w:keepLines/>
        <w:adjustRightInd w:val="0"/>
        <w:snapToGrid w:val="0"/>
        <w:spacing w:line="360" w:lineRule="auto"/>
        <w:ind w:firstLine="480" w:firstLineChars="200"/>
        <w:rPr>
          <w:rFonts w:hint="eastAsia" w:ascii="仿宋_GB2312" w:hAnsi="仿宋" w:eastAsia="仿宋_GB2312" w:cs="宋体"/>
          <w:color w:val="auto"/>
          <w:sz w:val="24"/>
        </w:rPr>
      </w:pPr>
      <w:r>
        <w:rPr>
          <w:rFonts w:hint="eastAsia" w:ascii="仿宋_GB2312" w:hAnsi="仿宋" w:eastAsia="仿宋_GB2312" w:cs="宋体"/>
          <w:color w:val="auto"/>
          <w:sz w:val="24"/>
        </w:rPr>
        <w:t>2、质疑函内容、格式：应符合《政府采购质疑和投诉办法》相关规定和财政部制定的《政府采购质疑函范本》格式，详见辽宁政府采购网。</w:t>
      </w:r>
    </w:p>
    <w:p w14:paraId="28DA562F">
      <w:pPr>
        <w:keepNext/>
        <w:keepLines/>
        <w:adjustRightInd w:val="0"/>
        <w:snapToGrid w:val="0"/>
        <w:spacing w:line="360" w:lineRule="auto"/>
        <w:ind w:firstLine="480" w:firstLineChars="200"/>
        <w:rPr>
          <w:rFonts w:hint="eastAsia" w:ascii="仿宋_GB2312" w:hAnsi="仿宋" w:eastAsia="仿宋_GB2312" w:cs="宋体"/>
          <w:color w:val="auto"/>
          <w:sz w:val="24"/>
        </w:rPr>
      </w:pPr>
      <w:r>
        <w:rPr>
          <w:rFonts w:hint="eastAsia" w:ascii="仿宋_GB2312" w:hAnsi="仿宋" w:eastAsia="仿宋_GB2312" w:cs="宋体"/>
          <w:color w:val="auto"/>
          <w:sz w:val="24"/>
        </w:rPr>
        <w:t>质疑供应商对采购人、采购代理机构的答复不满意，或者采购人、采购代理机构未在规定时间内作出答复的，可以在答复期满后15个工作日内向本级财政部门提起投诉。</w:t>
      </w:r>
    </w:p>
    <w:p w14:paraId="010476FA">
      <w:pPr>
        <w:keepNext/>
        <w:keepLines/>
        <w:adjustRightInd w:val="0"/>
        <w:snapToGrid w:val="0"/>
        <w:spacing w:line="360" w:lineRule="auto"/>
        <w:rPr>
          <w:rFonts w:ascii="仿宋_GB2312" w:hAnsi="仿宋" w:eastAsia="仿宋_GB2312" w:cs="仿宋_GB2312"/>
          <w:b/>
          <w:color w:val="auto"/>
          <w:sz w:val="24"/>
        </w:rPr>
      </w:pPr>
      <w:r>
        <w:rPr>
          <w:rFonts w:hint="eastAsia" w:ascii="仿宋_GB2312" w:hAnsi="仿宋" w:eastAsia="仿宋_GB2312" w:cs="仿宋_GB2312"/>
          <w:b/>
          <w:color w:val="auto"/>
          <w:sz w:val="24"/>
        </w:rPr>
        <w:t>八、其他补充事宜</w:t>
      </w:r>
      <w:bookmarkEnd w:id="27"/>
      <w:bookmarkEnd w:id="28"/>
    </w:p>
    <w:p w14:paraId="01C5CE57">
      <w:pPr>
        <w:keepNext/>
        <w:keepLines/>
        <w:adjustRightInd w:val="0"/>
        <w:snapToGrid w:val="0"/>
        <w:spacing w:line="360" w:lineRule="auto"/>
        <w:rPr>
          <w:rFonts w:hint="eastAsia" w:ascii="仿宋_GB2312" w:hAnsi="仿宋" w:eastAsia="仿宋_GB2312" w:cs="宋体"/>
          <w:color w:val="auto"/>
          <w:sz w:val="24"/>
        </w:rPr>
      </w:pPr>
      <w:bookmarkStart w:id="29" w:name="_Toc28359008"/>
      <w:bookmarkStart w:id="30" w:name="_Toc35393627"/>
      <w:bookmarkStart w:id="31" w:name="_Toc35393796"/>
      <w:bookmarkStart w:id="32" w:name="_Toc28359085"/>
      <w:r>
        <w:rPr>
          <w:rFonts w:hint="eastAsia" w:ascii="仿宋_GB2312" w:hAnsi="仿宋" w:eastAsia="仿宋_GB2312" w:cs="宋体"/>
          <w:color w:val="auto"/>
          <w:sz w:val="24"/>
        </w:rPr>
        <w:t xml:space="preserve">1、本项目为辽宁省政府采购电子招投标（采购）项目，参与本项目的供应商需自行办理政府采购CA数字证书并学习电子响应文件制作教程，系统操作问题请咨询技术支持电话（400-128-8588），CA 办理问题请咨询CA认证机构。供应商因自身操作问题导致的一切不良后果由供应商自行承担。 </w:t>
      </w:r>
    </w:p>
    <w:p w14:paraId="68CA20D7">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2、本项目响应文件递交方式采用线上递交（辽宁政府采购网），供应商应在规定时间内在辽宁政府采购网线上递交响应文件，具体操作流程详见辽宁政府采购网相关通知。参与本项目的供应商须自行办理好CA锁，如因供应商自身原因导致未线上递交响应文件的按照无效响应文件处理。</w:t>
      </w:r>
    </w:p>
    <w:p w14:paraId="25B208BC">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 xml:space="preserve">3、响应文件开启时，供应商根据自身条件可派代表持实体CA锁或移动CA数字证书及电脑至现场进行解密，也可以由自家供应商工作人员远程进行解密。在采购活动开始时须用实体CA锁或移动CA数字证书解密电子文件。电子解密时间30分钟(因开标系统发生不可抗力产生延误解密时间的，采购人将延长相应的解密时长，其他原因不予延长解密时间)。 </w:t>
      </w:r>
    </w:p>
    <w:p w14:paraId="431214C2">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 xml:space="preserve">4、供应商在电子评审活动中出现以下情形的，应按如下规定进行处理： </w:t>
      </w:r>
    </w:p>
    <w:p w14:paraId="7145792C">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 xml:space="preserve">（1）因供应商原因造成投标文件未解密的； </w:t>
      </w:r>
    </w:p>
    <w:p w14:paraId="67906CB0">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（2）因供应商自用设备原因造成的未在规定时间内解密、上传文件或投标报价等问题影响电子评审的；</w:t>
      </w:r>
    </w:p>
    <w:p w14:paraId="50EA287F">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 xml:space="preserve">（3）因供应商原因未对文件校验造成信息缺失、文件内容或格式不正确等问题影响评审的。 </w:t>
      </w:r>
    </w:p>
    <w:p w14:paraId="12A58E4C">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出现前款（1）（2）情形的，视为放弃投标；出现前款（3）情形的，由供应商自行承担相应责任。</w:t>
      </w:r>
    </w:p>
    <w:p w14:paraId="69AC7957">
      <w:pPr>
        <w:keepNext/>
        <w:keepLines/>
        <w:adjustRightInd w:val="0"/>
        <w:snapToGrid w:val="0"/>
        <w:spacing w:line="360" w:lineRule="auto"/>
        <w:rPr>
          <w:rFonts w:hint="eastAsia" w:ascii="仿宋_GB2312" w:hAnsi="仿宋" w:eastAsia="仿宋_GB2312" w:cs="宋体"/>
          <w:color w:val="auto"/>
          <w:sz w:val="24"/>
        </w:rPr>
      </w:pPr>
      <w:r>
        <w:rPr>
          <w:rFonts w:hint="eastAsia" w:ascii="仿宋_GB2312" w:hAnsi="仿宋" w:eastAsia="仿宋_GB2312" w:cs="宋体"/>
          <w:color w:val="auto"/>
          <w:sz w:val="24"/>
        </w:rPr>
        <w:t>请随时关注辽宁政府采购网发布的变更公告，如因未关注变更公告发生的任何问题，由供应商自行负责。</w:t>
      </w:r>
    </w:p>
    <w:p w14:paraId="1F4D7162">
      <w:pPr>
        <w:keepNext/>
        <w:keepLines/>
        <w:adjustRightInd w:val="0"/>
        <w:snapToGrid w:val="0"/>
        <w:spacing w:line="360" w:lineRule="auto"/>
        <w:rPr>
          <w:rFonts w:ascii="仿宋_GB2312" w:hAnsi="仿宋" w:eastAsia="仿宋_GB2312" w:cs="仿宋_GB2312"/>
          <w:b/>
          <w:color w:val="auto"/>
          <w:sz w:val="24"/>
        </w:rPr>
      </w:pPr>
      <w:r>
        <w:rPr>
          <w:rFonts w:hint="eastAsia" w:ascii="仿宋_GB2312" w:hAnsi="仿宋" w:eastAsia="仿宋_GB2312" w:cs="仿宋_GB2312"/>
          <w:b/>
          <w:color w:val="auto"/>
          <w:sz w:val="24"/>
        </w:rPr>
        <w:t>九、对本次招标提出询问，请按以下方式联系。</w:t>
      </w:r>
      <w:bookmarkEnd w:id="29"/>
      <w:bookmarkEnd w:id="30"/>
      <w:bookmarkEnd w:id="31"/>
      <w:bookmarkEnd w:id="32"/>
    </w:p>
    <w:p w14:paraId="36FDC59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1.采购人信息</w:t>
      </w:r>
    </w:p>
    <w:p w14:paraId="2B96CB26">
      <w:pPr>
        <w:adjustRightInd w:val="0"/>
        <w:snapToGrid w:val="0"/>
        <w:spacing w:line="360" w:lineRule="auto"/>
        <w:ind w:firstLine="720" w:firstLineChars="300"/>
        <w:rPr>
          <w:rFonts w:ascii="仿宋_GB2312" w:hAnsi="仿宋" w:eastAsia="仿宋_GB2312" w:cs="仿宋_GB2312"/>
          <w:color w:val="auto"/>
          <w:spacing w:val="-2"/>
          <w:sz w:val="24"/>
        </w:rPr>
      </w:pPr>
      <w:r>
        <w:rPr>
          <w:rFonts w:hint="eastAsia" w:ascii="仿宋_GB2312" w:hAnsi="仿宋" w:eastAsia="仿宋_GB2312" w:cs="仿宋_GB2312"/>
          <w:color w:val="auto"/>
          <w:sz w:val="24"/>
        </w:rPr>
        <w:t xml:space="preserve">名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称：建平县农业农村局</w:t>
      </w:r>
    </w:p>
    <w:p w14:paraId="324BA32E">
      <w:pPr>
        <w:adjustRightInd w:val="0"/>
        <w:snapToGrid w:val="0"/>
        <w:spacing w:line="360" w:lineRule="auto"/>
        <w:ind w:firstLine="720" w:firstLineChars="300"/>
        <w:rPr>
          <w:rFonts w:hint="eastAsia" w:ascii="仿宋_GB2312" w:hAnsi="仿宋" w:eastAsia="仿宋_GB2312" w:cs="仿宋_GB2312"/>
          <w:color w:val="auto"/>
          <w:sz w:val="24"/>
        </w:rPr>
      </w:pPr>
      <w:r>
        <w:rPr>
          <w:rFonts w:hint="eastAsia" w:ascii="仿宋_GB2312" w:hAnsi="仿宋" w:eastAsia="仿宋_GB2312" w:cs="仿宋_GB2312"/>
          <w:color w:val="auto"/>
          <w:sz w:val="24"/>
        </w:rPr>
        <w:t xml:space="preserve">地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址：建平县红山街道京沈路三段181号</w:t>
      </w:r>
    </w:p>
    <w:p w14:paraId="640B2CD7">
      <w:pPr>
        <w:adjustRightInd w:val="0"/>
        <w:snapToGrid w:val="0"/>
        <w:spacing w:line="360" w:lineRule="auto"/>
        <w:ind w:firstLine="720" w:firstLineChars="300"/>
        <w:rPr>
          <w:rFonts w:ascii="仿宋_GB2312" w:hAnsi="仿宋" w:eastAsia="仿宋_GB2312" w:cs="仿宋_GB2312"/>
          <w:color w:val="auto"/>
          <w:sz w:val="24"/>
        </w:rPr>
      </w:pPr>
      <w:r>
        <w:rPr>
          <w:rFonts w:hint="eastAsia" w:ascii="仿宋_GB2312" w:hAnsi="仿宋" w:eastAsia="仿宋_GB2312" w:cs="仿宋_GB2312"/>
          <w:color w:val="auto"/>
          <w:sz w:val="24"/>
        </w:rPr>
        <w:t>联系方式：赵显明</w:t>
      </w:r>
      <w:r>
        <w:rPr>
          <w:rFonts w:hint="eastAsia" w:ascii="仿宋_GB2312" w:hAnsi="仿宋" w:eastAsia="仿宋_GB2312" w:cs="仿宋_GB2312"/>
          <w:color w:val="auto"/>
          <w:sz w:val="24"/>
          <w:lang w:eastAsia="zh-CN"/>
        </w:rPr>
        <w:t>、</w:t>
      </w:r>
      <w:r>
        <w:rPr>
          <w:rFonts w:hint="eastAsia" w:ascii="仿宋_GB2312" w:hAnsi="仿宋" w:eastAsia="仿宋_GB2312" w:cs="仿宋_GB2312"/>
          <w:color w:val="auto"/>
          <w:sz w:val="24"/>
        </w:rPr>
        <w:t>13464238999</w:t>
      </w:r>
    </w:p>
    <w:p w14:paraId="4EDA5F2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2.采购组织机构信息</w:t>
      </w:r>
    </w:p>
    <w:p w14:paraId="79DC95C6">
      <w:pPr>
        <w:adjustRightInd w:val="0"/>
        <w:snapToGrid w:val="0"/>
        <w:spacing w:line="360" w:lineRule="auto"/>
        <w:ind w:firstLine="720" w:firstLineChars="300"/>
        <w:rPr>
          <w:rFonts w:ascii="仿宋_GB2312" w:hAnsi="仿宋" w:eastAsia="仿宋_GB2312" w:cs="仿宋_GB2312"/>
          <w:color w:val="auto"/>
          <w:sz w:val="24"/>
        </w:rPr>
      </w:pPr>
      <w:r>
        <w:rPr>
          <w:rFonts w:hint="eastAsia" w:ascii="仿宋_GB2312" w:hAnsi="仿宋" w:eastAsia="仿宋_GB2312" w:cs="仿宋_GB2312"/>
          <w:color w:val="auto"/>
          <w:sz w:val="24"/>
        </w:rPr>
        <w:t xml:space="preserve">名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称：</w:t>
      </w:r>
      <w:r>
        <w:rPr>
          <w:rFonts w:hint="eastAsia" w:ascii="仿宋_GB2312" w:hAnsi="仿宋" w:eastAsia="仿宋_GB2312" w:cs="仿宋_GB2312"/>
          <w:color w:val="auto"/>
          <w:sz w:val="24"/>
          <w:lang w:eastAsia="zh-CN"/>
        </w:rPr>
        <w:t>辽宁聚诚项目管理有限公司</w:t>
      </w:r>
    </w:p>
    <w:p w14:paraId="4CB4EEF6">
      <w:pPr>
        <w:adjustRightInd w:val="0"/>
        <w:snapToGrid w:val="0"/>
        <w:spacing w:line="360" w:lineRule="auto"/>
        <w:ind w:firstLine="720" w:firstLineChars="300"/>
        <w:rPr>
          <w:rFonts w:ascii="仿宋_GB2312" w:hAnsi="仿宋" w:eastAsia="仿宋_GB2312" w:cs="仿宋_GB2312"/>
          <w:color w:val="auto"/>
          <w:sz w:val="24"/>
        </w:rPr>
      </w:pPr>
      <w:r>
        <w:rPr>
          <w:rFonts w:hint="eastAsia" w:ascii="仿宋_GB2312" w:hAnsi="仿宋" w:eastAsia="仿宋_GB2312" w:cs="仿宋_GB2312"/>
          <w:color w:val="auto"/>
          <w:sz w:val="24"/>
        </w:rPr>
        <w:t xml:space="preserve">地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址：</w:t>
      </w:r>
      <w:r>
        <w:rPr>
          <w:rFonts w:hint="eastAsia" w:ascii="仿宋_GB2312" w:hAnsi="仿宋" w:eastAsia="仿宋_GB2312" w:cs="仿宋_GB2312"/>
          <w:color w:val="auto"/>
          <w:sz w:val="24"/>
          <w:lang w:eastAsia="zh-CN"/>
        </w:rPr>
        <w:t>沈阳市和平区南四经街143号</w:t>
      </w:r>
    </w:p>
    <w:p w14:paraId="675A4F19">
      <w:pPr>
        <w:adjustRightInd w:val="0"/>
        <w:snapToGrid w:val="0"/>
        <w:spacing w:line="360" w:lineRule="auto"/>
        <w:ind w:firstLine="720" w:firstLineChars="30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联系方式：</w:t>
      </w:r>
      <w:r>
        <w:rPr>
          <w:rFonts w:hint="eastAsia" w:ascii="仿宋_GB2312" w:hAnsi="仿宋" w:eastAsia="仿宋_GB2312" w:cs="仿宋_GB2312"/>
          <w:color w:val="auto"/>
          <w:sz w:val="24"/>
          <w:lang w:eastAsia="zh-CN"/>
        </w:rPr>
        <w:t>18204056039</w:t>
      </w:r>
    </w:p>
    <w:p w14:paraId="067851AA">
      <w:pPr>
        <w:adjustRightInd w:val="0"/>
        <w:snapToGrid w:val="0"/>
        <w:spacing w:line="360" w:lineRule="auto"/>
        <w:ind w:firstLine="720" w:firstLineChars="300"/>
        <w:rPr>
          <w:rFonts w:ascii="仿宋_GB2312" w:hAnsi="仿宋" w:eastAsia="仿宋_GB2312" w:cs="仿宋_GB2312"/>
          <w:color w:val="auto"/>
          <w:sz w:val="24"/>
        </w:rPr>
      </w:pPr>
      <w:r>
        <w:rPr>
          <w:rFonts w:hint="eastAsia" w:ascii="仿宋_GB2312" w:hAnsi="仿宋" w:eastAsia="仿宋_GB2312" w:cs="仿宋_GB2312"/>
          <w:color w:val="auto"/>
          <w:sz w:val="24"/>
        </w:rPr>
        <w:t>邮箱地址：</w:t>
      </w:r>
      <w:r>
        <w:rPr>
          <w:rFonts w:hint="eastAsia"/>
          <w:color w:val="auto"/>
        </w:rPr>
        <w:t>lnjcxmgl888@163.com</w:t>
      </w:r>
    </w:p>
    <w:p w14:paraId="3CBD000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3.项目联系方式</w:t>
      </w:r>
    </w:p>
    <w:p w14:paraId="4DA2C9F2">
      <w:pPr>
        <w:adjustRightInd w:val="0"/>
        <w:snapToGrid w:val="0"/>
        <w:spacing w:line="360" w:lineRule="auto"/>
        <w:ind w:firstLine="720" w:firstLineChars="30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项目联系人：</w:t>
      </w:r>
      <w:r>
        <w:rPr>
          <w:rFonts w:hint="eastAsia" w:ascii="仿宋_GB2312" w:hAnsi="仿宋" w:eastAsia="仿宋_GB2312" w:cs="仿宋_GB2312"/>
          <w:color w:val="auto"/>
          <w:sz w:val="24"/>
          <w:lang w:val="en-US" w:eastAsia="zh-CN"/>
        </w:rPr>
        <w:t>张宇</w:t>
      </w:r>
    </w:p>
    <w:p w14:paraId="38CA9A66">
      <w:pPr>
        <w:snapToGrid w:val="0"/>
        <w:spacing w:line="360" w:lineRule="auto"/>
        <w:ind w:firstLine="720" w:firstLineChars="300"/>
        <w:rPr>
          <w:rFonts w:hint="eastAsia" w:ascii="仿宋_GB2312" w:hAnsi="仿宋" w:eastAsia="仿宋_GB2312" w:cs="仿宋_GB2312"/>
          <w:color w:val="auto"/>
          <w:sz w:val="24"/>
        </w:rPr>
      </w:pPr>
      <w:r>
        <w:rPr>
          <w:rFonts w:hint="eastAsia" w:ascii="仿宋_GB2312" w:hAnsi="仿宋" w:eastAsia="仿宋_GB2312" w:cs="仿宋_GB2312"/>
          <w:color w:val="auto"/>
          <w:sz w:val="24"/>
        </w:rPr>
        <w:t xml:space="preserve">电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话：</w:t>
      </w:r>
      <w:r>
        <w:rPr>
          <w:rFonts w:hint="eastAsia" w:ascii="仿宋_GB2312" w:hAnsi="仿宋" w:eastAsia="仿宋_GB2312" w:cs="仿宋_GB2312"/>
          <w:color w:val="auto"/>
          <w:sz w:val="24"/>
          <w:lang w:eastAsia="zh-CN"/>
        </w:rPr>
        <w:t>18204056039</w:t>
      </w:r>
    </w:p>
    <w:p w14:paraId="4BCFC9E1">
      <w:pPr>
        <w:snapToGrid w:val="0"/>
        <w:spacing w:line="360" w:lineRule="auto"/>
        <w:rPr>
          <w:color w:val="auto"/>
        </w:rPr>
      </w:pPr>
    </w:p>
    <w:p w14:paraId="2AFCF096">
      <w:pPr>
        <w:snapToGrid w:val="0"/>
        <w:spacing w:line="360" w:lineRule="auto"/>
        <w:jc w:val="center"/>
        <w:rPr>
          <w:rFonts w:ascii="仿宋_GB2312" w:hAnsi="仿宋" w:eastAsia="仿宋_GB2312"/>
          <w:color w:val="auto"/>
          <w:sz w:val="24"/>
        </w:rPr>
      </w:pPr>
      <w:r>
        <w:rPr>
          <w:rFonts w:hint="eastAsia" w:ascii="仿宋_GB2312" w:hAnsi="仿宋" w:eastAsia="仿宋_GB2312"/>
          <w:color w:val="auto"/>
          <w:sz w:val="24"/>
        </w:rPr>
        <w:t xml:space="preserve">                                                                                      </w:t>
      </w:r>
    </w:p>
    <w:p w14:paraId="7429A84C">
      <w:pPr>
        <w:snapToGrid w:val="0"/>
        <w:spacing w:line="360" w:lineRule="auto"/>
        <w:jc w:val="center"/>
        <w:rPr>
          <w:color w:val="0000FF"/>
        </w:rPr>
      </w:pPr>
      <w:r>
        <w:rPr>
          <w:rFonts w:hint="eastAsia" w:ascii="仿宋_GB2312" w:hAnsi="仿宋" w:eastAsia="仿宋_GB2312"/>
          <w:color w:val="auto"/>
          <w:sz w:val="24"/>
        </w:rPr>
        <w:t xml:space="preserve">                                         </w:t>
      </w:r>
      <w:r>
        <w:rPr>
          <w:rFonts w:hint="eastAsia" w:ascii="仿宋_GB2312" w:hAnsi="仿宋" w:eastAsia="仿宋_GB2312" w:cs="仿宋_GB2312"/>
          <w:color w:val="auto"/>
          <w:sz w:val="24"/>
          <w:lang w:eastAsia="zh-CN"/>
        </w:rPr>
        <w:t xml:space="preserve"> 2025年</w:t>
      </w:r>
      <w:r>
        <w:rPr>
          <w:rFonts w:hint="eastAsia" w:ascii="仿宋_GB2312" w:hAnsi="仿宋" w:eastAsia="仿宋_GB2312" w:cs="仿宋_GB2312"/>
          <w:color w:val="auto"/>
          <w:sz w:val="24"/>
          <w:lang w:val="en-US" w:eastAsia="zh-CN"/>
        </w:rPr>
        <w:t>09</w:t>
      </w:r>
      <w:r>
        <w:rPr>
          <w:rFonts w:hint="eastAsia" w:ascii="仿宋_GB2312" w:hAnsi="仿宋" w:eastAsia="仿宋_GB2312" w:cs="仿宋_GB2312"/>
          <w:color w:val="auto"/>
          <w:sz w:val="24"/>
          <w:lang w:eastAsia="zh-CN"/>
        </w:rPr>
        <w:t>月</w:t>
      </w:r>
      <w:r>
        <w:rPr>
          <w:rFonts w:hint="eastAsia" w:ascii="仿宋_GB2312" w:hAnsi="仿宋" w:eastAsia="仿宋_GB2312" w:cs="仿宋_GB2312"/>
          <w:color w:val="auto"/>
          <w:sz w:val="24"/>
          <w:lang w:val="en-US" w:eastAsia="zh-CN"/>
        </w:rPr>
        <w:t>17</w:t>
      </w:r>
      <w:r>
        <w:rPr>
          <w:rFonts w:hint="eastAsia" w:ascii="仿宋_GB2312" w:hAnsi="仿宋" w:eastAsia="仿宋_GB2312" w:cs="仿宋_GB2312"/>
          <w:color w:val="auto"/>
          <w:sz w:val="24"/>
          <w:lang w:eastAsia="zh-CN"/>
        </w:rPr>
        <w:t>日</w:t>
      </w:r>
    </w:p>
    <w:p w14:paraId="3FDF8D46">
      <w:pPr>
        <w:pStyle w:val="3"/>
        <w:snapToGrid w:val="0"/>
        <w:spacing w:before="156" w:beforeLines="50" w:after="156" w:afterLines="50" w:line="360" w:lineRule="auto"/>
        <w:rPr>
          <w:rFonts w:ascii="方正小标宋简体" w:hAnsi="黑体" w:eastAsia="方正小标宋简体" w:cs="仿宋_GB2312"/>
          <w:color w:val="auto"/>
        </w:rPr>
      </w:pPr>
      <w:bookmarkStart w:id="33" w:name="_Toc17894"/>
      <w:bookmarkStart w:id="34" w:name="_Toc26518_WPSOffice_Level1"/>
      <w:r>
        <w:rPr>
          <w:rFonts w:hint="eastAsia" w:ascii="仿宋_GB2312" w:hAnsi="仿宋" w:eastAsia="仿宋_GB2312" w:cs="仿宋_GB2312"/>
          <w:color w:val="auto"/>
          <w:sz w:val="24"/>
        </w:rPr>
        <w:br w:type="page"/>
      </w:r>
      <w:bookmarkStart w:id="35" w:name="_Toc3582"/>
      <w:bookmarkStart w:id="36" w:name="_Toc24714"/>
      <w:r>
        <w:rPr>
          <w:rFonts w:hint="eastAsia" w:ascii="方正小标宋简体" w:hAnsi="黑体" w:eastAsia="方正小标宋简体" w:cs="仿宋_GB2312"/>
          <w:b w:val="0"/>
          <w:bCs/>
          <w:color w:val="auto"/>
          <w:sz w:val="40"/>
          <w:szCs w:val="22"/>
        </w:rPr>
        <w:t>第一章 投标人须知</w:t>
      </w:r>
      <w:bookmarkEnd w:id="33"/>
      <w:bookmarkEnd w:id="34"/>
      <w:bookmarkEnd w:id="35"/>
      <w:bookmarkEnd w:id="36"/>
    </w:p>
    <w:p w14:paraId="24A5A6D2">
      <w:pPr>
        <w:pStyle w:val="4"/>
        <w:adjustRightInd w:val="0"/>
        <w:snapToGrid w:val="0"/>
        <w:spacing w:before="0" w:after="0" w:line="360" w:lineRule="auto"/>
        <w:rPr>
          <w:rFonts w:ascii="楷体_GB2312" w:hAnsi="仿宋" w:eastAsia="楷体_GB2312" w:cs="仿宋_GB2312"/>
          <w:color w:val="auto"/>
          <w:sz w:val="32"/>
          <w:szCs w:val="36"/>
        </w:rPr>
      </w:pPr>
      <w:bookmarkStart w:id="37" w:name="_Toc18613_WPSOffice_Level2"/>
      <w:r>
        <w:rPr>
          <w:rFonts w:hint="eastAsia" w:ascii="楷体_GB2312" w:hAnsi="仿宋" w:eastAsia="楷体_GB2312" w:cs="仿宋_GB2312"/>
          <w:color w:val="auto"/>
          <w:sz w:val="32"/>
          <w:szCs w:val="36"/>
        </w:rPr>
        <w:t>一 投标人须知表</w:t>
      </w:r>
      <w:bookmarkEnd w:id="37"/>
    </w:p>
    <w:tbl>
      <w:tblPr>
        <w:tblStyle w:val="25"/>
        <w:tblpPr w:leftFromText="180" w:rightFromText="180" w:vertAnchor="text" w:tblpX="-176" w:tblpY="1"/>
        <w:tblOverlap w:val="never"/>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899"/>
        <w:gridCol w:w="6254"/>
      </w:tblGrid>
      <w:tr w14:paraId="7D4F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blHeader/>
        </w:trPr>
        <w:tc>
          <w:tcPr>
            <w:tcW w:w="937" w:type="dxa"/>
            <w:vAlign w:val="center"/>
          </w:tcPr>
          <w:p w14:paraId="6843D8E0">
            <w:pPr>
              <w:widowControl/>
              <w:spacing w:line="360" w:lineRule="auto"/>
              <w:ind w:left="-69" w:leftChars="-33" w:right="-69" w:rightChars="-33"/>
              <w:jc w:val="center"/>
              <w:rPr>
                <w:rFonts w:ascii="仿宋_GB2312" w:hAnsi="仿宋" w:eastAsia="仿宋_GB2312" w:cs="仿宋_GB2312"/>
                <w:color w:val="auto"/>
                <w:kern w:val="0"/>
                <w:sz w:val="24"/>
              </w:rPr>
            </w:pPr>
            <w:bookmarkStart w:id="38" w:name="招标项目基本内容及要求其他：Block"/>
            <w:bookmarkEnd w:id="38"/>
            <w:bookmarkStart w:id="39" w:name="sys_招标项目基本内容及要求：Block"/>
            <w:bookmarkEnd w:id="39"/>
            <w:bookmarkStart w:id="40" w:name="招标项目基本内容及要求：Block"/>
            <w:bookmarkEnd w:id="40"/>
            <w:bookmarkStart w:id="41" w:name="sys_招标项目基本内容及要求其他：Block"/>
            <w:bookmarkEnd w:id="41"/>
            <w:r>
              <w:rPr>
                <w:rFonts w:hint="eastAsia" w:ascii="仿宋_GB2312" w:hAnsi="仿宋" w:eastAsia="仿宋_GB2312" w:cs="仿宋_GB2312"/>
                <w:color w:val="auto"/>
                <w:kern w:val="0"/>
                <w:sz w:val="24"/>
              </w:rPr>
              <w:t>条款号</w:t>
            </w:r>
          </w:p>
        </w:tc>
        <w:tc>
          <w:tcPr>
            <w:tcW w:w="1899" w:type="dxa"/>
            <w:vAlign w:val="center"/>
          </w:tcPr>
          <w:p w14:paraId="340F31BF">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项   目</w:t>
            </w:r>
          </w:p>
        </w:tc>
        <w:tc>
          <w:tcPr>
            <w:tcW w:w="6254" w:type="dxa"/>
            <w:vAlign w:val="center"/>
          </w:tcPr>
          <w:p w14:paraId="71BDFF0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内     容</w:t>
            </w:r>
          </w:p>
        </w:tc>
      </w:tr>
      <w:tr w14:paraId="3FAA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937" w:type="dxa"/>
            <w:vAlign w:val="center"/>
          </w:tcPr>
          <w:p w14:paraId="26C1714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w:t>
            </w:r>
          </w:p>
        </w:tc>
        <w:tc>
          <w:tcPr>
            <w:tcW w:w="1899" w:type="dxa"/>
            <w:vAlign w:val="center"/>
          </w:tcPr>
          <w:p w14:paraId="707E8451">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采购人</w:t>
            </w:r>
          </w:p>
        </w:tc>
        <w:tc>
          <w:tcPr>
            <w:tcW w:w="6254" w:type="dxa"/>
            <w:vAlign w:val="center"/>
          </w:tcPr>
          <w:p w14:paraId="6C351A39">
            <w:pPr>
              <w:widowControl/>
              <w:spacing w:line="360" w:lineRule="auto"/>
              <w:jc w:val="left"/>
              <w:rPr>
                <w:rFonts w:ascii="仿宋_GB2312" w:hAnsi="仿宋" w:eastAsia="仿宋_GB2312"/>
                <w:color w:val="auto"/>
                <w:kern w:val="0"/>
                <w:sz w:val="24"/>
                <w:u w:val="single"/>
              </w:rPr>
            </w:pPr>
            <w:r>
              <w:rPr>
                <w:rFonts w:hint="eastAsia" w:ascii="仿宋_GB2312" w:hAnsi="仿宋" w:eastAsia="仿宋_GB2312"/>
                <w:color w:val="auto"/>
                <w:kern w:val="0"/>
                <w:sz w:val="24"/>
                <w:u w:val="none"/>
              </w:rPr>
              <w:t xml:space="preserve">名  </w:t>
            </w:r>
            <w:r>
              <w:rPr>
                <w:rFonts w:hint="eastAsia" w:ascii="仿宋_GB2312" w:hAnsi="仿宋" w:eastAsia="仿宋_GB2312" w:cs="仿宋_GB2312"/>
                <w:color w:val="auto"/>
                <w:sz w:val="24"/>
                <w:u w:val="none"/>
              </w:rPr>
              <w:t>称</w:t>
            </w:r>
            <w:r>
              <w:rPr>
                <w:rFonts w:hint="eastAsia" w:ascii="仿宋_GB2312" w:hAnsi="仿宋" w:eastAsia="仿宋_GB2312"/>
                <w:color w:val="auto"/>
                <w:kern w:val="0"/>
                <w:sz w:val="24"/>
                <w:u w:val="none"/>
              </w:rPr>
              <w:t>：</w:t>
            </w:r>
            <w:r>
              <w:rPr>
                <w:rFonts w:hint="eastAsia" w:ascii="仿宋_GB2312" w:hAnsi="仿宋" w:eastAsia="仿宋_GB2312"/>
                <w:color w:val="auto"/>
                <w:kern w:val="0"/>
                <w:sz w:val="24"/>
                <w:u w:val="single"/>
              </w:rPr>
              <w:t>建平县农业农村局</w:t>
            </w:r>
          </w:p>
          <w:p w14:paraId="122C5BD8">
            <w:pPr>
              <w:widowControl/>
              <w:spacing w:line="360" w:lineRule="auto"/>
              <w:jc w:val="left"/>
              <w:rPr>
                <w:rFonts w:hint="eastAsia" w:ascii="仿宋_GB2312" w:hAnsi="仿宋" w:eastAsia="仿宋_GB2312"/>
                <w:color w:val="auto"/>
                <w:kern w:val="0"/>
                <w:sz w:val="24"/>
                <w:u w:val="single"/>
              </w:rPr>
            </w:pPr>
            <w:r>
              <w:rPr>
                <w:rFonts w:hint="eastAsia" w:ascii="仿宋_GB2312" w:hAnsi="仿宋" w:eastAsia="仿宋_GB2312"/>
                <w:color w:val="auto"/>
                <w:kern w:val="0"/>
                <w:sz w:val="24"/>
                <w:u w:val="none"/>
              </w:rPr>
              <w:t>地  址：</w:t>
            </w:r>
            <w:r>
              <w:rPr>
                <w:rFonts w:hint="eastAsia" w:ascii="仿宋_GB2312" w:hAnsi="仿宋" w:eastAsia="仿宋_GB2312"/>
                <w:color w:val="auto"/>
                <w:kern w:val="0"/>
                <w:sz w:val="24"/>
                <w:u w:val="single"/>
                <w:lang w:eastAsia="zh-CN"/>
              </w:rPr>
              <w:t>建平县红山街道京沈路三段181号</w:t>
            </w:r>
          </w:p>
          <w:p w14:paraId="31CBF76F">
            <w:pPr>
              <w:widowControl/>
              <w:spacing w:line="360" w:lineRule="auto"/>
              <w:jc w:val="left"/>
              <w:rPr>
                <w:rFonts w:hint="eastAsia" w:ascii="仿宋_GB2312" w:hAnsi="仿宋" w:eastAsia="仿宋_GB2312" w:cs="仿宋_GB2312"/>
                <w:color w:val="auto"/>
                <w:kern w:val="0"/>
                <w:sz w:val="24"/>
                <w:u w:val="single"/>
                <w:lang w:eastAsia="zh-CN"/>
              </w:rPr>
            </w:pPr>
            <w:r>
              <w:rPr>
                <w:rFonts w:hint="eastAsia" w:ascii="仿宋_GB2312" w:hAnsi="仿宋" w:eastAsia="仿宋_GB2312" w:cs="仿宋_GB2312"/>
                <w:color w:val="auto"/>
                <w:kern w:val="0"/>
                <w:sz w:val="24"/>
                <w:u w:val="none"/>
              </w:rPr>
              <w:t>联系人：</w:t>
            </w:r>
            <w:r>
              <w:rPr>
                <w:rFonts w:hint="eastAsia" w:ascii="仿宋_GB2312" w:hAnsi="仿宋" w:eastAsia="仿宋_GB2312" w:cs="仿宋_GB2312"/>
                <w:color w:val="auto"/>
                <w:kern w:val="0"/>
                <w:sz w:val="24"/>
                <w:u w:val="single"/>
                <w:lang w:val="en-US" w:eastAsia="zh-CN"/>
              </w:rPr>
              <w:t>赵显明</w:t>
            </w:r>
          </w:p>
          <w:p w14:paraId="65A8ABD8">
            <w:pPr>
              <w:widowControl/>
              <w:spacing w:line="360" w:lineRule="auto"/>
              <w:jc w:val="left"/>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电  话</w:t>
            </w:r>
            <w:r>
              <w:rPr>
                <w:rFonts w:hint="eastAsia" w:ascii="仿宋_GB2312" w:hAnsi="仿宋" w:eastAsia="仿宋_GB2312" w:cs="仿宋_GB2312"/>
                <w:color w:val="auto"/>
                <w:kern w:val="0"/>
                <w:sz w:val="24"/>
              </w:rPr>
              <w:t>：</w:t>
            </w:r>
            <w:r>
              <w:rPr>
                <w:rFonts w:hint="eastAsia" w:ascii="仿宋_GB2312" w:hAnsi="仿宋" w:eastAsia="仿宋_GB2312" w:cs="仿宋_GB2312"/>
                <w:color w:val="auto"/>
                <w:sz w:val="24"/>
                <w:u w:val="single"/>
                <w:lang w:val="en-US" w:eastAsia="zh-CN"/>
              </w:rPr>
              <w:t>13464238999</w:t>
            </w:r>
          </w:p>
        </w:tc>
      </w:tr>
      <w:tr w14:paraId="050EC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937" w:type="dxa"/>
            <w:vAlign w:val="center"/>
          </w:tcPr>
          <w:p w14:paraId="69614C73">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w:t>
            </w:r>
          </w:p>
        </w:tc>
        <w:tc>
          <w:tcPr>
            <w:tcW w:w="1899" w:type="dxa"/>
            <w:vAlign w:val="center"/>
          </w:tcPr>
          <w:p w14:paraId="30D74EFF">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采购组织机构</w:t>
            </w:r>
          </w:p>
        </w:tc>
        <w:tc>
          <w:tcPr>
            <w:tcW w:w="6254" w:type="dxa"/>
            <w:vAlign w:val="center"/>
          </w:tcPr>
          <w:p w14:paraId="5468F29B">
            <w:pPr>
              <w:widowControl/>
              <w:spacing w:line="360" w:lineRule="auto"/>
              <w:jc w:val="lef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名  称：</w:t>
            </w:r>
            <w:r>
              <w:rPr>
                <w:rFonts w:hint="eastAsia" w:ascii="仿宋_GB2312" w:hAnsi="仿宋" w:eastAsia="仿宋_GB2312" w:cs="仿宋_GB2312"/>
                <w:color w:val="auto"/>
                <w:kern w:val="0"/>
                <w:sz w:val="24"/>
                <w:u w:val="single"/>
                <w:lang w:eastAsia="zh-CN"/>
              </w:rPr>
              <w:t>辽宁聚诚项目管理有限公司</w:t>
            </w:r>
          </w:p>
          <w:p w14:paraId="1EE507AD">
            <w:pPr>
              <w:widowControl/>
              <w:spacing w:line="360" w:lineRule="auto"/>
              <w:jc w:val="left"/>
              <w:rPr>
                <w:rFonts w:ascii="仿宋_GB2312" w:hAnsi="仿宋" w:eastAsia="仿宋_GB2312" w:cs="仿宋_GB2312"/>
                <w:color w:val="auto"/>
                <w:w w:val="90"/>
                <w:kern w:val="0"/>
                <w:sz w:val="24"/>
              </w:rPr>
            </w:pPr>
            <w:r>
              <w:rPr>
                <w:rFonts w:hint="eastAsia" w:ascii="仿宋_GB2312" w:hAnsi="仿宋" w:eastAsia="仿宋_GB2312" w:cs="仿宋_GB2312"/>
                <w:color w:val="auto"/>
                <w:kern w:val="0"/>
                <w:sz w:val="24"/>
              </w:rPr>
              <w:t>地  址：</w:t>
            </w:r>
            <w:r>
              <w:rPr>
                <w:rFonts w:hint="eastAsia" w:ascii="仿宋_GB2312" w:hAnsi="仿宋" w:eastAsia="仿宋_GB2312" w:cs="仿宋_GB2312"/>
                <w:color w:val="auto"/>
                <w:spacing w:val="-2"/>
                <w:w w:val="95"/>
                <w:kern w:val="0"/>
                <w:sz w:val="24"/>
                <w:u w:val="single"/>
                <w:lang w:eastAsia="zh-CN"/>
              </w:rPr>
              <w:t>沈阳市和平区南四经街143号</w:t>
            </w:r>
          </w:p>
          <w:p w14:paraId="2AA8FB9C">
            <w:pPr>
              <w:widowControl/>
              <w:spacing w:line="360" w:lineRule="auto"/>
              <w:jc w:val="left"/>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联系人：</w:t>
            </w:r>
            <w:r>
              <w:rPr>
                <w:rFonts w:hint="eastAsia" w:ascii="仿宋_GB2312" w:hAnsi="仿宋" w:eastAsia="仿宋_GB2312" w:cs="仿宋_GB2312"/>
                <w:color w:val="auto"/>
                <w:sz w:val="24"/>
                <w:u w:val="single"/>
                <w:lang w:val="en-US" w:eastAsia="zh-CN"/>
              </w:rPr>
              <w:t>张宇</w:t>
            </w:r>
          </w:p>
          <w:p w14:paraId="39C38EE4">
            <w:pPr>
              <w:widowControl/>
              <w:spacing w:line="360" w:lineRule="auto"/>
              <w:jc w:val="lef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电　话：</w:t>
            </w:r>
            <w:r>
              <w:rPr>
                <w:rFonts w:hint="eastAsia" w:ascii="仿宋_GB2312" w:hAnsi="仿宋" w:eastAsia="仿宋_GB2312" w:cs="仿宋_GB2312"/>
                <w:color w:val="auto"/>
                <w:kern w:val="0"/>
                <w:sz w:val="24"/>
                <w:u w:val="single"/>
                <w:lang w:eastAsia="zh-CN"/>
              </w:rPr>
              <w:t>18204056039</w:t>
            </w:r>
          </w:p>
        </w:tc>
      </w:tr>
      <w:tr w14:paraId="3ECD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7FE5A8B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1.3.4</w:t>
            </w:r>
          </w:p>
        </w:tc>
        <w:tc>
          <w:tcPr>
            <w:tcW w:w="1899" w:type="dxa"/>
            <w:vAlign w:val="center"/>
          </w:tcPr>
          <w:p w14:paraId="684F2CDE">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合格供应商还要满足的其它资格条件</w:t>
            </w:r>
          </w:p>
        </w:tc>
        <w:tc>
          <w:tcPr>
            <w:tcW w:w="6254" w:type="dxa"/>
            <w:vAlign w:val="center"/>
          </w:tcPr>
          <w:p w14:paraId="358556A6">
            <w:pPr>
              <w:adjustRightInd w:val="0"/>
              <w:snapToGrid w:val="0"/>
              <w:spacing w:line="440" w:lineRule="exact"/>
              <w:ind w:firstLine="240" w:firstLineChars="1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供应商</w:t>
            </w:r>
            <w:r>
              <w:rPr>
                <w:rFonts w:hint="eastAsia" w:ascii="仿宋_GB2312" w:hAnsi="仿宋" w:eastAsia="仿宋_GB2312" w:cs="仿宋_GB2312"/>
                <w:color w:val="auto"/>
                <w:kern w:val="0"/>
                <w:sz w:val="24"/>
                <w:lang w:eastAsia="zh-CN"/>
              </w:rPr>
              <w:t>应</w:t>
            </w:r>
            <w:r>
              <w:rPr>
                <w:rFonts w:hint="eastAsia" w:ascii="仿宋_GB2312" w:hAnsi="仿宋" w:eastAsia="仿宋_GB2312" w:cs="仿宋_GB2312"/>
                <w:color w:val="auto"/>
                <w:kern w:val="0"/>
                <w:sz w:val="24"/>
              </w:rPr>
              <w:t>具有</w:t>
            </w:r>
            <w:r>
              <w:rPr>
                <w:rFonts w:hint="eastAsia" w:ascii="仿宋_GB2312" w:hAnsi="仿宋" w:eastAsia="仿宋_GB2312" w:cs="仿宋_GB2312"/>
                <w:color w:val="auto"/>
                <w:kern w:val="0"/>
                <w:sz w:val="24"/>
                <w:lang w:val="en-US" w:eastAsia="zh-CN"/>
              </w:rPr>
              <w:t>中华人民共和国境内注册的独立法人资格并能</w:t>
            </w:r>
            <w:r>
              <w:rPr>
                <w:rFonts w:hint="eastAsia" w:ascii="仿宋_GB2312" w:hAnsi="仿宋" w:eastAsia="仿宋_GB2312" w:cs="仿宋_GB2312"/>
                <w:color w:val="auto"/>
                <w:kern w:val="0"/>
                <w:sz w:val="24"/>
                <w:lang w:eastAsia="zh-CN"/>
              </w:rPr>
              <w:t>承担本项目的能力。</w:t>
            </w:r>
          </w:p>
        </w:tc>
      </w:tr>
      <w:tr w14:paraId="7ACD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5F59718C">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1.3.5</w:t>
            </w:r>
          </w:p>
        </w:tc>
        <w:tc>
          <w:tcPr>
            <w:tcW w:w="1899" w:type="dxa"/>
            <w:vAlign w:val="center"/>
          </w:tcPr>
          <w:p w14:paraId="650E4DEC">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t>是否为专门面向</w:t>
            </w:r>
            <w:r>
              <w:rPr>
                <w:rFonts w:hint="eastAsia" w:ascii="仿宋_GB2312" w:hAnsi="仿宋" w:eastAsia="仿宋_GB2312" w:cs="仿宋_GB2312"/>
                <w:color w:val="auto"/>
                <w:sz w:val="24"/>
              </w:rPr>
              <w:t>中小企业</w:t>
            </w:r>
            <w:r>
              <w:rPr>
                <w:rFonts w:hint="eastAsia" w:ascii="仿宋_GB2312" w:hAnsi="仿宋" w:eastAsia="仿宋_GB2312" w:cs="仿宋_GB2312"/>
                <w:color w:val="auto"/>
                <w:kern w:val="0"/>
                <w:sz w:val="24"/>
              </w:rPr>
              <w:t>采购</w:t>
            </w:r>
          </w:p>
        </w:tc>
        <w:tc>
          <w:tcPr>
            <w:tcW w:w="6254" w:type="dxa"/>
            <w:vAlign w:val="center"/>
          </w:tcPr>
          <w:p w14:paraId="230D7F50">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是</w:t>
            </w:r>
          </w:p>
          <w:p w14:paraId="4BA25407">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否</w:t>
            </w:r>
          </w:p>
        </w:tc>
      </w:tr>
      <w:tr w14:paraId="1DF0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937" w:type="dxa"/>
            <w:vAlign w:val="center"/>
          </w:tcPr>
          <w:p w14:paraId="0EF89B9A">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w:t>
            </w:r>
          </w:p>
        </w:tc>
        <w:tc>
          <w:tcPr>
            <w:tcW w:w="1899" w:type="dxa"/>
            <w:vAlign w:val="center"/>
          </w:tcPr>
          <w:p w14:paraId="694BF12A">
            <w:pPr>
              <w:tabs>
                <w:tab w:val="left" w:pos="1425"/>
              </w:tabs>
              <w:spacing w:line="360" w:lineRule="auto"/>
              <w:jc w:val="center"/>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是否允许联合体投标</w:t>
            </w:r>
          </w:p>
        </w:tc>
        <w:tc>
          <w:tcPr>
            <w:tcW w:w="6254" w:type="dxa"/>
            <w:vAlign w:val="center"/>
          </w:tcPr>
          <w:p w14:paraId="1D7E30C1">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是</w:t>
            </w:r>
          </w:p>
          <w:p w14:paraId="378E201B">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否</w:t>
            </w:r>
          </w:p>
        </w:tc>
      </w:tr>
      <w:tr w14:paraId="7117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3FB14EC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1.4.8</w:t>
            </w:r>
          </w:p>
        </w:tc>
        <w:tc>
          <w:tcPr>
            <w:tcW w:w="1899" w:type="dxa"/>
            <w:vAlign w:val="center"/>
          </w:tcPr>
          <w:p w14:paraId="1888FBE9">
            <w:pPr>
              <w:tabs>
                <w:tab w:val="left" w:pos="1425"/>
              </w:tabs>
              <w:spacing w:line="360" w:lineRule="auto"/>
              <w:jc w:val="center"/>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联合体投标的其他资格要求</w:t>
            </w:r>
          </w:p>
        </w:tc>
        <w:tc>
          <w:tcPr>
            <w:tcW w:w="6254" w:type="dxa"/>
            <w:vAlign w:val="center"/>
          </w:tcPr>
          <w:p w14:paraId="6F2B9535">
            <w:pPr>
              <w:spacing w:line="360" w:lineRule="auto"/>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不适用</w:t>
            </w:r>
          </w:p>
        </w:tc>
      </w:tr>
      <w:tr w14:paraId="287CF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937" w:type="dxa"/>
            <w:vAlign w:val="center"/>
          </w:tcPr>
          <w:p w14:paraId="207DAEAD">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2.2</w:t>
            </w:r>
          </w:p>
        </w:tc>
        <w:tc>
          <w:tcPr>
            <w:tcW w:w="1899" w:type="dxa"/>
            <w:vAlign w:val="center"/>
          </w:tcPr>
          <w:p w14:paraId="5E1AB221">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项目预算金额、最高限价</w:t>
            </w:r>
          </w:p>
        </w:tc>
        <w:tc>
          <w:tcPr>
            <w:tcW w:w="6254" w:type="dxa"/>
            <w:vAlign w:val="center"/>
          </w:tcPr>
          <w:tbl>
            <w:tblPr>
              <w:tblStyle w:val="26"/>
              <w:tblW w:w="6215"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550"/>
              <w:gridCol w:w="1457"/>
              <w:gridCol w:w="1447"/>
            </w:tblGrid>
            <w:tr w14:paraId="2DE4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blHeader/>
              </w:trPr>
              <w:tc>
                <w:tcPr>
                  <w:tcW w:w="761" w:type="dxa"/>
                  <w:vAlign w:val="center"/>
                </w:tcPr>
                <w:p w14:paraId="22AC186F">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包号</w:t>
                  </w:r>
                </w:p>
              </w:tc>
              <w:tc>
                <w:tcPr>
                  <w:tcW w:w="2550" w:type="dxa"/>
                  <w:vAlign w:val="center"/>
                </w:tcPr>
                <w:p w14:paraId="714FBA89">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包组名称</w:t>
                  </w:r>
                </w:p>
              </w:tc>
              <w:tc>
                <w:tcPr>
                  <w:tcW w:w="1457" w:type="dxa"/>
                  <w:vAlign w:val="center"/>
                </w:tcPr>
                <w:p w14:paraId="4C258FD2">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预算金额</w:t>
                  </w:r>
                </w:p>
              </w:tc>
              <w:tc>
                <w:tcPr>
                  <w:tcW w:w="1447" w:type="dxa"/>
                  <w:vAlign w:val="center"/>
                </w:tcPr>
                <w:p w14:paraId="225062D8">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最高限价</w:t>
                  </w:r>
                </w:p>
              </w:tc>
            </w:tr>
            <w:tr w14:paraId="714B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61" w:type="dxa"/>
                  <w:vAlign w:val="center"/>
                </w:tcPr>
                <w:p w14:paraId="05AE64F3">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rPr>
                    <w:t>001</w:t>
                  </w:r>
                </w:p>
              </w:tc>
              <w:tc>
                <w:tcPr>
                  <w:tcW w:w="2550" w:type="dxa"/>
                  <w:vAlign w:val="center"/>
                </w:tcPr>
                <w:p w14:paraId="29637B9F">
                  <w:pPr>
                    <w:widowControl/>
                    <w:jc w:val="center"/>
                    <w:textAlignment w:val="center"/>
                    <w:rPr>
                      <w:rFonts w:hint="eastAsia" w:ascii="仿宋_GB2312" w:hAnsi="仿宋" w:eastAsia="仿宋_GB2312"/>
                      <w:b/>
                      <w:bCs/>
                      <w:color w:val="auto"/>
                      <w:sz w:val="24"/>
                      <w:lang w:eastAsia="zh-CN"/>
                    </w:rPr>
                  </w:pPr>
                  <w:r>
                    <w:rPr>
                      <w:rFonts w:hint="eastAsia" w:ascii="仿宋_GB2312" w:hAnsi="宋体" w:eastAsia="仿宋_GB2312" w:cs="仿宋_GB2312"/>
                      <w:color w:val="auto"/>
                      <w:kern w:val="0"/>
                      <w:sz w:val="24"/>
                      <w:lang w:eastAsia="zh-CN" w:bidi="ar"/>
                    </w:rPr>
                    <w:t>玉米单产提升培训班</w:t>
                  </w:r>
                </w:p>
              </w:tc>
              <w:tc>
                <w:tcPr>
                  <w:tcW w:w="1457" w:type="dxa"/>
                  <w:vAlign w:val="center"/>
                </w:tcPr>
                <w:p w14:paraId="26A32197">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lang w:val="en-US" w:eastAsia="zh-CN"/>
                    </w:rPr>
                    <w:t>663636.00</w:t>
                  </w:r>
                </w:p>
              </w:tc>
              <w:tc>
                <w:tcPr>
                  <w:tcW w:w="1447" w:type="dxa"/>
                  <w:vAlign w:val="center"/>
                </w:tcPr>
                <w:p w14:paraId="0ABBFE50">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lang w:val="en-US" w:eastAsia="zh-CN"/>
                    </w:rPr>
                    <w:t>663636.00</w:t>
                  </w:r>
                </w:p>
              </w:tc>
            </w:tr>
            <w:tr w14:paraId="3355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61" w:type="dxa"/>
                  <w:vAlign w:val="center"/>
                </w:tcPr>
                <w:p w14:paraId="2D07E891">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rPr>
                    <w:t>002</w:t>
                  </w:r>
                </w:p>
              </w:tc>
              <w:tc>
                <w:tcPr>
                  <w:tcW w:w="2550" w:type="dxa"/>
                  <w:vAlign w:val="center"/>
                </w:tcPr>
                <w:p w14:paraId="1E0E8EAA">
                  <w:pPr>
                    <w:widowControl/>
                    <w:jc w:val="center"/>
                    <w:textAlignment w:val="center"/>
                    <w:rPr>
                      <w:rFonts w:hint="eastAsia" w:ascii="仿宋_GB2312" w:hAnsi="仿宋" w:eastAsia="仿宋_GB2312"/>
                      <w:b/>
                      <w:bCs/>
                      <w:color w:val="auto"/>
                      <w:sz w:val="24"/>
                      <w:lang w:eastAsia="zh-CN"/>
                    </w:rPr>
                  </w:pPr>
                  <w:r>
                    <w:rPr>
                      <w:rFonts w:hint="eastAsia" w:ascii="仿宋_GB2312" w:hAnsi="宋体" w:eastAsia="仿宋_GB2312" w:cs="仿宋_GB2312"/>
                      <w:color w:val="auto"/>
                      <w:kern w:val="0"/>
                      <w:sz w:val="24"/>
                      <w:lang w:val="en-US" w:eastAsia="zh-CN" w:bidi="ar"/>
                    </w:rPr>
                    <w:t>专业农机手培训班</w:t>
                  </w:r>
                </w:p>
              </w:tc>
              <w:tc>
                <w:tcPr>
                  <w:tcW w:w="1457" w:type="dxa"/>
                  <w:vAlign w:val="center"/>
                </w:tcPr>
                <w:p w14:paraId="26CF78AD">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lang w:val="en-US" w:eastAsia="zh-CN"/>
                    </w:rPr>
                    <w:t>663636.00</w:t>
                  </w:r>
                </w:p>
              </w:tc>
              <w:tc>
                <w:tcPr>
                  <w:tcW w:w="1447" w:type="dxa"/>
                  <w:vAlign w:val="center"/>
                </w:tcPr>
                <w:p w14:paraId="3D8A4B7C">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lang w:val="en-US" w:eastAsia="zh-CN"/>
                    </w:rPr>
                    <w:t>663636.00</w:t>
                  </w:r>
                </w:p>
              </w:tc>
            </w:tr>
            <w:tr w14:paraId="3EFE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61" w:type="dxa"/>
                  <w:vAlign w:val="center"/>
                </w:tcPr>
                <w:p w14:paraId="06C6D727">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rPr>
                    <w:t>003</w:t>
                  </w:r>
                </w:p>
              </w:tc>
              <w:tc>
                <w:tcPr>
                  <w:tcW w:w="2550" w:type="dxa"/>
                  <w:vAlign w:val="center"/>
                </w:tcPr>
                <w:p w14:paraId="7E4CE75B">
                  <w:pPr>
                    <w:widowControl/>
                    <w:jc w:val="center"/>
                    <w:textAlignment w:val="center"/>
                    <w:rPr>
                      <w:rFonts w:hint="eastAsia" w:ascii="仿宋_GB2312" w:hAnsi="仿宋" w:eastAsia="仿宋_GB2312"/>
                      <w:b/>
                      <w:bCs/>
                      <w:color w:val="auto"/>
                      <w:sz w:val="24"/>
                      <w:lang w:eastAsia="zh-CN"/>
                    </w:rPr>
                  </w:pPr>
                  <w:r>
                    <w:rPr>
                      <w:rFonts w:hint="eastAsia" w:ascii="仿宋_GB2312" w:hAnsi="仿宋_GB2312" w:eastAsia="仿宋_GB2312" w:cs="仿宋_GB2312"/>
                      <w:color w:val="auto"/>
                      <w:kern w:val="0"/>
                      <w:sz w:val="24"/>
                      <w:lang w:val="en-US" w:eastAsia="zh-CN"/>
                    </w:rPr>
                    <w:t>肉牛、奶牛养殖培训班</w:t>
                  </w:r>
                </w:p>
              </w:tc>
              <w:tc>
                <w:tcPr>
                  <w:tcW w:w="1457" w:type="dxa"/>
                  <w:vAlign w:val="center"/>
                </w:tcPr>
                <w:p w14:paraId="0F8DA987">
                  <w:pPr>
                    <w:adjustRightInd w:val="0"/>
                    <w:snapToGrid w:val="0"/>
                    <w:jc w:val="center"/>
                    <w:rPr>
                      <w:rFonts w:ascii="仿宋_GB2312" w:hAnsi="仿宋" w:eastAsia="仿宋_GB2312"/>
                      <w:b/>
                      <w:bCs/>
                      <w:color w:val="auto"/>
                      <w:sz w:val="24"/>
                    </w:rPr>
                  </w:pPr>
                  <w:r>
                    <w:rPr>
                      <w:rFonts w:hint="eastAsia" w:ascii="仿宋_GB2312" w:hAnsi="仿宋" w:eastAsia="仿宋_GB2312" w:cs="仿宋_GB2312"/>
                      <w:color w:val="auto"/>
                      <w:sz w:val="24"/>
                      <w:lang w:val="en-US" w:eastAsia="zh-CN"/>
                    </w:rPr>
                    <w:t>497727.00</w:t>
                  </w:r>
                </w:p>
              </w:tc>
              <w:tc>
                <w:tcPr>
                  <w:tcW w:w="1447" w:type="dxa"/>
                  <w:vAlign w:val="center"/>
                </w:tcPr>
                <w:p w14:paraId="00844BBD">
                  <w:pPr>
                    <w:adjustRightInd w:val="0"/>
                    <w:snapToGrid w:val="0"/>
                    <w:jc w:val="center"/>
                    <w:rPr>
                      <w:rFonts w:ascii="仿宋_GB2312" w:hAnsi="仿宋" w:eastAsia="仿宋_GB2312"/>
                      <w:b/>
                      <w:bCs/>
                      <w:color w:val="auto"/>
                      <w:sz w:val="24"/>
                    </w:rPr>
                  </w:pPr>
                  <w:r>
                    <w:rPr>
                      <w:rFonts w:hint="eastAsia" w:ascii="仿宋_GB2312" w:hAnsi="仿宋" w:eastAsia="仿宋_GB2312" w:cs="仿宋_GB2312"/>
                      <w:color w:val="auto"/>
                      <w:sz w:val="24"/>
                      <w:lang w:val="en-US" w:eastAsia="zh-CN"/>
                    </w:rPr>
                    <w:t>497727.00</w:t>
                  </w:r>
                </w:p>
              </w:tc>
            </w:tr>
            <w:tr w14:paraId="71B3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61" w:type="dxa"/>
                  <w:vAlign w:val="center"/>
                </w:tcPr>
                <w:p w14:paraId="1108CDA7">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rPr>
                    <w:t>004</w:t>
                  </w:r>
                </w:p>
              </w:tc>
              <w:tc>
                <w:tcPr>
                  <w:tcW w:w="2550" w:type="dxa"/>
                  <w:vAlign w:val="center"/>
                </w:tcPr>
                <w:p w14:paraId="73A01D29">
                  <w:pPr>
                    <w:widowControl/>
                    <w:jc w:val="center"/>
                    <w:textAlignment w:val="center"/>
                    <w:rPr>
                      <w:rFonts w:hint="eastAsia" w:ascii="仿宋_GB2312" w:hAnsi="仿宋" w:eastAsia="仿宋_GB2312"/>
                      <w:b/>
                      <w:bCs/>
                      <w:color w:val="auto"/>
                      <w:sz w:val="24"/>
                      <w:lang w:eastAsia="zh-CN"/>
                    </w:rPr>
                  </w:pPr>
                  <w:r>
                    <w:rPr>
                      <w:rFonts w:hint="eastAsia" w:ascii="仿宋_GB2312" w:hAnsi="宋体" w:eastAsia="仿宋_GB2312" w:cs="仿宋_GB2312"/>
                      <w:color w:val="auto"/>
                      <w:kern w:val="0"/>
                      <w:sz w:val="24"/>
                      <w:lang w:val="en-US" w:eastAsia="zh-CN" w:bidi="ar"/>
                    </w:rPr>
                    <w:t>农机手专题班</w:t>
                  </w:r>
                </w:p>
              </w:tc>
              <w:tc>
                <w:tcPr>
                  <w:tcW w:w="1457" w:type="dxa"/>
                  <w:vAlign w:val="center"/>
                </w:tcPr>
                <w:p w14:paraId="5825B30D">
                  <w:pPr>
                    <w:adjustRightInd w:val="0"/>
                    <w:snapToGrid w:val="0"/>
                    <w:jc w:val="center"/>
                    <w:rPr>
                      <w:rFonts w:ascii="仿宋_GB2312" w:hAnsi="仿宋" w:eastAsia="仿宋_GB2312"/>
                      <w:b/>
                      <w:bCs/>
                      <w:color w:val="auto"/>
                      <w:sz w:val="24"/>
                    </w:rPr>
                  </w:pPr>
                  <w:r>
                    <w:rPr>
                      <w:rFonts w:hint="eastAsia" w:ascii="仿宋_GB2312" w:hAnsi="仿宋" w:eastAsia="仿宋_GB2312" w:cs="仿宋_GB2312"/>
                      <w:color w:val="auto"/>
                      <w:sz w:val="24"/>
                      <w:lang w:val="en-US" w:eastAsia="zh-CN"/>
                    </w:rPr>
                    <w:t>1170000.00</w:t>
                  </w:r>
                </w:p>
              </w:tc>
              <w:tc>
                <w:tcPr>
                  <w:tcW w:w="1447" w:type="dxa"/>
                  <w:vAlign w:val="center"/>
                </w:tcPr>
                <w:p w14:paraId="060C2190">
                  <w:pPr>
                    <w:adjustRightInd w:val="0"/>
                    <w:snapToGrid w:val="0"/>
                    <w:jc w:val="center"/>
                    <w:rPr>
                      <w:rFonts w:ascii="仿宋_GB2312" w:hAnsi="仿宋" w:eastAsia="仿宋_GB2312"/>
                      <w:b/>
                      <w:bCs/>
                      <w:color w:val="auto"/>
                      <w:sz w:val="24"/>
                    </w:rPr>
                  </w:pPr>
                  <w:r>
                    <w:rPr>
                      <w:rFonts w:hint="eastAsia" w:ascii="仿宋_GB2312" w:hAnsi="仿宋" w:eastAsia="仿宋_GB2312" w:cs="仿宋_GB2312"/>
                      <w:color w:val="auto"/>
                      <w:sz w:val="24"/>
                      <w:lang w:val="en-US" w:eastAsia="zh-CN"/>
                    </w:rPr>
                    <w:t>1170000.00</w:t>
                  </w:r>
                </w:p>
              </w:tc>
            </w:tr>
          </w:tbl>
          <w:p w14:paraId="53A830CB">
            <w:pPr>
              <w:widowControl/>
              <w:spacing w:line="360" w:lineRule="auto"/>
              <w:rPr>
                <w:rFonts w:ascii="仿宋_GB2312" w:hAnsi="仿宋" w:eastAsia="仿宋_GB2312"/>
                <w:b/>
                <w:bCs/>
                <w:color w:val="auto"/>
                <w:sz w:val="24"/>
              </w:rPr>
            </w:pPr>
            <w:r>
              <w:rPr>
                <w:rFonts w:hint="eastAsia" w:ascii="仿宋_GB2312" w:hAnsi="仿宋" w:eastAsia="仿宋_GB2312"/>
                <w:b/>
                <w:bCs/>
                <w:color w:val="auto"/>
                <w:sz w:val="24"/>
              </w:rPr>
              <w:t>特别说明：</w:t>
            </w:r>
          </w:p>
          <w:p w14:paraId="50CF44DC">
            <w:pPr>
              <w:adjustRightInd w:val="0"/>
              <w:snapToGrid w:val="0"/>
              <w:spacing w:line="500" w:lineRule="exact"/>
              <w:ind w:firstLine="480" w:firstLineChars="200"/>
              <w:rPr>
                <w:rFonts w:ascii="仿宋_GB2312" w:hAnsi="仿宋" w:eastAsia="仿宋_GB2312" w:cs="仿宋_GB2312"/>
                <w:b/>
                <w:color w:val="auto"/>
                <w:sz w:val="24"/>
              </w:rPr>
            </w:pPr>
            <w:r>
              <w:rPr>
                <w:rFonts w:hint="eastAsia" w:ascii="仿宋_GB2312" w:hAnsi="仿宋" w:eastAsia="仿宋_GB2312"/>
                <w:b/>
                <w:bCs/>
                <w:color w:val="auto"/>
                <w:sz w:val="24"/>
              </w:rPr>
              <w:t>1.投标人的投标报价不得高于招标文件中给定各包组的最高限价，否则投标文件视为不响应招标文件实质性要求，按无效投标文件处理</w:t>
            </w:r>
            <w:r>
              <w:rPr>
                <w:rFonts w:hint="eastAsia" w:ascii="仿宋_GB2312" w:hAnsi="仿宋" w:eastAsia="仿宋_GB2312" w:cs="仿宋_GB2312"/>
                <w:b/>
                <w:bCs/>
                <w:color w:val="auto"/>
                <w:sz w:val="24"/>
              </w:rPr>
              <w:t>；</w:t>
            </w:r>
          </w:p>
          <w:p w14:paraId="332CCE30">
            <w:pPr>
              <w:widowControl/>
              <w:spacing w:line="360" w:lineRule="auto"/>
              <w:ind w:firstLine="480" w:firstLineChars="200"/>
              <w:rPr>
                <w:color w:val="auto"/>
                <w:szCs w:val="21"/>
              </w:rPr>
            </w:pPr>
            <w:r>
              <w:rPr>
                <w:rFonts w:hint="eastAsia" w:ascii="仿宋_GB2312" w:hAnsi="仿宋" w:eastAsia="仿宋_GB2312" w:cs="仿宋_GB2312"/>
                <w:b/>
                <w:bCs/>
                <w:color w:val="auto"/>
                <w:sz w:val="24"/>
              </w:rPr>
              <w:t>2.如某一投标人的投标报价明显低于本项目预算价格或其他投标人报价，有可能影响产品质量或者不能诚信履约的，投标人应按照评标委员会要求的内容和时间提供书面说明，并同时提交相应的佐证材料，投标人不能按照评标委员会要求的内容和时间提供书面说明或说明及佐证材料不足以证明其报价合理性的，其投标文件将视为不响应招标文件实质性要求，作无效投标文件处理。</w:t>
            </w:r>
          </w:p>
        </w:tc>
      </w:tr>
      <w:tr w14:paraId="1888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2E3E5BE9">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1899" w:type="dxa"/>
            <w:vAlign w:val="center"/>
          </w:tcPr>
          <w:p w14:paraId="744CD6B6">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计量单位</w:t>
            </w:r>
          </w:p>
        </w:tc>
        <w:tc>
          <w:tcPr>
            <w:tcW w:w="6254" w:type="dxa"/>
            <w:vAlign w:val="center"/>
          </w:tcPr>
          <w:p w14:paraId="553995FB">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w:t>
            </w:r>
            <w:r>
              <w:rPr>
                <w:rFonts w:hint="eastAsia" w:ascii="仿宋_GB2312" w:hAnsi="仿宋" w:eastAsia="仿宋_GB2312" w:cs="仿宋_GB2312"/>
                <w:bCs/>
                <w:color w:val="auto"/>
                <w:kern w:val="0"/>
                <w:sz w:val="24"/>
              </w:rPr>
              <w:t>中华人民共和国法定计量单位</w:t>
            </w:r>
          </w:p>
          <w:p w14:paraId="6DDF4C0C">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sym w:font="Wingdings 2" w:char="00A3"/>
            </w:r>
            <w:r>
              <w:rPr>
                <w:rFonts w:hint="eastAsia" w:ascii="仿宋_GB2312" w:hAnsi="仿宋" w:eastAsia="仿宋_GB2312" w:cs="仿宋_GB2312"/>
                <w:bCs/>
                <w:color w:val="auto"/>
                <w:kern w:val="0"/>
                <w:sz w:val="24"/>
              </w:rPr>
              <w:t xml:space="preserve"> 其他：</w:t>
            </w:r>
            <w:r>
              <w:rPr>
                <w:rFonts w:hint="eastAsia" w:ascii="仿宋_GB2312" w:hAnsi="仿宋" w:eastAsia="仿宋_GB2312" w:cs="仿宋_GB2312"/>
                <w:bCs/>
                <w:color w:val="auto"/>
                <w:kern w:val="0"/>
                <w:sz w:val="24"/>
                <w:u w:val="single"/>
              </w:rPr>
              <w:t xml:space="preserve">              </w:t>
            </w:r>
          </w:p>
        </w:tc>
      </w:tr>
      <w:tr w14:paraId="2F8C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937" w:type="dxa"/>
            <w:vAlign w:val="center"/>
          </w:tcPr>
          <w:p w14:paraId="1624D96A">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6.1</w:t>
            </w:r>
          </w:p>
        </w:tc>
        <w:tc>
          <w:tcPr>
            <w:tcW w:w="1899" w:type="dxa"/>
            <w:vAlign w:val="center"/>
          </w:tcPr>
          <w:p w14:paraId="76006639">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现场考察、开标前答疑会</w:t>
            </w:r>
          </w:p>
        </w:tc>
        <w:tc>
          <w:tcPr>
            <w:tcW w:w="6254" w:type="dxa"/>
            <w:vAlign w:val="center"/>
          </w:tcPr>
          <w:p w14:paraId="30159DF3">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不组织</w:t>
            </w:r>
          </w:p>
          <w:p w14:paraId="177AAF9C">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组织，时  间：</w:t>
            </w:r>
            <w:r>
              <w:rPr>
                <w:rFonts w:hint="eastAsia" w:ascii="仿宋_GB2312" w:hAnsi="仿宋" w:eastAsia="仿宋_GB2312" w:cs="仿宋_GB2312"/>
                <w:bCs/>
                <w:color w:val="auto"/>
                <w:kern w:val="0"/>
                <w:sz w:val="24"/>
                <w:u w:val="single"/>
              </w:rPr>
              <w:t xml:space="preserve">        </w:t>
            </w:r>
          </w:p>
          <w:p w14:paraId="59FE8CD3">
            <w:pPr>
              <w:widowControl/>
              <w:spacing w:line="360" w:lineRule="auto"/>
              <w:ind w:left="-105" w:leftChars="-50" w:firstLine="1084" w:firstLineChars="45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地  点：</w:t>
            </w:r>
            <w:r>
              <w:rPr>
                <w:rFonts w:hint="eastAsia" w:ascii="仿宋_GB2312" w:hAnsi="仿宋" w:eastAsia="仿宋_GB2312" w:cs="仿宋_GB2312"/>
                <w:bCs/>
                <w:color w:val="auto"/>
                <w:kern w:val="0"/>
                <w:sz w:val="24"/>
                <w:u w:val="single"/>
              </w:rPr>
              <w:t xml:space="preserve">         </w:t>
            </w:r>
          </w:p>
          <w:p w14:paraId="64FBD9A0">
            <w:pPr>
              <w:spacing w:line="360" w:lineRule="auto"/>
              <w:ind w:left="-105" w:leftChars="-50" w:firstLine="1084" w:firstLineChars="45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联系人：</w:t>
            </w:r>
            <w:r>
              <w:rPr>
                <w:rFonts w:hint="eastAsia" w:ascii="仿宋_GB2312" w:hAnsi="仿宋" w:eastAsia="仿宋_GB2312" w:cs="仿宋_GB2312"/>
                <w:bCs/>
                <w:color w:val="auto"/>
                <w:kern w:val="0"/>
                <w:sz w:val="24"/>
                <w:u w:val="single"/>
              </w:rPr>
              <w:t xml:space="preserve">         </w:t>
            </w:r>
          </w:p>
          <w:p w14:paraId="379C940C">
            <w:pPr>
              <w:spacing w:line="360" w:lineRule="auto"/>
              <w:ind w:left="-105" w:leftChars="-50" w:firstLine="1084" w:firstLineChars="45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电  话：</w:t>
            </w:r>
            <w:r>
              <w:rPr>
                <w:rFonts w:hint="eastAsia" w:ascii="仿宋_GB2312" w:hAnsi="仿宋" w:eastAsia="仿宋_GB2312" w:cs="仿宋_GB2312"/>
                <w:bCs/>
                <w:color w:val="auto"/>
                <w:kern w:val="0"/>
                <w:sz w:val="24"/>
                <w:u w:val="single"/>
              </w:rPr>
              <w:t xml:space="preserve">         </w:t>
            </w:r>
          </w:p>
          <w:p w14:paraId="7AB70EE2">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组织，招标文件提供期限截止后以书面形式通知。</w:t>
            </w:r>
          </w:p>
        </w:tc>
      </w:tr>
      <w:tr w14:paraId="0D7E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34E8762A">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12.1</w:t>
            </w:r>
          </w:p>
        </w:tc>
        <w:tc>
          <w:tcPr>
            <w:tcW w:w="1899" w:type="dxa"/>
            <w:vAlign w:val="center"/>
          </w:tcPr>
          <w:p w14:paraId="56185DE1">
            <w:pPr>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投标报价货币要求</w:t>
            </w:r>
          </w:p>
        </w:tc>
        <w:tc>
          <w:tcPr>
            <w:tcW w:w="6254" w:type="dxa"/>
            <w:vAlign w:val="center"/>
          </w:tcPr>
          <w:p w14:paraId="6F25EAE9">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所有投标均按</w:t>
            </w:r>
            <w:r>
              <w:rPr>
                <w:rFonts w:hint="eastAsia" w:ascii="仿宋_GB2312" w:hAnsi="仿宋" w:eastAsia="仿宋_GB2312" w:cs="仿宋_GB2312"/>
                <w:color w:val="auto"/>
                <w:kern w:val="0"/>
                <w:sz w:val="24"/>
                <w:u w:val="single"/>
              </w:rPr>
              <w:t xml:space="preserve"> 人民币 </w:t>
            </w:r>
            <w:r>
              <w:rPr>
                <w:rFonts w:hint="eastAsia" w:ascii="仿宋_GB2312" w:hAnsi="仿宋" w:eastAsia="仿宋_GB2312" w:cs="仿宋_GB2312"/>
                <w:color w:val="auto"/>
                <w:kern w:val="0"/>
                <w:sz w:val="24"/>
              </w:rPr>
              <w:t>货币进行报价。</w:t>
            </w:r>
          </w:p>
          <w:p w14:paraId="2A8608B1">
            <w:pPr>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其它：</w:t>
            </w:r>
            <w:r>
              <w:rPr>
                <w:rFonts w:hint="eastAsia" w:ascii="仿宋_GB2312" w:hAnsi="仿宋" w:eastAsia="仿宋_GB2312" w:cs="仿宋_GB2312"/>
                <w:color w:val="auto"/>
                <w:kern w:val="0"/>
                <w:sz w:val="24"/>
                <w:u w:val="single"/>
              </w:rPr>
              <w:t xml:space="preserve">               </w:t>
            </w:r>
          </w:p>
        </w:tc>
      </w:tr>
      <w:tr w14:paraId="4402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37" w:type="dxa"/>
            <w:vAlign w:val="center"/>
          </w:tcPr>
          <w:p w14:paraId="01DD553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13.1</w:t>
            </w:r>
          </w:p>
        </w:tc>
        <w:tc>
          <w:tcPr>
            <w:tcW w:w="1899" w:type="dxa"/>
            <w:vAlign w:val="center"/>
          </w:tcPr>
          <w:p w14:paraId="328609F1">
            <w:pPr>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投标保证金</w:t>
            </w:r>
          </w:p>
        </w:tc>
        <w:tc>
          <w:tcPr>
            <w:tcW w:w="6254" w:type="dxa"/>
            <w:vAlign w:val="center"/>
          </w:tcPr>
          <w:p w14:paraId="155D0A09">
            <w:pPr>
              <w:spacing w:line="360" w:lineRule="auto"/>
              <w:rPr>
                <w:rFonts w:hint="eastAsia"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rPr>
              <w:t>1、投标保证金金额：</w:t>
            </w:r>
            <w:r>
              <w:rPr>
                <w:rFonts w:hint="eastAsia" w:ascii="仿宋_GB2312" w:hAnsi="仿宋" w:eastAsia="仿宋_GB2312" w:cs="仿宋_GB2312"/>
                <w:color w:val="auto"/>
                <w:kern w:val="0"/>
                <w:sz w:val="24"/>
                <w:lang w:val="en-US" w:eastAsia="zh-CN"/>
              </w:rPr>
              <w:t>001包、002包：6500</w:t>
            </w:r>
            <w:r>
              <w:rPr>
                <w:rFonts w:hint="eastAsia" w:ascii="仿宋_GB2312" w:hAnsi="仿宋" w:eastAsia="仿宋_GB2312" w:cs="仿宋_GB2312"/>
                <w:color w:val="auto"/>
                <w:kern w:val="0"/>
                <w:sz w:val="24"/>
              </w:rPr>
              <w:t>.00元</w:t>
            </w:r>
            <w:r>
              <w:rPr>
                <w:rFonts w:hint="eastAsia" w:ascii="仿宋_GB2312" w:hAnsi="仿宋" w:eastAsia="仿宋_GB2312" w:cs="仿宋_GB2312"/>
                <w:color w:val="auto"/>
                <w:kern w:val="0"/>
                <w:sz w:val="24"/>
                <w:lang w:val="en-US" w:eastAsia="zh-CN"/>
              </w:rPr>
              <w:t>/包</w:t>
            </w:r>
          </w:p>
          <w:p w14:paraId="2423FB2C">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lang w:val="en-US" w:eastAsia="zh-CN"/>
              </w:rPr>
              <w:t>003包：4500元、004包：10000元</w:t>
            </w:r>
          </w:p>
          <w:p w14:paraId="5F5A3799">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2、缴纳保证金截止时间：递交投标文件截止时间（以保证金到指定的帐户时间为准，以免因银行系统到账时间的延时等原因出现投标保证金不能及时到达指定帐号。保证金在缴纳截止时间后到达指定帐号的采购人将拒绝接受其响应文件）。</w:t>
            </w:r>
          </w:p>
          <w:p w14:paraId="16ED0CA0">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3、投标保证金提交的方式：电汇、保函等非现金方式缴纳。</w:t>
            </w:r>
          </w:p>
          <w:p w14:paraId="6D0D6194">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投标人以电汇或网银形式提交投标保证金的，投标保证金应从投标人基本账户中汇出，禁止以现金形式提交，保证金凭证上需注明项目名称。</w:t>
            </w:r>
          </w:p>
          <w:p w14:paraId="1FB4EDCB">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收取保证金的单位账户信息如下：</w:t>
            </w:r>
          </w:p>
          <w:p w14:paraId="738E96A7">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账户名称:朝阳市公共资源交易中心建平分中心</w:t>
            </w:r>
          </w:p>
          <w:p w14:paraId="2B226931">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开户银行:朝阳银行股份有限公司建平支行</w:t>
            </w:r>
          </w:p>
          <w:p w14:paraId="0B803376">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开户行行号:313234200869</w:t>
            </w:r>
          </w:p>
          <w:p w14:paraId="450F4D48">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账号:</w:t>
            </w:r>
            <w:r>
              <w:rPr>
                <w:rFonts w:hint="eastAsia" w:ascii="仿宋_GB2312" w:hAnsi="仿宋" w:eastAsia="仿宋_GB2312" w:cs="仿宋_GB2312"/>
                <w:color w:val="auto"/>
                <w:kern w:val="0"/>
                <w:sz w:val="24"/>
                <w:lang w:val="en-US" w:eastAsia="zh-CN"/>
              </w:rPr>
              <w:t xml:space="preserve"> 001包：</w:t>
            </w:r>
            <w:r>
              <w:rPr>
                <w:rFonts w:hint="eastAsia" w:ascii="仿宋_GB2312" w:hAnsi="仿宋" w:eastAsia="仿宋_GB2312" w:cs="仿宋_GB2312"/>
                <w:color w:val="auto"/>
                <w:kern w:val="0"/>
                <w:sz w:val="24"/>
              </w:rPr>
              <w:t>6660008000000357020</w:t>
            </w:r>
          </w:p>
          <w:p w14:paraId="6E4499B4">
            <w:pPr>
              <w:pStyle w:val="2"/>
              <w:ind w:firstLine="720" w:firstLineChars="300"/>
              <w:rPr>
                <w:rFonts w:hint="eastAsia"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val="en-US" w:eastAsia="zh-CN"/>
              </w:rPr>
              <w:t>002包：6660008000000357040</w:t>
            </w:r>
          </w:p>
          <w:p w14:paraId="41459B3D">
            <w:pPr>
              <w:pStyle w:val="2"/>
              <w:ind w:firstLine="720" w:firstLineChars="300"/>
              <w:rPr>
                <w:rFonts w:hint="eastAsia"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val="en-US" w:eastAsia="zh-CN"/>
              </w:rPr>
              <w:t>003包：6660008000000357030</w:t>
            </w:r>
          </w:p>
          <w:p w14:paraId="54F4844B">
            <w:pPr>
              <w:pStyle w:val="2"/>
              <w:ind w:firstLine="720" w:firstLineChars="300"/>
              <w:rPr>
                <w:rFonts w:hint="default"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val="en-US" w:eastAsia="zh-CN"/>
              </w:rPr>
              <w:t>004包：6660008000000357010</w:t>
            </w:r>
          </w:p>
          <w:p w14:paraId="6668D05E">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4、投标保证金递交情况：以开标当天交易中心出具的保证金入账清单、投标人提供的投标保证金汇款凭证及基本账户开户许可证为准。</w:t>
            </w:r>
          </w:p>
          <w:p w14:paraId="5373B1F4">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5、注意事项：投标人按招标文件规定的保证金数额，应当通过单位基本帐户一次性足额汇入指定的帐号，并保证单位基本账户在退付保证金之前有效。由于银行间汇款可能会出现到账延时或系统故障等原因，各投标人汇款后，应经常查询本企业开户银行投标保证金是否存在退款的情况，以免影响投标。投标人在缴纳投标保证金时，应充分考虑银行汇款的时间误差风险，未递交到账的后果自负。</w:t>
            </w:r>
          </w:p>
          <w:p w14:paraId="480F201D">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6、投标人可以以保函形式提供投标保证金</w:t>
            </w:r>
          </w:p>
          <w:p w14:paraId="62D99B8A">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投标人以纸质银行保函提供投标保证金，须开标前现场递交纸质银行保函正本原件。为方便查验纸质银行保函，投标人的纸质银行保函应当从招标项目所在地市域范围内的全国性国有银行（中国工商银行、中国银行、中国农业银行、中国建设银行、交通银行等）出具，并提供该银行地址和查询电话。投标人提供的纸质银行保函需注明所投标项目名称及担保金额，否则，投标无效。</w:t>
            </w:r>
          </w:p>
          <w:p w14:paraId="1274D404">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注意事项：</w:t>
            </w:r>
          </w:p>
          <w:p w14:paraId="522B2960">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①以电汇或网银形式或电子保函形式提交投标保证金的，在开标现场通过大屏幕公开显示保证金缴纳情况，当场公布缴纳有效的投标人名单，作为保证金缴纳的最终依据，未查到的视为未响应采购文件（系统异常情况除外）。</w:t>
            </w:r>
          </w:p>
          <w:p w14:paraId="54E8596B">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②以纸质银行保函形式提交投标保证金的，开标结束后，由采购人和采购代理机构在监管部门监督下对银行保函进行查验是否符合要求。对于不符合要求的银行保函，采购人及时通知评标委员会对相应的响应文件进行废标处理。</w:t>
            </w:r>
          </w:p>
          <w:p w14:paraId="7F4FAC02">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7、保证金退还方式：未取得《中标通知书》投标人的保证金，在中标通知书发出后五个工作日内退还。取得《中标通知书》 投标人的保证金在合同签订后五个工作日内退还。</w:t>
            </w:r>
          </w:p>
          <w:p w14:paraId="67DC0590">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保证金退还咨询电话：0421-7830242    0421-7815251</w:t>
            </w:r>
          </w:p>
          <w:p w14:paraId="602DF485">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（注：财政部门鼓励采用保函的方式递交投标保证金，具体办理流程参阅辽宁政府采购网）</w:t>
            </w:r>
          </w:p>
        </w:tc>
      </w:tr>
      <w:tr w14:paraId="115A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0405D60C">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15.1</w:t>
            </w:r>
          </w:p>
        </w:tc>
        <w:tc>
          <w:tcPr>
            <w:tcW w:w="1899" w:type="dxa"/>
            <w:vAlign w:val="center"/>
          </w:tcPr>
          <w:p w14:paraId="519CC272">
            <w:pPr>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投标有效期</w:t>
            </w:r>
          </w:p>
        </w:tc>
        <w:tc>
          <w:tcPr>
            <w:tcW w:w="6254" w:type="dxa"/>
            <w:vAlign w:val="center"/>
          </w:tcPr>
          <w:p w14:paraId="6985FC2F">
            <w:pPr>
              <w:pStyle w:val="9"/>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u w:val="single"/>
              </w:rPr>
              <w:t xml:space="preserve">  90  </w:t>
            </w:r>
            <w:r>
              <w:rPr>
                <w:rFonts w:hint="eastAsia" w:ascii="仿宋_GB2312" w:hAnsi="仿宋" w:eastAsia="仿宋_GB2312" w:cs="仿宋_GB2312"/>
                <w:color w:val="auto"/>
                <w:kern w:val="0"/>
                <w:sz w:val="24"/>
              </w:rPr>
              <w:t>日历日</w:t>
            </w:r>
          </w:p>
        </w:tc>
      </w:tr>
      <w:tr w14:paraId="5196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937" w:type="dxa"/>
            <w:vAlign w:val="center"/>
          </w:tcPr>
          <w:p w14:paraId="54DF2BF3">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16.1</w:t>
            </w:r>
          </w:p>
        </w:tc>
        <w:tc>
          <w:tcPr>
            <w:tcW w:w="1899" w:type="dxa"/>
            <w:vAlign w:val="center"/>
          </w:tcPr>
          <w:p w14:paraId="14DC60E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sz w:val="24"/>
              </w:rPr>
              <w:t>投标文件及电子文档份数</w:t>
            </w:r>
          </w:p>
        </w:tc>
        <w:tc>
          <w:tcPr>
            <w:tcW w:w="6254" w:type="dxa"/>
            <w:vAlign w:val="center"/>
          </w:tcPr>
          <w:p w14:paraId="733F2FA5">
            <w:pPr>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电子响应文件1份（辽宁政府采购网递交）。</w:t>
            </w:r>
          </w:p>
          <w:p w14:paraId="25C3BC30">
            <w:pPr>
              <w:spacing w:line="360" w:lineRule="auto"/>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成交供应商在领取中标通知书时按采购人要求须提供纸质响应文件纸质正本1份及副本4份，纸质响应文件与电子响应文件应保证一致。</w:t>
            </w:r>
          </w:p>
        </w:tc>
      </w:tr>
      <w:tr w14:paraId="7CCD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2D87029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18.1</w:t>
            </w:r>
          </w:p>
        </w:tc>
        <w:tc>
          <w:tcPr>
            <w:tcW w:w="1899" w:type="dxa"/>
            <w:vAlign w:val="center"/>
          </w:tcPr>
          <w:p w14:paraId="58241666">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递交投标文件截止时间、地点</w:t>
            </w:r>
          </w:p>
        </w:tc>
        <w:tc>
          <w:tcPr>
            <w:tcW w:w="6254" w:type="dxa"/>
            <w:vAlign w:val="center"/>
          </w:tcPr>
          <w:p w14:paraId="0A47B187">
            <w:pPr>
              <w:widowControl/>
              <w:adjustRightInd w:val="0"/>
              <w:snapToGrid w:val="0"/>
              <w:spacing w:line="360"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lang w:eastAsia="zh-CN"/>
              </w:rPr>
              <w:t>详见招标公告，以招标公告规定时间、地点为准。</w:t>
            </w:r>
          </w:p>
        </w:tc>
      </w:tr>
      <w:tr w14:paraId="11E41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5E8A544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20.1</w:t>
            </w:r>
          </w:p>
        </w:tc>
        <w:tc>
          <w:tcPr>
            <w:tcW w:w="1899" w:type="dxa"/>
            <w:vAlign w:val="center"/>
          </w:tcPr>
          <w:p w14:paraId="493FA968">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开标时间、地点</w:t>
            </w:r>
          </w:p>
        </w:tc>
        <w:tc>
          <w:tcPr>
            <w:tcW w:w="6254" w:type="dxa"/>
            <w:vAlign w:val="center"/>
          </w:tcPr>
          <w:p w14:paraId="34A8777C">
            <w:pPr>
              <w:widowControl/>
              <w:spacing w:line="360" w:lineRule="auto"/>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eastAsia="zh-CN"/>
              </w:rPr>
              <w:t>详见招标公告，以招标公告规定时间、地点为准。</w:t>
            </w:r>
          </w:p>
          <w:p w14:paraId="39B143A5">
            <w:pPr>
              <w:widowControl/>
              <w:spacing w:line="360" w:lineRule="auto"/>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eastAsia="zh-CN"/>
              </w:rPr>
              <w:t>本次开标供应商可到现场参与开标或采用“腾讯会议”线上开标，投标单位可扫描下方二维码关注公众号，点击“开标信息”进入“现场直播”，并在开标时间前10分钟进入会议同时修改名称为投标单位名称，参会过程中，未经代理机构允许，不得私自开启语音和屏幕共享。</w:t>
            </w:r>
          </w:p>
          <w:p w14:paraId="2790E572">
            <w:pPr>
              <w:widowControl/>
              <w:spacing w:line="360" w:lineRule="auto"/>
              <w:rPr>
                <w:rFonts w:hint="default"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eastAsia="zh-CN"/>
              </w:rPr>
              <w:t>会议号：383-271-535</w:t>
            </w:r>
          </w:p>
          <w:p w14:paraId="0C219011">
            <w:pPr>
              <w:widowControl/>
              <w:spacing w:line="360" w:lineRule="auto"/>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drawing>
                <wp:inline distT="0" distB="0" distL="114300" distR="114300">
                  <wp:extent cx="1043305" cy="1008380"/>
                  <wp:effectExtent l="0" t="0" r="444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1043305" cy="1008380"/>
                          </a:xfrm>
                          <a:prstGeom prst="rect">
                            <a:avLst/>
                          </a:prstGeom>
                          <a:noFill/>
                          <a:ln>
                            <a:noFill/>
                          </a:ln>
                        </pic:spPr>
                      </pic:pic>
                    </a:graphicData>
                  </a:graphic>
                </wp:inline>
              </w:drawing>
            </w:r>
          </w:p>
          <w:p w14:paraId="1F906A04">
            <w:pPr>
              <w:widowControl/>
              <w:spacing w:line="360" w:lineRule="auto"/>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eastAsia="zh-CN"/>
              </w:rPr>
              <w:t>供应商未按时参加腾讯视频会议且未到现场开标，造成投标（响应）失败，责任由供应商自行承担。（对于未参加网上开标会议且未到现场开标的投标人视为默认认同开、评标的程序,相关投标人不得事后对开、评标的程序提出任何异议）</w:t>
            </w:r>
          </w:p>
          <w:p w14:paraId="0A648E87">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lang w:eastAsia="zh-CN"/>
              </w:rPr>
              <w:t>注：开、评标过程中供应商应保持电话畅通，如因供应商自身原因联系不上后果自负。</w:t>
            </w:r>
          </w:p>
        </w:tc>
      </w:tr>
      <w:tr w14:paraId="4059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937" w:type="dxa"/>
            <w:vAlign w:val="center"/>
          </w:tcPr>
          <w:p w14:paraId="0C1F03CC">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21</w:t>
            </w:r>
          </w:p>
        </w:tc>
        <w:tc>
          <w:tcPr>
            <w:tcW w:w="1899" w:type="dxa"/>
            <w:vAlign w:val="center"/>
          </w:tcPr>
          <w:p w14:paraId="6586C3F8">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评标委员会</w:t>
            </w:r>
          </w:p>
          <w:p w14:paraId="0085DB83">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组成</w:t>
            </w:r>
          </w:p>
        </w:tc>
        <w:tc>
          <w:tcPr>
            <w:tcW w:w="6254" w:type="dxa"/>
            <w:vAlign w:val="center"/>
          </w:tcPr>
          <w:p w14:paraId="24C1667E">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sz w:val="24"/>
              </w:rPr>
              <w:t xml:space="preserve">评标委员会由评审专家 </w:t>
            </w:r>
            <w:r>
              <w:rPr>
                <w:rFonts w:hint="eastAsia" w:ascii="仿宋_GB2312" w:hAnsi="仿宋" w:eastAsia="仿宋_GB2312" w:cs="仿宋_GB2312"/>
                <w:color w:val="auto"/>
                <w:sz w:val="24"/>
                <w:lang w:val="en-US" w:eastAsia="zh-CN"/>
              </w:rPr>
              <w:t>5</w:t>
            </w:r>
            <w:r>
              <w:rPr>
                <w:rFonts w:hint="eastAsia" w:ascii="仿宋_GB2312" w:hAnsi="仿宋" w:eastAsia="仿宋_GB2312" w:cs="仿宋_GB2312"/>
                <w:color w:val="auto"/>
                <w:sz w:val="24"/>
              </w:rPr>
              <w:t xml:space="preserve"> 人组成，共 </w:t>
            </w:r>
            <w:r>
              <w:rPr>
                <w:rFonts w:hint="eastAsia" w:ascii="仿宋_GB2312" w:hAnsi="仿宋" w:eastAsia="仿宋_GB2312" w:cs="仿宋_GB2312"/>
                <w:color w:val="auto"/>
                <w:sz w:val="24"/>
                <w:lang w:val="en-US" w:eastAsia="zh-CN"/>
              </w:rPr>
              <w:t>5</w:t>
            </w:r>
            <w:r>
              <w:rPr>
                <w:rFonts w:hint="eastAsia" w:ascii="仿宋_GB2312" w:hAnsi="仿宋" w:eastAsia="仿宋_GB2312" w:cs="仿宋_GB2312"/>
                <w:color w:val="auto"/>
                <w:sz w:val="24"/>
              </w:rPr>
              <w:t xml:space="preserve"> 人。从辽宁省政府采购评审专家库抽取。</w:t>
            </w:r>
          </w:p>
        </w:tc>
      </w:tr>
      <w:tr w14:paraId="4EAC3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937" w:type="dxa"/>
            <w:vAlign w:val="center"/>
          </w:tcPr>
          <w:p w14:paraId="2CE9A4B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27.2</w:t>
            </w:r>
          </w:p>
        </w:tc>
        <w:tc>
          <w:tcPr>
            <w:tcW w:w="1899" w:type="dxa"/>
            <w:vAlign w:val="center"/>
          </w:tcPr>
          <w:p w14:paraId="140A4FE7">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评标方法</w:t>
            </w:r>
          </w:p>
        </w:tc>
        <w:tc>
          <w:tcPr>
            <w:tcW w:w="6254" w:type="dxa"/>
            <w:vAlign w:val="center"/>
          </w:tcPr>
          <w:p w14:paraId="4ABB528B">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w:t>
            </w:r>
            <w:r>
              <w:rPr>
                <w:rFonts w:hint="eastAsia" w:ascii="仿宋_GB2312" w:hAnsi="仿宋" w:eastAsia="仿宋_GB2312" w:cs="仿宋_GB2312"/>
                <w:color w:val="auto"/>
                <w:sz w:val="24"/>
              </w:rPr>
              <w:t xml:space="preserve">综合评分法 </w:t>
            </w:r>
            <w:r>
              <w:rPr>
                <w:rFonts w:ascii="仿宋_GB2312" w:hAnsi="仿宋" w:eastAsia="仿宋_GB2312" w:cs="仿宋_GB2312"/>
                <w:color w:val="auto"/>
                <w:sz w:val="24"/>
              </w:rPr>
              <w:t xml:space="preserve">    </w:t>
            </w:r>
          </w:p>
          <w:p w14:paraId="44B08710">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sym w:font="Wingdings 2" w:char="00A3"/>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 xml:space="preserve">最低评标价法 </w:t>
            </w:r>
          </w:p>
        </w:tc>
      </w:tr>
      <w:tr w14:paraId="25EF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1495E17F">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29.2</w:t>
            </w:r>
          </w:p>
        </w:tc>
        <w:tc>
          <w:tcPr>
            <w:tcW w:w="1899" w:type="dxa"/>
            <w:vAlign w:val="center"/>
          </w:tcPr>
          <w:p w14:paraId="3FB39B3C">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推荐中标候选人的数量</w:t>
            </w:r>
          </w:p>
        </w:tc>
        <w:tc>
          <w:tcPr>
            <w:tcW w:w="6254" w:type="dxa"/>
            <w:vAlign w:val="center"/>
          </w:tcPr>
          <w:p w14:paraId="5E7E14BB">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3名/包。</w:t>
            </w:r>
          </w:p>
        </w:tc>
      </w:tr>
      <w:tr w14:paraId="379E6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trPr>
        <w:tc>
          <w:tcPr>
            <w:tcW w:w="937" w:type="dxa"/>
            <w:vAlign w:val="center"/>
          </w:tcPr>
          <w:p w14:paraId="2C88AE3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31</w:t>
            </w:r>
          </w:p>
        </w:tc>
        <w:tc>
          <w:tcPr>
            <w:tcW w:w="1899" w:type="dxa"/>
            <w:vAlign w:val="center"/>
          </w:tcPr>
          <w:p w14:paraId="5ACCFF0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确定中标人的</w:t>
            </w:r>
          </w:p>
          <w:p w14:paraId="7650FDD0">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方式</w:t>
            </w:r>
          </w:p>
        </w:tc>
        <w:tc>
          <w:tcPr>
            <w:tcW w:w="6254" w:type="dxa"/>
            <w:vAlign w:val="center"/>
          </w:tcPr>
          <w:p w14:paraId="7C276CA5">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中标人数量：1名/包。</w:t>
            </w:r>
          </w:p>
          <w:p w14:paraId="03301543">
            <w:pPr>
              <w:widowControl/>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sym w:font="Wingdings 2" w:char="00A3"/>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采购人委托评标委员会直接确定中标人</w:t>
            </w:r>
          </w:p>
          <w:p w14:paraId="580C12C5">
            <w:pPr>
              <w:widowControl/>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采购人确定中标人</w:t>
            </w:r>
          </w:p>
        </w:tc>
      </w:tr>
      <w:tr w14:paraId="631FF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37" w:type="dxa"/>
            <w:vAlign w:val="center"/>
          </w:tcPr>
          <w:p w14:paraId="53B548C4">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35.1</w:t>
            </w:r>
          </w:p>
        </w:tc>
        <w:tc>
          <w:tcPr>
            <w:tcW w:w="1899" w:type="dxa"/>
            <w:vAlign w:val="center"/>
          </w:tcPr>
          <w:p w14:paraId="30C7B20C">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履约保证金</w:t>
            </w:r>
          </w:p>
        </w:tc>
        <w:tc>
          <w:tcPr>
            <w:tcW w:w="6254" w:type="dxa"/>
            <w:vAlign w:val="center"/>
          </w:tcPr>
          <w:p w14:paraId="6E1296BA">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sym w:font="Wingdings 2" w:char="0052"/>
            </w:r>
            <w:r>
              <w:rPr>
                <w:rFonts w:hint="eastAsia" w:ascii="仿宋_GB2312" w:hAnsi="仿宋" w:eastAsia="仿宋_GB2312" w:cs="仿宋_GB2312"/>
                <w:color w:val="auto"/>
                <w:sz w:val="24"/>
              </w:rPr>
              <w:t xml:space="preserve"> 不收取履约保证金</w:t>
            </w:r>
          </w:p>
          <w:p w14:paraId="7D351F0E">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 收取履约保证金</w:t>
            </w:r>
          </w:p>
        </w:tc>
      </w:tr>
      <w:tr w14:paraId="1DAB8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1" w:hRule="atLeast"/>
        </w:trPr>
        <w:tc>
          <w:tcPr>
            <w:tcW w:w="937" w:type="dxa"/>
            <w:vAlign w:val="center"/>
          </w:tcPr>
          <w:p w14:paraId="77023E7A">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36</w:t>
            </w:r>
          </w:p>
        </w:tc>
        <w:tc>
          <w:tcPr>
            <w:tcW w:w="1899" w:type="dxa"/>
            <w:vAlign w:val="center"/>
          </w:tcPr>
          <w:p w14:paraId="7AE675F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采购代理服务费</w:t>
            </w:r>
          </w:p>
        </w:tc>
        <w:tc>
          <w:tcPr>
            <w:tcW w:w="6254" w:type="dxa"/>
            <w:vAlign w:val="center"/>
          </w:tcPr>
          <w:p w14:paraId="6BD847F9">
            <w:pPr>
              <w:widowControl/>
              <w:spacing w:line="360" w:lineRule="auto"/>
              <w:ind w:firstLine="240" w:firstLineChars="100"/>
              <w:rPr>
                <w:rFonts w:hint="eastAsia" w:ascii="仿宋_GB2312" w:hAnsi="仿宋" w:eastAsia="仿宋_GB2312" w:cs="仿宋_GB2312"/>
                <w:color w:val="auto"/>
                <w:sz w:val="24"/>
              </w:rPr>
            </w:pPr>
            <w:r>
              <w:rPr>
                <w:rFonts w:hint="eastAsia" w:ascii="仿宋_GB2312" w:hAnsi="仿宋" w:eastAsia="仿宋_GB2312" w:cs="仿宋_GB2312"/>
                <w:color w:val="auto"/>
                <w:sz w:val="24"/>
              </w:rPr>
              <w:t>本项目不收取采购代理服务费</w:t>
            </w:r>
          </w:p>
          <w:p w14:paraId="5D0B6F9C">
            <w:pPr>
              <w:widowControl/>
              <w:spacing w:line="360" w:lineRule="auto"/>
              <w:ind w:firstLine="240" w:firstLineChars="100"/>
              <w:rPr>
                <w:rFonts w:hint="eastAsia" w:ascii="仿宋_GB2312" w:hAnsi="仿宋" w:eastAsia="仿宋_GB2312" w:cs="仿宋_GB2312"/>
                <w:color w:val="auto"/>
                <w:sz w:val="24"/>
              </w:rPr>
            </w:pPr>
            <w:r>
              <w:rPr>
                <w:rFonts w:hint="eastAsia" w:ascii="仿宋_GB2312" w:hAnsi="仿宋" w:eastAsia="仿宋_GB2312" w:cs="仿宋_GB2312"/>
                <w:color w:val="auto"/>
                <w:sz w:val="24"/>
              </w:rPr>
              <w:sym w:font="Wingdings 2" w:char="0052"/>
            </w:r>
            <w:r>
              <w:rPr>
                <w:rFonts w:hint="eastAsia" w:ascii="仿宋_GB2312" w:hAnsi="仿宋" w:eastAsia="仿宋_GB2312" w:cs="仿宋_GB2312"/>
                <w:color w:val="auto"/>
                <w:sz w:val="24"/>
              </w:rPr>
              <w:t>本项目收取采购代理服务费</w:t>
            </w:r>
          </w:p>
          <w:p w14:paraId="6F42BA39">
            <w:pPr>
              <w:widowControl/>
              <w:spacing w:line="360" w:lineRule="auto"/>
              <w:ind w:firstLine="240" w:firstLineChars="100"/>
              <w:rPr>
                <w:rFonts w:hint="eastAsia" w:ascii="仿宋_GB2312" w:hAnsi="仿宋" w:eastAsia="仿宋_GB2312" w:cs="仿宋_GB2312"/>
                <w:color w:val="auto"/>
                <w:sz w:val="24"/>
              </w:rPr>
            </w:pPr>
            <w:r>
              <w:rPr>
                <w:rFonts w:hint="eastAsia" w:ascii="仿宋_GB2312" w:hAnsi="仿宋" w:eastAsia="仿宋_GB2312" w:cs="仿宋_GB2312"/>
                <w:color w:val="auto"/>
                <w:sz w:val="24"/>
              </w:rPr>
              <w:t>本项目采购代理服务费由</w:t>
            </w:r>
            <w:r>
              <w:rPr>
                <w:rFonts w:hint="eastAsia" w:ascii="仿宋_GB2312" w:hAnsi="仿宋" w:eastAsia="仿宋_GB2312" w:cs="仿宋_GB2312"/>
                <w:color w:val="auto"/>
                <w:sz w:val="24"/>
                <w:u w:val="single"/>
                <w:lang w:val="en-US" w:eastAsia="zh-CN"/>
              </w:rPr>
              <w:t>成交供应商</w:t>
            </w:r>
            <w:r>
              <w:rPr>
                <w:rFonts w:hint="eastAsia" w:ascii="仿宋_GB2312" w:hAnsi="仿宋" w:eastAsia="仿宋_GB2312" w:cs="仿宋_GB2312"/>
                <w:color w:val="auto"/>
                <w:sz w:val="24"/>
              </w:rPr>
              <w:t>向采购代理机构予以支付。</w:t>
            </w:r>
          </w:p>
          <w:p w14:paraId="3382A06E">
            <w:pPr>
              <w:widowControl/>
              <w:spacing w:line="360" w:lineRule="auto"/>
              <w:ind w:firstLine="240" w:firstLineChars="100"/>
              <w:rPr>
                <w:rFonts w:hint="eastAsia" w:ascii="仿宋_GB2312" w:hAnsi="仿宋" w:eastAsia="仿宋_GB2312" w:cs="仿宋_GB2312"/>
                <w:color w:val="auto"/>
                <w:sz w:val="24"/>
              </w:rPr>
            </w:pPr>
            <w:r>
              <w:rPr>
                <w:rFonts w:hint="eastAsia" w:ascii="仿宋_GB2312" w:hAnsi="仿宋" w:eastAsia="仿宋_GB2312" w:cs="仿宋_GB2312"/>
                <w:color w:val="auto"/>
                <w:sz w:val="24"/>
              </w:rPr>
              <w:t>支付标准：</w:t>
            </w:r>
            <w:r>
              <w:rPr>
                <w:rFonts w:hint="eastAsia" w:ascii="仿宋_GB2312" w:hAnsi="仿宋" w:eastAsia="仿宋_GB2312" w:cs="仿宋_GB2312"/>
                <w:color w:val="auto"/>
                <w:sz w:val="24"/>
                <w:u w:val="single"/>
              </w:rPr>
              <w:t xml:space="preserve">参照《招标代理服务收费管理暂行办法》计价格[2002]1980号和发改办[2003]857号文件及市场调节价格收取。 </w:t>
            </w:r>
          </w:p>
          <w:p w14:paraId="7F1BD377">
            <w:pPr>
              <w:widowControl/>
              <w:spacing w:line="360" w:lineRule="auto"/>
              <w:ind w:firstLine="240" w:firstLineChars="100"/>
              <w:rPr>
                <w:rFonts w:hint="eastAsia" w:ascii="仿宋_GB2312" w:hAnsi="仿宋" w:eastAsia="仿宋_GB2312" w:cs="仿宋_GB2312"/>
                <w:color w:val="auto"/>
                <w:sz w:val="24"/>
              </w:rPr>
            </w:pPr>
            <w:r>
              <w:rPr>
                <w:rFonts w:hint="eastAsia" w:ascii="仿宋_GB2312" w:hAnsi="仿宋" w:eastAsia="仿宋_GB2312" w:cs="仿宋_GB2312"/>
                <w:color w:val="auto"/>
                <w:sz w:val="24"/>
              </w:rPr>
              <w:t>支付形式：</w:t>
            </w:r>
            <w:r>
              <w:rPr>
                <w:rFonts w:hint="eastAsia" w:ascii="仿宋_GB2312" w:hAnsi="仿宋" w:eastAsia="仿宋_GB2312" w:cs="仿宋_GB2312"/>
                <w:color w:val="auto"/>
                <w:sz w:val="24"/>
                <w:u w:val="single"/>
              </w:rPr>
              <w:t xml:space="preserve"> 现金或转账或汇款</w:t>
            </w:r>
            <w:r>
              <w:rPr>
                <w:rFonts w:hint="eastAsia" w:ascii="仿宋_GB2312" w:hAnsi="仿宋" w:eastAsia="仿宋_GB2312" w:cs="仿宋_GB2312"/>
                <w:color w:val="auto"/>
                <w:sz w:val="24"/>
              </w:rPr>
              <w:t xml:space="preserve"> </w:t>
            </w:r>
          </w:p>
          <w:p w14:paraId="6EF07A40">
            <w:pPr>
              <w:widowControl/>
              <w:spacing w:line="360" w:lineRule="auto"/>
              <w:ind w:firstLine="240" w:firstLineChars="100"/>
              <w:rPr>
                <w:color w:val="auto"/>
              </w:rPr>
            </w:pPr>
            <w:r>
              <w:rPr>
                <w:rFonts w:hint="eastAsia" w:ascii="仿宋_GB2312" w:hAnsi="仿宋" w:eastAsia="仿宋_GB2312" w:cs="仿宋_GB2312"/>
                <w:color w:val="auto"/>
                <w:sz w:val="24"/>
              </w:rPr>
              <w:t xml:space="preserve">支付时间： </w:t>
            </w:r>
            <w:r>
              <w:rPr>
                <w:rFonts w:hint="eastAsia" w:ascii="仿宋_GB2312" w:hAnsi="仿宋" w:eastAsia="仿宋_GB2312" w:cs="仿宋_GB2312"/>
                <w:color w:val="auto"/>
                <w:sz w:val="24"/>
                <w:u w:val="single"/>
              </w:rPr>
              <w:t xml:space="preserve">其费用由中标人在领取中标通知书时一次性付清 </w:t>
            </w:r>
          </w:p>
        </w:tc>
      </w:tr>
      <w:tr w14:paraId="70CE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937" w:type="dxa"/>
            <w:vAlign w:val="center"/>
          </w:tcPr>
          <w:p w14:paraId="6468252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39.3</w:t>
            </w:r>
          </w:p>
        </w:tc>
        <w:tc>
          <w:tcPr>
            <w:tcW w:w="1899" w:type="dxa"/>
            <w:vAlign w:val="center"/>
          </w:tcPr>
          <w:p w14:paraId="75C12254">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质疑</w:t>
            </w:r>
          </w:p>
        </w:tc>
        <w:tc>
          <w:tcPr>
            <w:tcW w:w="6254" w:type="dxa"/>
            <w:vAlign w:val="center"/>
          </w:tcPr>
          <w:p w14:paraId="4DE99183">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一、投标人认为自己的权益受到损害的，可以在知道或者应知其权益受到损害之日起七个工作日内，向采购组织机构提出质疑。</w:t>
            </w:r>
          </w:p>
          <w:p w14:paraId="4B537E9B">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1.</w:t>
            </w:r>
            <w:r>
              <w:rPr>
                <w:rFonts w:hint="eastAsia" w:ascii="仿宋_GB2312" w:hAnsi="仿宋" w:eastAsia="仿宋_GB2312" w:cs="仿宋_GB2312"/>
                <w:color w:val="auto"/>
                <w:sz w:val="24"/>
              </w:rPr>
              <w:t>接收线上质疑函的方式：电子版质疑函上传至辽宁政府采购网</w:t>
            </w:r>
          </w:p>
          <w:p w14:paraId="312559D0">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2</w:t>
            </w:r>
            <w:r>
              <w:rPr>
                <w:rFonts w:hint="eastAsia" w:ascii="仿宋_GB2312" w:hAnsi="仿宋" w:eastAsia="仿宋_GB2312" w:cs="仿宋_GB2312"/>
                <w:color w:val="auto"/>
                <w:sz w:val="24"/>
              </w:rPr>
              <w:t>.接收书面</w:t>
            </w:r>
            <w:r>
              <w:rPr>
                <w:rFonts w:hint="eastAsia" w:ascii="仿宋_GB2312" w:hAnsi="仿宋" w:eastAsia="仿宋_GB2312" w:cs="宋体"/>
                <w:color w:val="auto"/>
                <w:sz w:val="24"/>
              </w:rPr>
              <w:t>纸质</w:t>
            </w:r>
            <w:r>
              <w:rPr>
                <w:rFonts w:hint="eastAsia" w:ascii="仿宋_GB2312" w:hAnsi="仿宋" w:eastAsia="仿宋_GB2312" w:cs="仿宋_GB2312"/>
                <w:color w:val="auto"/>
                <w:sz w:val="24"/>
              </w:rPr>
              <w:t>质疑函的方式：接收加盖单位公章的书面质疑函</w:t>
            </w:r>
          </w:p>
          <w:p w14:paraId="2652F953">
            <w:pPr>
              <w:widowControl/>
              <w:spacing w:line="360" w:lineRule="auto"/>
              <w:ind w:firstLine="240" w:firstLineChars="100"/>
              <w:rPr>
                <w:rFonts w:hint="eastAsia" w:ascii="仿宋_GB2312" w:hAnsi="仿宋" w:eastAsia="仿宋_GB2312" w:cs="仿宋_GB2312"/>
                <w:color w:val="auto"/>
                <w:kern w:val="0"/>
                <w:sz w:val="24"/>
                <w:u w:val="single"/>
                <w:lang w:val="en-US" w:eastAsia="zh-CN"/>
              </w:rPr>
            </w:pPr>
            <w:r>
              <w:rPr>
                <w:rFonts w:hint="eastAsia" w:ascii="仿宋_GB2312" w:hAnsi="仿宋" w:eastAsia="仿宋_GB2312" w:cs="仿宋_GB2312"/>
                <w:color w:val="auto"/>
                <w:sz w:val="24"/>
              </w:rPr>
              <w:t>联系单位：</w:t>
            </w:r>
            <w:r>
              <w:rPr>
                <w:rFonts w:hint="eastAsia" w:ascii="仿宋_GB2312" w:hAnsi="仿宋" w:eastAsia="仿宋_GB2312" w:cs="仿宋_GB2312"/>
                <w:color w:val="auto"/>
                <w:kern w:val="0"/>
                <w:sz w:val="24"/>
                <w:u w:val="single"/>
                <w:lang w:val="en-US" w:eastAsia="zh-CN"/>
              </w:rPr>
              <w:t>辽宁聚诚项目管理有限公司</w:t>
            </w:r>
          </w:p>
          <w:p w14:paraId="6C421AE8">
            <w:pPr>
              <w:widowControl/>
              <w:spacing w:line="360" w:lineRule="auto"/>
              <w:ind w:firstLine="240" w:firstLineChars="10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联 系 人：</w:t>
            </w:r>
            <w:r>
              <w:rPr>
                <w:rFonts w:hint="eastAsia" w:ascii="仿宋_GB2312" w:hAnsi="仿宋" w:eastAsia="仿宋_GB2312" w:cs="仿宋_GB2312"/>
                <w:color w:val="auto"/>
                <w:sz w:val="24"/>
                <w:u w:val="single"/>
                <w:lang w:val="en-US" w:eastAsia="zh-CN"/>
              </w:rPr>
              <w:t>张宇</w:t>
            </w:r>
          </w:p>
          <w:p w14:paraId="02FCB5B4">
            <w:pPr>
              <w:widowControl/>
              <w:spacing w:line="360" w:lineRule="auto"/>
              <w:ind w:firstLine="240" w:firstLineChars="100"/>
              <w:rPr>
                <w:rFonts w:hint="eastAsia" w:ascii="仿宋_GB2312" w:hAnsi="仿宋" w:eastAsia="仿宋_GB2312" w:cs="仿宋_GB2312"/>
                <w:color w:val="auto"/>
                <w:sz w:val="24"/>
                <w:u w:val="single"/>
                <w:lang w:val="en-US" w:eastAsia="zh-CN"/>
              </w:rPr>
            </w:pPr>
            <w:r>
              <w:rPr>
                <w:rFonts w:hint="eastAsia" w:ascii="仿宋_GB2312" w:hAnsi="仿宋" w:eastAsia="仿宋_GB2312" w:cs="仿宋_GB2312"/>
                <w:color w:val="auto"/>
                <w:sz w:val="24"/>
              </w:rPr>
              <w:t>联系电话：</w:t>
            </w:r>
            <w:r>
              <w:rPr>
                <w:rFonts w:hint="eastAsia" w:ascii="仿宋_GB2312" w:hAnsi="仿宋" w:eastAsia="仿宋_GB2312" w:cs="仿宋_GB2312"/>
                <w:color w:val="auto"/>
                <w:sz w:val="24"/>
                <w:u w:val="single"/>
                <w:lang w:val="en-US" w:eastAsia="zh-CN"/>
              </w:rPr>
              <w:t>18204056039</w:t>
            </w:r>
          </w:p>
          <w:p w14:paraId="09F4F284">
            <w:pPr>
              <w:widowControl/>
              <w:spacing w:line="360" w:lineRule="auto"/>
              <w:rPr>
                <w:rFonts w:hint="eastAsia" w:ascii="仿宋_GB2312" w:hAnsi="仿宋" w:eastAsia="仿宋_GB2312" w:cs="仿宋_GB2312"/>
                <w:color w:val="auto"/>
                <w:sz w:val="24"/>
                <w:u w:val="single"/>
              </w:rPr>
            </w:pPr>
            <w:r>
              <w:rPr>
                <w:rFonts w:hint="eastAsia" w:ascii="仿宋_GB2312" w:hAnsi="仿宋" w:eastAsia="仿宋_GB2312" w:cs="仿宋_GB2312"/>
                <w:color w:val="auto"/>
                <w:sz w:val="24"/>
              </w:rPr>
              <w:t>通讯地址：</w:t>
            </w:r>
            <w:r>
              <w:rPr>
                <w:rFonts w:hint="eastAsia" w:ascii="仿宋_GB2312" w:hAnsi="仿宋" w:eastAsia="仿宋_GB2312" w:cs="仿宋_GB2312"/>
                <w:color w:val="auto"/>
                <w:sz w:val="24"/>
                <w:u w:val="single"/>
                <w:lang w:eastAsia="zh-CN"/>
              </w:rPr>
              <w:t>沈阳市和平区南四经街143号</w:t>
            </w:r>
          </w:p>
          <w:p w14:paraId="145979F5">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3</w:t>
            </w:r>
            <w:r>
              <w:rPr>
                <w:rFonts w:hint="eastAsia" w:ascii="仿宋_GB2312" w:hAnsi="仿宋" w:eastAsia="仿宋_GB2312" w:cs="仿宋_GB2312"/>
                <w:color w:val="auto"/>
                <w:sz w:val="24"/>
              </w:rPr>
              <w:t>.质疑函的内容、格式：应符合《政府采购质疑和投诉办法》相关规定和财政部门制定的《政府采购质疑函范本》格式。</w:t>
            </w:r>
          </w:p>
          <w:p w14:paraId="37EB9414">
            <w:pPr>
              <w:pStyle w:val="9"/>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sz w:val="24"/>
              </w:rPr>
              <w:t>二、投标人应在法定质疑期内一次性针对同一采购程序环节提出质疑，否则针对再次提出质疑将不予接收。（采购程序环节分为：</w:t>
            </w:r>
            <w:r>
              <w:rPr>
                <w:rFonts w:hint="eastAsia" w:ascii="仿宋_GB2312" w:hAnsi="仿宋" w:eastAsia="仿宋_GB2312" w:cs="仿宋_GB2312"/>
                <w:color w:val="auto"/>
                <w:kern w:val="0"/>
                <w:sz w:val="24"/>
              </w:rPr>
              <w:t>招标</w:t>
            </w:r>
            <w:r>
              <w:rPr>
                <w:rFonts w:hint="eastAsia" w:ascii="仿宋_GB2312" w:hAnsi="仿宋" w:eastAsia="仿宋_GB2312" w:cs="仿宋_GB2312"/>
                <w:color w:val="auto"/>
                <w:sz w:val="24"/>
              </w:rPr>
              <w:t>公告、招标文件、招标过程、中标结果）</w:t>
            </w:r>
          </w:p>
        </w:tc>
      </w:tr>
    </w:tbl>
    <w:p w14:paraId="3C3E9597">
      <w:pPr>
        <w:rPr>
          <w:rFonts w:ascii="仿宋_GB2312" w:hAnsi="仿宋" w:eastAsia="仿宋_GB2312" w:cs="仿宋_GB2312"/>
          <w:color w:val="auto"/>
          <w:sz w:val="24"/>
        </w:rPr>
      </w:pPr>
      <w:r>
        <w:rPr>
          <w:rFonts w:hint="eastAsia" w:ascii="仿宋_GB2312" w:hAnsi="仿宋" w:eastAsia="仿宋_GB2312" w:cs="仿宋_GB2312"/>
          <w:color w:val="auto"/>
          <w:sz w:val="24"/>
        </w:rPr>
        <w:t>注：表格中“</w:t>
      </w:r>
      <w:r>
        <w:rPr>
          <w:rFonts w:hint="eastAsia" w:ascii="仿宋_GB2312" w:hAnsi="仿宋" w:eastAsia="仿宋_GB2312" w:cs="仿宋_GB2312"/>
          <w:color w:val="auto"/>
          <w:sz w:val="24"/>
        </w:rPr>
        <w:sym w:font="Wingdings 2" w:char="0052"/>
      </w:r>
      <w:r>
        <w:rPr>
          <w:rFonts w:hint="eastAsia" w:ascii="仿宋_GB2312" w:hAnsi="仿宋" w:eastAsia="仿宋_GB2312" w:cs="仿宋_GB2312"/>
          <w:color w:val="auto"/>
          <w:sz w:val="24"/>
        </w:rPr>
        <w:t>”项或“■”项为被选中项。</w:t>
      </w:r>
    </w:p>
    <w:p w14:paraId="4056928B">
      <w:pPr>
        <w:pStyle w:val="4"/>
        <w:adjustRightInd w:val="0"/>
        <w:snapToGrid w:val="0"/>
        <w:spacing w:before="0" w:after="0" w:line="360" w:lineRule="auto"/>
        <w:rPr>
          <w:rFonts w:ascii="楷体_GB2312" w:hAnsi="仿宋" w:eastAsia="楷体_GB2312" w:cs="仿宋_GB2312"/>
          <w:color w:val="auto"/>
          <w:sz w:val="32"/>
          <w:szCs w:val="36"/>
        </w:rPr>
      </w:pPr>
      <w:r>
        <w:rPr>
          <w:rFonts w:hint="eastAsia" w:ascii="仿宋_GB2312" w:hAnsi="仿宋" w:eastAsia="仿宋_GB2312" w:cs="仿宋_GB2312"/>
          <w:color w:val="auto"/>
          <w:sz w:val="21"/>
          <w:szCs w:val="21"/>
        </w:rPr>
        <w:br w:type="page"/>
      </w:r>
      <w:bookmarkStart w:id="42" w:name="_Toc30384_WPSOffice_Level2"/>
      <w:r>
        <w:rPr>
          <w:rFonts w:hint="eastAsia" w:ascii="楷体_GB2312" w:hAnsi="仿宋" w:eastAsia="楷体_GB2312" w:cs="仿宋_GB2312"/>
          <w:color w:val="auto"/>
          <w:sz w:val="32"/>
          <w:szCs w:val="36"/>
        </w:rPr>
        <w:t>二 总则</w:t>
      </w:r>
      <w:bookmarkEnd w:id="42"/>
    </w:p>
    <w:p w14:paraId="465171C9">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1.采购人、采购组织机构及投标人</w:t>
      </w:r>
    </w:p>
    <w:p w14:paraId="2BDCE78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1.1采购人：是指依法进行政府采购的国家机关、事业单位、团体组织。本项目采购人见投标人须知表1.1条。</w:t>
      </w:r>
    </w:p>
    <w:p w14:paraId="4B75505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1.2采购组织机构：是指集中采购机构或从事采购代理业务的社会中介机构，本项目的采购组织机构见投标人须知表1.2条。</w:t>
      </w:r>
    </w:p>
    <w:p w14:paraId="193D81BE">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★1.3投标人：是指向采购人提供货物、工程或者服务的法人、非法人组织或者自然人。本项目的投标人及其投标服务须满足以下条件：</w:t>
      </w:r>
    </w:p>
    <w:p w14:paraId="46FC069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1.3.1在中华人民共和国境内注册，能够独立承担民事责任，有生产或供应能力的本国供应商。</w:t>
      </w:r>
    </w:p>
    <w:p w14:paraId="3E34219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1.3.2符合《中华人民共和国政府采购法》第二十二条关于供应商条件的规定，遵守本项目采购人本级和上级财政部门关于政府采购的有关规定。</w:t>
      </w:r>
    </w:p>
    <w:p w14:paraId="654D8AB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1.3.3以采购组织机构认可的方式获得了本项目的招标文件。</w:t>
      </w:r>
    </w:p>
    <w:p w14:paraId="6CB79FD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1.3.4符合投标人须知表1.3.4条中规定的资格条件。</w:t>
      </w:r>
    </w:p>
    <w:p w14:paraId="5851AB0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1.3.5若投标人须知表1.3.5条中写明专门面向中小企业采购的，如投标人为非中小企业，其投标将被认定为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5ECAB0B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1.3.6若投标人须知表1.3.6款中写明采购服务所伴随的货物属于实施政府强制采购范围的节能产品，如投标人所投伴随的货物不具备依据国家确定的认证机构出具的、处于有效期之内的节能产品认证证书，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1338EDFD">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★1.4如投标人须知表1.4条中允许联合体投标，对联合体规定如下：</w:t>
      </w:r>
    </w:p>
    <w:p w14:paraId="4E7F651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1.4.1两个以上供应商可以组成一个投标联合体，以一个投标人的身份投标。</w:t>
      </w:r>
    </w:p>
    <w:p w14:paraId="280780E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1.4.2联合体各方均应符合《中华人民共和国政府采购法》第二十二条规定的条件。</w:t>
      </w:r>
    </w:p>
    <w:p w14:paraId="3F8A2A8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1.4.3采购人根据采购项目对投标人的特殊要求，联合体中至少应当有一方符合相关规定。</w:t>
      </w:r>
    </w:p>
    <w:p w14:paraId="616B937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1.4.4联合体各方应签订共同投标协议，明确约定联合体各方承担的工作和相应的责任。</w:t>
      </w:r>
    </w:p>
    <w:p w14:paraId="1CD4B08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1.4.5大中型企业、其他自然人、法人或者非法人组织与小型、微型企业组成联合体共同参加投标，共同投标协议中应写明小型、微型企业的协议合同金额占到共同投标协议投标总金额的比例。</w:t>
      </w:r>
    </w:p>
    <w:p w14:paraId="1C1B3C9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1.4.6联合体中有同类资质的供应商按照联合体分工承担相同工作的，按照较低的资质等级确定联合体的资质等级。</w:t>
      </w:r>
    </w:p>
    <w:p w14:paraId="17C8ABD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1.4.7以联合体形式参加政府采购活动的，联合体各方不得再单独参加或者与其他供应商另外组成联合体参加本项目投标，否则相关投标将被认定为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615E93E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（1）两个以上的自然人、法人或者其他组织可以组成一个联合体，以一个投标人的身份共同参加政府采购活动。</w:t>
      </w:r>
    </w:p>
    <w:p w14:paraId="738D4F4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（2）联合体中标的，联合体各方应共同与采购人签订采购合同，就采购合同约定的事项对采购人承担连带责任。</w:t>
      </w:r>
    </w:p>
    <w:p w14:paraId="35CE45D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1.4.8对联合体投标的其他资格要求见投标人须知表1.4.8条。</w:t>
      </w:r>
    </w:p>
    <w:p w14:paraId="0162828E">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★1.5单位负责人为同一人或者存在直接控股、管理关系的不同供应商，其相关投标将被认定为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29246D56">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★1.6为本项目提供过整体设计、规范编制或者项目管理、监理、检测等服务的供应商，不得再参加本项目上述服务以外的其他采购活动，否则其投标将被认定为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0B8EB119">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★1.7投标人在投标过程中不得向采购人提供、给予任何有价值的物品，影响其正常决策行为。一经发现，其将被认定为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5A2362F8">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2.资金来源</w:t>
      </w:r>
    </w:p>
    <w:p w14:paraId="706F69C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2.1本项目的采购人已获得足以支付本次招标后所签订的合同项下的资金（包括财政性资金和本项目采购中无法与财政性资金分割的非财政性资金）。</w:t>
      </w:r>
    </w:p>
    <w:p w14:paraId="121CFF39">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★2.2项目预算金额和分项或分包最高限价见投标人须知表2.2条。</w:t>
      </w:r>
    </w:p>
    <w:p w14:paraId="355CC731">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★2.3投标人报价超过招标文件规定的预算金额或者分项、分包最高限价的，其投标将被认定为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016B5A62">
      <w:pPr>
        <w:adjustRightInd w:val="0"/>
        <w:snapToGrid w:val="0"/>
        <w:spacing w:line="360" w:lineRule="auto"/>
        <w:ind w:firstLine="480" w:firstLineChars="200"/>
        <w:rPr>
          <w:rFonts w:ascii="仿宋_GB2312" w:hAnsi="仿宋" w:eastAsia="仿宋_GB2312" w:cs="仿宋_GB2312"/>
          <w:b/>
          <w:bCs/>
          <w:color w:val="auto"/>
          <w:sz w:val="24"/>
        </w:rPr>
      </w:pPr>
      <w:bookmarkStart w:id="43" w:name="_Toc266951048"/>
      <w:r>
        <w:rPr>
          <w:rFonts w:hint="eastAsia" w:ascii="仿宋_GB2312" w:hAnsi="仿宋" w:eastAsia="仿宋_GB2312" w:cs="仿宋_GB2312"/>
          <w:b/>
          <w:bCs/>
          <w:color w:val="auto"/>
          <w:sz w:val="24"/>
        </w:rPr>
        <w:t>3.语言文字</w:t>
      </w:r>
      <w:bookmarkEnd w:id="43"/>
    </w:p>
    <w:p w14:paraId="310730E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除专用术语外，与投标有关的语言均使用中文。必要时专用术语应附有中文注释。对不同文字文本投标文件的解释发生异议的，以中文文本为准。</w:t>
      </w:r>
    </w:p>
    <w:p w14:paraId="482049D0">
      <w:pPr>
        <w:adjustRightInd w:val="0"/>
        <w:snapToGrid w:val="0"/>
        <w:spacing w:line="360" w:lineRule="auto"/>
        <w:ind w:firstLine="240" w:firstLineChars="100"/>
        <w:rPr>
          <w:rFonts w:ascii="仿宋_GB2312" w:hAnsi="仿宋" w:eastAsia="仿宋_GB2312" w:cs="仿宋_GB2312"/>
          <w:b/>
          <w:bCs/>
          <w:color w:val="auto"/>
          <w:sz w:val="24"/>
        </w:rPr>
      </w:pPr>
      <w:bookmarkStart w:id="44" w:name="_1.8_计量单位"/>
      <w:bookmarkEnd w:id="44"/>
      <w:bookmarkStart w:id="45" w:name="_Toc266951049"/>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4.计量单位</w:t>
      </w:r>
      <w:bookmarkEnd w:id="45"/>
    </w:p>
    <w:p w14:paraId="00D8BC5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除投标人须知表4条中有特殊要求外，投标文件中所使用的计量单位，应采用中华人民共和国法定计量单位。</w:t>
      </w:r>
    </w:p>
    <w:p w14:paraId="0F8E01EA">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5.投标费用</w:t>
      </w:r>
    </w:p>
    <w:p w14:paraId="494E87F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不论投标的结果如何，投标人应承担所有与投标有关的费用。</w:t>
      </w:r>
    </w:p>
    <w:p w14:paraId="2E722227">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6.现场考察、开标前答疑会（本项目不适用）</w:t>
      </w:r>
    </w:p>
    <w:p w14:paraId="118CD557">
      <w:pPr>
        <w:adjustRightInd w:val="0"/>
        <w:snapToGrid w:val="0"/>
        <w:spacing w:line="360" w:lineRule="auto"/>
        <w:ind w:firstLine="480" w:firstLineChars="200"/>
        <w:rPr>
          <w:rFonts w:ascii="仿宋_GB2312" w:hAnsi="仿宋" w:eastAsia="仿宋_GB2312" w:cs="仿宋_GB2312"/>
          <w:color w:val="auto"/>
          <w:kern w:val="0"/>
          <w:sz w:val="24"/>
        </w:rPr>
      </w:pPr>
      <w:bookmarkStart w:id="46" w:name="_1.10_投标预备会"/>
      <w:bookmarkEnd w:id="46"/>
      <w:r>
        <w:rPr>
          <w:rFonts w:hint="eastAsia" w:ascii="仿宋_GB2312" w:hAnsi="仿宋" w:eastAsia="仿宋_GB2312" w:cs="仿宋_GB2312"/>
          <w:color w:val="auto"/>
          <w:kern w:val="0"/>
          <w:sz w:val="24"/>
        </w:rPr>
        <w:t>6.1</w:t>
      </w:r>
      <w:r>
        <w:rPr>
          <w:color w:val="auto"/>
        </w:rPr>
        <w:fldChar w:fldCharType="begin"/>
      </w:r>
      <w:r>
        <w:rPr>
          <w:color w:val="auto"/>
        </w:rPr>
        <w:instrText xml:space="preserve"> HYPERLINK \l "_踏勘现场" </w:instrText>
      </w:r>
      <w:r>
        <w:rPr>
          <w:color w:val="auto"/>
        </w:rPr>
        <w:fldChar w:fldCharType="separate"/>
      </w:r>
      <w:r>
        <w:rPr>
          <w:rFonts w:hint="eastAsia" w:ascii="仿宋_GB2312" w:hAnsi="仿宋" w:eastAsia="仿宋_GB2312" w:cs="仿宋_GB2312"/>
          <w:color w:val="auto"/>
          <w:kern w:val="0"/>
          <w:sz w:val="24"/>
        </w:rPr>
        <w:t>投标人须知表</w:t>
      </w:r>
      <w:r>
        <w:rPr>
          <w:rFonts w:hint="eastAsia" w:ascii="仿宋_GB2312" w:hAnsi="仿宋" w:eastAsia="仿宋_GB2312" w:cs="仿宋_GB2312"/>
          <w:color w:val="auto"/>
          <w:kern w:val="0"/>
          <w:sz w:val="24"/>
        </w:rPr>
        <w:fldChar w:fldCharType="end"/>
      </w:r>
      <w:r>
        <w:rPr>
          <w:rFonts w:hint="eastAsia" w:ascii="仿宋_GB2312" w:hAnsi="仿宋" w:eastAsia="仿宋_GB2312" w:cs="仿宋_GB2312"/>
          <w:color w:val="auto"/>
          <w:kern w:val="0"/>
          <w:sz w:val="24"/>
        </w:rPr>
        <w:t>6.1条规定组织现场考察或开标前答疑会的，采购人按规定的时间、地点组织投标人现场考察或开标前答疑会，或者在领取招标文件期限截止后以书面形式通知所有获取招标文件的潜在投标人。</w:t>
      </w:r>
    </w:p>
    <w:p w14:paraId="6D2B030F">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6.2</w:t>
      </w:r>
      <w:r>
        <w:rPr>
          <w:rFonts w:hint="eastAsia" w:ascii="仿宋_GB2312" w:hAnsi="仿宋" w:eastAsia="仿宋_GB2312" w:cs="仿宋_GB2312"/>
          <w:color w:val="auto"/>
          <w:kern w:val="0"/>
          <w:sz w:val="24"/>
        </w:rPr>
        <w:t>由于未参加现场考察或标前答疑而导致对项目实际情况不了解，影响技术文件编制、</w:t>
      </w:r>
      <w:r>
        <w:rPr>
          <w:color w:val="auto"/>
        </w:rPr>
        <w:fldChar w:fldCharType="begin"/>
      </w:r>
      <w:r>
        <w:rPr>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rPr>
        <w:fldChar w:fldCharType="separate"/>
      </w:r>
      <w:r>
        <w:rPr>
          <w:rFonts w:hint="eastAsia" w:ascii="仿宋_GB2312" w:hAnsi="仿宋" w:eastAsia="仿宋_GB2312" w:cs="仿宋_GB2312"/>
          <w:color w:val="auto"/>
          <w:kern w:val="0"/>
          <w:sz w:val="24"/>
        </w:rPr>
        <w:t>投标报价</w:t>
      </w:r>
      <w:r>
        <w:rPr>
          <w:rFonts w:hint="eastAsia" w:ascii="仿宋_GB2312" w:hAnsi="仿宋" w:eastAsia="仿宋_GB2312" w:cs="仿宋_GB2312"/>
          <w:color w:val="auto"/>
          <w:kern w:val="0"/>
          <w:sz w:val="24"/>
        </w:rPr>
        <w:fldChar w:fldCharType="end"/>
      </w:r>
      <w:r>
        <w:rPr>
          <w:rFonts w:hint="eastAsia" w:ascii="仿宋_GB2312" w:hAnsi="仿宋" w:eastAsia="仿宋_GB2312" w:cs="仿宋_GB2312"/>
          <w:color w:val="auto"/>
          <w:kern w:val="0"/>
          <w:sz w:val="24"/>
        </w:rPr>
        <w:t>准确性、综合因素响应不全面等问题的，由投标人自行承担相应后果。</w:t>
      </w:r>
    </w:p>
    <w:p w14:paraId="634C120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6.3现场考察及参加标前答疑会所发生的费用及一切责任由投标人自行承担。</w:t>
      </w:r>
    </w:p>
    <w:p w14:paraId="4D53C969">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7.适用法律</w:t>
      </w:r>
    </w:p>
    <w:p w14:paraId="1BAB1F9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本项目的采购人、采购组织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69A83A69">
      <w:pPr>
        <w:pStyle w:val="4"/>
        <w:adjustRightInd w:val="0"/>
        <w:snapToGrid w:val="0"/>
        <w:spacing w:before="0" w:after="0" w:line="360" w:lineRule="auto"/>
        <w:rPr>
          <w:rFonts w:ascii="楷体_GB2312" w:hAnsi="仿宋" w:eastAsia="楷体_GB2312" w:cs="仿宋_GB2312"/>
          <w:color w:val="auto"/>
          <w:sz w:val="32"/>
          <w:szCs w:val="36"/>
        </w:rPr>
      </w:pPr>
      <w:bookmarkStart w:id="47" w:name="_Toc10106_WPSOffice_Level2"/>
      <w:r>
        <w:rPr>
          <w:rFonts w:hint="eastAsia" w:ascii="楷体_GB2312" w:hAnsi="仿宋" w:eastAsia="楷体_GB2312" w:cs="仿宋_GB2312"/>
          <w:color w:val="auto"/>
          <w:sz w:val="32"/>
          <w:szCs w:val="36"/>
        </w:rPr>
        <w:t>三 招标文件</w:t>
      </w:r>
      <w:bookmarkEnd w:id="47"/>
    </w:p>
    <w:p w14:paraId="4B189710">
      <w:pPr>
        <w:tabs>
          <w:tab w:val="left" w:pos="312"/>
        </w:tabs>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8.招标文件构成</w:t>
      </w:r>
    </w:p>
    <w:p w14:paraId="608B46CD">
      <w:pPr>
        <w:tabs>
          <w:tab w:val="left" w:pos="312"/>
        </w:tabs>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8.1招标文件内容如下:</w:t>
      </w:r>
    </w:p>
    <w:p w14:paraId="50BC067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kern w:val="0"/>
          <w:sz w:val="24"/>
        </w:rPr>
        <w:t>招标</w:t>
      </w:r>
      <w:r>
        <w:rPr>
          <w:rFonts w:hint="eastAsia" w:ascii="仿宋_GB2312" w:hAnsi="仿宋" w:eastAsia="仿宋_GB2312" w:cs="仿宋_GB2312"/>
          <w:color w:val="auto"/>
          <w:sz w:val="24"/>
        </w:rPr>
        <w:t>公告</w:t>
      </w:r>
    </w:p>
    <w:p w14:paraId="7E8B9D46">
      <w:pPr>
        <w:numPr>
          <w:ilvl w:val="0"/>
          <w:numId w:val="3"/>
        </w:numPr>
        <w:adjustRightInd w:val="0"/>
        <w:snapToGrid w:val="0"/>
        <w:spacing w:line="360" w:lineRule="auto"/>
        <w:ind w:firstLine="480" w:firstLineChars="200"/>
        <w:rPr>
          <w:rFonts w:ascii="仿宋_GB2312" w:hAnsi="仿宋" w:eastAsia="仿宋_GB2312" w:cs="仿宋_GB2312"/>
          <w:color w:val="auto"/>
          <w:sz w:val="24"/>
        </w:rPr>
      </w:pPr>
      <w:bookmarkStart w:id="48" w:name="_Toc24604_WPSOffice_Level2"/>
      <w:bookmarkStart w:id="49" w:name="_Toc4961_WPSOffice_Level2"/>
      <w:bookmarkStart w:id="50" w:name="_Toc25935_WPSOffice_Level2"/>
      <w:bookmarkStart w:id="51" w:name="_Toc188_WPSOffice_Level2"/>
      <w:r>
        <w:rPr>
          <w:rFonts w:hint="eastAsia" w:ascii="仿宋_GB2312" w:hAnsi="仿宋" w:eastAsia="仿宋_GB2312" w:cs="仿宋_GB2312"/>
          <w:color w:val="auto"/>
          <w:sz w:val="24"/>
        </w:rPr>
        <w:t>投标人须知</w:t>
      </w:r>
      <w:bookmarkEnd w:id="48"/>
      <w:bookmarkEnd w:id="49"/>
      <w:bookmarkEnd w:id="50"/>
      <w:bookmarkEnd w:id="51"/>
    </w:p>
    <w:p w14:paraId="51425C7C">
      <w:pPr>
        <w:adjustRightInd w:val="0"/>
        <w:snapToGrid w:val="0"/>
        <w:spacing w:line="360" w:lineRule="auto"/>
        <w:ind w:firstLine="480" w:firstLineChars="200"/>
        <w:rPr>
          <w:rFonts w:ascii="仿宋_GB2312" w:hAnsi="仿宋" w:eastAsia="仿宋_GB2312" w:cs="仿宋_GB2312"/>
          <w:color w:val="auto"/>
          <w:sz w:val="24"/>
        </w:rPr>
      </w:pPr>
      <w:bookmarkStart w:id="52" w:name="_Toc31424_WPSOffice_Level2"/>
      <w:bookmarkStart w:id="53" w:name="_Toc32235_WPSOffice_Level2"/>
      <w:bookmarkStart w:id="54" w:name="_Toc2443_WPSOffice_Level2"/>
      <w:bookmarkStart w:id="55" w:name="_Toc13276_WPSOffice_Level2"/>
      <w:r>
        <w:rPr>
          <w:rFonts w:hint="eastAsia" w:ascii="仿宋_GB2312" w:hAnsi="仿宋" w:eastAsia="仿宋_GB2312" w:cs="仿宋_GB2312"/>
          <w:color w:val="auto"/>
          <w:sz w:val="24"/>
        </w:rPr>
        <w:t>第二章 投标文件内容及格式</w:t>
      </w:r>
      <w:bookmarkEnd w:id="52"/>
      <w:bookmarkEnd w:id="53"/>
      <w:bookmarkEnd w:id="54"/>
      <w:bookmarkEnd w:id="55"/>
    </w:p>
    <w:p w14:paraId="0660F298">
      <w:pPr>
        <w:adjustRightInd w:val="0"/>
        <w:snapToGrid w:val="0"/>
        <w:spacing w:line="360" w:lineRule="auto"/>
        <w:ind w:firstLine="480" w:firstLineChars="200"/>
        <w:rPr>
          <w:rFonts w:ascii="仿宋_GB2312" w:hAnsi="仿宋" w:eastAsia="仿宋_GB2312" w:cs="仿宋_GB2312"/>
          <w:color w:val="auto"/>
          <w:sz w:val="24"/>
        </w:rPr>
      </w:pPr>
      <w:bookmarkStart w:id="56" w:name="_Toc16269_WPSOffice_Level2"/>
      <w:bookmarkStart w:id="57" w:name="_Toc4416_WPSOffice_Level2"/>
      <w:bookmarkStart w:id="58" w:name="_Toc24836_WPSOffice_Level2"/>
      <w:bookmarkStart w:id="59" w:name="_Toc7005_WPSOffice_Level2"/>
      <w:r>
        <w:rPr>
          <w:rFonts w:hint="eastAsia" w:ascii="仿宋_GB2312" w:hAnsi="仿宋" w:eastAsia="仿宋_GB2312" w:cs="仿宋_GB2312"/>
          <w:color w:val="auto"/>
          <w:sz w:val="24"/>
        </w:rPr>
        <w:t>第三章 服务需求</w:t>
      </w:r>
      <w:bookmarkEnd w:id="56"/>
      <w:bookmarkEnd w:id="57"/>
      <w:bookmarkEnd w:id="58"/>
      <w:bookmarkEnd w:id="59"/>
    </w:p>
    <w:p w14:paraId="5BA5FCD6">
      <w:pPr>
        <w:adjustRightInd w:val="0"/>
        <w:snapToGrid w:val="0"/>
        <w:spacing w:line="360" w:lineRule="auto"/>
        <w:ind w:firstLine="480" w:firstLineChars="200"/>
        <w:rPr>
          <w:rFonts w:ascii="仿宋_GB2312" w:hAnsi="仿宋" w:eastAsia="仿宋_GB2312" w:cs="仿宋_GB2312"/>
          <w:color w:val="auto"/>
          <w:sz w:val="24"/>
        </w:rPr>
      </w:pPr>
      <w:bookmarkStart w:id="60" w:name="_Toc23459_WPSOffice_Level2"/>
      <w:bookmarkStart w:id="61" w:name="_Toc16119_WPSOffice_Level2"/>
      <w:bookmarkStart w:id="62" w:name="_Toc16294_WPSOffice_Level2"/>
      <w:bookmarkStart w:id="63" w:name="_Toc25382_WPSOffice_Level2"/>
      <w:r>
        <w:rPr>
          <w:rFonts w:hint="eastAsia" w:ascii="仿宋_GB2312" w:hAnsi="仿宋" w:eastAsia="仿宋_GB2312" w:cs="仿宋_GB2312"/>
          <w:color w:val="auto"/>
          <w:sz w:val="24"/>
        </w:rPr>
        <w:t>第四章 评标方法</w:t>
      </w:r>
      <w:bookmarkEnd w:id="60"/>
      <w:bookmarkEnd w:id="61"/>
      <w:bookmarkEnd w:id="62"/>
      <w:bookmarkEnd w:id="63"/>
    </w:p>
    <w:p w14:paraId="495E3215">
      <w:pPr>
        <w:adjustRightInd w:val="0"/>
        <w:snapToGrid w:val="0"/>
        <w:spacing w:line="360" w:lineRule="auto"/>
        <w:ind w:firstLine="480" w:firstLineChars="200"/>
        <w:rPr>
          <w:rFonts w:ascii="仿宋_GB2312" w:hAnsi="仿宋" w:eastAsia="仿宋_GB2312" w:cs="仿宋_GB2312"/>
          <w:color w:val="auto"/>
          <w:sz w:val="24"/>
        </w:rPr>
      </w:pPr>
      <w:bookmarkStart w:id="64" w:name="_Toc16368_WPSOffice_Level2"/>
      <w:bookmarkStart w:id="65" w:name="_Toc9629_WPSOffice_Level2"/>
      <w:bookmarkStart w:id="66" w:name="_Toc17794_WPSOffice_Level2"/>
      <w:bookmarkStart w:id="67" w:name="_Toc28106_WPSOffice_Level2"/>
      <w:r>
        <w:rPr>
          <w:rFonts w:hint="eastAsia" w:ascii="仿宋_GB2312" w:hAnsi="仿宋" w:eastAsia="仿宋_GB2312" w:cs="仿宋_GB2312"/>
          <w:color w:val="auto"/>
          <w:sz w:val="24"/>
        </w:rPr>
        <w:t>第五章 政府采购合同条款及格式</w:t>
      </w:r>
      <w:bookmarkEnd w:id="64"/>
      <w:bookmarkEnd w:id="65"/>
      <w:bookmarkEnd w:id="66"/>
      <w:bookmarkEnd w:id="67"/>
    </w:p>
    <w:p w14:paraId="7137AE1A">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3EFDB666">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9.招标文件的澄清与修改</w:t>
      </w:r>
    </w:p>
    <w:p w14:paraId="48BCB48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9.1采购人或者采购组织机构可以对已发出的招标文件进行澄清或者修改。澄清或者修改的内容可能影响投标文件编制的，应当在投标截止时间至少15日前，在原公告发布媒体上发布变更公告，并以书面形式通知所有获取招标文件的潜在投标人（即采购人将澄清文件内容在发布招标公告的网络媒介统一公布，投标人自行查阅，如因投标人未及时查阅造成的一切投标风险均由投标人自行承担。)；不足15日的，采购人或者采购组织机构应当顺延提交投标文件的截止时间。</w:t>
      </w:r>
    </w:p>
    <w:p w14:paraId="19DE187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9.2澄清或者修改的内容为招标文件的组成部分，对所有招标文件的收受人具有约束力。投标人在收到上述通知后，应及时向采购组织机构回函确认。</w:t>
      </w:r>
    </w:p>
    <w:p w14:paraId="6679827A">
      <w:pPr>
        <w:pStyle w:val="4"/>
        <w:adjustRightInd w:val="0"/>
        <w:snapToGrid w:val="0"/>
        <w:spacing w:before="0" w:after="0" w:line="360" w:lineRule="auto"/>
        <w:rPr>
          <w:rFonts w:ascii="楷体_GB2312" w:hAnsi="仿宋" w:eastAsia="楷体_GB2312" w:cs="仿宋_GB2312"/>
          <w:color w:val="auto"/>
          <w:sz w:val="32"/>
          <w:szCs w:val="36"/>
        </w:rPr>
      </w:pPr>
      <w:bookmarkStart w:id="68" w:name="_Toc7415_WPSOffice_Level2"/>
      <w:r>
        <w:rPr>
          <w:rFonts w:hint="eastAsia" w:ascii="楷体_GB2312" w:hAnsi="仿宋" w:eastAsia="楷体_GB2312" w:cs="仿宋_GB2312"/>
          <w:color w:val="auto"/>
          <w:sz w:val="32"/>
          <w:szCs w:val="36"/>
        </w:rPr>
        <w:t>四 投标文件的编制</w:t>
      </w:r>
      <w:bookmarkEnd w:id="68"/>
    </w:p>
    <w:p w14:paraId="4F0AED29">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10.投标范围</w:t>
      </w:r>
    </w:p>
    <w:p w14:paraId="11C6A65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10.1项目有分包的，投标人可对招标文件其中某一个分包或几个分包进行投标。</w:t>
      </w:r>
    </w:p>
    <w:p w14:paraId="2BE3AEF1">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★10.2投标人应当对所投分包在招标文件“服务需求”中所列的所有服务内容进行投标，如仅响应分包中某一部分内容，其该包投标将被认定为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3E1ED4E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10.3无论招标文件第三章 服务需求中是否要求，投标人所投的服务均应符合国家强制性标准。</w:t>
      </w:r>
    </w:p>
    <w:p w14:paraId="33BB99EC">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11.投标文件构成</w:t>
      </w:r>
    </w:p>
    <w:p w14:paraId="76E7BF54">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★11.1投标人应完整地按招标文件提供的投标文件格式及要求编写投标文件。投标文件应包括资格性证明文件、符合性证明文件、其它材料三部分。具体见第二章 投标文件内容及格式。</w:t>
      </w:r>
    </w:p>
    <w:p w14:paraId="753AA900">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★11.2投标人应按招标文件提供的格式编写投标文件。招标文件提供标准格式的按标准格式填列，未提供标准格式的可自行拟定。</w:t>
      </w:r>
    </w:p>
    <w:p w14:paraId="0F191DD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11.3样品或演示要求详见投标人须知表11.3条。</w:t>
      </w:r>
    </w:p>
    <w:p w14:paraId="50499444">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12.投标报价</w:t>
      </w:r>
    </w:p>
    <w:p w14:paraId="4713D2A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20460C9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12.2投标人应按招标文件要求在相关表格中标明投标服务及伴随货物的单价和总价，并由法定代表人（非法人组织的负责人）或其委托代理人签署。</w:t>
      </w:r>
    </w:p>
    <w:p w14:paraId="177BABCF">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12.3投标人所报的各分项投标单价在合同履行过程中是固定不变的，不得以任何理由予以变更。任何包含价格调整要求的投标，其投标将被认定为</w:t>
      </w:r>
      <w:r>
        <w:rPr>
          <w:rFonts w:hint="eastAsia" w:ascii="仿宋_GB2312" w:hAnsi="仿宋" w:eastAsia="仿宋_GB2312" w:cs="仿宋_GB2312"/>
          <w:b/>
          <w:bCs/>
          <w:color w:val="auto"/>
          <w:sz w:val="24"/>
        </w:rPr>
        <w:t>投标无效。</w:t>
      </w:r>
    </w:p>
    <w:p w14:paraId="054CE68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12.4每种服务只能有一个投标报价。采购人不接受具有附加条件的报价。</w:t>
      </w:r>
    </w:p>
    <w:p w14:paraId="6A1136CE">
      <w:pPr>
        <w:adjustRightInd w:val="0"/>
        <w:snapToGrid w:val="0"/>
        <w:spacing w:line="360" w:lineRule="auto"/>
        <w:ind w:firstLine="480" w:firstLineChars="200"/>
        <w:rPr>
          <w:rFonts w:ascii="仿宋_GB2312" w:hAnsi="仿宋" w:eastAsia="仿宋_GB2312" w:cs="仿宋_GB2312"/>
          <w:color w:val="auto"/>
          <w:sz w:val="24"/>
        </w:rPr>
      </w:pPr>
      <w:bookmarkStart w:id="69" w:name="_Toc31973_WPSOffice_Level2"/>
      <w:bookmarkStart w:id="70" w:name="_Toc22507_WPSOffice_Level2"/>
      <w:r>
        <w:rPr>
          <w:rFonts w:hint="eastAsia" w:ascii="仿宋_GB2312" w:hAnsi="仿宋" w:eastAsia="仿宋_GB2312" w:cs="仿宋_GB2312"/>
          <w:color w:val="auto"/>
          <w:sz w:val="24"/>
        </w:rPr>
        <w:t>12.5除非招标文件另有规定，报价原则上精确到小数点后两位。</w:t>
      </w:r>
      <w:bookmarkEnd w:id="69"/>
      <w:bookmarkEnd w:id="70"/>
    </w:p>
    <w:p w14:paraId="28096A6E">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★13.投标保证金（本项目不适用）</w:t>
      </w:r>
    </w:p>
    <w:p w14:paraId="4B8E120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13.1投标人应提交投标人须知表13.1条中规定的投标保证金，并作为其投标的一部分。</w:t>
      </w:r>
    </w:p>
    <w:p w14:paraId="0EC20F9E">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13.2投标保证金缴纳人、招标文件领取人、投标登记人和投标人必须为同一组织机构或联合体内不同成员单位，否则将视同未按招标文件规定交纳投标保证金。</w:t>
      </w:r>
    </w:p>
    <w:p w14:paraId="08B75162">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13.3投标人存在下列情形的，投标保证金不予退还：</w:t>
      </w:r>
    </w:p>
    <w:p w14:paraId="7A9E6570">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（1）在投标有效期内，投标人撤销投标的；</w:t>
      </w:r>
    </w:p>
    <w:p w14:paraId="2676AC86">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（2）中标后不按本须知第34条的规定与采购人签订合同的；</w:t>
      </w:r>
    </w:p>
    <w:p w14:paraId="07F35F0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（3）中标后不按本须知第35条的规定提交履约保证金的；</w:t>
      </w:r>
    </w:p>
    <w:p w14:paraId="496A326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（4）中标后不按本须知第36条的规定缴纳采购代理服务费的；</w:t>
      </w:r>
    </w:p>
    <w:p w14:paraId="7507783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（5）存在其他违法违规行为的。</w:t>
      </w:r>
    </w:p>
    <w:p w14:paraId="3AF6431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13.4联合体投标的，可以由联合体中的一方或者共同提交投标保证金。以一方名义提交投标保证金的，对联合体各方均具有约束力。</w:t>
      </w:r>
    </w:p>
    <w:p w14:paraId="2B4D94B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13.5投标保证金的退还</w:t>
      </w:r>
    </w:p>
    <w:p w14:paraId="34ECD1B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13.5.1中标人应在与采购人签订合同之日起5个工作日内，及时联系保证金收受机构办理投标保证金退还手续。</w:t>
      </w:r>
    </w:p>
    <w:p w14:paraId="2A01B58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13.5.2未中标投标人的投标保证金将在中标通知书发出之日暨中标结果公告公布之日起5个工作日内无息退还。投标人应及时联系保证金收受机构办理退还投标保证金手续。</w:t>
      </w:r>
    </w:p>
    <w:p w14:paraId="42469EF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13.5.3投标人在投标截止时间前撤回已提交的投标文件的，投标人应自采购人或者采购组织机构收到投标人书面撤回通知之日起５个工作日内，及时联系保证金收受机构办理投标保证金退还手续。</w:t>
      </w:r>
    </w:p>
    <w:p w14:paraId="1F8712A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13.5.4政府采购投标担保函不予退回。</w:t>
      </w:r>
    </w:p>
    <w:p w14:paraId="2389E45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13.6因投标人自身原因导致无法及时退还的，采购人或采购组织机构将不承担相应责任。</w:t>
      </w:r>
    </w:p>
    <w:p w14:paraId="0DC2D979">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14.证明投标标的的合格性和符合招标文件规定的技术文件</w:t>
      </w:r>
    </w:p>
    <w:p w14:paraId="736E2DA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14.1投标人应提交证明文件，证明其投标内容符合招标文件规定。该证明文件是投标文件的一部分。</w:t>
      </w:r>
    </w:p>
    <w:p w14:paraId="2AB65EB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14.2上条所述的证明文件，可以是文字资料、图纸和数据。</w:t>
      </w:r>
    </w:p>
    <w:p w14:paraId="73370775">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15.投标有效期</w:t>
      </w:r>
    </w:p>
    <w:p w14:paraId="5A43425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15.1投标应在投标人须知表15.1条中规定的投标有效期内保持有效。投标有效期不满足要求的投标，其投标将被认定为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108C1C8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15.2在特殊情况下，采购人或采购组织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965B3A9">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16.投标文件的签署及规定（适用于中标后递交纸质文件）</w:t>
      </w:r>
    </w:p>
    <w:p w14:paraId="63D476A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16.1投标人应按投标人须知表16.1款中的规定，准备和递交投标文件正本、副本和电子文档。</w:t>
      </w:r>
    </w:p>
    <w:p w14:paraId="424D3976">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★16.2每份投标文件封皮须清楚地标明“正本”或“副本”。若正本和副本不符，以正本为准。</w:t>
      </w:r>
    </w:p>
    <w:p w14:paraId="36049E09">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CE202B6">
      <w:pPr>
        <w:pStyle w:val="4"/>
        <w:adjustRightInd w:val="0"/>
        <w:snapToGrid w:val="0"/>
        <w:spacing w:before="0" w:after="0" w:line="360" w:lineRule="auto"/>
        <w:rPr>
          <w:rFonts w:ascii="楷体_GB2312" w:hAnsi="仿宋" w:eastAsia="楷体_GB2312" w:cs="仿宋_GB2312"/>
          <w:color w:val="auto"/>
          <w:sz w:val="32"/>
          <w:szCs w:val="36"/>
        </w:rPr>
      </w:pPr>
      <w:bookmarkStart w:id="71" w:name="_Toc27725_WPSOffice_Level2"/>
      <w:r>
        <w:rPr>
          <w:rFonts w:hint="eastAsia" w:ascii="楷体_GB2312" w:hAnsi="仿宋" w:eastAsia="楷体_GB2312" w:cs="仿宋_GB2312"/>
          <w:color w:val="auto"/>
          <w:sz w:val="32"/>
          <w:szCs w:val="36"/>
        </w:rPr>
        <w:t>五 投标文件的递交</w:t>
      </w:r>
      <w:bookmarkEnd w:id="71"/>
    </w:p>
    <w:p w14:paraId="0BBCFDD7">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17.投标文件的密封和标记</w:t>
      </w:r>
    </w:p>
    <w:p w14:paraId="6710CF8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17.1投标人应对现场递交U盘形式存储的电子投标文件进行密封包封。</w:t>
      </w:r>
    </w:p>
    <w:p w14:paraId="48B4335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17.2 包装封皮上应：</w:t>
      </w:r>
    </w:p>
    <w:p w14:paraId="15089F8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（1）注明项目名称、项目编号、包号、投标人名称。</w:t>
      </w:r>
    </w:p>
    <w:p w14:paraId="6CE2B16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（2）加盖投标人单位公章。</w:t>
      </w:r>
    </w:p>
    <w:p w14:paraId="6AF58898">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18.投标截止</w:t>
      </w:r>
    </w:p>
    <w:p w14:paraId="14AB168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18.1投标人应在投标人须知表18.1中规定的递交投标文件截止时间前，将投标文件递交到投标人须知表18.1中规定的地点。</w:t>
      </w:r>
    </w:p>
    <w:p w14:paraId="4C91665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18.2采购人和采购组织机构有权按本须知的规定，延迟投标截止时间。在此情况下，采购人、采购组织机构和投标人受投标截止时间制约的所有权利和义务均应延长至新的截止时间。</w:t>
      </w:r>
    </w:p>
    <w:p w14:paraId="14C691D4">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19.投标文件的接收、修改与撤回</w:t>
      </w:r>
    </w:p>
    <w:p w14:paraId="5A98488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19.1在投标截止时间后送达的投标文件，采购人和采购组织机构将</w:t>
      </w:r>
      <w:r>
        <w:rPr>
          <w:rFonts w:hint="eastAsia" w:ascii="仿宋_GB2312" w:hAnsi="仿宋" w:eastAsia="仿宋_GB2312" w:cs="仿宋_GB2312"/>
          <w:b/>
          <w:bCs/>
          <w:color w:val="auto"/>
          <w:sz w:val="24"/>
        </w:rPr>
        <w:t>拒绝接收</w:t>
      </w:r>
      <w:r>
        <w:rPr>
          <w:rFonts w:hint="eastAsia" w:ascii="仿宋_GB2312" w:hAnsi="仿宋" w:eastAsia="仿宋_GB2312" w:cs="仿宋_GB2312"/>
          <w:color w:val="auto"/>
          <w:sz w:val="24"/>
        </w:rPr>
        <w:t>。</w:t>
      </w:r>
    </w:p>
    <w:p w14:paraId="315639A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19.2采购人或者采购组织机构收到投标文件后，应当如实记载投标文件的送达时间和密封情况，并向投标人出具以下签收回执。</w:t>
      </w:r>
    </w:p>
    <w:p w14:paraId="51099946">
      <w:pPr>
        <w:adjustRightInd w:val="0"/>
        <w:snapToGrid w:val="0"/>
        <w:spacing w:line="360" w:lineRule="auto"/>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接收投标文件回执单（不适用）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9"/>
        <w:gridCol w:w="6366"/>
      </w:tblGrid>
      <w:tr w14:paraId="0C84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24A0F07F">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项目编号</w:t>
            </w:r>
          </w:p>
        </w:tc>
        <w:tc>
          <w:tcPr>
            <w:tcW w:w="6366" w:type="dxa"/>
            <w:vAlign w:val="center"/>
          </w:tcPr>
          <w:p w14:paraId="6E9BD58B">
            <w:pPr>
              <w:adjustRightInd w:val="0"/>
              <w:snapToGrid w:val="0"/>
              <w:jc w:val="center"/>
              <w:rPr>
                <w:rFonts w:ascii="仿宋_GB2312" w:hAnsi="仿宋" w:eastAsia="仿宋_GB2312" w:cs="仿宋_GB2312"/>
                <w:color w:val="auto"/>
                <w:sz w:val="24"/>
              </w:rPr>
            </w:pPr>
          </w:p>
        </w:tc>
      </w:tr>
      <w:tr w14:paraId="296C2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29C7791B">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p>
        </w:tc>
        <w:tc>
          <w:tcPr>
            <w:tcW w:w="6366" w:type="dxa"/>
            <w:vAlign w:val="center"/>
          </w:tcPr>
          <w:p w14:paraId="26B4FAF2">
            <w:pPr>
              <w:adjustRightInd w:val="0"/>
              <w:snapToGrid w:val="0"/>
              <w:jc w:val="center"/>
              <w:rPr>
                <w:rFonts w:ascii="仿宋_GB2312" w:hAnsi="仿宋" w:eastAsia="仿宋_GB2312" w:cs="仿宋_GB2312"/>
                <w:color w:val="auto"/>
                <w:sz w:val="24"/>
              </w:rPr>
            </w:pPr>
          </w:p>
        </w:tc>
      </w:tr>
      <w:tr w14:paraId="72FF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351E254F">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投标人名称</w:t>
            </w:r>
          </w:p>
        </w:tc>
        <w:tc>
          <w:tcPr>
            <w:tcW w:w="6366" w:type="dxa"/>
            <w:vAlign w:val="center"/>
          </w:tcPr>
          <w:p w14:paraId="6FF45587">
            <w:pPr>
              <w:adjustRightInd w:val="0"/>
              <w:snapToGrid w:val="0"/>
              <w:jc w:val="center"/>
              <w:rPr>
                <w:rFonts w:ascii="仿宋_GB2312" w:hAnsi="仿宋" w:eastAsia="仿宋_GB2312" w:cs="仿宋_GB2312"/>
                <w:color w:val="auto"/>
                <w:sz w:val="24"/>
              </w:rPr>
            </w:pPr>
          </w:p>
        </w:tc>
      </w:tr>
      <w:tr w14:paraId="5C66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4FF4EF6F">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递交时间</w:t>
            </w:r>
          </w:p>
        </w:tc>
        <w:tc>
          <w:tcPr>
            <w:tcW w:w="6366" w:type="dxa"/>
            <w:vAlign w:val="center"/>
          </w:tcPr>
          <w:p w14:paraId="158633E7">
            <w:pPr>
              <w:adjustRightInd w:val="0"/>
              <w:snapToGrid w:val="0"/>
              <w:jc w:val="center"/>
              <w:rPr>
                <w:rFonts w:ascii="仿宋_GB2312" w:hAnsi="仿宋" w:eastAsia="仿宋_GB2312" w:cs="仿宋_GB2312"/>
                <w:color w:val="auto"/>
                <w:sz w:val="24"/>
              </w:rPr>
            </w:pPr>
          </w:p>
        </w:tc>
      </w:tr>
      <w:tr w14:paraId="2EC1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7BF4BA0D">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接收单位</w:t>
            </w:r>
          </w:p>
        </w:tc>
        <w:tc>
          <w:tcPr>
            <w:tcW w:w="6366" w:type="dxa"/>
            <w:vAlign w:val="center"/>
          </w:tcPr>
          <w:p w14:paraId="0173CEF0">
            <w:pPr>
              <w:adjustRightInd w:val="0"/>
              <w:snapToGrid w:val="0"/>
              <w:jc w:val="center"/>
              <w:rPr>
                <w:rFonts w:ascii="仿宋_GB2312" w:hAnsi="仿宋" w:eastAsia="仿宋_GB2312" w:cs="仿宋_GB2312"/>
                <w:color w:val="auto"/>
                <w:sz w:val="24"/>
              </w:rPr>
            </w:pPr>
          </w:p>
        </w:tc>
      </w:tr>
      <w:tr w14:paraId="6CB9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939" w:type="dxa"/>
            <w:vAlign w:val="center"/>
          </w:tcPr>
          <w:p w14:paraId="020F7507">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接收人签字</w:t>
            </w:r>
          </w:p>
        </w:tc>
        <w:tc>
          <w:tcPr>
            <w:tcW w:w="6366" w:type="dxa"/>
            <w:vAlign w:val="center"/>
          </w:tcPr>
          <w:p w14:paraId="4CAC5495">
            <w:pPr>
              <w:adjustRightInd w:val="0"/>
              <w:snapToGrid w:val="0"/>
              <w:jc w:val="center"/>
              <w:rPr>
                <w:rFonts w:ascii="仿宋_GB2312" w:hAnsi="仿宋" w:eastAsia="仿宋_GB2312" w:cs="仿宋_GB2312"/>
                <w:color w:val="auto"/>
                <w:sz w:val="24"/>
              </w:rPr>
            </w:pPr>
          </w:p>
        </w:tc>
      </w:tr>
    </w:tbl>
    <w:p w14:paraId="39703AA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19.3递交投标文件以后，如果投标人要进行修改或撤回投标，须提出书面申请并在投标截止时间前送达开标地点，投标人对投标文件的修改或撤回通知应按本须知规定编制、密封、标记。采购人和采购组织机构将予以接收，并视为投标文件的组成部分。否则，修改后的投标文件或撤回行为无效。</w:t>
      </w:r>
    </w:p>
    <w:p w14:paraId="1E1A665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19.4在投标截止时间之后，投标人不得对其投标文件做任何修改。</w:t>
      </w:r>
    </w:p>
    <w:p w14:paraId="09CA9C8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19.5 采购人和采购组织机构对所接收并当众宣读投标内容的投标文件概不退回。</w:t>
      </w:r>
    </w:p>
    <w:p w14:paraId="597F902F">
      <w:pPr>
        <w:pStyle w:val="4"/>
        <w:adjustRightInd w:val="0"/>
        <w:snapToGrid w:val="0"/>
        <w:spacing w:before="0" w:after="0" w:line="360" w:lineRule="auto"/>
        <w:rPr>
          <w:rFonts w:ascii="楷体_GB2312" w:hAnsi="仿宋" w:eastAsia="楷体_GB2312" w:cs="仿宋_GB2312"/>
          <w:color w:val="auto"/>
          <w:sz w:val="32"/>
          <w:szCs w:val="36"/>
        </w:rPr>
      </w:pPr>
      <w:bookmarkStart w:id="72" w:name="_Toc988_WPSOffice_Level2"/>
      <w:bookmarkStart w:id="73" w:name="_Toc4544_WPSOffice_Level2"/>
      <w:r>
        <w:rPr>
          <w:rFonts w:hint="eastAsia" w:ascii="楷体_GB2312" w:hAnsi="仿宋" w:eastAsia="楷体_GB2312" w:cs="仿宋_GB2312"/>
          <w:color w:val="auto"/>
          <w:sz w:val="32"/>
          <w:szCs w:val="36"/>
        </w:rPr>
        <w:t>六 开标及评标</w:t>
      </w:r>
      <w:bookmarkEnd w:id="72"/>
    </w:p>
    <w:p w14:paraId="4C451C4D">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20.开标</w:t>
      </w:r>
    </w:p>
    <w:p w14:paraId="4A217EF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20.1采购人和采购组织机构将按投标人须知表20.1条中规定的开标时间和地点组织公开开标并邀请所有投标人代表参加。</w:t>
      </w:r>
    </w:p>
    <w:p w14:paraId="05D6DB1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投标人不足 3 家的，不得开标。评标委员会成员不得参加开标活动。</w:t>
      </w:r>
    </w:p>
    <w:p w14:paraId="15064B8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20.2开标时，由投标人或其推选的代表检查投标文件的密封情况，经记录后，由采购人或采购组织机构当众拆封投标文件，宣读投标人名称、投标价格及招标文件规定的内容。对于投标人在投标截止时间前递交的投标声明，在开标时当众宣读，评标时有效。</w:t>
      </w:r>
    </w:p>
    <w:p w14:paraId="352DB68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未宣读投标价格、价格折扣等实质内容，评标时不予承认。</w:t>
      </w:r>
    </w:p>
    <w:p w14:paraId="7C32A91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20.3采购人或采购组织机构将对开标过程进行记录，由参加开标的各投标人代表和相关工作人员签字确认，并存档备查。投标人未参加开标或未签字确认的，视同认可开标结果。</w:t>
      </w:r>
    </w:p>
    <w:p w14:paraId="18A03B3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20.4投标人代表对开标过程和开标记录有疑义，以及认为采购人、采购组织机构相关工作人员有需要回避的情形的，应当场提出询问或者提出回避申请。</w:t>
      </w:r>
    </w:p>
    <w:p w14:paraId="15E5A474">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21.组建评标委员会</w:t>
      </w:r>
    </w:p>
    <w:p w14:paraId="017634A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按照《中华人民共和国政府采购法》、《中华人民共和国政府采购法实施条例》有关规定依法组建评标委员会，负责本项目评标工作。本项目评标委员会组成详见投标人须知表21条。</w:t>
      </w:r>
    </w:p>
    <w:p w14:paraId="26CEE2C2">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22.资格性审查</w:t>
      </w:r>
    </w:p>
    <w:p w14:paraId="6BA4F01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22.1采购人或采购组织机构依据法律法规和招标文件中规定的内容，对投标人的资格进行审查，投标人应按照第二章《投标文件内容及格式》中的相应要求提交资格性证明材料。未通过资格审查的投标人不能进入评标，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；通过资格性审查的投标人不足3家的，不得评标。</w:t>
      </w:r>
    </w:p>
    <w:p w14:paraId="1DCFC8D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22.2采购人或采购组织机构将在递交投标文件截止时间前一个工作日至资格性审查结束前的期间内查询投标人的信用记录。投标人存在不良信用记录的，其投标将被认定为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496CB17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22.2.1不良信用记录指：投标人在中国政府采购网（www.ccgp.gov.cn）被列入政府采购严重违法失信行为记录名单，或在“信用中国”网站（www.creditchina.gov.cn）</w:t>
      </w:r>
      <w:r>
        <w:rPr>
          <w:rFonts w:hint="eastAsia" w:ascii="仿宋_GB2312" w:hAnsi="仿宋" w:eastAsia="仿宋_GB2312" w:cs="仿宋_GB2312"/>
          <w:color w:val="auto"/>
          <w:sz w:val="24"/>
          <w:szCs w:val="21"/>
        </w:rPr>
        <w:t>被列入失信被执行人、重大税收违法失信主体、政府采购严重违法失信行为记录名单，</w:t>
      </w:r>
      <w:r>
        <w:rPr>
          <w:rFonts w:hint="eastAsia" w:ascii="仿宋_GB2312" w:hAnsi="仿宋" w:eastAsia="仿宋_GB2312" w:cs="仿宋_GB2312"/>
          <w:color w:val="auto"/>
          <w:sz w:val="24"/>
        </w:rPr>
        <w:t>以及存在《中华人民共和国政府采购法实施条例》第十九条规定的行政处罚记录。</w:t>
      </w:r>
    </w:p>
    <w:p w14:paraId="33807D5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以联合体形式参加投标的，联合体任何成员存在以上不良信用记录的，联合体投标将被认定为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2D662E1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22.2.2 查询及记录方式：采购人或采购组织机构经办人将查询网页打印并存档备查。投标人不良信用记录以采购人或采购组织机构查询结果为准。</w:t>
      </w:r>
    </w:p>
    <w:p w14:paraId="6A5892A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在本招标文件规定的查询时间之后，网站信息发生的任何变更均不再作为评标依据。</w:t>
      </w:r>
    </w:p>
    <w:p w14:paraId="1BBB9D2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投标人自行提供的与网站信息不一致的其他证明材料亦不作为资格审查依据。</w:t>
      </w:r>
    </w:p>
    <w:p w14:paraId="46EC79B6">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23.符合性审查</w:t>
      </w:r>
    </w:p>
    <w:p w14:paraId="3942CC7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；通过符合性审查的投标人数量不足3家的，不得作进一步的比较和评价。</w:t>
      </w:r>
    </w:p>
    <w:p w14:paraId="1E6DDBD9">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24.投标文件的澄清</w:t>
      </w:r>
    </w:p>
    <w:p w14:paraId="2011735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36F519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24.2投标人的澄清、说明或补正将作为投标文件的一部分。</w:t>
      </w:r>
    </w:p>
    <w:p w14:paraId="6202C92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24.3投标文件报价出现前后不一致的，按照下列规定修正：</w:t>
      </w:r>
    </w:p>
    <w:p w14:paraId="142F4BC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（1）投标文件中开标一览表内容与投标文件中相应内容不一致的，以开标一览表为准；</w:t>
      </w:r>
    </w:p>
    <w:p w14:paraId="76F9B1C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（2）大写金额和小写金额不一致的，以大写金额为准；</w:t>
      </w:r>
    </w:p>
    <w:p w14:paraId="171F052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（3）单价金额小数点或者百分比有明显错位的，以开标一览表的总价为准，并修改单价；</w:t>
      </w:r>
    </w:p>
    <w:p w14:paraId="78B5B00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（4）总价金额与按单价汇总金额不一致的，以单价金额计算结果为准。</w:t>
      </w:r>
    </w:p>
    <w:p w14:paraId="3A2695A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同时出现两种以上不一致的，按照前款规定的顺序修正。修正后的报价经投标人确认后产生约束力，投标人不确认的，其投标将被认定为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734F13F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24.4</w:t>
      </w:r>
      <w:r>
        <w:rPr>
          <w:rFonts w:hint="eastAsia" w:ascii="仿宋_GB2312" w:hAnsi="仿宋" w:eastAsia="仿宋_GB2312" w:cs="仿宋_GB2312"/>
          <w:b/>
          <w:bCs/>
          <w:color w:val="auto"/>
          <w:sz w:val="24"/>
        </w:rPr>
        <w:t>评标委员会认为</w:t>
      </w:r>
      <w:r>
        <w:rPr>
          <w:rFonts w:hint="eastAsia" w:ascii="仿宋_GB2312" w:hAnsi="仿宋" w:eastAsia="仿宋_GB2312" w:cs="仿宋_GB2312"/>
          <w:color w:val="auto"/>
          <w:sz w:val="24"/>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 w:eastAsia="仿宋_GB2312" w:cs="仿宋_GB2312"/>
          <w:b/>
          <w:bCs/>
          <w:color w:val="auto"/>
          <w:sz w:val="24"/>
        </w:rPr>
        <w:t>无效投标</w:t>
      </w:r>
      <w:r>
        <w:rPr>
          <w:rFonts w:hint="eastAsia" w:ascii="仿宋_GB2312" w:hAnsi="仿宋" w:eastAsia="仿宋_GB2312" w:cs="仿宋_GB2312"/>
          <w:color w:val="auto"/>
          <w:sz w:val="24"/>
        </w:rPr>
        <w:t>处理。提交证明材料的合理时间按第四章 评标方法规定执行。</w:t>
      </w:r>
    </w:p>
    <w:p w14:paraId="37E86340">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25.样品及演示（本项目不适用）</w:t>
      </w:r>
    </w:p>
    <w:p w14:paraId="0AB32CF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25.1投标人须知表11.3条中要求投标人提供样品的，按照投标人须知表25.1条中样品的评审方法以及评审标准进行评审。</w:t>
      </w:r>
    </w:p>
    <w:p w14:paraId="6223EF3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05E362A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25.3演示的评审方法以及评审标准具体内容见投标人须知表25.1条。</w:t>
      </w:r>
    </w:p>
    <w:p w14:paraId="1E09824E">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26.投标无效</w:t>
      </w:r>
    </w:p>
    <w:p w14:paraId="608815A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26.1在比较与评价之前，根据本须知的规定，评标委员会将审查每份投标文件是否实质上响应了招标文件的要求。</w:t>
      </w:r>
    </w:p>
    <w:p w14:paraId="340942B4">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实质性要求是指招标文件中带有★号标识内容（包括本级及其下级编号中所有内容）等文字说明的要求。</w:t>
      </w:r>
    </w:p>
    <w:p w14:paraId="09E72CF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kern w:val="0"/>
          <w:sz w:val="24"/>
        </w:rPr>
        <w:t>对招标文件的实质性要求进行响应是指与招标文件中带有★号标识内容的文字说明、条款、条件和规格等要求相符。</w:t>
      </w:r>
    </w:p>
    <w:p w14:paraId="5255575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如果投标文件没有对招标文件的实质性要求进行响应，将作为</w:t>
      </w:r>
      <w:r>
        <w:rPr>
          <w:rFonts w:hint="eastAsia" w:ascii="仿宋_GB2312" w:hAnsi="仿宋" w:eastAsia="仿宋_GB2312" w:cs="仿宋_GB2312"/>
          <w:b/>
          <w:bCs/>
          <w:color w:val="auto"/>
          <w:sz w:val="24"/>
        </w:rPr>
        <w:t>无效投标</w:t>
      </w:r>
      <w:r>
        <w:rPr>
          <w:rFonts w:hint="eastAsia" w:ascii="仿宋_GB2312" w:hAnsi="仿宋" w:eastAsia="仿宋_GB2312" w:cs="仿宋_GB2312"/>
          <w:color w:val="auto"/>
          <w:sz w:val="24"/>
        </w:rPr>
        <w:t>处理，投标人不得再对投标文件进行任何修正从而使其投标成为实质上响应的投标。</w:t>
      </w:r>
    </w:p>
    <w:p w14:paraId="7E03D34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评标委员会决定投标的响应性只根据招标文件要求、投标文件内容及财政主管部门指定媒体发布的相关信息。</w:t>
      </w:r>
    </w:p>
    <w:p w14:paraId="33985BF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26.2如发现下列情况之一的，其投标将被认定为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23D2A2BF">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（1）未按照招标文件规定要求签署、盖章的；</w:t>
      </w:r>
    </w:p>
    <w:p w14:paraId="6BFB1161">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（2）投标人的报价超过了招标文件中规定的预算金额或者最高限价的；</w:t>
      </w:r>
    </w:p>
    <w:p w14:paraId="3933C6B7">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（3）不具备招标文件中规定的资格要求的；</w:t>
      </w:r>
    </w:p>
    <w:p w14:paraId="21650DCA">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（4）不符合法律、法规和招标文件中规定的其他实质性要求的；</w:t>
      </w:r>
    </w:p>
    <w:p w14:paraId="42103117">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（5）与其他投标人串通投标或者与采购人串通投标的；</w:t>
      </w:r>
    </w:p>
    <w:p w14:paraId="5D78C9DC">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（6）评标委员会认为投标人的报价明显低于其他通过符合性审查投标人的报价，有可能影响履约的，且投标人未按照规定证明其报价合理性的；</w:t>
      </w:r>
    </w:p>
    <w:p w14:paraId="042718D5">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（7）投标文件含有采购人不能接受的附加条件的；</w:t>
      </w:r>
    </w:p>
    <w:p w14:paraId="550B7129">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（8）属于法律、法规和招标文件规定的其他投标无效情形的。</w:t>
      </w:r>
    </w:p>
    <w:p w14:paraId="5562BE84">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27.比较与评价</w:t>
      </w:r>
    </w:p>
    <w:p w14:paraId="00844FA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27.1经符合性审查合格的投标文件，评标委员会将根据招标文件确定的评标方法和标准，对其技术部分和商务部分作进一步的比较和评价。</w:t>
      </w:r>
    </w:p>
    <w:p w14:paraId="0AF4A9A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27.2评标严格按照招标文件的要求和条件进行。根据实际情况，在投标人须知表27.2条中规定采用下列一种评标方法，详细评标标准见第四章 评标方法：</w:t>
      </w:r>
    </w:p>
    <w:p w14:paraId="72B791D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（1）最低评标价法，是指投标文件满足招标文件全部实质性要求，且投标报价最低的投标人为中标候选人的评标方法。</w:t>
      </w:r>
    </w:p>
    <w:p w14:paraId="365E431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（2）综合评分法，是指投标文件满足招标文件全部实质性要求，且按照评审因素的量化指标评审得分最高的投标人为中标候选人的评标方法。</w:t>
      </w:r>
    </w:p>
    <w:p w14:paraId="1C11981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27.3 根据《财政部 工业和信息化部关于印发&lt;政府采购促进中小企业发展管理办法&gt;的通知》（财库[2020]46号）、《财政部司法部关于政府采购支持监狱企业发展有关问题的通知》（财库〔2014〕68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14:paraId="4396791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27.4 依据国家确定的认证机构出具的、处于有效期之内的节能产品、环境标志产品认证证书实施政府优先采购。具体优先采购办法详见第四章 评标方法。</w:t>
      </w:r>
    </w:p>
    <w:p w14:paraId="775AB58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40038C3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27.6根据财政部、辽宁省财政厅相关规定，对于列入《辽宁省创新产品和服务目录》内的产品、服务实施政府优先采购。具体优先采购办法详见第四章 评标方法。</w:t>
      </w:r>
    </w:p>
    <w:p w14:paraId="0A3CAA9E">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28.废标</w:t>
      </w:r>
    </w:p>
    <w:p w14:paraId="3AEA8CA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出现下列情形之一，将导致项目</w:t>
      </w:r>
      <w:r>
        <w:rPr>
          <w:rFonts w:hint="eastAsia" w:ascii="仿宋_GB2312" w:hAnsi="仿宋" w:eastAsia="仿宋_GB2312" w:cs="仿宋_GB2312"/>
          <w:b/>
          <w:bCs/>
          <w:color w:val="auto"/>
          <w:sz w:val="24"/>
        </w:rPr>
        <w:t>废标</w:t>
      </w:r>
      <w:r>
        <w:rPr>
          <w:rFonts w:hint="eastAsia" w:ascii="仿宋_GB2312" w:hAnsi="仿宋" w:eastAsia="仿宋_GB2312" w:cs="仿宋_GB2312"/>
          <w:color w:val="auto"/>
          <w:sz w:val="24"/>
        </w:rPr>
        <w:t>：</w:t>
      </w:r>
    </w:p>
    <w:p w14:paraId="10FFE8E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（1）符合专业条件的投标人或者对招标文件做实质性响应的投标人不足3家的；</w:t>
      </w:r>
    </w:p>
    <w:p w14:paraId="2C52A41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（2）出现影响采购公正的违法、违规行为的；</w:t>
      </w:r>
    </w:p>
    <w:p w14:paraId="12E9375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（3）投标人的报价均超过了采购预算或最高限价，采购人不能支付的；</w:t>
      </w:r>
    </w:p>
    <w:p w14:paraId="2442D48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（4）因重大变故，采购任务取消的。</w:t>
      </w:r>
    </w:p>
    <w:p w14:paraId="105475C7">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29.中标候选人的推荐原则及标准</w:t>
      </w:r>
    </w:p>
    <w:p w14:paraId="3D872F6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29.1除第32条规定外，评标委员会将根据评标标准，对实质上响应招标文件的投标人按下列方法进行排序，推荐中标候选人：</w:t>
      </w:r>
    </w:p>
    <w:p w14:paraId="7A6C5AF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采用最低评标价法的，除了算数修正和落实政府采购政策需进行的价格扣除外，不对投标人的投标价格进行任何调整。评标结果按修正和扣除后的投标报价由低到高顺序排序。报价相同的，按第四章评标方法规定执行。</w:t>
      </w:r>
    </w:p>
    <w:p w14:paraId="4A46DE6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（2）采用综合评分法的，评标结果按评审后得分由高到低顺序排列。得分相同的，按第四章评标方法规定执行。</w:t>
      </w:r>
    </w:p>
    <w:p w14:paraId="38B0DBA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29.2评标委员会将根据评标标准，按投标人须知表29.2条中规定的数量推荐中标候选人。</w:t>
      </w:r>
    </w:p>
    <w:p w14:paraId="43FA3ED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29.3因推荐中标候选人名单产生其他问题，由评标委员会集体研究处理。</w:t>
      </w:r>
    </w:p>
    <w:p w14:paraId="21028D06">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30.保密原则</w:t>
      </w:r>
    </w:p>
    <w:p w14:paraId="0D7CD03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30.1评标将在严格保密的情况下进行。</w:t>
      </w:r>
    </w:p>
    <w:p w14:paraId="34A8226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30.2有关人员应当遵守评标工作纪律，不得泄露评审文件、评标情况和评标过程中获悉的国家秘密、商业秘密。</w:t>
      </w:r>
    </w:p>
    <w:p w14:paraId="26C487ED">
      <w:pPr>
        <w:pStyle w:val="4"/>
        <w:adjustRightInd w:val="0"/>
        <w:snapToGrid w:val="0"/>
        <w:spacing w:before="0" w:after="0" w:line="360" w:lineRule="auto"/>
        <w:rPr>
          <w:rFonts w:ascii="楷体_GB2312" w:hAnsi="仿宋" w:eastAsia="楷体_GB2312" w:cs="仿宋_GB2312"/>
          <w:color w:val="auto"/>
          <w:sz w:val="32"/>
          <w:szCs w:val="36"/>
        </w:rPr>
      </w:pPr>
      <w:r>
        <w:rPr>
          <w:rFonts w:hint="eastAsia" w:ascii="楷体_GB2312" w:hAnsi="仿宋" w:eastAsia="楷体_GB2312" w:cs="仿宋_GB2312"/>
          <w:color w:val="auto"/>
          <w:sz w:val="32"/>
          <w:szCs w:val="36"/>
        </w:rPr>
        <w:t>七 确定中标</w:t>
      </w:r>
      <w:bookmarkEnd w:id="73"/>
    </w:p>
    <w:p w14:paraId="006993BC">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31.确定中标人</w:t>
      </w:r>
    </w:p>
    <w:p w14:paraId="0651A9F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由采购人或者采购人委托评标委员会按照投标人须知表31中规定的方式确定中标人。</w:t>
      </w:r>
    </w:p>
    <w:p w14:paraId="297091A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采购人在收到评标报告5个工作日内未按评标报告推荐的中标候选人顺序确定中标人，又不能说明合法理由的，视同按评标报告推荐的顺序确定排名第一的中标候选人为中标人。</w:t>
      </w:r>
    </w:p>
    <w:p w14:paraId="7EAACDF7">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★32.采购任务取消</w:t>
      </w:r>
    </w:p>
    <w:p w14:paraId="6A0587B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因重大变故采购任务取消时，采购人有权拒绝任何供应商中标，且对受影响的投标人不承担任何责任。</w:t>
      </w:r>
    </w:p>
    <w:p w14:paraId="53D5D4FA">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33.中标通知书</w:t>
      </w:r>
    </w:p>
    <w:p w14:paraId="38406FF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33.1采购人或者采购组织机构应当自中标人确定之日起2个工作日内，在辽宁政府采购网及其地方分网媒体上公告中标结果。同时向中标人发出中标通知书。</w:t>
      </w:r>
    </w:p>
    <w:p w14:paraId="2DB0964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33.2中标通知书是合同的组成部分。</w:t>
      </w:r>
    </w:p>
    <w:p w14:paraId="72F2DDB4">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34.签订合同</w:t>
      </w:r>
    </w:p>
    <w:p w14:paraId="45660CD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34.1中标人应当自发出中标通知书之日起 30 日内，与采购人签订书面合同。</w:t>
      </w:r>
    </w:p>
    <w:p w14:paraId="0838E27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35AB4D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34.3中标人拒绝与采购人签订合同的，采购人可以按照评标报告推荐的中标候选人名单排序，确定下一中标候选人为中标人，也可以重新开展政府采购活动。</w:t>
      </w:r>
    </w:p>
    <w:p w14:paraId="6ED4CCE7">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35.履约保证金（本项目不适用）</w:t>
      </w:r>
    </w:p>
    <w:p w14:paraId="6B3C809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35.1中标人应按照投标人须知表35.1条规定向采购人缴纳履约保证金。</w:t>
      </w:r>
    </w:p>
    <w:p w14:paraId="464019F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3F40D7C2">
      <w:pPr>
        <w:adjustRightInd w:val="0"/>
        <w:snapToGrid w:val="0"/>
        <w:spacing w:line="336"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36.采购代理服务费</w:t>
      </w:r>
    </w:p>
    <w:p w14:paraId="251EF1CA">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中标人须按照投标须知表36条规定，向采购组织机构支付采购代理服务费。</w:t>
      </w:r>
    </w:p>
    <w:p w14:paraId="511923DF">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37.廉洁自律规定</w:t>
      </w:r>
    </w:p>
    <w:p w14:paraId="3F72ADA2">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37.1 采购组织机构工作人员不得以不正当手段获取政府采购代理业务，不得与采购人、投标人恶意串通操纵政府采购活动。</w:t>
      </w:r>
    </w:p>
    <w:p w14:paraId="458BF10E">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37.2 采购组织机构工作人员不得接受采购人或者投标人组织的宴请、旅游、娱乐，不得收受礼品、现金、有价证券等，不得向采购人或者投标人报销应当由个人承担的费用。</w:t>
      </w:r>
    </w:p>
    <w:p w14:paraId="48EFB4A0">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38.人员回避</w:t>
      </w:r>
    </w:p>
    <w:p w14:paraId="6084777A">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投标人认为采购人及其相关人员有法律法规所列与其他投标人有利害关系的，可以向采购人或采购组织机构书面提出回避申请，并说明理由。</w:t>
      </w:r>
    </w:p>
    <w:p w14:paraId="5D3177AA">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39.质疑与接收</w:t>
      </w:r>
    </w:p>
    <w:p w14:paraId="061A4E2B">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组织机构提出质疑。</w:t>
      </w:r>
    </w:p>
    <w:p w14:paraId="17B6575C">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3C64BA99">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超出法定质疑期的、重复提出的、分次提出的或内容、形式不符合《政府采购质疑和投诉办法》的，质疑投标人将依法承担不利后果。</w:t>
      </w:r>
    </w:p>
    <w:p w14:paraId="1206CF24">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39.3采购组织机构质疑函接收部门、联系电话和通讯地址, 见投标人须知表39.3条。</w:t>
      </w:r>
    </w:p>
    <w:p w14:paraId="43AE8EC1">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40.履约验收</w:t>
      </w:r>
    </w:p>
    <w:p w14:paraId="326F0F65">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本项目采购人及其委托的采购组织机构将严格按照政府采购相关法律法规以及《辽宁省政府采购履约验收管理办法》（辽财采〔2017〕603号）的要求进行验收。</w:t>
      </w:r>
    </w:p>
    <w:p w14:paraId="0E46806B">
      <w:pPr>
        <w:adjustRightInd w:val="0"/>
        <w:snapToGrid w:val="0"/>
        <w:spacing w:line="360" w:lineRule="auto"/>
        <w:ind w:firstLine="420"/>
        <w:rPr>
          <w:rFonts w:ascii="仿宋_GB2312" w:hAnsi="仿宋" w:eastAsia="仿宋_GB2312" w:cs="仿宋_GB2312"/>
          <w:b/>
          <w:color w:val="auto"/>
        </w:rPr>
        <w:sectPr>
          <w:footerReference r:id="rId5" w:type="default"/>
          <w:pgSz w:w="11906" w:h="16838"/>
          <w:pgMar w:top="1705" w:right="1803" w:bottom="1560" w:left="1803" w:header="1091" w:footer="982" w:gutter="0"/>
          <w:pgNumType w:start="1"/>
          <w:cols w:space="720" w:num="1"/>
          <w:docGrid w:type="linesAndChars" w:linePitch="312" w:charSpace="0"/>
        </w:sectPr>
      </w:pPr>
    </w:p>
    <w:p w14:paraId="1768F916">
      <w:pPr>
        <w:pStyle w:val="3"/>
        <w:snapToGrid w:val="0"/>
        <w:spacing w:before="159" w:beforeLines="50" w:after="159" w:afterLines="50" w:line="360" w:lineRule="auto"/>
        <w:rPr>
          <w:rFonts w:ascii="方正小标宋简体" w:hAnsi="黑体" w:eastAsia="方正小标宋简体" w:cs="仿宋_GB2312"/>
          <w:b w:val="0"/>
          <w:bCs/>
          <w:color w:val="auto"/>
        </w:rPr>
      </w:pPr>
      <w:bookmarkStart w:id="74" w:name="_Toc19603"/>
      <w:bookmarkStart w:id="75" w:name="_Toc17081"/>
      <w:bookmarkStart w:id="76" w:name="_Toc20672"/>
      <w:bookmarkStart w:id="77" w:name="_Toc17725_WPSOffice_Level1"/>
      <w:r>
        <w:rPr>
          <w:rFonts w:hint="eastAsia" w:ascii="方正小标宋简体" w:hAnsi="黑体" w:eastAsia="方正小标宋简体" w:cs="仿宋_GB2312"/>
          <w:b w:val="0"/>
          <w:bCs/>
          <w:color w:val="auto"/>
        </w:rPr>
        <w:t>第二章 投标文件内容及格式</w:t>
      </w:r>
      <w:bookmarkEnd w:id="74"/>
      <w:bookmarkEnd w:id="75"/>
      <w:bookmarkEnd w:id="76"/>
      <w:bookmarkEnd w:id="77"/>
    </w:p>
    <w:p w14:paraId="3690AB3E">
      <w:pPr>
        <w:spacing w:before="159" w:beforeLines="50" w:after="159" w:afterLines="50" w:line="360" w:lineRule="auto"/>
        <w:rPr>
          <w:rFonts w:ascii="仿宋_GB2312" w:hAnsi="仿宋" w:eastAsia="仿宋_GB2312" w:cs="仿宋_GB2312"/>
          <w:b/>
          <w:color w:val="auto"/>
          <w:sz w:val="24"/>
        </w:rPr>
      </w:pPr>
      <w:bookmarkStart w:id="78" w:name="投标文件内容及格式：Block"/>
      <w:bookmarkEnd w:id="78"/>
      <w:bookmarkStart w:id="79" w:name="sys_投标文件内容及格式：Block"/>
      <w:bookmarkEnd w:id="79"/>
      <w:bookmarkStart w:id="80" w:name="_Toc1538_WPSOffice_Level2"/>
      <w:bookmarkStart w:id="81" w:name="_Toc2481_WPSOffice_Level2"/>
      <w:r>
        <w:rPr>
          <w:rFonts w:hint="eastAsia" w:ascii="仿宋_GB2312" w:hAnsi="仿宋" w:eastAsia="仿宋_GB2312" w:cs="仿宋_GB2312"/>
          <w:b/>
          <w:color w:val="auto"/>
          <w:sz w:val="24"/>
        </w:rPr>
        <w:t>一、投标文件、电子文档的外封面、封口、封皮及目录</w:t>
      </w:r>
      <w:bookmarkEnd w:id="80"/>
      <w:bookmarkEnd w:id="81"/>
    </w:p>
    <w:tbl>
      <w:tblPr>
        <w:tblStyle w:val="25"/>
        <w:tblW w:w="8939"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24"/>
        <w:gridCol w:w="889"/>
      </w:tblGrid>
      <w:tr w14:paraId="23B5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trPr>
        <w:tc>
          <w:tcPr>
            <w:tcW w:w="826" w:type="dxa"/>
            <w:vAlign w:val="center"/>
          </w:tcPr>
          <w:p w14:paraId="357659EC">
            <w:pPr>
              <w:widowControl/>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序号</w:t>
            </w:r>
          </w:p>
        </w:tc>
        <w:tc>
          <w:tcPr>
            <w:tcW w:w="7224" w:type="dxa"/>
            <w:vAlign w:val="center"/>
          </w:tcPr>
          <w:p w14:paraId="6BF3DB0B">
            <w:pPr>
              <w:widowControl/>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内容</w:t>
            </w:r>
          </w:p>
        </w:tc>
        <w:tc>
          <w:tcPr>
            <w:tcW w:w="889" w:type="dxa"/>
            <w:vAlign w:val="center"/>
          </w:tcPr>
          <w:p w14:paraId="2ADD9A28">
            <w:pPr>
              <w:widowControl/>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格式</w:t>
            </w:r>
          </w:p>
        </w:tc>
      </w:tr>
      <w:tr w14:paraId="436D5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26" w:type="dxa"/>
            <w:vAlign w:val="center"/>
          </w:tcPr>
          <w:p w14:paraId="4FD763FC">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7224" w:type="dxa"/>
            <w:vAlign w:val="center"/>
          </w:tcPr>
          <w:p w14:paraId="2662B079">
            <w:pPr>
              <w:widowControl/>
              <w:adjustRightInd w:val="0"/>
              <w:snapToGrid w:val="0"/>
              <w:jc w:val="left"/>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投标文件、电子文档的外封面及封口</w:t>
            </w:r>
          </w:p>
        </w:tc>
        <w:tc>
          <w:tcPr>
            <w:tcW w:w="889" w:type="dxa"/>
            <w:vAlign w:val="center"/>
          </w:tcPr>
          <w:p w14:paraId="30B97F98">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r>
      <w:tr w14:paraId="3CA94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6" w:type="dxa"/>
            <w:vAlign w:val="center"/>
          </w:tcPr>
          <w:p w14:paraId="7FCA1995">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7224" w:type="dxa"/>
            <w:vAlign w:val="center"/>
          </w:tcPr>
          <w:p w14:paraId="5BA93B22">
            <w:pPr>
              <w:widowControl/>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投标文件的封皮</w:t>
            </w:r>
          </w:p>
        </w:tc>
        <w:tc>
          <w:tcPr>
            <w:tcW w:w="889" w:type="dxa"/>
            <w:vAlign w:val="center"/>
          </w:tcPr>
          <w:p w14:paraId="1F49D27E">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r>
      <w:tr w14:paraId="3166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26" w:type="dxa"/>
            <w:vAlign w:val="center"/>
          </w:tcPr>
          <w:p w14:paraId="2A23C5B2">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7224" w:type="dxa"/>
            <w:vAlign w:val="center"/>
          </w:tcPr>
          <w:p w14:paraId="72E91293">
            <w:pPr>
              <w:widowControl/>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投标文件的目录</w:t>
            </w:r>
          </w:p>
        </w:tc>
        <w:tc>
          <w:tcPr>
            <w:tcW w:w="889" w:type="dxa"/>
            <w:vAlign w:val="center"/>
          </w:tcPr>
          <w:p w14:paraId="254B9AAF">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r>
    </w:tbl>
    <w:p w14:paraId="44FF28E1">
      <w:pPr>
        <w:spacing w:before="159" w:beforeLines="50" w:after="159" w:afterLines="50" w:line="360" w:lineRule="auto"/>
        <w:rPr>
          <w:rFonts w:ascii="仿宋_GB2312" w:hAnsi="仿宋" w:eastAsia="仿宋_GB2312" w:cs="仿宋_GB2312"/>
          <w:b/>
          <w:color w:val="auto"/>
          <w:sz w:val="24"/>
        </w:rPr>
      </w:pPr>
      <w:bookmarkStart w:id="82" w:name="_Toc1266_WPSOffice_Level2"/>
      <w:bookmarkStart w:id="83" w:name="_Toc31052_WPSOffice_Level2"/>
      <w:r>
        <w:rPr>
          <w:rFonts w:hint="eastAsia" w:ascii="仿宋_GB2312" w:hAnsi="仿宋" w:eastAsia="仿宋_GB2312" w:cs="仿宋_GB2312"/>
          <w:b/>
          <w:color w:val="auto"/>
          <w:sz w:val="24"/>
        </w:rPr>
        <w:t>二、资格性证明材料</w:t>
      </w:r>
      <w:bookmarkEnd w:id="82"/>
      <w:bookmarkEnd w:id="83"/>
      <w:r>
        <w:rPr>
          <w:rFonts w:hint="eastAsia" w:ascii="仿宋_GB2312" w:hAnsi="仿宋" w:eastAsia="仿宋_GB2312" w:cs="仿宋_GB2312"/>
          <w:b/>
          <w:color w:val="auto"/>
          <w:sz w:val="24"/>
        </w:rPr>
        <w:t>（有一项不符合要求，不能进入下一阶段评审）</w:t>
      </w:r>
    </w:p>
    <w:tbl>
      <w:tblPr>
        <w:tblStyle w:val="25"/>
        <w:tblW w:w="8759" w:type="dxa"/>
        <w:tblInd w:w="-174" w:type="dxa"/>
        <w:tblLayout w:type="fixed"/>
        <w:tblCellMar>
          <w:top w:w="0" w:type="dxa"/>
          <w:left w:w="0" w:type="dxa"/>
          <w:bottom w:w="0" w:type="dxa"/>
          <w:right w:w="0" w:type="dxa"/>
        </w:tblCellMar>
      </w:tblPr>
      <w:tblGrid>
        <w:gridCol w:w="832"/>
        <w:gridCol w:w="7123"/>
        <w:gridCol w:w="804"/>
      </w:tblGrid>
      <w:tr w14:paraId="05E592FA">
        <w:tblPrEx>
          <w:tblCellMar>
            <w:top w:w="0" w:type="dxa"/>
            <w:left w:w="0" w:type="dxa"/>
            <w:bottom w:w="0" w:type="dxa"/>
            <w:right w:w="0" w:type="dxa"/>
          </w:tblCellMar>
        </w:tblPrEx>
        <w:trPr>
          <w:trHeight w:val="458" w:hRule="atLeast"/>
          <w:tblHeader/>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9E57ED">
            <w:pPr>
              <w:adjustRightInd w:val="0"/>
              <w:snapToGrid w:val="0"/>
              <w:jc w:val="center"/>
              <w:rPr>
                <w:rFonts w:ascii="仿宋_GB2312" w:hAnsi="仿宋" w:eastAsia="仿宋_GB2312" w:cs="仿宋_GB2312"/>
                <w:b/>
                <w:bCs/>
                <w:color w:val="auto"/>
                <w:sz w:val="24"/>
              </w:rPr>
            </w:pPr>
            <w:bookmarkStart w:id="84" w:name="资格性证明材料：Document"/>
            <w:bookmarkStart w:id="85" w:name="sys_资格性证明材料：Document"/>
            <w:r>
              <w:rPr>
                <w:rFonts w:hint="eastAsia" w:ascii="仿宋_GB2312" w:hAnsi="仿宋" w:eastAsia="仿宋_GB2312" w:cs="仿宋_GB2312"/>
                <w:b/>
                <w:bCs/>
                <w:color w:val="auto"/>
                <w:sz w:val="24"/>
              </w:rPr>
              <w:t>序号</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596326">
            <w:pPr>
              <w:adjustRightInd w:val="0"/>
              <w:snapToGrid w:val="0"/>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资格性证明材料</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DD44AD">
            <w:pPr>
              <w:adjustRightInd w:val="0"/>
              <w:snapToGrid w:val="0"/>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格式</w:t>
            </w:r>
          </w:p>
        </w:tc>
      </w:tr>
      <w:tr w14:paraId="19BF6EE7">
        <w:tblPrEx>
          <w:tblCellMar>
            <w:top w:w="0" w:type="dxa"/>
            <w:left w:w="0" w:type="dxa"/>
            <w:bottom w:w="0" w:type="dxa"/>
            <w:right w:w="0" w:type="dxa"/>
          </w:tblCellMar>
        </w:tblPrEx>
        <w:trPr>
          <w:trHeight w:val="924"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D8C0C7">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1</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ECA611">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营业执照或事业单位法人证书或执业许可证等证明文件复印件或自然人的身份证明复印件（自然人身份证明仅在自然人作为投标主体时适用）</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524F79">
            <w:pPr>
              <w:adjustRightInd w:val="0"/>
              <w:snapToGrid w:val="0"/>
              <w:jc w:val="center"/>
              <w:rPr>
                <w:rFonts w:ascii="仿宋_GB2312" w:hAnsi="仿宋" w:eastAsia="仿宋_GB2312" w:cs="仿宋_GB2312"/>
                <w:color w:val="auto"/>
                <w:sz w:val="24"/>
              </w:rPr>
            </w:pPr>
          </w:p>
        </w:tc>
      </w:tr>
      <w:tr w14:paraId="705E4A27">
        <w:tblPrEx>
          <w:tblCellMar>
            <w:top w:w="0" w:type="dxa"/>
            <w:left w:w="0" w:type="dxa"/>
            <w:bottom w:w="0" w:type="dxa"/>
            <w:right w:w="0" w:type="dxa"/>
          </w:tblCellMar>
        </w:tblPrEx>
        <w:trPr>
          <w:trHeight w:val="662"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2478FF">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2</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8F83D">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法定代表人（或非法人组织负责人）身份证明书（自然人投标的无需提供）</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380214">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r>
      <w:tr w14:paraId="3BF6DDCA">
        <w:tblPrEx>
          <w:tblCellMar>
            <w:top w:w="0" w:type="dxa"/>
            <w:left w:w="0" w:type="dxa"/>
            <w:bottom w:w="0" w:type="dxa"/>
            <w:right w:w="0" w:type="dxa"/>
          </w:tblCellMar>
        </w:tblPrEx>
        <w:trPr>
          <w:trHeight w:val="679"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4398E0">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3</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8CA261">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法定代表人（或非法人组织负责人）授权委托书（授权委托人参加投标的须提供）</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5203B2">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r>
      <w:tr w14:paraId="6FCFF3C1">
        <w:tblPrEx>
          <w:tblCellMar>
            <w:top w:w="0" w:type="dxa"/>
            <w:left w:w="0" w:type="dxa"/>
            <w:bottom w:w="0" w:type="dxa"/>
            <w:right w:w="0" w:type="dxa"/>
          </w:tblCellMar>
        </w:tblPrEx>
        <w:trPr>
          <w:trHeight w:val="542"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6995B4">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C826F8">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具有良好的商业信誉和健全的财务会计制度的承诺函</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969C55">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r>
      <w:tr w14:paraId="626C95D4">
        <w:tblPrEx>
          <w:tblCellMar>
            <w:top w:w="0" w:type="dxa"/>
            <w:left w:w="0" w:type="dxa"/>
            <w:bottom w:w="0" w:type="dxa"/>
            <w:right w:w="0" w:type="dxa"/>
          </w:tblCellMar>
        </w:tblPrEx>
        <w:trPr>
          <w:trHeight w:val="1039"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E3FACC">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643190">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开标时间前六个月内任一个月的依法缴纳税收的缴款凭据</w:t>
            </w:r>
            <w:r>
              <w:rPr>
                <w:rFonts w:hint="eastAsia" w:ascii="仿宋_GB2312" w:hAnsi="仿宋" w:eastAsia="仿宋_GB2312" w:cs="仿宋_GB2312"/>
                <w:b/>
                <w:bCs/>
                <w:color w:val="auto"/>
                <w:sz w:val="24"/>
              </w:rPr>
              <w:t>（增值税等）</w:t>
            </w:r>
            <w:r>
              <w:rPr>
                <w:rFonts w:hint="eastAsia" w:ascii="仿宋_GB2312" w:hAnsi="仿宋" w:eastAsia="仿宋_GB2312" w:cs="仿宋_GB2312"/>
                <w:color w:val="auto"/>
                <w:sz w:val="24"/>
              </w:rPr>
              <w:t>复印件加盖公章（注：依法免税的投标人，应提供相关证明材料，包括相关法规要求原文及加盖单位公章的情况说明）</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E94D94">
            <w:pPr>
              <w:adjustRightInd w:val="0"/>
              <w:snapToGrid w:val="0"/>
              <w:jc w:val="center"/>
              <w:rPr>
                <w:rFonts w:ascii="仿宋_GB2312" w:hAnsi="仿宋" w:eastAsia="仿宋_GB2312" w:cs="仿宋_GB2312"/>
                <w:color w:val="auto"/>
                <w:sz w:val="24"/>
              </w:rPr>
            </w:pPr>
          </w:p>
        </w:tc>
      </w:tr>
      <w:tr w14:paraId="39F02121">
        <w:tblPrEx>
          <w:tblCellMar>
            <w:top w:w="0" w:type="dxa"/>
            <w:left w:w="0" w:type="dxa"/>
            <w:bottom w:w="0" w:type="dxa"/>
            <w:right w:w="0" w:type="dxa"/>
          </w:tblCellMar>
        </w:tblPrEx>
        <w:trPr>
          <w:trHeight w:val="1351"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032289">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74342C">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开标时间前六个月内任一个月的依法缴纳社会保障资金的缴款凭据复印件加盖公章（注：依法不需要缴纳社会保障资金的投标人，应提供相关证明材料，包括相关法规要求原文及加盖公章的情况说明）</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F6533C">
            <w:pPr>
              <w:adjustRightInd w:val="0"/>
              <w:snapToGrid w:val="0"/>
              <w:jc w:val="center"/>
              <w:rPr>
                <w:rFonts w:ascii="仿宋_GB2312" w:hAnsi="仿宋" w:eastAsia="仿宋_GB2312" w:cs="仿宋_GB2312"/>
                <w:color w:val="auto"/>
                <w:sz w:val="24"/>
              </w:rPr>
            </w:pPr>
          </w:p>
        </w:tc>
      </w:tr>
      <w:tr w14:paraId="054CE0F1">
        <w:tblPrEx>
          <w:tblCellMar>
            <w:top w:w="0" w:type="dxa"/>
            <w:left w:w="0" w:type="dxa"/>
            <w:bottom w:w="0" w:type="dxa"/>
            <w:right w:w="0" w:type="dxa"/>
          </w:tblCellMar>
        </w:tblPrEx>
        <w:trPr>
          <w:trHeight w:val="590"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909974">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7</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F0713D">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具备履行合同所必需的设备和专业技术能力声明函</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B9ED29">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7</w:t>
            </w:r>
          </w:p>
        </w:tc>
      </w:tr>
      <w:tr w14:paraId="16F37A8D">
        <w:tblPrEx>
          <w:tblCellMar>
            <w:top w:w="0" w:type="dxa"/>
            <w:left w:w="0" w:type="dxa"/>
            <w:bottom w:w="0" w:type="dxa"/>
            <w:right w:w="0" w:type="dxa"/>
          </w:tblCellMar>
        </w:tblPrEx>
        <w:trPr>
          <w:trHeight w:val="605"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B33CBF">
            <w:pPr>
              <w:adjustRightInd w:val="0"/>
              <w:snapToGrid w:val="0"/>
              <w:spacing w:line="276" w:lineRule="auto"/>
              <w:jc w:val="center"/>
              <w:rPr>
                <w:rFonts w:ascii="仿宋_GB2312" w:hAnsi="仿宋" w:eastAsia="仿宋_GB2312" w:cs="仿宋_GB2312"/>
                <w:color w:val="auto"/>
                <w:sz w:val="24"/>
              </w:rPr>
            </w:pPr>
            <w:r>
              <w:rPr>
                <w:rFonts w:ascii="仿宋_GB2312" w:hAnsi="仿宋" w:eastAsia="仿宋_GB2312" w:cs="仿宋_GB2312"/>
                <w:color w:val="auto"/>
                <w:sz w:val="24"/>
              </w:rPr>
              <w:t>8</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D87937">
            <w:pPr>
              <w:adjustRightInd w:val="0"/>
              <w:snapToGrid w:val="0"/>
              <w:spacing w:line="276"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参加政府采购活动前3年内在经营活动中没有重大违法记录的声明</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B3337E">
            <w:pPr>
              <w:adjustRightInd w:val="0"/>
              <w:snapToGrid w:val="0"/>
              <w:spacing w:line="276"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8</w:t>
            </w:r>
          </w:p>
        </w:tc>
      </w:tr>
      <w:tr w14:paraId="4396FD30">
        <w:tblPrEx>
          <w:tblCellMar>
            <w:top w:w="0" w:type="dxa"/>
            <w:left w:w="0" w:type="dxa"/>
            <w:bottom w:w="0" w:type="dxa"/>
            <w:right w:w="0" w:type="dxa"/>
          </w:tblCellMar>
        </w:tblPrEx>
        <w:trPr>
          <w:trHeight w:val="762"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694869">
            <w:pPr>
              <w:adjustRightInd w:val="0"/>
              <w:snapToGrid w:val="0"/>
              <w:spacing w:line="276" w:lineRule="auto"/>
              <w:jc w:val="center"/>
              <w:rPr>
                <w:rFonts w:ascii="仿宋_GB2312" w:hAnsi="仿宋" w:eastAsia="仿宋_GB2312" w:cs="仿宋_GB2312"/>
                <w:color w:val="auto"/>
                <w:sz w:val="24"/>
              </w:rPr>
            </w:pPr>
            <w:bookmarkStart w:id="86" w:name="_Toc22359_WPSOffice_Level2"/>
            <w:bookmarkStart w:id="87" w:name="_Toc25206_WPSOffice_Level2"/>
            <w:r>
              <w:rPr>
                <w:rFonts w:hint="eastAsia" w:ascii="仿宋_GB2312" w:hAnsi="仿宋" w:eastAsia="仿宋_GB2312" w:cs="仿宋_GB2312"/>
                <w:color w:val="auto"/>
                <w:sz w:val="24"/>
              </w:rPr>
              <w:t>9</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D15936">
            <w:pPr>
              <w:adjustRightInd w:val="0"/>
              <w:snapToGrid w:val="0"/>
              <w:spacing w:line="276"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信用记录（采购人或采购代理机构将在招标文件规定的审查期间内进行查询）</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9D61E7">
            <w:pPr>
              <w:adjustRightInd w:val="0"/>
              <w:snapToGrid w:val="0"/>
              <w:spacing w:line="276" w:lineRule="auto"/>
              <w:jc w:val="center"/>
              <w:rPr>
                <w:rFonts w:ascii="仿宋_GB2312" w:hAnsi="仿宋" w:eastAsia="仿宋_GB2312" w:cs="仿宋_GB2312"/>
                <w:color w:val="auto"/>
                <w:sz w:val="24"/>
              </w:rPr>
            </w:pPr>
          </w:p>
        </w:tc>
      </w:tr>
      <w:tr w14:paraId="6E0F453F">
        <w:tblPrEx>
          <w:tblCellMar>
            <w:top w:w="0" w:type="dxa"/>
            <w:left w:w="0" w:type="dxa"/>
            <w:bottom w:w="0" w:type="dxa"/>
            <w:right w:w="0" w:type="dxa"/>
          </w:tblCellMar>
        </w:tblPrEx>
        <w:trPr>
          <w:trHeight w:val="604"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C80B8A">
            <w:pPr>
              <w:adjustRightInd w:val="0"/>
              <w:snapToGrid w:val="0"/>
              <w:spacing w:line="276"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10</w:t>
            </w:r>
          </w:p>
        </w:tc>
        <w:tc>
          <w:tcPr>
            <w:tcW w:w="71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3EE021">
            <w:pPr>
              <w:adjustRightInd w:val="0"/>
              <w:snapToGrid w:val="0"/>
              <w:spacing w:line="276"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联合体协议书（本项目不适用）</w:t>
            </w:r>
          </w:p>
        </w:tc>
        <w:tc>
          <w:tcPr>
            <w:tcW w:w="8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ADA15A">
            <w:pPr>
              <w:adjustRightInd w:val="0"/>
              <w:snapToGrid w:val="0"/>
              <w:spacing w:line="276"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9</w:t>
            </w:r>
          </w:p>
        </w:tc>
      </w:tr>
    </w:tbl>
    <w:p w14:paraId="4D72E710">
      <w:pPr>
        <w:snapToGrid w:val="0"/>
        <w:spacing w:before="159" w:beforeLines="50" w:after="159" w:afterLines="50" w:line="360" w:lineRule="auto"/>
        <w:rPr>
          <w:rFonts w:ascii="仿宋_GB2312" w:hAnsi="仿宋" w:eastAsia="仿宋_GB2312" w:cs="仿宋_GB2312"/>
          <w:b/>
          <w:color w:val="auto"/>
          <w:sz w:val="24"/>
        </w:rPr>
      </w:pPr>
      <w:r>
        <w:rPr>
          <w:rFonts w:hint="eastAsia" w:ascii="仿宋_GB2312" w:eastAsia="仿宋_GB2312"/>
          <w:b/>
          <w:bCs/>
          <w:color w:val="auto"/>
        </w:rPr>
        <w:br w:type="page"/>
      </w:r>
      <w:r>
        <w:rPr>
          <w:rFonts w:hint="eastAsia" w:ascii="仿宋_GB2312" w:hAnsi="仿宋" w:eastAsia="仿宋_GB2312" w:cs="仿宋_GB2312"/>
          <w:b/>
          <w:color w:val="auto"/>
          <w:sz w:val="24"/>
        </w:rPr>
        <w:t>三、符合性证明材料</w:t>
      </w:r>
      <w:bookmarkEnd w:id="86"/>
      <w:bookmarkEnd w:id="87"/>
      <w:r>
        <w:rPr>
          <w:rFonts w:hint="eastAsia" w:ascii="仿宋_GB2312" w:hAnsi="仿宋" w:eastAsia="仿宋_GB2312" w:cs="仿宋_GB2312"/>
          <w:b/>
          <w:color w:val="auto"/>
          <w:sz w:val="24"/>
        </w:rPr>
        <w:t>（有一项不符合要求，不能进入下一阶段评审）</w:t>
      </w:r>
    </w:p>
    <w:bookmarkEnd w:id="84"/>
    <w:bookmarkEnd w:id="85"/>
    <w:tbl>
      <w:tblPr>
        <w:tblStyle w:val="25"/>
        <w:tblW w:w="86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918"/>
        <w:gridCol w:w="875"/>
      </w:tblGrid>
      <w:tr w14:paraId="65AF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trPr>
        <w:tc>
          <w:tcPr>
            <w:tcW w:w="828" w:type="dxa"/>
            <w:vAlign w:val="center"/>
          </w:tcPr>
          <w:p w14:paraId="4D5367F1">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序号</w:t>
            </w:r>
          </w:p>
        </w:tc>
        <w:tc>
          <w:tcPr>
            <w:tcW w:w="6918" w:type="dxa"/>
            <w:vAlign w:val="center"/>
          </w:tcPr>
          <w:p w14:paraId="6ECB6FF4">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符合性证明材料</w:t>
            </w:r>
          </w:p>
        </w:tc>
        <w:tc>
          <w:tcPr>
            <w:tcW w:w="875" w:type="dxa"/>
            <w:vAlign w:val="center"/>
          </w:tcPr>
          <w:p w14:paraId="74A25C4F">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格式</w:t>
            </w:r>
          </w:p>
        </w:tc>
      </w:tr>
      <w:tr w14:paraId="38F0D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28" w:type="dxa"/>
            <w:vAlign w:val="center"/>
          </w:tcPr>
          <w:p w14:paraId="3CBA9C41">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918" w:type="dxa"/>
            <w:vAlign w:val="center"/>
          </w:tcPr>
          <w:p w14:paraId="512D1CEF">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投标函</w:t>
            </w:r>
          </w:p>
        </w:tc>
        <w:tc>
          <w:tcPr>
            <w:tcW w:w="875" w:type="dxa"/>
            <w:vAlign w:val="center"/>
          </w:tcPr>
          <w:p w14:paraId="0E13A940">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10</w:t>
            </w:r>
          </w:p>
        </w:tc>
      </w:tr>
      <w:tr w14:paraId="17F1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28" w:type="dxa"/>
            <w:vAlign w:val="center"/>
          </w:tcPr>
          <w:p w14:paraId="2CB39756">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6918" w:type="dxa"/>
            <w:vAlign w:val="center"/>
          </w:tcPr>
          <w:p w14:paraId="4B1EF1BE">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开标一览表</w:t>
            </w:r>
          </w:p>
        </w:tc>
        <w:tc>
          <w:tcPr>
            <w:tcW w:w="875" w:type="dxa"/>
            <w:vAlign w:val="center"/>
          </w:tcPr>
          <w:p w14:paraId="4A256236">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w:t>
            </w:r>
          </w:p>
        </w:tc>
      </w:tr>
      <w:tr w14:paraId="36B6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28" w:type="dxa"/>
            <w:vAlign w:val="center"/>
          </w:tcPr>
          <w:p w14:paraId="023FE030">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6918" w:type="dxa"/>
            <w:vAlign w:val="center"/>
          </w:tcPr>
          <w:p w14:paraId="07E3C287">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服务价格明细表</w:t>
            </w:r>
          </w:p>
        </w:tc>
        <w:tc>
          <w:tcPr>
            <w:tcW w:w="875" w:type="dxa"/>
            <w:vAlign w:val="center"/>
          </w:tcPr>
          <w:p w14:paraId="04141E6E">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w:t>
            </w:r>
          </w:p>
        </w:tc>
      </w:tr>
      <w:tr w14:paraId="2170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28" w:type="dxa"/>
            <w:vAlign w:val="center"/>
          </w:tcPr>
          <w:p w14:paraId="2CCB3C71">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6918" w:type="dxa"/>
            <w:vAlign w:val="center"/>
          </w:tcPr>
          <w:p w14:paraId="37F763F7">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服务需求响应表</w:t>
            </w:r>
          </w:p>
        </w:tc>
        <w:tc>
          <w:tcPr>
            <w:tcW w:w="875" w:type="dxa"/>
            <w:vAlign w:val="center"/>
          </w:tcPr>
          <w:p w14:paraId="3A4AA504">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w:t>
            </w:r>
          </w:p>
        </w:tc>
      </w:tr>
      <w:tr w14:paraId="4269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8" w:type="dxa"/>
            <w:vAlign w:val="center"/>
          </w:tcPr>
          <w:p w14:paraId="3FA0BDB2">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5</w:t>
            </w:r>
          </w:p>
        </w:tc>
        <w:tc>
          <w:tcPr>
            <w:tcW w:w="6918" w:type="dxa"/>
            <w:vAlign w:val="center"/>
          </w:tcPr>
          <w:p w14:paraId="6E5CDA11">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商务条款偏离表</w:t>
            </w:r>
          </w:p>
        </w:tc>
        <w:tc>
          <w:tcPr>
            <w:tcW w:w="875" w:type="dxa"/>
            <w:vAlign w:val="center"/>
          </w:tcPr>
          <w:p w14:paraId="05D94EE5">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w:t>
            </w:r>
          </w:p>
        </w:tc>
      </w:tr>
      <w:tr w14:paraId="094B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28" w:type="dxa"/>
            <w:vAlign w:val="center"/>
          </w:tcPr>
          <w:p w14:paraId="2BA19419">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6</w:t>
            </w:r>
          </w:p>
        </w:tc>
        <w:tc>
          <w:tcPr>
            <w:tcW w:w="6918" w:type="dxa"/>
            <w:vAlign w:val="center"/>
          </w:tcPr>
          <w:p w14:paraId="4EB60F94">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投标人关联单位说明</w:t>
            </w:r>
          </w:p>
        </w:tc>
        <w:tc>
          <w:tcPr>
            <w:tcW w:w="875" w:type="dxa"/>
            <w:vAlign w:val="center"/>
          </w:tcPr>
          <w:p w14:paraId="3548A41A">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15</w:t>
            </w:r>
          </w:p>
        </w:tc>
      </w:tr>
      <w:tr w14:paraId="1C46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28" w:type="dxa"/>
            <w:vAlign w:val="center"/>
          </w:tcPr>
          <w:p w14:paraId="16586097">
            <w:pPr>
              <w:adjustRightInd w:val="0"/>
              <w:snapToGrid w:val="0"/>
              <w:jc w:val="center"/>
              <w:rPr>
                <w:rFonts w:hint="eastAsia" w:ascii="仿宋_GB2312" w:hAnsi="仿宋" w:eastAsia="仿宋_GB2312" w:cs="仿宋_GB2312"/>
                <w:color w:val="auto"/>
                <w:kern w:val="0"/>
                <w:sz w:val="24"/>
                <w:lang w:val="en-US" w:eastAsia="zh-CN"/>
              </w:rPr>
            </w:pPr>
            <w:bookmarkStart w:id="88" w:name="_Toc27769_WPSOffice_Level2"/>
            <w:bookmarkStart w:id="89" w:name="_Toc24432_WPSOffice_Level2"/>
            <w:r>
              <w:rPr>
                <w:rFonts w:hint="eastAsia" w:ascii="仿宋_GB2312" w:hAnsi="仿宋" w:eastAsia="仿宋_GB2312" w:cs="仿宋_GB2312"/>
                <w:color w:val="auto"/>
                <w:kern w:val="0"/>
                <w:sz w:val="24"/>
                <w:lang w:val="en-US" w:eastAsia="zh-CN"/>
              </w:rPr>
              <w:t>7</w:t>
            </w:r>
          </w:p>
        </w:tc>
        <w:tc>
          <w:tcPr>
            <w:tcW w:w="6918" w:type="dxa"/>
            <w:vAlign w:val="center"/>
          </w:tcPr>
          <w:p w14:paraId="4CBD635C">
            <w:pPr>
              <w:adjustRightInd w:val="0"/>
              <w:snapToGrid w:val="0"/>
              <w:rPr>
                <w:rFonts w:hint="eastAsia" w:ascii="仿宋_GB2312" w:hAnsi="仿宋" w:eastAsia="仿宋_GB2312" w:cs="仿宋_GB2312"/>
                <w:color w:val="auto"/>
                <w:kern w:val="0"/>
                <w:sz w:val="24"/>
              </w:rPr>
            </w:pPr>
            <w:r>
              <w:rPr>
                <w:rFonts w:hint="eastAsia" w:ascii="仿宋_GB2312" w:hAnsi="仿宋" w:eastAsia="仿宋_GB2312" w:cs="仿宋_GB2312"/>
                <w:color w:val="auto"/>
                <w:kern w:val="0"/>
                <w:sz w:val="24"/>
              </w:rPr>
              <w:t>其他符合性证明材料</w:t>
            </w:r>
          </w:p>
        </w:tc>
        <w:tc>
          <w:tcPr>
            <w:tcW w:w="875" w:type="dxa"/>
            <w:vAlign w:val="center"/>
          </w:tcPr>
          <w:p w14:paraId="19FD6E68">
            <w:pPr>
              <w:adjustRightInd w:val="0"/>
              <w:snapToGrid w:val="0"/>
              <w:jc w:val="center"/>
              <w:rPr>
                <w:rFonts w:hint="eastAsia" w:ascii="仿宋_GB2312" w:hAnsi="仿宋" w:eastAsia="仿宋_GB2312" w:cs="仿宋_GB2312"/>
                <w:color w:val="auto"/>
                <w:kern w:val="0"/>
                <w:sz w:val="24"/>
              </w:rPr>
            </w:pPr>
          </w:p>
        </w:tc>
      </w:tr>
    </w:tbl>
    <w:p w14:paraId="619F5E97">
      <w:pPr>
        <w:snapToGrid w:val="0"/>
        <w:spacing w:before="159" w:beforeLines="50" w:after="159" w:afterLines="50"/>
        <w:rPr>
          <w:rFonts w:ascii="仿宋_GB2312" w:hAnsi="仿宋" w:eastAsia="仿宋_GB2312" w:cs="仿宋_GB2312"/>
          <w:b/>
          <w:color w:val="auto"/>
          <w:sz w:val="24"/>
        </w:rPr>
      </w:pPr>
      <w:r>
        <w:rPr>
          <w:rFonts w:hint="eastAsia" w:ascii="仿宋_GB2312" w:hAnsi="仿宋" w:eastAsia="仿宋_GB2312" w:cs="仿宋_GB2312"/>
          <w:b/>
          <w:color w:val="auto"/>
          <w:sz w:val="24"/>
        </w:rPr>
        <w:t>四、其他材料</w:t>
      </w:r>
      <w:bookmarkEnd w:id="88"/>
      <w:bookmarkEnd w:id="89"/>
      <w:r>
        <w:rPr>
          <w:rFonts w:hint="eastAsia" w:ascii="仿宋_GB2312" w:hAnsi="仿宋" w:eastAsia="仿宋_GB2312" w:cs="仿宋_GB2312"/>
          <w:b/>
          <w:color w:val="auto"/>
          <w:sz w:val="24"/>
        </w:rPr>
        <w:t>（如有，请提供；如未提供，投标文件不作无效处理）</w:t>
      </w:r>
    </w:p>
    <w:tbl>
      <w:tblPr>
        <w:tblStyle w:val="25"/>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6898"/>
        <w:gridCol w:w="866"/>
      </w:tblGrid>
      <w:tr w14:paraId="2DB3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blHeader/>
        </w:trPr>
        <w:tc>
          <w:tcPr>
            <w:tcW w:w="834" w:type="dxa"/>
            <w:vAlign w:val="center"/>
          </w:tcPr>
          <w:p w14:paraId="1113BF61">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序号</w:t>
            </w:r>
          </w:p>
        </w:tc>
        <w:tc>
          <w:tcPr>
            <w:tcW w:w="6898" w:type="dxa"/>
            <w:vAlign w:val="center"/>
          </w:tcPr>
          <w:p w14:paraId="16D6A584">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其他材料</w:t>
            </w:r>
          </w:p>
        </w:tc>
        <w:tc>
          <w:tcPr>
            <w:tcW w:w="866" w:type="dxa"/>
            <w:vAlign w:val="center"/>
          </w:tcPr>
          <w:p w14:paraId="48972876">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格式</w:t>
            </w:r>
          </w:p>
        </w:tc>
      </w:tr>
      <w:tr w14:paraId="1E29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5AF2D799">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898" w:type="dxa"/>
            <w:vAlign w:val="center"/>
          </w:tcPr>
          <w:p w14:paraId="27A8A111">
            <w:pPr>
              <w:adjustRightInd w:val="0"/>
              <w:snapToGrid w:val="0"/>
              <w:ind w:left="25" w:leftChars="1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监狱企业证明文件</w:t>
            </w:r>
          </w:p>
        </w:tc>
        <w:tc>
          <w:tcPr>
            <w:tcW w:w="866" w:type="dxa"/>
            <w:vAlign w:val="center"/>
          </w:tcPr>
          <w:p w14:paraId="5760649A">
            <w:pPr>
              <w:adjustRightInd w:val="0"/>
              <w:snapToGrid w:val="0"/>
              <w:jc w:val="center"/>
              <w:rPr>
                <w:rFonts w:ascii="仿宋_GB2312" w:hAnsi="仿宋" w:eastAsia="仿宋_GB2312" w:cs="仿宋_GB2312"/>
                <w:color w:val="auto"/>
                <w:kern w:val="0"/>
                <w:sz w:val="24"/>
              </w:rPr>
            </w:pPr>
          </w:p>
        </w:tc>
      </w:tr>
      <w:tr w14:paraId="4846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3F61FCC4">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6898" w:type="dxa"/>
            <w:vAlign w:val="center"/>
          </w:tcPr>
          <w:p w14:paraId="50573A2F">
            <w:pPr>
              <w:adjustRightInd w:val="0"/>
              <w:snapToGrid w:val="0"/>
              <w:ind w:left="25" w:leftChars="1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中小企业声明函</w:t>
            </w:r>
          </w:p>
        </w:tc>
        <w:tc>
          <w:tcPr>
            <w:tcW w:w="866" w:type="dxa"/>
            <w:vAlign w:val="center"/>
          </w:tcPr>
          <w:p w14:paraId="7CAD4FA3">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17</w:t>
            </w:r>
          </w:p>
        </w:tc>
      </w:tr>
      <w:tr w14:paraId="77E4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04689685">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6898" w:type="dxa"/>
            <w:vAlign w:val="center"/>
          </w:tcPr>
          <w:p w14:paraId="7F4B7422">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残疾人福利性单位声明函</w:t>
            </w:r>
          </w:p>
        </w:tc>
        <w:tc>
          <w:tcPr>
            <w:tcW w:w="866" w:type="dxa"/>
            <w:vAlign w:val="center"/>
          </w:tcPr>
          <w:p w14:paraId="7766875E">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18</w:t>
            </w:r>
          </w:p>
        </w:tc>
      </w:tr>
      <w:tr w14:paraId="036EC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1CA5BD57">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6898" w:type="dxa"/>
            <w:vAlign w:val="center"/>
          </w:tcPr>
          <w:p w14:paraId="235D43B3">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聘用建档立卡贫困人员物业公司声明函（本项目不适用）</w:t>
            </w:r>
          </w:p>
        </w:tc>
        <w:tc>
          <w:tcPr>
            <w:tcW w:w="866" w:type="dxa"/>
            <w:vAlign w:val="center"/>
          </w:tcPr>
          <w:p w14:paraId="52DDAF87">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19</w:t>
            </w:r>
          </w:p>
        </w:tc>
      </w:tr>
      <w:tr w14:paraId="523F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34" w:type="dxa"/>
            <w:vAlign w:val="center"/>
          </w:tcPr>
          <w:p w14:paraId="5323A832">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5</w:t>
            </w:r>
          </w:p>
        </w:tc>
        <w:tc>
          <w:tcPr>
            <w:tcW w:w="6898" w:type="dxa"/>
            <w:vAlign w:val="center"/>
          </w:tcPr>
          <w:p w14:paraId="5EF6198B">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投标人基本信息表</w:t>
            </w:r>
          </w:p>
        </w:tc>
        <w:tc>
          <w:tcPr>
            <w:tcW w:w="866" w:type="dxa"/>
            <w:vAlign w:val="center"/>
          </w:tcPr>
          <w:p w14:paraId="0C82189A">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22</w:t>
            </w:r>
          </w:p>
        </w:tc>
      </w:tr>
    </w:tbl>
    <w:p w14:paraId="64F20590">
      <w:pPr>
        <w:snapToGrid w:val="0"/>
        <w:spacing w:line="288" w:lineRule="auto"/>
        <w:rPr>
          <w:rFonts w:ascii="楷体_GB2312" w:hAnsi="仿宋" w:eastAsia="楷体_GB2312" w:cs="仿宋_GB2312"/>
          <w:b/>
          <w:color w:val="auto"/>
          <w:sz w:val="24"/>
        </w:rPr>
      </w:pPr>
      <w:r>
        <w:rPr>
          <w:rFonts w:hint="eastAsia" w:ascii="楷体_GB2312" w:hAnsi="仿宋" w:eastAsia="楷体_GB2312" w:cs="仿宋_GB2312"/>
          <w:b/>
          <w:color w:val="auto"/>
          <w:sz w:val="24"/>
        </w:rPr>
        <w:t xml:space="preserve"> </w:t>
      </w:r>
      <w:bookmarkStart w:id="90" w:name="_Toc23127_WPSOffice_Level2"/>
      <w:bookmarkStart w:id="91" w:name="_Toc24011_WPSOffice_Level2"/>
      <w:r>
        <w:rPr>
          <w:rFonts w:hint="eastAsia" w:ascii="楷体_GB2312" w:hAnsi="仿宋" w:eastAsia="楷体_GB2312" w:cs="仿宋_GB2312"/>
          <w:b/>
          <w:color w:val="auto"/>
          <w:sz w:val="24"/>
        </w:rPr>
        <w:t>重要提示：</w:t>
      </w:r>
      <w:bookmarkEnd w:id="90"/>
      <w:bookmarkEnd w:id="91"/>
    </w:p>
    <w:p w14:paraId="65DB201C">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1.投标人提供的证明材料，除需要投标人填报或有特殊说明外，均须按要求提供。</w:t>
      </w:r>
      <w:r>
        <w:rPr>
          <w:rFonts w:hint="eastAsia" w:ascii="仿宋_GB2312" w:hAnsi="仿宋" w:eastAsia="仿宋_GB2312" w:cs="仿宋_GB2312"/>
          <w:b/>
          <w:bCs/>
          <w:color w:val="auto"/>
          <w:sz w:val="24"/>
        </w:rPr>
        <w:t xml:space="preserve"> </w:t>
      </w:r>
    </w:p>
    <w:p w14:paraId="78C032DB">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2.投标人在编制投标文件时，对于给定格式的文件内容，必须按照给定的标准格式进行填报；对于没有给定标准格式的文件内容，可以由投标人自行设计。</w:t>
      </w:r>
    </w:p>
    <w:p w14:paraId="6C6AC263">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3.投标文件应用中文书写。投标文件中所附或所引用的材料不是中文时，应附中文译本，并加盖公章（自然人投标的，无需加盖单位公章，需要签字）。</w:t>
      </w:r>
    </w:p>
    <w:p w14:paraId="3B491C69">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w:t>
      </w:r>
      <w:r>
        <w:rPr>
          <w:rFonts w:hint="eastAsia" w:ascii="仿宋_GB2312" w:hAnsi="仿宋" w:eastAsia="仿宋_GB2312" w:cs="仿宋_GB2312"/>
          <w:b/>
          <w:bCs/>
          <w:color w:val="auto"/>
          <w:sz w:val="24"/>
        </w:rPr>
        <w:t>“资格</w:t>
      </w:r>
      <w:r>
        <w:rPr>
          <w:rFonts w:hint="eastAsia" w:ascii="仿宋_GB2312" w:hAnsi="仿宋" w:eastAsia="仿宋_GB2312" w:cs="仿宋_GB2312"/>
          <w:b/>
          <w:color w:val="auto"/>
          <w:sz w:val="24"/>
        </w:rPr>
        <w:t>性</w:t>
      </w:r>
      <w:r>
        <w:rPr>
          <w:rFonts w:hint="eastAsia" w:ascii="仿宋_GB2312" w:hAnsi="仿宋" w:eastAsia="仿宋_GB2312" w:cs="仿宋_GB2312"/>
          <w:b/>
          <w:bCs/>
          <w:color w:val="auto"/>
          <w:sz w:val="24"/>
        </w:rPr>
        <w:t>证明材料”</w:t>
      </w:r>
      <w:r>
        <w:rPr>
          <w:rFonts w:hint="eastAsia" w:ascii="仿宋_GB2312" w:hAnsi="仿宋" w:eastAsia="仿宋_GB2312" w:cs="仿宋_GB2312"/>
          <w:color w:val="auto"/>
          <w:sz w:val="24"/>
        </w:rPr>
        <w:t>所列内容即为采购项目的资格性审查条件，有一项不符合要求，不能进入下一阶段评审。</w:t>
      </w:r>
    </w:p>
    <w:p w14:paraId="60481F9B">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5.</w:t>
      </w:r>
      <w:r>
        <w:rPr>
          <w:rFonts w:hint="eastAsia" w:ascii="仿宋_GB2312" w:hAnsi="仿宋" w:eastAsia="仿宋_GB2312" w:cs="仿宋_GB2312"/>
          <w:b/>
          <w:bCs/>
          <w:color w:val="auto"/>
          <w:sz w:val="24"/>
        </w:rPr>
        <w:t>“符合性证明材料”</w:t>
      </w:r>
      <w:r>
        <w:rPr>
          <w:rFonts w:hint="eastAsia" w:ascii="仿宋_GB2312" w:hAnsi="仿宋" w:eastAsia="仿宋_GB2312" w:cs="仿宋_GB2312"/>
          <w:color w:val="auto"/>
          <w:sz w:val="24"/>
        </w:rPr>
        <w:t>所列内容即为采购项目的符合性审查条件，有一项不符合要求，不能进入下一阶段评审。</w:t>
      </w:r>
    </w:p>
    <w:p w14:paraId="03850AB2">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6.“其他材料”</w:t>
      </w:r>
    </w:p>
    <w:p w14:paraId="71F1F1DE">
      <w:pPr>
        <w:adjustRightInd w:val="0"/>
        <w:snapToGrid w:val="0"/>
        <w:spacing w:line="288"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w:t>
      </w:r>
      <w:r>
        <w:rPr>
          <w:rFonts w:hint="eastAsia" w:ascii="仿宋_GB2312" w:hAnsi="仿宋" w:eastAsia="仿宋_GB2312" w:cs="仿宋_GB2312"/>
          <w:color w:val="auto"/>
          <w:kern w:val="0"/>
          <w:sz w:val="24"/>
        </w:rPr>
        <w:t>综合评分法：</w:t>
      </w:r>
      <w:r>
        <w:rPr>
          <w:rFonts w:hint="eastAsia" w:ascii="仿宋_GB2312" w:hAnsi="仿宋" w:eastAsia="仿宋_GB2312" w:cs="仿宋_GB2312"/>
          <w:color w:val="auto"/>
          <w:sz w:val="24"/>
        </w:rPr>
        <w:t>投标人可就</w:t>
      </w:r>
      <w:r>
        <w:rPr>
          <w:rFonts w:hint="eastAsia" w:ascii="仿宋_GB2312" w:hAnsi="仿宋" w:eastAsia="仿宋_GB2312" w:cs="仿宋_GB2312"/>
          <w:color w:val="auto"/>
          <w:kern w:val="0"/>
          <w:sz w:val="24"/>
        </w:rPr>
        <w:t>招标文件要求以及评分细则中各项要求提供相应材料。</w:t>
      </w:r>
    </w:p>
    <w:p w14:paraId="1ECA2FA1">
      <w:pPr>
        <w:adjustRightInd w:val="0"/>
        <w:snapToGrid w:val="0"/>
        <w:spacing w:line="288"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sz w:val="24"/>
        </w:rPr>
        <w:t>（2）</w:t>
      </w:r>
      <w:r>
        <w:rPr>
          <w:rFonts w:hint="eastAsia" w:ascii="仿宋_GB2312" w:hAnsi="仿宋" w:eastAsia="仿宋_GB2312" w:cs="仿宋_GB2312"/>
          <w:color w:val="auto"/>
          <w:kern w:val="0"/>
          <w:sz w:val="24"/>
        </w:rPr>
        <w:t>最低评标价法：</w:t>
      </w:r>
      <w:r>
        <w:rPr>
          <w:rFonts w:hint="eastAsia" w:ascii="仿宋_GB2312" w:hAnsi="仿宋" w:eastAsia="仿宋_GB2312" w:cs="仿宋_GB2312"/>
          <w:color w:val="auto"/>
          <w:sz w:val="24"/>
        </w:rPr>
        <w:t>投标人可就</w:t>
      </w:r>
      <w:r>
        <w:rPr>
          <w:rFonts w:hint="eastAsia" w:ascii="仿宋_GB2312" w:hAnsi="仿宋" w:eastAsia="仿宋_GB2312" w:cs="仿宋_GB2312"/>
          <w:color w:val="auto"/>
          <w:kern w:val="0"/>
          <w:sz w:val="24"/>
        </w:rPr>
        <w:t>招标文件要求提供相应材料。</w:t>
      </w:r>
    </w:p>
    <w:p w14:paraId="5E992E92">
      <w:pPr>
        <w:pStyle w:val="4"/>
        <w:adjustRightInd w:val="0"/>
        <w:snapToGrid w:val="0"/>
        <w:spacing w:before="0" w:after="0" w:line="240" w:lineRule="auto"/>
        <w:jc w:val="left"/>
        <w:rPr>
          <w:rFonts w:ascii="仿宋_GB2312" w:hAnsi="仿宋" w:eastAsia="仿宋_GB2312" w:cs="仿宋_GB2312"/>
          <w:bCs/>
          <w:color w:val="auto"/>
          <w:szCs w:val="28"/>
        </w:rPr>
      </w:pPr>
      <w:r>
        <w:rPr>
          <w:rFonts w:hint="eastAsia" w:ascii="仿宋_GB2312" w:hAnsi="仿宋" w:eastAsia="仿宋_GB2312" w:cs="仿宋_GB2312"/>
          <w:bCs/>
          <w:color w:val="auto"/>
          <w:szCs w:val="28"/>
        </w:rPr>
        <w:t>格式1</w:t>
      </w:r>
    </w:p>
    <w:p w14:paraId="0BF344C1">
      <w:pPr>
        <w:spacing w:before="159" w:beforeLines="50" w:after="159" w:afterLines="50" w:line="360" w:lineRule="auto"/>
        <w:jc w:val="center"/>
        <w:rPr>
          <w:rFonts w:ascii="方正小标宋简体" w:hAnsi="仿宋" w:eastAsia="方正小标宋简体" w:cs="仿宋_GB2312"/>
          <w:color w:val="auto"/>
          <w:sz w:val="32"/>
          <w:szCs w:val="32"/>
        </w:rPr>
      </w:pPr>
      <w:bookmarkStart w:id="92" w:name="_Toc26322_WPSOffice_Level2"/>
      <w:bookmarkStart w:id="93" w:name="_Toc21090_WPSOffice_Level2"/>
      <w:r>
        <w:rPr>
          <w:rFonts w:hint="eastAsia" w:ascii="方正小标宋简体" w:hAnsi="仿宋" w:eastAsia="方正小标宋简体" w:cs="仿宋_GB2312"/>
          <w:color w:val="auto"/>
          <w:sz w:val="32"/>
          <w:szCs w:val="32"/>
        </w:rPr>
        <w:t>投标文件、电子文档外封面、封口格式</w:t>
      </w:r>
      <w:bookmarkEnd w:id="92"/>
      <w:bookmarkEnd w:id="93"/>
    </w:p>
    <w:p w14:paraId="49E693F6">
      <w:pPr>
        <w:spacing w:before="159" w:beforeLines="50" w:after="159" w:afterLines="50" w:line="360" w:lineRule="auto"/>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（仅供参考）</w:t>
      </w:r>
    </w:p>
    <w:p w14:paraId="2F2A560D">
      <w:pPr>
        <w:ind w:firstLine="280" w:firstLineChars="100"/>
        <w:rPr>
          <w:rFonts w:ascii="仿宋_GB2312" w:hAnsi="仿宋" w:eastAsia="仿宋_GB2312" w:cs="仿宋_GB2312"/>
          <w:color w:val="auto"/>
        </w:rPr>
      </w:pPr>
      <w:r>
        <w:rPr>
          <w:rFonts w:hint="eastAsia" w:ascii="仿宋_GB2312" w:hAnsi="仿宋" w:eastAsia="仿宋_GB2312" w:cs="仿宋_GB2312"/>
          <w:color w:val="auto"/>
          <w:sz w:val="28"/>
          <w:szCs w:val="28"/>
        </w:rPr>
        <w:t>封面格式：</w:t>
      </w:r>
    </w:p>
    <w:tbl>
      <w:tblPr>
        <w:tblStyle w:val="25"/>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924"/>
      </w:tblGrid>
      <w:tr w14:paraId="337502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04" w:hRule="atLeast"/>
          <w:jc w:val="center"/>
        </w:trPr>
        <w:tc>
          <w:tcPr>
            <w:tcW w:w="7924" w:type="dxa"/>
          </w:tcPr>
          <w:p w14:paraId="3C16A9DC">
            <w:pPr>
              <w:jc w:val="center"/>
              <w:rPr>
                <w:rFonts w:ascii="仿宋_GB2312" w:hAnsi="仿宋" w:eastAsia="仿宋_GB2312" w:cs="仿宋_GB2312"/>
                <w:b/>
                <w:bCs/>
                <w:color w:val="auto"/>
              </w:rPr>
            </w:pPr>
          </w:p>
          <w:p w14:paraId="1B25BB57">
            <w:pPr>
              <w:jc w:val="center"/>
              <w:rPr>
                <w:rFonts w:ascii="仿宋_GB2312" w:hAnsi="仿宋" w:eastAsia="仿宋_GB2312" w:cs="仿宋_GB2312"/>
                <w:b/>
                <w:bCs/>
                <w:color w:val="auto"/>
              </w:rPr>
            </w:pPr>
          </w:p>
          <w:p w14:paraId="7264BDC7">
            <w:pPr>
              <w:jc w:val="center"/>
              <w:rPr>
                <w:rFonts w:ascii="仿宋_GB2312" w:hAnsi="仿宋" w:eastAsia="仿宋_GB2312" w:cs="仿宋_GB2312"/>
                <w:b/>
                <w:bCs/>
                <w:color w:val="auto"/>
              </w:rPr>
            </w:pPr>
          </w:p>
          <w:p w14:paraId="1D93D001">
            <w:pPr>
              <w:jc w:val="center"/>
              <w:rPr>
                <w:rFonts w:ascii="仿宋_GB2312" w:hAnsi="仿宋" w:eastAsia="仿宋_GB2312" w:cs="仿宋_GB2312"/>
                <w:b/>
                <w:bCs/>
                <w:color w:val="auto"/>
              </w:rPr>
            </w:pPr>
          </w:p>
          <w:p w14:paraId="7728F517">
            <w:pPr>
              <w:jc w:val="center"/>
              <w:rPr>
                <w:rFonts w:ascii="仿宋_GB2312" w:hAnsi="仿宋" w:eastAsia="仿宋_GB2312" w:cs="仿宋_GB2312"/>
                <w:b/>
                <w:bCs/>
                <w:color w:val="auto"/>
              </w:rPr>
            </w:pPr>
          </w:p>
          <w:p w14:paraId="14BA0522">
            <w:pPr>
              <w:jc w:val="center"/>
              <w:rPr>
                <w:rFonts w:ascii="黑体" w:hAnsi="黑体" w:eastAsia="黑体" w:cs="仿宋_GB2312"/>
                <w:b/>
                <w:bCs/>
                <w:color w:val="auto"/>
                <w:sz w:val="24"/>
                <w:szCs w:val="32"/>
              </w:rPr>
            </w:pPr>
            <w:r>
              <w:rPr>
                <w:rFonts w:hint="eastAsia" w:ascii="黑体" w:hAnsi="黑体" w:eastAsia="黑体" w:cs="仿宋_GB2312"/>
                <w:b/>
                <w:bCs/>
                <w:color w:val="auto"/>
                <w:sz w:val="56"/>
                <w:szCs w:val="96"/>
              </w:rPr>
              <w:t>投标文件/电子文档</w:t>
            </w:r>
          </w:p>
          <w:p w14:paraId="1B6213EF">
            <w:pPr>
              <w:jc w:val="left"/>
              <w:rPr>
                <w:rFonts w:ascii="仿宋_GB2312" w:hAnsi="仿宋" w:eastAsia="仿宋_GB2312" w:cs="仿宋_GB2312"/>
                <w:color w:val="auto"/>
              </w:rPr>
            </w:pPr>
          </w:p>
          <w:p w14:paraId="2A8F0C2B">
            <w:pPr>
              <w:jc w:val="left"/>
              <w:rPr>
                <w:rFonts w:ascii="仿宋_GB2312" w:hAnsi="仿宋" w:eastAsia="仿宋_GB2312" w:cs="仿宋_GB2312"/>
                <w:color w:val="auto"/>
              </w:rPr>
            </w:pPr>
          </w:p>
          <w:p w14:paraId="0652C73E">
            <w:pPr>
              <w:jc w:val="left"/>
              <w:rPr>
                <w:rFonts w:ascii="仿宋_GB2312" w:hAnsi="仿宋" w:eastAsia="仿宋_GB2312" w:cs="仿宋_GB2312"/>
                <w:color w:val="auto"/>
              </w:rPr>
            </w:pPr>
          </w:p>
          <w:p w14:paraId="477B8A73">
            <w:pPr>
              <w:jc w:val="left"/>
              <w:rPr>
                <w:rFonts w:ascii="仿宋_GB2312" w:hAnsi="仿宋" w:eastAsia="仿宋_GB2312" w:cs="仿宋_GB2312"/>
                <w:color w:val="auto"/>
              </w:rPr>
            </w:pPr>
          </w:p>
          <w:p w14:paraId="6275605A">
            <w:pPr>
              <w:jc w:val="left"/>
              <w:rPr>
                <w:rFonts w:ascii="仿宋_GB2312" w:hAnsi="仿宋" w:eastAsia="仿宋_GB2312" w:cs="仿宋_GB2312"/>
                <w:color w:val="auto"/>
              </w:rPr>
            </w:pPr>
          </w:p>
          <w:p w14:paraId="2D27AC25">
            <w:pPr>
              <w:jc w:val="left"/>
              <w:rPr>
                <w:rFonts w:ascii="仿宋_GB2312" w:hAnsi="仿宋" w:eastAsia="仿宋_GB2312" w:cs="仿宋_GB2312"/>
                <w:color w:val="auto"/>
              </w:rPr>
            </w:pPr>
          </w:p>
          <w:p w14:paraId="0C09713F">
            <w:pPr>
              <w:jc w:val="left"/>
              <w:rPr>
                <w:rFonts w:ascii="仿宋_GB2312" w:hAnsi="仿宋" w:eastAsia="仿宋_GB2312" w:cs="仿宋_GB2312"/>
                <w:color w:val="auto"/>
              </w:rPr>
            </w:pPr>
          </w:p>
          <w:p w14:paraId="6BEC5C28">
            <w:pPr>
              <w:jc w:val="left"/>
              <w:rPr>
                <w:rFonts w:ascii="仿宋_GB2312" w:hAnsi="仿宋" w:eastAsia="仿宋_GB2312" w:cs="仿宋_GB2312"/>
                <w:color w:val="auto"/>
                <w:sz w:val="24"/>
              </w:rPr>
            </w:pPr>
            <w:r>
              <w:rPr>
                <w:rFonts w:hint="eastAsia" w:ascii="仿宋_GB2312" w:hAnsi="仿宋" w:eastAsia="仿宋_GB2312" w:cs="仿宋_GB2312"/>
                <w:color w:val="auto"/>
                <w:sz w:val="24"/>
              </w:rPr>
              <w:t>所投包号：第  包</w:t>
            </w:r>
          </w:p>
          <w:p w14:paraId="5C448BCA">
            <w:pPr>
              <w:jc w:val="left"/>
              <w:rPr>
                <w:rFonts w:ascii="仿宋_GB2312" w:hAnsi="仿宋" w:eastAsia="仿宋_GB2312" w:cs="仿宋_GB2312"/>
                <w:color w:val="auto"/>
                <w:sz w:val="24"/>
              </w:rPr>
            </w:pPr>
          </w:p>
          <w:p w14:paraId="120709C6">
            <w:pPr>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p>
          <w:p w14:paraId="7BA92A71">
            <w:pPr>
              <w:jc w:val="left"/>
              <w:rPr>
                <w:rFonts w:ascii="仿宋_GB2312" w:hAnsi="仿宋" w:eastAsia="仿宋_GB2312" w:cs="仿宋_GB2312"/>
                <w:color w:val="auto"/>
                <w:sz w:val="24"/>
              </w:rPr>
            </w:pPr>
          </w:p>
          <w:p w14:paraId="59C82844">
            <w:pPr>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项目编号：</w:t>
            </w:r>
          </w:p>
          <w:p w14:paraId="7DC7DE01">
            <w:pPr>
              <w:jc w:val="center"/>
              <w:rPr>
                <w:rFonts w:ascii="仿宋_GB2312" w:hAnsi="仿宋" w:eastAsia="仿宋_GB2312" w:cs="仿宋_GB2312"/>
                <w:color w:val="auto"/>
                <w:sz w:val="24"/>
              </w:rPr>
            </w:pPr>
          </w:p>
          <w:p w14:paraId="34AC30C8">
            <w:pPr>
              <w:jc w:val="center"/>
              <w:rPr>
                <w:rFonts w:ascii="仿宋_GB2312" w:hAnsi="仿宋" w:eastAsia="仿宋_GB2312" w:cs="仿宋_GB2312"/>
                <w:color w:val="auto"/>
                <w:sz w:val="24"/>
              </w:rPr>
            </w:pPr>
          </w:p>
          <w:p w14:paraId="62E77C03">
            <w:pPr>
              <w:jc w:val="center"/>
              <w:rPr>
                <w:rFonts w:ascii="仿宋_GB2312" w:hAnsi="仿宋" w:eastAsia="仿宋_GB2312" w:cs="仿宋_GB2312"/>
                <w:color w:val="auto"/>
                <w:sz w:val="24"/>
              </w:rPr>
            </w:pPr>
          </w:p>
          <w:p w14:paraId="1D86CE04">
            <w:pPr>
              <w:jc w:val="left"/>
              <w:rPr>
                <w:rFonts w:ascii="仿宋_GB2312" w:hAnsi="仿宋" w:eastAsia="仿宋_GB2312" w:cs="仿宋_GB2312"/>
                <w:color w:val="auto"/>
              </w:rPr>
            </w:pPr>
            <w:r>
              <w:rPr>
                <w:rFonts w:hint="eastAsia" w:ascii="仿宋_GB2312" w:hAnsi="仿宋" w:eastAsia="仿宋_GB2312" w:cs="仿宋_GB2312"/>
                <w:color w:val="auto"/>
                <w:sz w:val="24"/>
              </w:rPr>
              <w:t>投标人名称（加盖单位公章）</w:t>
            </w:r>
          </w:p>
        </w:tc>
      </w:tr>
    </w:tbl>
    <w:p w14:paraId="2F569294">
      <w:pPr>
        <w:rPr>
          <w:rFonts w:ascii="仿宋_GB2312" w:hAnsi="仿宋" w:eastAsia="仿宋_GB2312" w:cs="仿宋_GB2312"/>
          <w:color w:val="auto"/>
        </w:rPr>
      </w:pPr>
    </w:p>
    <w:p w14:paraId="16AF009A">
      <w:pPr>
        <w:rPr>
          <w:rFonts w:ascii="仿宋_GB2312" w:hAnsi="仿宋" w:eastAsia="仿宋_GB2312" w:cs="仿宋_GB2312"/>
          <w:color w:val="auto"/>
        </w:rPr>
      </w:pPr>
    </w:p>
    <w:p w14:paraId="4525B3D1">
      <w:pPr>
        <w:ind w:firstLine="240" w:firstLineChars="100"/>
        <w:rPr>
          <w:rFonts w:ascii="仿宋_GB2312" w:hAnsi="仿宋" w:eastAsia="仿宋_GB2312" w:cs="仿宋_GB2312"/>
          <w:color w:val="auto"/>
        </w:rPr>
      </w:pPr>
      <w:r>
        <w:rPr>
          <w:rFonts w:hint="eastAsia" w:ascii="仿宋_GB2312" w:hAnsi="仿宋" w:eastAsia="仿宋_GB2312" w:cs="仿宋_GB2312"/>
          <w:color w:val="auto"/>
          <w:sz w:val="24"/>
          <w:szCs w:val="32"/>
        </w:rPr>
        <w:t>封口格式：</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0"/>
      </w:tblGrid>
      <w:tr w14:paraId="048C0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040" w:type="dxa"/>
            <w:tcBorders>
              <w:top w:val="single" w:color="auto" w:sz="4" w:space="0"/>
              <w:left w:val="single" w:color="auto" w:sz="4" w:space="0"/>
              <w:bottom w:val="single" w:color="auto" w:sz="4" w:space="0"/>
              <w:right w:val="single" w:color="auto" w:sz="4" w:space="0"/>
            </w:tcBorders>
            <w:vAlign w:val="center"/>
          </w:tcPr>
          <w:p w14:paraId="58A91AF8">
            <w:pPr>
              <w:jc w:val="center"/>
              <w:rPr>
                <w:rFonts w:ascii="仿宋_GB2312" w:hAnsi="仿宋" w:eastAsia="仿宋_GB2312" w:cs="仿宋_GB2312"/>
                <w:color w:val="auto"/>
              </w:rPr>
            </w:pPr>
            <w:r>
              <w:rPr>
                <w:rFonts w:hint="eastAsia" w:ascii="仿宋_GB2312" w:hAnsi="仿宋" w:eastAsia="仿宋_GB2312" w:cs="仿宋_GB2312"/>
                <w:color w:val="auto"/>
                <w:sz w:val="24"/>
              </w:rPr>
              <w:t>——于</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年</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月</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日</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时之前不准启封（公章）——</w:t>
            </w:r>
          </w:p>
        </w:tc>
      </w:tr>
    </w:tbl>
    <w:p w14:paraId="23399F89">
      <w:pPr>
        <w:adjustRightInd w:val="0"/>
        <w:snapToGrid w:val="0"/>
        <w:spacing w:before="159" w:beforeLines="50"/>
        <w:jc w:val="left"/>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特别说明:电子文档外封面、封口格式仅供参考。</w:t>
      </w:r>
    </w:p>
    <w:p w14:paraId="7182DFFB">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格式2</w:t>
      </w:r>
    </w:p>
    <w:p w14:paraId="21EDD2EA">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8255" b="13335"/>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DBDC204">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4DBDC204">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方正小标宋简体" w:hAnsi="仿宋" w:eastAsia="方正小标宋简体" w:cs="仿宋_GB2312"/>
          <w:color w:val="auto"/>
          <w:sz w:val="32"/>
          <w:szCs w:val="32"/>
        </w:rPr>
        <w:t>投标文件的封皮</w:t>
      </w:r>
    </w:p>
    <w:p w14:paraId="0F5FBC6F">
      <w:pPr>
        <w:rPr>
          <w:rFonts w:ascii="仿宋_GB2312" w:hAnsi="仿宋" w:eastAsia="仿宋_GB2312" w:cs="仿宋_GB2312"/>
          <w:color w:val="auto"/>
        </w:rPr>
      </w:pPr>
    </w:p>
    <w:p w14:paraId="2797B5DF">
      <w:pPr>
        <w:rPr>
          <w:rFonts w:ascii="仿宋_GB2312" w:hAnsi="仿宋" w:eastAsia="仿宋_GB2312" w:cs="仿宋_GB2312"/>
          <w:color w:val="auto"/>
        </w:rPr>
      </w:pPr>
    </w:p>
    <w:p w14:paraId="2A36A07C">
      <w:pPr>
        <w:rPr>
          <w:rFonts w:ascii="仿宋_GB2312" w:hAnsi="仿宋" w:eastAsia="仿宋_GB2312" w:cs="仿宋_GB2312"/>
          <w:color w:val="auto"/>
        </w:rPr>
      </w:pPr>
    </w:p>
    <w:p w14:paraId="0E093B91">
      <w:pPr>
        <w:rPr>
          <w:rFonts w:ascii="仿宋_GB2312" w:hAnsi="仿宋" w:eastAsia="仿宋_GB2312" w:cs="仿宋_GB2312"/>
          <w:color w:val="auto"/>
        </w:rPr>
      </w:pPr>
    </w:p>
    <w:p w14:paraId="240933ED">
      <w:pPr>
        <w:rPr>
          <w:rFonts w:ascii="仿宋_GB2312" w:hAnsi="仿宋" w:eastAsia="仿宋_GB2312" w:cs="仿宋_GB2312"/>
          <w:color w:val="auto"/>
        </w:rPr>
      </w:pPr>
    </w:p>
    <w:p w14:paraId="4AE9A752">
      <w:pPr>
        <w:rPr>
          <w:rFonts w:ascii="仿宋_GB2312" w:hAnsi="仿宋" w:eastAsia="仿宋_GB2312" w:cs="仿宋_GB2312"/>
          <w:color w:val="auto"/>
        </w:rPr>
      </w:pPr>
    </w:p>
    <w:p w14:paraId="7E2774A1">
      <w:pPr>
        <w:jc w:val="center"/>
        <w:rPr>
          <w:rFonts w:ascii="黑体" w:hAnsi="黑体" w:eastAsia="黑体" w:cs="仿宋_GB2312"/>
          <w:b/>
          <w:bCs/>
          <w:color w:val="auto"/>
          <w:sz w:val="72"/>
          <w:szCs w:val="72"/>
        </w:rPr>
      </w:pPr>
      <w:r>
        <w:rPr>
          <w:rFonts w:hint="eastAsia" w:ascii="黑体" w:hAnsi="黑体" w:eastAsia="黑体" w:cs="仿宋_GB2312"/>
          <w:b/>
          <w:bCs/>
          <w:color w:val="auto"/>
          <w:sz w:val="72"/>
          <w:szCs w:val="72"/>
        </w:rPr>
        <w:t>投  标  文  件</w:t>
      </w:r>
    </w:p>
    <w:p w14:paraId="627BCF69">
      <w:pPr>
        <w:rPr>
          <w:rFonts w:ascii="仿宋_GB2312" w:hAnsi="仿宋" w:eastAsia="仿宋_GB2312" w:cs="仿宋_GB2312"/>
          <w:color w:val="auto"/>
        </w:rPr>
      </w:pPr>
    </w:p>
    <w:p w14:paraId="6E9B0615">
      <w:pPr>
        <w:rPr>
          <w:rFonts w:ascii="仿宋_GB2312" w:hAnsi="仿宋" w:eastAsia="仿宋_GB2312" w:cs="仿宋_GB2312"/>
          <w:color w:val="auto"/>
        </w:rPr>
      </w:pPr>
    </w:p>
    <w:p w14:paraId="78E08B65">
      <w:pPr>
        <w:rPr>
          <w:rFonts w:ascii="仿宋_GB2312" w:hAnsi="仿宋" w:eastAsia="仿宋_GB2312" w:cs="仿宋_GB2312"/>
          <w:color w:val="auto"/>
        </w:rPr>
      </w:pPr>
    </w:p>
    <w:p w14:paraId="45EE0F6F">
      <w:pPr>
        <w:rPr>
          <w:rFonts w:ascii="仿宋_GB2312" w:hAnsi="仿宋" w:eastAsia="仿宋_GB2312" w:cs="仿宋_GB2312"/>
          <w:color w:val="auto"/>
          <w:sz w:val="28"/>
          <w:szCs w:val="28"/>
        </w:rPr>
      </w:pPr>
    </w:p>
    <w:p w14:paraId="6728DBBE">
      <w:pPr>
        <w:rPr>
          <w:rFonts w:ascii="仿宋_GB2312" w:hAnsi="仿宋" w:eastAsia="仿宋_GB2312" w:cs="仿宋_GB2312"/>
          <w:color w:val="auto"/>
          <w:sz w:val="28"/>
          <w:szCs w:val="28"/>
        </w:rPr>
      </w:pPr>
    </w:p>
    <w:p w14:paraId="06E77B58">
      <w:pPr>
        <w:rPr>
          <w:rFonts w:ascii="仿宋_GB2312" w:hAnsi="仿宋" w:eastAsia="仿宋_GB2312" w:cs="仿宋_GB2312"/>
          <w:color w:val="auto"/>
          <w:sz w:val="28"/>
          <w:szCs w:val="28"/>
        </w:rPr>
      </w:pPr>
    </w:p>
    <w:p w14:paraId="07C1EA3B">
      <w:pPr>
        <w:rPr>
          <w:rFonts w:ascii="仿宋_GB2312" w:hAnsi="仿宋" w:eastAsia="仿宋_GB2312" w:cs="仿宋_GB2312"/>
          <w:color w:val="auto"/>
          <w:sz w:val="28"/>
          <w:szCs w:val="28"/>
        </w:rPr>
      </w:pPr>
    </w:p>
    <w:p w14:paraId="28A7751D">
      <w:pPr>
        <w:rPr>
          <w:rFonts w:ascii="仿宋_GB2312" w:hAnsi="仿宋" w:eastAsia="仿宋_GB2312" w:cs="仿宋_GB2312"/>
          <w:color w:val="auto"/>
          <w:sz w:val="28"/>
          <w:szCs w:val="28"/>
        </w:rPr>
      </w:pPr>
    </w:p>
    <w:p w14:paraId="48F11027">
      <w:pPr>
        <w:rPr>
          <w:rFonts w:ascii="仿宋_GB2312" w:hAnsi="仿宋" w:eastAsia="仿宋_GB2312" w:cs="仿宋_GB2312"/>
          <w:color w:val="auto"/>
          <w:sz w:val="28"/>
          <w:szCs w:val="28"/>
        </w:rPr>
      </w:pPr>
    </w:p>
    <w:p w14:paraId="2B20B2E8">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 xml:space="preserve">所投包号：第  </w:t>
      </w:r>
      <w:r>
        <w:rPr>
          <w:rFonts w:ascii="仿宋_GB2312" w:hAnsi="仿宋" w:eastAsia="仿宋_GB2312" w:cs="仿宋_GB2312"/>
          <w:color w:val="auto"/>
          <w:sz w:val="28"/>
          <w:szCs w:val="28"/>
        </w:rPr>
        <w:t xml:space="preserve"> </w:t>
      </w:r>
      <w:r>
        <w:rPr>
          <w:rFonts w:hint="eastAsia" w:ascii="仿宋_GB2312" w:hAnsi="仿宋" w:eastAsia="仿宋_GB2312" w:cs="仿宋_GB2312"/>
          <w:color w:val="auto"/>
          <w:sz w:val="28"/>
          <w:szCs w:val="28"/>
        </w:rPr>
        <w:t>包</w:t>
      </w:r>
    </w:p>
    <w:p w14:paraId="629E9C17">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项目名称：</w:t>
      </w:r>
    </w:p>
    <w:p w14:paraId="33EB6B59">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项目编号：</w:t>
      </w:r>
    </w:p>
    <w:p w14:paraId="0AA7A94E">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投标人名称 ：</w:t>
      </w:r>
    </w:p>
    <w:p w14:paraId="62375C7C">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color w:val="auto"/>
          <w:szCs w:val="28"/>
        </w:rPr>
        <w:t>格式3</w:t>
      </w:r>
    </w:p>
    <w:p w14:paraId="23AD3736">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94" w:name="_Toc2304_WPSOffice_Level2"/>
      <w:bookmarkStart w:id="95" w:name="_Toc21414_WPSOffice_Level2"/>
      <w:r>
        <w:rPr>
          <w:rFonts w:hint="eastAsia" w:ascii="方正小标宋简体" w:hAnsi="仿宋" w:eastAsia="方正小标宋简体" w:cs="仿宋_GB2312"/>
          <w:color w:val="auto"/>
          <w:sz w:val="32"/>
          <w:szCs w:val="32"/>
        </w:rPr>
        <w:t>目  录</w:t>
      </w:r>
      <w:bookmarkEnd w:id="94"/>
      <w:bookmarkEnd w:id="95"/>
    </w:p>
    <w:p w14:paraId="07588230">
      <w:pPr>
        <w:snapToGrid w:val="0"/>
        <w:spacing w:line="360" w:lineRule="auto"/>
        <w:rPr>
          <w:rFonts w:ascii="仿宋_GB2312" w:hAnsi="仿宋" w:eastAsia="仿宋_GB2312" w:cs="仿宋_GB2312"/>
          <w:color w:val="auto"/>
          <w:sz w:val="24"/>
          <w:szCs w:val="32"/>
        </w:rPr>
      </w:pPr>
      <w:bookmarkStart w:id="96" w:name="_Toc7636_WPSOffice_Level2"/>
      <w:bookmarkStart w:id="97" w:name="_Toc30940_WPSOffice_Level2"/>
      <w:r>
        <w:rPr>
          <w:rFonts w:hint="eastAsia" w:ascii="仿宋_GB2312" w:hAnsi="仿宋" w:eastAsia="仿宋_GB2312" w:cs="仿宋_GB2312"/>
          <w:color w:val="auto"/>
          <w:sz w:val="24"/>
          <w:szCs w:val="32"/>
        </w:rPr>
        <w:t>一、资格性证明材料</w:t>
      </w:r>
    </w:p>
    <w:p w14:paraId="730AA1C6">
      <w:pPr>
        <w:snapToGrid w:val="0"/>
        <w:spacing w:line="360" w:lineRule="auto"/>
        <w:ind w:firstLine="420" w:firstLineChars="200"/>
        <w:rPr>
          <w:rFonts w:ascii="仿宋_GB2312" w:hAnsi="仿宋" w:eastAsia="仿宋_GB2312" w:cs="仿宋_GB2312"/>
          <w:color w:val="auto"/>
        </w:rPr>
      </w:pPr>
      <w:bookmarkStart w:id="98" w:name="_Hlk80971012"/>
      <w:r>
        <w:rPr>
          <w:rFonts w:hint="eastAsia" w:ascii="仿宋_GB2312" w:hAnsi="仿宋" w:eastAsia="仿宋_GB2312" w:cs="仿宋_GB2312"/>
          <w:color w:val="auto"/>
        </w:rPr>
        <w:t>1.1营业执照………………………………………………………………………所在页码</w:t>
      </w:r>
    </w:p>
    <w:p w14:paraId="664C06D5">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1.2法定代表人（或非法人组织负责人）身份证明书…………………………所在页码</w:t>
      </w:r>
    </w:p>
    <w:p w14:paraId="180E1C7A">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1.3法定代表人（或非法人组织负责人）授权委托书…………………………所在页码</w:t>
      </w:r>
    </w:p>
    <w:p w14:paraId="19FB79DE">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1.4商业信誉和健全的财务会计制度的承诺函…………………………………所在页码</w:t>
      </w:r>
    </w:p>
    <w:p w14:paraId="7810E5B4">
      <w:pPr>
        <w:adjustRightInd w:val="0"/>
        <w:snapToGrid w:val="0"/>
        <w:spacing w:line="360" w:lineRule="auto"/>
        <w:ind w:firstLine="420" w:firstLineChars="200"/>
        <w:jc w:val="left"/>
        <w:rPr>
          <w:rFonts w:ascii="仿宋_GB2312" w:hAnsi="仿宋" w:eastAsia="仿宋_GB2312" w:cs="仿宋_GB2312"/>
          <w:color w:val="auto"/>
        </w:rPr>
      </w:pPr>
      <w:r>
        <w:rPr>
          <w:rFonts w:hint="eastAsia" w:ascii="仿宋_GB2312" w:hAnsi="仿宋" w:eastAsia="仿宋_GB2312" w:cs="仿宋_GB2312"/>
          <w:color w:val="auto"/>
          <w:szCs w:val="21"/>
        </w:rPr>
        <w:t>1.5开标时间前六个月内任一个月的依法缴纳税收的缴款凭据复印件</w:t>
      </w:r>
      <w:r>
        <w:rPr>
          <w:rFonts w:hint="eastAsia" w:ascii="仿宋_GB2312" w:hAnsi="仿宋" w:eastAsia="仿宋_GB2312" w:cs="仿宋_GB2312"/>
          <w:color w:val="auto"/>
        </w:rPr>
        <w:t>加盖公章</w:t>
      </w:r>
    </w:p>
    <w:p w14:paraId="7A7F8F32">
      <w:pPr>
        <w:adjustRightInd w:val="0"/>
        <w:snapToGrid w:val="0"/>
        <w:spacing w:line="360" w:lineRule="auto"/>
        <w:ind w:firstLine="840" w:firstLineChars="400"/>
        <w:jc w:val="left"/>
        <w:rPr>
          <w:rFonts w:ascii="仿宋_GB2312" w:hAnsi="仿宋" w:eastAsia="仿宋_GB2312" w:cs="仿宋_GB2312"/>
          <w:color w:val="auto"/>
          <w:szCs w:val="21"/>
        </w:rPr>
      </w:pPr>
      <w:r>
        <w:rPr>
          <w:rFonts w:hint="eastAsia" w:ascii="仿宋_GB2312" w:hAnsi="仿宋" w:eastAsia="仿宋_GB2312" w:cs="仿宋_GB2312"/>
          <w:color w:val="auto"/>
        </w:rPr>
        <w:t>…………………………………………………………………………………所在页码</w:t>
      </w:r>
    </w:p>
    <w:p w14:paraId="04BC8DCF">
      <w:pPr>
        <w:adjustRightInd w:val="0"/>
        <w:snapToGrid w:val="0"/>
        <w:spacing w:line="360" w:lineRule="auto"/>
        <w:ind w:firstLine="420" w:firstLineChars="200"/>
        <w:jc w:val="left"/>
        <w:rPr>
          <w:rFonts w:ascii="仿宋_GB2312" w:hAnsi="仿宋" w:eastAsia="仿宋_GB2312" w:cs="仿宋_GB2312"/>
          <w:color w:val="auto"/>
          <w:szCs w:val="21"/>
        </w:rPr>
      </w:pPr>
      <w:r>
        <w:rPr>
          <w:rFonts w:hint="eastAsia" w:ascii="仿宋_GB2312" w:hAnsi="仿宋" w:eastAsia="仿宋_GB2312" w:cs="仿宋_GB2312"/>
          <w:color w:val="auto"/>
        </w:rPr>
        <w:t>1.6</w:t>
      </w:r>
      <w:r>
        <w:rPr>
          <w:rFonts w:hint="eastAsia" w:ascii="仿宋_GB2312" w:hAnsi="仿宋" w:eastAsia="仿宋_GB2312" w:cs="仿宋_GB2312"/>
          <w:color w:val="auto"/>
          <w:szCs w:val="21"/>
        </w:rPr>
        <w:t>开标时间前六个月内任一个月的依法缴纳社会保障资金的缴款凭据</w:t>
      </w:r>
    </w:p>
    <w:p w14:paraId="09FF74A0">
      <w:pPr>
        <w:adjustRightInd w:val="0"/>
        <w:snapToGrid w:val="0"/>
        <w:spacing w:line="360" w:lineRule="auto"/>
        <w:ind w:firstLine="840" w:firstLineChars="400"/>
        <w:jc w:val="left"/>
        <w:rPr>
          <w:rFonts w:ascii="仿宋_GB2312" w:hAnsi="仿宋" w:eastAsia="仿宋_GB2312" w:cs="仿宋_GB2312"/>
          <w:color w:val="auto"/>
          <w:szCs w:val="21"/>
        </w:rPr>
      </w:pPr>
      <w:r>
        <w:rPr>
          <w:rFonts w:hint="eastAsia" w:ascii="仿宋_GB2312" w:hAnsi="仿宋" w:eastAsia="仿宋_GB2312" w:cs="仿宋_GB2312"/>
          <w:color w:val="auto"/>
          <w:szCs w:val="21"/>
        </w:rPr>
        <w:t>复印件</w:t>
      </w:r>
      <w:r>
        <w:rPr>
          <w:rFonts w:hint="eastAsia" w:ascii="仿宋_GB2312" w:hAnsi="仿宋" w:eastAsia="仿宋_GB2312" w:cs="仿宋_GB2312"/>
          <w:color w:val="auto"/>
        </w:rPr>
        <w:t>加盖公章………………………………………………………………所在页码</w:t>
      </w:r>
    </w:p>
    <w:p w14:paraId="1F453B2A">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1.7</w:t>
      </w:r>
      <w:r>
        <w:rPr>
          <w:rFonts w:hint="eastAsia" w:ascii="仿宋_GB2312" w:hAnsi="仿宋" w:eastAsia="仿宋_GB2312" w:cs="仿宋_GB2312"/>
          <w:color w:val="auto"/>
          <w:szCs w:val="21"/>
        </w:rPr>
        <w:t>履行合同所必需的设备和专业技术能力声明函</w:t>
      </w:r>
      <w:r>
        <w:rPr>
          <w:rFonts w:hint="eastAsia" w:ascii="仿宋_GB2312" w:hAnsi="仿宋" w:eastAsia="仿宋_GB2312" w:cs="仿宋_GB2312"/>
          <w:color w:val="auto"/>
        </w:rPr>
        <w:t>……………………………所在页码</w:t>
      </w:r>
    </w:p>
    <w:p w14:paraId="0062BC6A">
      <w:pPr>
        <w:adjustRightInd w:val="0"/>
        <w:snapToGrid w:val="0"/>
        <w:spacing w:line="360" w:lineRule="auto"/>
        <w:ind w:firstLine="420" w:firstLineChars="200"/>
        <w:jc w:val="left"/>
        <w:rPr>
          <w:rFonts w:ascii="仿宋_GB2312" w:hAnsi="仿宋" w:eastAsia="仿宋_GB2312" w:cs="仿宋_GB2312"/>
          <w:color w:val="auto"/>
        </w:rPr>
      </w:pPr>
      <w:r>
        <w:rPr>
          <w:rFonts w:hint="eastAsia" w:ascii="仿宋_GB2312" w:hAnsi="仿宋" w:eastAsia="仿宋_GB2312" w:cs="仿宋_GB2312"/>
          <w:color w:val="auto"/>
        </w:rPr>
        <w:t>1.8</w:t>
      </w:r>
      <w:r>
        <w:rPr>
          <w:rFonts w:hint="eastAsia" w:ascii="仿宋_GB2312" w:hAnsi="仿宋" w:eastAsia="仿宋_GB2312" w:cs="仿宋_GB2312"/>
          <w:color w:val="auto"/>
          <w:szCs w:val="21"/>
        </w:rPr>
        <w:t>政府采购活动前3年内在经营活动中没有重大违法记录的书面声明</w:t>
      </w:r>
      <w:r>
        <w:rPr>
          <w:rFonts w:hint="eastAsia" w:ascii="仿宋_GB2312" w:hAnsi="仿宋" w:eastAsia="仿宋_GB2312" w:cs="仿宋_GB2312"/>
          <w:color w:val="auto"/>
        </w:rPr>
        <w:t>……所在页码</w:t>
      </w:r>
    </w:p>
    <w:bookmarkEnd w:id="98"/>
    <w:p w14:paraId="1CCB8A12">
      <w:pPr>
        <w:snapToGrid w:val="0"/>
        <w:spacing w:line="360" w:lineRule="auto"/>
        <w:rPr>
          <w:rFonts w:ascii="仿宋_GB2312" w:hAnsi="仿宋" w:eastAsia="仿宋_GB2312" w:cs="仿宋_GB2312"/>
          <w:color w:val="auto"/>
          <w:sz w:val="24"/>
          <w:szCs w:val="32"/>
        </w:rPr>
      </w:pPr>
      <w:r>
        <w:rPr>
          <w:rFonts w:hint="eastAsia" w:ascii="仿宋_GB2312" w:hAnsi="仿宋" w:eastAsia="仿宋_GB2312" w:cs="仿宋_GB2312"/>
          <w:color w:val="auto"/>
          <w:sz w:val="24"/>
          <w:szCs w:val="32"/>
        </w:rPr>
        <w:t>二、符合性证明材料</w:t>
      </w:r>
    </w:p>
    <w:p w14:paraId="12153381">
      <w:pPr>
        <w:snapToGrid w:val="0"/>
        <w:spacing w:line="360" w:lineRule="auto"/>
        <w:ind w:firstLine="420" w:firstLineChars="200"/>
        <w:rPr>
          <w:rFonts w:ascii="仿宋_GB2312" w:hAnsi="仿宋" w:eastAsia="仿宋_GB2312" w:cs="仿宋_GB2312"/>
          <w:color w:val="auto"/>
          <w:kern w:val="0"/>
          <w:szCs w:val="21"/>
        </w:rPr>
      </w:pPr>
      <w:bookmarkStart w:id="99" w:name="_Hlk80971027"/>
      <w:r>
        <w:rPr>
          <w:rFonts w:hint="eastAsia" w:ascii="仿宋_GB2312" w:hAnsi="仿宋" w:eastAsia="仿宋_GB2312" w:cs="仿宋_GB2312"/>
          <w:color w:val="auto"/>
        </w:rPr>
        <w:t>2.1</w:t>
      </w:r>
      <w:r>
        <w:rPr>
          <w:rFonts w:hint="eastAsia" w:ascii="仿宋_GB2312" w:hAnsi="仿宋" w:eastAsia="仿宋_GB2312" w:cs="仿宋_GB2312"/>
          <w:color w:val="auto"/>
          <w:kern w:val="0"/>
          <w:szCs w:val="21"/>
        </w:rPr>
        <w:t>投标函</w:t>
      </w:r>
      <w:r>
        <w:rPr>
          <w:rFonts w:hint="eastAsia" w:ascii="仿宋_GB2312" w:hAnsi="仿宋" w:eastAsia="仿宋_GB2312" w:cs="仿宋_GB2312"/>
          <w:color w:val="auto"/>
        </w:rPr>
        <w:t>…………………………………………………………………………所在页码</w:t>
      </w:r>
    </w:p>
    <w:p w14:paraId="09C5182E">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2.2开标一览表</w:t>
      </w:r>
      <w:r>
        <w:rPr>
          <w:rFonts w:hint="eastAsia" w:ascii="仿宋_GB2312" w:hAnsi="仿宋" w:eastAsia="仿宋_GB2312" w:cs="仿宋_GB2312"/>
          <w:color w:val="auto"/>
        </w:rPr>
        <w:t>……………………………………………………………………所在页码</w:t>
      </w:r>
    </w:p>
    <w:p w14:paraId="1802135E">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2.3服务价格明细表</w:t>
      </w:r>
      <w:r>
        <w:rPr>
          <w:rFonts w:hint="eastAsia" w:ascii="仿宋_GB2312" w:hAnsi="仿宋" w:eastAsia="仿宋_GB2312" w:cs="仿宋_GB2312"/>
          <w:color w:val="auto"/>
        </w:rPr>
        <w:t>………………………………………………………………所在页码</w:t>
      </w:r>
    </w:p>
    <w:p w14:paraId="310A6C83">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2.4服务需求响应表</w:t>
      </w:r>
      <w:r>
        <w:rPr>
          <w:rFonts w:hint="eastAsia" w:ascii="仿宋_GB2312" w:hAnsi="仿宋" w:eastAsia="仿宋_GB2312" w:cs="仿宋_GB2312"/>
          <w:color w:val="auto"/>
        </w:rPr>
        <w:t>………………………………………………………………所在页码</w:t>
      </w:r>
    </w:p>
    <w:p w14:paraId="5197D0D9">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2.5商务条款偏离表</w:t>
      </w:r>
      <w:r>
        <w:rPr>
          <w:rFonts w:hint="eastAsia" w:ascii="仿宋_GB2312" w:hAnsi="仿宋" w:eastAsia="仿宋_GB2312" w:cs="仿宋_GB2312"/>
          <w:color w:val="auto"/>
        </w:rPr>
        <w:t>………………………………………………………………所在页码</w:t>
      </w:r>
    </w:p>
    <w:p w14:paraId="7EA9424F">
      <w:pPr>
        <w:snapToGrid w:val="0"/>
        <w:spacing w:line="360" w:lineRule="auto"/>
        <w:ind w:firstLine="420" w:firstLineChars="200"/>
        <w:rPr>
          <w:rFonts w:hint="eastAsia" w:ascii="仿宋_GB2312" w:hAnsi="仿宋" w:eastAsia="仿宋_GB2312" w:cs="仿宋_GB2312"/>
          <w:color w:val="auto"/>
        </w:rPr>
      </w:pPr>
      <w:r>
        <w:rPr>
          <w:rFonts w:hint="eastAsia" w:ascii="仿宋_GB2312" w:hAnsi="仿宋" w:eastAsia="仿宋_GB2312" w:cs="仿宋_GB2312"/>
          <w:color w:val="auto"/>
          <w:kern w:val="0"/>
          <w:szCs w:val="21"/>
        </w:rPr>
        <w:t>2.6投标人关联单位说明</w:t>
      </w:r>
      <w:r>
        <w:rPr>
          <w:rFonts w:hint="eastAsia" w:ascii="仿宋_GB2312" w:hAnsi="仿宋" w:eastAsia="仿宋_GB2312" w:cs="仿宋_GB2312"/>
          <w:color w:val="auto"/>
        </w:rPr>
        <w:t>…………………………………………………………所在页码</w:t>
      </w:r>
    </w:p>
    <w:p w14:paraId="7BD9DA1B">
      <w:pPr>
        <w:pStyle w:val="2"/>
        <w:spacing w:line="360" w:lineRule="auto"/>
      </w:pPr>
      <w:r>
        <w:rPr>
          <w:rFonts w:hint="eastAsia"/>
          <w:lang w:val="en-US" w:eastAsia="zh-CN"/>
        </w:rPr>
        <w:t>2.7其他符合性证明材料…………………………………………………………所在页码</w:t>
      </w:r>
    </w:p>
    <w:bookmarkEnd w:id="96"/>
    <w:bookmarkEnd w:id="97"/>
    <w:bookmarkEnd w:id="99"/>
    <w:p w14:paraId="22B6912F">
      <w:pPr>
        <w:spacing w:line="360" w:lineRule="auto"/>
        <w:rPr>
          <w:rFonts w:ascii="仿宋_GB2312" w:hAnsi="仿宋" w:eastAsia="仿宋_GB2312" w:cs="仿宋_GB2312"/>
          <w:color w:val="auto"/>
          <w:sz w:val="24"/>
          <w:szCs w:val="32"/>
        </w:rPr>
      </w:pPr>
      <w:bookmarkStart w:id="100" w:name="_Toc14854_WPSOffice_Level2"/>
      <w:bookmarkStart w:id="101" w:name="_Toc9090_WPSOffice_Level2"/>
      <w:r>
        <w:rPr>
          <w:rFonts w:hint="eastAsia" w:ascii="仿宋_GB2312" w:hAnsi="仿宋" w:eastAsia="仿宋_GB2312" w:cs="仿宋_GB2312"/>
          <w:color w:val="auto"/>
          <w:sz w:val="24"/>
          <w:szCs w:val="32"/>
        </w:rPr>
        <w:t>三、其它材料</w:t>
      </w:r>
      <w:bookmarkEnd w:id="100"/>
      <w:bookmarkEnd w:id="101"/>
      <w:r>
        <w:rPr>
          <w:rFonts w:hint="eastAsia" w:ascii="仿宋_GB2312" w:hAnsi="仿宋" w:eastAsia="仿宋_GB2312" w:cs="仿宋_GB2312"/>
          <w:color w:val="auto"/>
          <w:sz w:val="24"/>
          <w:szCs w:val="32"/>
        </w:rPr>
        <w:t>（投标人</w:t>
      </w:r>
      <w:r>
        <w:rPr>
          <w:rFonts w:ascii="仿宋_GB2312" w:hAnsi="仿宋" w:eastAsia="仿宋_GB2312" w:cs="仿宋_GB2312"/>
          <w:color w:val="auto"/>
          <w:sz w:val="24"/>
          <w:szCs w:val="32"/>
        </w:rPr>
        <w:t>基本</w:t>
      </w:r>
      <w:r>
        <w:rPr>
          <w:rFonts w:hint="eastAsia" w:ascii="仿宋_GB2312" w:hAnsi="仿宋" w:eastAsia="仿宋_GB2312" w:cs="仿宋_GB2312"/>
          <w:color w:val="auto"/>
          <w:sz w:val="24"/>
          <w:szCs w:val="32"/>
        </w:rPr>
        <w:t>信息表等）</w:t>
      </w:r>
    </w:p>
    <w:p w14:paraId="22A476FA">
      <w:pPr>
        <w:ind w:firstLine="630" w:firstLineChars="300"/>
        <w:rPr>
          <w:rFonts w:ascii="仿宋_GB2312" w:hAnsi="仿宋" w:eastAsia="仿宋_GB2312" w:cs="仿宋_GB2312"/>
          <w:color w:val="auto"/>
          <w:szCs w:val="21"/>
        </w:rPr>
      </w:pPr>
      <w:r>
        <w:rPr>
          <w:rFonts w:hint="eastAsia" w:ascii="仿宋_GB2312" w:hAnsi="仿宋" w:eastAsia="仿宋_GB2312" w:cs="仿宋_GB2312"/>
          <w:color w:val="auto"/>
          <w:szCs w:val="21"/>
        </w:rPr>
        <w:t>……</w:t>
      </w:r>
    </w:p>
    <w:p w14:paraId="615A805A">
      <w:pPr>
        <w:rPr>
          <w:rFonts w:ascii="仿宋_GB2312" w:hAnsi="仿宋" w:eastAsia="仿宋_GB2312" w:cs="仿宋_GB2312"/>
          <w:color w:val="auto"/>
          <w:szCs w:val="21"/>
        </w:rPr>
      </w:pPr>
    </w:p>
    <w:p w14:paraId="67BB3EE7">
      <w:pPr>
        <w:adjustRightInd w:val="0"/>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我单位的投标文件由资格性证明材料、符合性证明材料和其它材料三部分组成，在此加盖单位公章并由法定代表人（或非法人组织负责人）或其授权委托人签字，保证投标文件中所有材料真实、有效。</w:t>
      </w:r>
    </w:p>
    <w:p w14:paraId="3AA02230">
      <w:pPr>
        <w:rPr>
          <w:rFonts w:ascii="仿宋_GB2312" w:hAnsi="仿宋" w:eastAsia="仿宋_GB2312" w:cs="仿宋_GB2312"/>
          <w:color w:val="auto"/>
        </w:rPr>
      </w:pPr>
    </w:p>
    <w:p w14:paraId="683E3FA1">
      <w:pPr>
        <w:snapToGrid w:val="0"/>
        <w:spacing w:line="336" w:lineRule="auto"/>
        <w:rPr>
          <w:rFonts w:ascii="仿宋_GB2312" w:hAnsi="仿宋" w:eastAsia="仿宋_GB2312" w:cs="仿宋_GB2312"/>
          <w:color w:val="auto"/>
        </w:rPr>
      </w:pPr>
      <w:r>
        <w:rPr>
          <w:rFonts w:hint="eastAsia" w:ascii="仿宋_GB2312" w:hAnsi="仿宋" w:eastAsia="仿宋_GB2312" w:cs="仿宋_GB2312"/>
          <w:color w:val="auto"/>
        </w:rPr>
        <w:t>投标人名称（加盖单位公章）：</w:t>
      </w:r>
      <w:r>
        <w:rPr>
          <w:rFonts w:hint="eastAsia" w:ascii="仿宋_GB2312" w:hAnsi="仿宋" w:eastAsia="仿宋_GB2312" w:cs="仿宋_GB2312"/>
          <w:color w:val="auto"/>
          <w:u w:val="single"/>
        </w:rPr>
        <w:t xml:space="preserve">           </w:t>
      </w:r>
    </w:p>
    <w:p w14:paraId="70684AFA">
      <w:pPr>
        <w:snapToGrid w:val="0"/>
        <w:spacing w:line="336" w:lineRule="auto"/>
        <w:rPr>
          <w:rFonts w:ascii="仿宋_GB2312" w:hAnsi="仿宋" w:eastAsia="仿宋_GB2312" w:cs="仿宋_GB2312"/>
          <w:color w:val="auto"/>
        </w:rPr>
      </w:pPr>
      <w:r>
        <w:rPr>
          <w:rFonts w:hint="eastAsia" w:ascii="仿宋_GB2312" w:hAnsi="仿宋" w:eastAsia="仿宋_GB2312" w:cs="仿宋_GB2312"/>
          <w:color w:val="auto"/>
        </w:rPr>
        <w:t>法定代表人（或</w:t>
      </w:r>
      <w:r>
        <w:rPr>
          <w:rFonts w:hint="eastAsia" w:ascii="仿宋_GB2312" w:hAnsi="仿宋" w:eastAsia="仿宋_GB2312" w:cs="仿宋_GB2312"/>
          <w:color w:val="auto"/>
          <w:szCs w:val="21"/>
        </w:rPr>
        <w:t>非法人组织负责人）或</w:t>
      </w:r>
      <w:r>
        <w:rPr>
          <w:rFonts w:hint="eastAsia" w:ascii="仿宋_GB2312" w:hAnsi="仿宋" w:eastAsia="仿宋_GB2312" w:cs="仿宋_GB2312"/>
          <w:color w:val="auto"/>
        </w:rPr>
        <w:t>其授权委托人(签字或盖章)：</w:t>
      </w:r>
      <w:r>
        <w:rPr>
          <w:rFonts w:hint="eastAsia" w:ascii="仿宋_GB2312" w:hAnsi="仿宋" w:eastAsia="仿宋_GB2312" w:cs="仿宋_GB2312"/>
          <w:color w:val="auto"/>
          <w:u w:val="single"/>
        </w:rPr>
        <w:t xml:space="preserve">           </w:t>
      </w:r>
    </w:p>
    <w:p w14:paraId="2692C648">
      <w:pPr>
        <w:snapToGrid w:val="0"/>
        <w:spacing w:line="336" w:lineRule="auto"/>
        <w:rPr>
          <w:rFonts w:ascii="仿宋_GB2312" w:hAnsi="仿宋" w:eastAsia="仿宋_GB2312" w:cs="仿宋_GB2312"/>
          <w:color w:val="auto"/>
        </w:rPr>
      </w:pPr>
      <w:r>
        <w:rPr>
          <w:rFonts w:hint="eastAsia" w:ascii="仿宋_GB2312" w:hAnsi="仿宋" w:eastAsia="仿宋_GB2312" w:cs="仿宋_GB2312"/>
          <w:color w:val="auto"/>
        </w:rPr>
        <w:t xml:space="preserve">日 </w:t>
      </w:r>
      <w:r>
        <w:rPr>
          <w:rFonts w:ascii="仿宋_GB2312" w:hAnsi="仿宋" w:eastAsia="仿宋_GB2312" w:cs="仿宋_GB2312"/>
          <w:color w:val="auto"/>
        </w:rPr>
        <w:t xml:space="preserve">     </w:t>
      </w:r>
      <w:r>
        <w:rPr>
          <w:rFonts w:hint="eastAsia" w:ascii="仿宋_GB2312" w:hAnsi="仿宋" w:eastAsia="仿宋_GB2312" w:cs="仿宋_GB2312"/>
          <w:color w:val="auto"/>
        </w:rPr>
        <w:t>期：</w:t>
      </w:r>
      <w:r>
        <w:rPr>
          <w:rFonts w:hint="eastAsia" w:ascii="仿宋_GB2312" w:hAnsi="仿宋" w:eastAsia="仿宋_GB2312" w:cs="仿宋_GB2312"/>
          <w:color w:val="auto"/>
          <w:u w:val="single"/>
        </w:rPr>
        <w:t xml:space="preserve">              </w:t>
      </w:r>
    </w:p>
    <w:p w14:paraId="191ABCEB">
      <w:pPr>
        <w:pStyle w:val="4"/>
        <w:adjustRightInd w:val="0"/>
        <w:snapToGrid w:val="0"/>
        <w:spacing w:before="0" w:after="0" w:line="240" w:lineRule="auto"/>
        <w:jc w:val="left"/>
        <w:rPr>
          <w:rFonts w:ascii="仿宋_GB2312" w:hAnsi="仿宋" w:eastAsia="仿宋_GB2312" w:cs="仿宋_GB2312"/>
          <w:b w:val="0"/>
          <w:bCs/>
          <w:color w:val="auto"/>
          <w:sz w:val="32"/>
          <w:szCs w:val="32"/>
        </w:rPr>
      </w:pPr>
      <w:r>
        <w:rPr>
          <w:rFonts w:hint="eastAsia" w:ascii="仿宋_GB2312" w:hAnsi="仿宋" w:eastAsia="仿宋_GB2312" w:cs="仿宋_GB2312"/>
          <w:color w:val="auto"/>
        </w:rPr>
        <w:br w:type="page"/>
      </w:r>
      <w:r>
        <w:rPr>
          <w:rFonts w:hint="eastAsia" w:ascii="仿宋_GB2312" w:hAnsi="仿宋" w:eastAsia="仿宋_GB2312" w:cs="仿宋_GB2312"/>
          <w:color w:val="auto"/>
          <w:szCs w:val="28"/>
        </w:rPr>
        <w:t>格式4</w:t>
      </w:r>
      <w:bookmarkStart w:id="102" w:name="_Toc16924_WPSOffice_Level2"/>
      <w:bookmarkStart w:id="103" w:name="_Toc3401_WPSOffice_Level2"/>
    </w:p>
    <w:p w14:paraId="0CCD547C">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法定代表人（或非法人组织负责人）身份证明书</w:t>
      </w:r>
      <w:bookmarkEnd w:id="102"/>
      <w:bookmarkEnd w:id="103"/>
    </w:p>
    <w:p w14:paraId="5D95B601">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姓名：</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，性别：</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，出生日期：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，现任职务：</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，系</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（投标人名称）的法定代表人（或非法人组织负责人）。</w:t>
      </w:r>
    </w:p>
    <w:p w14:paraId="01924AF2">
      <w:pP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 xml:space="preserve">            </w:t>
      </w:r>
    </w:p>
    <w:p w14:paraId="3DC0B65C">
      <w:pP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特此证明。</w:t>
      </w:r>
    </w:p>
    <w:p w14:paraId="6D33B5AA">
      <w:pPr>
        <w:rPr>
          <w:rFonts w:ascii="仿宋_GB2312" w:hAnsi="仿宋" w:eastAsia="仿宋_GB2312" w:cs="仿宋_GB2312"/>
          <w:color w:val="auto"/>
          <w:sz w:val="24"/>
          <w:szCs w:val="21"/>
        </w:rPr>
      </w:pPr>
    </w:p>
    <w:p w14:paraId="407D9C08">
      <w:pPr>
        <w:rPr>
          <w:rFonts w:ascii="仿宋_GB2312" w:hAnsi="仿宋" w:eastAsia="仿宋_GB2312" w:cs="仿宋_GB2312"/>
          <w:color w:val="auto"/>
          <w:sz w:val="24"/>
          <w:szCs w:val="21"/>
        </w:rPr>
      </w:pPr>
    </w:p>
    <w:p w14:paraId="51093925">
      <w:pPr>
        <w:rPr>
          <w:rFonts w:ascii="仿宋_GB2312" w:hAnsi="仿宋" w:eastAsia="仿宋_GB2312" w:cs="仿宋_GB2312"/>
          <w:color w:val="auto"/>
          <w:sz w:val="24"/>
          <w:szCs w:val="21"/>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304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D48A6DB">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（※法定代表人（或非法人组织负责人）身份证正、反面复印件※）</w:t>
            </w:r>
          </w:p>
        </w:tc>
      </w:tr>
    </w:tbl>
    <w:p w14:paraId="1CA2A30F">
      <w:pPr>
        <w:rPr>
          <w:rFonts w:ascii="仿宋_GB2312" w:hAnsi="仿宋" w:eastAsia="仿宋_GB2312" w:cs="仿宋_GB2312"/>
          <w:color w:val="auto"/>
          <w:sz w:val="24"/>
          <w:szCs w:val="21"/>
        </w:rPr>
      </w:pPr>
    </w:p>
    <w:p w14:paraId="7034C479">
      <w:pPr>
        <w:rPr>
          <w:rFonts w:ascii="仿宋_GB2312" w:hAnsi="仿宋" w:eastAsia="仿宋_GB2312" w:cs="仿宋_GB2312"/>
          <w:color w:val="auto"/>
          <w:sz w:val="24"/>
          <w:szCs w:val="21"/>
        </w:rPr>
      </w:pPr>
    </w:p>
    <w:p w14:paraId="65C23F41">
      <w:pPr>
        <w:rPr>
          <w:rFonts w:ascii="仿宋_GB2312" w:hAnsi="仿宋" w:eastAsia="仿宋_GB2312" w:cs="仿宋_GB2312"/>
          <w:color w:val="auto"/>
          <w:sz w:val="24"/>
          <w:szCs w:val="21"/>
        </w:rPr>
      </w:pPr>
    </w:p>
    <w:p w14:paraId="6D277C55">
      <w:pPr>
        <w:rPr>
          <w:rFonts w:ascii="仿宋_GB2312" w:hAnsi="仿宋" w:eastAsia="仿宋_GB2312" w:cs="仿宋_GB2312"/>
          <w:color w:val="auto"/>
          <w:sz w:val="24"/>
          <w:szCs w:val="21"/>
        </w:rPr>
      </w:pPr>
    </w:p>
    <w:p w14:paraId="01767D03">
      <w:pPr>
        <w:rPr>
          <w:rFonts w:ascii="仿宋_GB2312" w:hAnsi="仿宋" w:eastAsia="仿宋_GB2312" w:cs="仿宋_GB2312"/>
          <w:color w:val="auto"/>
          <w:sz w:val="24"/>
          <w:szCs w:val="21"/>
        </w:rPr>
      </w:pPr>
    </w:p>
    <w:p w14:paraId="15D0962D">
      <w:pPr>
        <w:rPr>
          <w:rFonts w:ascii="仿宋_GB2312" w:hAnsi="仿宋" w:eastAsia="仿宋_GB2312" w:cs="仿宋_GB2312"/>
          <w:color w:val="auto"/>
          <w:sz w:val="24"/>
          <w:szCs w:val="21"/>
        </w:rPr>
      </w:pPr>
    </w:p>
    <w:p w14:paraId="62682BA6">
      <w:pPr>
        <w:spacing w:line="480" w:lineRule="auto"/>
        <w:rPr>
          <w:rFonts w:ascii="仿宋_GB2312" w:hAnsi="仿宋" w:eastAsia="仿宋_GB2312" w:cs="仿宋_GB2312"/>
          <w:color w:val="auto"/>
          <w:sz w:val="24"/>
          <w:u w:val="single"/>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301A8680">
      <w:pPr>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5163A080">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Fonts w:hint="eastAsia" w:ascii="仿宋_GB2312" w:hAnsi="仿宋" w:eastAsia="仿宋_GB2312" w:cs="仿宋_GB2312"/>
          <w:color w:val="auto"/>
          <w:szCs w:val="28"/>
        </w:rPr>
        <w:t>格式5</w:t>
      </w:r>
      <w:bookmarkStart w:id="104" w:name="_Toc122_WPSOffice_Level2"/>
      <w:bookmarkStart w:id="105" w:name="_Toc21833_WPSOffice_Level2"/>
    </w:p>
    <w:p w14:paraId="61174373">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法定代表人（或非法人组织负责人）授权委托书</w:t>
      </w:r>
      <w:bookmarkEnd w:id="104"/>
      <w:bookmarkEnd w:id="105"/>
    </w:p>
    <w:p w14:paraId="5FCEF4EB">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单位名称：</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0DAB0CFF">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法定代表人（或非法人组织负责人）姓名：</w:t>
      </w:r>
      <w:r>
        <w:rPr>
          <w:rFonts w:hint="eastAsia" w:ascii="仿宋_GB2312" w:hAnsi="仿宋" w:eastAsia="仿宋_GB2312" w:cs="仿宋_GB2312"/>
          <w:color w:val="auto"/>
          <w:sz w:val="24"/>
          <w:szCs w:val="21"/>
          <w:u w:val="single"/>
        </w:rPr>
        <w:t xml:space="preserve">         </w:t>
      </w:r>
    </w:p>
    <w:p w14:paraId="3D03EA47">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身份证号码：</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p>
    <w:p w14:paraId="722CEDCA">
      <w:pPr>
        <w:tabs>
          <w:tab w:val="left" w:pos="5925"/>
        </w:tabs>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住所地：</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ab/>
      </w:r>
      <w:r>
        <w:rPr>
          <w:rFonts w:hint="eastAsia" w:ascii="仿宋_GB2312" w:hAnsi="仿宋" w:eastAsia="仿宋_GB2312" w:cs="仿宋_GB2312"/>
          <w:color w:val="auto"/>
          <w:sz w:val="24"/>
          <w:szCs w:val="21"/>
          <w:u w:val="single"/>
        </w:rPr>
        <w:t xml:space="preserve">  </w:t>
      </w:r>
    </w:p>
    <w:p w14:paraId="36EADDA2">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授权委托人姓名：</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2D4480B5">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身份证号码：</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7EE6AAAC">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工作单位：</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4AAEBA05">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 xml:space="preserve">住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址：</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2A820ED5">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电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话：</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p>
    <w:p w14:paraId="590B7FBD">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现委托</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就</w:t>
      </w:r>
      <w:r>
        <w:rPr>
          <w:rFonts w:hint="eastAsia" w:ascii="仿宋_GB2312" w:hAnsi="仿宋" w:eastAsia="仿宋_GB2312" w:cs="仿宋_GB2312"/>
          <w:color w:val="auto"/>
          <w:sz w:val="24"/>
          <w:szCs w:val="21"/>
          <w:u w:val="single"/>
        </w:rPr>
        <w:t>（项目编号、项目名称、包号）</w:t>
      </w:r>
      <w:r>
        <w:rPr>
          <w:rFonts w:hint="eastAsia" w:ascii="仿宋_GB2312" w:hAnsi="仿宋" w:eastAsia="仿宋_GB2312" w:cs="仿宋_GB2312"/>
          <w:color w:val="auto"/>
          <w:sz w:val="24"/>
          <w:szCs w:val="21"/>
        </w:rPr>
        <w:t>投标中，以我单位名义处理一切与之有关的事务。</w:t>
      </w:r>
    </w:p>
    <w:p w14:paraId="56024B97">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本授权书于</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年</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月</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日签字或盖章生效，无转委托，特此声明。</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C8F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jc w:val="center"/>
        </w:trPr>
        <w:tc>
          <w:tcPr>
            <w:tcW w:w="8228" w:type="dxa"/>
          </w:tcPr>
          <w:p w14:paraId="1C012766">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（※授权委托人身份证正、反面复印件※）</w:t>
            </w:r>
          </w:p>
        </w:tc>
      </w:tr>
    </w:tbl>
    <w:p w14:paraId="215F86CE">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委托人（加盖单位公章）：</w:t>
      </w:r>
      <w:r>
        <w:rPr>
          <w:rFonts w:hint="eastAsia" w:ascii="仿宋_GB2312" w:hAnsi="仿宋" w:eastAsia="仿宋_GB2312" w:cs="仿宋_GB2312"/>
          <w:color w:val="auto"/>
          <w:sz w:val="24"/>
          <w:szCs w:val="21"/>
          <w:u w:val="single"/>
        </w:rPr>
        <w:t xml:space="preserve">              </w:t>
      </w:r>
    </w:p>
    <w:p w14:paraId="0EA708DA">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法定代表人（或非法人组织负责人）（签字或盖章）：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w:t>
      </w:r>
    </w:p>
    <w:p w14:paraId="721D5FA8">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授权委托人（签字或盖章）：</w:t>
      </w:r>
      <w:r>
        <w:rPr>
          <w:rFonts w:hint="eastAsia" w:ascii="仿宋_GB2312" w:hAnsi="仿宋" w:eastAsia="仿宋_GB2312" w:cs="仿宋_GB2312"/>
          <w:color w:val="auto"/>
          <w:sz w:val="24"/>
          <w:szCs w:val="21"/>
          <w:u w:val="single"/>
        </w:rPr>
        <w:t xml:space="preserve">              </w:t>
      </w:r>
    </w:p>
    <w:p w14:paraId="472D08DC">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详细通讯地址：</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邮政编码：</w:t>
      </w:r>
      <w:r>
        <w:rPr>
          <w:rFonts w:hint="eastAsia" w:ascii="仿宋_GB2312" w:hAnsi="仿宋" w:eastAsia="仿宋_GB2312" w:cs="仿宋_GB2312"/>
          <w:color w:val="auto"/>
          <w:sz w:val="24"/>
          <w:szCs w:val="21"/>
          <w:u w:val="single"/>
        </w:rPr>
        <w:t xml:space="preserve">              </w:t>
      </w:r>
    </w:p>
    <w:p w14:paraId="4DD2A935">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传        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电    话：</w:t>
      </w:r>
      <w:r>
        <w:rPr>
          <w:rFonts w:hint="eastAsia" w:ascii="仿宋_GB2312" w:hAnsi="仿宋" w:eastAsia="仿宋_GB2312" w:cs="仿宋_GB2312"/>
          <w:color w:val="auto"/>
          <w:sz w:val="24"/>
          <w:szCs w:val="21"/>
          <w:u w:val="single"/>
        </w:rPr>
        <w:t xml:space="preserve">              </w:t>
      </w:r>
    </w:p>
    <w:p w14:paraId="319555FD">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日        期:</w:t>
      </w:r>
      <w:r>
        <w:rPr>
          <w:rFonts w:hint="eastAsia" w:ascii="仿宋_GB2312" w:hAnsi="仿宋" w:eastAsia="仿宋_GB2312" w:cs="仿宋_GB2312"/>
          <w:color w:val="auto"/>
          <w:sz w:val="24"/>
          <w:szCs w:val="21"/>
          <w:u w:val="single"/>
        </w:rPr>
        <w:t xml:space="preserve">                       </w:t>
      </w:r>
    </w:p>
    <w:p w14:paraId="08E1A742">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格式6</w:t>
      </w:r>
    </w:p>
    <w:p w14:paraId="69E805F4">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具有良好的商业信誉和健全的财务会计制度的承诺函</w:t>
      </w:r>
    </w:p>
    <w:p w14:paraId="0F6F1C13">
      <w:pPr>
        <w:spacing w:before="319" w:beforeLines="100" w:after="319" w:afterLines="100" w:line="480" w:lineRule="exact"/>
        <w:ind w:right="630" w:rightChars="300"/>
        <w:jc w:val="cente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（格式自拟）</w:t>
      </w:r>
    </w:p>
    <w:p w14:paraId="60DE69DB">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00FF4D52">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3E20D1D4">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2CBE41F">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B830D0B">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3E531C6">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E4F6211">
      <w:pPr>
        <w:snapToGrid w:val="0"/>
        <w:spacing w:line="480" w:lineRule="auto"/>
        <w:rPr>
          <w:color w:val="auto"/>
        </w:rPr>
      </w:pPr>
    </w:p>
    <w:p w14:paraId="50C44655">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85524D7">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1BB1B363">
      <w:pPr>
        <w:adjustRightInd w:val="0"/>
        <w:snapToGrid w:val="0"/>
        <w:spacing w:line="360" w:lineRule="auto"/>
        <w:ind w:right="105" w:rightChars="50" w:firstLine="476" w:firstLineChars="227"/>
        <w:jc w:val="left"/>
        <w:rPr>
          <w:color w:val="auto"/>
        </w:rPr>
      </w:pPr>
    </w:p>
    <w:p w14:paraId="3F67497A">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620B703">
      <w:pPr>
        <w:snapToGrid w:val="0"/>
        <w:spacing w:line="480" w:lineRule="auto"/>
        <w:rPr>
          <w:rFonts w:ascii="仿宋_GB2312" w:hAnsi="仿宋" w:eastAsia="仿宋_GB2312" w:cs="仿宋_GB2312"/>
          <w:color w:val="auto"/>
          <w:sz w:val="24"/>
        </w:rPr>
      </w:pPr>
    </w:p>
    <w:p w14:paraId="28175D78">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74445940">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77BFA201">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61AF8CC5">
      <w:pPr>
        <w:adjustRightInd w:val="0"/>
        <w:snapToGrid w:val="0"/>
        <w:spacing w:line="360" w:lineRule="auto"/>
        <w:ind w:right="105" w:rightChars="50"/>
        <w:jc w:val="left"/>
        <w:rPr>
          <w:rFonts w:ascii="仿宋_GB2312" w:hAnsi="仿宋" w:eastAsia="仿宋_GB2312" w:cs="仿宋_GB2312"/>
          <w:color w:val="auto"/>
          <w:u w:val="single"/>
        </w:rPr>
      </w:pPr>
    </w:p>
    <w:p w14:paraId="353369AA">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color w:val="auto"/>
          <w:szCs w:val="28"/>
        </w:rPr>
        <w:t>格式7</w:t>
      </w:r>
    </w:p>
    <w:p w14:paraId="7FFF04A5">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106" w:name="_Toc12037_WPSOffice_Level2"/>
      <w:bookmarkStart w:id="107" w:name="_Toc23728_WPSOffice_Level2"/>
      <w:r>
        <w:rPr>
          <w:rFonts w:hint="eastAsia" w:ascii="方正小标宋简体" w:hAnsi="仿宋" w:eastAsia="方正小标宋简体" w:cs="仿宋_GB2312"/>
          <w:color w:val="auto"/>
          <w:sz w:val="32"/>
          <w:szCs w:val="32"/>
        </w:rPr>
        <w:t>具备履行合同所必需的设备和专业技术能力声明函</w:t>
      </w:r>
      <w:bookmarkEnd w:id="106"/>
      <w:bookmarkEnd w:id="107"/>
    </w:p>
    <w:p w14:paraId="77ACC233">
      <w:pPr>
        <w:spacing w:before="319" w:beforeLines="100" w:after="319" w:afterLines="100" w:line="480" w:lineRule="exact"/>
        <w:ind w:right="630" w:rightChars="300"/>
        <w:jc w:val="center"/>
        <w:rPr>
          <w:rFonts w:ascii="仿宋_GB2312" w:hAnsi="仿宋" w:eastAsia="仿宋_GB2312" w:cs="仿宋_GB2312"/>
          <w:color w:val="auto"/>
          <w:sz w:val="28"/>
          <w:szCs w:val="28"/>
        </w:rPr>
      </w:pPr>
      <w:bookmarkStart w:id="108" w:name="_Toc28831_WPSOffice_Level2"/>
      <w:bookmarkStart w:id="109" w:name="_Toc1917_WPSOffice_Level2"/>
      <w:r>
        <w:rPr>
          <w:rFonts w:hint="eastAsia" w:ascii="仿宋_GB2312" w:hAnsi="仿宋" w:eastAsia="仿宋_GB2312" w:cs="仿宋_GB2312"/>
          <w:color w:val="auto"/>
          <w:sz w:val="28"/>
          <w:szCs w:val="28"/>
        </w:rPr>
        <w:t>（格式自拟）</w:t>
      </w:r>
      <w:bookmarkEnd w:id="108"/>
      <w:bookmarkEnd w:id="109"/>
    </w:p>
    <w:p w14:paraId="750C539F">
      <w:pPr>
        <w:rPr>
          <w:color w:val="auto"/>
        </w:rPr>
      </w:pPr>
    </w:p>
    <w:p w14:paraId="28884769">
      <w:pPr>
        <w:rPr>
          <w:color w:val="auto"/>
        </w:rPr>
      </w:pPr>
    </w:p>
    <w:p w14:paraId="664E1C19">
      <w:pPr>
        <w:rPr>
          <w:color w:val="auto"/>
          <w:sz w:val="24"/>
        </w:rPr>
      </w:pPr>
    </w:p>
    <w:p w14:paraId="78CA3C6A">
      <w:pPr>
        <w:rPr>
          <w:b/>
          <w:color w:val="auto"/>
          <w:sz w:val="24"/>
        </w:rPr>
      </w:pPr>
    </w:p>
    <w:p w14:paraId="14CDF529">
      <w:pPr>
        <w:rPr>
          <w:color w:val="auto"/>
        </w:rPr>
      </w:pPr>
    </w:p>
    <w:p w14:paraId="10A8C715">
      <w:pPr>
        <w:rPr>
          <w:color w:val="auto"/>
        </w:rPr>
      </w:pPr>
    </w:p>
    <w:p w14:paraId="0EE7F53C">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0109C58">
      <w:pPr>
        <w:snapToGrid w:val="0"/>
        <w:spacing w:line="480" w:lineRule="auto"/>
        <w:rPr>
          <w:rFonts w:ascii="仿宋_GB2312" w:hAnsi="仿宋" w:eastAsia="仿宋_GB2312" w:cs="仿宋_GB2312"/>
          <w:color w:val="auto"/>
          <w:sz w:val="24"/>
        </w:rPr>
      </w:pPr>
    </w:p>
    <w:p w14:paraId="2DA492AB">
      <w:pPr>
        <w:snapToGrid w:val="0"/>
        <w:spacing w:line="480" w:lineRule="auto"/>
        <w:rPr>
          <w:rFonts w:ascii="仿宋_GB2312" w:hAnsi="仿宋" w:eastAsia="仿宋_GB2312" w:cs="仿宋_GB2312"/>
          <w:color w:val="auto"/>
          <w:sz w:val="24"/>
        </w:rPr>
      </w:pPr>
    </w:p>
    <w:p w14:paraId="5B28A27F">
      <w:pPr>
        <w:snapToGrid w:val="0"/>
        <w:spacing w:line="480" w:lineRule="auto"/>
        <w:rPr>
          <w:rFonts w:ascii="仿宋_GB2312" w:hAnsi="仿宋" w:eastAsia="仿宋_GB2312" w:cs="仿宋_GB2312"/>
          <w:color w:val="auto"/>
          <w:sz w:val="24"/>
        </w:rPr>
      </w:pPr>
    </w:p>
    <w:p w14:paraId="54589330">
      <w:pPr>
        <w:snapToGrid w:val="0"/>
        <w:spacing w:line="480" w:lineRule="auto"/>
        <w:rPr>
          <w:rFonts w:ascii="仿宋_GB2312" w:hAnsi="仿宋" w:eastAsia="仿宋_GB2312" w:cs="仿宋_GB2312"/>
          <w:color w:val="auto"/>
          <w:sz w:val="24"/>
        </w:rPr>
      </w:pPr>
    </w:p>
    <w:p w14:paraId="1C17EBF4">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5DE0B11F">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0884772B">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4636916A">
      <w:pPr>
        <w:adjustRightInd w:val="0"/>
        <w:snapToGrid w:val="0"/>
        <w:spacing w:line="360" w:lineRule="auto"/>
        <w:ind w:right="105" w:rightChars="50"/>
        <w:jc w:val="left"/>
        <w:rPr>
          <w:rFonts w:ascii="仿宋_GB2312" w:hAnsi="仿宋" w:eastAsia="仿宋_GB2312" w:cs="仿宋_GB2312"/>
          <w:color w:val="auto"/>
          <w:sz w:val="24"/>
          <w:u w:val="single"/>
        </w:rPr>
      </w:pPr>
    </w:p>
    <w:p w14:paraId="7371B5DD">
      <w:pPr>
        <w:adjustRightInd w:val="0"/>
        <w:snapToGrid w:val="0"/>
        <w:spacing w:line="360" w:lineRule="auto"/>
        <w:ind w:right="105" w:rightChars="50"/>
        <w:jc w:val="left"/>
        <w:rPr>
          <w:rFonts w:ascii="仿宋_GB2312" w:hAnsi="仿宋" w:eastAsia="仿宋_GB2312" w:cs="仿宋_GB2312"/>
          <w:color w:val="auto"/>
          <w:u w:val="single"/>
        </w:rPr>
      </w:pPr>
    </w:p>
    <w:p w14:paraId="53B8A7AC">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b w:val="0"/>
          <w:color w:val="auto"/>
          <w:szCs w:val="28"/>
        </w:rPr>
        <w:br w:type="page"/>
      </w:r>
      <w:r>
        <w:rPr>
          <w:rFonts w:hint="eastAsia" w:ascii="仿宋_GB2312" w:hAnsi="仿宋" w:eastAsia="仿宋_GB2312" w:cs="仿宋_GB2312"/>
          <w:color w:val="auto"/>
          <w:szCs w:val="28"/>
        </w:rPr>
        <w:t>格式8</w:t>
      </w:r>
    </w:p>
    <w:p w14:paraId="4D194623">
      <w:pPr>
        <w:spacing w:before="319" w:beforeLines="100" w:after="319" w:afterLines="100" w:line="480" w:lineRule="exact"/>
        <w:ind w:right="630" w:rightChars="30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 xml:space="preserve">   </w:t>
      </w:r>
      <w:bookmarkStart w:id="110" w:name="_Toc7498_WPSOffice_Level2"/>
      <w:bookmarkStart w:id="111" w:name="_Toc11967_WPSOffice_Level2"/>
      <w:r>
        <w:rPr>
          <w:rFonts w:hint="eastAsia" w:ascii="方正小标宋简体" w:hAnsi="仿宋" w:eastAsia="方正小标宋简体" w:cs="仿宋_GB2312"/>
          <w:color w:val="auto"/>
          <w:sz w:val="32"/>
          <w:szCs w:val="32"/>
        </w:rPr>
        <w:t>参加政府采购活动前3年内在经营活动中没有重大违法记录的书面声明</w:t>
      </w:r>
      <w:bookmarkEnd w:id="110"/>
      <w:bookmarkEnd w:id="111"/>
    </w:p>
    <w:p w14:paraId="3ADB6502">
      <w:pPr>
        <w:spacing w:line="360" w:lineRule="auto"/>
        <w:ind w:right="630" w:rightChars="300"/>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u w:val="single"/>
        </w:rPr>
        <w:t xml:space="preserve">（采购人或采购组织机构名称） </w:t>
      </w:r>
      <w:r>
        <w:rPr>
          <w:rFonts w:hint="eastAsia" w:ascii="仿宋_GB2312" w:hAnsi="仿宋" w:eastAsia="仿宋_GB2312" w:cs="仿宋_GB2312"/>
          <w:b/>
          <w:color w:val="auto"/>
          <w:sz w:val="24"/>
          <w:szCs w:val="21"/>
        </w:rPr>
        <w:t xml:space="preserve"> ：</w:t>
      </w:r>
    </w:p>
    <w:p w14:paraId="7907075D">
      <w:pPr>
        <w:spacing w:line="360" w:lineRule="auto"/>
        <w:ind w:right="-21" w:rightChars="-10" w:firstLine="564" w:firstLineChars="235"/>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7E634DE9">
      <w:pPr>
        <w:tabs>
          <w:tab w:val="left" w:pos="10065"/>
        </w:tabs>
        <w:spacing w:line="360" w:lineRule="auto"/>
        <w:ind w:right="-21" w:rightChars="-10" w:firstLine="424" w:firstLineChars="177"/>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如发现我单位提供的声明函不实时，我单位将按照《政府采购法》有关提供虚假材料的规定，接受处罚。</w:t>
      </w:r>
    </w:p>
    <w:p w14:paraId="7CBE3C8F">
      <w:pPr>
        <w:spacing w:line="360" w:lineRule="auto"/>
        <w:ind w:right="1050" w:rightChars="50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特此声明。</w:t>
      </w:r>
    </w:p>
    <w:p w14:paraId="177FEDBB">
      <w:pPr>
        <w:spacing w:line="500" w:lineRule="exact"/>
        <w:ind w:right="1050" w:rightChars="500"/>
        <w:rPr>
          <w:rFonts w:ascii="仿宋_GB2312" w:hAnsi="仿宋" w:eastAsia="仿宋_GB2312" w:cs="仿宋_GB2312"/>
          <w:color w:val="auto"/>
          <w:sz w:val="24"/>
          <w:szCs w:val="21"/>
        </w:rPr>
      </w:pPr>
    </w:p>
    <w:p w14:paraId="25C21C11">
      <w:pPr>
        <w:spacing w:before="159" w:beforeLines="50" w:after="159" w:afterLines="50" w:line="400" w:lineRule="exact"/>
        <w:ind w:right="1050" w:rightChars="500"/>
        <w:rPr>
          <w:rFonts w:ascii="仿宋_GB2312" w:hAnsi="仿宋" w:eastAsia="仿宋_GB2312" w:cs="仿宋_GB2312"/>
          <w:color w:val="auto"/>
          <w:sz w:val="24"/>
          <w:szCs w:val="21"/>
        </w:rPr>
      </w:pPr>
    </w:p>
    <w:p w14:paraId="05C848BE">
      <w:pPr>
        <w:spacing w:before="159" w:beforeLines="50" w:after="159" w:afterLines="50" w:line="400" w:lineRule="exact"/>
        <w:ind w:right="1050" w:rightChars="500"/>
        <w:rPr>
          <w:rFonts w:ascii="仿宋_GB2312" w:hAnsi="仿宋" w:eastAsia="仿宋_GB2312" w:cs="仿宋_GB2312"/>
          <w:color w:val="auto"/>
          <w:sz w:val="24"/>
          <w:szCs w:val="21"/>
        </w:rPr>
      </w:pPr>
    </w:p>
    <w:p w14:paraId="2B85F3D8">
      <w:pPr>
        <w:spacing w:line="360" w:lineRule="exact"/>
        <w:ind w:right="1050" w:rightChars="500"/>
        <w:rPr>
          <w:rFonts w:ascii="仿宋_GB2312" w:hAnsi="仿宋" w:eastAsia="仿宋_GB2312" w:cs="仿宋_GB2312"/>
          <w:color w:val="auto"/>
          <w:sz w:val="24"/>
          <w:szCs w:val="21"/>
        </w:rPr>
      </w:pPr>
    </w:p>
    <w:p w14:paraId="423D615A">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741DAF89">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4193911F">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390F1DF9">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Fonts w:hint="eastAsia" w:ascii="仿宋_GB2312" w:hAnsi="仿宋" w:eastAsia="仿宋_GB2312" w:cs="仿宋_GB2312"/>
          <w:color w:val="auto"/>
          <w:szCs w:val="28"/>
        </w:rPr>
        <w:t>格式9</w:t>
      </w:r>
    </w:p>
    <w:p w14:paraId="03A0FB61">
      <w:pPr>
        <w:spacing w:before="159" w:beforeLines="50" w:after="159" w:afterLines="50" w:line="360" w:lineRule="auto"/>
        <w:ind w:right="-21" w:rightChars="-10"/>
        <w:jc w:val="center"/>
        <w:rPr>
          <w:rFonts w:ascii="方正小标宋简体" w:hAnsi="仿宋" w:eastAsia="方正小标宋简体" w:cs="仿宋_GB2312"/>
          <w:bCs/>
          <w:color w:val="auto"/>
          <w:sz w:val="32"/>
          <w:szCs w:val="32"/>
        </w:rPr>
      </w:pPr>
      <w:bookmarkStart w:id="112" w:name="_Toc16873_WPSOffice_Level2"/>
      <w:bookmarkStart w:id="113" w:name="_Toc30548_WPSOffice_Level2"/>
      <w:r>
        <w:rPr>
          <w:rFonts w:hint="eastAsia" w:ascii="方正小标宋简体" w:hAnsi="仿宋_GB2312" w:eastAsia="方正小标宋简体" w:cs="仿宋_GB2312"/>
          <w:color w:val="auto"/>
          <w:sz w:val="32"/>
          <w:szCs w:val="32"/>
        </w:rPr>
        <w:t>联合体协议书</w:t>
      </w:r>
      <w:bookmarkEnd w:id="112"/>
      <w:bookmarkEnd w:id="113"/>
      <w:r>
        <w:rPr>
          <w:rFonts w:hint="eastAsia" w:ascii="方正小标宋简体" w:hAnsi="仿宋_GB2312" w:eastAsia="方正小标宋简体" w:cs="仿宋_GB2312"/>
          <w:color w:val="auto"/>
          <w:sz w:val="32"/>
          <w:szCs w:val="32"/>
        </w:rPr>
        <w:t>（本项目不适用）</w:t>
      </w:r>
    </w:p>
    <w:p w14:paraId="461C6AEC">
      <w:pPr>
        <w:pStyle w:val="14"/>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u w:val="single"/>
        </w:rPr>
        <w:t>(采购人或采购组织机构)</w:t>
      </w:r>
      <w:r>
        <w:rPr>
          <w:rFonts w:hint="eastAsia" w:ascii="仿宋_GB2312" w:hAnsi="仿宋" w:eastAsia="仿宋_GB2312" w:cs="仿宋_GB2312"/>
          <w:color w:val="auto"/>
          <w:sz w:val="24"/>
        </w:rPr>
        <w:t>：</w:t>
      </w:r>
    </w:p>
    <w:p w14:paraId="7F8AEFD1">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经研究，我方决定自愿组成联合体共同参加</w:t>
      </w:r>
      <w:r>
        <w:rPr>
          <w:rFonts w:hint="eastAsia" w:ascii="仿宋_GB2312" w:hAnsi="仿宋" w:eastAsia="仿宋_GB2312" w:cs="仿宋_GB2312"/>
          <w:color w:val="auto"/>
          <w:sz w:val="24"/>
          <w:u w:val="single"/>
        </w:rPr>
        <w:t>(项目名称、项目编号、包号)</w:t>
      </w:r>
      <w:r>
        <w:rPr>
          <w:rFonts w:hint="eastAsia" w:ascii="仿宋_GB2312" w:hAnsi="仿宋" w:eastAsia="仿宋_GB2312" w:cs="仿宋_GB2312"/>
          <w:color w:val="auto"/>
          <w:sz w:val="24"/>
        </w:rPr>
        <w:t>项目的投标。现就联合体投标事宜订立如下协议：</w:t>
      </w:r>
    </w:p>
    <w:p w14:paraId="720C1515">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一、联合体成员：</w:t>
      </w:r>
    </w:p>
    <w:p w14:paraId="0F311CF9">
      <w:pPr>
        <w:pStyle w:val="14"/>
        <w:spacing w:line="440" w:lineRule="exact"/>
        <w:ind w:firstLine="480" w:firstLineChars="200"/>
        <w:rPr>
          <w:rFonts w:ascii="仿宋_GB2312" w:hAnsi="仿宋" w:eastAsia="仿宋_GB2312" w:cs="仿宋_GB2312"/>
          <w:color w:val="auto"/>
          <w:sz w:val="24"/>
          <w:u w:val="single"/>
        </w:rPr>
      </w:pPr>
      <w:bookmarkStart w:id="114" w:name="_Toc23749_WPSOffice_Level2"/>
      <w:bookmarkStart w:id="115" w:name="_Toc15561_WPSOffice_Level2"/>
      <w:r>
        <w:rPr>
          <w:rFonts w:hint="eastAsia" w:ascii="仿宋_GB2312" w:hAnsi="仿宋" w:eastAsia="仿宋_GB2312" w:cs="仿宋_GB2312"/>
          <w:color w:val="auto"/>
          <w:sz w:val="24"/>
        </w:rPr>
        <w:t>1.</w:t>
      </w:r>
      <w:bookmarkEnd w:id="114"/>
      <w:bookmarkEnd w:id="115"/>
      <w:r>
        <w:rPr>
          <w:rFonts w:hint="eastAsia" w:ascii="仿宋_GB2312" w:hAnsi="仿宋" w:eastAsia="仿宋_GB2312" w:cs="仿宋_GB2312"/>
          <w:color w:val="auto"/>
          <w:sz w:val="24"/>
          <w:u w:val="single"/>
        </w:rPr>
        <w:t xml:space="preserve">                  </w:t>
      </w:r>
    </w:p>
    <w:p w14:paraId="4EBF7889">
      <w:pPr>
        <w:pStyle w:val="14"/>
        <w:spacing w:line="440" w:lineRule="exact"/>
        <w:ind w:firstLine="480" w:firstLineChars="200"/>
        <w:rPr>
          <w:rFonts w:ascii="仿宋_GB2312" w:hAnsi="仿宋" w:eastAsia="仿宋_GB2312" w:cs="仿宋_GB2312"/>
          <w:color w:val="auto"/>
          <w:sz w:val="24"/>
          <w:u w:val="single"/>
        </w:rPr>
      </w:pPr>
      <w:bookmarkStart w:id="116" w:name="_Toc405_WPSOffice_Level2"/>
      <w:bookmarkStart w:id="117" w:name="_Toc22173_WPSOffice_Level2"/>
      <w:r>
        <w:rPr>
          <w:rFonts w:hint="eastAsia" w:ascii="仿宋_GB2312" w:hAnsi="仿宋" w:eastAsia="仿宋_GB2312" w:cs="仿宋_GB2312"/>
          <w:color w:val="auto"/>
          <w:sz w:val="24"/>
        </w:rPr>
        <w:t>2.</w:t>
      </w:r>
      <w:bookmarkEnd w:id="116"/>
      <w:bookmarkEnd w:id="117"/>
      <w:r>
        <w:rPr>
          <w:rFonts w:hint="eastAsia" w:ascii="仿宋_GB2312" w:hAnsi="仿宋" w:eastAsia="仿宋_GB2312" w:cs="仿宋_GB2312"/>
          <w:color w:val="auto"/>
          <w:sz w:val="24"/>
          <w:u w:val="single"/>
        </w:rPr>
        <w:t xml:space="preserve">                  </w:t>
      </w:r>
    </w:p>
    <w:p w14:paraId="2F77128F">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w:t>
      </w:r>
    </w:p>
    <w:p w14:paraId="5B4EBE49">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二、</w:t>
      </w:r>
      <w:r>
        <w:rPr>
          <w:rFonts w:hint="eastAsia" w:ascii="仿宋_GB2312" w:hAnsi="仿宋" w:eastAsia="仿宋_GB2312" w:cs="仿宋_GB2312"/>
          <w:color w:val="auto"/>
          <w:sz w:val="24"/>
          <w:u w:val="single"/>
        </w:rPr>
        <w:t>(某成员单位名称)</w:t>
      </w:r>
      <w:r>
        <w:rPr>
          <w:rFonts w:hint="eastAsia" w:ascii="仿宋_GB2312" w:hAnsi="仿宋" w:eastAsia="仿宋_GB2312" w:cs="仿宋_GB2312"/>
          <w:color w:val="auto"/>
          <w:sz w:val="24"/>
        </w:rPr>
        <w:t>为(联合体名称)牵头人。</w:t>
      </w:r>
    </w:p>
    <w:p w14:paraId="3100B7B2">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3AA1AD3E">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四、联合体将严格按照招标文件的各项要求，递交投标文件，参加投标，履行中标义务和中标后的合同，并向采购人承担连带责任。</w:t>
      </w:r>
    </w:p>
    <w:p w14:paraId="7F5354BB">
      <w:pPr>
        <w:adjustRightInd w:val="0"/>
        <w:snapToGrid w:val="0"/>
        <w:spacing w:line="440" w:lineRule="exact"/>
        <w:ind w:firstLine="480" w:firstLineChars="200"/>
        <w:rPr>
          <w:rFonts w:ascii="仿宋_GB2312" w:hAnsi="仿宋" w:eastAsia="仿宋_GB2312"/>
          <w:color w:val="auto"/>
          <w:sz w:val="24"/>
        </w:rPr>
      </w:pPr>
      <w:r>
        <w:rPr>
          <w:rFonts w:hint="eastAsia" w:ascii="仿宋_GB2312" w:hAnsi="仿宋" w:eastAsia="仿宋_GB2312"/>
          <w:color w:val="auto"/>
          <w:sz w:val="24"/>
        </w:rPr>
        <w:t>五、联合体各成员单位内部的职责分工如下：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。按照本条上述分工，联合体成员单位各自所承担的合同工作量比例如下：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。大中型企业、其他自然人、法人或者非法人组织与小型、微型企业组成联合体共同参加投标的，小型、微型企业的协议合同金额占到共同投标协议投标总金额的比例如下：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w:t>
      </w:r>
    </w:p>
    <w:p w14:paraId="3C8428C0">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六、本协议书自签署之日起生效，合同履行完毕后自动失效。</w:t>
      </w:r>
    </w:p>
    <w:p w14:paraId="082BC0D2">
      <w:pPr>
        <w:pStyle w:val="14"/>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七、本协议书一式</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份，联合体成员和采购人各执</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份。</w:t>
      </w:r>
    </w:p>
    <w:p w14:paraId="01D8B636">
      <w:pPr>
        <w:pStyle w:val="14"/>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牵头人名称(加盖单位公章)：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u w:val="single"/>
        </w:rPr>
        <w:t xml:space="preserve">     </w:t>
      </w:r>
    </w:p>
    <w:p w14:paraId="23B9704A">
      <w:pPr>
        <w:pStyle w:val="14"/>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法定代表人或其授权委托人(签字或盖章)：</w:t>
      </w:r>
      <w:r>
        <w:rPr>
          <w:rFonts w:hint="eastAsia" w:ascii="仿宋_GB2312" w:hAnsi="仿宋" w:eastAsia="仿宋_GB2312" w:cs="仿宋_GB2312"/>
          <w:color w:val="auto"/>
          <w:sz w:val="24"/>
          <w:u w:val="single"/>
        </w:rPr>
        <w:t xml:space="preserve">                  </w:t>
      </w:r>
    </w:p>
    <w:p w14:paraId="73072ECD">
      <w:pPr>
        <w:pStyle w:val="14"/>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成员名称(加盖单位公章)：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u w:val="single"/>
        </w:rPr>
        <w:t xml:space="preserve">   </w:t>
      </w:r>
    </w:p>
    <w:p w14:paraId="488525A6">
      <w:pPr>
        <w:pStyle w:val="14"/>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法定代表人或其授权委托人(签字或盖章)：</w:t>
      </w:r>
      <w:r>
        <w:rPr>
          <w:rFonts w:hint="eastAsia" w:ascii="仿宋_GB2312" w:hAnsi="仿宋" w:eastAsia="仿宋_GB2312" w:cs="仿宋_GB2312"/>
          <w:color w:val="auto"/>
          <w:sz w:val="24"/>
          <w:u w:val="single"/>
        </w:rPr>
        <w:t xml:space="preserve">                  </w:t>
      </w:r>
    </w:p>
    <w:p w14:paraId="685817AC">
      <w:pPr>
        <w:pStyle w:val="14"/>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rPr>
        <w:t>......</w:t>
      </w:r>
    </w:p>
    <w:p w14:paraId="29112D36">
      <w:pPr>
        <w:spacing w:line="360" w:lineRule="exact"/>
        <w:ind w:right="1050" w:rightChars="500"/>
        <w:jc w:val="left"/>
        <w:rPr>
          <w:rFonts w:ascii="仿宋_GB2312" w:hAnsi="仿宋_GB2312" w:eastAsia="仿宋_GB2312" w:cs="仿宋_GB2312"/>
          <w:color w:val="auto"/>
          <w:sz w:val="24"/>
        </w:r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期：</w:t>
      </w:r>
      <w:r>
        <w:rPr>
          <w:rFonts w:hint="eastAsia" w:ascii="仿宋_GB2312" w:hAnsi="仿宋" w:eastAsia="仿宋_GB2312" w:cs="仿宋_GB2312"/>
          <w:color w:val="auto"/>
          <w:sz w:val="24"/>
          <w:u w:val="single"/>
        </w:rPr>
        <w:t xml:space="preserve">              </w:t>
      </w:r>
    </w:p>
    <w:p w14:paraId="57CA9239">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b w:val="0"/>
          <w:color w:val="auto"/>
          <w:szCs w:val="28"/>
        </w:rPr>
        <w:br w:type="page"/>
      </w:r>
      <w:r>
        <w:rPr>
          <w:rFonts w:hint="eastAsia" w:ascii="仿宋_GB2312" w:hAnsi="仿宋" w:eastAsia="仿宋_GB2312" w:cs="仿宋_GB2312"/>
          <w:color w:val="auto"/>
          <w:szCs w:val="28"/>
        </w:rPr>
        <w:t>格式10</w:t>
      </w:r>
    </w:p>
    <w:p w14:paraId="41A35F04">
      <w:pPr>
        <w:snapToGrid w:val="0"/>
        <w:ind w:right="-21" w:rightChars="-10"/>
        <w:jc w:val="center"/>
        <w:rPr>
          <w:rFonts w:ascii="方正小标宋简体" w:hAnsi="仿宋" w:eastAsia="方正小标宋简体" w:cs="仿宋_GB2312"/>
          <w:color w:val="auto"/>
          <w:sz w:val="32"/>
          <w:szCs w:val="32"/>
        </w:rPr>
      </w:pPr>
      <w:bookmarkStart w:id="118" w:name="_Toc14782_WPSOffice_Level2"/>
      <w:bookmarkStart w:id="119" w:name="_Toc24841_WPSOffice_Level2"/>
      <w:r>
        <w:rPr>
          <w:rFonts w:hint="eastAsia" w:ascii="方正小标宋简体" w:hAnsi="仿宋" w:eastAsia="方正小标宋简体" w:cs="仿宋_GB2312"/>
          <w:color w:val="auto"/>
          <w:sz w:val="32"/>
          <w:szCs w:val="32"/>
        </w:rPr>
        <w:t>投标函</w:t>
      </w:r>
      <w:bookmarkEnd w:id="118"/>
      <w:bookmarkEnd w:id="119"/>
    </w:p>
    <w:p w14:paraId="061BCD52">
      <w:pPr>
        <w:adjustRightInd w:val="0"/>
        <w:snapToGrid w:val="0"/>
        <w:spacing w:line="400" w:lineRule="exact"/>
        <w:ind w:right="630" w:rightChars="3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u w:val="single"/>
        </w:rPr>
        <w:t>（采购人或采购组织机构）：</w:t>
      </w:r>
    </w:p>
    <w:p w14:paraId="293F2B88">
      <w:pPr>
        <w:adjustRightInd w:val="0"/>
        <w:snapToGrid w:val="0"/>
        <w:spacing w:line="400" w:lineRule="exact"/>
        <w:ind w:right="-21" w:rightChars="-10"/>
        <w:rPr>
          <w:rFonts w:ascii="仿宋_GB2312" w:hAnsi="仿宋" w:eastAsia="仿宋_GB2312" w:cs="仿宋_GB2312"/>
          <w:color w:val="0000FF"/>
          <w:sz w:val="24"/>
          <w:szCs w:val="21"/>
        </w:rPr>
      </w:pPr>
      <w:r>
        <w:rPr>
          <w:rFonts w:hint="eastAsia" w:ascii="仿宋_GB2312" w:hAnsi="仿宋" w:eastAsia="仿宋_GB2312" w:cs="仿宋_GB2312"/>
          <w:color w:val="auto"/>
          <w:sz w:val="24"/>
          <w:szCs w:val="21"/>
        </w:rPr>
        <w:t xml:space="preserve">    根据贵方</w:t>
      </w:r>
      <w:r>
        <w:rPr>
          <w:rFonts w:hint="eastAsia" w:ascii="仿宋_GB2312" w:hAnsi="仿宋" w:eastAsia="仿宋_GB2312" w:cs="仿宋_GB2312"/>
          <w:color w:val="auto"/>
          <w:sz w:val="24"/>
          <w:szCs w:val="21"/>
          <w:u w:val="single"/>
        </w:rPr>
        <w:t>(项目名称)</w:t>
      </w:r>
      <w:r>
        <w:rPr>
          <w:rFonts w:hint="eastAsia" w:ascii="仿宋_GB2312" w:hAnsi="仿宋" w:eastAsia="仿宋_GB2312" w:cs="仿宋_GB2312"/>
          <w:color w:val="auto"/>
          <w:sz w:val="24"/>
          <w:szCs w:val="21"/>
        </w:rPr>
        <w:t>项目的招标公告</w:t>
      </w:r>
      <w:r>
        <w:rPr>
          <w:rFonts w:hint="eastAsia" w:ascii="仿宋_GB2312" w:hAnsi="仿宋" w:eastAsia="仿宋_GB2312" w:cs="仿宋_GB2312"/>
          <w:color w:val="auto"/>
          <w:sz w:val="24"/>
          <w:szCs w:val="21"/>
          <w:u w:val="single"/>
        </w:rPr>
        <w:t>(项目编号)</w:t>
      </w:r>
      <w:r>
        <w:rPr>
          <w:rFonts w:hint="eastAsia" w:ascii="仿宋_GB2312" w:hAnsi="仿宋" w:eastAsia="仿宋_GB2312" w:cs="仿宋_GB2312"/>
          <w:color w:val="auto"/>
          <w:sz w:val="24"/>
          <w:szCs w:val="21"/>
        </w:rPr>
        <w:t>,签字代表</w:t>
      </w:r>
      <w:r>
        <w:rPr>
          <w:rFonts w:hint="eastAsia" w:ascii="仿宋_GB2312" w:hAnsi="仿宋" w:eastAsia="仿宋_GB2312" w:cs="仿宋_GB2312"/>
          <w:color w:val="auto"/>
          <w:sz w:val="24"/>
          <w:szCs w:val="21"/>
          <w:u w:val="single"/>
        </w:rPr>
        <w:t>(姓名、职务)</w:t>
      </w:r>
      <w:r>
        <w:rPr>
          <w:rFonts w:hint="eastAsia" w:ascii="仿宋_GB2312" w:hAnsi="仿宋" w:eastAsia="仿宋_GB2312" w:cs="仿宋_GB2312"/>
          <w:color w:val="auto"/>
          <w:sz w:val="24"/>
          <w:szCs w:val="21"/>
        </w:rPr>
        <w:t>经正式授权并代表投标人</w:t>
      </w:r>
      <w:r>
        <w:rPr>
          <w:rFonts w:hint="eastAsia" w:ascii="仿宋_GB2312" w:hAnsi="仿宋" w:eastAsia="仿宋_GB2312" w:cs="仿宋_GB2312"/>
          <w:color w:val="auto"/>
          <w:sz w:val="24"/>
          <w:szCs w:val="21"/>
          <w:u w:val="single"/>
        </w:rPr>
        <w:t>（名称、地址）</w:t>
      </w:r>
      <w:r>
        <w:rPr>
          <w:rFonts w:hint="eastAsia" w:ascii="仿宋_GB2312" w:hAnsi="仿宋" w:eastAsia="仿宋_GB2312" w:cs="仿宋_GB2312"/>
          <w:color w:val="auto"/>
          <w:sz w:val="24"/>
          <w:szCs w:val="21"/>
        </w:rPr>
        <w:t>提交下述文件正本</w:t>
      </w:r>
      <w:r>
        <w:rPr>
          <w:rFonts w:hint="eastAsia" w:ascii="仿宋_GB2312" w:hAnsi="仿宋" w:eastAsia="仿宋_GB2312" w:cs="仿宋_GB2312"/>
          <w:color w:val="auto"/>
          <w:sz w:val="24"/>
          <w:szCs w:val="21"/>
          <w:u w:val="single"/>
        </w:rPr>
        <w:t xml:space="preserve">  / </w:t>
      </w:r>
      <w:r>
        <w:rPr>
          <w:rFonts w:hint="eastAsia" w:ascii="仿宋_GB2312" w:hAnsi="仿宋" w:eastAsia="仿宋_GB2312" w:cs="仿宋_GB2312"/>
          <w:color w:val="auto"/>
          <w:sz w:val="24"/>
          <w:szCs w:val="21"/>
        </w:rPr>
        <w:t>份、副本</w:t>
      </w:r>
      <w:r>
        <w:rPr>
          <w:rFonts w:hint="eastAsia" w:ascii="仿宋_GB2312" w:hAnsi="仿宋" w:eastAsia="仿宋_GB2312" w:cs="仿宋_GB2312"/>
          <w:color w:val="auto"/>
          <w:sz w:val="24"/>
          <w:szCs w:val="21"/>
          <w:u w:val="single"/>
        </w:rPr>
        <w:t xml:space="preserve"> / </w:t>
      </w:r>
      <w:r>
        <w:rPr>
          <w:rFonts w:hint="eastAsia" w:ascii="仿宋_GB2312" w:hAnsi="仿宋" w:eastAsia="仿宋_GB2312" w:cs="仿宋_GB2312"/>
          <w:color w:val="auto"/>
          <w:sz w:val="24"/>
          <w:szCs w:val="21"/>
        </w:rPr>
        <w:t>份及电子文档</w:t>
      </w:r>
      <w:r>
        <w:rPr>
          <w:rFonts w:hint="eastAsia" w:ascii="仿宋_GB2312" w:hAnsi="仿宋" w:eastAsia="仿宋_GB2312" w:cs="仿宋_GB2312"/>
          <w:color w:val="auto"/>
          <w:sz w:val="24"/>
          <w:szCs w:val="21"/>
          <w:u w:val="single"/>
        </w:rPr>
        <w:t xml:space="preserve"> 1 </w:t>
      </w:r>
      <w:r>
        <w:rPr>
          <w:rFonts w:hint="eastAsia" w:ascii="仿宋_GB2312" w:hAnsi="仿宋" w:eastAsia="仿宋_GB2312" w:cs="仿宋_GB2312"/>
          <w:color w:val="auto"/>
          <w:sz w:val="24"/>
          <w:szCs w:val="21"/>
        </w:rPr>
        <w:t>份，并以</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形式出具的金额为</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人民币元的投标保证金。</w:t>
      </w:r>
    </w:p>
    <w:p w14:paraId="6B3845AD">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据此，签字代表宣布同意如下：</w:t>
      </w:r>
    </w:p>
    <w:p w14:paraId="4801251E">
      <w:pPr>
        <w:numPr>
          <w:ilvl w:val="0"/>
          <w:numId w:val="4"/>
        </w:num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本项目投标总价详见开标一览表。</w:t>
      </w:r>
    </w:p>
    <w:p w14:paraId="49AFDDBE">
      <w:pPr>
        <w:numPr>
          <w:ilvl w:val="0"/>
          <w:numId w:val="4"/>
        </w:num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本投标有效期为自递交投标文件截止之日起</w:t>
      </w:r>
      <w:r>
        <w:rPr>
          <w:rFonts w:hint="eastAsia" w:ascii="仿宋_GB2312" w:hAnsi="仿宋" w:eastAsia="仿宋_GB2312" w:cs="仿宋_GB2312"/>
          <w:color w:val="auto"/>
          <w:sz w:val="24"/>
          <w:szCs w:val="21"/>
          <w:u w:val="single"/>
        </w:rPr>
        <w:t>90</w:t>
      </w:r>
      <w:r>
        <w:rPr>
          <w:rFonts w:hint="eastAsia" w:ascii="仿宋_GB2312" w:hAnsi="仿宋" w:eastAsia="仿宋_GB2312" w:cs="仿宋_GB2312"/>
          <w:color w:val="auto"/>
          <w:sz w:val="24"/>
          <w:szCs w:val="21"/>
        </w:rPr>
        <w:t>日历日。</w:t>
      </w:r>
    </w:p>
    <w:p w14:paraId="7C6B7766">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（3）已详细审查全部招标文件，包括所有补充通知（如有）。</w:t>
      </w:r>
    </w:p>
    <w:p w14:paraId="4BAA1097">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（4）在规定的开标时间后，遵守招标文件中有关保证金的规定（如有）。</w:t>
      </w:r>
    </w:p>
    <w:p w14:paraId="1BE7A04D">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（5）我方不是为本项目提供整体设计、规范编制或者项目管理、检测等服务的投标人，我方不是采购组织机构的附属机构。</w:t>
      </w:r>
    </w:p>
    <w:p w14:paraId="0AE34909">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（6）我方承诺在领取中标通知书的同时按招标文件规定的形式，向采购组织机构一次性支付采购代理服务费（适用于中标人支付采购代理服务费情形）。</w:t>
      </w:r>
    </w:p>
    <w:p w14:paraId="6B5CAC7C">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（7）按照贵方可能要求，提供与其投标有关的一切数据或资料，完全理解贵方不一定接受最低价的投标或收到的任何投标。</w:t>
      </w:r>
    </w:p>
    <w:p w14:paraId="204AFC3F">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（8）按照招标文件的规定履行合同责任和义务。</w:t>
      </w:r>
    </w:p>
    <w:p w14:paraId="3EF7B83C">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（9）我方承诺投标文件中的证明材料真实、合法、有效。</w:t>
      </w:r>
    </w:p>
    <w:p w14:paraId="1776C635">
      <w:pPr>
        <w:adjustRightInd w:val="0"/>
        <w:snapToGrid w:val="0"/>
        <w:spacing w:line="400" w:lineRule="exact"/>
        <w:ind w:right="-21" w:rightChars="-10" w:firstLine="480" w:firstLineChars="200"/>
        <w:rPr>
          <w:color w:val="auto"/>
        </w:rPr>
      </w:pPr>
      <w:r>
        <w:rPr>
          <w:rFonts w:hint="eastAsia" w:ascii="仿宋_GB2312" w:hAnsi="仿宋" w:eastAsia="仿宋_GB2312" w:cs="仿宋_GB2312"/>
          <w:color w:val="auto"/>
          <w:sz w:val="24"/>
          <w:szCs w:val="21"/>
        </w:rPr>
        <w:t>其他事项：</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w:t>
      </w:r>
    </w:p>
    <w:p w14:paraId="460D418C">
      <w:pPr>
        <w:adjustRightInd w:val="0"/>
        <w:snapToGrid w:val="0"/>
        <w:spacing w:line="400" w:lineRule="exact"/>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与本项目有关的一切往来通讯请寄</w:t>
      </w:r>
    </w:p>
    <w:p w14:paraId="0C3833FA">
      <w:pPr>
        <w:adjustRightInd w:val="0"/>
        <w:snapToGrid w:val="0"/>
        <w:spacing w:line="420" w:lineRule="exact"/>
        <w:ind w:right="-21" w:rightChars="-10"/>
        <w:rPr>
          <w:rFonts w:ascii="仿宋_GB2312" w:hAnsi="仿宋" w:eastAsia="仿宋_GB2312" w:cs="仿宋_GB2312"/>
          <w:color w:val="auto"/>
          <w:sz w:val="24"/>
          <w:szCs w:val="21"/>
        </w:rPr>
      </w:pPr>
    </w:p>
    <w:p w14:paraId="2BE84DB4">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地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址：</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传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真：</w:t>
      </w:r>
      <w:r>
        <w:rPr>
          <w:rFonts w:hint="eastAsia" w:ascii="仿宋_GB2312" w:hAnsi="仿宋" w:eastAsia="仿宋_GB2312" w:cs="仿宋_GB2312"/>
          <w:color w:val="auto"/>
          <w:sz w:val="24"/>
          <w:szCs w:val="21"/>
          <w:u w:val="single"/>
        </w:rPr>
        <w:t xml:space="preserve">                         </w:t>
      </w:r>
    </w:p>
    <w:p w14:paraId="004FBE26">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电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话：</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电子邮件：</w:t>
      </w:r>
      <w:r>
        <w:rPr>
          <w:rFonts w:hint="eastAsia" w:ascii="仿宋_GB2312" w:hAnsi="仿宋" w:eastAsia="仿宋_GB2312" w:cs="仿宋_GB2312"/>
          <w:color w:val="auto"/>
          <w:sz w:val="24"/>
          <w:szCs w:val="21"/>
          <w:u w:val="single"/>
        </w:rPr>
        <w:t xml:space="preserve">                     </w:t>
      </w:r>
    </w:p>
    <w:p w14:paraId="73C93DF3">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法定代表人（非法人组织负责人）或其授权委托人（签字或盖章）：</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11F6260C">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投标人名称（加盖单位公章）：</w:t>
      </w:r>
      <w:r>
        <w:rPr>
          <w:rFonts w:hint="eastAsia" w:ascii="仿宋_GB2312" w:hAnsi="仿宋" w:eastAsia="仿宋_GB2312" w:cs="仿宋_GB2312"/>
          <w:color w:val="auto"/>
          <w:sz w:val="24"/>
          <w:szCs w:val="21"/>
          <w:u w:val="single"/>
        </w:rPr>
        <w:t xml:space="preserve">           </w:t>
      </w:r>
    </w:p>
    <w:p w14:paraId="5FCAB747">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投标人开户银行（全称）：</w:t>
      </w:r>
      <w:r>
        <w:rPr>
          <w:rFonts w:hint="eastAsia" w:ascii="仿宋_GB2312" w:hAnsi="仿宋" w:eastAsia="仿宋_GB2312" w:cs="仿宋_GB2312"/>
          <w:color w:val="auto"/>
          <w:sz w:val="24"/>
          <w:szCs w:val="21"/>
          <w:u w:val="single"/>
        </w:rPr>
        <w:t xml:space="preserve">               </w:t>
      </w:r>
    </w:p>
    <w:p w14:paraId="34A81715">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投标人银行账号：</w:t>
      </w:r>
      <w:r>
        <w:rPr>
          <w:rFonts w:hint="eastAsia" w:ascii="仿宋_GB2312" w:hAnsi="仿宋" w:eastAsia="仿宋_GB2312" w:cs="仿宋_GB2312"/>
          <w:color w:val="auto"/>
          <w:sz w:val="24"/>
          <w:szCs w:val="21"/>
          <w:u w:val="single"/>
        </w:rPr>
        <w:t xml:space="preserve">                      </w:t>
      </w:r>
    </w:p>
    <w:p w14:paraId="167C6C13">
      <w:pPr>
        <w:adjustRightInd w:val="0"/>
        <w:snapToGrid w:val="0"/>
        <w:spacing w:line="360" w:lineRule="auto"/>
        <w:ind w:right="1050" w:rightChars="500"/>
        <w:rPr>
          <w:rFonts w:ascii="仿宋_GB2312" w:hAnsi="仿宋" w:eastAsia="仿宋_GB2312" w:cs="仿宋_GB2312"/>
          <w:color w:val="auto"/>
          <w:sz w:val="24"/>
          <w:szCs w:val="21"/>
          <w:u w:val="single"/>
        </w:rPr>
        <w:sectPr>
          <w:headerReference r:id="rId6" w:type="default"/>
          <w:pgSz w:w="11906" w:h="16838"/>
          <w:pgMar w:top="1719" w:right="1703" w:bottom="1418" w:left="1803" w:header="1091" w:footer="987" w:gutter="0"/>
          <w:cols w:space="720" w:num="1"/>
          <w:docGrid w:type="linesAndChars" w:linePitch="319" w:charSpace="0"/>
        </w:sect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 xml:space="preserve">  期：</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br w:type="page"/>
      </w:r>
    </w:p>
    <w:p w14:paraId="123709A6">
      <w:pPr>
        <w:pStyle w:val="4"/>
        <w:adjustRightInd w:val="0"/>
        <w:snapToGrid w:val="0"/>
        <w:spacing w:before="0" w:after="0" w:line="240" w:lineRule="auto"/>
        <w:jc w:val="left"/>
        <w:rPr>
          <w:rStyle w:val="38"/>
          <w:rFonts w:ascii="仿宋_GB2312" w:hAnsi="仿宋_GB2312" w:eastAsia="仿宋_GB2312" w:cs="仿宋_GB2312"/>
          <w:b/>
          <w:color w:val="auto"/>
          <w:sz w:val="28"/>
          <w:szCs w:val="28"/>
        </w:rPr>
      </w:pPr>
      <w:r>
        <w:rPr>
          <w:rStyle w:val="38"/>
          <w:rFonts w:hint="eastAsia" w:ascii="仿宋_GB2312" w:hAnsi="仿宋_GB2312" w:eastAsia="仿宋_GB2312" w:cs="仿宋_GB2312"/>
          <w:b/>
          <w:color w:val="auto"/>
          <w:sz w:val="28"/>
          <w:szCs w:val="28"/>
        </w:rPr>
        <w:t>格式11</w:t>
      </w:r>
    </w:p>
    <w:p w14:paraId="24033E62">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120" w:name="_Toc2673_WPSOffice_Level2"/>
      <w:bookmarkStart w:id="121" w:name="_Toc11267_WPSOffice_Level2"/>
      <w:r>
        <w:rPr>
          <w:rFonts w:hint="eastAsia" w:ascii="方正小标宋简体" w:hAnsi="仿宋" w:eastAsia="方正小标宋简体" w:cs="仿宋_GB2312"/>
          <w:color w:val="auto"/>
          <w:sz w:val="32"/>
          <w:szCs w:val="32"/>
        </w:rPr>
        <w:t>开标一览表</w:t>
      </w:r>
      <w:bookmarkEnd w:id="120"/>
      <w:bookmarkEnd w:id="121"/>
    </w:p>
    <w:p w14:paraId="51339BCB">
      <w:pPr>
        <w:adjustRightInd w:val="0"/>
        <w:snapToGrid w:val="0"/>
        <w:spacing w:line="360" w:lineRule="auto"/>
        <w:ind w:right="105" w:rightChars="50"/>
        <w:jc w:val="left"/>
        <w:rPr>
          <w:rFonts w:ascii="仿宋_GB2312" w:hAnsi="仿宋" w:eastAsia="仿宋_GB2312" w:cs="仿宋_GB2312"/>
          <w:b/>
          <w:bCs/>
          <w:color w:val="auto"/>
          <w:sz w:val="24"/>
          <w:szCs w:val="21"/>
        </w:rPr>
      </w:pPr>
      <w:r>
        <w:rPr>
          <w:rFonts w:hint="eastAsia" w:ascii="仿宋_GB2312" w:hAnsi="仿宋" w:eastAsia="仿宋_GB2312" w:cs="仿宋_GB2312"/>
          <w:b/>
          <w:color w:val="auto"/>
          <w:sz w:val="24"/>
          <w:szCs w:val="21"/>
        </w:rPr>
        <w:t>项目名称</w:t>
      </w:r>
      <w:r>
        <w:rPr>
          <w:rFonts w:hint="eastAsia" w:ascii="仿宋_GB2312" w:hAnsi="仿宋" w:eastAsia="仿宋_GB2312" w:cs="仿宋_GB2312"/>
          <w:b/>
          <w:bCs/>
          <w:color w:val="auto"/>
          <w:sz w:val="24"/>
          <w:szCs w:val="21"/>
        </w:rPr>
        <w:t>：                                              报价单位：</w:t>
      </w:r>
      <w:r>
        <w:rPr>
          <w:rFonts w:hint="eastAsia" w:ascii="仿宋_GB2312" w:hAnsi="仿宋" w:eastAsia="仿宋_GB2312" w:cs="仿宋_GB2312"/>
          <w:b/>
          <w:color w:val="auto"/>
          <w:sz w:val="24"/>
          <w:szCs w:val="21"/>
        </w:rPr>
        <w:t>元</w:t>
      </w:r>
    </w:p>
    <w:tbl>
      <w:tblPr>
        <w:tblStyle w:val="25"/>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639"/>
        <w:gridCol w:w="1950"/>
        <w:gridCol w:w="1560"/>
        <w:gridCol w:w="1537"/>
        <w:gridCol w:w="1168"/>
      </w:tblGrid>
      <w:tr w14:paraId="0C4C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883" w:type="dxa"/>
            <w:vAlign w:val="center"/>
          </w:tcPr>
          <w:p w14:paraId="6AD9D8A8">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bCs/>
                <w:color w:val="auto"/>
                <w:sz w:val="24"/>
                <w:szCs w:val="21"/>
              </w:rPr>
              <w:t>包号</w:t>
            </w:r>
          </w:p>
        </w:tc>
        <w:tc>
          <w:tcPr>
            <w:tcW w:w="1639" w:type="dxa"/>
            <w:vAlign w:val="center"/>
          </w:tcPr>
          <w:p w14:paraId="5ED56982">
            <w:pPr>
              <w:adjustRightInd w:val="0"/>
              <w:snapToGrid w:val="0"/>
              <w:ind w:left="-54" w:leftChars="-26" w:right="-46" w:rightChars="-22"/>
              <w:jc w:val="center"/>
              <w:rPr>
                <w:rFonts w:ascii="仿宋_GB2312" w:hAnsi="仿宋" w:eastAsia="仿宋_GB2312" w:cs="仿宋_GB2312"/>
                <w:b/>
                <w:bCs/>
                <w:color w:val="auto"/>
                <w:sz w:val="24"/>
                <w:szCs w:val="21"/>
              </w:rPr>
            </w:pPr>
            <w:r>
              <w:rPr>
                <w:rFonts w:hint="eastAsia" w:ascii="仿宋_GB2312" w:hAnsi="仿宋" w:eastAsia="仿宋_GB2312" w:cs="仿宋_GB2312"/>
                <w:b/>
                <w:bCs/>
                <w:color w:val="auto"/>
                <w:sz w:val="24"/>
                <w:szCs w:val="21"/>
              </w:rPr>
              <w:t>包组名称</w:t>
            </w:r>
          </w:p>
        </w:tc>
        <w:tc>
          <w:tcPr>
            <w:tcW w:w="1950" w:type="dxa"/>
            <w:vAlign w:val="center"/>
          </w:tcPr>
          <w:p w14:paraId="545930FA">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投标总价</w:t>
            </w:r>
          </w:p>
          <w:p w14:paraId="46CCBEA5">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（元）</w:t>
            </w:r>
          </w:p>
        </w:tc>
        <w:tc>
          <w:tcPr>
            <w:tcW w:w="1560" w:type="dxa"/>
            <w:vAlign w:val="center"/>
          </w:tcPr>
          <w:p w14:paraId="62C5A922">
            <w:pPr>
              <w:adjustRightInd w:val="0"/>
              <w:snapToGrid w:val="0"/>
              <w:ind w:right="-33" w:rightChars="-16"/>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履约期限</w:t>
            </w:r>
          </w:p>
        </w:tc>
        <w:tc>
          <w:tcPr>
            <w:tcW w:w="1537" w:type="dxa"/>
            <w:vAlign w:val="center"/>
          </w:tcPr>
          <w:p w14:paraId="7506F213">
            <w:pPr>
              <w:adjustRightInd w:val="0"/>
              <w:snapToGrid w:val="0"/>
              <w:ind w:right="-42" w:rightChars="-20"/>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履约地点</w:t>
            </w:r>
          </w:p>
        </w:tc>
        <w:tc>
          <w:tcPr>
            <w:tcW w:w="1168" w:type="dxa"/>
            <w:vAlign w:val="center"/>
          </w:tcPr>
          <w:p w14:paraId="055F3E10">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备注</w:t>
            </w:r>
          </w:p>
        </w:tc>
      </w:tr>
      <w:tr w14:paraId="2E89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883" w:type="dxa"/>
            <w:vAlign w:val="center"/>
          </w:tcPr>
          <w:p w14:paraId="2D8B728F">
            <w:pPr>
              <w:adjustRightInd w:val="0"/>
              <w:snapToGrid w:val="0"/>
              <w:ind w:left="-54" w:leftChars="-26" w:right="-46" w:rightChars="-22"/>
              <w:jc w:val="center"/>
              <w:rPr>
                <w:rFonts w:ascii="仿宋_GB2312" w:hAnsi="仿宋" w:eastAsia="仿宋_GB2312" w:cs="仿宋_GB2312"/>
                <w:color w:val="auto"/>
                <w:sz w:val="24"/>
                <w:szCs w:val="21"/>
              </w:rPr>
            </w:pPr>
          </w:p>
        </w:tc>
        <w:tc>
          <w:tcPr>
            <w:tcW w:w="1639" w:type="dxa"/>
            <w:vAlign w:val="center"/>
          </w:tcPr>
          <w:p w14:paraId="08E2D743">
            <w:pPr>
              <w:adjustRightInd w:val="0"/>
              <w:snapToGrid w:val="0"/>
              <w:ind w:left="-54" w:leftChars="-26" w:right="-46" w:rightChars="-22"/>
              <w:jc w:val="center"/>
              <w:rPr>
                <w:rFonts w:ascii="仿宋_GB2312" w:hAnsi="仿宋" w:eastAsia="仿宋_GB2312" w:cs="仿宋_GB2312"/>
                <w:color w:val="auto"/>
                <w:sz w:val="24"/>
                <w:szCs w:val="21"/>
              </w:rPr>
            </w:pPr>
          </w:p>
        </w:tc>
        <w:tc>
          <w:tcPr>
            <w:tcW w:w="1950" w:type="dxa"/>
            <w:vAlign w:val="center"/>
          </w:tcPr>
          <w:p w14:paraId="789174C2">
            <w:pPr>
              <w:adjustRightInd w:val="0"/>
              <w:snapToGrid w:val="0"/>
              <w:ind w:left="-54" w:leftChars="-26" w:right="-46" w:rightChars="-22"/>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小写：</w:t>
            </w:r>
          </w:p>
          <w:p w14:paraId="7A3B44CA">
            <w:pPr>
              <w:adjustRightInd w:val="0"/>
              <w:snapToGrid w:val="0"/>
              <w:ind w:left="-54" w:leftChars="-26" w:right="-46" w:rightChars="-22"/>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大写：</w:t>
            </w:r>
          </w:p>
        </w:tc>
        <w:tc>
          <w:tcPr>
            <w:tcW w:w="1560" w:type="dxa"/>
            <w:vAlign w:val="center"/>
          </w:tcPr>
          <w:p w14:paraId="4B7F058E">
            <w:pPr>
              <w:adjustRightInd w:val="0"/>
              <w:snapToGrid w:val="0"/>
              <w:ind w:left="-54" w:leftChars="-26" w:right="-46" w:rightChars="-22"/>
              <w:jc w:val="center"/>
              <w:rPr>
                <w:rFonts w:ascii="仿宋_GB2312" w:hAnsi="仿宋" w:eastAsia="仿宋_GB2312" w:cs="仿宋_GB2312"/>
                <w:color w:val="auto"/>
                <w:sz w:val="24"/>
                <w:szCs w:val="21"/>
              </w:rPr>
            </w:pPr>
          </w:p>
        </w:tc>
        <w:tc>
          <w:tcPr>
            <w:tcW w:w="1537" w:type="dxa"/>
            <w:vAlign w:val="center"/>
          </w:tcPr>
          <w:p w14:paraId="721E1343">
            <w:pPr>
              <w:adjustRightInd w:val="0"/>
              <w:snapToGrid w:val="0"/>
              <w:ind w:left="-54" w:leftChars="-26" w:right="-46" w:rightChars="-22"/>
              <w:jc w:val="center"/>
              <w:rPr>
                <w:rFonts w:ascii="仿宋_GB2312" w:hAnsi="仿宋" w:eastAsia="仿宋_GB2312" w:cs="仿宋_GB2312"/>
                <w:color w:val="auto"/>
                <w:sz w:val="24"/>
                <w:szCs w:val="21"/>
              </w:rPr>
            </w:pPr>
          </w:p>
        </w:tc>
        <w:tc>
          <w:tcPr>
            <w:tcW w:w="1168" w:type="dxa"/>
            <w:vAlign w:val="center"/>
          </w:tcPr>
          <w:p w14:paraId="6BA53999">
            <w:pPr>
              <w:adjustRightInd w:val="0"/>
              <w:snapToGrid w:val="0"/>
              <w:ind w:left="-54" w:leftChars="-26" w:right="-46" w:rightChars="-22"/>
              <w:jc w:val="center"/>
              <w:rPr>
                <w:rFonts w:ascii="仿宋_GB2312" w:hAnsi="仿宋" w:eastAsia="仿宋_GB2312" w:cs="仿宋_GB2312"/>
                <w:color w:val="auto"/>
                <w:sz w:val="24"/>
                <w:szCs w:val="21"/>
              </w:rPr>
            </w:pPr>
          </w:p>
        </w:tc>
      </w:tr>
    </w:tbl>
    <w:p w14:paraId="22EC92B0">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p>
    <w:p w14:paraId="045FBD2E">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注：此表中，投标总价应和服务价格明细表的总价相一致。</w:t>
      </w:r>
    </w:p>
    <w:p w14:paraId="4F4CF277">
      <w:pPr>
        <w:adjustRightInd w:val="0"/>
        <w:snapToGrid w:val="0"/>
        <w:spacing w:line="360" w:lineRule="auto"/>
        <w:ind w:right="105" w:rightChars="50"/>
        <w:jc w:val="left"/>
        <w:rPr>
          <w:rFonts w:ascii="仿宋_GB2312" w:hAnsi="仿宋" w:eastAsia="仿宋_GB2312" w:cs="仿宋_GB2312"/>
          <w:color w:val="auto"/>
          <w:sz w:val="24"/>
          <w:szCs w:val="21"/>
        </w:rPr>
      </w:pPr>
    </w:p>
    <w:p w14:paraId="1295F872">
      <w:pPr>
        <w:adjustRightInd w:val="0"/>
        <w:snapToGrid w:val="0"/>
        <w:spacing w:line="360" w:lineRule="auto"/>
        <w:ind w:right="105" w:rightChars="50"/>
        <w:jc w:val="left"/>
        <w:rPr>
          <w:rFonts w:ascii="仿宋_GB2312" w:hAnsi="仿宋" w:eastAsia="仿宋_GB2312" w:cs="仿宋_GB2312"/>
          <w:color w:val="auto"/>
          <w:sz w:val="24"/>
          <w:szCs w:val="21"/>
        </w:rPr>
      </w:pPr>
    </w:p>
    <w:p w14:paraId="29D1F323">
      <w:pPr>
        <w:adjustRightInd w:val="0"/>
        <w:snapToGrid w:val="0"/>
        <w:spacing w:line="360" w:lineRule="auto"/>
        <w:ind w:right="105" w:rightChars="50"/>
        <w:jc w:val="left"/>
        <w:rPr>
          <w:rFonts w:ascii="仿宋_GB2312" w:hAnsi="仿宋" w:eastAsia="仿宋_GB2312" w:cs="仿宋_GB2312"/>
          <w:color w:val="auto"/>
          <w:sz w:val="24"/>
          <w:szCs w:val="21"/>
        </w:rPr>
      </w:pPr>
    </w:p>
    <w:p w14:paraId="3E13B597">
      <w:pPr>
        <w:adjustRightInd w:val="0"/>
        <w:snapToGrid w:val="0"/>
        <w:spacing w:line="360" w:lineRule="auto"/>
        <w:ind w:right="105" w:rightChars="50"/>
        <w:jc w:val="left"/>
        <w:rPr>
          <w:rFonts w:ascii="仿宋_GB2312" w:hAnsi="仿宋" w:eastAsia="仿宋_GB2312" w:cs="仿宋_GB2312"/>
          <w:color w:val="auto"/>
          <w:sz w:val="24"/>
          <w:szCs w:val="21"/>
        </w:rPr>
      </w:pPr>
    </w:p>
    <w:p w14:paraId="58F3BA1B">
      <w:pPr>
        <w:adjustRightInd w:val="0"/>
        <w:snapToGrid w:val="0"/>
        <w:spacing w:line="360" w:lineRule="auto"/>
        <w:ind w:right="105" w:rightChars="50"/>
        <w:jc w:val="left"/>
        <w:rPr>
          <w:rFonts w:ascii="仿宋_GB2312" w:hAnsi="仿宋" w:eastAsia="仿宋_GB2312" w:cs="仿宋_GB2312"/>
          <w:color w:val="auto"/>
          <w:sz w:val="24"/>
          <w:szCs w:val="21"/>
        </w:rPr>
      </w:pPr>
    </w:p>
    <w:p w14:paraId="69246BE1">
      <w:pPr>
        <w:adjustRightInd w:val="0"/>
        <w:snapToGrid w:val="0"/>
        <w:spacing w:line="480" w:lineRule="auto"/>
        <w:rPr>
          <w:rFonts w:ascii="仿宋_GB2312" w:hAnsi="仿宋" w:eastAsia="仿宋_GB2312" w:cs="仿宋_GB2312"/>
          <w:color w:val="auto"/>
          <w:sz w:val="24"/>
        </w:rPr>
      </w:pPr>
    </w:p>
    <w:p w14:paraId="03FD6F31">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22A2A4EB">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1CED07DB">
      <w:pPr>
        <w:adjustRightInd w:val="0"/>
        <w:snapToGrid w:val="0"/>
        <w:spacing w:line="480" w:lineRule="auto"/>
        <w:ind w:right="1050" w:rightChars="500"/>
        <w:rPr>
          <w:rFonts w:ascii="仿宋_GB2312" w:hAnsi="仿宋" w:eastAsia="仿宋_GB2312" w:cs="仿宋_GB2312"/>
          <w:color w:val="auto"/>
          <w:sz w:val="24"/>
          <w:szCs w:val="21"/>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szCs w:val="21"/>
        </w:rPr>
        <w:t xml:space="preserve"> </w:t>
      </w:r>
    </w:p>
    <w:p w14:paraId="7AC15218">
      <w:pPr>
        <w:adjustRightInd w:val="0"/>
        <w:snapToGrid w:val="0"/>
        <w:spacing w:line="480" w:lineRule="auto"/>
        <w:ind w:right="1050" w:rightChars="500"/>
        <w:rPr>
          <w:rFonts w:ascii="仿宋_GB2312" w:hAnsi="仿宋" w:eastAsia="仿宋_GB2312" w:cs="仿宋_GB2312"/>
          <w:color w:val="auto"/>
          <w:szCs w:val="21"/>
        </w:rPr>
      </w:pPr>
    </w:p>
    <w:p w14:paraId="0734AC61">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Style w:val="38"/>
          <w:rFonts w:hint="eastAsia" w:ascii="仿宋_GB2312" w:hAnsi="仿宋_GB2312" w:eastAsia="仿宋_GB2312" w:cs="仿宋_GB2312"/>
          <w:b/>
          <w:color w:val="auto"/>
          <w:sz w:val="28"/>
          <w:szCs w:val="28"/>
        </w:rPr>
        <w:t>格式12</w:t>
      </w:r>
    </w:p>
    <w:p w14:paraId="01AF4628">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 xml:space="preserve">服务价格明细表 </w:t>
      </w:r>
    </w:p>
    <w:p w14:paraId="11169A22">
      <w:pPr>
        <w:adjustRightInd w:val="0"/>
        <w:snapToGrid w:val="0"/>
        <w:spacing w:line="360" w:lineRule="auto"/>
        <w:ind w:right="105" w:rightChars="50"/>
        <w:jc w:val="left"/>
        <w:rPr>
          <w:rFonts w:ascii="仿宋_GB2312" w:hAnsi="仿宋" w:eastAsia="仿宋_GB2312" w:cs="仿宋_GB2312"/>
          <w:b/>
          <w:bCs/>
          <w:color w:val="auto"/>
          <w:sz w:val="24"/>
        </w:rPr>
      </w:pPr>
      <w:r>
        <w:rPr>
          <w:rFonts w:hint="eastAsia" w:ascii="仿宋_GB2312" w:hAnsi="仿宋" w:eastAsia="仿宋_GB2312" w:cs="仿宋_GB2312"/>
          <w:b/>
          <w:bCs/>
          <w:color w:val="auto"/>
          <w:sz w:val="24"/>
        </w:rPr>
        <w:t>包号：                                               报价单位：</w:t>
      </w:r>
      <w:r>
        <w:rPr>
          <w:rFonts w:hint="eastAsia" w:ascii="仿宋_GB2312" w:hAnsi="仿宋" w:eastAsia="仿宋_GB2312" w:cs="仿宋_GB2312"/>
          <w:b/>
          <w:color w:val="auto"/>
          <w:sz w:val="24"/>
          <w:szCs w:val="21"/>
        </w:rPr>
        <w:t>元</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3956"/>
        <w:gridCol w:w="2268"/>
        <w:gridCol w:w="1124"/>
      </w:tblGrid>
      <w:tr w14:paraId="1B17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3" w:hRule="atLeast"/>
          <w:jc w:val="center"/>
        </w:trPr>
        <w:tc>
          <w:tcPr>
            <w:tcW w:w="1061" w:type="dxa"/>
            <w:vAlign w:val="center"/>
          </w:tcPr>
          <w:p w14:paraId="32EF6661">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序号</w:t>
            </w:r>
          </w:p>
        </w:tc>
        <w:tc>
          <w:tcPr>
            <w:tcW w:w="3956" w:type="dxa"/>
            <w:vAlign w:val="center"/>
          </w:tcPr>
          <w:p w14:paraId="00ACA99C">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服务名称</w:t>
            </w:r>
          </w:p>
        </w:tc>
        <w:tc>
          <w:tcPr>
            <w:tcW w:w="2268" w:type="dxa"/>
            <w:vAlign w:val="center"/>
          </w:tcPr>
          <w:p w14:paraId="140DED10">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投标报价</w:t>
            </w:r>
            <w:r>
              <w:rPr>
                <w:rFonts w:hint="eastAsia" w:ascii="仿宋_GB2312" w:hAnsi="仿宋" w:eastAsia="仿宋_GB2312" w:cs="仿宋_GB2312"/>
                <w:b/>
                <w:bCs/>
                <w:color w:val="auto"/>
                <w:sz w:val="24"/>
                <w:szCs w:val="21"/>
              </w:rPr>
              <w:t>（元）</w:t>
            </w:r>
          </w:p>
        </w:tc>
        <w:tc>
          <w:tcPr>
            <w:tcW w:w="1124" w:type="dxa"/>
            <w:vAlign w:val="center"/>
          </w:tcPr>
          <w:p w14:paraId="682FD2B1">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备注</w:t>
            </w:r>
          </w:p>
        </w:tc>
      </w:tr>
      <w:tr w14:paraId="4FE1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5FD3EC92">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69DD2FC4">
            <w:pPr>
              <w:adjustRightInd w:val="0"/>
              <w:snapToGrid w:val="0"/>
              <w:ind w:left="-81" w:leftChars="-39" w:right="-46" w:rightChars="-22"/>
              <w:jc w:val="center"/>
              <w:rPr>
                <w:rFonts w:ascii="仿宋_GB2312" w:hAnsi="仿宋" w:eastAsia="仿宋_GB2312" w:cs="仿宋_GB2312"/>
                <w:color w:val="auto"/>
                <w:sz w:val="24"/>
              </w:rPr>
            </w:pPr>
          </w:p>
        </w:tc>
        <w:tc>
          <w:tcPr>
            <w:tcW w:w="2268" w:type="dxa"/>
            <w:vAlign w:val="center"/>
          </w:tcPr>
          <w:p w14:paraId="07E8F284">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3F830787">
            <w:pPr>
              <w:adjustRightInd w:val="0"/>
              <w:snapToGrid w:val="0"/>
              <w:ind w:right="105" w:rightChars="50"/>
              <w:jc w:val="center"/>
              <w:rPr>
                <w:rFonts w:ascii="仿宋_GB2312" w:hAnsi="仿宋" w:eastAsia="仿宋_GB2312" w:cs="仿宋_GB2312"/>
                <w:color w:val="auto"/>
                <w:sz w:val="24"/>
              </w:rPr>
            </w:pPr>
          </w:p>
        </w:tc>
      </w:tr>
      <w:tr w14:paraId="00CA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24AB3205">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6AB0596D">
            <w:pPr>
              <w:adjustRightInd w:val="0"/>
              <w:snapToGrid w:val="0"/>
              <w:ind w:left="-81" w:leftChars="-39" w:right="-46" w:rightChars="-22"/>
              <w:jc w:val="center"/>
              <w:rPr>
                <w:rFonts w:ascii="仿宋_GB2312" w:hAnsi="仿宋" w:eastAsia="仿宋_GB2312" w:cs="仿宋_GB2312"/>
                <w:color w:val="auto"/>
                <w:sz w:val="24"/>
              </w:rPr>
            </w:pPr>
          </w:p>
        </w:tc>
        <w:tc>
          <w:tcPr>
            <w:tcW w:w="2268" w:type="dxa"/>
            <w:vAlign w:val="center"/>
          </w:tcPr>
          <w:p w14:paraId="7E93A4C4">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538492B3">
            <w:pPr>
              <w:adjustRightInd w:val="0"/>
              <w:snapToGrid w:val="0"/>
              <w:ind w:right="105" w:rightChars="50"/>
              <w:jc w:val="center"/>
              <w:rPr>
                <w:rFonts w:ascii="仿宋_GB2312" w:hAnsi="仿宋" w:eastAsia="仿宋_GB2312" w:cs="仿宋_GB2312"/>
                <w:color w:val="auto"/>
                <w:sz w:val="24"/>
              </w:rPr>
            </w:pPr>
          </w:p>
        </w:tc>
      </w:tr>
      <w:tr w14:paraId="5848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shd w:val="clear" w:color="auto" w:fill="auto"/>
            <w:vAlign w:val="center"/>
          </w:tcPr>
          <w:p w14:paraId="4CCE3557">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3F1E493A">
            <w:pPr>
              <w:adjustRightInd w:val="0"/>
              <w:snapToGrid w:val="0"/>
              <w:ind w:left="-81" w:leftChars="-39" w:right="-46" w:rightChars="-22"/>
              <w:jc w:val="center"/>
              <w:rPr>
                <w:rFonts w:ascii="仿宋_GB2312" w:hAnsi="仿宋_GB2312" w:eastAsia="仿宋_GB2312" w:cs="仿宋_GB2312"/>
                <w:color w:val="auto"/>
                <w:sz w:val="24"/>
              </w:rPr>
            </w:pPr>
          </w:p>
        </w:tc>
        <w:tc>
          <w:tcPr>
            <w:tcW w:w="2268" w:type="dxa"/>
            <w:vAlign w:val="center"/>
          </w:tcPr>
          <w:p w14:paraId="0CA2741E">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1E973618">
            <w:pPr>
              <w:adjustRightInd w:val="0"/>
              <w:snapToGrid w:val="0"/>
              <w:ind w:right="105" w:rightChars="50"/>
              <w:jc w:val="center"/>
              <w:rPr>
                <w:rFonts w:ascii="仿宋_GB2312" w:hAnsi="仿宋" w:eastAsia="仿宋_GB2312" w:cs="仿宋_GB2312"/>
                <w:color w:val="auto"/>
                <w:sz w:val="24"/>
              </w:rPr>
            </w:pPr>
          </w:p>
        </w:tc>
      </w:tr>
      <w:tr w14:paraId="13D1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shd w:val="clear" w:color="auto" w:fill="auto"/>
            <w:vAlign w:val="center"/>
          </w:tcPr>
          <w:p w14:paraId="16F04A86">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087906EA">
            <w:pPr>
              <w:adjustRightInd w:val="0"/>
              <w:snapToGrid w:val="0"/>
              <w:ind w:left="-81" w:leftChars="-39" w:right="-46" w:rightChars="-22"/>
              <w:jc w:val="center"/>
              <w:rPr>
                <w:rFonts w:ascii="仿宋_GB2312" w:hAnsi="宋体" w:eastAsia="仿宋_GB2312" w:cs="宋体"/>
                <w:color w:val="auto"/>
                <w:sz w:val="24"/>
              </w:rPr>
            </w:pPr>
          </w:p>
        </w:tc>
        <w:tc>
          <w:tcPr>
            <w:tcW w:w="2268" w:type="dxa"/>
            <w:vAlign w:val="center"/>
          </w:tcPr>
          <w:p w14:paraId="223811D5">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33B00CDE">
            <w:pPr>
              <w:adjustRightInd w:val="0"/>
              <w:snapToGrid w:val="0"/>
              <w:ind w:right="105" w:rightChars="50"/>
              <w:jc w:val="center"/>
              <w:rPr>
                <w:rFonts w:ascii="仿宋_GB2312" w:hAnsi="仿宋" w:eastAsia="仿宋_GB2312" w:cs="仿宋_GB2312"/>
                <w:color w:val="auto"/>
                <w:sz w:val="24"/>
              </w:rPr>
            </w:pPr>
          </w:p>
        </w:tc>
      </w:tr>
      <w:tr w14:paraId="0AD93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41E56EE8">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25676580">
            <w:pPr>
              <w:adjustRightInd w:val="0"/>
              <w:snapToGrid w:val="0"/>
              <w:ind w:left="-81" w:leftChars="-39" w:right="-46" w:rightChars="-22"/>
              <w:jc w:val="center"/>
              <w:rPr>
                <w:rFonts w:ascii="仿宋_GB2312" w:hAnsi="仿宋" w:eastAsia="仿宋_GB2312" w:cs="仿宋_GB2312"/>
                <w:color w:val="auto"/>
                <w:sz w:val="24"/>
              </w:rPr>
            </w:pPr>
          </w:p>
        </w:tc>
        <w:tc>
          <w:tcPr>
            <w:tcW w:w="2268" w:type="dxa"/>
            <w:vAlign w:val="center"/>
          </w:tcPr>
          <w:p w14:paraId="0C93BEC8">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666F4263">
            <w:pPr>
              <w:adjustRightInd w:val="0"/>
              <w:snapToGrid w:val="0"/>
              <w:ind w:right="105" w:rightChars="50"/>
              <w:jc w:val="center"/>
              <w:rPr>
                <w:rFonts w:ascii="仿宋_GB2312" w:hAnsi="仿宋" w:eastAsia="仿宋_GB2312" w:cs="仿宋_GB2312"/>
                <w:color w:val="auto"/>
                <w:sz w:val="24"/>
              </w:rPr>
            </w:pPr>
          </w:p>
        </w:tc>
      </w:tr>
      <w:tr w14:paraId="61EA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409" w:type="dxa"/>
            <w:gridSpan w:val="4"/>
            <w:vAlign w:val="center"/>
          </w:tcPr>
          <w:p w14:paraId="20CAA2C0">
            <w:pPr>
              <w:adjustRightInd w:val="0"/>
              <w:snapToGrid w:val="0"/>
              <w:ind w:right="105" w:rightChars="50"/>
              <w:rPr>
                <w:rFonts w:ascii="仿宋_GB2312" w:hAnsi="仿宋" w:eastAsia="仿宋_GB2312" w:cs="仿宋_GB2312"/>
                <w:color w:val="auto"/>
                <w:sz w:val="24"/>
              </w:rPr>
            </w:pPr>
            <w:r>
              <w:rPr>
                <w:rFonts w:hint="eastAsia" w:ascii="仿宋_GB2312" w:hAnsi="仿宋" w:eastAsia="仿宋_GB2312" w:cs="仿宋_GB2312"/>
                <w:color w:val="auto"/>
                <w:sz w:val="24"/>
              </w:rPr>
              <w:t>总价</w:t>
            </w:r>
            <w:r>
              <w:rPr>
                <w:rFonts w:hint="eastAsia" w:ascii="仿宋_GB2312" w:hAnsi="仿宋" w:eastAsia="仿宋_GB2312" w:cs="仿宋_GB2312"/>
                <w:color w:val="auto"/>
                <w:sz w:val="24"/>
                <w:szCs w:val="21"/>
              </w:rPr>
              <w:t>（元）：</w:t>
            </w:r>
          </w:p>
        </w:tc>
      </w:tr>
    </w:tbl>
    <w:p w14:paraId="22F71632">
      <w:pPr>
        <w:adjustRightInd w:val="0"/>
        <w:snapToGrid w:val="0"/>
        <w:spacing w:before="319" w:beforeLines="100" w:line="36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rPr>
        <w:t>注：1.</w:t>
      </w:r>
      <w:r>
        <w:rPr>
          <w:rFonts w:hint="eastAsia" w:ascii="仿宋_GB2312" w:hAnsi="仿宋" w:eastAsia="仿宋_GB2312" w:cs="仿宋_GB2312"/>
          <w:color w:val="auto"/>
          <w:sz w:val="24"/>
          <w:szCs w:val="21"/>
        </w:rPr>
        <w:t>此表中，总价应和开标一览表的投标总价相一致。</w:t>
      </w:r>
    </w:p>
    <w:p w14:paraId="5B0B7EFC">
      <w:pPr>
        <w:adjustRightInd w:val="0"/>
        <w:snapToGrid w:val="0"/>
        <w:spacing w:line="360" w:lineRule="auto"/>
        <w:ind w:right="105" w:rightChars="50"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2.本表可根据实际情况进行拓展。</w:t>
      </w:r>
    </w:p>
    <w:p w14:paraId="620BE84F">
      <w:pPr>
        <w:adjustRightInd w:val="0"/>
        <w:snapToGrid w:val="0"/>
        <w:spacing w:line="360" w:lineRule="auto"/>
        <w:ind w:right="105" w:rightChars="50"/>
        <w:jc w:val="left"/>
        <w:rPr>
          <w:rFonts w:ascii="仿宋_GB2312" w:hAnsi="仿宋" w:eastAsia="仿宋_GB2312" w:cs="仿宋_GB2312"/>
          <w:color w:val="auto"/>
          <w:sz w:val="24"/>
        </w:rPr>
      </w:pPr>
    </w:p>
    <w:p w14:paraId="14C7036D">
      <w:pPr>
        <w:adjustRightInd w:val="0"/>
        <w:snapToGrid w:val="0"/>
        <w:spacing w:line="360" w:lineRule="auto"/>
        <w:ind w:right="105" w:rightChars="50"/>
        <w:jc w:val="left"/>
        <w:rPr>
          <w:rFonts w:ascii="仿宋_GB2312" w:hAnsi="仿宋" w:eastAsia="仿宋_GB2312" w:cs="仿宋_GB2312"/>
          <w:color w:val="auto"/>
          <w:sz w:val="24"/>
        </w:rPr>
      </w:pPr>
    </w:p>
    <w:p w14:paraId="2556739B">
      <w:pPr>
        <w:pStyle w:val="2"/>
        <w:rPr>
          <w:color w:val="auto"/>
        </w:rPr>
      </w:pPr>
    </w:p>
    <w:p w14:paraId="577B5375">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0D70A2B5">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0A4E1B0E">
      <w:pPr>
        <w:adjustRightInd w:val="0"/>
        <w:snapToGrid w:val="0"/>
        <w:spacing w:line="360" w:lineRule="auto"/>
        <w:ind w:right="1050" w:rightChars="500"/>
        <w:rPr>
          <w:rFonts w:ascii="仿宋_GB2312" w:hAnsi="仿宋" w:eastAsia="仿宋_GB2312" w:cs="仿宋_GB2312"/>
          <w:color w:val="auto"/>
          <w:sz w:val="24"/>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 xml:space="preserve"> </w:t>
      </w:r>
    </w:p>
    <w:p w14:paraId="0E8E90A3">
      <w:pPr>
        <w:rPr>
          <w:color w:val="auto"/>
        </w:rPr>
      </w:pPr>
    </w:p>
    <w:p w14:paraId="13D0FE38">
      <w:pPr>
        <w:pStyle w:val="18"/>
        <w:rPr>
          <w:color w:val="auto"/>
        </w:rPr>
      </w:pPr>
    </w:p>
    <w:p w14:paraId="05660881">
      <w:pPr>
        <w:pStyle w:val="18"/>
        <w:rPr>
          <w:color w:val="auto"/>
        </w:rPr>
      </w:pPr>
    </w:p>
    <w:p w14:paraId="7A7EBA98">
      <w:pPr>
        <w:pStyle w:val="4"/>
        <w:adjustRightInd w:val="0"/>
        <w:snapToGrid w:val="0"/>
        <w:spacing w:before="0" w:after="0" w:line="240" w:lineRule="auto"/>
        <w:jc w:val="left"/>
        <w:rPr>
          <w:rFonts w:ascii="仿宋_GB2312" w:hAnsi="仿宋" w:eastAsia="仿宋_GB2312" w:cs="仿宋_GB2312"/>
          <w:color w:val="auto"/>
          <w:szCs w:val="28"/>
        </w:rPr>
        <w:sectPr>
          <w:pgSz w:w="11906" w:h="16838"/>
          <w:pgMar w:top="1719" w:right="1703" w:bottom="1418" w:left="1803" w:header="1091" w:footer="987" w:gutter="0"/>
          <w:cols w:space="720" w:num="1"/>
          <w:docGrid w:type="linesAndChars" w:linePitch="319" w:charSpace="0"/>
        </w:sectPr>
      </w:pPr>
      <w:r>
        <w:rPr>
          <w:rFonts w:ascii="仿宋_GB2312" w:hAnsi="仿宋" w:eastAsia="仿宋_GB2312" w:cs="仿宋_GB2312"/>
          <w:color w:val="auto"/>
          <w:szCs w:val="28"/>
        </w:rPr>
        <w:br w:type="page"/>
      </w:r>
    </w:p>
    <w:p w14:paraId="5540A854">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t>格式13</w:t>
      </w:r>
    </w:p>
    <w:p w14:paraId="21CA9FD7">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服务需求响应表</w:t>
      </w:r>
    </w:p>
    <w:tbl>
      <w:tblPr>
        <w:tblStyle w:val="25"/>
        <w:tblW w:w="10243" w:type="dxa"/>
        <w:tblInd w:w="-7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9"/>
        <w:gridCol w:w="2775"/>
        <w:gridCol w:w="1361"/>
        <w:gridCol w:w="1286"/>
        <w:gridCol w:w="1532"/>
      </w:tblGrid>
      <w:tr w14:paraId="74BD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243" w:type="dxa"/>
            <w:gridSpan w:val="5"/>
            <w:tcBorders>
              <w:top w:val="single" w:color="auto" w:sz="4" w:space="0"/>
              <w:left w:val="single" w:color="auto" w:sz="4" w:space="0"/>
              <w:bottom w:val="single" w:color="auto" w:sz="4" w:space="0"/>
              <w:right w:val="single" w:color="auto" w:sz="4" w:space="0"/>
            </w:tcBorders>
            <w:vAlign w:val="center"/>
          </w:tcPr>
          <w:p w14:paraId="43A12D3A">
            <w:pPr>
              <w:adjustRightInd w:val="0"/>
              <w:snapToGrid w:val="0"/>
              <w:ind w:right="105" w:rightChars="50"/>
              <w:jc w:val="left"/>
              <w:rPr>
                <w:rFonts w:hint="default" w:ascii="仿宋_GB2312" w:hAnsi="仿宋" w:eastAsia="仿宋_GB2312" w:cs="仿宋_GB2312"/>
                <w:color w:val="auto"/>
                <w:sz w:val="24"/>
                <w:lang w:val="en-US" w:eastAsia="zh-CN"/>
              </w:rPr>
            </w:pPr>
            <w:r>
              <w:rPr>
                <w:rFonts w:hint="eastAsia" w:ascii="仿宋_GB2312" w:hAnsi="仿宋" w:eastAsia="仿宋_GB2312" w:cs="仿宋_GB2312"/>
                <w:color w:val="auto"/>
                <w:sz w:val="24"/>
              </w:rPr>
              <w:t>包号/序号：</w:t>
            </w:r>
          </w:p>
          <w:p w14:paraId="2B204E82">
            <w:pPr>
              <w:tabs>
                <w:tab w:val="left" w:pos="0"/>
              </w:tabs>
              <w:adjustRightInd w:val="0"/>
              <w:snapToGrid w:val="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服务内容：</w:t>
            </w:r>
          </w:p>
        </w:tc>
      </w:tr>
      <w:tr w14:paraId="384E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289" w:type="dxa"/>
            <w:tcBorders>
              <w:top w:val="single" w:color="auto" w:sz="4" w:space="0"/>
              <w:left w:val="single" w:color="auto" w:sz="4" w:space="0"/>
              <w:bottom w:val="single" w:color="auto" w:sz="4" w:space="0"/>
              <w:right w:val="single" w:color="auto" w:sz="4" w:space="0"/>
            </w:tcBorders>
            <w:vAlign w:val="center"/>
          </w:tcPr>
          <w:p w14:paraId="09002E2B">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招标文件要求</w:t>
            </w:r>
          </w:p>
          <w:p w14:paraId="7576CF38">
            <w:pPr>
              <w:ind w:hanging="1"/>
              <w:jc w:val="center"/>
              <w:rPr>
                <w:rFonts w:ascii="仿宋_GB2312" w:hAnsi="仿宋" w:eastAsia="仿宋_GB2312" w:cs="仿宋_GB2312"/>
                <w:b/>
                <w:color w:val="auto"/>
                <w:sz w:val="24"/>
              </w:rPr>
            </w:pPr>
            <w:r>
              <w:rPr>
                <w:rFonts w:hint="eastAsia" w:ascii="仿宋_GB2312" w:hAnsi="仿宋" w:eastAsia="仿宋_GB2312" w:cs="仿宋_GB2312"/>
                <w:b/>
                <w:color w:val="auto"/>
                <w:sz w:val="24"/>
              </w:rPr>
              <w:t>重要提示：实质性要求及重要指标用★标注（“★”必须标注在序号前），★标注项不得负偏离，如果负偏离，则投标文件无效。</w:t>
            </w:r>
          </w:p>
        </w:tc>
        <w:tc>
          <w:tcPr>
            <w:tcW w:w="2775" w:type="dxa"/>
            <w:tcBorders>
              <w:top w:val="single" w:color="auto" w:sz="4" w:space="0"/>
              <w:left w:val="single" w:color="auto" w:sz="4" w:space="0"/>
              <w:bottom w:val="single" w:color="auto" w:sz="4" w:space="0"/>
              <w:right w:val="single" w:color="auto" w:sz="4" w:space="0"/>
            </w:tcBorders>
            <w:vAlign w:val="center"/>
          </w:tcPr>
          <w:p w14:paraId="4BDC0AF2">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投标文件</w:t>
            </w:r>
          </w:p>
          <w:p w14:paraId="59E2C7A8">
            <w:pPr>
              <w:tabs>
                <w:tab w:val="left" w:pos="0"/>
              </w:tabs>
              <w:spacing w:line="240" w:lineRule="exact"/>
              <w:jc w:val="center"/>
              <w:rPr>
                <w:rFonts w:ascii="仿宋_GB2312" w:hAnsi="仿宋" w:eastAsia="仿宋_GB2312" w:cs="仿宋_GB2312"/>
                <w:color w:val="auto"/>
                <w:kern w:val="0"/>
                <w:sz w:val="24"/>
              </w:rPr>
            </w:pPr>
            <w:r>
              <w:rPr>
                <w:rFonts w:hint="eastAsia" w:ascii="仿宋_GB2312" w:hAnsi="仿宋" w:eastAsia="仿宋_GB2312" w:cs="仿宋_GB2312"/>
                <w:color w:val="auto"/>
                <w:sz w:val="24"/>
              </w:rPr>
              <w:t>响应内容</w:t>
            </w:r>
          </w:p>
        </w:tc>
        <w:tc>
          <w:tcPr>
            <w:tcW w:w="1361" w:type="dxa"/>
            <w:tcBorders>
              <w:top w:val="single" w:color="auto" w:sz="4" w:space="0"/>
              <w:left w:val="single" w:color="auto" w:sz="4" w:space="0"/>
              <w:bottom w:val="single" w:color="auto" w:sz="4" w:space="0"/>
              <w:right w:val="single" w:color="auto" w:sz="4" w:space="0"/>
            </w:tcBorders>
            <w:vAlign w:val="center"/>
          </w:tcPr>
          <w:p w14:paraId="35142E29">
            <w:pPr>
              <w:jc w:val="both"/>
              <w:rPr>
                <w:rFonts w:ascii="仿宋_GB2312" w:hAnsi="仿宋" w:eastAsia="仿宋_GB2312" w:cs="仿宋_GB2312"/>
                <w:color w:val="auto"/>
                <w:sz w:val="24"/>
              </w:rPr>
            </w:pPr>
            <w:r>
              <w:rPr>
                <w:rFonts w:hint="eastAsia" w:ascii="仿宋_GB2312" w:hAnsi="仿宋" w:eastAsia="仿宋_GB2312" w:cs="仿宋_GB2312"/>
                <w:color w:val="auto"/>
                <w:sz w:val="24"/>
              </w:rPr>
              <w:t>偏离程度</w:t>
            </w:r>
          </w:p>
        </w:tc>
        <w:tc>
          <w:tcPr>
            <w:tcW w:w="1286" w:type="dxa"/>
            <w:tcBorders>
              <w:top w:val="single" w:color="auto" w:sz="4" w:space="0"/>
              <w:left w:val="single" w:color="auto" w:sz="4" w:space="0"/>
              <w:bottom w:val="single" w:color="auto" w:sz="4" w:space="0"/>
              <w:right w:val="single" w:color="auto" w:sz="4" w:space="0"/>
            </w:tcBorders>
            <w:vAlign w:val="center"/>
          </w:tcPr>
          <w:p w14:paraId="100141CD">
            <w:pPr>
              <w:jc w:val="both"/>
              <w:rPr>
                <w:rFonts w:ascii="仿宋_GB2312" w:hAnsi="仿宋" w:eastAsia="仿宋_GB2312" w:cs="仿宋_GB2312"/>
                <w:color w:val="auto"/>
                <w:sz w:val="24"/>
              </w:rPr>
            </w:pPr>
            <w:r>
              <w:rPr>
                <w:rFonts w:hint="eastAsia" w:ascii="仿宋_GB2312" w:hAnsi="仿宋" w:eastAsia="仿宋_GB2312" w:cs="仿宋_GB2312"/>
                <w:color w:val="auto"/>
                <w:sz w:val="24"/>
              </w:rPr>
              <w:t>偏离说明</w:t>
            </w:r>
          </w:p>
        </w:tc>
        <w:tc>
          <w:tcPr>
            <w:tcW w:w="1532" w:type="dxa"/>
            <w:tcBorders>
              <w:top w:val="single" w:color="auto" w:sz="4" w:space="0"/>
              <w:left w:val="single" w:color="auto" w:sz="4" w:space="0"/>
              <w:bottom w:val="single" w:color="auto" w:sz="4" w:space="0"/>
              <w:right w:val="single" w:color="auto" w:sz="4" w:space="0"/>
            </w:tcBorders>
            <w:vAlign w:val="center"/>
          </w:tcPr>
          <w:p w14:paraId="28D6F390">
            <w:pPr>
              <w:ind w:firstLine="240" w:firstLineChars="100"/>
              <w:jc w:val="both"/>
              <w:rPr>
                <w:rFonts w:ascii="仿宋_GB2312" w:hAnsi="仿宋" w:eastAsia="仿宋_GB2312" w:cs="仿宋_GB2312"/>
                <w:color w:val="auto"/>
                <w:sz w:val="24"/>
              </w:rPr>
            </w:pPr>
            <w:r>
              <w:rPr>
                <w:rFonts w:hint="eastAsia" w:ascii="仿宋_GB2312" w:hAnsi="仿宋" w:eastAsia="仿宋_GB2312" w:cs="仿宋_GB2312"/>
                <w:color w:val="auto"/>
                <w:sz w:val="24"/>
              </w:rPr>
              <w:t>证明资料</w:t>
            </w:r>
          </w:p>
        </w:tc>
      </w:tr>
      <w:tr w14:paraId="3D2D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3289" w:type="dxa"/>
            <w:tcBorders>
              <w:top w:val="single" w:color="auto" w:sz="4" w:space="0"/>
              <w:left w:val="single" w:color="auto" w:sz="4" w:space="0"/>
              <w:right w:val="single" w:color="auto" w:sz="4" w:space="0"/>
            </w:tcBorders>
            <w:vAlign w:val="center"/>
          </w:tcPr>
          <w:p w14:paraId="6BFD5F69">
            <w:pPr>
              <w:pStyle w:val="94"/>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按服务需求填写</w:t>
            </w:r>
          </w:p>
        </w:tc>
        <w:tc>
          <w:tcPr>
            <w:tcW w:w="2775" w:type="dxa"/>
            <w:tcBorders>
              <w:top w:val="single" w:color="auto" w:sz="4" w:space="0"/>
              <w:left w:val="single" w:color="auto" w:sz="4" w:space="0"/>
              <w:right w:val="single" w:color="auto" w:sz="4" w:space="0"/>
            </w:tcBorders>
            <w:vAlign w:val="center"/>
          </w:tcPr>
          <w:p w14:paraId="76341595">
            <w:pPr>
              <w:tabs>
                <w:tab w:val="left" w:pos="0"/>
              </w:tabs>
              <w:adjustRightInd w:val="0"/>
              <w:snapToGrid w:val="0"/>
              <w:ind w:right="424" w:rightChars="202"/>
              <w:jc w:val="center"/>
              <w:rPr>
                <w:rFonts w:ascii="仿宋_GB2312" w:hAnsi="仿宋" w:eastAsia="仿宋_GB2312" w:cs="仿宋_GB2312"/>
                <w:color w:val="auto"/>
                <w:kern w:val="0"/>
                <w:sz w:val="24"/>
              </w:rPr>
            </w:pPr>
          </w:p>
        </w:tc>
        <w:tc>
          <w:tcPr>
            <w:tcW w:w="1361" w:type="dxa"/>
            <w:tcBorders>
              <w:top w:val="single" w:color="auto" w:sz="4" w:space="0"/>
              <w:left w:val="single" w:color="auto" w:sz="4" w:space="0"/>
              <w:right w:val="single" w:color="auto" w:sz="4" w:space="0"/>
            </w:tcBorders>
            <w:vAlign w:val="center"/>
          </w:tcPr>
          <w:p w14:paraId="6BFF6F19">
            <w:pPr>
              <w:tabs>
                <w:tab w:val="left" w:pos="-75"/>
              </w:tabs>
              <w:spacing w:line="240" w:lineRule="exact"/>
              <w:ind w:right="-56" w:rightChars="-27"/>
              <w:jc w:val="center"/>
              <w:rPr>
                <w:rFonts w:ascii="仿宋_GB2312" w:hAnsi="仿宋" w:eastAsia="仿宋_GB2312" w:cs="仿宋_GB2312"/>
                <w:color w:val="auto"/>
                <w:kern w:val="0"/>
                <w:sz w:val="24"/>
              </w:rPr>
            </w:pPr>
          </w:p>
        </w:tc>
        <w:tc>
          <w:tcPr>
            <w:tcW w:w="1286" w:type="dxa"/>
            <w:tcBorders>
              <w:top w:val="single" w:color="auto" w:sz="4" w:space="0"/>
              <w:left w:val="single" w:color="auto" w:sz="4" w:space="0"/>
              <w:right w:val="single" w:color="auto" w:sz="4" w:space="0"/>
            </w:tcBorders>
            <w:vAlign w:val="center"/>
          </w:tcPr>
          <w:p w14:paraId="481A7189">
            <w:pPr>
              <w:tabs>
                <w:tab w:val="left" w:pos="-75"/>
              </w:tabs>
              <w:spacing w:line="240" w:lineRule="exact"/>
              <w:ind w:right="-56" w:rightChars="-27"/>
              <w:jc w:val="center"/>
              <w:rPr>
                <w:rFonts w:ascii="仿宋_GB2312" w:hAnsi="仿宋" w:eastAsia="仿宋_GB2312" w:cs="仿宋_GB2312"/>
                <w:color w:val="auto"/>
                <w:kern w:val="0"/>
                <w:sz w:val="24"/>
              </w:rPr>
            </w:pPr>
          </w:p>
        </w:tc>
        <w:tc>
          <w:tcPr>
            <w:tcW w:w="1532" w:type="dxa"/>
            <w:tcBorders>
              <w:top w:val="single" w:color="auto" w:sz="4" w:space="0"/>
              <w:left w:val="single" w:color="auto" w:sz="4" w:space="0"/>
              <w:bottom w:val="single" w:color="auto" w:sz="4" w:space="0"/>
              <w:right w:val="single" w:color="auto" w:sz="4" w:space="0"/>
            </w:tcBorders>
            <w:vAlign w:val="center"/>
          </w:tcPr>
          <w:p w14:paraId="6D609932">
            <w:pPr>
              <w:tabs>
                <w:tab w:val="left" w:pos="-75"/>
              </w:tabs>
              <w:spacing w:line="240" w:lineRule="exact"/>
              <w:ind w:right="-56" w:rightChars="-27"/>
              <w:jc w:val="center"/>
              <w:rPr>
                <w:rFonts w:ascii="仿宋_GB2312" w:hAnsi="仿宋" w:eastAsia="仿宋_GB2312" w:cs="仿宋_GB2312"/>
                <w:color w:val="auto"/>
                <w:kern w:val="0"/>
                <w:sz w:val="24"/>
              </w:rPr>
            </w:pPr>
          </w:p>
        </w:tc>
      </w:tr>
      <w:tr w14:paraId="0497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3289" w:type="dxa"/>
            <w:tcBorders>
              <w:top w:val="single" w:color="auto" w:sz="4" w:space="0"/>
              <w:left w:val="single" w:color="auto" w:sz="4" w:space="0"/>
              <w:bottom w:val="single" w:color="auto" w:sz="4" w:space="0"/>
              <w:right w:val="single" w:color="auto" w:sz="4" w:space="0"/>
            </w:tcBorders>
            <w:vAlign w:val="center"/>
          </w:tcPr>
          <w:p w14:paraId="4AB6AB94">
            <w:pPr>
              <w:adjustRightInd w:val="0"/>
              <w:snapToGrid w:val="0"/>
              <w:ind w:hanging="1"/>
              <w:jc w:val="center"/>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lang w:val="en-US" w:eastAsia="zh-CN"/>
              </w:rPr>
              <w:t>其它</w:t>
            </w:r>
          </w:p>
        </w:tc>
        <w:tc>
          <w:tcPr>
            <w:tcW w:w="2775" w:type="dxa"/>
            <w:tcBorders>
              <w:top w:val="single" w:color="auto" w:sz="4" w:space="0"/>
              <w:left w:val="single" w:color="auto" w:sz="4" w:space="0"/>
              <w:bottom w:val="single" w:color="auto" w:sz="4" w:space="0"/>
              <w:right w:val="single" w:color="auto" w:sz="4" w:space="0"/>
            </w:tcBorders>
            <w:vAlign w:val="center"/>
          </w:tcPr>
          <w:p w14:paraId="0B423A7F">
            <w:pPr>
              <w:tabs>
                <w:tab w:val="left" w:pos="0"/>
              </w:tabs>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sz w:val="24"/>
              </w:rPr>
              <w:t>采购单位未提供需求而投标人认为需说明及补充的内容在此填列。</w:t>
            </w:r>
          </w:p>
        </w:tc>
        <w:tc>
          <w:tcPr>
            <w:tcW w:w="1361" w:type="dxa"/>
            <w:tcBorders>
              <w:top w:val="single" w:color="auto" w:sz="4" w:space="0"/>
              <w:left w:val="single" w:color="auto" w:sz="4" w:space="0"/>
              <w:bottom w:val="single" w:color="auto" w:sz="4" w:space="0"/>
              <w:right w:val="single" w:color="auto" w:sz="4" w:space="0"/>
            </w:tcBorders>
            <w:vAlign w:val="center"/>
          </w:tcPr>
          <w:p w14:paraId="1B83790F">
            <w:pPr>
              <w:tabs>
                <w:tab w:val="left" w:pos="-75"/>
              </w:tabs>
              <w:spacing w:line="240" w:lineRule="exact"/>
              <w:ind w:right="-56" w:rightChars="-27"/>
              <w:jc w:val="center"/>
              <w:rPr>
                <w:rFonts w:ascii="仿宋_GB2312" w:hAnsi="仿宋" w:eastAsia="仿宋_GB2312" w:cs="仿宋_GB2312"/>
                <w:color w:val="auto"/>
                <w:kern w:val="0"/>
                <w:sz w:val="24"/>
              </w:rPr>
            </w:pPr>
          </w:p>
        </w:tc>
        <w:tc>
          <w:tcPr>
            <w:tcW w:w="1286" w:type="dxa"/>
            <w:tcBorders>
              <w:top w:val="single" w:color="auto" w:sz="4" w:space="0"/>
              <w:left w:val="single" w:color="auto" w:sz="4" w:space="0"/>
              <w:bottom w:val="single" w:color="auto" w:sz="4" w:space="0"/>
              <w:right w:val="single" w:color="auto" w:sz="4" w:space="0"/>
            </w:tcBorders>
            <w:vAlign w:val="center"/>
          </w:tcPr>
          <w:p w14:paraId="16B1C7A1">
            <w:pPr>
              <w:tabs>
                <w:tab w:val="left" w:pos="-75"/>
              </w:tabs>
              <w:spacing w:line="240" w:lineRule="exact"/>
              <w:ind w:right="-56" w:rightChars="-27"/>
              <w:jc w:val="center"/>
              <w:rPr>
                <w:rFonts w:ascii="仿宋_GB2312" w:hAnsi="仿宋" w:eastAsia="仿宋_GB2312" w:cs="仿宋_GB2312"/>
                <w:color w:val="auto"/>
                <w:kern w:val="0"/>
                <w:sz w:val="24"/>
              </w:rPr>
            </w:pPr>
          </w:p>
        </w:tc>
        <w:tc>
          <w:tcPr>
            <w:tcW w:w="1532" w:type="dxa"/>
            <w:tcBorders>
              <w:top w:val="single" w:color="auto" w:sz="4" w:space="0"/>
              <w:left w:val="single" w:color="auto" w:sz="4" w:space="0"/>
              <w:bottom w:val="single" w:color="auto" w:sz="4" w:space="0"/>
              <w:right w:val="single" w:color="auto" w:sz="4" w:space="0"/>
            </w:tcBorders>
            <w:vAlign w:val="center"/>
          </w:tcPr>
          <w:p w14:paraId="5BC3BA4D">
            <w:pPr>
              <w:tabs>
                <w:tab w:val="left" w:pos="-75"/>
              </w:tabs>
              <w:spacing w:line="240" w:lineRule="exact"/>
              <w:ind w:right="-56" w:rightChars="-27"/>
              <w:jc w:val="center"/>
              <w:rPr>
                <w:rFonts w:ascii="仿宋_GB2312" w:hAnsi="仿宋" w:eastAsia="仿宋_GB2312" w:cs="仿宋_GB2312"/>
                <w:color w:val="auto"/>
                <w:kern w:val="0"/>
                <w:sz w:val="24"/>
              </w:rPr>
            </w:pPr>
          </w:p>
        </w:tc>
      </w:tr>
    </w:tbl>
    <w:p w14:paraId="51A8DBF2">
      <w:pPr>
        <w:adjustRightInd w:val="0"/>
        <w:snapToGrid w:val="0"/>
        <w:spacing w:before="159" w:beforeLines="50" w:line="312" w:lineRule="auto"/>
        <w:ind w:right="105" w:rightChars="50"/>
        <w:jc w:val="left"/>
        <w:rPr>
          <w:rFonts w:ascii="仿宋_GB2312" w:hAnsi="仿宋" w:eastAsia="仿宋_GB2312" w:cs="仿宋_GB2312"/>
          <w:b/>
          <w:color w:val="auto"/>
          <w:sz w:val="24"/>
        </w:rPr>
      </w:pPr>
      <w:r>
        <w:rPr>
          <w:rFonts w:hint="eastAsia" w:ascii="仿宋_GB2312" w:hAnsi="仿宋" w:eastAsia="仿宋_GB2312" w:cs="仿宋_GB2312"/>
          <w:b/>
          <w:color w:val="auto"/>
          <w:sz w:val="24"/>
        </w:rPr>
        <w:t>填表要求：</w:t>
      </w:r>
    </w:p>
    <w:p w14:paraId="6C7D4A04">
      <w:pPr>
        <w:adjustRightInd w:val="0"/>
        <w:snapToGrid w:val="0"/>
        <w:spacing w:line="312" w:lineRule="auto"/>
        <w:rPr>
          <w:rFonts w:ascii="仿宋_GB2312" w:hAnsi="仿宋" w:eastAsia="仿宋_GB2312" w:cs="仿宋_GB2312"/>
          <w:color w:val="auto"/>
          <w:sz w:val="24"/>
        </w:rPr>
      </w:pPr>
      <w:r>
        <w:rPr>
          <w:rFonts w:hint="eastAsia" w:ascii="仿宋_GB2312" w:hAnsi="仿宋" w:eastAsia="仿宋_GB2312" w:cs="仿宋_GB2312"/>
          <w:color w:val="auto"/>
          <w:sz w:val="24"/>
        </w:rPr>
        <w:t>1.“投标文件响应内容”一栏由投标人按照招标文件要求填写并进行逐项响应；</w:t>
      </w:r>
    </w:p>
    <w:p w14:paraId="5F620986">
      <w:pPr>
        <w:adjustRightInd w:val="0"/>
        <w:snapToGrid w:val="0"/>
        <w:spacing w:line="312" w:lineRule="auto"/>
        <w:rPr>
          <w:rFonts w:ascii="仿宋_GB2312" w:hAnsi="仿宋" w:eastAsia="仿宋_GB2312" w:cs="仿宋_GB2312"/>
          <w:color w:val="auto"/>
          <w:sz w:val="24"/>
        </w:rPr>
      </w:pPr>
      <w:r>
        <w:rPr>
          <w:rFonts w:hint="eastAsia" w:ascii="仿宋_GB2312" w:hAnsi="仿宋" w:eastAsia="仿宋_GB2312" w:cs="仿宋_GB2312"/>
          <w:color w:val="auto"/>
          <w:sz w:val="24"/>
        </w:rPr>
        <w:t>2.“偏离程度”一栏根据“投标文件响应内容”与招标文件逐项对照的结果填写；偏离必须完整的用 “正偏离、负偏离或无偏离”三个名称中的一种进行标注，不得填“正”、“负”或“无”等字样，否则视为不响应招标文件实质性要求而被否决；</w:t>
      </w:r>
    </w:p>
    <w:p w14:paraId="09C35EBB">
      <w:pPr>
        <w:adjustRightInd w:val="0"/>
        <w:snapToGrid w:val="0"/>
        <w:spacing w:line="312" w:lineRule="auto"/>
        <w:rPr>
          <w:rFonts w:ascii="仿宋_GB2312" w:hAnsi="仿宋" w:eastAsia="仿宋_GB2312" w:cs="仿宋_GB2312"/>
          <w:color w:val="auto"/>
          <w:sz w:val="24"/>
        </w:rPr>
      </w:pPr>
      <w:r>
        <w:rPr>
          <w:rFonts w:hint="eastAsia" w:ascii="仿宋_GB2312" w:hAnsi="仿宋" w:eastAsia="仿宋_GB2312" w:cs="仿宋_GB2312"/>
          <w:color w:val="auto"/>
          <w:sz w:val="24"/>
        </w:rPr>
        <w:t>3</w:t>
      </w:r>
      <w:r>
        <w:rPr>
          <w:rFonts w:ascii="仿宋_GB2312" w:hAnsi="仿宋" w:eastAsia="仿宋_GB2312" w:cs="仿宋_GB2312"/>
          <w:color w:val="auto"/>
          <w:sz w:val="24"/>
        </w:rPr>
        <w:t>.</w:t>
      </w:r>
      <w:r>
        <w:rPr>
          <w:rFonts w:hint="eastAsia" w:ascii="仿宋_GB2312" w:hAnsi="仿宋" w:eastAsia="仿宋_GB2312" w:cs="仿宋_GB2312"/>
          <w:color w:val="auto"/>
          <w:sz w:val="24"/>
        </w:rPr>
        <w:t>“偏离说明”一栏由投标人对偏离的情况做详细说明；</w:t>
      </w:r>
    </w:p>
    <w:p w14:paraId="2099F4A6">
      <w:pPr>
        <w:snapToGrid w:val="0"/>
        <w:spacing w:before="159" w:beforeLines="50" w:line="360" w:lineRule="auto"/>
        <w:rPr>
          <w:rFonts w:ascii="仿宋_GB2312" w:hAnsi="仿宋" w:eastAsia="仿宋_GB2312" w:cs="仿宋_GB2312"/>
          <w:color w:val="auto"/>
          <w:sz w:val="24"/>
        </w:rPr>
      </w:pPr>
    </w:p>
    <w:p w14:paraId="219B7029">
      <w:pPr>
        <w:snapToGrid w:val="0"/>
        <w:spacing w:before="159" w:beforeLines="50"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2946796D">
      <w:pPr>
        <w:snapToGrid w:val="0"/>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234143C9">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7175CD97">
      <w:pPr>
        <w:rPr>
          <w:color w:val="auto"/>
        </w:rPr>
      </w:pPr>
      <w:r>
        <w:rPr>
          <w:color w:val="auto"/>
        </w:rPr>
        <w:br w:type="page"/>
      </w:r>
    </w:p>
    <w:p w14:paraId="37536D9C">
      <w:pPr>
        <w:rPr>
          <w:rFonts w:hint="eastAsia" w:ascii="仿宋_GB2312" w:hAnsi="仿宋_GB2312" w:eastAsia="仿宋_GB2312" w:cs="仿宋_GB2312"/>
          <w:color w:val="auto"/>
          <w:szCs w:val="28"/>
        </w:rPr>
      </w:pPr>
      <w:bookmarkStart w:id="122" w:name="_Toc533340161"/>
      <w:bookmarkStart w:id="123" w:name="_Toc4485637"/>
    </w:p>
    <w:p w14:paraId="665A0DA3">
      <w:pPr>
        <w:pStyle w:val="4"/>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w:t>
      </w:r>
      <w:r>
        <w:rPr>
          <w:rFonts w:hint="eastAsia" w:ascii="仿宋_GB2312" w:hAnsi="仿宋" w:eastAsia="仿宋_GB2312" w:cs="仿宋_GB2312"/>
          <w:color w:val="auto"/>
          <w:szCs w:val="28"/>
        </w:rPr>
        <w:t>14</w:t>
      </w:r>
    </w:p>
    <w:p w14:paraId="40EB2F41">
      <w:pPr>
        <w:spacing w:before="159" w:beforeLines="50" w:after="159" w:afterLines="50" w:line="360" w:lineRule="auto"/>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商务条款偏离表</w:t>
      </w:r>
    </w:p>
    <w:p w14:paraId="21FB1396">
      <w:pPr>
        <w:adjustRightInd w:val="0"/>
        <w:snapToGrid w:val="0"/>
        <w:spacing w:line="240" w:lineRule="atLeast"/>
        <w:jc w:val="left"/>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包号：</w:t>
      </w:r>
    </w:p>
    <w:tbl>
      <w:tblPr>
        <w:tblStyle w:val="25"/>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3922"/>
        <w:gridCol w:w="2269"/>
        <w:gridCol w:w="983"/>
        <w:gridCol w:w="1601"/>
      </w:tblGrid>
      <w:tr w14:paraId="1179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70" w:type="dxa"/>
            <w:vAlign w:val="center"/>
          </w:tcPr>
          <w:p w14:paraId="159CE6CE">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3922" w:type="dxa"/>
            <w:vAlign w:val="center"/>
          </w:tcPr>
          <w:p w14:paraId="01181659">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招标文件的商务条款</w:t>
            </w:r>
          </w:p>
          <w:p w14:paraId="4522E7F5">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（实质性要求及重要指标用★标注，★标注项不得负偏离，如果负偏离，则投标文件无效。）</w:t>
            </w:r>
          </w:p>
        </w:tc>
        <w:tc>
          <w:tcPr>
            <w:tcW w:w="2269" w:type="dxa"/>
            <w:vAlign w:val="center"/>
          </w:tcPr>
          <w:p w14:paraId="3883D8B8">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投标文件响应</w:t>
            </w:r>
          </w:p>
          <w:p w14:paraId="1A77D992">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内容</w:t>
            </w:r>
          </w:p>
        </w:tc>
        <w:tc>
          <w:tcPr>
            <w:tcW w:w="983" w:type="dxa"/>
            <w:vAlign w:val="center"/>
          </w:tcPr>
          <w:p w14:paraId="52718B1B">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偏离</w:t>
            </w:r>
          </w:p>
          <w:p w14:paraId="5E416248">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程度</w:t>
            </w:r>
          </w:p>
        </w:tc>
        <w:tc>
          <w:tcPr>
            <w:tcW w:w="1601" w:type="dxa"/>
            <w:vAlign w:val="center"/>
          </w:tcPr>
          <w:p w14:paraId="7A1E3DC7">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偏离</w:t>
            </w:r>
          </w:p>
          <w:p w14:paraId="5EAF71E5">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说明</w:t>
            </w:r>
          </w:p>
        </w:tc>
      </w:tr>
      <w:tr w14:paraId="28296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70" w:type="dxa"/>
            <w:vAlign w:val="center"/>
          </w:tcPr>
          <w:p w14:paraId="25C5F9AD">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3922" w:type="dxa"/>
            <w:vAlign w:val="center"/>
          </w:tcPr>
          <w:p w14:paraId="7E4A1861">
            <w:pPr>
              <w:adjustRightInd w:val="0"/>
              <w:snapToGrid w:val="0"/>
              <w:rPr>
                <w:rFonts w:hint="default" w:ascii="仿宋_GB2312" w:hAnsi="仿宋_GB2312" w:eastAsia="仿宋_GB2312" w:cs="仿宋_GB2312"/>
                <w:bCs/>
                <w:color w:val="auto"/>
                <w:sz w:val="24"/>
                <w:lang w:val="en-US"/>
              </w:rPr>
            </w:pPr>
            <w:r>
              <w:rPr>
                <w:rFonts w:hint="eastAsia" w:ascii="仿宋_GB2312" w:hAnsi="仿宋" w:eastAsia="仿宋_GB2312" w:cs="仿宋_GB2312"/>
                <w:b/>
                <w:color w:val="auto"/>
                <w:sz w:val="24"/>
              </w:rPr>
              <w:t>★</w:t>
            </w:r>
            <w:r>
              <w:rPr>
                <w:rFonts w:hint="eastAsia" w:ascii="仿宋_GB2312" w:hAnsi="仿宋_GB2312" w:eastAsia="仿宋_GB2312" w:cs="仿宋_GB2312"/>
                <w:bCs/>
                <w:color w:val="auto"/>
                <w:sz w:val="24"/>
              </w:rPr>
              <w:t>履约期限：2025年</w:t>
            </w:r>
            <w:r>
              <w:rPr>
                <w:rFonts w:hint="eastAsia" w:ascii="仿宋_GB2312" w:hAnsi="仿宋_GB2312" w:eastAsia="仿宋_GB2312" w:cs="仿宋_GB2312"/>
                <w:bCs/>
                <w:color w:val="auto"/>
                <w:sz w:val="24"/>
                <w:lang w:val="en-US" w:eastAsia="zh-CN"/>
              </w:rPr>
              <w:t>11</w:t>
            </w:r>
            <w:r>
              <w:rPr>
                <w:rFonts w:hint="eastAsia" w:ascii="仿宋_GB2312" w:hAnsi="仿宋_GB2312" w:eastAsia="仿宋_GB2312" w:cs="仿宋_GB2312"/>
                <w:bCs/>
                <w:color w:val="auto"/>
                <w:sz w:val="24"/>
              </w:rPr>
              <w:t>月</w:t>
            </w:r>
            <w:r>
              <w:rPr>
                <w:rFonts w:hint="eastAsia" w:ascii="仿宋_GB2312" w:hAnsi="仿宋_GB2312" w:eastAsia="仿宋_GB2312" w:cs="仿宋_GB2312"/>
                <w:bCs/>
                <w:color w:val="auto"/>
                <w:sz w:val="24"/>
                <w:lang w:val="en-US" w:eastAsia="zh-CN"/>
              </w:rPr>
              <w:t>30日前完成培训任务。</w:t>
            </w:r>
          </w:p>
        </w:tc>
        <w:tc>
          <w:tcPr>
            <w:tcW w:w="2269" w:type="dxa"/>
            <w:vAlign w:val="center"/>
          </w:tcPr>
          <w:p w14:paraId="116F0874">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255D950A">
            <w:pPr>
              <w:adjustRightInd w:val="0"/>
              <w:snapToGrid w:val="0"/>
              <w:ind w:right="105" w:rightChars="50"/>
              <w:jc w:val="center"/>
              <w:rPr>
                <w:rFonts w:ascii="仿宋_GB2312" w:hAnsi="仿宋_GB2312" w:eastAsia="仿宋_GB2312" w:cs="仿宋_GB2312"/>
                <w:color w:val="auto"/>
                <w:sz w:val="24"/>
              </w:rPr>
            </w:pPr>
          </w:p>
        </w:tc>
        <w:tc>
          <w:tcPr>
            <w:tcW w:w="1601" w:type="dxa"/>
            <w:vAlign w:val="center"/>
          </w:tcPr>
          <w:p w14:paraId="5DB214C9">
            <w:pPr>
              <w:adjustRightInd w:val="0"/>
              <w:snapToGrid w:val="0"/>
              <w:ind w:right="105" w:rightChars="50"/>
              <w:jc w:val="center"/>
              <w:rPr>
                <w:rFonts w:ascii="仿宋_GB2312" w:hAnsi="仿宋_GB2312" w:eastAsia="仿宋_GB2312" w:cs="仿宋_GB2312"/>
                <w:color w:val="auto"/>
                <w:sz w:val="24"/>
              </w:rPr>
            </w:pPr>
          </w:p>
        </w:tc>
      </w:tr>
      <w:tr w14:paraId="0214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570" w:type="dxa"/>
            <w:vAlign w:val="center"/>
          </w:tcPr>
          <w:p w14:paraId="72AB2744">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c>
          <w:tcPr>
            <w:tcW w:w="3922" w:type="dxa"/>
            <w:vAlign w:val="center"/>
          </w:tcPr>
          <w:p w14:paraId="328D1705">
            <w:pPr>
              <w:adjustRightInd w:val="0"/>
              <w:snapToGrid w:val="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★履约地点：</w:t>
            </w:r>
            <w:r>
              <w:rPr>
                <w:rFonts w:hint="eastAsia" w:ascii="仿宋_GB2312" w:hAnsi="仿宋" w:eastAsia="仿宋_GB2312" w:cs="仿宋_GB2312"/>
                <w:color w:val="auto"/>
                <w:sz w:val="24"/>
                <w:lang w:val="en-US" w:eastAsia="zh-CN"/>
              </w:rPr>
              <w:t>建平县</w:t>
            </w:r>
            <w:r>
              <w:rPr>
                <w:rFonts w:hint="eastAsia" w:ascii="仿宋_GB2312" w:hAnsi="仿宋" w:eastAsia="仿宋_GB2312" w:cs="仿宋_GB2312"/>
                <w:color w:val="auto"/>
                <w:sz w:val="24"/>
                <w:lang w:eastAsia="zh-CN"/>
              </w:rPr>
              <w:t>。</w:t>
            </w:r>
          </w:p>
        </w:tc>
        <w:tc>
          <w:tcPr>
            <w:tcW w:w="2269" w:type="dxa"/>
            <w:vAlign w:val="center"/>
          </w:tcPr>
          <w:p w14:paraId="12755A4C">
            <w:pPr>
              <w:adjustRightInd w:val="0"/>
              <w:snapToGrid w:val="0"/>
              <w:rPr>
                <w:rFonts w:hint="eastAsia" w:ascii="仿宋_GB2312" w:hAnsi="仿宋" w:eastAsia="仿宋_GB2312" w:cs="仿宋_GB2312"/>
                <w:color w:val="auto"/>
                <w:sz w:val="24"/>
              </w:rPr>
            </w:pPr>
          </w:p>
        </w:tc>
        <w:tc>
          <w:tcPr>
            <w:tcW w:w="983" w:type="dxa"/>
            <w:vAlign w:val="center"/>
          </w:tcPr>
          <w:p w14:paraId="76E35976">
            <w:pPr>
              <w:adjustRightInd w:val="0"/>
              <w:snapToGrid w:val="0"/>
              <w:ind w:right="105" w:rightChars="50"/>
              <w:jc w:val="center"/>
              <w:rPr>
                <w:rFonts w:ascii="仿宋_GB2312" w:hAnsi="仿宋_GB2312" w:eastAsia="仿宋_GB2312" w:cs="仿宋_GB2312"/>
                <w:color w:val="auto"/>
                <w:sz w:val="24"/>
              </w:rPr>
            </w:pPr>
          </w:p>
        </w:tc>
        <w:tc>
          <w:tcPr>
            <w:tcW w:w="1601" w:type="dxa"/>
            <w:vAlign w:val="center"/>
          </w:tcPr>
          <w:p w14:paraId="63246AF7">
            <w:pPr>
              <w:adjustRightInd w:val="0"/>
              <w:snapToGrid w:val="0"/>
              <w:ind w:right="105" w:rightChars="50"/>
              <w:jc w:val="center"/>
              <w:rPr>
                <w:rFonts w:ascii="仿宋_GB2312" w:hAnsi="仿宋_GB2312" w:eastAsia="仿宋_GB2312" w:cs="仿宋_GB2312"/>
                <w:color w:val="auto"/>
                <w:sz w:val="24"/>
              </w:rPr>
            </w:pPr>
          </w:p>
        </w:tc>
      </w:tr>
      <w:tr w14:paraId="55831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70" w:type="dxa"/>
            <w:vAlign w:val="center"/>
          </w:tcPr>
          <w:p w14:paraId="668EEE48">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c>
          <w:tcPr>
            <w:tcW w:w="3922" w:type="dxa"/>
            <w:vAlign w:val="center"/>
          </w:tcPr>
          <w:p w14:paraId="25431D47">
            <w:pPr>
              <w:adjustRightInd w:val="0"/>
              <w:snapToGrid w:val="0"/>
              <w:rPr>
                <w:rFonts w:hint="eastAsia" w:ascii="仿宋_GB2312" w:hAnsi="仿宋" w:eastAsia="仿宋_GB2312" w:cs="仿宋_GB2312"/>
                <w:color w:val="auto"/>
                <w:sz w:val="24"/>
              </w:rPr>
            </w:pPr>
            <w:r>
              <w:rPr>
                <w:rFonts w:hint="eastAsia" w:ascii="仿宋_GB2312" w:hAnsi="仿宋" w:eastAsia="仿宋_GB2312" w:cs="仿宋_GB2312"/>
                <w:color w:val="auto"/>
                <w:sz w:val="24"/>
              </w:rPr>
              <w:t>★付款方式及条件：</w:t>
            </w:r>
            <w:r>
              <w:rPr>
                <w:rFonts w:hint="eastAsia" w:ascii="仿宋_GB2312" w:hAnsi="仿宋" w:eastAsia="仿宋_GB2312" w:cs="仿宋_GB2312"/>
                <w:color w:val="auto"/>
                <w:sz w:val="24"/>
                <w:lang w:eastAsia="zh-CN"/>
              </w:rPr>
              <w:t>具体内容以签订的合同为准。</w:t>
            </w:r>
          </w:p>
        </w:tc>
        <w:tc>
          <w:tcPr>
            <w:tcW w:w="2269" w:type="dxa"/>
            <w:vAlign w:val="center"/>
          </w:tcPr>
          <w:p w14:paraId="68AD88F2">
            <w:pPr>
              <w:adjustRightInd w:val="0"/>
              <w:snapToGrid w:val="0"/>
              <w:rPr>
                <w:rFonts w:hint="eastAsia" w:ascii="仿宋_GB2312" w:hAnsi="仿宋" w:eastAsia="仿宋_GB2312" w:cs="仿宋_GB2312"/>
                <w:color w:val="auto"/>
                <w:sz w:val="24"/>
              </w:rPr>
            </w:pPr>
          </w:p>
        </w:tc>
        <w:tc>
          <w:tcPr>
            <w:tcW w:w="983" w:type="dxa"/>
            <w:vAlign w:val="center"/>
          </w:tcPr>
          <w:p w14:paraId="688EE091">
            <w:pPr>
              <w:adjustRightInd w:val="0"/>
              <w:snapToGrid w:val="0"/>
              <w:ind w:right="105" w:rightChars="50"/>
              <w:jc w:val="center"/>
              <w:rPr>
                <w:rFonts w:ascii="仿宋_GB2312" w:hAnsi="仿宋_GB2312" w:eastAsia="仿宋_GB2312" w:cs="仿宋_GB2312"/>
                <w:color w:val="auto"/>
                <w:sz w:val="24"/>
              </w:rPr>
            </w:pPr>
          </w:p>
        </w:tc>
        <w:tc>
          <w:tcPr>
            <w:tcW w:w="1601" w:type="dxa"/>
            <w:vAlign w:val="center"/>
          </w:tcPr>
          <w:p w14:paraId="553BB908">
            <w:pPr>
              <w:adjustRightInd w:val="0"/>
              <w:snapToGrid w:val="0"/>
              <w:ind w:right="105" w:rightChars="50"/>
              <w:jc w:val="center"/>
              <w:rPr>
                <w:rFonts w:ascii="仿宋_GB2312" w:hAnsi="仿宋_GB2312" w:eastAsia="仿宋_GB2312" w:cs="仿宋_GB2312"/>
                <w:color w:val="auto"/>
                <w:sz w:val="24"/>
              </w:rPr>
            </w:pPr>
          </w:p>
        </w:tc>
      </w:tr>
      <w:tr w14:paraId="5244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570" w:type="dxa"/>
            <w:vAlign w:val="center"/>
          </w:tcPr>
          <w:p w14:paraId="382A56DB">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4</w:t>
            </w:r>
          </w:p>
        </w:tc>
        <w:tc>
          <w:tcPr>
            <w:tcW w:w="3922" w:type="dxa"/>
            <w:vAlign w:val="center"/>
          </w:tcPr>
          <w:p w14:paraId="65B944E5">
            <w:pPr>
              <w:adjustRightInd w:val="0"/>
              <w:snapToGrid w:val="0"/>
              <w:rPr>
                <w:rFonts w:ascii="仿宋_GB2312" w:hAnsi="仿宋" w:eastAsia="仿宋_GB2312" w:cs="仿宋_GB2312"/>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color w:val="auto"/>
                <w:sz w:val="24"/>
              </w:rPr>
              <w:t>验收标准、验收程序、验收报告：本项目将严格按照政府采购相关法律法规以及《辽宁省政府采购履约验收管理办法》（辽财采〔2017〕603号）的要求进行验收。</w:t>
            </w:r>
          </w:p>
          <w:p w14:paraId="56F34C5E">
            <w:pPr>
              <w:adjustRightInd w:val="0"/>
              <w:snapToGrid w:val="0"/>
              <w:ind w:hanging="1"/>
              <w:rPr>
                <w:rFonts w:ascii="仿宋_GB2312" w:hAnsi="仿宋_GB2312" w:eastAsia="仿宋_GB2312" w:cs="仿宋_GB2312"/>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color w:val="auto"/>
                <w:sz w:val="24"/>
              </w:rPr>
              <w:t>组织验收主体：本项目的履约验收工作由采购人依法组织实施。</w:t>
            </w:r>
          </w:p>
        </w:tc>
        <w:tc>
          <w:tcPr>
            <w:tcW w:w="2269" w:type="dxa"/>
            <w:vAlign w:val="center"/>
          </w:tcPr>
          <w:p w14:paraId="0800BFA5">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309577D9">
            <w:pPr>
              <w:adjustRightInd w:val="0"/>
              <w:snapToGrid w:val="0"/>
              <w:ind w:right="105" w:rightChars="50"/>
              <w:jc w:val="center"/>
              <w:rPr>
                <w:rFonts w:ascii="仿宋_GB2312" w:hAnsi="仿宋_GB2312" w:eastAsia="仿宋_GB2312" w:cs="仿宋_GB2312"/>
                <w:color w:val="auto"/>
                <w:sz w:val="24"/>
              </w:rPr>
            </w:pPr>
          </w:p>
        </w:tc>
        <w:tc>
          <w:tcPr>
            <w:tcW w:w="1601" w:type="dxa"/>
            <w:vAlign w:val="center"/>
          </w:tcPr>
          <w:p w14:paraId="514BEC9E">
            <w:pPr>
              <w:adjustRightInd w:val="0"/>
              <w:snapToGrid w:val="0"/>
              <w:ind w:right="105" w:rightChars="50"/>
              <w:jc w:val="center"/>
              <w:rPr>
                <w:rFonts w:ascii="仿宋_GB2312" w:hAnsi="仿宋_GB2312" w:eastAsia="仿宋_GB2312" w:cs="仿宋_GB2312"/>
                <w:color w:val="auto"/>
                <w:sz w:val="24"/>
              </w:rPr>
            </w:pPr>
          </w:p>
        </w:tc>
      </w:tr>
      <w:tr w14:paraId="15707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570" w:type="dxa"/>
            <w:vAlign w:val="center"/>
          </w:tcPr>
          <w:p w14:paraId="44EFBCB0">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5</w:t>
            </w:r>
          </w:p>
        </w:tc>
        <w:tc>
          <w:tcPr>
            <w:tcW w:w="3922" w:type="dxa"/>
            <w:vAlign w:val="center"/>
          </w:tcPr>
          <w:p w14:paraId="46F451EB">
            <w:pPr>
              <w:adjustRightInd w:val="0"/>
              <w:snapToGrid w:val="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★质量保证期：1年</w:t>
            </w:r>
            <w:r>
              <w:rPr>
                <w:rFonts w:hint="eastAsia" w:ascii="仿宋_GB2312" w:hAnsi="仿宋" w:eastAsia="仿宋_GB2312" w:cs="仿宋_GB2312"/>
                <w:color w:val="auto"/>
                <w:sz w:val="24"/>
                <w:lang w:eastAsia="zh-CN"/>
              </w:rPr>
              <w:t>。</w:t>
            </w:r>
          </w:p>
        </w:tc>
        <w:tc>
          <w:tcPr>
            <w:tcW w:w="2269" w:type="dxa"/>
            <w:vAlign w:val="center"/>
          </w:tcPr>
          <w:p w14:paraId="444AC169">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2FD58F5D">
            <w:pPr>
              <w:adjustRightInd w:val="0"/>
              <w:snapToGrid w:val="0"/>
              <w:ind w:right="105" w:rightChars="50"/>
              <w:jc w:val="center"/>
              <w:rPr>
                <w:rFonts w:ascii="仿宋_GB2312" w:hAnsi="仿宋_GB2312" w:eastAsia="仿宋_GB2312" w:cs="仿宋_GB2312"/>
                <w:color w:val="auto"/>
                <w:sz w:val="24"/>
              </w:rPr>
            </w:pPr>
          </w:p>
        </w:tc>
        <w:tc>
          <w:tcPr>
            <w:tcW w:w="1601" w:type="dxa"/>
            <w:vAlign w:val="center"/>
          </w:tcPr>
          <w:p w14:paraId="36E326BE">
            <w:pPr>
              <w:adjustRightInd w:val="0"/>
              <w:snapToGrid w:val="0"/>
              <w:ind w:right="105" w:rightChars="50"/>
              <w:jc w:val="center"/>
              <w:rPr>
                <w:rFonts w:ascii="仿宋_GB2312" w:hAnsi="仿宋_GB2312" w:eastAsia="仿宋_GB2312" w:cs="仿宋_GB2312"/>
                <w:color w:val="auto"/>
                <w:sz w:val="24"/>
              </w:rPr>
            </w:pPr>
          </w:p>
        </w:tc>
      </w:tr>
      <w:tr w14:paraId="1A8B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570" w:type="dxa"/>
            <w:vAlign w:val="center"/>
          </w:tcPr>
          <w:p w14:paraId="18C44A81">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6</w:t>
            </w:r>
          </w:p>
        </w:tc>
        <w:tc>
          <w:tcPr>
            <w:tcW w:w="3922" w:type="dxa"/>
            <w:vAlign w:val="center"/>
          </w:tcPr>
          <w:p w14:paraId="0163540A">
            <w:pPr>
              <w:adjustRightInd w:val="0"/>
              <w:snapToGrid w:val="0"/>
              <w:ind w:hanging="1"/>
              <w:rPr>
                <w:rFonts w:ascii="仿宋_GB2312" w:hAnsi="仿宋_GB2312" w:eastAsia="仿宋_GB2312" w:cs="仿宋_GB2312"/>
                <w:color w:val="auto"/>
                <w:sz w:val="24"/>
              </w:rPr>
            </w:pPr>
            <w:r>
              <w:rPr>
                <w:rFonts w:hint="eastAsia" w:ascii="仿宋_GB2312" w:hAnsi="仿宋_GB2312" w:eastAsia="仿宋_GB2312" w:cs="仿宋_GB2312"/>
                <w:color w:val="auto"/>
                <w:sz w:val="24"/>
              </w:rPr>
              <w:t>其它</w:t>
            </w:r>
          </w:p>
        </w:tc>
        <w:tc>
          <w:tcPr>
            <w:tcW w:w="2269" w:type="dxa"/>
            <w:vAlign w:val="center"/>
          </w:tcPr>
          <w:p w14:paraId="484FC5A2">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采购单位未提供需求而投标人认为需说明及补充的内容在此填列</w:t>
            </w:r>
          </w:p>
        </w:tc>
        <w:tc>
          <w:tcPr>
            <w:tcW w:w="983" w:type="dxa"/>
            <w:vAlign w:val="center"/>
          </w:tcPr>
          <w:p w14:paraId="702103DC">
            <w:pPr>
              <w:adjustRightInd w:val="0"/>
              <w:snapToGrid w:val="0"/>
              <w:ind w:right="105" w:rightChars="50"/>
              <w:jc w:val="center"/>
              <w:rPr>
                <w:rFonts w:ascii="仿宋_GB2312" w:hAnsi="仿宋_GB2312" w:eastAsia="仿宋_GB2312" w:cs="仿宋_GB2312"/>
                <w:color w:val="auto"/>
                <w:sz w:val="24"/>
              </w:rPr>
            </w:pPr>
          </w:p>
        </w:tc>
        <w:tc>
          <w:tcPr>
            <w:tcW w:w="1601" w:type="dxa"/>
            <w:vAlign w:val="center"/>
          </w:tcPr>
          <w:p w14:paraId="5EA0BB44">
            <w:pPr>
              <w:adjustRightInd w:val="0"/>
              <w:snapToGrid w:val="0"/>
              <w:ind w:right="105" w:rightChars="50"/>
              <w:jc w:val="center"/>
              <w:rPr>
                <w:rFonts w:ascii="仿宋_GB2312" w:hAnsi="仿宋_GB2312" w:eastAsia="仿宋_GB2312" w:cs="仿宋_GB2312"/>
                <w:color w:val="auto"/>
                <w:sz w:val="24"/>
              </w:rPr>
            </w:pPr>
          </w:p>
        </w:tc>
      </w:tr>
    </w:tbl>
    <w:p w14:paraId="3CECDFE3">
      <w:pPr>
        <w:adjustRightInd w:val="0"/>
        <w:snapToGrid w:val="0"/>
        <w:spacing w:line="312" w:lineRule="auto"/>
        <w:ind w:right="105" w:rightChars="50"/>
        <w:jc w:val="left"/>
        <w:rPr>
          <w:rFonts w:ascii="仿宋_GB2312" w:hAnsi="仿宋_GB2312" w:eastAsia="仿宋_GB2312" w:cs="仿宋_GB2312"/>
          <w:color w:val="auto"/>
          <w:sz w:val="24"/>
        </w:rPr>
      </w:pPr>
      <w:r>
        <w:rPr>
          <w:rFonts w:hint="eastAsia" w:ascii="仿宋_GB2312" w:hAnsi="仿宋_GB2312" w:eastAsia="仿宋_GB2312" w:cs="仿宋_GB2312"/>
          <w:b/>
          <w:color w:val="auto"/>
          <w:sz w:val="24"/>
        </w:rPr>
        <w:t>填表说明：</w:t>
      </w:r>
    </w:p>
    <w:p w14:paraId="015A403A">
      <w:pPr>
        <w:adjustRightInd w:val="0"/>
        <w:snapToGrid w:val="0"/>
        <w:spacing w:line="312" w:lineRule="auto"/>
        <w:ind w:firstLine="480" w:firstLineChars="200"/>
        <w:rPr>
          <w:rFonts w:ascii="仿宋_GB2312" w:hAnsi="仿宋_GB2312" w:eastAsia="仿宋_GB2312" w:cs="仿宋_GB2312"/>
          <w:color w:val="auto"/>
          <w:sz w:val="24"/>
        </w:rPr>
      </w:pPr>
      <w:r>
        <w:rPr>
          <w:rFonts w:hint="eastAsia" w:ascii="仿宋_GB2312" w:hAnsi="仿宋" w:eastAsia="仿宋_GB2312" w:cs="仿宋_GB2312"/>
          <w:color w:val="auto"/>
          <w:sz w:val="24"/>
        </w:rPr>
        <w:t>1.“</w:t>
      </w:r>
      <w:r>
        <w:rPr>
          <w:rFonts w:hint="eastAsia" w:ascii="仿宋_GB2312" w:hAnsi="仿宋_GB2312" w:eastAsia="仿宋_GB2312" w:cs="仿宋_GB2312"/>
          <w:color w:val="auto"/>
          <w:sz w:val="24"/>
        </w:rPr>
        <w:t>响应文件响应内容”一栏由投标人填写。</w:t>
      </w:r>
    </w:p>
    <w:p w14:paraId="4B79D579">
      <w:pPr>
        <w:adjustRightInd w:val="0"/>
        <w:snapToGrid w:val="0"/>
        <w:spacing w:line="312" w:lineRule="auto"/>
        <w:ind w:firstLine="480" w:firstLineChars="200"/>
        <w:rPr>
          <w:rFonts w:ascii="仿宋_GB2312" w:hAnsi="仿宋_GB2312" w:eastAsia="仿宋_GB2312" w:cs="仿宋_GB2312"/>
          <w:color w:val="auto"/>
          <w:sz w:val="24"/>
        </w:rPr>
      </w:pPr>
      <w:r>
        <w:rPr>
          <w:rFonts w:hint="eastAsia" w:ascii="仿宋_GB2312" w:hAnsi="仿宋" w:eastAsia="仿宋_GB2312" w:cs="仿宋_GB2312"/>
          <w:color w:val="auto"/>
          <w:sz w:val="24"/>
        </w:rPr>
        <w:t>2.“偏离程度”一栏根据“响应文件响应内容”与采购文件逐项对照的结果填写。</w:t>
      </w:r>
      <w:r>
        <w:rPr>
          <w:rFonts w:hint="eastAsia" w:ascii="仿宋_GB2312" w:hAnsi="仿宋_GB2312" w:eastAsia="仿宋_GB2312" w:cs="仿宋_GB2312"/>
          <w:color w:val="auto"/>
          <w:sz w:val="24"/>
        </w:rPr>
        <w:t>偏离必须用 “正偏离、负偏离或无偏离”三个名称中的一种进行标注。</w:t>
      </w:r>
    </w:p>
    <w:p w14:paraId="0E16BA51">
      <w:pPr>
        <w:adjustRightInd w:val="0"/>
        <w:snapToGrid w:val="0"/>
        <w:spacing w:line="312"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3.“偏离说明”一栏由投标人对偏离的情况做详细说明。</w:t>
      </w:r>
    </w:p>
    <w:p w14:paraId="7E6DF1BC">
      <w:pPr>
        <w:adjustRightInd w:val="0"/>
        <w:snapToGrid w:val="0"/>
        <w:spacing w:line="360" w:lineRule="auto"/>
        <w:ind w:right="105" w:rightChars="50"/>
        <w:jc w:val="left"/>
        <w:rPr>
          <w:rFonts w:ascii="仿宋_GB2312" w:hAnsi="仿宋_GB2312" w:eastAsia="仿宋_GB2312" w:cs="仿宋_GB2312"/>
          <w:color w:val="auto"/>
          <w:sz w:val="24"/>
        </w:rPr>
      </w:pPr>
    </w:p>
    <w:p w14:paraId="63426537">
      <w:pPr>
        <w:adjustRightInd w:val="0"/>
        <w:snapToGrid w:val="0"/>
        <w:spacing w:line="360" w:lineRule="auto"/>
        <w:ind w:right="105" w:rightChars="50"/>
        <w:jc w:val="left"/>
        <w:rPr>
          <w:rFonts w:ascii="仿宋_GB2312" w:hAnsi="仿宋_GB2312" w:eastAsia="仿宋_GB2312" w:cs="仿宋_GB2312"/>
          <w:color w:val="auto"/>
          <w:sz w:val="24"/>
        </w:rPr>
      </w:pPr>
    </w:p>
    <w:p w14:paraId="60FCBE74">
      <w:pPr>
        <w:adjustRightInd w:val="0"/>
        <w:snapToGrid w:val="0"/>
        <w:spacing w:line="360" w:lineRule="auto"/>
        <w:ind w:right="105" w:rightChars="50"/>
        <w:jc w:val="left"/>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投标人名称(加盖单位公章)：</w:t>
      </w:r>
      <w:r>
        <w:rPr>
          <w:rFonts w:hint="eastAsia" w:ascii="仿宋_GB2312" w:hAnsi="仿宋_GB2312" w:eastAsia="仿宋_GB2312" w:cs="仿宋_GB2312"/>
          <w:color w:val="auto"/>
          <w:sz w:val="24"/>
          <w:u w:val="single"/>
        </w:rPr>
        <w:t xml:space="preserve">               </w:t>
      </w:r>
    </w:p>
    <w:p w14:paraId="2021CE8D">
      <w:pPr>
        <w:adjustRightInd w:val="0"/>
        <w:snapToGrid w:val="0"/>
        <w:spacing w:line="360" w:lineRule="auto"/>
        <w:ind w:right="105" w:rightChars="50"/>
        <w:jc w:val="left"/>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法定代表人（或非法人组织负责人）或其授权委托人(签字或盖章)：</w:t>
      </w:r>
      <w:r>
        <w:rPr>
          <w:rFonts w:hint="eastAsia" w:ascii="仿宋_GB2312" w:hAnsi="仿宋_GB2312" w:eastAsia="仿宋_GB2312" w:cs="仿宋_GB2312"/>
          <w:color w:val="auto"/>
          <w:sz w:val="24"/>
          <w:u w:val="single"/>
        </w:rPr>
        <w:t xml:space="preserve">               </w:t>
      </w:r>
    </w:p>
    <w:p w14:paraId="634829C3">
      <w:pPr>
        <w:pStyle w:val="58"/>
        <w:snapToGrid w:val="0"/>
        <w:spacing w:line="360" w:lineRule="auto"/>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日      期：</w:t>
      </w:r>
      <w:r>
        <w:rPr>
          <w:rFonts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rPr>
        <w:t xml:space="preserve"> </w:t>
      </w:r>
      <w:r>
        <w:rPr>
          <w:rFonts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rPr>
        <w:br w:type="page"/>
      </w:r>
    </w:p>
    <w:bookmarkEnd w:id="122"/>
    <w:bookmarkEnd w:id="123"/>
    <w:p w14:paraId="05D8469F">
      <w:pPr>
        <w:pStyle w:val="4"/>
        <w:adjustRightInd w:val="0"/>
        <w:snapToGrid w:val="0"/>
        <w:spacing w:before="0" w:after="0" w:line="240" w:lineRule="auto"/>
        <w:jc w:val="left"/>
        <w:rPr>
          <w:rFonts w:ascii="仿宋_GB2312" w:hAnsi="仿宋" w:eastAsia="仿宋_GB2312" w:cs="仿宋_GB2312"/>
          <w:color w:val="auto"/>
          <w:szCs w:val="28"/>
        </w:rPr>
      </w:pPr>
      <w:r>
        <w:rPr>
          <w:rFonts w:hint="eastAsia" w:hAnsi="仿宋" w:cs="仿宋_GB2312"/>
          <w:color w:val="auto"/>
          <w:szCs w:val="28"/>
        </w:rPr>
        <w:t>格式</w:t>
      </w:r>
      <w:r>
        <w:rPr>
          <w:rFonts w:hint="eastAsia" w:ascii="仿宋_GB2312" w:hAnsi="仿宋" w:eastAsia="仿宋_GB2312" w:cs="仿宋_GB2312"/>
          <w:color w:val="auto"/>
          <w:szCs w:val="28"/>
        </w:rPr>
        <w:t>15</w:t>
      </w:r>
    </w:p>
    <w:p w14:paraId="6A2BAFBD">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124" w:name="_Toc20929_WPSOffice_Level2"/>
      <w:bookmarkStart w:id="125" w:name="_Toc9410_WPSOffice_Level2"/>
      <w:r>
        <w:rPr>
          <w:rFonts w:hint="eastAsia" w:ascii="方正小标宋简体" w:hAnsi="仿宋" w:eastAsia="方正小标宋简体" w:cs="仿宋_GB2312"/>
          <w:color w:val="auto"/>
          <w:sz w:val="32"/>
          <w:szCs w:val="32"/>
        </w:rPr>
        <w:t>投标人关联单位的说明</w:t>
      </w:r>
      <w:bookmarkEnd w:id="124"/>
      <w:bookmarkEnd w:id="125"/>
    </w:p>
    <w:p w14:paraId="714247F9">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说明：投标人应当如实披露与本单位存在下列关联关系的单位名称：</w:t>
      </w:r>
    </w:p>
    <w:p w14:paraId="0BB99AA1">
      <w:pPr>
        <w:adjustRightInd w:val="0"/>
        <w:snapToGrid w:val="0"/>
        <w:spacing w:line="360" w:lineRule="auto"/>
        <w:ind w:right="105" w:rightChars="50" w:firstLine="544" w:firstLineChars="227"/>
        <w:jc w:val="left"/>
        <w:rPr>
          <w:rFonts w:ascii="仿宋_GB2312" w:hAnsi="仿宋" w:eastAsia="仿宋_GB2312" w:cs="仿宋_GB2312"/>
          <w:color w:val="auto"/>
          <w:sz w:val="24"/>
        </w:rPr>
      </w:pPr>
      <w:bookmarkStart w:id="126" w:name="_Toc31070_WPSOffice_Level2"/>
      <w:bookmarkStart w:id="127" w:name="_Toc2074_WPSOffice_Level2"/>
      <w:r>
        <w:rPr>
          <w:rFonts w:hint="eastAsia" w:ascii="仿宋_GB2312" w:hAnsi="仿宋" w:eastAsia="仿宋_GB2312" w:cs="仿宋_GB2312"/>
          <w:color w:val="auto"/>
          <w:sz w:val="24"/>
        </w:rPr>
        <w:t>（1）与投标人单位法定代表人（或非法人组织负责人）为同一人的其他单位；</w:t>
      </w:r>
      <w:bookmarkEnd w:id="126"/>
      <w:bookmarkEnd w:id="127"/>
    </w:p>
    <w:p w14:paraId="44D3E4A7">
      <w:pPr>
        <w:adjustRightInd w:val="0"/>
        <w:snapToGrid w:val="0"/>
        <w:spacing w:line="360" w:lineRule="auto"/>
        <w:ind w:right="105" w:rightChars="50" w:firstLine="544" w:firstLineChars="227"/>
        <w:jc w:val="left"/>
        <w:rPr>
          <w:rFonts w:ascii="仿宋_GB2312" w:hAnsi="仿宋" w:eastAsia="仿宋_GB2312" w:cs="仿宋_GB2312"/>
          <w:color w:val="auto"/>
          <w:sz w:val="24"/>
        </w:rPr>
      </w:pPr>
      <w:bookmarkStart w:id="128" w:name="_Toc889_WPSOffice_Level2"/>
      <w:bookmarkStart w:id="129" w:name="_Toc27053_WPSOffice_Level2"/>
      <w:r>
        <w:rPr>
          <w:rFonts w:hint="eastAsia" w:ascii="仿宋_GB2312" w:hAnsi="仿宋" w:eastAsia="仿宋_GB2312" w:cs="仿宋_GB2312"/>
          <w:color w:val="auto"/>
          <w:sz w:val="24"/>
        </w:rPr>
        <w:t>（2）与投标人存在直接控股、管理关系的其他单位。</w:t>
      </w:r>
      <w:bookmarkEnd w:id="128"/>
      <w:bookmarkEnd w:id="129"/>
    </w:p>
    <w:p w14:paraId="63646908">
      <w:pPr>
        <w:adjustRightInd w:val="0"/>
        <w:snapToGrid w:val="0"/>
        <w:spacing w:line="360" w:lineRule="auto"/>
        <w:ind w:right="105" w:rightChars="50" w:firstLine="544" w:firstLineChars="227"/>
        <w:jc w:val="left"/>
        <w:rPr>
          <w:rFonts w:ascii="仿宋_GB2312" w:hAnsi="仿宋" w:eastAsia="仿宋_GB2312" w:cs="仿宋_GB2312"/>
          <w:color w:val="auto"/>
          <w:sz w:val="24"/>
        </w:rPr>
      </w:pPr>
    </w:p>
    <w:p w14:paraId="00B435A1">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注：若无此情形，写“无”即可。</w:t>
      </w:r>
    </w:p>
    <w:p w14:paraId="1FC64E8B">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FE786AC">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1BF9597A">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6BBB5165">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3BEAD0B6">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B1FAD29">
      <w:pPr>
        <w:adjustRightInd w:val="0"/>
        <w:snapToGrid w:val="0"/>
        <w:spacing w:line="360" w:lineRule="auto"/>
        <w:ind w:right="105" w:rightChars="50" w:firstLine="476" w:firstLineChars="227"/>
        <w:jc w:val="left"/>
        <w:rPr>
          <w:color w:val="auto"/>
        </w:rPr>
      </w:pPr>
    </w:p>
    <w:p w14:paraId="6AFA745F">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5C3D793">
      <w:pPr>
        <w:adjustRightInd w:val="0"/>
        <w:snapToGrid w:val="0"/>
        <w:spacing w:line="360" w:lineRule="auto"/>
        <w:ind w:right="105" w:rightChars="50"/>
        <w:jc w:val="left"/>
        <w:rPr>
          <w:rFonts w:ascii="仿宋_GB2312" w:hAnsi="仿宋" w:eastAsia="仿宋_GB2312" w:cs="仿宋_GB2312"/>
          <w:color w:val="auto"/>
          <w:szCs w:val="21"/>
        </w:rPr>
      </w:pPr>
    </w:p>
    <w:p w14:paraId="508966CE">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6D3916B3">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24A37B81">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49E893A0">
      <w:pPr>
        <w:rPr>
          <w:rFonts w:ascii="仿宋_GB2312" w:hAnsi="仿宋" w:eastAsia="仿宋_GB2312" w:cs="仿宋_GB2312"/>
          <w:color w:val="auto"/>
          <w:sz w:val="24"/>
          <w:u w:val="single"/>
        </w:rPr>
      </w:pPr>
      <w:r>
        <w:rPr>
          <w:rFonts w:hint="eastAsia" w:ascii="仿宋_GB2312" w:hAnsi="仿宋" w:eastAsia="仿宋_GB2312" w:cs="仿宋_GB2312"/>
          <w:color w:val="auto"/>
          <w:sz w:val="24"/>
          <w:u w:val="single"/>
        </w:rPr>
        <w:br w:type="page"/>
      </w:r>
    </w:p>
    <w:p w14:paraId="28A48722">
      <w:pPr>
        <w:pStyle w:val="4"/>
        <w:adjustRightInd w:val="0"/>
        <w:snapToGrid w:val="0"/>
        <w:spacing w:before="0" w:after="0" w:line="240" w:lineRule="auto"/>
        <w:jc w:val="left"/>
        <w:rPr>
          <w:rFonts w:hint="eastAsia" w:ascii="仿宋_GB2312" w:hAnsi="仿宋" w:eastAsia="仿宋_GB2312" w:cs="仿宋_GB2312"/>
          <w:color w:val="auto"/>
          <w:szCs w:val="28"/>
          <w:lang w:eastAsia="zh-CN"/>
        </w:rPr>
      </w:pPr>
      <w:r>
        <w:rPr>
          <w:rFonts w:hint="eastAsia" w:ascii="仿宋_GB2312" w:hAnsi="仿宋" w:eastAsia="仿宋_GB2312" w:cs="仿宋_GB2312"/>
          <w:color w:val="auto"/>
          <w:szCs w:val="28"/>
        </w:rPr>
        <w:t>格式1</w:t>
      </w:r>
      <w:r>
        <w:rPr>
          <w:rFonts w:hint="eastAsia" w:ascii="仿宋_GB2312" w:hAnsi="仿宋" w:eastAsia="仿宋_GB2312" w:cs="仿宋_GB2312"/>
          <w:color w:val="auto"/>
          <w:szCs w:val="28"/>
          <w:lang w:val="en-US" w:eastAsia="zh-CN"/>
        </w:rPr>
        <w:t>6</w:t>
      </w:r>
    </w:p>
    <w:p w14:paraId="448D4642">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中小企业声明函</w:t>
      </w:r>
    </w:p>
    <w:p w14:paraId="126B4575">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本公司（联合体如有）郑重声明，根据《政府采购促进中小企业发展管理办法》（财库</w:t>
      </w:r>
      <w:r>
        <w:rPr>
          <w:rFonts w:hint="eastAsia" w:ascii="微软雅黑" w:hAnsi="微软雅黑" w:eastAsia="微软雅黑"/>
          <w:color w:val="auto"/>
          <w:kern w:val="0"/>
          <w:sz w:val="24"/>
        </w:rPr>
        <w:t>﹝</w:t>
      </w:r>
      <w:r>
        <w:rPr>
          <w:rFonts w:hint="eastAsia" w:ascii="仿宋_GB2312" w:eastAsia="仿宋_GB2312"/>
          <w:color w:val="auto"/>
          <w:kern w:val="0"/>
          <w:sz w:val="24"/>
        </w:rPr>
        <w:t>2020</w:t>
      </w:r>
      <w:r>
        <w:rPr>
          <w:rFonts w:hint="eastAsia" w:ascii="微软雅黑" w:hAnsi="微软雅黑" w:eastAsia="微软雅黑"/>
          <w:color w:val="auto"/>
          <w:kern w:val="0"/>
          <w:sz w:val="24"/>
        </w:rPr>
        <w:t>﹞</w:t>
      </w:r>
      <w:r>
        <w:rPr>
          <w:rFonts w:hint="eastAsia" w:ascii="仿宋_GB2312" w:eastAsia="仿宋_GB2312"/>
          <w:color w:val="auto"/>
          <w:kern w:val="0"/>
          <w:sz w:val="24"/>
        </w:rPr>
        <w:t>46 号）的规定，本公司（联合体如有）参加</w:t>
      </w:r>
      <w:r>
        <w:rPr>
          <w:rFonts w:hint="eastAsia" w:ascii="仿宋_GB2312" w:eastAsia="仿宋_GB2312"/>
          <w:color w:val="auto"/>
          <w:kern w:val="0"/>
          <w:sz w:val="24"/>
          <w:u w:val="single"/>
        </w:rPr>
        <w:t xml:space="preserve">      （采购人名称）</w:t>
      </w:r>
      <w:r>
        <w:rPr>
          <w:rFonts w:hint="eastAsia" w:ascii="仿宋_GB2312" w:eastAsia="仿宋_GB2312"/>
          <w:color w:val="auto"/>
          <w:kern w:val="0"/>
          <w:sz w:val="24"/>
        </w:rPr>
        <w:t>的</w:t>
      </w:r>
      <w:r>
        <w:rPr>
          <w:rFonts w:hint="eastAsia" w:ascii="仿宋_GB2312" w:eastAsia="仿宋_GB2312"/>
          <w:color w:val="auto"/>
          <w:kern w:val="0"/>
          <w:sz w:val="24"/>
          <w:u w:val="single"/>
        </w:rPr>
        <w:t xml:space="preserve">         （项目名称）</w:t>
      </w:r>
      <w:r>
        <w:rPr>
          <w:rFonts w:hint="eastAsia" w:ascii="仿宋_GB2312" w:eastAsia="仿宋_GB2312"/>
          <w:color w:val="auto"/>
          <w:kern w:val="0"/>
          <w:sz w:val="24"/>
        </w:rPr>
        <w:t>采购活动，服务全部由符合政策要求的中小企业承接，为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（请填写：中型、小型、微型）企业。相关企业（含联合体中的中小企业、签订分包意向协议的中小企业）的具体情况如下：</w:t>
      </w:r>
    </w:p>
    <w:p w14:paraId="70DCEEAE">
      <w:pPr>
        <w:widowControl/>
        <w:spacing w:line="480" w:lineRule="exact"/>
        <w:ind w:firstLine="720" w:firstLineChars="300"/>
        <w:jc w:val="left"/>
        <w:rPr>
          <w:rFonts w:ascii="仿宋_GB2312" w:eastAsia="仿宋_GB2312"/>
          <w:color w:val="auto"/>
          <w:kern w:val="0"/>
          <w:sz w:val="24"/>
        </w:rPr>
      </w:pPr>
      <w:r>
        <w:rPr>
          <w:rFonts w:hint="eastAsia" w:ascii="仿宋_GB2312" w:eastAsia="仿宋_GB2312"/>
          <w:color w:val="auto"/>
          <w:kern w:val="0"/>
          <w:sz w:val="24"/>
        </w:rPr>
        <w:t xml:space="preserve">1. </w:t>
      </w:r>
      <w:r>
        <w:rPr>
          <w:rFonts w:hint="eastAsia" w:ascii="仿宋_GB2312" w:eastAsia="仿宋_GB2312"/>
          <w:color w:val="auto"/>
          <w:kern w:val="0"/>
          <w:sz w:val="24"/>
          <w:u w:val="single"/>
        </w:rPr>
        <w:t xml:space="preserve">     （标的名称）</w:t>
      </w:r>
      <w:r>
        <w:rPr>
          <w:rFonts w:hint="eastAsia" w:ascii="仿宋_GB2312" w:eastAsia="仿宋_GB2312"/>
          <w:color w:val="auto"/>
          <w:kern w:val="0"/>
          <w:sz w:val="24"/>
        </w:rPr>
        <w:t>，属于</w:t>
      </w:r>
      <w:r>
        <w:rPr>
          <w:rFonts w:hint="eastAsia" w:ascii="仿宋_GB2312" w:eastAsia="仿宋_GB2312"/>
          <w:color w:val="auto"/>
          <w:kern w:val="0"/>
          <w:sz w:val="24"/>
          <w:u w:val="single"/>
        </w:rPr>
        <w:t xml:space="preserve"> </w:t>
      </w:r>
      <w:r>
        <w:rPr>
          <w:rFonts w:hint="eastAsia" w:ascii="仿宋_GB2312" w:eastAsia="仿宋_GB2312"/>
          <w:color w:val="auto"/>
          <w:kern w:val="0"/>
          <w:sz w:val="24"/>
          <w:u w:val="single"/>
          <w:lang w:val="en-US" w:eastAsia="zh-CN"/>
        </w:rPr>
        <w:t>其它未列明行业</w:t>
      </w:r>
      <w:r>
        <w:rPr>
          <w:rFonts w:hint="eastAsia" w:ascii="仿宋_GB2312" w:eastAsia="仿宋_GB2312"/>
          <w:color w:val="auto"/>
          <w:kern w:val="0"/>
          <w:sz w:val="24"/>
        </w:rPr>
        <w:t>；承接企业为</w:t>
      </w:r>
      <w:r>
        <w:rPr>
          <w:rFonts w:hint="eastAsia" w:ascii="仿宋_GB2312" w:eastAsia="仿宋_GB2312"/>
          <w:color w:val="auto"/>
          <w:kern w:val="0"/>
          <w:sz w:val="24"/>
          <w:u w:val="single"/>
        </w:rPr>
        <w:t xml:space="preserve">     （企业名称）</w:t>
      </w:r>
      <w:r>
        <w:rPr>
          <w:rFonts w:hint="eastAsia" w:ascii="仿宋_GB2312" w:eastAsia="仿宋_GB2312"/>
          <w:color w:val="auto"/>
          <w:kern w:val="0"/>
          <w:sz w:val="24"/>
        </w:rPr>
        <w:t>，从业人员</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人，营业收入为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万元，资产总额为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w:t>
      </w:r>
      <w:r>
        <w:rPr>
          <w:rFonts w:hint="eastAsia" w:ascii="仿宋_GB2312" w:eastAsia="仿宋_GB2312"/>
          <w:color w:val="auto"/>
          <w:kern w:val="0"/>
          <w:sz w:val="24"/>
          <w:vertAlign w:val="superscript"/>
        </w:rPr>
        <w:t>1</w:t>
      </w:r>
      <w:r>
        <w:rPr>
          <w:rFonts w:hint="eastAsia" w:ascii="仿宋_GB2312" w:eastAsia="仿宋_GB2312"/>
          <w:color w:val="auto"/>
          <w:kern w:val="0"/>
          <w:sz w:val="24"/>
        </w:rPr>
        <w:t>，属于</w:t>
      </w:r>
      <w:r>
        <w:rPr>
          <w:rFonts w:hint="eastAsia" w:ascii="仿宋_GB2312" w:eastAsia="仿宋_GB2312"/>
          <w:color w:val="auto"/>
          <w:kern w:val="0"/>
          <w:sz w:val="24"/>
          <w:u w:val="single"/>
        </w:rPr>
        <w:t xml:space="preserve">      （中型企业、小型企业、微型企业）</w:t>
      </w:r>
      <w:r>
        <w:rPr>
          <w:rFonts w:hint="eastAsia" w:ascii="仿宋_GB2312" w:eastAsia="仿宋_GB2312"/>
          <w:color w:val="auto"/>
          <w:kern w:val="0"/>
          <w:sz w:val="24"/>
        </w:rPr>
        <w:t xml:space="preserve">； </w:t>
      </w:r>
    </w:p>
    <w:p w14:paraId="70442B74">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 xml:space="preserve">   2. </w:t>
      </w:r>
      <w:r>
        <w:rPr>
          <w:rFonts w:hint="eastAsia" w:ascii="仿宋_GB2312" w:eastAsia="仿宋_GB2312"/>
          <w:color w:val="auto"/>
          <w:kern w:val="0"/>
          <w:sz w:val="24"/>
          <w:u w:val="single"/>
        </w:rPr>
        <w:t xml:space="preserve">     （标的名称）</w:t>
      </w:r>
      <w:r>
        <w:rPr>
          <w:rFonts w:hint="eastAsia" w:ascii="仿宋_GB2312" w:eastAsia="仿宋_GB2312"/>
          <w:color w:val="auto"/>
          <w:kern w:val="0"/>
          <w:sz w:val="24"/>
        </w:rPr>
        <w:t xml:space="preserve"> ，属于</w:t>
      </w:r>
      <w:r>
        <w:rPr>
          <w:rFonts w:hint="eastAsia" w:ascii="仿宋_GB2312" w:eastAsia="仿宋_GB2312"/>
          <w:color w:val="auto"/>
          <w:kern w:val="0"/>
          <w:sz w:val="24"/>
          <w:u w:val="single"/>
        </w:rPr>
        <w:t xml:space="preserve">  </w:t>
      </w:r>
      <w:r>
        <w:rPr>
          <w:rFonts w:hint="eastAsia" w:ascii="仿宋_GB2312" w:eastAsia="仿宋_GB2312"/>
          <w:color w:val="auto"/>
          <w:kern w:val="0"/>
          <w:sz w:val="24"/>
          <w:u w:val="single"/>
          <w:lang w:val="en-US" w:eastAsia="zh-CN"/>
        </w:rPr>
        <w:t>其它未列明行业</w:t>
      </w:r>
      <w:r>
        <w:rPr>
          <w:rFonts w:hint="eastAsia" w:ascii="仿宋_GB2312" w:eastAsia="仿宋_GB2312"/>
          <w:color w:val="auto"/>
          <w:kern w:val="0"/>
          <w:sz w:val="24"/>
        </w:rPr>
        <w:t>；承接企业为</w:t>
      </w:r>
      <w:r>
        <w:rPr>
          <w:rFonts w:hint="eastAsia" w:ascii="仿宋_GB2312" w:eastAsia="仿宋_GB2312"/>
          <w:color w:val="auto"/>
          <w:kern w:val="0"/>
          <w:sz w:val="24"/>
          <w:u w:val="single"/>
        </w:rPr>
        <w:t xml:space="preserve">     （企业名称）</w:t>
      </w:r>
      <w:r>
        <w:rPr>
          <w:rFonts w:hint="eastAsia" w:ascii="仿宋_GB2312" w:eastAsia="仿宋_GB2312"/>
          <w:color w:val="auto"/>
          <w:kern w:val="0"/>
          <w:sz w:val="24"/>
        </w:rPr>
        <w:t>，从业人员</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人，营业收入为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万元，资产总额为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万元，属于</w:t>
      </w:r>
      <w:r>
        <w:rPr>
          <w:rFonts w:hint="eastAsia" w:ascii="仿宋_GB2312" w:eastAsia="仿宋_GB2312"/>
          <w:color w:val="auto"/>
          <w:kern w:val="0"/>
          <w:sz w:val="24"/>
          <w:u w:val="single"/>
        </w:rPr>
        <w:t xml:space="preserve">      （中型企业、小型企业、微型企业）</w:t>
      </w:r>
      <w:r>
        <w:rPr>
          <w:rFonts w:hint="eastAsia" w:ascii="仿宋_GB2312" w:eastAsia="仿宋_GB2312"/>
          <w:color w:val="auto"/>
          <w:kern w:val="0"/>
          <w:sz w:val="24"/>
        </w:rPr>
        <w:t xml:space="preserve">； </w:t>
      </w:r>
    </w:p>
    <w:p w14:paraId="178FD3FB">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w:t>
      </w:r>
    </w:p>
    <w:p w14:paraId="288BF45F">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以上企业，不属于大企业的分支机构，不存在控股股东为大企业的情形，也不存在与大企业的负责人为同一人的情形。</w:t>
      </w:r>
    </w:p>
    <w:p w14:paraId="168CC507">
      <w:pPr>
        <w:widowControl/>
        <w:spacing w:line="480" w:lineRule="exact"/>
        <w:ind w:firstLine="480" w:firstLineChars="200"/>
        <w:jc w:val="left"/>
        <w:rPr>
          <w:rFonts w:ascii="仿宋" w:hAnsi="仿宋"/>
          <w:color w:val="auto"/>
          <w:szCs w:val="21"/>
        </w:rPr>
      </w:pPr>
      <w:r>
        <w:rPr>
          <w:rFonts w:hint="eastAsia" w:ascii="仿宋_GB2312" w:eastAsia="仿宋_GB2312"/>
          <w:color w:val="auto"/>
          <w:kern w:val="0"/>
          <w:sz w:val="24"/>
        </w:rPr>
        <w:t>本企业对上述声明内容的真实性负责。如有虚假，将依 法承担相应责任。</w:t>
      </w:r>
      <w:r>
        <w:rPr>
          <w:rFonts w:hint="eastAsia" w:ascii="仿宋" w:hAnsi="仿宋"/>
          <w:color w:val="auto"/>
        </w:rPr>
        <w:t xml:space="preserve"> </w:t>
      </w:r>
    </w:p>
    <w:p w14:paraId="0CC0FB40">
      <w:pPr>
        <w:adjustRightInd w:val="0"/>
        <w:snapToGrid w:val="0"/>
        <w:spacing w:line="480" w:lineRule="exact"/>
        <w:ind w:right="105" w:rightChars="50" w:firstLine="420" w:firstLineChars="200"/>
        <w:jc w:val="left"/>
        <w:rPr>
          <w:rFonts w:ascii="仿宋_GB2312" w:eastAsia="仿宋_GB2312"/>
          <w:color w:val="auto"/>
          <w:sz w:val="24"/>
        </w:rPr>
      </w:pPr>
      <w:r>
        <w:rPr>
          <w:rFonts w:hint="eastAsia" w:ascii="仿宋_GB2312" w:eastAsia="仿宋_GB2312"/>
          <w:color w:val="auto"/>
          <w:kern w:val="0"/>
        </w:rPr>
        <w:t xml:space="preserve"> </w:t>
      </w:r>
      <w:r>
        <w:rPr>
          <w:rFonts w:hint="eastAsia" w:ascii="仿宋_GB2312" w:eastAsia="仿宋_GB2312"/>
          <w:color w:val="auto"/>
          <w:sz w:val="24"/>
        </w:rPr>
        <w:t>注：投标人为非中小企业的，无需填写此声明函。</w:t>
      </w:r>
    </w:p>
    <w:p w14:paraId="2EAD6233">
      <w:pPr>
        <w:adjustRightInd w:val="0"/>
        <w:snapToGrid w:val="0"/>
        <w:spacing w:line="360" w:lineRule="auto"/>
        <w:ind w:right="105" w:rightChars="50" w:firstLine="544" w:firstLineChars="227"/>
        <w:jc w:val="left"/>
        <w:rPr>
          <w:rFonts w:ascii="仿宋_GB2312" w:eastAsia="仿宋_GB2312"/>
          <w:color w:val="auto"/>
          <w:sz w:val="24"/>
        </w:rPr>
      </w:pPr>
      <w:r>
        <w:rPr>
          <w:rFonts w:hint="eastAsia" w:ascii="仿宋_GB2312" w:eastAsia="仿宋_GB2312"/>
          <w:color w:val="auto"/>
          <w:sz w:val="24"/>
        </w:rPr>
        <w:t xml:space="preserve"> </w:t>
      </w:r>
    </w:p>
    <w:p w14:paraId="61C6EEC4">
      <w:pPr>
        <w:adjustRightInd w:val="0"/>
        <w:snapToGrid w:val="0"/>
        <w:spacing w:line="480" w:lineRule="auto"/>
        <w:ind w:right="105" w:rightChars="50"/>
        <w:jc w:val="left"/>
        <w:rPr>
          <w:rFonts w:ascii="仿宋_GB2312" w:eastAsia="仿宋_GB2312"/>
          <w:color w:val="auto"/>
          <w:sz w:val="24"/>
        </w:rPr>
      </w:pPr>
      <w:r>
        <w:rPr>
          <w:rFonts w:hint="eastAsia" w:ascii="仿宋_GB2312" w:eastAsia="仿宋_GB2312"/>
          <w:color w:val="auto"/>
          <w:sz w:val="24"/>
        </w:rPr>
        <w:t>投标人名称（加盖单位公章）：</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14:paraId="5096B561">
      <w:pPr>
        <w:adjustRightInd w:val="0"/>
        <w:snapToGrid w:val="0"/>
        <w:spacing w:line="480" w:lineRule="auto"/>
        <w:ind w:right="105" w:rightChars="50"/>
        <w:jc w:val="left"/>
        <w:rPr>
          <w:rFonts w:ascii="仿宋" w:hAnsi="仿宋"/>
          <w:color w:val="auto"/>
          <w:szCs w:val="21"/>
        </w:rPr>
      </w:pPr>
      <w:r>
        <w:rPr>
          <w:rFonts w:hint="eastAsia" w:ascii="仿宋_GB2312" w:eastAsia="仿宋_GB2312"/>
          <w:color w:val="auto"/>
          <w:sz w:val="24"/>
        </w:rPr>
        <w:t xml:space="preserve">日 </w:t>
      </w:r>
      <w:r>
        <w:rPr>
          <w:rFonts w:ascii="仿宋_GB2312" w:eastAsia="仿宋_GB2312"/>
          <w:color w:val="auto"/>
          <w:sz w:val="24"/>
        </w:rPr>
        <w:t xml:space="preserve">     </w:t>
      </w:r>
      <w:r>
        <w:rPr>
          <w:rFonts w:hint="eastAsia" w:ascii="仿宋_GB2312" w:eastAsia="仿宋_GB2312"/>
          <w:color w:val="auto"/>
          <w:sz w:val="24"/>
        </w:rPr>
        <w:t>期：</w:t>
      </w:r>
      <w:r>
        <w:rPr>
          <w:rFonts w:hint="eastAsia" w:ascii="仿宋_GB2312" w:eastAsia="仿宋_GB2312"/>
          <w:color w:val="auto"/>
          <w:sz w:val="24"/>
          <w:u w:val="single"/>
        </w:rPr>
        <w:t xml:space="preserve">               </w:t>
      </w:r>
      <w:r>
        <w:rPr>
          <w:rFonts w:hint="eastAsia" w:ascii="仿宋" w:hAnsi="仿宋"/>
          <w:color w:val="auto"/>
        </w:rPr>
        <w:t xml:space="preserve"> </w:t>
      </w:r>
    </w:p>
    <w:p w14:paraId="741DBAC2">
      <w:pPr>
        <w:adjustRightInd w:val="0"/>
        <w:snapToGrid w:val="0"/>
        <w:spacing w:line="360" w:lineRule="auto"/>
        <w:ind w:right="105" w:rightChars="50" w:firstLine="480" w:firstLineChars="200"/>
        <w:jc w:val="left"/>
        <w:rPr>
          <w:rFonts w:ascii="仿宋_GB2312" w:eastAsia="仿宋_GB2312"/>
          <w:b/>
          <w:bCs/>
          <w:color w:val="auto"/>
          <w:kern w:val="0"/>
          <w:sz w:val="24"/>
        </w:rPr>
      </w:pPr>
    </w:p>
    <w:p w14:paraId="2943B66F">
      <w:pPr>
        <w:adjustRightInd w:val="0"/>
        <w:snapToGrid w:val="0"/>
        <w:spacing w:line="360" w:lineRule="auto"/>
        <w:ind w:right="105" w:rightChars="50" w:firstLine="480" w:firstLineChars="200"/>
        <w:jc w:val="left"/>
        <w:rPr>
          <w:rFonts w:ascii="仿宋_GB2312" w:eastAsia="仿宋_GB2312"/>
          <w:b/>
          <w:bCs/>
          <w:color w:val="auto"/>
          <w:kern w:val="0"/>
          <w:sz w:val="24"/>
        </w:rPr>
      </w:pPr>
      <w:r>
        <w:rPr>
          <w:rFonts w:hint="eastAsia" w:ascii="仿宋_GB2312" w:eastAsia="仿宋_GB2312"/>
          <w:b/>
          <w:bCs/>
          <w:color w:val="auto"/>
          <w:kern w:val="0"/>
          <w:sz w:val="24"/>
        </w:rPr>
        <w:t>1从业人员、营业收入、资产总额填报上一年度数据，无上一年度数据的新成立企业可不填报。</w:t>
      </w:r>
    </w:p>
    <w:p w14:paraId="2120B311">
      <w:pPr>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p>
    <w:p w14:paraId="5E6E94A2">
      <w:pPr>
        <w:pStyle w:val="4"/>
        <w:adjustRightInd w:val="0"/>
        <w:snapToGrid w:val="0"/>
        <w:spacing w:before="0" w:after="0" w:line="240" w:lineRule="auto"/>
        <w:jc w:val="left"/>
        <w:rPr>
          <w:rFonts w:hint="eastAsia" w:ascii="仿宋_GB2312" w:hAnsi="仿宋" w:eastAsia="仿宋_GB2312" w:cs="仿宋_GB2312"/>
          <w:color w:val="auto"/>
          <w:szCs w:val="28"/>
          <w:lang w:eastAsia="zh-CN"/>
        </w:rPr>
      </w:pPr>
      <w:r>
        <w:rPr>
          <w:rFonts w:hint="eastAsia" w:ascii="仿宋_GB2312" w:hAnsi="仿宋" w:eastAsia="仿宋_GB2312" w:cs="仿宋_GB2312"/>
          <w:color w:val="auto"/>
          <w:szCs w:val="28"/>
        </w:rPr>
        <w:t>格式1</w:t>
      </w:r>
      <w:r>
        <w:rPr>
          <w:rFonts w:hint="eastAsia" w:ascii="仿宋_GB2312" w:hAnsi="仿宋" w:eastAsia="仿宋_GB2312" w:cs="仿宋_GB2312"/>
          <w:color w:val="auto"/>
          <w:szCs w:val="28"/>
          <w:lang w:val="en-US" w:eastAsia="zh-CN"/>
        </w:rPr>
        <w:t>7</w:t>
      </w:r>
    </w:p>
    <w:p w14:paraId="328FD369">
      <w:pPr>
        <w:spacing w:before="159" w:beforeLines="50" w:after="319" w:afterLines="100" w:line="360" w:lineRule="auto"/>
        <w:ind w:right="-21" w:rightChars="-10"/>
        <w:jc w:val="center"/>
        <w:rPr>
          <w:rFonts w:ascii="方正小标宋简体" w:hAnsi="仿宋" w:eastAsia="方正小标宋简体" w:cs="仿宋_GB2312"/>
          <w:color w:val="auto"/>
          <w:sz w:val="32"/>
          <w:szCs w:val="32"/>
        </w:rPr>
      </w:pPr>
      <w:bookmarkStart w:id="130" w:name="_Toc29880_WPSOffice_Level2"/>
      <w:bookmarkStart w:id="131" w:name="_Toc13566_WPSOffice_Level2"/>
      <w:r>
        <w:rPr>
          <w:rFonts w:hint="eastAsia" w:ascii="方正小标宋简体" w:hAnsi="仿宋" w:eastAsia="方正小标宋简体" w:cs="仿宋_GB2312"/>
          <w:color w:val="auto"/>
          <w:sz w:val="32"/>
          <w:szCs w:val="32"/>
        </w:rPr>
        <w:t>残疾人福利性单位声明函</w:t>
      </w:r>
      <w:bookmarkEnd w:id="130"/>
      <w:bookmarkEnd w:id="131"/>
    </w:p>
    <w:p w14:paraId="401FF01C">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单位的</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项目采购活动，提供本单位制造的货物（由本单位承担工程/提供服务），或者提供其他残疾人福利性单位制造的货物（不包括使用非残疾人福利性单位注册商标的货物）。</w:t>
      </w:r>
    </w:p>
    <w:p w14:paraId="020F74EE">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本单位对上述声明的真实性负责。如有虚假，将依法承担相应责任。</w:t>
      </w:r>
    </w:p>
    <w:p w14:paraId="2DAA7826">
      <w:pPr>
        <w:adjustRightInd w:val="0"/>
        <w:snapToGrid w:val="0"/>
        <w:spacing w:line="360" w:lineRule="auto"/>
        <w:ind w:right="105" w:rightChars="50" w:firstLine="544" w:firstLineChars="227"/>
        <w:jc w:val="left"/>
        <w:rPr>
          <w:rFonts w:ascii="仿宋_GB2312" w:hAnsi="仿宋" w:eastAsia="仿宋_GB2312" w:cs="仿宋_GB2312"/>
          <w:color w:val="auto"/>
          <w:sz w:val="24"/>
        </w:rPr>
      </w:pPr>
    </w:p>
    <w:p w14:paraId="55CEE20D">
      <w:pPr>
        <w:adjustRightInd w:val="0"/>
        <w:snapToGrid w:val="0"/>
        <w:spacing w:line="360" w:lineRule="auto"/>
        <w:ind w:right="105" w:rightChars="50" w:firstLine="544" w:firstLineChars="227"/>
        <w:jc w:val="left"/>
        <w:rPr>
          <w:rFonts w:ascii="仿宋_GB2312" w:hAnsi="仿宋" w:eastAsia="仿宋_GB2312" w:cs="仿宋_GB2312"/>
          <w:color w:val="auto"/>
          <w:sz w:val="24"/>
        </w:rPr>
      </w:pPr>
    </w:p>
    <w:p w14:paraId="76D1DEF1">
      <w:pPr>
        <w:adjustRightInd w:val="0"/>
        <w:snapToGrid w:val="0"/>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注：投标人为非残疾人福利性单位的，无需填写此声明函。</w:t>
      </w:r>
    </w:p>
    <w:p w14:paraId="2396D0EA">
      <w:pPr>
        <w:adjustRightInd w:val="0"/>
        <w:snapToGrid w:val="0"/>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  </w:t>
      </w:r>
    </w:p>
    <w:p w14:paraId="0D223A15">
      <w:pPr>
        <w:adjustRightInd w:val="0"/>
        <w:snapToGrid w:val="0"/>
        <w:spacing w:line="360" w:lineRule="auto"/>
        <w:ind w:right="105" w:rightChars="50"/>
        <w:jc w:val="left"/>
        <w:rPr>
          <w:rFonts w:ascii="仿宋_GB2312" w:hAnsi="仿宋" w:eastAsia="仿宋_GB2312" w:cs="仿宋_GB2312"/>
          <w:color w:val="auto"/>
          <w:sz w:val="24"/>
        </w:rPr>
      </w:pPr>
    </w:p>
    <w:p w14:paraId="37125F82">
      <w:pPr>
        <w:adjustRightInd w:val="0"/>
        <w:snapToGrid w:val="0"/>
        <w:spacing w:line="360" w:lineRule="auto"/>
        <w:ind w:right="105" w:rightChars="50"/>
        <w:jc w:val="left"/>
        <w:rPr>
          <w:rFonts w:ascii="仿宋_GB2312" w:hAnsi="仿宋" w:eastAsia="仿宋_GB2312" w:cs="仿宋_GB2312"/>
          <w:color w:val="auto"/>
          <w:sz w:val="24"/>
        </w:rPr>
      </w:pPr>
    </w:p>
    <w:p w14:paraId="7164FE63">
      <w:pPr>
        <w:adjustRightInd w:val="0"/>
        <w:snapToGrid w:val="0"/>
        <w:spacing w:line="360" w:lineRule="auto"/>
        <w:ind w:right="105" w:rightChars="50"/>
        <w:jc w:val="left"/>
        <w:rPr>
          <w:rFonts w:ascii="仿宋_GB2312" w:hAnsi="仿宋" w:eastAsia="仿宋_GB2312" w:cs="仿宋_GB2312"/>
          <w:color w:val="auto"/>
          <w:sz w:val="24"/>
        </w:rPr>
      </w:pPr>
    </w:p>
    <w:p w14:paraId="02CB8EB7">
      <w:pPr>
        <w:adjustRightInd w:val="0"/>
        <w:snapToGrid w:val="0"/>
        <w:spacing w:line="480" w:lineRule="auto"/>
        <w:ind w:right="105" w:rightChars="50"/>
        <w:jc w:val="left"/>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15B535E8">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46950EA9">
      <w:pPr>
        <w:pStyle w:val="4"/>
        <w:adjustRightInd w:val="0"/>
        <w:snapToGrid w:val="0"/>
        <w:spacing w:before="0" w:after="0" w:line="240" w:lineRule="auto"/>
        <w:jc w:val="left"/>
        <w:rPr>
          <w:rFonts w:hint="eastAsia" w:ascii="仿宋_GB2312" w:hAnsi="仿宋" w:eastAsia="仿宋_GB2312" w:cs="仿宋_GB2312"/>
          <w:color w:val="auto"/>
          <w:szCs w:val="28"/>
          <w:lang w:eastAsia="zh-CN"/>
        </w:rPr>
      </w:pPr>
      <w:r>
        <w:rPr>
          <w:rFonts w:hint="eastAsia" w:ascii="仿宋_GB2312" w:hAnsi="仿宋" w:eastAsia="仿宋_GB2312" w:cs="仿宋_GB2312"/>
          <w:color w:val="auto"/>
        </w:rPr>
        <w:br w:type="page"/>
      </w:r>
      <w:r>
        <w:rPr>
          <w:rFonts w:hint="eastAsia" w:ascii="仿宋_GB2312" w:hAnsi="仿宋" w:eastAsia="仿宋_GB2312" w:cs="仿宋_GB2312"/>
          <w:color w:val="auto"/>
          <w:szCs w:val="28"/>
        </w:rPr>
        <w:t>格式1</w:t>
      </w:r>
      <w:r>
        <w:rPr>
          <w:rFonts w:hint="eastAsia" w:ascii="仿宋_GB2312" w:hAnsi="仿宋" w:eastAsia="仿宋_GB2312" w:cs="仿宋_GB2312"/>
          <w:color w:val="auto"/>
          <w:szCs w:val="28"/>
          <w:lang w:val="en-US" w:eastAsia="zh-CN"/>
        </w:rPr>
        <w:t>8</w:t>
      </w:r>
    </w:p>
    <w:p w14:paraId="34AE30FF">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聘用建档立卡贫困人员物业公司声明函</w:t>
      </w:r>
      <w:r>
        <w:rPr>
          <w:rFonts w:hint="eastAsia" w:ascii="方正小标宋简体" w:hAnsi="仿宋_GB2312" w:eastAsia="方正小标宋简体" w:cs="仿宋_GB2312"/>
          <w:color w:val="auto"/>
          <w:sz w:val="32"/>
          <w:szCs w:val="32"/>
        </w:rPr>
        <w:t>（本项目不适用）</w:t>
      </w:r>
    </w:p>
    <w:p w14:paraId="1C58C145">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本单位郑重声明，根据财政部 国务院扶贫办《关于运用政府采购政策支持脱贫攻坚的通知》（财库〔2019〕27 号）的规定，本单位为符合条件的单位，且本单位参加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单位的</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项目采购活动，由本单位提供物业服务，其中聘用建档立卡贫困人员达到公司员工（含服务外包用工）</w:t>
      </w:r>
      <w:r>
        <w:rPr>
          <w:rFonts w:hint="eastAsia" w:ascii="仿宋_GB2312" w:hAnsi="仿宋" w:eastAsia="仿宋_GB2312" w:cs="仿宋_GB2312"/>
          <w:color w:val="auto"/>
          <w:sz w:val="24"/>
          <w:szCs w:val="21"/>
          <w:u w:val="single"/>
        </w:rPr>
        <w:t xml:space="preserve"> / </w:t>
      </w:r>
      <w:r>
        <w:rPr>
          <w:rFonts w:hint="eastAsia" w:ascii="仿宋_GB2312" w:hAnsi="仿宋" w:eastAsia="仿宋_GB2312" w:cs="仿宋_GB2312"/>
          <w:color w:val="auto"/>
          <w:sz w:val="24"/>
          <w:szCs w:val="21"/>
        </w:rPr>
        <w:t>%。</w:t>
      </w:r>
    </w:p>
    <w:p w14:paraId="578D859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本单位对上述声明的真实性负责。如有虚假，将依法承担相应责任。</w:t>
      </w:r>
    </w:p>
    <w:p w14:paraId="44BDB91F">
      <w:pPr>
        <w:adjustRightInd w:val="0"/>
        <w:snapToGrid w:val="0"/>
        <w:spacing w:line="360" w:lineRule="auto"/>
        <w:ind w:right="105" w:rightChars="50" w:firstLine="544" w:firstLineChars="227"/>
        <w:jc w:val="left"/>
        <w:rPr>
          <w:rFonts w:ascii="仿宋_GB2312" w:hAnsi="仿宋" w:eastAsia="仿宋_GB2312" w:cs="仿宋_GB2312"/>
          <w:b/>
          <w:bCs/>
          <w:color w:val="auto"/>
          <w:sz w:val="40"/>
          <w:szCs w:val="32"/>
        </w:rPr>
      </w:pPr>
      <w:r>
        <w:rPr>
          <w:rFonts w:hint="eastAsia" w:ascii="仿宋_GB2312" w:hAnsi="仿宋" w:eastAsia="仿宋_GB2312" w:cs="仿宋_GB2312"/>
          <w:color w:val="auto"/>
          <w:sz w:val="24"/>
          <w:szCs w:val="21"/>
        </w:rPr>
        <w:t>附：物业公司注册所在县扶贫部门出具的聘用建档立卡贫困人员具体数量的证明</w:t>
      </w:r>
    </w:p>
    <w:p w14:paraId="2655ACF5">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6D9365BD">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注：投标人为非聘用建档立卡贫困人员物业公司的，无需填写此声明函。</w:t>
      </w:r>
    </w:p>
    <w:p w14:paraId="7AA2D44E">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0D7D3ECB">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7952AC5A">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362B069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67114A66">
      <w:pPr>
        <w:adjustRightInd w:val="0"/>
        <w:snapToGrid w:val="0"/>
        <w:spacing w:line="48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投标人名称（加盖单位公章）：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w:t>
      </w:r>
    </w:p>
    <w:p w14:paraId="41DF754D">
      <w:pPr>
        <w:adjustRightInd w:val="0"/>
        <w:snapToGrid w:val="0"/>
        <w:spacing w:line="480" w:lineRule="auto"/>
        <w:ind w:right="105" w:rightChars="50"/>
        <w:jc w:val="left"/>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期：</w:t>
      </w:r>
      <w:r>
        <w:rPr>
          <w:rFonts w:hint="eastAsia" w:ascii="仿宋_GB2312" w:hAnsi="仿宋" w:eastAsia="仿宋_GB2312" w:cs="仿宋_GB2312"/>
          <w:color w:val="auto"/>
          <w:sz w:val="24"/>
          <w:szCs w:val="21"/>
          <w:u w:val="single"/>
        </w:rPr>
        <w:t xml:space="preserve">              </w:t>
      </w:r>
    </w:p>
    <w:p w14:paraId="6164CFA3">
      <w:pPr>
        <w:adjustRightInd w:val="0"/>
        <w:snapToGrid w:val="0"/>
        <w:spacing w:line="480" w:lineRule="auto"/>
        <w:ind w:right="105" w:rightChars="50"/>
        <w:jc w:val="left"/>
        <w:rPr>
          <w:rFonts w:ascii="仿宋_GB2312" w:hAnsi="仿宋" w:eastAsia="仿宋_GB2312" w:cs="仿宋_GB2312"/>
          <w:color w:val="auto"/>
          <w:szCs w:val="21"/>
          <w:u w:val="single"/>
        </w:rPr>
      </w:pPr>
    </w:p>
    <w:p w14:paraId="2AE2C26A">
      <w:pPr>
        <w:adjustRightInd w:val="0"/>
        <w:snapToGrid w:val="0"/>
        <w:spacing w:line="480" w:lineRule="auto"/>
        <w:ind w:right="105" w:rightChars="50"/>
        <w:jc w:val="left"/>
        <w:rPr>
          <w:rFonts w:ascii="仿宋_GB2312" w:hAnsi="仿宋" w:eastAsia="仿宋_GB2312" w:cs="仿宋_GB2312"/>
          <w:color w:val="auto"/>
          <w:szCs w:val="21"/>
          <w:u w:val="single"/>
        </w:rPr>
      </w:pPr>
    </w:p>
    <w:p w14:paraId="5CD34C4C">
      <w:pPr>
        <w:adjustRightInd w:val="0"/>
        <w:snapToGrid w:val="0"/>
        <w:spacing w:line="480" w:lineRule="auto"/>
        <w:ind w:right="105" w:rightChars="50"/>
        <w:jc w:val="left"/>
        <w:rPr>
          <w:rFonts w:ascii="仿宋_GB2312" w:hAnsi="仿宋" w:eastAsia="仿宋_GB2312" w:cs="仿宋_GB2312"/>
          <w:color w:val="auto"/>
          <w:szCs w:val="21"/>
          <w:u w:val="single"/>
        </w:rPr>
      </w:pPr>
    </w:p>
    <w:p w14:paraId="3C9A8507">
      <w:pPr>
        <w:pStyle w:val="4"/>
        <w:adjustRightInd w:val="0"/>
        <w:snapToGrid w:val="0"/>
        <w:spacing w:before="0" w:after="0" w:line="240" w:lineRule="auto"/>
        <w:jc w:val="left"/>
        <w:rPr>
          <w:rFonts w:hint="default" w:eastAsia="仿宋_GB2312"/>
          <w:color w:val="auto"/>
          <w:lang w:val="en-US" w:eastAsia="zh-CN"/>
        </w:rPr>
      </w:pPr>
      <w:bookmarkStart w:id="132" w:name="_Toc2821_WPSOffice_Level1"/>
      <w:r>
        <w:rPr>
          <w:rFonts w:hint="eastAsia"/>
          <w:color w:val="auto"/>
        </w:rPr>
        <w:br w:type="page"/>
      </w:r>
      <w:bookmarkStart w:id="133" w:name="_Toc30110"/>
      <w:bookmarkStart w:id="134" w:name="_Toc4498_WPSOffice_Level1"/>
      <w:r>
        <w:rPr>
          <w:rFonts w:hint="eastAsia" w:ascii="仿宋_GB2312" w:hAnsi="仿宋" w:eastAsia="仿宋_GB2312" w:cs="仿宋_GB2312"/>
          <w:color w:val="auto"/>
          <w:szCs w:val="28"/>
        </w:rPr>
        <w:t>格式</w:t>
      </w:r>
      <w:r>
        <w:rPr>
          <w:rFonts w:hint="eastAsia" w:ascii="仿宋_GB2312" w:hAnsi="仿宋" w:eastAsia="仿宋_GB2312" w:cs="仿宋_GB2312"/>
          <w:color w:val="auto"/>
          <w:szCs w:val="28"/>
          <w:lang w:val="en-US" w:eastAsia="zh-CN"/>
        </w:rPr>
        <w:t>19</w:t>
      </w:r>
    </w:p>
    <w:p w14:paraId="30D8D941">
      <w:pPr>
        <w:adjustRightInd w:val="0"/>
        <w:snapToGrid w:val="0"/>
        <w:spacing w:before="319" w:beforeLines="100" w:after="319" w:afterLines="100" w:line="360" w:lineRule="auto"/>
        <w:ind w:right="105" w:rightChars="50"/>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投标人基本信息表</w:t>
      </w:r>
    </w:p>
    <w:tbl>
      <w:tblPr>
        <w:tblStyle w:val="25"/>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062"/>
        <w:gridCol w:w="845"/>
        <w:gridCol w:w="1463"/>
        <w:gridCol w:w="7"/>
        <w:gridCol w:w="1379"/>
        <w:gridCol w:w="815"/>
        <w:gridCol w:w="1510"/>
      </w:tblGrid>
      <w:tr w14:paraId="20084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4BBABF9C">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投标人名称</w:t>
            </w:r>
          </w:p>
        </w:tc>
        <w:tc>
          <w:tcPr>
            <w:tcW w:w="7081" w:type="dxa"/>
            <w:gridSpan w:val="7"/>
            <w:vAlign w:val="center"/>
          </w:tcPr>
          <w:p w14:paraId="2B7A658B">
            <w:pPr>
              <w:jc w:val="center"/>
              <w:rPr>
                <w:rFonts w:ascii="仿宋_GB2312" w:hAnsi="仿宋_GB2312" w:eastAsia="仿宋_GB2312" w:cs="仿宋_GB2312"/>
                <w:color w:val="auto"/>
                <w:sz w:val="24"/>
              </w:rPr>
            </w:pPr>
          </w:p>
        </w:tc>
      </w:tr>
      <w:tr w14:paraId="1808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3390718D">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注册地址</w:t>
            </w:r>
          </w:p>
        </w:tc>
        <w:tc>
          <w:tcPr>
            <w:tcW w:w="3370" w:type="dxa"/>
            <w:gridSpan w:val="3"/>
            <w:vAlign w:val="center"/>
          </w:tcPr>
          <w:p w14:paraId="49EAC0C5">
            <w:pPr>
              <w:jc w:val="center"/>
              <w:rPr>
                <w:rFonts w:ascii="仿宋_GB2312" w:hAnsi="仿宋_GB2312" w:eastAsia="仿宋_GB2312" w:cs="仿宋_GB2312"/>
                <w:color w:val="auto"/>
                <w:sz w:val="24"/>
              </w:rPr>
            </w:pPr>
          </w:p>
        </w:tc>
        <w:tc>
          <w:tcPr>
            <w:tcW w:w="1386" w:type="dxa"/>
            <w:gridSpan w:val="2"/>
            <w:vAlign w:val="center"/>
          </w:tcPr>
          <w:p w14:paraId="4A2A745D">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邮政编码</w:t>
            </w:r>
          </w:p>
        </w:tc>
        <w:tc>
          <w:tcPr>
            <w:tcW w:w="2325" w:type="dxa"/>
            <w:gridSpan w:val="2"/>
            <w:vAlign w:val="center"/>
          </w:tcPr>
          <w:p w14:paraId="0F7270CF">
            <w:pPr>
              <w:jc w:val="center"/>
              <w:rPr>
                <w:rFonts w:ascii="仿宋_GB2312" w:hAnsi="仿宋_GB2312" w:eastAsia="仿宋_GB2312" w:cs="仿宋_GB2312"/>
                <w:color w:val="auto"/>
                <w:sz w:val="24"/>
              </w:rPr>
            </w:pPr>
          </w:p>
        </w:tc>
      </w:tr>
      <w:tr w14:paraId="291F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Merge w:val="restart"/>
            <w:vAlign w:val="center"/>
          </w:tcPr>
          <w:p w14:paraId="62893FEB">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联系方式</w:t>
            </w:r>
          </w:p>
        </w:tc>
        <w:tc>
          <w:tcPr>
            <w:tcW w:w="1062" w:type="dxa"/>
            <w:vAlign w:val="center"/>
          </w:tcPr>
          <w:p w14:paraId="30C5C45E">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联系人</w:t>
            </w:r>
          </w:p>
        </w:tc>
        <w:tc>
          <w:tcPr>
            <w:tcW w:w="2308" w:type="dxa"/>
            <w:gridSpan w:val="2"/>
            <w:vAlign w:val="center"/>
          </w:tcPr>
          <w:p w14:paraId="28C0D554">
            <w:pPr>
              <w:jc w:val="center"/>
              <w:rPr>
                <w:rFonts w:ascii="仿宋_GB2312" w:hAnsi="仿宋_GB2312" w:eastAsia="仿宋_GB2312" w:cs="仿宋_GB2312"/>
                <w:color w:val="auto"/>
                <w:sz w:val="24"/>
              </w:rPr>
            </w:pPr>
          </w:p>
        </w:tc>
        <w:tc>
          <w:tcPr>
            <w:tcW w:w="1386" w:type="dxa"/>
            <w:gridSpan w:val="2"/>
            <w:vAlign w:val="center"/>
          </w:tcPr>
          <w:p w14:paraId="47E2C062">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电    话</w:t>
            </w:r>
          </w:p>
        </w:tc>
        <w:tc>
          <w:tcPr>
            <w:tcW w:w="2325" w:type="dxa"/>
            <w:gridSpan w:val="2"/>
            <w:vAlign w:val="center"/>
          </w:tcPr>
          <w:p w14:paraId="624D91A4">
            <w:pPr>
              <w:jc w:val="center"/>
              <w:rPr>
                <w:rFonts w:ascii="仿宋_GB2312" w:hAnsi="仿宋_GB2312" w:eastAsia="仿宋_GB2312" w:cs="仿宋_GB2312"/>
                <w:color w:val="auto"/>
                <w:sz w:val="24"/>
              </w:rPr>
            </w:pPr>
          </w:p>
        </w:tc>
      </w:tr>
      <w:tr w14:paraId="3C9B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Merge w:val="continue"/>
            <w:vAlign w:val="center"/>
          </w:tcPr>
          <w:p w14:paraId="1FECABC4">
            <w:pPr>
              <w:jc w:val="center"/>
              <w:rPr>
                <w:rFonts w:ascii="仿宋_GB2312" w:hAnsi="仿宋_GB2312" w:eastAsia="仿宋_GB2312" w:cs="仿宋_GB2312"/>
                <w:color w:val="auto"/>
                <w:sz w:val="24"/>
              </w:rPr>
            </w:pPr>
          </w:p>
        </w:tc>
        <w:tc>
          <w:tcPr>
            <w:tcW w:w="1062" w:type="dxa"/>
            <w:vAlign w:val="center"/>
          </w:tcPr>
          <w:p w14:paraId="64056F49">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传  真</w:t>
            </w:r>
          </w:p>
        </w:tc>
        <w:tc>
          <w:tcPr>
            <w:tcW w:w="2308" w:type="dxa"/>
            <w:gridSpan w:val="2"/>
            <w:vAlign w:val="center"/>
          </w:tcPr>
          <w:p w14:paraId="724755B8">
            <w:pPr>
              <w:jc w:val="center"/>
              <w:rPr>
                <w:rFonts w:ascii="仿宋_GB2312" w:hAnsi="仿宋_GB2312" w:eastAsia="仿宋_GB2312" w:cs="仿宋_GB2312"/>
                <w:color w:val="auto"/>
                <w:sz w:val="24"/>
              </w:rPr>
            </w:pPr>
          </w:p>
        </w:tc>
        <w:tc>
          <w:tcPr>
            <w:tcW w:w="1386" w:type="dxa"/>
            <w:gridSpan w:val="2"/>
            <w:vAlign w:val="center"/>
          </w:tcPr>
          <w:p w14:paraId="36F1FFAA">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网    址</w:t>
            </w:r>
          </w:p>
        </w:tc>
        <w:tc>
          <w:tcPr>
            <w:tcW w:w="2325" w:type="dxa"/>
            <w:gridSpan w:val="2"/>
            <w:vAlign w:val="center"/>
          </w:tcPr>
          <w:p w14:paraId="5737DEF0">
            <w:pPr>
              <w:jc w:val="center"/>
              <w:rPr>
                <w:rFonts w:ascii="仿宋_GB2312" w:hAnsi="仿宋_GB2312" w:eastAsia="仿宋_GB2312" w:cs="仿宋_GB2312"/>
                <w:color w:val="auto"/>
                <w:sz w:val="24"/>
              </w:rPr>
            </w:pPr>
          </w:p>
        </w:tc>
      </w:tr>
      <w:tr w14:paraId="39D2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309AF3DB">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法定代表人</w:t>
            </w:r>
          </w:p>
        </w:tc>
        <w:tc>
          <w:tcPr>
            <w:tcW w:w="1062" w:type="dxa"/>
            <w:vAlign w:val="center"/>
          </w:tcPr>
          <w:p w14:paraId="095E25E7">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姓名</w:t>
            </w:r>
          </w:p>
        </w:tc>
        <w:tc>
          <w:tcPr>
            <w:tcW w:w="845" w:type="dxa"/>
            <w:vAlign w:val="center"/>
          </w:tcPr>
          <w:p w14:paraId="2283489F">
            <w:pPr>
              <w:jc w:val="center"/>
              <w:rPr>
                <w:rFonts w:ascii="仿宋_GB2312" w:hAnsi="仿宋_GB2312" w:eastAsia="仿宋_GB2312" w:cs="仿宋_GB2312"/>
                <w:color w:val="auto"/>
                <w:sz w:val="24"/>
              </w:rPr>
            </w:pPr>
          </w:p>
        </w:tc>
        <w:tc>
          <w:tcPr>
            <w:tcW w:w="1470" w:type="dxa"/>
            <w:gridSpan w:val="2"/>
            <w:vAlign w:val="center"/>
          </w:tcPr>
          <w:p w14:paraId="0C6275C9">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技术职称</w:t>
            </w:r>
          </w:p>
        </w:tc>
        <w:tc>
          <w:tcPr>
            <w:tcW w:w="1379" w:type="dxa"/>
            <w:vAlign w:val="center"/>
          </w:tcPr>
          <w:p w14:paraId="069577A5">
            <w:pPr>
              <w:jc w:val="center"/>
              <w:rPr>
                <w:rFonts w:ascii="仿宋_GB2312" w:hAnsi="仿宋_GB2312" w:eastAsia="仿宋_GB2312" w:cs="仿宋_GB2312"/>
                <w:color w:val="auto"/>
                <w:sz w:val="24"/>
              </w:rPr>
            </w:pPr>
          </w:p>
        </w:tc>
        <w:tc>
          <w:tcPr>
            <w:tcW w:w="815" w:type="dxa"/>
            <w:vAlign w:val="center"/>
          </w:tcPr>
          <w:p w14:paraId="5910EA9A">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电话</w:t>
            </w:r>
          </w:p>
        </w:tc>
        <w:tc>
          <w:tcPr>
            <w:tcW w:w="1510" w:type="dxa"/>
            <w:vAlign w:val="center"/>
          </w:tcPr>
          <w:p w14:paraId="4E8FF2F5">
            <w:pPr>
              <w:jc w:val="center"/>
              <w:rPr>
                <w:rFonts w:ascii="仿宋_GB2312" w:hAnsi="仿宋_GB2312" w:eastAsia="仿宋_GB2312" w:cs="仿宋_GB2312"/>
                <w:color w:val="auto"/>
                <w:sz w:val="24"/>
              </w:rPr>
            </w:pPr>
          </w:p>
        </w:tc>
      </w:tr>
      <w:tr w14:paraId="1A27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474D7CFD">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技术负责人</w:t>
            </w:r>
          </w:p>
        </w:tc>
        <w:tc>
          <w:tcPr>
            <w:tcW w:w="1062" w:type="dxa"/>
            <w:vAlign w:val="center"/>
          </w:tcPr>
          <w:p w14:paraId="7EFF4B07">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姓名</w:t>
            </w:r>
          </w:p>
        </w:tc>
        <w:tc>
          <w:tcPr>
            <w:tcW w:w="845" w:type="dxa"/>
            <w:vAlign w:val="center"/>
          </w:tcPr>
          <w:p w14:paraId="3B9885D8">
            <w:pPr>
              <w:jc w:val="center"/>
              <w:rPr>
                <w:rFonts w:ascii="仿宋_GB2312" w:hAnsi="仿宋_GB2312" w:eastAsia="仿宋_GB2312" w:cs="仿宋_GB2312"/>
                <w:color w:val="auto"/>
                <w:sz w:val="24"/>
              </w:rPr>
            </w:pPr>
          </w:p>
        </w:tc>
        <w:tc>
          <w:tcPr>
            <w:tcW w:w="1470" w:type="dxa"/>
            <w:gridSpan w:val="2"/>
            <w:vAlign w:val="center"/>
          </w:tcPr>
          <w:p w14:paraId="38B74C93">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技术职称</w:t>
            </w:r>
          </w:p>
        </w:tc>
        <w:tc>
          <w:tcPr>
            <w:tcW w:w="1379" w:type="dxa"/>
            <w:vAlign w:val="center"/>
          </w:tcPr>
          <w:p w14:paraId="7D54B807">
            <w:pPr>
              <w:jc w:val="center"/>
              <w:rPr>
                <w:rFonts w:ascii="仿宋_GB2312" w:hAnsi="仿宋_GB2312" w:eastAsia="仿宋_GB2312" w:cs="仿宋_GB2312"/>
                <w:color w:val="auto"/>
                <w:sz w:val="24"/>
              </w:rPr>
            </w:pPr>
          </w:p>
        </w:tc>
        <w:tc>
          <w:tcPr>
            <w:tcW w:w="815" w:type="dxa"/>
            <w:vAlign w:val="center"/>
          </w:tcPr>
          <w:p w14:paraId="28516D69">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电话</w:t>
            </w:r>
          </w:p>
        </w:tc>
        <w:tc>
          <w:tcPr>
            <w:tcW w:w="1510" w:type="dxa"/>
            <w:vAlign w:val="center"/>
          </w:tcPr>
          <w:p w14:paraId="2AFF3155">
            <w:pPr>
              <w:jc w:val="center"/>
              <w:rPr>
                <w:rFonts w:ascii="仿宋_GB2312" w:hAnsi="仿宋_GB2312" w:eastAsia="仿宋_GB2312" w:cs="仿宋_GB2312"/>
                <w:color w:val="auto"/>
                <w:sz w:val="24"/>
              </w:rPr>
            </w:pPr>
          </w:p>
        </w:tc>
      </w:tr>
      <w:tr w14:paraId="7DBD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3EF908C3">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成立时间</w:t>
            </w:r>
          </w:p>
        </w:tc>
        <w:tc>
          <w:tcPr>
            <w:tcW w:w="1907" w:type="dxa"/>
            <w:gridSpan w:val="2"/>
            <w:vAlign w:val="center"/>
          </w:tcPr>
          <w:p w14:paraId="5DAE3475">
            <w:pPr>
              <w:jc w:val="center"/>
              <w:rPr>
                <w:rFonts w:ascii="仿宋_GB2312" w:hAnsi="仿宋_GB2312" w:eastAsia="仿宋_GB2312" w:cs="仿宋_GB2312"/>
                <w:color w:val="auto"/>
                <w:sz w:val="24"/>
              </w:rPr>
            </w:pPr>
          </w:p>
        </w:tc>
        <w:tc>
          <w:tcPr>
            <w:tcW w:w="5174" w:type="dxa"/>
            <w:gridSpan w:val="5"/>
            <w:vAlign w:val="center"/>
          </w:tcPr>
          <w:p w14:paraId="5BE79A8B">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员工总人数：</w:t>
            </w:r>
          </w:p>
        </w:tc>
      </w:tr>
      <w:tr w14:paraId="725A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259A405D">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统一社会信用代码</w:t>
            </w:r>
          </w:p>
        </w:tc>
        <w:tc>
          <w:tcPr>
            <w:tcW w:w="1907" w:type="dxa"/>
            <w:gridSpan w:val="2"/>
            <w:vAlign w:val="center"/>
          </w:tcPr>
          <w:p w14:paraId="32041BDB">
            <w:pPr>
              <w:jc w:val="center"/>
              <w:rPr>
                <w:rFonts w:ascii="仿宋_GB2312" w:hAnsi="仿宋_GB2312" w:eastAsia="仿宋_GB2312" w:cs="仿宋_GB2312"/>
                <w:color w:val="auto"/>
                <w:sz w:val="24"/>
              </w:rPr>
            </w:pPr>
          </w:p>
        </w:tc>
        <w:tc>
          <w:tcPr>
            <w:tcW w:w="1463" w:type="dxa"/>
            <w:vMerge w:val="restart"/>
            <w:vAlign w:val="center"/>
          </w:tcPr>
          <w:p w14:paraId="1B8B8351">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其中</w:t>
            </w:r>
          </w:p>
        </w:tc>
        <w:tc>
          <w:tcPr>
            <w:tcW w:w="1386" w:type="dxa"/>
            <w:gridSpan w:val="2"/>
            <w:vAlign w:val="center"/>
          </w:tcPr>
          <w:p w14:paraId="33E9766F">
            <w:pPr>
              <w:jc w:val="center"/>
              <w:rPr>
                <w:rFonts w:ascii="仿宋_GB2312" w:eastAsia="仿宋_GB2312"/>
                <w:color w:val="auto"/>
                <w:sz w:val="24"/>
              </w:rPr>
            </w:pPr>
            <w:r>
              <w:rPr>
                <w:rFonts w:hint="eastAsia" w:ascii="仿宋_GB2312" w:eastAsia="仿宋_GB2312"/>
                <w:color w:val="auto"/>
                <w:sz w:val="24"/>
              </w:rPr>
              <w:t>总经理</w:t>
            </w:r>
          </w:p>
        </w:tc>
        <w:tc>
          <w:tcPr>
            <w:tcW w:w="2325" w:type="dxa"/>
            <w:gridSpan w:val="2"/>
            <w:vAlign w:val="center"/>
          </w:tcPr>
          <w:p w14:paraId="420EA2F3">
            <w:pPr>
              <w:jc w:val="center"/>
              <w:rPr>
                <w:rFonts w:ascii="仿宋_GB2312" w:hAnsi="仿宋_GB2312" w:eastAsia="仿宋_GB2312" w:cs="仿宋_GB2312"/>
                <w:color w:val="auto"/>
                <w:sz w:val="24"/>
              </w:rPr>
            </w:pPr>
          </w:p>
        </w:tc>
      </w:tr>
      <w:tr w14:paraId="0B11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30BE39D2">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注册资本</w:t>
            </w:r>
          </w:p>
        </w:tc>
        <w:tc>
          <w:tcPr>
            <w:tcW w:w="1907" w:type="dxa"/>
            <w:gridSpan w:val="2"/>
            <w:vAlign w:val="center"/>
          </w:tcPr>
          <w:p w14:paraId="128F776B">
            <w:pPr>
              <w:jc w:val="center"/>
              <w:rPr>
                <w:rFonts w:ascii="仿宋_GB2312" w:hAnsi="仿宋_GB2312" w:eastAsia="仿宋_GB2312" w:cs="仿宋_GB2312"/>
                <w:color w:val="auto"/>
                <w:sz w:val="24"/>
              </w:rPr>
            </w:pPr>
          </w:p>
        </w:tc>
        <w:tc>
          <w:tcPr>
            <w:tcW w:w="1463" w:type="dxa"/>
            <w:vMerge w:val="continue"/>
            <w:vAlign w:val="center"/>
          </w:tcPr>
          <w:p w14:paraId="41CCE949">
            <w:pPr>
              <w:jc w:val="center"/>
              <w:rPr>
                <w:rFonts w:ascii="仿宋_GB2312" w:hAnsi="仿宋_GB2312" w:eastAsia="仿宋_GB2312" w:cs="仿宋_GB2312"/>
                <w:color w:val="auto"/>
                <w:sz w:val="24"/>
              </w:rPr>
            </w:pPr>
          </w:p>
        </w:tc>
        <w:tc>
          <w:tcPr>
            <w:tcW w:w="1386" w:type="dxa"/>
            <w:gridSpan w:val="2"/>
            <w:vAlign w:val="center"/>
          </w:tcPr>
          <w:p w14:paraId="25AE3C31">
            <w:pPr>
              <w:jc w:val="center"/>
              <w:rPr>
                <w:rFonts w:ascii="仿宋_GB2312" w:eastAsia="仿宋_GB2312"/>
                <w:color w:val="auto"/>
                <w:sz w:val="24"/>
              </w:rPr>
            </w:pPr>
            <w:r>
              <w:rPr>
                <w:rFonts w:hint="eastAsia" w:ascii="仿宋_GB2312" w:eastAsia="仿宋_GB2312"/>
                <w:color w:val="auto"/>
                <w:sz w:val="24"/>
              </w:rPr>
              <w:t>项目负责人</w:t>
            </w:r>
          </w:p>
        </w:tc>
        <w:tc>
          <w:tcPr>
            <w:tcW w:w="2325" w:type="dxa"/>
            <w:gridSpan w:val="2"/>
            <w:vAlign w:val="center"/>
          </w:tcPr>
          <w:p w14:paraId="00D79615">
            <w:pPr>
              <w:jc w:val="center"/>
              <w:rPr>
                <w:rFonts w:ascii="仿宋_GB2312" w:hAnsi="仿宋_GB2312" w:eastAsia="仿宋_GB2312" w:cs="仿宋_GB2312"/>
                <w:color w:val="auto"/>
                <w:sz w:val="24"/>
              </w:rPr>
            </w:pPr>
          </w:p>
        </w:tc>
      </w:tr>
      <w:tr w14:paraId="77C1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57F8CFB4">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开户银行</w:t>
            </w:r>
          </w:p>
        </w:tc>
        <w:tc>
          <w:tcPr>
            <w:tcW w:w="1907" w:type="dxa"/>
            <w:gridSpan w:val="2"/>
            <w:vAlign w:val="center"/>
          </w:tcPr>
          <w:p w14:paraId="62150557">
            <w:pPr>
              <w:jc w:val="center"/>
              <w:rPr>
                <w:rFonts w:ascii="仿宋_GB2312" w:hAnsi="仿宋_GB2312" w:eastAsia="仿宋_GB2312" w:cs="仿宋_GB2312"/>
                <w:color w:val="auto"/>
                <w:sz w:val="24"/>
              </w:rPr>
            </w:pPr>
          </w:p>
        </w:tc>
        <w:tc>
          <w:tcPr>
            <w:tcW w:w="1463" w:type="dxa"/>
            <w:vMerge w:val="continue"/>
            <w:vAlign w:val="center"/>
          </w:tcPr>
          <w:p w14:paraId="20C80CE9">
            <w:pPr>
              <w:jc w:val="center"/>
              <w:rPr>
                <w:rFonts w:ascii="仿宋_GB2312" w:hAnsi="仿宋_GB2312" w:eastAsia="仿宋_GB2312" w:cs="仿宋_GB2312"/>
                <w:color w:val="auto"/>
                <w:sz w:val="24"/>
              </w:rPr>
            </w:pPr>
          </w:p>
        </w:tc>
        <w:tc>
          <w:tcPr>
            <w:tcW w:w="1386" w:type="dxa"/>
            <w:gridSpan w:val="2"/>
            <w:vAlign w:val="center"/>
          </w:tcPr>
          <w:p w14:paraId="13226719">
            <w:pPr>
              <w:jc w:val="center"/>
              <w:rPr>
                <w:rFonts w:ascii="仿宋_GB2312" w:eastAsia="仿宋_GB2312"/>
                <w:color w:val="auto"/>
                <w:sz w:val="24"/>
              </w:rPr>
            </w:pPr>
            <w:r>
              <w:rPr>
                <w:rFonts w:hint="eastAsia" w:ascii="仿宋_GB2312" w:eastAsia="仿宋_GB2312"/>
                <w:color w:val="auto"/>
                <w:sz w:val="24"/>
              </w:rPr>
              <w:t>项目人员</w:t>
            </w:r>
          </w:p>
        </w:tc>
        <w:tc>
          <w:tcPr>
            <w:tcW w:w="2325" w:type="dxa"/>
            <w:gridSpan w:val="2"/>
            <w:vAlign w:val="center"/>
          </w:tcPr>
          <w:p w14:paraId="40FE1EB4">
            <w:pPr>
              <w:jc w:val="center"/>
              <w:rPr>
                <w:rFonts w:ascii="仿宋_GB2312" w:hAnsi="仿宋_GB2312" w:eastAsia="仿宋_GB2312" w:cs="仿宋_GB2312"/>
                <w:color w:val="auto"/>
                <w:sz w:val="24"/>
              </w:rPr>
            </w:pPr>
          </w:p>
        </w:tc>
      </w:tr>
      <w:tr w14:paraId="622B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0DC9B40D">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账    号</w:t>
            </w:r>
          </w:p>
        </w:tc>
        <w:tc>
          <w:tcPr>
            <w:tcW w:w="1907" w:type="dxa"/>
            <w:gridSpan w:val="2"/>
            <w:vAlign w:val="center"/>
          </w:tcPr>
          <w:p w14:paraId="1B370037">
            <w:pPr>
              <w:jc w:val="center"/>
              <w:rPr>
                <w:rFonts w:ascii="仿宋_GB2312" w:hAnsi="仿宋_GB2312" w:eastAsia="仿宋_GB2312" w:cs="仿宋_GB2312"/>
                <w:color w:val="auto"/>
                <w:sz w:val="24"/>
              </w:rPr>
            </w:pPr>
          </w:p>
        </w:tc>
        <w:tc>
          <w:tcPr>
            <w:tcW w:w="1463" w:type="dxa"/>
            <w:vMerge w:val="continue"/>
            <w:vAlign w:val="center"/>
          </w:tcPr>
          <w:p w14:paraId="1F873B51">
            <w:pPr>
              <w:jc w:val="center"/>
              <w:rPr>
                <w:rFonts w:ascii="仿宋_GB2312" w:hAnsi="仿宋_GB2312" w:eastAsia="仿宋_GB2312" w:cs="仿宋_GB2312"/>
                <w:color w:val="auto"/>
                <w:sz w:val="24"/>
              </w:rPr>
            </w:pPr>
          </w:p>
        </w:tc>
        <w:tc>
          <w:tcPr>
            <w:tcW w:w="1386" w:type="dxa"/>
            <w:gridSpan w:val="2"/>
            <w:vAlign w:val="center"/>
          </w:tcPr>
          <w:p w14:paraId="2DB90B4F">
            <w:pPr>
              <w:jc w:val="center"/>
              <w:rPr>
                <w:rFonts w:ascii="仿宋_GB2312" w:eastAsia="仿宋_GB2312"/>
                <w:color w:val="auto"/>
                <w:sz w:val="24"/>
              </w:rPr>
            </w:pPr>
            <w:r>
              <w:rPr>
                <w:rFonts w:hint="eastAsia" w:ascii="仿宋_GB2312" w:eastAsia="仿宋_GB2312"/>
                <w:color w:val="auto"/>
                <w:sz w:val="24"/>
              </w:rPr>
              <w:t>其他人员</w:t>
            </w:r>
          </w:p>
        </w:tc>
        <w:tc>
          <w:tcPr>
            <w:tcW w:w="2325" w:type="dxa"/>
            <w:gridSpan w:val="2"/>
            <w:vAlign w:val="center"/>
          </w:tcPr>
          <w:p w14:paraId="56728938">
            <w:pPr>
              <w:jc w:val="center"/>
              <w:rPr>
                <w:rFonts w:ascii="仿宋_GB2312" w:hAnsi="仿宋_GB2312" w:eastAsia="仿宋_GB2312" w:cs="仿宋_GB2312"/>
                <w:color w:val="auto"/>
                <w:sz w:val="24"/>
              </w:rPr>
            </w:pPr>
          </w:p>
        </w:tc>
      </w:tr>
      <w:tr w14:paraId="1FA2A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5" w:hRule="atLeast"/>
          <w:jc w:val="center"/>
        </w:trPr>
        <w:tc>
          <w:tcPr>
            <w:tcW w:w="1827" w:type="dxa"/>
            <w:vAlign w:val="center"/>
          </w:tcPr>
          <w:p w14:paraId="48F8F58A">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经营范围</w:t>
            </w:r>
          </w:p>
        </w:tc>
        <w:tc>
          <w:tcPr>
            <w:tcW w:w="7081" w:type="dxa"/>
            <w:gridSpan w:val="7"/>
            <w:vAlign w:val="center"/>
          </w:tcPr>
          <w:p w14:paraId="24DB5A4C">
            <w:pPr>
              <w:jc w:val="center"/>
              <w:rPr>
                <w:rFonts w:ascii="仿宋_GB2312" w:hAnsi="仿宋_GB2312" w:eastAsia="仿宋_GB2312" w:cs="仿宋_GB2312"/>
                <w:color w:val="auto"/>
                <w:sz w:val="24"/>
              </w:rPr>
            </w:pPr>
          </w:p>
        </w:tc>
      </w:tr>
      <w:tr w14:paraId="3603B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827" w:type="dxa"/>
            <w:vAlign w:val="center"/>
          </w:tcPr>
          <w:p w14:paraId="1CE8DBA8">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c>
          <w:tcPr>
            <w:tcW w:w="7081" w:type="dxa"/>
            <w:gridSpan w:val="7"/>
            <w:vAlign w:val="center"/>
          </w:tcPr>
          <w:p w14:paraId="615F441C">
            <w:pPr>
              <w:jc w:val="center"/>
              <w:rPr>
                <w:rFonts w:ascii="仿宋_GB2312" w:hAnsi="仿宋_GB2312" w:eastAsia="仿宋_GB2312" w:cs="仿宋_GB2312"/>
                <w:color w:val="auto"/>
                <w:sz w:val="24"/>
              </w:rPr>
            </w:pPr>
          </w:p>
        </w:tc>
      </w:tr>
    </w:tbl>
    <w:p w14:paraId="3EC6A35C">
      <w:pPr>
        <w:spacing w:before="159" w:beforeLines="50"/>
        <w:jc w:val="left"/>
        <w:rPr>
          <w:rFonts w:ascii="仿宋_GB2312" w:eastAsia="仿宋_GB2312"/>
          <w:b/>
          <w:bCs/>
          <w:color w:val="auto"/>
          <w:sz w:val="24"/>
        </w:rPr>
      </w:pPr>
    </w:p>
    <w:p w14:paraId="78755FFA">
      <w:pPr>
        <w:rPr>
          <w:rFonts w:ascii="仿宋_GB2312" w:eastAsia="仿宋_GB2312"/>
          <w:b/>
          <w:bCs/>
          <w:color w:val="auto"/>
          <w:sz w:val="24"/>
        </w:rPr>
      </w:pPr>
      <w:r>
        <w:rPr>
          <w:rFonts w:hint="eastAsia"/>
          <w:b/>
          <w:bCs/>
          <w:color w:val="auto"/>
        </w:rPr>
        <w:br w:type="page"/>
      </w:r>
    </w:p>
    <w:bookmarkEnd w:id="133"/>
    <w:bookmarkEnd w:id="134"/>
    <w:p w14:paraId="4EDBCB6E">
      <w:pPr>
        <w:pStyle w:val="3"/>
        <w:numPr>
          <w:ilvl w:val="0"/>
          <w:numId w:val="0"/>
        </w:numPr>
        <w:spacing w:line="360" w:lineRule="auto"/>
        <w:ind w:leftChars="200" w:firstLine="1760" w:firstLineChars="400"/>
        <w:jc w:val="both"/>
        <w:rPr>
          <w:rFonts w:hint="eastAsia" w:ascii="方正小标宋简体" w:hAnsi="仿宋" w:eastAsia="方正小标宋简体" w:cs="仿宋_GB2312"/>
          <w:b w:val="0"/>
          <w:bCs/>
          <w:color w:val="auto"/>
        </w:rPr>
      </w:pPr>
      <w:bookmarkStart w:id="135" w:name="_Toc17242"/>
      <w:bookmarkStart w:id="136" w:name="_Toc17332"/>
      <w:bookmarkStart w:id="137" w:name="_Toc8241"/>
      <w:r>
        <w:rPr>
          <w:rFonts w:hint="eastAsia" w:ascii="方正小标宋简体" w:hAnsi="仿宋" w:eastAsia="方正小标宋简体" w:cs="仿宋_GB2312"/>
          <w:b w:val="0"/>
          <w:bCs/>
          <w:color w:val="auto"/>
          <w:lang w:val="en-US" w:eastAsia="zh-CN"/>
        </w:rPr>
        <w:t xml:space="preserve">第三章 </w:t>
      </w:r>
      <w:r>
        <w:rPr>
          <w:rFonts w:hint="eastAsia" w:ascii="方正小标宋简体" w:hAnsi="仿宋" w:eastAsia="方正小标宋简体" w:cs="仿宋_GB2312"/>
          <w:b w:val="0"/>
          <w:bCs/>
          <w:color w:val="auto"/>
        </w:rPr>
        <w:t>服务需求</w:t>
      </w:r>
      <w:bookmarkEnd w:id="135"/>
    </w:p>
    <w:p w14:paraId="494C4204">
      <w:pPr>
        <w:adjustRightInd w:val="0"/>
        <w:snapToGrid w:val="0"/>
        <w:spacing w:line="360" w:lineRule="auto"/>
        <w:ind w:firstLine="480" w:firstLineChars="200"/>
        <w:rPr>
          <w:rFonts w:hint="eastAsia" w:ascii="仿宋_GB2312" w:hAnsi="仿宋" w:eastAsia="仿宋_GB2312" w:cs="仿宋_GB2312"/>
          <w:b/>
          <w:bCs w:val="0"/>
          <w:color w:val="auto"/>
          <w:kern w:val="0"/>
          <w:sz w:val="24"/>
          <w:lang w:val="en-US" w:eastAsia="zh-CN"/>
        </w:rPr>
      </w:pPr>
      <w:bookmarkStart w:id="138" w:name="_Toc17935"/>
      <w:r>
        <w:rPr>
          <w:rFonts w:hint="eastAsia" w:ascii="仿宋_GB2312" w:hAnsi="仿宋" w:eastAsia="仿宋_GB2312" w:cs="仿宋_GB2312"/>
          <w:b/>
          <w:bCs w:val="0"/>
          <w:color w:val="auto"/>
          <w:kern w:val="0"/>
          <w:sz w:val="24"/>
          <w:lang w:val="en-US" w:eastAsia="zh-CN"/>
        </w:rPr>
        <w:t>001包：</w:t>
      </w:r>
    </w:p>
    <w:p w14:paraId="501409B7">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1.培育全省玉米产区高素质农民200名（共计4个班，每班50人）。按照《辽宁省高素质农民培训规范(试行)》要求，编制涵盖综合素养、专业能力和能力拓展三类培训课程内容，主要采用课堂、现场和线上三种教学形式开展培训。培训时间不少于54学时，培训机构应具有独立法人资格；具有教育培训职能或资质；拥有教学场所及教学设施设备，可容纳200人集中教学和食宿；具有完善的后勤组织管理保障体系及处理突发事件的应急预案和能力。承担实践教学环节的机构应当具有满足培育主题要求的场地、设施设备、实践师资等条件。具备组织赴现代农业园区、农业龙头企业、优秀新型经营主体等优质实训基地开展实训考察的能力和条件，拥有专职教学管理人员组成的专业培训团队和与培育主题相匹配的专职师资，能够主动接受省农业农村厅、省农业农村发展服务中心的组织、检查和指导，同时积极配合做好其他相关工作，能够保质保量按时完成集中授课、实训考察、线上学习、线上评价、典型提炼、宣传报道、绩效自评、档案整理及工作总结等培育任务，实现培训班次和学员信息100%上网、线上评价覆盖率100%、学员满意度90%及以上，培育全程可追溯。培训机构应具备规范使用培育补助资金能力。2025年11月30日前完成培训任务，训后跟踪服务一年。</w:t>
      </w:r>
    </w:p>
    <w:p w14:paraId="206A18F4">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2.培训机构应具备规范使用培育补助资金能力。设立培育资金专账，专款专用，主要用于培育任务中的讲课费，包括聘请授课教师和技术指导员的课时费；补助费，包括培训班班主任或辅导员补助费；食宿费，包括参训学员、授课教师等食宿费；交通费，包括教师、学员的往返交通费，异地实训考察交通费、租车费；教学费用，包括教材、耗材、场地、学习用品、实习用品、线上培训服务费，参观场地补偿费等，不得挤占挪用、骗取套取。资金预算科目完整、内容规范、标准准确，全部用于与高素质农民培育有关的工作。</w:t>
      </w:r>
    </w:p>
    <w:p w14:paraId="7BE9C3BC">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br w:type="page"/>
      </w:r>
    </w:p>
    <w:p w14:paraId="4EDCB053">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培训模块要求</w:t>
      </w:r>
    </w:p>
    <w:p w14:paraId="460A776A">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tbl>
      <w:tblPr>
        <w:tblStyle w:val="25"/>
        <w:tblpPr w:leftFromText="180" w:rightFromText="180" w:vertAnchor="text" w:horzAnchor="page" w:tblpX="1006" w:tblpY="488"/>
        <w:tblOverlap w:val="never"/>
        <w:tblW w:w="57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863"/>
        <w:gridCol w:w="1006"/>
        <w:gridCol w:w="1378"/>
        <w:gridCol w:w="1229"/>
        <w:gridCol w:w="1246"/>
        <w:gridCol w:w="1225"/>
        <w:gridCol w:w="1391"/>
        <w:gridCol w:w="1060"/>
      </w:tblGrid>
      <w:tr w14:paraId="0DE9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56" w:type="pct"/>
            <w:vMerge w:val="restart"/>
            <w:vAlign w:val="center"/>
          </w:tcPr>
          <w:p w14:paraId="1917B974">
            <w:pPr>
              <w:adjustRightInd w:val="0"/>
              <w:snapToGrid w:val="0"/>
              <w:spacing w:line="360" w:lineRule="auto"/>
              <w:ind w:right="105" w:rightChars="50"/>
              <w:jc w:val="center"/>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培育任务</w:t>
            </w:r>
          </w:p>
        </w:tc>
        <w:tc>
          <w:tcPr>
            <w:tcW w:w="417" w:type="pct"/>
            <w:vMerge w:val="restart"/>
            <w:vAlign w:val="center"/>
          </w:tcPr>
          <w:p w14:paraId="323405C7">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培育层级</w:t>
            </w:r>
          </w:p>
        </w:tc>
        <w:tc>
          <w:tcPr>
            <w:tcW w:w="486" w:type="pct"/>
            <w:vMerge w:val="restart"/>
            <w:vAlign w:val="center"/>
          </w:tcPr>
          <w:p w14:paraId="5DD4DBAC">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总学时</w:t>
            </w:r>
          </w:p>
        </w:tc>
        <w:tc>
          <w:tcPr>
            <w:tcW w:w="666" w:type="pct"/>
            <w:vMerge w:val="restart"/>
            <w:vAlign w:val="center"/>
          </w:tcPr>
          <w:p w14:paraId="65476FA8">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培训形式</w:t>
            </w:r>
          </w:p>
        </w:tc>
        <w:tc>
          <w:tcPr>
            <w:tcW w:w="2460" w:type="pct"/>
            <w:gridSpan w:val="4"/>
            <w:vAlign w:val="center"/>
          </w:tcPr>
          <w:p w14:paraId="6838CA00">
            <w:pPr>
              <w:adjustRightInd w:val="0"/>
              <w:snapToGrid w:val="0"/>
              <w:spacing w:line="360" w:lineRule="auto"/>
              <w:ind w:right="105" w:rightChars="50" w:firstLine="1314" w:firstLineChars="626"/>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课程体系及学时分配</w:t>
            </w:r>
          </w:p>
        </w:tc>
        <w:tc>
          <w:tcPr>
            <w:tcW w:w="512" w:type="pct"/>
            <w:vAlign w:val="center"/>
          </w:tcPr>
          <w:p w14:paraId="0064B314">
            <w:pPr>
              <w:adjustRightInd w:val="0"/>
              <w:snapToGrid w:val="0"/>
              <w:spacing w:line="360" w:lineRule="auto"/>
              <w:ind w:right="105" w:rightChars="50"/>
              <w:jc w:val="center"/>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天数</w:t>
            </w:r>
          </w:p>
        </w:tc>
      </w:tr>
      <w:tr w14:paraId="78EC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56" w:type="pct"/>
            <w:vMerge w:val="continue"/>
            <w:vAlign w:val="center"/>
          </w:tcPr>
          <w:p w14:paraId="65DE3C1F">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17" w:type="pct"/>
            <w:vMerge w:val="continue"/>
            <w:vAlign w:val="center"/>
          </w:tcPr>
          <w:p w14:paraId="57EB1D6B">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86" w:type="pct"/>
            <w:vMerge w:val="continue"/>
            <w:vAlign w:val="center"/>
          </w:tcPr>
          <w:p w14:paraId="6ACB370B">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66" w:type="pct"/>
            <w:vMerge w:val="continue"/>
            <w:vAlign w:val="center"/>
          </w:tcPr>
          <w:p w14:paraId="500797E8">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594" w:type="pct"/>
            <w:vAlign w:val="center"/>
          </w:tcPr>
          <w:p w14:paraId="6A9FA6EF">
            <w:pPr>
              <w:adjustRightInd w:val="0"/>
              <w:snapToGrid w:val="0"/>
              <w:spacing w:line="360" w:lineRule="auto"/>
              <w:ind w:right="105" w:rightChars="50"/>
              <w:jc w:val="center"/>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综合素养</w:t>
            </w:r>
          </w:p>
        </w:tc>
        <w:tc>
          <w:tcPr>
            <w:tcW w:w="602" w:type="pct"/>
            <w:vAlign w:val="center"/>
          </w:tcPr>
          <w:p w14:paraId="602AB4FD">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专业技能</w:t>
            </w:r>
          </w:p>
        </w:tc>
        <w:tc>
          <w:tcPr>
            <w:tcW w:w="592" w:type="pct"/>
            <w:vAlign w:val="center"/>
          </w:tcPr>
          <w:p w14:paraId="7BFD4F0F">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能力拓展</w:t>
            </w:r>
          </w:p>
        </w:tc>
        <w:tc>
          <w:tcPr>
            <w:tcW w:w="670" w:type="pct"/>
            <w:vAlign w:val="center"/>
          </w:tcPr>
          <w:p w14:paraId="4D610C38">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合计</w:t>
            </w:r>
          </w:p>
        </w:tc>
        <w:tc>
          <w:tcPr>
            <w:tcW w:w="512" w:type="pct"/>
            <w:vMerge w:val="restart"/>
            <w:vAlign w:val="center"/>
          </w:tcPr>
          <w:p w14:paraId="01444992">
            <w:pPr>
              <w:adjustRightInd w:val="0"/>
              <w:snapToGrid w:val="0"/>
              <w:spacing w:line="360" w:lineRule="auto"/>
              <w:ind w:right="105" w:rightChars="50"/>
              <w:jc w:val="center"/>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≥6天（不含报到和返程）</w:t>
            </w:r>
          </w:p>
        </w:tc>
      </w:tr>
      <w:tr w14:paraId="3F88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456" w:type="pct"/>
            <w:vMerge w:val="restart"/>
            <w:vAlign w:val="center"/>
          </w:tcPr>
          <w:p w14:paraId="6A85C821">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常设任务+专题任务</w:t>
            </w:r>
          </w:p>
        </w:tc>
        <w:tc>
          <w:tcPr>
            <w:tcW w:w="417" w:type="pct"/>
            <w:vMerge w:val="restart"/>
            <w:vAlign w:val="center"/>
          </w:tcPr>
          <w:p w14:paraId="751B6844">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县级</w:t>
            </w:r>
          </w:p>
        </w:tc>
        <w:tc>
          <w:tcPr>
            <w:tcW w:w="486" w:type="pct"/>
            <w:vMerge w:val="restart"/>
            <w:vAlign w:val="center"/>
          </w:tcPr>
          <w:p w14:paraId="36AA5477">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≥54学时</w:t>
            </w:r>
          </w:p>
        </w:tc>
        <w:tc>
          <w:tcPr>
            <w:tcW w:w="666" w:type="pct"/>
            <w:vAlign w:val="center"/>
          </w:tcPr>
          <w:p w14:paraId="336C370E">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课堂教学</w:t>
            </w:r>
          </w:p>
          <w:p w14:paraId="2D6E15B2">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（线下）</w:t>
            </w:r>
          </w:p>
        </w:tc>
        <w:tc>
          <w:tcPr>
            <w:tcW w:w="594" w:type="pct"/>
            <w:vAlign w:val="center"/>
          </w:tcPr>
          <w:p w14:paraId="343F1C31">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≥4学时</w:t>
            </w:r>
          </w:p>
        </w:tc>
        <w:tc>
          <w:tcPr>
            <w:tcW w:w="602" w:type="pct"/>
            <w:vAlign w:val="center"/>
          </w:tcPr>
          <w:p w14:paraId="141A29B0">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≥14学时</w:t>
            </w:r>
          </w:p>
        </w:tc>
        <w:tc>
          <w:tcPr>
            <w:tcW w:w="592" w:type="pct"/>
            <w:vAlign w:val="center"/>
          </w:tcPr>
          <w:p w14:paraId="4CA18FB9">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≤6学时</w:t>
            </w:r>
          </w:p>
        </w:tc>
        <w:tc>
          <w:tcPr>
            <w:tcW w:w="670" w:type="pct"/>
            <w:vAlign w:val="center"/>
          </w:tcPr>
          <w:p w14:paraId="583CF217">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≥24学时</w:t>
            </w:r>
          </w:p>
        </w:tc>
        <w:tc>
          <w:tcPr>
            <w:tcW w:w="512" w:type="pct"/>
            <w:vMerge w:val="continue"/>
            <w:vAlign w:val="center"/>
          </w:tcPr>
          <w:p w14:paraId="748EF3D1">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r>
      <w:tr w14:paraId="5FEE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56" w:type="pct"/>
            <w:vMerge w:val="continue"/>
            <w:vAlign w:val="center"/>
          </w:tcPr>
          <w:p w14:paraId="70A9C296">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17" w:type="pct"/>
            <w:vMerge w:val="continue"/>
            <w:vAlign w:val="center"/>
          </w:tcPr>
          <w:p w14:paraId="4CFEB9DA">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86" w:type="pct"/>
            <w:vMerge w:val="continue"/>
            <w:vAlign w:val="center"/>
          </w:tcPr>
          <w:p w14:paraId="2079D93E">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66" w:type="pct"/>
            <w:shd w:val="clear" w:color="auto" w:fill="auto"/>
            <w:vAlign w:val="center"/>
          </w:tcPr>
          <w:p w14:paraId="092C77F6">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实践教学</w:t>
            </w:r>
          </w:p>
        </w:tc>
        <w:tc>
          <w:tcPr>
            <w:tcW w:w="594" w:type="pct"/>
            <w:vAlign w:val="center"/>
          </w:tcPr>
          <w:p w14:paraId="3699FE21">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02" w:type="pct"/>
            <w:vAlign w:val="center"/>
          </w:tcPr>
          <w:p w14:paraId="096876B5">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≥20学时</w:t>
            </w:r>
          </w:p>
        </w:tc>
        <w:tc>
          <w:tcPr>
            <w:tcW w:w="592" w:type="pct"/>
            <w:vAlign w:val="center"/>
          </w:tcPr>
          <w:p w14:paraId="26FDA710">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70" w:type="pct"/>
            <w:vAlign w:val="center"/>
          </w:tcPr>
          <w:p w14:paraId="4873A84A">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≥20学时</w:t>
            </w:r>
          </w:p>
        </w:tc>
        <w:tc>
          <w:tcPr>
            <w:tcW w:w="512" w:type="pct"/>
            <w:vMerge w:val="continue"/>
            <w:vAlign w:val="center"/>
          </w:tcPr>
          <w:p w14:paraId="764B2AE4">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r>
      <w:tr w14:paraId="78F2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56" w:type="pct"/>
            <w:vMerge w:val="continue"/>
            <w:vAlign w:val="center"/>
          </w:tcPr>
          <w:p w14:paraId="7D83B456">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17" w:type="pct"/>
            <w:vMerge w:val="continue"/>
            <w:vAlign w:val="center"/>
          </w:tcPr>
          <w:p w14:paraId="0F53A4DD">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86" w:type="pct"/>
            <w:vMerge w:val="continue"/>
            <w:vAlign w:val="center"/>
          </w:tcPr>
          <w:p w14:paraId="08D92D8C">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66" w:type="pct"/>
            <w:vAlign w:val="center"/>
          </w:tcPr>
          <w:p w14:paraId="5E7C57A2">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交流观摩</w:t>
            </w:r>
          </w:p>
        </w:tc>
        <w:tc>
          <w:tcPr>
            <w:tcW w:w="594" w:type="pct"/>
            <w:vAlign w:val="center"/>
          </w:tcPr>
          <w:p w14:paraId="33CD1097">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02" w:type="pct"/>
            <w:vAlign w:val="center"/>
          </w:tcPr>
          <w:p w14:paraId="425605B8">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592" w:type="pct"/>
            <w:vAlign w:val="center"/>
          </w:tcPr>
          <w:p w14:paraId="48FB6BAE">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≤4学时</w:t>
            </w:r>
          </w:p>
        </w:tc>
        <w:tc>
          <w:tcPr>
            <w:tcW w:w="670" w:type="pct"/>
            <w:vAlign w:val="center"/>
          </w:tcPr>
          <w:p w14:paraId="246377CB">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≤4学时</w:t>
            </w:r>
          </w:p>
        </w:tc>
        <w:tc>
          <w:tcPr>
            <w:tcW w:w="512" w:type="pct"/>
            <w:vMerge w:val="continue"/>
            <w:vAlign w:val="center"/>
          </w:tcPr>
          <w:p w14:paraId="50EC0EFC">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r>
      <w:tr w14:paraId="63A5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56" w:type="pct"/>
            <w:vMerge w:val="continue"/>
            <w:vAlign w:val="center"/>
          </w:tcPr>
          <w:p w14:paraId="091D3064">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17" w:type="pct"/>
            <w:vMerge w:val="continue"/>
            <w:vAlign w:val="center"/>
          </w:tcPr>
          <w:p w14:paraId="4DEF96B0">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86" w:type="pct"/>
            <w:vMerge w:val="continue"/>
            <w:vAlign w:val="center"/>
          </w:tcPr>
          <w:p w14:paraId="7793B4A3">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66" w:type="pct"/>
            <w:shd w:val="clear" w:color="auto" w:fill="auto"/>
            <w:vAlign w:val="center"/>
          </w:tcPr>
          <w:p w14:paraId="5C41B35D">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线上教学</w:t>
            </w:r>
          </w:p>
        </w:tc>
        <w:tc>
          <w:tcPr>
            <w:tcW w:w="594" w:type="pct"/>
            <w:vAlign w:val="center"/>
          </w:tcPr>
          <w:p w14:paraId="4E549883">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≤2学时</w:t>
            </w:r>
          </w:p>
        </w:tc>
        <w:tc>
          <w:tcPr>
            <w:tcW w:w="602" w:type="pct"/>
            <w:vAlign w:val="center"/>
          </w:tcPr>
          <w:p w14:paraId="31B2AC68">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≤4学时</w:t>
            </w:r>
          </w:p>
        </w:tc>
        <w:tc>
          <w:tcPr>
            <w:tcW w:w="592" w:type="pct"/>
            <w:vAlign w:val="center"/>
          </w:tcPr>
          <w:p w14:paraId="5D5F618F">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70" w:type="pct"/>
            <w:vAlign w:val="center"/>
          </w:tcPr>
          <w:p w14:paraId="63E2E88E">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≤6学时</w:t>
            </w:r>
          </w:p>
        </w:tc>
        <w:tc>
          <w:tcPr>
            <w:tcW w:w="512" w:type="pct"/>
            <w:vMerge w:val="continue"/>
            <w:vAlign w:val="center"/>
          </w:tcPr>
          <w:p w14:paraId="688B78DE">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r>
      <w:tr w14:paraId="54A2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456" w:type="pct"/>
            <w:vMerge w:val="continue"/>
            <w:vAlign w:val="center"/>
          </w:tcPr>
          <w:p w14:paraId="7A8BF8FF">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17" w:type="pct"/>
            <w:vMerge w:val="continue"/>
            <w:vAlign w:val="center"/>
          </w:tcPr>
          <w:p w14:paraId="2E83070C">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486" w:type="pct"/>
            <w:vMerge w:val="continue"/>
            <w:vAlign w:val="center"/>
          </w:tcPr>
          <w:p w14:paraId="3D950D4C">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c>
          <w:tcPr>
            <w:tcW w:w="666" w:type="pct"/>
            <w:shd w:val="clear" w:color="auto" w:fill="auto"/>
            <w:vAlign w:val="center"/>
          </w:tcPr>
          <w:p w14:paraId="46E50AD0">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合计</w:t>
            </w:r>
          </w:p>
        </w:tc>
        <w:tc>
          <w:tcPr>
            <w:tcW w:w="594" w:type="pct"/>
            <w:vAlign w:val="center"/>
          </w:tcPr>
          <w:p w14:paraId="5F7619EA">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≥6学时</w:t>
            </w:r>
          </w:p>
        </w:tc>
        <w:tc>
          <w:tcPr>
            <w:tcW w:w="602" w:type="pct"/>
            <w:vAlign w:val="center"/>
          </w:tcPr>
          <w:p w14:paraId="2A631EB2">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≥38学时</w:t>
            </w:r>
          </w:p>
        </w:tc>
        <w:tc>
          <w:tcPr>
            <w:tcW w:w="592" w:type="pct"/>
            <w:vAlign w:val="center"/>
          </w:tcPr>
          <w:p w14:paraId="68D1FBE5">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≤10学时</w:t>
            </w:r>
          </w:p>
        </w:tc>
        <w:tc>
          <w:tcPr>
            <w:tcW w:w="670" w:type="pct"/>
            <w:vAlign w:val="center"/>
          </w:tcPr>
          <w:p w14:paraId="7741C1E5">
            <w:pPr>
              <w:adjustRightInd w:val="0"/>
              <w:snapToGrid w:val="0"/>
              <w:spacing w:line="360" w:lineRule="auto"/>
              <w:ind w:right="105" w:rightChars="50"/>
              <w:jc w:val="left"/>
              <w:rPr>
                <w:rFonts w:hint="eastAsia" w:ascii="仿宋_GB2312" w:hAnsi="仿宋" w:eastAsia="仿宋_GB2312" w:cs="仿宋_GB2312"/>
                <w:color w:val="auto"/>
                <w:sz w:val="21"/>
                <w:szCs w:val="18"/>
                <w:lang w:val="en-US" w:eastAsia="zh-CN"/>
              </w:rPr>
            </w:pPr>
            <w:r>
              <w:rPr>
                <w:rFonts w:hint="eastAsia" w:ascii="仿宋_GB2312" w:hAnsi="仿宋" w:eastAsia="仿宋_GB2312" w:cs="仿宋_GB2312"/>
                <w:color w:val="auto"/>
                <w:sz w:val="21"/>
                <w:szCs w:val="18"/>
                <w:lang w:val="en-US" w:eastAsia="zh-CN"/>
              </w:rPr>
              <w:t>≥54学时</w:t>
            </w:r>
          </w:p>
        </w:tc>
        <w:tc>
          <w:tcPr>
            <w:tcW w:w="512" w:type="pct"/>
            <w:vMerge w:val="continue"/>
            <w:vAlign w:val="center"/>
          </w:tcPr>
          <w:p w14:paraId="093EB6BA">
            <w:pPr>
              <w:adjustRightInd w:val="0"/>
              <w:snapToGrid w:val="0"/>
              <w:spacing w:line="360" w:lineRule="auto"/>
              <w:ind w:right="105" w:rightChars="50" w:firstLine="476" w:firstLineChars="227"/>
              <w:jc w:val="left"/>
              <w:rPr>
                <w:rFonts w:hint="eastAsia" w:ascii="仿宋_GB2312" w:hAnsi="仿宋" w:eastAsia="仿宋_GB2312" w:cs="仿宋_GB2312"/>
                <w:color w:val="auto"/>
                <w:sz w:val="21"/>
                <w:szCs w:val="18"/>
                <w:lang w:val="en-US" w:eastAsia="zh-CN"/>
              </w:rPr>
            </w:pPr>
          </w:p>
        </w:tc>
      </w:tr>
    </w:tbl>
    <w:p w14:paraId="05F3B1E0">
      <w:pPr>
        <w:adjustRightInd w:val="0"/>
        <w:snapToGrid w:val="0"/>
        <w:spacing w:line="360" w:lineRule="auto"/>
        <w:ind w:right="105" w:rightChars="50"/>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br w:type="page"/>
      </w:r>
    </w:p>
    <w:p w14:paraId="693DF80E">
      <w:pPr>
        <w:adjustRightInd w:val="0"/>
        <w:snapToGrid w:val="0"/>
        <w:spacing w:line="360" w:lineRule="auto"/>
        <w:ind w:right="105" w:rightChars="50" w:firstLine="544" w:firstLineChars="227"/>
        <w:jc w:val="left"/>
        <w:rPr>
          <w:rFonts w:hint="eastAsia" w:ascii="仿宋_GB2312" w:hAnsi="仿宋" w:eastAsia="仿宋_GB2312" w:cs="仿宋_GB2312"/>
          <w:b/>
          <w:bCs/>
          <w:color w:val="auto"/>
          <w:sz w:val="24"/>
          <w:szCs w:val="21"/>
          <w:lang w:val="en-US" w:eastAsia="zh-CN"/>
        </w:rPr>
      </w:pPr>
      <w:r>
        <w:rPr>
          <w:rFonts w:hint="eastAsia" w:ascii="仿宋_GB2312" w:hAnsi="仿宋" w:eastAsia="仿宋_GB2312" w:cs="仿宋_GB2312"/>
          <w:b/>
          <w:bCs/>
          <w:color w:val="auto"/>
          <w:sz w:val="24"/>
          <w:szCs w:val="21"/>
          <w:lang w:val="en-US" w:eastAsia="zh-CN"/>
        </w:rPr>
        <w:t>002包：</w:t>
      </w:r>
    </w:p>
    <w:p w14:paraId="416D7677">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1.培育专业农机手高素质农民200名（共计4个班，每班50人）。按照《辽宁省高素质农民培训规范(试行)》要求，编制涵盖综合素养、专业能力和能力拓展三类培训课程内容，主要采用课堂、现场和线上三种教学形式开展培训。培训时间不少于54学时，培训机构应具有独立法人资格；具有教育培训职能或资质；拥有教学场所及教学设施设备，可容纳200人集中教学和食宿；具有完善的后勤组织管理保障体系及处理突发事件的应急预案和能力。承担实践教学环节的机构应当具有满足培育主题要求的场地、设施设备、实践师资等条件。具备组织赴现代农业园区、农业龙头企业、优秀新型经营主体等优质实训基地开展实训考察的能力和条件，拥有专职教学管理人员组成的专业培训团队和与培育主题相匹配的专职师资，能够主动接受省农业农村厅、省农业农村发展服务中心的组织、检查和指导，同时积极配合做好其他相关工作，能够保质保量按时完成集中授课、实训考察、线上学习、线上评价、典型提炼、宣传报道、绩效自评、档案整理及工作总结等培育任务，实现培训班次和学员信息100%上网、线上评价覆盖率100%、学员满意度90%及以上，培育全程可追溯。培训机构应具备规范使用培育补助资金能力。2025年11月30日前完成培训任务，训后跟踪服务一年。</w:t>
      </w:r>
    </w:p>
    <w:p w14:paraId="7EDCB570">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2.培训机构应具备规范使用培育补助资金能力。设立培育资金专账，专款专用，主要用于培育任务中的讲课费，包括聘请授课教师和技术指导员的课时费；补助费，包括培训班班主任或辅导员补助费；食宿费，包括参训学员、授课教师等食宿费；交通费，包括教师、学员的往返交通费，异地实训考察交通费、租车费；教学费用，包括教材、耗材、场地、学习用品、实习用品、线上培训服务费，参观场地补偿费等，不得挤占挪用、骗取套取。资金预算科目完整、内容规范、标准准确，全部用于与高素质农民培育有关的工作。</w:t>
      </w:r>
    </w:p>
    <w:p w14:paraId="662FC1AE">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br w:type="page"/>
      </w:r>
    </w:p>
    <w:p w14:paraId="6F706206">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53699065">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培训模块要求</w:t>
      </w:r>
    </w:p>
    <w:tbl>
      <w:tblPr>
        <w:tblStyle w:val="25"/>
        <w:tblpPr w:leftFromText="180" w:rightFromText="180" w:vertAnchor="text" w:horzAnchor="page" w:tblpX="801" w:tblpY="488"/>
        <w:tblOverlap w:val="never"/>
        <w:tblW w:w="58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986"/>
        <w:gridCol w:w="883"/>
        <w:gridCol w:w="1764"/>
        <w:gridCol w:w="1201"/>
        <w:gridCol w:w="1215"/>
        <w:gridCol w:w="1227"/>
        <w:gridCol w:w="1239"/>
        <w:gridCol w:w="1060"/>
      </w:tblGrid>
      <w:tr w14:paraId="280E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50" w:type="pct"/>
            <w:vMerge w:val="restart"/>
            <w:vAlign w:val="center"/>
          </w:tcPr>
          <w:p w14:paraId="2D611CBA">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培育任务</w:t>
            </w:r>
          </w:p>
        </w:tc>
        <w:tc>
          <w:tcPr>
            <w:tcW w:w="468" w:type="pct"/>
            <w:vMerge w:val="restart"/>
            <w:vAlign w:val="center"/>
          </w:tcPr>
          <w:p w14:paraId="44178216">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培育层级</w:t>
            </w:r>
          </w:p>
        </w:tc>
        <w:tc>
          <w:tcPr>
            <w:tcW w:w="419" w:type="pct"/>
            <w:vMerge w:val="restart"/>
            <w:vAlign w:val="center"/>
          </w:tcPr>
          <w:p w14:paraId="17E4BECA">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总学时</w:t>
            </w:r>
          </w:p>
        </w:tc>
        <w:tc>
          <w:tcPr>
            <w:tcW w:w="838" w:type="pct"/>
            <w:vMerge w:val="restart"/>
            <w:vAlign w:val="center"/>
          </w:tcPr>
          <w:p w14:paraId="281E47F5">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培训形式</w:t>
            </w:r>
          </w:p>
        </w:tc>
        <w:tc>
          <w:tcPr>
            <w:tcW w:w="2319" w:type="pct"/>
            <w:gridSpan w:val="4"/>
            <w:vAlign w:val="center"/>
          </w:tcPr>
          <w:p w14:paraId="670A0DA2">
            <w:pPr>
              <w:adjustRightInd w:val="0"/>
              <w:snapToGrid w:val="0"/>
              <w:spacing w:line="360" w:lineRule="auto"/>
              <w:ind w:right="105" w:rightChars="50" w:firstLine="454" w:firstLineChars="227"/>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课程体系及学时分配</w:t>
            </w:r>
          </w:p>
        </w:tc>
        <w:tc>
          <w:tcPr>
            <w:tcW w:w="503" w:type="pct"/>
            <w:vAlign w:val="center"/>
          </w:tcPr>
          <w:p w14:paraId="085254E1">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天数</w:t>
            </w:r>
          </w:p>
        </w:tc>
      </w:tr>
      <w:tr w14:paraId="3F5A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50" w:type="pct"/>
            <w:vMerge w:val="continue"/>
            <w:vAlign w:val="center"/>
          </w:tcPr>
          <w:p w14:paraId="6173198C">
            <w:pPr>
              <w:adjustRightInd w:val="0"/>
              <w:snapToGrid w:val="0"/>
              <w:spacing w:line="360" w:lineRule="auto"/>
              <w:ind w:right="105" w:rightChars="50" w:firstLine="454" w:firstLineChars="227"/>
              <w:jc w:val="center"/>
              <w:rPr>
                <w:rFonts w:hint="eastAsia" w:ascii="仿宋_GB2312" w:hAnsi="仿宋" w:eastAsia="仿宋_GB2312" w:cs="仿宋_GB2312"/>
                <w:color w:val="auto"/>
                <w:sz w:val="20"/>
                <w:szCs w:val="16"/>
                <w:lang w:val="en-US" w:eastAsia="zh-CN"/>
              </w:rPr>
            </w:pPr>
          </w:p>
        </w:tc>
        <w:tc>
          <w:tcPr>
            <w:tcW w:w="468" w:type="pct"/>
            <w:vMerge w:val="continue"/>
            <w:vAlign w:val="center"/>
          </w:tcPr>
          <w:p w14:paraId="267EA909">
            <w:pPr>
              <w:adjustRightInd w:val="0"/>
              <w:snapToGrid w:val="0"/>
              <w:spacing w:line="360" w:lineRule="auto"/>
              <w:ind w:right="105" w:rightChars="50" w:firstLine="454" w:firstLineChars="227"/>
              <w:jc w:val="center"/>
              <w:rPr>
                <w:rFonts w:hint="eastAsia" w:ascii="仿宋_GB2312" w:hAnsi="仿宋" w:eastAsia="仿宋_GB2312" w:cs="仿宋_GB2312"/>
                <w:color w:val="auto"/>
                <w:sz w:val="20"/>
                <w:szCs w:val="16"/>
                <w:lang w:val="en-US" w:eastAsia="zh-CN"/>
              </w:rPr>
            </w:pPr>
          </w:p>
        </w:tc>
        <w:tc>
          <w:tcPr>
            <w:tcW w:w="419" w:type="pct"/>
            <w:vMerge w:val="continue"/>
            <w:vAlign w:val="center"/>
          </w:tcPr>
          <w:p w14:paraId="64C6E91E">
            <w:pPr>
              <w:adjustRightInd w:val="0"/>
              <w:snapToGrid w:val="0"/>
              <w:spacing w:line="360" w:lineRule="auto"/>
              <w:ind w:right="105" w:rightChars="50" w:firstLine="454" w:firstLineChars="227"/>
              <w:jc w:val="center"/>
              <w:rPr>
                <w:rFonts w:hint="eastAsia" w:ascii="仿宋_GB2312" w:hAnsi="仿宋" w:eastAsia="仿宋_GB2312" w:cs="仿宋_GB2312"/>
                <w:color w:val="auto"/>
                <w:sz w:val="20"/>
                <w:szCs w:val="16"/>
                <w:lang w:val="en-US" w:eastAsia="zh-CN"/>
              </w:rPr>
            </w:pPr>
          </w:p>
        </w:tc>
        <w:tc>
          <w:tcPr>
            <w:tcW w:w="838" w:type="pct"/>
            <w:vMerge w:val="continue"/>
            <w:vAlign w:val="center"/>
          </w:tcPr>
          <w:p w14:paraId="134C70EB">
            <w:pPr>
              <w:adjustRightInd w:val="0"/>
              <w:snapToGrid w:val="0"/>
              <w:spacing w:line="360" w:lineRule="auto"/>
              <w:ind w:right="105" w:rightChars="50" w:firstLine="454" w:firstLineChars="227"/>
              <w:jc w:val="center"/>
              <w:rPr>
                <w:rFonts w:hint="eastAsia" w:ascii="仿宋_GB2312" w:hAnsi="仿宋" w:eastAsia="仿宋_GB2312" w:cs="仿宋_GB2312"/>
                <w:color w:val="auto"/>
                <w:sz w:val="20"/>
                <w:szCs w:val="16"/>
                <w:lang w:val="en-US" w:eastAsia="zh-CN"/>
              </w:rPr>
            </w:pPr>
          </w:p>
        </w:tc>
        <w:tc>
          <w:tcPr>
            <w:tcW w:w="570" w:type="pct"/>
            <w:vAlign w:val="center"/>
          </w:tcPr>
          <w:p w14:paraId="50F8AD88">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综合素养</w:t>
            </w:r>
          </w:p>
        </w:tc>
        <w:tc>
          <w:tcPr>
            <w:tcW w:w="577" w:type="pct"/>
            <w:vAlign w:val="center"/>
          </w:tcPr>
          <w:p w14:paraId="30C365AD">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专业技能</w:t>
            </w:r>
          </w:p>
        </w:tc>
        <w:tc>
          <w:tcPr>
            <w:tcW w:w="582" w:type="pct"/>
            <w:vAlign w:val="center"/>
          </w:tcPr>
          <w:p w14:paraId="40FB3112">
            <w:pPr>
              <w:adjustRightInd w:val="0"/>
              <w:snapToGrid w:val="0"/>
              <w:spacing w:line="360" w:lineRule="auto"/>
              <w:ind w:right="105" w:rightChars="50"/>
              <w:jc w:val="both"/>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能力拓展</w:t>
            </w:r>
          </w:p>
        </w:tc>
        <w:tc>
          <w:tcPr>
            <w:tcW w:w="588" w:type="pct"/>
            <w:vAlign w:val="center"/>
          </w:tcPr>
          <w:p w14:paraId="4BAAE938">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合计</w:t>
            </w:r>
          </w:p>
        </w:tc>
        <w:tc>
          <w:tcPr>
            <w:tcW w:w="503" w:type="pct"/>
            <w:vMerge w:val="restart"/>
            <w:vAlign w:val="center"/>
          </w:tcPr>
          <w:p w14:paraId="47CDF044">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≥6天（不含报到和返程）</w:t>
            </w:r>
          </w:p>
        </w:tc>
      </w:tr>
      <w:tr w14:paraId="7F6E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0" w:type="pct"/>
            <w:vMerge w:val="restart"/>
            <w:vAlign w:val="center"/>
          </w:tcPr>
          <w:p w14:paraId="2300E95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常设任务+专题任务</w:t>
            </w:r>
          </w:p>
        </w:tc>
        <w:tc>
          <w:tcPr>
            <w:tcW w:w="468" w:type="pct"/>
            <w:vMerge w:val="restart"/>
            <w:vAlign w:val="center"/>
          </w:tcPr>
          <w:p w14:paraId="3BA1E59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县级</w:t>
            </w:r>
          </w:p>
        </w:tc>
        <w:tc>
          <w:tcPr>
            <w:tcW w:w="419" w:type="pct"/>
            <w:vMerge w:val="restart"/>
            <w:vAlign w:val="center"/>
          </w:tcPr>
          <w:p w14:paraId="197C7DAA">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≥54学时</w:t>
            </w:r>
          </w:p>
        </w:tc>
        <w:tc>
          <w:tcPr>
            <w:tcW w:w="838" w:type="pct"/>
            <w:vAlign w:val="center"/>
          </w:tcPr>
          <w:p w14:paraId="7ECFB126">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课堂教学（线下）</w:t>
            </w:r>
          </w:p>
        </w:tc>
        <w:tc>
          <w:tcPr>
            <w:tcW w:w="570" w:type="pct"/>
            <w:vAlign w:val="center"/>
          </w:tcPr>
          <w:p w14:paraId="3278115C">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77" w:type="pct"/>
            <w:vAlign w:val="center"/>
          </w:tcPr>
          <w:p w14:paraId="0A6C0AEC">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≥14学时</w:t>
            </w:r>
          </w:p>
        </w:tc>
        <w:tc>
          <w:tcPr>
            <w:tcW w:w="582" w:type="pct"/>
            <w:vAlign w:val="center"/>
          </w:tcPr>
          <w:p w14:paraId="1B2D02F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≤6学时</w:t>
            </w:r>
          </w:p>
        </w:tc>
        <w:tc>
          <w:tcPr>
            <w:tcW w:w="588" w:type="pct"/>
            <w:vAlign w:val="center"/>
          </w:tcPr>
          <w:p w14:paraId="26B434D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≥24学时</w:t>
            </w:r>
          </w:p>
        </w:tc>
        <w:tc>
          <w:tcPr>
            <w:tcW w:w="503" w:type="pct"/>
            <w:vMerge w:val="continue"/>
            <w:vAlign w:val="center"/>
          </w:tcPr>
          <w:p w14:paraId="169C0DC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74EA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50" w:type="pct"/>
            <w:vMerge w:val="continue"/>
            <w:vAlign w:val="center"/>
          </w:tcPr>
          <w:p w14:paraId="3C15EC12">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8" w:type="pct"/>
            <w:vMerge w:val="continue"/>
            <w:vAlign w:val="center"/>
          </w:tcPr>
          <w:p w14:paraId="67EF5CC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368EFF2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838" w:type="pct"/>
            <w:shd w:val="clear" w:color="auto" w:fill="auto"/>
            <w:vAlign w:val="center"/>
          </w:tcPr>
          <w:p w14:paraId="16646FEC">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实践教学</w:t>
            </w:r>
          </w:p>
        </w:tc>
        <w:tc>
          <w:tcPr>
            <w:tcW w:w="570" w:type="pct"/>
            <w:vAlign w:val="center"/>
          </w:tcPr>
          <w:p w14:paraId="479E5B01">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77" w:type="pct"/>
            <w:vAlign w:val="center"/>
          </w:tcPr>
          <w:p w14:paraId="6BB3676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≥20学时</w:t>
            </w:r>
          </w:p>
        </w:tc>
        <w:tc>
          <w:tcPr>
            <w:tcW w:w="582" w:type="pct"/>
            <w:vAlign w:val="center"/>
          </w:tcPr>
          <w:p w14:paraId="03C75058">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8" w:type="pct"/>
            <w:vAlign w:val="center"/>
          </w:tcPr>
          <w:p w14:paraId="22479D5C">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≥20学时</w:t>
            </w:r>
          </w:p>
        </w:tc>
        <w:tc>
          <w:tcPr>
            <w:tcW w:w="503" w:type="pct"/>
            <w:vMerge w:val="continue"/>
            <w:vAlign w:val="center"/>
          </w:tcPr>
          <w:p w14:paraId="75B2104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6E2B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450" w:type="pct"/>
            <w:vMerge w:val="continue"/>
            <w:vAlign w:val="center"/>
          </w:tcPr>
          <w:p w14:paraId="33EF3E3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8" w:type="pct"/>
            <w:vMerge w:val="continue"/>
            <w:vAlign w:val="center"/>
          </w:tcPr>
          <w:p w14:paraId="60913296">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29379956">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838" w:type="pct"/>
            <w:vAlign w:val="center"/>
          </w:tcPr>
          <w:p w14:paraId="4122355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交流观摩</w:t>
            </w:r>
          </w:p>
        </w:tc>
        <w:tc>
          <w:tcPr>
            <w:tcW w:w="570" w:type="pct"/>
            <w:vAlign w:val="center"/>
          </w:tcPr>
          <w:p w14:paraId="6AFA4E5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77" w:type="pct"/>
            <w:vAlign w:val="center"/>
          </w:tcPr>
          <w:p w14:paraId="56391E33">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2" w:type="pct"/>
            <w:vAlign w:val="center"/>
          </w:tcPr>
          <w:p w14:paraId="4014B073">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88" w:type="pct"/>
            <w:vAlign w:val="center"/>
          </w:tcPr>
          <w:p w14:paraId="4D421011">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03" w:type="pct"/>
            <w:vMerge w:val="continue"/>
            <w:vAlign w:val="center"/>
          </w:tcPr>
          <w:p w14:paraId="2D5FD4F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03E7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50" w:type="pct"/>
            <w:vMerge w:val="continue"/>
            <w:vAlign w:val="center"/>
          </w:tcPr>
          <w:p w14:paraId="0B621672">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8" w:type="pct"/>
            <w:vMerge w:val="continue"/>
            <w:vAlign w:val="center"/>
          </w:tcPr>
          <w:p w14:paraId="62144684">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71BB40C6">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838" w:type="pct"/>
            <w:shd w:val="clear" w:color="auto" w:fill="auto"/>
            <w:vAlign w:val="center"/>
          </w:tcPr>
          <w:p w14:paraId="0E9A13B4">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线上教学</w:t>
            </w:r>
          </w:p>
        </w:tc>
        <w:tc>
          <w:tcPr>
            <w:tcW w:w="570" w:type="pct"/>
            <w:vAlign w:val="center"/>
          </w:tcPr>
          <w:p w14:paraId="419C78C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≤2学时</w:t>
            </w:r>
          </w:p>
        </w:tc>
        <w:tc>
          <w:tcPr>
            <w:tcW w:w="577" w:type="pct"/>
            <w:vAlign w:val="center"/>
          </w:tcPr>
          <w:p w14:paraId="6B7D949B">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82" w:type="pct"/>
            <w:vAlign w:val="center"/>
          </w:tcPr>
          <w:p w14:paraId="709ED790">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8" w:type="pct"/>
            <w:vAlign w:val="center"/>
          </w:tcPr>
          <w:p w14:paraId="2D64F23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≤6学时</w:t>
            </w:r>
          </w:p>
        </w:tc>
        <w:tc>
          <w:tcPr>
            <w:tcW w:w="503" w:type="pct"/>
            <w:vMerge w:val="continue"/>
            <w:vAlign w:val="center"/>
          </w:tcPr>
          <w:p w14:paraId="7EF47B3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34D0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450" w:type="pct"/>
            <w:vMerge w:val="continue"/>
            <w:vAlign w:val="center"/>
          </w:tcPr>
          <w:p w14:paraId="597DD8D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8" w:type="pct"/>
            <w:vMerge w:val="continue"/>
            <w:vAlign w:val="center"/>
          </w:tcPr>
          <w:p w14:paraId="266F918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1677CE39">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838" w:type="pct"/>
            <w:shd w:val="clear" w:color="auto" w:fill="auto"/>
            <w:vAlign w:val="center"/>
          </w:tcPr>
          <w:p w14:paraId="284CD9D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合计</w:t>
            </w:r>
          </w:p>
        </w:tc>
        <w:tc>
          <w:tcPr>
            <w:tcW w:w="570" w:type="pct"/>
            <w:vAlign w:val="center"/>
          </w:tcPr>
          <w:p w14:paraId="64E09876">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≥6学时</w:t>
            </w:r>
          </w:p>
        </w:tc>
        <w:tc>
          <w:tcPr>
            <w:tcW w:w="577" w:type="pct"/>
            <w:vAlign w:val="center"/>
          </w:tcPr>
          <w:p w14:paraId="2516D5C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≥38学时</w:t>
            </w:r>
          </w:p>
        </w:tc>
        <w:tc>
          <w:tcPr>
            <w:tcW w:w="582" w:type="pct"/>
            <w:vAlign w:val="center"/>
          </w:tcPr>
          <w:p w14:paraId="6C42BDA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≤10学时</w:t>
            </w:r>
          </w:p>
        </w:tc>
        <w:tc>
          <w:tcPr>
            <w:tcW w:w="588" w:type="pct"/>
            <w:vAlign w:val="center"/>
          </w:tcPr>
          <w:p w14:paraId="64C57ED0">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≥54学时</w:t>
            </w:r>
          </w:p>
        </w:tc>
        <w:tc>
          <w:tcPr>
            <w:tcW w:w="503" w:type="pct"/>
            <w:vMerge w:val="continue"/>
            <w:vAlign w:val="center"/>
          </w:tcPr>
          <w:p w14:paraId="4C57E94B">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bl>
    <w:p w14:paraId="11E6F621">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br w:type="page"/>
      </w:r>
    </w:p>
    <w:p w14:paraId="0DBE9588">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393C5A6C">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b/>
          <w:bCs/>
          <w:color w:val="auto"/>
          <w:sz w:val="24"/>
          <w:szCs w:val="21"/>
          <w:lang w:val="en-US" w:eastAsia="zh-CN"/>
        </w:rPr>
        <w:t>003包：</w:t>
      </w:r>
    </w:p>
    <w:p w14:paraId="717C354D">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1.培育肉牛、奶牛养殖高素质农民150名（共计3个班，每班50人）。按照《辽宁省高素质农民培训规范(试行)》要求，编制涵盖综合素养、专业能力和能力拓展三类培训课程内容，主要采用课堂、现场和线上三种教学形式开展培训。培训时间不少于54学时，培训机构应具有独立法人资格；具有教育培训职能或资质；拥有教学场所及教学设施设备，可容纳150人集中教学和食宿；具有完善的后勤组织管理保障体系及处理突发事件的应急预案和能力。承担实践教学环节的机构应当具有满足培育主题要求的场地、设施设备、实践师资等条件。具备组织赴现代农业园区、农业龙头企业、优秀新型经营主体等优质实训基地开展实训考察的能力和条件，拥有专职教学管理人员组成的专业培训团队和与培育主题相匹配的专职师资，能够主动接受省农业农村厅、省农业农村发展服务中心的组织、检查和指导，同时积极配合做好其他相关工作，能够保质保量按时完成集中授课、实训考察、线上学习、线上评价、典型提炼、宣传报道、绩效自评、档案整理及工作总结等培育任务，实现培训班次和学员信息100%上网、线上评价覆盖率100%、学员满意度90%及以上，培育全程可追溯。培训机构应具备规范使用培育补助资金能力。2025年11月30日前完成培训任务，训后跟踪服务一年。</w:t>
      </w:r>
    </w:p>
    <w:p w14:paraId="2EC4AF34">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2.培训机构应具备规范使用培育补助资金能力。设立培育资金专账，专款专用，主要用于培育任务中的讲课费，包括聘请授课教师和技术指导员的课时费；补助费，包括培训班班主任或辅导员补助费；食宿费，包括参训学员、授课教师等食宿费；交通费，包括教师、学员的往返交通费，异地实训考察交通费、租车费；教学费用，包括教材、耗材、场地、学习用品、实习用品、线上培训服务费，参观场地补偿费等，不得挤占挪用、骗取套取。资金预算科目完整、内容规范、标准准确，全部用于与高素质农民培育有关的工作。</w:t>
      </w:r>
    </w:p>
    <w:p w14:paraId="666A4BA9">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br w:type="page"/>
      </w:r>
    </w:p>
    <w:p w14:paraId="54FD7F7D">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培训模块要求</w:t>
      </w:r>
    </w:p>
    <w:tbl>
      <w:tblPr>
        <w:tblStyle w:val="25"/>
        <w:tblpPr w:leftFromText="180" w:rightFromText="180" w:vertAnchor="text" w:horzAnchor="page" w:tblpX="801" w:tblpY="488"/>
        <w:tblOverlap w:val="never"/>
        <w:tblW w:w="58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889"/>
        <w:gridCol w:w="986"/>
        <w:gridCol w:w="1667"/>
        <w:gridCol w:w="1226"/>
        <w:gridCol w:w="1243"/>
        <w:gridCol w:w="1164"/>
        <w:gridCol w:w="1219"/>
        <w:gridCol w:w="1084"/>
      </w:tblGrid>
      <w:tr w14:paraId="52EC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29" w:type="pct"/>
            <w:vMerge w:val="restart"/>
            <w:vAlign w:val="center"/>
          </w:tcPr>
          <w:p w14:paraId="1BECA12B">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培育任务</w:t>
            </w:r>
          </w:p>
        </w:tc>
        <w:tc>
          <w:tcPr>
            <w:tcW w:w="419" w:type="pct"/>
            <w:vMerge w:val="restart"/>
            <w:vAlign w:val="center"/>
          </w:tcPr>
          <w:p w14:paraId="04029E85">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培育层级</w:t>
            </w:r>
          </w:p>
        </w:tc>
        <w:tc>
          <w:tcPr>
            <w:tcW w:w="465" w:type="pct"/>
            <w:vMerge w:val="restart"/>
            <w:vAlign w:val="center"/>
          </w:tcPr>
          <w:p w14:paraId="11F0702E">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总学时</w:t>
            </w:r>
          </w:p>
        </w:tc>
        <w:tc>
          <w:tcPr>
            <w:tcW w:w="786" w:type="pct"/>
            <w:vMerge w:val="restart"/>
            <w:vAlign w:val="center"/>
          </w:tcPr>
          <w:p w14:paraId="47E2CC06">
            <w:pPr>
              <w:adjustRightInd w:val="0"/>
              <w:snapToGrid w:val="0"/>
              <w:spacing w:line="360" w:lineRule="auto"/>
              <w:ind w:right="105" w:rightChars="50" w:firstLine="200" w:firstLineChars="10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培训形式</w:t>
            </w:r>
          </w:p>
        </w:tc>
        <w:tc>
          <w:tcPr>
            <w:tcW w:w="2288" w:type="pct"/>
            <w:gridSpan w:val="4"/>
            <w:vAlign w:val="center"/>
          </w:tcPr>
          <w:p w14:paraId="114203D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课程体系及学时分配</w:t>
            </w:r>
          </w:p>
        </w:tc>
        <w:tc>
          <w:tcPr>
            <w:tcW w:w="511" w:type="pct"/>
            <w:vAlign w:val="center"/>
          </w:tcPr>
          <w:p w14:paraId="0C9FD148">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天数</w:t>
            </w:r>
          </w:p>
        </w:tc>
      </w:tr>
      <w:tr w14:paraId="2297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29" w:type="pct"/>
            <w:vMerge w:val="continue"/>
            <w:vAlign w:val="center"/>
          </w:tcPr>
          <w:p w14:paraId="24B39316">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6968D05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5" w:type="pct"/>
            <w:vMerge w:val="continue"/>
            <w:vAlign w:val="center"/>
          </w:tcPr>
          <w:p w14:paraId="70392F6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786" w:type="pct"/>
            <w:vMerge w:val="continue"/>
            <w:vAlign w:val="center"/>
          </w:tcPr>
          <w:p w14:paraId="6ACD6371">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78" w:type="pct"/>
            <w:vAlign w:val="center"/>
          </w:tcPr>
          <w:p w14:paraId="6C3359A3">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综合素养</w:t>
            </w:r>
          </w:p>
        </w:tc>
        <w:tc>
          <w:tcPr>
            <w:tcW w:w="586" w:type="pct"/>
            <w:vAlign w:val="center"/>
          </w:tcPr>
          <w:p w14:paraId="09DF1379">
            <w:pPr>
              <w:adjustRightInd w:val="0"/>
              <w:snapToGrid w:val="0"/>
              <w:spacing w:line="360" w:lineRule="auto"/>
              <w:ind w:right="105" w:rightChars="50"/>
              <w:jc w:val="both"/>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专业技能</w:t>
            </w:r>
          </w:p>
        </w:tc>
        <w:tc>
          <w:tcPr>
            <w:tcW w:w="549" w:type="pct"/>
            <w:vAlign w:val="center"/>
          </w:tcPr>
          <w:p w14:paraId="3E6A755B">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能力拓展</w:t>
            </w:r>
          </w:p>
        </w:tc>
        <w:tc>
          <w:tcPr>
            <w:tcW w:w="574" w:type="pct"/>
            <w:vAlign w:val="center"/>
          </w:tcPr>
          <w:p w14:paraId="600359D1">
            <w:pPr>
              <w:adjustRightInd w:val="0"/>
              <w:snapToGrid w:val="0"/>
              <w:spacing w:line="360" w:lineRule="auto"/>
              <w:ind w:right="105" w:rightChars="50"/>
              <w:jc w:val="center"/>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合计</w:t>
            </w:r>
          </w:p>
        </w:tc>
        <w:tc>
          <w:tcPr>
            <w:tcW w:w="511" w:type="pct"/>
            <w:vMerge w:val="restart"/>
            <w:vAlign w:val="center"/>
          </w:tcPr>
          <w:p w14:paraId="08ECF32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≥6天（不含报到和返程）</w:t>
            </w:r>
          </w:p>
        </w:tc>
      </w:tr>
      <w:tr w14:paraId="6F1B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29" w:type="pct"/>
            <w:vMerge w:val="restart"/>
            <w:vAlign w:val="center"/>
          </w:tcPr>
          <w:p w14:paraId="250C8258">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常设任务+专题任务</w:t>
            </w:r>
          </w:p>
        </w:tc>
        <w:tc>
          <w:tcPr>
            <w:tcW w:w="419" w:type="pct"/>
            <w:vMerge w:val="restart"/>
            <w:vAlign w:val="center"/>
          </w:tcPr>
          <w:p w14:paraId="2861FBC6">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县级</w:t>
            </w:r>
          </w:p>
        </w:tc>
        <w:tc>
          <w:tcPr>
            <w:tcW w:w="465" w:type="pct"/>
            <w:vMerge w:val="restart"/>
            <w:vAlign w:val="center"/>
          </w:tcPr>
          <w:p w14:paraId="4F22BAA2">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≥54学时</w:t>
            </w:r>
          </w:p>
        </w:tc>
        <w:tc>
          <w:tcPr>
            <w:tcW w:w="786" w:type="pct"/>
            <w:vAlign w:val="center"/>
          </w:tcPr>
          <w:p w14:paraId="058B6B3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课堂教学（线下）</w:t>
            </w:r>
          </w:p>
        </w:tc>
        <w:tc>
          <w:tcPr>
            <w:tcW w:w="578" w:type="pct"/>
            <w:vAlign w:val="center"/>
          </w:tcPr>
          <w:p w14:paraId="0E2C02B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86" w:type="pct"/>
            <w:vAlign w:val="center"/>
          </w:tcPr>
          <w:p w14:paraId="7377D049">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≥14学时</w:t>
            </w:r>
          </w:p>
        </w:tc>
        <w:tc>
          <w:tcPr>
            <w:tcW w:w="549" w:type="pct"/>
            <w:vAlign w:val="center"/>
          </w:tcPr>
          <w:p w14:paraId="5BB06754">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≤6学时</w:t>
            </w:r>
          </w:p>
        </w:tc>
        <w:tc>
          <w:tcPr>
            <w:tcW w:w="574" w:type="pct"/>
            <w:vAlign w:val="center"/>
          </w:tcPr>
          <w:p w14:paraId="2320EEF9">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≥24学时</w:t>
            </w:r>
          </w:p>
        </w:tc>
        <w:tc>
          <w:tcPr>
            <w:tcW w:w="511" w:type="pct"/>
            <w:vMerge w:val="continue"/>
            <w:vAlign w:val="center"/>
          </w:tcPr>
          <w:p w14:paraId="01035A86">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0981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29" w:type="pct"/>
            <w:vMerge w:val="continue"/>
            <w:vAlign w:val="center"/>
          </w:tcPr>
          <w:p w14:paraId="0BEED789">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06D68FF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5" w:type="pct"/>
            <w:vMerge w:val="continue"/>
            <w:vAlign w:val="center"/>
          </w:tcPr>
          <w:p w14:paraId="3ED238E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786" w:type="pct"/>
            <w:shd w:val="clear" w:color="auto" w:fill="auto"/>
            <w:vAlign w:val="center"/>
          </w:tcPr>
          <w:p w14:paraId="5E2B8E7C">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实践教学</w:t>
            </w:r>
          </w:p>
        </w:tc>
        <w:tc>
          <w:tcPr>
            <w:tcW w:w="578" w:type="pct"/>
            <w:vAlign w:val="center"/>
          </w:tcPr>
          <w:p w14:paraId="71F16F55">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6" w:type="pct"/>
            <w:vAlign w:val="center"/>
          </w:tcPr>
          <w:p w14:paraId="08354A37">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≥20学时</w:t>
            </w:r>
          </w:p>
        </w:tc>
        <w:tc>
          <w:tcPr>
            <w:tcW w:w="549" w:type="pct"/>
            <w:vAlign w:val="center"/>
          </w:tcPr>
          <w:p w14:paraId="4684E315">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74" w:type="pct"/>
            <w:vAlign w:val="center"/>
          </w:tcPr>
          <w:p w14:paraId="6AB22C80">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≥20学时</w:t>
            </w:r>
          </w:p>
        </w:tc>
        <w:tc>
          <w:tcPr>
            <w:tcW w:w="511" w:type="pct"/>
            <w:vMerge w:val="continue"/>
            <w:vAlign w:val="center"/>
          </w:tcPr>
          <w:p w14:paraId="0B0C3461">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2AD1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29" w:type="pct"/>
            <w:vMerge w:val="continue"/>
            <w:vAlign w:val="center"/>
          </w:tcPr>
          <w:p w14:paraId="4E0FCBE9">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24E5A0E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5" w:type="pct"/>
            <w:vMerge w:val="continue"/>
            <w:vAlign w:val="center"/>
          </w:tcPr>
          <w:p w14:paraId="6AF4FA59">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786" w:type="pct"/>
            <w:vAlign w:val="center"/>
          </w:tcPr>
          <w:p w14:paraId="22BA2BC3">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交流观摩</w:t>
            </w:r>
          </w:p>
        </w:tc>
        <w:tc>
          <w:tcPr>
            <w:tcW w:w="578" w:type="pct"/>
            <w:vAlign w:val="center"/>
          </w:tcPr>
          <w:p w14:paraId="6571833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6" w:type="pct"/>
            <w:vAlign w:val="center"/>
          </w:tcPr>
          <w:p w14:paraId="13E90580">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49" w:type="pct"/>
            <w:vAlign w:val="center"/>
          </w:tcPr>
          <w:p w14:paraId="16646CA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74" w:type="pct"/>
            <w:vAlign w:val="center"/>
          </w:tcPr>
          <w:p w14:paraId="12079021">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11" w:type="pct"/>
            <w:vMerge w:val="continue"/>
            <w:vAlign w:val="center"/>
          </w:tcPr>
          <w:p w14:paraId="127CDD72">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10F3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29" w:type="pct"/>
            <w:vMerge w:val="continue"/>
            <w:vAlign w:val="center"/>
          </w:tcPr>
          <w:p w14:paraId="59A4C163">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76357A63">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5" w:type="pct"/>
            <w:vMerge w:val="continue"/>
            <w:vAlign w:val="center"/>
          </w:tcPr>
          <w:p w14:paraId="0E5C96B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786" w:type="pct"/>
            <w:shd w:val="clear" w:color="auto" w:fill="auto"/>
            <w:vAlign w:val="center"/>
          </w:tcPr>
          <w:p w14:paraId="1B09EEF8">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线上教学</w:t>
            </w:r>
          </w:p>
        </w:tc>
        <w:tc>
          <w:tcPr>
            <w:tcW w:w="578" w:type="pct"/>
            <w:vAlign w:val="center"/>
          </w:tcPr>
          <w:p w14:paraId="6325E7E3">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≤2学时</w:t>
            </w:r>
          </w:p>
        </w:tc>
        <w:tc>
          <w:tcPr>
            <w:tcW w:w="586" w:type="pct"/>
            <w:vAlign w:val="center"/>
          </w:tcPr>
          <w:p w14:paraId="7F50BB8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49" w:type="pct"/>
            <w:vAlign w:val="center"/>
          </w:tcPr>
          <w:p w14:paraId="0CE9AB32">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74" w:type="pct"/>
            <w:vAlign w:val="center"/>
          </w:tcPr>
          <w:p w14:paraId="7C0C57B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≤6学时</w:t>
            </w:r>
          </w:p>
        </w:tc>
        <w:tc>
          <w:tcPr>
            <w:tcW w:w="511" w:type="pct"/>
            <w:vMerge w:val="continue"/>
            <w:vAlign w:val="center"/>
          </w:tcPr>
          <w:p w14:paraId="50ABD5BB">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20AD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29" w:type="pct"/>
            <w:vMerge w:val="continue"/>
            <w:vAlign w:val="center"/>
          </w:tcPr>
          <w:p w14:paraId="1CA475B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19" w:type="pct"/>
            <w:vMerge w:val="continue"/>
            <w:vAlign w:val="center"/>
          </w:tcPr>
          <w:p w14:paraId="3E4198C9">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465" w:type="pct"/>
            <w:vMerge w:val="continue"/>
            <w:vAlign w:val="center"/>
          </w:tcPr>
          <w:p w14:paraId="62D3707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786" w:type="pct"/>
            <w:shd w:val="clear" w:color="auto" w:fill="auto"/>
            <w:vAlign w:val="center"/>
          </w:tcPr>
          <w:p w14:paraId="2C8CDBB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合计</w:t>
            </w:r>
          </w:p>
        </w:tc>
        <w:tc>
          <w:tcPr>
            <w:tcW w:w="578" w:type="pct"/>
            <w:vAlign w:val="center"/>
          </w:tcPr>
          <w:p w14:paraId="19AAE5D9">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≥6学时</w:t>
            </w:r>
          </w:p>
        </w:tc>
        <w:tc>
          <w:tcPr>
            <w:tcW w:w="586" w:type="pct"/>
            <w:vAlign w:val="center"/>
          </w:tcPr>
          <w:p w14:paraId="5D0E423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≥38学时</w:t>
            </w:r>
          </w:p>
        </w:tc>
        <w:tc>
          <w:tcPr>
            <w:tcW w:w="549" w:type="pct"/>
            <w:vAlign w:val="center"/>
          </w:tcPr>
          <w:p w14:paraId="7E73ADD8">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≤10学时</w:t>
            </w:r>
          </w:p>
        </w:tc>
        <w:tc>
          <w:tcPr>
            <w:tcW w:w="574" w:type="pct"/>
            <w:vAlign w:val="center"/>
          </w:tcPr>
          <w:p w14:paraId="6A598E64">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≥54学时</w:t>
            </w:r>
          </w:p>
        </w:tc>
        <w:tc>
          <w:tcPr>
            <w:tcW w:w="511" w:type="pct"/>
            <w:vMerge w:val="continue"/>
            <w:vAlign w:val="center"/>
          </w:tcPr>
          <w:p w14:paraId="38CC189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bl>
    <w:p w14:paraId="65ABE984">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br w:type="page"/>
      </w:r>
    </w:p>
    <w:p w14:paraId="2DD322BE">
      <w:pPr>
        <w:adjustRightInd w:val="0"/>
        <w:snapToGrid w:val="0"/>
        <w:spacing w:line="360" w:lineRule="auto"/>
        <w:ind w:right="105" w:rightChars="50" w:firstLine="544" w:firstLineChars="227"/>
        <w:jc w:val="left"/>
        <w:rPr>
          <w:rFonts w:hint="eastAsia" w:ascii="仿宋_GB2312" w:hAnsi="仿宋" w:eastAsia="仿宋_GB2312" w:cs="仿宋_GB2312"/>
          <w:b/>
          <w:bCs/>
          <w:color w:val="auto"/>
          <w:sz w:val="24"/>
          <w:szCs w:val="21"/>
          <w:lang w:val="en-US" w:eastAsia="zh-CN"/>
        </w:rPr>
      </w:pPr>
      <w:r>
        <w:rPr>
          <w:rFonts w:hint="eastAsia" w:ascii="仿宋_GB2312" w:hAnsi="仿宋" w:eastAsia="仿宋_GB2312" w:cs="仿宋_GB2312"/>
          <w:b/>
          <w:bCs/>
          <w:color w:val="auto"/>
          <w:sz w:val="24"/>
          <w:szCs w:val="21"/>
          <w:lang w:val="en-US" w:eastAsia="zh-CN"/>
        </w:rPr>
        <w:t>004包：</w:t>
      </w:r>
    </w:p>
    <w:p w14:paraId="5A53EF3B">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1.培育专业农机手专题班高素质农民200名（共计4个班，每班50人）。按照《辽宁省高素质农民培训规范(试行)》要求，编制涵盖综合素养、专业能力和能力拓展三类培训课程内容，主要采用课堂、现场和线上三种教学形式开展培训。培训时间不少于72学时，培训机构应具有独立法人资格；具有教育培训职能或资质；拥有教学场所及教学设施设备，可容纳200人集中教学和食宿；具有完善的后勤组织管理保障体系及处理突发事件的应急预案和能力。承担实践教学环节的机构应当具有满足培育主题要求的场地、设施设备、实践师资等条件。具备组织赴现代农业园区、农业龙头企业、优秀新型经营主体等优质实训基地开展实训考察的能力和条件，拥有专职教学管理人员组成的专业培训团队和与培育主题相匹配的专职师资，能够主动接受省农业农村厅、省农业农村发展服务中心的组织、检查和指导，同时积极配合做好其他相关工作，能够保质保量按时完成集中授课、实训考察、线上学习、线上评价、典型提炼、宣传报道、绩效自评、档案整理及工作总结等培育任务，实现培训班次和学员信息100%上网、线上评价覆盖率100%、学员满意度90%及以上，培育全程可追溯。培训机构应具备规范使用培育补助资金能力。2025年11月30日前完成培训任务，训后跟踪服务一年。</w:t>
      </w:r>
    </w:p>
    <w:p w14:paraId="71884B85">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2.培训机构应具备规范使用培育补助资金能力。设立培育资金专账，专款专用，主要用于培育任务中的讲课费，包括聘请授课教师和技术指导员的课时费；补助费，包括培训班班主任或辅导员补助费；食宿费，包括参训学员、授课教师等食宿费；交通费，包括教师、学员的往返交通费，异地实训考察交通费、租车费；教学费用，包括教材、耗材、场地、学习用品、实习用品、线上培训服务费，参观场地补偿费等，不得挤占挪用、骗取套取。资金预算科目完整、内容规范、标准准确，全部用于与高素质农民培育有关的工作。</w:t>
      </w:r>
    </w:p>
    <w:p w14:paraId="663BD9CF">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651ACE5D">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0888853D">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6C5ED4C9">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7928E1A7">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6C128BA2">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p>
    <w:p w14:paraId="579DF404">
      <w:pPr>
        <w:adjustRightInd w:val="0"/>
        <w:snapToGrid w:val="0"/>
        <w:spacing w:line="360" w:lineRule="auto"/>
        <w:ind w:right="105" w:rightChars="50" w:firstLine="544" w:firstLineChars="227"/>
        <w:jc w:val="left"/>
        <w:rPr>
          <w:rFonts w:hint="eastAsia" w:ascii="仿宋_GB2312" w:hAnsi="仿宋" w:eastAsia="仿宋_GB2312" w:cs="仿宋_GB2312"/>
          <w:color w:val="auto"/>
          <w:sz w:val="24"/>
          <w:szCs w:val="21"/>
          <w:lang w:val="en-US" w:eastAsia="zh-CN"/>
        </w:rPr>
      </w:pPr>
      <w:r>
        <w:rPr>
          <w:rFonts w:hint="eastAsia" w:ascii="仿宋_GB2312" w:hAnsi="仿宋" w:eastAsia="仿宋_GB2312" w:cs="仿宋_GB2312"/>
          <w:color w:val="auto"/>
          <w:sz w:val="24"/>
          <w:szCs w:val="21"/>
          <w:lang w:val="en-US" w:eastAsia="zh-CN"/>
        </w:rPr>
        <w:t>培训模块要求</w:t>
      </w:r>
    </w:p>
    <w:tbl>
      <w:tblPr>
        <w:tblStyle w:val="25"/>
        <w:tblpPr w:leftFromText="180" w:rightFromText="180" w:vertAnchor="text" w:horzAnchor="page" w:tblpX="801" w:tblpY="488"/>
        <w:tblOverlap w:val="never"/>
        <w:tblW w:w="58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741"/>
        <w:gridCol w:w="1227"/>
        <w:gridCol w:w="1272"/>
        <w:gridCol w:w="1257"/>
        <w:gridCol w:w="1234"/>
        <w:gridCol w:w="1248"/>
        <w:gridCol w:w="1242"/>
        <w:gridCol w:w="1174"/>
      </w:tblGrid>
      <w:tr w14:paraId="784BC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8" w:type="pct"/>
            <w:vMerge w:val="restart"/>
            <w:vAlign w:val="center"/>
          </w:tcPr>
          <w:p w14:paraId="07D74C0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培育任务</w:t>
            </w:r>
          </w:p>
        </w:tc>
        <w:tc>
          <w:tcPr>
            <w:tcW w:w="350" w:type="pct"/>
            <w:vMerge w:val="restart"/>
            <w:vAlign w:val="center"/>
          </w:tcPr>
          <w:p w14:paraId="5DFDFEE8">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培育层级</w:t>
            </w:r>
          </w:p>
        </w:tc>
        <w:tc>
          <w:tcPr>
            <w:tcW w:w="580" w:type="pct"/>
            <w:vMerge w:val="restart"/>
            <w:vAlign w:val="center"/>
          </w:tcPr>
          <w:p w14:paraId="3E297886">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总学时</w:t>
            </w:r>
          </w:p>
        </w:tc>
        <w:tc>
          <w:tcPr>
            <w:tcW w:w="601" w:type="pct"/>
            <w:vMerge w:val="restart"/>
            <w:vAlign w:val="center"/>
          </w:tcPr>
          <w:p w14:paraId="6027199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培训形式</w:t>
            </w:r>
          </w:p>
        </w:tc>
        <w:tc>
          <w:tcPr>
            <w:tcW w:w="2354" w:type="pct"/>
            <w:gridSpan w:val="4"/>
            <w:vAlign w:val="center"/>
          </w:tcPr>
          <w:p w14:paraId="5FD5CF0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课程体系及学时分配</w:t>
            </w:r>
          </w:p>
        </w:tc>
        <w:tc>
          <w:tcPr>
            <w:tcW w:w="555" w:type="pct"/>
            <w:vAlign w:val="center"/>
          </w:tcPr>
          <w:p w14:paraId="784C3878">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天数</w:t>
            </w:r>
          </w:p>
        </w:tc>
      </w:tr>
      <w:tr w14:paraId="48F9C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8" w:type="pct"/>
            <w:vMerge w:val="continue"/>
            <w:vAlign w:val="center"/>
          </w:tcPr>
          <w:p w14:paraId="76D05100">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350" w:type="pct"/>
            <w:vMerge w:val="continue"/>
            <w:vAlign w:val="center"/>
          </w:tcPr>
          <w:p w14:paraId="6B355DE4">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0" w:type="pct"/>
            <w:vMerge w:val="continue"/>
            <w:vAlign w:val="center"/>
          </w:tcPr>
          <w:p w14:paraId="56BCF131">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601" w:type="pct"/>
            <w:vMerge w:val="continue"/>
            <w:vAlign w:val="center"/>
          </w:tcPr>
          <w:p w14:paraId="6A9AD52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94" w:type="pct"/>
            <w:vAlign w:val="center"/>
          </w:tcPr>
          <w:p w14:paraId="27999421">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综合素养</w:t>
            </w:r>
          </w:p>
        </w:tc>
        <w:tc>
          <w:tcPr>
            <w:tcW w:w="583" w:type="pct"/>
            <w:vAlign w:val="center"/>
          </w:tcPr>
          <w:p w14:paraId="57DEA323">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专业技能</w:t>
            </w:r>
          </w:p>
        </w:tc>
        <w:tc>
          <w:tcPr>
            <w:tcW w:w="590" w:type="pct"/>
            <w:vAlign w:val="center"/>
          </w:tcPr>
          <w:p w14:paraId="76DBB9B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能力拓展</w:t>
            </w:r>
          </w:p>
        </w:tc>
        <w:tc>
          <w:tcPr>
            <w:tcW w:w="586" w:type="pct"/>
            <w:vAlign w:val="center"/>
          </w:tcPr>
          <w:p w14:paraId="0F620FB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合计</w:t>
            </w:r>
          </w:p>
        </w:tc>
        <w:tc>
          <w:tcPr>
            <w:tcW w:w="555" w:type="pct"/>
            <w:vMerge w:val="restart"/>
            <w:vAlign w:val="center"/>
          </w:tcPr>
          <w:p w14:paraId="62BF9918">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≥8天（不含报到和返程）</w:t>
            </w:r>
          </w:p>
        </w:tc>
      </w:tr>
      <w:tr w14:paraId="279CD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558" w:type="pct"/>
            <w:vMerge w:val="restart"/>
            <w:vAlign w:val="center"/>
          </w:tcPr>
          <w:p w14:paraId="0162126C">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常设任务+专题任务</w:t>
            </w:r>
          </w:p>
        </w:tc>
        <w:tc>
          <w:tcPr>
            <w:tcW w:w="350" w:type="pct"/>
            <w:vMerge w:val="restart"/>
            <w:vAlign w:val="center"/>
          </w:tcPr>
          <w:p w14:paraId="7338B894">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县级</w:t>
            </w:r>
          </w:p>
        </w:tc>
        <w:tc>
          <w:tcPr>
            <w:tcW w:w="580" w:type="pct"/>
            <w:vMerge w:val="restart"/>
            <w:vAlign w:val="center"/>
          </w:tcPr>
          <w:p w14:paraId="69A4A3A4">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≥72学时</w:t>
            </w:r>
          </w:p>
        </w:tc>
        <w:tc>
          <w:tcPr>
            <w:tcW w:w="601" w:type="pct"/>
            <w:vAlign w:val="center"/>
          </w:tcPr>
          <w:p w14:paraId="5947B2DA">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课堂教学</w:t>
            </w:r>
          </w:p>
          <w:p w14:paraId="4887F42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（线下）</w:t>
            </w:r>
          </w:p>
        </w:tc>
        <w:tc>
          <w:tcPr>
            <w:tcW w:w="594" w:type="pct"/>
            <w:vAlign w:val="center"/>
          </w:tcPr>
          <w:p w14:paraId="1956E797">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83" w:type="pct"/>
            <w:vAlign w:val="center"/>
          </w:tcPr>
          <w:p w14:paraId="740D565B">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≥16学时</w:t>
            </w:r>
          </w:p>
        </w:tc>
        <w:tc>
          <w:tcPr>
            <w:tcW w:w="590" w:type="pct"/>
            <w:vAlign w:val="center"/>
          </w:tcPr>
          <w:p w14:paraId="16FFC9B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86" w:type="pct"/>
            <w:vAlign w:val="center"/>
          </w:tcPr>
          <w:p w14:paraId="7FFAEE38">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≥24学时</w:t>
            </w:r>
          </w:p>
        </w:tc>
        <w:tc>
          <w:tcPr>
            <w:tcW w:w="555" w:type="pct"/>
            <w:vMerge w:val="continue"/>
            <w:vAlign w:val="center"/>
          </w:tcPr>
          <w:p w14:paraId="52F1ACF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5719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58" w:type="pct"/>
            <w:vMerge w:val="continue"/>
            <w:vAlign w:val="center"/>
          </w:tcPr>
          <w:p w14:paraId="2821C8B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350" w:type="pct"/>
            <w:vMerge w:val="continue"/>
            <w:vAlign w:val="center"/>
          </w:tcPr>
          <w:p w14:paraId="7789D21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0" w:type="pct"/>
            <w:vMerge w:val="continue"/>
            <w:vAlign w:val="center"/>
          </w:tcPr>
          <w:p w14:paraId="4D48AA5F">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601" w:type="pct"/>
            <w:shd w:val="clear" w:color="auto" w:fill="auto"/>
            <w:vAlign w:val="center"/>
          </w:tcPr>
          <w:p w14:paraId="201B51B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实践教学</w:t>
            </w:r>
          </w:p>
        </w:tc>
        <w:tc>
          <w:tcPr>
            <w:tcW w:w="594" w:type="pct"/>
            <w:vAlign w:val="center"/>
          </w:tcPr>
          <w:p w14:paraId="74D7ECAE">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3" w:type="pct"/>
            <w:vAlign w:val="center"/>
          </w:tcPr>
          <w:p w14:paraId="55B8D70F">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≥32学时</w:t>
            </w:r>
          </w:p>
        </w:tc>
        <w:tc>
          <w:tcPr>
            <w:tcW w:w="590" w:type="pct"/>
            <w:vAlign w:val="center"/>
          </w:tcPr>
          <w:p w14:paraId="7A8ADCE7">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6" w:type="pct"/>
            <w:vAlign w:val="center"/>
          </w:tcPr>
          <w:p w14:paraId="19A2A47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≥32学时</w:t>
            </w:r>
          </w:p>
        </w:tc>
        <w:tc>
          <w:tcPr>
            <w:tcW w:w="555" w:type="pct"/>
            <w:vMerge w:val="continue"/>
            <w:vAlign w:val="center"/>
          </w:tcPr>
          <w:p w14:paraId="013151A1">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44095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58" w:type="pct"/>
            <w:vMerge w:val="continue"/>
            <w:vAlign w:val="center"/>
          </w:tcPr>
          <w:p w14:paraId="34B1094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350" w:type="pct"/>
            <w:vMerge w:val="continue"/>
            <w:vAlign w:val="center"/>
          </w:tcPr>
          <w:p w14:paraId="6BDC38C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0" w:type="pct"/>
            <w:vMerge w:val="continue"/>
            <w:vAlign w:val="center"/>
          </w:tcPr>
          <w:p w14:paraId="6F8A3B7A">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601" w:type="pct"/>
            <w:vAlign w:val="center"/>
          </w:tcPr>
          <w:p w14:paraId="311B7D2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交流观摩</w:t>
            </w:r>
          </w:p>
        </w:tc>
        <w:tc>
          <w:tcPr>
            <w:tcW w:w="594" w:type="pct"/>
            <w:vAlign w:val="center"/>
          </w:tcPr>
          <w:p w14:paraId="2F0073D4">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3" w:type="pct"/>
            <w:vAlign w:val="center"/>
          </w:tcPr>
          <w:p w14:paraId="68081B64">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90" w:type="pct"/>
            <w:vAlign w:val="center"/>
          </w:tcPr>
          <w:p w14:paraId="74D157B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≤8学时</w:t>
            </w:r>
          </w:p>
        </w:tc>
        <w:tc>
          <w:tcPr>
            <w:tcW w:w="586" w:type="pct"/>
            <w:vAlign w:val="center"/>
          </w:tcPr>
          <w:p w14:paraId="561618B5">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≤8学时</w:t>
            </w:r>
          </w:p>
        </w:tc>
        <w:tc>
          <w:tcPr>
            <w:tcW w:w="555" w:type="pct"/>
            <w:vMerge w:val="continue"/>
            <w:vAlign w:val="center"/>
          </w:tcPr>
          <w:p w14:paraId="485DC78C">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566F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58" w:type="pct"/>
            <w:vMerge w:val="continue"/>
            <w:vAlign w:val="center"/>
          </w:tcPr>
          <w:p w14:paraId="4A07A7A8">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350" w:type="pct"/>
            <w:vMerge w:val="continue"/>
            <w:vAlign w:val="center"/>
          </w:tcPr>
          <w:p w14:paraId="2D9A0D29">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0" w:type="pct"/>
            <w:vMerge w:val="continue"/>
            <w:vAlign w:val="center"/>
          </w:tcPr>
          <w:p w14:paraId="200ACBCB">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601" w:type="pct"/>
            <w:shd w:val="clear" w:color="auto" w:fill="auto"/>
            <w:vAlign w:val="center"/>
          </w:tcPr>
          <w:p w14:paraId="0BB271BA">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线上教学</w:t>
            </w:r>
          </w:p>
        </w:tc>
        <w:tc>
          <w:tcPr>
            <w:tcW w:w="594" w:type="pct"/>
            <w:vAlign w:val="center"/>
          </w:tcPr>
          <w:p w14:paraId="587EE44D">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83" w:type="pct"/>
            <w:vAlign w:val="center"/>
          </w:tcPr>
          <w:p w14:paraId="45A90940">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≤4学时</w:t>
            </w:r>
          </w:p>
        </w:tc>
        <w:tc>
          <w:tcPr>
            <w:tcW w:w="590" w:type="pct"/>
            <w:vAlign w:val="center"/>
          </w:tcPr>
          <w:p w14:paraId="7A0589E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6" w:type="pct"/>
            <w:vAlign w:val="center"/>
          </w:tcPr>
          <w:p w14:paraId="6FA0A0A6">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≤8学时</w:t>
            </w:r>
          </w:p>
        </w:tc>
        <w:tc>
          <w:tcPr>
            <w:tcW w:w="555" w:type="pct"/>
            <w:vMerge w:val="continue"/>
            <w:vAlign w:val="center"/>
          </w:tcPr>
          <w:p w14:paraId="1F7A18E3">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r w14:paraId="6778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58" w:type="pct"/>
            <w:vMerge w:val="continue"/>
            <w:vAlign w:val="center"/>
          </w:tcPr>
          <w:p w14:paraId="782AF691">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350" w:type="pct"/>
            <w:vMerge w:val="continue"/>
            <w:vAlign w:val="center"/>
          </w:tcPr>
          <w:p w14:paraId="49497513">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580" w:type="pct"/>
            <w:vMerge w:val="continue"/>
            <w:vAlign w:val="center"/>
          </w:tcPr>
          <w:p w14:paraId="7850A11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c>
          <w:tcPr>
            <w:tcW w:w="601" w:type="pct"/>
            <w:shd w:val="clear" w:color="auto" w:fill="auto"/>
            <w:vAlign w:val="center"/>
          </w:tcPr>
          <w:p w14:paraId="1A6250D6">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合计</w:t>
            </w:r>
          </w:p>
        </w:tc>
        <w:tc>
          <w:tcPr>
            <w:tcW w:w="594" w:type="pct"/>
            <w:vAlign w:val="center"/>
          </w:tcPr>
          <w:p w14:paraId="4F095EE6">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≥8学时</w:t>
            </w:r>
          </w:p>
        </w:tc>
        <w:tc>
          <w:tcPr>
            <w:tcW w:w="583" w:type="pct"/>
            <w:vAlign w:val="center"/>
          </w:tcPr>
          <w:p w14:paraId="64C240BE">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≥52学时</w:t>
            </w:r>
          </w:p>
        </w:tc>
        <w:tc>
          <w:tcPr>
            <w:tcW w:w="590" w:type="pct"/>
            <w:vAlign w:val="center"/>
          </w:tcPr>
          <w:p w14:paraId="03778F20">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≤12学时</w:t>
            </w:r>
          </w:p>
        </w:tc>
        <w:tc>
          <w:tcPr>
            <w:tcW w:w="586" w:type="pct"/>
            <w:vAlign w:val="center"/>
          </w:tcPr>
          <w:p w14:paraId="253BBF29">
            <w:pPr>
              <w:adjustRightInd w:val="0"/>
              <w:snapToGrid w:val="0"/>
              <w:spacing w:line="360" w:lineRule="auto"/>
              <w:ind w:right="105" w:rightChars="50"/>
              <w:jc w:val="left"/>
              <w:rPr>
                <w:rFonts w:hint="eastAsia" w:ascii="仿宋_GB2312" w:hAnsi="仿宋" w:eastAsia="仿宋_GB2312" w:cs="仿宋_GB2312"/>
                <w:color w:val="auto"/>
                <w:sz w:val="20"/>
                <w:szCs w:val="16"/>
                <w:lang w:val="en-US" w:eastAsia="zh-CN"/>
              </w:rPr>
            </w:pPr>
            <w:r>
              <w:rPr>
                <w:rFonts w:hint="eastAsia" w:ascii="仿宋_GB2312" w:hAnsi="仿宋" w:eastAsia="仿宋_GB2312" w:cs="仿宋_GB2312"/>
                <w:color w:val="auto"/>
                <w:sz w:val="20"/>
                <w:szCs w:val="16"/>
                <w:lang w:val="en-US" w:eastAsia="zh-CN"/>
              </w:rPr>
              <w:t>≥72学时</w:t>
            </w:r>
          </w:p>
        </w:tc>
        <w:tc>
          <w:tcPr>
            <w:tcW w:w="555" w:type="pct"/>
            <w:vMerge w:val="continue"/>
            <w:vAlign w:val="center"/>
          </w:tcPr>
          <w:p w14:paraId="012FDB4D">
            <w:pPr>
              <w:adjustRightInd w:val="0"/>
              <w:snapToGrid w:val="0"/>
              <w:spacing w:line="360" w:lineRule="auto"/>
              <w:ind w:right="105" w:rightChars="50" w:firstLine="454" w:firstLineChars="227"/>
              <w:jc w:val="left"/>
              <w:rPr>
                <w:rFonts w:hint="eastAsia" w:ascii="仿宋_GB2312" w:hAnsi="仿宋" w:eastAsia="仿宋_GB2312" w:cs="仿宋_GB2312"/>
                <w:color w:val="auto"/>
                <w:sz w:val="20"/>
                <w:szCs w:val="16"/>
                <w:lang w:val="en-US" w:eastAsia="zh-CN"/>
              </w:rPr>
            </w:pPr>
          </w:p>
        </w:tc>
      </w:tr>
    </w:tbl>
    <w:p w14:paraId="75310AD0">
      <w:pPr>
        <w:rPr>
          <w:rFonts w:hint="eastAsia" w:ascii="仿宋_GB2312" w:hAnsi="仿宋" w:eastAsia="仿宋_GB2312" w:cs="仿宋_GB2312"/>
          <w:b/>
          <w:bCs w:val="0"/>
          <w:color w:val="auto"/>
          <w:kern w:val="0"/>
          <w:sz w:val="24"/>
          <w:lang w:val="en-US" w:eastAsia="zh-CN"/>
        </w:rPr>
      </w:pPr>
    </w:p>
    <w:p w14:paraId="74F5B123">
      <w:pPr>
        <w:rPr>
          <w:rFonts w:hint="eastAsia" w:ascii="方正小标宋简体" w:hAnsi="仿宋" w:eastAsia="方正小标宋简体" w:cs="仿宋_GB2312"/>
          <w:b w:val="0"/>
          <w:bCs/>
          <w:color w:val="auto"/>
        </w:rPr>
      </w:pPr>
      <w:r>
        <w:rPr>
          <w:rFonts w:hint="eastAsia" w:ascii="方正小标宋简体" w:hAnsi="仿宋" w:eastAsia="方正小标宋简体" w:cs="仿宋_GB2312"/>
          <w:b w:val="0"/>
          <w:bCs/>
          <w:color w:val="auto"/>
        </w:rPr>
        <w:br w:type="page"/>
      </w:r>
    </w:p>
    <w:p w14:paraId="62C81528">
      <w:pPr>
        <w:bidi w:val="0"/>
        <w:rPr>
          <w:rFonts w:hint="eastAsia"/>
          <w:b/>
          <w:bCs/>
          <w:sz w:val="28"/>
          <w:szCs w:val="36"/>
          <w:lang w:val="en-US" w:eastAsia="zh-CN"/>
        </w:rPr>
      </w:pPr>
      <w:r>
        <w:rPr>
          <w:rFonts w:hint="eastAsia"/>
          <w:b/>
          <w:bCs/>
          <w:sz w:val="28"/>
          <w:szCs w:val="36"/>
          <w:lang w:val="en-US" w:eastAsia="zh-CN"/>
        </w:rPr>
        <w:t>备注：</w:t>
      </w:r>
    </w:p>
    <w:p w14:paraId="7AA94DA7">
      <w:pPr>
        <w:bidi w:val="0"/>
        <w:rPr>
          <w:rFonts w:hint="default"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 xml:space="preserve">   </w:t>
      </w:r>
      <w:r>
        <w:rPr>
          <w:rFonts w:hint="eastAsia" w:ascii="仿宋_GB2312" w:hAnsi="仿宋" w:eastAsia="仿宋_GB2312" w:cs="仿宋_GB2312"/>
          <w:b w:val="0"/>
          <w:color w:val="auto"/>
          <w:kern w:val="2"/>
          <w:sz w:val="30"/>
          <w:szCs w:val="30"/>
          <w:lang w:val="en-US" w:eastAsia="zh-CN" w:bidi="ar-SA"/>
        </w:rPr>
        <w:t>根据农社综函[2025〕15 号文件，关于《高素质农民培育项目管理工作规程(试行)》和(高素质农民培育规范(修订)》的通知，通过招投标形式遴选培育机构的，应将《高素质农民培育规范》有关培育机构条件的内容纳入招标条件。具体如下：</w:t>
      </w:r>
    </w:p>
    <w:p w14:paraId="512C913B">
      <w:pPr>
        <w:ind w:firstLine="1920" w:firstLineChars="600"/>
        <w:rPr>
          <w:rFonts w:hint="eastAsia" w:ascii="方正小标宋简体" w:hAnsi="仿宋" w:eastAsia="方正小标宋简体" w:cs="仿宋_GB2312"/>
          <w:b w:val="0"/>
          <w:bCs/>
          <w:color w:val="auto"/>
          <w:sz w:val="32"/>
          <w:szCs w:val="40"/>
        </w:rPr>
      </w:pPr>
      <w:r>
        <w:rPr>
          <w:rFonts w:hint="eastAsia" w:ascii="方正小标宋简体" w:hAnsi="仿宋" w:eastAsia="方正小标宋简体" w:cs="仿宋_GB2312"/>
          <w:b w:val="0"/>
          <w:bCs/>
          <w:color w:val="auto"/>
          <w:sz w:val="32"/>
          <w:szCs w:val="40"/>
        </w:rPr>
        <w:t>高素质农民培育规范(修订)</w:t>
      </w:r>
    </w:p>
    <w:p w14:paraId="76B23E85">
      <w:pPr>
        <w:spacing w:line="360" w:lineRule="auto"/>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一、适用范围</w:t>
      </w:r>
    </w:p>
    <w:p w14:paraId="5464F1E5">
      <w:pPr>
        <w:spacing w:line="360" w:lineRule="auto"/>
        <w:ind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承担高素质农民培育任务的机构应遵循本规范执行高素质农民培育任务。</w:t>
      </w:r>
    </w:p>
    <w:p w14:paraId="1C7C252C">
      <w:pPr>
        <w:pStyle w:val="2"/>
        <w:spacing w:line="360" w:lineRule="auto"/>
        <w:ind w:left="0" w:leftChars="0" w:firstLine="0" w:firstLine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二、培育对象</w:t>
      </w:r>
    </w:p>
    <w:p w14:paraId="15268346">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培育对象应正在从事或有意愿从事农业农村领域生产、经营、服务的农民和返乡人员,主要培育新型农业经营主体带头人和乡村振兴骨于人员。</w:t>
      </w:r>
    </w:p>
    <w:p w14:paraId="69975D51">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本年度参加培育的农民,确因人才培养需要的，可在次年参加不同主题或同一主题更高层级的培育。</w:t>
      </w:r>
    </w:p>
    <w:p w14:paraId="798602AF">
      <w:pPr>
        <w:pStyle w:val="2"/>
        <w:spacing w:line="360" w:lineRule="auto"/>
        <w:ind w:left="0" w:leftChars="0" w:firstLine="0" w:firstLine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三、培育机构</w:t>
      </w:r>
    </w:p>
    <w:p w14:paraId="4C9A07CF">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申请承担培育任务的机构应当符合以下条件:</w:t>
      </w:r>
    </w:p>
    <w:p w14:paraId="2CFB2EF4">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(一)成立3年以上,具有独立法人资格;</w:t>
      </w:r>
    </w:p>
    <w:p w14:paraId="11EF8975">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(二)具有教育、培训相关职能,资质或主营业务范围:</w:t>
      </w:r>
    </w:p>
    <w:p w14:paraId="55C1C3B1">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(三)能提供满足培育需要的教学场所及教学设施设备:</w:t>
      </w:r>
    </w:p>
    <w:p w14:paraId="294247E6">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(四)具备专职教学管理人员和与培育主题相匹配的专兼职师资。</w:t>
      </w:r>
    </w:p>
    <w:p w14:paraId="0CF33691">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承担实践教学环节的机构应当具有满足培育主题要求的场地、设施设备、实践师资等条件。</w:t>
      </w:r>
    </w:p>
    <w:p w14:paraId="240C3B51">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负责建立培训班管理制度、制定开班计划、遴选培育对象、设置培训课程、委派或聘请授课师资、优选培育教材、落实培育任务、建立培育档案、开展跟踪服务,指定专人负贵培训班组织实施,接受质量监管和核验评价。培育机构将课堂教学、实践教学和跟踪服务的部分环节委托给其他机构实施的，应与该机构签订合作协议,明确委托内容、质量要求、完成期限等,并对培育效果负责。</w:t>
      </w:r>
    </w:p>
    <w:p w14:paraId="7B7CA6B8">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鼓励培训班建立临时党组织,强化党建引领。</w:t>
      </w:r>
    </w:p>
    <w:p w14:paraId="55019664">
      <w:pPr>
        <w:pStyle w:val="2"/>
        <w:spacing w:line="360" w:lineRule="auto"/>
        <w:ind w:left="0" w:leftChars="0" w:firstLine="0" w:firstLine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四、开班计划</w:t>
      </w:r>
    </w:p>
    <w:p w14:paraId="2691EF96">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开班计划应包括培育主题、课程、学时、培育对象、培育形式师资、教材、经费支出计划和预期效果等培育全过程内容,明确班级管理相关要求,经下达培育任务的农业农村部门审核后，由培育机构公开发布。</w:t>
      </w:r>
    </w:p>
    <w:p w14:paraId="0587977D">
      <w:pPr>
        <w:pStyle w:val="2"/>
        <w:spacing w:line="360" w:lineRule="auto"/>
        <w:ind w:left="0"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应严格按照开班计划实施培育。确有必要调整开班计划的,需经原审核部门同意。原则上每个培训班人数不超过70人,以实践教学为主的,每班不超过50人。由于交通不便、培育条件不足或培育内容专一性导致培育人数较少的，每班应不少于30 人。</w:t>
      </w:r>
    </w:p>
    <w:p w14:paraId="53094550">
      <w:pPr>
        <w:pStyle w:val="2"/>
        <w:numPr>
          <w:ilvl w:val="0"/>
          <w:numId w:val="5"/>
        </w:numPr>
        <w:spacing w:line="360" w:lineRule="auto"/>
        <w:ind w:left="0" w:leftChars="0" w:firstLine="0" w:firstLine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课程要求</w:t>
      </w:r>
    </w:p>
    <w:p w14:paraId="3C0A71A9">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建立模块化课程体系,分为综合素养课、专业技能课、能力拓展课三类。培育机构综合考虑农时农事特点和人才培养规律,合理设计三类课程,选择集中或分时段开展。</w:t>
      </w:r>
    </w:p>
    <w:p w14:paraId="0425C2BD">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根据培育主题实际需要确定培训班总学时,每个培训班原则上不少于40个学时(不包含报到、返程时间)。1学时为45分钟每天不超过8个学时。</w:t>
      </w:r>
    </w:p>
    <w:p w14:paraId="3D3BA0C7">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综合素养课包括思想政治、政策法规、职业素养和文化素养类等课程,包含“开班第一课”。“开班第一课”应包括当年中央一号文件和农业农村部相关部署要求等内容。专业技能课应根据培育对象实际需求,紧紧围绕培育主题开设。能力拓展课由培育机构根据培育对象和培育目标自选开展、自行设计。</w:t>
      </w:r>
    </w:p>
    <w:p w14:paraId="7F54B7C2">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原则上,综合素养课学时不低于总学时数的10%。专业技能课学时数应不低于总学时数的70%,其中,采取实践教学的比例不低于专业技能课学时数的50%。能力拓展课学时数应不高于总学时数的20%。全部专业技能课程结束后应进行课程考核。</w:t>
      </w:r>
    </w:p>
    <w:p w14:paraId="05E3C2AF">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配合重大农业灾害、动物疫病应急处置等开展的应急性培训:学时要求可不受此限制。</w:t>
      </w:r>
    </w:p>
    <w:p w14:paraId="449C1EF3">
      <w:pPr>
        <w:pStyle w:val="2"/>
        <w:numPr>
          <w:ilvl w:val="0"/>
          <w:numId w:val="5"/>
        </w:numPr>
        <w:spacing w:line="360" w:lineRule="auto"/>
        <w:ind w:left="0" w:leftChars="0" w:firstLine="0" w:firstLine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培育形式</w:t>
      </w:r>
    </w:p>
    <w:p w14:paraId="32F24995">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培育课程主要通过课堂教学(包含线上线下)实践教学、观摩交流等形式进行。鼓励培育机构创新教学方法,改进培育形式提高教学效果。</w:t>
      </w:r>
    </w:p>
    <w:p w14:paraId="62097B9F">
      <w:pPr>
        <w:pStyle w:val="2"/>
        <w:numPr>
          <w:ilvl w:val="0"/>
          <w:numId w:val="0"/>
        </w:numPr>
        <w:spacing w:line="360" w:lineRule="auto"/>
        <w:ind w:leftChars="0" w:firstLine="240" w:firstLineChars="1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课堂教学包括线上线下集中授课。鼓励采取案例教学、参与式教学、互动式教学等形式。线上学习可采取网络直播或课件学习的方式。线上学习平台应具备完善的在线学习、直播授课、课程考核及相关统计、监测和评价功能。其中,线上学习学时数不超过总学时数的15%。</w:t>
      </w:r>
    </w:p>
    <w:p w14:paraId="78991190">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实践教学应在与课程内容直接相关的实习实训场所或生产经营一线开展,包括场地实训、顶岗实习、跟岗见习、模拟教学、实践孵化等形式。</w:t>
      </w:r>
    </w:p>
    <w:p w14:paraId="57A34649">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交流观摩应选取与培育主题相符的地点或主体开展。</w:t>
      </w:r>
    </w:p>
    <w:p w14:paraId="54BBB635">
      <w:pPr>
        <w:pStyle w:val="2"/>
        <w:numPr>
          <w:ilvl w:val="0"/>
          <w:numId w:val="0"/>
        </w:numPr>
        <w:spacing w:line="360" w:lineRule="auto"/>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七、培育师资</w:t>
      </w:r>
    </w:p>
    <w:p w14:paraId="5A398BF6">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培育师资应具备相应课程的专业条件，授课符合课程主题需求,授课方式易于农民接受,教案内容通俗实用。</w:t>
      </w:r>
    </w:p>
    <w:p w14:paraId="7363BB5C">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综合素养课程师资原则上应来自政府及所属事业单位、大中专院校、科研院所等公益性机构。鼓励聘请农业企业、新型农业经营主体管理人员等“土专家”以及实操经验丰富的专业人员、技术能手讲授实践课程。“开班第一课”应由各级农业农村部门委派与培训班主题相符的主管单位人员讲授。跟踪服务应配备专门师资。</w:t>
      </w:r>
    </w:p>
    <w:p w14:paraId="4CB77DF6">
      <w:pPr>
        <w:pStyle w:val="2"/>
        <w:numPr>
          <w:ilvl w:val="0"/>
          <w:numId w:val="0"/>
        </w:numPr>
        <w:spacing w:line="360" w:lineRule="auto"/>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八、培育教材</w:t>
      </w:r>
    </w:p>
    <w:p w14:paraId="027A23FC">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培育教材包括正式出版物和各级农业农村部门组织编制的培育手册。培育机构应严把教材质量关，经主管部门审核，选用规范、先进、实用的培育教材。</w:t>
      </w:r>
    </w:p>
    <w:p w14:paraId="2A3B17B2">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优先选用农业农村部、教育部规划教材和各级农业农村部门推荐教材。鼓励文字教材和视频教材配合使用。</w:t>
      </w:r>
    </w:p>
    <w:p w14:paraId="7F20DD30">
      <w:pPr>
        <w:pStyle w:val="2"/>
        <w:numPr>
          <w:ilvl w:val="0"/>
          <w:numId w:val="0"/>
        </w:numPr>
        <w:spacing w:line="360" w:lineRule="auto"/>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九、资金使用</w:t>
      </w:r>
    </w:p>
    <w:p w14:paraId="2DB5CF5D">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应当按照相关规定和合同、协议约定的用途使用培育资金。可使用培育资金支付培育全过程环节所需费用，按照“谁使用谁负贵”的原则,规范资金使用。不得擅自改变资金用途或擅自转拨资金,不得给培育对象发放补助。</w:t>
      </w:r>
    </w:p>
    <w:p w14:paraId="16929629">
      <w:pPr>
        <w:pStyle w:val="2"/>
        <w:numPr>
          <w:ilvl w:val="0"/>
          <w:numId w:val="0"/>
        </w:numPr>
        <w:spacing w:line="360" w:lineRule="auto"/>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十、培育对象管理</w:t>
      </w:r>
    </w:p>
    <w:p w14:paraId="42568BC6">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培育机构应加强培育对象管理,要求培育对象在集中培育期间,严格遵守班级管理制度,严禁酗酒、滋事或从事可能影响学习培训的娱乐活动。</w:t>
      </w:r>
    </w:p>
    <w:p w14:paraId="2D51914A">
      <w:pPr>
        <w:pStyle w:val="2"/>
        <w:numPr>
          <w:ilvl w:val="0"/>
          <w:numId w:val="0"/>
        </w:numPr>
        <w:spacing w:line="360" w:lineRule="auto"/>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十一、结业证书</w:t>
      </w:r>
    </w:p>
    <w:p w14:paraId="4531145A">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培育机构根据课程考核和考勤情况，综合评价学员学习成果，对完成学习任务的培育对象颁发结业证书。</w:t>
      </w:r>
    </w:p>
    <w:p w14:paraId="69205240">
      <w:pPr>
        <w:pStyle w:val="2"/>
        <w:numPr>
          <w:ilvl w:val="0"/>
          <w:numId w:val="0"/>
        </w:numPr>
        <w:spacing w:line="360" w:lineRule="auto"/>
        <w:ind w:left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十二、跟踪服务</w:t>
      </w:r>
    </w:p>
    <w:p w14:paraId="3E82352F">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应在课堂教学、实践教学和交流观摩全部完成后对学员开展跟踪服务,时长不超过1年,次数不少于2次。跟踪服务人数不少于培训班总人数的30%。跟踪服务形式可包括技术指导、政策推介、发展帮扶、组织交流互助、组织参加与培育主题相关的展会和技能竞赛等。</w:t>
      </w:r>
    </w:p>
    <w:p w14:paraId="5CD1B3E6">
      <w:pPr>
        <w:pStyle w:val="2"/>
        <w:numPr>
          <w:ilvl w:val="0"/>
          <w:numId w:val="0"/>
        </w:numPr>
        <w:spacing w:line="360" w:lineRule="auto"/>
        <w:ind w:leftChars="0"/>
        <w:rPr>
          <w:rFonts w:hint="eastAsia" w:ascii="仿宋_GB2312" w:hAnsi="仿宋" w:eastAsia="仿宋_GB2312" w:cs="仿宋_GB2312"/>
          <w:b/>
          <w:bCs/>
          <w:color w:val="auto"/>
          <w:kern w:val="2"/>
          <w:sz w:val="24"/>
          <w:szCs w:val="21"/>
          <w:lang w:val="en-US" w:eastAsia="zh-CN" w:bidi="ar-SA"/>
        </w:rPr>
      </w:pPr>
      <w:r>
        <w:rPr>
          <w:rFonts w:hint="eastAsia" w:ascii="仿宋_GB2312" w:hAnsi="仿宋" w:eastAsia="仿宋_GB2312" w:cs="仿宋_GB2312"/>
          <w:b/>
          <w:bCs/>
          <w:color w:val="auto"/>
          <w:kern w:val="2"/>
          <w:sz w:val="24"/>
          <w:szCs w:val="21"/>
          <w:lang w:val="en-US" w:eastAsia="zh-CN" w:bidi="ar-SA"/>
        </w:rPr>
        <w:t>十三、信息档案</w:t>
      </w:r>
    </w:p>
    <w:p w14:paraId="1E37A420">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培育机构应将开班计划、培育对象信息、课程、师资、跟踪服务情况全部录入农民教育培训信息管理系统,及时更新相关培育、课程考核和结业证书颁发情况。</w:t>
      </w:r>
    </w:p>
    <w:p w14:paraId="46446827">
      <w:pPr>
        <w:pStyle w:val="2"/>
        <w:numPr>
          <w:ilvl w:val="0"/>
          <w:numId w:val="0"/>
        </w:numPr>
        <w:spacing w:line="360" w:lineRule="auto"/>
        <w:ind w:leftChars="0" w:firstLine="480" w:firstLineChars="200"/>
        <w:rPr>
          <w:rFonts w:hint="eastAsia" w:ascii="仿宋_GB2312" w:hAnsi="仿宋" w:eastAsia="仿宋_GB2312" w:cs="仿宋_GB2312"/>
          <w:b w:val="0"/>
          <w:color w:val="auto"/>
          <w:kern w:val="2"/>
          <w:sz w:val="24"/>
          <w:szCs w:val="21"/>
          <w:lang w:val="en-US" w:eastAsia="zh-CN" w:bidi="ar-SA"/>
        </w:rPr>
      </w:pPr>
      <w:r>
        <w:rPr>
          <w:rFonts w:hint="eastAsia" w:ascii="仿宋_GB2312" w:hAnsi="仿宋" w:eastAsia="仿宋_GB2312" w:cs="仿宋_GB2312"/>
          <w:b w:val="0"/>
          <w:color w:val="auto"/>
          <w:kern w:val="2"/>
          <w:sz w:val="24"/>
          <w:szCs w:val="21"/>
          <w:lang w:val="en-US" w:eastAsia="zh-CN" w:bidi="ar-SA"/>
        </w:rPr>
        <w:t>培育机构应建立培育档案,包括开班计划、培育对象信息、课程及考核结果记录、资金支出票据复印件、结业证书发放情况和其他必要培育信息。培育档案至少保存5年。</w:t>
      </w:r>
    </w:p>
    <w:p w14:paraId="71D5342E">
      <w:pPr>
        <w:rPr>
          <w:rFonts w:hint="eastAsia" w:ascii="方正小标宋简体" w:hAnsi="仿宋" w:eastAsia="方正小标宋简体" w:cs="仿宋_GB2312"/>
          <w:b w:val="0"/>
          <w:bCs/>
          <w:color w:val="auto"/>
        </w:rPr>
      </w:pPr>
      <w:r>
        <w:rPr>
          <w:rFonts w:hint="eastAsia" w:ascii="方正小标宋简体" w:hAnsi="仿宋" w:eastAsia="方正小标宋简体" w:cs="仿宋_GB2312"/>
          <w:b w:val="0"/>
          <w:bCs/>
          <w:color w:val="auto"/>
        </w:rPr>
        <w:br w:type="page"/>
      </w:r>
    </w:p>
    <w:p w14:paraId="5A85F938">
      <w:pPr>
        <w:pStyle w:val="3"/>
        <w:tabs>
          <w:tab w:val="left" w:pos="3570"/>
        </w:tabs>
        <w:spacing w:line="360" w:lineRule="auto"/>
        <w:ind w:left="-199" w:leftChars="-95" w:firstLine="0" w:firstLineChars="0"/>
        <w:rPr>
          <w:rFonts w:hAnsi="黑体"/>
          <w:b w:val="0"/>
          <w:bCs/>
          <w:color w:val="auto"/>
        </w:rPr>
      </w:pPr>
      <w:r>
        <w:rPr>
          <w:rFonts w:hint="eastAsia" w:ascii="方正小标宋简体" w:hAnsi="仿宋" w:eastAsia="方正小标宋简体" w:cs="仿宋_GB2312"/>
          <w:b w:val="0"/>
          <w:bCs/>
          <w:color w:val="auto"/>
        </w:rPr>
        <w:t>第四章 评标方法</w:t>
      </w:r>
      <w:bookmarkEnd w:id="132"/>
      <w:bookmarkEnd w:id="136"/>
      <w:bookmarkEnd w:id="137"/>
      <w:bookmarkEnd w:id="138"/>
    </w:p>
    <w:p w14:paraId="05EB6CB0">
      <w:pPr>
        <w:adjustRightInd w:val="0"/>
        <w:snapToGrid w:val="0"/>
        <w:spacing w:line="360" w:lineRule="auto"/>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本项目将按照招标文件第一章投标人须知中“六 开标及评标”、“七 确定中标”及本章的规定评标。</w:t>
      </w:r>
    </w:p>
    <w:p w14:paraId="61971D7F">
      <w:pPr>
        <w:adjustRightInd w:val="0"/>
        <w:snapToGrid w:val="0"/>
        <w:spacing w:line="360" w:lineRule="auto"/>
        <w:ind w:firstLine="480" w:firstLineChars="200"/>
        <w:rPr>
          <w:rFonts w:ascii="仿宋_GB2312" w:hAnsi="仿宋" w:eastAsia="仿宋_GB2312" w:cs="仿宋_GB2312"/>
          <w:b/>
          <w:color w:val="auto"/>
          <w:kern w:val="0"/>
          <w:sz w:val="24"/>
        </w:rPr>
      </w:pPr>
      <w:bookmarkStart w:id="139" w:name="_Toc22313_WPSOffice_Level2"/>
      <w:r>
        <w:rPr>
          <w:rFonts w:hint="eastAsia" w:ascii="仿宋_GB2312" w:hAnsi="仿宋" w:eastAsia="仿宋_GB2312" w:cs="仿宋_GB2312"/>
          <w:b/>
          <w:color w:val="auto"/>
          <w:kern w:val="0"/>
          <w:sz w:val="24"/>
        </w:rPr>
        <w:t>一、评标方法</w:t>
      </w:r>
      <w:bookmarkEnd w:id="139"/>
    </w:p>
    <w:p w14:paraId="500E63A5">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本项目采用</w:t>
      </w:r>
      <w:r>
        <w:rPr>
          <w:rFonts w:hint="eastAsia" w:ascii="仿宋_GB2312" w:hAnsi="仿宋" w:eastAsia="仿宋_GB2312" w:cs="仿宋_GB2312"/>
          <w:color w:val="auto"/>
          <w:kern w:val="0"/>
          <w:sz w:val="24"/>
          <w:u w:val="single"/>
        </w:rPr>
        <w:t>综合评分法</w:t>
      </w:r>
      <w:r>
        <w:rPr>
          <w:rFonts w:hint="eastAsia" w:ascii="仿宋_GB2312" w:hAnsi="仿宋" w:eastAsia="仿宋_GB2312" w:cs="仿宋_GB2312"/>
          <w:color w:val="auto"/>
          <w:kern w:val="0"/>
          <w:sz w:val="24"/>
        </w:rPr>
        <w:t>进行评标。</w:t>
      </w:r>
    </w:p>
    <w:p w14:paraId="49D32B79">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bookmarkStart w:id="140" w:name="_Toc21368_WPSOffice_Level2"/>
      <w:r>
        <w:rPr>
          <w:rFonts w:hint="eastAsia" w:ascii="仿宋_GB2312" w:hAnsi="仿宋" w:eastAsia="仿宋_GB2312" w:cs="仿宋_GB2312"/>
          <w:b/>
          <w:color w:val="auto"/>
          <w:kern w:val="0"/>
          <w:sz w:val="24"/>
        </w:rPr>
        <w:t>二、评标原则及程序</w:t>
      </w:r>
      <w:bookmarkEnd w:id="140"/>
    </w:p>
    <w:p w14:paraId="449FBF5C">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（一）评标原则</w:t>
      </w:r>
    </w:p>
    <w:p w14:paraId="5C52713C">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评标委员会应当按照客观、公正、审慎的原则，根据采购文件规定的评审程序、评审方法和评审标准进行独立评审。采购文件内容违反国家有关强制性规定的，评标委员会应当停止评审并向采购人或者采购组织机构说明情况。</w:t>
      </w:r>
    </w:p>
    <w:p w14:paraId="61E3A11F">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（二）评标程序</w:t>
      </w:r>
    </w:p>
    <w:p w14:paraId="51E9562A">
      <w:pPr>
        <w:adjustRightInd w:val="0"/>
        <w:snapToGrid w:val="0"/>
        <w:spacing w:line="360" w:lineRule="auto"/>
        <w:ind w:firstLine="240" w:firstLineChars="1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★1.资格性审查</w:t>
      </w:r>
    </w:p>
    <w:p w14:paraId="690C1DAF">
      <w:pPr>
        <w:adjustRightInd w:val="0"/>
        <w:snapToGrid w:val="0"/>
        <w:spacing w:line="360" w:lineRule="auto"/>
        <w:ind w:firstLine="480" w:firstLineChars="200"/>
        <w:textAlignment w:val="baseline"/>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1.1详见投标人须知22条。资格审查表详见本章附件1。</w:t>
      </w:r>
    </w:p>
    <w:p w14:paraId="1865DA50">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w:t>
      </w:r>
      <w:r>
        <w:rPr>
          <w:rFonts w:hint="eastAsia" w:ascii="仿宋_GB2312" w:hAnsi="仿宋" w:eastAsia="仿宋_GB2312" w:cs="仿宋_GB2312"/>
          <w:b/>
          <w:bCs/>
          <w:color w:val="auto"/>
          <w:kern w:val="0"/>
          <w:sz w:val="24"/>
        </w:rPr>
        <w:t>2.符合性审查</w:t>
      </w:r>
    </w:p>
    <w:p w14:paraId="402FE929">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2.1详见投标人须知23条。符合性审查表详见本章附件2。</w:t>
      </w:r>
    </w:p>
    <w:p w14:paraId="2B987FEC">
      <w:pPr>
        <w:adjustRightInd w:val="0"/>
        <w:snapToGrid w:val="0"/>
        <w:spacing w:line="360" w:lineRule="auto"/>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3.样品及演示</w:t>
      </w:r>
      <w:r>
        <w:rPr>
          <w:rFonts w:hint="eastAsia" w:ascii="仿宋_GB2312" w:hAnsi="仿宋" w:eastAsia="仿宋_GB2312" w:cs="仿宋_GB2312"/>
          <w:b/>
          <w:bCs/>
          <w:color w:val="auto"/>
          <w:sz w:val="24"/>
        </w:rPr>
        <w:t>（本项目不适用）</w:t>
      </w:r>
    </w:p>
    <w:p w14:paraId="25BD6C1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3.1</w:t>
      </w:r>
      <w:r>
        <w:rPr>
          <w:rFonts w:hint="eastAsia" w:ascii="仿宋_GB2312" w:hAnsi="仿宋" w:eastAsia="仿宋_GB2312" w:cs="仿宋_GB2312"/>
          <w:color w:val="auto"/>
          <w:kern w:val="0"/>
          <w:sz w:val="24"/>
        </w:rPr>
        <w:t>投标人须知表11.3条</w:t>
      </w:r>
      <w:r>
        <w:rPr>
          <w:rFonts w:hint="eastAsia" w:ascii="仿宋_GB2312" w:hAnsi="仿宋" w:eastAsia="仿宋_GB2312" w:cs="仿宋_GB2312"/>
          <w:color w:val="auto"/>
          <w:sz w:val="24"/>
        </w:rPr>
        <w:t>中要求投标人提供样品或演示的，按照</w:t>
      </w:r>
      <w:r>
        <w:rPr>
          <w:rFonts w:hint="eastAsia" w:ascii="仿宋_GB2312" w:hAnsi="仿宋" w:eastAsia="仿宋_GB2312" w:cs="仿宋_GB2312"/>
          <w:color w:val="auto"/>
          <w:kern w:val="0"/>
          <w:sz w:val="24"/>
        </w:rPr>
        <w:t>投标人须知表25.1条</w:t>
      </w:r>
      <w:r>
        <w:rPr>
          <w:rFonts w:hint="eastAsia" w:ascii="仿宋_GB2312" w:hAnsi="仿宋" w:eastAsia="仿宋_GB2312" w:cs="仿宋_GB2312"/>
          <w:color w:val="auto"/>
          <w:sz w:val="24"/>
        </w:rPr>
        <w:t>中确定的评审方法以及评审标准进行评审。(样品或演示属于符合性审查的，按照</w:t>
      </w:r>
      <w:r>
        <w:rPr>
          <w:rFonts w:hint="eastAsia" w:ascii="仿宋_GB2312" w:hAnsi="仿宋" w:eastAsia="仿宋_GB2312" w:cs="仿宋_GB2312"/>
          <w:color w:val="auto"/>
          <w:kern w:val="0"/>
          <w:sz w:val="24"/>
        </w:rPr>
        <w:t>投标人须知23条</w:t>
      </w:r>
      <w:r>
        <w:rPr>
          <w:rFonts w:hint="eastAsia" w:ascii="仿宋_GB2312" w:hAnsi="仿宋" w:eastAsia="仿宋_GB2312" w:cs="仿宋_GB2312"/>
          <w:color w:val="auto"/>
          <w:sz w:val="24"/>
        </w:rPr>
        <w:t>规定执行）</w:t>
      </w:r>
    </w:p>
    <w:p w14:paraId="42C00823">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★4</w:t>
      </w:r>
      <w:r>
        <w:rPr>
          <w:rFonts w:hint="eastAsia" w:ascii="仿宋_GB2312" w:hAnsi="仿宋" w:eastAsia="仿宋_GB2312" w:cs="仿宋_GB2312"/>
          <w:b/>
          <w:bCs/>
          <w:color w:val="auto"/>
          <w:kern w:val="0"/>
          <w:sz w:val="24"/>
        </w:rPr>
        <w:t>.比较及评价</w:t>
      </w:r>
    </w:p>
    <w:p w14:paraId="79A209AD">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4.1评标委员会对通过符合性审查的投标文件进行比较和评价。</w:t>
      </w:r>
    </w:p>
    <w:p w14:paraId="18320074">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4.2在评标期间，对投标文件的澄清按投标人须知24条内容执行。</w:t>
      </w:r>
    </w:p>
    <w:p w14:paraId="75B23BB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4.3评标委员会认为投标人的报价明显低于其他通过符合性审查的投标人报价，有可能影响服务质量或者不能诚信履约的，评标委员会应当要求其在评标现场合理的时间（</w:t>
      </w:r>
      <w:r>
        <w:rPr>
          <w:rFonts w:hint="eastAsia" w:ascii="仿宋_GB2312" w:hAnsi="仿宋" w:eastAsia="仿宋_GB2312" w:cs="仿宋_GB2312"/>
          <w:color w:val="auto"/>
          <w:kern w:val="0"/>
          <w:sz w:val="24"/>
        </w:rPr>
        <w:t>接到通知后</w:t>
      </w:r>
      <w:r>
        <w:rPr>
          <w:rFonts w:hint="eastAsia" w:ascii="仿宋_GB2312" w:hAnsi="仿宋" w:eastAsia="仿宋_GB2312" w:cs="仿宋_GB2312"/>
          <w:color w:val="auto"/>
          <w:kern w:val="0"/>
          <w:sz w:val="24"/>
          <w:u w:val="single"/>
        </w:rPr>
        <w:t>0.5</w:t>
      </w:r>
      <w:r>
        <w:rPr>
          <w:rFonts w:hint="eastAsia" w:ascii="仿宋_GB2312" w:hAnsi="仿宋" w:eastAsia="仿宋_GB2312" w:cs="仿宋_GB2312"/>
          <w:color w:val="auto"/>
          <w:kern w:val="0"/>
          <w:sz w:val="24"/>
        </w:rPr>
        <w:t>小时</w:t>
      </w:r>
      <w:r>
        <w:rPr>
          <w:rFonts w:hint="eastAsia" w:ascii="仿宋_GB2312" w:hAnsi="仿宋" w:eastAsia="仿宋_GB2312" w:cs="仿宋_GB2312"/>
          <w:color w:val="auto"/>
          <w:sz w:val="24"/>
        </w:rPr>
        <w:t>）内提供书面说明，并提交相关证明材料，</w:t>
      </w:r>
      <w:r>
        <w:rPr>
          <w:rFonts w:hint="eastAsia" w:ascii="仿宋_GB2312" w:hAnsi="仿宋" w:eastAsia="仿宋_GB2312" w:cs="仿宋_GB2312"/>
          <w:color w:val="auto"/>
          <w:kern w:val="0"/>
          <w:sz w:val="24"/>
        </w:rPr>
        <w:t>投标人不能证明其报价合理性的，评标委员会应当将</w:t>
      </w:r>
      <w:r>
        <w:rPr>
          <w:rFonts w:hint="eastAsia" w:ascii="仿宋_GB2312" w:hAnsi="仿宋" w:eastAsia="仿宋_GB2312" w:cs="仿宋_GB2312"/>
          <w:color w:val="auto"/>
          <w:sz w:val="24"/>
        </w:rPr>
        <w:t>其投标作为</w:t>
      </w:r>
      <w:r>
        <w:rPr>
          <w:rFonts w:hint="eastAsia" w:ascii="仿宋_GB2312" w:hAnsi="仿宋" w:eastAsia="仿宋_GB2312" w:cs="仿宋_GB2312"/>
          <w:b/>
          <w:bCs/>
          <w:color w:val="auto"/>
          <w:sz w:val="24"/>
        </w:rPr>
        <w:t>无效投标处理</w:t>
      </w:r>
      <w:r>
        <w:rPr>
          <w:rFonts w:hint="eastAsia" w:ascii="仿宋_GB2312" w:hAnsi="仿宋" w:eastAsia="仿宋_GB2312" w:cs="仿宋_GB2312"/>
          <w:color w:val="auto"/>
          <w:sz w:val="24"/>
        </w:rPr>
        <w:t>。</w:t>
      </w:r>
    </w:p>
    <w:p w14:paraId="71E821B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投标人的书面说明材料包含服务本身成本、人工费用、运输、税收等，以及报价不会影响服务质量或诚信履约能力的说明等。</w:t>
      </w:r>
    </w:p>
    <w:p w14:paraId="09565B5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投标人的书面说明应当签字确认或者加盖公章，否则无效。书面说明的签字确认，由其法定代表人（非法人单位负责人或自然人本人）或者其授权代表签字确认。</w:t>
      </w:r>
    </w:p>
    <w:p w14:paraId="19702E9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00CA7ABA">
      <w:pPr>
        <w:numPr>
          <w:ilvl w:val="0"/>
          <w:numId w:val="6"/>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拒绝或者变相拒绝提供有效书面说明；</w:t>
      </w:r>
    </w:p>
    <w:p w14:paraId="0CA7B6D3">
      <w:pPr>
        <w:numPr>
          <w:ilvl w:val="0"/>
          <w:numId w:val="6"/>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书面说明不能证明其报价合理性的；</w:t>
      </w:r>
    </w:p>
    <w:p w14:paraId="0FC96BDE">
      <w:pPr>
        <w:numPr>
          <w:ilvl w:val="0"/>
          <w:numId w:val="6"/>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未在规定时间内递交有效书面说明书的。</w:t>
      </w:r>
    </w:p>
    <w:p w14:paraId="6448DDD7">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★5</w:t>
      </w:r>
      <w:r>
        <w:rPr>
          <w:rFonts w:hint="eastAsia" w:ascii="仿宋_GB2312" w:hAnsi="仿宋" w:eastAsia="仿宋_GB2312" w:cs="仿宋_GB2312"/>
          <w:b/>
          <w:bCs/>
          <w:color w:val="auto"/>
          <w:kern w:val="0"/>
          <w:sz w:val="24"/>
        </w:rPr>
        <w:t>.需落实的政府采购政策性规定：</w:t>
      </w:r>
    </w:p>
    <w:p w14:paraId="4270AB06">
      <w:pPr>
        <w:adjustRightInd w:val="0"/>
        <w:snapToGrid w:val="0"/>
        <w:spacing w:line="360" w:lineRule="auto"/>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5.1对于中小微企业的相关规定</w:t>
      </w:r>
    </w:p>
    <w:p w14:paraId="6D2FA4ED">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5.1.1对于非专门面向中小企业的项目，在满足价格扣除条件且在投标文件中按要求提交了《中小企业声明函》</w:t>
      </w:r>
      <w:r>
        <w:rPr>
          <w:rFonts w:hint="eastAsia" w:ascii="仿宋_GB2312" w:hAnsi="仿宋" w:eastAsia="仿宋_GB2312" w:cs="仿宋_GB2312"/>
          <w:color w:val="auto"/>
          <w:kern w:val="0"/>
          <w:sz w:val="24"/>
        </w:rPr>
        <w:t>的，</w:t>
      </w:r>
      <w:r>
        <w:rPr>
          <w:rFonts w:hint="eastAsia" w:ascii="仿宋_GB2312" w:hAnsi="仿宋" w:eastAsia="仿宋_GB2312" w:cs="仿宋_GB2312"/>
          <w:color w:val="auto"/>
          <w:sz w:val="24"/>
        </w:rPr>
        <w:t>对投标报价给予价格扣除，用扣除后的价格参与评审。投标报价扣除比例如下：</w:t>
      </w:r>
    </w:p>
    <w:p w14:paraId="23509D02">
      <w:pPr>
        <w:adjustRightInd w:val="0"/>
        <w:snapToGrid w:val="0"/>
        <w:spacing w:line="360" w:lineRule="auto"/>
        <w:ind w:firstLine="240" w:firstLineChars="100"/>
        <w:jc w:val="left"/>
        <w:rPr>
          <w:rFonts w:ascii="仿宋_GB2312" w:hAnsi="仿宋" w:eastAsia="仿宋_GB2312" w:cs="仿宋_GB2312"/>
          <w:color w:val="auto"/>
          <w:sz w:val="24"/>
        </w:rPr>
      </w:pPr>
      <w:r>
        <w:rPr>
          <w:rFonts w:hint="eastAsia" w:ascii="仿宋_GB2312" w:hAnsi="仿宋" w:eastAsia="仿宋_GB2312" w:cs="仿宋_GB2312"/>
          <w:color w:val="auto"/>
          <w:sz w:val="24"/>
        </w:rPr>
        <w:t>（1）非联合体投标</w:t>
      </w:r>
    </w:p>
    <w:p w14:paraId="7E6D1C7C">
      <w:pPr>
        <w:adjustRightInd w:val="0"/>
        <w:snapToGrid w:val="0"/>
        <w:spacing w:line="360"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       小型和微型企业相应产品、服务投标报价的</w:t>
      </w:r>
      <w:r>
        <w:rPr>
          <w:rFonts w:hint="eastAsia" w:ascii="仿宋_GB2312" w:hAnsi="仿宋" w:eastAsia="仿宋_GB2312" w:cs="仿宋_GB2312"/>
          <w:b/>
          <w:bCs/>
          <w:color w:val="auto"/>
          <w:kern w:val="0"/>
          <w:sz w:val="24"/>
          <w:u w:val="single"/>
        </w:rPr>
        <w:t xml:space="preserve"> 10% </w:t>
      </w:r>
      <w:r>
        <w:rPr>
          <w:rFonts w:hint="eastAsia" w:ascii="仿宋_GB2312" w:hAnsi="仿宋" w:eastAsia="仿宋_GB2312" w:cs="仿宋_GB2312"/>
          <w:color w:val="auto"/>
          <w:kern w:val="0"/>
          <w:sz w:val="24"/>
        </w:rPr>
        <w:t>（10-20%）</w:t>
      </w:r>
      <w:r>
        <w:rPr>
          <w:rFonts w:hint="eastAsia" w:ascii="仿宋_GB2312" w:hAnsi="仿宋" w:eastAsia="仿宋_GB2312" w:cs="仿宋_GB2312"/>
          <w:b/>
          <w:bCs/>
          <w:color w:val="auto"/>
          <w:kern w:val="0"/>
          <w:sz w:val="24"/>
        </w:rPr>
        <w:t>。</w:t>
      </w:r>
    </w:p>
    <w:p w14:paraId="2037C4E4">
      <w:pPr>
        <w:adjustRightInd w:val="0"/>
        <w:snapToGrid w:val="0"/>
        <w:spacing w:line="360" w:lineRule="auto"/>
        <w:ind w:firstLine="240" w:firstLineChars="100"/>
        <w:jc w:val="left"/>
        <w:rPr>
          <w:rFonts w:ascii="仿宋_GB2312" w:hAnsi="仿宋" w:eastAsia="仿宋_GB2312" w:cs="仿宋_GB2312"/>
          <w:color w:val="auto"/>
          <w:sz w:val="24"/>
        </w:rPr>
      </w:pPr>
      <w:r>
        <w:rPr>
          <w:rFonts w:hint="eastAsia" w:ascii="仿宋_GB2312" w:hAnsi="仿宋" w:eastAsia="仿宋_GB2312" w:cs="仿宋_GB2312"/>
          <w:color w:val="auto"/>
          <w:sz w:val="24"/>
        </w:rPr>
        <w:t>（2）联合体投标</w:t>
      </w:r>
    </w:p>
    <w:p w14:paraId="63B25AF9">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 w:eastAsia="仿宋_GB2312" w:cs="仿宋_GB2312"/>
          <w:b/>
          <w:bCs/>
          <w:color w:val="auto"/>
          <w:kern w:val="0"/>
          <w:sz w:val="24"/>
          <w:u w:val="single"/>
        </w:rPr>
        <w:t xml:space="preserve"> </w:t>
      </w:r>
      <w:r>
        <w:rPr>
          <w:rFonts w:hint="eastAsia" w:ascii="仿宋_GB2312" w:hAnsi="仿宋" w:eastAsia="仿宋_GB2312" w:cs="仿宋_GB2312"/>
          <w:color w:val="auto"/>
          <w:kern w:val="0"/>
          <w:sz w:val="24"/>
          <w:u w:val="single"/>
        </w:rPr>
        <w:t>/</w:t>
      </w:r>
      <w:r>
        <w:rPr>
          <w:rFonts w:hint="eastAsia" w:ascii="仿宋_GB2312" w:hAnsi="仿宋" w:eastAsia="仿宋_GB2312" w:cs="仿宋_GB2312"/>
          <w:b/>
          <w:bCs/>
          <w:color w:val="auto"/>
          <w:kern w:val="0"/>
          <w:sz w:val="24"/>
          <w:u w:val="single"/>
        </w:rPr>
        <w:t xml:space="preserve"> </w:t>
      </w:r>
      <w:r>
        <w:rPr>
          <w:rFonts w:hint="eastAsia" w:ascii="仿宋_GB2312" w:hAnsi="仿宋" w:eastAsia="仿宋_GB2312" w:cs="仿宋_GB2312"/>
          <w:color w:val="auto"/>
          <w:kern w:val="0"/>
          <w:sz w:val="24"/>
        </w:rPr>
        <w:t>（4-6%）</w:t>
      </w:r>
      <w:r>
        <w:rPr>
          <w:rFonts w:hint="eastAsia" w:ascii="仿宋_GB2312" w:hAnsi="仿宋" w:eastAsia="仿宋_GB2312" w:cs="仿宋_GB2312"/>
          <w:color w:val="auto"/>
          <w:sz w:val="24"/>
        </w:rPr>
        <w:t>。</w:t>
      </w:r>
    </w:p>
    <w:p w14:paraId="6BB7A6CC">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联合体各方均为小型、微型企业的，联合体视同为小型、微型企业，按第本款（1）条规定扣除比例享受扶持政策。组成联合体的大中型企业和其他自然人、法人或者其他组织，与小型、微型企业之间不得存在投资关系。 </w:t>
      </w:r>
    </w:p>
    <w:p w14:paraId="34C5EE91">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5.1.2监狱企业视同小型、微型企业，在满足价格扣除条件且在投标文件中按要求提交了省级以上监狱管理局、戒毒管理局（含新疆生产建设兵团）出具的属于监狱企业的证明文件的，对其投标报价按本章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hAnsi="仿宋" w:eastAsia="仿宋_GB2312" w:cs="仿宋_GB2312"/>
          <w:color w:val="auto"/>
          <w:sz w:val="24"/>
        </w:rPr>
        <w:t>5</w:t>
      </w:r>
      <w:r>
        <w:rPr>
          <w:rFonts w:hint="eastAsia" w:ascii="仿宋_GB2312" w:hAnsi="仿宋" w:eastAsia="仿宋_GB2312" w:cs="仿宋_GB2312"/>
          <w:color w:val="auto"/>
          <w:sz w:val="24"/>
        </w:rPr>
        <w:t>.1.1条款的比例予以扣除，</w:t>
      </w:r>
      <w:r>
        <w:rPr>
          <w:rFonts w:hint="eastAsia" w:ascii="仿宋_GB2312" w:hAnsi="仿宋" w:eastAsia="仿宋_GB2312" w:cs="仿宋_GB2312"/>
          <w:color w:val="auto"/>
          <w:kern w:val="0"/>
          <w:sz w:val="24"/>
        </w:rPr>
        <w:t>用扣除后的价格参与评审</w:t>
      </w:r>
      <w:r>
        <w:rPr>
          <w:rFonts w:hint="eastAsia" w:ascii="仿宋_GB2312" w:hAnsi="仿宋" w:eastAsia="仿宋_GB2312" w:cs="仿宋_GB2312"/>
          <w:color w:val="auto"/>
          <w:sz w:val="24"/>
        </w:rPr>
        <w:t>。</w:t>
      </w:r>
    </w:p>
    <w:p w14:paraId="7C24A0FA">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bCs/>
          <w:color w:val="auto"/>
          <w:kern w:val="0"/>
          <w:sz w:val="24"/>
        </w:rPr>
        <w:t>5.1.3</w:t>
      </w:r>
      <w:r>
        <w:rPr>
          <w:rFonts w:hint="eastAsia" w:ascii="仿宋_GB2312" w:hAnsi="仿宋" w:eastAsia="仿宋_GB2312" w:cs="仿宋_GB2312"/>
          <w:color w:val="auto"/>
          <w:sz w:val="24"/>
        </w:rPr>
        <w:t>残疾人福利性单位视同小型、微型企业，在满足价格扣除条件且在</w:t>
      </w:r>
      <w:r>
        <w:rPr>
          <w:rFonts w:hint="eastAsia" w:ascii="仿宋_GB2312" w:hAnsi="仿宋" w:eastAsia="仿宋_GB2312" w:cs="仿宋_GB2312"/>
          <w:color w:val="auto"/>
          <w:kern w:val="0"/>
          <w:sz w:val="24"/>
        </w:rPr>
        <w:t>投标文件中提供了《残疾人福利性单位声明函》的，</w:t>
      </w:r>
      <w:r>
        <w:rPr>
          <w:rFonts w:hint="eastAsia" w:ascii="仿宋_GB2312" w:hAnsi="仿宋" w:eastAsia="仿宋_GB2312" w:cs="仿宋_GB2312"/>
          <w:color w:val="auto"/>
          <w:sz w:val="24"/>
        </w:rPr>
        <w:t>对其投标报价按本章</w:t>
      </w:r>
      <w:r>
        <w:rPr>
          <w:rFonts w:ascii="仿宋_GB2312" w:hAnsi="仿宋" w:eastAsia="仿宋_GB2312" w:cs="仿宋_GB2312"/>
          <w:color w:val="auto"/>
          <w:sz w:val="24"/>
        </w:rPr>
        <w:t>5</w:t>
      </w:r>
      <w:r>
        <w:rPr>
          <w:rFonts w:hint="eastAsia" w:ascii="仿宋_GB2312" w:hAnsi="仿宋" w:eastAsia="仿宋_GB2312" w:cs="仿宋_GB2312"/>
          <w:color w:val="auto"/>
          <w:sz w:val="24"/>
        </w:rPr>
        <w:t>.1.1条款的比例予以扣除</w:t>
      </w:r>
      <w:r>
        <w:rPr>
          <w:rFonts w:hint="eastAsia" w:ascii="仿宋_GB2312" w:hAnsi="仿宋" w:eastAsia="仿宋_GB2312" w:cs="仿宋_GB2312"/>
          <w:color w:val="auto"/>
          <w:kern w:val="0"/>
          <w:sz w:val="24"/>
        </w:rPr>
        <w:t>，用扣除后的价格参与评审。</w:t>
      </w:r>
    </w:p>
    <w:p w14:paraId="03FE6358">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5.1.4监狱企业、残疾人福利性单位属于小型、微型企业的，不重复享受政策。</w:t>
      </w:r>
    </w:p>
    <w:p w14:paraId="0F34EC97">
      <w:pPr>
        <w:adjustRightInd w:val="0"/>
        <w:snapToGrid w:val="0"/>
        <w:spacing w:line="360" w:lineRule="auto"/>
        <w:ind w:firstLine="480" w:firstLineChars="200"/>
        <w:jc w:val="left"/>
        <w:rPr>
          <w:rFonts w:ascii="仿宋_GB2312" w:hAnsi="仿宋" w:eastAsia="仿宋_GB2312" w:cs="仿宋_GB2312"/>
          <w:b/>
          <w:bCs/>
          <w:color w:val="auto"/>
          <w:sz w:val="24"/>
        </w:rPr>
      </w:pPr>
      <w:r>
        <w:rPr>
          <w:rFonts w:hint="eastAsia" w:ascii="仿宋_GB2312" w:hAnsi="仿宋" w:eastAsia="仿宋_GB2312" w:cs="仿宋_GB2312"/>
          <w:b/>
          <w:bCs/>
          <w:color w:val="auto"/>
          <w:sz w:val="24"/>
        </w:rPr>
        <w:t>5.2对于节能产品、环境标志产品的相关规定（本项目不适用）</w:t>
      </w:r>
    </w:p>
    <w:p w14:paraId="22949A7E">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招标人招标的服务有伴随货物的，如伴随的货物属于节能产品或环境标志产品，依据认证证书实施政府优先采购。投标人应能够提供国家确定的认证机构出具的、处于有效期之内的节能产品、环境标志产品认证证书，方可对获得证书的产品优先推荐。</w:t>
      </w:r>
    </w:p>
    <w:p w14:paraId="1BCAD41E">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kern w:val="0"/>
          <w:sz w:val="24"/>
        </w:rPr>
        <w:t>采用最低评标价法的，</w:t>
      </w:r>
      <w:r>
        <w:rPr>
          <w:rFonts w:hint="eastAsia" w:ascii="仿宋_GB2312" w:hAnsi="仿宋" w:eastAsia="仿宋_GB2312" w:cs="仿宋_GB2312"/>
          <w:color w:val="auto"/>
          <w:sz w:val="24"/>
        </w:rPr>
        <w:t>对《获得节能/环保认证产品部分报价表》</w:t>
      </w:r>
      <w:r>
        <w:rPr>
          <w:rFonts w:hint="eastAsia" w:ascii="仿宋_GB2312" w:hAnsi="仿宋" w:eastAsia="仿宋_GB2312" w:cs="仿宋_GB2312"/>
          <w:color w:val="auto"/>
          <w:kern w:val="0"/>
          <w:sz w:val="24"/>
        </w:rPr>
        <w:t>中投标产品的报价</w:t>
      </w:r>
      <w:r>
        <w:rPr>
          <w:rFonts w:hint="eastAsia" w:ascii="仿宋_GB2312" w:hAnsi="仿宋" w:eastAsia="仿宋_GB2312" w:cs="仿宋_GB2312"/>
          <w:color w:val="auto"/>
          <w:sz w:val="24"/>
        </w:rPr>
        <w:t>给予价格扣除，用扣除后的价格参与评审。报价扣除比例为《获得节能/环保认证产品部分报价表》</w:t>
      </w:r>
      <w:r>
        <w:rPr>
          <w:rFonts w:hint="eastAsia" w:ascii="仿宋_GB2312" w:hAnsi="仿宋" w:eastAsia="仿宋_GB2312" w:cs="仿宋_GB2312"/>
          <w:color w:val="auto"/>
          <w:kern w:val="0"/>
          <w:sz w:val="24"/>
        </w:rPr>
        <w:t>中产品报价的</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kern w:val="0"/>
          <w:sz w:val="24"/>
          <w:u w:val="single"/>
        </w:rPr>
        <w:t>/</w:t>
      </w:r>
      <w:r>
        <w:rPr>
          <w:rFonts w:hint="eastAsia" w:ascii="仿宋_GB2312" w:hAnsi="仿宋" w:eastAsia="仿宋_GB2312" w:cs="仿宋_GB2312"/>
          <w:color w:val="auto"/>
          <w:sz w:val="24"/>
        </w:rPr>
        <w:t>%。</w:t>
      </w:r>
    </w:p>
    <w:p w14:paraId="1FF23748">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kern w:val="0"/>
          <w:sz w:val="24"/>
        </w:rPr>
        <w:t>采用综合评分法评标的项目，对《获得节能/环保认证产品部分报价表》中产品给予相应的加分。（详见评分细则）</w:t>
      </w:r>
    </w:p>
    <w:p w14:paraId="6395C74F">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kern w:val="0"/>
          <w:sz w:val="24"/>
        </w:rPr>
        <w:t>5.3对于聘用建档立卡贫困人员物业公司的相关规定</w:t>
      </w:r>
      <w:r>
        <w:rPr>
          <w:rFonts w:hint="eastAsia" w:ascii="仿宋_GB2312" w:hAnsi="仿宋" w:eastAsia="仿宋_GB2312" w:cs="仿宋_GB2312"/>
          <w:b/>
          <w:color w:val="auto"/>
          <w:sz w:val="24"/>
        </w:rPr>
        <w:t>(本项目不适用)</w:t>
      </w:r>
    </w:p>
    <w:p w14:paraId="24DE34E9">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在满足价格扣除条件且在投标文件中按要求提交了《聘用建档立卡贫困人员物业公司声明函》的投标人，对最后报价给予价格扣除，用扣除后的价格参与评审。扣除比例为最后</w:t>
      </w:r>
      <w:r>
        <w:rPr>
          <w:rFonts w:hint="eastAsia" w:ascii="仿宋_GB2312" w:hAnsi="仿宋" w:eastAsia="仿宋_GB2312" w:cs="仿宋_GB2312"/>
          <w:color w:val="auto"/>
          <w:kern w:val="0"/>
          <w:sz w:val="24"/>
        </w:rPr>
        <w:t>报价的</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kern w:val="0"/>
          <w:sz w:val="24"/>
          <w:u w:val="single"/>
        </w:rPr>
        <w:t xml:space="preserve"> </w:t>
      </w:r>
      <w:r>
        <w:rPr>
          <w:rFonts w:hint="eastAsia" w:ascii="仿宋_GB2312" w:hAnsi="仿宋" w:eastAsia="仿宋_GB2312" w:cs="仿宋_GB2312"/>
          <w:color w:val="auto"/>
          <w:sz w:val="24"/>
        </w:rPr>
        <w:t>%。</w:t>
      </w:r>
    </w:p>
    <w:p w14:paraId="42E05146">
      <w:pPr>
        <w:adjustRightInd w:val="0"/>
        <w:snapToGrid w:val="0"/>
        <w:spacing w:line="360" w:lineRule="auto"/>
        <w:ind w:firstLine="480" w:firstLineChars="200"/>
        <w:jc w:val="left"/>
        <w:rPr>
          <w:rFonts w:ascii="仿宋_GB2312" w:hAnsi="仿宋" w:eastAsia="仿宋_GB2312" w:cs="仿宋_GB2312"/>
          <w:b/>
          <w:color w:val="auto"/>
          <w:kern w:val="0"/>
          <w:sz w:val="24"/>
        </w:rPr>
      </w:pPr>
      <w:r>
        <w:rPr>
          <w:rFonts w:hint="eastAsia" w:ascii="仿宋_GB2312" w:hAnsi="仿宋" w:eastAsia="仿宋_GB2312" w:cs="仿宋_GB2312"/>
          <w:b/>
          <w:bCs/>
          <w:color w:val="auto"/>
          <w:sz w:val="24"/>
        </w:rPr>
        <w:t>5.4对于列入《辽宁省创新产品和服务目录》内的产品、服务的相关规定</w:t>
      </w:r>
      <w:r>
        <w:rPr>
          <w:rFonts w:hint="eastAsia" w:ascii="仿宋_GB2312" w:hAnsi="仿宋" w:eastAsia="仿宋_GB2312" w:cs="仿宋_GB2312"/>
          <w:b/>
          <w:color w:val="auto"/>
          <w:kern w:val="0"/>
          <w:sz w:val="24"/>
        </w:rPr>
        <w:t>（本项目不适用）</w:t>
      </w:r>
    </w:p>
    <w:p w14:paraId="5D42BF53">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采用最低评标价法的：对列入《辽宁省创新产品和服务目录》内的投标产品、服务给予其投标报价</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sz w:val="24"/>
        </w:rPr>
        <w:t>（6-8%）的价格扣除，用扣除后的价格参与评审。</w:t>
      </w:r>
    </w:p>
    <w:p w14:paraId="11BE5152">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采用综合评分法评标的：对列入《辽宁省创新产品和服务目录》内的投标产品、服务给予</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sz w:val="24"/>
        </w:rPr>
        <w:t>（6-8%）的加分（详见评分细则）。</w:t>
      </w:r>
    </w:p>
    <w:p w14:paraId="54647DFF">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★6</w:t>
      </w:r>
      <w:r>
        <w:rPr>
          <w:rFonts w:hint="eastAsia" w:ascii="仿宋_GB2312" w:hAnsi="仿宋" w:eastAsia="仿宋_GB2312" w:cs="仿宋_GB2312"/>
          <w:b/>
          <w:bCs/>
          <w:color w:val="auto"/>
          <w:kern w:val="0"/>
          <w:sz w:val="24"/>
        </w:rPr>
        <w:t>.投标无效情况详见投标人须知。</w:t>
      </w:r>
    </w:p>
    <w:p w14:paraId="2A02D6BF">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★7</w:t>
      </w:r>
      <w:r>
        <w:rPr>
          <w:rFonts w:hint="eastAsia" w:ascii="仿宋_GB2312" w:hAnsi="仿宋" w:eastAsia="仿宋_GB2312" w:cs="仿宋_GB2312"/>
          <w:b/>
          <w:bCs/>
          <w:color w:val="auto"/>
          <w:kern w:val="0"/>
          <w:sz w:val="24"/>
        </w:rPr>
        <w:t>.推荐中标候选人的原则</w:t>
      </w:r>
    </w:p>
    <w:p w14:paraId="428A1B7C">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详见第一章投标人须知第29条，具体处理办法如下：</w:t>
      </w:r>
    </w:p>
    <w:p w14:paraId="5CE94F0E">
      <w:pPr>
        <w:numPr>
          <w:ilvl w:val="0"/>
          <w:numId w:val="7"/>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采用最低评标价法的（本项目不适用）：</w:t>
      </w:r>
    </w:p>
    <w:p w14:paraId="2227908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扣除后的投标报价相同时，按投标报价由低至高排序；</w:t>
      </w:r>
    </w:p>
    <w:p w14:paraId="2C220E3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按前款不能区分的，按技术指标优劣排序；</w:t>
      </w:r>
    </w:p>
    <w:p w14:paraId="478F0AF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其他情况，由评标委员会投票处理。</w:t>
      </w:r>
    </w:p>
    <w:p w14:paraId="47641051">
      <w:pPr>
        <w:numPr>
          <w:ilvl w:val="0"/>
          <w:numId w:val="7"/>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采用综合评分法的：</w:t>
      </w:r>
    </w:p>
    <w:p w14:paraId="4C53FD8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得分相同的，按扣除后的投标报价由低到高顺序排序；</w:t>
      </w:r>
    </w:p>
    <w:p w14:paraId="0A8E178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按前款不能区分的，按投标报价由低至高顺序排序；</w:t>
      </w:r>
    </w:p>
    <w:p w14:paraId="55D7849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按前款不能区分的，按技术指标优劣排序；</w:t>
      </w:r>
    </w:p>
    <w:p w14:paraId="7249E26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其他情况，由评标委员会投票处理。</w:t>
      </w:r>
    </w:p>
    <w:p w14:paraId="1406F782">
      <w:pPr>
        <w:adjustRightInd w:val="0"/>
        <w:snapToGrid w:val="0"/>
        <w:spacing w:line="360" w:lineRule="auto"/>
        <w:ind w:firstLine="480" w:firstLineChars="200"/>
        <w:rPr>
          <w:rFonts w:ascii="仿宋_GB2312" w:hAnsi="仿宋" w:eastAsia="仿宋_GB2312" w:cs="仿宋_GB2312"/>
          <w:b/>
          <w:color w:val="auto"/>
          <w:kern w:val="0"/>
          <w:sz w:val="24"/>
        </w:rPr>
      </w:pPr>
      <w:bookmarkStart w:id="141" w:name="_Toc30297_WPSOffice_Level2"/>
      <w:r>
        <w:rPr>
          <w:rFonts w:hint="eastAsia" w:ascii="仿宋_GB2312" w:hAnsi="仿宋" w:eastAsia="仿宋_GB2312" w:cs="仿宋_GB2312"/>
          <w:b/>
          <w:color w:val="auto"/>
          <w:sz w:val="24"/>
        </w:rPr>
        <w:t>三、</w:t>
      </w:r>
      <w:r>
        <w:rPr>
          <w:rFonts w:hint="eastAsia" w:ascii="仿宋_GB2312" w:hAnsi="仿宋" w:eastAsia="仿宋_GB2312" w:cs="仿宋_GB2312"/>
          <w:b/>
          <w:color w:val="auto"/>
          <w:kern w:val="0"/>
          <w:sz w:val="24"/>
        </w:rPr>
        <w:t>确定中标人</w:t>
      </w:r>
      <w:bookmarkEnd w:id="141"/>
    </w:p>
    <w:p w14:paraId="78DE8F4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评标委员会根据全体评标委员会成员签字的原始评标记录和评标结果编写评标报告，并向采购人提交书面评标报告。</w:t>
      </w:r>
    </w:p>
    <w:p w14:paraId="75CCA6B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采购人按照评标报告确定的中标候选人名单按顺序确定中标人，或由采购人委托评标委员会按照第一章投标人须知第31条规定的方式确定中标人。</w:t>
      </w:r>
    </w:p>
    <w:p w14:paraId="16BC79E7">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注：1. 评标委员会采用综合评分法对通过初审投标人的投标文件进行综合评分；</w:t>
      </w:r>
    </w:p>
    <w:p w14:paraId="2F0CE74A">
      <w:pPr>
        <w:adjustRightInd w:val="0"/>
        <w:snapToGrid w:val="0"/>
        <w:spacing w:line="360" w:lineRule="auto"/>
        <w:ind w:firstLine="960" w:firstLineChars="4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 评分计算保留2位小数（四舍五入）；</w:t>
      </w:r>
    </w:p>
    <w:p w14:paraId="37B5C1B7">
      <w:pPr>
        <w:adjustRightInd w:val="0"/>
        <w:snapToGrid w:val="0"/>
        <w:spacing w:line="360" w:lineRule="auto"/>
        <w:ind w:firstLine="960" w:firstLineChars="400"/>
        <w:rPr>
          <w:rFonts w:ascii="仿宋_GB2312" w:hAnsi="仿宋" w:eastAsia="仿宋_GB2312" w:cs="仿宋_GB2312"/>
          <w:color w:val="auto"/>
          <w:sz w:val="24"/>
        </w:rPr>
      </w:pPr>
      <w:r>
        <w:rPr>
          <w:rFonts w:hint="eastAsia" w:ascii="仿宋_GB2312" w:hAnsi="仿宋" w:eastAsia="仿宋_GB2312" w:cs="仿宋_GB2312"/>
          <w:b/>
          <w:bCs/>
          <w:color w:val="auto"/>
          <w:sz w:val="24"/>
        </w:rPr>
        <w:t>3. 评标中遇到的其它问题，由评标委员会集体研究处理。</w:t>
      </w:r>
    </w:p>
    <w:p w14:paraId="5C966ECA">
      <w:pPr>
        <w:pStyle w:val="4"/>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kern w:val="0"/>
          <w:sz w:val="24"/>
        </w:rPr>
        <w:br w:type="page"/>
      </w:r>
      <w:bookmarkStart w:id="142" w:name="_Toc32318_WPSOffice_Level2"/>
      <w:r>
        <w:rPr>
          <w:rFonts w:hint="eastAsia" w:ascii="仿宋_GB2312" w:hAnsi="仿宋" w:eastAsia="仿宋_GB2312" w:cs="仿宋_GB2312"/>
          <w:color w:val="auto"/>
          <w:szCs w:val="28"/>
        </w:rPr>
        <w:t xml:space="preserve">附件1                   </w:t>
      </w:r>
      <w:bookmarkEnd w:id="142"/>
    </w:p>
    <w:p w14:paraId="5FAFF2C2">
      <w:pPr>
        <w:snapToGrid w:val="0"/>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资格性审查表</w:t>
      </w:r>
    </w:p>
    <w:tbl>
      <w:tblPr>
        <w:tblStyle w:val="25"/>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4156"/>
        <w:gridCol w:w="2857"/>
        <w:gridCol w:w="568"/>
        <w:gridCol w:w="568"/>
        <w:gridCol w:w="522"/>
      </w:tblGrid>
      <w:tr w14:paraId="7CC3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47" w:type="dxa"/>
            <w:vMerge w:val="restart"/>
            <w:vAlign w:val="center"/>
          </w:tcPr>
          <w:p w14:paraId="4B26682B">
            <w:pPr>
              <w:snapToGrid w:val="0"/>
              <w:ind w:left="-96" w:leftChars="-46" w:right="-86" w:rightChars="-41"/>
              <w:jc w:val="center"/>
              <w:rPr>
                <w:rFonts w:ascii="仿宋_GB2312" w:hAnsi="仿宋" w:eastAsia="仿宋_GB2312" w:cs="仿宋_GB2312"/>
                <w:color w:val="auto"/>
                <w:sz w:val="24"/>
              </w:rPr>
            </w:pPr>
            <w:r>
              <w:rPr>
                <w:rFonts w:hint="eastAsia" w:ascii="仿宋_GB2312" w:hAnsi="仿宋" w:eastAsia="仿宋_GB2312" w:cs="仿宋_GB2312"/>
                <w:color w:val="auto"/>
                <w:sz w:val="24"/>
              </w:rPr>
              <w:t>序号</w:t>
            </w:r>
          </w:p>
        </w:tc>
        <w:tc>
          <w:tcPr>
            <w:tcW w:w="4156" w:type="dxa"/>
            <w:vMerge w:val="restart"/>
            <w:vAlign w:val="center"/>
          </w:tcPr>
          <w:p w14:paraId="4C875A53">
            <w:pPr>
              <w:pStyle w:val="4"/>
              <w:adjustRightInd w:val="0"/>
              <w:snapToGrid w:val="0"/>
              <w:spacing w:before="0" w:after="0" w:line="240" w:lineRule="auto"/>
              <w:ind w:left="-96" w:leftChars="-46" w:right="-86" w:rightChars="-41"/>
              <w:rPr>
                <w:rFonts w:ascii="仿宋_GB2312" w:hAnsi="仿宋" w:eastAsia="仿宋_GB2312" w:cs="仿宋_GB2312"/>
                <w:b w:val="0"/>
                <w:color w:val="auto"/>
                <w:sz w:val="24"/>
              </w:rPr>
            </w:pPr>
            <w:r>
              <w:rPr>
                <w:rFonts w:hint="eastAsia" w:ascii="仿宋_GB2312" w:hAnsi="仿宋" w:eastAsia="仿宋_GB2312" w:cs="仿宋_GB2312"/>
                <w:b w:val="0"/>
                <w:color w:val="auto"/>
                <w:sz w:val="24"/>
              </w:rPr>
              <w:t>审查项目</w:t>
            </w:r>
          </w:p>
        </w:tc>
        <w:tc>
          <w:tcPr>
            <w:tcW w:w="2857" w:type="dxa"/>
            <w:vMerge w:val="restart"/>
            <w:vAlign w:val="center"/>
          </w:tcPr>
          <w:p w14:paraId="58FF5345">
            <w:pPr>
              <w:pStyle w:val="4"/>
              <w:adjustRightInd w:val="0"/>
              <w:snapToGrid w:val="0"/>
              <w:spacing w:before="0" w:after="0" w:line="240" w:lineRule="auto"/>
              <w:ind w:left="-96" w:leftChars="-46" w:right="-86" w:rightChars="-41"/>
              <w:rPr>
                <w:rFonts w:ascii="仿宋_GB2312" w:hAnsi="仿宋" w:eastAsia="仿宋_GB2312" w:cs="仿宋_GB2312"/>
                <w:b w:val="0"/>
                <w:color w:val="auto"/>
                <w:sz w:val="24"/>
              </w:rPr>
            </w:pPr>
            <w:r>
              <w:rPr>
                <w:rFonts w:hint="eastAsia" w:ascii="仿宋_GB2312" w:hAnsi="仿宋" w:eastAsia="仿宋_GB2312" w:cs="仿宋_GB2312"/>
                <w:b w:val="0"/>
                <w:color w:val="auto"/>
                <w:sz w:val="24"/>
              </w:rPr>
              <w:t>审查标准</w:t>
            </w:r>
          </w:p>
        </w:tc>
        <w:tc>
          <w:tcPr>
            <w:tcW w:w="1658" w:type="dxa"/>
            <w:gridSpan w:val="3"/>
            <w:vAlign w:val="center"/>
          </w:tcPr>
          <w:p w14:paraId="4688E1E6">
            <w:pPr>
              <w:pStyle w:val="4"/>
              <w:adjustRightInd w:val="0"/>
              <w:snapToGrid w:val="0"/>
              <w:spacing w:before="0" w:after="0" w:line="240" w:lineRule="auto"/>
              <w:ind w:left="-96" w:leftChars="-46" w:right="-86" w:rightChars="-41"/>
              <w:rPr>
                <w:rFonts w:ascii="仿宋_GB2312" w:hAnsi="仿宋" w:eastAsia="仿宋_GB2312" w:cs="仿宋_GB2312"/>
                <w:b w:val="0"/>
                <w:color w:val="auto"/>
                <w:sz w:val="24"/>
              </w:rPr>
            </w:pPr>
            <w:r>
              <w:rPr>
                <w:rFonts w:hint="eastAsia" w:ascii="仿宋_GB2312" w:hAnsi="仿宋" w:eastAsia="仿宋_GB2312" w:cs="仿宋_GB2312"/>
                <w:b w:val="0"/>
                <w:color w:val="auto"/>
                <w:sz w:val="24"/>
              </w:rPr>
              <w:t>投标人名称</w:t>
            </w:r>
          </w:p>
        </w:tc>
      </w:tr>
      <w:tr w14:paraId="4FE3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47" w:type="dxa"/>
            <w:vMerge w:val="continue"/>
            <w:vAlign w:val="center"/>
          </w:tcPr>
          <w:p w14:paraId="07CC90DA">
            <w:pPr>
              <w:pStyle w:val="4"/>
              <w:adjustRightInd w:val="0"/>
              <w:snapToGrid w:val="0"/>
              <w:spacing w:before="0" w:after="0" w:line="240" w:lineRule="auto"/>
              <w:rPr>
                <w:rFonts w:ascii="仿宋_GB2312" w:hAnsi="仿宋" w:eastAsia="仿宋_GB2312" w:cs="仿宋_GB2312"/>
                <w:color w:val="auto"/>
                <w:sz w:val="24"/>
              </w:rPr>
            </w:pPr>
          </w:p>
        </w:tc>
        <w:tc>
          <w:tcPr>
            <w:tcW w:w="4156" w:type="dxa"/>
            <w:vMerge w:val="continue"/>
            <w:vAlign w:val="center"/>
          </w:tcPr>
          <w:p w14:paraId="7F4D71D3">
            <w:pPr>
              <w:pStyle w:val="4"/>
              <w:adjustRightInd w:val="0"/>
              <w:snapToGrid w:val="0"/>
              <w:spacing w:before="0" w:after="0" w:line="240" w:lineRule="auto"/>
              <w:rPr>
                <w:rFonts w:ascii="仿宋_GB2312" w:hAnsi="仿宋" w:eastAsia="仿宋_GB2312" w:cs="仿宋_GB2312"/>
                <w:color w:val="auto"/>
                <w:sz w:val="24"/>
              </w:rPr>
            </w:pPr>
          </w:p>
        </w:tc>
        <w:tc>
          <w:tcPr>
            <w:tcW w:w="2857" w:type="dxa"/>
            <w:vMerge w:val="continue"/>
            <w:vAlign w:val="center"/>
          </w:tcPr>
          <w:p w14:paraId="0AABBB4A">
            <w:pPr>
              <w:pStyle w:val="4"/>
              <w:adjustRightInd w:val="0"/>
              <w:snapToGrid w:val="0"/>
              <w:spacing w:before="0" w:after="0" w:line="240" w:lineRule="auto"/>
              <w:rPr>
                <w:rFonts w:ascii="仿宋_GB2312" w:hAnsi="仿宋" w:eastAsia="仿宋_GB2312" w:cs="仿宋_GB2312"/>
                <w:color w:val="auto"/>
                <w:sz w:val="24"/>
              </w:rPr>
            </w:pPr>
          </w:p>
        </w:tc>
        <w:tc>
          <w:tcPr>
            <w:tcW w:w="568" w:type="dxa"/>
            <w:vAlign w:val="center"/>
          </w:tcPr>
          <w:p w14:paraId="4EBB39B0">
            <w:pPr>
              <w:pStyle w:val="4"/>
              <w:adjustRightInd w:val="0"/>
              <w:snapToGrid w:val="0"/>
              <w:spacing w:before="0" w:after="0" w:line="240" w:lineRule="auto"/>
              <w:rPr>
                <w:rFonts w:ascii="仿宋_GB2312" w:hAnsi="仿宋" w:eastAsia="仿宋_GB2312" w:cs="仿宋_GB2312"/>
                <w:color w:val="auto"/>
                <w:sz w:val="24"/>
              </w:rPr>
            </w:pPr>
          </w:p>
        </w:tc>
        <w:tc>
          <w:tcPr>
            <w:tcW w:w="568" w:type="dxa"/>
            <w:vAlign w:val="center"/>
          </w:tcPr>
          <w:p w14:paraId="66C7188B">
            <w:pPr>
              <w:pStyle w:val="4"/>
              <w:adjustRightInd w:val="0"/>
              <w:snapToGrid w:val="0"/>
              <w:spacing w:before="0" w:after="0" w:line="240" w:lineRule="auto"/>
              <w:rPr>
                <w:rFonts w:ascii="仿宋_GB2312" w:hAnsi="仿宋" w:eastAsia="仿宋_GB2312" w:cs="仿宋_GB2312"/>
                <w:color w:val="auto"/>
                <w:sz w:val="24"/>
              </w:rPr>
            </w:pPr>
          </w:p>
        </w:tc>
        <w:tc>
          <w:tcPr>
            <w:tcW w:w="522" w:type="dxa"/>
            <w:vAlign w:val="center"/>
          </w:tcPr>
          <w:p w14:paraId="5A0B98AD">
            <w:pPr>
              <w:pStyle w:val="4"/>
              <w:adjustRightInd w:val="0"/>
              <w:snapToGrid w:val="0"/>
              <w:spacing w:before="0" w:after="0" w:line="240" w:lineRule="auto"/>
              <w:rPr>
                <w:rFonts w:ascii="仿宋_GB2312" w:hAnsi="仿宋" w:eastAsia="仿宋_GB2312" w:cs="仿宋_GB2312"/>
                <w:color w:val="auto"/>
                <w:sz w:val="24"/>
              </w:rPr>
            </w:pPr>
          </w:p>
        </w:tc>
      </w:tr>
      <w:tr w14:paraId="662E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47" w:type="dxa"/>
            <w:vAlign w:val="center"/>
          </w:tcPr>
          <w:p w14:paraId="58C18687">
            <w:pPr>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1</w:t>
            </w:r>
          </w:p>
        </w:tc>
        <w:tc>
          <w:tcPr>
            <w:tcW w:w="4156" w:type="dxa"/>
            <w:vAlign w:val="center"/>
          </w:tcPr>
          <w:p w14:paraId="7F397260">
            <w:pPr>
              <w:snapToGrid w:val="0"/>
              <w:jc w:val="left"/>
              <w:rPr>
                <w:rFonts w:ascii="仿宋_GB2312" w:hAnsi="仿宋" w:eastAsia="仿宋_GB2312" w:cs="仿宋_GB2312"/>
                <w:b/>
                <w:color w:val="auto"/>
                <w:sz w:val="22"/>
                <w:szCs w:val="22"/>
              </w:rPr>
            </w:pPr>
            <w:r>
              <w:rPr>
                <w:rFonts w:hint="eastAsia" w:ascii="仿宋_GB2312" w:hAnsi="仿宋" w:eastAsia="仿宋_GB2312" w:cs="仿宋_GB2312"/>
                <w:color w:val="auto"/>
                <w:sz w:val="22"/>
                <w:szCs w:val="22"/>
              </w:rPr>
              <w:t>营业执照或事业单位法人证书或执业许可证等证明文件或自然人的身份证明</w:t>
            </w:r>
          </w:p>
        </w:tc>
        <w:tc>
          <w:tcPr>
            <w:tcW w:w="2857" w:type="dxa"/>
            <w:vAlign w:val="center"/>
          </w:tcPr>
          <w:p w14:paraId="78B339D6">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1.按要求提供</w:t>
            </w:r>
          </w:p>
          <w:p w14:paraId="5FB77A13">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2.合法有效</w:t>
            </w:r>
          </w:p>
        </w:tc>
        <w:tc>
          <w:tcPr>
            <w:tcW w:w="568" w:type="dxa"/>
            <w:vAlign w:val="center"/>
          </w:tcPr>
          <w:p w14:paraId="1E667C58">
            <w:pPr>
              <w:pStyle w:val="4"/>
              <w:adjustRightInd w:val="0"/>
              <w:snapToGrid w:val="0"/>
              <w:spacing w:before="0" w:after="0" w:line="240" w:lineRule="auto"/>
              <w:rPr>
                <w:rFonts w:ascii="仿宋_GB2312" w:hAnsi="仿宋" w:eastAsia="仿宋_GB2312" w:cs="仿宋_GB2312"/>
                <w:color w:val="auto"/>
                <w:sz w:val="24"/>
              </w:rPr>
            </w:pPr>
          </w:p>
        </w:tc>
        <w:tc>
          <w:tcPr>
            <w:tcW w:w="568" w:type="dxa"/>
            <w:vAlign w:val="center"/>
          </w:tcPr>
          <w:p w14:paraId="2DED9A11">
            <w:pPr>
              <w:pStyle w:val="4"/>
              <w:adjustRightInd w:val="0"/>
              <w:snapToGrid w:val="0"/>
              <w:spacing w:before="0" w:after="0" w:line="240" w:lineRule="auto"/>
              <w:rPr>
                <w:rFonts w:ascii="仿宋_GB2312" w:hAnsi="仿宋" w:eastAsia="仿宋_GB2312" w:cs="仿宋_GB2312"/>
                <w:color w:val="auto"/>
                <w:sz w:val="24"/>
              </w:rPr>
            </w:pPr>
          </w:p>
        </w:tc>
        <w:tc>
          <w:tcPr>
            <w:tcW w:w="522" w:type="dxa"/>
            <w:vAlign w:val="center"/>
          </w:tcPr>
          <w:p w14:paraId="56B25F84">
            <w:pPr>
              <w:pStyle w:val="4"/>
              <w:adjustRightInd w:val="0"/>
              <w:snapToGrid w:val="0"/>
              <w:spacing w:before="0" w:after="0" w:line="240" w:lineRule="auto"/>
              <w:rPr>
                <w:rFonts w:ascii="仿宋_GB2312" w:hAnsi="仿宋" w:eastAsia="仿宋_GB2312" w:cs="仿宋_GB2312"/>
                <w:color w:val="auto"/>
                <w:sz w:val="24"/>
              </w:rPr>
            </w:pPr>
          </w:p>
        </w:tc>
      </w:tr>
      <w:tr w14:paraId="4BE5F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47" w:type="dxa"/>
            <w:vAlign w:val="center"/>
          </w:tcPr>
          <w:p w14:paraId="5A106E62">
            <w:pPr>
              <w:widowControl/>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w:t>
            </w:r>
          </w:p>
        </w:tc>
        <w:tc>
          <w:tcPr>
            <w:tcW w:w="4156" w:type="dxa"/>
            <w:vAlign w:val="center"/>
          </w:tcPr>
          <w:p w14:paraId="4FD3EF11">
            <w:pPr>
              <w:widowControl/>
              <w:snapToGrid w:val="0"/>
              <w:jc w:val="left"/>
              <w:rPr>
                <w:rFonts w:ascii="仿宋_GB2312" w:hAnsi="仿宋" w:eastAsia="仿宋_GB2312" w:cs="仿宋_GB2312"/>
                <w:b/>
                <w:color w:val="auto"/>
                <w:sz w:val="22"/>
                <w:szCs w:val="22"/>
              </w:rPr>
            </w:pPr>
            <w:r>
              <w:rPr>
                <w:rFonts w:hint="eastAsia" w:ascii="仿宋_GB2312" w:hAnsi="仿宋" w:eastAsia="仿宋_GB2312" w:cs="仿宋_GB2312"/>
                <w:color w:val="auto"/>
                <w:sz w:val="22"/>
                <w:szCs w:val="22"/>
              </w:rPr>
              <w:t>法定代表人（或非法人组织负责人）身份证明书</w:t>
            </w:r>
          </w:p>
        </w:tc>
        <w:tc>
          <w:tcPr>
            <w:tcW w:w="2857" w:type="dxa"/>
            <w:vAlign w:val="center"/>
          </w:tcPr>
          <w:p w14:paraId="5DC04D3C">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1.按给定格式填写</w:t>
            </w:r>
          </w:p>
          <w:p w14:paraId="268CAB59">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2.按规定签章</w:t>
            </w:r>
          </w:p>
        </w:tc>
        <w:tc>
          <w:tcPr>
            <w:tcW w:w="568" w:type="dxa"/>
          </w:tcPr>
          <w:p w14:paraId="491CE0B2">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4CE37F24">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1D4EA609">
            <w:pPr>
              <w:pStyle w:val="4"/>
              <w:adjustRightInd w:val="0"/>
              <w:snapToGrid w:val="0"/>
              <w:spacing w:before="0" w:after="0" w:line="240" w:lineRule="auto"/>
              <w:rPr>
                <w:rFonts w:ascii="仿宋_GB2312" w:hAnsi="仿宋" w:eastAsia="仿宋_GB2312" w:cs="仿宋_GB2312"/>
                <w:color w:val="auto"/>
                <w:sz w:val="24"/>
              </w:rPr>
            </w:pPr>
          </w:p>
        </w:tc>
      </w:tr>
      <w:tr w14:paraId="5CE8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547" w:type="dxa"/>
            <w:vAlign w:val="center"/>
          </w:tcPr>
          <w:p w14:paraId="75814964">
            <w:pPr>
              <w:widowControl/>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3</w:t>
            </w:r>
          </w:p>
        </w:tc>
        <w:tc>
          <w:tcPr>
            <w:tcW w:w="4156" w:type="dxa"/>
            <w:vAlign w:val="center"/>
          </w:tcPr>
          <w:p w14:paraId="2B1AEB08">
            <w:pPr>
              <w:widowControl/>
              <w:snapToGrid w:val="0"/>
              <w:jc w:val="left"/>
              <w:rPr>
                <w:rFonts w:ascii="仿宋_GB2312" w:hAnsi="仿宋" w:eastAsia="仿宋_GB2312" w:cs="仿宋_GB2312"/>
                <w:b/>
                <w:color w:val="auto"/>
                <w:sz w:val="22"/>
                <w:szCs w:val="22"/>
              </w:rPr>
            </w:pPr>
            <w:r>
              <w:rPr>
                <w:rFonts w:hint="eastAsia" w:ascii="仿宋_GB2312" w:hAnsi="仿宋" w:eastAsia="仿宋_GB2312" w:cs="仿宋_GB2312"/>
                <w:color w:val="auto"/>
                <w:sz w:val="22"/>
                <w:szCs w:val="22"/>
              </w:rPr>
              <w:t>法定代表人（或非法人组织负责人）授权委托书（授权委托人参加投标的须提供）</w:t>
            </w:r>
          </w:p>
        </w:tc>
        <w:tc>
          <w:tcPr>
            <w:tcW w:w="2857" w:type="dxa"/>
            <w:vAlign w:val="center"/>
          </w:tcPr>
          <w:p w14:paraId="7AE517D1">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1.按给定格式填写</w:t>
            </w:r>
          </w:p>
          <w:p w14:paraId="62D55043">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2.按规定签章</w:t>
            </w:r>
          </w:p>
        </w:tc>
        <w:tc>
          <w:tcPr>
            <w:tcW w:w="568" w:type="dxa"/>
          </w:tcPr>
          <w:p w14:paraId="65DD0218">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5DD630E2">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703B2754">
            <w:pPr>
              <w:pStyle w:val="4"/>
              <w:adjustRightInd w:val="0"/>
              <w:snapToGrid w:val="0"/>
              <w:spacing w:before="0" w:after="0" w:line="240" w:lineRule="auto"/>
              <w:rPr>
                <w:rFonts w:ascii="仿宋_GB2312" w:hAnsi="仿宋" w:eastAsia="仿宋_GB2312" w:cs="仿宋_GB2312"/>
                <w:color w:val="auto"/>
                <w:sz w:val="24"/>
              </w:rPr>
            </w:pPr>
          </w:p>
        </w:tc>
      </w:tr>
      <w:tr w14:paraId="328F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547" w:type="dxa"/>
            <w:vAlign w:val="center"/>
          </w:tcPr>
          <w:p w14:paraId="759AD192">
            <w:pPr>
              <w:widowControl/>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4</w:t>
            </w:r>
          </w:p>
        </w:tc>
        <w:tc>
          <w:tcPr>
            <w:tcW w:w="4156" w:type="dxa"/>
            <w:vAlign w:val="center"/>
          </w:tcPr>
          <w:p w14:paraId="0EF2F1C6">
            <w:pPr>
              <w:widowControl/>
              <w:snapToGrid w:val="0"/>
              <w:jc w:val="left"/>
              <w:rPr>
                <w:rFonts w:ascii="仿宋_GB2312" w:hAnsi="仿宋" w:eastAsia="仿宋_GB2312" w:cs="仿宋_GB2312"/>
                <w:b/>
                <w:color w:val="auto"/>
                <w:sz w:val="22"/>
                <w:szCs w:val="22"/>
              </w:rPr>
            </w:pPr>
            <w:r>
              <w:rPr>
                <w:rFonts w:hint="eastAsia" w:ascii="仿宋_GB2312" w:hAnsi="仿宋" w:eastAsia="仿宋_GB2312" w:cs="仿宋_GB2312"/>
                <w:color w:val="auto"/>
                <w:sz w:val="22"/>
                <w:szCs w:val="22"/>
              </w:rPr>
              <w:t>具有良好的商业信誉和健全的财务会计制度的承诺函</w:t>
            </w:r>
          </w:p>
        </w:tc>
        <w:tc>
          <w:tcPr>
            <w:tcW w:w="2857" w:type="dxa"/>
            <w:vAlign w:val="center"/>
          </w:tcPr>
          <w:p w14:paraId="4F86E56C">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1.信息完整</w:t>
            </w:r>
          </w:p>
          <w:p w14:paraId="6620BED4">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2.按规定签章</w:t>
            </w:r>
          </w:p>
        </w:tc>
        <w:tc>
          <w:tcPr>
            <w:tcW w:w="568" w:type="dxa"/>
          </w:tcPr>
          <w:p w14:paraId="306CF558">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5874768B">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656D71A4">
            <w:pPr>
              <w:pStyle w:val="4"/>
              <w:adjustRightInd w:val="0"/>
              <w:snapToGrid w:val="0"/>
              <w:spacing w:before="0" w:after="0" w:line="240" w:lineRule="auto"/>
              <w:rPr>
                <w:rFonts w:ascii="仿宋_GB2312" w:hAnsi="仿宋" w:eastAsia="仿宋_GB2312" w:cs="仿宋_GB2312"/>
                <w:color w:val="auto"/>
                <w:sz w:val="24"/>
              </w:rPr>
            </w:pPr>
          </w:p>
        </w:tc>
      </w:tr>
      <w:tr w14:paraId="6F19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2" w:hRule="atLeast"/>
          <w:jc w:val="center"/>
        </w:trPr>
        <w:tc>
          <w:tcPr>
            <w:tcW w:w="547" w:type="dxa"/>
            <w:vAlign w:val="center"/>
          </w:tcPr>
          <w:p w14:paraId="1377E26D">
            <w:pPr>
              <w:widowControl/>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5</w:t>
            </w:r>
          </w:p>
        </w:tc>
        <w:tc>
          <w:tcPr>
            <w:tcW w:w="4156" w:type="dxa"/>
            <w:vAlign w:val="center"/>
          </w:tcPr>
          <w:p w14:paraId="44AE82C9">
            <w:pPr>
              <w:widowControl/>
              <w:snapToGrid w:val="0"/>
              <w:jc w:val="left"/>
              <w:rPr>
                <w:rFonts w:ascii="仿宋_GB2312" w:hAnsi="仿宋" w:eastAsia="仿宋_GB2312" w:cs="仿宋_GB2312"/>
                <w:b/>
                <w:color w:val="auto"/>
                <w:sz w:val="22"/>
                <w:szCs w:val="22"/>
              </w:rPr>
            </w:pPr>
            <w:r>
              <w:rPr>
                <w:rFonts w:hint="eastAsia" w:ascii="仿宋_GB2312" w:hAnsi="仿宋" w:eastAsia="仿宋_GB2312" w:cs="仿宋_GB2312"/>
                <w:color w:val="auto"/>
                <w:sz w:val="22"/>
                <w:szCs w:val="22"/>
              </w:rPr>
              <w:t>开标时间前六个月内任一个月的依法缴纳税收的缴款凭据</w:t>
            </w:r>
            <w:r>
              <w:rPr>
                <w:rFonts w:hint="eastAsia" w:ascii="仿宋_GB2312" w:hAnsi="仿宋" w:eastAsia="仿宋_GB2312" w:cs="仿宋_GB2312"/>
                <w:b/>
                <w:bCs/>
                <w:color w:val="auto"/>
                <w:sz w:val="22"/>
                <w:szCs w:val="22"/>
              </w:rPr>
              <w:t>（增值税等）</w:t>
            </w:r>
            <w:r>
              <w:rPr>
                <w:rFonts w:hint="eastAsia" w:ascii="仿宋_GB2312" w:hAnsi="仿宋" w:eastAsia="仿宋_GB2312" w:cs="仿宋_GB2312"/>
                <w:color w:val="auto"/>
                <w:sz w:val="22"/>
                <w:szCs w:val="22"/>
              </w:rPr>
              <w:t>复印件加盖公章（注：依法免税的投标人，应提供相关证明材料，包括相关法规要求原文及加盖单位公章的情况说明）</w:t>
            </w:r>
          </w:p>
        </w:tc>
        <w:tc>
          <w:tcPr>
            <w:tcW w:w="2857" w:type="dxa"/>
            <w:vAlign w:val="center"/>
          </w:tcPr>
          <w:p w14:paraId="0D43A96B">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1.按要求提供</w:t>
            </w:r>
          </w:p>
          <w:p w14:paraId="07F190B6">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2.合法有效</w:t>
            </w:r>
          </w:p>
          <w:p w14:paraId="7B3907D3">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568" w:type="dxa"/>
          </w:tcPr>
          <w:p w14:paraId="05185834">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76E2526C">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07780CEC">
            <w:pPr>
              <w:pStyle w:val="4"/>
              <w:adjustRightInd w:val="0"/>
              <w:snapToGrid w:val="0"/>
              <w:spacing w:before="0" w:after="0" w:line="240" w:lineRule="auto"/>
              <w:rPr>
                <w:rFonts w:ascii="仿宋_GB2312" w:hAnsi="仿宋" w:eastAsia="仿宋_GB2312" w:cs="仿宋_GB2312"/>
                <w:color w:val="auto"/>
                <w:sz w:val="24"/>
              </w:rPr>
            </w:pPr>
          </w:p>
        </w:tc>
      </w:tr>
      <w:tr w14:paraId="49A83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547" w:type="dxa"/>
            <w:vAlign w:val="center"/>
          </w:tcPr>
          <w:p w14:paraId="599AA258">
            <w:pPr>
              <w:widowControl/>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6</w:t>
            </w:r>
          </w:p>
        </w:tc>
        <w:tc>
          <w:tcPr>
            <w:tcW w:w="4156" w:type="dxa"/>
            <w:vAlign w:val="center"/>
          </w:tcPr>
          <w:p w14:paraId="21D39DF7">
            <w:pPr>
              <w:widowControl/>
              <w:snapToGrid w:val="0"/>
              <w:jc w:val="left"/>
              <w:rPr>
                <w:rFonts w:ascii="仿宋_GB2312" w:hAnsi="仿宋" w:eastAsia="仿宋_GB2312" w:cs="仿宋_GB2312"/>
                <w:b/>
                <w:color w:val="auto"/>
                <w:sz w:val="22"/>
                <w:szCs w:val="22"/>
              </w:rPr>
            </w:pPr>
            <w:r>
              <w:rPr>
                <w:rFonts w:hint="eastAsia" w:ascii="仿宋_GB2312" w:hAnsi="仿宋" w:eastAsia="仿宋_GB2312" w:cs="仿宋_GB2312"/>
                <w:color w:val="auto"/>
                <w:sz w:val="22"/>
                <w:szCs w:val="22"/>
              </w:rPr>
              <w:t>开标时间前六个月内任一个月的依法缴纳社会保障资金的缴款凭据复印件加盖公章（注：依法不需要缴纳社会保障资金的投标人，应提供相关证明材料，包括相关法规要求原文及加盖单位公章的情况说明）</w:t>
            </w:r>
          </w:p>
        </w:tc>
        <w:tc>
          <w:tcPr>
            <w:tcW w:w="2857" w:type="dxa"/>
            <w:vAlign w:val="center"/>
          </w:tcPr>
          <w:p w14:paraId="32072C03">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1.按要求提供</w:t>
            </w:r>
          </w:p>
          <w:p w14:paraId="4F99244D">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2.合法有效</w:t>
            </w:r>
          </w:p>
          <w:p w14:paraId="7AF81C94">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568" w:type="dxa"/>
          </w:tcPr>
          <w:p w14:paraId="4274308D">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05C75866">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1100D8AE">
            <w:pPr>
              <w:pStyle w:val="4"/>
              <w:adjustRightInd w:val="0"/>
              <w:snapToGrid w:val="0"/>
              <w:spacing w:before="0" w:after="0" w:line="240" w:lineRule="auto"/>
              <w:rPr>
                <w:rFonts w:ascii="仿宋_GB2312" w:hAnsi="仿宋" w:eastAsia="仿宋_GB2312" w:cs="仿宋_GB2312"/>
                <w:color w:val="auto"/>
                <w:sz w:val="24"/>
              </w:rPr>
            </w:pPr>
          </w:p>
        </w:tc>
      </w:tr>
      <w:tr w14:paraId="5EE8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547" w:type="dxa"/>
            <w:vAlign w:val="center"/>
          </w:tcPr>
          <w:p w14:paraId="0F0C9B0A">
            <w:pPr>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7</w:t>
            </w:r>
          </w:p>
        </w:tc>
        <w:tc>
          <w:tcPr>
            <w:tcW w:w="4156" w:type="dxa"/>
            <w:vAlign w:val="center"/>
          </w:tcPr>
          <w:p w14:paraId="5C261949">
            <w:pPr>
              <w:widowControl/>
              <w:snapToGrid w:val="0"/>
              <w:jc w:val="left"/>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具备履行合同所必需的设备和专业技术能力声明函</w:t>
            </w:r>
          </w:p>
        </w:tc>
        <w:tc>
          <w:tcPr>
            <w:tcW w:w="2857" w:type="dxa"/>
            <w:vAlign w:val="center"/>
          </w:tcPr>
          <w:p w14:paraId="74E8B4EE">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1.信息完整</w:t>
            </w:r>
          </w:p>
          <w:p w14:paraId="1DCF952D">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2.按规定签章</w:t>
            </w:r>
          </w:p>
        </w:tc>
        <w:tc>
          <w:tcPr>
            <w:tcW w:w="568" w:type="dxa"/>
          </w:tcPr>
          <w:p w14:paraId="188CF9E0">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05F867AA">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1F092BBF">
            <w:pPr>
              <w:pStyle w:val="4"/>
              <w:adjustRightInd w:val="0"/>
              <w:snapToGrid w:val="0"/>
              <w:spacing w:before="0" w:after="0" w:line="240" w:lineRule="auto"/>
              <w:rPr>
                <w:rFonts w:ascii="仿宋_GB2312" w:hAnsi="仿宋" w:eastAsia="仿宋_GB2312" w:cs="仿宋_GB2312"/>
                <w:color w:val="auto"/>
                <w:sz w:val="24"/>
              </w:rPr>
            </w:pPr>
          </w:p>
        </w:tc>
      </w:tr>
      <w:tr w14:paraId="72C6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47" w:type="dxa"/>
            <w:vAlign w:val="center"/>
          </w:tcPr>
          <w:p w14:paraId="6090C19E">
            <w:pPr>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8</w:t>
            </w:r>
          </w:p>
        </w:tc>
        <w:tc>
          <w:tcPr>
            <w:tcW w:w="4156" w:type="dxa"/>
            <w:vAlign w:val="center"/>
          </w:tcPr>
          <w:p w14:paraId="039998EA">
            <w:pPr>
              <w:widowControl/>
              <w:snapToGrid w:val="0"/>
              <w:jc w:val="left"/>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参加政府采购活动前3年内在经营活动中没有重大违法记录的书面声明</w:t>
            </w:r>
          </w:p>
        </w:tc>
        <w:tc>
          <w:tcPr>
            <w:tcW w:w="2857" w:type="dxa"/>
            <w:vAlign w:val="center"/>
          </w:tcPr>
          <w:p w14:paraId="768866B1">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1.按给定格式填写</w:t>
            </w:r>
          </w:p>
          <w:p w14:paraId="2FB71437">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2.按规定签章</w:t>
            </w:r>
          </w:p>
        </w:tc>
        <w:tc>
          <w:tcPr>
            <w:tcW w:w="568" w:type="dxa"/>
          </w:tcPr>
          <w:p w14:paraId="7E45D6A6">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36923BFB">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24156F7E">
            <w:pPr>
              <w:pStyle w:val="4"/>
              <w:adjustRightInd w:val="0"/>
              <w:snapToGrid w:val="0"/>
              <w:spacing w:before="0" w:after="0" w:line="240" w:lineRule="auto"/>
              <w:rPr>
                <w:rFonts w:ascii="仿宋_GB2312" w:hAnsi="仿宋" w:eastAsia="仿宋_GB2312" w:cs="仿宋_GB2312"/>
                <w:color w:val="auto"/>
                <w:sz w:val="24"/>
              </w:rPr>
            </w:pPr>
          </w:p>
        </w:tc>
      </w:tr>
      <w:tr w14:paraId="3681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547" w:type="dxa"/>
            <w:shd w:val="clear" w:color="auto" w:fill="auto"/>
            <w:vAlign w:val="center"/>
          </w:tcPr>
          <w:p w14:paraId="031B6DF4">
            <w:pPr>
              <w:snapToGrid w:val="0"/>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9</w:t>
            </w:r>
          </w:p>
        </w:tc>
        <w:tc>
          <w:tcPr>
            <w:tcW w:w="4156" w:type="dxa"/>
            <w:shd w:val="clear" w:color="auto" w:fill="auto"/>
            <w:vAlign w:val="center"/>
          </w:tcPr>
          <w:p w14:paraId="199CD37B">
            <w:pPr>
              <w:widowControl/>
              <w:snapToGrid w:val="0"/>
              <w:jc w:val="left"/>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信用记录（采购人或采购代理机构将按照招标文件规定的审查期间内进行查询）</w:t>
            </w:r>
          </w:p>
        </w:tc>
        <w:tc>
          <w:tcPr>
            <w:tcW w:w="2857" w:type="dxa"/>
            <w:shd w:val="clear" w:color="auto" w:fill="auto"/>
            <w:vAlign w:val="center"/>
          </w:tcPr>
          <w:p w14:paraId="0D8C05C2">
            <w:pPr>
              <w:pStyle w:val="4"/>
              <w:adjustRightInd w:val="0"/>
              <w:snapToGrid w:val="0"/>
              <w:spacing w:before="0" w:after="0" w:line="240" w:lineRule="auto"/>
              <w:jc w:val="left"/>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无投标须知22.2.1所述的不良记录</w:t>
            </w:r>
          </w:p>
        </w:tc>
        <w:tc>
          <w:tcPr>
            <w:tcW w:w="568" w:type="dxa"/>
          </w:tcPr>
          <w:p w14:paraId="51CAB901">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5FF112B6">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495E8FBD">
            <w:pPr>
              <w:pStyle w:val="4"/>
              <w:adjustRightInd w:val="0"/>
              <w:snapToGrid w:val="0"/>
              <w:spacing w:before="0" w:after="0" w:line="240" w:lineRule="auto"/>
              <w:rPr>
                <w:rFonts w:ascii="仿宋_GB2312" w:hAnsi="仿宋" w:eastAsia="仿宋_GB2312" w:cs="仿宋_GB2312"/>
                <w:color w:val="auto"/>
                <w:sz w:val="24"/>
              </w:rPr>
            </w:pPr>
          </w:p>
        </w:tc>
      </w:tr>
      <w:tr w14:paraId="1912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560" w:type="dxa"/>
            <w:gridSpan w:val="3"/>
            <w:vAlign w:val="center"/>
          </w:tcPr>
          <w:p w14:paraId="4CCE47B8">
            <w:pPr>
              <w:pStyle w:val="4"/>
              <w:adjustRightInd w:val="0"/>
              <w:snapToGrid w:val="0"/>
              <w:spacing w:before="0" w:after="0" w:line="240" w:lineRule="auto"/>
              <w:rPr>
                <w:rFonts w:ascii="仿宋_GB2312" w:hAnsi="仿宋" w:eastAsia="仿宋_GB2312" w:cs="仿宋_GB2312"/>
                <w:color w:val="auto"/>
                <w:sz w:val="24"/>
              </w:rPr>
            </w:pPr>
            <w:r>
              <w:rPr>
                <w:rFonts w:hint="eastAsia" w:ascii="仿宋_GB2312" w:hAnsi="仿宋" w:eastAsia="仿宋_GB2312" w:cs="仿宋_GB2312"/>
                <w:color w:val="auto"/>
                <w:sz w:val="24"/>
              </w:rPr>
              <w:t>结论</w:t>
            </w:r>
          </w:p>
        </w:tc>
        <w:tc>
          <w:tcPr>
            <w:tcW w:w="568" w:type="dxa"/>
          </w:tcPr>
          <w:p w14:paraId="03C30626">
            <w:pPr>
              <w:pStyle w:val="4"/>
              <w:adjustRightInd w:val="0"/>
              <w:snapToGrid w:val="0"/>
              <w:spacing w:before="0" w:after="0" w:line="240" w:lineRule="auto"/>
              <w:rPr>
                <w:rFonts w:ascii="仿宋_GB2312" w:hAnsi="仿宋" w:eastAsia="仿宋_GB2312" w:cs="仿宋_GB2312"/>
                <w:color w:val="auto"/>
                <w:sz w:val="24"/>
              </w:rPr>
            </w:pPr>
          </w:p>
        </w:tc>
        <w:tc>
          <w:tcPr>
            <w:tcW w:w="568" w:type="dxa"/>
          </w:tcPr>
          <w:p w14:paraId="18E734A4">
            <w:pPr>
              <w:pStyle w:val="4"/>
              <w:adjustRightInd w:val="0"/>
              <w:snapToGrid w:val="0"/>
              <w:spacing w:before="0" w:after="0" w:line="240" w:lineRule="auto"/>
              <w:rPr>
                <w:rFonts w:ascii="仿宋_GB2312" w:hAnsi="仿宋" w:eastAsia="仿宋_GB2312" w:cs="仿宋_GB2312"/>
                <w:color w:val="auto"/>
                <w:sz w:val="24"/>
              </w:rPr>
            </w:pPr>
          </w:p>
        </w:tc>
        <w:tc>
          <w:tcPr>
            <w:tcW w:w="522" w:type="dxa"/>
          </w:tcPr>
          <w:p w14:paraId="2C21E38B">
            <w:pPr>
              <w:pStyle w:val="4"/>
              <w:adjustRightInd w:val="0"/>
              <w:snapToGrid w:val="0"/>
              <w:spacing w:before="0" w:after="0" w:line="240" w:lineRule="auto"/>
              <w:rPr>
                <w:rFonts w:ascii="仿宋_GB2312" w:hAnsi="仿宋" w:eastAsia="仿宋_GB2312" w:cs="仿宋_GB2312"/>
                <w:color w:val="auto"/>
                <w:sz w:val="24"/>
              </w:rPr>
            </w:pPr>
          </w:p>
        </w:tc>
      </w:tr>
    </w:tbl>
    <w:p w14:paraId="179F5F73">
      <w:pPr>
        <w:snapToGrid w:val="0"/>
        <w:spacing w:line="400" w:lineRule="exact"/>
        <w:rPr>
          <w:rFonts w:ascii="仿宋_GB2312" w:hAnsi="仿宋" w:eastAsia="仿宋_GB2312" w:cs="仿宋_GB2312"/>
          <w:color w:val="auto"/>
          <w:sz w:val="24"/>
        </w:rPr>
      </w:pPr>
      <w:r>
        <w:rPr>
          <w:rFonts w:hint="eastAsia" w:ascii="仿宋_GB2312" w:hAnsi="仿宋" w:eastAsia="仿宋_GB2312" w:cs="仿宋_GB2312"/>
          <w:color w:val="auto"/>
          <w:sz w:val="24"/>
        </w:rPr>
        <w:t>填表说明：1.每项内容审查合格，在表中填写“√”；不合格填写“×”；</w:t>
      </w:r>
    </w:p>
    <w:p w14:paraId="6AADD0D9">
      <w:pPr>
        <w:snapToGrid w:val="0"/>
        <w:spacing w:line="400" w:lineRule="exact"/>
        <w:rPr>
          <w:rFonts w:ascii="仿宋_GB2312" w:hAnsi="仿宋" w:eastAsia="仿宋_GB2312" w:cs="仿宋_GB2312"/>
          <w:color w:val="auto"/>
          <w:sz w:val="24"/>
        </w:rPr>
      </w:pPr>
      <w:r>
        <w:rPr>
          <w:rFonts w:hint="eastAsia" w:ascii="仿宋_GB2312" w:hAnsi="仿宋" w:eastAsia="仿宋_GB2312" w:cs="仿宋_GB2312"/>
          <w:color w:val="auto"/>
          <w:sz w:val="24"/>
        </w:rPr>
        <w:t xml:space="preserve">          2.审查结论填写“通过”或“不通过”。</w:t>
      </w:r>
    </w:p>
    <w:p w14:paraId="386D3493">
      <w:pPr>
        <w:pStyle w:val="13"/>
        <w:widowControl w:val="0"/>
        <w:spacing w:before="0" w:beforeAutospacing="0" w:after="0" w:afterAutospacing="0" w:line="340" w:lineRule="exact"/>
        <w:jc w:val="both"/>
        <w:rPr>
          <w:rFonts w:ascii="仿宋_GB2312" w:hAnsi="仿宋" w:eastAsia="仿宋_GB2312" w:cs="仿宋_GB2312"/>
          <w:color w:val="auto"/>
        </w:rPr>
      </w:pPr>
    </w:p>
    <w:p w14:paraId="5617A329">
      <w:pPr>
        <w:pStyle w:val="13"/>
        <w:widowControl w:val="0"/>
        <w:spacing w:before="0" w:beforeAutospacing="0" w:after="0" w:afterAutospacing="0" w:line="340" w:lineRule="exact"/>
        <w:jc w:val="both"/>
        <w:rPr>
          <w:rFonts w:ascii="仿宋_GB2312" w:hAnsi="仿宋" w:eastAsia="仿宋_GB2312" w:cs="仿宋_GB2312"/>
          <w:color w:val="auto"/>
          <w:vertAlign w:val="subscript"/>
        </w:rPr>
      </w:pPr>
      <w:r>
        <w:rPr>
          <w:rFonts w:hint="eastAsia" w:ascii="仿宋_GB2312" w:hAnsi="仿宋" w:eastAsia="仿宋_GB2312" w:cs="仿宋_GB2312"/>
          <w:color w:val="auto"/>
        </w:rPr>
        <w:t>审查人签字：</w:t>
      </w:r>
    </w:p>
    <w:p w14:paraId="0CDCF3D1">
      <w:pPr>
        <w:pStyle w:val="13"/>
        <w:widowControl w:val="0"/>
        <w:spacing w:before="0" w:beforeAutospacing="0" w:after="0" w:afterAutospacing="0" w:line="340" w:lineRule="exact"/>
        <w:jc w:val="both"/>
        <w:rPr>
          <w:rFonts w:ascii="仿宋_GB2312" w:hAnsi="仿宋" w:eastAsia="仿宋_GB2312" w:cs="仿宋_GB2312"/>
          <w:bCs/>
          <w:color w:val="auto"/>
        </w:rPr>
      </w:pPr>
      <w:r>
        <w:rPr>
          <w:rFonts w:hint="eastAsia" w:ascii="仿宋_GB2312" w:hAnsi="仿宋" w:eastAsia="仿宋_GB2312" w:cs="仿宋_GB2312"/>
          <w:bCs/>
          <w:color w:val="auto"/>
        </w:rPr>
        <w:t>日      期：</w:t>
      </w:r>
    </w:p>
    <w:p w14:paraId="572ADD00">
      <w:pPr>
        <w:rPr>
          <w:rFonts w:ascii="仿宋_GB2312" w:hAnsi="仿宋" w:eastAsia="仿宋_GB2312" w:cs="仿宋_GB2312"/>
          <w:color w:val="auto"/>
          <w:szCs w:val="28"/>
        </w:rPr>
      </w:pPr>
      <w:bookmarkStart w:id="143" w:name="_Toc11558_WPSOffice_Level2"/>
      <w:r>
        <w:rPr>
          <w:rFonts w:hint="eastAsia" w:ascii="仿宋_GB2312" w:hAnsi="仿宋" w:eastAsia="仿宋_GB2312" w:cs="仿宋_GB2312"/>
          <w:color w:val="auto"/>
          <w:szCs w:val="28"/>
        </w:rPr>
        <w:br w:type="page"/>
      </w:r>
    </w:p>
    <w:p w14:paraId="20F8E42A">
      <w:pPr>
        <w:pStyle w:val="4"/>
        <w:adjustRightInd w:val="0"/>
        <w:snapToGrid w:val="0"/>
        <w:spacing w:before="0" w:after="0" w:line="240" w:lineRule="auto"/>
        <w:jc w:val="left"/>
        <w:rPr>
          <w:rFonts w:ascii="仿宋_GB2312" w:hAnsi="Times New Roman" w:eastAsia="仿宋_GB2312"/>
          <w:color w:val="auto"/>
        </w:rPr>
      </w:pPr>
      <w:r>
        <w:rPr>
          <w:rFonts w:hint="eastAsia" w:ascii="仿宋_GB2312" w:hAnsi="仿宋" w:eastAsia="仿宋_GB2312" w:cs="仿宋_GB2312"/>
          <w:color w:val="auto"/>
          <w:szCs w:val="28"/>
        </w:rPr>
        <w:t xml:space="preserve">附件2                  </w:t>
      </w:r>
      <w:bookmarkEnd w:id="143"/>
    </w:p>
    <w:p w14:paraId="4ED3E433">
      <w:pPr>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符合性审查表</w:t>
      </w:r>
    </w:p>
    <w:tbl>
      <w:tblPr>
        <w:tblStyle w:val="25"/>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2689"/>
        <w:gridCol w:w="3195"/>
        <w:gridCol w:w="745"/>
        <w:gridCol w:w="958"/>
        <w:gridCol w:w="902"/>
      </w:tblGrid>
      <w:tr w14:paraId="2B13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672" w:type="dxa"/>
            <w:vMerge w:val="restart"/>
            <w:vAlign w:val="center"/>
          </w:tcPr>
          <w:p w14:paraId="1D83F1AB">
            <w:pPr>
              <w:ind w:left="-84" w:leftChars="-40" w:right="-75" w:rightChars="-36"/>
              <w:jc w:val="center"/>
              <w:rPr>
                <w:rFonts w:ascii="仿宋_GB2312" w:hAnsi="仿宋" w:eastAsia="仿宋_GB2312" w:cs="仿宋_GB2312"/>
                <w:color w:val="auto"/>
                <w:sz w:val="24"/>
              </w:rPr>
            </w:pPr>
            <w:r>
              <w:rPr>
                <w:rFonts w:hint="eastAsia" w:ascii="仿宋_GB2312" w:hAnsi="仿宋" w:eastAsia="仿宋_GB2312" w:cs="仿宋_GB2312"/>
                <w:color w:val="auto"/>
                <w:sz w:val="24"/>
              </w:rPr>
              <w:t>序号</w:t>
            </w:r>
          </w:p>
        </w:tc>
        <w:tc>
          <w:tcPr>
            <w:tcW w:w="2689" w:type="dxa"/>
            <w:vMerge w:val="restart"/>
            <w:vAlign w:val="center"/>
          </w:tcPr>
          <w:p w14:paraId="3637B859">
            <w:pPr>
              <w:ind w:left="-84" w:leftChars="-40" w:right="-75" w:rightChars="-36"/>
              <w:jc w:val="center"/>
              <w:rPr>
                <w:rFonts w:ascii="仿宋_GB2312" w:hAnsi="仿宋" w:eastAsia="仿宋_GB2312" w:cs="仿宋_GB2312"/>
                <w:color w:val="auto"/>
                <w:sz w:val="24"/>
              </w:rPr>
            </w:pPr>
            <w:r>
              <w:rPr>
                <w:rFonts w:hint="eastAsia" w:ascii="仿宋_GB2312" w:hAnsi="仿宋" w:eastAsia="仿宋_GB2312" w:cs="仿宋_GB2312"/>
                <w:color w:val="auto"/>
                <w:sz w:val="24"/>
              </w:rPr>
              <w:t>审查项目</w:t>
            </w:r>
          </w:p>
        </w:tc>
        <w:tc>
          <w:tcPr>
            <w:tcW w:w="3195" w:type="dxa"/>
            <w:vMerge w:val="restart"/>
            <w:vAlign w:val="center"/>
          </w:tcPr>
          <w:p w14:paraId="1E3C0CCE">
            <w:pPr>
              <w:ind w:left="-84" w:leftChars="-40" w:right="-75" w:rightChars="-36"/>
              <w:jc w:val="center"/>
              <w:rPr>
                <w:rFonts w:ascii="仿宋_GB2312" w:hAnsi="仿宋" w:eastAsia="仿宋_GB2312" w:cs="仿宋_GB2312"/>
                <w:color w:val="auto"/>
                <w:sz w:val="24"/>
              </w:rPr>
            </w:pPr>
            <w:r>
              <w:rPr>
                <w:rFonts w:hint="eastAsia" w:ascii="仿宋_GB2312" w:hAnsi="仿宋" w:eastAsia="仿宋_GB2312" w:cs="仿宋_GB2312"/>
                <w:color w:val="auto"/>
                <w:sz w:val="24"/>
              </w:rPr>
              <w:t>审查标准</w:t>
            </w:r>
          </w:p>
        </w:tc>
        <w:tc>
          <w:tcPr>
            <w:tcW w:w="2605" w:type="dxa"/>
            <w:gridSpan w:val="3"/>
            <w:vAlign w:val="center"/>
          </w:tcPr>
          <w:p w14:paraId="35387050">
            <w:pPr>
              <w:ind w:left="-84" w:leftChars="-40" w:right="-75" w:rightChars="-36"/>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投标人名称</w:t>
            </w:r>
          </w:p>
        </w:tc>
      </w:tr>
      <w:tr w14:paraId="32E2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72" w:type="dxa"/>
            <w:vMerge w:val="continue"/>
            <w:vAlign w:val="center"/>
          </w:tcPr>
          <w:p w14:paraId="03311248">
            <w:pPr>
              <w:pStyle w:val="4"/>
              <w:adjustRightInd w:val="0"/>
              <w:snapToGrid w:val="0"/>
              <w:spacing w:before="0" w:after="0" w:line="240" w:lineRule="auto"/>
              <w:rPr>
                <w:rFonts w:ascii="仿宋_GB2312" w:hAnsi="仿宋" w:eastAsia="仿宋_GB2312" w:cs="仿宋_GB2312"/>
                <w:color w:val="auto"/>
                <w:sz w:val="24"/>
              </w:rPr>
            </w:pPr>
          </w:p>
        </w:tc>
        <w:tc>
          <w:tcPr>
            <w:tcW w:w="2689" w:type="dxa"/>
            <w:vMerge w:val="continue"/>
            <w:vAlign w:val="center"/>
          </w:tcPr>
          <w:p w14:paraId="7361626E">
            <w:pPr>
              <w:pStyle w:val="4"/>
              <w:adjustRightInd w:val="0"/>
              <w:snapToGrid w:val="0"/>
              <w:spacing w:before="0" w:after="0" w:line="240" w:lineRule="auto"/>
              <w:jc w:val="both"/>
              <w:rPr>
                <w:rFonts w:ascii="仿宋_GB2312" w:hAnsi="仿宋" w:eastAsia="仿宋_GB2312" w:cs="仿宋_GB2312"/>
                <w:color w:val="auto"/>
                <w:sz w:val="24"/>
              </w:rPr>
            </w:pPr>
          </w:p>
        </w:tc>
        <w:tc>
          <w:tcPr>
            <w:tcW w:w="3195" w:type="dxa"/>
            <w:vMerge w:val="continue"/>
            <w:vAlign w:val="center"/>
          </w:tcPr>
          <w:p w14:paraId="7031902D">
            <w:pPr>
              <w:pStyle w:val="4"/>
              <w:adjustRightInd w:val="0"/>
              <w:snapToGrid w:val="0"/>
              <w:spacing w:before="0" w:after="0" w:line="240" w:lineRule="auto"/>
              <w:jc w:val="both"/>
              <w:rPr>
                <w:rFonts w:ascii="仿宋_GB2312" w:hAnsi="仿宋" w:eastAsia="仿宋_GB2312" w:cs="仿宋_GB2312"/>
                <w:color w:val="auto"/>
                <w:sz w:val="24"/>
              </w:rPr>
            </w:pPr>
          </w:p>
        </w:tc>
        <w:tc>
          <w:tcPr>
            <w:tcW w:w="745" w:type="dxa"/>
            <w:vAlign w:val="center"/>
          </w:tcPr>
          <w:p w14:paraId="6287DB20">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2338DFE8">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452A31FF">
            <w:pPr>
              <w:pStyle w:val="4"/>
              <w:adjustRightInd w:val="0"/>
              <w:snapToGrid w:val="0"/>
              <w:spacing w:before="0" w:after="0" w:line="240" w:lineRule="auto"/>
              <w:rPr>
                <w:rFonts w:ascii="仿宋_GB2312" w:hAnsi="仿宋" w:eastAsia="仿宋_GB2312" w:cs="仿宋_GB2312"/>
                <w:color w:val="auto"/>
                <w:sz w:val="24"/>
              </w:rPr>
            </w:pPr>
          </w:p>
        </w:tc>
      </w:tr>
      <w:tr w14:paraId="2FE5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72" w:type="dxa"/>
            <w:vAlign w:val="center"/>
          </w:tcPr>
          <w:p w14:paraId="662436EF">
            <w:pPr>
              <w:jc w:val="center"/>
              <w:rPr>
                <w:rFonts w:ascii="仿宋_GB2312" w:hAnsi="仿宋" w:eastAsia="仿宋_GB2312" w:cs="仿宋_GB2312"/>
                <w:color w:val="auto"/>
                <w:sz w:val="22"/>
                <w:szCs w:val="22"/>
              </w:rPr>
            </w:pPr>
            <w:r>
              <w:rPr>
                <w:rFonts w:hint="eastAsia" w:ascii="仿宋_GB2312" w:hAnsi="仿宋" w:eastAsia="仿宋_GB2312" w:cs="仿宋_GB2312"/>
                <w:color w:val="auto"/>
                <w:kern w:val="0"/>
                <w:sz w:val="22"/>
                <w:szCs w:val="22"/>
              </w:rPr>
              <w:t>1</w:t>
            </w:r>
          </w:p>
        </w:tc>
        <w:tc>
          <w:tcPr>
            <w:tcW w:w="2689" w:type="dxa"/>
            <w:vAlign w:val="center"/>
          </w:tcPr>
          <w:p w14:paraId="588EA2EC">
            <w:pPr>
              <w:rPr>
                <w:rFonts w:ascii="仿宋_GB2312" w:hAnsi="仿宋" w:eastAsia="仿宋_GB2312" w:cs="仿宋_GB2312"/>
                <w:b/>
                <w:color w:val="auto"/>
                <w:sz w:val="22"/>
                <w:szCs w:val="22"/>
              </w:rPr>
            </w:pPr>
            <w:r>
              <w:rPr>
                <w:rFonts w:hint="eastAsia" w:ascii="仿宋_GB2312" w:hAnsi="仿宋" w:eastAsia="仿宋_GB2312" w:cs="仿宋_GB2312"/>
                <w:color w:val="auto"/>
                <w:kern w:val="0"/>
                <w:sz w:val="22"/>
                <w:szCs w:val="22"/>
              </w:rPr>
              <w:t>投标函</w:t>
            </w:r>
          </w:p>
        </w:tc>
        <w:tc>
          <w:tcPr>
            <w:tcW w:w="3195" w:type="dxa"/>
            <w:vAlign w:val="center"/>
          </w:tcPr>
          <w:p w14:paraId="04FD2FAD">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1.按给定格式填写</w:t>
            </w:r>
          </w:p>
          <w:p w14:paraId="0C738012">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2.响应招标文件实质性要求</w:t>
            </w:r>
          </w:p>
          <w:p w14:paraId="75430E50">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745" w:type="dxa"/>
            <w:vAlign w:val="center"/>
          </w:tcPr>
          <w:p w14:paraId="3FF7F20B">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5EEDE3AB">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75EACCA1">
            <w:pPr>
              <w:pStyle w:val="4"/>
              <w:adjustRightInd w:val="0"/>
              <w:snapToGrid w:val="0"/>
              <w:spacing w:before="0" w:after="0" w:line="240" w:lineRule="auto"/>
              <w:rPr>
                <w:rFonts w:ascii="仿宋_GB2312" w:hAnsi="仿宋" w:eastAsia="仿宋_GB2312" w:cs="仿宋_GB2312"/>
                <w:color w:val="auto"/>
                <w:sz w:val="24"/>
              </w:rPr>
            </w:pPr>
          </w:p>
        </w:tc>
      </w:tr>
      <w:tr w14:paraId="419B2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72" w:type="dxa"/>
            <w:vAlign w:val="center"/>
          </w:tcPr>
          <w:p w14:paraId="6FD195DA">
            <w:pPr>
              <w:jc w:val="cente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w:t>
            </w:r>
          </w:p>
        </w:tc>
        <w:tc>
          <w:tcPr>
            <w:tcW w:w="2689" w:type="dxa"/>
            <w:vAlign w:val="center"/>
          </w:tcPr>
          <w:p w14:paraId="31829042">
            <w:pPr>
              <w:rPr>
                <w:rFonts w:ascii="仿宋_GB2312" w:hAnsi="仿宋" w:eastAsia="仿宋_GB2312" w:cs="仿宋_GB2312"/>
                <w:b/>
                <w:color w:val="auto"/>
                <w:sz w:val="22"/>
                <w:szCs w:val="22"/>
              </w:rPr>
            </w:pPr>
            <w:r>
              <w:rPr>
                <w:rFonts w:hint="eastAsia" w:ascii="仿宋_GB2312" w:hAnsi="仿宋" w:eastAsia="仿宋_GB2312" w:cs="仿宋_GB2312"/>
                <w:color w:val="auto"/>
                <w:kern w:val="0"/>
                <w:sz w:val="22"/>
                <w:szCs w:val="22"/>
              </w:rPr>
              <w:t>开标一览表</w:t>
            </w:r>
          </w:p>
        </w:tc>
        <w:tc>
          <w:tcPr>
            <w:tcW w:w="3195" w:type="dxa"/>
            <w:vAlign w:val="center"/>
          </w:tcPr>
          <w:p w14:paraId="4CBA2FB1">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1.按给定格式填写</w:t>
            </w:r>
          </w:p>
          <w:p w14:paraId="1AFCD9CD">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2.响应招标文件实质性要求</w:t>
            </w:r>
          </w:p>
          <w:p w14:paraId="30A6DC84">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745" w:type="dxa"/>
            <w:vAlign w:val="center"/>
          </w:tcPr>
          <w:p w14:paraId="596D9D34">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1BBF80C1">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6104F40F">
            <w:pPr>
              <w:pStyle w:val="4"/>
              <w:adjustRightInd w:val="0"/>
              <w:snapToGrid w:val="0"/>
              <w:spacing w:before="0" w:after="0" w:line="240" w:lineRule="auto"/>
              <w:rPr>
                <w:rFonts w:ascii="仿宋_GB2312" w:hAnsi="仿宋" w:eastAsia="仿宋_GB2312" w:cs="仿宋_GB2312"/>
                <w:color w:val="auto"/>
                <w:sz w:val="24"/>
              </w:rPr>
            </w:pPr>
          </w:p>
        </w:tc>
      </w:tr>
      <w:tr w14:paraId="26AC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672" w:type="dxa"/>
            <w:vAlign w:val="center"/>
          </w:tcPr>
          <w:p w14:paraId="316A157F">
            <w:pPr>
              <w:jc w:val="center"/>
              <w:rPr>
                <w:rFonts w:ascii="仿宋_GB2312" w:hAnsi="仿宋" w:eastAsia="仿宋_GB2312" w:cs="仿宋_GB2312"/>
                <w:color w:val="auto"/>
                <w:sz w:val="22"/>
                <w:szCs w:val="22"/>
              </w:rPr>
            </w:pPr>
            <w:r>
              <w:rPr>
                <w:rFonts w:hint="eastAsia" w:ascii="仿宋_GB2312" w:hAnsi="仿宋" w:eastAsia="仿宋_GB2312" w:cs="仿宋_GB2312"/>
                <w:color w:val="auto"/>
                <w:kern w:val="0"/>
                <w:sz w:val="22"/>
                <w:szCs w:val="22"/>
              </w:rPr>
              <w:t>3</w:t>
            </w:r>
          </w:p>
        </w:tc>
        <w:tc>
          <w:tcPr>
            <w:tcW w:w="2689" w:type="dxa"/>
            <w:vAlign w:val="center"/>
          </w:tcPr>
          <w:p w14:paraId="3D3B042A">
            <w:pPr>
              <w:rPr>
                <w:rFonts w:ascii="仿宋_GB2312" w:hAnsi="仿宋" w:eastAsia="仿宋_GB2312" w:cs="仿宋_GB2312"/>
                <w:b/>
                <w:color w:val="auto"/>
                <w:sz w:val="22"/>
                <w:szCs w:val="22"/>
              </w:rPr>
            </w:pPr>
            <w:r>
              <w:rPr>
                <w:rFonts w:hint="eastAsia" w:ascii="仿宋_GB2312" w:hAnsi="仿宋" w:eastAsia="仿宋_GB2312" w:cs="仿宋_GB2312"/>
                <w:color w:val="auto"/>
                <w:kern w:val="0"/>
                <w:sz w:val="22"/>
                <w:szCs w:val="22"/>
              </w:rPr>
              <w:t>服务价格明细表</w:t>
            </w:r>
          </w:p>
        </w:tc>
        <w:tc>
          <w:tcPr>
            <w:tcW w:w="3195" w:type="dxa"/>
            <w:vAlign w:val="center"/>
          </w:tcPr>
          <w:p w14:paraId="40789FA7">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1.按给定格式填写</w:t>
            </w:r>
          </w:p>
          <w:p w14:paraId="6D8FDEEE">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2.响应招标文件实质性要求</w:t>
            </w:r>
          </w:p>
          <w:p w14:paraId="7D8111D9">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745" w:type="dxa"/>
            <w:vAlign w:val="center"/>
          </w:tcPr>
          <w:p w14:paraId="03E9E9E3">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6DD8E50B">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3D5FB575">
            <w:pPr>
              <w:pStyle w:val="4"/>
              <w:adjustRightInd w:val="0"/>
              <w:snapToGrid w:val="0"/>
              <w:spacing w:before="0" w:after="0" w:line="240" w:lineRule="auto"/>
              <w:rPr>
                <w:rFonts w:ascii="仿宋_GB2312" w:hAnsi="仿宋" w:eastAsia="仿宋_GB2312" w:cs="仿宋_GB2312"/>
                <w:color w:val="auto"/>
                <w:sz w:val="24"/>
              </w:rPr>
            </w:pPr>
          </w:p>
        </w:tc>
      </w:tr>
      <w:tr w14:paraId="0C61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672" w:type="dxa"/>
            <w:vAlign w:val="center"/>
          </w:tcPr>
          <w:p w14:paraId="2EFC5858">
            <w:pPr>
              <w:jc w:val="center"/>
              <w:rPr>
                <w:rFonts w:ascii="仿宋_GB2312" w:hAnsi="仿宋" w:eastAsia="仿宋_GB2312" w:cs="仿宋_GB2312"/>
                <w:color w:val="auto"/>
                <w:sz w:val="22"/>
                <w:szCs w:val="22"/>
              </w:rPr>
            </w:pPr>
            <w:r>
              <w:rPr>
                <w:rFonts w:hint="eastAsia" w:ascii="仿宋_GB2312" w:hAnsi="仿宋" w:eastAsia="仿宋_GB2312" w:cs="仿宋_GB2312"/>
                <w:color w:val="auto"/>
                <w:kern w:val="0"/>
                <w:sz w:val="22"/>
                <w:szCs w:val="22"/>
              </w:rPr>
              <w:t>4</w:t>
            </w:r>
          </w:p>
        </w:tc>
        <w:tc>
          <w:tcPr>
            <w:tcW w:w="2689" w:type="dxa"/>
            <w:vAlign w:val="center"/>
          </w:tcPr>
          <w:p w14:paraId="2E0F96A7">
            <w:pPr>
              <w:rPr>
                <w:rFonts w:ascii="仿宋_GB2312" w:hAnsi="仿宋" w:eastAsia="仿宋_GB2312" w:cs="仿宋_GB2312"/>
                <w:b/>
                <w:color w:val="auto"/>
                <w:sz w:val="22"/>
                <w:szCs w:val="22"/>
              </w:rPr>
            </w:pPr>
            <w:r>
              <w:rPr>
                <w:rFonts w:hint="eastAsia" w:ascii="仿宋_GB2312" w:hAnsi="仿宋" w:eastAsia="仿宋_GB2312" w:cs="仿宋_GB2312"/>
                <w:color w:val="auto"/>
                <w:kern w:val="0"/>
                <w:sz w:val="22"/>
                <w:szCs w:val="22"/>
              </w:rPr>
              <w:t>服务需求响应表</w:t>
            </w:r>
          </w:p>
        </w:tc>
        <w:tc>
          <w:tcPr>
            <w:tcW w:w="3195" w:type="dxa"/>
            <w:vAlign w:val="center"/>
          </w:tcPr>
          <w:p w14:paraId="01720A99">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1.按给定格式及填表要求填写</w:t>
            </w:r>
          </w:p>
          <w:p w14:paraId="006C66A2">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2.响应招标文件实质性要求</w:t>
            </w:r>
          </w:p>
          <w:p w14:paraId="553F45D8">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745" w:type="dxa"/>
            <w:vAlign w:val="center"/>
          </w:tcPr>
          <w:p w14:paraId="6D46A868">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746D49A5">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18AC69A4">
            <w:pPr>
              <w:pStyle w:val="4"/>
              <w:adjustRightInd w:val="0"/>
              <w:snapToGrid w:val="0"/>
              <w:spacing w:before="0" w:after="0" w:line="240" w:lineRule="auto"/>
              <w:rPr>
                <w:rFonts w:ascii="仿宋_GB2312" w:hAnsi="仿宋" w:eastAsia="仿宋_GB2312" w:cs="仿宋_GB2312"/>
                <w:color w:val="auto"/>
                <w:sz w:val="24"/>
              </w:rPr>
            </w:pPr>
          </w:p>
        </w:tc>
      </w:tr>
      <w:tr w14:paraId="6150D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672" w:type="dxa"/>
            <w:vAlign w:val="center"/>
          </w:tcPr>
          <w:p w14:paraId="192481BA">
            <w:pPr>
              <w:jc w:val="center"/>
              <w:rPr>
                <w:rFonts w:ascii="仿宋_GB2312" w:hAnsi="仿宋" w:eastAsia="仿宋_GB2312" w:cs="仿宋_GB2312"/>
                <w:color w:val="auto"/>
                <w:sz w:val="22"/>
                <w:szCs w:val="22"/>
              </w:rPr>
            </w:pPr>
            <w:r>
              <w:rPr>
                <w:rFonts w:hint="eastAsia" w:ascii="仿宋_GB2312" w:hAnsi="仿宋" w:eastAsia="仿宋_GB2312" w:cs="仿宋_GB2312"/>
                <w:color w:val="auto"/>
                <w:kern w:val="0"/>
                <w:sz w:val="22"/>
                <w:szCs w:val="22"/>
              </w:rPr>
              <w:t>5</w:t>
            </w:r>
          </w:p>
        </w:tc>
        <w:tc>
          <w:tcPr>
            <w:tcW w:w="2689" w:type="dxa"/>
            <w:vAlign w:val="center"/>
          </w:tcPr>
          <w:p w14:paraId="39F0AA6E">
            <w:pPr>
              <w:rPr>
                <w:rFonts w:ascii="仿宋_GB2312" w:hAnsi="仿宋" w:eastAsia="仿宋_GB2312" w:cs="仿宋_GB2312"/>
                <w:b/>
                <w:color w:val="auto"/>
                <w:sz w:val="22"/>
                <w:szCs w:val="22"/>
              </w:rPr>
            </w:pPr>
            <w:r>
              <w:rPr>
                <w:rFonts w:hint="eastAsia" w:ascii="仿宋_GB2312" w:hAnsi="仿宋" w:eastAsia="仿宋_GB2312" w:cs="仿宋_GB2312"/>
                <w:color w:val="auto"/>
                <w:kern w:val="0"/>
                <w:sz w:val="22"/>
                <w:szCs w:val="22"/>
              </w:rPr>
              <w:t>商务条款偏离表</w:t>
            </w:r>
          </w:p>
        </w:tc>
        <w:tc>
          <w:tcPr>
            <w:tcW w:w="3195" w:type="dxa"/>
            <w:vAlign w:val="center"/>
          </w:tcPr>
          <w:p w14:paraId="7B4065A2">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1.按给定格式及填表要求填写</w:t>
            </w:r>
          </w:p>
          <w:p w14:paraId="6FCF37D8">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2.响应招标文件实质性要求</w:t>
            </w:r>
          </w:p>
          <w:p w14:paraId="07B5D5E4">
            <w:pPr>
              <w:pStyle w:val="4"/>
              <w:adjustRightInd w:val="0"/>
              <w:snapToGrid w:val="0"/>
              <w:spacing w:before="0" w:after="0" w:line="240" w:lineRule="auto"/>
              <w:jc w:val="both"/>
              <w:rPr>
                <w:rFonts w:ascii="仿宋_GB2312" w:hAnsi="仿宋" w:eastAsia="仿宋_GB2312" w:cs="仿宋_GB2312"/>
                <w:b w:val="0"/>
                <w:color w:val="auto"/>
                <w:sz w:val="22"/>
                <w:szCs w:val="22"/>
              </w:rPr>
            </w:pPr>
            <w:r>
              <w:rPr>
                <w:rFonts w:hint="eastAsia" w:ascii="仿宋_GB2312" w:hAnsi="仿宋" w:eastAsia="仿宋_GB2312" w:cs="仿宋_GB2312"/>
                <w:b w:val="0"/>
                <w:color w:val="auto"/>
                <w:sz w:val="22"/>
                <w:szCs w:val="22"/>
              </w:rPr>
              <w:t>3.按规定签章</w:t>
            </w:r>
          </w:p>
        </w:tc>
        <w:tc>
          <w:tcPr>
            <w:tcW w:w="745" w:type="dxa"/>
            <w:vAlign w:val="center"/>
          </w:tcPr>
          <w:p w14:paraId="76661514">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7C62F270">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7DED832F">
            <w:pPr>
              <w:pStyle w:val="4"/>
              <w:adjustRightInd w:val="0"/>
              <w:snapToGrid w:val="0"/>
              <w:spacing w:before="0" w:after="0" w:line="240" w:lineRule="auto"/>
              <w:rPr>
                <w:rFonts w:ascii="仿宋_GB2312" w:hAnsi="仿宋" w:eastAsia="仿宋_GB2312" w:cs="仿宋_GB2312"/>
                <w:color w:val="auto"/>
                <w:sz w:val="24"/>
              </w:rPr>
            </w:pPr>
          </w:p>
        </w:tc>
      </w:tr>
      <w:tr w14:paraId="5099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672" w:type="dxa"/>
            <w:vAlign w:val="center"/>
          </w:tcPr>
          <w:p w14:paraId="43E68322">
            <w:pPr>
              <w:jc w:val="center"/>
              <w:rPr>
                <w:rFonts w:ascii="仿宋_GB2312" w:hAnsi="仿宋" w:eastAsia="仿宋_GB2312" w:cs="仿宋_GB2312"/>
                <w:color w:val="auto"/>
                <w:sz w:val="22"/>
                <w:szCs w:val="22"/>
              </w:rPr>
            </w:pPr>
            <w:r>
              <w:rPr>
                <w:rFonts w:hint="eastAsia" w:ascii="仿宋_GB2312" w:hAnsi="仿宋" w:eastAsia="仿宋_GB2312" w:cs="仿宋_GB2312"/>
                <w:color w:val="auto"/>
                <w:kern w:val="0"/>
                <w:sz w:val="22"/>
                <w:szCs w:val="22"/>
              </w:rPr>
              <w:t>6</w:t>
            </w:r>
          </w:p>
        </w:tc>
        <w:tc>
          <w:tcPr>
            <w:tcW w:w="2689" w:type="dxa"/>
            <w:vAlign w:val="center"/>
          </w:tcPr>
          <w:p w14:paraId="4EA2E161">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投标人关联单位说明</w:t>
            </w:r>
          </w:p>
        </w:tc>
        <w:tc>
          <w:tcPr>
            <w:tcW w:w="3195" w:type="dxa"/>
            <w:vAlign w:val="center"/>
          </w:tcPr>
          <w:p w14:paraId="594CD34A">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1.无投标须知1.5所述情形</w:t>
            </w:r>
          </w:p>
          <w:p w14:paraId="656E2158">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2.按给定格式填写</w:t>
            </w:r>
          </w:p>
          <w:p w14:paraId="6BB388D9">
            <w:pPr>
              <w:rPr>
                <w:rFonts w:ascii="仿宋_GB2312" w:hAnsi="仿宋" w:eastAsia="仿宋_GB2312" w:cs="仿宋_GB2312"/>
                <w:color w:val="auto"/>
                <w:sz w:val="22"/>
                <w:szCs w:val="22"/>
              </w:rPr>
            </w:pPr>
            <w:r>
              <w:rPr>
                <w:rFonts w:hint="eastAsia" w:ascii="仿宋_GB2312" w:hAnsi="仿宋" w:eastAsia="仿宋_GB2312" w:cs="仿宋_GB2312"/>
                <w:color w:val="auto"/>
                <w:sz w:val="22"/>
                <w:szCs w:val="22"/>
              </w:rPr>
              <w:t>3.按规定签章</w:t>
            </w:r>
          </w:p>
        </w:tc>
        <w:tc>
          <w:tcPr>
            <w:tcW w:w="745" w:type="dxa"/>
            <w:vAlign w:val="center"/>
          </w:tcPr>
          <w:p w14:paraId="7EF92AE0">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72C24401">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0F708C76">
            <w:pPr>
              <w:pStyle w:val="4"/>
              <w:adjustRightInd w:val="0"/>
              <w:snapToGrid w:val="0"/>
              <w:spacing w:before="0" w:after="0" w:line="240" w:lineRule="auto"/>
              <w:rPr>
                <w:rFonts w:ascii="仿宋_GB2312" w:hAnsi="仿宋" w:eastAsia="仿宋_GB2312" w:cs="仿宋_GB2312"/>
                <w:color w:val="auto"/>
                <w:sz w:val="24"/>
              </w:rPr>
            </w:pPr>
          </w:p>
        </w:tc>
      </w:tr>
      <w:tr w14:paraId="6130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672" w:type="dxa"/>
            <w:vAlign w:val="center"/>
          </w:tcPr>
          <w:p w14:paraId="0F247981">
            <w:pPr>
              <w:jc w:val="center"/>
              <w:rPr>
                <w:rFonts w:hint="eastAsia" w:ascii="仿宋_GB2312" w:hAnsi="仿宋" w:eastAsia="仿宋_GB2312" w:cs="仿宋_GB2312"/>
                <w:color w:val="auto"/>
                <w:kern w:val="0"/>
                <w:sz w:val="22"/>
                <w:szCs w:val="22"/>
                <w:lang w:val="en-US" w:eastAsia="zh-CN"/>
              </w:rPr>
            </w:pPr>
            <w:r>
              <w:rPr>
                <w:rFonts w:hint="eastAsia" w:ascii="仿宋_GB2312" w:hAnsi="仿宋" w:eastAsia="仿宋_GB2312" w:cs="仿宋_GB2312"/>
                <w:color w:val="auto"/>
                <w:kern w:val="0"/>
                <w:sz w:val="22"/>
                <w:szCs w:val="22"/>
                <w:lang w:val="en-US" w:eastAsia="zh-CN"/>
              </w:rPr>
              <w:t>7</w:t>
            </w:r>
          </w:p>
        </w:tc>
        <w:tc>
          <w:tcPr>
            <w:tcW w:w="2689" w:type="dxa"/>
            <w:vAlign w:val="center"/>
          </w:tcPr>
          <w:p w14:paraId="51297B88">
            <w:pPr>
              <w:rPr>
                <w:rFonts w:hint="eastAsia" w:ascii="仿宋_GB2312" w:hAnsi="仿宋" w:eastAsia="仿宋_GB2312" w:cs="仿宋_GB2312"/>
                <w:color w:val="auto"/>
                <w:sz w:val="22"/>
                <w:szCs w:val="22"/>
              </w:rPr>
            </w:pPr>
            <w:r>
              <w:rPr>
                <w:rFonts w:hint="eastAsia" w:ascii="仿宋_GB2312" w:hAnsi="仿宋" w:eastAsia="仿宋_GB2312" w:cs="仿宋_GB2312"/>
                <w:color w:val="auto"/>
                <w:sz w:val="22"/>
                <w:szCs w:val="22"/>
              </w:rPr>
              <w:t>其他符合性证明材料</w:t>
            </w:r>
          </w:p>
        </w:tc>
        <w:tc>
          <w:tcPr>
            <w:tcW w:w="3195" w:type="dxa"/>
            <w:vAlign w:val="center"/>
          </w:tcPr>
          <w:p w14:paraId="5196EBA8">
            <w:pPr>
              <w:rPr>
                <w:rFonts w:hint="eastAsia" w:ascii="仿宋_GB2312" w:hAnsi="仿宋" w:eastAsia="仿宋_GB2312" w:cs="仿宋_GB2312"/>
                <w:color w:val="auto"/>
                <w:sz w:val="22"/>
                <w:szCs w:val="22"/>
              </w:rPr>
            </w:pPr>
            <w:r>
              <w:rPr>
                <w:rFonts w:hint="eastAsia" w:ascii="仿宋_GB2312" w:hAnsi="仿宋" w:eastAsia="仿宋_GB2312" w:cs="仿宋_GB2312"/>
                <w:color w:val="auto"/>
                <w:sz w:val="22"/>
                <w:szCs w:val="22"/>
              </w:rPr>
              <w:t>响应采购文件实质性要求</w:t>
            </w:r>
          </w:p>
        </w:tc>
        <w:tc>
          <w:tcPr>
            <w:tcW w:w="745" w:type="dxa"/>
            <w:vAlign w:val="center"/>
          </w:tcPr>
          <w:p w14:paraId="27159970">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29D12522">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2FC10031">
            <w:pPr>
              <w:pStyle w:val="4"/>
              <w:adjustRightInd w:val="0"/>
              <w:snapToGrid w:val="0"/>
              <w:spacing w:before="0" w:after="0" w:line="240" w:lineRule="auto"/>
              <w:rPr>
                <w:rFonts w:ascii="仿宋_GB2312" w:hAnsi="仿宋" w:eastAsia="仿宋_GB2312" w:cs="仿宋_GB2312"/>
                <w:color w:val="auto"/>
                <w:sz w:val="24"/>
              </w:rPr>
            </w:pPr>
          </w:p>
        </w:tc>
      </w:tr>
      <w:tr w14:paraId="2F0B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56" w:type="dxa"/>
            <w:gridSpan w:val="3"/>
            <w:vAlign w:val="center"/>
          </w:tcPr>
          <w:p w14:paraId="58B8D28B">
            <w:pPr>
              <w:pStyle w:val="4"/>
              <w:adjustRightInd w:val="0"/>
              <w:snapToGrid w:val="0"/>
              <w:spacing w:before="0" w:after="0" w:line="240" w:lineRule="auto"/>
              <w:rPr>
                <w:rFonts w:ascii="仿宋_GB2312" w:hAnsi="仿宋" w:eastAsia="仿宋_GB2312" w:cs="仿宋_GB2312"/>
                <w:color w:val="auto"/>
                <w:sz w:val="24"/>
              </w:rPr>
            </w:pPr>
            <w:r>
              <w:rPr>
                <w:rFonts w:hint="eastAsia" w:ascii="仿宋_GB2312" w:hAnsi="仿宋" w:eastAsia="仿宋_GB2312" w:cs="仿宋_GB2312"/>
                <w:color w:val="auto"/>
                <w:sz w:val="24"/>
              </w:rPr>
              <w:t>结论</w:t>
            </w:r>
          </w:p>
        </w:tc>
        <w:tc>
          <w:tcPr>
            <w:tcW w:w="745" w:type="dxa"/>
            <w:vAlign w:val="center"/>
          </w:tcPr>
          <w:p w14:paraId="25FC1954">
            <w:pPr>
              <w:pStyle w:val="4"/>
              <w:adjustRightInd w:val="0"/>
              <w:snapToGrid w:val="0"/>
              <w:spacing w:before="0" w:after="0" w:line="240" w:lineRule="auto"/>
              <w:rPr>
                <w:rFonts w:ascii="仿宋_GB2312" w:hAnsi="仿宋" w:eastAsia="仿宋_GB2312" w:cs="仿宋_GB2312"/>
                <w:color w:val="auto"/>
                <w:sz w:val="24"/>
              </w:rPr>
            </w:pPr>
          </w:p>
        </w:tc>
        <w:tc>
          <w:tcPr>
            <w:tcW w:w="958" w:type="dxa"/>
            <w:vAlign w:val="center"/>
          </w:tcPr>
          <w:p w14:paraId="6E105A63">
            <w:pPr>
              <w:pStyle w:val="4"/>
              <w:adjustRightInd w:val="0"/>
              <w:snapToGrid w:val="0"/>
              <w:spacing w:before="0" w:after="0" w:line="240" w:lineRule="auto"/>
              <w:rPr>
                <w:rFonts w:ascii="仿宋_GB2312" w:hAnsi="仿宋" w:eastAsia="仿宋_GB2312" w:cs="仿宋_GB2312"/>
                <w:color w:val="auto"/>
                <w:sz w:val="24"/>
              </w:rPr>
            </w:pPr>
          </w:p>
        </w:tc>
        <w:tc>
          <w:tcPr>
            <w:tcW w:w="902" w:type="dxa"/>
            <w:vAlign w:val="center"/>
          </w:tcPr>
          <w:p w14:paraId="6502C0A9">
            <w:pPr>
              <w:pStyle w:val="4"/>
              <w:adjustRightInd w:val="0"/>
              <w:snapToGrid w:val="0"/>
              <w:spacing w:before="0" w:after="0" w:line="240" w:lineRule="auto"/>
              <w:rPr>
                <w:rFonts w:ascii="仿宋_GB2312" w:hAnsi="仿宋" w:eastAsia="仿宋_GB2312" w:cs="仿宋_GB2312"/>
                <w:color w:val="auto"/>
                <w:sz w:val="24"/>
              </w:rPr>
            </w:pPr>
          </w:p>
        </w:tc>
      </w:tr>
    </w:tbl>
    <w:p w14:paraId="07937497">
      <w:pPr>
        <w:spacing w:line="360" w:lineRule="auto"/>
        <w:ind w:left="-199" w:leftChars="-95"/>
        <w:rPr>
          <w:rFonts w:ascii="仿宋_GB2312" w:hAnsi="仿宋" w:eastAsia="仿宋_GB2312" w:cs="仿宋_GB2312"/>
          <w:color w:val="auto"/>
          <w:sz w:val="24"/>
        </w:rPr>
      </w:pPr>
      <w:bookmarkStart w:id="144" w:name="_Toc17433_WPSOffice_Level2"/>
      <w:r>
        <w:rPr>
          <w:rFonts w:hint="eastAsia" w:ascii="仿宋_GB2312" w:hAnsi="仿宋" w:eastAsia="仿宋_GB2312" w:cs="仿宋_GB2312"/>
          <w:color w:val="auto"/>
          <w:sz w:val="24"/>
        </w:rPr>
        <w:t>填表说明：1.每项内容审查合格，在表中填写“√”；不合格填写“×”；</w:t>
      </w:r>
    </w:p>
    <w:p w14:paraId="335FA543">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          2.审查结论填写“通过”或“不通过”。</w:t>
      </w:r>
    </w:p>
    <w:p w14:paraId="6A1E0570">
      <w:pPr>
        <w:pStyle w:val="13"/>
        <w:widowControl w:val="0"/>
        <w:snapToGrid w:val="0"/>
        <w:spacing w:before="0" w:beforeAutospacing="0" w:after="0" w:afterAutospacing="0" w:line="360" w:lineRule="auto"/>
        <w:ind w:left="6720" w:leftChars="-95" w:hanging="6919" w:hangingChars="2883"/>
        <w:rPr>
          <w:rFonts w:ascii="仿宋_GB2312" w:hAnsi="仿宋" w:eastAsia="仿宋_GB2312" w:cs="仿宋_GB2312"/>
          <w:color w:val="auto"/>
          <w:szCs w:val="21"/>
        </w:rPr>
      </w:pPr>
      <w:r>
        <w:rPr>
          <w:rFonts w:hint="eastAsia" w:ascii="仿宋_GB2312" w:hAnsi="仿宋" w:eastAsia="仿宋_GB2312" w:cs="仿宋_GB2312"/>
          <w:color w:val="auto"/>
          <w:szCs w:val="21"/>
        </w:rPr>
        <w:t xml:space="preserve">审查人签字： </w:t>
      </w:r>
    </w:p>
    <w:p w14:paraId="25CA4953">
      <w:pPr>
        <w:pStyle w:val="13"/>
        <w:widowControl w:val="0"/>
        <w:snapToGrid w:val="0"/>
        <w:spacing w:before="0" w:beforeAutospacing="0" w:after="0" w:afterAutospacing="0" w:line="360" w:lineRule="auto"/>
        <w:ind w:left="6720" w:leftChars="-95" w:hanging="6919" w:hangingChars="2883"/>
        <w:rPr>
          <w:rFonts w:ascii="仿宋_GB2312" w:hAnsi="仿宋" w:eastAsia="仿宋_GB2312" w:cs="仿宋_GB2312"/>
          <w:color w:val="auto"/>
          <w:szCs w:val="21"/>
        </w:rPr>
      </w:pPr>
      <w:r>
        <w:rPr>
          <w:rFonts w:hint="eastAsia" w:ascii="仿宋_GB2312" w:hAnsi="仿宋" w:eastAsia="仿宋_GB2312" w:cs="仿宋_GB2312"/>
          <w:color w:val="auto"/>
          <w:szCs w:val="21"/>
        </w:rPr>
        <w:t>日      期：</w:t>
      </w:r>
    </w:p>
    <w:p w14:paraId="2B64BE0E">
      <w:pPr>
        <w:rPr>
          <w:rFonts w:ascii="仿宋_GB2312" w:hAnsi="仿宋" w:eastAsia="仿宋_GB2312"/>
          <w:bCs/>
          <w:color w:val="auto"/>
          <w:szCs w:val="28"/>
        </w:rPr>
      </w:pPr>
      <w:r>
        <w:rPr>
          <w:rFonts w:hint="eastAsia" w:ascii="仿宋_GB2312" w:hAnsi="仿宋" w:eastAsia="仿宋_GB2312"/>
          <w:bCs/>
          <w:color w:val="auto"/>
          <w:szCs w:val="28"/>
        </w:rPr>
        <w:br w:type="page"/>
      </w:r>
    </w:p>
    <w:p w14:paraId="1D1E2774">
      <w:pPr>
        <w:pStyle w:val="4"/>
        <w:adjustRightInd w:val="0"/>
        <w:snapToGrid w:val="0"/>
        <w:spacing w:before="0" w:after="0" w:line="240" w:lineRule="auto"/>
        <w:jc w:val="left"/>
        <w:rPr>
          <w:rFonts w:ascii="仿宋_GB2312" w:eastAsia="仿宋_GB2312"/>
          <w:bCs/>
          <w:color w:val="auto"/>
        </w:rPr>
      </w:pPr>
      <w:r>
        <w:rPr>
          <w:rFonts w:hint="eastAsia" w:ascii="仿宋_GB2312" w:hAnsi="仿宋" w:eastAsia="仿宋_GB2312"/>
          <w:bCs/>
          <w:color w:val="auto"/>
          <w:szCs w:val="28"/>
        </w:rPr>
        <w:t xml:space="preserve">附件3 </w:t>
      </w:r>
      <w:r>
        <w:rPr>
          <w:rFonts w:hint="eastAsia" w:ascii="仿宋_GB2312" w:hAnsi="仿宋" w:eastAsia="仿宋_GB2312" w:cs="仿宋_GB2312"/>
          <w:bCs/>
          <w:color w:val="auto"/>
          <w:szCs w:val="28"/>
        </w:rPr>
        <w:t xml:space="preserve">  </w:t>
      </w:r>
      <w:r>
        <w:rPr>
          <w:rFonts w:hint="eastAsia" w:ascii="仿宋_GB2312" w:eastAsia="仿宋_GB2312"/>
          <w:bCs/>
          <w:color w:val="auto"/>
          <w:szCs w:val="28"/>
        </w:rPr>
        <w:t xml:space="preserve"> </w:t>
      </w:r>
      <w:r>
        <w:rPr>
          <w:rFonts w:hint="eastAsia" w:ascii="仿宋_GB2312" w:eastAsia="仿宋_GB2312"/>
          <w:bCs/>
          <w:color w:val="auto"/>
        </w:rPr>
        <w:t xml:space="preserve">                </w:t>
      </w:r>
      <w:bookmarkEnd w:id="144"/>
    </w:p>
    <w:p w14:paraId="2F9A7C76">
      <w:pPr>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评分细则</w:t>
      </w:r>
    </w:p>
    <w:p w14:paraId="18D8BC1F">
      <w:pPr>
        <w:pStyle w:val="11"/>
        <w:snapToGrid w:val="0"/>
        <w:spacing w:after="0" w:line="440" w:lineRule="exact"/>
        <w:ind w:left="0" w:leftChars="0"/>
        <w:rPr>
          <w:rFonts w:ascii="仿宋_GB2312" w:hAnsi="仿宋" w:eastAsia="仿宋_GB2312" w:cs="仿宋_GB2312"/>
          <w:b/>
          <w:color w:val="auto"/>
          <w:sz w:val="24"/>
        </w:rPr>
      </w:pPr>
      <w:r>
        <w:rPr>
          <w:rFonts w:hint="eastAsia" w:ascii="仿宋_GB2312" w:hAnsi="仿宋" w:eastAsia="仿宋_GB2312" w:cs="仿宋_GB2312"/>
          <w:b/>
          <w:color w:val="auto"/>
          <w:sz w:val="24"/>
        </w:rPr>
        <w:t>（一）基本评分标准（001包</w:t>
      </w:r>
      <w:r>
        <w:rPr>
          <w:rFonts w:hint="eastAsia" w:ascii="仿宋_GB2312" w:hAnsi="仿宋_GB2312" w:eastAsia="仿宋_GB2312" w:cs="仿宋_GB2312"/>
          <w:b/>
          <w:color w:val="auto"/>
          <w:sz w:val="24"/>
        </w:rPr>
        <w:t>～</w:t>
      </w:r>
      <w:r>
        <w:rPr>
          <w:rFonts w:hint="eastAsia" w:ascii="仿宋_GB2312" w:hAnsi="仿宋" w:eastAsia="仿宋_GB2312" w:cs="仿宋_GB2312"/>
          <w:b/>
          <w:color w:val="auto"/>
          <w:sz w:val="24"/>
        </w:rPr>
        <w:t>024包）</w:t>
      </w:r>
    </w:p>
    <w:tbl>
      <w:tblPr>
        <w:tblStyle w:val="25"/>
        <w:tblW w:w="9186"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1"/>
        <w:gridCol w:w="1267"/>
        <w:gridCol w:w="5818"/>
        <w:gridCol w:w="700"/>
      </w:tblGrid>
      <w:tr w14:paraId="449F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563ABBA">
            <w:pPr>
              <w:pStyle w:val="88"/>
              <w:jc w:val="center"/>
              <w:rPr>
                <w:rFonts w:ascii="仿宋_GB2312" w:hAnsi="仿宋_GB2312" w:eastAsia="仿宋_GB2312" w:cs="仿宋_GB2312"/>
                <w:b/>
                <w:color w:val="auto"/>
              </w:rPr>
            </w:pPr>
            <w:r>
              <w:rPr>
                <w:rFonts w:hint="eastAsia" w:ascii="仿宋_GB2312" w:hAnsi="仿宋_GB2312" w:eastAsia="仿宋_GB2312" w:cs="仿宋_GB2312"/>
                <w:b/>
                <w:color w:val="auto"/>
              </w:rPr>
              <w:t>项目</w:t>
            </w: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45A9454">
            <w:pPr>
              <w:pStyle w:val="88"/>
              <w:jc w:val="center"/>
              <w:rPr>
                <w:rFonts w:ascii="仿宋_GB2312" w:hAnsi="仿宋_GB2312" w:eastAsia="仿宋_GB2312" w:cs="仿宋_GB2312"/>
                <w:b/>
                <w:color w:val="auto"/>
              </w:rPr>
            </w:pPr>
            <w:r>
              <w:rPr>
                <w:rFonts w:hint="eastAsia" w:ascii="仿宋_GB2312" w:hAnsi="仿宋_GB2312" w:eastAsia="仿宋_GB2312" w:cs="仿宋_GB2312"/>
                <w:b/>
                <w:color w:val="auto"/>
              </w:rPr>
              <w:t>分项名称</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729051F">
            <w:pPr>
              <w:pStyle w:val="88"/>
              <w:jc w:val="center"/>
              <w:rPr>
                <w:rFonts w:ascii="仿宋_GB2312" w:hAnsi="仿宋_GB2312" w:eastAsia="仿宋_GB2312" w:cs="仿宋_GB2312"/>
                <w:b/>
                <w:color w:val="auto"/>
              </w:rPr>
            </w:pPr>
            <w:r>
              <w:rPr>
                <w:rFonts w:hint="eastAsia" w:ascii="仿宋_GB2312" w:hAnsi="仿宋_GB2312" w:eastAsia="仿宋_GB2312" w:cs="仿宋_GB2312"/>
                <w:b/>
                <w:color w:val="auto"/>
              </w:rPr>
              <w:t>评分标准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50A7B6">
            <w:pPr>
              <w:pStyle w:val="88"/>
              <w:jc w:val="center"/>
              <w:rPr>
                <w:rFonts w:ascii="仿宋_GB2312" w:hAnsi="仿宋_GB2312" w:eastAsia="仿宋_GB2312" w:cs="仿宋_GB2312"/>
                <w:b/>
                <w:color w:val="auto"/>
              </w:rPr>
            </w:pPr>
            <w:r>
              <w:rPr>
                <w:rFonts w:hint="eastAsia" w:ascii="仿宋_GB2312" w:hAnsi="仿宋_GB2312" w:eastAsia="仿宋_GB2312" w:cs="仿宋_GB2312"/>
                <w:b/>
                <w:color w:val="auto"/>
              </w:rPr>
              <w:t>满分</w:t>
            </w:r>
          </w:p>
        </w:tc>
      </w:tr>
      <w:tr w14:paraId="5338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2" w:hRule="atLeast"/>
        </w:trPr>
        <w:tc>
          <w:tcPr>
            <w:tcW w:w="140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DE4389">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价格部分（</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5分）</w:t>
            </w: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554E479">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投标报价</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7D5D80D">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评审内容：投标报价；</w:t>
            </w:r>
          </w:p>
          <w:p w14:paraId="27CB4A78">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lang w:bidi="ar"/>
              </w:rPr>
            </w:pPr>
            <w:r>
              <w:rPr>
                <w:rFonts w:hint="eastAsia" w:ascii="仿宋_GB2312" w:hAnsi="仿宋_GB2312" w:eastAsia="仿宋_GB2312" w:cs="仿宋_GB2312"/>
                <w:color w:val="auto"/>
                <w:sz w:val="24"/>
              </w:rPr>
              <w:t>评审标准：</w:t>
            </w:r>
            <w:r>
              <w:rPr>
                <w:rFonts w:hint="eastAsia" w:ascii="仿宋_GB2312" w:hAnsi="仿宋_GB2312" w:eastAsia="仿宋_GB2312" w:cs="仿宋_GB2312"/>
                <w:color w:val="auto"/>
                <w:kern w:val="0"/>
                <w:sz w:val="24"/>
                <w:lang w:bidi="ar"/>
              </w:rPr>
              <w:t>报价得分=（Cmin/C）×15。</w:t>
            </w:r>
          </w:p>
          <w:p w14:paraId="0A7C520A">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其中，Cmin为所有有效报价中的最低投标报价，C为投标人的报价。报价得分四舍五入，保留小数点后两位。</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99B3910">
            <w:pPr>
              <w:pStyle w:val="88"/>
              <w:jc w:val="center"/>
              <w:rPr>
                <w:rFonts w:ascii="仿宋_GB2312" w:hAnsi="仿宋_GB2312" w:eastAsia="仿宋_GB2312" w:cs="仿宋_GB2312"/>
                <w:strike/>
                <w:color w:val="auto"/>
              </w:rPr>
            </w:pP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5</w:t>
            </w:r>
          </w:p>
        </w:tc>
      </w:tr>
      <w:tr w14:paraId="7C19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1" w:type="dxa"/>
            <w:vMerge w:val="restart"/>
            <w:tcBorders>
              <w:left w:val="single" w:color="000000" w:sz="2" w:space="0"/>
              <w:right w:val="single" w:color="000000" w:sz="2" w:space="0"/>
            </w:tcBorders>
            <w:tcMar>
              <w:top w:w="100" w:type="dxa"/>
              <w:bottom w:w="100" w:type="dxa"/>
            </w:tcMar>
            <w:vAlign w:val="center"/>
          </w:tcPr>
          <w:p w14:paraId="7B3235EB">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技术部分（65分）</w:t>
            </w: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B865B9">
            <w:pPr>
              <w:pStyle w:val="13"/>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工作方案</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6D7F4E">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工作方案包括但不限于工作任务目标、保障措施、能否满足服务需求等内容，进行综合评分：</w:t>
            </w:r>
          </w:p>
          <w:p w14:paraId="04F36BD3">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1.提供符合采购需求全面详实的有效方案，无缺陷，得10分； </w:t>
            </w:r>
          </w:p>
          <w:p w14:paraId="2B4FF36A">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2.提供符合采购需求较为全面的有效方案，但存在不足，得8分； </w:t>
            </w:r>
          </w:p>
          <w:p w14:paraId="3CE21037">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3.方案内容存在明显缺陷的，得5分；</w:t>
            </w:r>
          </w:p>
          <w:p w14:paraId="1E5E3FEB">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4.方案内容存在不符合项目需求的，或方案中缺少上述应包括内容任意一项内容的，得2分；</w:t>
            </w:r>
          </w:p>
          <w:p w14:paraId="3DB48451">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kern w:val="0"/>
                <w:sz w:val="24"/>
              </w:rPr>
              <w:t>5.未提供方案，得0分。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A9E1598">
            <w:pPr>
              <w:pStyle w:val="13"/>
              <w:snapToGrid w:val="0"/>
              <w:spacing w:line="300" w:lineRule="exact"/>
              <w:jc w:val="center"/>
              <w:rPr>
                <w:rFonts w:ascii="仿宋_GB2312" w:hAnsi="仿宋_GB2312" w:eastAsia="仿宋_GB2312" w:cs="仿宋_GB2312"/>
                <w:strike/>
                <w:color w:val="auto"/>
              </w:rPr>
            </w:pPr>
            <w:r>
              <w:rPr>
                <w:rFonts w:hint="eastAsia" w:ascii="仿宋_GB2312" w:hAnsi="仿宋_GB2312" w:eastAsia="仿宋_GB2312" w:cs="仿宋_GB2312"/>
                <w:color w:val="auto"/>
              </w:rPr>
              <w:t>10</w:t>
            </w:r>
          </w:p>
        </w:tc>
      </w:tr>
      <w:tr w14:paraId="13B5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1" w:type="dxa"/>
            <w:vMerge w:val="continue"/>
            <w:tcBorders>
              <w:left w:val="single" w:color="000000" w:sz="2" w:space="0"/>
              <w:right w:val="single" w:color="000000" w:sz="2" w:space="0"/>
            </w:tcBorders>
            <w:tcMar>
              <w:top w:w="100" w:type="dxa"/>
              <w:bottom w:w="100" w:type="dxa"/>
            </w:tcMar>
            <w:vAlign w:val="center"/>
          </w:tcPr>
          <w:p w14:paraId="78940188">
            <w:pPr>
              <w:pStyle w:val="88"/>
              <w:jc w:val="center"/>
              <w:rPr>
                <w:rFonts w:ascii="仿宋_GB2312" w:hAnsi="仿宋_GB2312" w:eastAsia="仿宋_GB2312" w:cs="仿宋_GB2312"/>
                <w:color w:val="auto"/>
              </w:rPr>
            </w:pP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F81C66">
            <w:pPr>
              <w:pStyle w:val="13"/>
              <w:snapToGrid w:val="0"/>
              <w:spacing w:line="400" w:lineRule="exact"/>
              <w:jc w:val="center"/>
              <w:rPr>
                <w:rFonts w:ascii="仿宋_GB2312" w:hAnsi="仿宋_GB2312" w:eastAsia="仿宋_GB2312" w:cs="仿宋_GB2312"/>
                <w:color w:val="auto"/>
                <w:kern w:val="2"/>
              </w:rPr>
            </w:pPr>
            <w:r>
              <w:rPr>
                <w:rFonts w:hint="eastAsia" w:ascii="仿宋_GB2312" w:hAnsi="仿宋_GB2312" w:eastAsia="仿宋_GB2312" w:cs="仿宋_GB2312"/>
                <w:color w:val="auto"/>
              </w:rPr>
              <w:t>教学计划方案</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28D779">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教学计划方案包括但不限于模块化设计思路、课程针对性、学时能否达标、教学特点等内容，进行综合评分：</w:t>
            </w:r>
          </w:p>
          <w:p w14:paraId="1635CF76">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1.提供符合采购需求全面详实的有效方案，无缺陷，得10分； </w:t>
            </w:r>
          </w:p>
          <w:p w14:paraId="2BFD2B82">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2.提供符合采购需求较为全面的有效方案，但存在不足，得8分； </w:t>
            </w:r>
          </w:p>
          <w:p w14:paraId="6AD015BC">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3.方案内容存在明显缺陷的，得5分；</w:t>
            </w:r>
          </w:p>
          <w:p w14:paraId="4F5C6785">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4.方案内容存在不符合项目需求的，或方案中缺少上述应包括内容任意一项内容的，得2分；</w:t>
            </w:r>
          </w:p>
          <w:p w14:paraId="0EB20A76">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5.未提供方案，得0分。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0CD92A">
            <w:pPr>
              <w:pStyle w:val="13"/>
              <w:snapToGrid w:val="0"/>
              <w:spacing w:line="300" w:lineRule="exact"/>
              <w:jc w:val="center"/>
              <w:rPr>
                <w:rFonts w:ascii="仿宋_GB2312" w:hAnsi="仿宋_GB2312" w:eastAsia="仿宋_GB2312" w:cs="仿宋_GB2312"/>
                <w:color w:val="auto"/>
                <w:kern w:val="2"/>
              </w:rPr>
            </w:pPr>
            <w:r>
              <w:rPr>
                <w:rFonts w:hint="eastAsia" w:ascii="仿宋_GB2312" w:hAnsi="仿宋_GB2312" w:eastAsia="仿宋_GB2312" w:cs="仿宋_GB2312"/>
                <w:color w:val="auto"/>
                <w:kern w:val="2"/>
              </w:rPr>
              <w:t>10</w:t>
            </w:r>
          </w:p>
        </w:tc>
      </w:tr>
      <w:tr w14:paraId="15D7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1" w:type="dxa"/>
            <w:vMerge w:val="continue"/>
            <w:tcBorders>
              <w:left w:val="single" w:color="000000" w:sz="2" w:space="0"/>
              <w:right w:val="single" w:color="000000" w:sz="2" w:space="0"/>
            </w:tcBorders>
            <w:tcMar>
              <w:top w:w="100" w:type="dxa"/>
              <w:bottom w:w="100" w:type="dxa"/>
            </w:tcMar>
            <w:vAlign w:val="center"/>
          </w:tcPr>
          <w:p w14:paraId="404D7D04">
            <w:pPr>
              <w:pStyle w:val="88"/>
              <w:rPr>
                <w:rFonts w:ascii="仿宋_GB2312" w:hAnsi="仿宋_GB2312" w:eastAsia="仿宋_GB2312" w:cs="仿宋_GB2312"/>
                <w:color w:val="auto"/>
              </w:rPr>
            </w:pP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F07992C">
            <w:pPr>
              <w:pStyle w:val="13"/>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教学管理方案</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49F84A">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教学管理方案包括但不限于培育团队及教师团队配备、管理制度（包括班级、学员、教学、档案等）、培训模式、管理方法等内容，进行综合评分：</w:t>
            </w:r>
          </w:p>
          <w:p w14:paraId="7A7B3CC5">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1.提供符合采购需求全面详实的有效方案，无缺陷，得10分； </w:t>
            </w:r>
          </w:p>
          <w:p w14:paraId="6D1CF6CB">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2.提供符合采购需求较为全面的有效方案，但存在不足，得8分； </w:t>
            </w:r>
          </w:p>
          <w:p w14:paraId="398F5718">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3.方案内容存在明显缺陷的，得5分；</w:t>
            </w:r>
          </w:p>
          <w:p w14:paraId="228C5776">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4.方案内容存在不符合项目需求的，或方案中缺少上述应包括内容任意一项内容的，得2分；</w:t>
            </w:r>
          </w:p>
          <w:p w14:paraId="3E28318A">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kern w:val="0"/>
                <w:sz w:val="24"/>
              </w:rPr>
              <w:t>5.未提供方案，得0分。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809FB2F">
            <w:pPr>
              <w:pStyle w:val="13"/>
              <w:snapToGrid w:val="0"/>
              <w:spacing w:line="300" w:lineRule="exact"/>
              <w:jc w:val="center"/>
              <w:rPr>
                <w:rFonts w:ascii="仿宋_GB2312" w:hAnsi="仿宋_GB2312" w:eastAsia="仿宋_GB2312" w:cs="仿宋_GB2312"/>
                <w:strike/>
                <w:color w:val="auto"/>
              </w:rPr>
            </w:pPr>
            <w:r>
              <w:rPr>
                <w:rFonts w:hint="eastAsia" w:ascii="仿宋_GB2312" w:hAnsi="仿宋_GB2312" w:eastAsia="仿宋_GB2312" w:cs="仿宋_GB2312"/>
                <w:color w:val="auto"/>
              </w:rPr>
              <w:t>10</w:t>
            </w:r>
          </w:p>
        </w:tc>
      </w:tr>
      <w:tr w14:paraId="65E9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1" w:hRule="atLeast"/>
        </w:trPr>
        <w:tc>
          <w:tcPr>
            <w:tcW w:w="1401" w:type="dxa"/>
            <w:vMerge w:val="continue"/>
            <w:tcBorders>
              <w:left w:val="single" w:color="000000" w:sz="2" w:space="0"/>
              <w:right w:val="single" w:color="000000" w:sz="2" w:space="0"/>
            </w:tcBorders>
            <w:tcMar>
              <w:top w:w="100" w:type="dxa"/>
              <w:bottom w:w="100" w:type="dxa"/>
            </w:tcMar>
            <w:vAlign w:val="center"/>
          </w:tcPr>
          <w:p w14:paraId="089A9DBE">
            <w:pPr>
              <w:pStyle w:val="88"/>
              <w:rPr>
                <w:rFonts w:ascii="仿宋_GB2312" w:hAnsi="仿宋_GB2312" w:eastAsia="仿宋_GB2312" w:cs="仿宋_GB2312"/>
                <w:color w:val="auto"/>
              </w:rPr>
            </w:pPr>
          </w:p>
        </w:tc>
        <w:tc>
          <w:tcPr>
            <w:tcW w:w="1267" w:type="dxa"/>
            <w:tcBorders>
              <w:top w:val="single" w:color="000000" w:sz="2" w:space="0"/>
              <w:left w:val="single" w:color="000000" w:sz="2" w:space="0"/>
              <w:right w:val="single" w:color="000000" w:sz="2" w:space="0"/>
            </w:tcBorders>
            <w:tcMar>
              <w:top w:w="100" w:type="dxa"/>
              <w:bottom w:w="100" w:type="dxa"/>
            </w:tcMar>
            <w:vAlign w:val="center"/>
          </w:tcPr>
          <w:p w14:paraId="109CCB9F">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后勤保障方案</w:t>
            </w:r>
          </w:p>
        </w:tc>
        <w:tc>
          <w:tcPr>
            <w:tcW w:w="5818" w:type="dxa"/>
            <w:tcBorders>
              <w:top w:val="single" w:color="000000" w:sz="2" w:space="0"/>
              <w:left w:val="single" w:color="000000" w:sz="2" w:space="0"/>
              <w:right w:val="single" w:color="000000" w:sz="2" w:space="0"/>
            </w:tcBorders>
            <w:tcMar>
              <w:top w:w="100" w:type="dxa"/>
              <w:bottom w:w="100" w:type="dxa"/>
            </w:tcMar>
            <w:vAlign w:val="center"/>
          </w:tcPr>
          <w:p w14:paraId="4AB3803B">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后勤保障方案包括但不限于组织计划、保障体系、管理制度等内容，进行综合评分：</w:t>
            </w:r>
          </w:p>
          <w:p w14:paraId="3DB738B6">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1.提供符合采购需求全面详实的有效方案，无缺陷，得10分； </w:t>
            </w:r>
          </w:p>
          <w:p w14:paraId="0511ACB7">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2.提供符合采购需求较为全面的有效方案，但存在不足，得8分； </w:t>
            </w:r>
          </w:p>
          <w:p w14:paraId="090C26FB">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3.方案内容存在明显缺陷的，得5分；</w:t>
            </w:r>
          </w:p>
          <w:p w14:paraId="7D0E5B10">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4.方案内容存在不符合项目需求的，或方案中缺少上述应包括内容任意一项内容的，得2分；</w:t>
            </w:r>
          </w:p>
          <w:p w14:paraId="5241769A">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kern w:val="0"/>
                <w:sz w:val="24"/>
              </w:rPr>
              <w:t>5.未提供方案，得0分。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297D6E">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10</w:t>
            </w:r>
          </w:p>
        </w:tc>
      </w:tr>
      <w:tr w14:paraId="73862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2" w:hRule="atLeast"/>
        </w:trPr>
        <w:tc>
          <w:tcPr>
            <w:tcW w:w="1401" w:type="dxa"/>
            <w:vMerge w:val="continue"/>
            <w:tcBorders>
              <w:left w:val="single" w:color="000000" w:sz="2" w:space="0"/>
              <w:right w:val="single" w:color="000000" w:sz="2" w:space="0"/>
            </w:tcBorders>
            <w:tcMar>
              <w:top w:w="100" w:type="dxa"/>
              <w:bottom w:w="100" w:type="dxa"/>
            </w:tcMar>
            <w:vAlign w:val="center"/>
          </w:tcPr>
          <w:p w14:paraId="16E85072">
            <w:pPr>
              <w:pStyle w:val="88"/>
              <w:rPr>
                <w:rFonts w:ascii="仿宋_GB2312" w:hAnsi="仿宋_GB2312" w:eastAsia="仿宋_GB2312" w:cs="仿宋_GB2312"/>
                <w:color w:val="auto"/>
              </w:rPr>
            </w:pP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21796F6">
            <w:pPr>
              <w:pStyle w:val="52"/>
              <w:jc w:val="center"/>
              <w:rPr>
                <w:rFonts w:ascii="仿宋_GB2312" w:hAnsi="仿宋_GB2312" w:eastAsia="仿宋_GB2312" w:cs="仿宋_GB2312"/>
                <w:color w:val="auto"/>
              </w:rPr>
            </w:pPr>
            <w:r>
              <w:rPr>
                <w:rFonts w:hint="eastAsia" w:ascii="仿宋_GB2312" w:hAnsi="仿宋_GB2312" w:eastAsia="仿宋_GB2312" w:cs="仿宋_GB2312"/>
                <w:color w:val="auto"/>
              </w:rPr>
              <w:t>实训考察方案</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7BD978">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实训考察方案包括但不限于考察目标、考察路线图、组织保障措施等内容，进行综合评分：</w:t>
            </w:r>
          </w:p>
          <w:p w14:paraId="4F3C458C">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1.提供符合采购需求全面详实的有效方案，无缺陷，得10分； </w:t>
            </w:r>
          </w:p>
          <w:p w14:paraId="318A5EFE">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2.提供符合采购需求较为全面的有效方案，但存在不足，得8分； </w:t>
            </w:r>
          </w:p>
          <w:p w14:paraId="617BB7AD">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3.方案内容存在明显缺陷的，得5分；</w:t>
            </w:r>
          </w:p>
          <w:p w14:paraId="5C01104E">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4.方案内容存在不符合项目需求的，或方案中缺少上述应包括内容任意一项内容的，得2分；</w:t>
            </w:r>
          </w:p>
          <w:p w14:paraId="4636D181">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kern w:val="0"/>
                <w:sz w:val="24"/>
              </w:rPr>
              <w:t>5.未提供方案，得0分。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DD3AF4">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10</w:t>
            </w:r>
          </w:p>
        </w:tc>
      </w:tr>
      <w:tr w14:paraId="36D6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1" w:type="dxa"/>
            <w:vMerge w:val="continue"/>
            <w:tcBorders>
              <w:left w:val="single" w:color="000000" w:sz="2" w:space="0"/>
              <w:right w:val="single" w:color="000000" w:sz="2" w:space="0"/>
            </w:tcBorders>
            <w:tcMar>
              <w:top w:w="100" w:type="dxa"/>
              <w:bottom w:w="100" w:type="dxa"/>
            </w:tcMar>
            <w:vAlign w:val="center"/>
          </w:tcPr>
          <w:p w14:paraId="2877C6E0">
            <w:pPr>
              <w:pStyle w:val="88"/>
              <w:rPr>
                <w:rFonts w:ascii="仿宋_GB2312" w:hAnsi="仿宋_GB2312" w:eastAsia="仿宋_GB2312" w:cs="仿宋_GB2312"/>
                <w:color w:val="auto"/>
              </w:rPr>
            </w:pP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FBB5BD">
            <w:pPr>
              <w:pStyle w:val="52"/>
              <w:jc w:val="center"/>
              <w:rPr>
                <w:rFonts w:ascii="仿宋_GB2312" w:hAnsi="仿宋_GB2312" w:eastAsia="仿宋_GB2312" w:cs="仿宋_GB2312"/>
                <w:color w:val="auto"/>
              </w:rPr>
            </w:pPr>
            <w:r>
              <w:rPr>
                <w:rFonts w:hint="eastAsia" w:ascii="仿宋_GB2312" w:hAnsi="仿宋_GB2312" w:eastAsia="仿宋_GB2312" w:cs="仿宋_GB2312"/>
                <w:color w:val="auto"/>
              </w:rPr>
              <w:t>跟踪服务方案</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9B70EF6">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跟踪服务方案包括但不限于团队成员配备、服务流程、服务标准等内容，进行综合评分：</w:t>
            </w:r>
          </w:p>
          <w:p w14:paraId="4682A9ED">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1.提供符合采购需求全面详实的有效方案，无缺陷，得10分； </w:t>
            </w:r>
          </w:p>
          <w:p w14:paraId="3FDF864E">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2.提供符合采购需求较为全面的有效方案，但存在不足，得8分； </w:t>
            </w:r>
          </w:p>
          <w:p w14:paraId="3EA110C3">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3.方案内容存在明显缺陷的，得5分；</w:t>
            </w:r>
          </w:p>
          <w:p w14:paraId="0943FED9">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4.方案内容存在不符合项目需求的，或方案中缺少上述应包括内容任意一项内容的，得2分；</w:t>
            </w:r>
          </w:p>
          <w:p w14:paraId="3F09D3CB">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5.未提供方案，得0分。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615BEA2">
            <w:pPr>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10</w:t>
            </w:r>
          </w:p>
        </w:tc>
      </w:tr>
      <w:tr w14:paraId="5D5C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1" w:type="dxa"/>
            <w:vMerge w:val="continue"/>
            <w:tcBorders>
              <w:left w:val="single" w:color="000000" w:sz="2" w:space="0"/>
              <w:right w:val="single" w:color="000000" w:sz="2" w:space="0"/>
            </w:tcBorders>
            <w:tcMar>
              <w:top w:w="100" w:type="dxa"/>
              <w:bottom w:w="100" w:type="dxa"/>
            </w:tcMar>
            <w:vAlign w:val="center"/>
          </w:tcPr>
          <w:p w14:paraId="69968B72">
            <w:pPr>
              <w:pStyle w:val="88"/>
              <w:rPr>
                <w:rFonts w:ascii="仿宋_GB2312" w:hAnsi="仿宋_GB2312" w:eastAsia="仿宋_GB2312" w:cs="仿宋_GB2312"/>
                <w:color w:val="auto"/>
              </w:rPr>
            </w:pP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F85867">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应急处理方案</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9437A6B">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应急处理方案包括但不限于处理预案管理制度、处理流程、处理标准等内容，进行综合评分：</w:t>
            </w:r>
          </w:p>
          <w:p w14:paraId="61C66748">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1.提供符合采购需求全面详实的有效方案，无缺陷，得5分；</w:t>
            </w:r>
          </w:p>
          <w:p w14:paraId="4515C816">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2.方案内容存在缺陷的，得3分；</w:t>
            </w:r>
          </w:p>
          <w:p w14:paraId="328597D7">
            <w:pPr>
              <w:keepNext w:val="0"/>
              <w:keepLines w:val="0"/>
              <w:pageBreakBefore w:val="0"/>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3.方案内容存在不符合项目需求的，或方案中缺少上述应包括内容任意一项内容的，得1分；</w:t>
            </w:r>
          </w:p>
          <w:p w14:paraId="6E1AA093">
            <w:pPr>
              <w:keepNext w:val="0"/>
              <w:keepLines w:val="0"/>
              <w:pageBreakBefore w:val="0"/>
              <w:kinsoku/>
              <w:wordWrap/>
              <w:overflowPunct/>
              <w:topLinePunct w:val="0"/>
              <w:autoSpaceDE/>
              <w:autoSpaceDN/>
              <w:bidi w:val="0"/>
              <w:adjustRightInd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kern w:val="0"/>
                <w:sz w:val="24"/>
              </w:rPr>
              <w:t>4.未提供方案，得0分。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1EEDC68">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5</w:t>
            </w:r>
          </w:p>
        </w:tc>
      </w:tr>
      <w:tr w14:paraId="4DB0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1401" w:type="dxa"/>
            <w:vMerge w:val="restart"/>
            <w:tcBorders>
              <w:top w:val="single" w:color="auto" w:sz="4" w:space="0"/>
              <w:left w:val="single" w:color="000000" w:sz="2" w:space="0"/>
              <w:right w:val="single" w:color="000000" w:sz="2" w:space="0"/>
            </w:tcBorders>
            <w:tcMar>
              <w:top w:w="100" w:type="dxa"/>
              <w:bottom w:w="100" w:type="dxa"/>
            </w:tcMar>
            <w:vAlign w:val="center"/>
          </w:tcPr>
          <w:p w14:paraId="037700AD">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商务部分（20分）</w:t>
            </w: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04D84A0">
            <w:pPr>
              <w:keepNext w:val="0"/>
              <w:keepLines w:val="0"/>
              <w:pageBreakBefore w:val="0"/>
              <w:kinsoku/>
              <w:wordWrap/>
              <w:overflowPunct/>
              <w:topLinePunct w:val="0"/>
              <w:autoSpaceDE/>
              <w:autoSpaceDN/>
              <w:bidi w:val="0"/>
              <w:snapToGrid w:val="0"/>
              <w:spacing w:line="490" w:lineRule="exact"/>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培训场所</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7CD21A">
            <w:pPr>
              <w:keepNext w:val="0"/>
              <w:keepLines w:val="0"/>
              <w:pageBreakBefore w:val="0"/>
              <w:kinsoku/>
              <w:wordWrap/>
              <w:overflowPunct/>
              <w:topLinePunct w:val="0"/>
              <w:autoSpaceDE/>
              <w:autoSpaceDN/>
              <w:bidi w:val="0"/>
              <w:snapToGrid w:val="0"/>
              <w:spacing w:line="490" w:lineRule="exact"/>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评审内容：培训场所；</w:t>
            </w:r>
          </w:p>
          <w:p w14:paraId="609E8300">
            <w:pPr>
              <w:keepNext w:val="0"/>
              <w:keepLines w:val="0"/>
              <w:pageBreakBefore w:val="0"/>
              <w:kinsoku/>
              <w:wordWrap/>
              <w:overflowPunct/>
              <w:topLinePunct w:val="0"/>
              <w:autoSpaceDE/>
              <w:autoSpaceDN/>
              <w:bidi w:val="0"/>
              <w:snapToGrid w:val="0"/>
              <w:spacing w:line="490" w:lineRule="exact"/>
              <w:ind w:firstLine="480" w:firstLineChars="200"/>
              <w:rPr>
                <w:rFonts w:hint="eastAsia" w:ascii="仿宋_GB2312" w:hAnsi="仿宋_GB2312" w:eastAsia="仿宋_GB2312" w:cs="仿宋_GB2312"/>
                <w:color w:val="auto"/>
                <w:kern w:val="0"/>
                <w:sz w:val="24"/>
                <w:lang w:eastAsia="zh-CN"/>
              </w:rPr>
            </w:pPr>
            <w:r>
              <w:rPr>
                <w:rFonts w:hint="eastAsia" w:ascii="仿宋_GB2312" w:hAnsi="仿宋_GB2312" w:eastAsia="仿宋_GB2312" w:cs="仿宋_GB2312"/>
                <w:color w:val="auto"/>
                <w:kern w:val="0"/>
                <w:sz w:val="24"/>
              </w:rPr>
              <w:t>以具备容纳</w:t>
            </w:r>
            <w:r>
              <w:rPr>
                <w:rFonts w:hint="eastAsia" w:ascii="仿宋_GB2312" w:hAnsi="仿宋_GB2312" w:eastAsia="仿宋_GB2312" w:cs="仿宋_GB2312"/>
                <w:color w:val="auto"/>
                <w:kern w:val="0"/>
                <w:sz w:val="24"/>
                <w:lang w:val="en-US" w:eastAsia="zh-CN"/>
              </w:rPr>
              <w:t>200</w:t>
            </w:r>
            <w:r>
              <w:rPr>
                <w:rFonts w:hint="eastAsia" w:ascii="仿宋_GB2312" w:hAnsi="仿宋_GB2312" w:eastAsia="仿宋_GB2312" w:cs="仿宋_GB2312"/>
                <w:color w:val="auto"/>
                <w:kern w:val="0"/>
                <w:sz w:val="24"/>
              </w:rPr>
              <w:t>人</w:t>
            </w:r>
            <w:r>
              <w:rPr>
                <w:rFonts w:hint="eastAsia" w:ascii="仿宋_GB2312" w:hAnsi="仿宋_GB2312" w:eastAsia="仿宋_GB2312" w:cs="仿宋_GB2312"/>
                <w:color w:val="auto"/>
                <w:kern w:val="0"/>
                <w:sz w:val="24"/>
                <w:lang w:eastAsia="zh-CN"/>
              </w:rPr>
              <w:t>及以上</w:t>
            </w:r>
            <w:r>
              <w:rPr>
                <w:rFonts w:hint="eastAsia" w:ascii="仿宋_GB2312" w:hAnsi="仿宋_GB2312" w:eastAsia="仿宋_GB2312" w:cs="仿宋_GB2312"/>
                <w:color w:val="auto"/>
                <w:kern w:val="0"/>
                <w:sz w:val="24"/>
              </w:rPr>
              <w:t>集中教学、统一食宿优质培训场所资源为基础，得</w:t>
            </w:r>
            <w:r>
              <w:rPr>
                <w:rFonts w:hint="eastAsia" w:ascii="仿宋_GB2312" w:hAnsi="仿宋_GB2312" w:eastAsia="仿宋_GB2312" w:cs="仿宋_GB2312"/>
                <w:color w:val="auto"/>
                <w:kern w:val="0"/>
                <w:sz w:val="24"/>
                <w:lang w:val="en-US" w:eastAsia="zh-CN"/>
              </w:rPr>
              <w:t>10</w:t>
            </w:r>
            <w:r>
              <w:rPr>
                <w:rFonts w:hint="eastAsia" w:ascii="仿宋_GB2312" w:hAnsi="仿宋_GB2312" w:eastAsia="仿宋_GB2312" w:cs="仿宋_GB2312"/>
                <w:color w:val="auto"/>
                <w:kern w:val="0"/>
                <w:sz w:val="24"/>
              </w:rPr>
              <w:t>分</w:t>
            </w:r>
            <w:r>
              <w:rPr>
                <w:rFonts w:hint="eastAsia" w:ascii="仿宋_GB2312" w:hAnsi="仿宋_GB2312" w:eastAsia="仿宋_GB2312" w:cs="仿宋_GB2312"/>
                <w:color w:val="auto"/>
                <w:kern w:val="0"/>
                <w:sz w:val="24"/>
                <w:lang w:eastAsia="zh-CN"/>
              </w:rPr>
              <w:t>；</w:t>
            </w:r>
            <w:r>
              <w:rPr>
                <w:rFonts w:hint="eastAsia" w:ascii="仿宋_GB2312" w:hAnsi="仿宋_GB2312" w:eastAsia="仿宋_GB2312" w:cs="仿宋_GB2312"/>
                <w:color w:val="auto"/>
                <w:kern w:val="0"/>
                <w:sz w:val="24"/>
              </w:rPr>
              <w:t>低于此标准得</w:t>
            </w:r>
            <w:r>
              <w:rPr>
                <w:rFonts w:hint="eastAsia" w:ascii="仿宋_GB2312" w:hAnsi="仿宋_GB2312" w:eastAsia="仿宋_GB2312" w:cs="仿宋_GB2312"/>
                <w:color w:val="auto"/>
                <w:kern w:val="0"/>
                <w:sz w:val="24"/>
                <w:lang w:val="en-US" w:eastAsia="zh-CN"/>
              </w:rPr>
              <w:t>6</w:t>
            </w:r>
            <w:r>
              <w:rPr>
                <w:rFonts w:hint="eastAsia" w:ascii="仿宋_GB2312" w:hAnsi="仿宋_GB2312" w:eastAsia="仿宋_GB2312" w:cs="仿宋_GB2312"/>
                <w:color w:val="auto"/>
                <w:kern w:val="0"/>
                <w:sz w:val="24"/>
              </w:rPr>
              <w:t>分</w:t>
            </w:r>
            <w:r>
              <w:rPr>
                <w:rFonts w:hint="eastAsia" w:ascii="仿宋_GB2312" w:hAnsi="仿宋_GB2312" w:eastAsia="仿宋_GB2312" w:cs="仿宋_GB2312"/>
                <w:color w:val="auto"/>
                <w:kern w:val="0"/>
                <w:sz w:val="24"/>
                <w:lang w:eastAsia="zh-CN"/>
              </w:rPr>
              <w:t>；未提供得</w:t>
            </w:r>
            <w:r>
              <w:rPr>
                <w:rFonts w:hint="eastAsia" w:ascii="仿宋_GB2312" w:hAnsi="仿宋_GB2312" w:eastAsia="仿宋_GB2312" w:cs="仿宋_GB2312"/>
                <w:color w:val="auto"/>
                <w:kern w:val="0"/>
                <w:sz w:val="24"/>
                <w:lang w:val="en-US" w:eastAsia="zh-CN"/>
              </w:rPr>
              <w:t>0</w:t>
            </w:r>
            <w:r>
              <w:rPr>
                <w:rFonts w:hint="eastAsia" w:ascii="仿宋_GB2312" w:hAnsi="仿宋_GB2312" w:eastAsia="仿宋_GB2312" w:cs="仿宋_GB2312"/>
                <w:color w:val="auto"/>
                <w:kern w:val="0"/>
                <w:sz w:val="24"/>
                <w:lang w:eastAsia="zh-CN"/>
              </w:rPr>
              <w:t>分；本项</w:t>
            </w:r>
            <w:r>
              <w:rPr>
                <w:rFonts w:hint="eastAsia" w:ascii="仿宋_GB2312" w:hAnsi="仿宋_GB2312" w:eastAsia="仿宋_GB2312" w:cs="仿宋_GB2312"/>
                <w:color w:val="auto"/>
                <w:kern w:val="0"/>
                <w:sz w:val="24"/>
              </w:rPr>
              <w:t>最多得</w:t>
            </w:r>
            <w:r>
              <w:rPr>
                <w:rFonts w:hint="eastAsia" w:ascii="仿宋_GB2312" w:hAnsi="仿宋_GB2312" w:eastAsia="仿宋_GB2312" w:cs="仿宋_GB2312"/>
                <w:color w:val="auto"/>
                <w:kern w:val="0"/>
                <w:sz w:val="24"/>
                <w:lang w:val="en-US" w:eastAsia="zh-CN"/>
              </w:rPr>
              <w:t>10</w:t>
            </w:r>
            <w:r>
              <w:rPr>
                <w:rFonts w:hint="eastAsia" w:ascii="仿宋_GB2312" w:hAnsi="仿宋_GB2312" w:eastAsia="仿宋_GB2312" w:cs="仿宋_GB2312"/>
                <w:color w:val="auto"/>
                <w:kern w:val="0"/>
                <w:sz w:val="24"/>
              </w:rPr>
              <w:t>分</w:t>
            </w:r>
            <w:r>
              <w:rPr>
                <w:rFonts w:hint="eastAsia" w:ascii="仿宋_GB2312" w:hAnsi="仿宋_GB2312" w:eastAsia="仿宋_GB2312" w:cs="仿宋_GB2312"/>
                <w:color w:val="auto"/>
                <w:kern w:val="0"/>
                <w:sz w:val="24"/>
                <w:lang w:eastAsia="zh-CN"/>
              </w:rPr>
              <w:t>。</w:t>
            </w:r>
          </w:p>
          <w:p w14:paraId="7A5055B3">
            <w:pPr>
              <w:keepNext w:val="0"/>
              <w:keepLines w:val="0"/>
              <w:pageBreakBefore w:val="0"/>
              <w:kinsoku/>
              <w:wordWrap/>
              <w:overflowPunct/>
              <w:topLinePunct w:val="0"/>
              <w:autoSpaceDE/>
              <w:autoSpaceDN/>
              <w:bidi w:val="0"/>
              <w:snapToGrid w:val="0"/>
              <w:spacing w:line="490" w:lineRule="exact"/>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（以上集中教学、统一食宿培训场所为供应商自有房产的，需提供房产证明；如不是自有的，则需提供租赁合同或合同协议书等证明材料的复印件（加盖投标人公章）和培训场所照片）</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0E21B2F">
            <w:pPr>
              <w:widowControl/>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kern w:val="0"/>
                <w:sz w:val="24"/>
              </w:rPr>
              <w:t>10</w:t>
            </w:r>
          </w:p>
        </w:tc>
      </w:tr>
      <w:tr w14:paraId="5037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1" w:type="dxa"/>
            <w:vMerge w:val="continue"/>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14791B">
            <w:pPr>
              <w:pStyle w:val="88"/>
              <w:rPr>
                <w:rFonts w:ascii="仿宋_GB2312" w:hAnsi="仿宋_GB2312" w:eastAsia="仿宋_GB2312" w:cs="仿宋_GB2312"/>
                <w:color w:val="auto"/>
              </w:rPr>
            </w:pPr>
          </w:p>
        </w:tc>
        <w:tc>
          <w:tcPr>
            <w:tcW w:w="126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099AE8D">
            <w:pPr>
              <w:pStyle w:val="88"/>
              <w:snapToGrid w:val="0"/>
              <w:spacing w:line="42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类似经验</w:t>
            </w:r>
          </w:p>
        </w:tc>
        <w:tc>
          <w:tcPr>
            <w:tcW w:w="5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79D320">
            <w:pPr>
              <w:keepNext w:val="0"/>
              <w:keepLines w:val="0"/>
              <w:pageBreakBefore w:val="0"/>
              <w:widowControl/>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lang w:bidi="ar"/>
              </w:rPr>
              <w:t>评审内容：类似经验；</w:t>
            </w:r>
          </w:p>
          <w:p w14:paraId="069B7573">
            <w:pPr>
              <w:keepNext w:val="0"/>
              <w:keepLines w:val="0"/>
              <w:pageBreakBefore w:val="0"/>
              <w:widowControl/>
              <w:kinsoku/>
              <w:wordWrap/>
              <w:overflowPunct/>
              <w:topLinePunct w:val="0"/>
              <w:autoSpaceDE/>
              <w:autoSpaceDN/>
              <w:bidi w:val="0"/>
              <w:snapToGrid w:val="0"/>
              <w:spacing w:line="490" w:lineRule="exact"/>
              <w:ind w:firstLine="480" w:firstLineChars="200"/>
              <w:rPr>
                <w:rFonts w:ascii="仿宋_GB2312" w:hAnsi="仿宋_GB2312" w:eastAsia="仿宋_GB2312" w:cs="仿宋_GB2312"/>
                <w:color w:val="auto"/>
                <w:sz w:val="24"/>
                <w:lang w:bidi="ar"/>
              </w:rPr>
            </w:pPr>
            <w:r>
              <w:rPr>
                <w:rFonts w:hint="eastAsia" w:ascii="仿宋_GB2312" w:hAnsi="仿宋_GB2312" w:eastAsia="仿宋_GB2312" w:cs="仿宋_GB2312"/>
                <w:color w:val="auto"/>
                <w:sz w:val="24"/>
                <w:lang w:bidi="ar"/>
              </w:rPr>
              <w:t>评审标准：具有类似培育工作经历，每提供一项得2分，最多得10分。</w:t>
            </w:r>
          </w:p>
          <w:p w14:paraId="540BDBF8">
            <w:pPr>
              <w:keepNext w:val="0"/>
              <w:keepLines w:val="0"/>
              <w:pageBreakBefore w:val="0"/>
              <w:widowControl/>
              <w:kinsoku/>
              <w:wordWrap/>
              <w:overflowPunct/>
              <w:topLinePunct w:val="0"/>
              <w:autoSpaceDE/>
              <w:autoSpaceDN/>
              <w:bidi w:val="0"/>
              <w:snapToGrid w:val="0"/>
              <w:spacing w:line="490" w:lineRule="exact"/>
              <w:ind w:firstLine="480" w:firstLineChars="200"/>
              <w:rPr>
                <w:rFonts w:ascii="仿宋_GB2312" w:hAnsi="仿宋_GB2312" w:eastAsia="仿宋_GB2312" w:cs="仿宋_GB2312"/>
                <w:b/>
                <w:bCs/>
                <w:color w:val="auto"/>
                <w:sz w:val="24"/>
                <w:lang w:bidi="ar"/>
              </w:rPr>
            </w:pPr>
            <w:r>
              <w:rPr>
                <w:rFonts w:hint="eastAsia" w:ascii="仿宋_GB2312" w:hAnsi="仿宋_GB2312" w:eastAsia="仿宋_GB2312" w:cs="仿宋_GB2312"/>
                <w:b/>
                <w:bCs/>
                <w:color w:val="auto"/>
                <w:sz w:val="24"/>
                <w:lang w:bidi="ar"/>
              </w:rPr>
              <w:t>注：提供相关证明材料复印件加盖投标人公章，未提供或不满足不得分。</w:t>
            </w:r>
          </w:p>
        </w:tc>
        <w:tc>
          <w:tcPr>
            <w:tcW w:w="70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CF97B0">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10</w:t>
            </w:r>
          </w:p>
        </w:tc>
      </w:tr>
      <w:tr w14:paraId="1F8C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68" w:type="dxa"/>
            <w:gridSpan w:val="2"/>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01C84B">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合计</w:t>
            </w:r>
          </w:p>
        </w:tc>
        <w:tc>
          <w:tcPr>
            <w:tcW w:w="6518" w:type="dxa"/>
            <w:gridSpan w:val="2"/>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FD7F27A">
            <w:pPr>
              <w:pStyle w:val="88"/>
              <w:jc w:val="center"/>
              <w:rPr>
                <w:rFonts w:ascii="仿宋_GB2312" w:hAnsi="仿宋_GB2312" w:eastAsia="仿宋_GB2312" w:cs="仿宋_GB2312"/>
                <w:color w:val="auto"/>
              </w:rPr>
            </w:pPr>
            <w:r>
              <w:rPr>
                <w:rFonts w:hint="eastAsia" w:ascii="仿宋_GB2312" w:hAnsi="仿宋_GB2312" w:eastAsia="仿宋_GB2312" w:cs="仿宋_GB2312"/>
                <w:color w:val="auto"/>
              </w:rPr>
              <w:t>100</w:t>
            </w:r>
          </w:p>
        </w:tc>
        <w:bookmarkStart w:id="145" w:name="EB12f3cb35b8c64d5d871831f39d3cca5b"/>
        <w:bookmarkStart w:id="146" w:name="EB00c95c64d9fd497d94177ad40141d818"/>
        <w:bookmarkStart w:id="147" w:name="EBc82d4a0f0e0e43638b4ff45eca787329"/>
      </w:tr>
      <w:bookmarkEnd w:id="145"/>
      <w:bookmarkEnd w:id="146"/>
      <w:bookmarkEnd w:id="147"/>
    </w:tbl>
    <w:p w14:paraId="6A16A841">
      <w:pPr>
        <w:snapToGrid w:val="0"/>
        <w:spacing w:before="159" w:beforeLines="50" w:line="360" w:lineRule="auto"/>
        <w:ind w:firstLine="480" w:firstLineChars="200"/>
        <w:jc w:val="left"/>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注：上述缺陷指对项目需求理解存在偏差、存在相互矛盾内容、未针对本项目编写等任意一种情形。不符合项目需求是指存在与本项目执行无关的内容、存在相关内容在实际操作中不能运用、使用的工作方法、标准、依据、流程有错误影响方案有效性等任意一种情形。</w:t>
      </w:r>
    </w:p>
    <w:p w14:paraId="52532193">
      <w:pPr>
        <w:pStyle w:val="11"/>
        <w:snapToGrid w:val="0"/>
        <w:spacing w:after="20"/>
        <w:ind w:left="-567" w:leftChars="0" w:firstLine="240" w:firstLineChars="100"/>
        <w:rPr>
          <w:rFonts w:hint="eastAsia" w:ascii="仿宋_GB2312" w:hAnsi="仿宋" w:eastAsia="仿宋_GB2312" w:cs="仿宋_GB2312"/>
          <w:b/>
          <w:color w:val="auto"/>
          <w:sz w:val="24"/>
        </w:rPr>
      </w:pPr>
    </w:p>
    <w:p w14:paraId="46CD40A4">
      <w:pPr>
        <w:pStyle w:val="11"/>
        <w:snapToGrid w:val="0"/>
        <w:spacing w:after="20"/>
        <w:ind w:left="-567" w:leftChars="0" w:firstLine="240" w:firstLineChars="100"/>
        <w:rPr>
          <w:rFonts w:hint="eastAsia" w:ascii="仿宋_GB2312" w:hAnsi="仿宋" w:eastAsia="仿宋_GB2312" w:cs="仿宋_GB2312"/>
          <w:b/>
          <w:color w:val="auto"/>
          <w:sz w:val="24"/>
        </w:rPr>
      </w:pPr>
    </w:p>
    <w:p w14:paraId="70A48504">
      <w:pPr>
        <w:pStyle w:val="11"/>
        <w:snapToGrid w:val="0"/>
        <w:spacing w:after="20"/>
        <w:ind w:left="-567" w:leftChars="0" w:firstLine="240" w:firstLineChars="100"/>
        <w:rPr>
          <w:rFonts w:hint="eastAsia" w:ascii="仿宋_GB2312" w:hAnsi="仿宋" w:eastAsia="仿宋_GB2312" w:cs="仿宋_GB2312"/>
          <w:b/>
          <w:color w:val="auto"/>
          <w:sz w:val="24"/>
        </w:rPr>
      </w:pPr>
    </w:p>
    <w:p w14:paraId="3A063372">
      <w:pPr>
        <w:pStyle w:val="11"/>
        <w:snapToGrid w:val="0"/>
        <w:spacing w:after="20"/>
        <w:ind w:left="-567" w:leftChars="0" w:firstLine="240" w:firstLineChars="100"/>
        <w:rPr>
          <w:rFonts w:hint="eastAsia" w:ascii="仿宋_GB2312" w:hAnsi="仿宋" w:eastAsia="仿宋_GB2312" w:cs="仿宋_GB2312"/>
          <w:b/>
          <w:color w:val="auto"/>
          <w:sz w:val="24"/>
        </w:rPr>
      </w:pPr>
    </w:p>
    <w:p w14:paraId="62B37BF5">
      <w:pPr>
        <w:pStyle w:val="11"/>
        <w:snapToGrid w:val="0"/>
        <w:spacing w:after="20"/>
        <w:ind w:left="-567" w:leftChars="0" w:firstLine="240" w:firstLineChars="100"/>
        <w:rPr>
          <w:rFonts w:hint="eastAsia" w:ascii="仿宋_GB2312" w:hAnsi="仿宋" w:eastAsia="仿宋_GB2312" w:cs="仿宋_GB2312"/>
          <w:b/>
          <w:color w:val="auto"/>
          <w:sz w:val="24"/>
        </w:rPr>
      </w:pPr>
    </w:p>
    <w:p w14:paraId="24D113B3">
      <w:pPr>
        <w:pStyle w:val="11"/>
        <w:snapToGrid w:val="0"/>
        <w:spacing w:after="20"/>
        <w:ind w:left="-567" w:leftChars="0" w:firstLine="240" w:firstLineChars="100"/>
        <w:rPr>
          <w:rFonts w:hint="eastAsia" w:ascii="仿宋_GB2312" w:hAnsi="仿宋" w:eastAsia="仿宋_GB2312" w:cs="仿宋_GB2312"/>
          <w:b/>
          <w:color w:val="auto"/>
          <w:sz w:val="24"/>
        </w:rPr>
      </w:pPr>
    </w:p>
    <w:p w14:paraId="160AF973">
      <w:pPr>
        <w:pStyle w:val="11"/>
        <w:snapToGrid w:val="0"/>
        <w:spacing w:after="20"/>
        <w:ind w:left="-567" w:leftChars="0" w:firstLine="240" w:firstLineChars="100"/>
        <w:rPr>
          <w:rFonts w:hint="eastAsia" w:ascii="仿宋_GB2312" w:hAnsi="仿宋" w:eastAsia="仿宋_GB2312" w:cs="仿宋_GB2312"/>
          <w:b/>
          <w:color w:val="auto"/>
          <w:sz w:val="24"/>
        </w:rPr>
      </w:pPr>
    </w:p>
    <w:p w14:paraId="74508718">
      <w:pPr>
        <w:pStyle w:val="11"/>
        <w:snapToGrid w:val="0"/>
        <w:spacing w:after="20"/>
        <w:ind w:left="-567" w:leftChars="0" w:firstLine="240" w:firstLineChars="100"/>
        <w:rPr>
          <w:rFonts w:hint="eastAsia" w:ascii="仿宋_GB2312" w:hAnsi="仿宋" w:eastAsia="仿宋_GB2312" w:cs="仿宋_GB2312"/>
          <w:b/>
          <w:color w:val="auto"/>
          <w:sz w:val="24"/>
        </w:rPr>
      </w:pPr>
    </w:p>
    <w:p w14:paraId="1E6FFD37">
      <w:pPr>
        <w:pStyle w:val="11"/>
        <w:snapToGrid w:val="0"/>
        <w:spacing w:after="20"/>
        <w:ind w:left="-567" w:leftChars="0" w:firstLine="240" w:firstLineChars="100"/>
        <w:rPr>
          <w:rFonts w:hint="eastAsia" w:ascii="仿宋_GB2312" w:hAnsi="仿宋" w:eastAsia="仿宋_GB2312" w:cs="仿宋_GB2312"/>
          <w:b/>
          <w:color w:val="auto"/>
          <w:sz w:val="24"/>
        </w:rPr>
      </w:pPr>
    </w:p>
    <w:p w14:paraId="210FCDF8">
      <w:pPr>
        <w:pStyle w:val="11"/>
        <w:snapToGrid w:val="0"/>
        <w:spacing w:after="20"/>
        <w:ind w:left="-567" w:leftChars="0" w:firstLine="240" w:firstLineChars="100"/>
        <w:rPr>
          <w:rFonts w:hint="eastAsia" w:ascii="仿宋_GB2312" w:hAnsi="仿宋" w:eastAsia="仿宋_GB2312" w:cs="仿宋_GB2312"/>
          <w:b/>
          <w:color w:val="auto"/>
          <w:sz w:val="24"/>
        </w:rPr>
      </w:pPr>
    </w:p>
    <w:p w14:paraId="078ED603">
      <w:pPr>
        <w:pStyle w:val="11"/>
        <w:snapToGrid w:val="0"/>
        <w:spacing w:after="20"/>
        <w:ind w:left="-567" w:leftChars="0" w:firstLine="240" w:firstLineChars="100"/>
        <w:rPr>
          <w:rFonts w:ascii="仿宋_GB2312" w:hAnsi="仿宋" w:eastAsia="仿宋_GB2312" w:cs="仿宋_GB2312"/>
          <w:b/>
          <w:color w:val="auto"/>
          <w:sz w:val="24"/>
        </w:rPr>
      </w:pPr>
      <w:r>
        <w:rPr>
          <w:rFonts w:hint="eastAsia" w:ascii="仿宋_GB2312" w:hAnsi="仿宋" w:eastAsia="仿宋_GB2312" w:cs="仿宋_GB2312"/>
          <w:b/>
          <w:color w:val="auto"/>
          <w:sz w:val="24"/>
        </w:rPr>
        <w:t>（二）加分项评分标准(本项目不适用）</w:t>
      </w:r>
    </w:p>
    <w:tbl>
      <w:tblPr>
        <w:tblStyle w:val="25"/>
        <w:tblW w:w="9200"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8350"/>
      </w:tblGrid>
      <w:tr w14:paraId="5E91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trPr>
        <w:tc>
          <w:tcPr>
            <w:tcW w:w="850" w:type="dxa"/>
            <w:vAlign w:val="center"/>
          </w:tcPr>
          <w:p w14:paraId="5F648605">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加分</w:t>
            </w:r>
          </w:p>
          <w:p w14:paraId="67BB1DF7">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因素</w:t>
            </w:r>
          </w:p>
        </w:tc>
        <w:tc>
          <w:tcPr>
            <w:tcW w:w="8350" w:type="dxa"/>
            <w:vAlign w:val="center"/>
          </w:tcPr>
          <w:p w14:paraId="4C8A3B24">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加分说明</w:t>
            </w:r>
          </w:p>
        </w:tc>
      </w:tr>
      <w:tr w14:paraId="4C68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50" w:type="dxa"/>
            <w:vAlign w:val="center"/>
          </w:tcPr>
          <w:p w14:paraId="5D7171E5">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节能产品</w:t>
            </w:r>
          </w:p>
        </w:tc>
        <w:tc>
          <w:tcPr>
            <w:tcW w:w="8350" w:type="dxa"/>
            <w:vAlign w:val="center"/>
          </w:tcPr>
          <w:p w14:paraId="637AFA41">
            <w:pPr>
              <w:snapToGrid w:val="0"/>
              <w:spacing w:line="264" w:lineRule="auto"/>
              <w:rPr>
                <w:rFonts w:ascii="仿宋_GB2312" w:hAnsi="仿宋" w:eastAsia="仿宋_GB2312"/>
                <w:color w:val="auto"/>
                <w:sz w:val="24"/>
              </w:rPr>
            </w:pPr>
            <w:r>
              <w:rPr>
                <w:rFonts w:hint="eastAsia" w:ascii="仿宋_GB2312" w:hAnsi="仿宋" w:eastAsia="仿宋_GB2312"/>
                <w:color w:val="auto"/>
                <w:sz w:val="24"/>
              </w:rPr>
              <w:t>对于《获得节能认证产品部分报价表》中的投标产品价格给予价格部分总分值</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%的加分，计算公式如下：</w:t>
            </w:r>
          </w:p>
          <w:p w14:paraId="63DCED77">
            <w:pPr>
              <w:snapToGrid w:val="0"/>
              <w:spacing w:line="264" w:lineRule="auto"/>
              <w:rPr>
                <w:rFonts w:ascii="仿宋_GB2312" w:hAnsi="仿宋" w:eastAsia="仿宋_GB2312"/>
                <w:color w:val="auto"/>
                <w:sz w:val="24"/>
              </w:rPr>
            </w:pPr>
            <w:r>
              <w:rPr>
                <w:rFonts w:hint="eastAsia" w:ascii="仿宋_GB2312" w:hAnsi="仿宋" w:eastAsia="仿宋_GB2312"/>
                <w:color w:val="auto"/>
                <w:sz w:val="24"/>
              </w:rPr>
              <w:t>节能产品加分＝（节能产品投标报价之和/投标总价）×价格部分总分值×</w:t>
            </w:r>
            <w:r>
              <w:rPr>
                <w:rFonts w:hint="eastAsia" w:ascii="仿宋_GB2312" w:hAnsi="仿宋" w:eastAsia="仿宋_GB2312"/>
                <w:color w:val="auto"/>
                <w:sz w:val="24"/>
                <w:u w:val="single"/>
              </w:rPr>
              <w:t xml:space="preserve"> </w:t>
            </w:r>
            <w:r>
              <w:rPr>
                <w:rFonts w:hint="eastAsia" w:ascii="仿宋_GB2312" w:eastAsia="仿宋_GB2312"/>
                <w:color w:val="auto"/>
                <w:sz w:val="24"/>
                <w:u w:val="single"/>
              </w:rPr>
              <w:t>/</w:t>
            </w:r>
            <w:r>
              <w:rPr>
                <w:rFonts w:hint="eastAsia" w:ascii="仿宋_GB2312" w:hAnsi="仿宋" w:eastAsia="仿宋_GB2312"/>
                <w:color w:val="auto"/>
                <w:sz w:val="24"/>
              </w:rPr>
              <w:t>%。</w:t>
            </w:r>
            <w:r>
              <w:rPr>
                <w:rFonts w:hint="eastAsia" w:ascii="仿宋_GB2312" w:hAnsi="仿宋" w:eastAsia="仿宋_GB2312"/>
                <w:b/>
                <w:color w:val="auto"/>
                <w:sz w:val="24"/>
              </w:rPr>
              <w:t>注：强制节能产品除外。</w:t>
            </w:r>
          </w:p>
        </w:tc>
      </w:tr>
      <w:tr w14:paraId="65C1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850" w:type="dxa"/>
            <w:vAlign w:val="center"/>
          </w:tcPr>
          <w:p w14:paraId="7C8FB7FB">
            <w:pPr>
              <w:jc w:val="center"/>
              <w:rPr>
                <w:rFonts w:ascii="仿宋_GB2312" w:hAnsi="仿宋" w:eastAsia="仿宋_GB2312" w:cs="仿宋_GB2312"/>
                <w:color w:val="auto"/>
                <w:sz w:val="24"/>
              </w:rPr>
            </w:pPr>
            <w:r>
              <w:rPr>
                <w:rFonts w:hint="eastAsia" w:ascii="仿宋_GB2312" w:hAnsi="仿宋" w:eastAsia="仿宋_GB2312" w:cs="仿宋_GB2312"/>
                <w:color w:val="auto"/>
                <w:sz w:val="24"/>
              </w:rPr>
              <w:t>环保产品</w:t>
            </w:r>
          </w:p>
        </w:tc>
        <w:tc>
          <w:tcPr>
            <w:tcW w:w="8350" w:type="dxa"/>
            <w:vAlign w:val="center"/>
          </w:tcPr>
          <w:p w14:paraId="632C86C7">
            <w:pPr>
              <w:snapToGrid w:val="0"/>
              <w:spacing w:line="264" w:lineRule="auto"/>
              <w:rPr>
                <w:rFonts w:ascii="仿宋_GB2312" w:hAnsi="仿宋" w:eastAsia="仿宋_GB2312"/>
                <w:color w:val="auto"/>
                <w:sz w:val="24"/>
              </w:rPr>
            </w:pPr>
            <w:r>
              <w:rPr>
                <w:rFonts w:hint="eastAsia" w:ascii="仿宋_GB2312" w:hAnsi="仿宋" w:eastAsia="仿宋_GB2312"/>
                <w:color w:val="auto"/>
                <w:sz w:val="24"/>
              </w:rPr>
              <w:t>对于《获得环保认证产品部分报价表》中的投标产品价格给予价格部分总分值</w:t>
            </w:r>
            <w:r>
              <w:rPr>
                <w:rFonts w:hint="eastAsia" w:ascii="仿宋_GB2312" w:hAnsi="仿宋" w:eastAsia="仿宋_GB2312"/>
                <w:color w:val="auto"/>
                <w:sz w:val="24"/>
                <w:u w:val="single"/>
              </w:rPr>
              <w:t xml:space="preserve"> </w:t>
            </w:r>
            <w:r>
              <w:rPr>
                <w:rFonts w:hint="eastAsia" w:ascii="仿宋_GB2312" w:eastAsia="仿宋_GB2312"/>
                <w:color w:val="auto"/>
                <w:sz w:val="24"/>
                <w:u w:val="single"/>
              </w:rPr>
              <w:t>/</w:t>
            </w:r>
            <w:r>
              <w:rPr>
                <w:rFonts w:hint="eastAsia" w:ascii="仿宋_GB2312" w:hAnsi="仿宋" w:eastAsia="仿宋_GB2312"/>
                <w:color w:val="auto"/>
                <w:sz w:val="24"/>
              </w:rPr>
              <w:t>%的加分，计算公式如下：</w:t>
            </w:r>
          </w:p>
          <w:p w14:paraId="18B17146">
            <w:pPr>
              <w:snapToGrid w:val="0"/>
              <w:spacing w:line="264" w:lineRule="auto"/>
              <w:rPr>
                <w:rFonts w:ascii="仿宋_GB2312" w:hAnsi="仿宋" w:eastAsia="仿宋_GB2312" w:cs="仿宋_GB2312"/>
                <w:color w:val="auto"/>
                <w:sz w:val="24"/>
              </w:rPr>
            </w:pPr>
            <w:r>
              <w:rPr>
                <w:rFonts w:hint="eastAsia" w:ascii="仿宋_GB2312" w:hAnsi="仿宋" w:eastAsia="仿宋_GB2312"/>
                <w:color w:val="auto"/>
                <w:sz w:val="24"/>
              </w:rPr>
              <w:t>环保产品加分＝（环保产品投标报价之和/投标总价）×价格部分总分值×</w:t>
            </w:r>
            <w:r>
              <w:rPr>
                <w:rFonts w:hint="eastAsia" w:ascii="仿宋_GB2312" w:hAnsi="仿宋" w:eastAsia="仿宋_GB2312"/>
                <w:color w:val="auto"/>
                <w:sz w:val="24"/>
                <w:u w:val="single"/>
              </w:rPr>
              <w:t xml:space="preserve"> </w:t>
            </w:r>
            <w:r>
              <w:rPr>
                <w:rFonts w:hint="eastAsia" w:ascii="仿宋_GB2312" w:eastAsia="仿宋_GB2312"/>
                <w:color w:val="auto"/>
                <w:sz w:val="24"/>
                <w:u w:val="single"/>
              </w:rPr>
              <w:t>/</w:t>
            </w:r>
            <w:r>
              <w:rPr>
                <w:rFonts w:hint="eastAsia" w:ascii="仿宋_GB2312" w:hAnsi="仿宋" w:eastAsia="仿宋_GB2312"/>
                <w:color w:val="auto"/>
                <w:sz w:val="24"/>
              </w:rPr>
              <w:t>%。</w:t>
            </w:r>
          </w:p>
        </w:tc>
      </w:tr>
    </w:tbl>
    <w:p w14:paraId="74B4DEC2">
      <w:pPr>
        <w:rPr>
          <w:color w:val="auto"/>
        </w:rPr>
      </w:pPr>
      <w:r>
        <w:rPr>
          <w:color w:val="auto"/>
        </w:rPr>
        <w:br w:type="page"/>
      </w:r>
    </w:p>
    <w:p w14:paraId="1868C309">
      <w:pPr>
        <w:rPr>
          <w:color w:val="auto"/>
        </w:rPr>
      </w:pPr>
      <w:bookmarkStart w:id="148" w:name="_Toc25922_WPSOffice_Level1"/>
      <w:bookmarkStart w:id="149" w:name="_Toc452"/>
      <w:bookmarkStart w:id="150" w:name="_Toc22690"/>
      <w:bookmarkStart w:id="151" w:name="_Toc23986"/>
    </w:p>
    <w:p w14:paraId="58F859DC">
      <w:pPr>
        <w:rPr>
          <w:color w:val="auto"/>
        </w:rPr>
      </w:pPr>
    </w:p>
    <w:p w14:paraId="5CA1B313">
      <w:pPr>
        <w:rPr>
          <w:color w:val="auto"/>
        </w:rPr>
      </w:pPr>
    </w:p>
    <w:p w14:paraId="0A83D6FF">
      <w:pPr>
        <w:pStyle w:val="3"/>
        <w:snapToGrid w:val="0"/>
        <w:spacing w:before="159" w:beforeLines="50" w:after="159" w:afterLines="50" w:line="360" w:lineRule="auto"/>
        <w:rPr>
          <w:rFonts w:ascii="方正小标宋简体" w:hAnsi="黑体" w:eastAsia="方正小标宋简体" w:cs="仿宋_GB2312"/>
          <w:b w:val="0"/>
          <w:bCs/>
          <w:color w:val="auto"/>
        </w:rPr>
      </w:pPr>
      <w:r>
        <w:rPr>
          <w:rFonts w:hint="eastAsia" w:ascii="方正小标宋简体" w:hAnsi="黑体" w:eastAsia="方正小标宋简体" w:cs="仿宋_GB2312"/>
          <w:b w:val="0"/>
          <w:bCs/>
          <w:color w:val="auto"/>
        </w:rPr>
        <w:t>第五章 政府采购合同条款</w:t>
      </w:r>
      <w:bookmarkEnd w:id="148"/>
      <w:r>
        <w:rPr>
          <w:rFonts w:hint="eastAsia" w:ascii="方正小标宋简体" w:hAnsi="黑体" w:eastAsia="方正小标宋简体" w:cs="仿宋_GB2312"/>
          <w:b w:val="0"/>
          <w:bCs/>
          <w:color w:val="auto"/>
        </w:rPr>
        <w:t>及格式</w:t>
      </w:r>
      <w:bookmarkEnd w:id="149"/>
      <w:bookmarkEnd w:id="150"/>
      <w:bookmarkEnd w:id="151"/>
    </w:p>
    <w:p w14:paraId="672C2438">
      <w:pPr>
        <w:rPr>
          <w:rFonts w:ascii="仿宋_GB2312" w:hAnsi="仿宋" w:eastAsia="仿宋_GB2312" w:cs="仿宋_GB2312"/>
          <w:color w:val="auto"/>
        </w:rPr>
      </w:pPr>
      <w:r>
        <w:rPr>
          <w:rFonts w:hint="eastAsia" w:ascii="仿宋_GB2312" w:hAnsi="仿宋" w:eastAsia="仿宋_GB2312" w:cs="仿宋_GB2312"/>
          <w:color w:val="auto"/>
        </w:rPr>
        <w:br w:type="page"/>
      </w:r>
    </w:p>
    <w:p w14:paraId="1BC12BBC">
      <w:pPr>
        <w:pStyle w:val="4"/>
        <w:adjustRightInd w:val="0"/>
        <w:snapToGrid w:val="0"/>
        <w:spacing w:line="240" w:lineRule="auto"/>
        <w:jc w:val="left"/>
        <w:rPr>
          <w:rFonts w:ascii="仿宋_GB2312" w:hAnsi="仿宋" w:eastAsia="仿宋_GB2312" w:cs="仿宋_GB2312"/>
          <w:color w:val="auto"/>
          <w:szCs w:val="28"/>
        </w:rPr>
      </w:pPr>
      <w:bookmarkStart w:id="152" w:name="_Toc23704_WPSOffice_Level1"/>
      <w:r>
        <w:rPr>
          <w:rFonts w:hint="eastAsia" w:ascii="仿宋_GB2312" w:hAnsi="仿宋" w:eastAsia="仿宋_GB2312" w:cs="仿宋_GB2312"/>
          <w:color w:val="auto"/>
          <w:szCs w:val="28"/>
        </w:rPr>
        <w:t>合同条款</w:t>
      </w:r>
      <w:bookmarkEnd w:id="152"/>
    </w:p>
    <w:p w14:paraId="24B4C745">
      <w:pPr>
        <w:pStyle w:val="3"/>
        <w:snapToGrid w:val="0"/>
        <w:spacing w:before="159" w:beforeLines="50" w:after="159" w:afterLines="50" w:line="360" w:lineRule="auto"/>
        <w:rPr>
          <w:rFonts w:ascii="方正小标宋简体" w:hAnsi="黑体" w:eastAsia="方正小标宋简体" w:cs="仿宋_GB2312"/>
          <w:color w:val="auto"/>
          <w:sz w:val="36"/>
        </w:rPr>
      </w:pPr>
      <w:bookmarkStart w:id="153" w:name="_Toc22619"/>
      <w:bookmarkStart w:id="154" w:name="_Toc19395"/>
      <w:bookmarkStart w:id="155" w:name="_Toc116291181"/>
      <w:bookmarkStart w:id="156" w:name="_Toc19330"/>
      <w:bookmarkStart w:id="157" w:name="_Toc6489"/>
      <w:r>
        <w:rPr>
          <w:rFonts w:hint="eastAsia" w:ascii="方正小标宋简体" w:hAnsi="黑体" w:eastAsia="方正小标宋简体" w:cs="仿宋_GB2312"/>
          <w:color w:val="auto"/>
          <w:sz w:val="36"/>
        </w:rPr>
        <w:t>政府采购合同条款</w:t>
      </w:r>
      <w:bookmarkEnd w:id="153"/>
      <w:bookmarkEnd w:id="154"/>
      <w:bookmarkEnd w:id="155"/>
      <w:bookmarkEnd w:id="156"/>
      <w:bookmarkEnd w:id="157"/>
    </w:p>
    <w:p w14:paraId="6D482832">
      <w:pPr>
        <w:numPr>
          <w:ilvl w:val="0"/>
          <w:numId w:val="8"/>
        </w:numPr>
        <w:spacing w:line="360" w:lineRule="auto"/>
        <w:rPr>
          <w:rFonts w:ascii="仿宋_GB2312" w:hAnsi="仿宋" w:eastAsia="仿宋_GB2312"/>
          <w:b/>
          <w:color w:val="auto"/>
          <w:szCs w:val="21"/>
        </w:rPr>
      </w:pPr>
      <w:r>
        <w:rPr>
          <w:rFonts w:hint="eastAsia" w:ascii="仿宋_GB2312" w:hAnsi="仿宋" w:eastAsia="仿宋_GB2312"/>
          <w:b/>
          <w:color w:val="auto"/>
          <w:szCs w:val="21"/>
        </w:rPr>
        <w:t>术语定义</w:t>
      </w:r>
    </w:p>
    <w:p w14:paraId="560E961A">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本政府采购合同下列术语应解释为：</w:t>
      </w:r>
    </w:p>
    <w:p w14:paraId="101A0235">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w:t>
      </w:r>
      <w:r>
        <w:rPr>
          <w:rFonts w:hint="eastAsia" w:ascii="仿宋_GB2312" w:hAnsi="仿宋" w:eastAsia="仿宋_GB2312"/>
          <w:b/>
          <w:color w:val="auto"/>
          <w:szCs w:val="21"/>
        </w:rPr>
        <w:t>.</w:t>
      </w:r>
      <w:r>
        <w:rPr>
          <w:rFonts w:hint="eastAsia" w:ascii="仿宋_GB2312" w:hAnsi="仿宋" w:eastAsia="仿宋_GB2312"/>
          <w:color w:val="auto"/>
          <w:szCs w:val="21"/>
        </w:rPr>
        <w:t>1“政府采购合同”指供需双方依照政府采购程序、按照招标文件、投标文件确定的事项所达成的协议，包括附件、附录和上述文件所提到的构成政府采购合同的所有文件。</w:t>
      </w:r>
    </w:p>
    <w:p w14:paraId="5440C21B">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w:t>
      </w:r>
      <w:r>
        <w:rPr>
          <w:rFonts w:hint="eastAsia" w:ascii="仿宋_GB2312" w:hAnsi="仿宋" w:eastAsia="仿宋_GB2312"/>
          <w:b/>
          <w:color w:val="auto"/>
          <w:szCs w:val="21"/>
        </w:rPr>
        <w:t>.</w:t>
      </w:r>
      <w:r>
        <w:rPr>
          <w:rFonts w:hint="eastAsia" w:ascii="仿宋_GB2312" w:hAnsi="仿宋" w:eastAsia="仿宋_GB2312"/>
          <w:color w:val="auto"/>
          <w:szCs w:val="21"/>
        </w:rPr>
        <w:t>2 “政府采购合同价”指根据合同约定供方在正确地完全履行政府采购合同义务后需方应支付给供方的价格。</w:t>
      </w:r>
    </w:p>
    <w:p w14:paraId="7E18BF33">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1.3 “服务”指政府采购合同服务清单（同投标文件中开标一览表及其附表，下同）所约定的服务内容。</w:t>
      </w:r>
    </w:p>
    <w:p w14:paraId="64A26243">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1.4 “需方”指项目基本内容及要求中所述取得产品和服务的采购单位。</w:t>
      </w:r>
    </w:p>
    <w:p w14:paraId="46744543">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1.5 “供方”指项目基本内容及要求中所述提供产品和服务的中标供应商。</w:t>
      </w:r>
    </w:p>
    <w:p w14:paraId="69309430">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1.6 “检验”指需方按照政府采购合同约定的标准对供方所提供服务进行的检测和查验。</w:t>
      </w:r>
    </w:p>
    <w:p w14:paraId="065535C9">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1.7 “验收书”指采购单位或采购组织机构根据合同履约验收意见书形成反映采购单位和组织验收机构意见的文件。</w:t>
      </w:r>
    </w:p>
    <w:p w14:paraId="2006F0E8">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1.8“天”指日历天数（如无特别说明）。</w:t>
      </w:r>
    </w:p>
    <w:p w14:paraId="18788F9F">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1.9“第三人”是指本政府采购合同双方以外的任何中国境内外的自然人、法人或其它经济组织。</w:t>
      </w:r>
    </w:p>
    <w:p w14:paraId="1AB322D5">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1.10“法律、法规”是指由中国各级政府及有关部门制定的法律、行政法规、地方性法规、规章及其它规范性文件的有关规定。</w:t>
      </w:r>
    </w:p>
    <w:p w14:paraId="136EB56F">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1.11“招标文件”指采购人或采购组织机构发布的招标文件。</w:t>
      </w:r>
    </w:p>
    <w:p w14:paraId="248E9CCC">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1.12“投标文件”指供方按照采购组织机构招标文件的要求编制和递交，并最终被评标委员会接受的投标文件。</w:t>
      </w:r>
    </w:p>
    <w:p w14:paraId="2738778F">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2.技术规范与服务内容</w:t>
      </w:r>
    </w:p>
    <w:p w14:paraId="24E8E42D">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2.1投标服务的技术规范应与招标文件规定的技术规范（如果有的话）相一致。若无相应说明，则以国家有关部门最新颁布的相应标准及规范为准。</w:t>
      </w:r>
    </w:p>
    <w:p w14:paraId="27587ACF">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2.2 投标服务的服务内容应与招标文件规定服务内容及投标文件中的项目要求及投标响应表一致。</w:t>
      </w:r>
    </w:p>
    <w:p w14:paraId="7B6CB068">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3.知识产权</w:t>
      </w:r>
    </w:p>
    <w:p w14:paraId="7AC40772">
      <w:pPr>
        <w:spacing w:line="360" w:lineRule="auto"/>
        <w:ind w:firstLine="411" w:firstLineChars="196"/>
        <w:jc w:val="left"/>
        <w:rPr>
          <w:rFonts w:ascii="仿宋_GB2312" w:hAnsi="仿宋" w:eastAsia="仿宋_GB2312"/>
          <w:color w:val="auto"/>
          <w:szCs w:val="21"/>
        </w:rPr>
      </w:pPr>
      <w:r>
        <w:rPr>
          <w:rFonts w:hint="eastAsia" w:ascii="仿宋_GB2312" w:hAnsi="仿宋" w:eastAsia="仿宋_GB2312"/>
          <w:color w:val="auto"/>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1E2DA964">
      <w:pPr>
        <w:spacing w:line="360" w:lineRule="auto"/>
        <w:ind w:firstLine="411" w:firstLineChars="196"/>
        <w:jc w:val="left"/>
        <w:rPr>
          <w:rFonts w:ascii="仿宋_GB2312" w:hAnsi="仿宋" w:eastAsia="仿宋_GB2312"/>
          <w:color w:val="auto"/>
          <w:szCs w:val="21"/>
        </w:rPr>
      </w:pPr>
      <w:r>
        <w:rPr>
          <w:rFonts w:hint="eastAsia" w:ascii="仿宋_GB2312" w:hAnsi="仿宋" w:eastAsia="仿宋_GB2312"/>
          <w:color w:val="auto"/>
          <w:szCs w:val="21"/>
        </w:rPr>
        <w:t>3.2供方应保证所供服务符合国家的有关规定。</w:t>
      </w:r>
    </w:p>
    <w:p w14:paraId="27DB2647">
      <w:pPr>
        <w:tabs>
          <w:tab w:val="left" w:pos="360"/>
        </w:tabs>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10EC0B8A">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4.完成方式</w:t>
      </w:r>
    </w:p>
    <w:p w14:paraId="0567B587">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供方按照合同约定的时间、地点完成服务。</w:t>
      </w:r>
    </w:p>
    <w:p w14:paraId="6C8875E8">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5.付款</w:t>
      </w:r>
    </w:p>
    <w:p w14:paraId="41D6D493">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5.1政府采购合同以人民币付款。</w:t>
      </w:r>
    </w:p>
    <w:p w14:paraId="6D262BBB">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5.2在供方按照政府采购合同的规定履行服务后，需方按照合同约定的方式和条件付款。</w:t>
      </w:r>
    </w:p>
    <w:p w14:paraId="649D6D10">
      <w:pPr>
        <w:spacing w:line="360" w:lineRule="auto"/>
        <w:ind w:firstLine="420" w:firstLineChars="200"/>
        <w:rPr>
          <w:rFonts w:ascii="仿宋_GB2312" w:hAnsi="仿宋" w:eastAsia="仿宋_GB2312"/>
          <w:b/>
          <w:color w:val="auto"/>
          <w:szCs w:val="21"/>
        </w:rPr>
      </w:pPr>
      <w:r>
        <w:rPr>
          <w:rFonts w:hint="eastAsia" w:ascii="仿宋_GB2312" w:hAnsi="仿宋" w:eastAsia="仿宋_GB2312"/>
          <w:b/>
          <w:color w:val="auto"/>
          <w:szCs w:val="21"/>
        </w:rPr>
        <w:t>6.服务质量</w:t>
      </w:r>
    </w:p>
    <w:p w14:paraId="2B9C9E52">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6.1供方应保证政府采购合同项下所供服务是由供方提供的，并完全符合强制性的国家技术质量规范和政府采购合同规定的质量、性能和技术规范等要求。</w:t>
      </w:r>
    </w:p>
    <w:p w14:paraId="5E6D8721">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6.2供方提供的服务质量应满足行业一般标准，符合合同约定。</w:t>
      </w:r>
    </w:p>
    <w:p w14:paraId="7B7E3160">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6.3需方有权对供方的服务质量进行监督，发现服务存在不符合合同标准的情形的，可以要求供方改正服务方式、替换服务人员等补救方式，供方应按需方要求改正，并赔偿需方实际损失。</w:t>
      </w:r>
    </w:p>
    <w:p w14:paraId="63308DBE">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4D134CE3">
      <w:pPr>
        <w:spacing w:line="360" w:lineRule="auto"/>
        <w:ind w:firstLine="411" w:firstLineChars="196"/>
        <w:rPr>
          <w:rFonts w:ascii="仿宋_GB2312" w:hAnsi="仿宋" w:eastAsia="仿宋_GB2312"/>
          <w:b/>
          <w:color w:val="auto"/>
          <w:szCs w:val="21"/>
        </w:rPr>
      </w:pPr>
      <w:r>
        <w:rPr>
          <w:rFonts w:hint="eastAsia" w:ascii="仿宋_GB2312" w:hAnsi="仿宋" w:eastAsia="仿宋_GB2312"/>
          <w:b/>
          <w:color w:val="auto"/>
          <w:szCs w:val="21"/>
        </w:rPr>
        <w:t>7.技术服务和保修责任</w:t>
      </w:r>
    </w:p>
    <w:p w14:paraId="15034F8B">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7.1本条适用于</w:t>
      </w:r>
      <w:r>
        <w:rPr>
          <w:rFonts w:hint="eastAsia" w:ascii="仿宋_GB2312" w:hAnsi="仿宋" w:eastAsia="仿宋_GB2312" w:cs="Arial"/>
          <w:color w:val="auto"/>
          <w:szCs w:val="21"/>
        </w:rPr>
        <w:t>委托开发等最终以产品形式交付需方使用的服务。</w:t>
      </w:r>
    </w:p>
    <w:p w14:paraId="0D850DCB">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7.2供方对交付的产品的保修期，以招标文件中的规定为准，如果投标文件中的承诺优于招标文件规定，则以投标文件为准。</w:t>
      </w:r>
    </w:p>
    <w:p w14:paraId="5DB2D165">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7.3供方应按如下内容提供售后服务：</w:t>
      </w:r>
    </w:p>
    <w:p w14:paraId="6A6E8801">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67DD4FDF">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5E6BC8BC">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7.3.3保修期间供方要保修除消耗品以外的所有产品。如果系统、设备等发生故障，供方要调查故障原因并修复直至满足最终验收指标和性能的要求，或者修理、更换整个或部分有缺陷的材料。</w:t>
      </w:r>
    </w:p>
    <w:p w14:paraId="53A65AEF">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7.3.4保修期内，供方提供电话、电子邮件、Web、现场服务等方式的技术支持，对用户的现场服务要求，供方必须按投标文件做出的承诺进行响应。</w:t>
      </w:r>
    </w:p>
    <w:p w14:paraId="26081184">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7.3.5保修期内，供方应对出现故障无法修复的产品或无法正常运行的系统，提供替代产品以保证系统的正常工作。</w:t>
      </w:r>
    </w:p>
    <w:p w14:paraId="47F8A771">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7.3.6保修期内，供方应投标时的承诺提供相关服务。</w:t>
      </w:r>
    </w:p>
    <w:p w14:paraId="6FCF3DA3">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42421903">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5C131274">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DEE49CE">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323FFF2">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8.检验和验收</w:t>
      </w:r>
    </w:p>
    <w:p w14:paraId="30D75E66">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8.1完成服务后，需方或采购组织机构（由具体项目决定）应在政府采购合同规定的时间内组织验收，并在“验收书”上签字。“验收书”将作为申请付款文件的一部分。</w:t>
      </w:r>
    </w:p>
    <w:p w14:paraId="455784AA">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8.2</w:t>
      </w:r>
      <w:r>
        <w:rPr>
          <w:rFonts w:hint="eastAsia" w:ascii="仿宋_GB2312" w:hAnsi="仿宋" w:eastAsia="仿宋_GB2312" w:cs="Arial"/>
          <w:color w:val="auto"/>
          <w:szCs w:val="21"/>
        </w:rPr>
        <w:t>对于委托开发等最终以产品形式交付需方使用的服务，</w:t>
      </w:r>
      <w:r>
        <w:rPr>
          <w:rFonts w:hint="eastAsia" w:ascii="仿宋_GB2312" w:hAnsi="仿宋" w:eastAsia="仿宋_GB2312"/>
          <w:color w:val="auto"/>
          <w:szCs w:val="21"/>
        </w:rPr>
        <w:t>保修期自验收书签署之日起计算。</w:t>
      </w:r>
    </w:p>
    <w:p w14:paraId="2F26467C">
      <w:pPr>
        <w:tabs>
          <w:tab w:val="left" w:pos="360"/>
        </w:tabs>
        <w:spacing w:line="360" w:lineRule="auto"/>
        <w:ind w:firstLine="457" w:firstLineChars="218"/>
        <w:rPr>
          <w:rFonts w:ascii="仿宋_GB2312" w:hAnsi="仿宋" w:eastAsia="仿宋_GB2312"/>
          <w:b/>
          <w:color w:val="auto"/>
          <w:szCs w:val="21"/>
        </w:rPr>
      </w:pPr>
      <w:r>
        <w:rPr>
          <w:rFonts w:hint="eastAsia" w:ascii="仿宋_GB2312" w:hAnsi="仿宋" w:eastAsia="仿宋_GB2312"/>
          <w:b/>
          <w:color w:val="auto"/>
          <w:szCs w:val="21"/>
        </w:rPr>
        <w:t>9.违约责任</w:t>
      </w:r>
    </w:p>
    <w:p w14:paraId="3BF24BA2">
      <w:pPr>
        <w:spacing w:line="360" w:lineRule="auto"/>
        <w:ind w:firstLine="457" w:firstLineChars="218"/>
        <w:rPr>
          <w:rFonts w:ascii="仿宋_GB2312" w:hAnsi="仿宋" w:eastAsia="仿宋_GB2312" w:cs="Arial"/>
          <w:color w:val="auto"/>
          <w:szCs w:val="21"/>
        </w:rPr>
      </w:pPr>
      <w:r>
        <w:rPr>
          <w:rFonts w:hint="eastAsia" w:ascii="仿宋_GB2312" w:hAnsi="仿宋" w:eastAsia="仿宋_GB2312" w:cs="Arial"/>
          <w:color w:val="auto"/>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5942265F">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9.1.1在需方同意延长的期限内提供服务并承担由此给需方造成的一切损失；</w:t>
      </w:r>
    </w:p>
    <w:p w14:paraId="717108D8">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9.1.2在需方规定的时间内，用符合政府采购合同规定的服务以达到政府采购合同规定的要求，供方应承担由此发生的一切费用和风险。此时，相关服务的期限也应相应延长；</w:t>
      </w:r>
    </w:p>
    <w:p w14:paraId="3F9C2E35">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9.1.3需方有权部分或全部解除政府采购合同并要求供方赔偿由此造成的损失。此时需方可采取必要的补救措施，相关费用由供方承担。</w:t>
      </w:r>
    </w:p>
    <w:p w14:paraId="53387D93">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20009C19">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9.3延期服务的违约责任</w:t>
      </w:r>
    </w:p>
    <w:p w14:paraId="4CF6308C">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6D1CDB28">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9.4以上各项交付的违约金并不影响违约方履行政府采购合同的各项义务。</w:t>
      </w:r>
    </w:p>
    <w:p w14:paraId="0D3D0F0C">
      <w:pPr>
        <w:spacing w:line="360" w:lineRule="auto"/>
        <w:ind w:left="420"/>
        <w:rPr>
          <w:rFonts w:ascii="仿宋_GB2312" w:hAnsi="仿宋" w:eastAsia="仿宋_GB2312" w:cs="Arial"/>
          <w:b/>
          <w:color w:val="auto"/>
          <w:szCs w:val="21"/>
        </w:rPr>
      </w:pPr>
      <w:r>
        <w:rPr>
          <w:rFonts w:hint="eastAsia" w:ascii="仿宋_GB2312" w:hAnsi="仿宋" w:eastAsia="仿宋_GB2312" w:cs="Arial"/>
          <w:b/>
          <w:color w:val="auto"/>
          <w:szCs w:val="21"/>
        </w:rPr>
        <w:t>10.不可抗力</w:t>
      </w:r>
    </w:p>
    <w:p w14:paraId="4DE0DDF4">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3F4C42F2">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10.2本条所述的“不可抗力”系指那些双方无法控制，不可预见的事件，但不包括双方的违约或疏忽。这些事件包括但不限于：战争、严重火灾、洪水、台风、地震。</w:t>
      </w:r>
    </w:p>
    <w:p w14:paraId="259BBD4A">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574A2A2B">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11.争端的解决</w:t>
      </w:r>
    </w:p>
    <w:p w14:paraId="0F1F0672">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11.1需方和供方应通过友好协商，解决在执行本政府采购合同过程中所发生的或与本政府采购合同有关的一切争端。</w:t>
      </w:r>
    </w:p>
    <w:p w14:paraId="7A9E82B8">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11.2如果协商不成，双方中的任何一方可向需方所在地的人民法院提起诉讼。</w:t>
      </w:r>
    </w:p>
    <w:p w14:paraId="691FCC97">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11.3因政府采购合同部分履行引发诉讼的，在诉讼期间，除正在进行诉讼的部分外，本政府采购合同的其它部分应继续执行。</w:t>
      </w:r>
    </w:p>
    <w:p w14:paraId="3D0353A0">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12.违约终止政府采购合同</w:t>
      </w:r>
    </w:p>
    <w:p w14:paraId="26908EAB">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12.1在需方因供方违约而按政府采购合同约定采取的任何补救措施不起作用的情况下，需方可在下列情况下向供方发出书面通知，提出终止部分或全部政府采购合同。</w:t>
      </w:r>
    </w:p>
    <w:p w14:paraId="69730D55">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12.1.1如果供方未能在政府采购合同规定的限期或需方同意延长的限期内提供部分或全部服务；</w:t>
      </w:r>
    </w:p>
    <w:p w14:paraId="0F216955">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12.1.2如果供方未能履行政府采购合同规定的其它任何义务。</w:t>
      </w:r>
    </w:p>
    <w:p w14:paraId="72AC122B">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12.1.3未经需方事先书面同意，供方部分转让和分包或全部转让和分包其应履行的政府采购合同义务。</w:t>
      </w:r>
    </w:p>
    <w:p w14:paraId="6E0B4B28">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3B5E11FC">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13.政府采购法对政府采购合同变更终止的规定</w:t>
      </w:r>
    </w:p>
    <w:p w14:paraId="71925C95">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color w:val="auto"/>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1C95385D">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14.政府采购合同转让和分包</w:t>
      </w:r>
    </w:p>
    <w:p w14:paraId="6ED4110B">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除招标文件规定,并经需方事先书面同意外，供方不得部分转让和分包或全部转让和分包其应履行的政府采购合同义务。</w:t>
      </w:r>
    </w:p>
    <w:p w14:paraId="1EED494F">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b/>
          <w:color w:val="auto"/>
          <w:szCs w:val="21"/>
        </w:rPr>
        <w:t>15.适用法律：</w:t>
      </w:r>
      <w:r>
        <w:rPr>
          <w:rFonts w:hint="eastAsia" w:ascii="仿宋_GB2312" w:hAnsi="仿宋" w:eastAsia="仿宋_GB2312" w:cs="Arial"/>
          <w:color w:val="auto"/>
          <w:szCs w:val="21"/>
        </w:rPr>
        <w:t>本政府采购合同按照中华人民共和国的现行法律进行解释。</w:t>
      </w:r>
    </w:p>
    <w:p w14:paraId="6301207D">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16.政府采购合同生效</w:t>
      </w:r>
    </w:p>
    <w:p w14:paraId="75FCE36E">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16.1本政府采购合同在供需双方法定代表人或其授权代理人签字和加盖公章后生效。</w:t>
      </w:r>
    </w:p>
    <w:p w14:paraId="03428590">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16.2本政府采购合同一式五份，需方执二份，供方、</w:t>
      </w:r>
      <w:r>
        <w:rPr>
          <w:rFonts w:hint="eastAsia" w:ascii="仿宋_GB2312" w:hAnsi="仿宋" w:eastAsia="仿宋_GB2312" w:cs="Lucida Sans Unicode"/>
          <w:color w:val="auto"/>
          <w:szCs w:val="21"/>
        </w:rPr>
        <w:t>采购组织机构</w:t>
      </w:r>
      <w:r>
        <w:rPr>
          <w:rFonts w:hint="eastAsia" w:ascii="仿宋_GB2312" w:hAnsi="仿宋" w:eastAsia="仿宋_GB2312" w:cs="Arial"/>
          <w:color w:val="auto"/>
          <w:szCs w:val="21"/>
        </w:rPr>
        <w:t xml:space="preserve">、财政部门各执一份。 </w:t>
      </w:r>
    </w:p>
    <w:p w14:paraId="2FFB0442">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17.政府采购合同附件</w:t>
      </w:r>
    </w:p>
    <w:p w14:paraId="74EF4D75">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下列文件构成本政府采购合同不可分割的组成部分，与本政府采购合同具有同等法律效力：</w:t>
      </w:r>
    </w:p>
    <w:p w14:paraId="3AF6D4BF">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17.1</w:t>
      </w:r>
      <w:r>
        <w:rPr>
          <w:rFonts w:hint="eastAsia" w:ascii="仿宋_GB2312" w:hAnsi="仿宋" w:eastAsia="仿宋_GB2312"/>
          <w:color w:val="auto"/>
          <w:szCs w:val="21"/>
        </w:rPr>
        <w:t>招标文件；</w:t>
      </w:r>
    </w:p>
    <w:p w14:paraId="5B84C2E9">
      <w:pPr>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s="Arial"/>
          <w:color w:val="auto"/>
          <w:szCs w:val="21"/>
        </w:rPr>
        <w:t>17.2招标文件的更正公告、变更公告；</w:t>
      </w:r>
    </w:p>
    <w:p w14:paraId="6DA7DF6E">
      <w:pPr>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s="Arial"/>
          <w:color w:val="auto"/>
          <w:szCs w:val="21"/>
        </w:rPr>
        <w:t xml:space="preserve">17.3中标供应商提交的投标文件；        </w:t>
      </w:r>
    </w:p>
    <w:p w14:paraId="0548CACD">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s="Arial"/>
          <w:color w:val="auto"/>
          <w:szCs w:val="21"/>
        </w:rPr>
        <w:t>17.4</w:t>
      </w:r>
      <w:r>
        <w:rPr>
          <w:rFonts w:hint="eastAsia" w:ascii="仿宋_GB2312" w:hAnsi="仿宋" w:eastAsia="仿宋_GB2312"/>
          <w:color w:val="auto"/>
          <w:szCs w:val="21"/>
        </w:rPr>
        <w:t>政府采购合同条款；</w:t>
      </w:r>
    </w:p>
    <w:p w14:paraId="3CDCFA09">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17.5中标通知书；</w:t>
      </w:r>
    </w:p>
    <w:p w14:paraId="4E79C462">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s="Arial"/>
          <w:color w:val="auto"/>
          <w:szCs w:val="21"/>
        </w:rPr>
        <w:t>17.6政府采购合同的其它附件。</w:t>
      </w:r>
    </w:p>
    <w:p w14:paraId="34736411">
      <w:pPr>
        <w:ind w:firstLine="470" w:firstLineChars="196"/>
        <w:rPr>
          <w:rFonts w:ascii="仿宋_GB2312" w:hAnsi="仿宋" w:eastAsia="仿宋_GB2312"/>
          <w:color w:val="auto"/>
          <w:sz w:val="24"/>
        </w:rPr>
      </w:pPr>
    </w:p>
    <w:p w14:paraId="0CE1893C">
      <w:pPr>
        <w:ind w:firstLine="470" w:firstLineChars="196"/>
        <w:rPr>
          <w:rFonts w:ascii="仿宋_GB2312" w:hAnsi="仿宋" w:eastAsia="仿宋_GB2312"/>
          <w:color w:val="auto"/>
          <w:sz w:val="24"/>
        </w:rPr>
      </w:pPr>
    </w:p>
    <w:p w14:paraId="248C2ABC">
      <w:pPr>
        <w:rPr>
          <w:rFonts w:ascii="仿宋_GB2312" w:hAnsi="仿宋" w:eastAsia="仿宋_GB2312"/>
          <w:color w:val="auto"/>
          <w:sz w:val="24"/>
        </w:rPr>
      </w:pPr>
      <w:r>
        <w:rPr>
          <w:rFonts w:hint="eastAsia" w:ascii="仿宋_GB2312" w:hAnsi="仿宋" w:eastAsia="仿宋_GB2312"/>
          <w:color w:val="auto"/>
          <w:sz w:val="24"/>
        </w:rPr>
        <w:br w:type="page"/>
      </w:r>
    </w:p>
    <w:p w14:paraId="375BCFB3">
      <w:pPr>
        <w:pStyle w:val="4"/>
        <w:adjustRightInd w:val="0"/>
        <w:snapToGrid w:val="0"/>
        <w:spacing w:line="240" w:lineRule="auto"/>
        <w:jc w:val="left"/>
        <w:rPr>
          <w:rFonts w:ascii="仿宋_GB2312" w:hAnsi="仿宋" w:eastAsia="仿宋_GB2312"/>
          <w:color w:val="auto"/>
          <w:sz w:val="21"/>
          <w:szCs w:val="21"/>
        </w:rPr>
      </w:pPr>
      <w:bookmarkStart w:id="158" w:name="_Toc7342_WPSOffice_Level1"/>
      <w:bookmarkStart w:id="159" w:name="_Toc372_WPSOffice_Level1"/>
      <w:bookmarkStart w:id="160" w:name="_Toc3044_WPSOffice_Level1"/>
      <w:r>
        <w:rPr>
          <w:rFonts w:hint="eastAsia" w:ascii="仿宋_GB2312" w:hAnsi="仿宋" w:eastAsia="仿宋_GB2312" w:cs="仿宋_GB2312"/>
          <w:color w:val="auto"/>
          <w:szCs w:val="28"/>
        </w:rPr>
        <w:t>合同格式</w:t>
      </w:r>
      <w:bookmarkEnd w:id="158"/>
      <w:bookmarkEnd w:id="159"/>
      <w:bookmarkEnd w:id="160"/>
    </w:p>
    <w:p w14:paraId="1E00D6BD">
      <w:pPr>
        <w:pStyle w:val="3"/>
        <w:snapToGrid w:val="0"/>
        <w:spacing w:before="159" w:beforeLines="50" w:after="159" w:afterLines="50" w:line="360" w:lineRule="auto"/>
        <w:rPr>
          <w:rFonts w:ascii="方正小标宋简体" w:hAnsi="黑体" w:eastAsia="方正小标宋简体" w:cs="仿宋_GB2312"/>
          <w:color w:val="auto"/>
          <w:sz w:val="36"/>
        </w:rPr>
      </w:pPr>
      <w:bookmarkStart w:id="161" w:name="_Toc30694"/>
      <w:bookmarkStart w:id="162" w:name="_Toc116291182"/>
      <w:bookmarkStart w:id="163" w:name="_Toc12928"/>
      <w:bookmarkStart w:id="164" w:name="_Toc387"/>
      <w:r>
        <w:rPr>
          <w:rFonts w:hint="eastAsia" w:ascii="方正小标宋简体" w:hAnsi="黑体" w:eastAsia="方正小标宋简体" w:cs="仿宋_GB2312"/>
          <w:color w:val="auto"/>
          <w:sz w:val="36"/>
        </w:rPr>
        <w:t>政府采购合同格式</w:t>
      </w:r>
      <w:bookmarkEnd w:id="161"/>
      <w:bookmarkEnd w:id="162"/>
      <w:bookmarkEnd w:id="163"/>
      <w:bookmarkEnd w:id="164"/>
    </w:p>
    <w:p w14:paraId="1606FD30">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政府采购合同编号：</w:t>
      </w:r>
    </w:p>
    <w:p w14:paraId="67372BE2">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签订地点：</w:t>
      </w:r>
    </w:p>
    <w:p w14:paraId="584735D9">
      <w:pPr>
        <w:spacing w:line="360" w:lineRule="auto"/>
        <w:ind w:firstLine="640"/>
        <w:jc w:val="left"/>
        <w:rPr>
          <w:rFonts w:ascii="仿宋_GB2312" w:hAnsi="仿宋" w:eastAsia="仿宋_GB2312"/>
          <w:color w:val="auto"/>
          <w:szCs w:val="21"/>
        </w:rPr>
      </w:pPr>
      <w:r>
        <w:rPr>
          <w:rFonts w:hint="eastAsia" w:ascii="仿宋_GB2312" w:hAnsi="仿宋" w:eastAsia="仿宋_GB2312"/>
          <w:color w:val="auto"/>
          <w:szCs w:val="21"/>
          <w:u w:val="single"/>
        </w:rPr>
        <w:t xml:space="preserve">    (需方名称)            </w:t>
      </w:r>
      <w:r>
        <w:rPr>
          <w:rFonts w:hint="eastAsia" w:ascii="仿宋_GB2312" w:hAnsi="仿宋" w:eastAsia="仿宋_GB2312"/>
          <w:color w:val="auto"/>
          <w:szCs w:val="21"/>
        </w:rPr>
        <w:t xml:space="preserve"> （以下简称需方）和</w:t>
      </w:r>
      <w:r>
        <w:rPr>
          <w:rFonts w:hint="eastAsia" w:ascii="仿宋_GB2312" w:hAnsi="仿宋" w:eastAsia="仿宋_GB2312"/>
          <w:color w:val="auto"/>
          <w:szCs w:val="21"/>
          <w:u w:val="single"/>
        </w:rPr>
        <w:t xml:space="preserve">   (供方名称)    </w:t>
      </w:r>
      <w:r>
        <w:rPr>
          <w:rFonts w:hint="eastAsia" w:ascii="仿宋_GB2312" w:hAnsi="仿宋" w:eastAsia="仿宋_GB2312"/>
          <w:color w:val="auto"/>
          <w:szCs w:val="21"/>
        </w:rPr>
        <w:t>（以下简称供方）根据《中华人民共和国民法典》和有关法律法规，遵循平等、自愿、公平和诚实信用原则，同意按照下面的条款和条件订立本政府采购合同，共同信守。</w:t>
      </w:r>
    </w:p>
    <w:p w14:paraId="382D8BCA">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一、政府采购合同文件</w:t>
      </w:r>
    </w:p>
    <w:p w14:paraId="738067B4">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本政府采购合同所附下列文件是构成本政府采购合同不可分割的部分：</w:t>
      </w:r>
    </w:p>
    <w:p w14:paraId="52EDF424">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1.招标文件（招标文件编号</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w:t>
      </w:r>
    </w:p>
    <w:p w14:paraId="590C6106">
      <w:pPr>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olor w:val="auto"/>
          <w:szCs w:val="21"/>
        </w:rPr>
        <w:t>2.</w:t>
      </w:r>
      <w:r>
        <w:rPr>
          <w:rFonts w:hint="eastAsia" w:ascii="仿宋_GB2312" w:hAnsi="仿宋" w:eastAsia="仿宋_GB2312" w:cs="Arial"/>
          <w:color w:val="auto"/>
          <w:szCs w:val="21"/>
        </w:rPr>
        <w:t>招标文件的更正公告、变更公告；</w:t>
      </w:r>
    </w:p>
    <w:p w14:paraId="08D39F63">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3.中标供应商提交的投标文件；</w:t>
      </w:r>
    </w:p>
    <w:p w14:paraId="65F24CFD">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4.政府采购合同条款；</w:t>
      </w:r>
    </w:p>
    <w:p w14:paraId="49D59C82">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5.中标通知书；</w:t>
      </w:r>
    </w:p>
    <w:p w14:paraId="395760A3">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6.</w:t>
      </w:r>
      <w:r>
        <w:rPr>
          <w:rFonts w:hint="eastAsia" w:ascii="仿宋_GB2312" w:hAnsi="仿宋" w:eastAsia="仿宋_GB2312" w:cs="Arial"/>
          <w:color w:val="auto"/>
          <w:szCs w:val="21"/>
        </w:rPr>
        <w:t>政府采购合同的其它附件。</w:t>
      </w:r>
    </w:p>
    <w:p w14:paraId="5B2FDE28">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二、政府采购合同范围和条件</w:t>
      </w:r>
    </w:p>
    <w:p w14:paraId="681E848D">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本政府采购合同的范围和条件与上述政府采购合同文件的规定相一致。</w:t>
      </w:r>
    </w:p>
    <w:p w14:paraId="7E8965F6">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三、政府采购合同标的</w:t>
      </w:r>
    </w:p>
    <w:p w14:paraId="24B3B882">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w:t>
      </w:r>
      <w:r>
        <w:rPr>
          <w:rFonts w:hint="eastAsia" w:ascii="仿宋_GB2312" w:hAnsi="仿宋" w:eastAsia="仿宋_GB2312" w:cs="仿宋_GB2312"/>
          <w:color w:val="auto"/>
          <w:szCs w:val="21"/>
        </w:rPr>
        <w:t>本政府采购合同的标的为招标文件中所列相关服务。</w:t>
      </w:r>
    </w:p>
    <w:p w14:paraId="2266A3A6">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四、政府采购合同金额</w:t>
      </w:r>
    </w:p>
    <w:p w14:paraId="5C0D561E">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根据上述政府采购合同文件要求，政府采购合同的总金额为人民币</w:t>
      </w:r>
      <w:r>
        <w:rPr>
          <w:rFonts w:hint="eastAsia" w:ascii="仿宋_GB2312" w:hAnsi="仿宋" w:eastAsia="仿宋_GB2312"/>
          <w:color w:val="auto"/>
          <w:szCs w:val="21"/>
          <w:u w:val="single"/>
        </w:rPr>
        <w:t xml:space="preserve">  （大写）                </w:t>
      </w:r>
      <w:r>
        <w:rPr>
          <w:rFonts w:hint="eastAsia" w:ascii="仿宋_GB2312" w:hAnsi="仿宋" w:eastAsia="仿宋_GB2312"/>
          <w:color w:val="auto"/>
          <w:szCs w:val="21"/>
        </w:rPr>
        <w:t xml:space="preserve"> 元。</w:t>
      </w:r>
    </w:p>
    <w:p w14:paraId="5B639DF9">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五、付款方式及条件</w:t>
      </w:r>
    </w:p>
    <w:p w14:paraId="45F85A3F">
      <w:pPr>
        <w:spacing w:line="360" w:lineRule="auto"/>
        <w:jc w:val="left"/>
        <w:rPr>
          <w:rFonts w:ascii="仿宋_GB2312" w:hAnsi="仿宋" w:eastAsia="仿宋_GB2312"/>
          <w:b/>
          <w:color w:val="auto"/>
          <w:szCs w:val="21"/>
        </w:rPr>
      </w:pPr>
    </w:p>
    <w:p w14:paraId="2DA1BBF7">
      <w:pPr>
        <w:spacing w:line="360" w:lineRule="auto"/>
        <w:jc w:val="left"/>
        <w:rPr>
          <w:rFonts w:ascii="仿宋_GB2312" w:hAnsi="仿宋" w:eastAsia="仿宋_GB2312"/>
          <w:color w:val="auto"/>
          <w:szCs w:val="21"/>
        </w:rPr>
      </w:pPr>
      <w:r>
        <w:rPr>
          <w:rFonts w:hint="eastAsia" w:ascii="仿宋_GB2312" w:hAnsi="仿宋" w:eastAsia="仿宋_GB2312"/>
          <w:b/>
          <w:color w:val="auto"/>
          <w:szCs w:val="21"/>
        </w:rPr>
        <w:t>　　六、服务时间和服务地点</w:t>
      </w:r>
      <w:r>
        <w:rPr>
          <w:rFonts w:hint="eastAsia" w:ascii="仿宋_GB2312" w:hAnsi="仿宋" w:eastAsia="仿宋_GB2312"/>
          <w:color w:val="auto"/>
          <w:szCs w:val="21"/>
        </w:rPr>
        <w:t xml:space="preserve">   </w:t>
      </w:r>
    </w:p>
    <w:p w14:paraId="59B33855">
      <w:pPr>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 xml:space="preserve">    1.服务时间：</w:t>
      </w:r>
      <w:r>
        <w:rPr>
          <w:rFonts w:hint="eastAsia" w:ascii="仿宋_GB2312" w:hAnsi="仿宋" w:eastAsia="仿宋_GB2312"/>
          <w:color w:val="auto"/>
          <w:szCs w:val="21"/>
          <w:u w:val="single"/>
        </w:rPr>
        <w:t xml:space="preserve">        </w:t>
      </w:r>
    </w:p>
    <w:p w14:paraId="3D6BCB5F">
      <w:pPr>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 xml:space="preserve">    2.服务地点：</w:t>
      </w:r>
      <w:r>
        <w:rPr>
          <w:rFonts w:hint="eastAsia" w:ascii="仿宋_GB2312" w:hAnsi="仿宋" w:eastAsia="仿宋_GB2312"/>
          <w:color w:val="auto"/>
          <w:szCs w:val="21"/>
          <w:u w:val="single"/>
        </w:rPr>
        <w:t xml:space="preserve">        </w:t>
      </w:r>
    </w:p>
    <w:p w14:paraId="0BED6C2B">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七、验收要求</w:t>
      </w:r>
    </w:p>
    <w:p w14:paraId="724F1063">
      <w:pPr>
        <w:spacing w:line="360" w:lineRule="auto"/>
        <w:jc w:val="left"/>
        <w:rPr>
          <w:rFonts w:ascii="仿宋_GB2312" w:hAnsi="仿宋" w:eastAsia="仿宋_GB2312"/>
          <w:color w:val="auto"/>
          <w:szCs w:val="21"/>
          <w:u w:val="single"/>
        </w:rPr>
      </w:pPr>
      <w:r>
        <w:rPr>
          <w:rFonts w:hint="eastAsia" w:ascii="仿宋_GB2312" w:hAnsi="仿宋" w:eastAsia="仿宋_GB2312"/>
          <w:b/>
          <w:color w:val="auto"/>
          <w:szCs w:val="21"/>
        </w:rPr>
        <w:t xml:space="preserve">    </w:t>
      </w:r>
      <w:r>
        <w:rPr>
          <w:rFonts w:hint="eastAsia" w:ascii="仿宋_GB2312" w:hAnsi="仿宋" w:eastAsia="仿宋_GB2312"/>
          <w:color w:val="auto"/>
          <w:szCs w:val="21"/>
        </w:rPr>
        <w:t>供方完全履行合同义务后，需方或需方的最终用户按照上述政府采购合同文件列明的标准进行验收，验收不合格的，供方需按照第八条的约定承担相应违约责任。</w:t>
      </w:r>
    </w:p>
    <w:p w14:paraId="27978447">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xml:space="preserve">    八、违约责任</w:t>
      </w:r>
    </w:p>
    <w:p w14:paraId="5156A1A1">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1.供方逾期提供服务的，每逾期一天向需方支付合同金额</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%的违约金，逾期</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日的，需方有权单方面解除本协议。</w:t>
      </w:r>
    </w:p>
    <w:p w14:paraId="29C50E6C">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2.供方提供的服务不符合约定的，需方有权向供方书面提出整改意见，供方需无条件整改至符合约定，自需方向供方提出书面意见之日起</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日内，供方仍未整改或整改后服务仍不符合约定的，需方有权单方面解除本协议。</w:t>
      </w:r>
    </w:p>
    <w:p w14:paraId="772F217F">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3.需方逾期付款的，每逾期一天向供方支付逾期金额</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%的违约金，逾期</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日的，供方有权单方面解除本协议。</w:t>
      </w:r>
    </w:p>
    <w:p w14:paraId="592B8CD5">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xml:space="preserve">    九、争议解决</w:t>
      </w:r>
    </w:p>
    <w:p w14:paraId="5DBF538B">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双方因履行本协议而产生的争议，应友好协商解决，协商不成的，任何一方可向需方所在地的人民法院提起诉讼。</w:t>
      </w:r>
    </w:p>
    <w:p w14:paraId="49BFCFE0">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xml:space="preserve">    十、合同生效</w:t>
      </w:r>
    </w:p>
    <w:p w14:paraId="5BC387C2">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本政府采购合同经双方授权代表签字盖章后生效。</w:t>
      </w:r>
    </w:p>
    <w:p w14:paraId="07B2F4B6">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 xml:space="preserve">需  方（公章）:                       供 </w:t>
      </w:r>
      <w:r>
        <w:rPr>
          <w:rFonts w:ascii="仿宋_GB2312" w:hAnsi="仿宋" w:eastAsia="仿宋_GB2312"/>
          <w:color w:val="auto"/>
          <w:szCs w:val="21"/>
        </w:rPr>
        <w:t xml:space="preserve"> </w:t>
      </w:r>
      <w:r>
        <w:rPr>
          <w:rFonts w:hint="eastAsia" w:ascii="仿宋_GB2312" w:hAnsi="仿宋" w:eastAsia="仿宋_GB2312"/>
          <w:color w:val="auto"/>
          <w:szCs w:val="21"/>
        </w:rPr>
        <w:t>方(公章):</w:t>
      </w:r>
    </w:p>
    <w:p w14:paraId="5566306F">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法定代表人或授权代表人(签字):         法定代表人或授权代表人(签字):</w:t>
      </w:r>
    </w:p>
    <w:p w14:paraId="6555BC7B">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地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址：</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地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址：</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p>
    <w:p w14:paraId="1E09EA9A">
      <w:pPr>
        <w:spacing w:line="360" w:lineRule="auto"/>
        <w:ind w:firstLine="420" w:firstLineChars="200"/>
        <w:rPr>
          <w:rFonts w:ascii="仿宋_GB2312" w:hAnsi="仿宋" w:eastAsia="仿宋_GB2312" w:cs="Lucida Sans Unicode"/>
          <w:color w:val="auto"/>
          <w:szCs w:val="21"/>
        </w:rPr>
      </w:pPr>
      <w:r>
        <w:rPr>
          <w:rFonts w:hint="eastAsia" w:ascii="仿宋_GB2312" w:hAnsi="仿宋" w:eastAsia="仿宋_GB2312" w:cs="Lucida Sans Unicode"/>
          <w:color w:val="auto"/>
          <w:szCs w:val="21"/>
        </w:rPr>
        <w:t>联系人：</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联系人：</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p>
    <w:p w14:paraId="78519641">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电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话：</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电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话：</w:t>
      </w:r>
      <w:r>
        <w:rPr>
          <w:rFonts w:hint="eastAsia" w:ascii="仿宋_GB2312" w:hAnsi="仿宋" w:eastAsia="仿宋_GB2312" w:cs="Lucida Sans Unicode"/>
          <w:color w:val="auto"/>
          <w:szCs w:val="21"/>
          <w:u w:val="single"/>
        </w:rPr>
        <w:t xml:space="preserve">                          </w:t>
      </w:r>
    </w:p>
    <w:p w14:paraId="0E667A00">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传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真：</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传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真：</w:t>
      </w:r>
      <w:r>
        <w:rPr>
          <w:rFonts w:hint="eastAsia" w:ascii="仿宋_GB2312" w:hAnsi="仿宋" w:eastAsia="仿宋_GB2312" w:cs="Lucida Sans Unicode"/>
          <w:color w:val="auto"/>
          <w:szCs w:val="21"/>
          <w:u w:val="single"/>
        </w:rPr>
        <w:t xml:space="preserve">                          </w:t>
      </w:r>
    </w:p>
    <w:p w14:paraId="7CE40C74">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邮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编：</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邮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编：</w:t>
      </w:r>
      <w:r>
        <w:rPr>
          <w:rFonts w:hint="eastAsia" w:ascii="仿宋_GB2312" w:hAnsi="仿宋" w:eastAsia="仿宋_GB2312" w:cs="Lucida Sans Unicode"/>
          <w:color w:val="auto"/>
          <w:szCs w:val="21"/>
          <w:u w:val="single"/>
        </w:rPr>
        <w:t xml:space="preserve">                          </w:t>
      </w:r>
    </w:p>
    <w:p w14:paraId="134E2C71">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日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期：</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年</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月</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日     日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期：</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年</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月</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日</w:t>
      </w:r>
    </w:p>
    <w:p w14:paraId="0A84238B">
      <w:pPr>
        <w:rPr>
          <w:rFonts w:ascii="仿宋" w:hAnsi="仿宋"/>
          <w:color w:val="auto"/>
        </w:rPr>
      </w:pPr>
    </w:p>
    <w:p w14:paraId="631A9FE7">
      <w:pPr>
        <w:adjustRightInd w:val="0"/>
        <w:snapToGrid w:val="0"/>
        <w:spacing w:line="360" w:lineRule="auto"/>
        <w:rPr>
          <w:rFonts w:ascii="仿宋" w:hAnsi="仿宋" w:cs="仿宋_GB2312"/>
          <w:color w:val="auto"/>
          <w:szCs w:val="21"/>
          <w:u w:val="single"/>
        </w:rPr>
      </w:pPr>
    </w:p>
    <w:p w14:paraId="4AC4BE36">
      <w:pPr>
        <w:wordWrap w:val="0"/>
        <w:adjustRightInd w:val="0"/>
        <w:snapToGrid w:val="0"/>
        <w:spacing w:line="360" w:lineRule="auto"/>
        <w:jc w:val="right"/>
        <w:rPr>
          <w:rFonts w:ascii="仿宋" w:hAnsi="仿宋" w:cs="仿宋_GB2312"/>
          <w:color w:val="auto"/>
          <w:szCs w:val="21"/>
        </w:rPr>
      </w:pPr>
    </w:p>
    <w:p w14:paraId="4E9C70A6">
      <w:pPr>
        <w:wordWrap w:val="0"/>
        <w:adjustRightInd w:val="0"/>
        <w:snapToGrid w:val="0"/>
        <w:spacing w:line="360" w:lineRule="auto"/>
        <w:jc w:val="right"/>
        <w:rPr>
          <w:rFonts w:ascii="仿宋" w:hAnsi="仿宋" w:cs="仿宋_GB2312"/>
          <w:color w:val="auto"/>
          <w:szCs w:val="21"/>
        </w:rPr>
      </w:pPr>
    </w:p>
    <w:sectPr>
      <w:headerReference r:id="rId7" w:type="default"/>
      <w:pgSz w:w="11906" w:h="16838"/>
      <w:pgMar w:top="1719" w:right="1483" w:bottom="1418" w:left="1603" w:header="1091" w:footer="987"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2010601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16E5F">
    <w:pPr>
      <w:pStyle w:val="18"/>
      <w:jc w:val="center"/>
    </w:pPr>
    <w:r>
      <w:fldChar w:fldCharType="begin"/>
    </w:r>
    <w:r>
      <w:instrText xml:space="preserve">PAGE   \* MERGEFORMAT</w:instrText>
    </w:r>
    <w:r>
      <w:fldChar w:fldCharType="separate"/>
    </w:r>
    <w:r>
      <w:rPr>
        <w:lang w:val="zh-CN"/>
      </w:rPr>
      <w:t>I</w:t>
    </w:r>
    <w:r>
      <w:fldChar w:fldCharType="end"/>
    </w:r>
  </w:p>
  <w:p w14:paraId="2C47A486">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EFDCD">
    <w:pPr>
      <w:pStyle w:val="18"/>
      <w:jc w:val="center"/>
    </w:pPr>
    <w:r>
      <w:rPr>
        <w:sz w:val="22"/>
        <w:szCs w:val="36"/>
      </w:rPr>
      <w:fldChar w:fldCharType="begin"/>
    </w:r>
    <w:r>
      <w:rPr>
        <w:sz w:val="22"/>
        <w:szCs w:val="36"/>
      </w:rPr>
      <w:instrText xml:space="preserve">PAGE   \* MERGEFORMAT</w:instrText>
    </w:r>
    <w:r>
      <w:rPr>
        <w:sz w:val="22"/>
        <w:szCs w:val="36"/>
      </w:rPr>
      <w:fldChar w:fldCharType="separate"/>
    </w:r>
    <w:r>
      <w:rPr>
        <w:sz w:val="22"/>
        <w:szCs w:val="36"/>
        <w:lang w:val="zh-CN"/>
      </w:rPr>
      <w:t>3</w:t>
    </w:r>
    <w:r>
      <w:rPr>
        <w:sz w:val="22"/>
        <w:szCs w:val="3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2DCFB">
    <w:pPr>
      <w:pStyle w:val="20"/>
      <w:rPr>
        <w:rFonts w:ascii="仿宋_GB2312" w:eastAsia="仿宋_GB2312"/>
        <w:sz w:val="21"/>
        <w:szCs w:val="21"/>
        <w:u w:val="single"/>
      </w:rPr>
    </w:pPr>
    <w:r>
      <w:rPr>
        <w:rFonts w:hint="eastAsia" w:ascii="仿宋_GB2312" w:hAnsi="仿宋" w:eastAsia="仿宋_GB2312" w:cs="仿宋_GB2312"/>
        <w:bCs/>
        <w:sz w:val="21"/>
        <w:szCs w:val="21"/>
        <w:u w:val="single"/>
      </w:rPr>
      <w:t xml:space="preserve"> </w:t>
    </w:r>
    <w:r>
      <w:rPr>
        <w:rFonts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46E61">
    <w:pPr>
      <w:pStyle w:val="20"/>
    </w:pP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583B3">
    <w:pPr>
      <w:pStyle w:val="20"/>
    </w:pP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EC865973"/>
    <w:multiLevelType w:val="multilevel"/>
    <w:tmpl w:val="EC865973"/>
    <w:lvl w:ilvl="0" w:tentative="0">
      <w:start w:val="1"/>
      <w:numFmt w:val="decimal"/>
      <w:lvlText w:val="第%1章"/>
      <w:lvlJc w:val="left"/>
      <w:pPr>
        <w:tabs>
          <w:tab w:val="left" w:pos="425"/>
        </w:tabs>
        <w:ind w:left="0" w:firstLine="0"/>
      </w:pPr>
      <w:rPr>
        <w:rFonts w:hint="default" w:ascii="黑体" w:hAnsi="黑体" w:eastAsia="黑体" w:cs="黑体"/>
        <w:b/>
        <w:bCs/>
        <w:i w:val="0"/>
        <w:caps w:val="0"/>
        <w:smallCaps w:val="0"/>
        <w:strike w:val="0"/>
        <w:dstrike w:val="0"/>
        <w:vanish w:val="0"/>
        <w:spacing w:val="0"/>
        <w:position w:val="0"/>
        <w:sz w:val="44"/>
        <w:u w:val="none"/>
        <w:vertAlign w:val="baseline"/>
      </w:rPr>
    </w:lvl>
    <w:lvl w:ilvl="1" w:tentative="0">
      <w:start w:val="1"/>
      <w:numFmt w:val="decimal"/>
      <w:isLgl/>
      <w:lvlText w:val="%1.%2"/>
      <w:lvlJc w:val="left"/>
      <w:pPr>
        <w:tabs>
          <w:tab w:val="left" w:pos="851"/>
        </w:tabs>
        <w:ind w:left="426" w:firstLine="0"/>
      </w:pPr>
      <w:rPr>
        <w:rFonts w:hint="default" w:ascii="黑体" w:hAnsi="黑体" w:eastAsia="黑体" w:cs="黑体"/>
        <w:b w:val="0"/>
        <w:i w:val="0"/>
        <w:color w:val="000000"/>
        <w:sz w:val="36"/>
        <w:szCs w:val="36"/>
      </w:rPr>
    </w:lvl>
    <w:lvl w:ilvl="2" w:tentative="0">
      <w:start w:val="1"/>
      <w:numFmt w:val="decimal"/>
      <w:isLgl/>
      <w:lvlText w:val="%1.%2.%3"/>
      <w:lvlJc w:val="left"/>
      <w:pPr>
        <w:tabs>
          <w:tab w:val="left" w:pos="425"/>
        </w:tabs>
        <w:ind w:left="0" w:firstLine="0"/>
      </w:pPr>
      <w:rPr>
        <w:rFonts w:hint="default" w:ascii="宋体" w:hAnsi="宋体" w:eastAsia="宋体" w:cs="宋体"/>
        <w:sz w:val="32"/>
        <w:szCs w:val="32"/>
      </w:rPr>
    </w:lvl>
    <w:lvl w:ilvl="3" w:tentative="0">
      <w:start w:val="1"/>
      <w:numFmt w:val="decimal"/>
      <w:isLgl/>
      <w:suff w:val="nothing"/>
      <w:lvlText w:val="%1.%2.%3.%4"/>
      <w:lvlJc w:val="left"/>
      <w:pPr>
        <w:tabs>
          <w:tab w:val="left" w:pos="425"/>
        </w:tabs>
        <w:ind w:left="0" w:firstLine="0"/>
      </w:pPr>
      <w:rPr>
        <w:rFonts w:hint="default" w:ascii="宋体" w:hAnsi="宋体" w:eastAsia="宋体" w:cs="宋体"/>
      </w:rPr>
    </w:lvl>
    <w:lvl w:ilvl="4" w:tentative="0">
      <w:start w:val="1"/>
      <w:numFmt w:val="decimal"/>
      <w:isLgl/>
      <w:lvlText w:val="%1.%2.%3.%4.%5"/>
      <w:lvlJc w:val="left"/>
      <w:pPr>
        <w:tabs>
          <w:tab w:val="left" w:pos="425"/>
        </w:tabs>
        <w:ind w:left="0" w:firstLine="0"/>
      </w:pPr>
      <w:rPr>
        <w:rFonts w:hint="default" w:ascii="宋体" w:hAnsi="宋体" w:eastAsia="宋体" w:cs="宋体"/>
        <w:b/>
        <w:bCs/>
        <w:sz w:val="24"/>
        <w:szCs w:val="24"/>
      </w:rPr>
    </w:lvl>
    <w:lvl w:ilvl="5" w:tentative="0">
      <w:start w:val="1"/>
      <w:numFmt w:val="decimal"/>
      <w:pStyle w:val="7"/>
      <w:isLgl/>
      <w:lvlText w:val="%1.%2.%3.%4.%5.%6"/>
      <w:lvlJc w:val="left"/>
      <w:pPr>
        <w:tabs>
          <w:tab w:val="left" w:pos="425"/>
        </w:tabs>
        <w:ind w:left="0" w:firstLine="0"/>
      </w:pPr>
      <w:rPr>
        <w:rFonts w:hint="default" w:ascii="宋体" w:hAnsi="宋体" w:eastAsia="宋体" w:cs="宋体"/>
        <w:b/>
        <w:bCs/>
        <w:sz w:val="24"/>
        <w:szCs w:val="24"/>
      </w:rPr>
    </w:lvl>
    <w:lvl w:ilvl="6" w:tentative="0">
      <w:start w:val="1"/>
      <w:numFmt w:val="decimal"/>
      <w:isLgl/>
      <w:lvlText w:val="%1.%2.%3.%4.%5.%6.%7"/>
      <w:lvlJc w:val="left"/>
      <w:pPr>
        <w:tabs>
          <w:tab w:val="left" w:pos="425"/>
        </w:tabs>
        <w:ind w:left="0" w:firstLine="0"/>
      </w:pPr>
      <w:rPr>
        <w:rFonts w:hint="eastAsia"/>
      </w:rPr>
    </w:lvl>
    <w:lvl w:ilvl="7" w:tentative="0">
      <w:start w:val="1"/>
      <w:numFmt w:val="decimal"/>
      <w:isLgl/>
      <w:lvlText w:val="%1.%2.%3.%4.%5.%6.%7.%8"/>
      <w:lvlJc w:val="left"/>
      <w:pPr>
        <w:tabs>
          <w:tab w:val="left" w:pos="425"/>
        </w:tabs>
        <w:ind w:left="0" w:firstLine="0"/>
      </w:pPr>
      <w:rPr>
        <w:rFonts w:hint="eastAsia"/>
      </w:rPr>
    </w:lvl>
    <w:lvl w:ilvl="8" w:tentative="0">
      <w:start w:val="1"/>
      <w:numFmt w:val="decimal"/>
      <w:isLgl/>
      <w:lvlText w:val="%1.%2.%3.%4.%5.%6.%7.%8.%9"/>
      <w:lvlJc w:val="left"/>
      <w:pPr>
        <w:tabs>
          <w:tab w:val="left" w:pos="425"/>
        </w:tabs>
        <w:ind w:left="0" w:firstLine="0"/>
      </w:pPr>
      <w:rPr>
        <w:rFonts w:hint="eastAsia"/>
      </w:rPr>
    </w:lvl>
  </w:abstractNum>
  <w:abstractNum w:abstractNumId="3">
    <w:nsid w:val="1B6474D2"/>
    <w:multiLevelType w:val="singleLevel"/>
    <w:tmpl w:val="1B6474D2"/>
    <w:lvl w:ilvl="0" w:tentative="0">
      <w:start w:val="5"/>
      <w:numFmt w:val="chineseCounting"/>
      <w:suff w:val="nothing"/>
      <w:lvlText w:val="%1、"/>
      <w:lvlJc w:val="left"/>
      <w:rPr>
        <w:rFonts w:hint="eastAsia"/>
      </w:rPr>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420C153B"/>
    <w:multiLevelType w:val="multilevel"/>
    <w:tmpl w:val="420C153B"/>
    <w:lvl w:ilvl="0" w:tentative="0">
      <w:start w:val="1"/>
      <w:numFmt w:val="decimal"/>
      <w:pStyle w:val="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7">
    <w:nsid w:val="7B4156D0"/>
    <w:multiLevelType w:val="singleLevel"/>
    <w:tmpl w:val="7B4156D0"/>
    <w:lvl w:ilvl="0" w:tentative="0">
      <w:start w:val="1"/>
      <w:numFmt w:val="decimal"/>
      <w:suff w:val="nothing"/>
      <w:lvlText w:val="（%1）"/>
      <w:lvlJc w:val="left"/>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7"/>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yNGY4NzlmOTdhODQ2MDg1YWVjMjU3YmE3YjM0YmYifQ=="/>
    <w:docVar w:name="KSO_WPS_MARK_KEY" w:val="979311d7-d52e-44af-8f5f-951b640a8f2d"/>
  </w:docVars>
  <w:rsids>
    <w:rsidRoot w:val="35AB3B2B"/>
    <w:rsid w:val="00001B26"/>
    <w:rsid w:val="00003152"/>
    <w:rsid w:val="00006C97"/>
    <w:rsid w:val="00007B90"/>
    <w:rsid w:val="000112BA"/>
    <w:rsid w:val="0001138F"/>
    <w:rsid w:val="000125C4"/>
    <w:rsid w:val="00015011"/>
    <w:rsid w:val="0001558A"/>
    <w:rsid w:val="00016A3E"/>
    <w:rsid w:val="00017755"/>
    <w:rsid w:val="0002065B"/>
    <w:rsid w:val="00022686"/>
    <w:rsid w:val="00025233"/>
    <w:rsid w:val="00026894"/>
    <w:rsid w:val="000268C8"/>
    <w:rsid w:val="000271FF"/>
    <w:rsid w:val="00027F7E"/>
    <w:rsid w:val="00030E29"/>
    <w:rsid w:val="00031AC7"/>
    <w:rsid w:val="00033E94"/>
    <w:rsid w:val="00034688"/>
    <w:rsid w:val="000352A7"/>
    <w:rsid w:val="000361D2"/>
    <w:rsid w:val="00036A11"/>
    <w:rsid w:val="00042F55"/>
    <w:rsid w:val="0004517C"/>
    <w:rsid w:val="0004573F"/>
    <w:rsid w:val="00046C54"/>
    <w:rsid w:val="00054BE1"/>
    <w:rsid w:val="00060F41"/>
    <w:rsid w:val="000613C9"/>
    <w:rsid w:val="00061FC8"/>
    <w:rsid w:val="00063356"/>
    <w:rsid w:val="000636C6"/>
    <w:rsid w:val="00064EBF"/>
    <w:rsid w:val="00065E1D"/>
    <w:rsid w:val="0007057C"/>
    <w:rsid w:val="000727E9"/>
    <w:rsid w:val="00072875"/>
    <w:rsid w:val="00072E35"/>
    <w:rsid w:val="00072FD3"/>
    <w:rsid w:val="00076C1A"/>
    <w:rsid w:val="00077BF1"/>
    <w:rsid w:val="00081B74"/>
    <w:rsid w:val="000829E7"/>
    <w:rsid w:val="000834F5"/>
    <w:rsid w:val="000843AE"/>
    <w:rsid w:val="00084E5A"/>
    <w:rsid w:val="0008618C"/>
    <w:rsid w:val="00092218"/>
    <w:rsid w:val="00093FEC"/>
    <w:rsid w:val="000944DD"/>
    <w:rsid w:val="000951DF"/>
    <w:rsid w:val="000952FE"/>
    <w:rsid w:val="00096E47"/>
    <w:rsid w:val="0009731D"/>
    <w:rsid w:val="000A24D8"/>
    <w:rsid w:val="000A2EA7"/>
    <w:rsid w:val="000A4219"/>
    <w:rsid w:val="000A4CA4"/>
    <w:rsid w:val="000A7873"/>
    <w:rsid w:val="000B024D"/>
    <w:rsid w:val="000B13E4"/>
    <w:rsid w:val="000B2255"/>
    <w:rsid w:val="000B24E2"/>
    <w:rsid w:val="000B2B53"/>
    <w:rsid w:val="000B2D3A"/>
    <w:rsid w:val="000B44D3"/>
    <w:rsid w:val="000B5354"/>
    <w:rsid w:val="000B712F"/>
    <w:rsid w:val="000B772E"/>
    <w:rsid w:val="000C0B6D"/>
    <w:rsid w:val="000C0E37"/>
    <w:rsid w:val="000C361E"/>
    <w:rsid w:val="000D1063"/>
    <w:rsid w:val="000D169F"/>
    <w:rsid w:val="000D37FB"/>
    <w:rsid w:val="000D486B"/>
    <w:rsid w:val="000D781B"/>
    <w:rsid w:val="000D7BB0"/>
    <w:rsid w:val="000E3FEE"/>
    <w:rsid w:val="000E4803"/>
    <w:rsid w:val="000E485D"/>
    <w:rsid w:val="000E5C28"/>
    <w:rsid w:val="000E5D99"/>
    <w:rsid w:val="000E6314"/>
    <w:rsid w:val="000E6A08"/>
    <w:rsid w:val="000E79F4"/>
    <w:rsid w:val="000F1091"/>
    <w:rsid w:val="000F2740"/>
    <w:rsid w:val="000F5035"/>
    <w:rsid w:val="000F5EC2"/>
    <w:rsid w:val="000F628D"/>
    <w:rsid w:val="000F6EAA"/>
    <w:rsid w:val="000F7558"/>
    <w:rsid w:val="000F78DC"/>
    <w:rsid w:val="000F7968"/>
    <w:rsid w:val="001015DF"/>
    <w:rsid w:val="00101F10"/>
    <w:rsid w:val="00103408"/>
    <w:rsid w:val="001048CC"/>
    <w:rsid w:val="001079BD"/>
    <w:rsid w:val="00107E40"/>
    <w:rsid w:val="00110574"/>
    <w:rsid w:val="00110B2A"/>
    <w:rsid w:val="00111F5A"/>
    <w:rsid w:val="00117DE7"/>
    <w:rsid w:val="00121A98"/>
    <w:rsid w:val="00124CB1"/>
    <w:rsid w:val="001257F2"/>
    <w:rsid w:val="001262ED"/>
    <w:rsid w:val="00127EDA"/>
    <w:rsid w:val="00133387"/>
    <w:rsid w:val="001348E3"/>
    <w:rsid w:val="00134FBD"/>
    <w:rsid w:val="0013522F"/>
    <w:rsid w:val="00135789"/>
    <w:rsid w:val="001368C9"/>
    <w:rsid w:val="00136C12"/>
    <w:rsid w:val="00137ABE"/>
    <w:rsid w:val="00137E78"/>
    <w:rsid w:val="0014363D"/>
    <w:rsid w:val="001457B6"/>
    <w:rsid w:val="00146881"/>
    <w:rsid w:val="00147EA4"/>
    <w:rsid w:val="00151563"/>
    <w:rsid w:val="001535A4"/>
    <w:rsid w:val="00153EE0"/>
    <w:rsid w:val="0015422E"/>
    <w:rsid w:val="00155DE7"/>
    <w:rsid w:val="00155F37"/>
    <w:rsid w:val="001560B2"/>
    <w:rsid w:val="00157B35"/>
    <w:rsid w:val="00160145"/>
    <w:rsid w:val="001612AD"/>
    <w:rsid w:val="00161BB4"/>
    <w:rsid w:val="001675AD"/>
    <w:rsid w:val="001706A3"/>
    <w:rsid w:val="00170858"/>
    <w:rsid w:val="001728F2"/>
    <w:rsid w:val="00173925"/>
    <w:rsid w:val="00174149"/>
    <w:rsid w:val="0017617D"/>
    <w:rsid w:val="001761CE"/>
    <w:rsid w:val="00176D8F"/>
    <w:rsid w:val="001771EA"/>
    <w:rsid w:val="00180905"/>
    <w:rsid w:val="00180F27"/>
    <w:rsid w:val="00181806"/>
    <w:rsid w:val="00182384"/>
    <w:rsid w:val="0018261B"/>
    <w:rsid w:val="00183988"/>
    <w:rsid w:val="00184EFA"/>
    <w:rsid w:val="0018626B"/>
    <w:rsid w:val="00186430"/>
    <w:rsid w:val="00187CC8"/>
    <w:rsid w:val="00190BB6"/>
    <w:rsid w:val="00192890"/>
    <w:rsid w:val="00193BD6"/>
    <w:rsid w:val="001966CB"/>
    <w:rsid w:val="00197002"/>
    <w:rsid w:val="001973B8"/>
    <w:rsid w:val="001A07D1"/>
    <w:rsid w:val="001A212A"/>
    <w:rsid w:val="001A254C"/>
    <w:rsid w:val="001A25B5"/>
    <w:rsid w:val="001A5914"/>
    <w:rsid w:val="001A5B0F"/>
    <w:rsid w:val="001B0312"/>
    <w:rsid w:val="001B233D"/>
    <w:rsid w:val="001B305B"/>
    <w:rsid w:val="001B6232"/>
    <w:rsid w:val="001B706E"/>
    <w:rsid w:val="001B7A81"/>
    <w:rsid w:val="001B7F1A"/>
    <w:rsid w:val="001C2580"/>
    <w:rsid w:val="001C38DB"/>
    <w:rsid w:val="001C4F34"/>
    <w:rsid w:val="001C5B60"/>
    <w:rsid w:val="001C69A2"/>
    <w:rsid w:val="001D014E"/>
    <w:rsid w:val="001D4F5F"/>
    <w:rsid w:val="001D51DB"/>
    <w:rsid w:val="001D74B3"/>
    <w:rsid w:val="001E2569"/>
    <w:rsid w:val="001E2F1E"/>
    <w:rsid w:val="001E311A"/>
    <w:rsid w:val="001E710F"/>
    <w:rsid w:val="001E73BE"/>
    <w:rsid w:val="001E7576"/>
    <w:rsid w:val="001F1442"/>
    <w:rsid w:val="001F1B25"/>
    <w:rsid w:val="001F2F4F"/>
    <w:rsid w:val="001F33B0"/>
    <w:rsid w:val="001F4567"/>
    <w:rsid w:val="002003B7"/>
    <w:rsid w:val="00201AE9"/>
    <w:rsid w:val="00202FF4"/>
    <w:rsid w:val="00204E46"/>
    <w:rsid w:val="00205FD2"/>
    <w:rsid w:val="00207B90"/>
    <w:rsid w:val="00210A2E"/>
    <w:rsid w:val="00212DFE"/>
    <w:rsid w:val="00213645"/>
    <w:rsid w:val="00214521"/>
    <w:rsid w:val="002167F8"/>
    <w:rsid w:val="0021762D"/>
    <w:rsid w:val="00217880"/>
    <w:rsid w:val="0022058A"/>
    <w:rsid w:val="00223C98"/>
    <w:rsid w:val="002259FF"/>
    <w:rsid w:val="00226266"/>
    <w:rsid w:val="002267F4"/>
    <w:rsid w:val="002277ED"/>
    <w:rsid w:val="002306E2"/>
    <w:rsid w:val="00234505"/>
    <w:rsid w:val="0023483C"/>
    <w:rsid w:val="00236046"/>
    <w:rsid w:val="0024308B"/>
    <w:rsid w:val="00243D7D"/>
    <w:rsid w:val="002451C4"/>
    <w:rsid w:val="00245594"/>
    <w:rsid w:val="00245A53"/>
    <w:rsid w:val="00246011"/>
    <w:rsid w:val="002460C8"/>
    <w:rsid w:val="00250491"/>
    <w:rsid w:val="0025093F"/>
    <w:rsid w:val="0025299C"/>
    <w:rsid w:val="002537A6"/>
    <w:rsid w:val="00254496"/>
    <w:rsid w:val="00256012"/>
    <w:rsid w:val="00263858"/>
    <w:rsid w:val="00264209"/>
    <w:rsid w:val="002664FC"/>
    <w:rsid w:val="0026766D"/>
    <w:rsid w:val="002679C9"/>
    <w:rsid w:val="002711DE"/>
    <w:rsid w:val="002714AD"/>
    <w:rsid w:val="00272DCB"/>
    <w:rsid w:val="0027302F"/>
    <w:rsid w:val="00273C0B"/>
    <w:rsid w:val="00273C57"/>
    <w:rsid w:val="0027457A"/>
    <w:rsid w:val="002748BD"/>
    <w:rsid w:val="002759FF"/>
    <w:rsid w:val="00275A85"/>
    <w:rsid w:val="00280554"/>
    <w:rsid w:val="00280795"/>
    <w:rsid w:val="00282DFB"/>
    <w:rsid w:val="00283B7F"/>
    <w:rsid w:val="00285962"/>
    <w:rsid w:val="00286C70"/>
    <w:rsid w:val="00292584"/>
    <w:rsid w:val="0029673D"/>
    <w:rsid w:val="0029766D"/>
    <w:rsid w:val="002A02DA"/>
    <w:rsid w:val="002A065B"/>
    <w:rsid w:val="002A4138"/>
    <w:rsid w:val="002A4DA9"/>
    <w:rsid w:val="002A5415"/>
    <w:rsid w:val="002B01C7"/>
    <w:rsid w:val="002B0793"/>
    <w:rsid w:val="002B2BE3"/>
    <w:rsid w:val="002B3C52"/>
    <w:rsid w:val="002C55BC"/>
    <w:rsid w:val="002C630E"/>
    <w:rsid w:val="002C6EA3"/>
    <w:rsid w:val="002D0745"/>
    <w:rsid w:val="002D31F4"/>
    <w:rsid w:val="002D59E7"/>
    <w:rsid w:val="002D6E9E"/>
    <w:rsid w:val="002E1E8D"/>
    <w:rsid w:val="002E2E3E"/>
    <w:rsid w:val="002E3592"/>
    <w:rsid w:val="002E464C"/>
    <w:rsid w:val="002F05AC"/>
    <w:rsid w:val="002F0C28"/>
    <w:rsid w:val="002F0FAB"/>
    <w:rsid w:val="002F1045"/>
    <w:rsid w:val="002F1EE1"/>
    <w:rsid w:val="002F323B"/>
    <w:rsid w:val="002F523E"/>
    <w:rsid w:val="002F6019"/>
    <w:rsid w:val="002F6253"/>
    <w:rsid w:val="002F7CD8"/>
    <w:rsid w:val="00300079"/>
    <w:rsid w:val="003066BD"/>
    <w:rsid w:val="003074CB"/>
    <w:rsid w:val="0030781E"/>
    <w:rsid w:val="00311526"/>
    <w:rsid w:val="00312480"/>
    <w:rsid w:val="00312523"/>
    <w:rsid w:val="003138A0"/>
    <w:rsid w:val="00314266"/>
    <w:rsid w:val="00315160"/>
    <w:rsid w:val="00315161"/>
    <w:rsid w:val="00315F36"/>
    <w:rsid w:val="00317975"/>
    <w:rsid w:val="00323580"/>
    <w:rsid w:val="00324367"/>
    <w:rsid w:val="00324551"/>
    <w:rsid w:val="003254C4"/>
    <w:rsid w:val="00331217"/>
    <w:rsid w:val="003314AB"/>
    <w:rsid w:val="003319FB"/>
    <w:rsid w:val="00334518"/>
    <w:rsid w:val="00335A5F"/>
    <w:rsid w:val="00336DC4"/>
    <w:rsid w:val="00337490"/>
    <w:rsid w:val="00340D6E"/>
    <w:rsid w:val="00341F18"/>
    <w:rsid w:val="00344C31"/>
    <w:rsid w:val="00344E31"/>
    <w:rsid w:val="003457BF"/>
    <w:rsid w:val="00346032"/>
    <w:rsid w:val="00346265"/>
    <w:rsid w:val="003475EB"/>
    <w:rsid w:val="0035053C"/>
    <w:rsid w:val="00353D2B"/>
    <w:rsid w:val="003544D8"/>
    <w:rsid w:val="003549B4"/>
    <w:rsid w:val="003574AB"/>
    <w:rsid w:val="00360B71"/>
    <w:rsid w:val="003616B4"/>
    <w:rsid w:val="00362F2A"/>
    <w:rsid w:val="00363498"/>
    <w:rsid w:val="003643A0"/>
    <w:rsid w:val="00365352"/>
    <w:rsid w:val="00366999"/>
    <w:rsid w:val="0036753B"/>
    <w:rsid w:val="003678C9"/>
    <w:rsid w:val="00370FE8"/>
    <w:rsid w:val="0037234B"/>
    <w:rsid w:val="003726F6"/>
    <w:rsid w:val="003739E8"/>
    <w:rsid w:val="00373DEC"/>
    <w:rsid w:val="003763A8"/>
    <w:rsid w:val="00376E2D"/>
    <w:rsid w:val="00380A0C"/>
    <w:rsid w:val="00382F03"/>
    <w:rsid w:val="00383A8E"/>
    <w:rsid w:val="003842FD"/>
    <w:rsid w:val="00385283"/>
    <w:rsid w:val="00387E06"/>
    <w:rsid w:val="00390374"/>
    <w:rsid w:val="0039123C"/>
    <w:rsid w:val="00391D32"/>
    <w:rsid w:val="0039453C"/>
    <w:rsid w:val="003946FF"/>
    <w:rsid w:val="0039488A"/>
    <w:rsid w:val="0039552E"/>
    <w:rsid w:val="003A0753"/>
    <w:rsid w:val="003A1022"/>
    <w:rsid w:val="003A1B8D"/>
    <w:rsid w:val="003A202D"/>
    <w:rsid w:val="003A3EF1"/>
    <w:rsid w:val="003A505B"/>
    <w:rsid w:val="003A5C7E"/>
    <w:rsid w:val="003A5D43"/>
    <w:rsid w:val="003B0B77"/>
    <w:rsid w:val="003B1120"/>
    <w:rsid w:val="003B2DCE"/>
    <w:rsid w:val="003B4A44"/>
    <w:rsid w:val="003C6391"/>
    <w:rsid w:val="003C6639"/>
    <w:rsid w:val="003C6698"/>
    <w:rsid w:val="003C6FE6"/>
    <w:rsid w:val="003C72A8"/>
    <w:rsid w:val="003C7C54"/>
    <w:rsid w:val="003D1E8E"/>
    <w:rsid w:val="003D244F"/>
    <w:rsid w:val="003D3DC2"/>
    <w:rsid w:val="003D57F2"/>
    <w:rsid w:val="003D65DD"/>
    <w:rsid w:val="003D7607"/>
    <w:rsid w:val="003E158E"/>
    <w:rsid w:val="003E1FAE"/>
    <w:rsid w:val="003E69CA"/>
    <w:rsid w:val="003F0CCB"/>
    <w:rsid w:val="003F1303"/>
    <w:rsid w:val="003F1DAB"/>
    <w:rsid w:val="003F46BC"/>
    <w:rsid w:val="003F5979"/>
    <w:rsid w:val="00401092"/>
    <w:rsid w:val="00403FF0"/>
    <w:rsid w:val="0040431D"/>
    <w:rsid w:val="00404D28"/>
    <w:rsid w:val="0040505A"/>
    <w:rsid w:val="00405614"/>
    <w:rsid w:val="004056FB"/>
    <w:rsid w:val="0040596B"/>
    <w:rsid w:val="00407346"/>
    <w:rsid w:val="00407FE6"/>
    <w:rsid w:val="004120C1"/>
    <w:rsid w:val="00414B4C"/>
    <w:rsid w:val="00414EFC"/>
    <w:rsid w:val="00414F7E"/>
    <w:rsid w:val="00416BED"/>
    <w:rsid w:val="004172A5"/>
    <w:rsid w:val="00421A69"/>
    <w:rsid w:val="0042248B"/>
    <w:rsid w:val="004224E8"/>
    <w:rsid w:val="00424FAB"/>
    <w:rsid w:val="004315C5"/>
    <w:rsid w:val="00431624"/>
    <w:rsid w:val="00431C0B"/>
    <w:rsid w:val="0044059D"/>
    <w:rsid w:val="00440750"/>
    <w:rsid w:val="00441146"/>
    <w:rsid w:val="0044242D"/>
    <w:rsid w:val="00443541"/>
    <w:rsid w:val="00451FAE"/>
    <w:rsid w:val="00453668"/>
    <w:rsid w:val="00455884"/>
    <w:rsid w:val="00460749"/>
    <w:rsid w:val="00462999"/>
    <w:rsid w:val="004633B4"/>
    <w:rsid w:val="00465F3E"/>
    <w:rsid w:val="00466A28"/>
    <w:rsid w:val="00467DBE"/>
    <w:rsid w:val="00470299"/>
    <w:rsid w:val="0047528E"/>
    <w:rsid w:val="00476458"/>
    <w:rsid w:val="00476936"/>
    <w:rsid w:val="00476FC7"/>
    <w:rsid w:val="0047765B"/>
    <w:rsid w:val="00477F7E"/>
    <w:rsid w:val="00481687"/>
    <w:rsid w:val="00484268"/>
    <w:rsid w:val="00485EA0"/>
    <w:rsid w:val="00486AE9"/>
    <w:rsid w:val="00487AE9"/>
    <w:rsid w:val="00487E2A"/>
    <w:rsid w:val="00492459"/>
    <w:rsid w:val="0049376F"/>
    <w:rsid w:val="00495888"/>
    <w:rsid w:val="00495C2C"/>
    <w:rsid w:val="0049609E"/>
    <w:rsid w:val="00496372"/>
    <w:rsid w:val="004965C7"/>
    <w:rsid w:val="00496654"/>
    <w:rsid w:val="00497016"/>
    <w:rsid w:val="00497FB3"/>
    <w:rsid w:val="004A3669"/>
    <w:rsid w:val="004A4B31"/>
    <w:rsid w:val="004A6AD8"/>
    <w:rsid w:val="004B033A"/>
    <w:rsid w:val="004B372B"/>
    <w:rsid w:val="004B39AD"/>
    <w:rsid w:val="004B3A8F"/>
    <w:rsid w:val="004B52CA"/>
    <w:rsid w:val="004B68E1"/>
    <w:rsid w:val="004B6E81"/>
    <w:rsid w:val="004C0AB8"/>
    <w:rsid w:val="004C189D"/>
    <w:rsid w:val="004C2E07"/>
    <w:rsid w:val="004C60C8"/>
    <w:rsid w:val="004C6B4B"/>
    <w:rsid w:val="004C7CA6"/>
    <w:rsid w:val="004D25E4"/>
    <w:rsid w:val="004D31CC"/>
    <w:rsid w:val="004D5436"/>
    <w:rsid w:val="004E0779"/>
    <w:rsid w:val="004E0863"/>
    <w:rsid w:val="004E1808"/>
    <w:rsid w:val="004E3769"/>
    <w:rsid w:val="004E4308"/>
    <w:rsid w:val="004E4D9B"/>
    <w:rsid w:val="004E533E"/>
    <w:rsid w:val="004F14DB"/>
    <w:rsid w:val="004F2268"/>
    <w:rsid w:val="004F42B3"/>
    <w:rsid w:val="004F4C61"/>
    <w:rsid w:val="004F4D80"/>
    <w:rsid w:val="004F52FD"/>
    <w:rsid w:val="004F5A01"/>
    <w:rsid w:val="004F5C93"/>
    <w:rsid w:val="00500295"/>
    <w:rsid w:val="0050053E"/>
    <w:rsid w:val="00502BE9"/>
    <w:rsid w:val="005040F4"/>
    <w:rsid w:val="0050541E"/>
    <w:rsid w:val="005063EE"/>
    <w:rsid w:val="005069CF"/>
    <w:rsid w:val="005141A0"/>
    <w:rsid w:val="00514DE2"/>
    <w:rsid w:val="00524671"/>
    <w:rsid w:val="00526823"/>
    <w:rsid w:val="0053191C"/>
    <w:rsid w:val="005319EB"/>
    <w:rsid w:val="00531A3F"/>
    <w:rsid w:val="0053267C"/>
    <w:rsid w:val="00532971"/>
    <w:rsid w:val="0053599F"/>
    <w:rsid w:val="00536175"/>
    <w:rsid w:val="005370E1"/>
    <w:rsid w:val="005373B4"/>
    <w:rsid w:val="005374FA"/>
    <w:rsid w:val="005378A0"/>
    <w:rsid w:val="00541EA3"/>
    <w:rsid w:val="00543C32"/>
    <w:rsid w:val="00543F35"/>
    <w:rsid w:val="00543F74"/>
    <w:rsid w:val="00545507"/>
    <w:rsid w:val="0054586A"/>
    <w:rsid w:val="00546579"/>
    <w:rsid w:val="0054785E"/>
    <w:rsid w:val="005500CB"/>
    <w:rsid w:val="00551E95"/>
    <w:rsid w:val="00552E61"/>
    <w:rsid w:val="005530E5"/>
    <w:rsid w:val="00553B06"/>
    <w:rsid w:val="00553BE0"/>
    <w:rsid w:val="00553E96"/>
    <w:rsid w:val="00554A07"/>
    <w:rsid w:val="00554C8E"/>
    <w:rsid w:val="00555175"/>
    <w:rsid w:val="00555573"/>
    <w:rsid w:val="00560A84"/>
    <w:rsid w:val="005630F6"/>
    <w:rsid w:val="005636F4"/>
    <w:rsid w:val="00564C7C"/>
    <w:rsid w:val="00565C97"/>
    <w:rsid w:val="005674BD"/>
    <w:rsid w:val="00567E19"/>
    <w:rsid w:val="005703B3"/>
    <w:rsid w:val="0057438F"/>
    <w:rsid w:val="0057464D"/>
    <w:rsid w:val="0057540F"/>
    <w:rsid w:val="00575817"/>
    <w:rsid w:val="005764AF"/>
    <w:rsid w:val="00577024"/>
    <w:rsid w:val="00577B7C"/>
    <w:rsid w:val="00577C8A"/>
    <w:rsid w:val="00580B35"/>
    <w:rsid w:val="00580D0A"/>
    <w:rsid w:val="005813AB"/>
    <w:rsid w:val="00581647"/>
    <w:rsid w:val="005817F4"/>
    <w:rsid w:val="0058275F"/>
    <w:rsid w:val="00582C5E"/>
    <w:rsid w:val="00584F8C"/>
    <w:rsid w:val="00586962"/>
    <w:rsid w:val="00587357"/>
    <w:rsid w:val="005873A5"/>
    <w:rsid w:val="00587497"/>
    <w:rsid w:val="005875EE"/>
    <w:rsid w:val="005907D7"/>
    <w:rsid w:val="00590FB0"/>
    <w:rsid w:val="005917C6"/>
    <w:rsid w:val="00592BFE"/>
    <w:rsid w:val="005A112A"/>
    <w:rsid w:val="005A20BD"/>
    <w:rsid w:val="005A2C08"/>
    <w:rsid w:val="005A517A"/>
    <w:rsid w:val="005A6B81"/>
    <w:rsid w:val="005B0539"/>
    <w:rsid w:val="005B0731"/>
    <w:rsid w:val="005B08EC"/>
    <w:rsid w:val="005B2BAA"/>
    <w:rsid w:val="005B2C40"/>
    <w:rsid w:val="005B41E2"/>
    <w:rsid w:val="005B45C0"/>
    <w:rsid w:val="005B4B8B"/>
    <w:rsid w:val="005B5121"/>
    <w:rsid w:val="005B6B25"/>
    <w:rsid w:val="005B7463"/>
    <w:rsid w:val="005B7F51"/>
    <w:rsid w:val="005C19A9"/>
    <w:rsid w:val="005C2AB9"/>
    <w:rsid w:val="005C2B9F"/>
    <w:rsid w:val="005D0500"/>
    <w:rsid w:val="005D14EE"/>
    <w:rsid w:val="005D2FD7"/>
    <w:rsid w:val="005D4603"/>
    <w:rsid w:val="005D6DFD"/>
    <w:rsid w:val="005D78C2"/>
    <w:rsid w:val="005E1F6B"/>
    <w:rsid w:val="005E3062"/>
    <w:rsid w:val="005E31BA"/>
    <w:rsid w:val="005E3DF5"/>
    <w:rsid w:val="005E47EE"/>
    <w:rsid w:val="005E4DB2"/>
    <w:rsid w:val="005E55D9"/>
    <w:rsid w:val="005F0DB2"/>
    <w:rsid w:val="005F3EDA"/>
    <w:rsid w:val="005F4591"/>
    <w:rsid w:val="005F464D"/>
    <w:rsid w:val="005F4810"/>
    <w:rsid w:val="005F4F2F"/>
    <w:rsid w:val="005F6D83"/>
    <w:rsid w:val="006005E7"/>
    <w:rsid w:val="00600B7C"/>
    <w:rsid w:val="00601365"/>
    <w:rsid w:val="006016E8"/>
    <w:rsid w:val="006036EA"/>
    <w:rsid w:val="00604322"/>
    <w:rsid w:val="00604C09"/>
    <w:rsid w:val="0060610E"/>
    <w:rsid w:val="006101FF"/>
    <w:rsid w:val="00612A11"/>
    <w:rsid w:val="00612A91"/>
    <w:rsid w:val="00614803"/>
    <w:rsid w:val="00614EEC"/>
    <w:rsid w:val="00616FC1"/>
    <w:rsid w:val="00617CFD"/>
    <w:rsid w:val="00620523"/>
    <w:rsid w:val="00620B1E"/>
    <w:rsid w:val="00625483"/>
    <w:rsid w:val="00625741"/>
    <w:rsid w:val="00630A94"/>
    <w:rsid w:val="0063139B"/>
    <w:rsid w:val="00632C84"/>
    <w:rsid w:val="00633A31"/>
    <w:rsid w:val="00634878"/>
    <w:rsid w:val="006358C4"/>
    <w:rsid w:val="00640FCC"/>
    <w:rsid w:val="00641EFA"/>
    <w:rsid w:val="00642881"/>
    <w:rsid w:val="006432E7"/>
    <w:rsid w:val="0064688D"/>
    <w:rsid w:val="00647352"/>
    <w:rsid w:val="00647AB6"/>
    <w:rsid w:val="00647C31"/>
    <w:rsid w:val="0065046C"/>
    <w:rsid w:val="00650B43"/>
    <w:rsid w:val="00650E82"/>
    <w:rsid w:val="0065100A"/>
    <w:rsid w:val="00651944"/>
    <w:rsid w:val="0065674D"/>
    <w:rsid w:val="006574EC"/>
    <w:rsid w:val="006601BD"/>
    <w:rsid w:val="00660DF8"/>
    <w:rsid w:val="00661767"/>
    <w:rsid w:val="00664A63"/>
    <w:rsid w:val="00665B62"/>
    <w:rsid w:val="00665FF1"/>
    <w:rsid w:val="00666CFD"/>
    <w:rsid w:val="00666D6F"/>
    <w:rsid w:val="00667AA8"/>
    <w:rsid w:val="0067366B"/>
    <w:rsid w:val="00673791"/>
    <w:rsid w:val="00675DB8"/>
    <w:rsid w:val="00675EBF"/>
    <w:rsid w:val="00676A0E"/>
    <w:rsid w:val="006802C7"/>
    <w:rsid w:val="006819F9"/>
    <w:rsid w:val="00681AA3"/>
    <w:rsid w:val="0068207D"/>
    <w:rsid w:val="00682EF2"/>
    <w:rsid w:val="0068406C"/>
    <w:rsid w:val="00684C6F"/>
    <w:rsid w:val="00684E56"/>
    <w:rsid w:val="0068547C"/>
    <w:rsid w:val="00687299"/>
    <w:rsid w:val="00687864"/>
    <w:rsid w:val="00691449"/>
    <w:rsid w:val="0069152D"/>
    <w:rsid w:val="00694FB3"/>
    <w:rsid w:val="00695871"/>
    <w:rsid w:val="00695F3D"/>
    <w:rsid w:val="00697987"/>
    <w:rsid w:val="00697D59"/>
    <w:rsid w:val="006A1215"/>
    <w:rsid w:val="006A255E"/>
    <w:rsid w:val="006A616D"/>
    <w:rsid w:val="006A78E2"/>
    <w:rsid w:val="006B2394"/>
    <w:rsid w:val="006B2B77"/>
    <w:rsid w:val="006B69EB"/>
    <w:rsid w:val="006B73AB"/>
    <w:rsid w:val="006B7BDF"/>
    <w:rsid w:val="006C0C14"/>
    <w:rsid w:val="006C214F"/>
    <w:rsid w:val="006C2CB1"/>
    <w:rsid w:val="006C2F38"/>
    <w:rsid w:val="006C44B1"/>
    <w:rsid w:val="006C50A7"/>
    <w:rsid w:val="006C6692"/>
    <w:rsid w:val="006D053D"/>
    <w:rsid w:val="006D2D49"/>
    <w:rsid w:val="006D32A6"/>
    <w:rsid w:val="006D363E"/>
    <w:rsid w:val="006D42CD"/>
    <w:rsid w:val="006D5F80"/>
    <w:rsid w:val="006D6B0F"/>
    <w:rsid w:val="006E1978"/>
    <w:rsid w:val="006E1C96"/>
    <w:rsid w:val="006E2943"/>
    <w:rsid w:val="006E3FA8"/>
    <w:rsid w:val="006E4228"/>
    <w:rsid w:val="006E5FA7"/>
    <w:rsid w:val="006F076D"/>
    <w:rsid w:val="006F0C86"/>
    <w:rsid w:val="006F10BE"/>
    <w:rsid w:val="006F3D40"/>
    <w:rsid w:val="006F43BC"/>
    <w:rsid w:val="006F4C14"/>
    <w:rsid w:val="00701678"/>
    <w:rsid w:val="0070191C"/>
    <w:rsid w:val="00701DF1"/>
    <w:rsid w:val="00702A69"/>
    <w:rsid w:val="0070426B"/>
    <w:rsid w:val="00706BD6"/>
    <w:rsid w:val="00707E9E"/>
    <w:rsid w:val="007108AF"/>
    <w:rsid w:val="0071120B"/>
    <w:rsid w:val="00712B37"/>
    <w:rsid w:val="00717465"/>
    <w:rsid w:val="00717807"/>
    <w:rsid w:val="007247D3"/>
    <w:rsid w:val="00724BC6"/>
    <w:rsid w:val="00725817"/>
    <w:rsid w:val="00725FAD"/>
    <w:rsid w:val="00726A72"/>
    <w:rsid w:val="0073015F"/>
    <w:rsid w:val="007305E4"/>
    <w:rsid w:val="007307D9"/>
    <w:rsid w:val="00731FCC"/>
    <w:rsid w:val="00735425"/>
    <w:rsid w:val="007358B6"/>
    <w:rsid w:val="00735AAE"/>
    <w:rsid w:val="00736379"/>
    <w:rsid w:val="00737580"/>
    <w:rsid w:val="00740997"/>
    <w:rsid w:val="007417FF"/>
    <w:rsid w:val="007463BE"/>
    <w:rsid w:val="00747E19"/>
    <w:rsid w:val="007524AE"/>
    <w:rsid w:val="0075405D"/>
    <w:rsid w:val="00754E8A"/>
    <w:rsid w:val="007561A6"/>
    <w:rsid w:val="00760DAC"/>
    <w:rsid w:val="00761162"/>
    <w:rsid w:val="0076171C"/>
    <w:rsid w:val="00761FA6"/>
    <w:rsid w:val="00762E59"/>
    <w:rsid w:val="007678FE"/>
    <w:rsid w:val="00767CA3"/>
    <w:rsid w:val="00770997"/>
    <w:rsid w:val="00772CBE"/>
    <w:rsid w:val="007738A2"/>
    <w:rsid w:val="00773D25"/>
    <w:rsid w:val="00773FBE"/>
    <w:rsid w:val="007740DF"/>
    <w:rsid w:val="007767C3"/>
    <w:rsid w:val="00777049"/>
    <w:rsid w:val="0077749F"/>
    <w:rsid w:val="00777B3A"/>
    <w:rsid w:val="00780127"/>
    <w:rsid w:val="0078119F"/>
    <w:rsid w:val="0078169B"/>
    <w:rsid w:val="00782F31"/>
    <w:rsid w:val="00783739"/>
    <w:rsid w:val="00784C2C"/>
    <w:rsid w:val="00786C98"/>
    <w:rsid w:val="00787406"/>
    <w:rsid w:val="007912CB"/>
    <w:rsid w:val="00791FED"/>
    <w:rsid w:val="00792E5B"/>
    <w:rsid w:val="00792F08"/>
    <w:rsid w:val="00793BAF"/>
    <w:rsid w:val="00794F42"/>
    <w:rsid w:val="00795DC3"/>
    <w:rsid w:val="0079642B"/>
    <w:rsid w:val="00796E36"/>
    <w:rsid w:val="00797079"/>
    <w:rsid w:val="007978D9"/>
    <w:rsid w:val="007A14A3"/>
    <w:rsid w:val="007A15E8"/>
    <w:rsid w:val="007A2A67"/>
    <w:rsid w:val="007A2C41"/>
    <w:rsid w:val="007A2E61"/>
    <w:rsid w:val="007A4793"/>
    <w:rsid w:val="007A53D4"/>
    <w:rsid w:val="007A61AA"/>
    <w:rsid w:val="007A63E3"/>
    <w:rsid w:val="007A776C"/>
    <w:rsid w:val="007A7C47"/>
    <w:rsid w:val="007B0160"/>
    <w:rsid w:val="007B270C"/>
    <w:rsid w:val="007B2FB8"/>
    <w:rsid w:val="007B421F"/>
    <w:rsid w:val="007B59D9"/>
    <w:rsid w:val="007C279E"/>
    <w:rsid w:val="007C3D7E"/>
    <w:rsid w:val="007C439F"/>
    <w:rsid w:val="007C5982"/>
    <w:rsid w:val="007C6B20"/>
    <w:rsid w:val="007C7EB1"/>
    <w:rsid w:val="007C7F0A"/>
    <w:rsid w:val="007D0933"/>
    <w:rsid w:val="007D1608"/>
    <w:rsid w:val="007D2BE2"/>
    <w:rsid w:val="007D41BF"/>
    <w:rsid w:val="007D4AD4"/>
    <w:rsid w:val="007D507A"/>
    <w:rsid w:val="007D5997"/>
    <w:rsid w:val="007E049F"/>
    <w:rsid w:val="007E1614"/>
    <w:rsid w:val="007E22C9"/>
    <w:rsid w:val="007E3AF4"/>
    <w:rsid w:val="007E3B75"/>
    <w:rsid w:val="007E6020"/>
    <w:rsid w:val="007F0AEB"/>
    <w:rsid w:val="007F118E"/>
    <w:rsid w:val="007F27AA"/>
    <w:rsid w:val="007F42AF"/>
    <w:rsid w:val="007F7C41"/>
    <w:rsid w:val="008028A9"/>
    <w:rsid w:val="00803021"/>
    <w:rsid w:val="00807F90"/>
    <w:rsid w:val="008122D3"/>
    <w:rsid w:val="00816BC1"/>
    <w:rsid w:val="00820424"/>
    <w:rsid w:val="0082090C"/>
    <w:rsid w:val="008227F0"/>
    <w:rsid w:val="008318F8"/>
    <w:rsid w:val="008322BB"/>
    <w:rsid w:val="0083367A"/>
    <w:rsid w:val="008348B3"/>
    <w:rsid w:val="008348F9"/>
    <w:rsid w:val="00835C2A"/>
    <w:rsid w:val="00835D12"/>
    <w:rsid w:val="008372E7"/>
    <w:rsid w:val="00841002"/>
    <w:rsid w:val="00850DAB"/>
    <w:rsid w:val="00850EE8"/>
    <w:rsid w:val="00855228"/>
    <w:rsid w:val="00855533"/>
    <w:rsid w:val="008561EE"/>
    <w:rsid w:val="00856670"/>
    <w:rsid w:val="00856A8B"/>
    <w:rsid w:val="008611C2"/>
    <w:rsid w:val="00861F77"/>
    <w:rsid w:val="008648A4"/>
    <w:rsid w:val="00864ADE"/>
    <w:rsid w:val="008658E4"/>
    <w:rsid w:val="00866F1D"/>
    <w:rsid w:val="008711C9"/>
    <w:rsid w:val="00872028"/>
    <w:rsid w:val="008726CF"/>
    <w:rsid w:val="00872FAB"/>
    <w:rsid w:val="008730D3"/>
    <w:rsid w:val="00877272"/>
    <w:rsid w:val="008778FF"/>
    <w:rsid w:val="008779C7"/>
    <w:rsid w:val="008810C8"/>
    <w:rsid w:val="008819FC"/>
    <w:rsid w:val="00882444"/>
    <w:rsid w:val="00884E06"/>
    <w:rsid w:val="00884E84"/>
    <w:rsid w:val="00885767"/>
    <w:rsid w:val="00885ABD"/>
    <w:rsid w:val="00887B5E"/>
    <w:rsid w:val="0089036D"/>
    <w:rsid w:val="008921C5"/>
    <w:rsid w:val="00894D0E"/>
    <w:rsid w:val="0089572E"/>
    <w:rsid w:val="00896BE1"/>
    <w:rsid w:val="008A4B74"/>
    <w:rsid w:val="008A72C3"/>
    <w:rsid w:val="008B0C29"/>
    <w:rsid w:val="008B1039"/>
    <w:rsid w:val="008B2F77"/>
    <w:rsid w:val="008B4426"/>
    <w:rsid w:val="008B478B"/>
    <w:rsid w:val="008C0E63"/>
    <w:rsid w:val="008C16CF"/>
    <w:rsid w:val="008C347C"/>
    <w:rsid w:val="008C48DB"/>
    <w:rsid w:val="008C4F07"/>
    <w:rsid w:val="008C73F6"/>
    <w:rsid w:val="008D053D"/>
    <w:rsid w:val="008D2DBB"/>
    <w:rsid w:val="008D6253"/>
    <w:rsid w:val="008E099E"/>
    <w:rsid w:val="008E1455"/>
    <w:rsid w:val="008E23B3"/>
    <w:rsid w:val="008E3140"/>
    <w:rsid w:val="008E554C"/>
    <w:rsid w:val="008E5BC3"/>
    <w:rsid w:val="008E62B1"/>
    <w:rsid w:val="008E78A9"/>
    <w:rsid w:val="008F089D"/>
    <w:rsid w:val="008F40B5"/>
    <w:rsid w:val="008F58D1"/>
    <w:rsid w:val="008F664D"/>
    <w:rsid w:val="00900D53"/>
    <w:rsid w:val="00902EB5"/>
    <w:rsid w:val="0090354B"/>
    <w:rsid w:val="009036E9"/>
    <w:rsid w:val="00904C2F"/>
    <w:rsid w:val="00907DBF"/>
    <w:rsid w:val="00912E13"/>
    <w:rsid w:val="00920ECF"/>
    <w:rsid w:val="00920FB4"/>
    <w:rsid w:val="00921111"/>
    <w:rsid w:val="00921F48"/>
    <w:rsid w:val="009221EE"/>
    <w:rsid w:val="0092278A"/>
    <w:rsid w:val="00922894"/>
    <w:rsid w:val="00922D88"/>
    <w:rsid w:val="00925471"/>
    <w:rsid w:val="00925BCF"/>
    <w:rsid w:val="0092632B"/>
    <w:rsid w:val="009309DF"/>
    <w:rsid w:val="00931186"/>
    <w:rsid w:val="00932F7D"/>
    <w:rsid w:val="009351D0"/>
    <w:rsid w:val="00935407"/>
    <w:rsid w:val="00935AAA"/>
    <w:rsid w:val="00940D54"/>
    <w:rsid w:val="00945098"/>
    <w:rsid w:val="00947226"/>
    <w:rsid w:val="009476F3"/>
    <w:rsid w:val="00952514"/>
    <w:rsid w:val="00953969"/>
    <w:rsid w:val="00955CED"/>
    <w:rsid w:val="00960A4E"/>
    <w:rsid w:val="00962453"/>
    <w:rsid w:val="0096322E"/>
    <w:rsid w:val="0096369C"/>
    <w:rsid w:val="0096399E"/>
    <w:rsid w:val="00963B9D"/>
    <w:rsid w:val="00964753"/>
    <w:rsid w:val="00966D85"/>
    <w:rsid w:val="00970928"/>
    <w:rsid w:val="009718B6"/>
    <w:rsid w:val="00971EF8"/>
    <w:rsid w:val="009728A0"/>
    <w:rsid w:val="009739C5"/>
    <w:rsid w:val="00973B42"/>
    <w:rsid w:val="00974974"/>
    <w:rsid w:val="00985813"/>
    <w:rsid w:val="00985D8A"/>
    <w:rsid w:val="0098620F"/>
    <w:rsid w:val="00986A11"/>
    <w:rsid w:val="00986FC9"/>
    <w:rsid w:val="00987E0D"/>
    <w:rsid w:val="00991047"/>
    <w:rsid w:val="009936B7"/>
    <w:rsid w:val="00994632"/>
    <w:rsid w:val="00995237"/>
    <w:rsid w:val="00995C90"/>
    <w:rsid w:val="00996947"/>
    <w:rsid w:val="00996FA8"/>
    <w:rsid w:val="009A1420"/>
    <w:rsid w:val="009A5B24"/>
    <w:rsid w:val="009B01AC"/>
    <w:rsid w:val="009B16D7"/>
    <w:rsid w:val="009B1860"/>
    <w:rsid w:val="009B52DA"/>
    <w:rsid w:val="009B5D02"/>
    <w:rsid w:val="009C14C9"/>
    <w:rsid w:val="009C256B"/>
    <w:rsid w:val="009C2CFD"/>
    <w:rsid w:val="009C3508"/>
    <w:rsid w:val="009C3AA5"/>
    <w:rsid w:val="009C559E"/>
    <w:rsid w:val="009C5B74"/>
    <w:rsid w:val="009C608D"/>
    <w:rsid w:val="009C6283"/>
    <w:rsid w:val="009C6678"/>
    <w:rsid w:val="009D06A6"/>
    <w:rsid w:val="009D16F4"/>
    <w:rsid w:val="009D2156"/>
    <w:rsid w:val="009D2287"/>
    <w:rsid w:val="009D355C"/>
    <w:rsid w:val="009D4893"/>
    <w:rsid w:val="009D5264"/>
    <w:rsid w:val="009D5F23"/>
    <w:rsid w:val="009D675B"/>
    <w:rsid w:val="009D731D"/>
    <w:rsid w:val="009E047F"/>
    <w:rsid w:val="009E244F"/>
    <w:rsid w:val="009F008C"/>
    <w:rsid w:val="009F27E7"/>
    <w:rsid w:val="009F3C4A"/>
    <w:rsid w:val="009F6903"/>
    <w:rsid w:val="009F707D"/>
    <w:rsid w:val="00A03978"/>
    <w:rsid w:val="00A04F6F"/>
    <w:rsid w:val="00A075CD"/>
    <w:rsid w:val="00A10733"/>
    <w:rsid w:val="00A1544B"/>
    <w:rsid w:val="00A17C0B"/>
    <w:rsid w:val="00A17D78"/>
    <w:rsid w:val="00A20225"/>
    <w:rsid w:val="00A212A9"/>
    <w:rsid w:val="00A2137B"/>
    <w:rsid w:val="00A22928"/>
    <w:rsid w:val="00A231BF"/>
    <w:rsid w:val="00A243D7"/>
    <w:rsid w:val="00A27FA9"/>
    <w:rsid w:val="00A3005F"/>
    <w:rsid w:val="00A309D0"/>
    <w:rsid w:val="00A33BC1"/>
    <w:rsid w:val="00A366D8"/>
    <w:rsid w:val="00A36CA0"/>
    <w:rsid w:val="00A37170"/>
    <w:rsid w:val="00A4117B"/>
    <w:rsid w:val="00A418E6"/>
    <w:rsid w:val="00A42600"/>
    <w:rsid w:val="00A428FE"/>
    <w:rsid w:val="00A42E88"/>
    <w:rsid w:val="00A432AE"/>
    <w:rsid w:val="00A51F6A"/>
    <w:rsid w:val="00A53CC1"/>
    <w:rsid w:val="00A54D1F"/>
    <w:rsid w:val="00A552EB"/>
    <w:rsid w:val="00A557C4"/>
    <w:rsid w:val="00A603A3"/>
    <w:rsid w:val="00A61B52"/>
    <w:rsid w:val="00A6569F"/>
    <w:rsid w:val="00A6581E"/>
    <w:rsid w:val="00A7144A"/>
    <w:rsid w:val="00A71906"/>
    <w:rsid w:val="00A7207F"/>
    <w:rsid w:val="00A72513"/>
    <w:rsid w:val="00A7471C"/>
    <w:rsid w:val="00A77031"/>
    <w:rsid w:val="00A773A4"/>
    <w:rsid w:val="00A77809"/>
    <w:rsid w:val="00A77E4C"/>
    <w:rsid w:val="00A80C5E"/>
    <w:rsid w:val="00A82C66"/>
    <w:rsid w:val="00A85F01"/>
    <w:rsid w:val="00A86708"/>
    <w:rsid w:val="00A87EA9"/>
    <w:rsid w:val="00A92E44"/>
    <w:rsid w:val="00A963CF"/>
    <w:rsid w:val="00A97848"/>
    <w:rsid w:val="00AA05F3"/>
    <w:rsid w:val="00AA09A6"/>
    <w:rsid w:val="00AA190F"/>
    <w:rsid w:val="00AA256E"/>
    <w:rsid w:val="00AA3C6A"/>
    <w:rsid w:val="00AA3F4D"/>
    <w:rsid w:val="00AA6028"/>
    <w:rsid w:val="00AA67B4"/>
    <w:rsid w:val="00AB2A2B"/>
    <w:rsid w:val="00AB6187"/>
    <w:rsid w:val="00AB62CD"/>
    <w:rsid w:val="00AB6327"/>
    <w:rsid w:val="00AB78C7"/>
    <w:rsid w:val="00AC2B85"/>
    <w:rsid w:val="00AC4B17"/>
    <w:rsid w:val="00AC639C"/>
    <w:rsid w:val="00AC779F"/>
    <w:rsid w:val="00AD115B"/>
    <w:rsid w:val="00AD20C4"/>
    <w:rsid w:val="00AD36E6"/>
    <w:rsid w:val="00AD3913"/>
    <w:rsid w:val="00AD45FA"/>
    <w:rsid w:val="00AD5019"/>
    <w:rsid w:val="00AE1D7C"/>
    <w:rsid w:val="00AE3D2B"/>
    <w:rsid w:val="00AE66C6"/>
    <w:rsid w:val="00AF02AD"/>
    <w:rsid w:val="00AF0A17"/>
    <w:rsid w:val="00AF165E"/>
    <w:rsid w:val="00AF16A3"/>
    <w:rsid w:val="00AF1A26"/>
    <w:rsid w:val="00AF263F"/>
    <w:rsid w:val="00AF2694"/>
    <w:rsid w:val="00AF3AF6"/>
    <w:rsid w:val="00AF3BFE"/>
    <w:rsid w:val="00AF42CF"/>
    <w:rsid w:val="00AF448A"/>
    <w:rsid w:val="00AF6F8C"/>
    <w:rsid w:val="00AF7651"/>
    <w:rsid w:val="00AF7796"/>
    <w:rsid w:val="00B06E28"/>
    <w:rsid w:val="00B06F21"/>
    <w:rsid w:val="00B10E90"/>
    <w:rsid w:val="00B1102C"/>
    <w:rsid w:val="00B15A2D"/>
    <w:rsid w:val="00B16C23"/>
    <w:rsid w:val="00B16DBB"/>
    <w:rsid w:val="00B17B30"/>
    <w:rsid w:val="00B218BC"/>
    <w:rsid w:val="00B235AF"/>
    <w:rsid w:val="00B25B35"/>
    <w:rsid w:val="00B34B80"/>
    <w:rsid w:val="00B353DF"/>
    <w:rsid w:val="00B35587"/>
    <w:rsid w:val="00B36882"/>
    <w:rsid w:val="00B369BD"/>
    <w:rsid w:val="00B374D3"/>
    <w:rsid w:val="00B378E0"/>
    <w:rsid w:val="00B40C6B"/>
    <w:rsid w:val="00B41AFA"/>
    <w:rsid w:val="00B4367C"/>
    <w:rsid w:val="00B44938"/>
    <w:rsid w:val="00B45EBD"/>
    <w:rsid w:val="00B46FC3"/>
    <w:rsid w:val="00B4798B"/>
    <w:rsid w:val="00B47C6F"/>
    <w:rsid w:val="00B5067D"/>
    <w:rsid w:val="00B53960"/>
    <w:rsid w:val="00B53E09"/>
    <w:rsid w:val="00B54B90"/>
    <w:rsid w:val="00B56EFD"/>
    <w:rsid w:val="00B56F43"/>
    <w:rsid w:val="00B57337"/>
    <w:rsid w:val="00B61B2D"/>
    <w:rsid w:val="00B627E4"/>
    <w:rsid w:val="00B65F5F"/>
    <w:rsid w:val="00B6648D"/>
    <w:rsid w:val="00B719B4"/>
    <w:rsid w:val="00B7374E"/>
    <w:rsid w:val="00B745F8"/>
    <w:rsid w:val="00B748AF"/>
    <w:rsid w:val="00B757AD"/>
    <w:rsid w:val="00B76979"/>
    <w:rsid w:val="00B80A8A"/>
    <w:rsid w:val="00B825B8"/>
    <w:rsid w:val="00B82D1A"/>
    <w:rsid w:val="00B838A5"/>
    <w:rsid w:val="00B838D3"/>
    <w:rsid w:val="00B85916"/>
    <w:rsid w:val="00B86315"/>
    <w:rsid w:val="00B869A6"/>
    <w:rsid w:val="00B87752"/>
    <w:rsid w:val="00B90F55"/>
    <w:rsid w:val="00B915DB"/>
    <w:rsid w:val="00B935C4"/>
    <w:rsid w:val="00B93F04"/>
    <w:rsid w:val="00B970BD"/>
    <w:rsid w:val="00BA023A"/>
    <w:rsid w:val="00BA1236"/>
    <w:rsid w:val="00BA35C9"/>
    <w:rsid w:val="00BA4C19"/>
    <w:rsid w:val="00BA564F"/>
    <w:rsid w:val="00BA5A19"/>
    <w:rsid w:val="00BA79CE"/>
    <w:rsid w:val="00BB0B85"/>
    <w:rsid w:val="00BB1E0B"/>
    <w:rsid w:val="00BB2E23"/>
    <w:rsid w:val="00BB3F04"/>
    <w:rsid w:val="00BB4065"/>
    <w:rsid w:val="00BB6A75"/>
    <w:rsid w:val="00BB7761"/>
    <w:rsid w:val="00BB7DB0"/>
    <w:rsid w:val="00BC054B"/>
    <w:rsid w:val="00BC12D7"/>
    <w:rsid w:val="00BC41FF"/>
    <w:rsid w:val="00BC4911"/>
    <w:rsid w:val="00BC65A6"/>
    <w:rsid w:val="00BD3B38"/>
    <w:rsid w:val="00BD40B9"/>
    <w:rsid w:val="00BD45E7"/>
    <w:rsid w:val="00BD7338"/>
    <w:rsid w:val="00BD786B"/>
    <w:rsid w:val="00BD7B34"/>
    <w:rsid w:val="00BD7D47"/>
    <w:rsid w:val="00BD7D51"/>
    <w:rsid w:val="00BE0C1E"/>
    <w:rsid w:val="00BE219B"/>
    <w:rsid w:val="00BE241A"/>
    <w:rsid w:val="00BE368C"/>
    <w:rsid w:val="00BF31D1"/>
    <w:rsid w:val="00BF7BEA"/>
    <w:rsid w:val="00C00063"/>
    <w:rsid w:val="00C01516"/>
    <w:rsid w:val="00C01B5F"/>
    <w:rsid w:val="00C04342"/>
    <w:rsid w:val="00C05BDD"/>
    <w:rsid w:val="00C06591"/>
    <w:rsid w:val="00C06F55"/>
    <w:rsid w:val="00C07175"/>
    <w:rsid w:val="00C078A9"/>
    <w:rsid w:val="00C102EE"/>
    <w:rsid w:val="00C114CA"/>
    <w:rsid w:val="00C11557"/>
    <w:rsid w:val="00C1167D"/>
    <w:rsid w:val="00C11A13"/>
    <w:rsid w:val="00C12DE3"/>
    <w:rsid w:val="00C14892"/>
    <w:rsid w:val="00C1525D"/>
    <w:rsid w:val="00C156B0"/>
    <w:rsid w:val="00C15CFC"/>
    <w:rsid w:val="00C15EAE"/>
    <w:rsid w:val="00C212DF"/>
    <w:rsid w:val="00C21A24"/>
    <w:rsid w:val="00C233A6"/>
    <w:rsid w:val="00C25829"/>
    <w:rsid w:val="00C25F89"/>
    <w:rsid w:val="00C269B2"/>
    <w:rsid w:val="00C271BF"/>
    <w:rsid w:val="00C305C6"/>
    <w:rsid w:val="00C324CD"/>
    <w:rsid w:val="00C35B82"/>
    <w:rsid w:val="00C36FAC"/>
    <w:rsid w:val="00C41213"/>
    <w:rsid w:val="00C425E8"/>
    <w:rsid w:val="00C44A20"/>
    <w:rsid w:val="00C45F57"/>
    <w:rsid w:val="00C475C7"/>
    <w:rsid w:val="00C505B4"/>
    <w:rsid w:val="00C52022"/>
    <w:rsid w:val="00C54114"/>
    <w:rsid w:val="00C54937"/>
    <w:rsid w:val="00C55571"/>
    <w:rsid w:val="00C61916"/>
    <w:rsid w:val="00C62553"/>
    <w:rsid w:val="00C70093"/>
    <w:rsid w:val="00C7040F"/>
    <w:rsid w:val="00C72650"/>
    <w:rsid w:val="00C72B5E"/>
    <w:rsid w:val="00C739E6"/>
    <w:rsid w:val="00C745B2"/>
    <w:rsid w:val="00C75300"/>
    <w:rsid w:val="00C758C8"/>
    <w:rsid w:val="00C76129"/>
    <w:rsid w:val="00C8056B"/>
    <w:rsid w:val="00C81D4B"/>
    <w:rsid w:val="00C8366A"/>
    <w:rsid w:val="00C84D6C"/>
    <w:rsid w:val="00C85CD3"/>
    <w:rsid w:val="00C90557"/>
    <w:rsid w:val="00C90727"/>
    <w:rsid w:val="00C91933"/>
    <w:rsid w:val="00C91BA6"/>
    <w:rsid w:val="00C921C2"/>
    <w:rsid w:val="00C9423A"/>
    <w:rsid w:val="00C94FCF"/>
    <w:rsid w:val="00C95428"/>
    <w:rsid w:val="00C96D5D"/>
    <w:rsid w:val="00CA1B7A"/>
    <w:rsid w:val="00CA1BDE"/>
    <w:rsid w:val="00CA45B7"/>
    <w:rsid w:val="00CA4D9B"/>
    <w:rsid w:val="00CA530C"/>
    <w:rsid w:val="00CA59F1"/>
    <w:rsid w:val="00CB0BAD"/>
    <w:rsid w:val="00CB2C69"/>
    <w:rsid w:val="00CC0C9D"/>
    <w:rsid w:val="00CC31C3"/>
    <w:rsid w:val="00CC33E0"/>
    <w:rsid w:val="00CC3EF6"/>
    <w:rsid w:val="00CC4086"/>
    <w:rsid w:val="00CC70EC"/>
    <w:rsid w:val="00CC7328"/>
    <w:rsid w:val="00CC7C0B"/>
    <w:rsid w:val="00CD0504"/>
    <w:rsid w:val="00CD1147"/>
    <w:rsid w:val="00CD1DA1"/>
    <w:rsid w:val="00CD251B"/>
    <w:rsid w:val="00CD44CA"/>
    <w:rsid w:val="00CD60BD"/>
    <w:rsid w:val="00CD6825"/>
    <w:rsid w:val="00CD7171"/>
    <w:rsid w:val="00CD779E"/>
    <w:rsid w:val="00CE0E69"/>
    <w:rsid w:val="00CE1773"/>
    <w:rsid w:val="00CE44B3"/>
    <w:rsid w:val="00CE4B74"/>
    <w:rsid w:val="00CE584A"/>
    <w:rsid w:val="00CE5B50"/>
    <w:rsid w:val="00CE7430"/>
    <w:rsid w:val="00CF17C7"/>
    <w:rsid w:val="00CF1FC4"/>
    <w:rsid w:val="00CF2AFB"/>
    <w:rsid w:val="00CF517D"/>
    <w:rsid w:val="00CF66FB"/>
    <w:rsid w:val="00D00FCB"/>
    <w:rsid w:val="00D03B9A"/>
    <w:rsid w:val="00D03F40"/>
    <w:rsid w:val="00D05741"/>
    <w:rsid w:val="00D06610"/>
    <w:rsid w:val="00D113DC"/>
    <w:rsid w:val="00D115B0"/>
    <w:rsid w:val="00D12BB7"/>
    <w:rsid w:val="00D16151"/>
    <w:rsid w:val="00D2136C"/>
    <w:rsid w:val="00D21B44"/>
    <w:rsid w:val="00D229E0"/>
    <w:rsid w:val="00D24977"/>
    <w:rsid w:val="00D2534F"/>
    <w:rsid w:val="00D25489"/>
    <w:rsid w:val="00D263F3"/>
    <w:rsid w:val="00D4010D"/>
    <w:rsid w:val="00D420D3"/>
    <w:rsid w:val="00D42923"/>
    <w:rsid w:val="00D519BE"/>
    <w:rsid w:val="00D531FA"/>
    <w:rsid w:val="00D54408"/>
    <w:rsid w:val="00D55198"/>
    <w:rsid w:val="00D55B88"/>
    <w:rsid w:val="00D569D4"/>
    <w:rsid w:val="00D63764"/>
    <w:rsid w:val="00D647EF"/>
    <w:rsid w:val="00D648F0"/>
    <w:rsid w:val="00D66BC4"/>
    <w:rsid w:val="00D67E77"/>
    <w:rsid w:val="00D70561"/>
    <w:rsid w:val="00D722BD"/>
    <w:rsid w:val="00D73989"/>
    <w:rsid w:val="00D744C3"/>
    <w:rsid w:val="00D747C5"/>
    <w:rsid w:val="00D76075"/>
    <w:rsid w:val="00D8026A"/>
    <w:rsid w:val="00D81633"/>
    <w:rsid w:val="00D81693"/>
    <w:rsid w:val="00D822CF"/>
    <w:rsid w:val="00D87324"/>
    <w:rsid w:val="00D9023A"/>
    <w:rsid w:val="00D917E6"/>
    <w:rsid w:val="00D91BAB"/>
    <w:rsid w:val="00D92151"/>
    <w:rsid w:val="00D926D9"/>
    <w:rsid w:val="00D92BCD"/>
    <w:rsid w:val="00D942B1"/>
    <w:rsid w:val="00D94805"/>
    <w:rsid w:val="00D956E1"/>
    <w:rsid w:val="00D960E7"/>
    <w:rsid w:val="00D96802"/>
    <w:rsid w:val="00D979A2"/>
    <w:rsid w:val="00DA0F5D"/>
    <w:rsid w:val="00DA1019"/>
    <w:rsid w:val="00DA1A21"/>
    <w:rsid w:val="00DA5EE3"/>
    <w:rsid w:val="00DA6197"/>
    <w:rsid w:val="00DA65A0"/>
    <w:rsid w:val="00DA7474"/>
    <w:rsid w:val="00DA7D6F"/>
    <w:rsid w:val="00DB10A5"/>
    <w:rsid w:val="00DB2428"/>
    <w:rsid w:val="00DB2CB1"/>
    <w:rsid w:val="00DB41F3"/>
    <w:rsid w:val="00DB5425"/>
    <w:rsid w:val="00DB57D5"/>
    <w:rsid w:val="00DB70D3"/>
    <w:rsid w:val="00DC1893"/>
    <w:rsid w:val="00DC2202"/>
    <w:rsid w:val="00DC3923"/>
    <w:rsid w:val="00DC5BC4"/>
    <w:rsid w:val="00DC684E"/>
    <w:rsid w:val="00DD02CD"/>
    <w:rsid w:val="00DD09FE"/>
    <w:rsid w:val="00DD1066"/>
    <w:rsid w:val="00DD4C64"/>
    <w:rsid w:val="00DE0E5B"/>
    <w:rsid w:val="00DE1135"/>
    <w:rsid w:val="00DE1720"/>
    <w:rsid w:val="00DE1AA8"/>
    <w:rsid w:val="00DE31B8"/>
    <w:rsid w:val="00DE4330"/>
    <w:rsid w:val="00DE433A"/>
    <w:rsid w:val="00DE58B1"/>
    <w:rsid w:val="00DE633F"/>
    <w:rsid w:val="00DE6780"/>
    <w:rsid w:val="00DE68BB"/>
    <w:rsid w:val="00DE7BEC"/>
    <w:rsid w:val="00DF016B"/>
    <w:rsid w:val="00DF2093"/>
    <w:rsid w:val="00DF235B"/>
    <w:rsid w:val="00DF2F6E"/>
    <w:rsid w:val="00DF3414"/>
    <w:rsid w:val="00DF4438"/>
    <w:rsid w:val="00DF44D5"/>
    <w:rsid w:val="00DF465E"/>
    <w:rsid w:val="00DF4B57"/>
    <w:rsid w:val="00DF6052"/>
    <w:rsid w:val="00DF63D2"/>
    <w:rsid w:val="00DF6AE4"/>
    <w:rsid w:val="00DF6DAF"/>
    <w:rsid w:val="00E00627"/>
    <w:rsid w:val="00E00E19"/>
    <w:rsid w:val="00E0365C"/>
    <w:rsid w:val="00E03993"/>
    <w:rsid w:val="00E03E07"/>
    <w:rsid w:val="00E0604B"/>
    <w:rsid w:val="00E10563"/>
    <w:rsid w:val="00E10729"/>
    <w:rsid w:val="00E10A61"/>
    <w:rsid w:val="00E115A5"/>
    <w:rsid w:val="00E13F41"/>
    <w:rsid w:val="00E1473E"/>
    <w:rsid w:val="00E15206"/>
    <w:rsid w:val="00E16FB0"/>
    <w:rsid w:val="00E17E00"/>
    <w:rsid w:val="00E20E9A"/>
    <w:rsid w:val="00E2219C"/>
    <w:rsid w:val="00E2541D"/>
    <w:rsid w:val="00E27230"/>
    <w:rsid w:val="00E27986"/>
    <w:rsid w:val="00E27B5C"/>
    <w:rsid w:val="00E306FA"/>
    <w:rsid w:val="00E34C56"/>
    <w:rsid w:val="00E41584"/>
    <w:rsid w:val="00E418E9"/>
    <w:rsid w:val="00E42366"/>
    <w:rsid w:val="00E42572"/>
    <w:rsid w:val="00E45B3E"/>
    <w:rsid w:val="00E45F44"/>
    <w:rsid w:val="00E478E6"/>
    <w:rsid w:val="00E47F4B"/>
    <w:rsid w:val="00E51C02"/>
    <w:rsid w:val="00E51D0C"/>
    <w:rsid w:val="00E529BD"/>
    <w:rsid w:val="00E52C32"/>
    <w:rsid w:val="00E542C7"/>
    <w:rsid w:val="00E55B1C"/>
    <w:rsid w:val="00E56A45"/>
    <w:rsid w:val="00E57F3A"/>
    <w:rsid w:val="00E622B1"/>
    <w:rsid w:val="00E63E24"/>
    <w:rsid w:val="00E64020"/>
    <w:rsid w:val="00E65825"/>
    <w:rsid w:val="00E66E92"/>
    <w:rsid w:val="00E67AE6"/>
    <w:rsid w:val="00E67D29"/>
    <w:rsid w:val="00E71EF9"/>
    <w:rsid w:val="00E72085"/>
    <w:rsid w:val="00E72B11"/>
    <w:rsid w:val="00E74C68"/>
    <w:rsid w:val="00E75BC9"/>
    <w:rsid w:val="00E7613E"/>
    <w:rsid w:val="00E76724"/>
    <w:rsid w:val="00E76A71"/>
    <w:rsid w:val="00E815AB"/>
    <w:rsid w:val="00E81C59"/>
    <w:rsid w:val="00E81D6C"/>
    <w:rsid w:val="00E82029"/>
    <w:rsid w:val="00E82E62"/>
    <w:rsid w:val="00E84538"/>
    <w:rsid w:val="00E84E0C"/>
    <w:rsid w:val="00E85024"/>
    <w:rsid w:val="00E85039"/>
    <w:rsid w:val="00E879EA"/>
    <w:rsid w:val="00E901E8"/>
    <w:rsid w:val="00E90E2F"/>
    <w:rsid w:val="00E9125D"/>
    <w:rsid w:val="00E91513"/>
    <w:rsid w:val="00E92927"/>
    <w:rsid w:val="00E9447C"/>
    <w:rsid w:val="00EA2506"/>
    <w:rsid w:val="00EA66BF"/>
    <w:rsid w:val="00EA684E"/>
    <w:rsid w:val="00EB2657"/>
    <w:rsid w:val="00EB40B4"/>
    <w:rsid w:val="00EB681C"/>
    <w:rsid w:val="00EB6DF9"/>
    <w:rsid w:val="00EB740F"/>
    <w:rsid w:val="00EB7756"/>
    <w:rsid w:val="00EB7F91"/>
    <w:rsid w:val="00EC3A32"/>
    <w:rsid w:val="00EC3FF1"/>
    <w:rsid w:val="00EC5621"/>
    <w:rsid w:val="00ED238B"/>
    <w:rsid w:val="00ED3C01"/>
    <w:rsid w:val="00ED4398"/>
    <w:rsid w:val="00ED4620"/>
    <w:rsid w:val="00ED5CA9"/>
    <w:rsid w:val="00ED6C37"/>
    <w:rsid w:val="00EE0F5B"/>
    <w:rsid w:val="00EE1BFF"/>
    <w:rsid w:val="00EE2BCE"/>
    <w:rsid w:val="00EE3306"/>
    <w:rsid w:val="00EE361F"/>
    <w:rsid w:val="00EE3B44"/>
    <w:rsid w:val="00EE4052"/>
    <w:rsid w:val="00EE5C7C"/>
    <w:rsid w:val="00EE70D3"/>
    <w:rsid w:val="00EF11C6"/>
    <w:rsid w:val="00EF4616"/>
    <w:rsid w:val="00EF5598"/>
    <w:rsid w:val="00EF663B"/>
    <w:rsid w:val="00EF67BC"/>
    <w:rsid w:val="00EF6A5B"/>
    <w:rsid w:val="00EF7950"/>
    <w:rsid w:val="00F0001B"/>
    <w:rsid w:val="00F0013B"/>
    <w:rsid w:val="00F00339"/>
    <w:rsid w:val="00F0254D"/>
    <w:rsid w:val="00F042EA"/>
    <w:rsid w:val="00F063E1"/>
    <w:rsid w:val="00F068AB"/>
    <w:rsid w:val="00F07D70"/>
    <w:rsid w:val="00F102FA"/>
    <w:rsid w:val="00F1121E"/>
    <w:rsid w:val="00F11D0E"/>
    <w:rsid w:val="00F1492E"/>
    <w:rsid w:val="00F15DB1"/>
    <w:rsid w:val="00F16EEE"/>
    <w:rsid w:val="00F17875"/>
    <w:rsid w:val="00F17FA8"/>
    <w:rsid w:val="00F208F0"/>
    <w:rsid w:val="00F20EC2"/>
    <w:rsid w:val="00F21271"/>
    <w:rsid w:val="00F22F59"/>
    <w:rsid w:val="00F23459"/>
    <w:rsid w:val="00F2448F"/>
    <w:rsid w:val="00F261B9"/>
    <w:rsid w:val="00F261D3"/>
    <w:rsid w:val="00F31CE7"/>
    <w:rsid w:val="00F34686"/>
    <w:rsid w:val="00F3499F"/>
    <w:rsid w:val="00F357FC"/>
    <w:rsid w:val="00F3755F"/>
    <w:rsid w:val="00F400A2"/>
    <w:rsid w:val="00F42819"/>
    <w:rsid w:val="00F44600"/>
    <w:rsid w:val="00F44608"/>
    <w:rsid w:val="00F4468D"/>
    <w:rsid w:val="00F453CB"/>
    <w:rsid w:val="00F45558"/>
    <w:rsid w:val="00F46CD9"/>
    <w:rsid w:val="00F477F8"/>
    <w:rsid w:val="00F530CF"/>
    <w:rsid w:val="00F551A3"/>
    <w:rsid w:val="00F56839"/>
    <w:rsid w:val="00F56C7E"/>
    <w:rsid w:val="00F56D36"/>
    <w:rsid w:val="00F56E0C"/>
    <w:rsid w:val="00F57781"/>
    <w:rsid w:val="00F6267F"/>
    <w:rsid w:val="00F62857"/>
    <w:rsid w:val="00F63F6B"/>
    <w:rsid w:val="00F71700"/>
    <w:rsid w:val="00F73C1A"/>
    <w:rsid w:val="00F80144"/>
    <w:rsid w:val="00F80969"/>
    <w:rsid w:val="00F80F87"/>
    <w:rsid w:val="00F8147C"/>
    <w:rsid w:val="00F82101"/>
    <w:rsid w:val="00F826BD"/>
    <w:rsid w:val="00F82725"/>
    <w:rsid w:val="00F82B05"/>
    <w:rsid w:val="00F83FD9"/>
    <w:rsid w:val="00F86452"/>
    <w:rsid w:val="00F91DEE"/>
    <w:rsid w:val="00F92CAB"/>
    <w:rsid w:val="00F93D91"/>
    <w:rsid w:val="00F946A5"/>
    <w:rsid w:val="00F95401"/>
    <w:rsid w:val="00FA015D"/>
    <w:rsid w:val="00FA077B"/>
    <w:rsid w:val="00FA27BF"/>
    <w:rsid w:val="00FA3A95"/>
    <w:rsid w:val="00FA55AA"/>
    <w:rsid w:val="00FA678C"/>
    <w:rsid w:val="00FB19B5"/>
    <w:rsid w:val="00FB2A2B"/>
    <w:rsid w:val="00FB41F8"/>
    <w:rsid w:val="00FB514B"/>
    <w:rsid w:val="00FB78E0"/>
    <w:rsid w:val="00FC3C43"/>
    <w:rsid w:val="00FC3DA8"/>
    <w:rsid w:val="00FC5A25"/>
    <w:rsid w:val="00FC60F0"/>
    <w:rsid w:val="00FC6375"/>
    <w:rsid w:val="00FC6D36"/>
    <w:rsid w:val="00FD0881"/>
    <w:rsid w:val="00FD0EF9"/>
    <w:rsid w:val="00FD20C6"/>
    <w:rsid w:val="00FD4998"/>
    <w:rsid w:val="00FD52C9"/>
    <w:rsid w:val="00FD6A5D"/>
    <w:rsid w:val="00FD6A9D"/>
    <w:rsid w:val="00FD6EC8"/>
    <w:rsid w:val="00FE0B15"/>
    <w:rsid w:val="00FE182C"/>
    <w:rsid w:val="00FE27EC"/>
    <w:rsid w:val="00FE45A8"/>
    <w:rsid w:val="00FE51B6"/>
    <w:rsid w:val="00FE5B4E"/>
    <w:rsid w:val="00FE639A"/>
    <w:rsid w:val="00FE69C2"/>
    <w:rsid w:val="00FE6F3F"/>
    <w:rsid w:val="00FE771F"/>
    <w:rsid w:val="00FF0A47"/>
    <w:rsid w:val="00FF192B"/>
    <w:rsid w:val="00FF1CBA"/>
    <w:rsid w:val="00FF20B9"/>
    <w:rsid w:val="00FF5049"/>
    <w:rsid w:val="00FF5D29"/>
    <w:rsid w:val="01007E42"/>
    <w:rsid w:val="01026223"/>
    <w:rsid w:val="010B22B0"/>
    <w:rsid w:val="01144899"/>
    <w:rsid w:val="01275D20"/>
    <w:rsid w:val="01305820"/>
    <w:rsid w:val="013A3C50"/>
    <w:rsid w:val="014852B3"/>
    <w:rsid w:val="01487061"/>
    <w:rsid w:val="014A2DD9"/>
    <w:rsid w:val="014D7BD7"/>
    <w:rsid w:val="015056E8"/>
    <w:rsid w:val="01583385"/>
    <w:rsid w:val="015E6884"/>
    <w:rsid w:val="017734C4"/>
    <w:rsid w:val="0183453D"/>
    <w:rsid w:val="01864D83"/>
    <w:rsid w:val="019A5532"/>
    <w:rsid w:val="019B685C"/>
    <w:rsid w:val="01C13BB4"/>
    <w:rsid w:val="01C26E13"/>
    <w:rsid w:val="01C7267B"/>
    <w:rsid w:val="01E51B2E"/>
    <w:rsid w:val="02044F27"/>
    <w:rsid w:val="02150AC7"/>
    <w:rsid w:val="02173937"/>
    <w:rsid w:val="021A09FD"/>
    <w:rsid w:val="02311433"/>
    <w:rsid w:val="02325469"/>
    <w:rsid w:val="02385327"/>
    <w:rsid w:val="0238643A"/>
    <w:rsid w:val="0241242E"/>
    <w:rsid w:val="024A2175"/>
    <w:rsid w:val="025A34EF"/>
    <w:rsid w:val="025F0B06"/>
    <w:rsid w:val="028D3811"/>
    <w:rsid w:val="029D325A"/>
    <w:rsid w:val="029E7AD0"/>
    <w:rsid w:val="02A209F3"/>
    <w:rsid w:val="02A62291"/>
    <w:rsid w:val="02B81FC4"/>
    <w:rsid w:val="02C72207"/>
    <w:rsid w:val="02ED4364"/>
    <w:rsid w:val="02F254D6"/>
    <w:rsid w:val="02F545EC"/>
    <w:rsid w:val="02FA30D3"/>
    <w:rsid w:val="02FA52FE"/>
    <w:rsid w:val="03090322"/>
    <w:rsid w:val="030E113A"/>
    <w:rsid w:val="03123DCA"/>
    <w:rsid w:val="03270041"/>
    <w:rsid w:val="032759B1"/>
    <w:rsid w:val="03280EF8"/>
    <w:rsid w:val="03300F4C"/>
    <w:rsid w:val="033B6E7D"/>
    <w:rsid w:val="033E696D"/>
    <w:rsid w:val="034026E5"/>
    <w:rsid w:val="034A3564"/>
    <w:rsid w:val="035241C7"/>
    <w:rsid w:val="03634626"/>
    <w:rsid w:val="0374238F"/>
    <w:rsid w:val="037A1030"/>
    <w:rsid w:val="0388408C"/>
    <w:rsid w:val="039B3DC0"/>
    <w:rsid w:val="039B5B6E"/>
    <w:rsid w:val="03A07AD7"/>
    <w:rsid w:val="03A762C0"/>
    <w:rsid w:val="03B804CE"/>
    <w:rsid w:val="03BF5C9E"/>
    <w:rsid w:val="03C11649"/>
    <w:rsid w:val="03C350C4"/>
    <w:rsid w:val="03C50E3C"/>
    <w:rsid w:val="03CD789E"/>
    <w:rsid w:val="03EB5766"/>
    <w:rsid w:val="03F1578E"/>
    <w:rsid w:val="03F434D0"/>
    <w:rsid w:val="03F4702C"/>
    <w:rsid w:val="03FD5F08"/>
    <w:rsid w:val="0402799B"/>
    <w:rsid w:val="0405748B"/>
    <w:rsid w:val="0414147C"/>
    <w:rsid w:val="041D6583"/>
    <w:rsid w:val="043438CC"/>
    <w:rsid w:val="0439713F"/>
    <w:rsid w:val="043E0163"/>
    <w:rsid w:val="04405AE6"/>
    <w:rsid w:val="04420AC2"/>
    <w:rsid w:val="0457760D"/>
    <w:rsid w:val="046441B2"/>
    <w:rsid w:val="04656B84"/>
    <w:rsid w:val="0466617C"/>
    <w:rsid w:val="047A0AE3"/>
    <w:rsid w:val="047D6094"/>
    <w:rsid w:val="04973F96"/>
    <w:rsid w:val="04AB4620"/>
    <w:rsid w:val="04AC72EC"/>
    <w:rsid w:val="04B30C95"/>
    <w:rsid w:val="04BA2023"/>
    <w:rsid w:val="04BF588C"/>
    <w:rsid w:val="04C141EF"/>
    <w:rsid w:val="04C335CE"/>
    <w:rsid w:val="04E15802"/>
    <w:rsid w:val="04E84DE3"/>
    <w:rsid w:val="04EF43C3"/>
    <w:rsid w:val="04F35535"/>
    <w:rsid w:val="04F73278"/>
    <w:rsid w:val="04FD0120"/>
    <w:rsid w:val="05015E30"/>
    <w:rsid w:val="05190704"/>
    <w:rsid w:val="051E6A56"/>
    <w:rsid w:val="05581102"/>
    <w:rsid w:val="056106F1"/>
    <w:rsid w:val="057448C8"/>
    <w:rsid w:val="05776166"/>
    <w:rsid w:val="057B7AFF"/>
    <w:rsid w:val="057D66CE"/>
    <w:rsid w:val="0580226C"/>
    <w:rsid w:val="05846AC5"/>
    <w:rsid w:val="05850883"/>
    <w:rsid w:val="058645FB"/>
    <w:rsid w:val="05886E41"/>
    <w:rsid w:val="058F34B0"/>
    <w:rsid w:val="05987E60"/>
    <w:rsid w:val="05AA531D"/>
    <w:rsid w:val="05AF5900"/>
    <w:rsid w:val="05B64EE1"/>
    <w:rsid w:val="05CD3179"/>
    <w:rsid w:val="05D067D9"/>
    <w:rsid w:val="05D67331"/>
    <w:rsid w:val="05F477B7"/>
    <w:rsid w:val="061604B3"/>
    <w:rsid w:val="06257CC3"/>
    <w:rsid w:val="065564A8"/>
    <w:rsid w:val="06660810"/>
    <w:rsid w:val="066E57BB"/>
    <w:rsid w:val="06750C66"/>
    <w:rsid w:val="06764670"/>
    <w:rsid w:val="06783F44"/>
    <w:rsid w:val="06923638"/>
    <w:rsid w:val="06990DAE"/>
    <w:rsid w:val="06AE7966"/>
    <w:rsid w:val="06B528D7"/>
    <w:rsid w:val="06B87AE8"/>
    <w:rsid w:val="06C35F8E"/>
    <w:rsid w:val="06DA69AD"/>
    <w:rsid w:val="06DB7470"/>
    <w:rsid w:val="06DD649D"/>
    <w:rsid w:val="06E2798B"/>
    <w:rsid w:val="06E51B6B"/>
    <w:rsid w:val="06EF58D3"/>
    <w:rsid w:val="06F2019A"/>
    <w:rsid w:val="06F86E33"/>
    <w:rsid w:val="06FD269B"/>
    <w:rsid w:val="07032323"/>
    <w:rsid w:val="070A1546"/>
    <w:rsid w:val="070C48B6"/>
    <w:rsid w:val="07116147"/>
    <w:rsid w:val="071C5217"/>
    <w:rsid w:val="07200E3F"/>
    <w:rsid w:val="07322345"/>
    <w:rsid w:val="073C17CE"/>
    <w:rsid w:val="073D0CEA"/>
    <w:rsid w:val="07445F64"/>
    <w:rsid w:val="075E76FE"/>
    <w:rsid w:val="0781603E"/>
    <w:rsid w:val="07840478"/>
    <w:rsid w:val="078A03D3"/>
    <w:rsid w:val="079B0BC0"/>
    <w:rsid w:val="07AF1BE8"/>
    <w:rsid w:val="07B216D8"/>
    <w:rsid w:val="07B2792A"/>
    <w:rsid w:val="07C02047"/>
    <w:rsid w:val="07D94EB6"/>
    <w:rsid w:val="07DB29DD"/>
    <w:rsid w:val="07E07FF3"/>
    <w:rsid w:val="07FB6BDB"/>
    <w:rsid w:val="082500FC"/>
    <w:rsid w:val="083B3211"/>
    <w:rsid w:val="08430582"/>
    <w:rsid w:val="084E752E"/>
    <w:rsid w:val="085241F0"/>
    <w:rsid w:val="0855720F"/>
    <w:rsid w:val="085B4F44"/>
    <w:rsid w:val="088A4403"/>
    <w:rsid w:val="088D5F5C"/>
    <w:rsid w:val="0898267C"/>
    <w:rsid w:val="08A85219"/>
    <w:rsid w:val="08A90D2D"/>
    <w:rsid w:val="08A967B3"/>
    <w:rsid w:val="08C005A2"/>
    <w:rsid w:val="08CC0577"/>
    <w:rsid w:val="08CE1E54"/>
    <w:rsid w:val="08CF75F0"/>
    <w:rsid w:val="08D51B22"/>
    <w:rsid w:val="08DE0022"/>
    <w:rsid w:val="08EB30F4"/>
    <w:rsid w:val="08FA0F6A"/>
    <w:rsid w:val="08FF094D"/>
    <w:rsid w:val="0902482F"/>
    <w:rsid w:val="09037F14"/>
    <w:rsid w:val="090833CC"/>
    <w:rsid w:val="09153CCC"/>
    <w:rsid w:val="0916721C"/>
    <w:rsid w:val="092108C3"/>
    <w:rsid w:val="093C63C5"/>
    <w:rsid w:val="093D3223"/>
    <w:rsid w:val="094439D7"/>
    <w:rsid w:val="09572537"/>
    <w:rsid w:val="09644C54"/>
    <w:rsid w:val="0965630F"/>
    <w:rsid w:val="096B5FE2"/>
    <w:rsid w:val="096D5AA7"/>
    <w:rsid w:val="097447C2"/>
    <w:rsid w:val="097F1A8E"/>
    <w:rsid w:val="098A5B7B"/>
    <w:rsid w:val="098F0E5D"/>
    <w:rsid w:val="09903C9B"/>
    <w:rsid w:val="0997077C"/>
    <w:rsid w:val="09A17C56"/>
    <w:rsid w:val="09C35E1E"/>
    <w:rsid w:val="09CA2D09"/>
    <w:rsid w:val="09DC44C1"/>
    <w:rsid w:val="09E0143B"/>
    <w:rsid w:val="09FD11BF"/>
    <w:rsid w:val="0A0A57FB"/>
    <w:rsid w:val="0A16615B"/>
    <w:rsid w:val="0A1B119F"/>
    <w:rsid w:val="0A2411C0"/>
    <w:rsid w:val="0A260FC3"/>
    <w:rsid w:val="0A283ED3"/>
    <w:rsid w:val="0A2B6A3F"/>
    <w:rsid w:val="0A314B36"/>
    <w:rsid w:val="0A3D797F"/>
    <w:rsid w:val="0A4E393A"/>
    <w:rsid w:val="0A540B39"/>
    <w:rsid w:val="0A6071C9"/>
    <w:rsid w:val="0A611299"/>
    <w:rsid w:val="0A63104F"/>
    <w:rsid w:val="0A636CB9"/>
    <w:rsid w:val="0A6455E1"/>
    <w:rsid w:val="0A6A6C22"/>
    <w:rsid w:val="0A7113D6"/>
    <w:rsid w:val="0A870BFA"/>
    <w:rsid w:val="0A8801B6"/>
    <w:rsid w:val="0A96708F"/>
    <w:rsid w:val="0A9F5217"/>
    <w:rsid w:val="0AA01CBB"/>
    <w:rsid w:val="0AA74DF8"/>
    <w:rsid w:val="0AB13EC9"/>
    <w:rsid w:val="0AB823C4"/>
    <w:rsid w:val="0ACA4546"/>
    <w:rsid w:val="0ACC0D02"/>
    <w:rsid w:val="0ADE3B76"/>
    <w:rsid w:val="0AE61DC4"/>
    <w:rsid w:val="0AF73FD1"/>
    <w:rsid w:val="0B0968EC"/>
    <w:rsid w:val="0B135B15"/>
    <w:rsid w:val="0B1526A9"/>
    <w:rsid w:val="0B2C354F"/>
    <w:rsid w:val="0B3643CE"/>
    <w:rsid w:val="0B3B3792"/>
    <w:rsid w:val="0B422D73"/>
    <w:rsid w:val="0B4278E4"/>
    <w:rsid w:val="0B464611"/>
    <w:rsid w:val="0B470389"/>
    <w:rsid w:val="0B4F695F"/>
    <w:rsid w:val="0B725E52"/>
    <w:rsid w:val="0B882E7B"/>
    <w:rsid w:val="0B8D0492"/>
    <w:rsid w:val="0B906C95"/>
    <w:rsid w:val="0B9C2524"/>
    <w:rsid w:val="0BA17A99"/>
    <w:rsid w:val="0BA525D8"/>
    <w:rsid w:val="0BA650B0"/>
    <w:rsid w:val="0BA8707A"/>
    <w:rsid w:val="0BB51797"/>
    <w:rsid w:val="0BC10094"/>
    <w:rsid w:val="0BC55E7E"/>
    <w:rsid w:val="0BCB2D68"/>
    <w:rsid w:val="0BD10048"/>
    <w:rsid w:val="0BD50CE3"/>
    <w:rsid w:val="0BDC31C7"/>
    <w:rsid w:val="0BE620C5"/>
    <w:rsid w:val="0C061FF2"/>
    <w:rsid w:val="0C087B18"/>
    <w:rsid w:val="0C1438A3"/>
    <w:rsid w:val="0C2B1A59"/>
    <w:rsid w:val="0C2F6006"/>
    <w:rsid w:val="0C392C1F"/>
    <w:rsid w:val="0C426CB3"/>
    <w:rsid w:val="0C434FF4"/>
    <w:rsid w:val="0C5056AF"/>
    <w:rsid w:val="0C540FAF"/>
    <w:rsid w:val="0C554B8F"/>
    <w:rsid w:val="0C5B37C6"/>
    <w:rsid w:val="0C5B3F21"/>
    <w:rsid w:val="0C602928"/>
    <w:rsid w:val="0C677BB4"/>
    <w:rsid w:val="0C6C62F9"/>
    <w:rsid w:val="0C7156BE"/>
    <w:rsid w:val="0C75219D"/>
    <w:rsid w:val="0C754ECD"/>
    <w:rsid w:val="0C7D4F40"/>
    <w:rsid w:val="0C8352C9"/>
    <w:rsid w:val="0C88726E"/>
    <w:rsid w:val="0CA041F5"/>
    <w:rsid w:val="0CAF4438"/>
    <w:rsid w:val="0CCB7B51"/>
    <w:rsid w:val="0CCF0636"/>
    <w:rsid w:val="0CD83AA7"/>
    <w:rsid w:val="0CE71E24"/>
    <w:rsid w:val="0CF06861"/>
    <w:rsid w:val="0D08638B"/>
    <w:rsid w:val="0D0B0693"/>
    <w:rsid w:val="0D161AC6"/>
    <w:rsid w:val="0D164CE9"/>
    <w:rsid w:val="0D290BB2"/>
    <w:rsid w:val="0D417786"/>
    <w:rsid w:val="0D490DFB"/>
    <w:rsid w:val="0D4C7ED9"/>
    <w:rsid w:val="0D52416D"/>
    <w:rsid w:val="0D586718"/>
    <w:rsid w:val="0D5A0767"/>
    <w:rsid w:val="0D6B035F"/>
    <w:rsid w:val="0D7C6716"/>
    <w:rsid w:val="0D865199"/>
    <w:rsid w:val="0D935B07"/>
    <w:rsid w:val="0DA41673"/>
    <w:rsid w:val="0DA675E9"/>
    <w:rsid w:val="0DB0717A"/>
    <w:rsid w:val="0DB07778"/>
    <w:rsid w:val="0DC134A7"/>
    <w:rsid w:val="0E014932"/>
    <w:rsid w:val="0E016F15"/>
    <w:rsid w:val="0E0B1B42"/>
    <w:rsid w:val="0E155B5A"/>
    <w:rsid w:val="0E251B82"/>
    <w:rsid w:val="0E4D03C4"/>
    <w:rsid w:val="0E512BF8"/>
    <w:rsid w:val="0E747874"/>
    <w:rsid w:val="0E833DCE"/>
    <w:rsid w:val="0E857028"/>
    <w:rsid w:val="0E9438E5"/>
    <w:rsid w:val="0EAD2BF9"/>
    <w:rsid w:val="0EE4486D"/>
    <w:rsid w:val="0EEE56EB"/>
    <w:rsid w:val="0EEF4264"/>
    <w:rsid w:val="0EF20E9B"/>
    <w:rsid w:val="0EF46240"/>
    <w:rsid w:val="0EFA5499"/>
    <w:rsid w:val="0F032819"/>
    <w:rsid w:val="0F0F5662"/>
    <w:rsid w:val="0F276507"/>
    <w:rsid w:val="0F296557"/>
    <w:rsid w:val="0F2B249C"/>
    <w:rsid w:val="0F2E2394"/>
    <w:rsid w:val="0F3555BE"/>
    <w:rsid w:val="0F3F68BD"/>
    <w:rsid w:val="0F465E03"/>
    <w:rsid w:val="0F551A09"/>
    <w:rsid w:val="0F56503F"/>
    <w:rsid w:val="0F681E22"/>
    <w:rsid w:val="0F6C20F8"/>
    <w:rsid w:val="0F6C6610"/>
    <w:rsid w:val="0F783207"/>
    <w:rsid w:val="0F9262E5"/>
    <w:rsid w:val="0F985657"/>
    <w:rsid w:val="0F9A4F2B"/>
    <w:rsid w:val="0FAB0EE6"/>
    <w:rsid w:val="0FC1070A"/>
    <w:rsid w:val="0FC41FA8"/>
    <w:rsid w:val="0FC93BF5"/>
    <w:rsid w:val="0FCD3553"/>
    <w:rsid w:val="0FEE34C9"/>
    <w:rsid w:val="0FEE60A0"/>
    <w:rsid w:val="0FFA0E63"/>
    <w:rsid w:val="1001144E"/>
    <w:rsid w:val="100B5B75"/>
    <w:rsid w:val="101822F4"/>
    <w:rsid w:val="10200617"/>
    <w:rsid w:val="10264A11"/>
    <w:rsid w:val="102869DB"/>
    <w:rsid w:val="102E1B18"/>
    <w:rsid w:val="102F61D9"/>
    <w:rsid w:val="10364B3B"/>
    <w:rsid w:val="10390CED"/>
    <w:rsid w:val="103B4960"/>
    <w:rsid w:val="106B2D90"/>
    <w:rsid w:val="10833C11"/>
    <w:rsid w:val="108576FC"/>
    <w:rsid w:val="108D7FEC"/>
    <w:rsid w:val="1093682E"/>
    <w:rsid w:val="10A15F20"/>
    <w:rsid w:val="10A611D0"/>
    <w:rsid w:val="10C34A85"/>
    <w:rsid w:val="10C55FD8"/>
    <w:rsid w:val="10DD3E24"/>
    <w:rsid w:val="10DE52EC"/>
    <w:rsid w:val="10E741A0"/>
    <w:rsid w:val="10EB0A61"/>
    <w:rsid w:val="10ED552F"/>
    <w:rsid w:val="10F84805"/>
    <w:rsid w:val="10F96CD3"/>
    <w:rsid w:val="110D477C"/>
    <w:rsid w:val="110F1949"/>
    <w:rsid w:val="11162CD7"/>
    <w:rsid w:val="111B02EE"/>
    <w:rsid w:val="11230728"/>
    <w:rsid w:val="11301804"/>
    <w:rsid w:val="113118BF"/>
    <w:rsid w:val="115F642C"/>
    <w:rsid w:val="11600920"/>
    <w:rsid w:val="1170063A"/>
    <w:rsid w:val="117A5014"/>
    <w:rsid w:val="117E3EBF"/>
    <w:rsid w:val="118045F5"/>
    <w:rsid w:val="118606DD"/>
    <w:rsid w:val="11973B23"/>
    <w:rsid w:val="11A63895"/>
    <w:rsid w:val="11AA0E33"/>
    <w:rsid w:val="11AA3420"/>
    <w:rsid w:val="11AD1835"/>
    <w:rsid w:val="11BA7B07"/>
    <w:rsid w:val="11D465DE"/>
    <w:rsid w:val="11D46EAE"/>
    <w:rsid w:val="11D861DF"/>
    <w:rsid w:val="11DE5C6A"/>
    <w:rsid w:val="11EE5A02"/>
    <w:rsid w:val="11F35E10"/>
    <w:rsid w:val="12011292"/>
    <w:rsid w:val="120659A2"/>
    <w:rsid w:val="120945EA"/>
    <w:rsid w:val="12130FC5"/>
    <w:rsid w:val="12137217"/>
    <w:rsid w:val="121A67F7"/>
    <w:rsid w:val="121E003E"/>
    <w:rsid w:val="12235DDC"/>
    <w:rsid w:val="123238F4"/>
    <w:rsid w:val="12386C7D"/>
    <w:rsid w:val="12485112"/>
    <w:rsid w:val="124E6914"/>
    <w:rsid w:val="12545C6B"/>
    <w:rsid w:val="126857B5"/>
    <w:rsid w:val="127777A6"/>
    <w:rsid w:val="127A62D0"/>
    <w:rsid w:val="127A7296"/>
    <w:rsid w:val="128B56D9"/>
    <w:rsid w:val="128D521B"/>
    <w:rsid w:val="1299596E"/>
    <w:rsid w:val="12A06402"/>
    <w:rsid w:val="12A460C1"/>
    <w:rsid w:val="12B207DE"/>
    <w:rsid w:val="12BA51F9"/>
    <w:rsid w:val="12C0114D"/>
    <w:rsid w:val="12CB73B7"/>
    <w:rsid w:val="12D84CD4"/>
    <w:rsid w:val="12F51579"/>
    <w:rsid w:val="12F9640D"/>
    <w:rsid w:val="12FD7CCA"/>
    <w:rsid w:val="12FE7EC7"/>
    <w:rsid w:val="12FF1707"/>
    <w:rsid w:val="13042B7A"/>
    <w:rsid w:val="13070B2A"/>
    <w:rsid w:val="131909C4"/>
    <w:rsid w:val="132319DD"/>
    <w:rsid w:val="132606A8"/>
    <w:rsid w:val="133B4C77"/>
    <w:rsid w:val="13462D84"/>
    <w:rsid w:val="137139DD"/>
    <w:rsid w:val="13A22600"/>
    <w:rsid w:val="13A26AA4"/>
    <w:rsid w:val="13B660AC"/>
    <w:rsid w:val="13C139AF"/>
    <w:rsid w:val="13C85C1D"/>
    <w:rsid w:val="13E01C4A"/>
    <w:rsid w:val="13F761E0"/>
    <w:rsid w:val="13FA5F1F"/>
    <w:rsid w:val="140A6115"/>
    <w:rsid w:val="14333776"/>
    <w:rsid w:val="143A679C"/>
    <w:rsid w:val="143C3221"/>
    <w:rsid w:val="143E5347"/>
    <w:rsid w:val="144D6A10"/>
    <w:rsid w:val="144E16AB"/>
    <w:rsid w:val="144E2265"/>
    <w:rsid w:val="144F6715"/>
    <w:rsid w:val="14521FEF"/>
    <w:rsid w:val="14541C7F"/>
    <w:rsid w:val="14571EA9"/>
    <w:rsid w:val="145843FC"/>
    <w:rsid w:val="145D29CB"/>
    <w:rsid w:val="14771CDF"/>
    <w:rsid w:val="147A16BB"/>
    <w:rsid w:val="14801642"/>
    <w:rsid w:val="148263CE"/>
    <w:rsid w:val="149B6817"/>
    <w:rsid w:val="14A14FAE"/>
    <w:rsid w:val="14AA5797"/>
    <w:rsid w:val="14BF71E2"/>
    <w:rsid w:val="14C111AC"/>
    <w:rsid w:val="14D80D3F"/>
    <w:rsid w:val="14EF6EF6"/>
    <w:rsid w:val="15007F26"/>
    <w:rsid w:val="150177FB"/>
    <w:rsid w:val="15082937"/>
    <w:rsid w:val="15121A08"/>
    <w:rsid w:val="151767A5"/>
    <w:rsid w:val="15211C4B"/>
    <w:rsid w:val="152A0AFF"/>
    <w:rsid w:val="152D4211"/>
    <w:rsid w:val="15431BC1"/>
    <w:rsid w:val="154D2A40"/>
    <w:rsid w:val="155B3EC5"/>
    <w:rsid w:val="15601FDF"/>
    <w:rsid w:val="156600AB"/>
    <w:rsid w:val="15667555"/>
    <w:rsid w:val="15744470"/>
    <w:rsid w:val="157E3E54"/>
    <w:rsid w:val="158F4E06"/>
    <w:rsid w:val="15A72150"/>
    <w:rsid w:val="15A97268"/>
    <w:rsid w:val="15AD1A3F"/>
    <w:rsid w:val="15C216CC"/>
    <w:rsid w:val="15CF1DD7"/>
    <w:rsid w:val="15E224A7"/>
    <w:rsid w:val="15E37C56"/>
    <w:rsid w:val="160038F0"/>
    <w:rsid w:val="160C46A9"/>
    <w:rsid w:val="16150220"/>
    <w:rsid w:val="161B48EC"/>
    <w:rsid w:val="162B0FD3"/>
    <w:rsid w:val="162B24AE"/>
    <w:rsid w:val="16315EBE"/>
    <w:rsid w:val="164342FA"/>
    <w:rsid w:val="164B1350"/>
    <w:rsid w:val="165770B0"/>
    <w:rsid w:val="165D6A9D"/>
    <w:rsid w:val="16635F8A"/>
    <w:rsid w:val="166E1A18"/>
    <w:rsid w:val="16702E8A"/>
    <w:rsid w:val="1675224E"/>
    <w:rsid w:val="16835013"/>
    <w:rsid w:val="16857402"/>
    <w:rsid w:val="16A22BEB"/>
    <w:rsid w:val="16AB2114"/>
    <w:rsid w:val="16BD5479"/>
    <w:rsid w:val="16CB00C0"/>
    <w:rsid w:val="16CB645F"/>
    <w:rsid w:val="16D743AB"/>
    <w:rsid w:val="16D74CB7"/>
    <w:rsid w:val="16D904DF"/>
    <w:rsid w:val="16E318AE"/>
    <w:rsid w:val="171149C7"/>
    <w:rsid w:val="171820A2"/>
    <w:rsid w:val="172122C6"/>
    <w:rsid w:val="17233A58"/>
    <w:rsid w:val="172F68A1"/>
    <w:rsid w:val="17457E73"/>
    <w:rsid w:val="1754181D"/>
    <w:rsid w:val="17571001"/>
    <w:rsid w:val="17633BC2"/>
    <w:rsid w:val="17637CA2"/>
    <w:rsid w:val="176E1926"/>
    <w:rsid w:val="17707BBF"/>
    <w:rsid w:val="17732C32"/>
    <w:rsid w:val="17776970"/>
    <w:rsid w:val="17795D6E"/>
    <w:rsid w:val="17884203"/>
    <w:rsid w:val="179E6119"/>
    <w:rsid w:val="17A70B2D"/>
    <w:rsid w:val="17AA4179"/>
    <w:rsid w:val="17BA1FA3"/>
    <w:rsid w:val="17C4348D"/>
    <w:rsid w:val="17C76AD9"/>
    <w:rsid w:val="17CF624F"/>
    <w:rsid w:val="17D11706"/>
    <w:rsid w:val="17D9680D"/>
    <w:rsid w:val="17E01949"/>
    <w:rsid w:val="17E02057"/>
    <w:rsid w:val="17ED6A33"/>
    <w:rsid w:val="18013B10"/>
    <w:rsid w:val="18106EC5"/>
    <w:rsid w:val="181220C2"/>
    <w:rsid w:val="181270D8"/>
    <w:rsid w:val="181810E3"/>
    <w:rsid w:val="18221F62"/>
    <w:rsid w:val="182534E4"/>
    <w:rsid w:val="18326CA3"/>
    <w:rsid w:val="183A54FD"/>
    <w:rsid w:val="183A7AB3"/>
    <w:rsid w:val="18402742"/>
    <w:rsid w:val="185C4B83"/>
    <w:rsid w:val="18787ADF"/>
    <w:rsid w:val="18793153"/>
    <w:rsid w:val="187A7FF0"/>
    <w:rsid w:val="18A84B5D"/>
    <w:rsid w:val="18AC4E05"/>
    <w:rsid w:val="18AE1A47"/>
    <w:rsid w:val="18AE7C99"/>
    <w:rsid w:val="18BA42B0"/>
    <w:rsid w:val="18BA663E"/>
    <w:rsid w:val="18BF3C55"/>
    <w:rsid w:val="18C24DAB"/>
    <w:rsid w:val="18C94AD3"/>
    <w:rsid w:val="190136C6"/>
    <w:rsid w:val="19070D85"/>
    <w:rsid w:val="190A51FF"/>
    <w:rsid w:val="190C0B53"/>
    <w:rsid w:val="190F0738"/>
    <w:rsid w:val="190F128D"/>
    <w:rsid w:val="19121FD6"/>
    <w:rsid w:val="192E6057"/>
    <w:rsid w:val="19330334"/>
    <w:rsid w:val="19353F17"/>
    <w:rsid w:val="19355CC5"/>
    <w:rsid w:val="193957B5"/>
    <w:rsid w:val="19410B0E"/>
    <w:rsid w:val="19436634"/>
    <w:rsid w:val="19550115"/>
    <w:rsid w:val="1958483B"/>
    <w:rsid w:val="195924DA"/>
    <w:rsid w:val="196640D0"/>
    <w:rsid w:val="1992359E"/>
    <w:rsid w:val="199B2AAE"/>
    <w:rsid w:val="19A919EE"/>
    <w:rsid w:val="19AD3DF7"/>
    <w:rsid w:val="19B25567"/>
    <w:rsid w:val="19B50D0C"/>
    <w:rsid w:val="19CE05F3"/>
    <w:rsid w:val="19D92AF4"/>
    <w:rsid w:val="19E5593D"/>
    <w:rsid w:val="19E91E93"/>
    <w:rsid w:val="19EA2F53"/>
    <w:rsid w:val="19FD4A34"/>
    <w:rsid w:val="1A0933D9"/>
    <w:rsid w:val="1A0B1AC0"/>
    <w:rsid w:val="1A294FAC"/>
    <w:rsid w:val="1A295829"/>
    <w:rsid w:val="1A367F46"/>
    <w:rsid w:val="1A393593"/>
    <w:rsid w:val="1A3B37AF"/>
    <w:rsid w:val="1A3F329F"/>
    <w:rsid w:val="1A40548D"/>
    <w:rsid w:val="1A472154"/>
    <w:rsid w:val="1A495ECC"/>
    <w:rsid w:val="1A531751"/>
    <w:rsid w:val="1A703458"/>
    <w:rsid w:val="1A736AA5"/>
    <w:rsid w:val="1A7F369B"/>
    <w:rsid w:val="1A840CB2"/>
    <w:rsid w:val="1AA03612"/>
    <w:rsid w:val="1ABA2925"/>
    <w:rsid w:val="1ABD5F72"/>
    <w:rsid w:val="1ACA77FB"/>
    <w:rsid w:val="1ACC5BF8"/>
    <w:rsid w:val="1AD05CA5"/>
    <w:rsid w:val="1AD339E7"/>
    <w:rsid w:val="1AD774CB"/>
    <w:rsid w:val="1AE17EB2"/>
    <w:rsid w:val="1AEA50B6"/>
    <w:rsid w:val="1AF35B65"/>
    <w:rsid w:val="1AF776D6"/>
    <w:rsid w:val="1AF916A0"/>
    <w:rsid w:val="1B0911B7"/>
    <w:rsid w:val="1B0E67CD"/>
    <w:rsid w:val="1B0F0B3B"/>
    <w:rsid w:val="1B1E2EB4"/>
    <w:rsid w:val="1B1E67F8"/>
    <w:rsid w:val="1B200CF6"/>
    <w:rsid w:val="1B390BDC"/>
    <w:rsid w:val="1B4413F4"/>
    <w:rsid w:val="1B441FD6"/>
    <w:rsid w:val="1B597C7E"/>
    <w:rsid w:val="1B634D6B"/>
    <w:rsid w:val="1B643008"/>
    <w:rsid w:val="1B6D1890"/>
    <w:rsid w:val="1B6F3710"/>
    <w:rsid w:val="1B7927E1"/>
    <w:rsid w:val="1B8E7170"/>
    <w:rsid w:val="1B98620B"/>
    <w:rsid w:val="1BA535D6"/>
    <w:rsid w:val="1BA74662"/>
    <w:rsid w:val="1BB1217F"/>
    <w:rsid w:val="1BB17A77"/>
    <w:rsid w:val="1BBE01F3"/>
    <w:rsid w:val="1BC73E1F"/>
    <w:rsid w:val="1BCD48DA"/>
    <w:rsid w:val="1BDB0097"/>
    <w:rsid w:val="1BDB0DA5"/>
    <w:rsid w:val="1BE0016A"/>
    <w:rsid w:val="1BE0443F"/>
    <w:rsid w:val="1BE258FF"/>
    <w:rsid w:val="1BE53E44"/>
    <w:rsid w:val="1BF260EF"/>
    <w:rsid w:val="1BF81957"/>
    <w:rsid w:val="1C1104B3"/>
    <w:rsid w:val="1C1A40F5"/>
    <w:rsid w:val="1C1E0C92"/>
    <w:rsid w:val="1C215282"/>
    <w:rsid w:val="1C290D88"/>
    <w:rsid w:val="1C2A3ADB"/>
    <w:rsid w:val="1C443C47"/>
    <w:rsid w:val="1C471722"/>
    <w:rsid w:val="1C47468D"/>
    <w:rsid w:val="1C4E77C9"/>
    <w:rsid w:val="1C556A22"/>
    <w:rsid w:val="1C591153"/>
    <w:rsid w:val="1C5C588F"/>
    <w:rsid w:val="1C5D7A0C"/>
    <w:rsid w:val="1C650A0C"/>
    <w:rsid w:val="1C705992"/>
    <w:rsid w:val="1C71170A"/>
    <w:rsid w:val="1C7F5BD5"/>
    <w:rsid w:val="1C846B66"/>
    <w:rsid w:val="1C8B27CB"/>
    <w:rsid w:val="1C970C7C"/>
    <w:rsid w:val="1C983F97"/>
    <w:rsid w:val="1CA23671"/>
    <w:rsid w:val="1CB1569A"/>
    <w:rsid w:val="1CB313F6"/>
    <w:rsid w:val="1CBE4B4B"/>
    <w:rsid w:val="1CDF48C5"/>
    <w:rsid w:val="1CEA2A2D"/>
    <w:rsid w:val="1CEF0D6A"/>
    <w:rsid w:val="1CF151FB"/>
    <w:rsid w:val="1CF26A5C"/>
    <w:rsid w:val="1CFB6B14"/>
    <w:rsid w:val="1CFD6B12"/>
    <w:rsid w:val="1D0600A4"/>
    <w:rsid w:val="1D0D1432"/>
    <w:rsid w:val="1D1D719C"/>
    <w:rsid w:val="1D2D6F56"/>
    <w:rsid w:val="1D3C45B0"/>
    <w:rsid w:val="1D4028B0"/>
    <w:rsid w:val="1D48246B"/>
    <w:rsid w:val="1D4B3D09"/>
    <w:rsid w:val="1D4F1A4B"/>
    <w:rsid w:val="1D596069"/>
    <w:rsid w:val="1D5A47A1"/>
    <w:rsid w:val="1D5D57EA"/>
    <w:rsid w:val="1D641892"/>
    <w:rsid w:val="1D6C7009"/>
    <w:rsid w:val="1D7B314E"/>
    <w:rsid w:val="1D882867"/>
    <w:rsid w:val="1D8A35A8"/>
    <w:rsid w:val="1D9F5E03"/>
    <w:rsid w:val="1DB23D88"/>
    <w:rsid w:val="1DB25B36"/>
    <w:rsid w:val="1DC064A5"/>
    <w:rsid w:val="1DCA7323"/>
    <w:rsid w:val="1DCB4E4A"/>
    <w:rsid w:val="1DCD1F90"/>
    <w:rsid w:val="1DDD1DE6"/>
    <w:rsid w:val="1DE3483A"/>
    <w:rsid w:val="1DF3073C"/>
    <w:rsid w:val="1DF3687A"/>
    <w:rsid w:val="1DF56B47"/>
    <w:rsid w:val="1E00462C"/>
    <w:rsid w:val="1E0052CF"/>
    <w:rsid w:val="1E0C16EA"/>
    <w:rsid w:val="1E1C5E73"/>
    <w:rsid w:val="1E1D38F7"/>
    <w:rsid w:val="1E234541"/>
    <w:rsid w:val="1E282FF3"/>
    <w:rsid w:val="1E2B39B6"/>
    <w:rsid w:val="1E2D5A1D"/>
    <w:rsid w:val="1E342BE6"/>
    <w:rsid w:val="1E3D5BFF"/>
    <w:rsid w:val="1E3F5B0A"/>
    <w:rsid w:val="1E402DD2"/>
    <w:rsid w:val="1E5310C7"/>
    <w:rsid w:val="1E544704"/>
    <w:rsid w:val="1E566E09"/>
    <w:rsid w:val="1E5B585E"/>
    <w:rsid w:val="1E5F5CBE"/>
    <w:rsid w:val="1E6E4153"/>
    <w:rsid w:val="1E703E54"/>
    <w:rsid w:val="1E8303B8"/>
    <w:rsid w:val="1E8A6AB3"/>
    <w:rsid w:val="1EA0459D"/>
    <w:rsid w:val="1EA062D6"/>
    <w:rsid w:val="1EA62DBC"/>
    <w:rsid w:val="1EAF13E7"/>
    <w:rsid w:val="1EB21D4C"/>
    <w:rsid w:val="1ECC2343"/>
    <w:rsid w:val="1ECC5D06"/>
    <w:rsid w:val="1ED42809"/>
    <w:rsid w:val="1EDC2D80"/>
    <w:rsid w:val="1EEC6781"/>
    <w:rsid w:val="1EEE0DF0"/>
    <w:rsid w:val="1EFB350D"/>
    <w:rsid w:val="1F0800E9"/>
    <w:rsid w:val="1F1254F4"/>
    <w:rsid w:val="1F153729"/>
    <w:rsid w:val="1F384EA1"/>
    <w:rsid w:val="1F3A2287"/>
    <w:rsid w:val="1F3C7DAD"/>
    <w:rsid w:val="1F3F789D"/>
    <w:rsid w:val="1F42113B"/>
    <w:rsid w:val="1F494E81"/>
    <w:rsid w:val="1F5350F7"/>
    <w:rsid w:val="1F6701E5"/>
    <w:rsid w:val="1F6A2CF4"/>
    <w:rsid w:val="1F6C499D"/>
    <w:rsid w:val="1F6D00BC"/>
    <w:rsid w:val="1F8B6C8E"/>
    <w:rsid w:val="1F8D23B7"/>
    <w:rsid w:val="1F981263"/>
    <w:rsid w:val="1F9F2549"/>
    <w:rsid w:val="1FAA6F50"/>
    <w:rsid w:val="1FB060A5"/>
    <w:rsid w:val="1FB42F8C"/>
    <w:rsid w:val="1FB45B95"/>
    <w:rsid w:val="1FB74637"/>
    <w:rsid w:val="1FC374ED"/>
    <w:rsid w:val="1FCC5382"/>
    <w:rsid w:val="1FE741BD"/>
    <w:rsid w:val="1FF02C39"/>
    <w:rsid w:val="1FF37AD7"/>
    <w:rsid w:val="1FF71BD2"/>
    <w:rsid w:val="1FF742CB"/>
    <w:rsid w:val="1FFD6FC8"/>
    <w:rsid w:val="20020FF7"/>
    <w:rsid w:val="201376DB"/>
    <w:rsid w:val="2017638C"/>
    <w:rsid w:val="20185F86"/>
    <w:rsid w:val="202279CC"/>
    <w:rsid w:val="2027068C"/>
    <w:rsid w:val="202B546B"/>
    <w:rsid w:val="202E324C"/>
    <w:rsid w:val="20441B19"/>
    <w:rsid w:val="204D1B46"/>
    <w:rsid w:val="20520281"/>
    <w:rsid w:val="20613382"/>
    <w:rsid w:val="20663493"/>
    <w:rsid w:val="2069018D"/>
    <w:rsid w:val="206C46C2"/>
    <w:rsid w:val="206F63C1"/>
    <w:rsid w:val="20803CC9"/>
    <w:rsid w:val="208714FC"/>
    <w:rsid w:val="20891221"/>
    <w:rsid w:val="20940B18"/>
    <w:rsid w:val="20992FDD"/>
    <w:rsid w:val="20A0219D"/>
    <w:rsid w:val="20A02230"/>
    <w:rsid w:val="20A21E92"/>
    <w:rsid w:val="20B87A68"/>
    <w:rsid w:val="20BF45FE"/>
    <w:rsid w:val="20C6666F"/>
    <w:rsid w:val="20C70459"/>
    <w:rsid w:val="20D34E96"/>
    <w:rsid w:val="20DE6C42"/>
    <w:rsid w:val="20E701EC"/>
    <w:rsid w:val="2102069D"/>
    <w:rsid w:val="21082292"/>
    <w:rsid w:val="210B5C89"/>
    <w:rsid w:val="21132D8F"/>
    <w:rsid w:val="21157720"/>
    <w:rsid w:val="211D59BC"/>
    <w:rsid w:val="212136FE"/>
    <w:rsid w:val="21263392"/>
    <w:rsid w:val="21374CD0"/>
    <w:rsid w:val="213E3E63"/>
    <w:rsid w:val="21486EDD"/>
    <w:rsid w:val="214C6062"/>
    <w:rsid w:val="214E1345"/>
    <w:rsid w:val="215A6C10"/>
    <w:rsid w:val="216849AA"/>
    <w:rsid w:val="21780E44"/>
    <w:rsid w:val="21782AC8"/>
    <w:rsid w:val="217F6F47"/>
    <w:rsid w:val="217F7DC8"/>
    <w:rsid w:val="21845A3B"/>
    <w:rsid w:val="21874EA8"/>
    <w:rsid w:val="21C9221A"/>
    <w:rsid w:val="21DF0EC4"/>
    <w:rsid w:val="21EF1C4A"/>
    <w:rsid w:val="21F20BF7"/>
    <w:rsid w:val="220152DE"/>
    <w:rsid w:val="220B1CB9"/>
    <w:rsid w:val="22160B82"/>
    <w:rsid w:val="222222BC"/>
    <w:rsid w:val="222D7E81"/>
    <w:rsid w:val="223875D1"/>
    <w:rsid w:val="223B434C"/>
    <w:rsid w:val="223C1E72"/>
    <w:rsid w:val="223D1610"/>
    <w:rsid w:val="223F3F77"/>
    <w:rsid w:val="22522477"/>
    <w:rsid w:val="22631AF5"/>
    <w:rsid w:val="227635D6"/>
    <w:rsid w:val="227A173F"/>
    <w:rsid w:val="227C4964"/>
    <w:rsid w:val="2297314D"/>
    <w:rsid w:val="229F23A9"/>
    <w:rsid w:val="22A279E3"/>
    <w:rsid w:val="22A37D4A"/>
    <w:rsid w:val="22BA2B41"/>
    <w:rsid w:val="22BD1205"/>
    <w:rsid w:val="22BF0053"/>
    <w:rsid w:val="22CA56D0"/>
    <w:rsid w:val="22D26F9A"/>
    <w:rsid w:val="22D341F6"/>
    <w:rsid w:val="22F10EAE"/>
    <w:rsid w:val="23005595"/>
    <w:rsid w:val="23093180"/>
    <w:rsid w:val="23103A2A"/>
    <w:rsid w:val="231B5F2B"/>
    <w:rsid w:val="232D0175"/>
    <w:rsid w:val="233967CC"/>
    <w:rsid w:val="23561695"/>
    <w:rsid w:val="236553F8"/>
    <w:rsid w:val="237B1C1A"/>
    <w:rsid w:val="23867849"/>
    <w:rsid w:val="23886FC3"/>
    <w:rsid w:val="238A4BC1"/>
    <w:rsid w:val="23A83C63"/>
    <w:rsid w:val="23AA2DDC"/>
    <w:rsid w:val="23B12896"/>
    <w:rsid w:val="23B5012E"/>
    <w:rsid w:val="23B95E70"/>
    <w:rsid w:val="23CB0902"/>
    <w:rsid w:val="23DD7927"/>
    <w:rsid w:val="23E10F23"/>
    <w:rsid w:val="23ED5B1A"/>
    <w:rsid w:val="23F316BB"/>
    <w:rsid w:val="23F549CE"/>
    <w:rsid w:val="24066BDB"/>
    <w:rsid w:val="24235C02"/>
    <w:rsid w:val="242D4168"/>
    <w:rsid w:val="242F13C9"/>
    <w:rsid w:val="243313E8"/>
    <w:rsid w:val="243D3152"/>
    <w:rsid w:val="244F40DF"/>
    <w:rsid w:val="24583C9C"/>
    <w:rsid w:val="245A2A83"/>
    <w:rsid w:val="246F0C1F"/>
    <w:rsid w:val="246F4494"/>
    <w:rsid w:val="24763848"/>
    <w:rsid w:val="247C12B5"/>
    <w:rsid w:val="247C2A9D"/>
    <w:rsid w:val="24827E18"/>
    <w:rsid w:val="24880FB1"/>
    <w:rsid w:val="248A4D18"/>
    <w:rsid w:val="248C70E1"/>
    <w:rsid w:val="24963225"/>
    <w:rsid w:val="24A106B2"/>
    <w:rsid w:val="24A30F19"/>
    <w:rsid w:val="24A851AB"/>
    <w:rsid w:val="24CA59A9"/>
    <w:rsid w:val="24CC3981"/>
    <w:rsid w:val="24D03CD9"/>
    <w:rsid w:val="24DF6949"/>
    <w:rsid w:val="24E231A5"/>
    <w:rsid w:val="24EA3E07"/>
    <w:rsid w:val="24F42ED8"/>
    <w:rsid w:val="250269C5"/>
    <w:rsid w:val="25090731"/>
    <w:rsid w:val="250D7AF6"/>
    <w:rsid w:val="25126060"/>
    <w:rsid w:val="2513393D"/>
    <w:rsid w:val="253353F5"/>
    <w:rsid w:val="25377C12"/>
    <w:rsid w:val="25571A70"/>
    <w:rsid w:val="256242E5"/>
    <w:rsid w:val="2569329D"/>
    <w:rsid w:val="257A2FFA"/>
    <w:rsid w:val="25902E9C"/>
    <w:rsid w:val="259A1617"/>
    <w:rsid w:val="25A466AC"/>
    <w:rsid w:val="25AC26EE"/>
    <w:rsid w:val="25B0273C"/>
    <w:rsid w:val="25D21CEE"/>
    <w:rsid w:val="25D45C3E"/>
    <w:rsid w:val="25DD61F7"/>
    <w:rsid w:val="25E51984"/>
    <w:rsid w:val="25E81861"/>
    <w:rsid w:val="25F30BE6"/>
    <w:rsid w:val="25FB0182"/>
    <w:rsid w:val="26034EF6"/>
    <w:rsid w:val="260E6047"/>
    <w:rsid w:val="261875AF"/>
    <w:rsid w:val="26195E0C"/>
    <w:rsid w:val="261C1922"/>
    <w:rsid w:val="26331D34"/>
    <w:rsid w:val="263B7010"/>
    <w:rsid w:val="263D5C2C"/>
    <w:rsid w:val="26461511"/>
    <w:rsid w:val="265754CC"/>
    <w:rsid w:val="26591245"/>
    <w:rsid w:val="265E0581"/>
    <w:rsid w:val="265E0843"/>
    <w:rsid w:val="26834513"/>
    <w:rsid w:val="26881B2A"/>
    <w:rsid w:val="26924756"/>
    <w:rsid w:val="26AF716B"/>
    <w:rsid w:val="26B24DF9"/>
    <w:rsid w:val="26D27249"/>
    <w:rsid w:val="26D4301E"/>
    <w:rsid w:val="26DE799C"/>
    <w:rsid w:val="26E054C2"/>
    <w:rsid w:val="26E17A5C"/>
    <w:rsid w:val="26E33204"/>
    <w:rsid w:val="26E56F7C"/>
    <w:rsid w:val="26E74AA2"/>
    <w:rsid w:val="26ED7BDF"/>
    <w:rsid w:val="26FC7E22"/>
    <w:rsid w:val="2705317A"/>
    <w:rsid w:val="271B299E"/>
    <w:rsid w:val="27206942"/>
    <w:rsid w:val="27225ADA"/>
    <w:rsid w:val="273C76A0"/>
    <w:rsid w:val="273D707D"/>
    <w:rsid w:val="27437FDF"/>
    <w:rsid w:val="27541A0C"/>
    <w:rsid w:val="27591248"/>
    <w:rsid w:val="276452D5"/>
    <w:rsid w:val="276A5F64"/>
    <w:rsid w:val="276E7580"/>
    <w:rsid w:val="277420AE"/>
    <w:rsid w:val="2778394C"/>
    <w:rsid w:val="277B343D"/>
    <w:rsid w:val="277D0F63"/>
    <w:rsid w:val="279621F2"/>
    <w:rsid w:val="279E1806"/>
    <w:rsid w:val="279F27E3"/>
    <w:rsid w:val="27A110F5"/>
    <w:rsid w:val="27AF28A1"/>
    <w:rsid w:val="27B626C7"/>
    <w:rsid w:val="27CE40F0"/>
    <w:rsid w:val="27D32074"/>
    <w:rsid w:val="27D42352"/>
    <w:rsid w:val="27D50D9F"/>
    <w:rsid w:val="27D67955"/>
    <w:rsid w:val="27E40FE2"/>
    <w:rsid w:val="27EB229D"/>
    <w:rsid w:val="28162AA6"/>
    <w:rsid w:val="281E11E4"/>
    <w:rsid w:val="28206929"/>
    <w:rsid w:val="283006CB"/>
    <w:rsid w:val="283805C6"/>
    <w:rsid w:val="284B18E0"/>
    <w:rsid w:val="284D1502"/>
    <w:rsid w:val="2895052E"/>
    <w:rsid w:val="28AB06B8"/>
    <w:rsid w:val="28B84007"/>
    <w:rsid w:val="28B92147"/>
    <w:rsid w:val="28BA1D43"/>
    <w:rsid w:val="28CB26F3"/>
    <w:rsid w:val="28CD1A76"/>
    <w:rsid w:val="28D01566"/>
    <w:rsid w:val="28E11534"/>
    <w:rsid w:val="28E31299"/>
    <w:rsid w:val="28E374EB"/>
    <w:rsid w:val="28EB4B13"/>
    <w:rsid w:val="28F15A73"/>
    <w:rsid w:val="28F2772E"/>
    <w:rsid w:val="28F321E9"/>
    <w:rsid w:val="28F33BD2"/>
    <w:rsid w:val="28F93369"/>
    <w:rsid w:val="2916341D"/>
    <w:rsid w:val="2917279D"/>
    <w:rsid w:val="293146FB"/>
    <w:rsid w:val="293624BD"/>
    <w:rsid w:val="29422464"/>
    <w:rsid w:val="294D49C5"/>
    <w:rsid w:val="29600B3C"/>
    <w:rsid w:val="29644EC3"/>
    <w:rsid w:val="29676BD8"/>
    <w:rsid w:val="29695C42"/>
    <w:rsid w:val="2973544C"/>
    <w:rsid w:val="29746395"/>
    <w:rsid w:val="29834F90"/>
    <w:rsid w:val="29B570DA"/>
    <w:rsid w:val="29B844D4"/>
    <w:rsid w:val="29BA00D2"/>
    <w:rsid w:val="29BA0A21"/>
    <w:rsid w:val="29BE1781"/>
    <w:rsid w:val="29C94933"/>
    <w:rsid w:val="29CC61D1"/>
    <w:rsid w:val="29D3130E"/>
    <w:rsid w:val="29DD3F3B"/>
    <w:rsid w:val="2A047719"/>
    <w:rsid w:val="2A0E67EA"/>
    <w:rsid w:val="2A110088"/>
    <w:rsid w:val="2A19597B"/>
    <w:rsid w:val="2A1B4A63"/>
    <w:rsid w:val="2A1D405C"/>
    <w:rsid w:val="2A2102CB"/>
    <w:rsid w:val="2A23324E"/>
    <w:rsid w:val="2A314286"/>
    <w:rsid w:val="2A38155D"/>
    <w:rsid w:val="2A474DE1"/>
    <w:rsid w:val="2A4C01B4"/>
    <w:rsid w:val="2A506E02"/>
    <w:rsid w:val="2A5B0A72"/>
    <w:rsid w:val="2A61691A"/>
    <w:rsid w:val="2A68414C"/>
    <w:rsid w:val="2A6B1546"/>
    <w:rsid w:val="2A6C2D68"/>
    <w:rsid w:val="2A6E23A7"/>
    <w:rsid w:val="2A7439F6"/>
    <w:rsid w:val="2A8D3BB3"/>
    <w:rsid w:val="2A8E3487"/>
    <w:rsid w:val="2A944F41"/>
    <w:rsid w:val="2AA4684E"/>
    <w:rsid w:val="2AC05D36"/>
    <w:rsid w:val="2AC375D4"/>
    <w:rsid w:val="2ACC46BA"/>
    <w:rsid w:val="2AD4533E"/>
    <w:rsid w:val="2AD73080"/>
    <w:rsid w:val="2AFD4EC5"/>
    <w:rsid w:val="2AFF1738"/>
    <w:rsid w:val="2B046437"/>
    <w:rsid w:val="2B195446"/>
    <w:rsid w:val="2B1B420B"/>
    <w:rsid w:val="2B1C14AB"/>
    <w:rsid w:val="2B204A27"/>
    <w:rsid w:val="2B267174"/>
    <w:rsid w:val="2B376F2C"/>
    <w:rsid w:val="2B417276"/>
    <w:rsid w:val="2B536BAA"/>
    <w:rsid w:val="2B54022C"/>
    <w:rsid w:val="2B577D1D"/>
    <w:rsid w:val="2B5A5895"/>
    <w:rsid w:val="2B6C1A1A"/>
    <w:rsid w:val="2B6E5792"/>
    <w:rsid w:val="2B8D373E"/>
    <w:rsid w:val="2B920D55"/>
    <w:rsid w:val="2B944ACD"/>
    <w:rsid w:val="2B96058E"/>
    <w:rsid w:val="2B971961"/>
    <w:rsid w:val="2B9845BD"/>
    <w:rsid w:val="2BAF7B59"/>
    <w:rsid w:val="2BB84C5F"/>
    <w:rsid w:val="2BC06835"/>
    <w:rsid w:val="2BCA5B56"/>
    <w:rsid w:val="2BDA190D"/>
    <w:rsid w:val="2BDA2E28"/>
    <w:rsid w:val="2BE74F46"/>
    <w:rsid w:val="2BF57C61"/>
    <w:rsid w:val="2BFB06D7"/>
    <w:rsid w:val="2C1216F6"/>
    <w:rsid w:val="2C172E14"/>
    <w:rsid w:val="2C1A76C8"/>
    <w:rsid w:val="2C1F4CDE"/>
    <w:rsid w:val="2C273B93"/>
    <w:rsid w:val="2C416A03"/>
    <w:rsid w:val="2C4B162F"/>
    <w:rsid w:val="2C4D60B7"/>
    <w:rsid w:val="2C5C383D"/>
    <w:rsid w:val="2C6D5A4A"/>
    <w:rsid w:val="2C7D37B3"/>
    <w:rsid w:val="2C8242B0"/>
    <w:rsid w:val="2C852F06"/>
    <w:rsid w:val="2C8774D1"/>
    <w:rsid w:val="2C8E3C12"/>
    <w:rsid w:val="2C981CCD"/>
    <w:rsid w:val="2C995108"/>
    <w:rsid w:val="2C9F53AF"/>
    <w:rsid w:val="2CA945A8"/>
    <w:rsid w:val="2CB745C8"/>
    <w:rsid w:val="2CBA641B"/>
    <w:rsid w:val="2CFC0B7C"/>
    <w:rsid w:val="2D040C32"/>
    <w:rsid w:val="2D067C4C"/>
    <w:rsid w:val="2D0757A6"/>
    <w:rsid w:val="2D1C7470"/>
    <w:rsid w:val="2D2655C5"/>
    <w:rsid w:val="2D2C1949"/>
    <w:rsid w:val="2D2D342B"/>
    <w:rsid w:val="2D336E89"/>
    <w:rsid w:val="2D346567"/>
    <w:rsid w:val="2D393B7E"/>
    <w:rsid w:val="2D3E2F42"/>
    <w:rsid w:val="2D404F0C"/>
    <w:rsid w:val="2D5B13F7"/>
    <w:rsid w:val="2D745958"/>
    <w:rsid w:val="2D7565C1"/>
    <w:rsid w:val="2D81611B"/>
    <w:rsid w:val="2D85673B"/>
    <w:rsid w:val="2D970D3C"/>
    <w:rsid w:val="2D982E0B"/>
    <w:rsid w:val="2D9C3B84"/>
    <w:rsid w:val="2DA01E4F"/>
    <w:rsid w:val="2DA82AB1"/>
    <w:rsid w:val="2DAA682A"/>
    <w:rsid w:val="2DB11966"/>
    <w:rsid w:val="2DB33930"/>
    <w:rsid w:val="2DB53B3B"/>
    <w:rsid w:val="2DC86CB0"/>
    <w:rsid w:val="2DCC44FF"/>
    <w:rsid w:val="2DD438A6"/>
    <w:rsid w:val="2DEA4E78"/>
    <w:rsid w:val="2DEB3A9A"/>
    <w:rsid w:val="2DF61A6F"/>
    <w:rsid w:val="2E026666"/>
    <w:rsid w:val="2E072654"/>
    <w:rsid w:val="2E074D76"/>
    <w:rsid w:val="2E1168A9"/>
    <w:rsid w:val="2E1D6FFC"/>
    <w:rsid w:val="2E2465DC"/>
    <w:rsid w:val="2E252938"/>
    <w:rsid w:val="2E317DD1"/>
    <w:rsid w:val="2E3A195C"/>
    <w:rsid w:val="2E3B239C"/>
    <w:rsid w:val="2E536EC1"/>
    <w:rsid w:val="2E5C3FC8"/>
    <w:rsid w:val="2E5D3EA6"/>
    <w:rsid w:val="2E6F38EF"/>
    <w:rsid w:val="2E7C01C6"/>
    <w:rsid w:val="2E8452CD"/>
    <w:rsid w:val="2E975000"/>
    <w:rsid w:val="2EA63495"/>
    <w:rsid w:val="2EC24EAE"/>
    <w:rsid w:val="2EC851B9"/>
    <w:rsid w:val="2ECF2473"/>
    <w:rsid w:val="2ED51684"/>
    <w:rsid w:val="2EDF3D6A"/>
    <w:rsid w:val="2EEF4340"/>
    <w:rsid w:val="2F041F69"/>
    <w:rsid w:val="2F154177"/>
    <w:rsid w:val="2F2B5748"/>
    <w:rsid w:val="2F5051AF"/>
    <w:rsid w:val="2F590507"/>
    <w:rsid w:val="2F5E3C7F"/>
    <w:rsid w:val="2F7215C9"/>
    <w:rsid w:val="2F782CC6"/>
    <w:rsid w:val="2F9075F6"/>
    <w:rsid w:val="2F936D84"/>
    <w:rsid w:val="2F9604D9"/>
    <w:rsid w:val="2F9A594D"/>
    <w:rsid w:val="2FA01C92"/>
    <w:rsid w:val="2FA572A9"/>
    <w:rsid w:val="2FBE18DB"/>
    <w:rsid w:val="2FC56C2F"/>
    <w:rsid w:val="2FDD75D7"/>
    <w:rsid w:val="2FF3519E"/>
    <w:rsid w:val="2FFE4C0B"/>
    <w:rsid w:val="30093CDB"/>
    <w:rsid w:val="3014442E"/>
    <w:rsid w:val="30246664"/>
    <w:rsid w:val="3025663B"/>
    <w:rsid w:val="302869D4"/>
    <w:rsid w:val="303625F7"/>
    <w:rsid w:val="303B19BB"/>
    <w:rsid w:val="304B5DEC"/>
    <w:rsid w:val="30515682"/>
    <w:rsid w:val="305B02AF"/>
    <w:rsid w:val="305B3E03"/>
    <w:rsid w:val="30601421"/>
    <w:rsid w:val="307B4A76"/>
    <w:rsid w:val="307F3F9D"/>
    <w:rsid w:val="30A6152A"/>
    <w:rsid w:val="30AE4FB6"/>
    <w:rsid w:val="30B31E99"/>
    <w:rsid w:val="30BF736C"/>
    <w:rsid w:val="30F35244"/>
    <w:rsid w:val="30F57DBC"/>
    <w:rsid w:val="30FF6E8C"/>
    <w:rsid w:val="31003851"/>
    <w:rsid w:val="31101099"/>
    <w:rsid w:val="311145A1"/>
    <w:rsid w:val="3126703D"/>
    <w:rsid w:val="313279B0"/>
    <w:rsid w:val="314F3970"/>
    <w:rsid w:val="315E3D04"/>
    <w:rsid w:val="31603DCF"/>
    <w:rsid w:val="3163741B"/>
    <w:rsid w:val="31644F41"/>
    <w:rsid w:val="31754A73"/>
    <w:rsid w:val="31771119"/>
    <w:rsid w:val="317F3D7D"/>
    <w:rsid w:val="318019D6"/>
    <w:rsid w:val="31813D45"/>
    <w:rsid w:val="318D791C"/>
    <w:rsid w:val="31960D20"/>
    <w:rsid w:val="319C292D"/>
    <w:rsid w:val="31A0687C"/>
    <w:rsid w:val="31AD0696"/>
    <w:rsid w:val="31AE071C"/>
    <w:rsid w:val="31BB59BE"/>
    <w:rsid w:val="31BF634B"/>
    <w:rsid w:val="31C679AA"/>
    <w:rsid w:val="31CC4FC0"/>
    <w:rsid w:val="31CD0C24"/>
    <w:rsid w:val="31F0559B"/>
    <w:rsid w:val="31FF60CF"/>
    <w:rsid w:val="32024E86"/>
    <w:rsid w:val="32053742"/>
    <w:rsid w:val="32142260"/>
    <w:rsid w:val="3220530C"/>
    <w:rsid w:val="32221084"/>
    <w:rsid w:val="32235DB1"/>
    <w:rsid w:val="32292413"/>
    <w:rsid w:val="322963D4"/>
    <w:rsid w:val="32326872"/>
    <w:rsid w:val="32563E1F"/>
    <w:rsid w:val="32642296"/>
    <w:rsid w:val="3273368E"/>
    <w:rsid w:val="32786EF6"/>
    <w:rsid w:val="3281224F"/>
    <w:rsid w:val="32821B23"/>
    <w:rsid w:val="3292756B"/>
    <w:rsid w:val="32A01606"/>
    <w:rsid w:val="32AC08B4"/>
    <w:rsid w:val="32C94A9C"/>
    <w:rsid w:val="32CD2930"/>
    <w:rsid w:val="32D14858"/>
    <w:rsid w:val="32D305D1"/>
    <w:rsid w:val="32DC7485"/>
    <w:rsid w:val="32E120A3"/>
    <w:rsid w:val="32E4633A"/>
    <w:rsid w:val="32E5656B"/>
    <w:rsid w:val="32EF5ADF"/>
    <w:rsid w:val="32FC18D5"/>
    <w:rsid w:val="32FD564D"/>
    <w:rsid w:val="33026E10"/>
    <w:rsid w:val="33031CDF"/>
    <w:rsid w:val="33194D3D"/>
    <w:rsid w:val="331D7A9E"/>
    <w:rsid w:val="331F4B13"/>
    <w:rsid w:val="332477FA"/>
    <w:rsid w:val="332D454F"/>
    <w:rsid w:val="333A23FE"/>
    <w:rsid w:val="333C1398"/>
    <w:rsid w:val="33413F33"/>
    <w:rsid w:val="334E1463"/>
    <w:rsid w:val="335245FC"/>
    <w:rsid w:val="335A2231"/>
    <w:rsid w:val="335F6460"/>
    <w:rsid w:val="3381207E"/>
    <w:rsid w:val="338F1525"/>
    <w:rsid w:val="33BA5704"/>
    <w:rsid w:val="33BE4DDD"/>
    <w:rsid w:val="33C21728"/>
    <w:rsid w:val="33CB403C"/>
    <w:rsid w:val="33CB42A0"/>
    <w:rsid w:val="33D26ADA"/>
    <w:rsid w:val="33DC5263"/>
    <w:rsid w:val="33F56325"/>
    <w:rsid w:val="33F95E15"/>
    <w:rsid w:val="341B61D9"/>
    <w:rsid w:val="34237336"/>
    <w:rsid w:val="34360E17"/>
    <w:rsid w:val="343C5CD3"/>
    <w:rsid w:val="344016F8"/>
    <w:rsid w:val="344D6886"/>
    <w:rsid w:val="34580D8D"/>
    <w:rsid w:val="346E1273"/>
    <w:rsid w:val="34855E20"/>
    <w:rsid w:val="348E3F5F"/>
    <w:rsid w:val="3496093B"/>
    <w:rsid w:val="349B511E"/>
    <w:rsid w:val="34A07D70"/>
    <w:rsid w:val="34A114E5"/>
    <w:rsid w:val="34A43FD3"/>
    <w:rsid w:val="34AB5D51"/>
    <w:rsid w:val="34AE125F"/>
    <w:rsid w:val="34D84426"/>
    <w:rsid w:val="34D85063"/>
    <w:rsid w:val="34DA0634"/>
    <w:rsid w:val="34EC3965"/>
    <w:rsid w:val="34FE2CA8"/>
    <w:rsid w:val="34FF28AA"/>
    <w:rsid w:val="35063894"/>
    <w:rsid w:val="35154ED0"/>
    <w:rsid w:val="3518051D"/>
    <w:rsid w:val="354C51AA"/>
    <w:rsid w:val="357D678C"/>
    <w:rsid w:val="359B5E22"/>
    <w:rsid w:val="359C1AAB"/>
    <w:rsid w:val="359C2EFC"/>
    <w:rsid w:val="35A41DB0"/>
    <w:rsid w:val="35A63D95"/>
    <w:rsid w:val="35A65B28"/>
    <w:rsid w:val="35AB3B2B"/>
    <w:rsid w:val="35B06007"/>
    <w:rsid w:val="35B11597"/>
    <w:rsid w:val="35C44C2A"/>
    <w:rsid w:val="35D47B2A"/>
    <w:rsid w:val="35F0133B"/>
    <w:rsid w:val="35F67EE3"/>
    <w:rsid w:val="35F9034E"/>
    <w:rsid w:val="360B3E62"/>
    <w:rsid w:val="360B53C3"/>
    <w:rsid w:val="36103B48"/>
    <w:rsid w:val="36195DA0"/>
    <w:rsid w:val="361F7329"/>
    <w:rsid w:val="36415851"/>
    <w:rsid w:val="364E1FAC"/>
    <w:rsid w:val="36551A47"/>
    <w:rsid w:val="365C6458"/>
    <w:rsid w:val="365D08DD"/>
    <w:rsid w:val="366D38D2"/>
    <w:rsid w:val="366E2AEA"/>
    <w:rsid w:val="3678483E"/>
    <w:rsid w:val="367F29FE"/>
    <w:rsid w:val="36863A20"/>
    <w:rsid w:val="368C2F70"/>
    <w:rsid w:val="369736C3"/>
    <w:rsid w:val="3699568D"/>
    <w:rsid w:val="36BC0BCE"/>
    <w:rsid w:val="36C26B8E"/>
    <w:rsid w:val="36C73FA8"/>
    <w:rsid w:val="36D23FC3"/>
    <w:rsid w:val="36DF5796"/>
    <w:rsid w:val="36E41E01"/>
    <w:rsid w:val="36E548BA"/>
    <w:rsid w:val="36E72988"/>
    <w:rsid w:val="36EC1C61"/>
    <w:rsid w:val="36EF1904"/>
    <w:rsid w:val="36F452A3"/>
    <w:rsid w:val="37032508"/>
    <w:rsid w:val="370C2303"/>
    <w:rsid w:val="371629BA"/>
    <w:rsid w:val="37184E79"/>
    <w:rsid w:val="371B7D49"/>
    <w:rsid w:val="371D1E1A"/>
    <w:rsid w:val="37257FAC"/>
    <w:rsid w:val="37272C99"/>
    <w:rsid w:val="374455DA"/>
    <w:rsid w:val="3744619F"/>
    <w:rsid w:val="374D3D38"/>
    <w:rsid w:val="37513218"/>
    <w:rsid w:val="375A50E3"/>
    <w:rsid w:val="37797AAB"/>
    <w:rsid w:val="37862587"/>
    <w:rsid w:val="3787198A"/>
    <w:rsid w:val="37907828"/>
    <w:rsid w:val="37965565"/>
    <w:rsid w:val="37A75B88"/>
    <w:rsid w:val="37B95FE7"/>
    <w:rsid w:val="37CF580A"/>
    <w:rsid w:val="37ED15B4"/>
    <w:rsid w:val="380B4369"/>
    <w:rsid w:val="38150D23"/>
    <w:rsid w:val="3828316D"/>
    <w:rsid w:val="382D42DF"/>
    <w:rsid w:val="382F62A9"/>
    <w:rsid w:val="383C080B"/>
    <w:rsid w:val="38433B03"/>
    <w:rsid w:val="384B18DB"/>
    <w:rsid w:val="386046B4"/>
    <w:rsid w:val="386E29B9"/>
    <w:rsid w:val="38726196"/>
    <w:rsid w:val="38740160"/>
    <w:rsid w:val="38741F0E"/>
    <w:rsid w:val="387B30BE"/>
    <w:rsid w:val="3885236D"/>
    <w:rsid w:val="388D4D7E"/>
    <w:rsid w:val="389410CF"/>
    <w:rsid w:val="38A00F55"/>
    <w:rsid w:val="38A322D3"/>
    <w:rsid w:val="38B20FF0"/>
    <w:rsid w:val="38C764E2"/>
    <w:rsid w:val="38E52E0C"/>
    <w:rsid w:val="390C44F5"/>
    <w:rsid w:val="3921435B"/>
    <w:rsid w:val="393D0552"/>
    <w:rsid w:val="394A0EC1"/>
    <w:rsid w:val="39525955"/>
    <w:rsid w:val="39535017"/>
    <w:rsid w:val="39616936"/>
    <w:rsid w:val="396229AC"/>
    <w:rsid w:val="39681137"/>
    <w:rsid w:val="396B1563"/>
    <w:rsid w:val="396B7735"/>
    <w:rsid w:val="3971655D"/>
    <w:rsid w:val="399F745E"/>
    <w:rsid w:val="39A16D33"/>
    <w:rsid w:val="39AC56D7"/>
    <w:rsid w:val="39B12CEE"/>
    <w:rsid w:val="39BA1ADC"/>
    <w:rsid w:val="39C62C3D"/>
    <w:rsid w:val="39CF6DF4"/>
    <w:rsid w:val="39E74B6F"/>
    <w:rsid w:val="39FC64D5"/>
    <w:rsid w:val="39FE2691"/>
    <w:rsid w:val="3A08260B"/>
    <w:rsid w:val="3A0D6176"/>
    <w:rsid w:val="3A0F6392"/>
    <w:rsid w:val="3A1A0893"/>
    <w:rsid w:val="3A347BA7"/>
    <w:rsid w:val="3A500759"/>
    <w:rsid w:val="3A575933"/>
    <w:rsid w:val="3A5A62B8"/>
    <w:rsid w:val="3A735F50"/>
    <w:rsid w:val="3A7B57D6"/>
    <w:rsid w:val="3A8D08BE"/>
    <w:rsid w:val="3A907922"/>
    <w:rsid w:val="3A946615"/>
    <w:rsid w:val="3AA0348E"/>
    <w:rsid w:val="3AAD2EF2"/>
    <w:rsid w:val="3ACA050B"/>
    <w:rsid w:val="3AD60C5E"/>
    <w:rsid w:val="3AE83416"/>
    <w:rsid w:val="3AF45588"/>
    <w:rsid w:val="3B07411C"/>
    <w:rsid w:val="3B0A0908"/>
    <w:rsid w:val="3B1E1277"/>
    <w:rsid w:val="3B241639"/>
    <w:rsid w:val="3B29323F"/>
    <w:rsid w:val="3B2958E9"/>
    <w:rsid w:val="3B2A71FC"/>
    <w:rsid w:val="3B312338"/>
    <w:rsid w:val="3B3360B0"/>
    <w:rsid w:val="3B337E5E"/>
    <w:rsid w:val="3B3C01ED"/>
    <w:rsid w:val="3B410B1F"/>
    <w:rsid w:val="3B4342F2"/>
    <w:rsid w:val="3B464036"/>
    <w:rsid w:val="3B484618"/>
    <w:rsid w:val="3B4E6A46"/>
    <w:rsid w:val="3B4F3ED8"/>
    <w:rsid w:val="3B954675"/>
    <w:rsid w:val="3B963C60"/>
    <w:rsid w:val="3B9D177C"/>
    <w:rsid w:val="3B9F54F4"/>
    <w:rsid w:val="3BA64AD4"/>
    <w:rsid w:val="3BAC54A0"/>
    <w:rsid w:val="3BB450D2"/>
    <w:rsid w:val="3BB70A8F"/>
    <w:rsid w:val="3BB83A55"/>
    <w:rsid w:val="3BBA5E42"/>
    <w:rsid w:val="3BBD42E3"/>
    <w:rsid w:val="3BE473AB"/>
    <w:rsid w:val="3BEE77A9"/>
    <w:rsid w:val="3BF82E56"/>
    <w:rsid w:val="3C016259"/>
    <w:rsid w:val="3C060520"/>
    <w:rsid w:val="3C0D6901"/>
    <w:rsid w:val="3C36109D"/>
    <w:rsid w:val="3C37572C"/>
    <w:rsid w:val="3C4816E7"/>
    <w:rsid w:val="3C5C5193"/>
    <w:rsid w:val="3C5D5296"/>
    <w:rsid w:val="3C70334F"/>
    <w:rsid w:val="3C712927"/>
    <w:rsid w:val="3C797D13"/>
    <w:rsid w:val="3C7D1A3B"/>
    <w:rsid w:val="3C806348"/>
    <w:rsid w:val="3C811DFC"/>
    <w:rsid w:val="3C815D51"/>
    <w:rsid w:val="3C990195"/>
    <w:rsid w:val="3CA64660"/>
    <w:rsid w:val="3CBB691E"/>
    <w:rsid w:val="3CC03974"/>
    <w:rsid w:val="3CC80A7A"/>
    <w:rsid w:val="3CCA777E"/>
    <w:rsid w:val="3CD2615F"/>
    <w:rsid w:val="3CD373EF"/>
    <w:rsid w:val="3CD411CD"/>
    <w:rsid w:val="3CD45671"/>
    <w:rsid w:val="3CD4741F"/>
    <w:rsid w:val="3CD529F8"/>
    <w:rsid w:val="3CE04016"/>
    <w:rsid w:val="3CE05DC4"/>
    <w:rsid w:val="3CE27D8E"/>
    <w:rsid w:val="3CE358B4"/>
    <w:rsid w:val="3CEB6FA5"/>
    <w:rsid w:val="3CEC29BB"/>
    <w:rsid w:val="3CEF5D68"/>
    <w:rsid w:val="3CF646FE"/>
    <w:rsid w:val="3D052366"/>
    <w:rsid w:val="3D0A2E41"/>
    <w:rsid w:val="3D11205B"/>
    <w:rsid w:val="3D21027C"/>
    <w:rsid w:val="3D23025F"/>
    <w:rsid w:val="3D2E2FD3"/>
    <w:rsid w:val="3D364B3C"/>
    <w:rsid w:val="3D3D55B3"/>
    <w:rsid w:val="3D424389"/>
    <w:rsid w:val="3D50398D"/>
    <w:rsid w:val="3D5619DA"/>
    <w:rsid w:val="3D5D0F6E"/>
    <w:rsid w:val="3D6469F5"/>
    <w:rsid w:val="3D69083B"/>
    <w:rsid w:val="3D755874"/>
    <w:rsid w:val="3D762284"/>
    <w:rsid w:val="3DA212CB"/>
    <w:rsid w:val="3DAC46D3"/>
    <w:rsid w:val="3DAE3DC3"/>
    <w:rsid w:val="3DBB413B"/>
    <w:rsid w:val="3DBD4357"/>
    <w:rsid w:val="3DBF1E7D"/>
    <w:rsid w:val="3DC234D0"/>
    <w:rsid w:val="3DC301F2"/>
    <w:rsid w:val="3DCB0822"/>
    <w:rsid w:val="3DCC459A"/>
    <w:rsid w:val="3DCE530E"/>
    <w:rsid w:val="3DE25DB3"/>
    <w:rsid w:val="3DE6670E"/>
    <w:rsid w:val="3DF37D79"/>
    <w:rsid w:val="3DFA4C63"/>
    <w:rsid w:val="3E2E7003"/>
    <w:rsid w:val="3E300685"/>
    <w:rsid w:val="3E483C21"/>
    <w:rsid w:val="3E4B156F"/>
    <w:rsid w:val="3E7013C9"/>
    <w:rsid w:val="3E75078E"/>
    <w:rsid w:val="3E7A463F"/>
    <w:rsid w:val="3E7F33BB"/>
    <w:rsid w:val="3E895566"/>
    <w:rsid w:val="3E8B05F8"/>
    <w:rsid w:val="3E925B12"/>
    <w:rsid w:val="3E945391"/>
    <w:rsid w:val="3EB43064"/>
    <w:rsid w:val="3EB47508"/>
    <w:rsid w:val="3EE1564E"/>
    <w:rsid w:val="3EE606ED"/>
    <w:rsid w:val="3EEA4CD8"/>
    <w:rsid w:val="3F0128C7"/>
    <w:rsid w:val="3F12480E"/>
    <w:rsid w:val="3F160246"/>
    <w:rsid w:val="3F171845"/>
    <w:rsid w:val="3F177A97"/>
    <w:rsid w:val="3F19380F"/>
    <w:rsid w:val="3F1D7FED"/>
    <w:rsid w:val="3F1E4982"/>
    <w:rsid w:val="3F312907"/>
    <w:rsid w:val="3F50722A"/>
    <w:rsid w:val="3F5135CD"/>
    <w:rsid w:val="3F577E93"/>
    <w:rsid w:val="3F5A0CB4"/>
    <w:rsid w:val="3F5E1222"/>
    <w:rsid w:val="3F645D9C"/>
    <w:rsid w:val="3F650802"/>
    <w:rsid w:val="3F6C7DE3"/>
    <w:rsid w:val="3F80388E"/>
    <w:rsid w:val="3F836EDA"/>
    <w:rsid w:val="3F8C0B0F"/>
    <w:rsid w:val="3F8E1AF4"/>
    <w:rsid w:val="3F9D1D4A"/>
    <w:rsid w:val="3FA02180"/>
    <w:rsid w:val="3FA255B3"/>
    <w:rsid w:val="3FA35235"/>
    <w:rsid w:val="3FB31024"/>
    <w:rsid w:val="3FB452E6"/>
    <w:rsid w:val="3FC42FCF"/>
    <w:rsid w:val="3FC94921"/>
    <w:rsid w:val="3FCC0881"/>
    <w:rsid w:val="3FCD3C0B"/>
    <w:rsid w:val="3FD57736"/>
    <w:rsid w:val="3FE23C01"/>
    <w:rsid w:val="3FE62824"/>
    <w:rsid w:val="3FE94F8F"/>
    <w:rsid w:val="3FEA76C9"/>
    <w:rsid w:val="3FFD4490"/>
    <w:rsid w:val="40003274"/>
    <w:rsid w:val="400A3AF6"/>
    <w:rsid w:val="40186353"/>
    <w:rsid w:val="401D10DD"/>
    <w:rsid w:val="401E2E70"/>
    <w:rsid w:val="40251D40"/>
    <w:rsid w:val="402A7AD7"/>
    <w:rsid w:val="404476D4"/>
    <w:rsid w:val="404E5276"/>
    <w:rsid w:val="405A34BE"/>
    <w:rsid w:val="405D3A6D"/>
    <w:rsid w:val="405D772B"/>
    <w:rsid w:val="40640ABA"/>
    <w:rsid w:val="40650AB8"/>
    <w:rsid w:val="40717367"/>
    <w:rsid w:val="40873973"/>
    <w:rsid w:val="40894125"/>
    <w:rsid w:val="40B01F51"/>
    <w:rsid w:val="40C721E1"/>
    <w:rsid w:val="40CD6A23"/>
    <w:rsid w:val="40D317EF"/>
    <w:rsid w:val="40D50F73"/>
    <w:rsid w:val="40D93DAB"/>
    <w:rsid w:val="40DC2D46"/>
    <w:rsid w:val="40E765BD"/>
    <w:rsid w:val="40F701C5"/>
    <w:rsid w:val="410D6E30"/>
    <w:rsid w:val="410F6C78"/>
    <w:rsid w:val="410F7001"/>
    <w:rsid w:val="411D2D42"/>
    <w:rsid w:val="411F2FD7"/>
    <w:rsid w:val="4135001C"/>
    <w:rsid w:val="41412351"/>
    <w:rsid w:val="414601C0"/>
    <w:rsid w:val="41466412"/>
    <w:rsid w:val="414803DC"/>
    <w:rsid w:val="414E6719"/>
    <w:rsid w:val="41664985"/>
    <w:rsid w:val="416D0E12"/>
    <w:rsid w:val="416D4D8C"/>
    <w:rsid w:val="417A46D4"/>
    <w:rsid w:val="418165AD"/>
    <w:rsid w:val="419345E1"/>
    <w:rsid w:val="41940CDA"/>
    <w:rsid w:val="41A43864"/>
    <w:rsid w:val="41A8342F"/>
    <w:rsid w:val="41AA2509"/>
    <w:rsid w:val="41AE7CE5"/>
    <w:rsid w:val="41B4781F"/>
    <w:rsid w:val="41B94E35"/>
    <w:rsid w:val="41BB295C"/>
    <w:rsid w:val="41BE244C"/>
    <w:rsid w:val="41C31810"/>
    <w:rsid w:val="41C61D98"/>
    <w:rsid w:val="41CA7043"/>
    <w:rsid w:val="41CF0BCF"/>
    <w:rsid w:val="41D427C4"/>
    <w:rsid w:val="41E04248"/>
    <w:rsid w:val="41E55DB5"/>
    <w:rsid w:val="41EC3004"/>
    <w:rsid w:val="41F145CF"/>
    <w:rsid w:val="41F61DF3"/>
    <w:rsid w:val="42042CCA"/>
    <w:rsid w:val="42164036"/>
    <w:rsid w:val="421B243C"/>
    <w:rsid w:val="42220C2D"/>
    <w:rsid w:val="42293D69"/>
    <w:rsid w:val="422C2364"/>
    <w:rsid w:val="4235270E"/>
    <w:rsid w:val="424E37D0"/>
    <w:rsid w:val="42583C21"/>
    <w:rsid w:val="42696552"/>
    <w:rsid w:val="426C3C56"/>
    <w:rsid w:val="42812A86"/>
    <w:rsid w:val="42876CE2"/>
    <w:rsid w:val="428B4A24"/>
    <w:rsid w:val="428C42F8"/>
    <w:rsid w:val="42A37399"/>
    <w:rsid w:val="42A41642"/>
    <w:rsid w:val="42AC4AA8"/>
    <w:rsid w:val="42B56350"/>
    <w:rsid w:val="42C972FA"/>
    <w:rsid w:val="42D55C9F"/>
    <w:rsid w:val="42E973A9"/>
    <w:rsid w:val="42F02AD9"/>
    <w:rsid w:val="42F208AA"/>
    <w:rsid w:val="42FD63F3"/>
    <w:rsid w:val="430D71E7"/>
    <w:rsid w:val="43165A2B"/>
    <w:rsid w:val="4320610A"/>
    <w:rsid w:val="432B1D63"/>
    <w:rsid w:val="432C5504"/>
    <w:rsid w:val="43365770"/>
    <w:rsid w:val="433C5D1E"/>
    <w:rsid w:val="433F05BE"/>
    <w:rsid w:val="4340580E"/>
    <w:rsid w:val="4346094B"/>
    <w:rsid w:val="43482809"/>
    <w:rsid w:val="434B0725"/>
    <w:rsid w:val="436808C1"/>
    <w:rsid w:val="43727FC7"/>
    <w:rsid w:val="43794BD1"/>
    <w:rsid w:val="437B23A2"/>
    <w:rsid w:val="43876CC6"/>
    <w:rsid w:val="43963680"/>
    <w:rsid w:val="439F2829"/>
    <w:rsid w:val="43A45A04"/>
    <w:rsid w:val="43BF2BD7"/>
    <w:rsid w:val="43C7383A"/>
    <w:rsid w:val="43D92046"/>
    <w:rsid w:val="43DD12AF"/>
    <w:rsid w:val="4402491B"/>
    <w:rsid w:val="44150A49"/>
    <w:rsid w:val="442E1B0B"/>
    <w:rsid w:val="4436276D"/>
    <w:rsid w:val="444430DC"/>
    <w:rsid w:val="44670B79"/>
    <w:rsid w:val="446B4FA9"/>
    <w:rsid w:val="447629D7"/>
    <w:rsid w:val="447F2366"/>
    <w:rsid w:val="448160DE"/>
    <w:rsid w:val="44853B11"/>
    <w:rsid w:val="44871A95"/>
    <w:rsid w:val="44900492"/>
    <w:rsid w:val="44A67167"/>
    <w:rsid w:val="44A679EE"/>
    <w:rsid w:val="44A703E9"/>
    <w:rsid w:val="44A973E3"/>
    <w:rsid w:val="44AA72C0"/>
    <w:rsid w:val="44B87626"/>
    <w:rsid w:val="44B9673B"/>
    <w:rsid w:val="44BF4800"/>
    <w:rsid w:val="44C409AF"/>
    <w:rsid w:val="44C4421D"/>
    <w:rsid w:val="44CB6471"/>
    <w:rsid w:val="44D70159"/>
    <w:rsid w:val="44DB7C56"/>
    <w:rsid w:val="44E56D05"/>
    <w:rsid w:val="44F56185"/>
    <w:rsid w:val="44FB7937"/>
    <w:rsid w:val="44FC502D"/>
    <w:rsid w:val="4504471C"/>
    <w:rsid w:val="45156827"/>
    <w:rsid w:val="45196317"/>
    <w:rsid w:val="451F76A5"/>
    <w:rsid w:val="45203230"/>
    <w:rsid w:val="452E1B9D"/>
    <w:rsid w:val="452F387D"/>
    <w:rsid w:val="45392515"/>
    <w:rsid w:val="45442C68"/>
    <w:rsid w:val="454809AA"/>
    <w:rsid w:val="455235D7"/>
    <w:rsid w:val="45603002"/>
    <w:rsid w:val="4560482C"/>
    <w:rsid w:val="4567448A"/>
    <w:rsid w:val="45905269"/>
    <w:rsid w:val="459C48D4"/>
    <w:rsid w:val="45A100BA"/>
    <w:rsid w:val="45A45053"/>
    <w:rsid w:val="45AD2F03"/>
    <w:rsid w:val="45C049E4"/>
    <w:rsid w:val="45C83899"/>
    <w:rsid w:val="45E85CE9"/>
    <w:rsid w:val="45F12DF0"/>
    <w:rsid w:val="460008CE"/>
    <w:rsid w:val="460A2104"/>
    <w:rsid w:val="4613789E"/>
    <w:rsid w:val="4615124D"/>
    <w:rsid w:val="46212412"/>
    <w:rsid w:val="462A6302"/>
    <w:rsid w:val="46380B5B"/>
    <w:rsid w:val="464253F9"/>
    <w:rsid w:val="46535859"/>
    <w:rsid w:val="466730B2"/>
    <w:rsid w:val="466E4440"/>
    <w:rsid w:val="46731A57"/>
    <w:rsid w:val="46767AA6"/>
    <w:rsid w:val="46780E1B"/>
    <w:rsid w:val="46814B14"/>
    <w:rsid w:val="468177B1"/>
    <w:rsid w:val="46900E72"/>
    <w:rsid w:val="469B3172"/>
    <w:rsid w:val="46A301C2"/>
    <w:rsid w:val="46A61E2C"/>
    <w:rsid w:val="46A6408A"/>
    <w:rsid w:val="46A83331"/>
    <w:rsid w:val="46AB7443"/>
    <w:rsid w:val="46B215A3"/>
    <w:rsid w:val="46B34549"/>
    <w:rsid w:val="46BF2EEE"/>
    <w:rsid w:val="46C22DD5"/>
    <w:rsid w:val="46C2478C"/>
    <w:rsid w:val="46C36755"/>
    <w:rsid w:val="46CC23B1"/>
    <w:rsid w:val="46D027AA"/>
    <w:rsid w:val="46DC5D92"/>
    <w:rsid w:val="46E27E0C"/>
    <w:rsid w:val="46EC760D"/>
    <w:rsid w:val="470C4C67"/>
    <w:rsid w:val="47396823"/>
    <w:rsid w:val="473C009B"/>
    <w:rsid w:val="474D22A8"/>
    <w:rsid w:val="47512004"/>
    <w:rsid w:val="47523D62"/>
    <w:rsid w:val="47694F1C"/>
    <w:rsid w:val="476B4E24"/>
    <w:rsid w:val="476E221E"/>
    <w:rsid w:val="47711558"/>
    <w:rsid w:val="47723768"/>
    <w:rsid w:val="477621A3"/>
    <w:rsid w:val="47791D4A"/>
    <w:rsid w:val="4799366E"/>
    <w:rsid w:val="47B562F9"/>
    <w:rsid w:val="47BB1907"/>
    <w:rsid w:val="47BB36B5"/>
    <w:rsid w:val="47BF4855"/>
    <w:rsid w:val="47C86F5E"/>
    <w:rsid w:val="47D62843"/>
    <w:rsid w:val="47D9353C"/>
    <w:rsid w:val="47E54F55"/>
    <w:rsid w:val="47EE423B"/>
    <w:rsid w:val="47F24BFD"/>
    <w:rsid w:val="480005CF"/>
    <w:rsid w:val="480908C5"/>
    <w:rsid w:val="480C16A5"/>
    <w:rsid w:val="480F3A01"/>
    <w:rsid w:val="48197AA1"/>
    <w:rsid w:val="482254E2"/>
    <w:rsid w:val="48335942"/>
    <w:rsid w:val="48427B40"/>
    <w:rsid w:val="484336AB"/>
    <w:rsid w:val="4860425D"/>
    <w:rsid w:val="48741AB6"/>
    <w:rsid w:val="48865F29"/>
    <w:rsid w:val="488C711E"/>
    <w:rsid w:val="48A25DD0"/>
    <w:rsid w:val="48AE3BA5"/>
    <w:rsid w:val="48B30830"/>
    <w:rsid w:val="48BA0C62"/>
    <w:rsid w:val="48BA396D"/>
    <w:rsid w:val="48C81937"/>
    <w:rsid w:val="48D13D93"/>
    <w:rsid w:val="48D73DAB"/>
    <w:rsid w:val="48DD2962"/>
    <w:rsid w:val="48E734B9"/>
    <w:rsid w:val="48E7596F"/>
    <w:rsid w:val="48F055E1"/>
    <w:rsid w:val="48F06E3A"/>
    <w:rsid w:val="490177EE"/>
    <w:rsid w:val="490948F4"/>
    <w:rsid w:val="490966A2"/>
    <w:rsid w:val="4921579A"/>
    <w:rsid w:val="49301E81"/>
    <w:rsid w:val="493556E9"/>
    <w:rsid w:val="49380D36"/>
    <w:rsid w:val="493C0826"/>
    <w:rsid w:val="4944592C"/>
    <w:rsid w:val="49490BB1"/>
    <w:rsid w:val="494A40FB"/>
    <w:rsid w:val="494B36B3"/>
    <w:rsid w:val="49583186"/>
    <w:rsid w:val="495907B1"/>
    <w:rsid w:val="49627B61"/>
    <w:rsid w:val="496626A5"/>
    <w:rsid w:val="4968786D"/>
    <w:rsid w:val="49692915"/>
    <w:rsid w:val="4981092F"/>
    <w:rsid w:val="49971F00"/>
    <w:rsid w:val="499C3073"/>
    <w:rsid w:val="49BF129D"/>
    <w:rsid w:val="49C936B9"/>
    <w:rsid w:val="49D86418"/>
    <w:rsid w:val="49E14F29"/>
    <w:rsid w:val="49F20EE5"/>
    <w:rsid w:val="4A0155CC"/>
    <w:rsid w:val="4A1001FC"/>
    <w:rsid w:val="4A1E617D"/>
    <w:rsid w:val="4A1E7F2C"/>
    <w:rsid w:val="4A205A52"/>
    <w:rsid w:val="4A266DE0"/>
    <w:rsid w:val="4A286DF8"/>
    <w:rsid w:val="4A317C5F"/>
    <w:rsid w:val="4A3847B0"/>
    <w:rsid w:val="4A3F772C"/>
    <w:rsid w:val="4A4060F4"/>
    <w:rsid w:val="4A492B02"/>
    <w:rsid w:val="4A4A6F73"/>
    <w:rsid w:val="4A525AF7"/>
    <w:rsid w:val="4A584C12"/>
    <w:rsid w:val="4A5E0608"/>
    <w:rsid w:val="4A6603DD"/>
    <w:rsid w:val="4A677B24"/>
    <w:rsid w:val="4A6C6EE9"/>
    <w:rsid w:val="4A6E7668"/>
    <w:rsid w:val="4A842484"/>
    <w:rsid w:val="4A857FAB"/>
    <w:rsid w:val="4A875AD1"/>
    <w:rsid w:val="4A9876F1"/>
    <w:rsid w:val="4A9B3066"/>
    <w:rsid w:val="4AAC19DB"/>
    <w:rsid w:val="4AB4238D"/>
    <w:rsid w:val="4ABC719B"/>
    <w:rsid w:val="4AC52A5D"/>
    <w:rsid w:val="4ADA3BA5"/>
    <w:rsid w:val="4AE13A1F"/>
    <w:rsid w:val="4AEE031F"/>
    <w:rsid w:val="4B054806"/>
    <w:rsid w:val="4B0C4FDB"/>
    <w:rsid w:val="4B0E61F2"/>
    <w:rsid w:val="4B1413A3"/>
    <w:rsid w:val="4B187D0C"/>
    <w:rsid w:val="4B1C763E"/>
    <w:rsid w:val="4B2B54D7"/>
    <w:rsid w:val="4B35377F"/>
    <w:rsid w:val="4B605185"/>
    <w:rsid w:val="4B68680E"/>
    <w:rsid w:val="4B6978CC"/>
    <w:rsid w:val="4B6C0448"/>
    <w:rsid w:val="4B706D0E"/>
    <w:rsid w:val="4B8A1D1C"/>
    <w:rsid w:val="4B992729"/>
    <w:rsid w:val="4BA803F5"/>
    <w:rsid w:val="4BAB57EF"/>
    <w:rsid w:val="4BAD5A0B"/>
    <w:rsid w:val="4BAD77B9"/>
    <w:rsid w:val="4BBE3774"/>
    <w:rsid w:val="4BC30D8B"/>
    <w:rsid w:val="4BC54AFC"/>
    <w:rsid w:val="4BDE0179"/>
    <w:rsid w:val="4BDE7972"/>
    <w:rsid w:val="4BE22BB0"/>
    <w:rsid w:val="4BE30036"/>
    <w:rsid w:val="4BF14E5C"/>
    <w:rsid w:val="4BF6455A"/>
    <w:rsid w:val="4C06606A"/>
    <w:rsid w:val="4C2A6C7A"/>
    <w:rsid w:val="4C2C72E7"/>
    <w:rsid w:val="4C402BF7"/>
    <w:rsid w:val="4C455C43"/>
    <w:rsid w:val="4C545E87"/>
    <w:rsid w:val="4C7958ED"/>
    <w:rsid w:val="4C7E1155"/>
    <w:rsid w:val="4C7E32A7"/>
    <w:rsid w:val="4C820C46"/>
    <w:rsid w:val="4CA3296A"/>
    <w:rsid w:val="4CA961D2"/>
    <w:rsid w:val="4CB2203E"/>
    <w:rsid w:val="4CBD30B4"/>
    <w:rsid w:val="4CC3505A"/>
    <w:rsid w:val="4CC528E0"/>
    <w:rsid w:val="4D1675E0"/>
    <w:rsid w:val="4D2F1ADF"/>
    <w:rsid w:val="4D397E04"/>
    <w:rsid w:val="4D3B0DF4"/>
    <w:rsid w:val="4D493511"/>
    <w:rsid w:val="4D4B1038"/>
    <w:rsid w:val="4D5B3007"/>
    <w:rsid w:val="4D695962"/>
    <w:rsid w:val="4D722A68"/>
    <w:rsid w:val="4D783DF7"/>
    <w:rsid w:val="4D83282D"/>
    <w:rsid w:val="4D850813"/>
    <w:rsid w:val="4D997371"/>
    <w:rsid w:val="4DB91463"/>
    <w:rsid w:val="4DBE5DCA"/>
    <w:rsid w:val="4DC62DB4"/>
    <w:rsid w:val="4DCA27DE"/>
    <w:rsid w:val="4DCE19CD"/>
    <w:rsid w:val="4DD70B1D"/>
    <w:rsid w:val="4DE726DA"/>
    <w:rsid w:val="4DED405F"/>
    <w:rsid w:val="4DEF230B"/>
    <w:rsid w:val="4DF23BA9"/>
    <w:rsid w:val="4E085388"/>
    <w:rsid w:val="4E0B4C6B"/>
    <w:rsid w:val="4E0B519C"/>
    <w:rsid w:val="4E141D71"/>
    <w:rsid w:val="4E1A6C5C"/>
    <w:rsid w:val="4E2C33DD"/>
    <w:rsid w:val="4E343D00"/>
    <w:rsid w:val="4E3516A9"/>
    <w:rsid w:val="4E375A60"/>
    <w:rsid w:val="4E37780E"/>
    <w:rsid w:val="4E4D7031"/>
    <w:rsid w:val="4E522141"/>
    <w:rsid w:val="4E5C54C6"/>
    <w:rsid w:val="4E663FE6"/>
    <w:rsid w:val="4E6836D6"/>
    <w:rsid w:val="4E6B74B7"/>
    <w:rsid w:val="4E720846"/>
    <w:rsid w:val="4E7D7917"/>
    <w:rsid w:val="4E816CDB"/>
    <w:rsid w:val="4E982F17"/>
    <w:rsid w:val="4EB175C0"/>
    <w:rsid w:val="4EBC4081"/>
    <w:rsid w:val="4EC8490A"/>
    <w:rsid w:val="4ECE71C0"/>
    <w:rsid w:val="4ED03B62"/>
    <w:rsid w:val="4ED43E85"/>
    <w:rsid w:val="4EEB7681"/>
    <w:rsid w:val="4EEE55B1"/>
    <w:rsid w:val="4EFC2593"/>
    <w:rsid w:val="4F027E1C"/>
    <w:rsid w:val="4F1B2C8C"/>
    <w:rsid w:val="4F21692E"/>
    <w:rsid w:val="4F2709A5"/>
    <w:rsid w:val="4F281ED6"/>
    <w:rsid w:val="4F2D7EFC"/>
    <w:rsid w:val="4F337FD5"/>
    <w:rsid w:val="4F377CE8"/>
    <w:rsid w:val="4F48599F"/>
    <w:rsid w:val="4F4C1097"/>
    <w:rsid w:val="4F4F68C3"/>
    <w:rsid w:val="4F527D9E"/>
    <w:rsid w:val="4F5C39D0"/>
    <w:rsid w:val="4F604C84"/>
    <w:rsid w:val="4F687B14"/>
    <w:rsid w:val="4F74600F"/>
    <w:rsid w:val="4F7C43E7"/>
    <w:rsid w:val="4F96706C"/>
    <w:rsid w:val="4F994A3A"/>
    <w:rsid w:val="4FA060F5"/>
    <w:rsid w:val="4FA7451F"/>
    <w:rsid w:val="4FAD422B"/>
    <w:rsid w:val="4FAE1D52"/>
    <w:rsid w:val="4FC915F8"/>
    <w:rsid w:val="4FD55530"/>
    <w:rsid w:val="4FDA6341"/>
    <w:rsid w:val="4FFA0339"/>
    <w:rsid w:val="4FFA4F97"/>
    <w:rsid w:val="5003209D"/>
    <w:rsid w:val="502B0C40"/>
    <w:rsid w:val="50306C0B"/>
    <w:rsid w:val="50371D47"/>
    <w:rsid w:val="50421741"/>
    <w:rsid w:val="504B57F2"/>
    <w:rsid w:val="504B75A0"/>
    <w:rsid w:val="504E4277"/>
    <w:rsid w:val="505428F9"/>
    <w:rsid w:val="505456D6"/>
    <w:rsid w:val="50566671"/>
    <w:rsid w:val="50687CFD"/>
    <w:rsid w:val="506A4669"/>
    <w:rsid w:val="506D5769"/>
    <w:rsid w:val="506F3038"/>
    <w:rsid w:val="50710B21"/>
    <w:rsid w:val="50815857"/>
    <w:rsid w:val="50845DD3"/>
    <w:rsid w:val="50A62A29"/>
    <w:rsid w:val="50BB78A8"/>
    <w:rsid w:val="50C10FA9"/>
    <w:rsid w:val="50C42D4E"/>
    <w:rsid w:val="50D852D8"/>
    <w:rsid w:val="50DD28EE"/>
    <w:rsid w:val="50EC48E0"/>
    <w:rsid w:val="50F07683"/>
    <w:rsid w:val="51220301"/>
    <w:rsid w:val="51275918"/>
    <w:rsid w:val="512F2A1E"/>
    <w:rsid w:val="51316332"/>
    <w:rsid w:val="51422751"/>
    <w:rsid w:val="5143165E"/>
    <w:rsid w:val="514913CF"/>
    <w:rsid w:val="514D59E0"/>
    <w:rsid w:val="5152292F"/>
    <w:rsid w:val="51662C85"/>
    <w:rsid w:val="516C70A1"/>
    <w:rsid w:val="517F39A6"/>
    <w:rsid w:val="519A1BE0"/>
    <w:rsid w:val="51A258E6"/>
    <w:rsid w:val="51A46F68"/>
    <w:rsid w:val="51B00003"/>
    <w:rsid w:val="51B3364F"/>
    <w:rsid w:val="51CD073F"/>
    <w:rsid w:val="51D07D5D"/>
    <w:rsid w:val="51D16F64"/>
    <w:rsid w:val="51E91544"/>
    <w:rsid w:val="51FC3B2B"/>
    <w:rsid w:val="520208C9"/>
    <w:rsid w:val="52077265"/>
    <w:rsid w:val="520B6FE7"/>
    <w:rsid w:val="521560B8"/>
    <w:rsid w:val="52420DBB"/>
    <w:rsid w:val="52495D62"/>
    <w:rsid w:val="524B2109"/>
    <w:rsid w:val="52545416"/>
    <w:rsid w:val="525909C8"/>
    <w:rsid w:val="526112FD"/>
    <w:rsid w:val="526861E8"/>
    <w:rsid w:val="52725570"/>
    <w:rsid w:val="527E1EAF"/>
    <w:rsid w:val="527E5A0B"/>
    <w:rsid w:val="52830A1B"/>
    <w:rsid w:val="529664F6"/>
    <w:rsid w:val="52B4244C"/>
    <w:rsid w:val="52C5363A"/>
    <w:rsid w:val="52CB49C9"/>
    <w:rsid w:val="52D25198"/>
    <w:rsid w:val="52DF7655"/>
    <w:rsid w:val="52E15F9A"/>
    <w:rsid w:val="52E41D7E"/>
    <w:rsid w:val="52E961B7"/>
    <w:rsid w:val="52EF6909"/>
    <w:rsid w:val="52F21B43"/>
    <w:rsid w:val="52FC20E7"/>
    <w:rsid w:val="53095C1D"/>
    <w:rsid w:val="531225F7"/>
    <w:rsid w:val="53130849"/>
    <w:rsid w:val="53191BD8"/>
    <w:rsid w:val="531A11E6"/>
    <w:rsid w:val="532E7431"/>
    <w:rsid w:val="53315390"/>
    <w:rsid w:val="534B0C47"/>
    <w:rsid w:val="534D1768"/>
    <w:rsid w:val="5360776D"/>
    <w:rsid w:val="53672943"/>
    <w:rsid w:val="53682721"/>
    <w:rsid w:val="53713F45"/>
    <w:rsid w:val="537231BE"/>
    <w:rsid w:val="537261AA"/>
    <w:rsid w:val="53755060"/>
    <w:rsid w:val="537B3490"/>
    <w:rsid w:val="53B4545D"/>
    <w:rsid w:val="53C4784A"/>
    <w:rsid w:val="53E411F3"/>
    <w:rsid w:val="53F1045F"/>
    <w:rsid w:val="53F65A75"/>
    <w:rsid w:val="53FE0393"/>
    <w:rsid w:val="540168F4"/>
    <w:rsid w:val="54063F0A"/>
    <w:rsid w:val="54181E8F"/>
    <w:rsid w:val="541C372E"/>
    <w:rsid w:val="543428FC"/>
    <w:rsid w:val="54387E3C"/>
    <w:rsid w:val="544534B4"/>
    <w:rsid w:val="544A095C"/>
    <w:rsid w:val="544D59FD"/>
    <w:rsid w:val="54624EB9"/>
    <w:rsid w:val="546450D5"/>
    <w:rsid w:val="547454A3"/>
    <w:rsid w:val="54815C87"/>
    <w:rsid w:val="5486329D"/>
    <w:rsid w:val="548B2661"/>
    <w:rsid w:val="549C7882"/>
    <w:rsid w:val="54AB2D04"/>
    <w:rsid w:val="54CF6505"/>
    <w:rsid w:val="54CF69F2"/>
    <w:rsid w:val="54DB67C4"/>
    <w:rsid w:val="54E12281"/>
    <w:rsid w:val="54F00716"/>
    <w:rsid w:val="55004DFD"/>
    <w:rsid w:val="550310AC"/>
    <w:rsid w:val="550479F9"/>
    <w:rsid w:val="550F5041"/>
    <w:rsid w:val="55125F6B"/>
    <w:rsid w:val="551731DB"/>
    <w:rsid w:val="55231B08"/>
    <w:rsid w:val="552A688E"/>
    <w:rsid w:val="55346855"/>
    <w:rsid w:val="5536081F"/>
    <w:rsid w:val="554054D5"/>
    <w:rsid w:val="55437E5C"/>
    <w:rsid w:val="554F4DF6"/>
    <w:rsid w:val="555869E7"/>
    <w:rsid w:val="5565242B"/>
    <w:rsid w:val="5568321F"/>
    <w:rsid w:val="5569324E"/>
    <w:rsid w:val="557D432D"/>
    <w:rsid w:val="5588253E"/>
    <w:rsid w:val="558B0EF2"/>
    <w:rsid w:val="559351F5"/>
    <w:rsid w:val="559825AA"/>
    <w:rsid w:val="55A74D06"/>
    <w:rsid w:val="55A75A83"/>
    <w:rsid w:val="55B84A22"/>
    <w:rsid w:val="55BF0815"/>
    <w:rsid w:val="55C839DA"/>
    <w:rsid w:val="55EE10FA"/>
    <w:rsid w:val="55F61D5C"/>
    <w:rsid w:val="56023CF2"/>
    <w:rsid w:val="56044479"/>
    <w:rsid w:val="56066443"/>
    <w:rsid w:val="56102E1E"/>
    <w:rsid w:val="561072C2"/>
    <w:rsid w:val="56195DC5"/>
    <w:rsid w:val="561D69C4"/>
    <w:rsid w:val="562079EA"/>
    <w:rsid w:val="5621327D"/>
    <w:rsid w:val="56222B52"/>
    <w:rsid w:val="56226FF5"/>
    <w:rsid w:val="56244B1C"/>
    <w:rsid w:val="5627460C"/>
    <w:rsid w:val="562C39D0"/>
    <w:rsid w:val="563F3703"/>
    <w:rsid w:val="56424FA2"/>
    <w:rsid w:val="56461350"/>
    <w:rsid w:val="56494582"/>
    <w:rsid w:val="565A09B0"/>
    <w:rsid w:val="565F3DA6"/>
    <w:rsid w:val="56641770"/>
    <w:rsid w:val="5671771B"/>
    <w:rsid w:val="56725887"/>
    <w:rsid w:val="56861332"/>
    <w:rsid w:val="568B549F"/>
    <w:rsid w:val="569E48CE"/>
    <w:rsid w:val="569F5204"/>
    <w:rsid w:val="56A40F80"/>
    <w:rsid w:val="56B64D1B"/>
    <w:rsid w:val="56BC7EE0"/>
    <w:rsid w:val="56C328EA"/>
    <w:rsid w:val="56C51205"/>
    <w:rsid w:val="56C9121F"/>
    <w:rsid w:val="56CA197E"/>
    <w:rsid w:val="56CD6F61"/>
    <w:rsid w:val="56E30A23"/>
    <w:rsid w:val="56F805D3"/>
    <w:rsid w:val="56FA762A"/>
    <w:rsid w:val="56FB6AB2"/>
    <w:rsid w:val="5706463F"/>
    <w:rsid w:val="572F2122"/>
    <w:rsid w:val="5732282D"/>
    <w:rsid w:val="57413215"/>
    <w:rsid w:val="57513E3C"/>
    <w:rsid w:val="57593119"/>
    <w:rsid w:val="575B5553"/>
    <w:rsid w:val="575C2E34"/>
    <w:rsid w:val="575E71D1"/>
    <w:rsid w:val="576158FB"/>
    <w:rsid w:val="5765363E"/>
    <w:rsid w:val="57656AAF"/>
    <w:rsid w:val="57672F12"/>
    <w:rsid w:val="5769493E"/>
    <w:rsid w:val="57780285"/>
    <w:rsid w:val="577E025B"/>
    <w:rsid w:val="577E200A"/>
    <w:rsid w:val="57891B9D"/>
    <w:rsid w:val="57895841"/>
    <w:rsid w:val="578D66F1"/>
    <w:rsid w:val="579E372B"/>
    <w:rsid w:val="57A53A3A"/>
    <w:rsid w:val="57BB325E"/>
    <w:rsid w:val="57BF2D4E"/>
    <w:rsid w:val="57CB7122"/>
    <w:rsid w:val="57D12C5A"/>
    <w:rsid w:val="57DE6F4C"/>
    <w:rsid w:val="57F00A40"/>
    <w:rsid w:val="580F49BF"/>
    <w:rsid w:val="5814471C"/>
    <w:rsid w:val="582E5F18"/>
    <w:rsid w:val="5834677C"/>
    <w:rsid w:val="583B5480"/>
    <w:rsid w:val="584274DB"/>
    <w:rsid w:val="58504A22"/>
    <w:rsid w:val="585C67EF"/>
    <w:rsid w:val="58726012"/>
    <w:rsid w:val="588E4FF6"/>
    <w:rsid w:val="589A7317"/>
    <w:rsid w:val="589B30FD"/>
    <w:rsid w:val="589B5D4F"/>
    <w:rsid w:val="589D0BB5"/>
    <w:rsid w:val="58AE691E"/>
    <w:rsid w:val="58BA3515"/>
    <w:rsid w:val="58BB009F"/>
    <w:rsid w:val="58BD4DB3"/>
    <w:rsid w:val="58C67724"/>
    <w:rsid w:val="58D36385"/>
    <w:rsid w:val="58D705DF"/>
    <w:rsid w:val="58DF04A6"/>
    <w:rsid w:val="58E3481A"/>
    <w:rsid w:val="58ED38EB"/>
    <w:rsid w:val="58ED5699"/>
    <w:rsid w:val="58F74373"/>
    <w:rsid w:val="58FA7E92"/>
    <w:rsid w:val="58FB6986"/>
    <w:rsid w:val="59087308"/>
    <w:rsid w:val="590B1FC3"/>
    <w:rsid w:val="59232E69"/>
    <w:rsid w:val="592B2BC8"/>
    <w:rsid w:val="592B319C"/>
    <w:rsid w:val="5932697F"/>
    <w:rsid w:val="593E5AA6"/>
    <w:rsid w:val="59401C6C"/>
    <w:rsid w:val="5945570A"/>
    <w:rsid w:val="594C6863"/>
    <w:rsid w:val="596461A7"/>
    <w:rsid w:val="596C2A61"/>
    <w:rsid w:val="596F2552"/>
    <w:rsid w:val="597C5E8F"/>
    <w:rsid w:val="59843CBF"/>
    <w:rsid w:val="59887321"/>
    <w:rsid w:val="598A1022"/>
    <w:rsid w:val="59941FB8"/>
    <w:rsid w:val="59994A33"/>
    <w:rsid w:val="599D1111"/>
    <w:rsid w:val="59A0270B"/>
    <w:rsid w:val="59A2188C"/>
    <w:rsid w:val="59A541C5"/>
    <w:rsid w:val="59B270A2"/>
    <w:rsid w:val="59B93578"/>
    <w:rsid w:val="59BE5287"/>
    <w:rsid w:val="59C60319"/>
    <w:rsid w:val="59DE09F5"/>
    <w:rsid w:val="59F111B9"/>
    <w:rsid w:val="59FB3DE5"/>
    <w:rsid w:val="5A054C64"/>
    <w:rsid w:val="5A301808"/>
    <w:rsid w:val="5A3C2197"/>
    <w:rsid w:val="5A475564"/>
    <w:rsid w:val="5A544E18"/>
    <w:rsid w:val="5A67147B"/>
    <w:rsid w:val="5A6A4AC7"/>
    <w:rsid w:val="5A6C083F"/>
    <w:rsid w:val="5A713E12"/>
    <w:rsid w:val="5A7A11AE"/>
    <w:rsid w:val="5A963B0E"/>
    <w:rsid w:val="5A985AD8"/>
    <w:rsid w:val="5AA93841"/>
    <w:rsid w:val="5AC015B8"/>
    <w:rsid w:val="5AC16DDD"/>
    <w:rsid w:val="5AC6152B"/>
    <w:rsid w:val="5AC661A1"/>
    <w:rsid w:val="5AC91178"/>
    <w:rsid w:val="5ACC7530"/>
    <w:rsid w:val="5ACD5782"/>
    <w:rsid w:val="5AD3468C"/>
    <w:rsid w:val="5ADB2D99"/>
    <w:rsid w:val="5AE2690A"/>
    <w:rsid w:val="5AE451E5"/>
    <w:rsid w:val="5AE623A0"/>
    <w:rsid w:val="5AF01470"/>
    <w:rsid w:val="5AF16743"/>
    <w:rsid w:val="5AFA5E4B"/>
    <w:rsid w:val="5B021D04"/>
    <w:rsid w:val="5B0B62AA"/>
    <w:rsid w:val="5B116824"/>
    <w:rsid w:val="5B2D4472"/>
    <w:rsid w:val="5B351579"/>
    <w:rsid w:val="5B365BD0"/>
    <w:rsid w:val="5B3D15A4"/>
    <w:rsid w:val="5B4876F8"/>
    <w:rsid w:val="5B501F0F"/>
    <w:rsid w:val="5B5267B9"/>
    <w:rsid w:val="5B57329D"/>
    <w:rsid w:val="5B5F034D"/>
    <w:rsid w:val="5B64318C"/>
    <w:rsid w:val="5B7712FB"/>
    <w:rsid w:val="5B7A2A80"/>
    <w:rsid w:val="5B81656C"/>
    <w:rsid w:val="5B8F2A37"/>
    <w:rsid w:val="5B9E0ECC"/>
    <w:rsid w:val="5BAA0022"/>
    <w:rsid w:val="5BAD5176"/>
    <w:rsid w:val="5BB57BEA"/>
    <w:rsid w:val="5BB91E4C"/>
    <w:rsid w:val="5BC05588"/>
    <w:rsid w:val="5BCB5F34"/>
    <w:rsid w:val="5BD42E24"/>
    <w:rsid w:val="5BD82630"/>
    <w:rsid w:val="5BDA13A8"/>
    <w:rsid w:val="5BDB3ECE"/>
    <w:rsid w:val="5BE21F66"/>
    <w:rsid w:val="5BE91CAB"/>
    <w:rsid w:val="5BF64864"/>
    <w:rsid w:val="5BFB37A6"/>
    <w:rsid w:val="5BFE196B"/>
    <w:rsid w:val="5C07351F"/>
    <w:rsid w:val="5C0B478C"/>
    <w:rsid w:val="5C0E6052"/>
    <w:rsid w:val="5C1178F0"/>
    <w:rsid w:val="5C157F43"/>
    <w:rsid w:val="5C166CB5"/>
    <w:rsid w:val="5C240C7B"/>
    <w:rsid w:val="5C294C3A"/>
    <w:rsid w:val="5C2A09B2"/>
    <w:rsid w:val="5C334121"/>
    <w:rsid w:val="5C3A6E47"/>
    <w:rsid w:val="5C4557EC"/>
    <w:rsid w:val="5C5C6D43"/>
    <w:rsid w:val="5C6A14B4"/>
    <w:rsid w:val="5C7F70F0"/>
    <w:rsid w:val="5C8020F0"/>
    <w:rsid w:val="5C8A2EC0"/>
    <w:rsid w:val="5C8D51F6"/>
    <w:rsid w:val="5C9B08F9"/>
    <w:rsid w:val="5CA52AF5"/>
    <w:rsid w:val="5CB47963"/>
    <w:rsid w:val="5CB963A2"/>
    <w:rsid w:val="5CBB785C"/>
    <w:rsid w:val="5CC41C0D"/>
    <w:rsid w:val="5CCB2FE2"/>
    <w:rsid w:val="5CCE1A7B"/>
    <w:rsid w:val="5CD1707F"/>
    <w:rsid w:val="5CDF79EE"/>
    <w:rsid w:val="5CE42D12"/>
    <w:rsid w:val="5D1A6C78"/>
    <w:rsid w:val="5D2673CB"/>
    <w:rsid w:val="5D276C9F"/>
    <w:rsid w:val="5D2915E4"/>
    <w:rsid w:val="5D3B71FE"/>
    <w:rsid w:val="5D3C274B"/>
    <w:rsid w:val="5D4B6E32"/>
    <w:rsid w:val="5D551A5E"/>
    <w:rsid w:val="5D59154F"/>
    <w:rsid w:val="5D5D3DA8"/>
    <w:rsid w:val="5D5D7AEC"/>
    <w:rsid w:val="5D6879E4"/>
    <w:rsid w:val="5D6A3C9B"/>
    <w:rsid w:val="5D6D4FFA"/>
    <w:rsid w:val="5D7132B0"/>
    <w:rsid w:val="5D8A5BAC"/>
    <w:rsid w:val="5D8D11F8"/>
    <w:rsid w:val="5D8D2FA6"/>
    <w:rsid w:val="5D9A56C3"/>
    <w:rsid w:val="5D9E1657"/>
    <w:rsid w:val="5DA36C6E"/>
    <w:rsid w:val="5DB07B64"/>
    <w:rsid w:val="5DB7265E"/>
    <w:rsid w:val="5DBC41B5"/>
    <w:rsid w:val="5DBE13B2"/>
    <w:rsid w:val="5DCD5245"/>
    <w:rsid w:val="5DDE2965"/>
    <w:rsid w:val="5DE55D4F"/>
    <w:rsid w:val="5DFD637E"/>
    <w:rsid w:val="5DFE5C52"/>
    <w:rsid w:val="5E0B635A"/>
    <w:rsid w:val="5E174F66"/>
    <w:rsid w:val="5E1C7CBB"/>
    <w:rsid w:val="5E4A70E9"/>
    <w:rsid w:val="5E5B4E53"/>
    <w:rsid w:val="5E604B5F"/>
    <w:rsid w:val="5E631F59"/>
    <w:rsid w:val="5E79352B"/>
    <w:rsid w:val="5E84084D"/>
    <w:rsid w:val="5E874794"/>
    <w:rsid w:val="5E987E55"/>
    <w:rsid w:val="5EA11D24"/>
    <w:rsid w:val="5EA44A4C"/>
    <w:rsid w:val="5EA83386"/>
    <w:rsid w:val="5EB17168"/>
    <w:rsid w:val="5EB9169C"/>
    <w:rsid w:val="5EBB3B43"/>
    <w:rsid w:val="5EC40C4A"/>
    <w:rsid w:val="5ED02091"/>
    <w:rsid w:val="5EDA046D"/>
    <w:rsid w:val="5EF54261"/>
    <w:rsid w:val="5EF62DCD"/>
    <w:rsid w:val="5EF66F80"/>
    <w:rsid w:val="5EFD3DCB"/>
    <w:rsid w:val="5F130CD0"/>
    <w:rsid w:val="5F13397F"/>
    <w:rsid w:val="5F1A4D0E"/>
    <w:rsid w:val="5F294F51"/>
    <w:rsid w:val="5F323D85"/>
    <w:rsid w:val="5F3F29C6"/>
    <w:rsid w:val="5F43339E"/>
    <w:rsid w:val="5F446A72"/>
    <w:rsid w:val="5F5024DD"/>
    <w:rsid w:val="5F545911"/>
    <w:rsid w:val="5F555F85"/>
    <w:rsid w:val="5F5919A6"/>
    <w:rsid w:val="5F5B5981"/>
    <w:rsid w:val="5F5D03BD"/>
    <w:rsid w:val="5F6146EB"/>
    <w:rsid w:val="5F6B7C1C"/>
    <w:rsid w:val="5F6E1CDF"/>
    <w:rsid w:val="5F70492E"/>
    <w:rsid w:val="5F7239A5"/>
    <w:rsid w:val="5F775CBC"/>
    <w:rsid w:val="5F82440E"/>
    <w:rsid w:val="5F925DFC"/>
    <w:rsid w:val="5F9745B0"/>
    <w:rsid w:val="5F9D6970"/>
    <w:rsid w:val="5FB7111C"/>
    <w:rsid w:val="5FB87095"/>
    <w:rsid w:val="5FC86518"/>
    <w:rsid w:val="5FCB6008"/>
    <w:rsid w:val="5FCF64AB"/>
    <w:rsid w:val="5FE408D5"/>
    <w:rsid w:val="60025ECE"/>
    <w:rsid w:val="600A0DD5"/>
    <w:rsid w:val="60114363"/>
    <w:rsid w:val="601A0E99"/>
    <w:rsid w:val="60206354"/>
    <w:rsid w:val="60210B27"/>
    <w:rsid w:val="60310561"/>
    <w:rsid w:val="604C7149"/>
    <w:rsid w:val="604E1113"/>
    <w:rsid w:val="60593874"/>
    <w:rsid w:val="60675970"/>
    <w:rsid w:val="606C3347"/>
    <w:rsid w:val="607773AE"/>
    <w:rsid w:val="607F78F5"/>
    <w:rsid w:val="60883EF9"/>
    <w:rsid w:val="60934D78"/>
    <w:rsid w:val="60964868"/>
    <w:rsid w:val="60992FAF"/>
    <w:rsid w:val="60C33EDA"/>
    <w:rsid w:val="60C7316A"/>
    <w:rsid w:val="60CC2F2F"/>
    <w:rsid w:val="60CE3883"/>
    <w:rsid w:val="60CE5DB0"/>
    <w:rsid w:val="60E6759D"/>
    <w:rsid w:val="60F021CA"/>
    <w:rsid w:val="60F075E4"/>
    <w:rsid w:val="60F316ED"/>
    <w:rsid w:val="60F577E0"/>
    <w:rsid w:val="60F8107F"/>
    <w:rsid w:val="61025A59"/>
    <w:rsid w:val="61047A23"/>
    <w:rsid w:val="6109532C"/>
    <w:rsid w:val="610B3038"/>
    <w:rsid w:val="610B7004"/>
    <w:rsid w:val="61146557"/>
    <w:rsid w:val="615362B5"/>
    <w:rsid w:val="6157463B"/>
    <w:rsid w:val="61691F7C"/>
    <w:rsid w:val="61720E31"/>
    <w:rsid w:val="61783F6D"/>
    <w:rsid w:val="617E4947"/>
    <w:rsid w:val="618C17C7"/>
    <w:rsid w:val="618C3680"/>
    <w:rsid w:val="619077B7"/>
    <w:rsid w:val="619157A0"/>
    <w:rsid w:val="619830D1"/>
    <w:rsid w:val="619927F4"/>
    <w:rsid w:val="619A090F"/>
    <w:rsid w:val="61AD7FAC"/>
    <w:rsid w:val="61CB6793"/>
    <w:rsid w:val="61CD7939"/>
    <w:rsid w:val="61D236FA"/>
    <w:rsid w:val="61DD4431"/>
    <w:rsid w:val="61E03991"/>
    <w:rsid w:val="61E3588B"/>
    <w:rsid w:val="61FE600E"/>
    <w:rsid w:val="62012E19"/>
    <w:rsid w:val="620432C5"/>
    <w:rsid w:val="620C4DF8"/>
    <w:rsid w:val="620F48D2"/>
    <w:rsid w:val="621974FF"/>
    <w:rsid w:val="62306A9A"/>
    <w:rsid w:val="62397BA1"/>
    <w:rsid w:val="62425048"/>
    <w:rsid w:val="62552691"/>
    <w:rsid w:val="62634C1E"/>
    <w:rsid w:val="626D2D34"/>
    <w:rsid w:val="627A14BA"/>
    <w:rsid w:val="627E0359"/>
    <w:rsid w:val="62943E11"/>
    <w:rsid w:val="62965C82"/>
    <w:rsid w:val="62A50D92"/>
    <w:rsid w:val="62B44403"/>
    <w:rsid w:val="62B44C73"/>
    <w:rsid w:val="62B86D17"/>
    <w:rsid w:val="62BB0D09"/>
    <w:rsid w:val="62CA07F9"/>
    <w:rsid w:val="62DE6052"/>
    <w:rsid w:val="62E31C5E"/>
    <w:rsid w:val="62E65330"/>
    <w:rsid w:val="62EE2739"/>
    <w:rsid w:val="62FB3CC2"/>
    <w:rsid w:val="62FE72D8"/>
    <w:rsid w:val="630C2BBF"/>
    <w:rsid w:val="630E2DDB"/>
    <w:rsid w:val="630F26B0"/>
    <w:rsid w:val="630F2D8B"/>
    <w:rsid w:val="63116428"/>
    <w:rsid w:val="631D6B30"/>
    <w:rsid w:val="632259C4"/>
    <w:rsid w:val="63263D0D"/>
    <w:rsid w:val="63293771"/>
    <w:rsid w:val="63352116"/>
    <w:rsid w:val="633D0FCB"/>
    <w:rsid w:val="6341070D"/>
    <w:rsid w:val="634D2D5C"/>
    <w:rsid w:val="63556314"/>
    <w:rsid w:val="635C3B47"/>
    <w:rsid w:val="636C394C"/>
    <w:rsid w:val="6373260F"/>
    <w:rsid w:val="63856413"/>
    <w:rsid w:val="63892462"/>
    <w:rsid w:val="638E42A4"/>
    <w:rsid w:val="63904A53"/>
    <w:rsid w:val="63A31776"/>
    <w:rsid w:val="63C8749A"/>
    <w:rsid w:val="63D201A3"/>
    <w:rsid w:val="63E43042"/>
    <w:rsid w:val="63EE0517"/>
    <w:rsid w:val="64003D27"/>
    <w:rsid w:val="640354AF"/>
    <w:rsid w:val="64191A38"/>
    <w:rsid w:val="641F6793"/>
    <w:rsid w:val="642013BD"/>
    <w:rsid w:val="6446021D"/>
    <w:rsid w:val="644763D7"/>
    <w:rsid w:val="644B7717"/>
    <w:rsid w:val="645E569D"/>
    <w:rsid w:val="646031C3"/>
    <w:rsid w:val="64610CE9"/>
    <w:rsid w:val="6463675E"/>
    <w:rsid w:val="64664551"/>
    <w:rsid w:val="646D3B32"/>
    <w:rsid w:val="646E04C5"/>
    <w:rsid w:val="64740A1C"/>
    <w:rsid w:val="64757F56"/>
    <w:rsid w:val="647629E6"/>
    <w:rsid w:val="64774252"/>
    <w:rsid w:val="64823B69"/>
    <w:rsid w:val="648275DD"/>
    <w:rsid w:val="649548FB"/>
    <w:rsid w:val="64AD388C"/>
    <w:rsid w:val="64AF414A"/>
    <w:rsid w:val="64B60830"/>
    <w:rsid w:val="64C277BB"/>
    <w:rsid w:val="64C5395A"/>
    <w:rsid w:val="64DF0B09"/>
    <w:rsid w:val="64E7038F"/>
    <w:rsid w:val="64EB4D04"/>
    <w:rsid w:val="64F14763"/>
    <w:rsid w:val="64FC75A6"/>
    <w:rsid w:val="6506242E"/>
    <w:rsid w:val="652E506F"/>
    <w:rsid w:val="65322E75"/>
    <w:rsid w:val="65444892"/>
    <w:rsid w:val="6547605C"/>
    <w:rsid w:val="654B3E73"/>
    <w:rsid w:val="654C1999"/>
    <w:rsid w:val="654F43A4"/>
    <w:rsid w:val="655559FF"/>
    <w:rsid w:val="6558033E"/>
    <w:rsid w:val="656D0EFE"/>
    <w:rsid w:val="65767A7B"/>
    <w:rsid w:val="6582720E"/>
    <w:rsid w:val="65905D2A"/>
    <w:rsid w:val="65922283"/>
    <w:rsid w:val="65947B9C"/>
    <w:rsid w:val="65956809"/>
    <w:rsid w:val="659A0956"/>
    <w:rsid w:val="659A6A07"/>
    <w:rsid w:val="659B647C"/>
    <w:rsid w:val="65A11CE5"/>
    <w:rsid w:val="65A45561"/>
    <w:rsid w:val="65AE7F5E"/>
    <w:rsid w:val="65C25670"/>
    <w:rsid w:val="65C459D3"/>
    <w:rsid w:val="65CA5B5D"/>
    <w:rsid w:val="65CB4FB4"/>
    <w:rsid w:val="65D33E68"/>
    <w:rsid w:val="65D424AD"/>
    <w:rsid w:val="65DC2D1D"/>
    <w:rsid w:val="65DD6A95"/>
    <w:rsid w:val="65E16585"/>
    <w:rsid w:val="65E240AB"/>
    <w:rsid w:val="65FC1AB0"/>
    <w:rsid w:val="66020D75"/>
    <w:rsid w:val="660451B0"/>
    <w:rsid w:val="66083B12"/>
    <w:rsid w:val="66150FF0"/>
    <w:rsid w:val="662621EA"/>
    <w:rsid w:val="663E5786"/>
    <w:rsid w:val="66481318"/>
    <w:rsid w:val="66582833"/>
    <w:rsid w:val="667271DD"/>
    <w:rsid w:val="667557A4"/>
    <w:rsid w:val="668E5B14"/>
    <w:rsid w:val="66917DA8"/>
    <w:rsid w:val="66996E60"/>
    <w:rsid w:val="669C24AC"/>
    <w:rsid w:val="669D268C"/>
    <w:rsid w:val="66A11D77"/>
    <w:rsid w:val="66C338F3"/>
    <w:rsid w:val="66C66E69"/>
    <w:rsid w:val="66CD2666"/>
    <w:rsid w:val="66E300DB"/>
    <w:rsid w:val="66E80301"/>
    <w:rsid w:val="66F127F8"/>
    <w:rsid w:val="66FD73EF"/>
    <w:rsid w:val="67000A20"/>
    <w:rsid w:val="670A1B0C"/>
    <w:rsid w:val="670C7632"/>
    <w:rsid w:val="670F7122"/>
    <w:rsid w:val="671D183F"/>
    <w:rsid w:val="671D539B"/>
    <w:rsid w:val="672506F4"/>
    <w:rsid w:val="673226C3"/>
    <w:rsid w:val="673C1A99"/>
    <w:rsid w:val="673D3AD3"/>
    <w:rsid w:val="673D3C8F"/>
    <w:rsid w:val="673D77EB"/>
    <w:rsid w:val="674548F2"/>
    <w:rsid w:val="6747066A"/>
    <w:rsid w:val="674A015A"/>
    <w:rsid w:val="674F5B0D"/>
    <w:rsid w:val="676F7BC1"/>
    <w:rsid w:val="67746F85"/>
    <w:rsid w:val="677C1F4B"/>
    <w:rsid w:val="67803B7C"/>
    <w:rsid w:val="679B2764"/>
    <w:rsid w:val="67AA791C"/>
    <w:rsid w:val="67B6134C"/>
    <w:rsid w:val="67D36E99"/>
    <w:rsid w:val="67F0564A"/>
    <w:rsid w:val="67F26828"/>
    <w:rsid w:val="67F905A6"/>
    <w:rsid w:val="68070006"/>
    <w:rsid w:val="681253D0"/>
    <w:rsid w:val="682E5386"/>
    <w:rsid w:val="683C7E7F"/>
    <w:rsid w:val="68464F3B"/>
    <w:rsid w:val="684A64D9"/>
    <w:rsid w:val="68580655"/>
    <w:rsid w:val="685A6D95"/>
    <w:rsid w:val="6877140D"/>
    <w:rsid w:val="68853C42"/>
    <w:rsid w:val="689773CF"/>
    <w:rsid w:val="68A32F09"/>
    <w:rsid w:val="68A5389A"/>
    <w:rsid w:val="68AB5EFC"/>
    <w:rsid w:val="68AB69D7"/>
    <w:rsid w:val="68B94F59"/>
    <w:rsid w:val="68BC5088"/>
    <w:rsid w:val="68D128E1"/>
    <w:rsid w:val="68D5314D"/>
    <w:rsid w:val="68E40B81"/>
    <w:rsid w:val="68EE605F"/>
    <w:rsid w:val="68F2680E"/>
    <w:rsid w:val="68F62348"/>
    <w:rsid w:val="69076303"/>
    <w:rsid w:val="69216C99"/>
    <w:rsid w:val="69223BD5"/>
    <w:rsid w:val="69232AB4"/>
    <w:rsid w:val="6924250F"/>
    <w:rsid w:val="69271690"/>
    <w:rsid w:val="692F13B6"/>
    <w:rsid w:val="69396658"/>
    <w:rsid w:val="693D1D24"/>
    <w:rsid w:val="693D2E64"/>
    <w:rsid w:val="6949691B"/>
    <w:rsid w:val="694C01BA"/>
    <w:rsid w:val="694C0E55"/>
    <w:rsid w:val="69564B94"/>
    <w:rsid w:val="69601EB7"/>
    <w:rsid w:val="696033A5"/>
    <w:rsid w:val="69660078"/>
    <w:rsid w:val="69733998"/>
    <w:rsid w:val="698E4AF7"/>
    <w:rsid w:val="69981651"/>
    <w:rsid w:val="6999660E"/>
    <w:rsid w:val="699B2EEF"/>
    <w:rsid w:val="699E4B31"/>
    <w:rsid w:val="69A022B3"/>
    <w:rsid w:val="69A16F46"/>
    <w:rsid w:val="69AA3132"/>
    <w:rsid w:val="69B67A88"/>
    <w:rsid w:val="69C55233"/>
    <w:rsid w:val="69E46644"/>
    <w:rsid w:val="69EB0D20"/>
    <w:rsid w:val="69F07A39"/>
    <w:rsid w:val="69F60125"/>
    <w:rsid w:val="69FF64E5"/>
    <w:rsid w:val="6A1C474A"/>
    <w:rsid w:val="6A2B6021"/>
    <w:rsid w:val="6A303173"/>
    <w:rsid w:val="6A4C5F97"/>
    <w:rsid w:val="6A5A06B4"/>
    <w:rsid w:val="6A724FB2"/>
    <w:rsid w:val="6A7C4ACE"/>
    <w:rsid w:val="6A801EBE"/>
    <w:rsid w:val="6A8614A9"/>
    <w:rsid w:val="6A932B4B"/>
    <w:rsid w:val="6AA56DD8"/>
    <w:rsid w:val="6AAC474A"/>
    <w:rsid w:val="6AC461DC"/>
    <w:rsid w:val="6ACB15B2"/>
    <w:rsid w:val="6AD466B8"/>
    <w:rsid w:val="6ADB50D7"/>
    <w:rsid w:val="6AE42A3F"/>
    <w:rsid w:val="6AE866A8"/>
    <w:rsid w:val="6AF41C67"/>
    <w:rsid w:val="6AF619D0"/>
    <w:rsid w:val="6B051D29"/>
    <w:rsid w:val="6B1116BB"/>
    <w:rsid w:val="6B2245BB"/>
    <w:rsid w:val="6B2A452A"/>
    <w:rsid w:val="6B321631"/>
    <w:rsid w:val="6B4C0E44"/>
    <w:rsid w:val="6B4C7735"/>
    <w:rsid w:val="6B545140"/>
    <w:rsid w:val="6B572E46"/>
    <w:rsid w:val="6B601CFA"/>
    <w:rsid w:val="6B634431"/>
    <w:rsid w:val="6B68791E"/>
    <w:rsid w:val="6B6D718E"/>
    <w:rsid w:val="6B711B7A"/>
    <w:rsid w:val="6B747CE7"/>
    <w:rsid w:val="6B7834E8"/>
    <w:rsid w:val="6B92266D"/>
    <w:rsid w:val="6B99520C"/>
    <w:rsid w:val="6B9B2A30"/>
    <w:rsid w:val="6BA20565"/>
    <w:rsid w:val="6BBD714D"/>
    <w:rsid w:val="6BC846BD"/>
    <w:rsid w:val="6BD3071E"/>
    <w:rsid w:val="6BD43669"/>
    <w:rsid w:val="6BE8725E"/>
    <w:rsid w:val="6BEB6388"/>
    <w:rsid w:val="6BF1288C"/>
    <w:rsid w:val="6BF3491C"/>
    <w:rsid w:val="6BF7640B"/>
    <w:rsid w:val="6C152647"/>
    <w:rsid w:val="6C255D33"/>
    <w:rsid w:val="6C2F6077"/>
    <w:rsid w:val="6C4A5339"/>
    <w:rsid w:val="6C4D7600"/>
    <w:rsid w:val="6C4E4249"/>
    <w:rsid w:val="6C4E5FF7"/>
    <w:rsid w:val="6C6608D6"/>
    <w:rsid w:val="6C7032BD"/>
    <w:rsid w:val="6C7D5484"/>
    <w:rsid w:val="6C845EBC"/>
    <w:rsid w:val="6C916134"/>
    <w:rsid w:val="6C9852E5"/>
    <w:rsid w:val="6CAD71C1"/>
    <w:rsid w:val="6CB22A29"/>
    <w:rsid w:val="6CBC5656"/>
    <w:rsid w:val="6CC25156"/>
    <w:rsid w:val="6CC4275D"/>
    <w:rsid w:val="6CCE0EE6"/>
    <w:rsid w:val="6CD010B4"/>
    <w:rsid w:val="6CD26C28"/>
    <w:rsid w:val="6CD338C5"/>
    <w:rsid w:val="6CD858AC"/>
    <w:rsid w:val="6CDB1F80"/>
    <w:rsid w:val="6CED5810"/>
    <w:rsid w:val="6CF976D7"/>
    <w:rsid w:val="6CFA7D7F"/>
    <w:rsid w:val="6D17424E"/>
    <w:rsid w:val="6D177096"/>
    <w:rsid w:val="6D1A237D"/>
    <w:rsid w:val="6D205BE5"/>
    <w:rsid w:val="6D2C11FB"/>
    <w:rsid w:val="6D2C449A"/>
    <w:rsid w:val="6D3E42BD"/>
    <w:rsid w:val="6D400035"/>
    <w:rsid w:val="6D422106"/>
    <w:rsid w:val="6D512242"/>
    <w:rsid w:val="6D655CEE"/>
    <w:rsid w:val="6D6D33B9"/>
    <w:rsid w:val="6D723F67"/>
    <w:rsid w:val="6D840003"/>
    <w:rsid w:val="6D875C64"/>
    <w:rsid w:val="6D8D7A35"/>
    <w:rsid w:val="6D934609"/>
    <w:rsid w:val="6D9B0007"/>
    <w:rsid w:val="6D9D5488"/>
    <w:rsid w:val="6DA947E3"/>
    <w:rsid w:val="6DC012B9"/>
    <w:rsid w:val="6DC5678C"/>
    <w:rsid w:val="6DC628B6"/>
    <w:rsid w:val="6DC85167"/>
    <w:rsid w:val="6DC94DDD"/>
    <w:rsid w:val="6E0E0133"/>
    <w:rsid w:val="6E1119D2"/>
    <w:rsid w:val="6E250FD9"/>
    <w:rsid w:val="6E333E26"/>
    <w:rsid w:val="6E3556C0"/>
    <w:rsid w:val="6E3B07FD"/>
    <w:rsid w:val="6E4002B9"/>
    <w:rsid w:val="6E4F523E"/>
    <w:rsid w:val="6E535B46"/>
    <w:rsid w:val="6E5729A2"/>
    <w:rsid w:val="6E583A1F"/>
    <w:rsid w:val="6E5C0E9F"/>
    <w:rsid w:val="6E5F098F"/>
    <w:rsid w:val="6E5F44EB"/>
    <w:rsid w:val="6E6218E2"/>
    <w:rsid w:val="6E71521F"/>
    <w:rsid w:val="6E922B12"/>
    <w:rsid w:val="6E930639"/>
    <w:rsid w:val="6E9E14B7"/>
    <w:rsid w:val="6EAA495D"/>
    <w:rsid w:val="6EAB742B"/>
    <w:rsid w:val="6EB0558D"/>
    <w:rsid w:val="6EB61BED"/>
    <w:rsid w:val="6EC151A6"/>
    <w:rsid w:val="6EC6113E"/>
    <w:rsid w:val="6EC6456A"/>
    <w:rsid w:val="6EC66318"/>
    <w:rsid w:val="6EC97476"/>
    <w:rsid w:val="6EF22B0C"/>
    <w:rsid w:val="6EF966EE"/>
    <w:rsid w:val="6EFF1080"/>
    <w:rsid w:val="6F06225F"/>
    <w:rsid w:val="6F0B4673"/>
    <w:rsid w:val="6F12155D"/>
    <w:rsid w:val="6F170E2C"/>
    <w:rsid w:val="6F1C670B"/>
    <w:rsid w:val="6F387E1D"/>
    <w:rsid w:val="6F45287E"/>
    <w:rsid w:val="6F524050"/>
    <w:rsid w:val="6F563B40"/>
    <w:rsid w:val="6F6124E5"/>
    <w:rsid w:val="6F614293"/>
    <w:rsid w:val="6F79782E"/>
    <w:rsid w:val="6F871F4B"/>
    <w:rsid w:val="6F885CC3"/>
    <w:rsid w:val="6F8A37EA"/>
    <w:rsid w:val="6F8B5421"/>
    <w:rsid w:val="6F927A8B"/>
    <w:rsid w:val="6FB22D40"/>
    <w:rsid w:val="6FB24AEE"/>
    <w:rsid w:val="6FC0720B"/>
    <w:rsid w:val="6FCA1E38"/>
    <w:rsid w:val="6FD56E08"/>
    <w:rsid w:val="6FD821D4"/>
    <w:rsid w:val="6FE54EC4"/>
    <w:rsid w:val="6FF9096F"/>
    <w:rsid w:val="7000256A"/>
    <w:rsid w:val="7040659E"/>
    <w:rsid w:val="70531535"/>
    <w:rsid w:val="7056093E"/>
    <w:rsid w:val="7064514C"/>
    <w:rsid w:val="706939CE"/>
    <w:rsid w:val="70763D6E"/>
    <w:rsid w:val="707F37C0"/>
    <w:rsid w:val="707F70C6"/>
    <w:rsid w:val="70894EE3"/>
    <w:rsid w:val="70910BA8"/>
    <w:rsid w:val="70A1504C"/>
    <w:rsid w:val="70AF0975"/>
    <w:rsid w:val="70B76860"/>
    <w:rsid w:val="70BF0D6E"/>
    <w:rsid w:val="70C40F7D"/>
    <w:rsid w:val="70CD7E32"/>
    <w:rsid w:val="70D171F6"/>
    <w:rsid w:val="70E01DD1"/>
    <w:rsid w:val="70E746D0"/>
    <w:rsid w:val="71010848"/>
    <w:rsid w:val="71146B51"/>
    <w:rsid w:val="71161C74"/>
    <w:rsid w:val="711A43A1"/>
    <w:rsid w:val="711F4406"/>
    <w:rsid w:val="71267542"/>
    <w:rsid w:val="712B2DAA"/>
    <w:rsid w:val="712B59D4"/>
    <w:rsid w:val="714D0F73"/>
    <w:rsid w:val="714D2D21"/>
    <w:rsid w:val="7155148C"/>
    <w:rsid w:val="71562500"/>
    <w:rsid w:val="71597165"/>
    <w:rsid w:val="715A7302"/>
    <w:rsid w:val="71600CA6"/>
    <w:rsid w:val="71666EDE"/>
    <w:rsid w:val="716F2C97"/>
    <w:rsid w:val="717256AD"/>
    <w:rsid w:val="718544F1"/>
    <w:rsid w:val="7189187F"/>
    <w:rsid w:val="719621B0"/>
    <w:rsid w:val="71B42DA0"/>
    <w:rsid w:val="71BF79B2"/>
    <w:rsid w:val="71C254F1"/>
    <w:rsid w:val="71D5706D"/>
    <w:rsid w:val="71DE2066"/>
    <w:rsid w:val="720A152D"/>
    <w:rsid w:val="72125C3F"/>
    <w:rsid w:val="7215463E"/>
    <w:rsid w:val="721F1D01"/>
    <w:rsid w:val="7222649A"/>
    <w:rsid w:val="72233A82"/>
    <w:rsid w:val="72273572"/>
    <w:rsid w:val="723B0DCB"/>
    <w:rsid w:val="724539F8"/>
    <w:rsid w:val="724E7EB9"/>
    <w:rsid w:val="72516841"/>
    <w:rsid w:val="72692F32"/>
    <w:rsid w:val="727C57D9"/>
    <w:rsid w:val="729A01E8"/>
    <w:rsid w:val="72B37B42"/>
    <w:rsid w:val="72B924D9"/>
    <w:rsid w:val="72BF6B71"/>
    <w:rsid w:val="72C963D7"/>
    <w:rsid w:val="72D11304"/>
    <w:rsid w:val="73012015"/>
    <w:rsid w:val="730B72E8"/>
    <w:rsid w:val="730C4186"/>
    <w:rsid w:val="730D74DB"/>
    <w:rsid w:val="733221CE"/>
    <w:rsid w:val="73345283"/>
    <w:rsid w:val="733D2985"/>
    <w:rsid w:val="73406BAC"/>
    <w:rsid w:val="7341102A"/>
    <w:rsid w:val="734273A9"/>
    <w:rsid w:val="73437443"/>
    <w:rsid w:val="73451F7C"/>
    <w:rsid w:val="73497518"/>
    <w:rsid w:val="735A1725"/>
    <w:rsid w:val="735C1820"/>
    <w:rsid w:val="73726A6F"/>
    <w:rsid w:val="737974C3"/>
    <w:rsid w:val="737C5B3F"/>
    <w:rsid w:val="73942E89"/>
    <w:rsid w:val="73944C37"/>
    <w:rsid w:val="73A17E6A"/>
    <w:rsid w:val="73A2551B"/>
    <w:rsid w:val="73A82490"/>
    <w:rsid w:val="73AD7AA7"/>
    <w:rsid w:val="73B469C4"/>
    <w:rsid w:val="73BB6668"/>
    <w:rsid w:val="73C60B68"/>
    <w:rsid w:val="73D96AEE"/>
    <w:rsid w:val="73DB0AB8"/>
    <w:rsid w:val="73DC51EA"/>
    <w:rsid w:val="73E060CE"/>
    <w:rsid w:val="73E16D57"/>
    <w:rsid w:val="73E55492"/>
    <w:rsid w:val="73EE0AE6"/>
    <w:rsid w:val="73F823DD"/>
    <w:rsid w:val="73F92CEC"/>
    <w:rsid w:val="74011B6D"/>
    <w:rsid w:val="74147B26"/>
    <w:rsid w:val="74245F63"/>
    <w:rsid w:val="74373814"/>
    <w:rsid w:val="743C60DA"/>
    <w:rsid w:val="7453624B"/>
    <w:rsid w:val="745A5E80"/>
    <w:rsid w:val="746049BA"/>
    <w:rsid w:val="7463506E"/>
    <w:rsid w:val="74874E5A"/>
    <w:rsid w:val="748C3FC9"/>
    <w:rsid w:val="748E12E6"/>
    <w:rsid w:val="7499627D"/>
    <w:rsid w:val="74A013B9"/>
    <w:rsid w:val="74A227F4"/>
    <w:rsid w:val="74A2568B"/>
    <w:rsid w:val="74A76BEC"/>
    <w:rsid w:val="74AA67AA"/>
    <w:rsid w:val="74B0379C"/>
    <w:rsid w:val="74C47F76"/>
    <w:rsid w:val="74CC21AE"/>
    <w:rsid w:val="74D30172"/>
    <w:rsid w:val="74DC16B1"/>
    <w:rsid w:val="74DD2B7F"/>
    <w:rsid w:val="74E05C5A"/>
    <w:rsid w:val="74E855F8"/>
    <w:rsid w:val="74FF4B93"/>
    <w:rsid w:val="75010E5F"/>
    <w:rsid w:val="75167A1B"/>
    <w:rsid w:val="751B4EE4"/>
    <w:rsid w:val="751E7598"/>
    <w:rsid w:val="75221687"/>
    <w:rsid w:val="752455E6"/>
    <w:rsid w:val="752725E3"/>
    <w:rsid w:val="752C70F1"/>
    <w:rsid w:val="75356609"/>
    <w:rsid w:val="754B7577"/>
    <w:rsid w:val="754D7793"/>
    <w:rsid w:val="754E3DD7"/>
    <w:rsid w:val="754E7067"/>
    <w:rsid w:val="75556648"/>
    <w:rsid w:val="755723C0"/>
    <w:rsid w:val="75616D9B"/>
    <w:rsid w:val="756A1D4B"/>
    <w:rsid w:val="7573132B"/>
    <w:rsid w:val="7575644F"/>
    <w:rsid w:val="75792336"/>
    <w:rsid w:val="757B56BE"/>
    <w:rsid w:val="75906CDA"/>
    <w:rsid w:val="7592164A"/>
    <w:rsid w:val="75921835"/>
    <w:rsid w:val="759251A6"/>
    <w:rsid w:val="759D6287"/>
    <w:rsid w:val="75A27F20"/>
    <w:rsid w:val="75A4043E"/>
    <w:rsid w:val="75A809A1"/>
    <w:rsid w:val="75B25848"/>
    <w:rsid w:val="75C32A24"/>
    <w:rsid w:val="75CA0DE4"/>
    <w:rsid w:val="75DC3A8B"/>
    <w:rsid w:val="75E32D1F"/>
    <w:rsid w:val="75E33C54"/>
    <w:rsid w:val="75E55C1E"/>
    <w:rsid w:val="75E672A0"/>
    <w:rsid w:val="75EB5063"/>
    <w:rsid w:val="75F0787C"/>
    <w:rsid w:val="75F47E3F"/>
    <w:rsid w:val="75FC4D15"/>
    <w:rsid w:val="76021882"/>
    <w:rsid w:val="760836BA"/>
    <w:rsid w:val="7615509C"/>
    <w:rsid w:val="76167048"/>
    <w:rsid w:val="761715C6"/>
    <w:rsid w:val="761C7166"/>
    <w:rsid w:val="76382B60"/>
    <w:rsid w:val="764A3CD3"/>
    <w:rsid w:val="76636B42"/>
    <w:rsid w:val="766574D1"/>
    <w:rsid w:val="7671688D"/>
    <w:rsid w:val="76783477"/>
    <w:rsid w:val="767C3DB4"/>
    <w:rsid w:val="768076F4"/>
    <w:rsid w:val="768900A8"/>
    <w:rsid w:val="76916271"/>
    <w:rsid w:val="76A07D97"/>
    <w:rsid w:val="76AC50BB"/>
    <w:rsid w:val="76BB1953"/>
    <w:rsid w:val="76C05D43"/>
    <w:rsid w:val="76DA32A9"/>
    <w:rsid w:val="76DE1045"/>
    <w:rsid w:val="76E10AA5"/>
    <w:rsid w:val="76E15180"/>
    <w:rsid w:val="76FA74A7"/>
    <w:rsid w:val="77020520"/>
    <w:rsid w:val="77071BC4"/>
    <w:rsid w:val="770976EA"/>
    <w:rsid w:val="770E2E0E"/>
    <w:rsid w:val="770F2826"/>
    <w:rsid w:val="77132317"/>
    <w:rsid w:val="77141341"/>
    <w:rsid w:val="771463D1"/>
    <w:rsid w:val="772067E2"/>
    <w:rsid w:val="772A140E"/>
    <w:rsid w:val="77335645"/>
    <w:rsid w:val="774A39DA"/>
    <w:rsid w:val="774F6B0D"/>
    <w:rsid w:val="77543EAD"/>
    <w:rsid w:val="775C0566"/>
    <w:rsid w:val="776668EA"/>
    <w:rsid w:val="77777CEB"/>
    <w:rsid w:val="777A2396"/>
    <w:rsid w:val="777D5AAC"/>
    <w:rsid w:val="778F0199"/>
    <w:rsid w:val="779313D9"/>
    <w:rsid w:val="77941570"/>
    <w:rsid w:val="779416A9"/>
    <w:rsid w:val="779B02BA"/>
    <w:rsid w:val="779B11A0"/>
    <w:rsid w:val="77AC18DE"/>
    <w:rsid w:val="77AC6090"/>
    <w:rsid w:val="77AE0291"/>
    <w:rsid w:val="77CA4292"/>
    <w:rsid w:val="77D64484"/>
    <w:rsid w:val="77DA2E34"/>
    <w:rsid w:val="77DE46D3"/>
    <w:rsid w:val="77E3618D"/>
    <w:rsid w:val="77E8017E"/>
    <w:rsid w:val="77E922B4"/>
    <w:rsid w:val="77E96372"/>
    <w:rsid w:val="77F374B5"/>
    <w:rsid w:val="77F94077"/>
    <w:rsid w:val="781617CA"/>
    <w:rsid w:val="7819395D"/>
    <w:rsid w:val="782A2A9B"/>
    <w:rsid w:val="78322C70"/>
    <w:rsid w:val="783A3DF7"/>
    <w:rsid w:val="783B1B25"/>
    <w:rsid w:val="7840538D"/>
    <w:rsid w:val="78411105"/>
    <w:rsid w:val="784A620C"/>
    <w:rsid w:val="78526E6F"/>
    <w:rsid w:val="78566452"/>
    <w:rsid w:val="785A4B29"/>
    <w:rsid w:val="785E0007"/>
    <w:rsid w:val="786258A4"/>
    <w:rsid w:val="78690FC9"/>
    <w:rsid w:val="786D3CA8"/>
    <w:rsid w:val="78726C79"/>
    <w:rsid w:val="7895777B"/>
    <w:rsid w:val="78B43685"/>
    <w:rsid w:val="78B75A43"/>
    <w:rsid w:val="78BA6484"/>
    <w:rsid w:val="78C55892"/>
    <w:rsid w:val="78D0463B"/>
    <w:rsid w:val="78DA53DD"/>
    <w:rsid w:val="78DC2694"/>
    <w:rsid w:val="78F65A4C"/>
    <w:rsid w:val="7906595E"/>
    <w:rsid w:val="7923354A"/>
    <w:rsid w:val="792627D5"/>
    <w:rsid w:val="792B000D"/>
    <w:rsid w:val="793F46BB"/>
    <w:rsid w:val="79470FD3"/>
    <w:rsid w:val="795310F0"/>
    <w:rsid w:val="795A422D"/>
    <w:rsid w:val="795F7A95"/>
    <w:rsid w:val="79643A84"/>
    <w:rsid w:val="79742A7F"/>
    <w:rsid w:val="797A667D"/>
    <w:rsid w:val="797D616D"/>
    <w:rsid w:val="797F1EE5"/>
    <w:rsid w:val="79876FEC"/>
    <w:rsid w:val="79894ED1"/>
    <w:rsid w:val="798A1137"/>
    <w:rsid w:val="798B1783"/>
    <w:rsid w:val="798B5582"/>
    <w:rsid w:val="79915775"/>
    <w:rsid w:val="799512A8"/>
    <w:rsid w:val="79986FF0"/>
    <w:rsid w:val="79A15AA8"/>
    <w:rsid w:val="79A447F7"/>
    <w:rsid w:val="79A656C4"/>
    <w:rsid w:val="79AA6201"/>
    <w:rsid w:val="79AC0800"/>
    <w:rsid w:val="79AD4A3C"/>
    <w:rsid w:val="79B2108A"/>
    <w:rsid w:val="79C913B2"/>
    <w:rsid w:val="79D31950"/>
    <w:rsid w:val="79D97847"/>
    <w:rsid w:val="79E65AC0"/>
    <w:rsid w:val="79F0005F"/>
    <w:rsid w:val="79F0693F"/>
    <w:rsid w:val="79F93E22"/>
    <w:rsid w:val="79FD37B5"/>
    <w:rsid w:val="7A036672"/>
    <w:rsid w:val="7A122D59"/>
    <w:rsid w:val="7A182237"/>
    <w:rsid w:val="7A28432B"/>
    <w:rsid w:val="7A2B3E1B"/>
    <w:rsid w:val="7A2C1EEB"/>
    <w:rsid w:val="7A417E6A"/>
    <w:rsid w:val="7A464BD2"/>
    <w:rsid w:val="7A4F18B8"/>
    <w:rsid w:val="7A5213A8"/>
    <w:rsid w:val="7A805859"/>
    <w:rsid w:val="7A92024C"/>
    <w:rsid w:val="7A9814B1"/>
    <w:rsid w:val="7A98347A"/>
    <w:rsid w:val="7AA222D1"/>
    <w:rsid w:val="7AA8578E"/>
    <w:rsid w:val="7AC822B7"/>
    <w:rsid w:val="7ACB7B1F"/>
    <w:rsid w:val="7AD87AFF"/>
    <w:rsid w:val="7AE40774"/>
    <w:rsid w:val="7AEA15E0"/>
    <w:rsid w:val="7B0B5BD1"/>
    <w:rsid w:val="7B0D10F7"/>
    <w:rsid w:val="7B2C7E4B"/>
    <w:rsid w:val="7B374E23"/>
    <w:rsid w:val="7B390CF1"/>
    <w:rsid w:val="7B452CBB"/>
    <w:rsid w:val="7B5D6256"/>
    <w:rsid w:val="7B705F89"/>
    <w:rsid w:val="7B894302"/>
    <w:rsid w:val="7B906BE0"/>
    <w:rsid w:val="7BA53398"/>
    <w:rsid w:val="7BB344B4"/>
    <w:rsid w:val="7BC71689"/>
    <w:rsid w:val="7BDF0A19"/>
    <w:rsid w:val="7BDF6C6B"/>
    <w:rsid w:val="7BE20360"/>
    <w:rsid w:val="7BEB5610"/>
    <w:rsid w:val="7BED243C"/>
    <w:rsid w:val="7BFB344D"/>
    <w:rsid w:val="7BFE0BED"/>
    <w:rsid w:val="7BFF10BB"/>
    <w:rsid w:val="7C0B180E"/>
    <w:rsid w:val="7C0D37D8"/>
    <w:rsid w:val="7C1633B4"/>
    <w:rsid w:val="7C1A1A2B"/>
    <w:rsid w:val="7C336FB7"/>
    <w:rsid w:val="7C340013"/>
    <w:rsid w:val="7C413482"/>
    <w:rsid w:val="7C4B60AF"/>
    <w:rsid w:val="7C571BAE"/>
    <w:rsid w:val="7C63164A"/>
    <w:rsid w:val="7C78688F"/>
    <w:rsid w:val="7C867510"/>
    <w:rsid w:val="7C885555"/>
    <w:rsid w:val="7C9A0DE4"/>
    <w:rsid w:val="7CA26617"/>
    <w:rsid w:val="7CB11006"/>
    <w:rsid w:val="7CB1685A"/>
    <w:rsid w:val="7CB71996"/>
    <w:rsid w:val="7CD633F5"/>
    <w:rsid w:val="7CE34539"/>
    <w:rsid w:val="7CE85FF3"/>
    <w:rsid w:val="7CF01DBB"/>
    <w:rsid w:val="7CF45E15"/>
    <w:rsid w:val="7CF9571E"/>
    <w:rsid w:val="7D0746CC"/>
    <w:rsid w:val="7D080444"/>
    <w:rsid w:val="7D0A5F6A"/>
    <w:rsid w:val="7D21376C"/>
    <w:rsid w:val="7D44336D"/>
    <w:rsid w:val="7D5D7F74"/>
    <w:rsid w:val="7D747887"/>
    <w:rsid w:val="7D7B6E68"/>
    <w:rsid w:val="7D81014D"/>
    <w:rsid w:val="7D82082B"/>
    <w:rsid w:val="7D8B198E"/>
    <w:rsid w:val="7D934831"/>
    <w:rsid w:val="7D9C168A"/>
    <w:rsid w:val="7DA0117B"/>
    <w:rsid w:val="7DBA157D"/>
    <w:rsid w:val="7DC12ACC"/>
    <w:rsid w:val="7DC26844"/>
    <w:rsid w:val="7DC554D8"/>
    <w:rsid w:val="7DCC321F"/>
    <w:rsid w:val="7DD16A88"/>
    <w:rsid w:val="7DD75B87"/>
    <w:rsid w:val="7DFC1D56"/>
    <w:rsid w:val="7DFC7E2B"/>
    <w:rsid w:val="7E122B46"/>
    <w:rsid w:val="7E1F3C97"/>
    <w:rsid w:val="7E2117BD"/>
    <w:rsid w:val="7E244E09"/>
    <w:rsid w:val="7E2676D0"/>
    <w:rsid w:val="7E350722"/>
    <w:rsid w:val="7E4454AB"/>
    <w:rsid w:val="7E4F73AA"/>
    <w:rsid w:val="7E6173FD"/>
    <w:rsid w:val="7E6B1A92"/>
    <w:rsid w:val="7E6D5EB0"/>
    <w:rsid w:val="7E74200D"/>
    <w:rsid w:val="7E7538B7"/>
    <w:rsid w:val="7E7B6F9A"/>
    <w:rsid w:val="7E94440E"/>
    <w:rsid w:val="7E971A7F"/>
    <w:rsid w:val="7EA22277"/>
    <w:rsid w:val="7EAD1BAA"/>
    <w:rsid w:val="7EAF63CF"/>
    <w:rsid w:val="7EB4345F"/>
    <w:rsid w:val="7EC63541"/>
    <w:rsid w:val="7EDB5E10"/>
    <w:rsid w:val="7EDC3936"/>
    <w:rsid w:val="7EE93115"/>
    <w:rsid w:val="7EED4B13"/>
    <w:rsid w:val="7F1C1E8D"/>
    <w:rsid w:val="7F3238FA"/>
    <w:rsid w:val="7F372259"/>
    <w:rsid w:val="7F3C423F"/>
    <w:rsid w:val="7F4A08A0"/>
    <w:rsid w:val="7F54171E"/>
    <w:rsid w:val="7F6C6A68"/>
    <w:rsid w:val="7F6F11EA"/>
    <w:rsid w:val="7F73429A"/>
    <w:rsid w:val="7F7D6EC7"/>
    <w:rsid w:val="7F7E1BD7"/>
    <w:rsid w:val="7F886300"/>
    <w:rsid w:val="7F8B1A78"/>
    <w:rsid w:val="7FA418D8"/>
    <w:rsid w:val="7FA92784"/>
    <w:rsid w:val="7FBF3FDE"/>
    <w:rsid w:val="7FCC3472"/>
    <w:rsid w:val="7FD14B1D"/>
    <w:rsid w:val="7FD840FD"/>
    <w:rsid w:val="7FDD570F"/>
    <w:rsid w:val="7FDD7966"/>
    <w:rsid w:val="7FDE63E7"/>
    <w:rsid w:val="7FE70A3A"/>
    <w:rsid w:val="7FE824D7"/>
    <w:rsid w:val="7FF5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qFormat="1" w:uiPriority="99"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38"/>
    <w:qFormat/>
    <w:uiPriority w:val="0"/>
    <w:pPr>
      <w:keepNext/>
      <w:keepLines/>
      <w:spacing w:before="120" w:after="120"/>
      <w:jc w:val="center"/>
      <w:outlineLvl w:val="0"/>
    </w:pPr>
    <w:rPr>
      <w:rFonts w:ascii="Calibri" w:hAnsi="Calibri"/>
      <w:b/>
      <w:kern w:val="44"/>
      <w:sz w:val="44"/>
    </w:rPr>
  </w:style>
  <w:style w:type="paragraph" w:styleId="4">
    <w:name w:val="heading 2"/>
    <w:basedOn w:val="1"/>
    <w:next w:val="1"/>
    <w:link w:val="35"/>
    <w:qFormat/>
    <w:uiPriority w:val="0"/>
    <w:pPr>
      <w:keepNext/>
      <w:keepLines/>
      <w:spacing w:before="140" w:after="140" w:line="413" w:lineRule="auto"/>
      <w:jc w:val="center"/>
      <w:outlineLvl w:val="1"/>
    </w:pPr>
    <w:rPr>
      <w:rFonts w:ascii="Arial" w:hAnsi="Arial"/>
      <w:b/>
      <w:sz w:val="28"/>
    </w:rPr>
  </w:style>
  <w:style w:type="paragraph" w:styleId="5">
    <w:name w:val="heading 3"/>
    <w:basedOn w:val="1"/>
    <w:next w:val="1"/>
    <w:link w:val="39"/>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outlineLvl w:val="3"/>
    </w:pPr>
    <w:rPr>
      <w:rFonts w:ascii="Arial" w:hAnsi="Arial" w:eastAsia="黑体"/>
      <w:bCs/>
      <w:kern w:val="0"/>
      <w:sz w:val="24"/>
      <w:szCs w:val="28"/>
    </w:rPr>
  </w:style>
  <w:style w:type="paragraph" w:styleId="7">
    <w:name w:val="heading 6"/>
    <w:basedOn w:val="1"/>
    <w:next w:val="1"/>
    <w:unhideWhenUsed/>
    <w:qFormat/>
    <w:uiPriority w:val="0"/>
    <w:pPr>
      <w:numPr>
        <w:ilvl w:val="5"/>
        <w:numId w:val="1"/>
      </w:numPr>
      <w:tabs>
        <w:tab w:val="left" w:pos="851"/>
        <w:tab w:val="left" w:pos="1009"/>
        <w:tab w:val="left" w:pos="1152"/>
      </w:tabs>
      <w:outlineLvl w:val="5"/>
    </w:pPr>
    <w:rPr>
      <w:rFonts w:ascii="Arial" w:hAnsi="Arial" w:eastAsia="宋体"/>
      <w:sz w:val="24"/>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Calibri" w:hAnsi="Calibri"/>
    </w:rPr>
  </w:style>
  <w:style w:type="paragraph" w:styleId="8">
    <w:name w:val="table of authorities"/>
    <w:basedOn w:val="1"/>
    <w:next w:val="1"/>
    <w:qFormat/>
    <w:uiPriority w:val="0"/>
    <w:pPr>
      <w:ind w:left="420" w:leftChars="200"/>
    </w:pPr>
  </w:style>
  <w:style w:type="paragraph" w:styleId="9">
    <w:name w:val="annotation text"/>
    <w:basedOn w:val="1"/>
    <w:link w:val="40"/>
    <w:unhideWhenUsed/>
    <w:qFormat/>
    <w:uiPriority w:val="99"/>
    <w:pPr>
      <w:jc w:val="left"/>
    </w:pPr>
    <w:rPr>
      <w:rFonts w:ascii="Calibri" w:hAnsi="Calibri"/>
    </w:rPr>
  </w:style>
  <w:style w:type="paragraph" w:styleId="10">
    <w:name w:val="Body Text"/>
    <w:basedOn w:val="1"/>
    <w:qFormat/>
    <w:uiPriority w:val="0"/>
    <w:pPr>
      <w:spacing w:after="120"/>
    </w:pPr>
  </w:style>
  <w:style w:type="paragraph" w:styleId="11">
    <w:name w:val="Body Text Indent"/>
    <w:basedOn w:val="1"/>
    <w:next w:val="12"/>
    <w:link w:val="41"/>
    <w:qFormat/>
    <w:uiPriority w:val="0"/>
    <w:pPr>
      <w:spacing w:after="120"/>
      <w:ind w:left="420" w:leftChars="200"/>
    </w:pPr>
  </w:style>
  <w:style w:type="paragraph" w:styleId="12">
    <w:name w:val="Body Text First Indent 2"/>
    <w:basedOn w:val="11"/>
    <w:next w:val="13"/>
    <w:link w:val="44"/>
    <w:unhideWhenUsed/>
    <w:qFormat/>
    <w:uiPriority w:val="99"/>
    <w:pPr>
      <w:widowControl/>
      <w:spacing w:after="0"/>
      <w:ind w:left="0" w:leftChars="0" w:firstLine="200" w:firstLineChars="200"/>
      <w:jc w:val="left"/>
    </w:pPr>
    <w:rPr>
      <w:rFonts w:ascii="宋体" w:hAnsi="宋体"/>
      <w:kern w:val="1"/>
      <w:sz w:val="30"/>
      <w:szCs w:val="30"/>
    </w:rPr>
  </w:style>
  <w:style w:type="paragraph" w:styleId="13">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4">
    <w:name w:val="Plain Text"/>
    <w:basedOn w:val="1"/>
    <w:qFormat/>
    <w:uiPriority w:val="99"/>
    <w:rPr>
      <w:rFonts w:ascii="宋体" w:hAnsi="Courier New" w:cs="Courier New"/>
      <w:szCs w:val="21"/>
    </w:rPr>
  </w:style>
  <w:style w:type="paragraph" w:styleId="15">
    <w:name w:val="Date"/>
    <w:basedOn w:val="1"/>
    <w:next w:val="1"/>
    <w:qFormat/>
    <w:uiPriority w:val="0"/>
    <w:pPr>
      <w:ind w:left="100" w:leftChars="2500"/>
    </w:pPr>
    <w:rPr>
      <w:rFonts w:ascii="Calibri" w:hAnsi="Calibri"/>
    </w:rPr>
  </w:style>
  <w:style w:type="paragraph" w:styleId="16">
    <w:name w:val="Body Text Indent 2"/>
    <w:basedOn w:val="1"/>
    <w:qFormat/>
    <w:uiPriority w:val="0"/>
    <w:pPr>
      <w:ind w:firstLine="680"/>
    </w:pPr>
    <w:rPr>
      <w:rFonts w:ascii="仿宋_GB2312" w:eastAsia="仿宋_GB2312"/>
      <w:sz w:val="30"/>
    </w:rPr>
  </w:style>
  <w:style w:type="paragraph" w:styleId="17">
    <w:name w:val="Balloon Text"/>
    <w:basedOn w:val="1"/>
    <w:link w:val="42"/>
    <w:qFormat/>
    <w:uiPriority w:val="0"/>
    <w:rPr>
      <w:rFonts w:ascii="Calibri" w:hAnsi="Calibri"/>
      <w:sz w:val="18"/>
      <w:szCs w:val="18"/>
    </w:rPr>
  </w:style>
  <w:style w:type="paragraph" w:styleId="18">
    <w:name w:val="footer"/>
    <w:basedOn w:val="1"/>
    <w:link w:val="37"/>
    <w:qFormat/>
    <w:uiPriority w:val="99"/>
    <w:pPr>
      <w:tabs>
        <w:tab w:val="center" w:pos="4153"/>
        <w:tab w:val="right" w:pos="8306"/>
      </w:tabs>
      <w:snapToGrid w:val="0"/>
      <w:jc w:val="left"/>
    </w:pPr>
    <w:rPr>
      <w:sz w:val="18"/>
    </w:rPr>
  </w:style>
  <w:style w:type="paragraph" w:styleId="19">
    <w:name w:val="envelope return"/>
    <w:basedOn w:val="1"/>
    <w:qFormat/>
    <w:uiPriority w:val="0"/>
    <w:pPr>
      <w:snapToGrid w:val="0"/>
    </w:pPr>
    <w:rPr>
      <w:rFonts w:ascii="Arial" w:hAnsi="Arial"/>
    </w:rPr>
  </w:style>
  <w:style w:type="paragraph" w:styleId="20">
    <w:name w:val="header"/>
    <w:basedOn w:val="1"/>
    <w:link w:val="7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39"/>
  </w:style>
  <w:style w:type="paragraph" w:styleId="22">
    <w:name w:val="Title"/>
    <w:basedOn w:val="1"/>
    <w:next w:val="1"/>
    <w:qFormat/>
    <w:uiPriority w:val="0"/>
    <w:pPr>
      <w:spacing w:before="240" w:after="60"/>
      <w:jc w:val="center"/>
      <w:outlineLvl w:val="0"/>
    </w:pPr>
    <w:rPr>
      <w:rFonts w:ascii="Arial" w:hAnsi="Arial"/>
      <w:b/>
      <w:sz w:val="32"/>
    </w:rPr>
  </w:style>
  <w:style w:type="paragraph" w:styleId="23">
    <w:name w:val="annotation subject"/>
    <w:basedOn w:val="9"/>
    <w:next w:val="9"/>
    <w:link w:val="43"/>
    <w:qFormat/>
    <w:uiPriority w:val="0"/>
    <w:rPr>
      <w:b/>
      <w:bCs/>
    </w:rPr>
  </w:style>
  <w:style w:type="paragraph" w:styleId="24">
    <w:name w:val="Body Text First Indent"/>
    <w:basedOn w:val="10"/>
    <w:qFormat/>
    <w:uiPriority w:val="99"/>
    <w:pPr>
      <w:ind w:firstLine="100" w:firstLineChars="1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qFormat/>
    <w:uiPriority w:val="0"/>
    <w:rPr>
      <w:b/>
    </w:rPr>
  </w:style>
  <w:style w:type="character" w:styleId="29">
    <w:name w:val="Emphasis"/>
    <w:qFormat/>
    <w:uiPriority w:val="20"/>
    <w:rPr>
      <w:i/>
      <w:iCs/>
    </w:rPr>
  </w:style>
  <w:style w:type="character" w:styleId="30">
    <w:name w:val="line number"/>
    <w:basedOn w:val="27"/>
    <w:unhideWhenUsed/>
    <w:qFormat/>
    <w:uiPriority w:val="99"/>
  </w:style>
  <w:style w:type="character" w:styleId="31">
    <w:name w:val="Hyperlink"/>
    <w:qFormat/>
    <w:uiPriority w:val="99"/>
    <w:rPr>
      <w:color w:val="0000FF"/>
      <w:u w:val="single"/>
    </w:rPr>
  </w:style>
  <w:style w:type="character" w:styleId="32">
    <w:name w:val="annotation reference"/>
    <w:unhideWhenUsed/>
    <w:qFormat/>
    <w:uiPriority w:val="99"/>
    <w:rPr>
      <w:sz w:val="21"/>
      <w:szCs w:val="21"/>
    </w:rPr>
  </w:style>
  <w:style w:type="paragraph" w:customStyle="1" w:styleId="33">
    <w:name w:val="Default"/>
    <w:basedOn w:val="1"/>
    <w:semiHidden/>
    <w:qFormat/>
    <w:uiPriority w:val="0"/>
    <w:pPr>
      <w:autoSpaceDE w:val="0"/>
      <w:autoSpaceDN w:val="0"/>
      <w:adjustRightInd w:val="0"/>
    </w:pPr>
    <w:rPr>
      <w:rFonts w:ascii="宋体" w:cs="宋体"/>
      <w:color w:val="000000"/>
      <w:sz w:val="24"/>
    </w:rPr>
  </w:style>
  <w:style w:type="paragraph" w:customStyle="1" w:styleId="34">
    <w:name w:val="List Paragraph1"/>
    <w:basedOn w:val="1"/>
    <w:qFormat/>
    <w:uiPriority w:val="0"/>
    <w:rPr>
      <w:rFonts w:eastAsia="宋体"/>
      <w:szCs w:val="21"/>
    </w:rPr>
  </w:style>
  <w:style w:type="character" w:customStyle="1" w:styleId="35">
    <w:name w:val="标题 2 Char"/>
    <w:link w:val="4"/>
    <w:qFormat/>
    <w:uiPriority w:val="0"/>
    <w:rPr>
      <w:rFonts w:ascii="Arial" w:hAnsi="Arial" w:eastAsia="仿宋"/>
      <w:b/>
      <w:kern w:val="2"/>
      <w:sz w:val="28"/>
      <w:szCs w:val="24"/>
    </w:rPr>
  </w:style>
  <w:style w:type="character" w:customStyle="1" w:styleId="36">
    <w:name w:val="标题 1 Char"/>
    <w:qFormat/>
    <w:uiPriority w:val="0"/>
    <w:rPr>
      <w:b/>
      <w:kern w:val="44"/>
      <w:sz w:val="44"/>
      <w:szCs w:val="24"/>
    </w:rPr>
  </w:style>
  <w:style w:type="character" w:customStyle="1" w:styleId="37">
    <w:name w:val="页脚 Char"/>
    <w:link w:val="18"/>
    <w:qFormat/>
    <w:uiPriority w:val="99"/>
    <w:rPr>
      <w:rFonts w:eastAsia="仿宋"/>
      <w:kern w:val="2"/>
      <w:sz w:val="18"/>
      <w:szCs w:val="24"/>
    </w:rPr>
  </w:style>
  <w:style w:type="character" w:customStyle="1" w:styleId="38">
    <w:name w:val="标题 1 Char1"/>
    <w:link w:val="3"/>
    <w:qFormat/>
    <w:uiPriority w:val="0"/>
    <w:rPr>
      <w:rFonts w:ascii="Calibri" w:hAnsi="Calibri" w:eastAsia="仿宋" w:cs="Times New Roman"/>
      <w:b/>
      <w:kern w:val="44"/>
      <w:sz w:val="44"/>
      <w:szCs w:val="24"/>
    </w:rPr>
  </w:style>
  <w:style w:type="character" w:customStyle="1" w:styleId="39">
    <w:name w:val="标题 3 Char"/>
    <w:link w:val="5"/>
    <w:qFormat/>
    <w:uiPriority w:val="0"/>
    <w:rPr>
      <w:b/>
      <w:sz w:val="32"/>
    </w:rPr>
  </w:style>
  <w:style w:type="character" w:customStyle="1" w:styleId="40">
    <w:name w:val="批注文字 Char"/>
    <w:link w:val="9"/>
    <w:qFormat/>
    <w:uiPriority w:val="99"/>
    <w:rPr>
      <w:rFonts w:ascii="Calibri" w:hAnsi="Calibri" w:eastAsia="仿宋" w:cs="Times New Roman"/>
      <w:kern w:val="2"/>
      <w:sz w:val="21"/>
      <w:szCs w:val="24"/>
    </w:rPr>
  </w:style>
  <w:style w:type="character" w:customStyle="1" w:styleId="41">
    <w:name w:val="正文文本缩进 Char"/>
    <w:link w:val="11"/>
    <w:qFormat/>
    <w:uiPriority w:val="0"/>
    <w:rPr>
      <w:rFonts w:eastAsia="仿宋"/>
      <w:kern w:val="2"/>
      <w:sz w:val="21"/>
      <w:szCs w:val="24"/>
    </w:rPr>
  </w:style>
  <w:style w:type="character" w:customStyle="1" w:styleId="42">
    <w:name w:val="批注框文本 Char"/>
    <w:link w:val="17"/>
    <w:qFormat/>
    <w:uiPriority w:val="0"/>
    <w:rPr>
      <w:rFonts w:ascii="Calibri" w:hAnsi="Calibri" w:eastAsia="仿宋" w:cs="Times New Roman"/>
      <w:kern w:val="2"/>
      <w:sz w:val="18"/>
      <w:szCs w:val="18"/>
    </w:rPr>
  </w:style>
  <w:style w:type="character" w:customStyle="1" w:styleId="43">
    <w:name w:val="批注主题 Char"/>
    <w:link w:val="23"/>
    <w:qFormat/>
    <w:uiPriority w:val="0"/>
    <w:rPr>
      <w:rFonts w:ascii="Calibri" w:hAnsi="Calibri" w:eastAsia="仿宋" w:cs="Times New Roman"/>
      <w:b/>
      <w:bCs/>
      <w:kern w:val="2"/>
      <w:sz w:val="21"/>
      <w:szCs w:val="24"/>
    </w:rPr>
  </w:style>
  <w:style w:type="character" w:customStyle="1" w:styleId="44">
    <w:name w:val="正文首行缩进 2 Char"/>
    <w:link w:val="12"/>
    <w:qFormat/>
    <w:uiPriority w:val="99"/>
    <w:rPr>
      <w:rFonts w:ascii="宋体" w:hAnsi="宋体" w:eastAsia="仿宋" w:cs="宋体"/>
      <w:kern w:val="1"/>
      <w:sz w:val="30"/>
      <w:szCs w:val="30"/>
    </w:rPr>
  </w:style>
  <w:style w:type="character" w:customStyle="1" w:styleId="45">
    <w:name w:val="font31"/>
    <w:qFormat/>
    <w:uiPriority w:val="0"/>
    <w:rPr>
      <w:rFonts w:ascii="Calibri" w:hAnsi="Calibri" w:cs="Calibri"/>
      <w:color w:val="000000"/>
      <w:sz w:val="21"/>
      <w:szCs w:val="21"/>
      <w:u w:val="none"/>
    </w:rPr>
  </w:style>
  <w:style w:type="character" w:customStyle="1" w:styleId="46">
    <w:name w:val="font21"/>
    <w:qFormat/>
    <w:uiPriority w:val="0"/>
    <w:rPr>
      <w:rFonts w:hint="eastAsia" w:ascii="宋体" w:hAnsi="宋体" w:eastAsia="宋体" w:cs="宋体"/>
      <w:color w:val="000000"/>
      <w:sz w:val="21"/>
      <w:szCs w:val="21"/>
      <w:u w:val="none"/>
    </w:rPr>
  </w:style>
  <w:style w:type="character" w:customStyle="1" w:styleId="47">
    <w:name w:val="标题 2 Char1"/>
    <w:qFormat/>
    <w:uiPriority w:val="0"/>
    <w:rPr>
      <w:rFonts w:ascii="Arial" w:hAnsi="Arial" w:eastAsia="黑体"/>
      <w:b/>
      <w:kern w:val="2"/>
      <w:sz w:val="32"/>
      <w:szCs w:val="24"/>
    </w:rPr>
  </w:style>
  <w:style w:type="character" w:customStyle="1" w:styleId="48">
    <w:name w:val="font11"/>
    <w:qFormat/>
    <w:uiPriority w:val="0"/>
    <w:rPr>
      <w:rFonts w:hint="default" w:ascii="仿宋_GB2312" w:eastAsia="仿宋_GB2312" w:cs="仿宋_GB2312"/>
      <w:color w:val="000000"/>
      <w:sz w:val="24"/>
      <w:szCs w:val="24"/>
      <w:u w:val="none"/>
    </w:rPr>
  </w:style>
  <w:style w:type="paragraph" w:customStyle="1" w:styleId="4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50">
    <w:name w:val="普通(网站)1"/>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51">
    <w:name w:val="_Style 40"/>
    <w:unhideWhenUsed/>
    <w:qFormat/>
    <w:uiPriority w:val="99"/>
    <w:rPr>
      <w:rFonts w:ascii="Times New Roman" w:hAnsi="Times New Roman" w:eastAsia="仿宋" w:cs="Times New Roman"/>
      <w:kern w:val="2"/>
      <w:sz w:val="21"/>
      <w:szCs w:val="24"/>
      <w:lang w:val="en-US" w:eastAsia="zh-CN" w:bidi="ar-SA"/>
    </w:rPr>
  </w:style>
  <w:style w:type="paragraph" w:customStyle="1" w:styleId="52">
    <w:name w:val="Normal_0_3"/>
    <w:basedOn w:val="1"/>
    <w:qFormat/>
    <w:uiPriority w:val="0"/>
    <w:pPr>
      <w:widowControl/>
      <w:jc w:val="left"/>
    </w:pPr>
    <w:rPr>
      <w:rFonts w:eastAsia="宋体"/>
      <w:kern w:val="0"/>
      <w:sz w:val="24"/>
    </w:rPr>
  </w:style>
  <w:style w:type="paragraph" w:customStyle="1" w:styleId="5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4">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55">
    <w:name w:val="样式H"/>
    <w:basedOn w:val="3"/>
    <w:next w:val="1"/>
    <w:qFormat/>
    <w:uiPriority w:val="0"/>
    <w:pPr>
      <w:spacing w:before="100" w:line="500" w:lineRule="exact"/>
    </w:pPr>
  </w:style>
  <w:style w:type="paragraph" w:styleId="56">
    <w:name w:val="List Paragraph"/>
    <w:basedOn w:val="1"/>
    <w:qFormat/>
    <w:uiPriority w:val="34"/>
    <w:pPr>
      <w:ind w:firstLine="420" w:firstLineChars="200"/>
    </w:pPr>
  </w:style>
  <w:style w:type="paragraph" w:customStyle="1" w:styleId="57">
    <w:name w:val="Normal_4"/>
    <w:qFormat/>
    <w:uiPriority w:val="0"/>
    <w:rPr>
      <w:rFonts w:ascii="Times New Roman" w:hAnsi="Times New Roman" w:eastAsia="Times New Roman" w:cs="Times New Roman"/>
      <w:sz w:val="24"/>
      <w:szCs w:val="24"/>
      <w:lang w:val="en-US" w:eastAsia="zh-CN" w:bidi="ar-SA"/>
    </w:rPr>
  </w:style>
  <w:style w:type="paragraph" w:customStyle="1" w:styleId="58">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9">
    <w:name w:val="列出段落11"/>
    <w:basedOn w:val="1"/>
    <w:qFormat/>
    <w:uiPriority w:val="34"/>
    <w:pPr>
      <w:ind w:firstLine="420" w:firstLineChars="200"/>
    </w:pPr>
    <w:rPr>
      <w:rFonts w:ascii="Calibri" w:hAnsi="Calibri" w:eastAsia="宋体"/>
      <w:szCs w:val="22"/>
      <w:lang w:val="zh-CN"/>
    </w:rPr>
  </w:style>
  <w:style w:type="paragraph" w:customStyle="1" w:styleId="60">
    <w:name w:val="样式N"/>
    <w:basedOn w:val="55"/>
    <w:qFormat/>
    <w:uiPriority w:val="0"/>
    <w:rPr>
      <w:sz w:val="30"/>
    </w:rPr>
  </w:style>
  <w:style w:type="paragraph" w:customStyle="1" w:styleId="61">
    <w:name w:val="WPSOffice手动目录 1"/>
    <w:qFormat/>
    <w:uiPriority w:val="0"/>
    <w:rPr>
      <w:rFonts w:ascii="Times New Roman" w:hAnsi="Times New Roman" w:eastAsia="宋体" w:cs="Times New Roman"/>
      <w:lang w:val="en-US" w:eastAsia="zh-CN" w:bidi="ar-SA"/>
    </w:rPr>
  </w:style>
  <w:style w:type="paragraph" w:customStyle="1" w:styleId="62">
    <w:name w:val="msolistparagraph"/>
    <w:basedOn w:val="1"/>
    <w:qFormat/>
    <w:uiPriority w:val="0"/>
    <w:pPr>
      <w:ind w:firstLine="420" w:firstLineChars="200"/>
    </w:pPr>
    <w:rPr>
      <w:rFonts w:eastAsia="宋体"/>
      <w:szCs w:val="21"/>
    </w:rPr>
  </w:style>
  <w:style w:type="paragraph" w:customStyle="1" w:styleId="6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4">
    <w:name w:val="样式1"/>
    <w:basedOn w:val="1"/>
    <w:qFormat/>
    <w:uiPriority w:val="0"/>
    <w:pPr>
      <w:numPr>
        <w:ilvl w:val="0"/>
        <w:numId w:val="2"/>
      </w:numPr>
      <w:adjustRightInd w:val="0"/>
      <w:textAlignment w:val="baseline"/>
    </w:pPr>
    <w:rPr>
      <w:rFonts w:ascii="宋体" w:hAnsi="宋体"/>
      <w:kern w:val="0"/>
      <w:szCs w:val="21"/>
    </w:rPr>
  </w:style>
  <w:style w:type="paragraph" w:customStyle="1" w:styleId="65">
    <w:name w:val="Normal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6">
    <w:name w:val="Normal_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
    <w:name w:val="Normal (Web)_0"/>
    <w:basedOn w:val="66"/>
    <w:unhideWhenUsed/>
    <w:qFormat/>
    <w:uiPriority w:val="0"/>
    <w:pPr>
      <w:widowControl/>
      <w:spacing w:before="100" w:beforeAutospacing="1" w:after="100" w:afterAutospacing="1"/>
      <w:jc w:val="left"/>
    </w:pPr>
    <w:rPr>
      <w:rFonts w:ascii="宋体" w:hAnsi="宋体" w:cs="宋体"/>
      <w:kern w:val="0"/>
      <w:sz w:val="24"/>
      <w:szCs w:val="24"/>
    </w:rPr>
  </w:style>
  <w:style w:type="character" w:customStyle="1" w:styleId="68">
    <w:name w:val="font71"/>
    <w:qFormat/>
    <w:uiPriority w:val="0"/>
    <w:rPr>
      <w:rFonts w:hint="default" w:ascii="Times New Roman" w:hAnsi="Times New Roman" w:cs="Times New Roman"/>
      <w:b/>
      <w:bCs/>
      <w:color w:val="000000"/>
      <w:sz w:val="21"/>
      <w:szCs w:val="21"/>
      <w:u w:val="none"/>
    </w:rPr>
  </w:style>
  <w:style w:type="character" w:customStyle="1" w:styleId="69">
    <w:name w:val="font61"/>
    <w:qFormat/>
    <w:uiPriority w:val="0"/>
    <w:rPr>
      <w:rFonts w:hint="eastAsia" w:ascii="宋体" w:hAnsi="宋体" w:eastAsia="宋体" w:cs="宋体"/>
      <w:b/>
      <w:bCs/>
      <w:color w:val="000000"/>
      <w:sz w:val="21"/>
      <w:szCs w:val="21"/>
      <w:u w:val="none"/>
    </w:rPr>
  </w:style>
  <w:style w:type="character" w:customStyle="1" w:styleId="70">
    <w:name w:val="font41"/>
    <w:qFormat/>
    <w:uiPriority w:val="0"/>
    <w:rPr>
      <w:rFonts w:hint="default" w:ascii="仿宋_GB2312" w:eastAsia="仿宋_GB2312" w:cs="仿宋_GB2312"/>
      <w:color w:val="000000"/>
      <w:sz w:val="21"/>
      <w:szCs w:val="21"/>
      <w:u w:val="none"/>
    </w:rPr>
  </w:style>
  <w:style w:type="character" w:customStyle="1" w:styleId="71">
    <w:name w:val="*正文 Char"/>
    <w:link w:val="72"/>
    <w:qFormat/>
    <w:uiPriority w:val="0"/>
    <w:rPr>
      <w:rFonts w:eastAsia="仿宋_GB2312"/>
      <w:sz w:val="24"/>
      <w:szCs w:val="28"/>
    </w:rPr>
  </w:style>
  <w:style w:type="paragraph" w:customStyle="1" w:styleId="72">
    <w:name w:val="*正文"/>
    <w:basedOn w:val="1"/>
    <w:link w:val="71"/>
    <w:qFormat/>
    <w:uiPriority w:val="0"/>
    <w:pPr>
      <w:widowControl/>
      <w:spacing w:line="360" w:lineRule="auto"/>
      <w:ind w:firstLine="480" w:firstLineChars="200"/>
    </w:pPr>
    <w:rPr>
      <w:rFonts w:eastAsia="仿宋_GB2312"/>
      <w:kern w:val="0"/>
      <w:sz w:val="24"/>
      <w:szCs w:val="28"/>
    </w:rPr>
  </w:style>
  <w:style w:type="paragraph" w:customStyle="1" w:styleId="73">
    <w:name w:val="a样式3"/>
    <w:basedOn w:val="1"/>
    <w:link w:val="74"/>
    <w:qFormat/>
    <w:uiPriority w:val="0"/>
    <w:pPr>
      <w:keepNext/>
      <w:keepLines/>
      <w:tabs>
        <w:tab w:val="left" w:pos="360"/>
      </w:tabs>
      <w:spacing w:before="120" w:after="120"/>
      <w:ind w:left="420" w:leftChars="200"/>
      <w:jc w:val="left"/>
      <w:outlineLvl w:val="2"/>
    </w:pPr>
    <w:rPr>
      <w:rFonts w:ascii="黑体" w:hAnsi="黑体" w:eastAsia="宋体"/>
      <w:bCs/>
      <w:kern w:val="44"/>
      <w:sz w:val="30"/>
      <w:szCs w:val="44"/>
      <w:lang w:val="zh-CN"/>
    </w:rPr>
  </w:style>
  <w:style w:type="character" w:customStyle="1" w:styleId="74">
    <w:name w:val="a样式3 Char"/>
    <w:link w:val="73"/>
    <w:qFormat/>
    <w:uiPriority w:val="0"/>
    <w:rPr>
      <w:rFonts w:ascii="黑体" w:hAnsi="黑体"/>
      <w:bCs/>
      <w:kern w:val="44"/>
      <w:sz w:val="30"/>
      <w:szCs w:val="44"/>
      <w:lang w:val="zh-CN"/>
    </w:rPr>
  </w:style>
  <w:style w:type="paragraph" w:customStyle="1" w:styleId="75">
    <w:name w:val="修订1"/>
    <w:hidden/>
    <w:semiHidden/>
    <w:qFormat/>
    <w:uiPriority w:val="99"/>
    <w:rPr>
      <w:rFonts w:ascii="Calibri" w:hAnsi="Calibri" w:eastAsia="宋体" w:cs="Times New Roman"/>
      <w:kern w:val="2"/>
      <w:sz w:val="21"/>
      <w:szCs w:val="24"/>
      <w:lang w:val="en-US" w:eastAsia="zh-CN" w:bidi="ar-SA"/>
    </w:rPr>
  </w:style>
  <w:style w:type="character" w:customStyle="1" w:styleId="76">
    <w:name w:val="页眉 Char"/>
    <w:basedOn w:val="27"/>
    <w:link w:val="20"/>
    <w:qFormat/>
    <w:uiPriority w:val="99"/>
    <w:rPr>
      <w:rFonts w:eastAsia="仿宋"/>
      <w:kern w:val="2"/>
      <w:sz w:val="18"/>
      <w:szCs w:val="24"/>
    </w:rPr>
  </w:style>
  <w:style w:type="paragraph" w:customStyle="1" w:styleId="77">
    <w:name w:val="修订2"/>
    <w:hidden/>
    <w:semiHidden/>
    <w:qFormat/>
    <w:uiPriority w:val="99"/>
    <w:rPr>
      <w:rFonts w:ascii="Times New Roman" w:hAnsi="Times New Roman" w:eastAsia="仿宋" w:cs="Times New Roman"/>
      <w:kern w:val="2"/>
      <w:sz w:val="21"/>
      <w:szCs w:val="24"/>
      <w:lang w:val="en-US" w:eastAsia="zh-CN" w:bidi="ar-SA"/>
    </w:rPr>
  </w:style>
  <w:style w:type="paragraph" w:customStyle="1" w:styleId="78">
    <w:name w:val="正文2"/>
    <w:qFormat/>
    <w:uiPriority w:val="0"/>
    <w:pPr>
      <w:jc w:val="both"/>
    </w:pPr>
    <w:rPr>
      <w:rFonts w:ascii="宋体" w:hAnsi="宋体" w:eastAsia="宋体" w:cs="宋体"/>
      <w:kern w:val="2"/>
      <w:sz w:val="21"/>
      <w:szCs w:val="21"/>
      <w:lang w:val="en-US" w:eastAsia="zh-CN" w:bidi="ar-SA"/>
    </w:rPr>
  </w:style>
  <w:style w:type="paragraph" w:customStyle="1" w:styleId="79">
    <w:name w:val="修订3"/>
    <w:hidden/>
    <w:semiHidden/>
    <w:qFormat/>
    <w:uiPriority w:val="99"/>
    <w:rPr>
      <w:rFonts w:ascii="Times New Roman" w:hAnsi="Times New Roman" w:eastAsia="仿宋" w:cs="Times New Roman"/>
      <w:kern w:val="2"/>
      <w:sz w:val="21"/>
      <w:szCs w:val="24"/>
      <w:lang w:val="en-US" w:eastAsia="zh-CN" w:bidi="ar-SA"/>
    </w:rPr>
  </w:style>
  <w:style w:type="paragraph" w:customStyle="1" w:styleId="80">
    <w:name w:val="正文文本首行缩进1"/>
    <w:basedOn w:val="10"/>
    <w:qFormat/>
    <w:uiPriority w:val="0"/>
    <w:pPr>
      <w:ind w:firstLine="420" w:firstLineChars="100"/>
    </w:pPr>
  </w:style>
  <w:style w:type="paragraph" w:customStyle="1" w:styleId="81">
    <w:name w:val="章节题目"/>
    <w:basedOn w:val="82"/>
    <w:next w:val="1"/>
    <w:qFormat/>
    <w:uiPriority w:val="99"/>
    <w:pPr>
      <w:spacing w:before="720" w:after="400" w:line="540" w:lineRule="atLeast"/>
      <w:ind w:right="2160"/>
    </w:pPr>
    <w:rPr>
      <w:rFonts w:ascii="Times New Roman" w:hAnsi="Times New Roman" w:cs="Times New Roman"/>
      <w:spacing w:val="-40"/>
      <w:sz w:val="60"/>
      <w:szCs w:val="60"/>
    </w:rPr>
  </w:style>
  <w:style w:type="paragraph" w:customStyle="1" w:styleId="82">
    <w:name w:val="基准标题"/>
    <w:basedOn w:val="1"/>
    <w:next w:val="10"/>
    <w:qFormat/>
    <w:uiPriority w:val="99"/>
    <w:pPr>
      <w:keepNext/>
      <w:keepLines/>
      <w:spacing w:before="140" w:line="220" w:lineRule="atLeast"/>
    </w:pPr>
    <w:rPr>
      <w:rFonts w:ascii="Arial" w:hAnsi="Arial" w:cs="Arial"/>
      <w:spacing w:val="-4"/>
      <w:kern w:val="28"/>
      <w:sz w:val="22"/>
      <w:szCs w:val="22"/>
    </w:rPr>
  </w:style>
  <w:style w:type="paragraph" w:customStyle="1" w:styleId="83">
    <w:name w:val="Normal_2_0"/>
    <w:qFormat/>
    <w:uiPriority w:val="0"/>
    <w:pPr>
      <w:widowControl w:val="0"/>
      <w:jc w:val="both"/>
    </w:pPr>
    <w:rPr>
      <w:rFonts w:ascii="Calibri" w:hAnsi="Calibri" w:eastAsia="仿宋" w:cs="Calibri"/>
      <w:szCs w:val="24"/>
      <w:lang w:val="en-US" w:eastAsia="zh-CN" w:bidi="ar-SA"/>
    </w:rPr>
  </w:style>
  <w:style w:type="paragraph" w:customStyle="1" w:styleId="84">
    <w:name w:val="my正文"/>
    <w:basedOn w:val="1"/>
    <w:qFormat/>
    <w:uiPriority w:val="0"/>
    <w:pPr>
      <w:ind w:firstLine="480" w:firstLineChars="200"/>
    </w:pPr>
    <w:rPr>
      <w:kern w:val="0"/>
    </w:rPr>
  </w:style>
  <w:style w:type="paragraph" w:customStyle="1" w:styleId="85">
    <w:name w:val="p0"/>
    <w:basedOn w:val="1"/>
    <w:qFormat/>
    <w:uiPriority w:val="99"/>
    <w:pPr>
      <w:widowControl/>
    </w:pPr>
    <w:rPr>
      <w:kern w:val="0"/>
      <w:szCs w:val="21"/>
    </w:rPr>
  </w:style>
  <w:style w:type="paragraph" w:customStyle="1" w:styleId="86">
    <w:name w:val="表 靠左"/>
    <w:basedOn w:val="87"/>
    <w:qFormat/>
    <w:uiPriority w:val="0"/>
    <w:pPr>
      <w:jc w:val="left"/>
    </w:pPr>
    <w:rPr>
      <w:rFonts w:ascii="宋体" w:hAnsi="宋体"/>
    </w:rPr>
  </w:style>
  <w:style w:type="paragraph" w:customStyle="1" w:styleId="87">
    <w:name w:val="表"/>
    <w:basedOn w:val="1"/>
    <w:next w:val="1"/>
    <w:qFormat/>
    <w:uiPriority w:val="7"/>
    <w:pPr>
      <w:jc w:val="center"/>
    </w:pPr>
    <w:rPr>
      <w:rFonts w:ascii="Calibri" w:hAnsi="Calibri"/>
    </w:rPr>
  </w:style>
  <w:style w:type="paragraph" w:customStyle="1" w:styleId="88">
    <w:name w:val="Normal_2_2"/>
    <w:qFormat/>
    <w:uiPriority w:val="0"/>
    <w:rPr>
      <w:rFonts w:ascii="Times New Roman" w:hAnsi="Times New Roman" w:eastAsia="Times New Roman" w:cs="Times New Roman"/>
      <w:sz w:val="24"/>
      <w:szCs w:val="24"/>
      <w:lang w:val="en-US" w:eastAsia="zh-CN" w:bidi="ar-SA"/>
    </w:rPr>
  </w:style>
  <w:style w:type="paragraph" w:customStyle="1" w:styleId="89">
    <w:name w:val="Normal_2"/>
    <w:qFormat/>
    <w:uiPriority w:val="0"/>
    <w:rPr>
      <w:rFonts w:ascii="Times New Roman" w:hAnsi="Times New Roman" w:eastAsia="Times New Roman" w:cs="Times New Roman"/>
      <w:sz w:val="24"/>
      <w:szCs w:val="24"/>
      <w:lang w:val="en-US" w:eastAsia="zh-CN" w:bidi="ar-SA"/>
    </w:rPr>
  </w:style>
  <w:style w:type="character" w:customStyle="1" w:styleId="90">
    <w:name w:val="c-color-gray2"/>
    <w:basedOn w:val="27"/>
    <w:qFormat/>
    <w:uiPriority w:val="0"/>
  </w:style>
  <w:style w:type="character" w:customStyle="1" w:styleId="91">
    <w:name w:val="content-right_8zs40"/>
    <w:basedOn w:val="27"/>
    <w:qFormat/>
    <w:uiPriority w:val="0"/>
  </w:style>
  <w:style w:type="paragraph" w:customStyle="1" w:styleId="92">
    <w:name w:val="B-表正文"/>
    <w:qFormat/>
    <w:uiPriority w:val="0"/>
    <w:pPr>
      <w:jc w:val="both"/>
    </w:pPr>
    <w:rPr>
      <w:rFonts w:ascii="Times New Roman" w:hAnsi="Times New Roman" w:eastAsia="黑体" w:cs="Times New Roman"/>
      <w:kern w:val="2"/>
      <w:sz w:val="21"/>
      <w:szCs w:val="24"/>
      <w:lang w:val="en-US" w:eastAsia="zh-CN" w:bidi="ar-SA"/>
    </w:rPr>
  </w:style>
  <w:style w:type="paragraph" w:customStyle="1" w:styleId="93">
    <w:name w:val="Normal_7"/>
    <w:qFormat/>
    <w:uiPriority w:val="0"/>
    <w:rPr>
      <w:rFonts w:ascii="Times New Roman" w:hAnsi="Times New Roman" w:eastAsia="Times New Roman" w:cs="Times New Roman"/>
      <w:sz w:val="24"/>
      <w:szCs w:val="24"/>
      <w:lang w:val="en-US" w:eastAsia="zh-CN" w:bidi="ar-SA"/>
    </w:rPr>
  </w:style>
  <w:style w:type="paragraph" w:customStyle="1" w:styleId="94">
    <w:name w:val="Normal_1"/>
    <w:qFormat/>
    <w:uiPriority w:val="0"/>
    <w:pPr>
      <w:widowControl w:val="0"/>
      <w:jc w:val="both"/>
    </w:pPr>
    <w:rPr>
      <w:rFonts w:ascii="Calibri" w:hAnsi="Calibri" w:eastAsia="仿宋" w:cs="Calibri"/>
      <w:kern w:val="2"/>
      <w:sz w:val="21"/>
      <w:szCs w:val="24"/>
      <w:lang w:val="en-US" w:eastAsia="zh-CN" w:bidi="ar-SA"/>
    </w:rPr>
  </w:style>
  <w:style w:type="character" w:customStyle="1" w:styleId="95">
    <w:name w:val="Comment Reference"/>
    <w:basedOn w:val="27"/>
    <w:qFormat/>
    <w:uiPriority w:val="0"/>
    <w:rPr>
      <w:rFonts w:eastAsia="仿宋"/>
      <w:sz w:val="21"/>
      <w:szCs w:val="21"/>
    </w:rPr>
  </w:style>
  <w:style w:type="paragraph" w:customStyle="1" w:styleId="96">
    <w:name w:val="Normal_0"/>
    <w:qFormat/>
    <w:uiPriority w:val="0"/>
    <w:pPr>
      <w:widowControl w:val="0"/>
      <w:jc w:val="both"/>
    </w:pPr>
    <w:rPr>
      <w:rFonts w:ascii="Calibri" w:hAnsi="Calibri" w:eastAsia="仿宋" w:cs="Calibr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xp</Company>
  <Pages>80</Pages>
  <Words>37049</Words>
  <Characters>38947</Characters>
  <Lines>545</Lines>
  <Paragraphs>153</Paragraphs>
  <TotalTime>5</TotalTime>
  <ScaleCrop>false</ScaleCrop>
  <LinksUpToDate>false</LinksUpToDate>
  <CharactersWithSpaces>41836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2022-12-08T05:19:00Z</dcterms:created>
  <dc:creator>meimei</dc:creator>
  <cp:lastModifiedBy>姜大宝*^_^*</cp:lastModifiedBy>
  <cp:lastPrinted>2025-03-13T01:32:00Z</cp:lastPrinted>
  <dcterms:modified xsi:type="dcterms:W3CDTF">2025-09-18T08:38:20Z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93301CB234BE47D0AFFC563566EFAF67_13</vt:lpwstr>
  </property>
  <property fmtid="{D5CDD505-2E9C-101B-9397-08002B2CF9AE}" pid="4" name="KSOTemplateDocerSaveRecord">
    <vt:lpwstr>eyJoZGlkIjoiM2M5OWIzNzJjMmIzM2E5YjU4ZDI0ZWQ5YmFmMmQ3ZWYiLCJ1c2VySWQiOiIyNTgxNjk5NjAifQ==</vt:lpwstr>
  </property>
</Properties>
</file>