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7D561">
      <w:pPr>
        <w:pStyle w:val="16"/>
        <w:jc w:val="center"/>
        <w:rPr>
          <w:rFonts w:hAnsi="宋体"/>
          <w:bCs/>
          <w:color w:val="000000"/>
          <w:sz w:val="48"/>
        </w:rPr>
      </w:pPr>
    </w:p>
    <w:p w14:paraId="70E197DE">
      <w:pPr>
        <w:pStyle w:val="16"/>
        <w:jc w:val="center"/>
        <w:rPr>
          <w:rFonts w:hAnsi="宋体"/>
          <w:bCs/>
          <w:color w:val="000000"/>
          <w:sz w:val="48"/>
        </w:rPr>
      </w:pPr>
    </w:p>
    <w:p w14:paraId="198C113E">
      <w:pPr>
        <w:pStyle w:val="16"/>
        <w:autoSpaceDE w:val="0"/>
        <w:autoSpaceDN w:val="0"/>
        <w:adjustRightInd w:val="0"/>
        <w:snapToGrid w:val="0"/>
        <w:spacing w:line="360" w:lineRule="auto"/>
        <w:jc w:val="center"/>
        <w:rPr>
          <w:rFonts w:hAnsi="宋体"/>
          <w:bCs/>
          <w:kern w:val="0"/>
          <w:sz w:val="48"/>
          <w:szCs w:val="48"/>
        </w:rPr>
      </w:pPr>
      <w:r>
        <w:rPr>
          <w:rFonts w:hint="eastAsia" w:hAnsi="宋体"/>
          <w:bCs/>
          <w:kern w:val="0"/>
          <w:sz w:val="48"/>
          <w:szCs w:val="48"/>
        </w:rPr>
        <w:t>云南省体育彩票管理中心2025年即开型体育彩票物流服务采购项目</w:t>
      </w:r>
    </w:p>
    <w:p w14:paraId="2D7E3916">
      <w:pPr>
        <w:pStyle w:val="16"/>
        <w:jc w:val="center"/>
        <w:rPr>
          <w:rFonts w:hAnsi="宋体"/>
          <w:bCs/>
          <w:color w:val="000000"/>
          <w:sz w:val="48"/>
        </w:rPr>
      </w:pPr>
    </w:p>
    <w:p w14:paraId="5E60D85B">
      <w:pPr>
        <w:pStyle w:val="16"/>
        <w:jc w:val="center"/>
        <w:rPr>
          <w:rFonts w:hAnsi="宋体"/>
          <w:bCs/>
          <w:color w:val="000000"/>
          <w:sz w:val="72"/>
        </w:rPr>
      </w:pPr>
    </w:p>
    <w:p w14:paraId="44591352">
      <w:pPr>
        <w:pStyle w:val="16"/>
        <w:jc w:val="center"/>
        <w:rPr>
          <w:rFonts w:hAnsi="宋体"/>
          <w:bCs/>
          <w:color w:val="000000"/>
          <w:sz w:val="72"/>
        </w:rPr>
      </w:pPr>
    </w:p>
    <w:p w14:paraId="2846F8B9">
      <w:pPr>
        <w:pStyle w:val="16"/>
        <w:autoSpaceDE w:val="0"/>
        <w:autoSpaceDN w:val="0"/>
        <w:adjustRightInd w:val="0"/>
        <w:spacing w:line="360" w:lineRule="auto"/>
        <w:jc w:val="center"/>
        <w:rPr>
          <w:rFonts w:hAnsi="宋体"/>
          <w:b/>
          <w:bCs/>
          <w:color w:val="000000"/>
          <w:kern w:val="0"/>
          <w:sz w:val="84"/>
          <w:szCs w:val="84"/>
        </w:rPr>
      </w:pPr>
      <w:r>
        <w:rPr>
          <w:rFonts w:hint="eastAsia" w:hAnsi="宋体"/>
          <w:b/>
          <w:bCs/>
          <w:color w:val="000000"/>
          <w:kern w:val="0"/>
          <w:sz w:val="84"/>
          <w:szCs w:val="84"/>
        </w:rPr>
        <w:t>招 标 文 件</w:t>
      </w:r>
    </w:p>
    <w:p w14:paraId="45C09312">
      <w:pPr>
        <w:pStyle w:val="16"/>
        <w:ind w:firstLine="2870" w:firstLineChars="897"/>
        <w:rPr>
          <w:rFonts w:hAnsi="宋体"/>
          <w:bCs/>
          <w:color w:val="000000"/>
          <w:sz w:val="32"/>
          <w:szCs w:val="32"/>
        </w:rPr>
      </w:pPr>
    </w:p>
    <w:p w14:paraId="07D6E66B">
      <w:pPr>
        <w:pStyle w:val="16"/>
        <w:autoSpaceDE w:val="0"/>
        <w:autoSpaceDN w:val="0"/>
        <w:adjustRightInd w:val="0"/>
        <w:spacing w:line="360" w:lineRule="auto"/>
        <w:jc w:val="center"/>
        <w:rPr>
          <w:rFonts w:hint="eastAsia" w:hAnsi="宋体"/>
          <w:bCs/>
          <w:color w:val="000000"/>
          <w:sz w:val="32"/>
          <w:szCs w:val="32"/>
          <w:highlight w:val="none"/>
          <w:lang w:eastAsia="zh-CN"/>
        </w:rPr>
      </w:pPr>
      <w:r>
        <w:rPr>
          <w:rFonts w:hint="eastAsia" w:hAnsi="宋体"/>
          <w:b/>
          <w:bCs/>
          <w:color w:val="000000"/>
          <w:kern w:val="0"/>
          <w:sz w:val="32"/>
          <w:szCs w:val="32"/>
        </w:rPr>
        <w:t>招标编号：</w:t>
      </w:r>
      <w:r>
        <w:rPr>
          <w:rFonts w:hint="eastAsia" w:hAnsi="宋体"/>
          <w:bCs/>
          <w:color w:val="000000"/>
          <w:sz w:val="32"/>
          <w:szCs w:val="32"/>
          <w:highlight w:val="none"/>
          <w:lang w:eastAsia="zh-CN"/>
        </w:rPr>
        <w:t xml:space="preserve">G53A00625001578 </w:t>
      </w:r>
    </w:p>
    <w:p w14:paraId="5B4A9086">
      <w:pPr>
        <w:pStyle w:val="16"/>
        <w:autoSpaceDE w:val="0"/>
        <w:autoSpaceDN w:val="0"/>
        <w:adjustRightInd w:val="0"/>
        <w:spacing w:line="360" w:lineRule="auto"/>
        <w:jc w:val="center"/>
        <w:rPr>
          <w:rFonts w:hint="default" w:hAnsi="宋体"/>
          <w:bCs/>
          <w:color w:val="000000"/>
          <w:sz w:val="32"/>
          <w:szCs w:val="32"/>
          <w:highlight w:val="none"/>
          <w:lang w:val="en-US" w:eastAsia="zh-CN"/>
        </w:rPr>
      </w:pPr>
      <w:r>
        <w:rPr>
          <w:rFonts w:hint="eastAsia" w:hAnsi="宋体"/>
          <w:bCs/>
          <w:color w:val="000000"/>
          <w:sz w:val="32"/>
          <w:szCs w:val="32"/>
          <w:highlight w:val="none"/>
          <w:lang w:val="en-US" w:eastAsia="zh-CN"/>
        </w:rPr>
        <w:t>政采云项目编号：YNZC2025-G3-05962-YZGF-1345</w:t>
      </w:r>
    </w:p>
    <w:p w14:paraId="5A525848">
      <w:pPr>
        <w:pStyle w:val="16"/>
        <w:rPr>
          <w:rFonts w:hAnsi="宋体"/>
          <w:color w:val="000000"/>
        </w:rPr>
      </w:pPr>
    </w:p>
    <w:p w14:paraId="2411B1F4">
      <w:pPr>
        <w:pStyle w:val="16"/>
        <w:rPr>
          <w:rFonts w:hAnsi="宋体"/>
          <w:color w:val="000000"/>
        </w:rPr>
      </w:pPr>
    </w:p>
    <w:p w14:paraId="55E4916A">
      <w:pPr>
        <w:pStyle w:val="16"/>
        <w:rPr>
          <w:rFonts w:hAnsi="宋体"/>
          <w:color w:val="000000"/>
        </w:rPr>
      </w:pPr>
    </w:p>
    <w:p w14:paraId="3CAB7D0E">
      <w:pPr>
        <w:pStyle w:val="16"/>
        <w:rPr>
          <w:rFonts w:hAnsi="宋体"/>
          <w:color w:val="000000"/>
        </w:rPr>
      </w:pPr>
    </w:p>
    <w:p w14:paraId="19E94AFE">
      <w:pPr>
        <w:pStyle w:val="16"/>
        <w:rPr>
          <w:rFonts w:hAnsi="宋体"/>
          <w:color w:val="000000"/>
        </w:rPr>
      </w:pPr>
    </w:p>
    <w:p w14:paraId="25EEC200">
      <w:pPr>
        <w:pStyle w:val="16"/>
        <w:jc w:val="center"/>
        <w:rPr>
          <w:rFonts w:hAnsi="宋体"/>
          <w:b/>
          <w:bCs/>
          <w:color w:val="000000"/>
          <w:sz w:val="32"/>
        </w:rPr>
      </w:pPr>
      <w:r>
        <w:rPr>
          <w:rFonts w:hint="eastAsia" w:hAnsi="宋体"/>
          <w:b/>
          <w:bCs/>
          <w:color w:val="000000"/>
          <w:sz w:val="32"/>
        </w:rPr>
        <w:t xml:space="preserve">采  购  </w:t>
      </w:r>
      <w:r>
        <w:rPr>
          <w:rFonts w:hAnsi="宋体"/>
          <w:b/>
          <w:bCs/>
          <w:color w:val="000000"/>
          <w:sz w:val="32"/>
        </w:rPr>
        <w:t>人</w:t>
      </w:r>
      <w:r>
        <w:rPr>
          <w:rFonts w:hint="eastAsia" w:hAnsi="宋体"/>
          <w:b/>
          <w:bCs/>
          <w:color w:val="000000"/>
          <w:sz w:val="32"/>
        </w:rPr>
        <w:t>：云南省体育彩票管理中心</w:t>
      </w:r>
    </w:p>
    <w:p w14:paraId="539537AA">
      <w:pPr>
        <w:pStyle w:val="16"/>
        <w:jc w:val="center"/>
        <w:rPr>
          <w:rFonts w:hAnsi="宋体"/>
          <w:b/>
          <w:bCs/>
          <w:color w:val="000000"/>
          <w:sz w:val="32"/>
        </w:rPr>
      </w:pPr>
      <w:r>
        <w:rPr>
          <w:rFonts w:hint="eastAsia" w:hAnsi="宋体"/>
          <w:b/>
          <w:bCs/>
          <w:color w:val="000000"/>
          <w:sz w:val="32"/>
        </w:rPr>
        <w:t>采购代理机构：云南招标股份有限公司</w:t>
      </w:r>
    </w:p>
    <w:p w14:paraId="1E856168">
      <w:pPr>
        <w:pStyle w:val="16"/>
        <w:jc w:val="center"/>
        <w:rPr>
          <w:rFonts w:hAnsi="宋体"/>
          <w:b/>
          <w:color w:val="000000"/>
          <w:sz w:val="36"/>
        </w:rPr>
      </w:pPr>
      <w:r>
        <w:rPr>
          <w:rFonts w:hint="eastAsia" w:hAnsi="宋体"/>
          <w:b/>
          <w:bCs/>
          <w:color w:val="000000"/>
          <w:sz w:val="32"/>
        </w:rPr>
        <w:t>2025年09月</w:t>
      </w:r>
    </w:p>
    <w:p w14:paraId="7DF694CA">
      <w:pPr>
        <w:pStyle w:val="16"/>
        <w:jc w:val="center"/>
        <w:rPr>
          <w:rFonts w:hAnsi="宋体"/>
          <w:b/>
          <w:color w:val="000000"/>
          <w:sz w:val="44"/>
        </w:rPr>
      </w:pPr>
      <w:r>
        <w:rPr>
          <w:rFonts w:hAnsi="宋体"/>
          <w:b/>
          <w:color w:val="000000"/>
          <w:sz w:val="44"/>
        </w:rPr>
        <w:br w:type="page"/>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3"/>
        <w:gridCol w:w="2055"/>
        <w:gridCol w:w="5794"/>
      </w:tblGrid>
      <w:tr w14:paraId="5F30C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0" w:hRule="atLeast"/>
          <w:jc w:val="center"/>
        </w:trPr>
        <w:tc>
          <w:tcPr>
            <w:tcW w:w="9322" w:type="dxa"/>
            <w:gridSpan w:val="3"/>
          </w:tcPr>
          <w:p w14:paraId="77B70A8E">
            <w:pPr>
              <w:rPr>
                <w:rFonts w:ascii="宋体" w:hAnsi="宋体"/>
                <w:b/>
                <w:color w:val="000000"/>
              </w:rPr>
            </w:pPr>
          </w:p>
          <w:p w14:paraId="441CEF7C">
            <w:pPr>
              <w:rPr>
                <w:rFonts w:ascii="宋体" w:hAnsi="宋体"/>
                <w:b/>
                <w:color w:val="000000"/>
              </w:rPr>
            </w:pPr>
          </w:p>
          <w:p w14:paraId="251C324E">
            <w:pPr>
              <w:rPr>
                <w:rFonts w:ascii="宋体" w:hAnsi="宋体"/>
                <w:b/>
                <w:color w:val="000000"/>
              </w:rPr>
            </w:pPr>
          </w:p>
          <w:p w14:paraId="45C28E09">
            <w:pPr>
              <w:jc w:val="center"/>
              <w:rPr>
                <w:rFonts w:ascii="宋体" w:hAnsi="宋体"/>
                <w:b/>
                <w:color w:val="000000"/>
                <w:sz w:val="52"/>
                <w:szCs w:val="52"/>
              </w:rPr>
            </w:pPr>
            <w:r>
              <w:rPr>
                <w:rFonts w:hint="eastAsia" w:ascii="宋体" w:hAnsi="宋体"/>
                <w:b/>
                <w:color w:val="000000"/>
                <w:sz w:val="52"/>
                <w:szCs w:val="52"/>
              </w:rPr>
              <w:t>招 标 文 件</w:t>
            </w:r>
          </w:p>
          <w:p w14:paraId="53CFD5D8">
            <w:pPr>
              <w:rPr>
                <w:rFonts w:ascii="宋体" w:hAnsi="宋体"/>
                <w:b/>
                <w:color w:val="000000"/>
              </w:rPr>
            </w:pPr>
          </w:p>
          <w:p w14:paraId="674BB2DB">
            <w:pPr>
              <w:rPr>
                <w:rFonts w:ascii="宋体" w:hAnsi="宋体"/>
                <w:b/>
                <w:color w:val="000000"/>
              </w:rPr>
            </w:pPr>
          </w:p>
          <w:p w14:paraId="5E197145">
            <w:pPr>
              <w:rPr>
                <w:rFonts w:ascii="宋体" w:hAnsi="宋体"/>
                <w:b/>
                <w:color w:val="000000"/>
              </w:rPr>
            </w:pPr>
          </w:p>
          <w:p w14:paraId="111B4B9F">
            <w:pPr>
              <w:rPr>
                <w:rFonts w:ascii="宋体" w:hAnsi="宋体"/>
                <w:b/>
                <w:color w:val="000000"/>
              </w:rPr>
            </w:pPr>
          </w:p>
        </w:tc>
      </w:tr>
      <w:tr w14:paraId="71D75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1473" w:type="dxa"/>
            <w:vAlign w:val="center"/>
          </w:tcPr>
          <w:p w14:paraId="6D5A2205">
            <w:pPr>
              <w:spacing w:line="360" w:lineRule="auto"/>
              <w:rPr>
                <w:rFonts w:ascii="宋体" w:hAnsi="宋体"/>
                <w:color w:val="000000"/>
              </w:rPr>
            </w:pPr>
            <w:r>
              <w:rPr>
                <w:rFonts w:hint="eastAsia" w:ascii="宋体" w:hAnsi="宋体"/>
                <w:color w:val="000000"/>
              </w:rPr>
              <w:t>部门：</w:t>
            </w:r>
          </w:p>
        </w:tc>
        <w:tc>
          <w:tcPr>
            <w:tcW w:w="2055" w:type="dxa"/>
            <w:vAlign w:val="center"/>
          </w:tcPr>
          <w:p w14:paraId="35D8063D">
            <w:pPr>
              <w:spacing w:line="360" w:lineRule="auto"/>
              <w:rPr>
                <w:rFonts w:ascii="宋体" w:hAnsi="宋体"/>
                <w:color w:val="000000"/>
              </w:rPr>
            </w:pPr>
            <w:r>
              <w:rPr>
                <w:rFonts w:hint="eastAsia" w:ascii="宋体" w:hAnsi="宋体"/>
                <w:color w:val="000000"/>
              </w:rPr>
              <w:t>招标</w:t>
            </w:r>
            <w:r>
              <w:rPr>
                <w:rFonts w:hint="eastAsia" w:ascii="宋体" w:hAnsi="宋体"/>
                <w:color w:val="000000"/>
                <w:u w:val="single"/>
              </w:rPr>
              <w:t>六</w:t>
            </w:r>
            <w:r>
              <w:rPr>
                <w:rFonts w:hint="eastAsia" w:ascii="宋体" w:hAnsi="宋体"/>
                <w:color w:val="000000"/>
              </w:rPr>
              <w:t>部</w:t>
            </w:r>
          </w:p>
        </w:tc>
        <w:tc>
          <w:tcPr>
            <w:tcW w:w="5794" w:type="dxa"/>
            <w:vMerge w:val="restart"/>
            <w:vAlign w:val="center"/>
          </w:tcPr>
          <w:p w14:paraId="3B7425B5">
            <w:pPr>
              <w:ind w:left="1400" w:hanging="1400" w:hangingChars="500"/>
              <w:rPr>
                <w:rFonts w:ascii="宋体" w:hAnsi="宋体"/>
                <w:color w:val="000000"/>
                <w:u w:val="single"/>
              </w:rPr>
            </w:pPr>
            <w:r>
              <w:rPr>
                <w:rFonts w:hint="eastAsia" w:ascii="宋体" w:hAnsi="宋体"/>
                <w:color w:val="000000"/>
              </w:rPr>
              <w:t>项目名称：</w:t>
            </w:r>
            <w:r>
              <w:rPr>
                <w:rFonts w:hint="eastAsia" w:ascii="宋体" w:hAnsi="宋体"/>
                <w:color w:val="000000"/>
                <w:u w:val="single"/>
              </w:rPr>
              <w:t xml:space="preserve">云南省体育彩票管理中心2025年即开型体育彩票物流服务采购项目 </w:t>
            </w:r>
          </w:p>
        </w:tc>
      </w:tr>
      <w:tr w14:paraId="4CF40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1473" w:type="dxa"/>
            <w:vAlign w:val="center"/>
          </w:tcPr>
          <w:p w14:paraId="6D6C5A0E">
            <w:pPr>
              <w:spacing w:line="360" w:lineRule="auto"/>
              <w:rPr>
                <w:rFonts w:ascii="宋体" w:hAnsi="宋体"/>
                <w:color w:val="000000"/>
              </w:rPr>
            </w:pPr>
            <w:r>
              <w:rPr>
                <w:rFonts w:hint="eastAsia" w:ascii="宋体" w:hAnsi="宋体"/>
                <w:color w:val="000000"/>
              </w:rPr>
              <w:t>编制：</w:t>
            </w:r>
          </w:p>
        </w:tc>
        <w:tc>
          <w:tcPr>
            <w:tcW w:w="2055" w:type="dxa"/>
            <w:vAlign w:val="center"/>
          </w:tcPr>
          <w:p w14:paraId="70C7C6A4">
            <w:pPr>
              <w:spacing w:line="360" w:lineRule="auto"/>
              <w:rPr>
                <w:rFonts w:ascii="宋体" w:hAnsi="宋体"/>
                <w:color w:val="000000"/>
                <w:u w:val="single"/>
              </w:rPr>
            </w:pPr>
            <w:r>
              <w:rPr>
                <w:rFonts w:hint="eastAsia" w:ascii="宋体" w:hAnsi="宋体"/>
                <w:color w:val="000000"/>
                <w:u w:val="single"/>
              </w:rPr>
              <w:t>胡家滔</w:t>
            </w:r>
          </w:p>
        </w:tc>
        <w:tc>
          <w:tcPr>
            <w:tcW w:w="5794" w:type="dxa"/>
            <w:vMerge w:val="continue"/>
          </w:tcPr>
          <w:p w14:paraId="3B1C6FA6">
            <w:pPr>
              <w:rPr>
                <w:rFonts w:ascii="宋体" w:hAnsi="宋体"/>
                <w:color w:val="000000"/>
              </w:rPr>
            </w:pPr>
          </w:p>
        </w:tc>
      </w:tr>
      <w:tr w14:paraId="19F49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1473" w:type="dxa"/>
            <w:vAlign w:val="center"/>
          </w:tcPr>
          <w:p w14:paraId="48B1E13C">
            <w:pPr>
              <w:spacing w:line="360" w:lineRule="auto"/>
              <w:rPr>
                <w:rFonts w:ascii="宋体" w:hAnsi="宋体"/>
                <w:color w:val="000000"/>
              </w:rPr>
            </w:pPr>
            <w:r>
              <w:rPr>
                <w:rFonts w:hint="eastAsia" w:ascii="宋体" w:hAnsi="宋体"/>
                <w:color w:val="000000"/>
              </w:rPr>
              <w:t>校核：</w:t>
            </w:r>
          </w:p>
        </w:tc>
        <w:tc>
          <w:tcPr>
            <w:tcW w:w="2055" w:type="dxa"/>
            <w:vAlign w:val="center"/>
          </w:tcPr>
          <w:p w14:paraId="6B1A9D53">
            <w:pPr>
              <w:spacing w:line="360" w:lineRule="auto"/>
              <w:rPr>
                <w:rFonts w:ascii="宋体" w:hAnsi="宋体"/>
                <w:color w:val="000000"/>
                <w:u w:val="single"/>
              </w:rPr>
            </w:pPr>
            <w:r>
              <w:rPr>
                <w:rFonts w:hint="eastAsia" w:ascii="宋体" w:hAnsi="宋体"/>
                <w:color w:val="000000"/>
                <w:u w:val="single"/>
              </w:rPr>
              <w:t xml:space="preserve">袁 </w:t>
            </w:r>
            <w:r>
              <w:rPr>
                <w:rFonts w:ascii="宋体" w:hAnsi="宋体"/>
                <w:color w:val="000000"/>
                <w:u w:val="single"/>
              </w:rPr>
              <w:t xml:space="preserve"> </w:t>
            </w:r>
            <w:r>
              <w:rPr>
                <w:rFonts w:hint="eastAsia" w:ascii="宋体" w:hAnsi="宋体"/>
                <w:color w:val="000000"/>
                <w:u w:val="single"/>
              </w:rPr>
              <w:t>艳</w:t>
            </w:r>
          </w:p>
        </w:tc>
        <w:tc>
          <w:tcPr>
            <w:tcW w:w="5794" w:type="dxa"/>
          </w:tcPr>
          <w:p w14:paraId="771273E2">
            <w:pPr>
              <w:spacing w:line="360" w:lineRule="auto"/>
              <w:rPr>
                <w:rFonts w:ascii="宋体" w:hAnsi="宋体"/>
                <w:color w:val="000000"/>
                <w:u w:val="single"/>
              </w:rPr>
            </w:pPr>
            <w:r>
              <w:rPr>
                <w:rFonts w:hint="eastAsia" w:ascii="宋体" w:hAnsi="宋体"/>
                <w:color w:val="000000"/>
              </w:rPr>
              <w:t>采购人：</w:t>
            </w:r>
            <w:r>
              <w:rPr>
                <w:rFonts w:hint="eastAsia" w:ascii="宋体" w:hAnsi="宋体"/>
                <w:color w:val="000000"/>
                <w:u w:val="single"/>
              </w:rPr>
              <w:t>云南省体育彩票管理中心</w:t>
            </w:r>
          </w:p>
        </w:tc>
      </w:tr>
      <w:tr w14:paraId="2CD40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1473" w:type="dxa"/>
            <w:vAlign w:val="center"/>
          </w:tcPr>
          <w:p w14:paraId="56C4921F">
            <w:pPr>
              <w:spacing w:line="360" w:lineRule="auto"/>
              <w:rPr>
                <w:rFonts w:ascii="宋体" w:hAnsi="宋体"/>
                <w:color w:val="000000"/>
              </w:rPr>
            </w:pPr>
            <w:r>
              <w:rPr>
                <w:rFonts w:hint="eastAsia" w:ascii="宋体" w:hAnsi="宋体"/>
                <w:color w:val="000000"/>
              </w:rPr>
              <w:t>批准：</w:t>
            </w:r>
          </w:p>
        </w:tc>
        <w:tc>
          <w:tcPr>
            <w:tcW w:w="2055" w:type="dxa"/>
            <w:vAlign w:val="center"/>
          </w:tcPr>
          <w:p w14:paraId="4E26873A">
            <w:pPr>
              <w:spacing w:line="360" w:lineRule="auto"/>
              <w:rPr>
                <w:rFonts w:ascii="宋体" w:hAnsi="宋体"/>
                <w:color w:val="000000"/>
                <w:u w:val="single"/>
              </w:rPr>
            </w:pPr>
            <w:r>
              <w:rPr>
                <w:rFonts w:hint="eastAsia" w:ascii="宋体" w:hAnsi="宋体"/>
                <w:color w:val="000000"/>
                <w:u w:val="single"/>
              </w:rPr>
              <w:t>崔宇</w:t>
            </w:r>
            <w:r>
              <w:rPr>
                <w:rFonts w:ascii="宋体" w:hAnsi="宋体"/>
                <w:color w:val="000000"/>
                <w:u w:val="single"/>
              </w:rPr>
              <w:t>波</w:t>
            </w:r>
          </w:p>
        </w:tc>
        <w:tc>
          <w:tcPr>
            <w:tcW w:w="5794" w:type="dxa"/>
          </w:tcPr>
          <w:p w14:paraId="371E9F5A">
            <w:pPr>
              <w:spacing w:line="360" w:lineRule="auto"/>
              <w:rPr>
                <w:rFonts w:hint="eastAsia" w:ascii="宋体" w:hAnsi="宋体" w:eastAsia="宋体"/>
                <w:color w:val="000000"/>
                <w:u w:val="single"/>
                <w:lang w:eastAsia="zh-CN"/>
              </w:rPr>
            </w:pPr>
            <w:r>
              <w:rPr>
                <w:rFonts w:hint="eastAsia" w:ascii="宋体" w:hAnsi="宋体"/>
                <w:color w:val="000000"/>
              </w:rPr>
              <w:t>招标编号：</w:t>
            </w:r>
            <w:r>
              <w:rPr>
                <w:rFonts w:hint="eastAsia" w:ascii="宋体" w:hAnsi="宋体"/>
                <w:color w:val="000000"/>
                <w:highlight w:val="none"/>
                <w:u w:val="single"/>
                <w:lang w:eastAsia="zh-CN"/>
              </w:rPr>
              <w:t xml:space="preserve">G53A00625001578 </w:t>
            </w:r>
          </w:p>
        </w:tc>
      </w:tr>
      <w:tr w14:paraId="0A76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473" w:type="dxa"/>
            <w:vAlign w:val="center"/>
          </w:tcPr>
          <w:p w14:paraId="5E04640A">
            <w:pPr>
              <w:spacing w:line="360" w:lineRule="auto"/>
              <w:rPr>
                <w:rFonts w:ascii="宋体" w:hAnsi="宋体"/>
                <w:color w:val="000000"/>
              </w:rPr>
            </w:pPr>
            <w:r>
              <w:rPr>
                <w:rFonts w:hint="eastAsia" w:ascii="宋体" w:hAnsi="宋体"/>
                <w:color w:val="000000"/>
              </w:rPr>
              <w:t>日期：</w:t>
            </w:r>
          </w:p>
        </w:tc>
        <w:tc>
          <w:tcPr>
            <w:tcW w:w="2055" w:type="dxa"/>
            <w:vAlign w:val="center"/>
          </w:tcPr>
          <w:p w14:paraId="697EAAB3">
            <w:pPr>
              <w:spacing w:line="360" w:lineRule="auto"/>
              <w:rPr>
                <w:rFonts w:ascii="宋体" w:hAnsi="宋体"/>
                <w:color w:val="000000"/>
                <w:u w:val="single"/>
              </w:rPr>
            </w:pPr>
            <w:r>
              <w:rPr>
                <w:rFonts w:hint="eastAsia" w:ascii="宋体" w:hAnsi="宋体"/>
                <w:color w:val="000000"/>
                <w:u w:val="single"/>
              </w:rPr>
              <w:t>2025.09</w:t>
            </w:r>
          </w:p>
        </w:tc>
        <w:tc>
          <w:tcPr>
            <w:tcW w:w="5794" w:type="dxa"/>
          </w:tcPr>
          <w:p w14:paraId="3B67716A">
            <w:pPr>
              <w:spacing w:line="360" w:lineRule="auto"/>
              <w:rPr>
                <w:rFonts w:ascii="宋体" w:hAnsi="宋体"/>
                <w:color w:val="000000"/>
              </w:rPr>
            </w:pPr>
            <w:r>
              <w:rPr>
                <w:rFonts w:hint="eastAsia" w:ascii="宋体" w:hAnsi="宋体"/>
                <w:color w:val="000000"/>
              </w:rPr>
              <w:t>版次：</w:t>
            </w:r>
            <w:r>
              <w:rPr>
                <w:rFonts w:ascii="宋体" w:hAnsi="宋体"/>
                <w:color w:val="000000"/>
                <w:u w:val="single"/>
              </w:rPr>
              <w:t>01</w:t>
            </w:r>
          </w:p>
        </w:tc>
      </w:tr>
    </w:tbl>
    <w:p w14:paraId="09E08F77">
      <w:pPr>
        <w:rPr>
          <w:rFonts w:ascii="宋体" w:hAnsi="宋体"/>
          <w:b/>
          <w:color w:val="000000"/>
          <w:sz w:val="24"/>
        </w:rPr>
      </w:pPr>
    </w:p>
    <w:p w14:paraId="06EC7CD5">
      <w:pPr>
        <w:rPr>
          <w:rFonts w:ascii="宋体" w:hAnsi="宋体"/>
          <w:b/>
          <w:color w:val="000000"/>
          <w:sz w:val="24"/>
        </w:rPr>
      </w:pPr>
    </w:p>
    <w:p w14:paraId="397DBE7D">
      <w:pPr>
        <w:rPr>
          <w:rFonts w:ascii="宋体" w:hAnsi="宋体"/>
          <w:b/>
          <w:color w:val="000000"/>
          <w:sz w:val="24"/>
        </w:rPr>
      </w:pPr>
    </w:p>
    <w:p w14:paraId="28018359">
      <w:pPr>
        <w:rPr>
          <w:rFonts w:ascii="宋体" w:hAnsi="宋体"/>
          <w:b/>
          <w:color w:val="000000"/>
          <w:sz w:val="24"/>
        </w:rPr>
      </w:pPr>
    </w:p>
    <w:p w14:paraId="5D18C12D">
      <w:pPr>
        <w:pStyle w:val="16"/>
        <w:spacing w:line="400" w:lineRule="exact"/>
        <w:jc w:val="center"/>
        <w:rPr>
          <w:rFonts w:hAnsi="宋体"/>
          <w:color w:val="000000"/>
          <w:sz w:val="44"/>
        </w:rPr>
      </w:pPr>
      <w:r>
        <w:rPr>
          <w:rFonts w:hAnsi="宋体"/>
          <w:color w:val="000000"/>
          <w:sz w:val="44"/>
        </w:rPr>
        <w:br w:type="page"/>
      </w:r>
    </w:p>
    <w:p w14:paraId="19B7BF01">
      <w:pPr>
        <w:pStyle w:val="16"/>
        <w:spacing w:line="400" w:lineRule="exact"/>
        <w:jc w:val="center"/>
        <w:rPr>
          <w:rFonts w:hAnsi="宋体"/>
          <w:b/>
          <w:color w:val="000000"/>
          <w:sz w:val="32"/>
          <w:szCs w:val="32"/>
        </w:rPr>
      </w:pPr>
      <w:r>
        <w:rPr>
          <w:rFonts w:hint="eastAsia" w:hAnsi="宋体"/>
          <w:b/>
          <w:color w:val="000000"/>
          <w:sz w:val="32"/>
          <w:szCs w:val="32"/>
        </w:rPr>
        <w:t>目     录</w:t>
      </w:r>
    </w:p>
    <w:p w14:paraId="3927532B">
      <w:pPr>
        <w:pStyle w:val="16"/>
        <w:spacing w:line="400" w:lineRule="exact"/>
        <w:jc w:val="center"/>
        <w:rPr>
          <w:rFonts w:hAnsi="宋体"/>
          <w:color w:val="000000"/>
          <w:sz w:val="32"/>
          <w:szCs w:val="32"/>
        </w:rPr>
      </w:pPr>
    </w:p>
    <w:p w14:paraId="34AE6F3D">
      <w:pPr>
        <w:pStyle w:val="22"/>
        <w:ind w:firstLine="156"/>
        <w:rPr>
          <w:rFonts w:ascii="Calibri" w:hAnsi="Calibri"/>
          <w:b w:val="0"/>
          <w:bCs w:val="0"/>
          <w:caps w:val="0"/>
          <w:sz w:val="21"/>
          <w:szCs w:val="21"/>
        </w:rPr>
      </w:pPr>
      <w:r>
        <w:rPr>
          <w:rFonts w:ascii="宋体" w:hAnsi="宋体"/>
          <w:bCs w:val="0"/>
          <w:caps w:val="0"/>
          <w:smallCaps/>
          <w:color w:val="000000"/>
          <w:sz w:val="21"/>
          <w:szCs w:val="21"/>
        </w:rPr>
        <w:fldChar w:fldCharType="begin"/>
      </w:r>
      <w:r>
        <w:rPr>
          <w:rFonts w:ascii="宋体" w:hAnsi="宋体"/>
          <w:bCs w:val="0"/>
          <w:caps w:val="0"/>
          <w:smallCaps/>
          <w:color w:val="000000"/>
          <w:sz w:val="21"/>
          <w:szCs w:val="21"/>
        </w:rPr>
        <w:instrText xml:space="preserve"> TOC \o "1-2" \h \z \u </w:instrText>
      </w:r>
      <w:r>
        <w:rPr>
          <w:rFonts w:ascii="宋体" w:hAnsi="宋体"/>
          <w:bCs w:val="0"/>
          <w:caps w:val="0"/>
          <w:smallCaps/>
          <w:color w:val="000000"/>
          <w:sz w:val="21"/>
          <w:szCs w:val="21"/>
        </w:rPr>
        <w:fldChar w:fldCharType="separate"/>
      </w:r>
      <w:r>
        <w:fldChar w:fldCharType="begin"/>
      </w:r>
      <w:r>
        <w:instrText xml:space="preserve"> HYPERLINK \l "_Toc152246133" </w:instrText>
      </w:r>
      <w:r>
        <w:fldChar w:fldCharType="separate"/>
      </w:r>
      <w:r>
        <w:rPr>
          <w:rStyle w:val="38"/>
          <w:rFonts w:hint="eastAsia" w:ascii="宋体" w:hAnsi="宋体"/>
          <w:sz w:val="21"/>
          <w:szCs w:val="21"/>
        </w:rPr>
        <w:t>第一章</w:t>
      </w:r>
      <w:r>
        <w:rPr>
          <w:rStyle w:val="38"/>
          <w:rFonts w:ascii="宋体" w:hAnsi="宋体"/>
          <w:sz w:val="21"/>
          <w:szCs w:val="21"/>
        </w:rPr>
        <w:t xml:space="preserve"> </w:t>
      </w:r>
      <w:r>
        <w:rPr>
          <w:rStyle w:val="38"/>
          <w:rFonts w:hint="eastAsia" w:ascii="宋体" w:hAnsi="宋体"/>
          <w:sz w:val="21"/>
          <w:szCs w:val="21"/>
        </w:rPr>
        <w:t>公开招标公告</w:t>
      </w:r>
      <w:r>
        <w:rPr>
          <w:sz w:val="21"/>
          <w:szCs w:val="21"/>
        </w:rPr>
        <w:tab/>
      </w:r>
      <w:r>
        <w:rPr>
          <w:sz w:val="21"/>
          <w:szCs w:val="21"/>
        </w:rPr>
        <w:fldChar w:fldCharType="begin"/>
      </w:r>
      <w:r>
        <w:rPr>
          <w:sz w:val="21"/>
          <w:szCs w:val="21"/>
        </w:rPr>
        <w:instrText xml:space="preserve"> PAGEREF _Toc152246133 \h </w:instrText>
      </w:r>
      <w:r>
        <w:rPr>
          <w:sz w:val="21"/>
          <w:szCs w:val="21"/>
        </w:rPr>
        <w:fldChar w:fldCharType="separate"/>
      </w:r>
      <w:r>
        <w:rPr>
          <w:sz w:val="21"/>
          <w:szCs w:val="21"/>
        </w:rPr>
        <w:t>3</w:t>
      </w:r>
      <w:r>
        <w:rPr>
          <w:sz w:val="21"/>
          <w:szCs w:val="21"/>
        </w:rPr>
        <w:fldChar w:fldCharType="end"/>
      </w:r>
      <w:r>
        <w:rPr>
          <w:sz w:val="21"/>
          <w:szCs w:val="21"/>
        </w:rPr>
        <w:fldChar w:fldCharType="end"/>
      </w:r>
    </w:p>
    <w:p w14:paraId="22EE501A">
      <w:pPr>
        <w:pStyle w:val="24"/>
        <w:rPr>
          <w:rFonts w:ascii="Calibri" w:hAnsi="Calibri"/>
          <w:smallCaps w:val="0"/>
          <w:sz w:val="21"/>
          <w:szCs w:val="21"/>
        </w:rPr>
      </w:pPr>
      <w:r>
        <w:fldChar w:fldCharType="begin"/>
      </w:r>
      <w:r>
        <w:instrText xml:space="preserve"> HYPERLINK \l "_Toc152246134" </w:instrText>
      </w:r>
      <w:r>
        <w:fldChar w:fldCharType="separate"/>
      </w:r>
      <w:r>
        <w:rPr>
          <w:rStyle w:val="38"/>
          <w:rFonts w:hint="eastAsia" w:ascii="宋体" w:hAnsi="宋体" w:cs="宋体"/>
          <w:b/>
          <w:kern w:val="0"/>
          <w:sz w:val="21"/>
          <w:szCs w:val="21"/>
        </w:rPr>
        <w:t>一、项目基本情况</w:t>
      </w:r>
      <w:r>
        <w:rPr>
          <w:sz w:val="21"/>
          <w:szCs w:val="21"/>
        </w:rPr>
        <w:tab/>
      </w:r>
      <w:r>
        <w:rPr>
          <w:sz w:val="21"/>
          <w:szCs w:val="21"/>
        </w:rPr>
        <w:fldChar w:fldCharType="begin"/>
      </w:r>
      <w:r>
        <w:rPr>
          <w:sz w:val="21"/>
          <w:szCs w:val="21"/>
        </w:rPr>
        <w:instrText xml:space="preserve"> PAGEREF _Toc152246134 \h </w:instrText>
      </w:r>
      <w:r>
        <w:rPr>
          <w:sz w:val="21"/>
          <w:szCs w:val="21"/>
        </w:rPr>
        <w:fldChar w:fldCharType="separate"/>
      </w:r>
      <w:r>
        <w:rPr>
          <w:sz w:val="21"/>
          <w:szCs w:val="21"/>
        </w:rPr>
        <w:t>3</w:t>
      </w:r>
      <w:r>
        <w:rPr>
          <w:sz w:val="21"/>
          <w:szCs w:val="21"/>
        </w:rPr>
        <w:fldChar w:fldCharType="end"/>
      </w:r>
      <w:r>
        <w:rPr>
          <w:sz w:val="21"/>
          <w:szCs w:val="21"/>
        </w:rPr>
        <w:fldChar w:fldCharType="end"/>
      </w:r>
    </w:p>
    <w:p w14:paraId="2B83C03A">
      <w:pPr>
        <w:pStyle w:val="24"/>
        <w:rPr>
          <w:rFonts w:ascii="Calibri" w:hAnsi="Calibri"/>
          <w:smallCaps w:val="0"/>
          <w:sz w:val="21"/>
          <w:szCs w:val="21"/>
        </w:rPr>
      </w:pPr>
      <w:r>
        <w:fldChar w:fldCharType="begin"/>
      </w:r>
      <w:r>
        <w:instrText xml:space="preserve"> HYPERLINK \l "_Toc152246135" </w:instrText>
      </w:r>
      <w:r>
        <w:fldChar w:fldCharType="separate"/>
      </w:r>
      <w:r>
        <w:rPr>
          <w:rStyle w:val="38"/>
          <w:rFonts w:hint="eastAsia" w:ascii="宋体" w:hAnsi="宋体" w:cs="宋体"/>
          <w:b/>
          <w:kern w:val="0"/>
          <w:sz w:val="21"/>
          <w:szCs w:val="21"/>
        </w:rPr>
        <w:t>二、申请人的资格要求：</w:t>
      </w:r>
      <w:r>
        <w:rPr>
          <w:sz w:val="21"/>
          <w:szCs w:val="21"/>
        </w:rPr>
        <w:tab/>
      </w:r>
      <w:r>
        <w:rPr>
          <w:sz w:val="21"/>
          <w:szCs w:val="21"/>
        </w:rPr>
        <w:fldChar w:fldCharType="begin"/>
      </w:r>
      <w:r>
        <w:rPr>
          <w:sz w:val="21"/>
          <w:szCs w:val="21"/>
        </w:rPr>
        <w:instrText xml:space="preserve"> PAGEREF _Toc152246135 \h </w:instrText>
      </w:r>
      <w:r>
        <w:rPr>
          <w:sz w:val="21"/>
          <w:szCs w:val="21"/>
        </w:rPr>
        <w:fldChar w:fldCharType="separate"/>
      </w:r>
      <w:r>
        <w:rPr>
          <w:sz w:val="21"/>
          <w:szCs w:val="21"/>
        </w:rPr>
        <w:t>3</w:t>
      </w:r>
      <w:r>
        <w:rPr>
          <w:sz w:val="21"/>
          <w:szCs w:val="21"/>
        </w:rPr>
        <w:fldChar w:fldCharType="end"/>
      </w:r>
      <w:r>
        <w:rPr>
          <w:sz w:val="21"/>
          <w:szCs w:val="21"/>
        </w:rPr>
        <w:fldChar w:fldCharType="end"/>
      </w:r>
    </w:p>
    <w:p w14:paraId="78722F2F">
      <w:pPr>
        <w:pStyle w:val="24"/>
        <w:rPr>
          <w:rFonts w:ascii="Calibri" w:hAnsi="Calibri"/>
          <w:smallCaps w:val="0"/>
          <w:sz w:val="21"/>
          <w:szCs w:val="21"/>
        </w:rPr>
      </w:pPr>
      <w:r>
        <w:fldChar w:fldCharType="begin"/>
      </w:r>
      <w:r>
        <w:instrText xml:space="preserve"> HYPERLINK \l "_Toc152246136" </w:instrText>
      </w:r>
      <w:r>
        <w:fldChar w:fldCharType="separate"/>
      </w:r>
      <w:r>
        <w:rPr>
          <w:rStyle w:val="38"/>
          <w:rFonts w:hint="eastAsia" w:ascii="宋体" w:hAnsi="宋体" w:cs="宋体"/>
          <w:b/>
          <w:kern w:val="0"/>
          <w:sz w:val="21"/>
          <w:szCs w:val="21"/>
        </w:rPr>
        <w:t>三、获取招标文件</w:t>
      </w:r>
      <w:r>
        <w:rPr>
          <w:sz w:val="21"/>
          <w:szCs w:val="21"/>
        </w:rPr>
        <w:tab/>
      </w:r>
      <w:r>
        <w:rPr>
          <w:sz w:val="21"/>
          <w:szCs w:val="21"/>
        </w:rPr>
        <w:fldChar w:fldCharType="begin"/>
      </w:r>
      <w:r>
        <w:rPr>
          <w:sz w:val="21"/>
          <w:szCs w:val="21"/>
        </w:rPr>
        <w:instrText xml:space="preserve"> PAGEREF _Toc152246136 \h </w:instrText>
      </w:r>
      <w:r>
        <w:rPr>
          <w:sz w:val="21"/>
          <w:szCs w:val="21"/>
        </w:rPr>
        <w:fldChar w:fldCharType="separate"/>
      </w:r>
      <w:r>
        <w:rPr>
          <w:sz w:val="21"/>
          <w:szCs w:val="21"/>
        </w:rPr>
        <w:t>4</w:t>
      </w:r>
      <w:r>
        <w:rPr>
          <w:sz w:val="21"/>
          <w:szCs w:val="21"/>
        </w:rPr>
        <w:fldChar w:fldCharType="end"/>
      </w:r>
      <w:r>
        <w:rPr>
          <w:sz w:val="21"/>
          <w:szCs w:val="21"/>
        </w:rPr>
        <w:fldChar w:fldCharType="end"/>
      </w:r>
    </w:p>
    <w:p w14:paraId="4F890E2B">
      <w:pPr>
        <w:pStyle w:val="24"/>
        <w:rPr>
          <w:rFonts w:ascii="Calibri" w:hAnsi="Calibri"/>
          <w:smallCaps w:val="0"/>
          <w:sz w:val="21"/>
          <w:szCs w:val="21"/>
        </w:rPr>
      </w:pPr>
      <w:r>
        <w:fldChar w:fldCharType="begin"/>
      </w:r>
      <w:r>
        <w:instrText xml:space="preserve"> HYPERLINK \l "_Toc152246137" </w:instrText>
      </w:r>
      <w:r>
        <w:fldChar w:fldCharType="separate"/>
      </w:r>
      <w:r>
        <w:rPr>
          <w:rStyle w:val="38"/>
          <w:rFonts w:hint="eastAsia" w:ascii="宋体" w:hAnsi="宋体" w:cs="宋体"/>
          <w:b/>
          <w:kern w:val="0"/>
          <w:sz w:val="21"/>
          <w:szCs w:val="21"/>
        </w:rPr>
        <w:t>四、提交投标文件截止时间、开标时间和地点</w:t>
      </w:r>
      <w:r>
        <w:rPr>
          <w:sz w:val="21"/>
          <w:szCs w:val="21"/>
        </w:rPr>
        <w:tab/>
      </w:r>
      <w:r>
        <w:rPr>
          <w:sz w:val="21"/>
          <w:szCs w:val="21"/>
        </w:rPr>
        <w:fldChar w:fldCharType="begin"/>
      </w:r>
      <w:r>
        <w:rPr>
          <w:sz w:val="21"/>
          <w:szCs w:val="21"/>
        </w:rPr>
        <w:instrText xml:space="preserve"> PAGEREF _Toc152246137 \h </w:instrText>
      </w:r>
      <w:r>
        <w:rPr>
          <w:sz w:val="21"/>
          <w:szCs w:val="21"/>
        </w:rPr>
        <w:fldChar w:fldCharType="separate"/>
      </w:r>
      <w:r>
        <w:rPr>
          <w:sz w:val="21"/>
          <w:szCs w:val="21"/>
        </w:rPr>
        <w:t>4</w:t>
      </w:r>
      <w:r>
        <w:rPr>
          <w:sz w:val="21"/>
          <w:szCs w:val="21"/>
        </w:rPr>
        <w:fldChar w:fldCharType="end"/>
      </w:r>
      <w:r>
        <w:rPr>
          <w:sz w:val="21"/>
          <w:szCs w:val="21"/>
        </w:rPr>
        <w:fldChar w:fldCharType="end"/>
      </w:r>
    </w:p>
    <w:p w14:paraId="57F15745">
      <w:pPr>
        <w:pStyle w:val="24"/>
        <w:rPr>
          <w:rFonts w:ascii="Calibri" w:hAnsi="Calibri"/>
          <w:smallCaps w:val="0"/>
          <w:sz w:val="21"/>
          <w:szCs w:val="21"/>
        </w:rPr>
      </w:pPr>
      <w:r>
        <w:fldChar w:fldCharType="begin"/>
      </w:r>
      <w:r>
        <w:instrText xml:space="preserve"> HYPERLINK \l "_Toc152246138" </w:instrText>
      </w:r>
      <w:r>
        <w:fldChar w:fldCharType="separate"/>
      </w:r>
      <w:r>
        <w:rPr>
          <w:rStyle w:val="38"/>
          <w:rFonts w:hint="eastAsia" w:ascii="宋体" w:hAnsi="宋体" w:cs="宋体"/>
          <w:b/>
          <w:kern w:val="0"/>
          <w:sz w:val="21"/>
          <w:szCs w:val="21"/>
        </w:rPr>
        <w:t>五、公告期限</w:t>
      </w:r>
      <w:r>
        <w:rPr>
          <w:sz w:val="21"/>
          <w:szCs w:val="21"/>
        </w:rPr>
        <w:tab/>
      </w:r>
      <w:r>
        <w:rPr>
          <w:sz w:val="21"/>
          <w:szCs w:val="21"/>
        </w:rPr>
        <w:fldChar w:fldCharType="begin"/>
      </w:r>
      <w:r>
        <w:rPr>
          <w:sz w:val="21"/>
          <w:szCs w:val="21"/>
        </w:rPr>
        <w:instrText xml:space="preserve"> PAGEREF _Toc152246138 \h </w:instrText>
      </w:r>
      <w:r>
        <w:rPr>
          <w:sz w:val="21"/>
          <w:szCs w:val="21"/>
        </w:rPr>
        <w:fldChar w:fldCharType="separate"/>
      </w:r>
      <w:r>
        <w:rPr>
          <w:sz w:val="21"/>
          <w:szCs w:val="21"/>
        </w:rPr>
        <w:t>4</w:t>
      </w:r>
      <w:r>
        <w:rPr>
          <w:sz w:val="21"/>
          <w:szCs w:val="21"/>
        </w:rPr>
        <w:fldChar w:fldCharType="end"/>
      </w:r>
      <w:r>
        <w:rPr>
          <w:sz w:val="21"/>
          <w:szCs w:val="21"/>
        </w:rPr>
        <w:fldChar w:fldCharType="end"/>
      </w:r>
    </w:p>
    <w:p w14:paraId="60ADCF20">
      <w:pPr>
        <w:pStyle w:val="24"/>
        <w:rPr>
          <w:rFonts w:ascii="Calibri" w:hAnsi="Calibri"/>
          <w:smallCaps w:val="0"/>
          <w:sz w:val="21"/>
          <w:szCs w:val="21"/>
        </w:rPr>
      </w:pPr>
      <w:r>
        <w:fldChar w:fldCharType="begin"/>
      </w:r>
      <w:r>
        <w:instrText xml:space="preserve"> HYPERLINK \l "_Toc152246139" </w:instrText>
      </w:r>
      <w:r>
        <w:fldChar w:fldCharType="separate"/>
      </w:r>
      <w:r>
        <w:rPr>
          <w:rStyle w:val="38"/>
          <w:rFonts w:hint="eastAsia" w:ascii="宋体" w:hAnsi="宋体" w:cs="宋体"/>
          <w:b/>
          <w:kern w:val="0"/>
          <w:sz w:val="21"/>
          <w:szCs w:val="21"/>
        </w:rPr>
        <w:t>六、其他补充事宜</w:t>
      </w:r>
      <w:r>
        <w:rPr>
          <w:sz w:val="21"/>
          <w:szCs w:val="21"/>
        </w:rPr>
        <w:tab/>
      </w:r>
      <w:r>
        <w:rPr>
          <w:sz w:val="21"/>
          <w:szCs w:val="21"/>
        </w:rPr>
        <w:fldChar w:fldCharType="begin"/>
      </w:r>
      <w:r>
        <w:rPr>
          <w:sz w:val="21"/>
          <w:szCs w:val="21"/>
        </w:rPr>
        <w:instrText xml:space="preserve"> PAGEREF _Toc152246139 \h </w:instrText>
      </w:r>
      <w:r>
        <w:rPr>
          <w:sz w:val="21"/>
          <w:szCs w:val="21"/>
        </w:rPr>
        <w:fldChar w:fldCharType="separate"/>
      </w:r>
      <w:r>
        <w:rPr>
          <w:sz w:val="21"/>
          <w:szCs w:val="21"/>
        </w:rPr>
        <w:t>4</w:t>
      </w:r>
      <w:r>
        <w:rPr>
          <w:sz w:val="21"/>
          <w:szCs w:val="21"/>
        </w:rPr>
        <w:fldChar w:fldCharType="end"/>
      </w:r>
      <w:r>
        <w:rPr>
          <w:sz w:val="21"/>
          <w:szCs w:val="21"/>
        </w:rPr>
        <w:fldChar w:fldCharType="end"/>
      </w:r>
    </w:p>
    <w:p w14:paraId="06EFEF65">
      <w:pPr>
        <w:pStyle w:val="24"/>
        <w:rPr>
          <w:rFonts w:ascii="Calibri" w:hAnsi="Calibri"/>
          <w:smallCaps w:val="0"/>
          <w:sz w:val="21"/>
          <w:szCs w:val="21"/>
        </w:rPr>
      </w:pPr>
      <w:r>
        <w:fldChar w:fldCharType="begin"/>
      </w:r>
      <w:r>
        <w:instrText xml:space="preserve"> HYPERLINK \l "_Toc152246140" </w:instrText>
      </w:r>
      <w:r>
        <w:fldChar w:fldCharType="separate"/>
      </w:r>
      <w:r>
        <w:rPr>
          <w:rStyle w:val="38"/>
          <w:rFonts w:hint="eastAsia" w:ascii="宋体" w:hAnsi="宋体" w:cs="宋体"/>
          <w:b/>
          <w:kern w:val="0"/>
          <w:sz w:val="21"/>
          <w:szCs w:val="21"/>
        </w:rPr>
        <w:t>七、对本次招标提出询问，请按以下方式联系。</w:t>
      </w:r>
      <w:r>
        <w:rPr>
          <w:sz w:val="21"/>
          <w:szCs w:val="21"/>
        </w:rPr>
        <w:tab/>
      </w:r>
      <w:r>
        <w:rPr>
          <w:sz w:val="21"/>
          <w:szCs w:val="21"/>
        </w:rPr>
        <w:fldChar w:fldCharType="begin"/>
      </w:r>
      <w:r>
        <w:rPr>
          <w:sz w:val="21"/>
          <w:szCs w:val="21"/>
        </w:rPr>
        <w:instrText xml:space="preserve"> PAGEREF _Toc152246140 \h </w:instrText>
      </w:r>
      <w:r>
        <w:rPr>
          <w:sz w:val="21"/>
          <w:szCs w:val="21"/>
        </w:rPr>
        <w:fldChar w:fldCharType="separate"/>
      </w:r>
      <w:r>
        <w:rPr>
          <w:sz w:val="21"/>
          <w:szCs w:val="21"/>
        </w:rPr>
        <w:t>5</w:t>
      </w:r>
      <w:r>
        <w:rPr>
          <w:sz w:val="21"/>
          <w:szCs w:val="21"/>
        </w:rPr>
        <w:fldChar w:fldCharType="end"/>
      </w:r>
      <w:r>
        <w:rPr>
          <w:sz w:val="21"/>
          <w:szCs w:val="21"/>
        </w:rPr>
        <w:fldChar w:fldCharType="end"/>
      </w:r>
    </w:p>
    <w:p w14:paraId="3DBFB754">
      <w:pPr>
        <w:pStyle w:val="22"/>
        <w:ind w:firstLine="149"/>
        <w:rPr>
          <w:rFonts w:ascii="Calibri" w:hAnsi="Calibri"/>
          <w:b w:val="0"/>
          <w:bCs w:val="0"/>
          <w:caps w:val="0"/>
          <w:sz w:val="21"/>
          <w:szCs w:val="21"/>
        </w:rPr>
      </w:pPr>
      <w:r>
        <w:fldChar w:fldCharType="begin"/>
      </w:r>
      <w:r>
        <w:instrText xml:space="preserve"> HYPERLINK \l "_Toc152246141" </w:instrText>
      </w:r>
      <w:r>
        <w:fldChar w:fldCharType="separate"/>
      </w:r>
      <w:r>
        <w:rPr>
          <w:rStyle w:val="38"/>
          <w:rFonts w:hint="eastAsia" w:ascii="宋体" w:hAnsi="宋体"/>
          <w:kern w:val="44"/>
          <w:sz w:val="21"/>
          <w:szCs w:val="21"/>
        </w:rPr>
        <w:t>第二章</w:t>
      </w:r>
      <w:r>
        <w:rPr>
          <w:rStyle w:val="38"/>
          <w:rFonts w:ascii="宋体" w:hAnsi="宋体"/>
          <w:kern w:val="44"/>
          <w:sz w:val="21"/>
          <w:szCs w:val="21"/>
        </w:rPr>
        <w:t xml:space="preserve"> </w:t>
      </w:r>
      <w:r>
        <w:rPr>
          <w:rStyle w:val="38"/>
          <w:rFonts w:hint="eastAsia" w:ascii="宋体" w:hAnsi="宋体"/>
          <w:kern w:val="44"/>
          <w:sz w:val="21"/>
          <w:szCs w:val="21"/>
        </w:rPr>
        <w:t>投标人须知</w:t>
      </w:r>
      <w:r>
        <w:rPr>
          <w:sz w:val="21"/>
          <w:szCs w:val="21"/>
        </w:rPr>
        <w:tab/>
      </w:r>
      <w:r>
        <w:rPr>
          <w:sz w:val="21"/>
          <w:szCs w:val="21"/>
        </w:rPr>
        <w:fldChar w:fldCharType="begin"/>
      </w:r>
      <w:r>
        <w:rPr>
          <w:sz w:val="21"/>
          <w:szCs w:val="21"/>
        </w:rPr>
        <w:instrText xml:space="preserve"> PAGEREF _Toc152246141 \h </w:instrText>
      </w:r>
      <w:r>
        <w:rPr>
          <w:sz w:val="21"/>
          <w:szCs w:val="21"/>
        </w:rPr>
        <w:fldChar w:fldCharType="separate"/>
      </w:r>
      <w:r>
        <w:rPr>
          <w:sz w:val="21"/>
          <w:szCs w:val="21"/>
        </w:rPr>
        <w:t>7</w:t>
      </w:r>
      <w:r>
        <w:rPr>
          <w:sz w:val="21"/>
          <w:szCs w:val="21"/>
        </w:rPr>
        <w:fldChar w:fldCharType="end"/>
      </w:r>
      <w:r>
        <w:rPr>
          <w:sz w:val="21"/>
          <w:szCs w:val="21"/>
        </w:rPr>
        <w:fldChar w:fldCharType="end"/>
      </w:r>
    </w:p>
    <w:p w14:paraId="7EE8EFD9">
      <w:pPr>
        <w:pStyle w:val="24"/>
        <w:rPr>
          <w:rFonts w:ascii="Calibri" w:hAnsi="Calibri"/>
          <w:smallCaps w:val="0"/>
          <w:sz w:val="21"/>
          <w:szCs w:val="21"/>
        </w:rPr>
      </w:pPr>
      <w:r>
        <w:fldChar w:fldCharType="begin"/>
      </w:r>
      <w:r>
        <w:instrText xml:space="preserve"> HYPERLINK \l "_Toc152246142" </w:instrText>
      </w:r>
      <w:r>
        <w:fldChar w:fldCharType="separate"/>
      </w:r>
      <w:r>
        <w:rPr>
          <w:rStyle w:val="38"/>
          <w:rFonts w:hint="eastAsia" w:ascii="宋体" w:hAnsi="宋体"/>
          <w:sz w:val="21"/>
          <w:szCs w:val="21"/>
        </w:rPr>
        <w:t>投标人须知前附表</w:t>
      </w:r>
      <w:r>
        <w:rPr>
          <w:sz w:val="21"/>
          <w:szCs w:val="21"/>
        </w:rPr>
        <w:tab/>
      </w:r>
      <w:r>
        <w:rPr>
          <w:sz w:val="21"/>
          <w:szCs w:val="21"/>
        </w:rPr>
        <w:fldChar w:fldCharType="begin"/>
      </w:r>
      <w:r>
        <w:rPr>
          <w:sz w:val="21"/>
          <w:szCs w:val="21"/>
        </w:rPr>
        <w:instrText xml:space="preserve"> PAGEREF _Toc152246142 \h </w:instrText>
      </w:r>
      <w:r>
        <w:rPr>
          <w:sz w:val="21"/>
          <w:szCs w:val="21"/>
        </w:rPr>
        <w:fldChar w:fldCharType="separate"/>
      </w:r>
      <w:r>
        <w:rPr>
          <w:sz w:val="21"/>
          <w:szCs w:val="21"/>
        </w:rPr>
        <w:t>7</w:t>
      </w:r>
      <w:r>
        <w:rPr>
          <w:sz w:val="21"/>
          <w:szCs w:val="21"/>
        </w:rPr>
        <w:fldChar w:fldCharType="end"/>
      </w:r>
      <w:r>
        <w:rPr>
          <w:sz w:val="21"/>
          <w:szCs w:val="21"/>
        </w:rPr>
        <w:fldChar w:fldCharType="end"/>
      </w:r>
    </w:p>
    <w:p w14:paraId="49464BF8">
      <w:pPr>
        <w:pStyle w:val="22"/>
        <w:ind w:firstLine="149"/>
        <w:rPr>
          <w:rFonts w:ascii="Calibri" w:hAnsi="Calibri"/>
          <w:b w:val="0"/>
          <w:bCs w:val="0"/>
          <w:caps w:val="0"/>
          <w:sz w:val="21"/>
          <w:szCs w:val="21"/>
        </w:rPr>
      </w:pPr>
      <w:r>
        <w:fldChar w:fldCharType="begin"/>
      </w:r>
      <w:r>
        <w:instrText xml:space="preserve"> HYPERLINK \l "_Toc152246150" </w:instrText>
      </w:r>
      <w:r>
        <w:fldChar w:fldCharType="separate"/>
      </w:r>
      <w:r>
        <w:rPr>
          <w:rStyle w:val="38"/>
          <w:rFonts w:hint="eastAsia" w:ascii="宋体" w:hAnsi="宋体"/>
          <w:kern w:val="44"/>
          <w:sz w:val="21"/>
          <w:szCs w:val="21"/>
        </w:rPr>
        <w:t>第三章</w:t>
      </w:r>
      <w:r>
        <w:rPr>
          <w:rStyle w:val="38"/>
          <w:rFonts w:ascii="宋体" w:hAnsi="宋体"/>
          <w:kern w:val="44"/>
          <w:sz w:val="21"/>
          <w:szCs w:val="21"/>
        </w:rPr>
        <w:t xml:space="preserve"> </w:t>
      </w:r>
      <w:r>
        <w:rPr>
          <w:rStyle w:val="38"/>
          <w:rFonts w:hint="eastAsia" w:ascii="宋体" w:hAnsi="宋体"/>
          <w:kern w:val="44"/>
          <w:sz w:val="21"/>
          <w:szCs w:val="21"/>
        </w:rPr>
        <w:t>合同书样式及主要条款</w:t>
      </w:r>
      <w:r>
        <w:rPr>
          <w:sz w:val="21"/>
          <w:szCs w:val="21"/>
        </w:rPr>
        <w:tab/>
      </w:r>
      <w:r>
        <w:rPr>
          <w:sz w:val="21"/>
          <w:szCs w:val="21"/>
        </w:rPr>
        <w:fldChar w:fldCharType="begin"/>
      </w:r>
      <w:r>
        <w:rPr>
          <w:sz w:val="21"/>
          <w:szCs w:val="21"/>
        </w:rPr>
        <w:instrText xml:space="preserve"> PAGEREF _Toc152246150 \h </w:instrText>
      </w:r>
      <w:r>
        <w:rPr>
          <w:sz w:val="21"/>
          <w:szCs w:val="21"/>
        </w:rPr>
        <w:fldChar w:fldCharType="separate"/>
      </w:r>
      <w:r>
        <w:rPr>
          <w:sz w:val="21"/>
          <w:szCs w:val="21"/>
        </w:rPr>
        <w:t>22</w:t>
      </w:r>
      <w:r>
        <w:rPr>
          <w:sz w:val="21"/>
          <w:szCs w:val="21"/>
        </w:rPr>
        <w:fldChar w:fldCharType="end"/>
      </w:r>
      <w:r>
        <w:rPr>
          <w:sz w:val="21"/>
          <w:szCs w:val="21"/>
        </w:rPr>
        <w:fldChar w:fldCharType="end"/>
      </w:r>
    </w:p>
    <w:p w14:paraId="28DD57EA">
      <w:pPr>
        <w:pStyle w:val="22"/>
        <w:ind w:firstLine="149"/>
        <w:rPr>
          <w:rFonts w:ascii="Calibri" w:hAnsi="Calibri"/>
          <w:b w:val="0"/>
          <w:bCs w:val="0"/>
          <w:caps w:val="0"/>
          <w:sz w:val="21"/>
          <w:szCs w:val="21"/>
        </w:rPr>
      </w:pPr>
      <w:r>
        <w:fldChar w:fldCharType="begin"/>
      </w:r>
      <w:r>
        <w:instrText xml:space="preserve"> HYPERLINK \l "_Toc152246151" </w:instrText>
      </w:r>
      <w:r>
        <w:fldChar w:fldCharType="separate"/>
      </w:r>
      <w:r>
        <w:rPr>
          <w:rStyle w:val="38"/>
          <w:rFonts w:hint="eastAsia" w:ascii="宋体" w:hAnsi="宋体"/>
          <w:sz w:val="21"/>
          <w:szCs w:val="21"/>
        </w:rPr>
        <w:t>合同条款前附表</w:t>
      </w:r>
      <w:r>
        <w:rPr>
          <w:sz w:val="21"/>
          <w:szCs w:val="21"/>
        </w:rPr>
        <w:tab/>
      </w:r>
      <w:r>
        <w:rPr>
          <w:sz w:val="21"/>
          <w:szCs w:val="21"/>
        </w:rPr>
        <w:fldChar w:fldCharType="begin"/>
      </w:r>
      <w:r>
        <w:rPr>
          <w:sz w:val="21"/>
          <w:szCs w:val="21"/>
        </w:rPr>
        <w:instrText xml:space="preserve"> PAGEREF _Toc152246151 \h </w:instrText>
      </w:r>
      <w:r>
        <w:rPr>
          <w:sz w:val="21"/>
          <w:szCs w:val="21"/>
        </w:rPr>
        <w:fldChar w:fldCharType="separate"/>
      </w:r>
      <w:r>
        <w:rPr>
          <w:sz w:val="21"/>
          <w:szCs w:val="21"/>
        </w:rPr>
        <w:t>22</w:t>
      </w:r>
      <w:r>
        <w:rPr>
          <w:sz w:val="21"/>
          <w:szCs w:val="21"/>
        </w:rPr>
        <w:fldChar w:fldCharType="end"/>
      </w:r>
      <w:r>
        <w:rPr>
          <w:sz w:val="21"/>
          <w:szCs w:val="21"/>
        </w:rPr>
        <w:fldChar w:fldCharType="end"/>
      </w:r>
    </w:p>
    <w:p w14:paraId="4E827849">
      <w:pPr>
        <w:pStyle w:val="22"/>
        <w:ind w:firstLine="149"/>
        <w:rPr>
          <w:rFonts w:ascii="Calibri" w:hAnsi="Calibri"/>
          <w:b w:val="0"/>
          <w:bCs w:val="0"/>
          <w:caps w:val="0"/>
          <w:sz w:val="21"/>
          <w:szCs w:val="21"/>
        </w:rPr>
      </w:pPr>
      <w:r>
        <w:fldChar w:fldCharType="begin"/>
      </w:r>
      <w:r>
        <w:instrText xml:space="preserve"> HYPERLINK \l "_Toc152246152" </w:instrText>
      </w:r>
      <w:r>
        <w:fldChar w:fldCharType="separate"/>
      </w:r>
      <w:r>
        <w:rPr>
          <w:rStyle w:val="38"/>
          <w:rFonts w:hint="eastAsia" w:ascii="宋体" w:hAnsi="宋体"/>
          <w:kern w:val="44"/>
          <w:sz w:val="21"/>
          <w:szCs w:val="21"/>
        </w:rPr>
        <w:t>第四章</w:t>
      </w:r>
      <w:r>
        <w:rPr>
          <w:rStyle w:val="38"/>
          <w:rFonts w:ascii="宋体" w:hAnsi="宋体"/>
          <w:kern w:val="44"/>
          <w:sz w:val="21"/>
          <w:szCs w:val="21"/>
        </w:rPr>
        <w:t xml:space="preserve">  </w:t>
      </w:r>
      <w:r>
        <w:rPr>
          <w:rStyle w:val="38"/>
          <w:rFonts w:hint="eastAsia" w:ascii="宋体" w:hAnsi="宋体"/>
          <w:kern w:val="44"/>
          <w:sz w:val="21"/>
          <w:szCs w:val="21"/>
        </w:rPr>
        <w:t>投标文件格式</w:t>
      </w:r>
      <w:r>
        <w:rPr>
          <w:sz w:val="21"/>
          <w:szCs w:val="21"/>
        </w:rPr>
        <w:tab/>
      </w:r>
      <w:r>
        <w:rPr>
          <w:sz w:val="21"/>
          <w:szCs w:val="21"/>
        </w:rPr>
        <w:fldChar w:fldCharType="begin"/>
      </w:r>
      <w:r>
        <w:rPr>
          <w:sz w:val="21"/>
          <w:szCs w:val="21"/>
        </w:rPr>
        <w:instrText xml:space="preserve"> PAGEREF _Toc152246152 \h </w:instrText>
      </w:r>
      <w:r>
        <w:rPr>
          <w:sz w:val="21"/>
          <w:szCs w:val="21"/>
        </w:rPr>
        <w:fldChar w:fldCharType="separate"/>
      </w:r>
      <w:r>
        <w:rPr>
          <w:sz w:val="21"/>
          <w:szCs w:val="21"/>
        </w:rPr>
        <w:t>30</w:t>
      </w:r>
      <w:r>
        <w:rPr>
          <w:sz w:val="21"/>
          <w:szCs w:val="21"/>
        </w:rPr>
        <w:fldChar w:fldCharType="end"/>
      </w:r>
      <w:r>
        <w:rPr>
          <w:sz w:val="21"/>
          <w:szCs w:val="21"/>
        </w:rPr>
        <w:fldChar w:fldCharType="end"/>
      </w:r>
    </w:p>
    <w:p w14:paraId="7E4D5EE9">
      <w:pPr>
        <w:pStyle w:val="24"/>
        <w:rPr>
          <w:rFonts w:ascii="Calibri" w:hAnsi="Calibri"/>
          <w:smallCaps w:val="0"/>
          <w:sz w:val="21"/>
          <w:szCs w:val="21"/>
        </w:rPr>
      </w:pPr>
      <w:r>
        <w:fldChar w:fldCharType="begin"/>
      </w:r>
      <w:r>
        <w:instrText xml:space="preserve"> HYPERLINK \l "_Toc152246153" </w:instrText>
      </w:r>
      <w:r>
        <w:fldChar w:fldCharType="separate"/>
      </w:r>
      <w:r>
        <w:rPr>
          <w:rStyle w:val="38"/>
          <w:rFonts w:hint="eastAsia" w:ascii="宋体" w:hAnsi="宋体"/>
          <w:b/>
          <w:kern w:val="0"/>
          <w:sz w:val="21"/>
          <w:szCs w:val="21"/>
        </w:rPr>
        <w:t>开标一览表</w:t>
      </w:r>
      <w:r>
        <w:rPr>
          <w:sz w:val="21"/>
          <w:szCs w:val="21"/>
        </w:rPr>
        <w:tab/>
      </w:r>
      <w:r>
        <w:rPr>
          <w:sz w:val="21"/>
          <w:szCs w:val="21"/>
        </w:rPr>
        <w:fldChar w:fldCharType="begin"/>
      </w:r>
      <w:r>
        <w:rPr>
          <w:sz w:val="21"/>
          <w:szCs w:val="21"/>
        </w:rPr>
        <w:instrText xml:space="preserve"> PAGEREF _Toc152246153 \h </w:instrText>
      </w:r>
      <w:r>
        <w:rPr>
          <w:sz w:val="21"/>
          <w:szCs w:val="21"/>
        </w:rPr>
        <w:fldChar w:fldCharType="separate"/>
      </w:r>
      <w:r>
        <w:rPr>
          <w:sz w:val="21"/>
          <w:szCs w:val="21"/>
        </w:rPr>
        <w:t>32</w:t>
      </w:r>
      <w:r>
        <w:rPr>
          <w:sz w:val="21"/>
          <w:szCs w:val="21"/>
        </w:rPr>
        <w:fldChar w:fldCharType="end"/>
      </w:r>
      <w:r>
        <w:rPr>
          <w:sz w:val="21"/>
          <w:szCs w:val="21"/>
        </w:rPr>
        <w:fldChar w:fldCharType="end"/>
      </w:r>
    </w:p>
    <w:p w14:paraId="793EFB0A">
      <w:pPr>
        <w:pStyle w:val="24"/>
        <w:rPr>
          <w:rFonts w:ascii="Calibri" w:hAnsi="Calibri"/>
          <w:smallCaps w:val="0"/>
          <w:sz w:val="21"/>
          <w:szCs w:val="21"/>
        </w:rPr>
      </w:pPr>
      <w:r>
        <w:fldChar w:fldCharType="begin"/>
      </w:r>
      <w:r>
        <w:instrText xml:space="preserve"> HYPERLINK \l "_Toc152246154" </w:instrText>
      </w:r>
      <w:r>
        <w:fldChar w:fldCharType="separate"/>
      </w:r>
      <w:r>
        <w:rPr>
          <w:rStyle w:val="38"/>
          <w:rFonts w:hint="eastAsia" w:ascii="宋体" w:hAnsi="宋体"/>
          <w:b/>
          <w:kern w:val="0"/>
          <w:sz w:val="21"/>
          <w:szCs w:val="21"/>
        </w:rPr>
        <w:t>一、资格证明文件</w:t>
      </w:r>
      <w:r>
        <w:rPr>
          <w:sz w:val="21"/>
          <w:szCs w:val="21"/>
        </w:rPr>
        <w:tab/>
      </w:r>
      <w:r>
        <w:rPr>
          <w:sz w:val="21"/>
          <w:szCs w:val="21"/>
        </w:rPr>
        <w:fldChar w:fldCharType="begin"/>
      </w:r>
      <w:r>
        <w:rPr>
          <w:sz w:val="21"/>
          <w:szCs w:val="21"/>
        </w:rPr>
        <w:instrText xml:space="preserve"> PAGEREF _Toc152246154 \h </w:instrText>
      </w:r>
      <w:r>
        <w:rPr>
          <w:sz w:val="21"/>
          <w:szCs w:val="21"/>
        </w:rPr>
        <w:fldChar w:fldCharType="separate"/>
      </w:r>
      <w:r>
        <w:rPr>
          <w:sz w:val="21"/>
          <w:szCs w:val="21"/>
        </w:rPr>
        <w:t>33</w:t>
      </w:r>
      <w:r>
        <w:rPr>
          <w:sz w:val="21"/>
          <w:szCs w:val="21"/>
        </w:rPr>
        <w:fldChar w:fldCharType="end"/>
      </w:r>
      <w:r>
        <w:rPr>
          <w:sz w:val="21"/>
          <w:szCs w:val="21"/>
        </w:rPr>
        <w:fldChar w:fldCharType="end"/>
      </w:r>
    </w:p>
    <w:p w14:paraId="0031AC24">
      <w:pPr>
        <w:pStyle w:val="24"/>
        <w:rPr>
          <w:rFonts w:ascii="Calibri" w:hAnsi="Calibri"/>
          <w:smallCaps w:val="0"/>
          <w:sz w:val="21"/>
          <w:szCs w:val="21"/>
        </w:rPr>
      </w:pPr>
      <w:r>
        <w:fldChar w:fldCharType="begin"/>
      </w:r>
      <w:r>
        <w:instrText xml:space="preserve"> HYPERLINK \l "_Toc152246155" </w:instrText>
      </w:r>
      <w:r>
        <w:fldChar w:fldCharType="separate"/>
      </w:r>
      <w:r>
        <w:rPr>
          <w:rStyle w:val="38"/>
          <w:rFonts w:hint="eastAsia" w:ascii="宋体" w:hAnsi="宋体"/>
          <w:b/>
          <w:kern w:val="0"/>
          <w:sz w:val="21"/>
          <w:szCs w:val="21"/>
        </w:rPr>
        <w:t>二、技术部分</w:t>
      </w:r>
      <w:r>
        <w:rPr>
          <w:sz w:val="21"/>
          <w:szCs w:val="21"/>
        </w:rPr>
        <w:tab/>
      </w:r>
      <w:r>
        <w:rPr>
          <w:sz w:val="21"/>
          <w:szCs w:val="21"/>
        </w:rPr>
        <w:fldChar w:fldCharType="begin"/>
      </w:r>
      <w:r>
        <w:rPr>
          <w:sz w:val="21"/>
          <w:szCs w:val="21"/>
        </w:rPr>
        <w:instrText xml:space="preserve"> PAGEREF _Toc152246155 \h </w:instrText>
      </w:r>
      <w:r>
        <w:rPr>
          <w:sz w:val="21"/>
          <w:szCs w:val="21"/>
        </w:rPr>
        <w:fldChar w:fldCharType="separate"/>
      </w:r>
      <w:r>
        <w:rPr>
          <w:sz w:val="21"/>
          <w:szCs w:val="21"/>
        </w:rPr>
        <w:t>47</w:t>
      </w:r>
      <w:r>
        <w:rPr>
          <w:sz w:val="21"/>
          <w:szCs w:val="21"/>
        </w:rPr>
        <w:fldChar w:fldCharType="end"/>
      </w:r>
      <w:r>
        <w:rPr>
          <w:sz w:val="21"/>
          <w:szCs w:val="21"/>
        </w:rPr>
        <w:fldChar w:fldCharType="end"/>
      </w:r>
    </w:p>
    <w:p w14:paraId="0CA59E26">
      <w:pPr>
        <w:pStyle w:val="24"/>
        <w:rPr>
          <w:rFonts w:ascii="Calibri" w:hAnsi="Calibri"/>
          <w:smallCaps w:val="0"/>
          <w:sz w:val="21"/>
          <w:szCs w:val="21"/>
        </w:rPr>
      </w:pPr>
      <w:r>
        <w:fldChar w:fldCharType="begin"/>
      </w:r>
      <w:r>
        <w:instrText xml:space="preserve"> HYPERLINK \l "_Toc152246156" </w:instrText>
      </w:r>
      <w:r>
        <w:fldChar w:fldCharType="separate"/>
      </w:r>
      <w:r>
        <w:rPr>
          <w:rStyle w:val="38"/>
          <w:rFonts w:hint="eastAsia" w:ascii="宋体" w:hAnsi="宋体"/>
          <w:b/>
          <w:kern w:val="0"/>
          <w:sz w:val="21"/>
          <w:szCs w:val="21"/>
        </w:rPr>
        <w:t>三、商务部分</w:t>
      </w:r>
      <w:r>
        <w:rPr>
          <w:sz w:val="21"/>
          <w:szCs w:val="21"/>
        </w:rPr>
        <w:tab/>
      </w:r>
      <w:r>
        <w:rPr>
          <w:sz w:val="21"/>
          <w:szCs w:val="21"/>
        </w:rPr>
        <w:fldChar w:fldCharType="begin"/>
      </w:r>
      <w:r>
        <w:rPr>
          <w:sz w:val="21"/>
          <w:szCs w:val="21"/>
        </w:rPr>
        <w:instrText xml:space="preserve"> PAGEREF _Toc152246156 \h </w:instrText>
      </w:r>
      <w:r>
        <w:rPr>
          <w:sz w:val="21"/>
          <w:szCs w:val="21"/>
        </w:rPr>
        <w:fldChar w:fldCharType="separate"/>
      </w:r>
      <w:r>
        <w:rPr>
          <w:sz w:val="21"/>
          <w:szCs w:val="21"/>
        </w:rPr>
        <w:t>53</w:t>
      </w:r>
      <w:r>
        <w:rPr>
          <w:sz w:val="21"/>
          <w:szCs w:val="21"/>
        </w:rPr>
        <w:fldChar w:fldCharType="end"/>
      </w:r>
      <w:r>
        <w:rPr>
          <w:sz w:val="21"/>
          <w:szCs w:val="21"/>
        </w:rPr>
        <w:fldChar w:fldCharType="end"/>
      </w:r>
    </w:p>
    <w:p w14:paraId="48B0CCB5">
      <w:pPr>
        <w:pStyle w:val="22"/>
        <w:ind w:firstLine="149"/>
        <w:rPr>
          <w:rFonts w:ascii="Calibri" w:hAnsi="Calibri"/>
          <w:b w:val="0"/>
          <w:bCs w:val="0"/>
          <w:caps w:val="0"/>
          <w:sz w:val="21"/>
          <w:szCs w:val="21"/>
        </w:rPr>
      </w:pPr>
      <w:r>
        <w:fldChar w:fldCharType="begin"/>
      </w:r>
      <w:r>
        <w:instrText xml:space="preserve"> HYPERLINK \l "_Toc152246157" </w:instrText>
      </w:r>
      <w:r>
        <w:fldChar w:fldCharType="separate"/>
      </w:r>
      <w:r>
        <w:rPr>
          <w:rStyle w:val="38"/>
          <w:rFonts w:hint="eastAsia" w:ascii="宋体" w:hAnsi="宋体"/>
          <w:kern w:val="44"/>
          <w:sz w:val="21"/>
          <w:szCs w:val="21"/>
        </w:rPr>
        <w:t>第五章</w:t>
      </w:r>
      <w:r>
        <w:rPr>
          <w:rStyle w:val="38"/>
          <w:rFonts w:ascii="宋体" w:hAnsi="宋体"/>
          <w:kern w:val="44"/>
          <w:sz w:val="21"/>
          <w:szCs w:val="21"/>
        </w:rPr>
        <w:t xml:space="preserve">  </w:t>
      </w:r>
      <w:r>
        <w:rPr>
          <w:rStyle w:val="38"/>
          <w:rFonts w:hint="eastAsia" w:ascii="宋体" w:hAnsi="宋体"/>
          <w:sz w:val="21"/>
          <w:szCs w:val="21"/>
        </w:rPr>
        <w:t>项目需求及服务要求</w:t>
      </w:r>
      <w:r>
        <w:rPr>
          <w:sz w:val="21"/>
          <w:szCs w:val="21"/>
        </w:rPr>
        <w:tab/>
      </w:r>
      <w:r>
        <w:rPr>
          <w:sz w:val="21"/>
          <w:szCs w:val="21"/>
        </w:rPr>
        <w:fldChar w:fldCharType="begin"/>
      </w:r>
      <w:r>
        <w:rPr>
          <w:sz w:val="21"/>
          <w:szCs w:val="21"/>
        </w:rPr>
        <w:instrText xml:space="preserve"> PAGEREF _Toc152246157 \h </w:instrText>
      </w:r>
      <w:r>
        <w:rPr>
          <w:sz w:val="21"/>
          <w:szCs w:val="21"/>
        </w:rPr>
        <w:fldChar w:fldCharType="separate"/>
      </w:r>
      <w:r>
        <w:rPr>
          <w:sz w:val="21"/>
          <w:szCs w:val="21"/>
        </w:rPr>
        <w:t>68</w:t>
      </w:r>
      <w:r>
        <w:rPr>
          <w:sz w:val="21"/>
          <w:szCs w:val="21"/>
        </w:rPr>
        <w:fldChar w:fldCharType="end"/>
      </w:r>
      <w:r>
        <w:rPr>
          <w:sz w:val="21"/>
          <w:szCs w:val="21"/>
        </w:rPr>
        <w:fldChar w:fldCharType="end"/>
      </w:r>
    </w:p>
    <w:p w14:paraId="41AA06BF">
      <w:pPr>
        <w:pStyle w:val="22"/>
        <w:ind w:firstLine="149"/>
        <w:rPr>
          <w:rFonts w:ascii="Calibri" w:hAnsi="Calibri"/>
          <w:b w:val="0"/>
          <w:bCs w:val="0"/>
          <w:caps w:val="0"/>
          <w:sz w:val="21"/>
          <w:szCs w:val="21"/>
        </w:rPr>
      </w:pPr>
      <w:r>
        <w:fldChar w:fldCharType="begin"/>
      </w:r>
      <w:r>
        <w:instrText xml:space="preserve"> HYPERLINK \l "_Toc152246158" </w:instrText>
      </w:r>
      <w:r>
        <w:fldChar w:fldCharType="separate"/>
      </w:r>
      <w:r>
        <w:rPr>
          <w:rStyle w:val="38"/>
          <w:rFonts w:hint="eastAsia" w:ascii="宋体" w:hAnsi="宋体"/>
          <w:sz w:val="21"/>
          <w:szCs w:val="21"/>
        </w:rPr>
        <w:t>第六章</w:t>
      </w:r>
      <w:r>
        <w:rPr>
          <w:rStyle w:val="38"/>
          <w:rFonts w:ascii="宋体" w:hAnsi="宋体"/>
          <w:sz w:val="21"/>
          <w:szCs w:val="21"/>
        </w:rPr>
        <w:t xml:space="preserve"> </w:t>
      </w:r>
      <w:r>
        <w:rPr>
          <w:rStyle w:val="38"/>
          <w:rFonts w:hint="eastAsia" w:ascii="宋体" w:hAnsi="宋体"/>
          <w:sz w:val="21"/>
          <w:szCs w:val="21"/>
        </w:rPr>
        <w:t>资格评审标准</w:t>
      </w:r>
      <w:r>
        <w:rPr>
          <w:sz w:val="21"/>
          <w:szCs w:val="21"/>
        </w:rPr>
        <w:tab/>
      </w:r>
      <w:r>
        <w:rPr>
          <w:sz w:val="21"/>
          <w:szCs w:val="21"/>
        </w:rPr>
        <w:fldChar w:fldCharType="begin"/>
      </w:r>
      <w:r>
        <w:rPr>
          <w:sz w:val="21"/>
          <w:szCs w:val="21"/>
        </w:rPr>
        <w:instrText xml:space="preserve"> PAGEREF _Toc152246158 \h </w:instrText>
      </w:r>
      <w:r>
        <w:rPr>
          <w:sz w:val="21"/>
          <w:szCs w:val="21"/>
        </w:rPr>
        <w:fldChar w:fldCharType="separate"/>
      </w:r>
      <w:r>
        <w:rPr>
          <w:sz w:val="21"/>
          <w:szCs w:val="21"/>
        </w:rPr>
        <w:t>73</w:t>
      </w:r>
      <w:r>
        <w:rPr>
          <w:sz w:val="21"/>
          <w:szCs w:val="21"/>
        </w:rPr>
        <w:fldChar w:fldCharType="end"/>
      </w:r>
      <w:r>
        <w:rPr>
          <w:sz w:val="21"/>
          <w:szCs w:val="21"/>
        </w:rPr>
        <w:fldChar w:fldCharType="end"/>
      </w:r>
    </w:p>
    <w:p w14:paraId="32D1B77C">
      <w:pPr>
        <w:pStyle w:val="24"/>
        <w:rPr>
          <w:rFonts w:ascii="Calibri" w:hAnsi="Calibri"/>
          <w:smallCaps w:val="0"/>
          <w:sz w:val="21"/>
          <w:szCs w:val="21"/>
        </w:rPr>
      </w:pPr>
      <w:r>
        <w:fldChar w:fldCharType="begin"/>
      </w:r>
      <w:r>
        <w:instrText xml:space="preserve"> HYPERLINK \l "_Toc152246159" </w:instrText>
      </w:r>
      <w:r>
        <w:fldChar w:fldCharType="separate"/>
      </w:r>
      <w:r>
        <w:rPr>
          <w:rStyle w:val="38"/>
          <w:rFonts w:ascii="宋体" w:hAnsi="宋体" w:cs="宋体"/>
          <w:b/>
          <w:kern w:val="0"/>
          <w:sz w:val="21"/>
          <w:szCs w:val="21"/>
        </w:rPr>
        <w:t xml:space="preserve">1. </w:t>
      </w:r>
      <w:r>
        <w:rPr>
          <w:rStyle w:val="38"/>
          <w:rFonts w:hint="eastAsia" w:ascii="宋体" w:hAnsi="宋体" w:cs="宋体"/>
          <w:b/>
          <w:kern w:val="0"/>
          <w:sz w:val="21"/>
          <w:szCs w:val="21"/>
        </w:rPr>
        <w:t>资格审查</w:t>
      </w:r>
      <w:r>
        <w:rPr>
          <w:sz w:val="21"/>
          <w:szCs w:val="21"/>
        </w:rPr>
        <w:tab/>
      </w:r>
      <w:r>
        <w:rPr>
          <w:sz w:val="21"/>
          <w:szCs w:val="21"/>
        </w:rPr>
        <w:fldChar w:fldCharType="begin"/>
      </w:r>
      <w:r>
        <w:rPr>
          <w:sz w:val="21"/>
          <w:szCs w:val="21"/>
        </w:rPr>
        <w:instrText xml:space="preserve"> PAGEREF _Toc152246159 \h </w:instrText>
      </w:r>
      <w:r>
        <w:rPr>
          <w:sz w:val="21"/>
          <w:szCs w:val="21"/>
        </w:rPr>
        <w:fldChar w:fldCharType="separate"/>
      </w:r>
      <w:r>
        <w:rPr>
          <w:sz w:val="21"/>
          <w:szCs w:val="21"/>
        </w:rPr>
        <w:t>74</w:t>
      </w:r>
      <w:r>
        <w:rPr>
          <w:sz w:val="21"/>
          <w:szCs w:val="21"/>
        </w:rPr>
        <w:fldChar w:fldCharType="end"/>
      </w:r>
      <w:r>
        <w:rPr>
          <w:sz w:val="21"/>
          <w:szCs w:val="21"/>
        </w:rPr>
        <w:fldChar w:fldCharType="end"/>
      </w:r>
    </w:p>
    <w:p w14:paraId="3278F1AE">
      <w:pPr>
        <w:pStyle w:val="24"/>
        <w:rPr>
          <w:rFonts w:ascii="Calibri" w:hAnsi="Calibri"/>
          <w:smallCaps w:val="0"/>
          <w:sz w:val="21"/>
          <w:szCs w:val="21"/>
        </w:rPr>
      </w:pPr>
      <w:r>
        <w:fldChar w:fldCharType="begin"/>
      </w:r>
      <w:r>
        <w:instrText xml:space="preserve"> HYPERLINK \l "_Toc152246160" </w:instrText>
      </w:r>
      <w:r>
        <w:fldChar w:fldCharType="separate"/>
      </w:r>
      <w:r>
        <w:rPr>
          <w:rStyle w:val="38"/>
          <w:rFonts w:ascii="宋体" w:hAnsi="宋体" w:cs="宋体"/>
          <w:b/>
          <w:kern w:val="0"/>
          <w:sz w:val="21"/>
          <w:szCs w:val="21"/>
        </w:rPr>
        <w:t xml:space="preserve">2. </w:t>
      </w:r>
      <w:r>
        <w:rPr>
          <w:rStyle w:val="38"/>
          <w:rFonts w:hint="eastAsia" w:ascii="宋体" w:hAnsi="宋体" w:cs="宋体"/>
          <w:b/>
          <w:kern w:val="0"/>
          <w:sz w:val="21"/>
          <w:szCs w:val="21"/>
        </w:rPr>
        <w:t>资格审查标准</w:t>
      </w:r>
      <w:r>
        <w:rPr>
          <w:sz w:val="21"/>
          <w:szCs w:val="21"/>
        </w:rPr>
        <w:tab/>
      </w:r>
      <w:r>
        <w:rPr>
          <w:sz w:val="21"/>
          <w:szCs w:val="21"/>
        </w:rPr>
        <w:fldChar w:fldCharType="begin"/>
      </w:r>
      <w:r>
        <w:rPr>
          <w:sz w:val="21"/>
          <w:szCs w:val="21"/>
        </w:rPr>
        <w:instrText xml:space="preserve"> PAGEREF _Toc152246160 \h </w:instrText>
      </w:r>
      <w:r>
        <w:rPr>
          <w:sz w:val="21"/>
          <w:szCs w:val="21"/>
        </w:rPr>
        <w:fldChar w:fldCharType="separate"/>
      </w:r>
      <w:r>
        <w:rPr>
          <w:sz w:val="21"/>
          <w:szCs w:val="21"/>
        </w:rPr>
        <w:t>75</w:t>
      </w:r>
      <w:r>
        <w:rPr>
          <w:sz w:val="21"/>
          <w:szCs w:val="21"/>
        </w:rPr>
        <w:fldChar w:fldCharType="end"/>
      </w:r>
      <w:r>
        <w:rPr>
          <w:sz w:val="21"/>
          <w:szCs w:val="21"/>
        </w:rPr>
        <w:fldChar w:fldCharType="end"/>
      </w:r>
    </w:p>
    <w:p w14:paraId="64DC6DAF">
      <w:pPr>
        <w:pStyle w:val="24"/>
        <w:rPr>
          <w:rFonts w:ascii="Calibri" w:hAnsi="Calibri"/>
          <w:smallCaps w:val="0"/>
          <w:sz w:val="21"/>
          <w:szCs w:val="21"/>
        </w:rPr>
      </w:pPr>
      <w:r>
        <w:fldChar w:fldCharType="begin"/>
      </w:r>
      <w:r>
        <w:instrText xml:space="preserve"> HYPERLINK \l "_Toc152246161" </w:instrText>
      </w:r>
      <w:r>
        <w:fldChar w:fldCharType="separate"/>
      </w:r>
      <w:r>
        <w:rPr>
          <w:rStyle w:val="38"/>
          <w:rFonts w:ascii="宋体" w:hAnsi="宋体" w:cs="宋体"/>
          <w:b/>
          <w:kern w:val="0"/>
          <w:sz w:val="21"/>
          <w:szCs w:val="21"/>
        </w:rPr>
        <w:t xml:space="preserve">3. </w:t>
      </w:r>
      <w:r>
        <w:rPr>
          <w:rStyle w:val="38"/>
          <w:rFonts w:hint="eastAsia" w:ascii="宋体" w:hAnsi="宋体" w:cs="宋体"/>
          <w:b/>
          <w:kern w:val="0"/>
          <w:sz w:val="21"/>
          <w:szCs w:val="21"/>
        </w:rPr>
        <w:t>资格审查程序</w:t>
      </w:r>
      <w:r>
        <w:rPr>
          <w:sz w:val="21"/>
          <w:szCs w:val="21"/>
        </w:rPr>
        <w:tab/>
      </w:r>
      <w:r>
        <w:rPr>
          <w:sz w:val="21"/>
          <w:szCs w:val="21"/>
        </w:rPr>
        <w:fldChar w:fldCharType="begin"/>
      </w:r>
      <w:r>
        <w:rPr>
          <w:sz w:val="21"/>
          <w:szCs w:val="21"/>
        </w:rPr>
        <w:instrText xml:space="preserve"> PAGEREF _Toc152246161 \h </w:instrText>
      </w:r>
      <w:r>
        <w:rPr>
          <w:sz w:val="21"/>
          <w:szCs w:val="21"/>
        </w:rPr>
        <w:fldChar w:fldCharType="separate"/>
      </w:r>
      <w:r>
        <w:rPr>
          <w:sz w:val="21"/>
          <w:szCs w:val="21"/>
        </w:rPr>
        <w:t>75</w:t>
      </w:r>
      <w:r>
        <w:rPr>
          <w:sz w:val="21"/>
          <w:szCs w:val="21"/>
        </w:rPr>
        <w:fldChar w:fldCharType="end"/>
      </w:r>
      <w:r>
        <w:rPr>
          <w:sz w:val="21"/>
          <w:szCs w:val="21"/>
        </w:rPr>
        <w:fldChar w:fldCharType="end"/>
      </w:r>
    </w:p>
    <w:p w14:paraId="7768CBBB">
      <w:pPr>
        <w:pStyle w:val="22"/>
        <w:ind w:firstLine="149"/>
        <w:rPr>
          <w:rFonts w:ascii="Calibri" w:hAnsi="Calibri"/>
          <w:b w:val="0"/>
          <w:bCs w:val="0"/>
          <w:caps w:val="0"/>
          <w:sz w:val="21"/>
          <w:szCs w:val="21"/>
        </w:rPr>
      </w:pPr>
      <w:r>
        <w:fldChar w:fldCharType="begin"/>
      </w:r>
      <w:r>
        <w:instrText xml:space="preserve"> HYPERLINK \l "_Toc152246162" </w:instrText>
      </w:r>
      <w:r>
        <w:fldChar w:fldCharType="separate"/>
      </w:r>
      <w:r>
        <w:rPr>
          <w:rStyle w:val="38"/>
          <w:rFonts w:hint="eastAsia" w:ascii="宋体" w:hAnsi="宋体"/>
          <w:sz w:val="21"/>
          <w:szCs w:val="21"/>
        </w:rPr>
        <w:t>第七章</w:t>
      </w:r>
      <w:r>
        <w:rPr>
          <w:rStyle w:val="38"/>
          <w:rFonts w:ascii="宋体" w:hAnsi="宋体"/>
          <w:sz w:val="21"/>
          <w:szCs w:val="21"/>
        </w:rPr>
        <w:t xml:space="preserve"> </w:t>
      </w:r>
      <w:r>
        <w:rPr>
          <w:rStyle w:val="38"/>
          <w:rFonts w:hint="eastAsia" w:ascii="宋体" w:hAnsi="宋体"/>
          <w:sz w:val="21"/>
          <w:szCs w:val="21"/>
        </w:rPr>
        <w:t>评标方法（综合评分法）</w:t>
      </w:r>
      <w:r>
        <w:rPr>
          <w:sz w:val="21"/>
          <w:szCs w:val="21"/>
        </w:rPr>
        <w:tab/>
      </w:r>
      <w:r>
        <w:rPr>
          <w:sz w:val="21"/>
          <w:szCs w:val="21"/>
        </w:rPr>
        <w:fldChar w:fldCharType="begin"/>
      </w:r>
      <w:r>
        <w:rPr>
          <w:sz w:val="21"/>
          <w:szCs w:val="21"/>
        </w:rPr>
        <w:instrText xml:space="preserve"> PAGEREF _Toc152246162 \h </w:instrText>
      </w:r>
      <w:r>
        <w:rPr>
          <w:sz w:val="21"/>
          <w:szCs w:val="21"/>
        </w:rPr>
        <w:fldChar w:fldCharType="separate"/>
      </w:r>
      <w:r>
        <w:rPr>
          <w:sz w:val="21"/>
          <w:szCs w:val="21"/>
        </w:rPr>
        <w:t>76</w:t>
      </w:r>
      <w:r>
        <w:rPr>
          <w:sz w:val="21"/>
          <w:szCs w:val="21"/>
        </w:rPr>
        <w:fldChar w:fldCharType="end"/>
      </w:r>
      <w:r>
        <w:rPr>
          <w:sz w:val="21"/>
          <w:szCs w:val="21"/>
        </w:rPr>
        <w:fldChar w:fldCharType="end"/>
      </w:r>
    </w:p>
    <w:p w14:paraId="0A5CBA20">
      <w:pPr>
        <w:pStyle w:val="24"/>
        <w:rPr>
          <w:rFonts w:ascii="Calibri" w:hAnsi="Calibri"/>
          <w:smallCaps w:val="0"/>
          <w:sz w:val="21"/>
          <w:szCs w:val="21"/>
        </w:rPr>
      </w:pPr>
      <w:r>
        <w:fldChar w:fldCharType="begin"/>
      </w:r>
      <w:r>
        <w:instrText xml:space="preserve"> HYPERLINK \l "_Toc152246163" </w:instrText>
      </w:r>
      <w:r>
        <w:fldChar w:fldCharType="separate"/>
      </w:r>
      <w:r>
        <w:rPr>
          <w:rStyle w:val="38"/>
          <w:rFonts w:hint="eastAsia" w:ascii="宋体" w:hAnsi="宋体"/>
          <w:sz w:val="21"/>
          <w:szCs w:val="21"/>
        </w:rPr>
        <w:t>评标方法前附表</w:t>
      </w:r>
      <w:r>
        <w:rPr>
          <w:sz w:val="21"/>
          <w:szCs w:val="21"/>
        </w:rPr>
        <w:tab/>
      </w:r>
      <w:r>
        <w:rPr>
          <w:sz w:val="21"/>
          <w:szCs w:val="21"/>
        </w:rPr>
        <w:fldChar w:fldCharType="begin"/>
      </w:r>
      <w:r>
        <w:rPr>
          <w:sz w:val="21"/>
          <w:szCs w:val="21"/>
        </w:rPr>
        <w:instrText xml:space="preserve"> PAGEREF _Toc152246163 \h </w:instrText>
      </w:r>
      <w:r>
        <w:rPr>
          <w:sz w:val="21"/>
          <w:szCs w:val="21"/>
        </w:rPr>
        <w:fldChar w:fldCharType="separate"/>
      </w:r>
      <w:r>
        <w:rPr>
          <w:sz w:val="21"/>
          <w:szCs w:val="21"/>
        </w:rPr>
        <w:t>76</w:t>
      </w:r>
      <w:r>
        <w:rPr>
          <w:sz w:val="21"/>
          <w:szCs w:val="21"/>
        </w:rPr>
        <w:fldChar w:fldCharType="end"/>
      </w:r>
      <w:r>
        <w:rPr>
          <w:sz w:val="21"/>
          <w:szCs w:val="21"/>
        </w:rPr>
        <w:fldChar w:fldCharType="end"/>
      </w:r>
    </w:p>
    <w:p w14:paraId="225D1466">
      <w:pPr>
        <w:pStyle w:val="24"/>
        <w:rPr>
          <w:rFonts w:ascii="Calibri" w:hAnsi="Calibri"/>
          <w:smallCaps w:val="0"/>
          <w:sz w:val="21"/>
          <w:szCs w:val="21"/>
        </w:rPr>
      </w:pPr>
      <w:r>
        <w:fldChar w:fldCharType="begin"/>
      </w:r>
      <w:r>
        <w:instrText xml:space="preserve"> HYPERLINK \l "_Toc152246164" </w:instrText>
      </w:r>
      <w:r>
        <w:fldChar w:fldCharType="separate"/>
      </w:r>
      <w:r>
        <w:rPr>
          <w:rStyle w:val="38"/>
          <w:rFonts w:hint="eastAsia" w:ascii="宋体" w:hAnsi="宋体"/>
          <w:b/>
          <w:bCs/>
          <w:sz w:val="21"/>
          <w:szCs w:val="21"/>
        </w:rPr>
        <w:t>评分细则如下：</w:t>
      </w:r>
      <w:r>
        <w:rPr>
          <w:sz w:val="21"/>
          <w:szCs w:val="21"/>
        </w:rPr>
        <w:tab/>
      </w:r>
      <w:r>
        <w:rPr>
          <w:sz w:val="21"/>
          <w:szCs w:val="21"/>
        </w:rPr>
        <w:fldChar w:fldCharType="begin"/>
      </w:r>
      <w:r>
        <w:rPr>
          <w:sz w:val="21"/>
          <w:szCs w:val="21"/>
        </w:rPr>
        <w:instrText xml:space="preserve"> PAGEREF _Toc152246164 \h </w:instrText>
      </w:r>
      <w:r>
        <w:rPr>
          <w:sz w:val="21"/>
          <w:szCs w:val="21"/>
        </w:rPr>
        <w:fldChar w:fldCharType="separate"/>
      </w:r>
      <w:r>
        <w:rPr>
          <w:sz w:val="21"/>
          <w:szCs w:val="21"/>
        </w:rPr>
        <w:t>77</w:t>
      </w:r>
      <w:r>
        <w:rPr>
          <w:sz w:val="21"/>
          <w:szCs w:val="21"/>
        </w:rPr>
        <w:fldChar w:fldCharType="end"/>
      </w:r>
      <w:r>
        <w:rPr>
          <w:sz w:val="21"/>
          <w:szCs w:val="21"/>
        </w:rPr>
        <w:fldChar w:fldCharType="end"/>
      </w:r>
    </w:p>
    <w:p w14:paraId="2311281A">
      <w:pPr>
        <w:pStyle w:val="24"/>
        <w:spacing w:line="360" w:lineRule="auto"/>
        <w:rPr>
          <w:color w:val="000000"/>
          <w:sz w:val="22"/>
        </w:rPr>
        <w:sectPr>
          <w:footerReference r:id="rId5" w:type="first"/>
          <w:footerReference r:id="rId3" w:type="default"/>
          <w:footerReference r:id="rId4" w:type="even"/>
          <w:pgSz w:w="11906" w:h="16838"/>
          <w:pgMar w:top="987" w:right="1134" w:bottom="822" w:left="1134" w:header="720" w:footer="720" w:gutter="0"/>
          <w:pgNumType w:start="0"/>
          <w:cols w:space="720" w:num="1"/>
          <w:titlePg/>
          <w:docGrid w:type="lines" w:linePitch="331" w:charSpace="0"/>
        </w:sectPr>
      </w:pPr>
      <w:r>
        <w:rPr>
          <w:color w:val="000000"/>
          <w:sz w:val="21"/>
          <w:szCs w:val="21"/>
        </w:rPr>
        <w:fldChar w:fldCharType="end"/>
      </w:r>
    </w:p>
    <w:p w14:paraId="643C348D">
      <w:pPr>
        <w:pStyle w:val="3"/>
        <w:numPr>
          <w:ilvl w:val="0"/>
          <w:numId w:val="0"/>
        </w:numPr>
        <w:jc w:val="center"/>
        <w:rPr>
          <w:rFonts w:ascii="宋体" w:hAnsi="宋体" w:eastAsia="宋体"/>
          <w:color w:val="000000"/>
          <w:sz w:val="36"/>
        </w:rPr>
      </w:pPr>
      <w:r>
        <w:rPr>
          <w:rFonts w:ascii="宋体" w:hAnsi="宋体" w:eastAsia="宋体"/>
          <w:b w:val="0"/>
          <w:color w:val="000000"/>
          <w:sz w:val="44"/>
        </w:rPr>
        <w:br w:type="page"/>
      </w:r>
      <w:bookmarkStart w:id="0" w:name="_Toc393784369"/>
      <w:bookmarkStart w:id="1" w:name="_Toc152246133"/>
      <w:r>
        <w:rPr>
          <w:rFonts w:hint="eastAsia" w:ascii="宋体" w:hAnsi="宋体" w:eastAsia="宋体"/>
          <w:color w:val="000000"/>
          <w:sz w:val="36"/>
        </w:rPr>
        <w:t xml:space="preserve">第一章 </w:t>
      </w:r>
      <w:bookmarkEnd w:id="0"/>
      <w:r>
        <w:rPr>
          <w:rFonts w:hint="eastAsia" w:ascii="宋体" w:hAnsi="宋体" w:eastAsia="宋体"/>
          <w:color w:val="000000"/>
          <w:sz w:val="36"/>
        </w:rPr>
        <w:t>公开招标公告</w:t>
      </w:r>
      <w:bookmarkEnd w:id="1"/>
    </w:p>
    <w:p w14:paraId="74B8ED85">
      <w:pPr>
        <w:pBdr>
          <w:top w:val="single" w:color="auto" w:sz="4" w:space="1"/>
          <w:left w:val="single" w:color="auto" w:sz="4" w:space="4"/>
          <w:bottom w:val="single" w:color="auto" w:sz="4" w:space="1"/>
          <w:right w:val="single" w:color="auto" w:sz="4" w:space="4"/>
        </w:pBdr>
        <w:spacing w:line="360" w:lineRule="auto"/>
        <w:ind w:firstLine="482" w:firstLineChars="200"/>
        <w:rPr>
          <w:rFonts w:ascii="宋体" w:hAnsi="宋体"/>
          <w:b/>
          <w:bCs/>
          <w:color w:val="000000"/>
          <w:sz w:val="24"/>
        </w:rPr>
      </w:pPr>
      <w:r>
        <w:rPr>
          <w:rFonts w:hint="eastAsia" w:ascii="宋体" w:hAnsi="宋体"/>
          <w:b/>
          <w:bCs/>
          <w:color w:val="000000"/>
          <w:sz w:val="24"/>
        </w:rPr>
        <w:t>项目概况</w:t>
      </w:r>
    </w:p>
    <w:p w14:paraId="757D0186">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olor w:val="000000"/>
          <w:sz w:val="24"/>
        </w:rPr>
      </w:pPr>
      <w:r>
        <w:rPr>
          <w:rFonts w:hint="eastAsia" w:ascii="宋体" w:hAnsi="宋体"/>
          <w:color w:val="000000"/>
          <w:sz w:val="24"/>
          <w:u w:val="single"/>
        </w:rPr>
        <w:t xml:space="preserve">云南省体育彩票管理中心2025年即开型体育彩票物流服务采购项目 </w:t>
      </w:r>
      <w:r>
        <w:rPr>
          <w:rFonts w:hint="eastAsia" w:ascii="宋体" w:hAnsi="宋体"/>
          <w:color w:val="000000"/>
          <w:sz w:val="24"/>
        </w:rPr>
        <w:t>招标项目的潜在投标人应在</w:t>
      </w:r>
      <w:r>
        <w:rPr>
          <w:rFonts w:hint="eastAsia" w:ascii="宋体" w:hAnsi="宋体"/>
          <w:color w:val="000000"/>
          <w:sz w:val="24"/>
          <w:u w:val="single"/>
        </w:rPr>
        <w:t>政采云平台（https://www.zcygov.cn/）</w:t>
      </w:r>
      <w:r>
        <w:rPr>
          <w:rFonts w:hint="eastAsia" w:ascii="宋体" w:hAnsi="宋体"/>
          <w:color w:val="000000"/>
          <w:sz w:val="24"/>
        </w:rPr>
        <w:t>获取招标文件，并于</w:t>
      </w:r>
      <w:r>
        <w:rPr>
          <w:rFonts w:ascii="宋体" w:hAnsi="宋体"/>
          <w:color w:val="000000"/>
          <w:sz w:val="24"/>
          <w:highlight w:val="none"/>
          <w:u w:val="single"/>
        </w:rPr>
        <w:t>202</w:t>
      </w:r>
      <w:r>
        <w:rPr>
          <w:rFonts w:hint="eastAsia" w:ascii="宋体" w:hAnsi="宋体"/>
          <w:color w:val="000000"/>
          <w:sz w:val="24"/>
          <w:highlight w:val="none"/>
          <w:u w:val="single"/>
        </w:rPr>
        <w:t>5</w:t>
      </w:r>
      <w:r>
        <w:rPr>
          <w:rFonts w:ascii="宋体" w:hAnsi="宋体"/>
          <w:color w:val="000000"/>
          <w:sz w:val="24"/>
          <w:highlight w:val="none"/>
          <w:u w:val="single"/>
        </w:rPr>
        <w:t>年</w:t>
      </w:r>
      <w:r>
        <w:rPr>
          <w:rFonts w:hint="eastAsia" w:ascii="宋体" w:hAnsi="宋体"/>
          <w:color w:val="000000"/>
          <w:sz w:val="24"/>
          <w:highlight w:val="none"/>
          <w:u w:val="single"/>
          <w:lang w:val="en-US" w:eastAsia="zh-CN"/>
        </w:rPr>
        <w:t>10</w:t>
      </w:r>
      <w:r>
        <w:rPr>
          <w:rFonts w:ascii="宋体" w:hAnsi="宋体"/>
          <w:color w:val="000000"/>
          <w:sz w:val="24"/>
          <w:highlight w:val="none"/>
          <w:u w:val="single"/>
        </w:rPr>
        <w:t>月</w:t>
      </w:r>
      <w:r>
        <w:rPr>
          <w:rFonts w:hint="eastAsia" w:ascii="宋体" w:hAnsi="宋体"/>
          <w:color w:val="000000"/>
          <w:sz w:val="24"/>
          <w:highlight w:val="none"/>
          <w:u w:val="single"/>
          <w:lang w:val="en-US" w:eastAsia="zh-CN"/>
        </w:rPr>
        <w:t>14</w:t>
      </w:r>
      <w:r>
        <w:rPr>
          <w:rFonts w:ascii="宋体" w:hAnsi="宋体"/>
          <w:color w:val="000000"/>
          <w:sz w:val="24"/>
          <w:highlight w:val="none"/>
          <w:u w:val="single"/>
        </w:rPr>
        <w:t>日</w:t>
      </w:r>
      <w:r>
        <w:rPr>
          <w:rFonts w:hint="eastAsia" w:ascii="宋体" w:hAnsi="宋体"/>
          <w:color w:val="000000"/>
          <w:sz w:val="24"/>
          <w:highlight w:val="none"/>
          <w:u w:val="single"/>
          <w:lang w:val="en-US" w:eastAsia="zh-CN"/>
        </w:rPr>
        <w:t>09</w:t>
      </w:r>
      <w:r>
        <w:rPr>
          <w:rFonts w:ascii="宋体" w:hAnsi="宋体"/>
          <w:color w:val="000000"/>
          <w:sz w:val="24"/>
          <w:highlight w:val="none"/>
          <w:u w:val="single"/>
        </w:rPr>
        <w:t>时</w:t>
      </w:r>
      <w:r>
        <w:rPr>
          <w:rFonts w:hint="eastAsia" w:ascii="宋体" w:hAnsi="宋体"/>
          <w:color w:val="000000"/>
          <w:sz w:val="24"/>
          <w:highlight w:val="none"/>
          <w:u w:val="single"/>
          <w:lang w:val="en-US" w:eastAsia="zh-CN"/>
        </w:rPr>
        <w:t>30</w:t>
      </w:r>
      <w:r>
        <w:rPr>
          <w:rFonts w:ascii="宋体" w:hAnsi="宋体"/>
          <w:color w:val="000000"/>
          <w:sz w:val="24"/>
          <w:highlight w:val="none"/>
          <w:u w:val="single"/>
        </w:rPr>
        <w:t>分</w:t>
      </w:r>
      <w:r>
        <w:rPr>
          <w:rFonts w:ascii="宋体" w:hAnsi="宋体"/>
          <w:color w:val="000000"/>
          <w:sz w:val="24"/>
          <w:u w:val="single"/>
        </w:rPr>
        <w:t>（北京时间）</w:t>
      </w:r>
      <w:r>
        <w:rPr>
          <w:rFonts w:hint="eastAsia" w:ascii="宋体" w:hAnsi="宋体"/>
          <w:bCs/>
          <w:color w:val="000000"/>
          <w:sz w:val="24"/>
        </w:rPr>
        <w:t>前递交投标</w:t>
      </w:r>
      <w:r>
        <w:rPr>
          <w:rFonts w:ascii="宋体" w:hAnsi="宋体"/>
          <w:bCs/>
          <w:color w:val="000000"/>
          <w:sz w:val="24"/>
        </w:rPr>
        <w:t>文件</w:t>
      </w:r>
      <w:r>
        <w:rPr>
          <w:rFonts w:hint="eastAsia" w:ascii="宋体" w:hAnsi="宋体"/>
          <w:color w:val="000000"/>
          <w:sz w:val="24"/>
        </w:rPr>
        <w:t>。</w:t>
      </w:r>
    </w:p>
    <w:p w14:paraId="57B05568">
      <w:pPr>
        <w:keepNext/>
        <w:tabs>
          <w:tab w:val="left" w:pos="1021"/>
        </w:tabs>
        <w:adjustRightInd w:val="0"/>
        <w:spacing w:before="120" w:line="360" w:lineRule="auto"/>
        <w:ind w:left="425"/>
        <w:textAlignment w:val="baseline"/>
        <w:outlineLvl w:val="1"/>
        <w:rPr>
          <w:rFonts w:ascii="宋体" w:hAnsi="宋体" w:cs="宋体"/>
          <w:b/>
          <w:kern w:val="0"/>
          <w:sz w:val="24"/>
        </w:rPr>
      </w:pPr>
      <w:bookmarkStart w:id="2" w:name="_Toc35393790"/>
      <w:bookmarkStart w:id="3" w:name="_Toc35393621"/>
      <w:bookmarkStart w:id="4" w:name="_Toc152246134"/>
      <w:bookmarkStart w:id="5" w:name="_Toc28359002"/>
      <w:bookmarkStart w:id="6" w:name="_Toc28359079"/>
      <w:bookmarkStart w:id="7" w:name="_Hlk24379207"/>
      <w:r>
        <w:rPr>
          <w:rFonts w:hint="eastAsia" w:ascii="宋体" w:hAnsi="宋体" w:cs="宋体"/>
          <w:b/>
          <w:kern w:val="0"/>
          <w:sz w:val="24"/>
        </w:rPr>
        <w:t>一、项目基本情况</w:t>
      </w:r>
      <w:bookmarkEnd w:id="2"/>
      <w:bookmarkEnd w:id="3"/>
      <w:bookmarkEnd w:id="4"/>
      <w:bookmarkEnd w:id="5"/>
      <w:bookmarkEnd w:id="6"/>
    </w:p>
    <w:p w14:paraId="22C96DFF">
      <w:pPr>
        <w:spacing w:line="360" w:lineRule="auto"/>
        <w:ind w:firstLine="480" w:firstLineChars="200"/>
        <w:rPr>
          <w:rFonts w:hint="eastAsia" w:ascii="宋体" w:hAnsi="宋体" w:eastAsia="宋体"/>
          <w:sz w:val="24"/>
          <w:lang w:eastAsia="zh-CN"/>
        </w:rPr>
      </w:pPr>
      <w:r>
        <w:rPr>
          <w:rFonts w:hint="eastAsia" w:ascii="宋体" w:hAnsi="宋体"/>
          <w:sz w:val="24"/>
          <w:lang w:val="en-US" w:eastAsia="zh-CN"/>
        </w:rPr>
        <w:t>招标</w:t>
      </w:r>
      <w:r>
        <w:rPr>
          <w:rFonts w:hint="eastAsia" w:ascii="宋体" w:hAnsi="宋体"/>
          <w:sz w:val="24"/>
        </w:rPr>
        <w:t>编号：</w:t>
      </w:r>
      <w:r>
        <w:rPr>
          <w:rFonts w:hint="eastAsia" w:ascii="宋体" w:hAnsi="宋体"/>
          <w:sz w:val="24"/>
          <w:highlight w:val="none"/>
          <w:lang w:eastAsia="zh-CN"/>
        </w:rPr>
        <w:t xml:space="preserve">G53A00625001578 </w:t>
      </w:r>
    </w:p>
    <w:p w14:paraId="248D82BD">
      <w:pPr>
        <w:spacing w:line="360" w:lineRule="auto"/>
        <w:ind w:firstLine="480" w:firstLineChars="200"/>
        <w:rPr>
          <w:rFonts w:ascii="宋体" w:hAnsi="宋体"/>
          <w:sz w:val="24"/>
        </w:rPr>
      </w:pPr>
      <w:r>
        <w:rPr>
          <w:rFonts w:hint="eastAsia" w:ascii="宋体" w:hAnsi="宋体"/>
          <w:sz w:val="24"/>
        </w:rPr>
        <w:t xml:space="preserve">项目名称：云南省体育彩票管理中心2025年即开型体育彩票物流服务采购项目 </w:t>
      </w:r>
    </w:p>
    <w:bookmarkEnd w:id="7"/>
    <w:p w14:paraId="7098CF87">
      <w:pPr>
        <w:spacing w:line="360" w:lineRule="auto"/>
        <w:ind w:firstLine="480" w:firstLineChars="200"/>
        <w:rPr>
          <w:rFonts w:ascii="宋体" w:hAnsi="宋体"/>
          <w:sz w:val="24"/>
        </w:rPr>
      </w:pPr>
      <w:r>
        <w:rPr>
          <w:rFonts w:hint="eastAsia" w:ascii="宋体" w:hAnsi="宋体"/>
          <w:sz w:val="24"/>
        </w:rPr>
        <w:t>预算金额：95.99835</w:t>
      </w:r>
      <w:r>
        <w:rPr>
          <w:rFonts w:ascii="宋体" w:hAnsi="宋体"/>
          <w:sz w:val="24"/>
        </w:rPr>
        <w:t>万元</w:t>
      </w:r>
    </w:p>
    <w:p w14:paraId="1DC334D3">
      <w:pPr>
        <w:spacing w:line="360" w:lineRule="auto"/>
        <w:ind w:firstLine="480" w:firstLineChars="200"/>
        <w:rPr>
          <w:rFonts w:ascii="宋体" w:hAnsi="宋体"/>
          <w:color w:val="000000"/>
          <w:sz w:val="24"/>
        </w:rPr>
      </w:pPr>
      <w:r>
        <w:rPr>
          <w:rFonts w:hint="eastAsia" w:ascii="宋体" w:hAnsi="宋体"/>
          <w:color w:val="000000"/>
          <w:sz w:val="24"/>
        </w:rPr>
        <w:t>最高限价（如有）：同预算金额</w:t>
      </w:r>
    </w:p>
    <w:p w14:paraId="64CE3EF8">
      <w:pPr>
        <w:spacing w:line="360" w:lineRule="auto"/>
        <w:ind w:firstLine="480" w:firstLineChars="200"/>
      </w:pPr>
      <w:r>
        <w:rPr>
          <w:rFonts w:hint="eastAsia" w:ascii="宋体" w:hAnsi="宋体"/>
          <w:sz w:val="24"/>
        </w:rPr>
        <w:t>采购需求：云南省体育彩票管理中心2025年即开型体育彩票物流服务采购项目，暂估运输量约39183件。服务范围含：1.采购人委托供应商方对省外运达云南省的即开票进行验收、分拣、发货等，并负责接收货物的存放、运输安全；2.供应商负责对采购人委托承运的即开票完成上门提货、分拣、覆膜、配送、码放入库等，运送至采购人省内各分支机构指定仓库并按要求码放；3.供应商负责对采购人委托承运的即开票完成上门提货、分拣、配送等，运送至采购人指定的省内,省外配送地点；4.供应商负责采购人日常交付的需运输的货物，运送至采购人指定的地点。</w:t>
      </w:r>
    </w:p>
    <w:p w14:paraId="16DE0A2D">
      <w:pPr>
        <w:pStyle w:val="9"/>
        <w:ind w:firstLine="482"/>
        <w:rPr>
          <w:b/>
        </w:rPr>
      </w:pPr>
      <w:r>
        <w:rPr>
          <w:rFonts w:hint="eastAsia"/>
          <w:b/>
        </w:rPr>
        <w:t>投标人须按照本项目标包内容对所投标包进行完整投标，不可缺项漏项，否则按不实质性响应招标文件处理。</w:t>
      </w:r>
    </w:p>
    <w:p w14:paraId="5F390C2E">
      <w:pPr>
        <w:spacing w:line="360" w:lineRule="auto"/>
        <w:ind w:firstLine="480" w:firstLineChars="200"/>
        <w:rPr>
          <w:rFonts w:ascii="宋体" w:hAnsi="宋体"/>
          <w:sz w:val="24"/>
          <w:u w:val="single"/>
        </w:rPr>
      </w:pPr>
      <w:r>
        <w:rPr>
          <w:rFonts w:hint="eastAsia" w:ascii="宋体" w:hAnsi="宋体"/>
          <w:sz w:val="24"/>
        </w:rPr>
        <w:t>合同履行期限：自云南省体育彩票管理中心2024年即开型体育彩票物流服务项目合同服务期到期后，该合同生效，服务期限为生效之日起一年内（若合同约定金额在期限内提前用完则合同提前终止）。</w:t>
      </w:r>
    </w:p>
    <w:p w14:paraId="3448820A">
      <w:pPr>
        <w:spacing w:line="360" w:lineRule="auto"/>
        <w:ind w:firstLine="480" w:firstLineChars="200"/>
        <w:rPr>
          <w:rFonts w:ascii="宋体" w:hAnsi="宋体"/>
          <w:sz w:val="24"/>
        </w:rPr>
      </w:pPr>
      <w:r>
        <w:rPr>
          <w:rFonts w:hint="eastAsia" w:ascii="宋体" w:hAnsi="宋体"/>
          <w:sz w:val="24"/>
        </w:rPr>
        <w:t>本项目</w:t>
      </w:r>
      <w:r>
        <w:rPr>
          <w:rFonts w:hint="eastAsia" w:ascii="宋体" w:hAnsi="宋体"/>
          <w:b/>
          <w:sz w:val="24"/>
        </w:rPr>
        <w:t>（</w:t>
      </w:r>
      <w:r>
        <w:rPr>
          <w:rFonts w:ascii="宋体" w:hAnsi="宋体"/>
          <w:b/>
          <w:sz w:val="24"/>
        </w:rPr>
        <w:t>否</w:t>
      </w:r>
      <w:r>
        <w:rPr>
          <w:rFonts w:hint="eastAsia" w:ascii="宋体" w:hAnsi="宋体"/>
          <w:b/>
          <w:sz w:val="24"/>
        </w:rPr>
        <w:t>）</w:t>
      </w:r>
      <w:r>
        <w:rPr>
          <w:rFonts w:hint="eastAsia" w:ascii="宋体" w:hAnsi="宋体"/>
          <w:sz w:val="24"/>
        </w:rPr>
        <w:t>接受联合体投标。</w:t>
      </w:r>
    </w:p>
    <w:p w14:paraId="5CB19352">
      <w:pPr>
        <w:keepNext/>
        <w:tabs>
          <w:tab w:val="left" w:pos="1021"/>
        </w:tabs>
        <w:adjustRightInd w:val="0"/>
        <w:spacing w:before="120" w:line="360" w:lineRule="auto"/>
        <w:ind w:left="425"/>
        <w:textAlignment w:val="baseline"/>
        <w:outlineLvl w:val="1"/>
        <w:rPr>
          <w:rFonts w:ascii="宋体" w:hAnsi="宋体" w:cs="宋体"/>
          <w:b/>
          <w:color w:val="000000"/>
          <w:kern w:val="0"/>
          <w:sz w:val="24"/>
        </w:rPr>
      </w:pPr>
      <w:bookmarkStart w:id="8" w:name="_Toc35393622"/>
      <w:bookmarkStart w:id="9" w:name="_Toc28359003"/>
      <w:bookmarkStart w:id="10" w:name="_Toc35393791"/>
      <w:bookmarkStart w:id="11" w:name="_Toc28359080"/>
      <w:bookmarkStart w:id="12" w:name="_Toc152246135"/>
      <w:r>
        <w:rPr>
          <w:rFonts w:hint="eastAsia" w:ascii="宋体" w:hAnsi="宋体" w:cs="宋体"/>
          <w:b/>
          <w:color w:val="000000"/>
          <w:kern w:val="0"/>
          <w:sz w:val="24"/>
        </w:rPr>
        <w:t>二、申请人的资格要求：</w:t>
      </w:r>
      <w:bookmarkEnd w:id="8"/>
      <w:bookmarkEnd w:id="9"/>
      <w:bookmarkEnd w:id="10"/>
      <w:bookmarkEnd w:id="11"/>
      <w:bookmarkEnd w:id="12"/>
    </w:p>
    <w:p w14:paraId="236D9AE4">
      <w:pPr>
        <w:adjustRightInd w:val="0"/>
        <w:snapToGrid w:val="0"/>
        <w:spacing w:before="240" w:line="360" w:lineRule="auto"/>
        <w:ind w:firstLine="480" w:firstLineChars="200"/>
        <w:rPr>
          <w:rFonts w:ascii="宋体" w:hAnsi="宋体"/>
          <w:color w:val="000000"/>
          <w:sz w:val="24"/>
        </w:rPr>
      </w:pPr>
      <w:bookmarkStart w:id="13" w:name="_Toc28359081"/>
      <w:bookmarkStart w:id="14" w:name="_Toc28359004"/>
      <w:r>
        <w:rPr>
          <w:rFonts w:hint="eastAsia" w:ascii="宋体" w:hAnsi="宋体"/>
          <w:color w:val="000000"/>
          <w:sz w:val="24"/>
        </w:rPr>
        <w:t>1.满足《中华人民共和国政府采购法》第二十二条规定；</w:t>
      </w:r>
    </w:p>
    <w:p w14:paraId="3EDBD819">
      <w:pPr>
        <w:adjustRightInd w:val="0"/>
        <w:snapToGrid w:val="0"/>
        <w:spacing w:line="360" w:lineRule="auto"/>
        <w:ind w:firstLine="480" w:firstLineChars="200"/>
        <w:rPr>
          <w:rFonts w:ascii="宋体" w:hAnsi="宋体"/>
          <w:sz w:val="24"/>
        </w:rPr>
      </w:pPr>
      <w:r>
        <w:rPr>
          <w:rFonts w:ascii="宋体" w:hAnsi="宋体"/>
          <w:sz w:val="24"/>
        </w:rPr>
        <w:t>2</w:t>
      </w:r>
      <w:r>
        <w:rPr>
          <w:rFonts w:hint="eastAsia" w:ascii="宋体" w:hAnsi="宋体"/>
          <w:sz w:val="24"/>
        </w:rPr>
        <w:t>.落实政府采购政策需满足的资格要求：</w:t>
      </w:r>
      <w:r>
        <w:rPr>
          <w:rFonts w:hint="eastAsia" w:ascii="宋体" w:hAnsi="宋体"/>
          <w:sz w:val="24"/>
          <w:u w:val="single"/>
        </w:rPr>
        <w:t>无；（1）云南省体育彩票管理中心2025年即开型体育彩票物流服务采购项目：非专门面向中小企业采购；</w:t>
      </w:r>
    </w:p>
    <w:p w14:paraId="7A7FD235">
      <w:pPr>
        <w:adjustRightInd w:val="0"/>
        <w:snapToGrid w:val="0"/>
        <w:spacing w:line="360" w:lineRule="auto"/>
        <w:ind w:firstLine="480" w:firstLineChars="200"/>
        <w:rPr>
          <w:rFonts w:ascii="宋体" w:hAnsi="宋体"/>
          <w:color w:val="000000"/>
          <w:sz w:val="24"/>
        </w:rPr>
      </w:pPr>
      <w:r>
        <w:rPr>
          <w:rFonts w:hint="eastAsia" w:ascii="宋体" w:hAnsi="宋体"/>
          <w:color w:val="000000"/>
          <w:sz w:val="24"/>
        </w:rPr>
        <w:t>3.本项目的特定资格要求：</w:t>
      </w:r>
    </w:p>
    <w:p w14:paraId="14B03EC2">
      <w:pPr>
        <w:spacing w:line="360" w:lineRule="auto"/>
        <w:ind w:firstLine="480" w:firstLineChars="200"/>
        <w:rPr>
          <w:rFonts w:ascii="宋体" w:hAnsi="宋体"/>
          <w:sz w:val="24"/>
          <w:u w:val="single"/>
        </w:rPr>
      </w:pPr>
      <w:r>
        <w:rPr>
          <w:rFonts w:hint="eastAsia" w:ascii="宋体" w:hAnsi="宋体"/>
          <w:bCs/>
          <w:sz w:val="24"/>
          <w:u w:val="single"/>
        </w:rPr>
        <w:t>（1）供应商须具备有效的《道路运输经营许可证》（若分公司参加投标的，应当提供总公司出具针对本项目的授权，授权书中须由总公司承诺承担相关主体责任，每个总公司仅能授权一家分支机构参与投标，不接受总公司及其分支机构同时参与同一项目投标，否则相关投标均按无效投标处理）；（2）单位负责人为同一人或者存在直接控股、管理关系的不同供应商，不得参加同一合同项下的政府采购活动；为本项目提供整体设计、规范编制或者项目管理、监理、检测等服务的供应商，不得再参加本项目的采购活动；（3）</w:t>
      </w:r>
      <w:r>
        <w:rPr>
          <w:rFonts w:hint="eastAsia" w:ascii="宋体" w:hAnsi="宋体"/>
          <w:sz w:val="24"/>
          <w:u w:val="single"/>
        </w:rPr>
        <w:t>本次招标</w:t>
      </w:r>
      <w:r>
        <w:rPr>
          <w:rFonts w:hint="eastAsia" w:ascii="宋体" w:hAnsi="宋体"/>
          <w:b/>
          <w:sz w:val="24"/>
          <w:u w:val="single"/>
        </w:rPr>
        <w:t>不接受</w:t>
      </w:r>
      <w:r>
        <w:rPr>
          <w:rFonts w:hint="eastAsia" w:ascii="宋体" w:hAnsi="宋体"/>
          <w:sz w:val="24"/>
          <w:u w:val="single"/>
        </w:rPr>
        <w:t>联合体投标</w:t>
      </w:r>
      <w:r>
        <w:rPr>
          <w:rFonts w:hint="eastAsia" w:ascii="宋体" w:hAnsi="宋体"/>
          <w:sz w:val="24"/>
        </w:rPr>
        <w:t>。</w:t>
      </w:r>
    </w:p>
    <w:p w14:paraId="4864438F">
      <w:pPr>
        <w:keepNext/>
        <w:tabs>
          <w:tab w:val="left" w:pos="1021"/>
        </w:tabs>
        <w:adjustRightInd w:val="0"/>
        <w:spacing w:before="120" w:line="360" w:lineRule="auto"/>
        <w:ind w:left="425"/>
        <w:textAlignment w:val="baseline"/>
        <w:outlineLvl w:val="1"/>
        <w:rPr>
          <w:rFonts w:ascii="宋体" w:hAnsi="宋体" w:cs="宋体"/>
          <w:b/>
          <w:color w:val="000000"/>
          <w:kern w:val="0"/>
          <w:sz w:val="24"/>
        </w:rPr>
      </w:pPr>
      <w:bookmarkStart w:id="15" w:name="_Toc35393792"/>
      <w:bookmarkStart w:id="16" w:name="_Toc35393623"/>
      <w:bookmarkStart w:id="17" w:name="_Toc152246136"/>
      <w:r>
        <w:rPr>
          <w:rFonts w:hint="eastAsia" w:ascii="宋体" w:hAnsi="宋体" w:cs="宋体"/>
          <w:b/>
          <w:color w:val="000000"/>
          <w:kern w:val="0"/>
          <w:sz w:val="24"/>
        </w:rPr>
        <w:t>三、获取招标文件</w:t>
      </w:r>
      <w:bookmarkEnd w:id="13"/>
      <w:bookmarkEnd w:id="14"/>
      <w:bookmarkEnd w:id="15"/>
      <w:bookmarkEnd w:id="16"/>
      <w:bookmarkEnd w:id="17"/>
    </w:p>
    <w:p w14:paraId="4980AFCC">
      <w:pPr>
        <w:adjustRightInd w:val="0"/>
        <w:snapToGrid w:val="0"/>
        <w:spacing w:line="360" w:lineRule="auto"/>
        <w:ind w:firstLine="540"/>
        <w:rPr>
          <w:rFonts w:ascii="宋体" w:hAnsi="宋体" w:cs="宋体"/>
          <w:color w:val="000000"/>
          <w:sz w:val="24"/>
          <w:highlight w:val="none"/>
        </w:rPr>
      </w:pPr>
      <w:r>
        <w:rPr>
          <w:rFonts w:hint="eastAsia" w:ascii="宋体" w:hAnsi="宋体" w:cs="宋体"/>
          <w:color w:val="000000"/>
          <w:sz w:val="24"/>
          <w:highlight w:val="none"/>
        </w:rPr>
        <w:t>时间：</w:t>
      </w:r>
      <w:r>
        <w:rPr>
          <w:rFonts w:hint="eastAsia" w:ascii="宋体" w:hAnsi="宋体" w:cs="宋体"/>
          <w:color w:val="000000"/>
          <w:sz w:val="24"/>
          <w:highlight w:val="none"/>
          <w:u w:val="single"/>
        </w:rPr>
        <w:t>2025年09月</w:t>
      </w:r>
      <w:r>
        <w:rPr>
          <w:rFonts w:hint="eastAsia" w:ascii="宋体" w:hAnsi="宋体" w:cs="宋体"/>
          <w:color w:val="000000"/>
          <w:sz w:val="24"/>
          <w:highlight w:val="none"/>
          <w:u w:val="single"/>
          <w:lang w:val="en-US" w:eastAsia="zh-CN"/>
        </w:rPr>
        <w:t>23</w:t>
      </w:r>
      <w:r>
        <w:rPr>
          <w:rFonts w:hint="eastAsia" w:ascii="宋体" w:hAnsi="宋体" w:cs="宋体"/>
          <w:color w:val="000000"/>
          <w:sz w:val="24"/>
          <w:highlight w:val="none"/>
          <w:u w:val="single"/>
        </w:rPr>
        <w:t>日</w:t>
      </w:r>
      <w:r>
        <w:rPr>
          <w:rFonts w:hint="eastAsia" w:ascii="宋体" w:hAnsi="宋体" w:cs="宋体"/>
          <w:color w:val="000000"/>
          <w:sz w:val="24"/>
          <w:highlight w:val="none"/>
        </w:rPr>
        <w:t>至</w:t>
      </w:r>
      <w:r>
        <w:rPr>
          <w:rFonts w:hint="eastAsia" w:ascii="宋体" w:hAnsi="宋体" w:cs="宋体"/>
          <w:color w:val="000000"/>
          <w:sz w:val="24"/>
          <w:highlight w:val="none"/>
          <w:u w:val="single"/>
        </w:rPr>
        <w:t>2025年09月</w:t>
      </w:r>
      <w:r>
        <w:rPr>
          <w:rFonts w:hint="eastAsia" w:ascii="宋体" w:hAnsi="宋体" w:cs="宋体"/>
          <w:color w:val="000000"/>
          <w:sz w:val="24"/>
          <w:highlight w:val="none"/>
          <w:u w:val="single"/>
          <w:lang w:val="en-US" w:eastAsia="zh-CN"/>
        </w:rPr>
        <w:t>29</w:t>
      </w:r>
      <w:r>
        <w:rPr>
          <w:rFonts w:hint="eastAsia" w:ascii="宋体" w:hAnsi="宋体" w:cs="宋体"/>
          <w:color w:val="000000"/>
          <w:sz w:val="24"/>
          <w:highlight w:val="none"/>
          <w:u w:val="single"/>
        </w:rPr>
        <w:t>日</w:t>
      </w:r>
      <w:r>
        <w:rPr>
          <w:rFonts w:hint="eastAsia" w:ascii="宋体" w:hAnsi="宋体" w:cs="宋体"/>
          <w:color w:val="000000"/>
          <w:sz w:val="24"/>
          <w:highlight w:val="none"/>
        </w:rPr>
        <w:t>，每天上午</w:t>
      </w:r>
      <w:r>
        <w:rPr>
          <w:rFonts w:hint="eastAsia" w:ascii="宋体" w:hAnsi="宋体" w:cs="宋体"/>
          <w:color w:val="000000"/>
          <w:sz w:val="24"/>
          <w:highlight w:val="none"/>
          <w:u w:val="single"/>
        </w:rPr>
        <w:t>0</w:t>
      </w:r>
      <w:r>
        <w:rPr>
          <w:rFonts w:hint="eastAsia" w:ascii="宋体" w:hAnsi="宋体" w:cs="宋体"/>
          <w:color w:val="000000"/>
          <w:sz w:val="24"/>
          <w:highlight w:val="none"/>
          <w:u w:val="single"/>
          <w:lang w:val="en-US" w:eastAsia="zh-CN"/>
        </w:rPr>
        <w:t>6</w:t>
      </w:r>
      <w:r>
        <w:rPr>
          <w:rFonts w:hint="eastAsia" w:ascii="宋体" w:hAnsi="宋体" w:cs="宋体"/>
          <w:color w:val="000000"/>
          <w:sz w:val="24"/>
          <w:highlight w:val="none"/>
          <w:u w:val="single"/>
        </w:rPr>
        <w:t>:</w:t>
      </w:r>
      <w:r>
        <w:rPr>
          <w:rFonts w:hint="eastAsia" w:ascii="宋体" w:hAnsi="宋体" w:cs="宋体"/>
          <w:color w:val="000000"/>
          <w:sz w:val="24"/>
          <w:highlight w:val="none"/>
          <w:u w:val="single"/>
          <w:lang w:val="en-US" w:eastAsia="zh-CN"/>
        </w:rPr>
        <w:t>0</w:t>
      </w:r>
      <w:r>
        <w:rPr>
          <w:rFonts w:hint="eastAsia" w:ascii="宋体" w:hAnsi="宋体" w:cs="宋体"/>
          <w:color w:val="000000"/>
          <w:sz w:val="24"/>
          <w:highlight w:val="none"/>
          <w:u w:val="single"/>
        </w:rPr>
        <w:t>0</w:t>
      </w:r>
      <w:r>
        <w:rPr>
          <w:rFonts w:hint="eastAsia" w:ascii="宋体" w:hAnsi="宋体" w:cs="宋体"/>
          <w:color w:val="000000"/>
          <w:sz w:val="24"/>
          <w:highlight w:val="none"/>
        </w:rPr>
        <w:t>至</w:t>
      </w:r>
      <w:r>
        <w:rPr>
          <w:rFonts w:hint="eastAsia" w:ascii="宋体" w:hAnsi="宋体" w:cs="宋体"/>
          <w:color w:val="000000"/>
          <w:sz w:val="24"/>
          <w:highlight w:val="none"/>
          <w:u w:val="single"/>
        </w:rPr>
        <w:t>1</w:t>
      </w:r>
      <w:r>
        <w:rPr>
          <w:rFonts w:hint="eastAsia" w:ascii="宋体" w:hAnsi="宋体" w:cs="宋体"/>
          <w:color w:val="000000"/>
          <w:sz w:val="24"/>
          <w:highlight w:val="none"/>
          <w:u w:val="single"/>
          <w:lang w:val="en-US" w:eastAsia="zh-CN"/>
        </w:rPr>
        <w:t>2</w:t>
      </w:r>
      <w:r>
        <w:rPr>
          <w:rFonts w:hint="eastAsia" w:ascii="宋体" w:hAnsi="宋体" w:cs="宋体"/>
          <w:color w:val="000000"/>
          <w:sz w:val="24"/>
          <w:highlight w:val="none"/>
          <w:u w:val="single"/>
        </w:rPr>
        <w:t>:</w:t>
      </w:r>
      <w:r>
        <w:rPr>
          <w:rFonts w:hint="eastAsia" w:ascii="宋体" w:hAnsi="宋体" w:cs="宋体"/>
          <w:color w:val="000000"/>
          <w:sz w:val="24"/>
          <w:highlight w:val="none"/>
          <w:u w:val="single"/>
          <w:lang w:val="en-US" w:eastAsia="zh-CN"/>
        </w:rPr>
        <w:t>0</w:t>
      </w:r>
      <w:r>
        <w:rPr>
          <w:rFonts w:hint="eastAsia" w:ascii="宋体" w:hAnsi="宋体" w:cs="宋体"/>
          <w:color w:val="000000"/>
          <w:sz w:val="24"/>
          <w:highlight w:val="none"/>
          <w:u w:val="single"/>
        </w:rPr>
        <w:t>0</w:t>
      </w:r>
      <w:r>
        <w:rPr>
          <w:rFonts w:hint="eastAsia" w:ascii="宋体" w:hAnsi="宋体" w:cs="宋体"/>
          <w:color w:val="000000"/>
          <w:sz w:val="24"/>
          <w:highlight w:val="none"/>
        </w:rPr>
        <w:t>，下午</w:t>
      </w:r>
      <w:r>
        <w:rPr>
          <w:rFonts w:hint="eastAsia" w:ascii="宋体" w:hAnsi="宋体" w:cs="宋体"/>
          <w:color w:val="000000"/>
          <w:sz w:val="24"/>
          <w:highlight w:val="none"/>
          <w:u w:val="single"/>
        </w:rPr>
        <w:t>1</w:t>
      </w:r>
      <w:r>
        <w:rPr>
          <w:rFonts w:hint="eastAsia" w:ascii="宋体" w:hAnsi="宋体" w:cs="宋体"/>
          <w:color w:val="000000"/>
          <w:sz w:val="24"/>
          <w:highlight w:val="none"/>
          <w:u w:val="single"/>
          <w:lang w:val="en-US" w:eastAsia="zh-CN"/>
        </w:rPr>
        <w:t>2</w:t>
      </w:r>
      <w:r>
        <w:rPr>
          <w:rFonts w:hint="eastAsia" w:ascii="宋体" w:hAnsi="宋体" w:cs="宋体"/>
          <w:color w:val="000000"/>
          <w:sz w:val="24"/>
          <w:highlight w:val="none"/>
          <w:u w:val="single"/>
        </w:rPr>
        <w:t>:</w:t>
      </w:r>
      <w:r>
        <w:rPr>
          <w:rFonts w:hint="eastAsia" w:ascii="宋体" w:hAnsi="宋体" w:cs="宋体"/>
          <w:color w:val="000000"/>
          <w:sz w:val="24"/>
          <w:highlight w:val="none"/>
          <w:u w:val="single"/>
          <w:lang w:val="en-US" w:eastAsia="zh-CN"/>
        </w:rPr>
        <w:t>0</w:t>
      </w:r>
      <w:r>
        <w:rPr>
          <w:rFonts w:hint="eastAsia" w:ascii="宋体" w:hAnsi="宋体" w:cs="宋体"/>
          <w:color w:val="000000"/>
          <w:sz w:val="24"/>
          <w:highlight w:val="none"/>
          <w:u w:val="single"/>
        </w:rPr>
        <w:t>0</w:t>
      </w:r>
      <w:r>
        <w:rPr>
          <w:rFonts w:hint="eastAsia" w:ascii="宋体" w:hAnsi="宋体" w:cs="宋体"/>
          <w:color w:val="000000"/>
          <w:sz w:val="24"/>
          <w:highlight w:val="none"/>
        </w:rPr>
        <w:t>至</w:t>
      </w:r>
      <w:r>
        <w:rPr>
          <w:rFonts w:hint="eastAsia" w:ascii="宋体" w:hAnsi="宋体" w:cs="宋体"/>
          <w:color w:val="000000"/>
          <w:sz w:val="24"/>
          <w:highlight w:val="none"/>
          <w:u w:val="single"/>
          <w:lang w:val="en-US" w:eastAsia="zh-CN"/>
        </w:rPr>
        <w:t>23</w:t>
      </w:r>
      <w:r>
        <w:rPr>
          <w:rFonts w:hint="eastAsia" w:ascii="宋体" w:hAnsi="宋体" w:cs="宋体"/>
          <w:color w:val="000000"/>
          <w:sz w:val="24"/>
          <w:highlight w:val="none"/>
          <w:u w:val="single"/>
        </w:rPr>
        <w:t>:</w:t>
      </w:r>
      <w:r>
        <w:rPr>
          <w:rFonts w:hint="eastAsia" w:ascii="宋体" w:hAnsi="宋体" w:cs="宋体"/>
          <w:color w:val="000000"/>
          <w:sz w:val="24"/>
          <w:highlight w:val="none"/>
          <w:u w:val="single"/>
          <w:lang w:val="en-US" w:eastAsia="zh-CN"/>
        </w:rPr>
        <w:t>59</w:t>
      </w:r>
      <w:r>
        <w:rPr>
          <w:rFonts w:hint="eastAsia" w:ascii="宋体" w:hAnsi="宋体" w:cs="宋体"/>
          <w:color w:val="000000"/>
          <w:sz w:val="24"/>
          <w:highlight w:val="none"/>
        </w:rPr>
        <w:t>北京时间，</w:t>
      </w:r>
      <w:r>
        <w:rPr>
          <w:rFonts w:ascii="宋体" w:hAnsi="宋体" w:cs="宋体"/>
          <w:color w:val="000000"/>
          <w:sz w:val="24"/>
          <w:highlight w:val="none"/>
        </w:rPr>
        <w:t>法定节假日</w:t>
      </w:r>
      <w:r>
        <w:rPr>
          <w:rFonts w:hint="eastAsia" w:ascii="宋体" w:hAnsi="宋体" w:cs="宋体"/>
          <w:color w:val="000000"/>
          <w:sz w:val="24"/>
          <w:highlight w:val="none"/>
        </w:rPr>
        <w:t>除外）</w:t>
      </w:r>
    </w:p>
    <w:p w14:paraId="68E4FFB2">
      <w:pPr>
        <w:spacing w:line="360" w:lineRule="auto"/>
        <w:ind w:firstLine="540"/>
        <w:rPr>
          <w:rFonts w:ascii="宋体" w:hAnsi="宋体" w:cs="宋体"/>
          <w:color w:val="000000"/>
          <w:sz w:val="24"/>
        </w:rPr>
      </w:pPr>
      <w:r>
        <w:rPr>
          <w:rFonts w:hint="eastAsia" w:ascii="宋体" w:hAnsi="宋体" w:cs="宋体"/>
          <w:color w:val="000000"/>
          <w:sz w:val="24"/>
        </w:rPr>
        <w:t>地点：云南省电子交易平台（政采云平台</w:t>
      </w:r>
      <w:r>
        <w:fldChar w:fldCharType="begin"/>
      </w:r>
      <w:r>
        <w:instrText xml:space="preserve"> HYPERLINK "https://www.zcygov.cn/）" </w:instrText>
      </w:r>
      <w:r>
        <w:fldChar w:fldCharType="separate"/>
      </w:r>
      <w:r>
        <w:rPr>
          <w:rStyle w:val="38"/>
          <w:rFonts w:hint="eastAsia" w:ascii="宋体" w:hAnsi="宋体" w:cs="宋体"/>
          <w:sz w:val="24"/>
        </w:rPr>
        <w:t>https://www.zcygov.cn/）</w:t>
      </w:r>
      <w:r>
        <w:rPr>
          <w:rStyle w:val="38"/>
          <w:rFonts w:hint="eastAsia" w:ascii="宋体" w:hAnsi="宋体" w:cs="宋体"/>
          <w:sz w:val="24"/>
        </w:rPr>
        <w:fldChar w:fldCharType="end"/>
      </w:r>
    </w:p>
    <w:p w14:paraId="343240A8">
      <w:pPr>
        <w:pStyle w:val="190"/>
        <w:spacing w:line="440" w:lineRule="exact"/>
        <w:ind w:firstLine="480"/>
        <w:rPr>
          <w:rFonts w:ascii="宋体" w:hAnsi="宋体" w:eastAsia="宋体" w:cs="宋体"/>
          <w:color w:val="000000"/>
          <w:sz w:val="24"/>
          <w:szCs w:val="20"/>
        </w:rPr>
      </w:pPr>
      <w:r>
        <w:rPr>
          <w:rFonts w:hint="eastAsia" w:ascii="宋体" w:hAnsi="宋体" w:eastAsia="宋体" w:cs="宋体"/>
          <w:color w:val="000000"/>
          <w:sz w:val="24"/>
          <w:szCs w:val="20"/>
        </w:rPr>
        <w:t>方式：</w:t>
      </w:r>
      <w:bookmarkStart w:id="18" w:name="_Toc28359005"/>
      <w:bookmarkStart w:id="19" w:name="_Toc28359082"/>
      <w:bookmarkStart w:id="20" w:name="_Toc35393624"/>
      <w:bookmarkStart w:id="21" w:name="_Toc35393793"/>
      <w:bookmarkStart w:id="22" w:name="_Toc152246137"/>
      <w:r>
        <w:rPr>
          <w:rFonts w:hint="eastAsia" w:ascii="宋体" w:hAnsi="宋体" w:eastAsia="宋体" w:cs="宋体"/>
          <w:color w:val="000000"/>
          <w:sz w:val="24"/>
          <w:szCs w:val="20"/>
        </w:rPr>
        <w:t>1.凡有意参加投标者，须在政采云平台办理数字证书（CA），CA申领链接：ttps://middle.zcygov.cn/ca/apply/list?_app_=zcy.sys，并在政采云绑定数字证书（CA）后在网上获取采购文件及其它采购资料，数字证书（CA）详见其办理流程。2.按上述要求获取文件的供应商视为合法获取了本项目采购文件，具备本项目的投标资格。</w:t>
      </w:r>
    </w:p>
    <w:p w14:paraId="06E74394">
      <w:pPr>
        <w:pStyle w:val="190"/>
        <w:ind w:firstLine="480"/>
        <w:rPr>
          <w:rFonts w:ascii="宋体" w:hAnsi="宋体" w:eastAsia="宋体" w:cs="宋体"/>
          <w:color w:val="000000"/>
          <w:sz w:val="24"/>
          <w:szCs w:val="20"/>
        </w:rPr>
      </w:pPr>
      <w:r>
        <w:rPr>
          <w:rFonts w:hint="eastAsia" w:ascii="宋体" w:hAnsi="宋体" w:eastAsia="宋体" w:cs="宋体"/>
          <w:color w:val="000000"/>
          <w:sz w:val="24"/>
          <w:szCs w:val="20"/>
        </w:rPr>
        <w:t>售价：0</w:t>
      </w:r>
    </w:p>
    <w:p w14:paraId="7118305F">
      <w:pPr>
        <w:keepNext/>
        <w:tabs>
          <w:tab w:val="left" w:pos="1021"/>
        </w:tabs>
        <w:adjustRightInd w:val="0"/>
        <w:spacing w:before="120" w:line="360" w:lineRule="auto"/>
        <w:ind w:left="425"/>
        <w:textAlignment w:val="baseline"/>
        <w:outlineLvl w:val="1"/>
        <w:rPr>
          <w:rFonts w:ascii="宋体" w:hAnsi="宋体" w:cs="宋体"/>
          <w:b/>
          <w:color w:val="000000"/>
          <w:kern w:val="0"/>
          <w:sz w:val="24"/>
        </w:rPr>
      </w:pPr>
      <w:r>
        <w:rPr>
          <w:rFonts w:hint="eastAsia" w:ascii="宋体" w:hAnsi="宋体" w:cs="宋体"/>
          <w:b/>
          <w:color w:val="000000"/>
          <w:kern w:val="0"/>
          <w:sz w:val="24"/>
        </w:rPr>
        <w:t>四、提交投标文件</w:t>
      </w:r>
      <w:bookmarkEnd w:id="18"/>
      <w:bookmarkEnd w:id="19"/>
      <w:r>
        <w:rPr>
          <w:rFonts w:hint="eastAsia" w:ascii="宋体" w:hAnsi="宋体" w:cs="宋体"/>
          <w:b/>
          <w:color w:val="000000"/>
          <w:kern w:val="0"/>
          <w:sz w:val="24"/>
        </w:rPr>
        <w:t>截止时间、开标时间和地点</w:t>
      </w:r>
      <w:bookmarkEnd w:id="20"/>
      <w:bookmarkEnd w:id="21"/>
      <w:bookmarkEnd w:id="22"/>
    </w:p>
    <w:p w14:paraId="4804A1C6">
      <w:pPr>
        <w:spacing w:line="360" w:lineRule="auto"/>
        <w:ind w:firstLine="480" w:firstLineChars="200"/>
        <w:rPr>
          <w:rFonts w:ascii="宋体" w:hAnsi="宋体"/>
          <w:bCs/>
          <w:color w:val="000000"/>
          <w:sz w:val="24"/>
          <w:highlight w:val="none"/>
          <w:u w:val="single"/>
        </w:rPr>
      </w:pPr>
      <w:r>
        <w:rPr>
          <w:rFonts w:hint="eastAsia" w:ascii="宋体" w:hAnsi="宋体" w:cs="宋体"/>
          <w:color w:val="000000"/>
          <w:sz w:val="24"/>
          <w:highlight w:val="none"/>
        </w:rPr>
        <w:t>提交投标文件截止时间及开标时间：</w:t>
      </w:r>
      <w:r>
        <w:rPr>
          <w:rFonts w:hint="eastAsia" w:ascii="宋体" w:hAnsi="宋体"/>
          <w:bCs/>
          <w:color w:val="000000"/>
          <w:sz w:val="24"/>
          <w:highlight w:val="none"/>
          <w:u w:val="single"/>
        </w:rPr>
        <w:t>2025年10月</w:t>
      </w:r>
      <w:r>
        <w:rPr>
          <w:rFonts w:hint="eastAsia" w:ascii="宋体" w:hAnsi="宋体"/>
          <w:bCs/>
          <w:color w:val="000000"/>
          <w:sz w:val="24"/>
          <w:highlight w:val="none"/>
          <w:u w:val="single"/>
          <w:lang w:val="en-US" w:eastAsia="zh-CN"/>
        </w:rPr>
        <w:t>14</w:t>
      </w:r>
      <w:r>
        <w:rPr>
          <w:rFonts w:hint="eastAsia" w:ascii="宋体" w:hAnsi="宋体"/>
          <w:bCs/>
          <w:color w:val="000000"/>
          <w:sz w:val="24"/>
          <w:highlight w:val="none"/>
          <w:u w:val="single"/>
        </w:rPr>
        <w:t>日</w:t>
      </w:r>
      <w:r>
        <w:rPr>
          <w:rFonts w:hint="eastAsia" w:ascii="宋体" w:hAnsi="宋体"/>
          <w:bCs/>
          <w:color w:val="000000"/>
          <w:sz w:val="24"/>
          <w:highlight w:val="none"/>
          <w:u w:val="single"/>
          <w:lang w:val="en-US" w:eastAsia="zh-CN"/>
        </w:rPr>
        <w:t>09</w:t>
      </w:r>
      <w:r>
        <w:rPr>
          <w:rFonts w:hint="eastAsia" w:ascii="宋体" w:hAnsi="宋体"/>
          <w:bCs/>
          <w:color w:val="000000"/>
          <w:sz w:val="24"/>
          <w:highlight w:val="none"/>
          <w:u w:val="single"/>
        </w:rPr>
        <w:t>时</w:t>
      </w:r>
      <w:r>
        <w:rPr>
          <w:rFonts w:hint="eastAsia" w:ascii="宋体" w:hAnsi="宋体"/>
          <w:bCs/>
          <w:color w:val="000000"/>
          <w:sz w:val="24"/>
          <w:highlight w:val="none"/>
          <w:u w:val="single"/>
          <w:lang w:val="en-US" w:eastAsia="zh-CN"/>
        </w:rPr>
        <w:t>30</w:t>
      </w:r>
      <w:r>
        <w:rPr>
          <w:rFonts w:hint="eastAsia" w:ascii="宋体" w:hAnsi="宋体"/>
          <w:bCs/>
          <w:color w:val="000000"/>
          <w:sz w:val="24"/>
          <w:highlight w:val="none"/>
          <w:u w:val="single"/>
        </w:rPr>
        <w:t>分（北京时间）</w:t>
      </w:r>
      <w:r>
        <w:rPr>
          <w:rFonts w:ascii="宋体" w:hAnsi="宋体"/>
          <w:bCs/>
          <w:color w:val="000000"/>
          <w:sz w:val="24"/>
          <w:highlight w:val="none"/>
        </w:rPr>
        <w:tab/>
      </w:r>
    </w:p>
    <w:p w14:paraId="74BF0D1B">
      <w:pPr>
        <w:spacing w:line="360" w:lineRule="auto"/>
        <w:ind w:firstLine="480" w:firstLineChars="200"/>
        <w:rPr>
          <w:rFonts w:ascii="宋体" w:hAnsi="宋体"/>
          <w:bCs/>
          <w:color w:val="000000"/>
          <w:sz w:val="24"/>
          <w:highlight w:val="none"/>
          <w:u w:val="single"/>
        </w:rPr>
      </w:pPr>
      <w:r>
        <w:rPr>
          <w:rFonts w:hint="eastAsia" w:ascii="宋体" w:hAnsi="宋体"/>
          <w:color w:val="000000"/>
          <w:sz w:val="24"/>
          <w:highlight w:val="none"/>
        </w:rPr>
        <w:t>地点：</w:t>
      </w:r>
      <w:r>
        <w:rPr>
          <w:rFonts w:hint="eastAsia" w:ascii="宋体" w:hAnsi="宋体"/>
          <w:color w:val="000000"/>
          <w:sz w:val="24"/>
          <w:highlight w:val="none"/>
          <w:u w:val="single"/>
        </w:rPr>
        <w:t>政采云平台（云南省昆明市五华区人民西路328号云南招标股份有限公司</w:t>
      </w:r>
      <w:r>
        <w:rPr>
          <w:rFonts w:hint="eastAsia" w:ascii="宋体" w:hAnsi="宋体"/>
          <w:color w:val="000000"/>
          <w:sz w:val="24"/>
          <w:highlight w:val="none"/>
          <w:u w:val="single"/>
          <w:lang w:eastAsia="zh-CN"/>
        </w:rPr>
        <w:t>办公楼1楼政采评第二标厅</w:t>
      </w:r>
      <w:r>
        <w:rPr>
          <w:rFonts w:hint="eastAsia" w:ascii="宋体" w:hAnsi="宋体"/>
          <w:color w:val="000000"/>
          <w:sz w:val="24"/>
          <w:highlight w:val="none"/>
          <w:u w:val="single"/>
        </w:rPr>
        <w:t>）</w:t>
      </w:r>
    </w:p>
    <w:p w14:paraId="6066BF64">
      <w:pPr>
        <w:keepNext/>
        <w:tabs>
          <w:tab w:val="left" w:pos="1021"/>
        </w:tabs>
        <w:adjustRightInd w:val="0"/>
        <w:spacing w:before="120" w:line="360" w:lineRule="auto"/>
        <w:ind w:left="425"/>
        <w:textAlignment w:val="baseline"/>
        <w:outlineLvl w:val="1"/>
        <w:rPr>
          <w:rFonts w:ascii="宋体" w:hAnsi="宋体" w:cs="宋体"/>
          <w:b/>
          <w:color w:val="000000"/>
          <w:kern w:val="0"/>
          <w:sz w:val="24"/>
        </w:rPr>
      </w:pPr>
      <w:bookmarkStart w:id="23" w:name="_Toc28359007"/>
      <w:bookmarkStart w:id="24" w:name="_Toc35393625"/>
      <w:bookmarkStart w:id="25" w:name="_Toc152246138"/>
      <w:bookmarkStart w:id="26" w:name="_Toc35393794"/>
      <w:bookmarkStart w:id="27" w:name="_Toc28359084"/>
      <w:r>
        <w:rPr>
          <w:rFonts w:hint="eastAsia" w:ascii="宋体" w:hAnsi="宋体" w:cs="宋体"/>
          <w:b/>
          <w:color w:val="000000"/>
          <w:kern w:val="0"/>
          <w:sz w:val="24"/>
        </w:rPr>
        <w:t>五、公告期限</w:t>
      </w:r>
      <w:bookmarkEnd w:id="23"/>
      <w:bookmarkEnd w:id="24"/>
      <w:bookmarkEnd w:id="25"/>
      <w:bookmarkEnd w:id="26"/>
      <w:bookmarkEnd w:id="27"/>
    </w:p>
    <w:p w14:paraId="60C93F76">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自本公告发布之日起5个工作日。</w:t>
      </w:r>
    </w:p>
    <w:p w14:paraId="23946D6E">
      <w:pPr>
        <w:keepNext/>
        <w:tabs>
          <w:tab w:val="left" w:pos="1021"/>
        </w:tabs>
        <w:adjustRightInd w:val="0"/>
        <w:spacing w:before="120" w:line="360" w:lineRule="auto"/>
        <w:ind w:left="425"/>
        <w:textAlignment w:val="baseline"/>
        <w:outlineLvl w:val="1"/>
        <w:rPr>
          <w:rFonts w:ascii="宋体" w:hAnsi="宋体" w:cs="宋体"/>
          <w:b/>
          <w:color w:val="000000"/>
          <w:kern w:val="0"/>
          <w:sz w:val="24"/>
        </w:rPr>
      </w:pPr>
      <w:bookmarkStart w:id="28" w:name="_Toc35393795"/>
      <w:bookmarkStart w:id="29" w:name="_Toc152246139"/>
      <w:bookmarkStart w:id="30" w:name="_Toc35393626"/>
      <w:r>
        <w:rPr>
          <w:rFonts w:hint="eastAsia" w:ascii="宋体" w:hAnsi="宋体" w:cs="宋体"/>
          <w:b/>
          <w:color w:val="000000"/>
          <w:kern w:val="0"/>
          <w:sz w:val="24"/>
        </w:rPr>
        <w:t>六、其他补充事宜</w:t>
      </w:r>
      <w:bookmarkEnd w:id="28"/>
      <w:bookmarkEnd w:id="29"/>
      <w:bookmarkEnd w:id="30"/>
    </w:p>
    <w:p w14:paraId="1036ED74">
      <w:pPr>
        <w:adjustRightInd w:val="0"/>
        <w:snapToGrid w:val="0"/>
        <w:spacing w:line="360" w:lineRule="auto"/>
        <w:ind w:firstLine="540"/>
        <w:rPr>
          <w:rFonts w:ascii="宋体" w:hAnsi="宋体" w:cs="宋体"/>
          <w:color w:val="000000"/>
          <w:sz w:val="24"/>
        </w:rPr>
      </w:pPr>
      <w:r>
        <w:rPr>
          <w:rFonts w:hint="eastAsia" w:ascii="宋体" w:hAnsi="宋体" w:cs="宋体"/>
          <w:color w:val="000000"/>
          <w:sz w:val="24"/>
        </w:rPr>
        <w:t>开标方式：网上开标</w:t>
      </w:r>
    </w:p>
    <w:p w14:paraId="26404279">
      <w:pPr>
        <w:adjustRightInd w:val="0"/>
        <w:snapToGrid w:val="0"/>
        <w:spacing w:line="360" w:lineRule="auto"/>
        <w:ind w:firstLine="540"/>
        <w:rPr>
          <w:rFonts w:ascii="宋体" w:hAnsi="宋体" w:cs="宋体"/>
          <w:color w:val="000000"/>
          <w:sz w:val="24"/>
        </w:rPr>
      </w:pPr>
      <w:r>
        <w:rPr>
          <w:rFonts w:hint="eastAsia" w:ascii="宋体" w:hAnsi="宋体" w:cs="宋体"/>
          <w:color w:val="000000"/>
          <w:sz w:val="24"/>
        </w:rPr>
        <w:t>是否需要缴纳投标保证金：是</w:t>
      </w:r>
    </w:p>
    <w:p w14:paraId="0A42F2CD">
      <w:pPr>
        <w:adjustRightInd w:val="0"/>
        <w:snapToGrid w:val="0"/>
        <w:spacing w:line="360" w:lineRule="auto"/>
        <w:ind w:firstLine="540"/>
        <w:rPr>
          <w:rFonts w:ascii="宋体" w:hAnsi="宋体" w:cs="宋体"/>
          <w:color w:val="000000"/>
          <w:sz w:val="24"/>
        </w:rPr>
      </w:pPr>
      <w:r>
        <w:rPr>
          <w:rFonts w:hint="eastAsia" w:ascii="宋体" w:hAnsi="宋体" w:cs="宋体"/>
          <w:color w:val="000000"/>
          <w:sz w:val="24"/>
        </w:rPr>
        <w:t>（</w:t>
      </w:r>
      <w:r>
        <w:rPr>
          <w:rFonts w:ascii="宋体" w:hAnsi="宋体" w:cs="宋体"/>
          <w:color w:val="000000"/>
          <w:sz w:val="24"/>
        </w:rPr>
        <w:t>1</w:t>
      </w:r>
      <w:r>
        <w:rPr>
          <w:rFonts w:hint="eastAsia" w:ascii="宋体" w:hAnsi="宋体" w:cs="宋体"/>
          <w:color w:val="000000"/>
          <w:sz w:val="24"/>
        </w:rPr>
        <w:t>）云南省体育彩票管理中心2025年即开型体育彩票物流服务采购项目:</w:t>
      </w:r>
    </w:p>
    <w:p w14:paraId="456969F4">
      <w:pPr>
        <w:adjustRightInd w:val="0"/>
        <w:snapToGrid w:val="0"/>
        <w:spacing w:line="360" w:lineRule="auto"/>
        <w:ind w:firstLine="540"/>
        <w:rPr>
          <w:rFonts w:ascii="宋体" w:hAnsi="宋体" w:cs="宋体"/>
          <w:color w:val="000000"/>
          <w:sz w:val="24"/>
        </w:rPr>
      </w:pPr>
      <w:r>
        <w:rPr>
          <w:rFonts w:hint="eastAsia" w:ascii="宋体" w:hAnsi="宋体" w:cs="宋体"/>
          <w:color w:val="000000"/>
          <w:sz w:val="24"/>
        </w:rPr>
        <w:t xml:space="preserve">   保证金金额：9000（元）</w:t>
      </w:r>
    </w:p>
    <w:p w14:paraId="78129A6B">
      <w:pPr>
        <w:adjustRightInd w:val="0"/>
        <w:snapToGrid w:val="0"/>
        <w:spacing w:line="360" w:lineRule="auto"/>
        <w:ind w:firstLine="540"/>
        <w:rPr>
          <w:rFonts w:ascii="宋体" w:hAnsi="宋体" w:cs="宋体"/>
          <w:color w:val="000000"/>
          <w:sz w:val="24"/>
        </w:rPr>
      </w:pPr>
      <w:r>
        <w:rPr>
          <w:rFonts w:hint="eastAsia" w:ascii="宋体" w:hAnsi="宋体" w:cs="宋体"/>
          <w:color w:val="000000"/>
          <w:sz w:val="24"/>
        </w:rPr>
        <w:t xml:space="preserve">   保证金缴纳方式：支票、汇票、本票、保函、</w:t>
      </w:r>
      <w:r>
        <w:rPr>
          <w:rFonts w:hint="eastAsia" w:ascii="宋体" w:hAnsi="宋体"/>
          <w:color w:val="000000"/>
          <w:sz w:val="24"/>
        </w:rPr>
        <w:t>其他非现金形式：银行转账、网银、电汇等非现金形式</w:t>
      </w:r>
    </w:p>
    <w:p w14:paraId="7CBAE078">
      <w:pPr>
        <w:adjustRightInd w:val="0"/>
        <w:snapToGrid w:val="0"/>
        <w:spacing w:line="360" w:lineRule="auto"/>
        <w:ind w:firstLine="540"/>
        <w:rPr>
          <w:rFonts w:ascii="宋体" w:hAnsi="宋体" w:cs="宋体"/>
          <w:color w:val="000000"/>
          <w:sz w:val="24"/>
          <w:highlight w:val="green"/>
        </w:rPr>
      </w:pPr>
      <w:r>
        <w:rPr>
          <w:rFonts w:hint="eastAsia" w:ascii="宋体" w:hAnsi="宋体" w:cs="宋体"/>
          <w:color w:val="000000"/>
          <w:sz w:val="24"/>
        </w:rPr>
        <w:t xml:space="preserve">  </w:t>
      </w:r>
      <w:r>
        <w:rPr>
          <w:rFonts w:hint="eastAsia" w:ascii="宋体" w:hAnsi="宋体" w:cs="宋体"/>
          <w:color w:val="000000"/>
          <w:sz w:val="24"/>
          <w:highlight w:val="none"/>
        </w:rPr>
        <w:t xml:space="preserve">  保证金缴纳截止时间：2025年</w:t>
      </w:r>
      <w:r>
        <w:rPr>
          <w:rFonts w:hint="eastAsia" w:ascii="宋体" w:hAnsi="宋体" w:cs="宋体"/>
          <w:color w:val="000000"/>
          <w:sz w:val="24"/>
          <w:highlight w:val="none"/>
          <w:lang w:val="en-US" w:eastAsia="zh-CN"/>
        </w:rPr>
        <w:t>10</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14</w:t>
      </w:r>
      <w:r>
        <w:rPr>
          <w:rFonts w:hint="eastAsia" w:ascii="宋体" w:hAnsi="宋体" w:cs="宋体"/>
          <w:color w:val="000000"/>
          <w:sz w:val="24"/>
          <w:highlight w:val="none"/>
        </w:rPr>
        <w:t>日</w:t>
      </w:r>
      <w:r>
        <w:rPr>
          <w:rFonts w:hint="eastAsia" w:ascii="宋体" w:hAnsi="宋体" w:cs="宋体"/>
          <w:color w:val="000000"/>
          <w:sz w:val="24"/>
          <w:highlight w:val="none"/>
          <w:lang w:val="en-US" w:eastAsia="zh-CN"/>
        </w:rPr>
        <w:t>09</w:t>
      </w:r>
      <w:r>
        <w:rPr>
          <w:rFonts w:hint="eastAsia" w:ascii="宋体" w:hAnsi="宋体" w:cs="宋体"/>
          <w:color w:val="000000"/>
          <w:sz w:val="24"/>
          <w:highlight w:val="none"/>
        </w:rPr>
        <w:t>时</w:t>
      </w:r>
      <w:r>
        <w:rPr>
          <w:rFonts w:hint="eastAsia" w:ascii="宋体" w:hAnsi="宋体" w:cs="宋体"/>
          <w:color w:val="000000"/>
          <w:sz w:val="24"/>
          <w:highlight w:val="none"/>
          <w:lang w:val="en-US" w:eastAsia="zh-CN"/>
        </w:rPr>
        <w:t>30</w:t>
      </w:r>
      <w:r>
        <w:rPr>
          <w:rFonts w:hint="eastAsia" w:ascii="宋体" w:hAnsi="宋体" w:cs="宋体"/>
          <w:color w:val="000000"/>
          <w:sz w:val="24"/>
          <w:highlight w:val="none"/>
        </w:rPr>
        <w:t>分</w:t>
      </w:r>
    </w:p>
    <w:p w14:paraId="2842677D">
      <w:pPr>
        <w:ind w:firstLine="482" w:firstLineChars="200"/>
        <w:rPr>
          <w:rFonts w:ascii="宋体" w:hAnsi="宋体" w:cs="宋体"/>
          <w:b/>
          <w:color w:val="000000"/>
          <w:sz w:val="24"/>
        </w:rPr>
      </w:pPr>
      <w:r>
        <w:rPr>
          <w:rFonts w:hint="eastAsia" w:ascii="宋体" w:hAnsi="宋体" w:cs="宋体"/>
          <w:b/>
          <w:color w:val="000000"/>
          <w:sz w:val="24"/>
        </w:rPr>
        <w:t>其他：</w:t>
      </w:r>
    </w:p>
    <w:p w14:paraId="1688DEAF">
      <w:pPr>
        <w:spacing w:line="360" w:lineRule="auto"/>
        <w:ind w:firstLine="482" w:firstLineChars="200"/>
        <w:rPr>
          <w:rFonts w:ascii="宋体" w:hAnsi="宋体"/>
          <w:sz w:val="24"/>
        </w:rPr>
      </w:pPr>
      <w:r>
        <w:rPr>
          <w:rFonts w:ascii="宋体" w:hAnsi="宋体"/>
          <w:b/>
          <w:sz w:val="24"/>
        </w:rPr>
        <w:t>1.</w:t>
      </w:r>
      <w:r>
        <w:rPr>
          <w:rFonts w:hint="eastAsia" w:ascii="宋体" w:hAnsi="宋体"/>
          <w:b/>
          <w:sz w:val="24"/>
        </w:rPr>
        <w:t>服务地点：</w:t>
      </w:r>
      <w:r>
        <w:rPr>
          <w:rFonts w:hint="eastAsia" w:ascii="宋体" w:hAnsi="宋体"/>
          <w:sz w:val="24"/>
        </w:rPr>
        <w:t>云南省省内129个县（市、区）级城市的运输服务，运送至采购方指定的省内，省外配送地点。</w:t>
      </w:r>
    </w:p>
    <w:p w14:paraId="3E3FE203">
      <w:pPr>
        <w:spacing w:line="360" w:lineRule="auto"/>
        <w:ind w:firstLine="562" w:firstLineChars="200"/>
        <w:rPr>
          <w:rFonts w:ascii="宋体" w:hAnsi="宋体" w:cs="宋体"/>
          <w:sz w:val="24"/>
        </w:rPr>
      </w:pPr>
      <w:r>
        <w:rPr>
          <w:b/>
        </w:rPr>
        <w:t>2.</w:t>
      </w:r>
      <w:r>
        <w:rPr>
          <w:rFonts w:hint="eastAsia" w:ascii="宋体" w:hAnsi="宋体" w:cs="宋体"/>
          <w:b/>
          <w:sz w:val="24"/>
        </w:rPr>
        <w:t>服务标准</w:t>
      </w:r>
      <w:r>
        <w:rPr>
          <w:rFonts w:hint="eastAsia"/>
          <w:b/>
        </w:rPr>
        <w:t>：</w:t>
      </w:r>
      <w:r>
        <w:rPr>
          <w:rFonts w:hint="eastAsia" w:ascii="宋体" w:hAnsi="宋体" w:cs="宋体"/>
          <w:sz w:val="24"/>
        </w:rPr>
        <w:t>符合国家、地方以及行业现行相关标准和规范，满足采购人服务要求。</w:t>
      </w:r>
    </w:p>
    <w:p w14:paraId="6C57C94C">
      <w:pPr>
        <w:spacing w:line="360" w:lineRule="auto"/>
        <w:ind w:firstLine="482" w:firstLineChars="200"/>
        <w:rPr>
          <w:rFonts w:ascii="宋体" w:hAnsi="宋体" w:cs="宋体"/>
          <w:sz w:val="24"/>
        </w:rPr>
      </w:pPr>
      <w:r>
        <w:rPr>
          <w:rFonts w:ascii="宋体" w:hAnsi="宋体" w:cs="宋体"/>
          <w:b/>
          <w:sz w:val="24"/>
        </w:rPr>
        <w:t>3.</w:t>
      </w:r>
      <w:r>
        <w:rPr>
          <w:rFonts w:hint="eastAsia" w:ascii="宋体" w:hAnsi="宋体" w:cs="宋体"/>
          <w:b/>
          <w:sz w:val="24"/>
        </w:rPr>
        <w:t>公告</w:t>
      </w:r>
      <w:r>
        <w:rPr>
          <w:rFonts w:ascii="宋体" w:hAnsi="宋体" w:cs="宋体"/>
          <w:b/>
          <w:sz w:val="24"/>
        </w:rPr>
        <w:t>发布的媒介：</w:t>
      </w:r>
      <w:r>
        <w:rPr>
          <w:rFonts w:hint="eastAsia" w:ascii="宋体" w:hAnsi="宋体" w:cs="宋体"/>
          <w:bCs/>
          <w:sz w:val="24"/>
        </w:rPr>
        <w:t>本次招标公告在《云南省政府采购网》上发布。</w:t>
      </w:r>
    </w:p>
    <w:p w14:paraId="7ED2551A">
      <w:pPr>
        <w:spacing w:line="360" w:lineRule="auto"/>
        <w:ind w:firstLine="482" w:firstLineChars="200"/>
        <w:rPr>
          <w:rFonts w:ascii="宋体" w:hAnsi="宋体" w:cs="宋体"/>
          <w:b/>
          <w:color w:val="000000"/>
          <w:sz w:val="24"/>
        </w:rPr>
      </w:pPr>
      <w:r>
        <w:rPr>
          <w:rFonts w:hint="eastAsia" w:ascii="宋体" w:hAnsi="宋体" w:cs="宋体"/>
          <w:b/>
          <w:color w:val="000000"/>
          <w:sz w:val="24"/>
        </w:rPr>
        <w:t>4.为支持和促进中小企业发展，进一步发挥政府采购政策功能，鼓励投标人使用电子保险/保函替代投标、履约保证金，支持中标人基于成交项目进行合同融资。申请人可登录【云南省政府采购金融支撑服务平台】进行了解或致电95763，如您有紧急需求的可联系 13732226998（谢工）。直达链接：https://jinrong.zcygov.cn/luban/finance/yunnan”。</w:t>
      </w:r>
    </w:p>
    <w:p w14:paraId="6617C73F">
      <w:pPr>
        <w:spacing w:line="360" w:lineRule="auto"/>
        <w:ind w:firstLine="482" w:firstLineChars="200"/>
        <w:rPr>
          <w:rFonts w:ascii="宋体" w:hAnsi="宋体" w:cs="宋体"/>
          <w:b/>
          <w:color w:val="000000"/>
          <w:sz w:val="24"/>
        </w:rPr>
      </w:pPr>
      <w:r>
        <w:rPr>
          <w:rFonts w:hint="eastAsia" w:ascii="宋体" w:hAnsi="宋体" w:cs="宋体"/>
          <w:b/>
          <w:color w:val="000000"/>
          <w:sz w:val="24"/>
        </w:rPr>
        <w:t>5</w:t>
      </w:r>
      <w:r>
        <w:rPr>
          <w:rFonts w:ascii="宋体" w:hAnsi="宋体" w:cs="宋体"/>
          <w:b/>
          <w:color w:val="000000"/>
          <w:sz w:val="24"/>
        </w:rPr>
        <w:t>.</w:t>
      </w:r>
      <w:r>
        <w:rPr>
          <w:rFonts w:hint="eastAsia" w:ascii="宋体" w:hAnsi="宋体" w:cs="宋体"/>
          <w:b/>
          <w:color w:val="000000"/>
          <w:sz w:val="24"/>
        </w:rPr>
        <w:t>注意事项</w:t>
      </w:r>
    </w:p>
    <w:p w14:paraId="39439F05">
      <w:pPr>
        <w:keepNext/>
        <w:tabs>
          <w:tab w:val="left" w:pos="1021"/>
        </w:tabs>
        <w:adjustRightInd w:val="0"/>
        <w:spacing w:before="120" w:line="360" w:lineRule="auto"/>
        <w:ind w:left="425"/>
        <w:textAlignment w:val="baseline"/>
        <w:rPr>
          <w:rFonts w:ascii="宋体" w:hAnsi="宋体" w:cs="宋体"/>
          <w:bCs/>
          <w:color w:val="000000"/>
          <w:kern w:val="0"/>
          <w:sz w:val="24"/>
        </w:rPr>
      </w:pPr>
      <w:bookmarkStart w:id="31" w:name="_Toc35393627"/>
      <w:bookmarkStart w:id="32" w:name="_Toc28359008"/>
      <w:bookmarkStart w:id="33" w:name="_Toc28359085"/>
      <w:bookmarkStart w:id="34" w:name="_Toc152246140"/>
      <w:bookmarkStart w:id="35" w:name="_Toc35393796"/>
      <w:r>
        <w:rPr>
          <w:rFonts w:hint="eastAsia" w:ascii="宋体" w:hAnsi="宋体" w:cs="宋体"/>
          <w:bCs/>
          <w:color w:val="000000"/>
          <w:kern w:val="0"/>
          <w:sz w:val="24"/>
        </w:rPr>
        <w:t>（1）本项目为不见面开标，投标单位无需到达现场；</w:t>
      </w:r>
    </w:p>
    <w:p w14:paraId="72384234">
      <w:pPr>
        <w:keepNext/>
        <w:tabs>
          <w:tab w:val="left" w:pos="1021"/>
        </w:tabs>
        <w:adjustRightInd w:val="0"/>
        <w:spacing w:before="120" w:line="360" w:lineRule="auto"/>
        <w:ind w:left="425"/>
        <w:textAlignment w:val="baseline"/>
        <w:rPr>
          <w:rFonts w:ascii="宋体" w:hAnsi="宋体" w:cs="宋体"/>
          <w:bCs/>
          <w:color w:val="000000"/>
          <w:kern w:val="0"/>
          <w:sz w:val="24"/>
        </w:rPr>
      </w:pPr>
      <w:r>
        <w:rPr>
          <w:rFonts w:hint="eastAsia" w:ascii="宋体" w:hAnsi="宋体" w:cs="宋体"/>
          <w:bCs/>
          <w:color w:val="000000"/>
          <w:kern w:val="0"/>
          <w:sz w:val="24"/>
        </w:rPr>
        <w:t>（2）本项目实行网上投标，采用电子投标文件，供应商应按照本项目采购文件和"政采云"平台的要求编制、加密后在提交投标文件截止时间前上传至"政采云"平台，提交投标文件截止时间前未完成投标文件上传的，视为撤回投标文件。供应商在"政采云"平台提交电子版投标文件时，请填写参加远程采购活动经办人及联系方式；</w:t>
      </w:r>
    </w:p>
    <w:p w14:paraId="7350B85A">
      <w:pPr>
        <w:keepNext/>
        <w:tabs>
          <w:tab w:val="left" w:pos="1021"/>
        </w:tabs>
        <w:adjustRightInd w:val="0"/>
        <w:spacing w:before="120" w:line="360" w:lineRule="auto"/>
        <w:ind w:left="425"/>
        <w:textAlignment w:val="baseline"/>
        <w:rPr>
          <w:rFonts w:ascii="宋体" w:hAnsi="宋体" w:cs="宋体"/>
          <w:bCs/>
          <w:color w:val="000000"/>
          <w:kern w:val="0"/>
          <w:sz w:val="24"/>
        </w:rPr>
      </w:pPr>
      <w:r>
        <w:rPr>
          <w:rFonts w:hint="eastAsia" w:ascii="宋体" w:hAnsi="宋体" w:cs="宋体"/>
          <w:bCs/>
          <w:color w:val="000000"/>
          <w:kern w:val="0"/>
          <w:sz w:val="24"/>
        </w:rPr>
        <w:t>（3）各供应商在开标前应确保成为政采云平台供应商，并完成CA数字证书申领。因未注册入库、未办理CA数字证书等原因造成无法投标或投标失败等后果由供应商自行承担。凡有意参加投标的供应商，须在政采云平台办理数字证书（CA）CA申领链接：https://middle.zcygov.cn/ca/apply/list?_app_=zcy.sys，并通过政采云绑定数字证书（CA）后在网上获取采购文件及其它采购资料，数字证书（CA）详见其办理流程；</w:t>
      </w:r>
    </w:p>
    <w:p w14:paraId="7ABD5173">
      <w:pPr>
        <w:keepNext/>
        <w:tabs>
          <w:tab w:val="left" w:pos="1021"/>
        </w:tabs>
        <w:adjustRightInd w:val="0"/>
        <w:spacing w:before="120" w:line="360" w:lineRule="auto"/>
        <w:ind w:left="425"/>
        <w:textAlignment w:val="baseline"/>
        <w:rPr>
          <w:rFonts w:ascii="宋体" w:hAnsi="宋体" w:cs="宋体"/>
          <w:bCs/>
          <w:color w:val="000000"/>
          <w:kern w:val="0"/>
          <w:sz w:val="24"/>
        </w:rPr>
      </w:pPr>
      <w:r>
        <w:rPr>
          <w:rFonts w:hint="eastAsia" w:ascii="宋体" w:hAnsi="宋体" w:cs="宋体"/>
          <w:bCs/>
          <w:color w:val="000000"/>
          <w:kern w:val="0"/>
          <w:sz w:val="24"/>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如因供应商自身原因导致在规定时间内无法正常解密的（如：浏览器故障、未安装相关驱动、网络故障、加密CA与解密CA不一致等），代理机构不予异常处理，视为供应商自动弃标。</w:t>
      </w:r>
    </w:p>
    <w:p w14:paraId="4BEA9340">
      <w:pPr>
        <w:keepNext/>
        <w:tabs>
          <w:tab w:val="left" w:pos="1021"/>
        </w:tabs>
        <w:adjustRightInd w:val="0"/>
        <w:spacing w:before="120" w:line="360" w:lineRule="auto"/>
        <w:ind w:left="425"/>
        <w:textAlignment w:val="baseline"/>
        <w:outlineLvl w:val="1"/>
        <w:rPr>
          <w:rFonts w:ascii="宋体" w:hAnsi="宋体" w:cs="宋体"/>
          <w:b/>
          <w:color w:val="000000"/>
          <w:kern w:val="0"/>
          <w:sz w:val="24"/>
        </w:rPr>
      </w:pPr>
      <w:r>
        <w:rPr>
          <w:rFonts w:hint="eastAsia" w:ascii="宋体" w:hAnsi="宋体" w:cs="宋体"/>
          <w:b/>
          <w:color w:val="000000"/>
          <w:kern w:val="0"/>
          <w:sz w:val="24"/>
        </w:rPr>
        <w:t>七、对本次招标提出询问，请按</w:t>
      </w:r>
      <w:r>
        <w:rPr>
          <w:rFonts w:ascii="宋体" w:hAnsi="宋体" w:cs="宋体"/>
          <w:b/>
          <w:color w:val="000000"/>
          <w:kern w:val="0"/>
          <w:sz w:val="24"/>
        </w:rPr>
        <w:t>以下方式</w:t>
      </w:r>
      <w:r>
        <w:rPr>
          <w:rFonts w:hint="eastAsia" w:ascii="宋体" w:hAnsi="宋体" w:cs="宋体"/>
          <w:b/>
          <w:color w:val="000000"/>
          <w:kern w:val="0"/>
          <w:sz w:val="24"/>
        </w:rPr>
        <w:t>联系。</w:t>
      </w:r>
      <w:bookmarkEnd w:id="31"/>
      <w:bookmarkEnd w:id="32"/>
      <w:bookmarkEnd w:id="33"/>
      <w:bookmarkEnd w:id="34"/>
      <w:bookmarkEnd w:id="35"/>
    </w:p>
    <w:p w14:paraId="011FDC70">
      <w:pPr>
        <w:widowControl/>
        <w:spacing w:line="360" w:lineRule="auto"/>
        <w:ind w:firstLine="482" w:firstLineChars="200"/>
        <w:jc w:val="left"/>
        <w:rPr>
          <w:rFonts w:ascii="宋体" w:hAnsi="宋体"/>
          <w:b/>
          <w:color w:val="000000"/>
          <w:sz w:val="24"/>
        </w:rPr>
      </w:pPr>
      <w:r>
        <w:rPr>
          <w:rFonts w:ascii="宋体" w:hAnsi="宋体" w:cs="宋体"/>
          <w:b/>
          <w:color w:val="000000"/>
          <w:sz w:val="24"/>
        </w:rPr>
        <w:t>1.</w:t>
      </w:r>
      <w:r>
        <w:rPr>
          <w:rFonts w:hint="eastAsia" w:ascii="宋体" w:hAnsi="宋体" w:cs="宋体"/>
          <w:b/>
          <w:color w:val="000000"/>
          <w:sz w:val="24"/>
        </w:rPr>
        <w:t>采购人信息</w:t>
      </w:r>
    </w:p>
    <w:p w14:paraId="3E587487">
      <w:pPr>
        <w:spacing w:line="360" w:lineRule="auto"/>
        <w:ind w:firstLine="480" w:firstLineChars="200"/>
        <w:jc w:val="left"/>
        <w:rPr>
          <w:rFonts w:ascii="宋体" w:hAnsi="宋体"/>
          <w:color w:val="000000"/>
          <w:sz w:val="24"/>
        </w:rPr>
      </w:pPr>
      <w:r>
        <w:rPr>
          <w:rFonts w:hint="eastAsia" w:ascii="宋体" w:hAnsi="宋体"/>
          <w:color w:val="000000"/>
          <w:sz w:val="24"/>
        </w:rPr>
        <w:t>名 称：</w:t>
      </w:r>
      <w:r>
        <w:rPr>
          <w:rFonts w:hint="eastAsia" w:ascii="宋体" w:hAnsi="宋体"/>
          <w:color w:val="000000"/>
          <w:sz w:val="24"/>
          <w:u w:val="single"/>
        </w:rPr>
        <w:t>云南省体育彩票管理中心</w:t>
      </w:r>
    </w:p>
    <w:p w14:paraId="627B2F97">
      <w:pPr>
        <w:spacing w:line="360" w:lineRule="auto"/>
        <w:ind w:firstLine="480" w:firstLineChars="200"/>
        <w:jc w:val="left"/>
        <w:rPr>
          <w:rFonts w:ascii="宋体" w:hAnsi="宋体"/>
          <w:color w:val="000000"/>
          <w:sz w:val="24"/>
          <w:u w:val="single"/>
        </w:rPr>
      </w:pPr>
      <w:r>
        <w:rPr>
          <w:rFonts w:hint="eastAsia" w:ascii="宋体" w:hAnsi="宋体"/>
          <w:color w:val="000000"/>
          <w:sz w:val="24"/>
        </w:rPr>
        <w:t>地址：</w:t>
      </w:r>
      <w:r>
        <w:rPr>
          <w:rFonts w:hint="eastAsia" w:ascii="宋体" w:hAnsi="宋体"/>
          <w:sz w:val="24"/>
          <w:u w:val="single"/>
        </w:rPr>
        <w:t>云南省昆明市前兴路大商汇希望路45号</w:t>
      </w:r>
    </w:p>
    <w:p w14:paraId="2ADDA347">
      <w:pPr>
        <w:spacing w:line="360" w:lineRule="auto"/>
        <w:ind w:firstLine="480" w:firstLineChars="200"/>
        <w:jc w:val="left"/>
        <w:rPr>
          <w:rFonts w:ascii="宋体" w:hAnsi="宋体"/>
          <w:color w:val="000000"/>
          <w:sz w:val="24"/>
          <w:u w:val="single"/>
        </w:rPr>
      </w:pPr>
      <w:r>
        <w:rPr>
          <w:rFonts w:hint="eastAsia" w:ascii="宋体" w:hAnsi="宋体"/>
          <w:color w:val="000000"/>
          <w:sz w:val="24"/>
        </w:rPr>
        <w:t>联系方式：</w:t>
      </w:r>
      <w:bookmarkStart w:id="36" w:name="_Toc28359009"/>
      <w:bookmarkStart w:id="37" w:name="_Toc28359086"/>
      <w:r>
        <w:rPr>
          <w:rFonts w:hint="eastAsia" w:ascii="宋体" w:hAnsi="宋体"/>
          <w:color w:val="000000"/>
          <w:sz w:val="24"/>
          <w:u w:val="single"/>
        </w:rPr>
        <w:t>陆老师，0871-64622570</w:t>
      </w:r>
    </w:p>
    <w:p w14:paraId="13CD9218">
      <w:pPr>
        <w:spacing w:line="360" w:lineRule="auto"/>
        <w:ind w:firstLine="482" w:firstLineChars="200"/>
        <w:jc w:val="left"/>
        <w:rPr>
          <w:rFonts w:ascii="宋体" w:hAnsi="宋体"/>
          <w:b/>
          <w:color w:val="000000"/>
          <w:sz w:val="24"/>
        </w:rPr>
      </w:pPr>
      <w:r>
        <w:rPr>
          <w:rFonts w:hint="eastAsia" w:ascii="宋体" w:hAnsi="宋体" w:cs="宋体"/>
          <w:b/>
          <w:color w:val="000000"/>
          <w:sz w:val="24"/>
        </w:rPr>
        <w:t>2.采购代理机构信息</w:t>
      </w:r>
      <w:bookmarkEnd w:id="36"/>
      <w:bookmarkEnd w:id="37"/>
    </w:p>
    <w:p w14:paraId="506A5824">
      <w:pPr>
        <w:spacing w:line="360" w:lineRule="auto"/>
        <w:ind w:firstLine="480" w:firstLineChars="200"/>
        <w:rPr>
          <w:rFonts w:ascii="宋体" w:hAnsi="宋体"/>
          <w:color w:val="000000"/>
          <w:sz w:val="24"/>
        </w:rPr>
      </w:pPr>
      <w:r>
        <w:rPr>
          <w:rFonts w:hint="eastAsia" w:ascii="宋体" w:hAnsi="宋体"/>
          <w:color w:val="000000"/>
          <w:sz w:val="24"/>
        </w:rPr>
        <w:t>名 称：</w:t>
      </w:r>
      <w:r>
        <w:rPr>
          <w:rFonts w:hint="eastAsia" w:ascii="宋体" w:hAnsi="宋体"/>
          <w:color w:val="000000"/>
          <w:sz w:val="24"/>
          <w:u w:val="single"/>
        </w:rPr>
        <w:t>云南招标股份有限公司</w:t>
      </w:r>
    </w:p>
    <w:p w14:paraId="1AC44A7A">
      <w:pPr>
        <w:spacing w:line="360" w:lineRule="auto"/>
        <w:ind w:firstLine="480" w:firstLineChars="200"/>
        <w:rPr>
          <w:rFonts w:ascii="宋体" w:hAnsi="宋体"/>
          <w:color w:val="000000"/>
          <w:sz w:val="24"/>
        </w:rPr>
      </w:pPr>
      <w:r>
        <w:rPr>
          <w:rFonts w:hint="eastAsia" w:ascii="宋体" w:hAnsi="宋体"/>
          <w:color w:val="000000"/>
          <w:sz w:val="24"/>
        </w:rPr>
        <w:t>地　址：</w:t>
      </w:r>
      <w:r>
        <w:rPr>
          <w:rFonts w:hint="eastAsia" w:ascii="宋体" w:hAnsi="宋体"/>
          <w:color w:val="000000"/>
          <w:sz w:val="24"/>
          <w:u w:val="single"/>
        </w:rPr>
        <w:t>云南省昆明市人民西路328号</w:t>
      </w:r>
    </w:p>
    <w:p w14:paraId="7769E549">
      <w:pPr>
        <w:spacing w:line="360" w:lineRule="auto"/>
        <w:ind w:firstLine="480" w:firstLineChars="200"/>
        <w:rPr>
          <w:rFonts w:ascii="宋体" w:hAnsi="宋体"/>
          <w:color w:val="000000"/>
          <w:sz w:val="24"/>
          <w:u w:val="single"/>
        </w:rPr>
      </w:pPr>
      <w:r>
        <w:rPr>
          <w:rFonts w:hint="eastAsia" w:ascii="宋体" w:hAnsi="宋体"/>
          <w:color w:val="000000"/>
          <w:sz w:val="24"/>
        </w:rPr>
        <w:t>联系方式：</w:t>
      </w:r>
      <w:bookmarkStart w:id="38" w:name="_Toc28359010"/>
      <w:bookmarkStart w:id="39" w:name="_Toc28359087"/>
      <w:r>
        <w:rPr>
          <w:rFonts w:ascii="宋体" w:hAnsi="宋体"/>
          <w:color w:val="000000"/>
          <w:sz w:val="24"/>
          <w:u w:val="single"/>
        </w:rPr>
        <w:t>0871-</w:t>
      </w:r>
      <w:r>
        <w:rPr>
          <w:rFonts w:hint="eastAsia" w:ascii="宋体" w:hAnsi="宋体"/>
          <w:color w:val="000000"/>
          <w:sz w:val="24"/>
          <w:u w:val="single"/>
        </w:rPr>
        <w:t>65330131</w:t>
      </w:r>
    </w:p>
    <w:p w14:paraId="348E1FDA">
      <w:pPr>
        <w:spacing w:line="360" w:lineRule="auto"/>
        <w:ind w:firstLine="482" w:firstLineChars="200"/>
        <w:rPr>
          <w:rFonts w:ascii="宋体" w:hAnsi="宋体"/>
          <w:b/>
          <w:color w:val="000000"/>
          <w:sz w:val="24"/>
          <w:u w:val="single"/>
        </w:rPr>
      </w:pPr>
      <w:r>
        <w:rPr>
          <w:rFonts w:ascii="宋体" w:hAnsi="宋体" w:cs="宋体"/>
          <w:b/>
          <w:color w:val="000000"/>
          <w:sz w:val="24"/>
        </w:rPr>
        <w:t>3.</w:t>
      </w:r>
      <w:r>
        <w:rPr>
          <w:rFonts w:hint="eastAsia" w:ascii="宋体" w:hAnsi="宋体" w:cs="宋体"/>
          <w:b/>
          <w:color w:val="000000"/>
          <w:sz w:val="24"/>
        </w:rPr>
        <w:t>项目</w:t>
      </w:r>
      <w:r>
        <w:rPr>
          <w:rFonts w:ascii="宋体" w:hAnsi="宋体" w:cs="宋体"/>
          <w:b/>
          <w:color w:val="000000"/>
          <w:sz w:val="24"/>
        </w:rPr>
        <w:t>联系方式</w:t>
      </w:r>
      <w:bookmarkEnd w:id="38"/>
      <w:bookmarkEnd w:id="39"/>
    </w:p>
    <w:p w14:paraId="4B68AB43">
      <w:pPr>
        <w:spacing w:line="360" w:lineRule="auto"/>
        <w:ind w:firstLine="480" w:firstLineChars="200"/>
        <w:rPr>
          <w:rFonts w:ascii="宋体" w:hAnsi="宋体"/>
          <w:color w:val="000000"/>
          <w:sz w:val="24"/>
          <w:u w:val="single"/>
        </w:rPr>
      </w:pPr>
      <w:r>
        <w:rPr>
          <w:rFonts w:hint="eastAsia" w:ascii="宋体" w:hAnsi="宋体"/>
          <w:color w:val="000000"/>
          <w:sz w:val="24"/>
        </w:rPr>
        <w:t>项目联系人：</w:t>
      </w:r>
      <w:r>
        <w:rPr>
          <w:rFonts w:hint="eastAsia" w:ascii="宋体" w:hAnsi="宋体"/>
          <w:color w:val="000000"/>
          <w:sz w:val="24"/>
          <w:u w:val="single"/>
        </w:rPr>
        <w:t>胡家滔、田恩泽、田珣、袁艳、张林秀</w:t>
      </w:r>
    </w:p>
    <w:p w14:paraId="097F049B">
      <w:pPr>
        <w:widowControl/>
        <w:adjustRightInd w:val="0"/>
        <w:snapToGrid w:val="0"/>
        <w:spacing w:line="400" w:lineRule="exact"/>
        <w:ind w:firstLine="480" w:firstLineChars="200"/>
        <w:jc w:val="left"/>
        <w:rPr>
          <w:rFonts w:ascii="宋体" w:hAnsi="宋体"/>
          <w:color w:val="000000"/>
          <w:sz w:val="24"/>
          <w:u w:val="single"/>
        </w:rPr>
      </w:pPr>
      <w:r>
        <w:rPr>
          <w:rFonts w:hint="eastAsia" w:ascii="宋体" w:hAnsi="宋体"/>
          <w:color w:val="000000"/>
          <w:sz w:val="24"/>
        </w:rPr>
        <w:t>电　话：</w:t>
      </w:r>
      <w:r>
        <w:rPr>
          <w:rFonts w:ascii="宋体" w:hAnsi="宋体"/>
          <w:color w:val="000000"/>
          <w:sz w:val="24"/>
          <w:u w:val="single"/>
        </w:rPr>
        <w:t>0871-65330131</w:t>
      </w:r>
    </w:p>
    <w:p w14:paraId="68E06AEC">
      <w:pPr>
        <w:pStyle w:val="9"/>
      </w:pPr>
    </w:p>
    <w:p w14:paraId="0472DDEB">
      <w:pPr>
        <w:widowControl/>
        <w:spacing w:line="360" w:lineRule="auto"/>
        <w:jc w:val="left"/>
        <w:rPr>
          <w:rFonts w:ascii="宋体" w:hAnsi="宋体"/>
          <w:color w:val="000000"/>
          <w:sz w:val="24"/>
          <w:szCs w:val="24"/>
        </w:rPr>
      </w:pPr>
    </w:p>
    <w:p w14:paraId="45B82F5A">
      <w:pPr>
        <w:widowControl/>
        <w:spacing w:line="360" w:lineRule="auto"/>
        <w:jc w:val="left"/>
        <w:rPr>
          <w:rFonts w:ascii="宋体" w:hAnsi="宋体"/>
          <w:color w:val="000000"/>
          <w:sz w:val="24"/>
        </w:rPr>
      </w:pPr>
    </w:p>
    <w:p w14:paraId="45FD6543">
      <w:pPr>
        <w:spacing w:line="360" w:lineRule="auto"/>
        <w:ind w:firstLine="720" w:firstLineChars="300"/>
        <w:rPr>
          <w:rFonts w:ascii="宋体" w:hAnsi="宋体"/>
          <w:color w:val="000000"/>
          <w:sz w:val="24"/>
          <w:u w:val="single"/>
        </w:rPr>
      </w:pPr>
    </w:p>
    <w:p w14:paraId="2522A5D1">
      <w:pPr>
        <w:rPr>
          <w:color w:val="000000"/>
        </w:rPr>
      </w:pPr>
    </w:p>
    <w:p w14:paraId="3D3FFAAC">
      <w:pPr>
        <w:rPr>
          <w:color w:val="000000"/>
        </w:rPr>
      </w:pPr>
    </w:p>
    <w:p w14:paraId="5A8077B8">
      <w:pPr>
        <w:pStyle w:val="28"/>
        <w:rPr>
          <w:rFonts w:ascii="宋体" w:hAnsi="宋体"/>
          <w:bCs w:val="0"/>
          <w:color w:val="000000"/>
          <w:kern w:val="44"/>
          <w:sz w:val="36"/>
          <w:szCs w:val="20"/>
        </w:rPr>
      </w:pPr>
      <w:r>
        <w:rPr>
          <w:rFonts w:ascii="宋体" w:hAnsi="宋体"/>
          <w:bCs w:val="0"/>
          <w:color w:val="000000"/>
          <w:kern w:val="44"/>
          <w:sz w:val="36"/>
          <w:szCs w:val="20"/>
        </w:rPr>
        <w:br w:type="page"/>
      </w:r>
      <w:bookmarkStart w:id="40" w:name="_Toc152246141"/>
      <w:r>
        <w:rPr>
          <w:rFonts w:hint="eastAsia" w:ascii="宋体" w:hAnsi="宋体"/>
          <w:bCs w:val="0"/>
          <w:color w:val="000000"/>
          <w:kern w:val="44"/>
          <w:sz w:val="36"/>
          <w:szCs w:val="20"/>
        </w:rPr>
        <w:t>第二章 投标人须知</w:t>
      </w:r>
      <w:bookmarkEnd w:id="40"/>
    </w:p>
    <w:p w14:paraId="0D7DA284">
      <w:pPr>
        <w:pStyle w:val="4"/>
        <w:numPr>
          <w:ilvl w:val="0"/>
          <w:numId w:val="0"/>
        </w:numPr>
        <w:spacing w:before="0" w:line="240" w:lineRule="auto"/>
        <w:ind w:left="425"/>
        <w:jc w:val="center"/>
        <w:rPr>
          <w:rFonts w:ascii="宋体" w:hAnsi="宋体" w:eastAsia="宋体"/>
          <w:b w:val="0"/>
          <w:color w:val="000000"/>
          <w:sz w:val="32"/>
          <w:szCs w:val="32"/>
        </w:rPr>
      </w:pPr>
      <w:bookmarkStart w:id="41" w:name="_Toc152246142"/>
      <w:r>
        <w:rPr>
          <w:rFonts w:hint="eastAsia" w:ascii="宋体" w:hAnsi="宋体" w:eastAsia="宋体"/>
          <w:b w:val="0"/>
          <w:color w:val="000000"/>
          <w:sz w:val="32"/>
          <w:szCs w:val="32"/>
        </w:rPr>
        <w:t>投标人须知前附表</w:t>
      </w:r>
      <w:bookmarkEnd w:id="41"/>
    </w:p>
    <w:tbl>
      <w:tblPr>
        <w:tblStyle w:val="31"/>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7"/>
        <w:gridCol w:w="2126"/>
        <w:gridCol w:w="6237"/>
      </w:tblGrid>
      <w:tr w14:paraId="1E679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457" w:type="dxa"/>
            <w:vAlign w:val="center"/>
          </w:tcPr>
          <w:p w14:paraId="27D05F2C">
            <w:pPr>
              <w:pStyle w:val="16"/>
              <w:spacing w:line="400" w:lineRule="exact"/>
              <w:jc w:val="center"/>
              <w:rPr>
                <w:rFonts w:hAnsi="宋体"/>
                <w:b/>
                <w:color w:val="000000"/>
                <w:sz w:val="21"/>
                <w:szCs w:val="21"/>
              </w:rPr>
            </w:pPr>
            <w:r>
              <w:rPr>
                <w:rFonts w:hint="eastAsia" w:hAnsi="宋体"/>
                <w:b/>
                <w:color w:val="000000"/>
                <w:sz w:val="21"/>
                <w:szCs w:val="21"/>
              </w:rPr>
              <w:t>条款号</w:t>
            </w:r>
          </w:p>
        </w:tc>
        <w:tc>
          <w:tcPr>
            <w:tcW w:w="2126" w:type="dxa"/>
            <w:vAlign w:val="center"/>
          </w:tcPr>
          <w:p w14:paraId="7FDFDDD1">
            <w:pPr>
              <w:pStyle w:val="16"/>
              <w:spacing w:line="400" w:lineRule="exact"/>
              <w:jc w:val="center"/>
              <w:rPr>
                <w:rFonts w:hAnsi="宋体"/>
                <w:b/>
                <w:color w:val="000000"/>
                <w:sz w:val="21"/>
                <w:szCs w:val="21"/>
              </w:rPr>
            </w:pPr>
            <w:r>
              <w:rPr>
                <w:rFonts w:hint="eastAsia" w:hAnsi="宋体"/>
                <w:b/>
                <w:color w:val="000000"/>
                <w:sz w:val="21"/>
                <w:szCs w:val="21"/>
              </w:rPr>
              <w:t>条 款 名 称</w:t>
            </w:r>
          </w:p>
        </w:tc>
        <w:tc>
          <w:tcPr>
            <w:tcW w:w="6237" w:type="dxa"/>
            <w:vAlign w:val="center"/>
          </w:tcPr>
          <w:p w14:paraId="4A4D9C07">
            <w:pPr>
              <w:pStyle w:val="16"/>
              <w:spacing w:line="400" w:lineRule="exact"/>
              <w:jc w:val="center"/>
              <w:rPr>
                <w:rFonts w:hAnsi="宋体"/>
                <w:b/>
                <w:color w:val="000000"/>
                <w:sz w:val="21"/>
                <w:szCs w:val="21"/>
              </w:rPr>
            </w:pPr>
            <w:r>
              <w:rPr>
                <w:rFonts w:hint="eastAsia" w:hAnsi="宋体"/>
                <w:b/>
                <w:color w:val="000000"/>
                <w:sz w:val="21"/>
                <w:szCs w:val="21"/>
              </w:rPr>
              <w:t>编 列 内 容</w:t>
            </w:r>
          </w:p>
        </w:tc>
      </w:tr>
      <w:tr w14:paraId="61FAC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457" w:type="dxa"/>
            <w:vMerge w:val="restart"/>
            <w:vAlign w:val="center"/>
          </w:tcPr>
          <w:p w14:paraId="06398D59">
            <w:pPr>
              <w:pStyle w:val="16"/>
              <w:spacing w:line="400" w:lineRule="exact"/>
              <w:jc w:val="center"/>
              <w:rPr>
                <w:rFonts w:hAnsi="宋体"/>
                <w:color w:val="000000"/>
                <w:sz w:val="21"/>
                <w:szCs w:val="21"/>
              </w:rPr>
            </w:pPr>
            <w:r>
              <w:rPr>
                <w:rFonts w:hint="eastAsia" w:hAnsi="宋体"/>
                <w:color w:val="000000"/>
                <w:sz w:val="21"/>
                <w:szCs w:val="21"/>
              </w:rPr>
              <w:t>1</w:t>
            </w:r>
          </w:p>
        </w:tc>
        <w:tc>
          <w:tcPr>
            <w:tcW w:w="2126" w:type="dxa"/>
            <w:vAlign w:val="center"/>
          </w:tcPr>
          <w:p w14:paraId="68F03791">
            <w:pPr>
              <w:pStyle w:val="16"/>
              <w:spacing w:line="400" w:lineRule="exact"/>
              <w:rPr>
                <w:rFonts w:hAnsi="宋体"/>
                <w:color w:val="000000"/>
                <w:sz w:val="21"/>
                <w:szCs w:val="21"/>
                <w:u w:val="single"/>
              </w:rPr>
            </w:pPr>
            <w:r>
              <w:rPr>
                <w:rFonts w:hint="eastAsia" w:hAnsi="宋体"/>
                <w:bCs/>
                <w:color w:val="000000"/>
                <w:sz w:val="21"/>
                <w:szCs w:val="21"/>
              </w:rPr>
              <w:t>采购人</w:t>
            </w:r>
            <w:r>
              <w:rPr>
                <w:rFonts w:hint="eastAsia" w:hAnsi="宋体"/>
                <w:color w:val="000000"/>
                <w:kern w:val="48"/>
                <w:sz w:val="21"/>
                <w:szCs w:val="21"/>
              </w:rPr>
              <w:t xml:space="preserve"> </w:t>
            </w:r>
          </w:p>
        </w:tc>
        <w:tc>
          <w:tcPr>
            <w:tcW w:w="6237" w:type="dxa"/>
            <w:vAlign w:val="center"/>
          </w:tcPr>
          <w:p w14:paraId="6290A445">
            <w:pPr>
              <w:pStyle w:val="16"/>
              <w:spacing w:line="400" w:lineRule="exact"/>
              <w:rPr>
                <w:rFonts w:hAnsi="宋体"/>
                <w:color w:val="000000"/>
                <w:sz w:val="21"/>
                <w:szCs w:val="21"/>
                <w:u w:val="single"/>
              </w:rPr>
            </w:pPr>
            <w:r>
              <w:rPr>
                <w:rFonts w:hint="eastAsia" w:hAnsi="宋体"/>
                <w:color w:val="000000"/>
                <w:sz w:val="21"/>
                <w:szCs w:val="21"/>
                <w:u w:val="single"/>
              </w:rPr>
              <w:t>云南省体育彩票管理中心</w:t>
            </w:r>
          </w:p>
        </w:tc>
      </w:tr>
      <w:tr w14:paraId="2CF7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457" w:type="dxa"/>
            <w:vMerge w:val="continue"/>
            <w:vAlign w:val="center"/>
          </w:tcPr>
          <w:p w14:paraId="6CF6433A">
            <w:pPr>
              <w:spacing w:line="400" w:lineRule="exact"/>
              <w:rPr>
                <w:rFonts w:ascii="宋体" w:hAnsi="宋体"/>
                <w:color w:val="000000"/>
                <w:sz w:val="21"/>
                <w:szCs w:val="21"/>
              </w:rPr>
            </w:pPr>
          </w:p>
        </w:tc>
        <w:tc>
          <w:tcPr>
            <w:tcW w:w="2126" w:type="dxa"/>
            <w:vAlign w:val="center"/>
          </w:tcPr>
          <w:p w14:paraId="3E7DF158">
            <w:pPr>
              <w:pStyle w:val="16"/>
              <w:spacing w:line="400" w:lineRule="exact"/>
              <w:rPr>
                <w:rFonts w:hAnsi="宋体"/>
                <w:bCs/>
                <w:color w:val="000000"/>
                <w:sz w:val="21"/>
                <w:szCs w:val="21"/>
              </w:rPr>
            </w:pPr>
            <w:r>
              <w:rPr>
                <w:rFonts w:hint="eastAsia" w:hAnsi="宋体"/>
                <w:bCs/>
                <w:color w:val="000000"/>
                <w:sz w:val="21"/>
                <w:szCs w:val="21"/>
              </w:rPr>
              <w:t>采购代理机构</w:t>
            </w:r>
          </w:p>
        </w:tc>
        <w:tc>
          <w:tcPr>
            <w:tcW w:w="6237" w:type="dxa"/>
            <w:vAlign w:val="center"/>
          </w:tcPr>
          <w:p w14:paraId="00A09EC1">
            <w:pPr>
              <w:pStyle w:val="16"/>
              <w:spacing w:line="400" w:lineRule="exact"/>
              <w:rPr>
                <w:rFonts w:hAnsi="宋体"/>
                <w:color w:val="000000"/>
                <w:sz w:val="21"/>
                <w:szCs w:val="21"/>
                <w:u w:val="single"/>
              </w:rPr>
            </w:pPr>
            <w:r>
              <w:rPr>
                <w:rFonts w:hint="eastAsia" w:hAnsi="宋体"/>
                <w:color w:val="000000"/>
                <w:sz w:val="21"/>
                <w:szCs w:val="21"/>
                <w:u w:val="single"/>
              </w:rPr>
              <w:t>云南招标股份有限公司</w:t>
            </w:r>
          </w:p>
        </w:tc>
      </w:tr>
      <w:tr w14:paraId="346E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457" w:type="dxa"/>
            <w:vMerge w:val="continue"/>
            <w:vAlign w:val="center"/>
          </w:tcPr>
          <w:p w14:paraId="1BDAA0D1">
            <w:pPr>
              <w:spacing w:line="400" w:lineRule="exact"/>
              <w:rPr>
                <w:rFonts w:ascii="宋体" w:hAnsi="宋体"/>
                <w:color w:val="000000"/>
                <w:sz w:val="21"/>
                <w:szCs w:val="21"/>
              </w:rPr>
            </w:pPr>
          </w:p>
        </w:tc>
        <w:tc>
          <w:tcPr>
            <w:tcW w:w="2126" w:type="dxa"/>
            <w:vAlign w:val="center"/>
          </w:tcPr>
          <w:p w14:paraId="2D5826A4">
            <w:pPr>
              <w:pStyle w:val="16"/>
              <w:spacing w:line="400" w:lineRule="exact"/>
              <w:rPr>
                <w:rFonts w:hAnsi="宋体"/>
                <w:color w:val="000000"/>
                <w:sz w:val="21"/>
                <w:szCs w:val="21"/>
              </w:rPr>
            </w:pPr>
            <w:r>
              <w:rPr>
                <w:rFonts w:hint="eastAsia" w:hAnsi="宋体"/>
                <w:color w:val="000000"/>
                <w:sz w:val="21"/>
                <w:szCs w:val="21"/>
              </w:rPr>
              <w:t>项目名称及招标编号</w:t>
            </w:r>
          </w:p>
        </w:tc>
        <w:tc>
          <w:tcPr>
            <w:tcW w:w="6237" w:type="dxa"/>
            <w:vAlign w:val="center"/>
          </w:tcPr>
          <w:p w14:paraId="29CF1FF5">
            <w:pPr>
              <w:pStyle w:val="16"/>
              <w:spacing w:line="400" w:lineRule="exact"/>
              <w:rPr>
                <w:rFonts w:hAnsi="宋体"/>
                <w:color w:val="000000"/>
                <w:sz w:val="21"/>
                <w:szCs w:val="21"/>
                <w:highlight w:val="green"/>
                <w:u w:val="single"/>
              </w:rPr>
            </w:pPr>
            <w:r>
              <w:rPr>
                <w:rFonts w:hint="eastAsia" w:hAnsi="宋体"/>
                <w:color w:val="000000"/>
                <w:sz w:val="21"/>
                <w:szCs w:val="21"/>
              </w:rPr>
              <w:t>项目名称：</w:t>
            </w:r>
            <w:r>
              <w:rPr>
                <w:rFonts w:hint="eastAsia" w:hAnsi="宋体"/>
                <w:color w:val="000000"/>
                <w:sz w:val="21"/>
                <w:szCs w:val="21"/>
                <w:u w:val="single"/>
              </w:rPr>
              <w:t xml:space="preserve">云南省体育彩票管理中心2025年即开型体育彩票物流服务采购项目 </w:t>
            </w:r>
          </w:p>
          <w:p w14:paraId="0A09C8F2">
            <w:pPr>
              <w:pStyle w:val="16"/>
              <w:spacing w:line="400" w:lineRule="exact"/>
              <w:rPr>
                <w:rFonts w:hAnsi="宋体"/>
                <w:color w:val="000000"/>
                <w:sz w:val="21"/>
                <w:szCs w:val="21"/>
                <w:u w:val="single"/>
              </w:rPr>
            </w:pPr>
            <w:r>
              <w:rPr>
                <w:rFonts w:hint="eastAsia" w:hAnsi="宋体"/>
                <w:color w:val="000000"/>
                <w:sz w:val="21"/>
                <w:szCs w:val="21"/>
              </w:rPr>
              <w:t>招标编号：</w:t>
            </w:r>
            <w:r>
              <w:rPr>
                <w:rFonts w:hint="eastAsia" w:hAnsi="宋体"/>
                <w:color w:val="000000"/>
                <w:sz w:val="21"/>
                <w:szCs w:val="21"/>
                <w:highlight w:val="none"/>
                <w:u w:val="single"/>
                <w:lang w:eastAsia="zh-CN"/>
              </w:rPr>
              <w:t xml:space="preserve">G53A00625001578 </w:t>
            </w:r>
            <w:r>
              <w:rPr>
                <w:rFonts w:hAnsi="宋体"/>
                <w:color w:val="000000"/>
                <w:sz w:val="21"/>
                <w:szCs w:val="21"/>
                <w:highlight w:val="none"/>
                <w:u w:val="single"/>
              </w:rPr>
              <w:t xml:space="preserve"> </w:t>
            </w:r>
          </w:p>
        </w:tc>
      </w:tr>
      <w:tr w14:paraId="0EB8A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57" w:type="dxa"/>
            <w:vAlign w:val="center"/>
          </w:tcPr>
          <w:p w14:paraId="12152A61">
            <w:pPr>
              <w:pStyle w:val="16"/>
              <w:spacing w:line="400" w:lineRule="exact"/>
              <w:jc w:val="center"/>
              <w:rPr>
                <w:rFonts w:hAnsi="宋体"/>
                <w:color w:val="000000"/>
                <w:sz w:val="21"/>
                <w:szCs w:val="21"/>
              </w:rPr>
            </w:pPr>
            <w:r>
              <w:rPr>
                <w:rFonts w:hint="eastAsia" w:hAnsi="宋体"/>
                <w:color w:val="000000"/>
                <w:sz w:val="21"/>
                <w:szCs w:val="21"/>
              </w:rPr>
              <w:t>3.1</w:t>
            </w:r>
          </w:p>
        </w:tc>
        <w:tc>
          <w:tcPr>
            <w:tcW w:w="2126" w:type="dxa"/>
            <w:vAlign w:val="center"/>
          </w:tcPr>
          <w:p w14:paraId="51078951">
            <w:pPr>
              <w:pStyle w:val="16"/>
              <w:spacing w:line="400" w:lineRule="exact"/>
              <w:rPr>
                <w:rFonts w:hAnsi="宋体"/>
                <w:color w:val="000000"/>
                <w:sz w:val="21"/>
                <w:szCs w:val="21"/>
              </w:rPr>
            </w:pPr>
            <w:r>
              <w:rPr>
                <w:rFonts w:hint="eastAsia" w:hAnsi="宋体"/>
                <w:color w:val="000000"/>
                <w:sz w:val="21"/>
                <w:szCs w:val="21"/>
              </w:rPr>
              <w:t>招标范围</w:t>
            </w:r>
          </w:p>
        </w:tc>
        <w:tc>
          <w:tcPr>
            <w:tcW w:w="6237" w:type="dxa"/>
            <w:vAlign w:val="center"/>
          </w:tcPr>
          <w:p w14:paraId="292BC1DB">
            <w:pPr>
              <w:pStyle w:val="16"/>
              <w:spacing w:line="400" w:lineRule="exact"/>
              <w:jc w:val="left"/>
              <w:rPr>
                <w:rFonts w:hAnsi="宋体"/>
                <w:color w:val="000000"/>
                <w:sz w:val="21"/>
                <w:szCs w:val="21"/>
              </w:rPr>
            </w:pPr>
            <w:r>
              <w:rPr>
                <w:rFonts w:hint="eastAsia" w:hAnsi="宋体"/>
                <w:color w:val="000000"/>
                <w:sz w:val="21"/>
                <w:szCs w:val="21"/>
              </w:rPr>
              <w:t>详见招标公告及招标文件第五章</w:t>
            </w:r>
          </w:p>
        </w:tc>
      </w:tr>
      <w:tr w14:paraId="131EF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57" w:type="dxa"/>
            <w:vAlign w:val="center"/>
          </w:tcPr>
          <w:p w14:paraId="5DD391EE">
            <w:pPr>
              <w:pStyle w:val="16"/>
              <w:spacing w:line="400" w:lineRule="exact"/>
              <w:jc w:val="center"/>
              <w:rPr>
                <w:rFonts w:hAnsi="宋体"/>
                <w:color w:val="000000"/>
                <w:sz w:val="21"/>
                <w:szCs w:val="21"/>
              </w:rPr>
            </w:pPr>
            <w:r>
              <w:rPr>
                <w:rFonts w:hint="eastAsia" w:hAnsi="宋体"/>
                <w:color w:val="000000"/>
                <w:sz w:val="21"/>
                <w:szCs w:val="21"/>
              </w:rPr>
              <w:t>3.2</w:t>
            </w:r>
          </w:p>
        </w:tc>
        <w:tc>
          <w:tcPr>
            <w:tcW w:w="2126" w:type="dxa"/>
            <w:vAlign w:val="center"/>
          </w:tcPr>
          <w:p w14:paraId="189238DF">
            <w:pPr>
              <w:pStyle w:val="16"/>
              <w:spacing w:line="400" w:lineRule="exact"/>
              <w:rPr>
                <w:rFonts w:hAnsi="宋体"/>
                <w:sz w:val="21"/>
                <w:szCs w:val="21"/>
              </w:rPr>
            </w:pPr>
            <w:r>
              <w:rPr>
                <w:rFonts w:hint="eastAsia" w:hAnsi="宋体"/>
                <w:sz w:val="21"/>
                <w:szCs w:val="21"/>
              </w:rPr>
              <w:t>合同履行期限、服务地点</w:t>
            </w:r>
          </w:p>
        </w:tc>
        <w:tc>
          <w:tcPr>
            <w:tcW w:w="6237" w:type="dxa"/>
            <w:vAlign w:val="center"/>
          </w:tcPr>
          <w:p w14:paraId="3C9C7B95">
            <w:pPr>
              <w:pStyle w:val="16"/>
              <w:spacing w:line="400" w:lineRule="exact"/>
              <w:rPr>
                <w:rFonts w:hAnsi="宋体"/>
                <w:sz w:val="21"/>
                <w:szCs w:val="21"/>
              </w:rPr>
            </w:pPr>
            <w:r>
              <w:rPr>
                <w:rFonts w:hint="eastAsia" w:hAnsi="宋体"/>
                <w:sz w:val="21"/>
                <w:szCs w:val="21"/>
              </w:rPr>
              <w:t>合同履行期限：自云南省体育彩票管理中心2024年即开型体育彩票物流服务项目合同服务期到期后，该合同生效，服务期限为生效之日起一年内（若合同约定金额在期限内提前用完则合同提前终止）。</w:t>
            </w:r>
          </w:p>
          <w:p w14:paraId="5A3DE249">
            <w:pPr>
              <w:pStyle w:val="16"/>
              <w:spacing w:line="400" w:lineRule="exact"/>
              <w:rPr>
                <w:rFonts w:hAnsi="宋体"/>
                <w:sz w:val="21"/>
                <w:szCs w:val="21"/>
              </w:rPr>
            </w:pPr>
            <w:r>
              <w:rPr>
                <w:rFonts w:hint="eastAsia" w:hAnsi="宋体"/>
                <w:sz w:val="21"/>
                <w:szCs w:val="21"/>
              </w:rPr>
              <w:t>服务地点：云南省省内129个县（市、区）级城市的运输服务，运送至采购方指定的省内，省外配送地点。</w:t>
            </w:r>
          </w:p>
        </w:tc>
      </w:tr>
      <w:tr w14:paraId="13D43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457" w:type="dxa"/>
            <w:vAlign w:val="center"/>
          </w:tcPr>
          <w:p w14:paraId="271981D5">
            <w:pPr>
              <w:pStyle w:val="16"/>
              <w:spacing w:line="400" w:lineRule="exact"/>
              <w:jc w:val="center"/>
              <w:rPr>
                <w:rFonts w:hAnsi="宋体"/>
                <w:color w:val="000000"/>
                <w:sz w:val="21"/>
                <w:szCs w:val="21"/>
              </w:rPr>
            </w:pPr>
            <w:r>
              <w:rPr>
                <w:rFonts w:hint="eastAsia" w:hAnsi="宋体"/>
                <w:color w:val="000000"/>
                <w:sz w:val="21"/>
                <w:szCs w:val="21"/>
              </w:rPr>
              <w:t>4.1.2</w:t>
            </w:r>
          </w:p>
        </w:tc>
        <w:tc>
          <w:tcPr>
            <w:tcW w:w="2126" w:type="dxa"/>
            <w:vAlign w:val="center"/>
          </w:tcPr>
          <w:p w14:paraId="18968AD8">
            <w:pPr>
              <w:pStyle w:val="16"/>
              <w:spacing w:line="400" w:lineRule="exact"/>
              <w:jc w:val="left"/>
              <w:rPr>
                <w:rFonts w:hAnsi="宋体"/>
                <w:b/>
                <w:bCs/>
                <w:sz w:val="21"/>
                <w:szCs w:val="21"/>
              </w:rPr>
            </w:pPr>
            <w:r>
              <w:rPr>
                <w:rFonts w:hint="eastAsia" w:hAnsi="宋体"/>
                <w:b/>
                <w:bCs/>
                <w:sz w:val="21"/>
                <w:szCs w:val="21"/>
              </w:rPr>
              <w:t>财务状况证明材料</w:t>
            </w:r>
          </w:p>
        </w:tc>
        <w:tc>
          <w:tcPr>
            <w:tcW w:w="6237" w:type="dxa"/>
          </w:tcPr>
          <w:p w14:paraId="6259385D">
            <w:pPr>
              <w:pStyle w:val="16"/>
              <w:spacing w:line="400" w:lineRule="exact"/>
              <w:rPr>
                <w:rFonts w:hAnsi="宋体"/>
                <w:b/>
                <w:sz w:val="21"/>
                <w:szCs w:val="21"/>
              </w:rPr>
            </w:pPr>
            <w:r>
              <w:rPr>
                <w:rFonts w:hint="eastAsia" w:hAnsi="宋体"/>
                <w:b/>
                <w:sz w:val="21"/>
                <w:szCs w:val="21"/>
              </w:rPr>
              <w:t>提供上一年度（2024年）经审计的财务报告（扫描件)或自提交投标文件截止时间前三个月内基本开户银行出具的资信证明（扫描件）（成立时间不足一年的，可提供自提交投标文件截止时间前三个月内基本开户银行出具的资信证明或自成立至今经第三方审计的财务报告）。</w:t>
            </w:r>
          </w:p>
        </w:tc>
      </w:tr>
      <w:tr w14:paraId="79E8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57" w:type="dxa"/>
            <w:vAlign w:val="center"/>
          </w:tcPr>
          <w:p w14:paraId="4F00676E">
            <w:pPr>
              <w:pStyle w:val="16"/>
              <w:spacing w:line="400" w:lineRule="exact"/>
              <w:jc w:val="center"/>
              <w:rPr>
                <w:rFonts w:hAnsi="宋体"/>
                <w:color w:val="000000"/>
                <w:sz w:val="21"/>
                <w:szCs w:val="21"/>
              </w:rPr>
            </w:pPr>
            <w:r>
              <w:rPr>
                <w:rFonts w:hint="eastAsia" w:hAnsi="宋体"/>
                <w:color w:val="000000"/>
                <w:sz w:val="21"/>
                <w:szCs w:val="21"/>
              </w:rPr>
              <w:t>4.1.3</w:t>
            </w:r>
          </w:p>
        </w:tc>
        <w:tc>
          <w:tcPr>
            <w:tcW w:w="2126" w:type="dxa"/>
            <w:vAlign w:val="center"/>
          </w:tcPr>
          <w:p w14:paraId="5D8CCB4A">
            <w:pPr>
              <w:autoSpaceDE w:val="0"/>
              <w:autoSpaceDN w:val="0"/>
              <w:snapToGrid w:val="0"/>
              <w:spacing w:line="400" w:lineRule="exact"/>
              <w:jc w:val="left"/>
              <w:textAlignment w:val="bottom"/>
              <w:rPr>
                <w:rFonts w:ascii="宋体" w:hAnsi="宋体"/>
                <w:b/>
                <w:bCs/>
                <w:sz w:val="21"/>
                <w:szCs w:val="21"/>
              </w:rPr>
            </w:pPr>
            <w:r>
              <w:rPr>
                <w:rFonts w:ascii="宋体" w:hAnsi="宋体"/>
                <w:b/>
                <w:bCs/>
                <w:sz w:val="21"/>
                <w:szCs w:val="21"/>
              </w:rPr>
              <w:t>纳税证明材料的时间范围</w:t>
            </w:r>
          </w:p>
        </w:tc>
        <w:tc>
          <w:tcPr>
            <w:tcW w:w="6237" w:type="dxa"/>
          </w:tcPr>
          <w:p w14:paraId="7D5FB809">
            <w:pPr>
              <w:autoSpaceDE w:val="0"/>
              <w:autoSpaceDN w:val="0"/>
              <w:snapToGrid w:val="0"/>
              <w:spacing w:line="400" w:lineRule="exact"/>
              <w:textAlignment w:val="bottom"/>
              <w:rPr>
                <w:rFonts w:ascii="宋体" w:hAnsi="宋体"/>
                <w:b/>
                <w:sz w:val="21"/>
                <w:szCs w:val="21"/>
              </w:rPr>
            </w:pPr>
            <w:r>
              <w:rPr>
                <w:rFonts w:hint="eastAsia" w:ascii="宋体" w:hAnsi="宋体"/>
                <w:b/>
                <w:sz w:val="21"/>
                <w:szCs w:val="21"/>
              </w:rPr>
              <w:t>缴税所属时间在2024年1月至投标截止日期前任意连续3个月的税务局税收通用缴款书扫描件或银行电子缴税（费）凭证扫描件或税务局出具纳税情况的相关证明扫描件（成立未满3个月的提供成立以来的纳税证明或相关情况说明；依法免税的，应提供相应文件证明其依法免税）。</w:t>
            </w:r>
          </w:p>
        </w:tc>
      </w:tr>
      <w:tr w14:paraId="202A7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57" w:type="dxa"/>
            <w:vAlign w:val="center"/>
          </w:tcPr>
          <w:p w14:paraId="74C9FF94">
            <w:pPr>
              <w:pStyle w:val="16"/>
              <w:spacing w:line="400" w:lineRule="exact"/>
              <w:jc w:val="center"/>
              <w:rPr>
                <w:rFonts w:hAnsi="宋体"/>
                <w:color w:val="000000"/>
                <w:sz w:val="21"/>
                <w:szCs w:val="21"/>
              </w:rPr>
            </w:pPr>
            <w:r>
              <w:rPr>
                <w:rFonts w:hint="eastAsia" w:hAnsi="宋体"/>
                <w:color w:val="000000"/>
                <w:sz w:val="21"/>
                <w:szCs w:val="21"/>
              </w:rPr>
              <w:t>4.1.4</w:t>
            </w:r>
          </w:p>
        </w:tc>
        <w:tc>
          <w:tcPr>
            <w:tcW w:w="2126" w:type="dxa"/>
            <w:vAlign w:val="center"/>
          </w:tcPr>
          <w:p w14:paraId="045ED22C">
            <w:pPr>
              <w:pStyle w:val="16"/>
              <w:spacing w:line="400" w:lineRule="exact"/>
              <w:jc w:val="left"/>
              <w:rPr>
                <w:rFonts w:hAnsi="宋体"/>
                <w:b/>
                <w:bCs/>
                <w:sz w:val="21"/>
                <w:szCs w:val="21"/>
              </w:rPr>
            </w:pPr>
            <w:r>
              <w:rPr>
                <w:rFonts w:hAnsi="宋体"/>
                <w:b/>
                <w:bCs/>
                <w:sz w:val="21"/>
                <w:szCs w:val="21"/>
              </w:rPr>
              <w:t>缴纳社会保险证明材料的时间范围</w:t>
            </w:r>
          </w:p>
        </w:tc>
        <w:tc>
          <w:tcPr>
            <w:tcW w:w="6237" w:type="dxa"/>
          </w:tcPr>
          <w:p w14:paraId="44B189C5">
            <w:pPr>
              <w:pStyle w:val="16"/>
              <w:spacing w:line="400" w:lineRule="exact"/>
              <w:rPr>
                <w:rFonts w:hAnsi="宋体"/>
                <w:b/>
                <w:sz w:val="21"/>
                <w:szCs w:val="21"/>
              </w:rPr>
            </w:pPr>
            <w:r>
              <w:rPr>
                <w:rFonts w:hint="eastAsia" w:hAnsi="宋体"/>
                <w:b/>
                <w:sz w:val="21"/>
                <w:szCs w:val="21"/>
              </w:rPr>
              <w:t>缴费所属时间在2024年1月至投标截止日期前任意连续3个月的社会保险费缴款书扫描件或银行电子缴税（费）凭证扫描件或社保管理部门出具的有效的缴款证明扫描件（成立未满3个月的提供成立以来的社会保险费缴纳证明或相关情况说明；不需要缴纳社会保险费的，应提供相应文件证明其不需要缴纳社会保险费）。</w:t>
            </w:r>
          </w:p>
        </w:tc>
      </w:tr>
      <w:tr w14:paraId="5F3F4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57" w:type="dxa"/>
            <w:vAlign w:val="center"/>
          </w:tcPr>
          <w:p w14:paraId="182E9079">
            <w:pPr>
              <w:pStyle w:val="16"/>
              <w:spacing w:line="400" w:lineRule="exact"/>
              <w:jc w:val="center"/>
              <w:rPr>
                <w:rFonts w:hAnsi="宋体"/>
                <w:color w:val="000000"/>
                <w:sz w:val="21"/>
                <w:szCs w:val="21"/>
              </w:rPr>
            </w:pPr>
            <w:r>
              <w:rPr>
                <w:rFonts w:hint="eastAsia" w:hAnsi="宋体"/>
                <w:color w:val="000000"/>
                <w:sz w:val="21"/>
                <w:szCs w:val="21"/>
              </w:rPr>
              <w:t>4.1.6</w:t>
            </w:r>
          </w:p>
        </w:tc>
        <w:tc>
          <w:tcPr>
            <w:tcW w:w="2126" w:type="dxa"/>
            <w:vAlign w:val="center"/>
          </w:tcPr>
          <w:p w14:paraId="4D6935D7">
            <w:pPr>
              <w:pStyle w:val="16"/>
              <w:spacing w:line="400" w:lineRule="exact"/>
              <w:rPr>
                <w:rFonts w:hAnsi="宋体"/>
                <w:b/>
                <w:bCs/>
                <w:sz w:val="21"/>
                <w:szCs w:val="21"/>
              </w:rPr>
            </w:pPr>
            <w:r>
              <w:rPr>
                <w:rFonts w:hint="eastAsia" w:hAnsi="宋体"/>
                <w:b/>
                <w:bCs/>
                <w:sz w:val="21"/>
                <w:szCs w:val="21"/>
              </w:rPr>
              <w:t>重大违法记录</w:t>
            </w:r>
          </w:p>
        </w:tc>
        <w:tc>
          <w:tcPr>
            <w:tcW w:w="6237" w:type="dxa"/>
          </w:tcPr>
          <w:p w14:paraId="584368AC">
            <w:pPr>
              <w:pStyle w:val="16"/>
              <w:spacing w:line="400" w:lineRule="exact"/>
              <w:rPr>
                <w:rFonts w:hAnsi="宋体"/>
                <w:b/>
                <w:sz w:val="21"/>
                <w:szCs w:val="21"/>
              </w:rPr>
            </w:pPr>
            <w:r>
              <w:rPr>
                <w:rFonts w:hint="eastAsia" w:hAnsi="宋体"/>
                <w:b/>
                <w:sz w:val="21"/>
                <w:szCs w:val="21"/>
              </w:rPr>
              <w:t>1）投标人必须提供参加政府采购活动前3年内在经营活动中没有重大违法记录的书面声明（1、重大违法记录，是指供应商因违法经营受到刑事处罚或者责令停产停业、吊销许可证或者执照、较大数额罚款等行政处罚。2、“较大数额罚款”，是指200万元以上的罚款，法律、行政法规以及国务院有关部门明确规定相关领域“较大数额罚款”标准高于200万元的，从其规定。）；</w:t>
            </w:r>
          </w:p>
          <w:p w14:paraId="2D137A15">
            <w:pPr>
              <w:pStyle w:val="16"/>
              <w:spacing w:line="400" w:lineRule="exact"/>
              <w:rPr>
                <w:rFonts w:hAnsi="宋体"/>
                <w:b/>
                <w:sz w:val="21"/>
                <w:szCs w:val="21"/>
              </w:rPr>
            </w:pPr>
            <w:r>
              <w:rPr>
                <w:rFonts w:hint="eastAsia" w:hAnsi="宋体"/>
                <w:b/>
                <w:sz w:val="21"/>
                <w:szCs w:val="21"/>
              </w:rPr>
              <w:t>（2）采购代理机构将于评标前在“信用中国”网站（www.creditchina.gov.cn）失信被执行人、重大税收违法失信主体名单及中国政府采购网（www.ccgp.gov.cn）“政府采购严重违法失信行为记录名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14:paraId="5B066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457" w:type="dxa"/>
            <w:vAlign w:val="center"/>
          </w:tcPr>
          <w:p w14:paraId="1A33C522">
            <w:pPr>
              <w:pStyle w:val="16"/>
              <w:spacing w:line="400" w:lineRule="exact"/>
              <w:jc w:val="center"/>
              <w:rPr>
                <w:rFonts w:hAnsi="宋体"/>
                <w:color w:val="000000"/>
                <w:sz w:val="21"/>
                <w:szCs w:val="21"/>
              </w:rPr>
            </w:pPr>
            <w:r>
              <w:rPr>
                <w:rFonts w:hint="eastAsia" w:hAnsi="宋体"/>
                <w:color w:val="000000"/>
                <w:sz w:val="21"/>
                <w:szCs w:val="21"/>
              </w:rPr>
              <w:t>4.</w:t>
            </w:r>
            <w:r>
              <w:rPr>
                <w:rFonts w:hAnsi="宋体"/>
                <w:color w:val="000000"/>
                <w:sz w:val="21"/>
                <w:szCs w:val="21"/>
              </w:rPr>
              <w:t>3</w:t>
            </w:r>
          </w:p>
        </w:tc>
        <w:tc>
          <w:tcPr>
            <w:tcW w:w="2126" w:type="dxa"/>
            <w:vAlign w:val="center"/>
          </w:tcPr>
          <w:p w14:paraId="4F1E5D47">
            <w:pPr>
              <w:pStyle w:val="16"/>
              <w:spacing w:line="400" w:lineRule="exact"/>
              <w:rPr>
                <w:rFonts w:hAnsi="宋体"/>
                <w:color w:val="000000"/>
                <w:sz w:val="21"/>
                <w:szCs w:val="21"/>
              </w:rPr>
            </w:pPr>
            <w:r>
              <w:rPr>
                <w:rFonts w:hint="eastAsia" w:hAnsi="宋体"/>
                <w:color w:val="000000"/>
                <w:sz w:val="21"/>
                <w:szCs w:val="21"/>
              </w:rPr>
              <w:t>本项目的特定资格要求</w:t>
            </w:r>
          </w:p>
        </w:tc>
        <w:tc>
          <w:tcPr>
            <w:tcW w:w="6237" w:type="dxa"/>
            <w:vAlign w:val="center"/>
          </w:tcPr>
          <w:p w14:paraId="5AED41E9">
            <w:pPr>
              <w:autoSpaceDE w:val="0"/>
              <w:autoSpaceDN w:val="0"/>
              <w:snapToGrid w:val="0"/>
              <w:spacing w:line="400" w:lineRule="exact"/>
              <w:textAlignment w:val="bottom"/>
              <w:rPr>
                <w:rFonts w:ascii="宋体" w:hAnsi="宋体"/>
                <w:color w:val="000000"/>
                <w:sz w:val="21"/>
                <w:szCs w:val="21"/>
              </w:rPr>
            </w:pPr>
            <w:r>
              <w:rPr>
                <w:rFonts w:hint="eastAsia" w:ascii="宋体" w:hAnsi="宋体"/>
                <w:color w:val="000000"/>
                <w:sz w:val="21"/>
                <w:szCs w:val="21"/>
              </w:rPr>
              <w:t>见第一章“招标公告”二、申请人的资格要求</w:t>
            </w:r>
          </w:p>
        </w:tc>
      </w:tr>
      <w:tr w14:paraId="1DD6D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1457" w:type="dxa"/>
            <w:vAlign w:val="center"/>
          </w:tcPr>
          <w:p w14:paraId="20D08CF6">
            <w:pPr>
              <w:pStyle w:val="16"/>
              <w:spacing w:line="400" w:lineRule="exact"/>
              <w:jc w:val="center"/>
              <w:rPr>
                <w:rFonts w:hAnsi="宋体"/>
                <w:color w:val="000000"/>
                <w:sz w:val="21"/>
                <w:szCs w:val="21"/>
              </w:rPr>
            </w:pPr>
            <w:r>
              <w:rPr>
                <w:rFonts w:hint="eastAsia" w:hAnsi="宋体"/>
                <w:color w:val="000000"/>
                <w:sz w:val="21"/>
                <w:szCs w:val="21"/>
              </w:rPr>
              <w:t>4.</w:t>
            </w:r>
            <w:r>
              <w:rPr>
                <w:rFonts w:hAnsi="宋体"/>
                <w:color w:val="000000"/>
                <w:sz w:val="21"/>
                <w:szCs w:val="21"/>
              </w:rPr>
              <w:t>5</w:t>
            </w:r>
          </w:p>
        </w:tc>
        <w:tc>
          <w:tcPr>
            <w:tcW w:w="2126" w:type="dxa"/>
            <w:vAlign w:val="center"/>
          </w:tcPr>
          <w:p w14:paraId="7BBC6FFD">
            <w:pPr>
              <w:pStyle w:val="16"/>
              <w:spacing w:line="400" w:lineRule="exact"/>
              <w:rPr>
                <w:rFonts w:hAnsi="宋体"/>
                <w:color w:val="000000"/>
                <w:sz w:val="21"/>
                <w:szCs w:val="21"/>
              </w:rPr>
            </w:pPr>
            <w:r>
              <w:rPr>
                <w:rFonts w:hint="eastAsia" w:hAnsi="宋体"/>
                <w:color w:val="000000"/>
                <w:sz w:val="21"/>
                <w:szCs w:val="21"/>
              </w:rPr>
              <w:t>是否接受联合体投标</w:t>
            </w:r>
          </w:p>
        </w:tc>
        <w:tc>
          <w:tcPr>
            <w:tcW w:w="6237" w:type="dxa"/>
            <w:vAlign w:val="center"/>
          </w:tcPr>
          <w:p w14:paraId="072126B6">
            <w:pPr>
              <w:pStyle w:val="16"/>
              <w:spacing w:line="400" w:lineRule="exact"/>
              <w:jc w:val="left"/>
              <w:rPr>
                <w:rFonts w:hAnsi="宋体"/>
                <w:b/>
                <w:color w:val="000000"/>
                <w:sz w:val="21"/>
                <w:szCs w:val="21"/>
              </w:rPr>
            </w:pPr>
            <w:r>
              <w:rPr>
                <w:rFonts w:hint="eastAsia" w:hAnsi="宋体"/>
                <w:b/>
                <w:color w:val="000000"/>
                <w:sz w:val="21"/>
                <w:szCs w:val="21"/>
              </w:rPr>
              <w:t>不接受</w:t>
            </w:r>
          </w:p>
        </w:tc>
      </w:tr>
      <w:tr w14:paraId="3748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457" w:type="dxa"/>
            <w:vAlign w:val="center"/>
          </w:tcPr>
          <w:p w14:paraId="56714456">
            <w:pPr>
              <w:pStyle w:val="16"/>
              <w:spacing w:line="400" w:lineRule="exact"/>
              <w:jc w:val="center"/>
              <w:rPr>
                <w:rFonts w:hAnsi="宋体"/>
                <w:color w:val="000000"/>
                <w:sz w:val="21"/>
                <w:szCs w:val="21"/>
              </w:rPr>
            </w:pPr>
            <w:r>
              <w:rPr>
                <w:rFonts w:hint="eastAsia" w:hAnsi="宋体"/>
                <w:color w:val="000000"/>
                <w:sz w:val="21"/>
                <w:szCs w:val="21"/>
              </w:rPr>
              <w:t>9.1</w:t>
            </w:r>
          </w:p>
        </w:tc>
        <w:tc>
          <w:tcPr>
            <w:tcW w:w="2126" w:type="dxa"/>
            <w:vAlign w:val="center"/>
          </w:tcPr>
          <w:p w14:paraId="5257688A">
            <w:pPr>
              <w:autoSpaceDE w:val="0"/>
              <w:autoSpaceDN w:val="0"/>
              <w:snapToGrid w:val="0"/>
              <w:spacing w:line="400" w:lineRule="exact"/>
              <w:textAlignment w:val="bottom"/>
              <w:rPr>
                <w:rFonts w:ascii="宋体" w:hAnsi="宋体"/>
                <w:color w:val="000000"/>
                <w:sz w:val="21"/>
                <w:szCs w:val="21"/>
              </w:rPr>
            </w:pPr>
            <w:r>
              <w:rPr>
                <w:rFonts w:hint="eastAsia" w:ascii="宋体" w:hAnsi="宋体"/>
                <w:color w:val="000000"/>
                <w:sz w:val="21"/>
                <w:szCs w:val="21"/>
              </w:rPr>
              <w:t>招标文件澄清截止时间</w:t>
            </w:r>
          </w:p>
        </w:tc>
        <w:tc>
          <w:tcPr>
            <w:tcW w:w="6237" w:type="dxa"/>
            <w:vAlign w:val="center"/>
          </w:tcPr>
          <w:p w14:paraId="7E52530A">
            <w:pPr>
              <w:pStyle w:val="16"/>
              <w:spacing w:line="400" w:lineRule="exact"/>
              <w:jc w:val="left"/>
              <w:rPr>
                <w:rFonts w:hAnsi="宋体"/>
                <w:bCs/>
                <w:color w:val="000000"/>
                <w:sz w:val="21"/>
                <w:szCs w:val="21"/>
              </w:rPr>
            </w:pPr>
            <w:r>
              <w:rPr>
                <w:rFonts w:hint="eastAsia" w:hAnsi="宋体"/>
                <w:color w:val="000000"/>
                <w:sz w:val="21"/>
                <w:szCs w:val="21"/>
              </w:rPr>
              <w:t>提交投标文件截止时间十五日前</w:t>
            </w:r>
          </w:p>
        </w:tc>
      </w:tr>
      <w:tr w14:paraId="74B49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57" w:type="dxa"/>
            <w:vAlign w:val="center"/>
          </w:tcPr>
          <w:p w14:paraId="7A8E21F7">
            <w:pPr>
              <w:pStyle w:val="16"/>
              <w:spacing w:line="400" w:lineRule="exact"/>
              <w:jc w:val="center"/>
              <w:rPr>
                <w:rFonts w:hAnsi="宋体"/>
                <w:color w:val="000000"/>
                <w:sz w:val="21"/>
                <w:szCs w:val="21"/>
              </w:rPr>
            </w:pPr>
            <w:r>
              <w:rPr>
                <w:rFonts w:hAnsi="宋体"/>
                <w:color w:val="000000"/>
                <w:sz w:val="21"/>
                <w:szCs w:val="21"/>
              </w:rPr>
              <w:t>13.1</w:t>
            </w:r>
            <w:r>
              <w:rPr>
                <w:rFonts w:hint="eastAsia" w:hAnsi="宋体"/>
                <w:color w:val="000000"/>
                <w:sz w:val="21"/>
                <w:szCs w:val="21"/>
              </w:rPr>
              <w:t>.</w:t>
            </w:r>
            <w:r>
              <w:rPr>
                <w:rFonts w:hAnsi="宋体"/>
                <w:color w:val="000000"/>
                <w:sz w:val="21"/>
                <w:szCs w:val="21"/>
              </w:rPr>
              <w:t>4</w:t>
            </w:r>
          </w:p>
        </w:tc>
        <w:tc>
          <w:tcPr>
            <w:tcW w:w="2126" w:type="dxa"/>
            <w:vAlign w:val="center"/>
          </w:tcPr>
          <w:p w14:paraId="39BA0BA6">
            <w:pPr>
              <w:pStyle w:val="16"/>
              <w:spacing w:line="400" w:lineRule="exact"/>
              <w:rPr>
                <w:rFonts w:hAnsi="宋体"/>
                <w:color w:val="000000"/>
                <w:sz w:val="21"/>
                <w:szCs w:val="21"/>
              </w:rPr>
            </w:pPr>
            <w:r>
              <w:rPr>
                <w:rFonts w:hAnsi="宋体"/>
                <w:color w:val="000000"/>
                <w:sz w:val="21"/>
                <w:szCs w:val="21"/>
              </w:rPr>
              <w:t>构成投标文件</w:t>
            </w:r>
            <w:r>
              <w:rPr>
                <w:rFonts w:hint="eastAsia" w:hAnsi="宋体"/>
                <w:color w:val="000000"/>
                <w:sz w:val="21"/>
                <w:szCs w:val="21"/>
              </w:rPr>
              <w:t>商务部分</w:t>
            </w:r>
            <w:r>
              <w:rPr>
                <w:rFonts w:hAnsi="宋体"/>
                <w:color w:val="000000"/>
                <w:sz w:val="21"/>
                <w:szCs w:val="21"/>
              </w:rPr>
              <w:t>的其他资料</w:t>
            </w:r>
          </w:p>
        </w:tc>
        <w:tc>
          <w:tcPr>
            <w:tcW w:w="6237" w:type="dxa"/>
            <w:vAlign w:val="center"/>
          </w:tcPr>
          <w:p w14:paraId="315DB027">
            <w:pPr>
              <w:spacing w:line="400" w:lineRule="exact"/>
              <w:rPr>
                <w:rFonts w:ascii="宋体" w:hAnsi="宋体"/>
                <w:bCs/>
                <w:color w:val="000000"/>
                <w:sz w:val="21"/>
                <w:szCs w:val="21"/>
              </w:rPr>
            </w:pPr>
            <w:r>
              <w:rPr>
                <w:rFonts w:hint="eastAsia" w:ascii="宋体" w:hAnsi="宋体"/>
                <w:color w:val="000000"/>
                <w:sz w:val="21"/>
                <w:szCs w:val="21"/>
              </w:rPr>
              <w:t>1、服务机构技术力量说明</w:t>
            </w:r>
            <w:r>
              <w:rPr>
                <w:rFonts w:ascii="宋体" w:hAnsi="宋体"/>
                <w:bCs/>
                <w:color w:val="000000"/>
                <w:sz w:val="21"/>
                <w:szCs w:val="21"/>
              </w:rPr>
              <w:t>；</w:t>
            </w:r>
          </w:p>
          <w:p w14:paraId="723BA1A1">
            <w:pPr>
              <w:autoSpaceDE w:val="0"/>
              <w:autoSpaceDN w:val="0"/>
              <w:snapToGrid w:val="0"/>
              <w:spacing w:line="400" w:lineRule="exact"/>
              <w:textAlignment w:val="bottom"/>
              <w:rPr>
                <w:rFonts w:ascii="宋体" w:hAnsi="宋体"/>
                <w:bCs/>
                <w:color w:val="000000"/>
                <w:sz w:val="21"/>
                <w:szCs w:val="21"/>
              </w:rPr>
            </w:pPr>
            <w:r>
              <w:rPr>
                <w:rFonts w:ascii="宋体" w:hAnsi="宋体"/>
                <w:bCs/>
                <w:color w:val="000000"/>
                <w:sz w:val="21"/>
                <w:szCs w:val="21"/>
              </w:rPr>
              <w:t>2</w:t>
            </w:r>
            <w:r>
              <w:rPr>
                <w:rFonts w:hint="eastAsia" w:ascii="宋体" w:hAnsi="宋体"/>
                <w:bCs/>
                <w:color w:val="000000"/>
                <w:sz w:val="21"/>
                <w:szCs w:val="21"/>
              </w:rPr>
              <w:t>、</w:t>
            </w:r>
            <w:r>
              <w:rPr>
                <w:rFonts w:ascii="宋体" w:hAnsi="宋体"/>
                <w:bCs/>
                <w:color w:val="000000"/>
                <w:sz w:val="21"/>
                <w:szCs w:val="21"/>
              </w:rPr>
              <w:t>招标文件中所涉及到的相关资料及证明文件或投标人认为必须提供的其他相关资料。</w:t>
            </w:r>
          </w:p>
        </w:tc>
      </w:tr>
      <w:tr w14:paraId="2CD6E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57" w:type="dxa"/>
            <w:vAlign w:val="center"/>
          </w:tcPr>
          <w:p w14:paraId="4F602911">
            <w:pPr>
              <w:pStyle w:val="16"/>
              <w:spacing w:line="400" w:lineRule="exact"/>
              <w:jc w:val="center"/>
              <w:rPr>
                <w:rFonts w:hAnsi="宋体"/>
                <w:color w:val="000000"/>
                <w:sz w:val="21"/>
                <w:szCs w:val="21"/>
              </w:rPr>
            </w:pPr>
            <w:r>
              <w:rPr>
                <w:rFonts w:hAnsi="宋体"/>
                <w:color w:val="000000"/>
                <w:sz w:val="21"/>
                <w:szCs w:val="21"/>
              </w:rPr>
              <w:t>13.1</w:t>
            </w:r>
            <w:r>
              <w:rPr>
                <w:rFonts w:hint="eastAsia" w:hAnsi="宋体"/>
                <w:color w:val="000000"/>
                <w:sz w:val="21"/>
                <w:szCs w:val="21"/>
              </w:rPr>
              <w:t>.6</w:t>
            </w:r>
          </w:p>
        </w:tc>
        <w:tc>
          <w:tcPr>
            <w:tcW w:w="2126" w:type="dxa"/>
            <w:vAlign w:val="center"/>
          </w:tcPr>
          <w:p w14:paraId="37144492">
            <w:pPr>
              <w:pStyle w:val="16"/>
              <w:spacing w:line="400" w:lineRule="exact"/>
              <w:rPr>
                <w:rFonts w:hAnsi="宋体"/>
                <w:color w:val="000000"/>
                <w:sz w:val="21"/>
                <w:szCs w:val="21"/>
              </w:rPr>
            </w:pPr>
            <w:r>
              <w:rPr>
                <w:rFonts w:hAnsi="宋体"/>
                <w:color w:val="000000"/>
                <w:sz w:val="21"/>
                <w:szCs w:val="21"/>
              </w:rPr>
              <w:t>构成投标文件技术部分的其他资料</w:t>
            </w:r>
          </w:p>
        </w:tc>
        <w:tc>
          <w:tcPr>
            <w:tcW w:w="6237" w:type="dxa"/>
            <w:vAlign w:val="center"/>
          </w:tcPr>
          <w:p w14:paraId="1F977540">
            <w:pPr>
              <w:autoSpaceDE w:val="0"/>
              <w:autoSpaceDN w:val="0"/>
              <w:snapToGrid w:val="0"/>
              <w:spacing w:line="400" w:lineRule="exact"/>
              <w:textAlignment w:val="bottom"/>
              <w:rPr>
                <w:rFonts w:ascii="宋体" w:hAnsi="宋体"/>
                <w:bCs/>
                <w:color w:val="000000"/>
                <w:sz w:val="21"/>
                <w:szCs w:val="21"/>
              </w:rPr>
            </w:pPr>
            <w:r>
              <w:rPr>
                <w:rFonts w:hint="eastAsia" w:ascii="宋体" w:hAnsi="宋体"/>
                <w:bCs/>
                <w:color w:val="000000"/>
                <w:sz w:val="21"/>
                <w:szCs w:val="21"/>
              </w:rPr>
              <w:t>1、第五章“项目需求”中要求提供的其他资料；</w:t>
            </w:r>
          </w:p>
          <w:p w14:paraId="1079D46C">
            <w:pPr>
              <w:autoSpaceDE w:val="0"/>
              <w:autoSpaceDN w:val="0"/>
              <w:snapToGrid w:val="0"/>
              <w:spacing w:line="400" w:lineRule="exact"/>
              <w:textAlignment w:val="bottom"/>
              <w:rPr>
                <w:rFonts w:ascii="宋体" w:hAnsi="宋体"/>
                <w:bCs/>
                <w:color w:val="000000"/>
                <w:sz w:val="21"/>
                <w:szCs w:val="21"/>
              </w:rPr>
            </w:pPr>
            <w:r>
              <w:rPr>
                <w:rFonts w:ascii="宋体" w:hAnsi="宋体"/>
                <w:bCs/>
                <w:color w:val="000000"/>
                <w:sz w:val="21"/>
                <w:szCs w:val="21"/>
              </w:rPr>
              <w:t>2</w:t>
            </w:r>
            <w:r>
              <w:rPr>
                <w:rFonts w:hint="eastAsia" w:ascii="宋体" w:hAnsi="宋体"/>
                <w:bCs/>
                <w:color w:val="000000"/>
                <w:sz w:val="21"/>
                <w:szCs w:val="21"/>
              </w:rPr>
              <w:t xml:space="preserve">、 </w:t>
            </w:r>
            <w:r>
              <w:rPr>
                <w:rFonts w:ascii="宋体" w:hAnsi="宋体"/>
                <w:bCs/>
                <w:color w:val="000000"/>
                <w:sz w:val="21"/>
                <w:szCs w:val="21"/>
              </w:rPr>
              <w:t>招标文件中所涉及到的相关资料及证明文件或投标人认为必须提供的其他相关资料。</w:t>
            </w:r>
          </w:p>
        </w:tc>
      </w:tr>
      <w:tr w14:paraId="107C7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57" w:type="dxa"/>
            <w:vAlign w:val="center"/>
          </w:tcPr>
          <w:p w14:paraId="4A8BCF3B">
            <w:pPr>
              <w:pStyle w:val="16"/>
              <w:spacing w:line="400" w:lineRule="exact"/>
              <w:jc w:val="center"/>
              <w:rPr>
                <w:rFonts w:hAnsi="宋体"/>
                <w:color w:val="000000"/>
                <w:sz w:val="21"/>
                <w:szCs w:val="21"/>
              </w:rPr>
            </w:pPr>
            <w:r>
              <w:rPr>
                <w:rFonts w:hint="eastAsia" w:hAnsi="宋体"/>
                <w:color w:val="000000"/>
                <w:sz w:val="21"/>
                <w:szCs w:val="21"/>
              </w:rPr>
              <w:t>★15.1</w:t>
            </w:r>
          </w:p>
        </w:tc>
        <w:tc>
          <w:tcPr>
            <w:tcW w:w="2126" w:type="dxa"/>
            <w:vAlign w:val="center"/>
          </w:tcPr>
          <w:p w14:paraId="7099DDC0">
            <w:pPr>
              <w:pStyle w:val="16"/>
              <w:spacing w:line="400" w:lineRule="exact"/>
              <w:rPr>
                <w:rFonts w:hAnsi="宋体"/>
                <w:color w:val="000000"/>
                <w:sz w:val="21"/>
                <w:szCs w:val="21"/>
              </w:rPr>
            </w:pPr>
            <w:r>
              <w:rPr>
                <w:rFonts w:hint="eastAsia" w:hAnsi="宋体"/>
                <w:color w:val="000000"/>
                <w:sz w:val="21"/>
                <w:szCs w:val="21"/>
              </w:rPr>
              <w:t>本项目预算金额及最高限价</w:t>
            </w:r>
          </w:p>
        </w:tc>
        <w:tc>
          <w:tcPr>
            <w:tcW w:w="6237" w:type="dxa"/>
            <w:vAlign w:val="center"/>
          </w:tcPr>
          <w:p w14:paraId="59DD0E5A">
            <w:pPr>
              <w:autoSpaceDE w:val="0"/>
              <w:autoSpaceDN w:val="0"/>
              <w:snapToGrid w:val="0"/>
              <w:spacing w:line="400" w:lineRule="exact"/>
              <w:textAlignment w:val="bottom"/>
              <w:rPr>
                <w:rFonts w:ascii="宋体" w:hAnsi="宋体"/>
                <w:bCs/>
                <w:color w:val="000000"/>
                <w:sz w:val="21"/>
                <w:szCs w:val="21"/>
              </w:rPr>
            </w:pPr>
            <w:r>
              <w:rPr>
                <w:rFonts w:hint="eastAsia" w:ascii="宋体" w:hAnsi="宋体"/>
                <w:color w:val="000000"/>
                <w:sz w:val="21"/>
                <w:szCs w:val="21"/>
              </w:rPr>
              <w:t>见第一章“招标公告”</w:t>
            </w:r>
          </w:p>
        </w:tc>
      </w:tr>
      <w:tr w14:paraId="4744B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457" w:type="dxa"/>
            <w:vAlign w:val="center"/>
          </w:tcPr>
          <w:p w14:paraId="124AFF33">
            <w:pPr>
              <w:pStyle w:val="16"/>
              <w:spacing w:line="400" w:lineRule="exact"/>
              <w:jc w:val="center"/>
              <w:rPr>
                <w:rFonts w:hAnsi="宋体"/>
                <w:color w:val="000000"/>
                <w:sz w:val="21"/>
                <w:szCs w:val="21"/>
              </w:rPr>
            </w:pPr>
            <w:r>
              <w:rPr>
                <w:rFonts w:hint="eastAsia" w:hAnsi="宋体"/>
                <w:color w:val="000000"/>
                <w:sz w:val="21"/>
                <w:szCs w:val="21"/>
              </w:rPr>
              <w:t>15.5</w:t>
            </w:r>
          </w:p>
        </w:tc>
        <w:tc>
          <w:tcPr>
            <w:tcW w:w="2126" w:type="dxa"/>
            <w:vAlign w:val="center"/>
          </w:tcPr>
          <w:p w14:paraId="622D0EA2">
            <w:pPr>
              <w:pStyle w:val="16"/>
              <w:spacing w:line="400" w:lineRule="exact"/>
              <w:rPr>
                <w:rFonts w:hAnsi="宋体"/>
                <w:color w:val="000000"/>
                <w:sz w:val="21"/>
                <w:szCs w:val="21"/>
              </w:rPr>
            </w:pPr>
            <w:r>
              <w:rPr>
                <w:rFonts w:hint="eastAsia" w:hAnsi="宋体"/>
                <w:color w:val="000000"/>
                <w:sz w:val="21"/>
                <w:szCs w:val="21"/>
              </w:rPr>
              <w:t>备品备件</w:t>
            </w:r>
          </w:p>
        </w:tc>
        <w:tc>
          <w:tcPr>
            <w:tcW w:w="6237" w:type="dxa"/>
            <w:vAlign w:val="center"/>
          </w:tcPr>
          <w:p w14:paraId="75974526">
            <w:pPr>
              <w:spacing w:line="400" w:lineRule="exact"/>
              <w:jc w:val="left"/>
              <w:rPr>
                <w:rFonts w:ascii="宋体" w:hAnsi="宋体"/>
                <w:color w:val="000000"/>
                <w:sz w:val="21"/>
                <w:szCs w:val="21"/>
              </w:rPr>
            </w:pPr>
            <w:r>
              <w:rPr>
                <w:rFonts w:ascii="宋体" w:hAnsi="宋体"/>
                <w:color w:val="000000"/>
                <w:sz w:val="21"/>
                <w:szCs w:val="21"/>
              </w:rPr>
              <w:t>本次招标（□要求</w:t>
            </w:r>
            <w:r>
              <w:rPr>
                <w:rFonts w:hint="eastAsia" w:ascii="宋体" w:hAnsi="宋体"/>
                <w:color w:val="000000"/>
                <w:sz w:val="21"/>
                <w:szCs w:val="21"/>
              </w:rPr>
              <w:t>■</w:t>
            </w:r>
            <w:r>
              <w:rPr>
                <w:rFonts w:ascii="宋体" w:hAnsi="宋体"/>
                <w:color w:val="000000"/>
                <w:sz w:val="21"/>
                <w:szCs w:val="21"/>
              </w:rPr>
              <w:t>不要求）提供所需的备品备件。</w:t>
            </w:r>
            <w:r>
              <w:rPr>
                <w:rFonts w:hint="eastAsia" w:ascii="宋体" w:hAnsi="宋体"/>
                <w:color w:val="000000"/>
                <w:sz w:val="21"/>
                <w:szCs w:val="21"/>
              </w:rPr>
              <w:t>设备验收开始使用后至保质期内正常、连续地使用所必须的备品备件，计入投标价中</w:t>
            </w:r>
            <w:r>
              <w:rPr>
                <w:rFonts w:ascii="宋体" w:hAnsi="宋体"/>
                <w:color w:val="000000"/>
                <w:sz w:val="21"/>
                <w:szCs w:val="21"/>
              </w:rPr>
              <w:t>。</w:t>
            </w:r>
          </w:p>
        </w:tc>
      </w:tr>
      <w:tr w14:paraId="7C365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457" w:type="dxa"/>
            <w:vAlign w:val="center"/>
          </w:tcPr>
          <w:p w14:paraId="3313FFD2">
            <w:pPr>
              <w:pStyle w:val="16"/>
              <w:spacing w:line="400" w:lineRule="exact"/>
              <w:jc w:val="center"/>
              <w:rPr>
                <w:rFonts w:hAnsi="宋体"/>
                <w:color w:val="000000"/>
                <w:sz w:val="21"/>
                <w:szCs w:val="21"/>
              </w:rPr>
            </w:pPr>
            <w:r>
              <w:rPr>
                <w:rFonts w:hint="eastAsia" w:hAnsi="宋体"/>
                <w:color w:val="000000"/>
                <w:sz w:val="21"/>
                <w:szCs w:val="21"/>
              </w:rPr>
              <w:t>15.8</w:t>
            </w:r>
          </w:p>
        </w:tc>
        <w:tc>
          <w:tcPr>
            <w:tcW w:w="2126" w:type="dxa"/>
            <w:vAlign w:val="center"/>
          </w:tcPr>
          <w:p w14:paraId="2149EC10">
            <w:pPr>
              <w:spacing w:line="400" w:lineRule="exact"/>
              <w:jc w:val="left"/>
              <w:rPr>
                <w:rFonts w:ascii="宋体" w:hAnsi="宋体"/>
                <w:color w:val="000000"/>
                <w:sz w:val="21"/>
                <w:szCs w:val="21"/>
              </w:rPr>
            </w:pPr>
            <w:r>
              <w:rPr>
                <w:rFonts w:hint="eastAsia" w:ascii="宋体" w:hAnsi="宋体"/>
                <w:color w:val="000000"/>
                <w:sz w:val="21"/>
                <w:szCs w:val="21"/>
              </w:rPr>
              <w:t>技术服务费</w:t>
            </w:r>
          </w:p>
        </w:tc>
        <w:tc>
          <w:tcPr>
            <w:tcW w:w="6237" w:type="dxa"/>
            <w:vAlign w:val="center"/>
          </w:tcPr>
          <w:p w14:paraId="2BF1F44F">
            <w:pPr>
              <w:spacing w:line="400" w:lineRule="exact"/>
              <w:jc w:val="left"/>
              <w:rPr>
                <w:rFonts w:ascii="宋体" w:hAnsi="宋体"/>
                <w:color w:val="000000"/>
                <w:sz w:val="21"/>
                <w:szCs w:val="21"/>
              </w:rPr>
            </w:pPr>
            <w:r>
              <w:rPr>
                <w:rFonts w:hint="eastAsia" w:ascii="宋体" w:hAnsi="宋体"/>
                <w:color w:val="000000"/>
                <w:sz w:val="21"/>
                <w:szCs w:val="21"/>
              </w:rPr>
              <w:t>无</w:t>
            </w:r>
          </w:p>
        </w:tc>
      </w:tr>
      <w:tr w14:paraId="6AD35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457" w:type="dxa"/>
            <w:vAlign w:val="center"/>
          </w:tcPr>
          <w:p w14:paraId="4B41E4B6">
            <w:pPr>
              <w:pStyle w:val="16"/>
              <w:spacing w:line="400" w:lineRule="exact"/>
              <w:jc w:val="center"/>
              <w:rPr>
                <w:rFonts w:hAnsi="宋体"/>
                <w:color w:val="000000"/>
                <w:sz w:val="21"/>
                <w:szCs w:val="21"/>
              </w:rPr>
            </w:pPr>
            <w:r>
              <w:rPr>
                <w:rFonts w:hint="eastAsia" w:hAnsi="宋体"/>
                <w:color w:val="000000"/>
                <w:sz w:val="21"/>
                <w:szCs w:val="21"/>
              </w:rPr>
              <w:t>★17.1</w:t>
            </w:r>
          </w:p>
        </w:tc>
        <w:tc>
          <w:tcPr>
            <w:tcW w:w="2126" w:type="dxa"/>
            <w:vAlign w:val="center"/>
          </w:tcPr>
          <w:p w14:paraId="39EFEA11">
            <w:pPr>
              <w:pStyle w:val="16"/>
              <w:spacing w:line="400" w:lineRule="exact"/>
              <w:rPr>
                <w:rFonts w:hAnsi="宋体"/>
                <w:color w:val="000000"/>
                <w:sz w:val="21"/>
                <w:szCs w:val="21"/>
              </w:rPr>
            </w:pPr>
            <w:r>
              <w:rPr>
                <w:rFonts w:hint="eastAsia" w:hAnsi="宋体"/>
                <w:color w:val="000000"/>
                <w:sz w:val="21"/>
                <w:szCs w:val="21"/>
              </w:rPr>
              <w:t>投标文件有效期</w:t>
            </w:r>
          </w:p>
        </w:tc>
        <w:tc>
          <w:tcPr>
            <w:tcW w:w="6237" w:type="dxa"/>
            <w:vAlign w:val="center"/>
          </w:tcPr>
          <w:p w14:paraId="43F360BF">
            <w:pPr>
              <w:pStyle w:val="16"/>
              <w:spacing w:line="400" w:lineRule="exact"/>
              <w:rPr>
                <w:rFonts w:hAnsi="宋体"/>
                <w:color w:val="000000"/>
                <w:sz w:val="21"/>
                <w:szCs w:val="21"/>
              </w:rPr>
            </w:pPr>
            <w:r>
              <w:rPr>
                <w:rFonts w:hint="eastAsia" w:hAnsi="宋体"/>
                <w:color w:val="000000"/>
                <w:sz w:val="21"/>
                <w:szCs w:val="21"/>
              </w:rPr>
              <w:t>从提交投标文件截止之日起</w:t>
            </w:r>
            <w:r>
              <w:rPr>
                <w:rFonts w:hint="eastAsia" w:hAnsi="宋体"/>
                <w:color w:val="000000"/>
                <w:sz w:val="21"/>
                <w:szCs w:val="21"/>
                <w:u w:val="single"/>
              </w:rPr>
              <w:t>90</w:t>
            </w:r>
            <w:r>
              <w:rPr>
                <w:rFonts w:hint="eastAsia" w:hAnsi="宋体"/>
                <w:color w:val="000000"/>
                <w:sz w:val="21"/>
                <w:szCs w:val="21"/>
              </w:rPr>
              <w:t>日历天</w:t>
            </w:r>
          </w:p>
        </w:tc>
      </w:tr>
      <w:tr w14:paraId="2A586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457" w:type="dxa"/>
            <w:vAlign w:val="center"/>
          </w:tcPr>
          <w:p w14:paraId="4A0A0C9F">
            <w:pPr>
              <w:pStyle w:val="16"/>
              <w:spacing w:line="400" w:lineRule="exact"/>
              <w:jc w:val="center"/>
              <w:rPr>
                <w:rFonts w:hAnsi="宋体"/>
                <w:color w:val="000000"/>
                <w:sz w:val="21"/>
                <w:szCs w:val="21"/>
              </w:rPr>
            </w:pPr>
            <w:r>
              <w:rPr>
                <w:rFonts w:hint="eastAsia" w:hAnsi="宋体"/>
                <w:color w:val="000000"/>
                <w:sz w:val="21"/>
                <w:szCs w:val="21"/>
              </w:rPr>
              <w:t>18.1</w:t>
            </w:r>
          </w:p>
        </w:tc>
        <w:tc>
          <w:tcPr>
            <w:tcW w:w="2126" w:type="dxa"/>
            <w:vAlign w:val="center"/>
          </w:tcPr>
          <w:p w14:paraId="7E930002">
            <w:pPr>
              <w:pStyle w:val="16"/>
              <w:spacing w:line="400" w:lineRule="exact"/>
              <w:rPr>
                <w:rFonts w:hAnsi="宋体"/>
                <w:sz w:val="21"/>
                <w:szCs w:val="21"/>
              </w:rPr>
            </w:pPr>
            <w:r>
              <w:rPr>
                <w:rFonts w:hint="eastAsia" w:hAnsi="宋体"/>
                <w:sz w:val="21"/>
                <w:szCs w:val="21"/>
              </w:rPr>
              <w:t>分包</w:t>
            </w:r>
          </w:p>
        </w:tc>
        <w:tc>
          <w:tcPr>
            <w:tcW w:w="6237" w:type="dxa"/>
            <w:vAlign w:val="center"/>
          </w:tcPr>
          <w:p w14:paraId="68743B2B">
            <w:pPr>
              <w:pStyle w:val="16"/>
              <w:spacing w:line="400" w:lineRule="exact"/>
              <w:rPr>
                <w:rFonts w:hAnsi="宋体"/>
                <w:sz w:val="21"/>
                <w:szCs w:val="22"/>
              </w:rPr>
            </w:pPr>
            <w:r>
              <w:rPr>
                <w:rFonts w:hint="eastAsia" w:hAnsi="宋体"/>
                <w:sz w:val="21"/>
                <w:szCs w:val="22"/>
              </w:rPr>
              <w:t>■本项目不得分包。</w:t>
            </w:r>
          </w:p>
          <w:p w14:paraId="4E0ED6EF">
            <w:pPr>
              <w:pStyle w:val="16"/>
              <w:spacing w:line="400" w:lineRule="exact"/>
              <w:rPr>
                <w:rFonts w:hAnsi="宋体"/>
                <w:sz w:val="21"/>
                <w:szCs w:val="21"/>
              </w:rPr>
            </w:pPr>
            <w:r>
              <w:rPr>
                <w:rFonts w:hint="eastAsia" w:hAnsi="宋体"/>
                <w:sz w:val="21"/>
                <w:szCs w:val="22"/>
              </w:rPr>
              <w:t>□允许专业分包。</w:t>
            </w:r>
          </w:p>
        </w:tc>
      </w:tr>
      <w:tr w14:paraId="583FF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457" w:type="dxa"/>
            <w:vAlign w:val="center"/>
          </w:tcPr>
          <w:p w14:paraId="1B9D3FFA">
            <w:pPr>
              <w:pStyle w:val="16"/>
              <w:spacing w:line="400" w:lineRule="exact"/>
              <w:jc w:val="center"/>
              <w:rPr>
                <w:rFonts w:hAnsi="宋体"/>
                <w:color w:val="000000"/>
                <w:sz w:val="21"/>
                <w:szCs w:val="21"/>
              </w:rPr>
            </w:pPr>
            <w:r>
              <w:rPr>
                <w:rFonts w:hint="eastAsia" w:hAnsi="宋体"/>
                <w:color w:val="000000"/>
                <w:sz w:val="21"/>
                <w:szCs w:val="21"/>
              </w:rPr>
              <w:t>★</w:t>
            </w:r>
            <w:r>
              <w:rPr>
                <w:rFonts w:hAnsi="宋体"/>
                <w:color w:val="000000"/>
                <w:sz w:val="21"/>
                <w:szCs w:val="21"/>
              </w:rPr>
              <w:t>21.1</w:t>
            </w:r>
          </w:p>
        </w:tc>
        <w:tc>
          <w:tcPr>
            <w:tcW w:w="2126" w:type="dxa"/>
            <w:vAlign w:val="center"/>
          </w:tcPr>
          <w:p w14:paraId="7AAC1CF4">
            <w:pPr>
              <w:pStyle w:val="16"/>
              <w:spacing w:line="400" w:lineRule="exact"/>
              <w:rPr>
                <w:rFonts w:hAnsi="宋体"/>
                <w:color w:val="000000"/>
                <w:sz w:val="21"/>
                <w:szCs w:val="21"/>
              </w:rPr>
            </w:pPr>
            <w:r>
              <w:rPr>
                <w:rFonts w:hint="eastAsia" w:hAnsi="宋体"/>
                <w:color w:val="000000"/>
                <w:sz w:val="21"/>
                <w:szCs w:val="21"/>
              </w:rPr>
              <w:t>投标保证金</w:t>
            </w:r>
          </w:p>
        </w:tc>
        <w:tc>
          <w:tcPr>
            <w:tcW w:w="6237" w:type="dxa"/>
            <w:vAlign w:val="center"/>
          </w:tcPr>
          <w:p w14:paraId="37DFB341">
            <w:pPr>
              <w:widowControl/>
              <w:adjustRightInd w:val="0"/>
              <w:snapToGrid w:val="0"/>
              <w:spacing w:line="320" w:lineRule="exact"/>
              <w:ind w:firstLine="420" w:firstLineChars="200"/>
              <w:jc w:val="left"/>
              <w:rPr>
                <w:rFonts w:ascii="宋体" w:hAnsi="宋体" w:cs="Arial"/>
                <w:b/>
                <w:kern w:val="0"/>
                <w:sz w:val="21"/>
                <w:szCs w:val="21"/>
              </w:rPr>
            </w:pPr>
            <w:r>
              <w:rPr>
                <w:rFonts w:hint="eastAsia" w:ascii="宋体" w:hAnsi="宋体" w:cs="Arial"/>
                <w:kern w:val="0"/>
                <w:sz w:val="21"/>
                <w:szCs w:val="21"/>
              </w:rPr>
              <w:t>本项目投标保证金提交形式包括：</w:t>
            </w:r>
            <w:r>
              <w:rPr>
                <w:rFonts w:hint="eastAsia" w:ascii="宋体" w:hAnsi="宋体" w:cs="Arial"/>
                <w:b/>
                <w:kern w:val="0"/>
                <w:sz w:val="21"/>
                <w:szCs w:val="21"/>
                <w:u w:val="single"/>
              </w:rPr>
              <w:t xml:space="preserve">支票、汇票、本票、保函、保证保险、银行转账、网银、电汇等非现金形式 </w:t>
            </w:r>
            <w:r>
              <w:rPr>
                <w:rFonts w:hint="eastAsia" w:ascii="宋体" w:hAnsi="宋体" w:cs="Arial"/>
                <w:kern w:val="0"/>
                <w:sz w:val="21"/>
                <w:szCs w:val="21"/>
              </w:rPr>
              <w:t>。</w:t>
            </w:r>
          </w:p>
          <w:p w14:paraId="1BEC8CC6">
            <w:pPr>
              <w:widowControl/>
              <w:adjustRightInd w:val="0"/>
              <w:snapToGrid w:val="0"/>
              <w:spacing w:line="320" w:lineRule="exact"/>
              <w:ind w:firstLine="420" w:firstLineChars="200"/>
              <w:jc w:val="left"/>
              <w:rPr>
                <w:rFonts w:ascii="宋体" w:hAnsi="宋体" w:cs="Arial"/>
                <w:kern w:val="0"/>
                <w:sz w:val="21"/>
                <w:szCs w:val="21"/>
              </w:rPr>
            </w:pPr>
            <w:r>
              <w:rPr>
                <w:rFonts w:hint="eastAsia" w:ascii="宋体" w:hAnsi="宋体" w:cs="Arial"/>
                <w:kern w:val="0"/>
                <w:sz w:val="21"/>
                <w:szCs w:val="21"/>
              </w:rPr>
              <w:t>投标保证金应以供应商自身名义提交，不得以分支机构等其他名义提交（按照规定，供应商可以为自然人的项目除外）。</w:t>
            </w:r>
          </w:p>
          <w:p w14:paraId="5CE13855">
            <w:pPr>
              <w:widowControl/>
              <w:adjustRightInd w:val="0"/>
              <w:snapToGrid w:val="0"/>
              <w:spacing w:line="320" w:lineRule="exact"/>
              <w:ind w:firstLine="422" w:firstLineChars="200"/>
              <w:jc w:val="left"/>
              <w:rPr>
                <w:rFonts w:ascii="宋体" w:hAnsi="宋体" w:cs="Arial"/>
                <w:b/>
                <w:kern w:val="0"/>
                <w:sz w:val="21"/>
                <w:szCs w:val="21"/>
              </w:rPr>
            </w:pPr>
            <w:r>
              <w:rPr>
                <w:rFonts w:hint="eastAsia" w:ascii="宋体" w:hAnsi="宋体" w:cs="Arial"/>
                <w:b/>
                <w:kern w:val="0"/>
                <w:sz w:val="21"/>
                <w:szCs w:val="21"/>
              </w:rPr>
              <w:t>一、缴纳方式：通过银行转账、网银、电汇等形式打款至项目专项账户</w:t>
            </w:r>
          </w:p>
          <w:p w14:paraId="473AFBC1">
            <w:pPr>
              <w:widowControl/>
              <w:adjustRightInd w:val="0"/>
              <w:snapToGrid w:val="0"/>
              <w:spacing w:line="320" w:lineRule="exact"/>
              <w:ind w:firstLine="422" w:firstLineChars="200"/>
              <w:jc w:val="left"/>
              <w:rPr>
                <w:rFonts w:ascii="宋体" w:hAnsi="宋体" w:cs="Arial"/>
                <w:b/>
                <w:kern w:val="0"/>
                <w:sz w:val="21"/>
                <w:szCs w:val="21"/>
                <w:u w:val="single"/>
              </w:rPr>
            </w:pPr>
            <w:r>
              <w:rPr>
                <w:rFonts w:hint="eastAsia" w:ascii="宋体" w:hAnsi="宋体" w:cs="Arial"/>
                <w:b/>
                <w:kern w:val="0"/>
                <w:sz w:val="21"/>
                <w:szCs w:val="21"/>
              </w:rPr>
              <w:t>保证金金额：</w:t>
            </w:r>
            <w:r>
              <w:rPr>
                <w:rFonts w:hint="eastAsia" w:ascii="宋体" w:hAnsi="宋体" w:cs="Arial"/>
                <w:b/>
                <w:kern w:val="0"/>
                <w:sz w:val="21"/>
                <w:szCs w:val="21"/>
                <w:u w:val="single"/>
              </w:rPr>
              <w:t>￥9000</w:t>
            </w:r>
            <w:r>
              <w:rPr>
                <w:rFonts w:ascii="宋体" w:hAnsi="宋体" w:cs="Arial"/>
                <w:b/>
                <w:kern w:val="0"/>
                <w:sz w:val="21"/>
                <w:szCs w:val="21"/>
                <w:u w:val="single"/>
              </w:rPr>
              <w:t>.0000元（人民币</w:t>
            </w:r>
            <w:r>
              <w:rPr>
                <w:rFonts w:hint="eastAsia" w:ascii="宋体" w:hAnsi="宋体" w:cs="Arial"/>
                <w:b/>
                <w:kern w:val="0"/>
                <w:sz w:val="21"/>
                <w:szCs w:val="21"/>
                <w:u w:val="single"/>
              </w:rPr>
              <w:t>玖仟</w:t>
            </w:r>
            <w:r>
              <w:rPr>
                <w:rFonts w:ascii="宋体" w:hAnsi="宋体" w:cs="Arial"/>
                <w:b/>
                <w:kern w:val="0"/>
                <w:sz w:val="21"/>
                <w:szCs w:val="21"/>
                <w:u w:val="single"/>
              </w:rPr>
              <w:t>元整）</w:t>
            </w:r>
          </w:p>
          <w:p w14:paraId="3CD90403">
            <w:pPr>
              <w:widowControl/>
              <w:adjustRightInd w:val="0"/>
              <w:snapToGrid w:val="0"/>
              <w:spacing w:line="320" w:lineRule="exact"/>
              <w:ind w:firstLine="422" w:firstLineChars="200"/>
              <w:jc w:val="left"/>
              <w:rPr>
                <w:rFonts w:ascii="宋体" w:hAnsi="宋体" w:cs="Arial"/>
                <w:kern w:val="0"/>
                <w:sz w:val="21"/>
                <w:szCs w:val="21"/>
              </w:rPr>
            </w:pPr>
            <w:r>
              <w:rPr>
                <w:rFonts w:hint="eastAsia" w:ascii="宋体" w:hAnsi="宋体" w:cs="Arial"/>
                <w:b/>
                <w:kern w:val="0"/>
                <w:sz w:val="21"/>
                <w:szCs w:val="21"/>
              </w:rPr>
              <w:t>缴纳时间：</w:t>
            </w:r>
            <w:r>
              <w:rPr>
                <w:rFonts w:hint="eastAsia" w:ascii="宋体" w:hAnsi="宋体" w:cs="Arial"/>
                <w:kern w:val="0"/>
                <w:sz w:val="21"/>
                <w:szCs w:val="21"/>
              </w:rPr>
              <w:t>到账截止时间为投标文件（响应文件）递交截止时间，到账时间以项目专项账户实际到账时间为准，未按时到账的保证金视为未提交。</w:t>
            </w:r>
          </w:p>
          <w:p w14:paraId="6C7BCC51">
            <w:pPr>
              <w:widowControl/>
              <w:adjustRightInd w:val="0"/>
              <w:snapToGrid w:val="0"/>
              <w:spacing w:line="320" w:lineRule="exact"/>
              <w:ind w:firstLine="422" w:firstLineChars="200"/>
              <w:jc w:val="left"/>
              <w:rPr>
                <w:rFonts w:ascii="宋体" w:hAnsi="宋体" w:cs="Arial"/>
                <w:b/>
                <w:kern w:val="0"/>
                <w:sz w:val="21"/>
                <w:szCs w:val="21"/>
              </w:rPr>
            </w:pPr>
            <w:r>
              <w:rPr>
                <w:rFonts w:hint="eastAsia" w:ascii="宋体" w:hAnsi="宋体" w:cs="Arial"/>
                <w:b/>
                <w:kern w:val="0"/>
                <w:sz w:val="21"/>
                <w:szCs w:val="21"/>
              </w:rPr>
              <w:t>开户名称：云南招标股份有限公司</w:t>
            </w:r>
          </w:p>
          <w:p w14:paraId="645A2879">
            <w:pPr>
              <w:widowControl/>
              <w:adjustRightInd w:val="0"/>
              <w:snapToGrid w:val="0"/>
              <w:spacing w:line="320" w:lineRule="exact"/>
              <w:ind w:firstLine="422" w:firstLineChars="200"/>
              <w:jc w:val="left"/>
              <w:rPr>
                <w:rFonts w:ascii="宋体" w:hAnsi="宋体" w:cs="Arial"/>
                <w:b/>
                <w:kern w:val="0"/>
                <w:sz w:val="21"/>
                <w:szCs w:val="21"/>
              </w:rPr>
            </w:pPr>
            <w:r>
              <w:rPr>
                <w:rFonts w:hint="eastAsia" w:ascii="宋体" w:hAnsi="宋体" w:cs="Arial"/>
                <w:b/>
                <w:kern w:val="0"/>
                <w:sz w:val="21"/>
                <w:szCs w:val="21"/>
              </w:rPr>
              <w:t>开户银行：富滇银行股份有限公司昆明科技支行；</w:t>
            </w:r>
          </w:p>
          <w:p w14:paraId="71CF9D45">
            <w:pPr>
              <w:widowControl/>
              <w:adjustRightInd w:val="0"/>
              <w:snapToGrid w:val="0"/>
              <w:spacing w:line="320" w:lineRule="exact"/>
              <w:ind w:firstLine="422" w:firstLineChars="200"/>
              <w:jc w:val="left"/>
              <w:rPr>
                <w:rFonts w:ascii="宋体" w:hAnsi="宋体" w:cs="Arial"/>
                <w:b/>
                <w:kern w:val="0"/>
                <w:sz w:val="21"/>
                <w:szCs w:val="21"/>
                <w:u w:val="single"/>
              </w:rPr>
            </w:pPr>
            <w:r>
              <w:rPr>
                <w:rFonts w:hint="eastAsia" w:ascii="宋体" w:hAnsi="宋体" w:cs="Arial"/>
                <w:b/>
                <w:kern w:val="0"/>
                <w:sz w:val="21"/>
                <w:szCs w:val="21"/>
              </w:rPr>
              <w:t>开户账号：</w:t>
            </w:r>
            <w:r>
              <w:rPr>
                <w:rFonts w:hint="eastAsia" w:ascii="宋体" w:hAnsi="宋体" w:cs="Arial"/>
                <w:b/>
                <w:kern w:val="0"/>
                <w:sz w:val="21"/>
                <w:szCs w:val="21"/>
                <w:u w:val="single"/>
              </w:rPr>
              <w:t xml:space="preserve"> 010000029550 </w:t>
            </w:r>
            <w:r>
              <w:rPr>
                <w:rFonts w:ascii="宋体" w:hAnsi="宋体" w:cs="Arial"/>
                <w:b/>
                <w:kern w:val="0"/>
                <w:sz w:val="21"/>
                <w:szCs w:val="21"/>
                <w:u w:val="single"/>
              </w:rPr>
              <w:t>；</w:t>
            </w:r>
          </w:p>
          <w:p w14:paraId="44D14ECF">
            <w:pPr>
              <w:widowControl/>
              <w:adjustRightInd w:val="0"/>
              <w:snapToGrid w:val="0"/>
              <w:spacing w:line="320" w:lineRule="exact"/>
              <w:ind w:firstLine="422" w:firstLineChars="200"/>
              <w:jc w:val="left"/>
              <w:rPr>
                <w:rFonts w:ascii="宋体" w:hAnsi="宋体" w:cs="Arial"/>
                <w:b/>
                <w:kern w:val="0"/>
                <w:sz w:val="21"/>
                <w:szCs w:val="21"/>
              </w:rPr>
            </w:pPr>
            <w:r>
              <w:rPr>
                <w:rFonts w:hint="eastAsia" w:ascii="宋体" w:hAnsi="宋体" w:cs="Arial"/>
                <w:b/>
                <w:kern w:val="0"/>
                <w:sz w:val="21"/>
                <w:szCs w:val="21"/>
              </w:rPr>
              <w:t>注：</w:t>
            </w:r>
          </w:p>
          <w:p w14:paraId="2CC94706">
            <w:pPr>
              <w:widowControl/>
              <w:adjustRightInd w:val="0"/>
              <w:snapToGrid w:val="0"/>
              <w:spacing w:line="320" w:lineRule="exact"/>
              <w:ind w:firstLine="420" w:firstLineChars="200"/>
              <w:jc w:val="left"/>
              <w:rPr>
                <w:rFonts w:ascii="宋体" w:hAnsi="宋体" w:cs="Arial"/>
                <w:kern w:val="0"/>
                <w:sz w:val="21"/>
                <w:szCs w:val="21"/>
              </w:rPr>
            </w:pPr>
            <w:r>
              <w:rPr>
                <w:rFonts w:hint="eastAsia" w:ascii="宋体" w:hAnsi="宋体" w:cs="Arial"/>
                <w:kern w:val="0"/>
                <w:sz w:val="21"/>
                <w:szCs w:val="21"/>
              </w:rPr>
              <w:t>1、潜在投标人（供应商）登录“云南招标股份有限公司网站（http://www.ynzbw.com）”，可在保证金子账户菜单中查询相关保证金缴纳账号。</w:t>
            </w:r>
          </w:p>
          <w:p w14:paraId="40B67344">
            <w:pPr>
              <w:widowControl/>
              <w:adjustRightInd w:val="0"/>
              <w:snapToGrid w:val="0"/>
              <w:spacing w:line="320" w:lineRule="exact"/>
              <w:ind w:firstLine="420" w:firstLineChars="200"/>
              <w:jc w:val="left"/>
              <w:rPr>
                <w:rFonts w:ascii="宋体" w:hAnsi="宋体" w:cs="Arial"/>
                <w:kern w:val="0"/>
                <w:sz w:val="21"/>
                <w:szCs w:val="21"/>
              </w:rPr>
            </w:pPr>
            <w:r>
              <w:rPr>
                <w:rFonts w:hint="eastAsia" w:ascii="宋体" w:hAnsi="宋体" w:cs="Arial"/>
                <w:kern w:val="0"/>
                <w:sz w:val="21"/>
                <w:szCs w:val="21"/>
              </w:rPr>
              <w:t>2、保证金应按上述项目标段专项账户进行缴纳。</w:t>
            </w:r>
          </w:p>
          <w:p w14:paraId="3270D97C">
            <w:pPr>
              <w:widowControl/>
              <w:adjustRightInd w:val="0"/>
              <w:snapToGrid w:val="0"/>
              <w:spacing w:line="320" w:lineRule="exact"/>
              <w:ind w:firstLine="420" w:firstLineChars="200"/>
              <w:jc w:val="left"/>
              <w:rPr>
                <w:rFonts w:ascii="宋体" w:hAnsi="宋体" w:cs="Arial"/>
                <w:kern w:val="0"/>
                <w:sz w:val="21"/>
                <w:szCs w:val="21"/>
              </w:rPr>
            </w:pPr>
            <w:r>
              <w:rPr>
                <w:rFonts w:hint="eastAsia" w:ascii="宋体" w:hAnsi="宋体" w:cs="Arial"/>
                <w:kern w:val="0"/>
                <w:sz w:val="21"/>
                <w:szCs w:val="21"/>
              </w:rPr>
              <w:t>3、每项目、每标段的投标保证金均不相同，请缴纳保证金时注意。</w:t>
            </w:r>
          </w:p>
          <w:p w14:paraId="2E544576">
            <w:pPr>
              <w:widowControl/>
              <w:adjustRightInd w:val="0"/>
              <w:snapToGrid w:val="0"/>
              <w:spacing w:line="320" w:lineRule="exact"/>
              <w:ind w:firstLine="420" w:firstLineChars="200"/>
              <w:jc w:val="left"/>
              <w:rPr>
                <w:rFonts w:ascii="宋体" w:hAnsi="宋体" w:cs="Arial"/>
                <w:kern w:val="0"/>
                <w:sz w:val="21"/>
                <w:szCs w:val="21"/>
              </w:rPr>
            </w:pPr>
            <w:r>
              <w:rPr>
                <w:rFonts w:hint="eastAsia" w:ascii="宋体" w:hAnsi="宋体" w:cs="Arial"/>
                <w:kern w:val="0"/>
                <w:sz w:val="21"/>
                <w:szCs w:val="21"/>
              </w:rPr>
              <w:t>4、保证金缴纳、退还的具体操作，详见《投标保证金线上缴纳公告》</w:t>
            </w:r>
          </w:p>
          <w:p w14:paraId="71F98A6B">
            <w:pPr>
              <w:widowControl/>
              <w:adjustRightInd w:val="0"/>
              <w:snapToGrid w:val="0"/>
              <w:spacing w:line="320" w:lineRule="exact"/>
              <w:ind w:firstLine="420" w:firstLineChars="200"/>
              <w:jc w:val="left"/>
              <w:rPr>
                <w:rFonts w:ascii="宋体" w:hAnsi="宋体" w:cs="Arial"/>
                <w:kern w:val="0"/>
                <w:sz w:val="21"/>
                <w:szCs w:val="21"/>
              </w:rPr>
            </w:pPr>
            <w:r>
              <w:rPr>
                <w:rFonts w:hint="eastAsia" w:ascii="宋体" w:hAnsi="宋体" w:cs="Arial"/>
                <w:kern w:val="0"/>
                <w:sz w:val="21"/>
                <w:szCs w:val="21"/>
              </w:rPr>
              <w:t>5、请在汇款时按完整的银行账号进行汇款。</w:t>
            </w:r>
          </w:p>
          <w:p w14:paraId="0D4020D0">
            <w:pPr>
              <w:widowControl/>
              <w:adjustRightInd w:val="0"/>
              <w:snapToGrid w:val="0"/>
              <w:spacing w:line="320" w:lineRule="exact"/>
              <w:ind w:firstLine="422" w:firstLineChars="200"/>
              <w:jc w:val="left"/>
              <w:rPr>
                <w:rFonts w:ascii="宋体" w:hAnsi="宋体" w:cs="Arial"/>
                <w:b/>
                <w:kern w:val="0"/>
                <w:sz w:val="21"/>
                <w:szCs w:val="21"/>
              </w:rPr>
            </w:pPr>
            <w:r>
              <w:rPr>
                <w:rFonts w:hint="eastAsia" w:ascii="宋体" w:hAnsi="宋体" w:cs="Arial"/>
                <w:b/>
                <w:kern w:val="0"/>
                <w:sz w:val="21"/>
                <w:szCs w:val="21"/>
              </w:rPr>
              <w:t>二、允许投标人自主选择以</w:t>
            </w:r>
            <w:r>
              <w:rPr>
                <w:rFonts w:hint="eastAsia" w:ascii="宋体" w:hAnsi="宋体" w:cs="Arial"/>
                <w:b/>
                <w:kern w:val="0"/>
                <w:sz w:val="21"/>
                <w:szCs w:val="21"/>
                <w:u w:val="single"/>
              </w:rPr>
              <w:t>支票、汇票、本票、保函、保证保险等非现金形式</w:t>
            </w:r>
            <w:r>
              <w:rPr>
                <w:rFonts w:hint="eastAsia" w:ascii="宋体" w:hAnsi="宋体" w:cs="Arial"/>
                <w:b/>
                <w:kern w:val="0"/>
                <w:sz w:val="21"/>
                <w:szCs w:val="21"/>
              </w:rPr>
              <w:t>缴纳或提交保证金，到账截止时间应当与投标（响应）截止时间一致。</w:t>
            </w:r>
          </w:p>
          <w:p w14:paraId="70377B70">
            <w:pPr>
              <w:widowControl/>
              <w:adjustRightInd w:val="0"/>
              <w:snapToGrid w:val="0"/>
              <w:spacing w:line="320" w:lineRule="exact"/>
              <w:ind w:firstLine="420" w:firstLineChars="200"/>
              <w:jc w:val="left"/>
              <w:rPr>
                <w:rFonts w:ascii="宋体" w:hAnsi="宋体" w:cs="Arial"/>
                <w:kern w:val="0"/>
                <w:sz w:val="21"/>
                <w:szCs w:val="21"/>
              </w:rPr>
            </w:pPr>
            <w:r>
              <w:rPr>
                <w:rFonts w:hint="eastAsia" w:ascii="宋体" w:hAnsi="宋体" w:cs="Arial"/>
                <w:kern w:val="0"/>
                <w:sz w:val="21"/>
                <w:szCs w:val="21"/>
              </w:rPr>
              <w:t>1.以支票方式提交的，出票人必须是供应商，支票收款人必须是采购人，支票必须正确填写收款人信息，用途须注明用于本项目（项目名称）的投标保证金。供应商必须保证支票有效，否则一切后果自负；</w:t>
            </w:r>
          </w:p>
          <w:p w14:paraId="1B877A84">
            <w:pPr>
              <w:widowControl/>
              <w:adjustRightInd w:val="0"/>
              <w:snapToGrid w:val="0"/>
              <w:spacing w:line="320" w:lineRule="exact"/>
              <w:ind w:firstLine="420" w:firstLineChars="200"/>
              <w:jc w:val="left"/>
              <w:rPr>
                <w:rFonts w:ascii="宋体" w:hAnsi="宋体" w:cs="Arial"/>
                <w:kern w:val="0"/>
                <w:sz w:val="21"/>
                <w:szCs w:val="21"/>
              </w:rPr>
            </w:pPr>
            <w:r>
              <w:rPr>
                <w:rFonts w:hint="eastAsia" w:ascii="宋体" w:hAnsi="宋体" w:cs="Arial"/>
                <w:kern w:val="0"/>
                <w:sz w:val="21"/>
                <w:szCs w:val="21"/>
              </w:rPr>
              <w:t>2.以汇票方式提交的，出票人必须是供应商，收款人必须是采购人。备注内必须注明用于本项目（项目名称）的投标保证金，供应商必须保证汇票有效，否则一切后果自负；</w:t>
            </w:r>
          </w:p>
          <w:p w14:paraId="3773D320">
            <w:pPr>
              <w:widowControl/>
              <w:adjustRightInd w:val="0"/>
              <w:snapToGrid w:val="0"/>
              <w:spacing w:line="320" w:lineRule="exact"/>
              <w:ind w:firstLine="420" w:firstLineChars="200"/>
              <w:jc w:val="left"/>
              <w:rPr>
                <w:rFonts w:ascii="宋体" w:hAnsi="宋体" w:cs="Arial"/>
                <w:kern w:val="0"/>
                <w:sz w:val="21"/>
                <w:szCs w:val="21"/>
              </w:rPr>
            </w:pPr>
            <w:r>
              <w:rPr>
                <w:rFonts w:hint="eastAsia" w:ascii="宋体" w:hAnsi="宋体" w:cs="Arial"/>
                <w:kern w:val="0"/>
                <w:sz w:val="21"/>
                <w:szCs w:val="21"/>
              </w:rPr>
              <w:t>3.以本票提交的，出票人必须是供应商，收款人必须是采购人。备注内必须注明用于本项目（项目名称）的投标保证金，供应商必须保证本票有效，否则一切后果自负；</w:t>
            </w:r>
          </w:p>
          <w:p w14:paraId="71773CCD">
            <w:pPr>
              <w:widowControl/>
              <w:adjustRightInd w:val="0"/>
              <w:snapToGrid w:val="0"/>
              <w:spacing w:line="320" w:lineRule="exact"/>
              <w:ind w:firstLine="420" w:firstLineChars="200"/>
              <w:jc w:val="left"/>
              <w:rPr>
                <w:rFonts w:ascii="宋体" w:hAnsi="宋体" w:cs="Arial"/>
                <w:kern w:val="0"/>
                <w:sz w:val="21"/>
                <w:szCs w:val="21"/>
              </w:rPr>
            </w:pPr>
            <w:r>
              <w:rPr>
                <w:rFonts w:hint="eastAsia" w:ascii="宋体" w:hAnsi="宋体" w:cs="Arial"/>
                <w:kern w:val="0"/>
                <w:sz w:val="21"/>
                <w:szCs w:val="21"/>
              </w:rPr>
              <w:t>4.以保函方式提交的，保函申请人必须是供应商，受益人必须是采购人；银行保函必须正确填写受益人和申请人的全称，并与招标文件规定的名称相一致。银行保函的有效期应当不小于投标有效期，以免造成投标无效。</w:t>
            </w:r>
          </w:p>
          <w:p w14:paraId="06647DEF">
            <w:pPr>
              <w:widowControl/>
              <w:adjustRightInd w:val="0"/>
              <w:snapToGrid w:val="0"/>
              <w:spacing w:line="320" w:lineRule="exact"/>
              <w:ind w:firstLine="420" w:firstLineChars="200"/>
              <w:jc w:val="left"/>
              <w:rPr>
                <w:rFonts w:ascii="宋体" w:hAnsi="宋体" w:cs="Arial"/>
                <w:b/>
                <w:color w:val="000000"/>
                <w:kern w:val="0"/>
                <w:sz w:val="21"/>
                <w:szCs w:val="21"/>
              </w:rPr>
            </w:pPr>
            <w:r>
              <w:rPr>
                <w:rFonts w:hint="eastAsia" w:ascii="宋体" w:hAnsi="宋体" w:cs="Arial"/>
                <w:bCs/>
                <w:kern w:val="0"/>
                <w:sz w:val="21"/>
                <w:szCs w:val="21"/>
              </w:rPr>
              <w:t>5.以投标保证保险方式提交的，投保人必须是供应商，被保险人必须是采购人；投标保险必须正确填写被保险人和投保人的全称，并与招标文件规定的名称相一致。投标保证保险的有效期应当不小于投标有效期，以免造成投标无效。</w:t>
            </w:r>
          </w:p>
        </w:tc>
      </w:tr>
      <w:tr w14:paraId="446C4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457" w:type="dxa"/>
            <w:vAlign w:val="center"/>
          </w:tcPr>
          <w:p w14:paraId="2A09176B">
            <w:pPr>
              <w:pStyle w:val="16"/>
              <w:spacing w:line="400" w:lineRule="exact"/>
              <w:jc w:val="center"/>
              <w:rPr>
                <w:rFonts w:hAnsi="宋体"/>
                <w:color w:val="000000"/>
                <w:sz w:val="21"/>
                <w:szCs w:val="21"/>
              </w:rPr>
            </w:pPr>
            <w:r>
              <w:rPr>
                <w:rFonts w:hint="eastAsia" w:hAnsi="宋体"/>
                <w:color w:val="000000"/>
                <w:sz w:val="21"/>
                <w:szCs w:val="21"/>
              </w:rPr>
              <w:t>★20.</w:t>
            </w:r>
            <w:r>
              <w:rPr>
                <w:rFonts w:hAnsi="宋体"/>
                <w:color w:val="000000"/>
                <w:sz w:val="21"/>
                <w:szCs w:val="21"/>
              </w:rPr>
              <w:t>7</w:t>
            </w:r>
          </w:p>
          <w:p w14:paraId="39D4329F">
            <w:pPr>
              <w:pStyle w:val="16"/>
              <w:spacing w:line="400" w:lineRule="exact"/>
              <w:jc w:val="center"/>
              <w:rPr>
                <w:rFonts w:hAnsi="宋体"/>
                <w:color w:val="000000"/>
                <w:sz w:val="21"/>
                <w:szCs w:val="21"/>
              </w:rPr>
            </w:pPr>
            <w:r>
              <w:rPr>
                <w:rFonts w:hAnsi="宋体"/>
                <w:color w:val="000000"/>
                <w:sz w:val="21"/>
                <w:szCs w:val="21"/>
              </w:rPr>
              <w:t>22.1</w:t>
            </w:r>
          </w:p>
        </w:tc>
        <w:tc>
          <w:tcPr>
            <w:tcW w:w="2126" w:type="dxa"/>
            <w:vAlign w:val="center"/>
          </w:tcPr>
          <w:p w14:paraId="1CA6D3EF">
            <w:pPr>
              <w:pStyle w:val="16"/>
              <w:spacing w:line="400" w:lineRule="exact"/>
              <w:rPr>
                <w:rFonts w:hAnsi="宋体"/>
                <w:color w:val="000000"/>
                <w:sz w:val="21"/>
                <w:szCs w:val="21"/>
              </w:rPr>
            </w:pPr>
            <w:r>
              <w:rPr>
                <w:rFonts w:hint="eastAsia" w:hAnsi="宋体"/>
                <w:color w:val="000000"/>
                <w:sz w:val="21"/>
                <w:szCs w:val="21"/>
              </w:rPr>
              <w:t>投标文件形式</w:t>
            </w:r>
          </w:p>
        </w:tc>
        <w:tc>
          <w:tcPr>
            <w:tcW w:w="6237" w:type="dxa"/>
            <w:vAlign w:val="center"/>
          </w:tcPr>
          <w:p w14:paraId="471D26F4">
            <w:pPr>
              <w:pStyle w:val="16"/>
              <w:spacing w:line="400" w:lineRule="exact"/>
              <w:rPr>
                <w:rFonts w:hAnsi="宋体"/>
                <w:b/>
                <w:color w:val="000000"/>
                <w:sz w:val="21"/>
                <w:szCs w:val="21"/>
              </w:rPr>
            </w:pPr>
            <w:r>
              <w:rPr>
                <w:rFonts w:hint="eastAsia" w:hAnsi="宋体"/>
                <w:b/>
                <w:color w:val="000000"/>
                <w:sz w:val="21"/>
                <w:szCs w:val="21"/>
              </w:rPr>
              <w:t>本项目实行网上投标，采用电子投标文件。</w:t>
            </w:r>
            <w:r>
              <w:rPr>
                <w:rFonts w:hint="eastAsia" w:hAnsi="宋体"/>
                <w:color w:val="000000"/>
                <w:sz w:val="21"/>
                <w:szCs w:val="21"/>
              </w:rPr>
              <w:t>投标文件全部采用电子文档，供应商应安装客户端软件—“政采云电子交易客户端”，并按照招标文件和政采云电子交易平台的要求编制，编制后应进行电子签名及加密。</w:t>
            </w:r>
          </w:p>
        </w:tc>
      </w:tr>
      <w:tr w14:paraId="33546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457" w:type="dxa"/>
            <w:vAlign w:val="center"/>
          </w:tcPr>
          <w:p w14:paraId="083267AD">
            <w:pPr>
              <w:pStyle w:val="16"/>
              <w:spacing w:line="400" w:lineRule="exact"/>
              <w:jc w:val="center"/>
              <w:rPr>
                <w:rFonts w:hAnsi="宋体"/>
                <w:color w:val="000000"/>
                <w:sz w:val="21"/>
                <w:szCs w:val="21"/>
              </w:rPr>
            </w:pPr>
            <w:r>
              <w:rPr>
                <w:rFonts w:hint="eastAsia" w:hAnsi="宋体"/>
                <w:color w:val="000000"/>
                <w:sz w:val="21"/>
                <w:szCs w:val="21"/>
              </w:rPr>
              <w:t>2</w:t>
            </w:r>
            <w:r>
              <w:rPr>
                <w:rFonts w:hAnsi="宋体"/>
                <w:color w:val="000000"/>
                <w:sz w:val="21"/>
                <w:szCs w:val="21"/>
              </w:rPr>
              <w:t>3</w:t>
            </w:r>
            <w:r>
              <w:rPr>
                <w:rFonts w:hint="eastAsia" w:hAnsi="宋体"/>
                <w:color w:val="000000"/>
                <w:sz w:val="21"/>
                <w:szCs w:val="21"/>
              </w:rPr>
              <w:t>.1</w:t>
            </w:r>
          </w:p>
        </w:tc>
        <w:tc>
          <w:tcPr>
            <w:tcW w:w="2126" w:type="dxa"/>
            <w:vAlign w:val="center"/>
          </w:tcPr>
          <w:p w14:paraId="10C01059">
            <w:pPr>
              <w:pStyle w:val="16"/>
              <w:spacing w:line="400" w:lineRule="exact"/>
              <w:rPr>
                <w:rFonts w:hAnsi="宋体"/>
                <w:color w:val="000000"/>
                <w:sz w:val="21"/>
                <w:szCs w:val="21"/>
              </w:rPr>
            </w:pPr>
            <w:r>
              <w:rPr>
                <w:rFonts w:hint="eastAsia" w:hAnsi="宋体"/>
                <w:color w:val="000000"/>
                <w:sz w:val="21"/>
                <w:szCs w:val="21"/>
              </w:rPr>
              <w:t>提交投标文件截止时间</w:t>
            </w:r>
          </w:p>
        </w:tc>
        <w:tc>
          <w:tcPr>
            <w:tcW w:w="6237" w:type="dxa"/>
            <w:vAlign w:val="center"/>
          </w:tcPr>
          <w:p w14:paraId="333FD829">
            <w:pPr>
              <w:pStyle w:val="16"/>
              <w:spacing w:line="400" w:lineRule="exact"/>
              <w:rPr>
                <w:rFonts w:hAnsi="宋体"/>
                <w:color w:val="000000"/>
                <w:sz w:val="21"/>
                <w:szCs w:val="21"/>
              </w:rPr>
            </w:pPr>
            <w:r>
              <w:rPr>
                <w:rFonts w:hint="eastAsia" w:hAnsi="宋体"/>
                <w:color w:val="000000"/>
                <w:sz w:val="21"/>
                <w:szCs w:val="21"/>
                <w:highlight w:val="none"/>
              </w:rPr>
              <w:t>时间：</w:t>
            </w:r>
            <w:r>
              <w:rPr>
                <w:rFonts w:hAnsi="宋体"/>
                <w:color w:val="000000"/>
                <w:sz w:val="21"/>
                <w:szCs w:val="21"/>
                <w:highlight w:val="none"/>
                <w:u w:val="single"/>
              </w:rPr>
              <w:t>202</w:t>
            </w:r>
            <w:r>
              <w:rPr>
                <w:rFonts w:hint="eastAsia" w:hAnsi="宋体"/>
                <w:color w:val="000000"/>
                <w:sz w:val="21"/>
                <w:szCs w:val="21"/>
                <w:highlight w:val="none"/>
                <w:u w:val="single"/>
              </w:rPr>
              <w:t>5</w:t>
            </w:r>
            <w:r>
              <w:rPr>
                <w:rFonts w:hAnsi="宋体"/>
                <w:color w:val="000000"/>
                <w:sz w:val="21"/>
                <w:szCs w:val="21"/>
                <w:highlight w:val="none"/>
                <w:u w:val="single"/>
              </w:rPr>
              <w:t>年</w:t>
            </w:r>
            <w:r>
              <w:rPr>
                <w:rFonts w:hint="eastAsia" w:hAnsi="宋体"/>
                <w:color w:val="000000"/>
                <w:sz w:val="21"/>
                <w:szCs w:val="21"/>
                <w:highlight w:val="none"/>
                <w:u w:val="single"/>
                <w:lang w:val="en-US" w:eastAsia="zh-CN"/>
              </w:rPr>
              <w:t>10</w:t>
            </w:r>
            <w:r>
              <w:rPr>
                <w:rFonts w:hAnsi="宋体"/>
                <w:color w:val="000000"/>
                <w:sz w:val="21"/>
                <w:szCs w:val="21"/>
                <w:highlight w:val="none"/>
                <w:u w:val="single"/>
              </w:rPr>
              <w:t>月</w:t>
            </w:r>
            <w:r>
              <w:rPr>
                <w:rFonts w:hint="eastAsia" w:hAnsi="宋体"/>
                <w:color w:val="000000"/>
                <w:sz w:val="21"/>
                <w:szCs w:val="21"/>
                <w:highlight w:val="none"/>
                <w:u w:val="single"/>
                <w:lang w:val="en-US" w:eastAsia="zh-CN"/>
              </w:rPr>
              <w:t>14</w:t>
            </w:r>
            <w:r>
              <w:rPr>
                <w:rFonts w:hAnsi="宋体"/>
                <w:color w:val="000000"/>
                <w:sz w:val="21"/>
                <w:szCs w:val="21"/>
                <w:highlight w:val="none"/>
                <w:u w:val="single"/>
              </w:rPr>
              <w:t>日</w:t>
            </w:r>
            <w:r>
              <w:rPr>
                <w:rFonts w:hint="eastAsia" w:hAnsi="宋体"/>
                <w:color w:val="000000"/>
                <w:sz w:val="21"/>
                <w:szCs w:val="21"/>
                <w:highlight w:val="none"/>
                <w:u w:val="single"/>
                <w:lang w:val="en-US" w:eastAsia="zh-CN"/>
              </w:rPr>
              <w:t>09</w:t>
            </w:r>
            <w:r>
              <w:rPr>
                <w:rFonts w:hint="eastAsia" w:hAnsi="宋体"/>
                <w:color w:val="000000"/>
                <w:sz w:val="21"/>
                <w:szCs w:val="21"/>
                <w:highlight w:val="none"/>
                <w:u w:val="single"/>
              </w:rPr>
              <w:t xml:space="preserve"> </w:t>
            </w:r>
            <w:r>
              <w:rPr>
                <w:rFonts w:hAnsi="宋体"/>
                <w:color w:val="000000"/>
                <w:sz w:val="21"/>
                <w:szCs w:val="21"/>
                <w:highlight w:val="none"/>
                <w:u w:val="single"/>
              </w:rPr>
              <w:t>时</w:t>
            </w:r>
            <w:r>
              <w:rPr>
                <w:rFonts w:hint="eastAsia" w:hAnsi="宋体"/>
                <w:color w:val="000000"/>
                <w:sz w:val="21"/>
                <w:szCs w:val="21"/>
                <w:highlight w:val="none"/>
                <w:u w:val="single"/>
                <w:lang w:val="en-US" w:eastAsia="zh-CN"/>
              </w:rPr>
              <w:t>30</w:t>
            </w:r>
            <w:r>
              <w:rPr>
                <w:rFonts w:hAnsi="宋体"/>
                <w:color w:val="000000"/>
                <w:sz w:val="21"/>
                <w:szCs w:val="21"/>
                <w:highlight w:val="none"/>
                <w:u w:val="single"/>
              </w:rPr>
              <w:t>分（北京时间）</w:t>
            </w:r>
            <w:r>
              <w:rPr>
                <w:rFonts w:hint="eastAsia" w:hAnsi="宋体"/>
                <w:color w:val="000000"/>
                <w:sz w:val="21"/>
                <w:szCs w:val="21"/>
                <w:highlight w:val="none"/>
              </w:rPr>
              <w:t>；</w:t>
            </w:r>
          </w:p>
        </w:tc>
      </w:tr>
      <w:tr w14:paraId="1454D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457" w:type="dxa"/>
            <w:vAlign w:val="center"/>
          </w:tcPr>
          <w:p w14:paraId="492849CE">
            <w:pPr>
              <w:pStyle w:val="16"/>
              <w:spacing w:line="400" w:lineRule="exact"/>
              <w:jc w:val="center"/>
              <w:rPr>
                <w:rFonts w:hAnsi="宋体"/>
                <w:color w:val="000000"/>
                <w:sz w:val="21"/>
                <w:szCs w:val="21"/>
              </w:rPr>
            </w:pPr>
            <w:r>
              <w:rPr>
                <w:rFonts w:hint="eastAsia" w:hAnsi="宋体"/>
                <w:color w:val="000000"/>
                <w:sz w:val="21"/>
                <w:szCs w:val="21"/>
              </w:rPr>
              <w:t>2</w:t>
            </w:r>
            <w:r>
              <w:rPr>
                <w:rFonts w:hAnsi="宋体"/>
                <w:color w:val="000000"/>
                <w:sz w:val="21"/>
                <w:szCs w:val="21"/>
              </w:rPr>
              <w:t>3</w:t>
            </w:r>
            <w:r>
              <w:rPr>
                <w:rFonts w:hint="eastAsia" w:hAnsi="宋体"/>
                <w:color w:val="000000"/>
                <w:sz w:val="21"/>
                <w:szCs w:val="21"/>
              </w:rPr>
              <w:t>.2</w:t>
            </w:r>
          </w:p>
        </w:tc>
        <w:tc>
          <w:tcPr>
            <w:tcW w:w="2126" w:type="dxa"/>
            <w:vAlign w:val="center"/>
          </w:tcPr>
          <w:p w14:paraId="29A4502F">
            <w:pPr>
              <w:pStyle w:val="16"/>
              <w:spacing w:line="400" w:lineRule="exact"/>
              <w:rPr>
                <w:rFonts w:hAnsi="宋体"/>
                <w:color w:val="000000"/>
                <w:sz w:val="21"/>
                <w:szCs w:val="21"/>
              </w:rPr>
            </w:pPr>
            <w:r>
              <w:rPr>
                <w:rFonts w:hint="eastAsia" w:hAnsi="宋体"/>
                <w:color w:val="000000"/>
                <w:sz w:val="21"/>
                <w:szCs w:val="21"/>
              </w:rPr>
              <w:t>提交投标文件的地点</w:t>
            </w:r>
          </w:p>
        </w:tc>
        <w:tc>
          <w:tcPr>
            <w:tcW w:w="6237" w:type="dxa"/>
            <w:vAlign w:val="center"/>
          </w:tcPr>
          <w:p w14:paraId="1FA4E794">
            <w:pPr>
              <w:pStyle w:val="16"/>
              <w:spacing w:line="400" w:lineRule="exact"/>
              <w:ind w:left="794" w:hanging="794"/>
              <w:rPr>
                <w:rFonts w:hAnsi="宋体"/>
                <w:color w:val="000000"/>
                <w:sz w:val="21"/>
                <w:szCs w:val="21"/>
                <w:u w:val="single"/>
              </w:rPr>
            </w:pPr>
            <w:r>
              <w:rPr>
                <w:rFonts w:hint="eastAsia" w:hAnsi="宋体"/>
                <w:color w:val="000000"/>
                <w:sz w:val="21"/>
                <w:szCs w:val="21"/>
              </w:rPr>
              <w:t>地点：</w:t>
            </w:r>
            <w:r>
              <w:rPr>
                <w:rFonts w:hint="eastAsia" w:hAnsi="宋体"/>
                <w:color w:val="000000"/>
                <w:sz w:val="21"/>
                <w:szCs w:val="21"/>
                <w:u w:val="single"/>
              </w:rPr>
              <w:t>政采云平台</w:t>
            </w:r>
          </w:p>
        </w:tc>
      </w:tr>
      <w:tr w14:paraId="56E00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57" w:type="dxa"/>
            <w:vAlign w:val="center"/>
          </w:tcPr>
          <w:p w14:paraId="16C9FA11">
            <w:pPr>
              <w:pStyle w:val="16"/>
              <w:spacing w:line="400" w:lineRule="exact"/>
              <w:jc w:val="center"/>
              <w:rPr>
                <w:rFonts w:hAnsi="宋体"/>
                <w:color w:val="000000"/>
                <w:sz w:val="21"/>
                <w:szCs w:val="21"/>
              </w:rPr>
            </w:pPr>
            <w:r>
              <w:rPr>
                <w:rFonts w:hint="eastAsia" w:hAnsi="宋体"/>
                <w:color w:val="000000"/>
                <w:sz w:val="21"/>
                <w:szCs w:val="21"/>
              </w:rPr>
              <w:t>2</w:t>
            </w:r>
            <w:r>
              <w:rPr>
                <w:rFonts w:hAnsi="宋体"/>
                <w:color w:val="000000"/>
                <w:sz w:val="21"/>
                <w:szCs w:val="21"/>
              </w:rPr>
              <w:t>3</w:t>
            </w:r>
            <w:r>
              <w:rPr>
                <w:rFonts w:hint="eastAsia" w:hAnsi="宋体"/>
                <w:color w:val="000000"/>
                <w:sz w:val="21"/>
                <w:szCs w:val="21"/>
              </w:rPr>
              <w:t>.3</w:t>
            </w:r>
          </w:p>
        </w:tc>
        <w:tc>
          <w:tcPr>
            <w:tcW w:w="2126" w:type="dxa"/>
            <w:vAlign w:val="center"/>
          </w:tcPr>
          <w:p w14:paraId="5D8B1014">
            <w:pPr>
              <w:pStyle w:val="16"/>
              <w:spacing w:line="400" w:lineRule="exact"/>
              <w:rPr>
                <w:rFonts w:hAnsi="宋体"/>
                <w:color w:val="000000"/>
                <w:sz w:val="21"/>
                <w:szCs w:val="21"/>
              </w:rPr>
            </w:pPr>
            <w:r>
              <w:rPr>
                <w:rFonts w:hint="eastAsia" w:hAnsi="宋体"/>
                <w:color w:val="000000"/>
                <w:sz w:val="21"/>
                <w:szCs w:val="21"/>
              </w:rPr>
              <w:t>投标文件的退还</w:t>
            </w:r>
          </w:p>
        </w:tc>
        <w:tc>
          <w:tcPr>
            <w:tcW w:w="6237" w:type="dxa"/>
            <w:vAlign w:val="center"/>
          </w:tcPr>
          <w:p w14:paraId="3AF4A80E">
            <w:pPr>
              <w:pStyle w:val="16"/>
              <w:spacing w:line="400" w:lineRule="exact"/>
              <w:rPr>
                <w:rFonts w:hAnsi="宋体"/>
                <w:color w:val="000000"/>
                <w:sz w:val="21"/>
                <w:szCs w:val="21"/>
              </w:rPr>
            </w:pPr>
            <w:r>
              <w:rPr>
                <w:rFonts w:hint="eastAsia" w:hAnsi="宋体"/>
                <w:color w:val="000000"/>
                <w:sz w:val="21"/>
                <w:szCs w:val="21"/>
              </w:rPr>
              <w:t>不予退还</w:t>
            </w:r>
          </w:p>
        </w:tc>
      </w:tr>
      <w:tr w14:paraId="378EC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457" w:type="dxa"/>
            <w:vAlign w:val="center"/>
          </w:tcPr>
          <w:p w14:paraId="6B11779A">
            <w:pPr>
              <w:pStyle w:val="16"/>
              <w:spacing w:line="400" w:lineRule="exact"/>
              <w:jc w:val="center"/>
              <w:rPr>
                <w:rFonts w:hAnsi="宋体"/>
                <w:color w:val="000000"/>
                <w:sz w:val="21"/>
                <w:szCs w:val="21"/>
              </w:rPr>
            </w:pPr>
            <w:r>
              <w:rPr>
                <w:rFonts w:hint="eastAsia" w:hAnsi="宋体"/>
                <w:color w:val="000000"/>
                <w:sz w:val="21"/>
                <w:szCs w:val="21"/>
              </w:rPr>
              <w:t>2</w:t>
            </w:r>
            <w:r>
              <w:rPr>
                <w:rFonts w:hAnsi="宋体"/>
                <w:color w:val="000000"/>
                <w:sz w:val="21"/>
                <w:szCs w:val="21"/>
              </w:rPr>
              <w:t>4</w:t>
            </w:r>
            <w:r>
              <w:rPr>
                <w:rFonts w:hint="eastAsia" w:hAnsi="宋体"/>
                <w:color w:val="000000"/>
                <w:sz w:val="21"/>
                <w:szCs w:val="21"/>
              </w:rPr>
              <w:t>.1</w:t>
            </w:r>
          </w:p>
        </w:tc>
        <w:tc>
          <w:tcPr>
            <w:tcW w:w="2126" w:type="dxa"/>
            <w:vAlign w:val="center"/>
          </w:tcPr>
          <w:p w14:paraId="18263E4B">
            <w:pPr>
              <w:pStyle w:val="16"/>
              <w:spacing w:line="400" w:lineRule="exact"/>
              <w:rPr>
                <w:rFonts w:hAnsi="宋体"/>
                <w:color w:val="000000"/>
                <w:sz w:val="21"/>
                <w:szCs w:val="21"/>
              </w:rPr>
            </w:pPr>
            <w:r>
              <w:rPr>
                <w:rFonts w:hint="eastAsia" w:hAnsi="宋体"/>
                <w:color w:val="000000"/>
                <w:sz w:val="21"/>
                <w:szCs w:val="21"/>
              </w:rPr>
              <w:t>开标时间和地点</w:t>
            </w:r>
          </w:p>
        </w:tc>
        <w:tc>
          <w:tcPr>
            <w:tcW w:w="6237" w:type="dxa"/>
            <w:vAlign w:val="center"/>
          </w:tcPr>
          <w:p w14:paraId="0E3073BA">
            <w:pPr>
              <w:pStyle w:val="16"/>
              <w:spacing w:line="400" w:lineRule="exact"/>
              <w:rPr>
                <w:rFonts w:hAnsi="宋体"/>
                <w:color w:val="000000"/>
                <w:sz w:val="21"/>
                <w:szCs w:val="21"/>
              </w:rPr>
            </w:pPr>
            <w:r>
              <w:rPr>
                <w:rFonts w:hint="eastAsia" w:hAnsi="宋体"/>
                <w:color w:val="000000"/>
                <w:sz w:val="21"/>
                <w:szCs w:val="21"/>
              </w:rPr>
              <w:t>时间：</w:t>
            </w:r>
            <w:r>
              <w:rPr>
                <w:rFonts w:hint="eastAsia" w:hAnsi="宋体"/>
                <w:color w:val="000000"/>
                <w:sz w:val="21"/>
                <w:szCs w:val="21"/>
                <w:u w:val="single"/>
              </w:rPr>
              <w:t>同“提交投标文件截止时间”；</w:t>
            </w:r>
          </w:p>
          <w:p w14:paraId="73D46E0D">
            <w:pPr>
              <w:pStyle w:val="16"/>
              <w:spacing w:line="400" w:lineRule="exact"/>
              <w:rPr>
                <w:rFonts w:hAnsi="宋体"/>
                <w:color w:val="000000"/>
                <w:sz w:val="21"/>
                <w:szCs w:val="21"/>
              </w:rPr>
            </w:pPr>
            <w:r>
              <w:rPr>
                <w:rFonts w:hint="eastAsia" w:hAnsi="宋体"/>
                <w:color w:val="000000"/>
                <w:sz w:val="21"/>
                <w:szCs w:val="21"/>
              </w:rPr>
              <w:t>地点：</w:t>
            </w:r>
            <w:r>
              <w:rPr>
                <w:rFonts w:hint="eastAsia" w:hAnsi="宋体"/>
                <w:color w:val="000000"/>
                <w:sz w:val="21"/>
                <w:szCs w:val="21"/>
                <w:u w:val="single"/>
              </w:rPr>
              <w:t>同“提交投标文件的地点”</w:t>
            </w:r>
            <w:r>
              <w:rPr>
                <w:rFonts w:hint="eastAsia" w:hAnsi="宋体"/>
                <w:color w:val="000000"/>
                <w:sz w:val="21"/>
                <w:szCs w:val="21"/>
              </w:rPr>
              <w:t>；</w:t>
            </w:r>
          </w:p>
        </w:tc>
      </w:tr>
      <w:tr w14:paraId="51303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57" w:type="dxa"/>
            <w:vAlign w:val="center"/>
          </w:tcPr>
          <w:p w14:paraId="7C6E8D2D">
            <w:pPr>
              <w:pStyle w:val="16"/>
              <w:spacing w:line="400" w:lineRule="exact"/>
              <w:jc w:val="center"/>
              <w:rPr>
                <w:rFonts w:hAnsi="宋体"/>
                <w:color w:val="000000"/>
                <w:sz w:val="21"/>
                <w:szCs w:val="21"/>
              </w:rPr>
            </w:pPr>
            <w:r>
              <w:rPr>
                <w:rFonts w:hint="eastAsia" w:hAnsi="宋体"/>
                <w:color w:val="000000"/>
                <w:sz w:val="21"/>
                <w:szCs w:val="21"/>
              </w:rPr>
              <w:t>26.3</w:t>
            </w:r>
          </w:p>
        </w:tc>
        <w:tc>
          <w:tcPr>
            <w:tcW w:w="2126" w:type="dxa"/>
            <w:vAlign w:val="center"/>
          </w:tcPr>
          <w:p w14:paraId="382AE3D8">
            <w:pPr>
              <w:pStyle w:val="16"/>
              <w:spacing w:line="400" w:lineRule="exact"/>
              <w:rPr>
                <w:rFonts w:hAnsi="宋体"/>
                <w:color w:val="000000"/>
                <w:sz w:val="21"/>
                <w:szCs w:val="21"/>
              </w:rPr>
            </w:pPr>
            <w:r>
              <w:rPr>
                <w:rFonts w:hint="eastAsia" w:hAnsi="宋体"/>
                <w:color w:val="000000"/>
                <w:sz w:val="21"/>
                <w:szCs w:val="21"/>
              </w:rPr>
              <w:t>评标方法</w:t>
            </w:r>
          </w:p>
        </w:tc>
        <w:tc>
          <w:tcPr>
            <w:tcW w:w="6237" w:type="dxa"/>
            <w:vAlign w:val="center"/>
          </w:tcPr>
          <w:p w14:paraId="6073AFE8">
            <w:pPr>
              <w:spacing w:line="400" w:lineRule="exact"/>
              <w:rPr>
                <w:rFonts w:ascii="宋体" w:hAnsi="宋体"/>
                <w:color w:val="000000"/>
                <w:sz w:val="21"/>
                <w:szCs w:val="21"/>
              </w:rPr>
            </w:pPr>
            <w:r>
              <w:rPr>
                <w:rFonts w:hint="eastAsia" w:ascii="宋体" w:hAnsi="宋体"/>
                <w:color w:val="000000"/>
                <w:sz w:val="21"/>
                <w:szCs w:val="21"/>
              </w:rPr>
              <w:t>综合评分法</w:t>
            </w:r>
          </w:p>
        </w:tc>
      </w:tr>
      <w:tr w14:paraId="1D845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1457" w:type="dxa"/>
            <w:vAlign w:val="center"/>
          </w:tcPr>
          <w:p w14:paraId="423AD407">
            <w:pPr>
              <w:pStyle w:val="16"/>
              <w:spacing w:line="400" w:lineRule="exact"/>
              <w:jc w:val="center"/>
              <w:rPr>
                <w:rFonts w:hAnsi="宋体"/>
                <w:color w:val="000000"/>
                <w:sz w:val="21"/>
                <w:szCs w:val="21"/>
              </w:rPr>
            </w:pPr>
            <w:r>
              <w:rPr>
                <w:rFonts w:hAnsi="宋体"/>
                <w:color w:val="000000"/>
                <w:sz w:val="21"/>
                <w:szCs w:val="21"/>
              </w:rPr>
              <w:t>3</w:t>
            </w:r>
            <w:r>
              <w:rPr>
                <w:rFonts w:hint="eastAsia" w:hAnsi="宋体"/>
                <w:color w:val="000000"/>
                <w:sz w:val="21"/>
                <w:szCs w:val="21"/>
              </w:rPr>
              <w:t>1.1</w:t>
            </w:r>
          </w:p>
        </w:tc>
        <w:tc>
          <w:tcPr>
            <w:tcW w:w="2126" w:type="dxa"/>
            <w:vAlign w:val="center"/>
          </w:tcPr>
          <w:p w14:paraId="65E4E1C3">
            <w:pPr>
              <w:pStyle w:val="16"/>
              <w:spacing w:line="400" w:lineRule="exact"/>
              <w:rPr>
                <w:rFonts w:hAnsi="宋体"/>
                <w:b/>
                <w:sz w:val="21"/>
                <w:szCs w:val="21"/>
                <w:highlight w:val="yellow"/>
              </w:rPr>
            </w:pPr>
            <w:r>
              <w:rPr>
                <w:rFonts w:hint="eastAsia" w:hAnsi="宋体"/>
                <w:b/>
                <w:bCs/>
                <w:sz w:val="21"/>
                <w:szCs w:val="21"/>
              </w:rPr>
              <w:t>履约</w:t>
            </w:r>
            <w:r>
              <w:rPr>
                <w:rFonts w:hAnsi="宋体"/>
                <w:b/>
                <w:bCs/>
                <w:sz w:val="21"/>
                <w:szCs w:val="21"/>
              </w:rPr>
              <w:t>保证金</w:t>
            </w:r>
          </w:p>
        </w:tc>
        <w:tc>
          <w:tcPr>
            <w:tcW w:w="6237" w:type="dxa"/>
            <w:vAlign w:val="center"/>
          </w:tcPr>
          <w:p w14:paraId="18B5F226">
            <w:pPr>
              <w:pStyle w:val="16"/>
              <w:spacing w:line="400" w:lineRule="exact"/>
              <w:rPr>
                <w:rFonts w:hAnsi="宋体"/>
                <w:sz w:val="21"/>
                <w:szCs w:val="21"/>
              </w:rPr>
            </w:pPr>
            <w:r>
              <w:rPr>
                <w:rFonts w:hint="eastAsia" w:hAnsi="宋体"/>
                <w:sz w:val="21"/>
                <w:szCs w:val="21"/>
              </w:rPr>
              <w:t>合同金额的5%</w:t>
            </w:r>
          </w:p>
        </w:tc>
      </w:tr>
      <w:tr w14:paraId="14BA1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1457" w:type="dxa"/>
            <w:vAlign w:val="center"/>
          </w:tcPr>
          <w:p w14:paraId="7914DB7D">
            <w:pPr>
              <w:pStyle w:val="16"/>
              <w:spacing w:line="400" w:lineRule="exact"/>
              <w:jc w:val="center"/>
              <w:rPr>
                <w:rFonts w:hAnsi="宋体"/>
                <w:color w:val="000000"/>
                <w:sz w:val="21"/>
                <w:szCs w:val="21"/>
              </w:rPr>
            </w:pPr>
            <w:r>
              <w:rPr>
                <w:rFonts w:hint="eastAsia" w:hAnsi="宋体"/>
                <w:sz w:val="21"/>
                <w:szCs w:val="21"/>
              </w:rPr>
              <w:t>32.1</w:t>
            </w:r>
          </w:p>
        </w:tc>
        <w:tc>
          <w:tcPr>
            <w:tcW w:w="2126" w:type="dxa"/>
            <w:vAlign w:val="center"/>
          </w:tcPr>
          <w:p w14:paraId="30353A0E">
            <w:pPr>
              <w:pStyle w:val="16"/>
              <w:spacing w:line="400" w:lineRule="exact"/>
              <w:rPr>
                <w:rFonts w:hAnsi="宋体"/>
                <w:b/>
                <w:bCs/>
                <w:sz w:val="21"/>
                <w:szCs w:val="21"/>
              </w:rPr>
            </w:pPr>
            <w:r>
              <w:rPr>
                <w:rFonts w:hint="eastAsia" w:hAnsi="宋体"/>
                <w:sz w:val="21"/>
                <w:szCs w:val="21"/>
              </w:rPr>
              <w:t>采购代理服务费</w:t>
            </w:r>
          </w:p>
        </w:tc>
        <w:tc>
          <w:tcPr>
            <w:tcW w:w="6237" w:type="dxa"/>
            <w:vAlign w:val="center"/>
          </w:tcPr>
          <w:p w14:paraId="0500F771">
            <w:pPr>
              <w:spacing w:line="400" w:lineRule="exact"/>
              <w:rPr>
                <w:rFonts w:ascii="宋体" w:hAnsi="宋体"/>
                <w:sz w:val="21"/>
                <w:szCs w:val="21"/>
              </w:rPr>
            </w:pPr>
            <w:r>
              <w:rPr>
                <w:rFonts w:hint="eastAsia" w:ascii="宋体" w:hAnsi="宋体"/>
                <w:sz w:val="21"/>
                <w:szCs w:val="21"/>
              </w:rPr>
              <w:t>1.本项目采购代理服务费由中标供应商支付，中标供应商收到中标通知书的同时，应向采购代理机构缴付采购代理服务费；</w:t>
            </w:r>
          </w:p>
          <w:p w14:paraId="1121610D">
            <w:pPr>
              <w:spacing w:line="400" w:lineRule="exact"/>
              <w:rPr>
                <w:rFonts w:ascii="宋体" w:hAnsi="宋体"/>
                <w:sz w:val="21"/>
                <w:szCs w:val="21"/>
              </w:rPr>
            </w:pPr>
            <w:r>
              <w:rPr>
                <w:rFonts w:hint="eastAsia" w:ascii="宋体" w:hAnsi="宋体"/>
                <w:sz w:val="21"/>
                <w:szCs w:val="21"/>
              </w:rPr>
              <w:t>2.采购代理服务费参照“国家计委关于印发《招标代理服务收费管理暂行办法》的通知（计价格[2002]1980号）” 及“国家发展改革委办公厅关于招标代理服务收费有关问题的通知(发改办价格[2003]857号)”规定的标准计算，以</w:t>
            </w:r>
            <w:r>
              <w:rPr>
                <w:rFonts w:hint="eastAsia" w:ascii="宋体" w:hAnsi="宋体"/>
                <w:sz w:val="21"/>
                <w:szCs w:val="21"/>
                <w:highlight w:val="none"/>
                <w:lang w:val="en-US" w:eastAsia="zh-CN"/>
              </w:rPr>
              <w:t>中标</w:t>
            </w:r>
            <w:r>
              <w:rPr>
                <w:rFonts w:hint="eastAsia" w:ascii="宋体" w:hAnsi="宋体"/>
                <w:sz w:val="21"/>
                <w:szCs w:val="21"/>
              </w:rPr>
              <w:t>金额作为收费的计算基数，向中标单位收取；</w:t>
            </w:r>
          </w:p>
          <w:p w14:paraId="4894EFA3">
            <w:pPr>
              <w:pStyle w:val="16"/>
              <w:spacing w:line="400" w:lineRule="exact"/>
              <w:rPr>
                <w:rFonts w:hAnsi="宋体"/>
                <w:sz w:val="21"/>
                <w:szCs w:val="21"/>
              </w:rPr>
            </w:pPr>
            <w:r>
              <w:rPr>
                <w:rFonts w:hint="eastAsia" w:hAnsi="宋体"/>
                <w:sz w:val="21"/>
                <w:szCs w:val="21"/>
              </w:rPr>
              <w:t>3.账户名称：云南招标股份有限公司，开户银行：中国工商银行股份有限公司昆明西市区支行，账号：2502016009024543511。</w:t>
            </w:r>
          </w:p>
        </w:tc>
      </w:tr>
      <w:tr w14:paraId="3805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57" w:type="dxa"/>
            <w:vAlign w:val="center"/>
          </w:tcPr>
          <w:p w14:paraId="422D40C4">
            <w:pPr>
              <w:pStyle w:val="16"/>
              <w:spacing w:line="400" w:lineRule="exact"/>
              <w:jc w:val="center"/>
              <w:rPr>
                <w:rFonts w:hAnsi="宋体"/>
                <w:color w:val="000000"/>
                <w:sz w:val="21"/>
                <w:szCs w:val="21"/>
              </w:rPr>
            </w:pPr>
            <w:r>
              <w:rPr>
                <w:rFonts w:hint="eastAsia" w:hAnsi="宋体"/>
                <w:color w:val="000000"/>
                <w:sz w:val="21"/>
                <w:szCs w:val="21"/>
              </w:rPr>
              <w:t xml:space="preserve"> 34.1</w:t>
            </w:r>
          </w:p>
        </w:tc>
        <w:tc>
          <w:tcPr>
            <w:tcW w:w="2126" w:type="dxa"/>
            <w:vAlign w:val="center"/>
          </w:tcPr>
          <w:p w14:paraId="5D1A8541">
            <w:pPr>
              <w:pStyle w:val="16"/>
              <w:spacing w:line="400" w:lineRule="exact"/>
              <w:rPr>
                <w:rFonts w:hAnsi="宋体"/>
                <w:color w:val="000000"/>
                <w:sz w:val="21"/>
                <w:szCs w:val="21"/>
              </w:rPr>
            </w:pPr>
            <w:r>
              <w:rPr>
                <w:rFonts w:hint="eastAsia" w:hAnsi="宋体"/>
                <w:color w:val="000000"/>
                <w:sz w:val="21"/>
                <w:szCs w:val="21"/>
              </w:rPr>
              <w:t>备选方案</w:t>
            </w:r>
          </w:p>
        </w:tc>
        <w:tc>
          <w:tcPr>
            <w:tcW w:w="6237" w:type="dxa"/>
            <w:vAlign w:val="center"/>
          </w:tcPr>
          <w:p w14:paraId="5D76F796">
            <w:pPr>
              <w:pStyle w:val="16"/>
              <w:spacing w:line="400" w:lineRule="exact"/>
              <w:rPr>
                <w:rFonts w:hAnsi="宋体"/>
                <w:color w:val="000000"/>
                <w:sz w:val="21"/>
                <w:szCs w:val="21"/>
              </w:rPr>
            </w:pPr>
            <w:r>
              <w:rPr>
                <w:rFonts w:hint="eastAsia" w:hAnsi="宋体"/>
                <w:color w:val="000000"/>
                <w:sz w:val="21"/>
                <w:szCs w:val="21"/>
              </w:rPr>
              <w:t>不接受</w:t>
            </w:r>
          </w:p>
        </w:tc>
      </w:tr>
      <w:tr w14:paraId="2958B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57" w:type="dxa"/>
            <w:vAlign w:val="center"/>
          </w:tcPr>
          <w:p w14:paraId="37EA41DE">
            <w:pPr>
              <w:pStyle w:val="16"/>
              <w:spacing w:line="400" w:lineRule="exact"/>
              <w:jc w:val="center"/>
              <w:rPr>
                <w:rFonts w:hAnsi="宋体"/>
                <w:color w:val="000000"/>
                <w:sz w:val="21"/>
                <w:szCs w:val="21"/>
              </w:rPr>
            </w:pPr>
            <w:r>
              <w:rPr>
                <w:rFonts w:hint="eastAsia" w:hAnsi="宋体"/>
                <w:color w:val="000000"/>
                <w:sz w:val="21"/>
                <w:szCs w:val="21"/>
              </w:rPr>
              <w:t>34.2</w:t>
            </w:r>
          </w:p>
        </w:tc>
        <w:tc>
          <w:tcPr>
            <w:tcW w:w="8363" w:type="dxa"/>
            <w:gridSpan w:val="2"/>
            <w:vAlign w:val="center"/>
          </w:tcPr>
          <w:p w14:paraId="30EDAED3">
            <w:pPr>
              <w:pStyle w:val="16"/>
              <w:spacing w:line="400" w:lineRule="exact"/>
              <w:jc w:val="left"/>
              <w:rPr>
                <w:rFonts w:hAnsi="宋体"/>
                <w:color w:val="000000"/>
                <w:sz w:val="21"/>
                <w:szCs w:val="21"/>
              </w:rPr>
            </w:pPr>
            <w:r>
              <w:rPr>
                <w:rFonts w:hint="eastAsia" w:hAnsi="宋体"/>
                <w:color w:val="000000"/>
                <w:sz w:val="21"/>
                <w:szCs w:val="21"/>
              </w:rPr>
              <w:t>需要补充的其他内容</w:t>
            </w:r>
          </w:p>
        </w:tc>
      </w:tr>
      <w:tr w14:paraId="7072F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57" w:type="dxa"/>
            <w:vAlign w:val="center"/>
          </w:tcPr>
          <w:p w14:paraId="4AAF237F">
            <w:pPr>
              <w:pStyle w:val="16"/>
              <w:spacing w:line="400" w:lineRule="exact"/>
              <w:jc w:val="center"/>
              <w:rPr>
                <w:rFonts w:hAnsi="宋体"/>
                <w:color w:val="000000"/>
                <w:sz w:val="21"/>
                <w:szCs w:val="21"/>
              </w:rPr>
            </w:pPr>
            <w:r>
              <w:rPr>
                <w:rFonts w:hint="eastAsia" w:hAnsi="宋体"/>
                <w:color w:val="000000"/>
                <w:sz w:val="21"/>
                <w:szCs w:val="21"/>
              </w:rPr>
              <w:t>1）</w:t>
            </w:r>
          </w:p>
        </w:tc>
        <w:tc>
          <w:tcPr>
            <w:tcW w:w="8363" w:type="dxa"/>
            <w:gridSpan w:val="2"/>
            <w:vAlign w:val="center"/>
          </w:tcPr>
          <w:p w14:paraId="3BF19AC6">
            <w:pPr>
              <w:spacing w:line="400" w:lineRule="exact"/>
              <w:rPr>
                <w:rFonts w:ascii="宋体" w:hAnsi="宋体"/>
                <w:color w:val="000000"/>
                <w:sz w:val="21"/>
                <w:szCs w:val="21"/>
              </w:rPr>
            </w:pPr>
            <w:r>
              <w:rPr>
                <w:rFonts w:hint="eastAsia" w:ascii="宋体" w:hAnsi="宋体"/>
                <w:color w:val="000000"/>
                <w:sz w:val="21"/>
                <w:szCs w:val="21"/>
              </w:rPr>
              <w:t>省级政府采购中标人须知：</w:t>
            </w:r>
          </w:p>
          <w:p w14:paraId="3ECB7D64">
            <w:pPr>
              <w:spacing w:line="400" w:lineRule="exact"/>
              <w:rPr>
                <w:rFonts w:ascii="宋体" w:hAnsi="宋体"/>
                <w:color w:val="000000"/>
                <w:sz w:val="21"/>
                <w:szCs w:val="21"/>
              </w:rPr>
            </w:pPr>
            <w:r>
              <w:rPr>
                <w:rFonts w:hint="eastAsia" w:ascii="宋体" w:hAnsi="宋体"/>
                <w:color w:val="000000"/>
                <w:sz w:val="21"/>
                <w:szCs w:val="21"/>
              </w:rPr>
              <w:t>中标人在《云南省政府采购网》查询到中标公示后，需办理以下事宜：</w:t>
            </w:r>
          </w:p>
          <w:p w14:paraId="1F96288B">
            <w:pPr>
              <w:spacing w:line="400" w:lineRule="exact"/>
              <w:rPr>
                <w:rFonts w:ascii="宋体" w:hAnsi="宋体"/>
                <w:color w:val="000000"/>
                <w:sz w:val="21"/>
                <w:szCs w:val="21"/>
              </w:rPr>
            </w:pPr>
            <w:r>
              <w:rPr>
                <w:rFonts w:hint="eastAsia" w:ascii="宋体" w:hAnsi="宋体"/>
                <w:color w:val="000000"/>
                <w:sz w:val="21"/>
                <w:szCs w:val="21"/>
              </w:rPr>
              <w:t>1、缴纳代理服务费用；</w:t>
            </w:r>
          </w:p>
          <w:p w14:paraId="5E9E0D59">
            <w:pPr>
              <w:spacing w:line="400" w:lineRule="exact"/>
              <w:rPr>
                <w:rFonts w:ascii="宋体" w:hAnsi="宋体"/>
                <w:color w:val="000000"/>
                <w:sz w:val="21"/>
                <w:szCs w:val="21"/>
              </w:rPr>
            </w:pPr>
            <w:r>
              <w:rPr>
                <w:rFonts w:ascii="宋体" w:hAnsi="宋体"/>
                <w:color w:val="000000"/>
                <w:sz w:val="21"/>
                <w:szCs w:val="21"/>
              </w:rPr>
              <w:t>2</w:t>
            </w:r>
            <w:r>
              <w:rPr>
                <w:rFonts w:hint="eastAsia" w:ascii="宋体" w:hAnsi="宋体"/>
                <w:color w:val="000000"/>
                <w:sz w:val="21"/>
                <w:szCs w:val="21"/>
              </w:rPr>
              <w:t>、领取中标通知书，并与采购人联系、洽谈采购合同。</w:t>
            </w:r>
          </w:p>
        </w:tc>
      </w:tr>
      <w:tr w14:paraId="6374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57" w:type="dxa"/>
            <w:vAlign w:val="center"/>
          </w:tcPr>
          <w:p w14:paraId="05E07235">
            <w:pPr>
              <w:pStyle w:val="16"/>
              <w:spacing w:line="400" w:lineRule="exact"/>
              <w:jc w:val="center"/>
              <w:rPr>
                <w:rFonts w:hAnsi="宋体"/>
                <w:color w:val="000000"/>
                <w:sz w:val="21"/>
                <w:szCs w:val="21"/>
              </w:rPr>
            </w:pPr>
            <w:r>
              <w:rPr>
                <w:rFonts w:hint="eastAsia" w:hAnsi="宋体"/>
                <w:color w:val="000000"/>
                <w:sz w:val="21"/>
                <w:szCs w:val="21"/>
              </w:rPr>
              <w:t>2）</w:t>
            </w:r>
          </w:p>
        </w:tc>
        <w:tc>
          <w:tcPr>
            <w:tcW w:w="8363" w:type="dxa"/>
            <w:gridSpan w:val="2"/>
            <w:vAlign w:val="center"/>
          </w:tcPr>
          <w:p w14:paraId="0E8A1C85">
            <w:pPr>
              <w:spacing w:line="400" w:lineRule="exact"/>
              <w:rPr>
                <w:rFonts w:ascii="宋体" w:hAnsi="宋体"/>
                <w:color w:val="000000"/>
                <w:sz w:val="21"/>
                <w:szCs w:val="21"/>
              </w:rPr>
            </w:pPr>
            <w:r>
              <w:rPr>
                <w:rFonts w:hint="eastAsia" w:ascii="宋体" w:hAnsi="宋体"/>
                <w:b/>
                <w:bCs/>
                <w:color w:val="000000"/>
                <w:sz w:val="21"/>
                <w:szCs w:val="21"/>
              </w:rPr>
              <w:t>投标文件的解密：（1）采购代理机构依托电子交易平台发起开始解密指令，投标人须使用加密时所用的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分钟内完成对电子投标文件在线解密；投标文件未按时解密的，视为撤回投标文件。</w:t>
            </w:r>
          </w:p>
        </w:tc>
      </w:tr>
    </w:tbl>
    <w:p w14:paraId="143B4895">
      <w:pPr>
        <w:pStyle w:val="4"/>
        <w:numPr>
          <w:ilvl w:val="0"/>
          <w:numId w:val="0"/>
        </w:numPr>
        <w:jc w:val="center"/>
        <w:rPr>
          <w:rFonts w:ascii="宋体" w:hAnsi="宋体" w:eastAsia="宋体"/>
          <w:b w:val="0"/>
          <w:color w:val="000000"/>
          <w:kern w:val="44"/>
          <w:sz w:val="36"/>
        </w:rPr>
      </w:pPr>
      <w:r>
        <w:rPr>
          <w:rFonts w:ascii="宋体" w:hAnsi="宋体" w:eastAsia="宋体"/>
          <w:color w:val="000000"/>
        </w:rPr>
        <w:br w:type="page"/>
      </w:r>
      <w:bookmarkStart w:id="42" w:name="_Toc70446104"/>
      <w:bookmarkStart w:id="43" w:name="_Toc152246143"/>
      <w:r>
        <w:rPr>
          <w:rFonts w:hint="eastAsia" w:ascii="宋体" w:hAnsi="宋体" w:eastAsia="宋体"/>
          <w:color w:val="000000"/>
          <w:sz w:val="30"/>
          <w:szCs w:val="30"/>
        </w:rPr>
        <w:t>一</w:t>
      </w:r>
      <w:r>
        <w:rPr>
          <w:rFonts w:hint="eastAsia" w:ascii="宋体" w:hAnsi="宋体" w:eastAsia="宋体"/>
          <w:b w:val="0"/>
          <w:color w:val="000000"/>
          <w:kern w:val="44"/>
          <w:sz w:val="36"/>
        </w:rPr>
        <w:t>、总  则</w:t>
      </w:r>
      <w:bookmarkEnd w:id="42"/>
      <w:bookmarkEnd w:id="43"/>
    </w:p>
    <w:p w14:paraId="415C4290">
      <w:pPr>
        <w:pStyle w:val="16"/>
        <w:spacing w:line="360" w:lineRule="auto"/>
        <w:ind w:left="242" w:hanging="242" w:hangingChars="101"/>
        <w:jc w:val="left"/>
        <w:rPr>
          <w:rFonts w:hAnsi="宋体"/>
          <w:color w:val="000000"/>
          <w:sz w:val="24"/>
          <w:szCs w:val="24"/>
        </w:rPr>
      </w:pPr>
      <w:r>
        <w:rPr>
          <w:rFonts w:hint="eastAsia" w:hAnsi="宋体"/>
          <w:bCs/>
          <w:color w:val="000000"/>
          <w:sz w:val="24"/>
          <w:szCs w:val="24"/>
        </w:rPr>
        <w:t>1. 采购人、采购代理机构、</w:t>
      </w:r>
      <w:r>
        <w:rPr>
          <w:rFonts w:hint="eastAsia" w:hAnsi="宋体"/>
          <w:color w:val="000000"/>
          <w:sz w:val="24"/>
          <w:szCs w:val="24"/>
        </w:rPr>
        <w:t>项目名称及招标编号，详见招标文件“</w:t>
      </w:r>
      <w:r>
        <w:rPr>
          <w:rFonts w:hint="eastAsia" w:hAnsi="宋体"/>
          <w:b/>
          <w:color w:val="000000"/>
          <w:sz w:val="24"/>
          <w:szCs w:val="24"/>
        </w:rPr>
        <w:t>投标人须知前附表</w:t>
      </w:r>
      <w:r>
        <w:rPr>
          <w:rFonts w:hint="eastAsia" w:hAnsi="宋体"/>
          <w:color w:val="000000"/>
          <w:sz w:val="24"/>
          <w:szCs w:val="24"/>
        </w:rPr>
        <w:t>”。</w:t>
      </w:r>
    </w:p>
    <w:p w14:paraId="0B725E44">
      <w:pPr>
        <w:spacing w:line="360" w:lineRule="auto"/>
        <w:jc w:val="left"/>
        <w:rPr>
          <w:rFonts w:ascii="宋体" w:hAnsi="宋体"/>
          <w:b/>
          <w:color w:val="000000"/>
          <w:sz w:val="24"/>
        </w:rPr>
      </w:pPr>
      <w:r>
        <w:rPr>
          <w:rFonts w:hint="eastAsia" w:ascii="宋体" w:hAnsi="宋体"/>
          <w:b/>
          <w:color w:val="000000"/>
          <w:sz w:val="24"/>
        </w:rPr>
        <w:t>2. 资金来源</w:t>
      </w:r>
    </w:p>
    <w:p w14:paraId="3D9702E9">
      <w:pPr>
        <w:spacing w:line="360" w:lineRule="auto"/>
        <w:jc w:val="left"/>
        <w:rPr>
          <w:rFonts w:ascii="宋体" w:hAnsi="宋体"/>
          <w:color w:val="000000"/>
          <w:sz w:val="24"/>
        </w:rPr>
      </w:pPr>
      <w:r>
        <w:rPr>
          <w:rFonts w:hint="eastAsia" w:ascii="宋体" w:hAnsi="宋体"/>
          <w:color w:val="000000"/>
          <w:sz w:val="24"/>
        </w:rPr>
        <w:t>2.1“</w:t>
      </w:r>
      <w:r>
        <w:rPr>
          <w:rFonts w:hint="eastAsia" w:ascii="宋体" w:hAnsi="宋体"/>
          <w:b/>
          <w:color w:val="000000"/>
          <w:sz w:val="24"/>
        </w:rPr>
        <w:t>投标人须知前附表</w:t>
      </w:r>
      <w:r>
        <w:rPr>
          <w:rFonts w:hint="eastAsia" w:ascii="宋体" w:hAnsi="宋体"/>
          <w:color w:val="000000"/>
          <w:sz w:val="24"/>
        </w:rPr>
        <w:t>”中所述的采购人财政资金，用于采购“</w:t>
      </w:r>
      <w:r>
        <w:rPr>
          <w:rFonts w:hint="eastAsia" w:ascii="宋体" w:hAnsi="宋体"/>
          <w:b/>
          <w:color w:val="000000"/>
          <w:sz w:val="24"/>
        </w:rPr>
        <w:t>项目需求及</w:t>
      </w:r>
      <w:r>
        <w:rPr>
          <w:rFonts w:ascii="宋体" w:hAnsi="宋体"/>
          <w:b/>
          <w:color w:val="000000"/>
          <w:sz w:val="24"/>
        </w:rPr>
        <w:t>服务要求</w:t>
      </w:r>
      <w:r>
        <w:rPr>
          <w:rFonts w:hint="eastAsia" w:ascii="宋体" w:hAnsi="宋体"/>
          <w:color w:val="000000"/>
          <w:sz w:val="24"/>
        </w:rPr>
        <w:t>”所列内容。</w:t>
      </w:r>
    </w:p>
    <w:p w14:paraId="655784ED">
      <w:pPr>
        <w:spacing w:line="360" w:lineRule="auto"/>
        <w:jc w:val="left"/>
        <w:rPr>
          <w:rFonts w:ascii="宋体" w:hAnsi="宋体"/>
          <w:b/>
          <w:color w:val="000000"/>
          <w:sz w:val="24"/>
        </w:rPr>
      </w:pPr>
      <w:r>
        <w:rPr>
          <w:rFonts w:hint="eastAsia" w:ascii="宋体" w:hAnsi="宋体"/>
          <w:b/>
          <w:color w:val="000000"/>
          <w:sz w:val="24"/>
        </w:rPr>
        <w:t>3. 招标范围</w:t>
      </w:r>
    </w:p>
    <w:p w14:paraId="69936198">
      <w:pPr>
        <w:spacing w:line="360" w:lineRule="auto"/>
        <w:jc w:val="left"/>
        <w:rPr>
          <w:rFonts w:ascii="宋体" w:hAnsi="宋体"/>
          <w:color w:val="000000"/>
          <w:sz w:val="24"/>
        </w:rPr>
      </w:pPr>
      <w:r>
        <w:rPr>
          <w:rFonts w:hint="eastAsia" w:ascii="宋体" w:hAnsi="宋体"/>
          <w:color w:val="000000"/>
          <w:sz w:val="24"/>
        </w:rPr>
        <w:t>3.1 本项目招标范围：见“</w:t>
      </w:r>
      <w:r>
        <w:rPr>
          <w:rFonts w:hint="eastAsia" w:ascii="宋体" w:hAnsi="宋体"/>
          <w:b/>
          <w:color w:val="000000"/>
          <w:sz w:val="24"/>
        </w:rPr>
        <w:t>投标人须知前附表</w:t>
      </w:r>
      <w:r>
        <w:rPr>
          <w:rFonts w:hint="eastAsia" w:ascii="宋体" w:hAnsi="宋体"/>
          <w:color w:val="000000"/>
          <w:sz w:val="24"/>
        </w:rPr>
        <w:t>”。</w:t>
      </w:r>
    </w:p>
    <w:p w14:paraId="5613FAD4">
      <w:pPr>
        <w:spacing w:line="360" w:lineRule="auto"/>
        <w:jc w:val="left"/>
        <w:rPr>
          <w:rFonts w:ascii="宋体" w:hAnsi="宋体"/>
          <w:color w:val="000000"/>
          <w:sz w:val="24"/>
        </w:rPr>
      </w:pPr>
      <w:r>
        <w:rPr>
          <w:rFonts w:hint="eastAsia" w:ascii="宋体" w:hAnsi="宋体"/>
          <w:color w:val="000000"/>
          <w:sz w:val="24"/>
        </w:rPr>
        <w:t>3.2 本项目合同履行期限、服务地点：见“</w:t>
      </w:r>
      <w:r>
        <w:rPr>
          <w:rFonts w:hint="eastAsia" w:ascii="宋体" w:hAnsi="宋体"/>
          <w:b/>
          <w:color w:val="000000"/>
          <w:sz w:val="24"/>
        </w:rPr>
        <w:t>投标人须知前附表</w:t>
      </w:r>
      <w:r>
        <w:rPr>
          <w:rFonts w:hint="eastAsia" w:ascii="宋体" w:hAnsi="宋体"/>
          <w:color w:val="000000"/>
          <w:sz w:val="24"/>
        </w:rPr>
        <w:t>”。</w:t>
      </w:r>
    </w:p>
    <w:p w14:paraId="578A8575">
      <w:pPr>
        <w:spacing w:line="360" w:lineRule="auto"/>
        <w:jc w:val="left"/>
        <w:rPr>
          <w:rFonts w:ascii="宋体" w:hAnsi="宋体"/>
          <w:b/>
          <w:color w:val="000000"/>
          <w:sz w:val="24"/>
        </w:rPr>
      </w:pPr>
      <w:r>
        <w:rPr>
          <w:rFonts w:hint="eastAsia" w:ascii="宋体" w:hAnsi="宋体"/>
          <w:b/>
          <w:color w:val="000000"/>
          <w:sz w:val="24"/>
        </w:rPr>
        <w:t>4. 合格的投标人</w:t>
      </w:r>
    </w:p>
    <w:p w14:paraId="782ECFAA">
      <w:pPr>
        <w:spacing w:line="360" w:lineRule="auto"/>
        <w:rPr>
          <w:rFonts w:ascii="宋体" w:hAnsi="宋体"/>
          <w:bCs/>
          <w:color w:val="000000"/>
          <w:sz w:val="24"/>
        </w:rPr>
      </w:pPr>
      <w:r>
        <w:rPr>
          <w:rFonts w:hint="eastAsia" w:ascii="宋体" w:hAnsi="宋体"/>
          <w:bCs/>
          <w:color w:val="000000"/>
          <w:sz w:val="24"/>
        </w:rPr>
        <w:t>4.1投标人应满足《中华人民共和国政府采购法》第二十二条规定的条件，并提供下列材料：</w:t>
      </w:r>
    </w:p>
    <w:p w14:paraId="36E197C2">
      <w:pPr>
        <w:spacing w:line="360" w:lineRule="auto"/>
        <w:rPr>
          <w:rFonts w:ascii="宋体" w:hAnsi="宋体"/>
          <w:bCs/>
          <w:color w:val="000000"/>
          <w:sz w:val="24"/>
        </w:rPr>
      </w:pPr>
      <w:r>
        <w:rPr>
          <w:rFonts w:hint="eastAsia" w:ascii="宋体" w:hAnsi="宋体"/>
          <w:bCs/>
          <w:color w:val="000000"/>
          <w:sz w:val="24"/>
        </w:rPr>
        <w:t>4.1.1投标人必须是具有独立承担民事责任能力的法人或其他组织或自然人：提供三证合一的营业执照或其他组织证明材料或自然人身份证明；</w:t>
      </w:r>
    </w:p>
    <w:p w14:paraId="0787AFA4">
      <w:pPr>
        <w:spacing w:line="360" w:lineRule="auto"/>
        <w:rPr>
          <w:rFonts w:ascii="宋体" w:hAnsi="宋体"/>
          <w:bCs/>
          <w:color w:val="000000"/>
          <w:sz w:val="24"/>
        </w:rPr>
      </w:pPr>
      <w:r>
        <w:rPr>
          <w:rFonts w:hint="eastAsia" w:ascii="宋体" w:hAnsi="宋体"/>
          <w:bCs/>
          <w:color w:val="000000"/>
          <w:sz w:val="24"/>
        </w:rPr>
        <w:t>4.1.2投标人财务状况证明材料，具体要求详见“投标人须知前附表”；</w:t>
      </w:r>
    </w:p>
    <w:p w14:paraId="7B69E8F6">
      <w:pPr>
        <w:spacing w:line="360" w:lineRule="auto"/>
        <w:rPr>
          <w:rFonts w:ascii="宋体" w:hAnsi="宋体"/>
          <w:bCs/>
          <w:color w:val="000000"/>
          <w:sz w:val="24"/>
        </w:rPr>
      </w:pPr>
      <w:r>
        <w:rPr>
          <w:rFonts w:hint="eastAsia" w:ascii="宋体" w:hAnsi="宋体"/>
          <w:bCs/>
          <w:color w:val="000000"/>
          <w:sz w:val="24"/>
        </w:rPr>
        <w:t>4.1.3投标人纳税证明材料，具体要求详见“投标人须知前附表”；</w:t>
      </w:r>
    </w:p>
    <w:p w14:paraId="291B2306">
      <w:pPr>
        <w:spacing w:line="360" w:lineRule="auto"/>
        <w:rPr>
          <w:rFonts w:ascii="宋体" w:hAnsi="宋体"/>
          <w:bCs/>
          <w:color w:val="000000"/>
          <w:sz w:val="24"/>
        </w:rPr>
      </w:pPr>
      <w:r>
        <w:rPr>
          <w:rFonts w:hint="eastAsia" w:ascii="宋体" w:hAnsi="宋体"/>
          <w:bCs/>
          <w:color w:val="000000"/>
          <w:sz w:val="24"/>
        </w:rPr>
        <w:t>4.1.4投标人缴纳社会保险证明材料，具体要求详见“投标人须知前附表”；</w:t>
      </w:r>
    </w:p>
    <w:p w14:paraId="111B6830">
      <w:pPr>
        <w:spacing w:line="360" w:lineRule="auto"/>
        <w:rPr>
          <w:rFonts w:ascii="宋体" w:hAnsi="宋体"/>
          <w:bCs/>
          <w:color w:val="000000"/>
          <w:sz w:val="24"/>
        </w:rPr>
      </w:pPr>
      <w:r>
        <w:rPr>
          <w:rFonts w:hint="eastAsia" w:ascii="宋体" w:hAnsi="宋体"/>
          <w:bCs/>
          <w:color w:val="000000"/>
          <w:sz w:val="24"/>
        </w:rPr>
        <w:t>4.1.5投标人须提供具备履行合同所必需的设备和专业技术能力的证明材料或相关承诺；</w:t>
      </w:r>
    </w:p>
    <w:p w14:paraId="6378A618">
      <w:pPr>
        <w:spacing w:line="360" w:lineRule="auto"/>
        <w:rPr>
          <w:rFonts w:ascii="宋体" w:hAnsi="宋体"/>
          <w:bCs/>
          <w:color w:val="000000"/>
          <w:sz w:val="24"/>
        </w:rPr>
      </w:pPr>
      <w:r>
        <w:rPr>
          <w:rFonts w:hint="eastAsia" w:ascii="宋体" w:hAnsi="宋体"/>
          <w:bCs/>
          <w:color w:val="000000"/>
          <w:sz w:val="24"/>
        </w:rPr>
        <w:t>4.1.6</w:t>
      </w:r>
      <w:r>
        <w:rPr>
          <w:rFonts w:hint="eastAsia" w:ascii="宋体" w:hAnsi="宋体"/>
          <w:bCs/>
          <w:sz w:val="24"/>
        </w:rPr>
        <w:t>重大违法记录，具体要求详见“投标人须知前附表”；</w:t>
      </w:r>
    </w:p>
    <w:p w14:paraId="2688CA73">
      <w:pPr>
        <w:spacing w:line="360" w:lineRule="auto"/>
        <w:rPr>
          <w:rFonts w:ascii="宋体" w:hAnsi="宋体"/>
          <w:bCs/>
          <w:sz w:val="24"/>
        </w:rPr>
      </w:pPr>
      <w:r>
        <w:rPr>
          <w:rFonts w:hint="eastAsia" w:ascii="宋体" w:hAnsi="宋体"/>
          <w:bCs/>
          <w:sz w:val="24"/>
        </w:rPr>
        <w:t>4.2落实政府采购政策需满足的资格要求：</w:t>
      </w:r>
      <w:r>
        <w:rPr>
          <w:rFonts w:hint="eastAsia" w:ascii="宋体" w:hAnsi="宋体"/>
          <w:sz w:val="24"/>
          <w:u w:val="single"/>
        </w:rPr>
        <w:t>详见第一章 招标</w:t>
      </w:r>
      <w:r>
        <w:rPr>
          <w:rFonts w:ascii="宋体" w:hAnsi="宋体"/>
          <w:sz w:val="24"/>
          <w:u w:val="single"/>
        </w:rPr>
        <w:t xml:space="preserve">公告 </w:t>
      </w:r>
      <w:r>
        <w:rPr>
          <w:rFonts w:hint="eastAsia" w:ascii="宋体" w:hAnsi="宋体"/>
          <w:sz w:val="24"/>
          <w:u w:val="single"/>
        </w:rPr>
        <w:t>二</w:t>
      </w:r>
      <w:r>
        <w:rPr>
          <w:rFonts w:ascii="宋体" w:hAnsi="宋体"/>
          <w:sz w:val="24"/>
          <w:u w:val="single"/>
        </w:rPr>
        <w:t>、申请人的资格要求</w:t>
      </w:r>
    </w:p>
    <w:p w14:paraId="68CB6E8C">
      <w:pPr>
        <w:spacing w:line="360" w:lineRule="auto"/>
        <w:jc w:val="left"/>
        <w:rPr>
          <w:color w:val="000000"/>
          <w:sz w:val="24"/>
        </w:rPr>
      </w:pPr>
      <w:r>
        <w:rPr>
          <w:rFonts w:hint="eastAsia" w:ascii="宋体" w:hAnsi="宋体"/>
          <w:bCs/>
          <w:color w:val="000000"/>
          <w:sz w:val="24"/>
        </w:rPr>
        <w:t>4.3本项目的特定资格要求：</w:t>
      </w:r>
      <w:r>
        <w:rPr>
          <w:rFonts w:hint="eastAsia" w:ascii="宋体" w:hAnsi="宋体"/>
          <w:bCs/>
          <w:color w:val="000000"/>
          <w:sz w:val="24"/>
          <w:u w:val="single"/>
        </w:rPr>
        <w:t>详见第一章</w:t>
      </w:r>
      <w:r>
        <w:rPr>
          <w:rFonts w:ascii="宋体" w:hAnsi="宋体"/>
          <w:bCs/>
          <w:color w:val="000000"/>
          <w:sz w:val="24"/>
          <w:u w:val="single"/>
        </w:rPr>
        <w:t>“招标公告”</w:t>
      </w:r>
    </w:p>
    <w:p w14:paraId="5F5CE9B8">
      <w:pPr>
        <w:spacing w:line="360" w:lineRule="auto"/>
        <w:jc w:val="left"/>
        <w:rPr>
          <w:rFonts w:ascii="宋体" w:hAnsi="宋体"/>
          <w:color w:val="000000"/>
          <w:sz w:val="24"/>
        </w:rPr>
      </w:pPr>
      <w:r>
        <w:rPr>
          <w:rFonts w:hint="eastAsia" w:ascii="宋体" w:hAnsi="宋体"/>
          <w:color w:val="000000"/>
          <w:sz w:val="24"/>
        </w:rPr>
        <w:t>4.</w:t>
      </w:r>
      <w:r>
        <w:rPr>
          <w:rFonts w:ascii="宋体" w:hAnsi="宋体"/>
          <w:color w:val="000000"/>
          <w:sz w:val="24"/>
        </w:rPr>
        <w:t>4</w:t>
      </w:r>
      <w:r>
        <w:rPr>
          <w:rFonts w:hint="eastAsia" w:ascii="宋体" w:hAnsi="宋体"/>
          <w:color w:val="000000"/>
          <w:sz w:val="24"/>
        </w:rPr>
        <w:t>“</w:t>
      </w:r>
      <w:r>
        <w:rPr>
          <w:rFonts w:hint="eastAsia" w:ascii="宋体" w:hAnsi="宋体"/>
          <w:b/>
          <w:color w:val="000000"/>
          <w:sz w:val="24"/>
        </w:rPr>
        <w:t>投标人须知前附表</w:t>
      </w:r>
      <w:r>
        <w:rPr>
          <w:rFonts w:hint="eastAsia" w:ascii="宋体" w:hAnsi="宋体"/>
          <w:color w:val="000000"/>
          <w:sz w:val="24"/>
        </w:rPr>
        <w:t>”规定接受联合体投标的，除应符合本章第4.1-4.</w:t>
      </w:r>
      <w:r>
        <w:rPr>
          <w:rFonts w:ascii="宋体" w:hAnsi="宋体"/>
          <w:color w:val="000000"/>
          <w:sz w:val="24"/>
        </w:rPr>
        <w:t>4</w:t>
      </w:r>
      <w:r>
        <w:rPr>
          <w:rFonts w:hint="eastAsia" w:ascii="宋体" w:hAnsi="宋体"/>
          <w:color w:val="000000"/>
          <w:sz w:val="24"/>
        </w:rPr>
        <w:t>项和“</w:t>
      </w:r>
      <w:r>
        <w:rPr>
          <w:rFonts w:hint="eastAsia" w:ascii="宋体" w:hAnsi="宋体"/>
          <w:b/>
          <w:color w:val="000000"/>
          <w:sz w:val="24"/>
        </w:rPr>
        <w:t>投标人须知前附表</w:t>
      </w:r>
      <w:r>
        <w:rPr>
          <w:rFonts w:hint="eastAsia" w:ascii="宋体" w:hAnsi="宋体"/>
          <w:color w:val="000000"/>
          <w:sz w:val="24"/>
        </w:rPr>
        <w:t>”的要求外，还应遵守以下规定：</w:t>
      </w:r>
    </w:p>
    <w:p w14:paraId="0A7F1129">
      <w:pPr>
        <w:spacing w:line="360" w:lineRule="auto"/>
        <w:ind w:firstLine="435"/>
        <w:jc w:val="left"/>
        <w:rPr>
          <w:rFonts w:ascii="宋体" w:hAnsi="宋体"/>
          <w:color w:val="000000"/>
          <w:sz w:val="24"/>
        </w:rPr>
      </w:pPr>
      <w:r>
        <w:rPr>
          <w:rFonts w:hint="eastAsia" w:ascii="宋体" w:hAnsi="宋体"/>
          <w:color w:val="000000"/>
          <w:sz w:val="24"/>
        </w:rPr>
        <w:t>(1)</w:t>
      </w:r>
      <w:r>
        <w:rPr>
          <w:rFonts w:hint="eastAsia"/>
          <w:color w:val="000000"/>
        </w:rPr>
        <w:t xml:space="preserve"> </w:t>
      </w:r>
      <w:r>
        <w:rPr>
          <w:rFonts w:hint="eastAsia" w:ascii="宋体" w:hAnsi="宋体"/>
          <w:color w:val="000000"/>
          <w:sz w:val="24"/>
        </w:rPr>
        <w:t>联合体中有同类资质的投标人按照联合体分工承担相同工作的，应当按照资质等级较低的投标人确定资质等级；</w:t>
      </w:r>
    </w:p>
    <w:p w14:paraId="47C21927">
      <w:pPr>
        <w:spacing w:line="360" w:lineRule="auto"/>
        <w:ind w:firstLine="435"/>
        <w:jc w:val="left"/>
        <w:rPr>
          <w:rFonts w:ascii="宋体" w:hAnsi="宋体"/>
          <w:color w:val="000000"/>
          <w:sz w:val="24"/>
        </w:rPr>
      </w:pPr>
      <w:r>
        <w:rPr>
          <w:rFonts w:hint="eastAsia" w:ascii="宋体" w:hAnsi="宋体"/>
          <w:color w:val="000000"/>
          <w:sz w:val="24"/>
        </w:rPr>
        <w:t>(2)联合体各方之间应当签订共同投标协议，明确约定联合体各方承担的工作和相应的责任；</w:t>
      </w:r>
    </w:p>
    <w:p w14:paraId="7C4BBD0A">
      <w:pPr>
        <w:spacing w:line="360" w:lineRule="auto"/>
        <w:ind w:firstLine="435"/>
        <w:jc w:val="left"/>
        <w:rPr>
          <w:rFonts w:ascii="宋体" w:hAnsi="宋体"/>
          <w:color w:val="000000"/>
          <w:sz w:val="24"/>
        </w:rPr>
      </w:pPr>
      <w:r>
        <w:rPr>
          <w:rFonts w:hint="eastAsia" w:ascii="宋体" w:hAnsi="宋体"/>
          <w:color w:val="000000"/>
          <w:sz w:val="24"/>
        </w:rPr>
        <w:t>(3)以联合体形式参加政府采购活动的，联合体各方不得再单独参加或者与其他投标人另外组成联合体参加同一项目包下的政府采购活动。</w:t>
      </w:r>
    </w:p>
    <w:p w14:paraId="00A01A9A">
      <w:pPr>
        <w:spacing w:line="360" w:lineRule="auto"/>
        <w:jc w:val="left"/>
        <w:rPr>
          <w:rFonts w:ascii="宋体" w:hAnsi="宋体"/>
          <w:b/>
          <w:color w:val="000000"/>
          <w:sz w:val="24"/>
        </w:rPr>
      </w:pPr>
      <w:r>
        <w:rPr>
          <w:rFonts w:hint="eastAsia" w:ascii="宋体" w:hAnsi="宋体"/>
          <w:color w:val="000000"/>
          <w:sz w:val="24"/>
        </w:rPr>
        <w:t>4.</w:t>
      </w:r>
      <w:r>
        <w:rPr>
          <w:rFonts w:ascii="宋体" w:hAnsi="宋体"/>
          <w:color w:val="000000"/>
          <w:sz w:val="24"/>
        </w:rPr>
        <w:t xml:space="preserve">5 </w:t>
      </w:r>
      <w:r>
        <w:rPr>
          <w:rFonts w:hint="eastAsia" w:ascii="宋体" w:hAnsi="宋体"/>
          <w:color w:val="000000"/>
          <w:sz w:val="24"/>
        </w:rPr>
        <w:t>符合上述条件的投标人应承担投标及履约中应承担的全部责任与义务。</w:t>
      </w:r>
      <w:r>
        <w:rPr>
          <w:rFonts w:hint="eastAsia" w:ascii="宋体" w:hAnsi="宋体"/>
          <w:color w:val="000000"/>
          <w:sz w:val="24"/>
        </w:rPr>
        <w:cr/>
      </w:r>
      <w:r>
        <w:rPr>
          <w:rFonts w:hint="eastAsia" w:ascii="宋体" w:hAnsi="宋体"/>
          <w:b/>
          <w:color w:val="000000"/>
          <w:sz w:val="24"/>
        </w:rPr>
        <w:t>5. 投标费用</w:t>
      </w:r>
    </w:p>
    <w:p w14:paraId="19294410">
      <w:pPr>
        <w:pStyle w:val="16"/>
        <w:spacing w:line="360" w:lineRule="auto"/>
        <w:rPr>
          <w:rFonts w:hAnsi="宋体"/>
          <w:color w:val="000000"/>
          <w:sz w:val="24"/>
          <w:szCs w:val="24"/>
        </w:rPr>
      </w:pPr>
      <w:r>
        <w:rPr>
          <w:rFonts w:hint="eastAsia" w:hAnsi="宋体"/>
          <w:color w:val="000000"/>
          <w:sz w:val="24"/>
          <w:szCs w:val="24"/>
        </w:rPr>
        <w:t>5.1不论投标结果如何，投标人均应自行承担</w:t>
      </w:r>
      <w:r>
        <w:rPr>
          <w:rFonts w:hAnsi="宋体"/>
          <w:color w:val="000000"/>
          <w:sz w:val="24"/>
          <w:szCs w:val="24"/>
        </w:rPr>
        <w:t>所有与准备和参加投标活动有关的全部费用</w:t>
      </w:r>
      <w:r>
        <w:rPr>
          <w:rFonts w:hint="eastAsia" w:hAnsi="宋体"/>
          <w:color w:val="000000"/>
          <w:sz w:val="24"/>
          <w:szCs w:val="24"/>
        </w:rPr>
        <w:t>。</w:t>
      </w:r>
    </w:p>
    <w:p w14:paraId="5F24E38B">
      <w:pPr>
        <w:rPr>
          <w:rFonts w:ascii="宋体" w:hAnsi="宋体"/>
          <w:b/>
          <w:color w:val="000000"/>
          <w:sz w:val="24"/>
        </w:rPr>
      </w:pPr>
      <w:r>
        <w:rPr>
          <w:rFonts w:hint="eastAsia" w:ascii="宋体" w:hAnsi="宋体"/>
          <w:b/>
          <w:color w:val="000000"/>
          <w:sz w:val="24"/>
        </w:rPr>
        <w:t>6.</w:t>
      </w:r>
      <w:r>
        <w:rPr>
          <w:rFonts w:ascii="宋体" w:hAnsi="宋体"/>
          <w:b/>
          <w:color w:val="000000"/>
          <w:sz w:val="24"/>
        </w:rPr>
        <w:t>质疑</w:t>
      </w:r>
    </w:p>
    <w:p w14:paraId="253A26A6">
      <w:pPr>
        <w:spacing w:line="360" w:lineRule="auto"/>
        <w:jc w:val="left"/>
        <w:rPr>
          <w:rFonts w:ascii="宋体" w:hAnsi="宋体"/>
          <w:color w:val="000000"/>
          <w:sz w:val="24"/>
        </w:rPr>
      </w:pPr>
      <w:r>
        <w:rPr>
          <w:rFonts w:hint="eastAsia" w:ascii="宋体" w:hAnsi="宋体"/>
          <w:color w:val="000000"/>
          <w:sz w:val="24"/>
        </w:rPr>
        <w:t>6.1 投标人认为招标文件、招标过程和中标结果使自己的权益受到损害的，应当在知道或者应知其权益受到损害之日起7个工作日内，</w:t>
      </w:r>
      <w:r>
        <w:rPr>
          <w:rFonts w:hint="eastAsia" w:ascii="宋体" w:hAnsi="宋体"/>
          <w:b/>
          <w:color w:val="000000"/>
          <w:sz w:val="24"/>
        </w:rPr>
        <w:t>以书面形式一次性向采购代理机构或采购人提出针对同一采购程序环节的质疑。</w:t>
      </w:r>
      <w:r>
        <w:rPr>
          <w:rFonts w:hint="eastAsia" w:ascii="宋体" w:hAnsi="宋体"/>
          <w:color w:val="000000"/>
          <w:sz w:val="24"/>
        </w:rPr>
        <w:t>质疑内容不得含有虚假、恶意成分。当事人对自己提出的主张，有责任提供证据，提出质疑时应同时提交相关证据材料和注明事实的确切来源。</w:t>
      </w:r>
    </w:p>
    <w:p w14:paraId="42E973B0">
      <w:pPr>
        <w:spacing w:line="360" w:lineRule="auto"/>
        <w:jc w:val="left"/>
        <w:rPr>
          <w:rFonts w:ascii="宋体" w:hAnsi="宋体"/>
          <w:color w:val="000000"/>
          <w:sz w:val="24"/>
        </w:rPr>
      </w:pPr>
      <w:r>
        <w:rPr>
          <w:rFonts w:hint="eastAsia" w:ascii="宋体" w:hAnsi="宋体"/>
          <w:color w:val="000000"/>
          <w:sz w:val="24"/>
        </w:rPr>
        <w:t>6.2供应商应知其权益受到损害之日，是指：</w:t>
      </w:r>
    </w:p>
    <w:p w14:paraId="1108086C">
      <w:pPr>
        <w:spacing w:line="360" w:lineRule="auto"/>
        <w:jc w:val="left"/>
        <w:rPr>
          <w:rFonts w:ascii="宋体" w:hAnsi="宋体"/>
          <w:color w:val="000000"/>
          <w:sz w:val="24"/>
        </w:rPr>
      </w:pPr>
      <w:r>
        <w:rPr>
          <w:rFonts w:hint="eastAsia" w:ascii="宋体" w:hAnsi="宋体"/>
          <w:color w:val="000000"/>
          <w:sz w:val="24"/>
        </w:rPr>
        <w:t>（1）对可以质疑的采购文件提出质疑的，为收到采购文件之日即供应商实际下载采购文件之日（下载采购文件期限同获取招标文件时间）；</w:t>
      </w:r>
    </w:p>
    <w:p w14:paraId="7C37D6C5">
      <w:pPr>
        <w:spacing w:line="360" w:lineRule="auto"/>
        <w:jc w:val="left"/>
        <w:rPr>
          <w:rFonts w:ascii="宋体" w:hAnsi="宋体"/>
          <w:color w:val="000000"/>
          <w:sz w:val="24"/>
        </w:rPr>
      </w:pPr>
      <w:r>
        <w:rPr>
          <w:rFonts w:hint="eastAsia" w:ascii="宋体" w:hAnsi="宋体"/>
          <w:color w:val="000000"/>
          <w:sz w:val="24"/>
        </w:rPr>
        <w:t>（2）对采购过程提出质疑的，为各采购程序环节结束之日；</w:t>
      </w:r>
    </w:p>
    <w:p w14:paraId="053744F9">
      <w:pPr>
        <w:spacing w:line="360" w:lineRule="auto"/>
        <w:jc w:val="left"/>
        <w:rPr>
          <w:rFonts w:ascii="宋体" w:hAnsi="宋体"/>
          <w:color w:val="000000"/>
          <w:sz w:val="24"/>
        </w:rPr>
      </w:pPr>
      <w:r>
        <w:rPr>
          <w:rFonts w:hint="eastAsia" w:ascii="宋体" w:hAnsi="宋体"/>
          <w:color w:val="000000"/>
          <w:sz w:val="24"/>
        </w:rPr>
        <w:t>（3）对中标结果提出质疑的，为中标结果公告期限届满之日。</w:t>
      </w:r>
    </w:p>
    <w:p w14:paraId="345DAC3F">
      <w:pPr>
        <w:spacing w:line="360" w:lineRule="auto"/>
        <w:jc w:val="left"/>
        <w:rPr>
          <w:rFonts w:ascii="宋体" w:hAnsi="宋体"/>
          <w:color w:val="000000"/>
          <w:sz w:val="24"/>
        </w:rPr>
      </w:pPr>
      <w:r>
        <w:rPr>
          <w:rFonts w:hint="eastAsia" w:ascii="宋体" w:hAnsi="宋体"/>
          <w:bCs/>
          <w:color w:val="000000"/>
          <w:sz w:val="24"/>
        </w:rPr>
        <w:t>6.</w:t>
      </w:r>
      <w:r>
        <w:rPr>
          <w:rFonts w:ascii="宋体" w:hAnsi="宋体"/>
          <w:bCs/>
          <w:color w:val="000000"/>
          <w:sz w:val="24"/>
        </w:rPr>
        <w:t>3</w:t>
      </w:r>
      <w:r>
        <w:rPr>
          <w:rFonts w:hint="eastAsia" w:ascii="宋体" w:hAnsi="宋体"/>
          <w:bCs/>
          <w:color w:val="000000"/>
          <w:sz w:val="24"/>
        </w:rPr>
        <w:t>投标人提供的质疑书应符合中华人民共和国财政部令第94号《政府采购质疑和投诉办法》的规定。</w:t>
      </w:r>
      <w:r>
        <w:rPr>
          <w:rFonts w:hint="eastAsia" w:ascii="宋体" w:hAnsi="宋体"/>
          <w:color w:val="000000"/>
          <w:sz w:val="24"/>
        </w:rPr>
        <w:t>投标人</w:t>
      </w:r>
      <w:r>
        <w:rPr>
          <w:rFonts w:ascii="宋体" w:hAnsi="宋体"/>
          <w:color w:val="000000"/>
          <w:sz w:val="24"/>
        </w:rPr>
        <w:t>提供的质疑书（如材料中有外文资料应同时附上中文译本）应当包括以下主要内容：</w:t>
      </w:r>
    </w:p>
    <w:p w14:paraId="08A5B1AD">
      <w:pPr>
        <w:spacing w:line="360" w:lineRule="auto"/>
        <w:jc w:val="left"/>
        <w:rPr>
          <w:rFonts w:ascii="宋体" w:hAnsi="宋体"/>
          <w:color w:val="000000"/>
          <w:sz w:val="24"/>
        </w:rPr>
      </w:pPr>
      <w:r>
        <w:rPr>
          <w:rFonts w:hint="eastAsia" w:ascii="宋体" w:hAnsi="宋体"/>
          <w:color w:val="000000"/>
          <w:sz w:val="24"/>
        </w:rPr>
        <w:t>（1）供应商的姓名或者名称、地址、邮编、联系人及联系电话；</w:t>
      </w:r>
    </w:p>
    <w:p w14:paraId="579DE395">
      <w:pPr>
        <w:spacing w:line="360" w:lineRule="auto"/>
        <w:jc w:val="left"/>
        <w:rPr>
          <w:rFonts w:ascii="宋体" w:hAnsi="宋体"/>
          <w:color w:val="000000"/>
          <w:sz w:val="24"/>
        </w:rPr>
      </w:pPr>
      <w:r>
        <w:rPr>
          <w:rFonts w:hint="eastAsia" w:ascii="宋体" w:hAnsi="宋体"/>
          <w:color w:val="000000"/>
          <w:sz w:val="24"/>
        </w:rPr>
        <w:t>（2）质疑项目的名称、编号；</w:t>
      </w:r>
    </w:p>
    <w:p w14:paraId="5F30ABA3">
      <w:pPr>
        <w:spacing w:line="360" w:lineRule="auto"/>
        <w:jc w:val="left"/>
        <w:rPr>
          <w:rFonts w:ascii="宋体" w:hAnsi="宋体"/>
          <w:color w:val="000000"/>
          <w:sz w:val="24"/>
        </w:rPr>
      </w:pPr>
      <w:r>
        <w:rPr>
          <w:rFonts w:hint="eastAsia" w:ascii="宋体" w:hAnsi="宋体"/>
          <w:color w:val="000000"/>
          <w:sz w:val="24"/>
        </w:rPr>
        <w:t>（3）具体、明确的质疑事项和与质疑事项相关的请求；</w:t>
      </w:r>
    </w:p>
    <w:p w14:paraId="69356441">
      <w:pPr>
        <w:spacing w:line="360" w:lineRule="auto"/>
        <w:jc w:val="left"/>
        <w:rPr>
          <w:rFonts w:ascii="宋体" w:hAnsi="宋体"/>
          <w:color w:val="000000"/>
          <w:sz w:val="24"/>
        </w:rPr>
      </w:pPr>
      <w:r>
        <w:rPr>
          <w:rFonts w:hint="eastAsia" w:ascii="宋体" w:hAnsi="宋体"/>
          <w:color w:val="000000"/>
          <w:sz w:val="24"/>
        </w:rPr>
        <w:t>（4）事实依据；</w:t>
      </w:r>
    </w:p>
    <w:p w14:paraId="4053FBDD">
      <w:pPr>
        <w:spacing w:line="360" w:lineRule="auto"/>
        <w:jc w:val="left"/>
        <w:rPr>
          <w:rFonts w:ascii="宋体" w:hAnsi="宋体"/>
          <w:color w:val="000000"/>
          <w:sz w:val="24"/>
        </w:rPr>
      </w:pPr>
      <w:r>
        <w:rPr>
          <w:rFonts w:hint="eastAsia" w:ascii="宋体" w:hAnsi="宋体"/>
          <w:color w:val="000000"/>
          <w:sz w:val="24"/>
        </w:rPr>
        <w:t>（5）必要的法律依据；</w:t>
      </w:r>
    </w:p>
    <w:p w14:paraId="70F2167D">
      <w:pPr>
        <w:spacing w:line="360" w:lineRule="auto"/>
        <w:jc w:val="left"/>
        <w:rPr>
          <w:rFonts w:ascii="宋体" w:hAnsi="宋体"/>
          <w:color w:val="000000"/>
          <w:sz w:val="24"/>
        </w:rPr>
      </w:pPr>
      <w:r>
        <w:rPr>
          <w:rFonts w:hint="eastAsia" w:ascii="宋体" w:hAnsi="宋体"/>
          <w:color w:val="000000"/>
          <w:sz w:val="24"/>
        </w:rPr>
        <w:t>（6）提出质疑的日期。</w:t>
      </w:r>
    </w:p>
    <w:p w14:paraId="1255A503">
      <w:pPr>
        <w:spacing w:line="360" w:lineRule="auto"/>
        <w:ind w:firstLine="480" w:firstLineChars="200"/>
        <w:jc w:val="left"/>
        <w:rPr>
          <w:rFonts w:ascii="宋体" w:hAnsi="宋体"/>
          <w:color w:val="000000"/>
          <w:sz w:val="24"/>
        </w:rPr>
      </w:pPr>
      <w:r>
        <w:rPr>
          <w:rFonts w:hint="eastAsia" w:ascii="宋体" w:hAnsi="宋体"/>
          <w:color w:val="000000"/>
          <w:sz w:val="24"/>
        </w:rPr>
        <w:t>　供应商为自然人的，应当由本人签字；供应商为法人或者其他组织的，应当由法定代表人、主要负责人，或者其授权代表签字或者盖章，并加盖公章。</w:t>
      </w:r>
    </w:p>
    <w:p w14:paraId="7AA81145">
      <w:pPr>
        <w:spacing w:line="360" w:lineRule="auto"/>
        <w:ind w:firstLine="482" w:firstLineChars="200"/>
        <w:jc w:val="left"/>
        <w:rPr>
          <w:rFonts w:ascii="宋体" w:hAnsi="宋体"/>
          <w:b/>
          <w:color w:val="000000"/>
          <w:sz w:val="24"/>
        </w:rPr>
      </w:pPr>
      <w:r>
        <w:rPr>
          <w:rFonts w:hint="eastAsia" w:ascii="宋体" w:hAnsi="宋体"/>
          <w:b/>
          <w:color w:val="000000"/>
          <w:sz w:val="24"/>
        </w:rPr>
        <w:t>质疑书实行实名制，并提交由法定代表人或其授权代理人签字并加盖单位章的原件。</w:t>
      </w:r>
    </w:p>
    <w:p w14:paraId="1CAB7237">
      <w:pPr>
        <w:spacing w:line="360" w:lineRule="auto"/>
        <w:jc w:val="left"/>
        <w:rPr>
          <w:rFonts w:ascii="宋体" w:hAnsi="宋体"/>
          <w:color w:val="000000"/>
          <w:sz w:val="24"/>
        </w:rPr>
      </w:pPr>
      <w:r>
        <w:rPr>
          <w:rFonts w:hint="eastAsia" w:ascii="宋体" w:hAnsi="宋体"/>
          <w:color w:val="000000"/>
          <w:sz w:val="24"/>
        </w:rPr>
        <w:t>6.4供应商为自然人的，质疑函应当由本人签字；供应商为法人或者其他组织的，质疑函应当由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14:paraId="78495C0D">
      <w:pPr>
        <w:spacing w:line="360" w:lineRule="auto"/>
        <w:jc w:val="left"/>
        <w:rPr>
          <w:rFonts w:ascii="宋体" w:hAnsi="宋体"/>
          <w:color w:val="000000"/>
          <w:sz w:val="24"/>
        </w:rPr>
      </w:pPr>
      <w:r>
        <w:rPr>
          <w:rFonts w:hint="eastAsia" w:ascii="宋体" w:hAnsi="宋体"/>
          <w:b/>
          <w:color w:val="000000"/>
          <w:sz w:val="24"/>
        </w:rPr>
        <w:t>接收质疑函的方式：</w:t>
      </w:r>
      <w:r>
        <w:rPr>
          <w:rFonts w:hint="eastAsia" w:ascii="宋体" w:hAnsi="宋体"/>
          <w:color w:val="000000"/>
          <w:sz w:val="24"/>
        </w:rPr>
        <w:t>以书面形式递交签字并加盖公章的质疑函原件和必要的证明材料；邮寄送达的以邮件交邮日期为准。</w:t>
      </w:r>
    </w:p>
    <w:p w14:paraId="315D6824">
      <w:pPr>
        <w:spacing w:line="360" w:lineRule="auto"/>
        <w:jc w:val="left"/>
        <w:rPr>
          <w:rFonts w:ascii="宋体" w:hAnsi="宋体"/>
          <w:color w:val="000000"/>
          <w:sz w:val="24"/>
        </w:rPr>
      </w:pPr>
      <w:r>
        <w:rPr>
          <w:rFonts w:hint="eastAsia" w:ascii="宋体" w:hAnsi="宋体"/>
          <w:b/>
          <w:color w:val="000000"/>
          <w:sz w:val="24"/>
        </w:rPr>
        <w:t>联系部门：</w:t>
      </w:r>
      <w:r>
        <w:rPr>
          <w:rFonts w:hint="eastAsia" w:ascii="宋体" w:hAnsi="宋体"/>
          <w:color w:val="000000"/>
          <w:sz w:val="24"/>
        </w:rPr>
        <w:t>招标六部</w:t>
      </w:r>
    </w:p>
    <w:p w14:paraId="67710C03">
      <w:pPr>
        <w:spacing w:line="360" w:lineRule="auto"/>
        <w:jc w:val="left"/>
        <w:rPr>
          <w:rFonts w:ascii="宋体" w:hAnsi="宋体"/>
          <w:color w:val="000000"/>
          <w:sz w:val="24"/>
        </w:rPr>
      </w:pPr>
      <w:r>
        <w:rPr>
          <w:rFonts w:hint="eastAsia" w:ascii="宋体" w:hAnsi="宋体"/>
          <w:b/>
          <w:color w:val="000000"/>
          <w:sz w:val="24"/>
        </w:rPr>
        <w:t>联系电话：</w:t>
      </w:r>
      <w:r>
        <w:rPr>
          <w:rFonts w:hint="eastAsia" w:ascii="宋体" w:hAnsi="宋体"/>
          <w:color w:val="000000"/>
          <w:sz w:val="24"/>
        </w:rPr>
        <w:t>0871-65330131</w:t>
      </w:r>
    </w:p>
    <w:p w14:paraId="76E6AE3F">
      <w:pPr>
        <w:spacing w:line="360" w:lineRule="auto"/>
        <w:jc w:val="left"/>
        <w:rPr>
          <w:rFonts w:ascii="宋体" w:hAnsi="宋体"/>
          <w:color w:val="000000"/>
          <w:sz w:val="24"/>
        </w:rPr>
      </w:pPr>
      <w:r>
        <w:rPr>
          <w:rFonts w:hint="eastAsia" w:ascii="宋体" w:hAnsi="宋体"/>
          <w:b/>
          <w:color w:val="000000"/>
          <w:sz w:val="24"/>
        </w:rPr>
        <w:t>通讯地址：</w:t>
      </w:r>
      <w:r>
        <w:rPr>
          <w:rFonts w:hint="eastAsia" w:ascii="宋体" w:hAnsi="宋体"/>
          <w:color w:val="000000"/>
          <w:sz w:val="24"/>
        </w:rPr>
        <w:t>云南省昆明市人民西路328号</w:t>
      </w:r>
    </w:p>
    <w:p w14:paraId="0AB79AF4">
      <w:pPr>
        <w:spacing w:line="360" w:lineRule="auto"/>
        <w:jc w:val="left"/>
        <w:rPr>
          <w:rFonts w:ascii="宋体" w:hAnsi="宋体"/>
          <w:bCs/>
          <w:color w:val="000000"/>
          <w:sz w:val="24"/>
        </w:rPr>
      </w:pPr>
      <w:r>
        <w:rPr>
          <w:rFonts w:hint="eastAsia" w:ascii="宋体" w:hAnsi="宋体"/>
          <w:color w:val="000000"/>
          <w:sz w:val="24"/>
        </w:rPr>
        <w:t>6.5</w:t>
      </w:r>
      <w:r>
        <w:rPr>
          <w:rFonts w:ascii="宋体" w:hAnsi="宋体"/>
          <w:color w:val="000000"/>
          <w:sz w:val="24"/>
        </w:rPr>
        <w:t>采购人、采购代理机构将在收到</w:t>
      </w:r>
      <w:r>
        <w:rPr>
          <w:rFonts w:hint="eastAsia" w:ascii="宋体" w:hAnsi="宋体"/>
          <w:color w:val="000000"/>
          <w:sz w:val="24"/>
        </w:rPr>
        <w:t>投标人</w:t>
      </w:r>
      <w:r>
        <w:rPr>
          <w:rFonts w:ascii="宋体" w:hAnsi="宋体"/>
          <w:color w:val="000000"/>
          <w:sz w:val="24"/>
        </w:rPr>
        <w:t>的书面质疑后</w:t>
      </w:r>
      <w:r>
        <w:rPr>
          <w:rFonts w:hint="eastAsia" w:ascii="宋体" w:hAnsi="宋体"/>
          <w:color w:val="000000"/>
          <w:sz w:val="24"/>
        </w:rPr>
        <w:t>7</w:t>
      </w:r>
      <w:r>
        <w:rPr>
          <w:rFonts w:ascii="宋体" w:hAnsi="宋体"/>
          <w:color w:val="000000"/>
          <w:sz w:val="24"/>
        </w:rPr>
        <w:t>个工作日内</w:t>
      </w:r>
      <w:r>
        <w:rPr>
          <w:rFonts w:hint="eastAsia" w:ascii="宋体" w:hAnsi="宋体"/>
          <w:color w:val="000000"/>
          <w:sz w:val="24"/>
        </w:rPr>
        <w:t>作</w:t>
      </w:r>
      <w:r>
        <w:rPr>
          <w:rFonts w:ascii="宋体" w:hAnsi="宋体"/>
          <w:color w:val="000000"/>
          <w:sz w:val="24"/>
        </w:rPr>
        <w:t>出答复，但答复的内容不</w:t>
      </w:r>
      <w:r>
        <w:rPr>
          <w:rFonts w:ascii="宋体" w:hAnsi="宋体"/>
          <w:bCs/>
          <w:color w:val="000000"/>
          <w:sz w:val="24"/>
        </w:rPr>
        <w:t>涉及商业秘密。</w:t>
      </w:r>
    </w:p>
    <w:p w14:paraId="40C0440E">
      <w:pPr>
        <w:spacing w:line="360" w:lineRule="auto"/>
        <w:rPr>
          <w:rFonts w:ascii="宋体" w:hAnsi="宋体"/>
          <w:color w:val="000000"/>
          <w:sz w:val="24"/>
        </w:rPr>
      </w:pPr>
      <w:r>
        <w:rPr>
          <w:rFonts w:hint="eastAsia" w:ascii="宋体" w:hAnsi="宋体"/>
          <w:color w:val="000000"/>
          <w:sz w:val="24"/>
        </w:rPr>
        <w:t>6.6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2AFF9684">
      <w:pPr>
        <w:spacing w:line="360" w:lineRule="auto"/>
        <w:rPr>
          <w:rFonts w:ascii="宋体" w:hAnsi="宋体"/>
          <w:b/>
          <w:color w:val="000000"/>
          <w:sz w:val="24"/>
        </w:rPr>
      </w:pPr>
      <w:bookmarkStart w:id="44" w:name="_Toc321836357"/>
      <w:r>
        <w:rPr>
          <w:rFonts w:hint="eastAsia" w:ascii="宋体" w:hAnsi="宋体"/>
          <w:b/>
          <w:color w:val="000000"/>
          <w:sz w:val="24"/>
        </w:rPr>
        <w:t>7.</w:t>
      </w:r>
      <w:r>
        <w:rPr>
          <w:rFonts w:ascii="宋体" w:hAnsi="宋体"/>
          <w:b/>
          <w:color w:val="000000"/>
          <w:sz w:val="24"/>
        </w:rPr>
        <w:t>投诉</w:t>
      </w:r>
      <w:bookmarkEnd w:id="44"/>
    </w:p>
    <w:p w14:paraId="2A3E2018">
      <w:pPr>
        <w:pStyle w:val="16"/>
        <w:spacing w:line="360" w:lineRule="auto"/>
        <w:rPr>
          <w:rFonts w:hAnsi="宋体"/>
          <w:color w:val="000000"/>
          <w:sz w:val="24"/>
          <w:szCs w:val="24"/>
        </w:rPr>
      </w:pPr>
      <w:r>
        <w:rPr>
          <w:rFonts w:hint="eastAsia" w:hAnsi="宋体"/>
          <w:color w:val="000000"/>
          <w:sz w:val="24"/>
          <w:szCs w:val="24"/>
        </w:rPr>
        <w:t>7.1</w:t>
      </w:r>
      <w:r>
        <w:rPr>
          <w:rFonts w:hAnsi="宋体"/>
          <w:color w:val="000000"/>
          <w:sz w:val="24"/>
          <w:szCs w:val="24"/>
        </w:rPr>
        <w:t>投诉必须首先经过质疑程序。质疑</w:t>
      </w:r>
      <w:r>
        <w:rPr>
          <w:rFonts w:hint="eastAsia" w:hAnsi="宋体"/>
          <w:color w:val="000000"/>
          <w:sz w:val="24"/>
          <w:szCs w:val="24"/>
        </w:rPr>
        <w:t>人</w:t>
      </w:r>
      <w:r>
        <w:rPr>
          <w:rFonts w:hAnsi="宋体"/>
          <w:color w:val="000000"/>
          <w:sz w:val="24"/>
          <w:szCs w:val="24"/>
        </w:rPr>
        <w:t>对采购人、采购代理机构的答复不满意，或者采购人、采购代理机构未在规定的时间内做出答复的，可以在答复期满后</w:t>
      </w:r>
      <w:r>
        <w:rPr>
          <w:rFonts w:hint="eastAsia" w:hAnsi="宋体"/>
          <w:color w:val="000000"/>
          <w:sz w:val="24"/>
          <w:szCs w:val="24"/>
        </w:rPr>
        <w:t>1</w:t>
      </w:r>
      <w:r>
        <w:rPr>
          <w:rFonts w:hAnsi="宋体"/>
          <w:color w:val="000000"/>
          <w:sz w:val="24"/>
          <w:szCs w:val="24"/>
        </w:rPr>
        <w:t>5个工作日内书面向</w:t>
      </w:r>
      <w:r>
        <w:rPr>
          <w:rFonts w:hint="eastAsia" w:hAnsi="宋体"/>
          <w:color w:val="000000"/>
          <w:sz w:val="24"/>
          <w:szCs w:val="24"/>
        </w:rPr>
        <w:t>同</w:t>
      </w:r>
      <w:r>
        <w:rPr>
          <w:rFonts w:hAnsi="宋体"/>
          <w:color w:val="000000"/>
          <w:sz w:val="24"/>
          <w:szCs w:val="24"/>
        </w:rPr>
        <w:t>级财政部门</w:t>
      </w:r>
      <w:r>
        <w:rPr>
          <w:rFonts w:hint="eastAsia" w:hAnsi="宋体"/>
          <w:color w:val="000000"/>
          <w:sz w:val="24"/>
          <w:szCs w:val="24"/>
        </w:rPr>
        <w:t>提出</w:t>
      </w:r>
      <w:r>
        <w:rPr>
          <w:rFonts w:hAnsi="宋体"/>
          <w:color w:val="000000"/>
          <w:sz w:val="24"/>
          <w:szCs w:val="24"/>
        </w:rPr>
        <w:t>投诉。</w:t>
      </w:r>
    </w:p>
    <w:p w14:paraId="2C61FFE7">
      <w:pPr>
        <w:pStyle w:val="4"/>
        <w:numPr>
          <w:ilvl w:val="0"/>
          <w:numId w:val="0"/>
        </w:numPr>
        <w:ind w:left="425"/>
        <w:jc w:val="center"/>
        <w:rPr>
          <w:rFonts w:ascii="宋体" w:hAnsi="宋体" w:eastAsia="宋体"/>
          <w:color w:val="000000"/>
          <w:sz w:val="30"/>
          <w:szCs w:val="30"/>
        </w:rPr>
      </w:pPr>
      <w:bookmarkStart w:id="45" w:name="_Toc70446105"/>
      <w:bookmarkStart w:id="46" w:name="_Toc152246144"/>
      <w:r>
        <w:rPr>
          <w:rFonts w:hint="eastAsia" w:ascii="宋体" w:hAnsi="宋体" w:eastAsia="宋体"/>
          <w:color w:val="000000"/>
          <w:sz w:val="30"/>
          <w:szCs w:val="30"/>
        </w:rPr>
        <w:t>二、招标文件</w:t>
      </w:r>
      <w:bookmarkEnd w:id="45"/>
      <w:bookmarkEnd w:id="46"/>
    </w:p>
    <w:p w14:paraId="46A309D3">
      <w:pPr>
        <w:pStyle w:val="16"/>
        <w:spacing w:line="360" w:lineRule="auto"/>
        <w:rPr>
          <w:rFonts w:hAnsi="宋体"/>
          <w:b/>
          <w:bCs/>
          <w:color w:val="000000"/>
          <w:sz w:val="24"/>
          <w:szCs w:val="24"/>
        </w:rPr>
      </w:pPr>
      <w:r>
        <w:rPr>
          <w:rFonts w:hint="eastAsia" w:hAnsi="宋体"/>
          <w:b/>
          <w:bCs/>
          <w:color w:val="000000"/>
          <w:sz w:val="24"/>
          <w:szCs w:val="24"/>
        </w:rPr>
        <w:t>8. 招标文件构成</w:t>
      </w:r>
    </w:p>
    <w:p w14:paraId="77BCB35F">
      <w:pPr>
        <w:spacing w:line="360" w:lineRule="auto"/>
        <w:jc w:val="left"/>
        <w:rPr>
          <w:rFonts w:ascii="宋体" w:hAnsi="宋体"/>
          <w:color w:val="000000"/>
          <w:sz w:val="24"/>
        </w:rPr>
      </w:pPr>
      <w:r>
        <w:rPr>
          <w:rFonts w:hint="eastAsia" w:ascii="宋体" w:hAnsi="宋体"/>
          <w:color w:val="000000"/>
          <w:sz w:val="24"/>
        </w:rPr>
        <w:t>8.1要求提供的服务、采购过程及合同条款在招标文件中均有说明，招标文件共七章，各章的内容如下：</w:t>
      </w:r>
    </w:p>
    <w:p w14:paraId="1D3A4DE8">
      <w:pPr>
        <w:spacing w:line="360" w:lineRule="auto"/>
        <w:ind w:firstLine="720" w:firstLineChars="300"/>
        <w:jc w:val="left"/>
        <w:rPr>
          <w:rFonts w:ascii="宋体" w:hAnsi="宋体"/>
          <w:color w:val="000000"/>
          <w:sz w:val="24"/>
        </w:rPr>
      </w:pPr>
      <w:r>
        <w:rPr>
          <w:rFonts w:hint="eastAsia" w:ascii="宋体" w:hAnsi="宋体"/>
          <w:color w:val="000000"/>
          <w:sz w:val="24"/>
        </w:rPr>
        <w:t>第一章  公开招标公告</w:t>
      </w:r>
    </w:p>
    <w:p w14:paraId="60CB83A3">
      <w:pPr>
        <w:pStyle w:val="16"/>
        <w:spacing w:line="360" w:lineRule="auto"/>
        <w:rPr>
          <w:rFonts w:hAnsi="宋体"/>
          <w:color w:val="000000"/>
          <w:sz w:val="24"/>
          <w:szCs w:val="24"/>
        </w:rPr>
      </w:pPr>
      <w:r>
        <w:rPr>
          <w:rFonts w:hint="eastAsia" w:hAnsi="宋体"/>
          <w:color w:val="000000"/>
          <w:sz w:val="24"/>
          <w:szCs w:val="24"/>
        </w:rPr>
        <w:t xml:space="preserve">      第二章  投标人须知</w:t>
      </w:r>
    </w:p>
    <w:p w14:paraId="7A85F38E">
      <w:pPr>
        <w:pStyle w:val="16"/>
        <w:spacing w:line="360" w:lineRule="auto"/>
        <w:rPr>
          <w:rFonts w:hAnsi="宋体"/>
          <w:color w:val="000000"/>
          <w:sz w:val="24"/>
          <w:szCs w:val="24"/>
        </w:rPr>
      </w:pPr>
      <w:r>
        <w:rPr>
          <w:rFonts w:hint="eastAsia" w:hAnsi="宋体"/>
          <w:color w:val="000000"/>
          <w:sz w:val="24"/>
          <w:szCs w:val="24"/>
        </w:rPr>
        <w:t xml:space="preserve">      第三章  合同书样式及主要条款</w:t>
      </w:r>
    </w:p>
    <w:p w14:paraId="7FDD8BA3">
      <w:pPr>
        <w:pStyle w:val="16"/>
        <w:spacing w:line="360" w:lineRule="auto"/>
        <w:ind w:firstLine="720" w:firstLineChars="300"/>
        <w:rPr>
          <w:rFonts w:hAnsi="宋体"/>
          <w:color w:val="000000"/>
          <w:sz w:val="24"/>
          <w:szCs w:val="24"/>
        </w:rPr>
      </w:pPr>
      <w:r>
        <w:rPr>
          <w:rFonts w:hint="eastAsia" w:hAnsi="宋体"/>
          <w:color w:val="000000"/>
          <w:sz w:val="24"/>
          <w:szCs w:val="24"/>
        </w:rPr>
        <w:t>第四章  投标文件格式</w:t>
      </w:r>
    </w:p>
    <w:p w14:paraId="7142F28F">
      <w:pPr>
        <w:pStyle w:val="16"/>
        <w:spacing w:line="360" w:lineRule="auto"/>
        <w:rPr>
          <w:rFonts w:hAnsi="宋体"/>
          <w:color w:val="000000"/>
          <w:sz w:val="24"/>
          <w:szCs w:val="24"/>
        </w:rPr>
      </w:pPr>
      <w:r>
        <w:rPr>
          <w:rFonts w:hint="eastAsia" w:hAnsi="宋体"/>
          <w:color w:val="000000"/>
          <w:sz w:val="24"/>
          <w:szCs w:val="24"/>
        </w:rPr>
        <w:t xml:space="preserve">      第五章  项目需求及服务要求</w:t>
      </w:r>
    </w:p>
    <w:p w14:paraId="30604C04">
      <w:pPr>
        <w:pStyle w:val="16"/>
        <w:spacing w:line="360" w:lineRule="auto"/>
        <w:ind w:firstLine="720" w:firstLineChars="300"/>
        <w:rPr>
          <w:rFonts w:hAnsi="宋体"/>
          <w:color w:val="000000"/>
          <w:sz w:val="24"/>
          <w:szCs w:val="24"/>
        </w:rPr>
      </w:pPr>
      <w:r>
        <w:rPr>
          <w:rFonts w:hint="eastAsia" w:hAnsi="宋体"/>
          <w:color w:val="000000"/>
          <w:sz w:val="24"/>
          <w:szCs w:val="24"/>
        </w:rPr>
        <w:t>第六章  资格评审标准</w:t>
      </w:r>
    </w:p>
    <w:p w14:paraId="7950F6DD">
      <w:pPr>
        <w:pStyle w:val="16"/>
        <w:spacing w:line="360" w:lineRule="auto"/>
        <w:ind w:firstLine="720" w:firstLineChars="300"/>
        <w:rPr>
          <w:rFonts w:hAnsi="宋体"/>
          <w:color w:val="000000"/>
          <w:sz w:val="24"/>
          <w:szCs w:val="24"/>
        </w:rPr>
      </w:pPr>
      <w:r>
        <w:rPr>
          <w:rFonts w:hint="eastAsia" w:hAnsi="宋体"/>
          <w:color w:val="000000"/>
          <w:sz w:val="24"/>
          <w:szCs w:val="24"/>
        </w:rPr>
        <w:t xml:space="preserve">第七章 </w:t>
      </w:r>
      <w:r>
        <w:rPr>
          <w:rFonts w:hAnsi="宋体"/>
          <w:color w:val="000000"/>
          <w:sz w:val="24"/>
          <w:szCs w:val="24"/>
        </w:rPr>
        <w:t xml:space="preserve"> </w:t>
      </w:r>
      <w:r>
        <w:rPr>
          <w:rFonts w:hint="eastAsia" w:hAnsi="宋体"/>
          <w:color w:val="000000"/>
          <w:sz w:val="24"/>
          <w:szCs w:val="24"/>
        </w:rPr>
        <w:t>评标方法</w:t>
      </w:r>
    </w:p>
    <w:p w14:paraId="321B6C14">
      <w:pPr>
        <w:pStyle w:val="16"/>
        <w:spacing w:line="360" w:lineRule="auto"/>
        <w:rPr>
          <w:rFonts w:hAnsi="宋体"/>
          <w:b/>
          <w:bCs/>
          <w:color w:val="000000"/>
          <w:sz w:val="24"/>
          <w:szCs w:val="24"/>
        </w:rPr>
      </w:pPr>
      <w:r>
        <w:rPr>
          <w:rFonts w:hint="eastAsia" w:hAnsi="宋体"/>
          <w:b/>
          <w:bCs/>
          <w:color w:val="000000"/>
          <w:sz w:val="24"/>
          <w:szCs w:val="24"/>
        </w:rPr>
        <w:t>9. 招标文件的澄清</w:t>
      </w:r>
    </w:p>
    <w:p w14:paraId="610E1567">
      <w:pPr>
        <w:spacing w:line="360" w:lineRule="auto"/>
        <w:jc w:val="left"/>
        <w:rPr>
          <w:rFonts w:ascii="宋体" w:hAnsi="宋体"/>
          <w:color w:val="000000"/>
          <w:sz w:val="24"/>
        </w:rPr>
      </w:pPr>
      <w:r>
        <w:rPr>
          <w:rFonts w:hint="eastAsia" w:ascii="宋体" w:hAnsi="宋体"/>
          <w:color w:val="000000"/>
          <w:sz w:val="24"/>
        </w:rPr>
        <w:t>9.1投标人应认真核查招标文件，如有疑问的，投标人可以在 “投标人须知前附表”规定截止时间前以在线不署名提交要求采购人澄清，截止时间后送达的澄清要求不予接受。所有获取了采购文件的潜在投标人凭企业数字证书（CA）登录“政采云”平台，通过在线方式进行不署名提问。</w:t>
      </w:r>
    </w:p>
    <w:p w14:paraId="7457FDF6">
      <w:pPr>
        <w:spacing w:line="360" w:lineRule="auto"/>
        <w:jc w:val="left"/>
        <w:rPr>
          <w:rFonts w:ascii="宋体" w:hAnsi="宋体"/>
          <w:color w:val="000000"/>
          <w:sz w:val="24"/>
        </w:rPr>
      </w:pPr>
      <w:r>
        <w:rPr>
          <w:rFonts w:hint="eastAsia" w:ascii="宋体" w:hAnsi="宋体"/>
          <w:color w:val="000000"/>
          <w:sz w:val="24"/>
        </w:rPr>
        <w:t>9.2采购代理机构将以网上电子文件形式答复所有获取招标文件的投标人（答复中不包含问题的来源）要求澄清的问题，其他澄清方式为无效。</w:t>
      </w:r>
    </w:p>
    <w:p w14:paraId="6EB6B5A2">
      <w:pPr>
        <w:pStyle w:val="16"/>
        <w:spacing w:line="360" w:lineRule="auto"/>
        <w:rPr>
          <w:rFonts w:hAnsi="宋体"/>
          <w:b/>
          <w:bCs/>
          <w:color w:val="000000"/>
          <w:sz w:val="24"/>
          <w:szCs w:val="24"/>
        </w:rPr>
      </w:pPr>
      <w:r>
        <w:rPr>
          <w:rFonts w:hint="eastAsia" w:hAnsi="宋体"/>
          <w:b/>
          <w:bCs/>
          <w:color w:val="000000"/>
          <w:sz w:val="24"/>
          <w:szCs w:val="24"/>
        </w:rPr>
        <w:t>10. 招标文件的澄清或者修改</w:t>
      </w:r>
    </w:p>
    <w:p w14:paraId="7262FE03">
      <w:pPr>
        <w:spacing w:line="360" w:lineRule="auto"/>
        <w:jc w:val="left"/>
        <w:rPr>
          <w:rFonts w:ascii="宋体" w:hAnsi="宋体"/>
          <w:color w:val="000000"/>
          <w:sz w:val="24"/>
        </w:rPr>
      </w:pPr>
      <w:r>
        <w:rPr>
          <w:rFonts w:hint="eastAsia" w:ascii="宋体" w:hAnsi="宋体"/>
          <w:color w:val="000000"/>
          <w:sz w:val="24"/>
        </w:rPr>
        <w:t>10.1采购代理机构对已发出的招标文件进行必要澄清或者修改的，于招标文件要求提交投标文件截止时间15日前，在财政部门指定的政府采购信息发布媒体上发布澄清公告。该澄清或者修改的内容为招标文件的组成部分。</w:t>
      </w:r>
    </w:p>
    <w:p w14:paraId="5AB7A429">
      <w:pPr>
        <w:spacing w:line="360" w:lineRule="auto"/>
        <w:jc w:val="left"/>
        <w:rPr>
          <w:rFonts w:ascii="宋体" w:hAnsi="宋体"/>
          <w:color w:val="000000"/>
          <w:sz w:val="24"/>
        </w:rPr>
      </w:pPr>
      <w:r>
        <w:rPr>
          <w:rFonts w:hint="eastAsia" w:ascii="宋体" w:hAnsi="宋体"/>
          <w:color w:val="000000"/>
          <w:sz w:val="24"/>
        </w:rPr>
        <w:t>10.2采购代理机构和采购单位可以视采购具体情况，延长投标截止时间和开标时间，但至少在招标文件要求提交投标文件的截止时间前，将变更时间书面通知所有获取招标文件的投标人，并在财政部门指定的政府采购信息发布媒体上发布澄清公告。</w:t>
      </w:r>
    </w:p>
    <w:p w14:paraId="5221A876">
      <w:pPr>
        <w:spacing w:line="360" w:lineRule="auto"/>
        <w:jc w:val="left"/>
        <w:rPr>
          <w:rFonts w:ascii="宋体" w:hAnsi="宋体"/>
          <w:color w:val="000000"/>
          <w:sz w:val="24"/>
        </w:rPr>
      </w:pPr>
      <w:r>
        <w:rPr>
          <w:rFonts w:hint="eastAsia" w:ascii="宋体" w:hAnsi="宋体"/>
          <w:color w:val="000000"/>
          <w:sz w:val="24"/>
        </w:rPr>
        <w:t>10.3招标人对采购文件中的涉及评标办法、评审项目等重要评审内容做出变更，将同时发布补遗文件进行说明以保证各投标人都能重新下载并用于编制电子投标文件。</w:t>
      </w:r>
    </w:p>
    <w:p w14:paraId="7048A276">
      <w:pPr>
        <w:spacing w:line="360" w:lineRule="auto"/>
        <w:jc w:val="left"/>
        <w:rPr>
          <w:rFonts w:ascii="宋体" w:hAnsi="宋体"/>
          <w:color w:val="000000"/>
          <w:sz w:val="24"/>
        </w:rPr>
      </w:pPr>
      <w:r>
        <w:rPr>
          <w:rFonts w:hint="eastAsia" w:ascii="宋体" w:hAnsi="宋体"/>
          <w:color w:val="000000"/>
          <w:sz w:val="24"/>
        </w:rPr>
        <w:t>10.4投标人应在投标截止时间前及时登录云南省政府采购网以及</w:t>
      </w:r>
      <w:r>
        <w:rPr>
          <w:rFonts w:hint="eastAsia" w:ascii="宋体" w:hAnsi="宋体"/>
          <w:sz w:val="24"/>
        </w:rPr>
        <w:t>政府采购云平台（网址：https://www.zcygov.cn/）</w:t>
      </w:r>
      <w:r>
        <w:rPr>
          <w:rFonts w:hint="eastAsia" w:ascii="宋体" w:hAnsi="宋体"/>
          <w:color w:val="000000"/>
          <w:sz w:val="24"/>
        </w:rPr>
        <w:t>中查看有关该项目招标文件的答疑、补遗内容。否则，后果自负。</w:t>
      </w:r>
    </w:p>
    <w:p w14:paraId="2D8D82C7">
      <w:pPr>
        <w:spacing w:line="360" w:lineRule="auto"/>
        <w:jc w:val="left"/>
        <w:rPr>
          <w:rFonts w:ascii="宋体" w:hAnsi="宋体"/>
          <w:color w:val="000000"/>
          <w:sz w:val="24"/>
        </w:rPr>
      </w:pPr>
      <w:r>
        <w:rPr>
          <w:rFonts w:hint="eastAsia" w:ascii="宋体" w:hAnsi="宋体"/>
          <w:color w:val="000000"/>
          <w:sz w:val="24"/>
        </w:rPr>
        <w:t>10.5招标文件澄清、招标文件修改文件内容均以网上电子文件为准，当招标文件、招标文件澄清、招标文件修改文件内容后前相互矛盾时，以最后发出的为准。</w:t>
      </w:r>
    </w:p>
    <w:p w14:paraId="28DED427">
      <w:pPr>
        <w:pStyle w:val="4"/>
        <w:numPr>
          <w:ilvl w:val="0"/>
          <w:numId w:val="0"/>
        </w:numPr>
        <w:ind w:left="425"/>
        <w:jc w:val="center"/>
        <w:rPr>
          <w:rFonts w:ascii="宋体" w:hAnsi="宋体" w:eastAsia="宋体"/>
          <w:color w:val="000000"/>
          <w:sz w:val="30"/>
          <w:szCs w:val="30"/>
        </w:rPr>
      </w:pPr>
      <w:bookmarkStart w:id="47" w:name="_Toc152246145"/>
      <w:bookmarkStart w:id="48" w:name="_Toc70446106"/>
      <w:r>
        <w:rPr>
          <w:rFonts w:hint="eastAsia" w:ascii="宋体" w:hAnsi="宋体" w:eastAsia="宋体"/>
          <w:color w:val="000000"/>
          <w:sz w:val="30"/>
          <w:szCs w:val="30"/>
        </w:rPr>
        <w:t>三、投标文件</w:t>
      </w:r>
      <w:bookmarkEnd w:id="47"/>
      <w:bookmarkEnd w:id="48"/>
    </w:p>
    <w:p w14:paraId="077D9711">
      <w:pPr>
        <w:spacing w:line="360" w:lineRule="auto"/>
        <w:jc w:val="left"/>
        <w:rPr>
          <w:rFonts w:ascii="宋体" w:hAnsi="宋体"/>
          <w:b/>
          <w:color w:val="000000"/>
          <w:sz w:val="24"/>
        </w:rPr>
      </w:pPr>
      <w:r>
        <w:rPr>
          <w:rFonts w:hint="eastAsia" w:ascii="宋体" w:hAnsi="宋体"/>
          <w:b/>
          <w:color w:val="000000"/>
          <w:sz w:val="24"/>
        </w:rPr>
        <w:t>11. 投标文件编写注意事项</w:t>
      </w:r>
    </w:p>
    <w:p w14:paraId="781911CF">
      <w:pPr>
        <w:spacing w:line="360" w:lineRule="auto"/>
        <w:jc w:val="left"/>
        <w:rPr>
          <w:rFonts w:ascii="宋体" w:hAnsi="宋体"/>
          <w:color w:val="000000"/>
          <w:sz w:val="24"/>
        </w:rPr>
      </w:pPr>
      <w:r>
        <w:rPr>
          <w:rFonts w:hint="eastAsia" w:ascii="宋体" w:hAnsi="宋体"/>
          <w:color w:val="000000"/>
          <w:sz w:val="24"/>
        </w:rPr>
        <w:t>11.1投标人应仔细阅读招标文件，在完全了解采购的内容、技术性能要求(详见“</w:t>
      </w:r>
      <w:r>
        <w:rPr>
          <w:rFonts w:hint="eastAsia" w:ascii="宋体" w:hAnsi="宋体"/>
          <w:b/>
          <w:color w:val="000000"/>
          <w:sz w:val="24"/>
        </w:rPr>
        <w:t>项目需求”</w:t>
      </w:r>
      <w:r>
        <w:rPr>
          <w:rFonts w:hint="eastAsia" w:ascii="宋体" w:hAnsi="宋体"/>
          <w:color w:val="000000"/>
          <w:sz w:val="24"/>
        </w:rPr>
        <w:t>)和商务条件后，编写投标文件。</w:t>
      </w:r>
      <w:r>
        <w:rPr>
          <w:rFonts w:hint="eastAsia" w:ascii="宋体" w:hAnsi="宋体"/>
          <w:b/>
          <w:color w:val="000000"/>
          <w:sz w:val="24"/>
        </w:rPr>
        <w:t>招标文件中标注★号的条款为实质性要求和条件，投标文件必须响应招标文件的实质性要求和条件，不满足任何一条将导致投标无效</w:t>
      </w:r>
      <w:r>
        <w:rPr>
          <w:rFonts w:hint="eastAsia" w:ascii="宋体" w:hAnsi="宋体"/>
          <w:color w:val="000000"/>
          <w:sz w:val="24"/>
        </w:rPr>
        <w:t>。</w:t>
      </w:r>
    </w:p>
    <w:p w14:paraId="74CD1999">
      <w:pPr>
        <w:spacing w:line="360" w:lineRule="auto"/>
        <w:jc w:val="left"/>
        <w:rPr>
          <w:rFonts w:ascii="宋体" w:hAnsi="宋体"/>
          <w:color w:val="000000"/>
          <w:sz w:val="24"/>
        </w:rPr>
      </w:pPr>
      <w:r>
        <w:rPr>
          <w:rFonts w:hint="eastAsia" w:ascii="宋体" w:hAnsi="宋体"/>
          <w:color w:val="000000"/>
          <w:sz w:val="24"/>
        </w:rPr>
        <w:t>11.2 对招标文件提出的实质性要求和条件作出响应是指：投标人必须对招标文件中的实质性要求和条件的内容作出满足或者优于原要求和条件的承诺，并提供相应的证明材料。</w:t>
      </w:r>
    </w:p>
    <w:p w14:paraId="7B5BF5E5">
      <w:pPr>
        <w:spacing w:line="360" w:lineRule="auto"/>
        <w:jc w:val="left"/>
        <w:rPr>
          <w:rFonts w:ascii="宋体" w:hAnsi="宋体"/>
          <w:b/>
          <w:color w:val="000000"/>
          <w:sz w:val="24"/>
        </w:rPr>
      </w:pPr>
      <w:r>
        <w:rPr>
          <w:rFonts w:hint="eastAsia" w:ascii="宋体" w:hAnsi="宋体"/>
          <w:b/>
          <w:color w:val="000000"/>
          <w:sz w:val="24"/>
        </w:rPr>
        <w:t>12. 投标的语言及计量单位</w:t>
      </w:r>
    </w:p>
    <w:p w14:paraId="11F54103">
      <w:pPr>
        <w:spacing w:line="360" w:lineRule="auto"/>
        <w:jc w:val="left"/>
        <w:rPr>
          <w:rFonts w:ascii="宋体" w:hAnsi="宋体"/>
          <w:color w:val="000000"/>
          <w:sz w:val="24"/>
        </w:rPr>
      </w:pPr>
      <w:r>
        <w:rPr>
          <w:rFonts w:hint="eastAsia" w:ascii="宋体" w:hAnsi="宋体"/>
          <w:color w:val="000000"/>
          <w:sz w:val="24"/>
        </w:rPr>
        <w:t>12.1投标人的投标文件以及投标人与采购代理机构就有关投标的所有来往函电统一使用中文（特别规定除外）。</w:t>
      </w:r>
    </w:p>
    <w:p w14:paraId="08CBDC72">
      <w:pPr>
        <w:spacing w:line="360" w:lineRule="auto"/>
        <w:jc w:val="left"/>
        <w:rPr>
          <w:rFonts w:ascii="宋体" w:hAnsi="宋体"/>
          <w:color w:val="000000"/>
          <w:sz w:val="24"/>
        </w:rPr>
      </w:pPr>
      <w:r>
        <w:rPr>
          <w:rFonts w:hint="eastAsia" w:ascii="宋体" w:hAnsi="宋体"/>
          <w:color w:val="000000"/>
          <w:sz w:val="24"/>
        </w:rPr>
        <w:t>12.2投标文件中使用的计量单位除招标文件中有特殊规定外，一律使用中国法定计量单位。</w:t>
      </w:r>
    </w:p>
    <w:p w14:paraId="0FD4B86A">
      <w:pPr>
        <w:spacing w:line="360" w:lineRule="auto"/>
        <w:jc w:val="left"/>
        <w:rPr>
          <w:rFonts w:ascii="宋体" w:hAnsi="宋体"/>
          <w:b/>
          <w:color w:val="000000"/>
          <w:sz w:val="24"/>
        </w:rPr>
      </w:pPr>
      <w:r>
        <w:rPr>
          <w:rFonts w:hint="eastAsia" w:ascii="宋体" w:hAnsi="宋体"/>
          <w:b/>
          <w:color w:val="000000"/>
          <w:sz w:val="24"/>
        </w:rPr>
        <w:t>13. 投标文件构成</w:t>
      </w:r>
    </w:p>
    <w:p w14:paraId="6EB37A6B">
      <w:pPr>
        <w:spacing w:line="360" w:lineRule="auto"/>
        <w:jc w:val="left"/>
        <w:rPr>
          <w:rFonts w:ascii="宋体" w:hAnsi="宋体"/>
          <w:color w:val="000000"/>
          <w:sz w:val="24"/>
        </w:rPr>
      </w:pPr>
      <w:r>
        <w:rPr>
          <w:rFonts w:hint="eastAsia" w:ascii="宋体" w:hAnsi="宋体"/>
          <w:color w:val="000000"/>
          <w:sz w:val="24"/>
        </w:rPr>
        <w:t>13.1投标人编写的投标文件应按第四章“投标文件格式”要求填写。有关文件的提交如未特别注明需提供原件的，可提供扫描件。</w:t>
      </w:r>
    </w:p>
    <w:p w14:paraId="766C58BF">
      <w:pPr>
        <w:spacing w:line="360" w:lineRule="auto"/>
        <w:jc w:val="left"/>
        <w:rPr>
          <w:rFonts w:ascii="宋体" w:hAnsi="宋体"/>
          <w:color w:val="000000"/>
          <w:sz w:val="24"/>
        </w:rPr>
      </w:pPr>
      <w:r>
        <w:rPr>
          <w:rFonts w:hint="eastAsia" w:ascii="宋体" w:hAnsi="宋体"/>
          <w:color w:val="000000"/>
          <w:sz w:val="24"/>
        </w:rPr>
        <w:t>13.2投标人同时投多个包（</w:t>
      </w:r>
      <w:r>
        <w:rPr>
          <w:rFonts w:hint="eastAsia" w:ascii="宋体" w:hAnsi="宋体"/>
          <w:b/>
          <w:color w:val="000000"/>
          <w:sz w:val="24"/>
        </w:rPr>
        <w:t>若分包时</w:t>
      </w:r>
      <w:r>
        <w:rPr>
          <w:rFonts w:hint="eastAsia" w:ascii="宋体" w:hAnsi="宋体"/>
          <w:color w:val="000000"/>
          <w:sz w:val="24"/>
        </w:rPr>
        <w:t>）的，投标文件应按包分别编制和上传。</w:t>
      </w:r>
    </w:p>
    <w:p w14:paraId="35959D96">
      <w:pPr>
        <w:spacing w:line="360" w:lineRule="auto"/>
        <w:jc w:val="left"/>
        <w:rPr>
          <w:rFonts w:ascii="宋体" w:hAnsi="宋体"/>
          <w:b/>
          <w:color w:val="000000"/>
          <w:sz w:val="24"/>
        </w:rPr>
      </w:pPr>
      <w:r>
        <w:rPr>
          <w:rFonts w:hint="eastAsia" w:ascii="宋体" w:hAnsi="宋体"/>
          <w:b/>
          <w:color w:val="000000"/>
          <w:sz w:val="24"/>
        </w:rPr>
        <w:t>14. 投标文件的格式要求</w:t>
      </w:r>
    </w:p>
    <w:p w14:paraId="47CB4342">
      <w:pPr>
        <w:pStyle w:val="16"/>
        <w:tabs>
          <w:tab w:val="left" w:pos="3030"/>
        </w:tabs>
        <w:spacing w:line="360" w:lineRule="auto"/>
        <w:rPr>
          <w:rFonts w:hAnsi="宋体"/>
          <w:bCs/>
          <w:color w:val="000000"/>
          <w:sz w:val="24"/>
          <w:szCs w:val="24"/>
        </w:rPr>
      </w:pPr>
      <w:r>
        <w:rPr>
          <w:rFonts w:hint="eastAsia" w:hAnsi="宋体"/>
          <w:color w:val="000000"/>
          <w:sz w:val="24"/>
          <w:szCs w:val="24"/>
        </w:rPr>
        <w:t>14.1投标人应按第四章</w:t>
      </w:r>
      <w:r>
        <w:rPr>
          <w:rFonts w:hint="eastAsia" w:hAnsi="宋体"/>
          <w:color w:val="000000"/>
          <w:sz w:val="24"/>
        </w:rPr>
        <w:t>“</w:t>
      </w:r>
      <w:r>
        <w:rPr>
          <w:rFonts w:hint="eastAsia" w:hAnsi="宋体"/>
          <w:b/>
          <w:color w:val="000000"/>
          <w:sz w:val="24"/>
        </w:rPr>
        <w:t>投标文件格式</w:t>
      </w:r>
      <w:r>
        <w:rPr>
          <w:rFonts w:hint="eastAsia" w:hAnsi="宋体"/>
          <w:color w:val="000000"/>
          <w:sz w:val="24"/>
        </w:rPr>
        <w:t>”</w:t>
      </w:r>
      <w:r>
        <w:rPr>
          <w:rFonts w:hint="eastAsia" w:hAnsi="宋体"/>
          <w:color w:val="000000"/>
          <w:sz w:val="24"/>
          <w:szCs w:val="24"/>
        </w:rPr>
        <w:t>提供的格式完整地填写。</w:t>
      </w:r>
    </w:p>
    <w:p w14:paraId="5BE0048E">
      <w:pPr>
        <w:spacing w:line="360" w:lineRule="auto"/>
        <w:jc w:val="left"/>
        <w:rPr>
          <w:rFonts w:ascii="宋体" w:hAnsi="宋体"/>
          <w:b/>
          <w:color w:val="000000"/>
          <w:sz w:val="24"/>
        </w:rPr>
      </w:pPr>
      <w:r>
        <w:rPr>
          <w:rFonts w:hint="eastAsia" w:ascii="宋体" w:hAnsi="宋体"/>
          <w:b/>
          <w:color w:val="000000"/>
          <w:sz w:val="24"/>
        </w:rPr>
        <w:t>15. 投标报价</w:t>
      </w:r>
    </w:p>
    <w:p w14:paraId="3C1BA3A9">
      <w:pPr>
        <w:pStyle w:val="16"/>
        <w:spacing w:line="360" w:lineRule="auto"/>
        <w:rPr>
          <w:rFonts w:hAnsi="宋体"/>
          <w:color w:val="000000"/>
          <w:sz w:val="24"/>
          <w:szCs w:val="24"/>
        </w:rPr>
      </w:pPr>
      <w:r>
        <w:rPr>
          <w:rFonts w:hint="eastAsia" w:hAnsi="宋体"/>
          <w:b/>
          <w:color w:val="000000"/>
          <w:sz w:val="24"/>
        </w:rPr>
        <w:t>★</w:t>
      </w:r>
      <w:r>
        <w:rPr>
          <w:rFonts w:hint="eastAsia" w:hAnsi="宋体"/>
          <w:color w:val="000000"/>
          <w:sz w:val="24"/>
          <w:szCs w:val="24"/>
        </w:rPr>
        <w:t>15.1本项目</w:t>
      </w:r>
      <w:r>
        <w:rPr>
          <w:rFonts w:hint="eastAsia" w:hAnsi="宋体"/>
          <w:b/>
          <w:color w:val="000000"/>
          <w:sz w:val="24"/>
          <w:szCs w:val="24"/>
        </w:rPr>
        <w:t>预算金额及最高限价</w:t>
      </w:r>
      <w:r>
        <w:rPr>
          <w:rFonts w:hint="eastAsia" w:hAnsi="宋体"/>
          <w:color w:val="000000"/>
          <w:sz w:val="24"/>
          <w:szCs w:val="24"/>
        </w:rPr>
        <w:t>见</w:t>
      </w:r>
      <w:r>
        <w:rPr>
          <w:rFonts w:hint="eastAsia" w:hAnsi="宋体"/>
          <w:color w:val="000000"/>
          <w:sz w:val="24"/>
        </w:rPr>
        <w:t>“</w:t>
      </w:r>
      <w:r>
        <w:rPr>
          <w:rFonts w:hint="eastAsia" w:hAnsi="宋体"/>
          <w:b/>
          <w:bCs/>
          <w:color w:val="000000"/>
          <w:sz w:val="24"/>
        </w:rPr>
        <w:t>投标人须知前附表</w:t>
      </w:r>
      <w:r>
        <w:rPr>
          <w:rFonts w:hint="eastAsia" w:hAnsi="宋体"/>
          <w:color w:val="000000"/>
          <w:sz w:val="24"/>
        </w:rPr>
        <w:t>”，若投标人的投标报价超过预算金额或最高限价，</w:t>
      </w:r>
      <w:r>
        <w:rPr>
          <w:rFonts w:hint="eastAsia" w:hAnsi="宋体"/>
          <w:bCs/>
          <w:color w:val="000000"/>
          <w:sz w:val="24"/>
        </w:rPr>
        <w:t>按不实质性响应招标文件要求处理</w:t>
      </w:r>
      <w:r>
        <w:rPr>
          <w:rFonts w:hint="eastAsia" w:hAnsi="宋体"/>
          <w:color w:val="000000"/>
          <w:sz w:val="24"/>
        </w:rPr>
        <w:t>。</w:t>
      </w:r>
    </w:p>
    <w:p w14:paraId="0B626FB3">
      <w:pPr>
        <w:pStyle w:val="16"/>
        <w:spacing w:line="360" w:lineRule="auto"/>
        <w:rPr>
          <w:rFonts w:hAnsi="宋体"/>
          <w:color w:val="000000"/>
          <w:sz w:val="24"/>
          <w:szCs w:val="24"/>
        </w:rPr>
      </w:pPr>
      <w:r>
        <w:rPr>
          <w:rFonts w:hint="eastAsia" w:hAnsi="宋体"/>
          <w:color w:val="000000"/>
          <w:sz w:val="24"/>
          <w:szCs w:val="24"/>
        </w:rPr>
        <w:t>15.2投标人须就“</w:t>
      </w:r>
      <w:r>
        <w:rPr>
          <w:rFonts w:hint="eastAsia" w:hAnsi="宋体"/>
          <w:b/>
          <w:color w:val="000000"/>
          <w:sz w:val="24"/>
          <w:szCs w:val="24"/>
        </w:rPr>
        <w:t>项目需求及服务要求</w:t>
      </w:r>
      <w:r>
        <w:rPr>
          <w:rFonts w:hint="eastAsia" w:hAnsi="宋体"/>
          <w:color w:val="000000"/>
          <w:sz w:val="24"/>
          <w:szCs w:val="24"/>
        </w:rPr>
        <w:t>”中的</w:t>
      </w:r>
      <w:r>
        <w:rPr>
          <w:rFonts w:hint="eastAsia" w:hAnsi="宋体"/>
          <w:b/>
          <w:bCs/>
          <w:color w:val="000000"/>
          <w:sz w:val="24"/>
          <w:szCs w:val="24"/>
        </w:rPr>
        <w:t>所投项目内容作完整唯一报价</w:t>
      </w:r>
      <w:r>
        <w:rPr>
          <w:rFonts w:hint="eastAsia" w:hAnsi="宋体"/>
          <w:color w:val="000000"/>
          <w:sz w:val="24"/>
          <w:szCs w:val="24"/>
        </w:rPr>
        <w:t>。</w:t>
      </w:r>
    </w:p>
    <w:p w14:paraId="5A63EFAE">
      <w:pPr>
        <w:spacing w:line="360" w:lineRule="auto"/>
        <w:rPr>
          <w:rFonts w:ascii="宋体" w:hAnsi="宋体"/>
          <w:sz w:val="24"/>
        </w:rPr>
      </w:pPr>
      <w:r>
        <w:rPr>
          <w:rFonts w:hint="eastAsia" w:ascii="宋体" w:hAnsi="宋体"/>
          <w:sz w:val="24"/>
        </w:rPr>
        <w:t>15.3投标人应依据招标文件的要求及有关资料，按国家或行业现行技术经济标准、定额及规范，自行测算出满足招标要求的投标服务的竞争性报价。</w:t>
      </w:r>
      <w:r>
        <w:rPr>
          <w:rFonts w:hint="eastAsia" w:ascii="宋体" w:hAnsi="宋体"/>
          <w:b/>
          <w:sz w:val="24"/>
        </w:rPr>
        <w:t>投标报价包括但不仅限于</w:t>
      </w:r>
      <w:r>
        <w:rPr>
          <w:rFonts w:hint="eastAsia" w:ascii="宋体" w:hAnsi="宋体"/>
          <w:sz w:val="24"/>
        </w:rPr>
        <w:t>物流运输费用、临时仓储费用、相关配套服务费用（供应商赴采购方指定地点上门提货、装箱分拣、外包装覆膜、送货上门、入库按要求摆放、运输材料、货物保险、临时仓储等全部相关服务内容）、人工费、服务费等完成本项目所需的各种费用及必要的保险费用、市场价格的变化、利润及税金等所有费用的总和，为</w:t>
      </w:r>
      <w:r>
        <w:rPr>
          <w:rFonts w:hint="eastAsia" w:ascii="宋体" w:hAnsi="宋体"/>
          <w:b/>
          <w:sz w:val="24"/>
        </w:rPr>
        <w:t>综合单价</w:t>
      </w:r>
      <w:r>
        <w:rPr>
          <w:rFonts w:hint="eastAsia" w:ascii="宋体" w:hAnsi="宋体"/>
          <w:sz w:val="24"/>
        </w:rPr>
        <w:t>。</w:t>
      </w:r>
      <w:r>
        <w:rPr>
          <w:rFonts w:hint="eastAsia" w:ascii="宋体" w:hAnsi="宋体"/>
          <w:b/>
          <w:sz w:val="24"/>
        </w:rPr>
        <w:t>最终合同结算价</w:t>
      </w:r>
      <w:r>
        <w:rPr>
          <w:rFonts w:hint="eastAsia" w:ascii="宋体" w:hAnsi="宋体"/>
          <w:sz w:val="24"/>
        </w:rPr>
        <w:t>以实际运输量乘以综合单价进行结算，结算金额不超过合同暂估总价（预算金额）。</w:t>
      </w:r>
    </w:p>
    <w:p w14:paraId="2C7269BD">
      <w:pPr>
        <w:spacing w:line="360" w:lineRule="auto"/>
        <w:rPr>
          <w:rFonts w:ascii="宋体" w:hAnsi="宋体"/>
          <w:sz w:val="24"/>
        </w:rPr>
      </w:pPr>
      <w:r>
        <w:rPr>
          <w:rFonts w:hint="eastAsia" w:ascii="宋体" w:hAnsi="宋体"/>
          <w:sz w:val="24"/>
        </w:rPr>
        <w:t>15.4投标人的投标报价应符合国内行情并能保证投标人完成履行合同所需的一切工作。合同一旦签订，此合同价格（物流服务综合单价）在合同实施期间不因具体承担物流及跟踪管理服务内容和工作量的增加而调整；在合同实施期间，本项目物流服务综合单价除国际、国内行情涨跌幅度达5%以上（不含5%）外，不因国家政策或法规、标准的变化而发生变化，即：合同实施期间该单价均不作调整。</w:t>
      </w:r>
    </w:p>
    <w:p w14:paraId="3C4F4390">
      <w:pPr>
        <w:pStyle w:val="16"/>
        <w:spacing w:line="360" w:lineRule="auto"/>
        <w:rPr>
          <w:rFonts w:hAnsi="宋体"/>
          <w:color w:val="000000"/>
          <w:sz w:val="24"/>
        </w:rPr>
      </w:pPr>
      <w:r>
        <w:rPr>
          <w:rFonts w:hint="eastAsia" w:hAnsi="宋体"/>
          <w:color w:val="000000"/>
          <w:sz w:val="24"/>
        </w:rPr>
        <w:t>15.4投标人的投标报价应符合国内行情并能保证投标人完成履行合同所需的一切工作。合同一旦签订，此合同价格除上述情形外在合同实施期间将不因市场价格等的变化而调整。</w:t>
      </w:r>
    </w:p>
    <w:p w14:paraId="47DFC53A">
      <w:pPr>
        <w:spacing w:line="360" w:lineRule="auto"/>
        <w:jc w:val="left"/>
        <w:rPr>
          <w:rFonts w:ascii="宋体" w:hAnsi="宋体"/>
          <w:b/>
          <w:color w:val="000000"/>
          <w:sz w:val="24"/>
        </w:rPr>
      </w:pPr>
      <w:r>
        <w:rPr>
          <w:rFonts w:hint="eastAsia" w:ascii="宋体" w:hAnsi="宋体"/>
          <w:b/>
          <w:color w:val="000000"/>
          <w:sz w:val="24"/>
        </w:rPr>
        <w:t>16. 投标货币</w:t>
      </w:r>
    </w:p>
    <w:p w14:paraId="6E9E1AB5">
      <w:pPr>
        <w:pStyle w:val="16"/>
        <w:spacing w:line="360" w:lineRule="auto"/>
        <w:rPr>
          <w:rFonts w:hAnsi="宋体"/>
          <w:bCs/>
          <w:color w:val="000000"/>
          <w:sz w:val="24"/>
          <w:szCs w:val="24"/>
        </w:rPr>
      </w:pPr>
      <w:r>
        <w:rPr>
          <w:rFonts w:hint="eastAsia" w:hAnsi="宋体"/>
          <w:color w:val="000000"/>
          <w:sz w:val="24"/>
          <w:szCs w:val="24"/>
        </w:rPr>
        <w:t>16.1投标以人民币报价。</w:t>
      </w:r>
    </w:p>
    <w:p w14:paraId="42738D63">
      <w:pPr>
        <w:spacing w:line="360" w:lineRule="auto"/>
        <w:jc w:val="left"/>
        <w:rPr>
          <w:rFonts w:ascii="宋体" w:hAnsi="宋体"/>
          <w:b/>
          <w:color w:val="000000"/>
          <w:sz w:val="24"/>
        </w:rPr>
      </w:pPr>
      <w:r>
        <w:rPr>
          <w:rFonts w:hint="eastAsia" w:ascii="宋体" w:hAnsi="宋体"/>
          <w:b/>
          <w:color w:val="000000"/>
          <w:sz w:val="24"/>
        </w:rPr>
        <w:t>17. 投标文件有效期</w:t>
      </w:r>
    </w:p>
    <w:p w14:paraId="6603DDB6">
      <w:pPr>
        <w:pStyle w:val="16"/>
        <w:spacing w:line="360" w:lineRule="auto"/>
        <w:ind w:left="720" w:hanging="720" w:hangingChars="300"/>
        <w:rPr>
          <w:rFonts w:hAnsi="宋体"/>
          <w:color w:val="000000"/>
          <w:sz w:val="24"/>
          <w:szCs w:val="24"/>
        </w:rPr>
      </w:pPr>
      <w:r>
        <w:rPr>
          <w:rFonts w:hint="eastAsia" w:hAnsi="宋体"/>
          <w:color w:val="000000"/>
          <w:sz w:val="24"/>
          <w:szCs w:val="24"/>
        </w:rPr>
        <w:t>17.1</w:t>
      </w:r>
      <w:r>
        <w:rPr>
          <w:rFonts w:hAnsi="宋体"/>
          <w:color w:val="000000"/>
          <w:sz w:val="24"/>
          <w:szCs w:val="24"/>
        </w:rPr>
        <w:t>在“</w:t>
      </w:r>
      <w:r>
        <w:rPr>
          <w:rFonts w:hAnsi="宋体"/>
          <w:b/>
          <w:bCs/>
          <w:color w:val="000000"/>
          <w:sz w:val="24"/>
          <w:szCs w:val="24"/>
        </w:rPr>
        <w:t>投标人须知前附表</w:t>
      </w:r>
      <w:r>
        <w:rPr>
          <w:rFonts w:hAnsi="宋体"/>
          <w:color w:val="000000"/>
          <w:sz w:val="24"/>
          <w:szCs w:val="24"/>
        </w:rPr>
        <w:t>”规定的投标有效期内，投标人不得要求撤销或修改其投标文件。</w:t>
      </w:r>
    </w:p>
    <w:p w14:paraId="3D5D8BA6">
      <w:pPr>
        <w:spacing w:line="360" w:lineRule="auto"/>
        <w:jc w:val="left"/>
        <w:rPr>
          <w:rFonts w:ascii="宋体" w:hAnsi="宋体"/>
          <w:color w:val="000000"/>
          <w:sz w:val="24"/>
        </w:rPr>
      </w:pPr>
      <w:r>
        <w:rPr>
          <w:rFonts w:hint="eastAsia" w:hAnsi="宋体"/>
          <w:b/>
          <w:color w:val="000000"/>
          <w:sz w:val="24"/>
        </w:rPr>
        <w:t>★</w:t>
      </w:r>
      <w:r>
        <w:rPr>
          <w:rFonts w:hint="eastAsia" w:ascii="宋体" w:hAnsi="宋体"/>
          <w:color w:val="000000"/>
          <w:sz w:val="24"/>
        </w:rPr>
        <w:t>17.2投标有效期从提交投标文件的截止之日起算。投标文件中承诺的投标有效期应当不少于招标文件中载明的投标有效期。投标有效期内投标人撤销投标文件的，采购代理机构可以不退还投标保证金。</w:t>
      </w:r>
    </w:p>
    <w:p w14:paraId="48C334CC">
      <w:pPr>
        <w:spacing w:line="360" w:lineRule="auto"/>
        <w:jc w:val="left"/>
        <w:rPr>
          <w:rFonts w:ascii="宋体" w:hAnsi="宋体"/>
          <w:color w:val="000000"/>
          <w:sz w:val="24"/>
        </w:rPr>
      </w:pPr>
      <w:r>
        <w:rPr>
          <w:rFonts w:ascii="宋体" w:hAnsi="宋体"/>
          <w:color w:val="000000"/>
          <w:sz w:val="24"/>
        </w:rPr>
        <w:t>17.3</w:t>
      </w:r>
      <w:r>
        <w:rPr>
          <w:rFonts w:hint="eastAsia" w:ascii="宋体" w:hAnsi="宋体"/>
          <w:color w:val="000000"/>
          <w:sz w:val="24"/>
        </w:rPr>
        <w:t>在</w:t>
      </w:r>
      <w:r>
        <w:rPr>
          <w:rFonts w:ascii="宋体" w:hAnsi="宋体"/>
          <w:color w:val="000000"/>
          <w:sz w:val="24"/>
        </w:rPr>
        <w:t>特殊情况需要延长投标有效期的，</w:t>
      </w:r>
      <w:r>
        <w:rPr>
          <w:rFonts w:hint="eastAsia" w:ascii="宋体" w:hAnsi="宋体"/>
          <w:color w:val="000000"/>
          <w:sz w:val="24"/>
        </w:rPr>
        <w:t>采购人</w:t>
      </w:r>
      <w:r>
        <w:rPr>
          <w:rFonts w:ascii="宋体" w:hAnsi="宋体"/>
          <w:color w:val="000000"/>
          <w:sz w:val="24"/>
        </w:rPr>
        <w:t>以书面形式通知所有投标人延长投标有效期。投标人同意延长的，应相应延长其投标保证金的有效期，但不得要求或被允许修改或撤销其投标文件；投标人拒绝延长的，其投标</w:t>
      </w:r>
      <w:r>
        <w:rPr>
          <w:rFonts w:hint="eastAsia" w:ascii="宋体" w:hAnsi="宋体"/>
          <w:color w:val="000000"/>
          <w:sz w:val="24"/>
        </w:rPr>
        <w:t>文件</w:t>
      </w:r>
      <w:r>
        <w:rPr>
          <w:rFonts w:ascii="宋体" w:hAnsi="宋体"/>
          <w:color w:val="000000"/>
          <w:sz w:val="24"/>
        </w:rPr>
        <w:t>失效，但投标人有权收回其投标保证金。</w:t>
      </w:r>
    </w:p>
    <w:p w14:paraId="03CD599E">
      <w:pPr>
        <w:spacing w:line="360" w:lineRule="auto"/>
        <w:jc w:val="left"/>
        <w:rPr>
          <w:rFonts w:ascii="宋体" w:hAnsi="宋体"/>
          <w:b/>
          <w:color w:val="000000"/>
          <w:sz w:val="24"/>
        </w:rPr>
      </w:pPr>
      <w:r>
        <w:rPr>
          <w:rFonts w:hint="eastAsia" w:ascii="宋体" w:hAnsi="宋体"/>
          <w:b/>
          <w:color w:val="000000"/>
          <w:sz w:val="24"/>
        </w:rPr>
        <w:t>1</w:t>
      </w:r>
      <w:r>
        <w:rPr>
          <w:rFonts w:ascii="宋体" w:hAnsi="宋体"/>
          <w:b/>
          <w:color w:val="000000"/>
          <w:sz w:val="24"/>
        </w:rPr>
        <w:t>8</w:t>
      </w:r>
      <w:r>
        <w:rPr>
          <w:rFonts w:hint="eastAsia" w:ascii="宋体" w:hAnsi="宋体"/>
          <w:b/>
          <w:color w:val="000000"/>
          <w:sz w:val="24"/>
        </w:rPr>
        <w:t>.分包</w:t>
      </w:r>
    </w:p>
    <w:p w14:paraId="77F3BE43">
      <w:pPr>
        <w:spacing w:line="360" w:lineRule="auto"/>
        <w:jc w:val="left"/>
        <w:rPr>
          <w:rFonts w:ascii="inherit" w:hAnsi="inherit" w:cs="宋体"/>
          <w:color w:val="000000"/>
          <w:kern w:val="0"/>
          <w:sz w:val="24"/>
        </w:rPr>
      </w:pPr>
      <w:r>
        <w:rPr>
          <w:rFonts w:hint="eastAsia" w:hAnsi="宋体"/>
          <w:color w:val="000000"/>
          <w:sz w:val="24"/>
        </w:rPr>
        <w:t>1</w:t>
      </w:r>
      <w:r>
        <w:rPr>
          <w:rFonts w:hAnsi="宋体"/>
          <w:color w:val="000000"/>
          <w:sz w:val="24"/>
        </w:rPr>
        <w:t>8</w:t>
      </w:r>
      <w:r>
        <w:rPr>
          <w:rFonts w:hint="eastAsia" w:hAnsi="宋体"/>
          <w:color w:val="000000"/>
          <w:sz w:val="24"/>
        </w:rPr>
        <w:t>.1</w:t>
      </w:r>
      <w:r>
        <w:rPr>
          <w:rFonts w:hAnsi="宋体"/>
          <w:color w:val="000000"/>
          <w:sz w:val="24"/>
        </w:rPr>
        <w:t>“</w:t>
      </w:r>
      <w:r>
        <w:rPr>
          <w:rFonts w:hAnsi="宋体"/>
          <w:b/>
          <w:color w:val="000000"/>
          <w:sz w:val="24"/>
        </w:rPr>
        <w:t>投标人须知前附表</w:t>
      </w:r>
      <w:r>
        <w:rPr>
          <w:rFonts w:hAnsi="宋体"/>
          <w:color w:val="000000"/>
          <w:sz w:val="24"/>
        </w:rPr>
        <w:t>”规定</w:t>
      </w:r>
      <w:r>
        <w:rPr>
          <w:rFonts w:hint="eastAsia" w:hAnsi="宋体"/>
          <w:color w:val="000000"/>
          <w:sz w:val="24"/>
        </w:rPr>
        <w:t>允许分包的项目，投标人在中标后只能将项目的非主体、</w:t>
      </w:r>
      <w:r>
        <w:rPr>
          <w:rFonts w:ascii="inherit" w:hAnsi="inherit" w:cs="宋体"/>
          <w:color w:val="000000"/>
          <w:kern w:val="0"/>
          <w:sz w:val="24"/>
        </w:rPr>
        <w:t>非关键性工作分包</w:t>
      </w:r>
      <w:r>
        <w:rPr>
          <w:rFonts w:hint="eastAsia" w:ascii="inherit" w:hAnsi="inherit" w:cs="宋体"/>
          <w:color w:val="000000"/>
          <w:kern w:val="0"/>
          <w:sz w:val="24"/>
        </w:rPr>
        <w:t>。投标人</w:t>
      </w:r>
      <w:r>
        <w:rPr>
          <w:rFonts w:ascii="inherit" w:hAnsi="inherit" w:cs="宋体"/>
          <w:color w:val="000000"/>
          <w:kern w:val="0"/>
          <w:sz w:val="24"/>
        </w:rPr>
        <w:t>应当在投标文件中载明分包承担主体，分包承担主体应当具备相应资质条件且不得再次分包。</w:t>
      </w:r>
    </w:p>
    <w:p w14:paraId="5CD71590">
      <w:pPr>
        <w:spacing w:line="360" w:lineRule="auto"/>
        <w:jc w:val="left"/>
        <w:rPr>
          <w:rFonts w:asciiTheme="minorEastAsia" w:hAnsiTheme="minorEastAsia" w:eastAsiaTheme="minorEastAsia"/>
          <w:color w:val="000000"/>
          <w:sz w:val="24"/>
        </w:rPr>
      </w:pPr>
      <w:r>
        <w:rPr>
          <w:rFonts w:hint="eastAsia" w:asciiTheme="minorEastAsia" w:hAnsiTheme="minorEastAsia" w:eastAsiaTheme="minorEastAsia"/>
          <w:b/>
          <w:color w:val="000000"/>
          <w:sz w:val="24"/>
        </w:rPr>
        <w:t>★</w:t>
      </w:r>
      <w:r>
        <w:rPr>
          <w:rFonts w:hint="eastAsia" w:cs="宋体" w:asciiTheme="minorEastAsia" w:hAnsiTheme="minorEastAsia" w:eastAsiaTheme="minorEastAsia"/>
          <w:b/>
          <w:color w:val="000000"/>
          <w:kern w:val="0"/>
          <w:sz w:val="24"/>
        </w:rPr>
        <w:t xml:space="preserve">19. </w:t>
      </w:r>
      <w:r>
        <w:rPr>
          <w:rFonts w:cs="宋体" w:asciiTheme="minorEastAsia" w:hAnsiTheme="minorEastAsia" w:eastAsiaTheme="minorEastAsia"/>
          <w:b/>
          <w:color w:val="000000"/>
          <w:kern w:val="0"/>
          <w:sz w:val="24"/>
        </w:rPr>
        <w:t>投标人应当遵循公平竞争的原则，不得恶意串通，不得妨碍其他投标人的竞争行为，不得损害采购人或者其他投标人的合法权益</w:t>
      </w:r>
      <w:r>
        <w:rPr>
          <w:rFonts w:cs="宋体" w:asciiTheme="minorEastAsia" w:hAnsiTheme="minorEastAsia" w:eastAsiaTheme="minorEastAsia"/>
          <w:color w:val="000000"/>
          <w:kern w:val="0"/>
          <w:sz w:val="24"/>
        </w:rPr>
        <w:t>。</w:t>
      </w:r>
    </w:p>
    <w:p w14:paraId="42630DA7">
      <w:pPr>
        <w:spacing w:line="360" w:lineRule="auto"/>
        <w:jc w:val="left"/>
        <w:rPr>
          <w:rFonts w:ascii="宋体" w:hAnsi="宋体"/>
          <w:b/>
          <w:sz w:val="24"/>
        </w:rPr>
      </w:pPr>
      <w:r>
        <w:rPr>
          <w:rFonts w:ascii="宋体" w:hAnsi="宋体"/>
          <w:b/>
          <w:sz w:val="24"/>
        </w:rPr>
        <w:t>20</w:t>
      </w:r>
      <w:r>
        <w:rPr>
          <w:rFonts w:hint="eastAsia" w:ascii="宋体" w:hAnsi="宋体"/>
          <w:b/>
          <w:sz w:val="24"/>
        </w:rPr>
        <w:t>. 投标文件的编制</w:t>
      </w:r>
    </w:p>
    <w:p w14:paraId="6D0F9F6D">
      <w:pPr>
        <w:pStyle w:val="16"/>
        <w:spacing w:line="360" w:lineRule="auto"/>
        <w:rPr>
          <w:rFonts w:hAnsi="宋体"/>
          <w:sz w:val="24"/>
          <w:szCs w:val="24"/>
        </w:rPr>
      </w:pPr>
      <w:r>
        <w:rPr>
          <w:rFonts w:hint="eastAsia" w:hAnsi="宋体"/>
          <w:sz w:val="24"/>
          <w:szCs w:val="24"/>
        </w:rPr>
        <w:t>20.1投标文件全部采用电子文档，投标人应安装客户端软件—“政采云电子交易客户端”，并按照招标文件和政采云电子交易平台的要求编制，编制后应进行电子签名及加密。</w:t>
      </w:r>
    </w:p>
    <w:p w14:paraId="0B63F7AF">
      <w:pPr>
        <w:pStyle w:val="16"/>
        <w:spacing w:line="360" w:lineRule="auto"/>
        <w:rPr>
          <w:rFonts w:hAnsi="宋体"/>
          <w:sz w:val="24"/>
          <w:szCs w:val="24"/>
        </w:rPr>
      </w:pPr>
      <w:r>
        <w:rPr>
          <w:rFonts w:hint="eastAsia" w:hAnsi="宋体"/>
          <w:sz w:val="24"/>
          <w:szCs w:val="24"/>
        </w:rPr>
        <w:t>★20.2如投标人提交的电子标书不符合20.1要求或开标时无法读取导入或解密，其投标文件将不予受理。</w:t>
      </w:r>
    </w:p>
    <w:p w14:paraId="1521BB62">
      <w:pPr>
        <w:pStyle w:val="16"/>
        <w:spacing w:line="360" w:lineRule="auto"/>
        <w:rPr>
          <w:rFonts w:hAnsi="宋体"/>
          <w:sz w:val="24"/>
          <w:szCs w:val="24"/>
        </w:rPr>
      </w:pPr>
      <w:r>
        <w:rPr>
          <w:rFonts w:hint="eastAsia" w:hAnsi="宋体"/>
          <w:sz w:val="24"/>
          <w:szCs w:val="24"/>
        </w:rPr>
        <w:t>20.3投标文件应尽量避免涂改、行间插字或删除。如果出现上述情况，改动之处应加盖单位章或由投标人的法定代表人/单位负责人（签名或盖章）确认。</w:t>
      </w:r>
    </w:p>
    <w:p w14:paraId="4A1E6B07">
      <w:pPr>
        <w:spacing w:line="360" w:lineRule="auto"/>
        <w:jc w:val="left"/>
        <w:rPr>
          <w:rFonts w:ascii="宋体" w:hAnsi="宋体"/>
          <w:sz w:val="24"/>
        </w:rPr>
      </w:pPr>
      <w:r>
        <w:rPr>
          <w:rFonts w:hint="eastAsia" w:ascii="宋体" w:hAnsi="宋体"/>
          <w:b/>
          <w:sz w:val="24"/>
        </w:rPr>
        <w:t>★</w:t>
      </w:r>
      <w:r>
        <w:rPr>
          <w:rFonts w:ascii="宋体" w:hAnsi="宋体"/>
          <w:sz w:val="24"/>
        </w:rPr>
        <w:t>20</w:t>
      </w:r>
      <w:r>
        <w:rPr>
          <w:rFonts w:hint="eastAsia" w:ascii="宋体" w:hAnsi="宋体"/>
          <w:sz w:val="24"/>
        </w:rPr>
        <w:t>.4关键内容字迹潦草、表达不清、未按要求填写而导致非唯一理解，视为未实质性响应招标文件的投标文件。</w:t>
      </w:r>
    </w:p>
    <w:p w14:paraId="0BFCCFE0">
      <w:pPr>
        <w:spacing w:line="360" w:lineRule="auto"/>
        <w:jc w:val="left"/>
        <w:rPr>
          <w:rFonts w:ascii="宋体" w:hAnsi="宋体"/>
          <w:bCs/>
          <w:sz w:val="24"/>
        </w:rPr>
      </w:pPr>
      <w:r>
        <w:rPr>
          <w:rFonts w:ascii="宋体" w:hAnsi="宋体"/>
          <w:sz w:val="24"/>
        </w:rPr>
        <w:t>20</w:t>
      </w:r>
      <w:r>
        <w:rPr>
          <w:rFonts w:hint="eastAsia" w:ascii="宋体" w:hAnsi="宋体"/>
          <w:sz w:val="24"/>
        </w:rPr>
        <w:t>.5投标文件中提</w:t>
      </w:r>
      <w:r>
        <w:rPr>
          <w:rFonts w:hint="eastAsia" w:ascii="宋体" w:hAnsi="宋体"/>
          <w:bCs/>
          <w:sz w:val="24"/>
        </w:rPr>
        <w:t>供的资料（扫描件），内容必须清晰可辨，若内容模糊，无法辨识，均视为未提供。</w:t>
      </w:r>
    </w:p>
    <w:p w14:paraId="7CBF802A">
      <w:pPr>
        <w:spacing w:line="360" w:lineRule="auto"/>
        <w:jc w:val="left"/>
        <w:rPr>
          <w:rFonts w:ascii="宋体" w:hAnsi="宋体"/>
          <w:bCs/>
          <w:sz w:val="24"/>
        </w:rPr>
      </w:pPr>
      <w:r>
        <w:rPr>
          <w:rFonts w:ascii="宋体" w:hAnsi="宋体"/>
          <w:bCs/>
          <w:sz w:val="24"/>
        </w:rPr>
        <w:t>20</w:t>
      </w:r>
      <w:r>
        <w:rPr>
          <w:rFonts w:hint="eastAsia" w:ascii="宋体" w:hAnsi="宋体"/>
          <w:bCs/>
          <w:sz w:val="24"/>
        </w:rPr>
        <w:t>.6投标文件中对招标文件商务条款及技术要求的应答出现完全或绝大部分复制招标文件要求的，视为未实质性响应招标文件的投标文件。</w:t>
      </w:r>
    </w:p>
    <w:p w14:paraId="59A4C983">
      <w:pPr>
        <w:spacing w:line="360" w:lineRule="auto"/>
        <w:jc w:val="left"/>
        <w:rPr>
          <w:rFonts w:ascii="宋体" w:hAnsi="宋体"/>
          <w:sz w:val="24"/>
        </w:rPr>
      </w:pPr>
      <w:r>
        <w:rPr>
          <w:rFonts w:ascii="宋体" w:hAnsi="宋体"/>
          <w:sz w:val="24"/>
        </w:rPr>
        <w:t>20</w:t>
      </w:r>
      <w:r>
        <w:rPr>
          <w:rFonts w:hint="eastAsia" w:ascii="宋体" w:hAnsi="宋体"/>
          <w:sz w:val="24"/>
        </w:rPr>
        <w:t>.7投标文件应由法定代表人/单位负责人在凡规定（电子签名）处逐一电子签名（电子签名或电子签章），要求盖章处应盖单位章（电子签章）。</w:t>
      </w:r>
    </w:p>
    <w:p w14:paraId="21D382FB">
      <w:pPr>
        <w:spacing w:line="360" w:lineRule="auto"/>
        <w:jc w:val="left"/>
        <w:rPr>
          <w:rFonts w:ascii="宋体" w:hAnsi="宋体"/>
          <w:b/>
          <w:color w:val="000000"/>
          <w:sz w:val="24"/>
        </w:rPr>
      </w:pPr>
      <w:r>
        <w:rPr>
          <w:rFonts w:ascii="宋体" w:hAnsi="宋体"/>
          <w:b/>
          <w:color w:val="000000"/>
          <w:sz w:val="24"/>
        </w:rPr>
        <w:t>21</w:t>
      </w:r>
      <w:r>
        <w:rPr>
          <w:rFonts w:hint="eastAsia" w:ascii="宋体" w:hAnsi="宋体"/>
          <w:b/>
          <w:color w:val="000000"/>
          <w:sz w:val="24"/>
        </w:rPr>
        <w:t>. 投标保证金</w:t>
      </w:r>
    </w:p>
    <w:p w14:paraId="4A54893C">
      <w:pPr>
        <w:pStyle w:val="16"/>
        <w:tabs>
          <w:tab w:val="left" w:pos="710"/>
        </w:tabs>
        <w:spacing w:line="360" w:lineRule="auto"/>
        <w:rPr>
          <w:rFonts w:hAnsi="宋体"/>
          <w:color w:val="000000"/>
          <w:sz w:val="24"/>
          <w:szCs w:val="24"/>
        </w:rPr>
      </w:pPr>
      <w:r>
        <w:rPr>
          <w:rFonts w:hAnsi="宋体"/>
          <w:color w:val="000000"/>
          <w:sz w:val="24"/>
          <w:szCs w:val="24"/>
        </w:rPr>
        <w:t>21</w:t>
      </w:r>
      <w:r>
        <w:rPr>
          <w:rFonts w:hint="eastAsia" w:hAnsi="宋体"/>
          <w:color w:val="000000"/>
          <w:sz w:val="24"/>
          <w:szCs w:val="24"/>
        </w:rPr>
        <w:t>.1投标保证金为人民币。投标人应在提交投标文件截止时间以前按“</w:t>
      </w:r>
      <w:r>
        <w:rPr>
          <w:rFonts w:hint="eastAsia" w:hAnsi="宋体"/>
          <w:b/>
          <w:color w:val="000000"/>
          <w:sz w:val="24"/>
          <w:szCs w:val="24"/>
        </w:rPr>
        <w:t>投标人须知前附表</w:t>
      </w:r>
      <w:r>
        <w:rPr>
          <w:rFonts w:hint="eastAsia" w:hAnsi="宋体"/>
          <w:color w:val="000000"/>
          <w:sz w:val="24"/>
          <w:szCs w:val="24"/>
        </w:rPr>
        <w:t>”规定的金额及形式提交，并在规定的时间内保持有效。</w:t>
      </w:r>
    </w:p>
    <w:p w14:paraId="2821A986">
      <w:pPr>
        <w:pStyle w:val="16"/>
        <w:tabs>
          <w:tab w:val="left" w:pos="710"/>
        </w:tabs>
        <w:spacing w:line="360" w:lineRule="auto"/>
        <w:rPr>
          <w:rFonts w:hAnsi="宋体"/>
          <w:color w:val="000000"/>
          <w:sz w:val="24"/>
          <w:szCs w:val="24"/>
        </w:rPr>
      </w:pPr>
      <w:r>
        <w:rPr>
          <w:rFonts w:hAnsi="宋体"/>
          <w:color w:val="000000"/>
          <w:sz w:val="24"/>
          <w:szCs w:val="24"/>
        </w:rPr>
        <w:t>21</w:t>
      </w:r>
      <w:r>
        <w:rPr>
          <w:rFonts w:hint="eastAsia" w:hAnsi="宋体"/>
          <w:color w:val="000000"/>
          <w:sz w:val="24"/>
          <w:szCs w:val="24"/>
        </w:rPr>
        <w:t>.2</w:t>
      </w:r>
      <w:r>
        <w:rPr>
          <w:rFonts w:hAnsi="宋体" w:cs="宋体"/>
          <w:color w:val="000000"/>
          <w:kern w:val="0"/>
          <w:sz w:val="24"/>
          <w:szCs w:val="24"/>
        </w:rPr>
        <w:t>投标人在投标截止时间前撤回已提交的投标文件的，采购代理机构</w:t>
      </w:r>
      <w:r>
        <w:rPr>
          <w:rFonts w:hint="eastAsia" w:hAnsi="宋体" w:cs="宋体"/>
          <w:color w:val="000000"/>
          <w:kern w:val="0"/>
          <w:sz w:val="24"/>
          <w:szCs w:val="24"/>
        </w:rPr>
        <w:t>将</w:t>
      </w:r>
      <w:r>
        <w:rPr>
          <w:rFonts w:hAnsi="宋体" w:cs="宋体"/>
          <w:color w:val="000000"/>
          <w:kern w:val="0"/>
          <w:sz w:val="24"/>
          <w:szCs w:val="24"/>
        </w:rPr>
        <w:t>在自收到投标人书面撤回通知之日起</w:t>
      </w:r>
      <w:r>
        <w:rPr>
          <w:rFonts w:hint="eastAsia" w:hAnsi="宋体" w:cs="宋体"/>
          <w:color w:val="000000"/>
          <w:kern w:val="0"/>
          <w:sz w:val="24"/>
          <w:szCs w:val="24"/>
        </w:rPr>
        <w:t>5</w:t>
      </w:r>
      <w:r>
        <w:rPr>
          <w:rFonts w:hAnsi="宋体" w:cs="宋体"/>
          <w:color w:val="000000"/>
          <w:kern w:val="0"/>
          <w:sz w:val="24"/>
          <w:szCs w:val="24"/>
        </w:rPr>
        <w:t>个工作日内，退还已收取的投标保证金，但因投标人自身原因导致无法及时退还的除外</w:t>
      </w:r>
      <w:r>
        <w:rPr>
          <w:rFonts w:hint="eastAsia" w:hAnsi="宋体"/>
          <w:color w:val="000000"/>
          <w:sz w:val="24"/>
          <w:szCs w:val="24"/>
        </w:rPr>
        <w:t>。</w:t>
      </w:r>
    </w:p>
    <w:p w14:paraId="2E7154A5">
      <w:pPr>
        <w:pStyle w:val="16"/>
        <w:spacing w:line="360" w:lineRule="auto"/>
        <w:rPr>
          <w:rFonts w:hAnsi="宋体"/>
          <w:color w:val="000000"/>
          <w:sz w:val="24"/>
          <w:szCs w:val="24"/>
        </w:rPr>
      </w:pPr>
      <w:r>
        <w:rPr>
          <w:rFonts w:hAnsi="宋体"/>
          <w:color w:val="000000"/>
          <w:sz w:val="24"/>
          <w:szCs w:val="24"/>
        </w:rPr>
        <w:t>21</w:t>
      </w:r>
      <w:r>
        <w:rPr>
          <w:rFonts w:hint="eastAsia" w:hAnsi="宋体"/>
          <w:color w:val="000000"/>
          <w:sz w:val="24"/>
          <w:szCs w:val="24"/>
        </w:rPr>
        <w:t>.</w:t>
      </w:r>
      <w:r>
        <w:rPr>
          <w:rFonts w:hAnsi="宋体"/>
          <w:color w:val="000000"/>
          <w:sz w:val="24"/>
          <w:szCs w:val="24"/>
        </w:rPr>
        <w:t>3</w:t>
      </w:r>
      <w:r>
        <w:rPr>
          <w:rFonts w:hint="eastAsia" w:hAnsi="宋体"/>
          <w:color w:val="000000"/>
          <w:sz w:val="24"/>
          <w:szCs w:val="24"/>
        </w:rPr>
        <w:t>未中标人的投标保证金将在中标公告发出之日起5个工作日退还；中标人的投标保证金将在</w:t>
      </w:r>
      <w:r>
        <w:rPr>
          <w:rFonts w:hAnsi="宋体" w:cs="宋体"/>
          <w:color w:val="000000"/>
          <w:kern w:val="0"/>
          <w:sz w:val="24"/>
          <w:szCs w:val="24"/>
        </w:rPr>
        <w:t>采购合同签订之日起5个工作日内退还</w:t>
      </w:r>
      <w:r>
        <w:rPr>
          <w:rFonts w:hint="eastAsia" w:hAnsi="宋体"/>
          <w:color w:val="000000"/>
          <w:sz w:val="24"/>
          <w:szCs w:val="24"/>
        </w:rPr>
        <w:t>。</w:t>
      </w:r>
    </w:p>
    <w:p w14:paraId="4CC9050C">
      <w:pPr>
        <w:pStyle w:val="16"/>
        <w:spacing w:line="360" w:lineRule="auto"/>
        <w:rPr>
          <w:rFonts w:hAnsi="宋体"/>
          <w:color w:val="000000"/>
          <w:sz w:val="24"/>
          <w:szCs w:val="24"/>
        </w:rPr>
      </w:pPr>
      <w:r>
        <w:rPr>
          <w:rFonts w:hAnsi="宋体"/>
          <w:color w:val="000000"/>
          <w:sz w:val="24"/>
          <w:szCs w:val="24"/>
        </w:rPr>
        <w:t>21</w:t>
      </w:r>
      <w:r>
        <w:rPr>
          <w:rFonts w:hint="eastAsia" w:hAnsi="宋体"/>
          <w:color w:val="000000"/>
          <w:sz w:val="24"/>
          <w:szCs w:val="24"/>
        </w:rPr>
        <w:t>.</w:t>
      </w:r>
      <w:r>
        <w:rPr>
          <w:rFonts w:hAnsi="宋体"/>
          <w:color w:val="000000"/>
          <w:sz w:val="24"/>
          <w:szCs w:val="24"/>
        </w:rPr>
        <w:t>4</w:t>
      </w:r>
      <w:r>
        <w:rPr>
          <w:rFonts w:hint="eastAsia" w:hAnsi="宋体"/>
          <w:color w:val="000000"/>
          <w:sz w:val="24"/>
          <w:szCs w:val="24"/>
        </w:rPr>
        <w:t xml:space="preserve"> 投标保证金的退回方式：1）以银行转账、网银、电汇缴纳的保证金，以网银对公转账的方式退还到投标人打款账户；2）以支票、汇票及本票等票据方式缴纳的保证金，经财务查账确认后以对公转账的方式退还到投标人开户账户；3）以银行保函或者保证保险方式缴纳的保证金由投标人自行联系出函机构。</w:t>
      </w:r>
    </w:p>
    <w:p w14:paraId="56D385A9">
      <w:pPr>
        <w:pStyle w:val="16"/>
        <w:spacing w:line="360" w:lineRule="auto"/>
        <w:rPr>
          <w:rFonts w:hAnsi="宋体"/>
          <w:color w:val="000000"/>
          <w:sz w:val="24"/>
          <w:szCs w:val="24"/>
        </w:rPr>
      </w:pPr>
      <w:r>
        <w:rPr>
          <w:rFonts w:hAnsi="宋体"/>
          <w:color w:val="000000"/>
          <w:sz w:val="24"/>
          <w:szCs w:val="24"/>
        </w:rPr>
        <w:t>21.5</w:t>
      </w:r>
      <w:r>
        <w:rPr>
          <w:rFonts w:hAnsi="宋体" w:cs="宋体"/>
          <w:color w:val="000000"/>
          <w:kern w:val="0"/>
          <w:sz w:val="24"/>
          <w:szCs w:val="24"/>
        </w:rPr>
        <w:t>采购代理机构逾期退还投标保证金的，除退还投标保证金本金外，还</w:t>
      </w:r>
      <w:r>
        <w:rPr>
          <w:rFonts w:hint="eastAsia" w:hAnsi="宋体" w:cs="宋体"/>
          <w:color w:val="000000"/>
          <w:kern w:val="0"/>
          <w:sz w:val="24"/>
          <w:szCs w:val="24"/>
        </w:rPr>
        <w:t>将</w:t>
      </w:r>
      <w:r>
        <w:rPr>
          <w:rFonts w:hAnsi="宋体" w:cs="宋体"/>
          <w:color w:val="000000"/>
          <w:kern w:val="0"/>
          <w:sz w:val="24"/>
          <w:szCs w:val="24"/>
        </w:rPr>
        <w:t>按中国人民银行同期贷款基准利率上浮20％后的利率支付超期资金占用费，但因投标人自身原因导致无法及时退还的除外。</w:t>
      </w:r>
    </w:p>
    <w:p w14:paraId="0BBB783E">
      <w:pPr>
        <w:pStyle w:val="16"/>
        <w:spacing w:line="360" w:lineRule="auto"/>
        <w:rPr>
          <w:rFonts w:hAnsi="宋体"/>
          <w:color w:val="000000"/>
          <w:sz w:val="24"/>
          <w:szCs w:val="24"/>
        </w:rPr>
      </w:pPr>
      <w:r>
        <w:rPr>
          <w:rFonts w:hAnsi="宋体"/>
          <w:color w:val="000000"/>
          <w:sz w:val="24"/>
          <w:szCs w:val="24"/>
        </w:rPr>
        <w:t>21</w:t>
      </w:r>
      <w:r>
        <w:rPr>
          <w:rFonts w:hint="eastAsia" w:hAnsi="宋体"/>
          <w:color w:val="000000"/>
          <w:sz w:val="24"/>
          <w:szCs w:val="24"/>
        </w:rPr>
        <w:t>.</w:t>
      </w:r>
      <w:r>
        <w:rPr>
          <w:rFonts w:hAnsi="宋体"/>
          <w:color w:val="000000"/>
          <w:sz w:val="24"/>
          <w:szCs w:val="24"/>
        </w:rPr>
        <w:t>6</w:t>
      </w:r>
      <w:r>
        <w:rPr>
          <w:rFonts w:hint="eastAsia" w:hAnsi="宋体"/>
          <w:color w:val="000000"/>
          <w:sz w:val="24"/>
          <w:szCs w:val="24"/>
        </w:rPr>
        <w:t>下列情况发生时，投标保证金将不予退还</w:t>
      </w:r>
    </w:p>
    <w:p w14:paraId="32009FD1">
      <w:pPr>
        <w:pStyle w:val="16"/>
        <w:spacing w:line="360" w:lineRule="auto"/>
        <w:ind w:left="479" w:leftChars="171"/>
        <w:rPr>
          <w:rFonts w:hAnsi="宋体"/>
          <w:color w:val="000000"/>
          <w:sz w:val="24"/>
          <w:szCs w:val="24"/>
        </w:rPr>
      </w:pPr>
      <w:r>
        <w:rPr>
          <w:rFonts w:hint="eastAsia" w:hAnsi="宋体"/>
          <w:color w:val="000000"/>
          <w:sz w:val="24"/>
          <w:szCs w:val="24"/>
        </w:rPr>
        <w:t>（1）投标人在投标有效期内撤销投标的；</w:t>
      </w:r>
    </w:p>
    <w:p w14:paraId="5CFFDEBB">
      <w:pPr>
        <w:spacing w:line="360" w:lineRule="auto"/>
        <w:ind w:firstLine="360" w:firstLineChars="150"/>
        <w:rPr>
          <w:rFonts w:ascii="宋体" w:hAnsi="宋体"/>
          <w:color w:val="000000"/>
          <w:sz w:val="24"/>
        </w:rPr>
      </w:pPr>
      <w:r>
        <w:rPr>
          <w:rFonts w:hint="eastAsia" w:ascii="宋体" w:hAnsi="宋体"/>
          <w:color w:val="000000"/>
          <w:sz w:val="24"/>
        </w:rPr>
        <w:t>（2）中标人中标后无正当理由不与采购人签订合同的；</w:t>
      </w:r>
      <w:r>
        <w:rPr>
          <w:rFonts w:ascii="宋体" w:hAnsi="宋体"/>
          <w:color w:val="000000"/>
          <w:sz w:val="24"/>
        </w:rPr>
        <w:tab/>
      </w:r>
    </w:p>
    <w:p w14:paraId="5F10828D">
      <w:pPr>
        <w:spacing w:line="360" w:lineRule="auto"/>
        <w:ind w:firstLine="360" w:firstLineChars="150"/>
        <w:rPr>
          <w:rFonts w:ascii="宋体" w:hAnsi="宋体"/>
          <w:color w:val="000000"/>
          <w:sz w:val="24"/>
        </w:rPr>
      </w:pPr>
      <w:r>
        <w:rPr>
          <w:rFonts w:hint="eastAsia" w:ascii="宋体" w:hAnsi="宋体"/>
          <w:color w:val="000000"/>
          <w:sz w:val="24"/>
        </w:rPr>
        <w:t>（3）中标人将中标项目转让给他人，或者在投标文件中未说明，且未经采购人同意，将中标项目分包给他人的；</w:t>
      </w:r>
    </w:p>
    <w:p w14:paraId="176D342A">
      <w:pPr>
        <w:pStyle w:val="16"/>
        <w:spacing w:line="360" w:lineRule="auto"/>
        <w:ind w:left="479" w:leftChars="171"/>
        <w:rPr>
          <w:rFonts w:hAnsi="宋体"/>
          <w:color w:val="000000"/>
          <w:sz w:val="24"/>
          <w:szCs w:val="24"/>
        </w:rPr>
      </w:pPr>
      <w:r>
        <w:rPr>
          <w:rFonts w:hint="eastAsia" w:hAnsi="宋体"/>
          <w:color w:val="000000"/>
          <w:sz w:val="24"/>
          <w:szCs w:val="24"/>
        </w:rPr>
        <w:t>（4）中标人拒绝履行合同义务的。</w:t>
      </w:r>
    </w:p>
    <w:p w14:paraId="5376FA09">
      <w:pPr>
        <w:pStyle w:val="16"/>
        <w:spacing w:line="360" w:lineRule="auto"/>
        <w:rPr>
          <w:rFonts w:hAnsi="宋体"/>
          <w:color w:val="000000"/>
          <w:sz w:val="24"/>
          <w:szCs w:val="24"/>
        </w:rPr>
      </w:pPr>
    </w:p>
    <w:p w14:paraId="16630FC0">
      <w:pPr>
        <w:pStyle w:val="4"/>
        <w:numPr>
          <w:ilvl w:val="0"/>
          <w:numId w:val="0"/>
        </w:numPr>
        <w:ind w:left="425"/>
        <w:jc w:val="center"/>
        <w:rPr>
          <w:rFonts w:ascii="宋体" w:hAnsi="宋体" w:eastAsia="宋体"/>
          <w:color w:val="000000"/>
          <w:sz w:val="30"/>
          <w:szCs w:val="30"/>
        </w:rPr>
      </w:pPr>
      <w:bookmarkStart w:id="49" w:name="_Toc70446107"/>
      <w:bookmarkStart w:id="50" w:name="_Toc152246146"/>
      <w:r>
        <w:rPr>
          <w:rFonts w:hint="eastAsia" w:ascii="宋体" w:hAnsi="宋体" w:eastAsia="宋体"/>
          <w:color w:val="000000"/>
          <w:sz w:val="30"/>
          <w:szCs w:val="30"/>
        </w:rPr>
        <w:t>四、投标文件的提交</w:t>
      </w:r>
      <w:bookmarkEnd w:id="49"/>
      <w:bookmarkEnd w:id="50"/>
    </w:p>
    <w:p w14:paraId="7160027A">
      <w:pPr>
        <w:pStyle w:val="16"/>
        <w:spacing w:line="360" w:lineRule="auto"/>
        <w:rPr>
          <w:rFonts w:hAnsi="宋体"/>
          <w:b/>
          <w:bCs/>
          <w:sz w:val="24"/>
          <w:szCs w:val="24"/>
        </w:rPr>
      </w:pPr>
      <w:r>
        <w:rPr>
          <w:rFonts w:hint="eastAsia" w:hAnsi="宋体"/>
          <w:b/>
          <w:bCs/>
          <w:sz w:val="24"/>
          <w:szCs w:val="24"/>
        </w:rPr>
        <w:t>2</w:t>
      </w:r>
      <w:r>
        <w:rPr>
          <w:rFonts w:hAnsi="宋体"/>
          <w:b/>
          <w:bCs/>
          <w:sz w:val="24"/>
          <w:szCs w:val="24"/>
        </w:rPr>
        <w:t>2</w:t>
      </w:r>
      <w:r>
        <w:rPr>
          <w:rFonts w:hint="eastAsia" w:hAnsi="宋体"/>
          <w:b/>
          <w:bCs/>
          <w:sz w:val="24"/>
          <w:szCs w:val="24"/>
        </w:rPr>
        <w:t>. 投标文件的密封与标记</w:t>
      </w:r>
    </w:p>
    <w:p w14:paraId="0B4BF856">
      <w:pPr>
        <w:pStyle w:val="16"/>
        <w:spacing w:line="360" w:lineRule="auto"/>
        <w:ind w:left="2"/>
        <w:rPr>
          <w:rFonts w:hAnsi="宋体"/>
          <w:b/>
          <w:bCs/>
          <w:sz w:val="24"/>
          <w:szCs w:val="24"/>
          <w:u w:val="single"/>
        </w:rPr>
      </w:pPr>
      <w:r>
        <w:rPr>
          <w:rFonts w:hint="eastAsia" w:hAnsi="宋体"/>
          <w:sz w:val="24"/>
          <w:szCs w:val="24"/>
        </w:rPr>
        <w:t>2</w:t>
      </w:r>
      <w:r>
        <w:rPr>
          <w:rFonts w:hAnsi="宋体"/>
          <w:sz w:val="24"/>
          <w:szCs w:val="24"/>
        </w:rPr>
        <w:t>2</w:t>
      </w:r>
      <w:r>
        <w:rPr>
          <w:rFonts w:hint="eastAsia" w:hAnsi="宋体"/>
          <w:sz w:val="24"/>
          <w:szCs w:val="24"/>
        </w:rPr>
        <w:t>.1投标人进行电子交易应安装客户端软件—“政采云电子交易客户端”，并按照招标文件和电子交易平台的要求编制并加密投标文件。</w:t>
      </w:r>
      <w:r>
        <w:rPr>
          <w:rFonts w:hint="eastAsia" w:hAnsi="宋体"/>
          <w:sz w:val="24"/>
          <w:szCs w:val="24"/>
          <w:lang w:val="en-US" w:eastAsia="zh-CN"/>
        </w:rPr>
        <w:t>投标人</w:t>
      </w:r>
      <w:r>
        <w:rPr>
          <w:rFonts w:hint="eastAsia" w:hAnsi="宋体"/>
          <w:sz w:val="24"/>
          <w:szCs w:val="24"/>
        </w:rPr>
        <w:t>未按规定加密的投标文件，电子交易平台将拒收并提示。</w:t>
      </w:r>
    </w:p>
    <w:p w14:paraId="7C82B203">
      <w:pPr>
        <w:pStyle w:val="16"/>
        <w:spacing w:line="360" w:lineRule="auto"/>
        <w:rPr>
          <w:rFonts w:hAnsi="宋体"/>
          <w:sz w:val="24"/>
          <w:szCs w:val="24"/>
        </w:rPr>
      </w:pPr>
      <w:r>
        <w:rPr>
          <w:rFonts w:hint="eastAsia" w:hAnsi="宋体"/>
          <w:sz w:val="24"/>
          <w:szCs w:val="24"/>
        </w:rPr>
        <w:t>2</w:t>
      </w:r>
      <w:r>
        <w:rPr>
          <w:rFonts w:hAnsi="宋体"/>
          <w:sz w:val="24"/>
          <w:szCs w:val="24"/>
        </w:rPr>
        <w:t>2</w:t>
      </w:r>
      <w:r>
        <w:rPr>
          <w:rFonts w:hint="eastAsia" w:hAnsi="宋体"/>
          <w:sz w:val="24"/>
          <w:szCs w:val="24"/>
        </w:rPr>
        <w:t>.2使用“政采云电子交易客户端”需要提前申领 CA 数字证书，申领流程见该项目采购公告附件。</w:t>
      </w:r>
    </w:p>
    <w:p w14:paraId="3CF414D3">
      <w:pPr>
        <w:pStyle w:val="16"/>
        <w:spacing w:line="360" w:lineRule="auto"/>
        <w:ind w:left="1"/>
        <w:rPr>
          <w:rFonts w:hAnsi="宋体"/>
          <w:color w:val="000000"/>
          <w:sz w:val="24"/>
          <w:szCs w:val="24"/>
        </w:rPr>
      </w:pPr>
      <w:r>
        <w:rPr>
          <w:rFonts w:hint="eastAsia" w:hAnsi="宋体"/>
          <w:sz w:val="24"/>
          <w:szCs w:val="24"/>
        </w:rPr>
        <w:t>2</w:t>
      </w:r>
      <w:r>
        <w:rPr>
          <w:rFonts w:hAnsi="宋体"/>
          <w:sz w:val="24"/>
          <w:szCs w:val="24"/>
        </w:rPr>
        <w:t>2</w:t>
      </w:r>
      <w:r>
        <w:rPr>
          <w:rFonts w:hint="eastAsia" w:hAnsi="宋体"/>
          <w:sz w:val="24"/>
          <w:szCs w:val="24"/>
        </w:rPr>
        <w:t>.3为确保网上操作合法、有效和安全，供应商应当在投标文件提交截止时间前完成在 “政府采购云平台”的身份认证，确保在电子交易过程中能够对相关数据电文进行加密和使用电子签名。</w:t>
      </w:r>
    </w:p>
    <w:p w14:paraId="7ACFC6AE">
      <w:pPr>
        <w:spacing w:line="360" w:lineRule="auto"/>
        <w:jc w:val="left"/>
        <w:rPr>
          <w:rFonts w:ascii="宋体" w:hAnsi="宋体"/>
          <w:b/>
          <w:color w:val="000000"/>
          <w:sz w:val="24"/>
        </w:rPr>
      </w:pPr>
      <w:r>
        <w:rPr>
          <w:rFonts w:hint="eastAsia" w:ascii="宋体" w:hAnsi="宋体"/>
          <w:b/>
          <w:color w:val="000000"/>
          <w:sz w:val="24"/>
        </w:rPr>
        <w:t>2</w:t>
      </w:r>
      <w:r>
        <w:rPr>
          <w:rFonts w:ascii="宋体" w:hAnsi="宋体"/>
          <w:b/>
          <w:color w:val="000000"/>
          <w:sz w:val="24"/>
        </w:rPr>
        <w:t>3</w:t>
      </w:r>
      <w:r>
        <w:rPr>
          <w:rFonts w:hint="eastAsia" w:ascii="宋体" w:hAnsi="宋体"/>
          <w:b/>
          <w:color w:val="000000"/>
          <w:sz w:val="24"/>
        </w:rPr>
        <w:t>. 提交投标文件截止时间和地点</w:t>
      </w:r>
    </w:p>
    <w:p w14:paraId="1005EDDC">
      <w:pPr>
        <w:pStyle w:val="16"/>
        <w:spacing w:line="360" w:lineRule="auto"/>
        <w:ind w:left="-5" w:leftChars="-5" w:hanging="9" w:hangingChars="4"/>
        <w:rPr>
          <w:rFonts w:hAnsi="宋体"/>
          <w:b/>
          <w:sz w:val="24"/>
          <w:szCs w:val="24"/>
        </w:rPr>
      </w:pPr>
      <w:r>
        <w:rPr>
          <w:rFonts w:hint="eastAsia" w:hAnsi="宋体"/>
          <w:sz w:val="24"/>
          <w:szCs w:val="24"/>
        </w:rPr>
        <w:t>2</w:t>
      </w:r>
      <w:r>
        <w:rPr>
          <w:rFonts w:hAnsi="宋体"/>
          <w:sz w:val="24"/>
          <w:szCs w:val="24"/>
        </w:rPr>
        <w:t>3</w:t>
      </w:r>
      <w:r>
        <w:rPr>
          <w:rFonts w:hint="eastAsia" w:hAnsi="宋体"/>
          <w:sz w:val="24"/>
          <w:szCs w:val="24"/>
        </w:rPr>
        <w:t>.1投标文件的递交（上传）不得迟于“投标人须知前附表”规定的递交投标文件截止时间。逾期送达（上传）的投标文件，采购人不予接收。</w:t>
      </w:r>
    </w:p>
    <w:p w14:paraId="4E82D315">
      <w:pPr>
        <w:pStyle w:val="16"/>
        <w:spacing w:line="360" w:lineRule="auto"/>
        <w:ind w:left="-5" w:leftChars="-5" w:hanging="9" w:hangingChars="4"/>
        <w:rPr>
          <w:rFonts w:hAnsi="宋体"/>
          <w:sz w:val="24"/>
          <w:szCs w:val="24"/>
        </w:rPr>
      </w:pPr>
      <w:r>
        <w:rPr>
          <w:rFonts w:hint="eastAsia" w:hAnsi="宋体"/>
          <w:sz w:val="24"/>
          <w:szCs w:val="24"/>
        </w:rPr>
        <w:t>2</w:t>
      </w:r>
      <w:r>
        <w:rPr>
          <w:rFonts w:hAnsi="宋体"/>
          <w:sz w:val="24"/>
          <w:szCs w:val="24"/>
        </w:rPr>
        <w:t>3</w:t>
      </w:r>
      <w:r>
        <w:rPr>
          <w:rFonts w:hint="eastAsia" w:hAnsi="宋体"/>
          <w:sz w:val="24"/>
          <w:szCs w:val="24"/>
        </w:rPr>
        <w:t>.2投标人必须在规定时间内将投标文件递交（上传）到“投标人须知前附表”规定的地点（平台。</w:t>
      </w:r>
    </w:p>
    <w:p w14:paraId="0BE8B562">
      <w:pPr>
        <w:spacing w:line="360" w:lineRule="auto"/>
        <w:jc w:val="left"/>
        <w:rPr>
          <w:rFonts w:ascii="宋体" w:hAnsi="宋体"/>
          <w:sz w:val="24"/>
        </w:rPr>
      </w:pPr>
      <w:r>
        <w:rPr>
          <w:rFonts w:hint="eastAsia" w:ascii="宋体" w:hAnsi="宋体"/>
          <w:sz w:val="24"/>
        </w:rPr>
        <w:t>2</w:t>
      </w:r>
      <w:r>
        <w:rPr>
          <w:rFonts w:ascii="宋体" w:hAnsi="宋体"/>
          <w:sz w:val="24"/>
        </w:rPr>
        <w:t>3.3</w:t>
      </w:r>
      <w:r>
        <w:rPr>
          <w:rFonts w:hint="eastAsia" w:ascii="宋体" w:hAnsi="宋体"/>
          <w:sz w:val="24"/>
        </w:rPr>
        <w:t>除“</w:t>
      </w:r>
      <w:r>
        <w:rPr>
          <w:rFonts w:hint="eastAsia" w:hAnsi="宋体"/>
          <w:sz w:val="24"/>
        </w:rPr>
        <w:t>投标人</w:t>
      </w:r>
      <w:r>
        <w:rPr>
          <w:rFonts w:hint="eastAsia" w:ascii="宋体" w:hAnsi="宋体"/>
          <w:sz w:val="24"/>
        </w:rPr>
        <w:t>须知前附表”另有规定外，投标人所递交的投标文件不予退还。</w:t>
      </w:r>
    </w:p>
    <w:p w14:paraId="79832187">
      <w:pPr>
        <w:spacing w:line="360" w:lineRule="auto"/>
        <w:jc w:val="left"/>
        <w:rPr>
          <w:rFonts w:ascii="宋体" w:hAnsi="宋体"/>
          <w:sz w:val="24"/>
        </w:rPr>
      </w:pPr>
      <w:r>
        <w:rPr>
          <w:rFonts w:hint="eastAsia" w:ascii="宋体" w:hAnsi="宋体"/>
          <w:sz w:val="24"/>
        </w:rPr>
        <w:t>23.4在投标截止时间前，投标人可以撤回在网上已递交的投标文件，修改后重新上传，无须书面形式通知采购人。</w:t>
      </w:r>
    </w:p>
    <w:p w14:paraId="36AA2956">
      <w:pPr>
        <w:spacing w:line="360" w:lineRule="auto"/>
        <w:jc w:val="left"/>
        <w:rPr>
          <w:rFonts w:ascii="宋体" w:hAnsi="宋体"/>
          <w:sz w:val="24"/>
        </w:rPr>
      </w:pPr>
      <w:r>
        <w:rPr>
          <w:rFonts w:hint="eastAsia" w:ascii="宋体" w:hAnsi="宋体"/>
          <w:sz w:val="24"/>
        </w:rPr>
        <w:t>23.5修改的投标文件应按照本章第20款、第22款的要求进行重新编制、加密和递交。</w:t>
      </w:r>
    </w:p>
    <w:p w14:paraId="3900944C">
      <w:pPr>
        <w:spacing w:line="360" w:lineRule="auto"/>
        <w:jc w:val="left"/>
        <w:rPr>
          <w:rFonts w:ascii="宋体" w:hAnsi="宋体"/>
          <w:sz w:val="24"/>
        </w:rPr>
      </w:pPr>
      <w:r>
        <w:rPr>
          <w:rFonts w:hint="eastAsia" w:ascii="宋体" w:hAnsi="宋体"/>
          <w:sz w:val="24"/>
        </w:rPr>
        <w:t>23.6在投标截止时间后递交的投标文件不予撤回。</w:t>
      </w:r>
    </w:p>
    <w:p w14:paraId="6645E918">
      <w:pPr>
        <w:pStyle w:val="4"/>
        <w:numPr>
          <w:ilvl w:val="0"/>
          <w:numId w:val="0"/>
        </w:numPr>
        <w:ind w:left="425"/>
        <w:jc w:val="center"/>
        <w:rPr>
          <w:rFonts w:ascii="宋体" w:hAnsi="宋体" w:eastAsia="宋体"/>
          <w:color w:val="000000"/>
          <w:sz w:val="30"/>
          <w:szCs w:val="30"/>
        </w:rPr>
      </w:pPr>
      <w:bookmarkStart w:id="51" w:name="_Toc70446108"/>
      <w:bookmarkStart w:id="52" w:name="_Toc152246147"/>
      <w:r>
        <w:rPr>
          <w:rFonts w:hint="eastAsia" w:ascii="宋体" w:hAnsi="宋体" w:eastAsia="宋体"/>
          <w:color w:val="000000"/>
          <w:sz w:val="30"/>
          <w:szCs w:val="30"/>
        </w:rPr>
        <w:t>五、开标与评标</w:t>
      </w:r>
      <w:bookmarkEnd w:id="51"/>
      <w:bookmarkEnd w:id="52"/>
    </w:p>
    <w:p w14:paraId="230C347B">
      <w:pPr>
        <w:spacing w:line="360" w:lineRule="auto"/>
        <w:jc w:val="left"/>
        <w:rPr>
          <w:rFonts w:ascii="宋体" w:hAnsi="宋体"/>
          <w:b/>
          <w:color w:val="000000"/>
          <w:sz w:val="24"/>
        </w:rPr>
      </w:pPr>
      <w:r>
        <w:rPr>
          <w:rFonts w:hint="eastAsia" w:ascii="宋体" w:hAnsi="宋体"/>
          <w:b/>
          <w:color w:val="000000"/>
          <w:sz w:val="24"/>
        </w:rPr>
        <w:t>2</w:t>
      </w:r>
      <w:r>
        <w:rPr>
          <w:rFonts w:ascii="宋体" w:hAnsi="宋体"/>
          <w:b/>
          <w:color w:val="000000"/>
          <w:sz w:val="24"/>
        </w:rPr>
        <w:t>4</w:t>
      </w:r>
      <w:r>
        <w:rPr>
          <w:rFonts w:hint="eastAsia" w:ascii="宋体" w:hAnsi="宋体"/>
          <w:b/>
          <w:color w:val="000000"/>
          <w:sz w:val="24"/>
        </w:rPr>
        <w:t>. 开标</w:t>
      </w:r>
    </w:p>
    <w:p w14:paraId="264628B4">
      <w:pPr>
        <w:pStyle w:val="16"/>
        <w:spacing w:line="360" w:lineRule="auto"/>
        <w:rPr>
          <w:rFonts w:hAnsi="宋体"/>
          <w:sz w:val="24"/>
          <w:szCs w:val="24"/>
        </w:rPr>
      </w:pPr>
      <w:r>
        <w:rPr>
          <w:rFonts w:hint="eastAsia" w:hAnsi="宋体"/>
          <w:sz w:val="24"/>
          <w:szCs w:val="24"/>
        </w:rPr>
        <w:t>2</w:t>
      </w:r>
      <w:r>
        <w:rPr>
          <w:rFonts w:hAnsi="宋体"/>
          <w:sz w:val="24"/>
          <w:szCs w:val="24"/>
        </w:rPr>
        <w:t>4</w:t>
      </w:r>
      <w:r>
        <w:rPr>
          <w:rFonts w:hint="eastAsia" w:hAnsi="宋体"/>
          <w:sz w:val="24"/>
          <w:szCs w:val="24"/>
        </w:rPr>
        <w:t>.1采购代理机构将在“投标人须知前附表”规定的时间和地点进行开标，请各投标人代表准时参加线上开标会。</w:t>
      </w:r>
      <w:r>
        <w:rPr>
          <w:rFonts w:hint="eastAsia" w:hAnsi="宋体"/>
          <w:b/>
          <w:bCs/>
          <w:sz w:val="24"/>
          <w:szCs w:val="24"/>
        </w:rPr>
        <w:t>如投标人未参加开标的，视同认可开标结果</w:t>
      </w:r>
      <w:r>
        <w:rPr>
          <w:rFonts w:hint="eastAsia" w:hAnsi="宋体"/>
          <w:sz w:val="24"/>
          <w:szCs w:val="24"/>
        </w:rPr>
        <w:t>。</w:t>
      </w:r>
    </w:p>
    <w:p w14:paraId="6C9448F2">
      <w:pPr>
        <w:spacing w:line="360" w:lineRule="auto"/>
        <w:jc w:val="left"/>
        <w:rPr>
          <w:rFonts w:ascii="宋体" w:hAnsi="宋体"/>
          <w:sz w:val="24"/>
        </w:rPr>
      </w:pPr>
      <w:r>
        <w:rPr>
          <w:rFonts w:hint="eastAsia" w:ascii="宋体" w:hAnsi="宋体"/>
          <w:sz w:val="24"/>
        </w:rPr>
        <w:t>2</w:t>
      </w:r>
      <w:r>
        <w:rPr>
          <w:rFonts w:ascii="宋体" w:hAnsi="宋体"/>
          <w:sz w:val="24"/>
        </w:rPr>
        <w:t>4</w:t>
      </w:r>
      <w:r>
        <w:rPr>
          <w:rFonts w:hint="eastAsia" w:ascii="宋体" w:hAnsi="宋体"/>
          <w:sz w:val="24"/>
        </w:rPr>
        <w:t>.2投标截止后投标人不足3家的，不得开标。</w:t>
      </w:r>
    </w:p>
    <w:p w14:paraId="0FBF57AA">
      <w:pPr>
        <w:pStyle w:val="16"/>
        <w:spacing w:line="360" w:lineRule="auto"/>
        <w:ind w:left="2"/>
        <w:jc w:val="left"/>
        <w:rPr>
          <w:rFonts w:hAnsi="宋体"/>
          <w:sz w:val="24"/>
          <w:szCs w:val="24"/>
        </w:rPr>
      </w:pPr>
      <w:r>
        <w:rPr>
          <w:rFonts w:hint="eastAsia" w:hAnsi="宋体"/>
          <w:sz w:val="24"/>
          <w:szCs w:val="24"/>
        </w:rPr>
        <w:t>24.3开标会：开标会由采购代理机构主持，具体流程如下：</w:t>
      </w:r>
    </w:p>
    <w:p w14:paraId="6F811CFF">
      <w:pPr>
        <w:spacing w:after="0" w:line="360" w:lineRule="auto"/>
        <w:ind w:left="2"/>
        <w:rPr>
          <w:rFonts w:hint="eastAsia" w:ascii="宋体" w:hAnsi="宋体" w:eastAsia="宋体" w:cs="Times New Roman"/>
          <w:sz w:val="24"/>
          <w14:ligatures w14:val="none"/>
        </w:rPr>
      </w:pPr>
      <w:r>
        <w:rPr>
          <w:rFonts w:hint="eastAsia" w:ascii="宋体" w:hAnsi="宋体" w:eastAsia="宋体" w:cs="Times New Roman"/>
          <w:sz w:val="24"/>
          <w14:ligatures w14:val="none"/>
        </w:rPr>
        <w:t>（1）采购代理机构依托电子交易平台发起开始解密指令，投标人须使用加密时所用的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分钟内完成对电子投标文件在线解密；投标文件未按时解密的，视为撤回投标文件。</w:t>
      </w:r>
    </w:p>
    <w:p w14:paraId="4742610A">
      <w:pPr>
        <w:spacing w:after="0" w:line="360" w:lineRule="auto"/>
        <w:ind w:left="2"/>
        <w:rPr>
          <w:rFonts w:hint="eastAsia" w:ascii="宋体" w:hAnsi="宋体" w:eastAsia="宋体" w:cs="Times New Roman"/>
          <w:sz w:val="24"/>
          <w14:ligatures w14:val="none"/>
        </w:rPr>
      </w:pPr>
      <w:r>
        <w:rPr>
          <w:rFonts w:hint="eastAsia" w:ascii="宋体" w:hAnsi="宋体" w:eastAsia="宋体" w:cs="Times New Roman"/>
          <w:sz w:val="24"/>
          <w14:ligatures w14:val="none"/>
        </w:rPr>
        <w:t>（2）发起解密指令之时起 5 分钟内投标人还未进行解密的，代理机构可通知投标人，投标人未预留联系方式或预留联系方式无效，导致代理机构无法联系到投标人，所产生的后果由投标人自行承担。</w:t>
      </w:r>
    </w:p>
    <w:p w14:paraId="1DFFEDD9">
      <w:pPr>
        <w:spacing w:after="0" w:line="360" w:lineRule="auto"/>
        <w:ind w:left="2"/>
        <w:rPr>
          <w:rFonts w:hAnsi="宋体"/>
          <w:sz w:val="24"/>
          <w:szCs w:val="24"/>
        </w:rPr>
      </w:pPr>
      <w:r>
        <w:rPr>
          <w:rFonts w:hint="eastAsia" w:ascii="宋体" w:hAnsi="宋体" w:eastAsia="宋体" w:cs="Times New Roman"/>
          <w:sz w:val="24"/>
          <w14:ligatures w14:val="none"/>
        </w:rPr>
        <w:t>（解密异常情况处理：详见本章 27.2电子交易活动的中止） 如投标人成功解密投标文件，但未在“政采云”电子开标大厅参加开标的，视同认可开标过程和结果，由此产生的后果由投标人自行负责。</w:t>
      </w:r>
    </w:p>
    <w:p w14:paraId="57EE99DC">
      <w:pPr>
        <w:pStyle w:val="16"/>
        <w:spacing w:line="360" w:lineRule="auto"/>
        <w:ind w:left="2"/>
        <w:jc w:val="left"/>
        <w:rPr>
          <w:rFonts w:hAnsi="宋体"/>
          <w:sz w:val="24"/>
          <w:szCs w:val="24"/>
        </w:rPr>
      </w:pPr>
      <w:r>
        <w:rPr>
          <w:rFonts w:hint="eastAsia" w:hAnsi="宋体"/>
          <w:sz w:val="24"/>
          <w:szCs w:val="24"/>
        </w:rPr>
        <w:t>24.4 开标工作人员将做开标记录。</w:t>
      </w:r>
    </w:p>
    <w:p w14:paraId="77916A0E">
      <w:pPr>
        <w:pStyle w:val="16"/>
        <w:spacing w:line="360" w:lineRule="auto"/>
        <w:ind w:left="2"/>
        <w:jc w:val="left"/>
        <w:rPr>
          <w:rFonts w:hAnsi="宋体"/>
          <w:color w:val="000000"/>
          <w:sz w:val="24"/>
          <w:szCs w:val="24"/>
        </w:rPr>
      </w:pPr>
      <w:r>
        <w:rPr>
          <w:rFonts w:hint="eastAsia" w:hAnsi="宋体"/>
          <w:sz w:val="24"/>
          <w:szCs w:val="24"/>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209E92D3">
      <w:pPr>
        <w:spacing w:line="360" w:lineRule="auto"/>
        <w:jc w:val="left"/>
        <w:rPr>
          <w:rFonts w:ascii="宋体" w:hAnsi="宋体"/>
          <w:b/>
          <w:color w:val="000000"/>
          <w:sz w:val="24"/>
        </w:rPr>
      </w:pPr>
      <w:r>
        <w:rPr>
          <w:rFonts w:hint="eastAsia" w:ascii="宋体" w:hAnsi="宋体"/>
          <w:b/>
          <w:color w:val="000000"/>
          <w:sz w:val="24"/>
        </w:rPr>
        <w:t>2</w:t>
      </w:r>
      <w:r>
        <w:rPr>
          <w:rFonts w:ascii="宋体" w:hAnsi="宋体"/>
          <w:b/>
          <w:color w:val="000000"/>
          <w:sz w:val="24"/>
        </w:rPr>
        <w:t>5</w:t>
      </w:r>
      <w:r>
        <w:rPr>
          <w:rFonts w:hint="eastAsia" w:ascii="宋体" w:hAnsi="宋体"/>
          <w:b/>
          <w:color w:val="000000"/>
          <w:sz w:val="24"/>
        </w:rPr>
        <w:t>.</w:t>
      </w:r>
      <w:r>
        <w:rPr>
          <w:rFonts w:hint="eastAsia"/>
          <w:color w:val="000000"/>
        </w:rPr>
        <w:t xml:space="preserve"> </w:t>
      </w:r>
      <w:r>
        <w:rPr>
          <w:rFonts w:hint="eastAsia" w:ascii="宋体" w:hAnsi="宋体"/>
          <w:b/>
          <w:color w:val="000000"/>
          <w:sz w:val="24"/>
        </w:rPr>
        <w:t>资格审查</w:t>
      </w:r>
    </w:p>
    <w:p w14:paraId="7E736651">
      <w:pPr>
        <w:spacing w:line="360" w:lineRule="auto"/>
        <w:ind w:firstLine="360" w:firstLineChars="150"/>
        <w:jc w:val="left"/>
        <w:rPr>
          <w:rFonts w:ascii="宋体" w:hAnsi="宋体"/>
          <w:color w:val="000000"/>
          <w:sz w:val="24"/>
        </w:rPr>
      </w:pPr>
      <w:r>
        <w:rPr>
          <w:rFonts w:hint="eastAsia" w:ascii="宋体" w:hAnsi="宋体"/>
          <w:color w:val="000000"/>
          <w:sz w:val="24"/>
        </w:rPr>
        <w:t>开标结束后 ，采购人或者采购代理机构应当依法对投标人的资格进行审查。合格投标人不足3家的，不得评标。</w:t>
      </w:r>
    </w:p>
    <w:p w14:paraId="2C291E13">
      <w:pPr>
        <w:spacing w:line="360" w:lineRule="auto"/>
        <w:jc w:val="left"/>
        <w:rPr>
          <w:rFonts w:ascii="宋体" w:hAnsi="宋体"/>
          <w:b/>
          <w:color w:val="000000"/>
          <w:sz w:val="24"/>
        </w:rPr>
      </w:pPr>
      <w:r>
        <w:rPr>
          <w:rFonts w:hint="eastAsia" w:ascii="宋体" w:hAnsi="宋体"/>
          <w:b/>
          <w:color w:val="000000"/>
          <w:sz w:val="24"/>
        </w:rPr>
        <w:t>26.评标</w:t>
      </w:r>
    </w:p>
    <w:p w14:paraId="40738110">
      <w:pPr>
        <w:spacing w:line="360" w:lineRule="auto"/>
        <w:jc w:val="left"/>
        <w:rPr>
          <w:rFonts w:ascii="宋体" w:hAnsi="宋体"/>
          <w:color w:val="000000"/>
          <w:sz w:val="24"/>
        </w:rPr>
      </w:pPr>
      <w:r>
        <w:rPr>
          <w:rFonts w:hint="eastAsia" w:ascii="宋体" w:hAnsi="宋体"/>
          <w:color w:val="000000"/>
          <w:sz w:val="24"/>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2A2B2B90">
      <w:pPr>
        <w:spacing w:line="360" w:lineRule="auto"/>
        <w:ind w:firstLine="482" w:firstLineChars="200"/>
        <w:jc w:val="left"/>
        <w:rPr>
          <w:rFonts w:ascii="宋体" w:hAnsi="宋体"/>
          <w:b/>
          <w:color w:val="000000"/>
          <w:sz w:val="24"/>
        </w:rPr>
      </w:pPr>
      <w:r>
        <w:rPr>
          <w:rFonts w:hint="eastAsia" w:ascii="宋体" w:hAnsi="宋体"/>
          <w:b/>
          <w:color w:val="000000"/>
          <w:sz w:val="24"/>
        </w:rPr>
        <w:t>采购人委派代表参加评标委员会的，要向采购代理机构出具授权函。</w:t>
      </w:r>
    </w:p>
    <w:p w14:paraId="55330A9A">
      <w:pPr>
        <w:pStyle w:val="16"/>
        <w:spacing w:line="360" w:lineRule="auto"/>
        <w:rPr>
          <w:rFonts w:hAnsi="宋体"/>
          <w:bCs/>
          <w:color w:val="000000"/>
          <w:sz w:val="24"/>
          <w:szCs w:val="24"/>
        </w:rPr>
      </w:pPr>
      <w:bookmarkStart w:id="53" w:name="_Toc191374422"/>
      <w:r>
        <w:rPr>
          <w:rFonts w:hint="eastAsia" w:hAnsi="宋体"/>
          <w:bCs/>
          <w:color w:val="000000"/>
          <w:sz w:val="24"/>
          <w:szCs w:val="24"/>
        </w:rPr>
        <w:t>26.2评标原则</w:t>
      </w:r>
      <w:bookmarkEnd w:id="53"/>
      <w:r>
        <w:rPr>
          <w:rFonts w:hint="eastAsia" w:hAnsi="宋体"/>
          <w:bCs/>
          <w:color w:val="000000"/>
          <w:sz w:val="24"/>
          <w:szCs w:val="24"/>
        </w:rPr>
        <w:t>及方法</w:t>
      </w:r>
    </w:p>
    <w:p w14:paraId="222AA73D">
      <w:pPr>
        <w:spacing w:line="360" w:lineRule="auto"/>
        <w:jc w:val="left"/>
        <w:rPr>
          <w:rFonts w:ascii="宋体" w:hAnsi="宋体"/>
          <w:color w:val="000000"/>
          <w:sz w:val="24"/>
        </w:rPr>
      </w:pPr>
      <w:r>
        <w:rPr>
          <w:rFonts w:hint="eastAsia" w:ascii="宋体" w:hAnsi="宋体"/>
          <w:color w:val="000000"/>
          <w:sz w:val="24"/>
        </w:rPr>
        <w:t xml:space="preserve">    评标活动遵循公平、公正、科学和择优的原则。</w:t>
      </w:r>
    </w:p>
    <w:p w14:paraId="595E9B36">
      <w:pPr>
        <w:pStyle w:val="16"/>
        <w:spacing w:line="360" w:lineRule="auto"/>
        <w:ind w:left="720" w:hanging="720" w:hangingChars="300"/>
        <w:rPr>
          <w:rFonts w:hAnsi="宋体"/>
          <w:bCs/>
          <w:color w:val="000000"/>
          <w:sz w:val="24"/>
          <w:szCs w:val="24"/>
        </w:rPr>
      </w:pPr>
      <w:r>
        <w:rPr>
          <w:rFonts w:hint="eastAsia" w:hAnsi="宋体"/>
          <w:color w:val="000000"/>
          <w:sz w:val="24"/>
          <w:szCs w:val="24"/>
        </w:rPr>
        <w:t>26.3</w:t>
      </w:r>
      <w:r>
        <w:rPr>
          <w:rFonts w:hint="eastAsia" w:hAnsi="宋体"/>
          <w:bCs/>
          <w:color w:val="000000"/>
          <w:sz w:val="24"/>
          <w:szCs w:val="24"/>
        </w:rPr>
        <w:t>评标方法</w:t>
      </w:r>
    </w:p>
    <w:p w14:paraId="1D754E78">
      <w:pPr>
        <w:spacing w:line="360" w:lineRule="auto"/>
        <w:ind w:firstLine="540" w:firstLineChars="225"/>
        <w:jc w:val="left"/>
        <w:rPr>
          <w:rFonts w:ascii="宋体" w:hAnsi="宋体"/>
          <w:color w:val="000000"/>
          <w:sz w:val="24"/>
        </w:rPr>
      </w:pPr>
      <w:r>
        <w:rPr>
          <w:rFonts w:hint="eastAsia" w:ascii="宋体" w:hAnsi="宋体"/>
          <w:color w:val="000000"/>
          <w:sz w:val="24"/>
        </w:rPr>
        <w:t>本项目按“</w:t>
      </w:r>
      <w:r>
        <w:rPr>
          <w:rFonts w:hint="eastAsia" w:ascii="宋体" w:hAnsi="宋体"/>
          <w:b/>
          <w:bCs/>
          <w:color w:val="000000"/>
          <w:sz w:val="24"/>
        </w:rPr>
        <w:t>投标人须知前附表</w:t>
      </w:r>
      <w:r>
        <w:rPr>
          <w:rFonts w:hint="eastAsia" w:ascii="宋体" w:hAnsi="宋体"/>
          <w:color w:val="000000"/>
          <w:sz w:val="24"/>
        </w:rPr>
        <w:t>”规定的评标方法评标。在评标中，不得改变招标文件中规定的评标标准、方法和中标条件。第七章“</w:t>
      </w:r>
      <w:r>
        <w:rPr>
          <w:rFonts w:hint="eastAsia" w:ascii="宋体" w:hAnsi="宋体"/>
          <w:b/>
          <w:color w:val="000000"/>
          <w:sz w:val="24"/>
        </w:rPr>
        <w:t>评标方法</w:t>
      </w:r>
      <w:r>
        <w:rPr>
          <w:rFonts w:hint="eastAsia" w:ascii="宋体" w:hAnsi="宋体"/>
          <w:color w:val="000000"/>
          <w:sz w:val="24"/>
        </w:rPr>
        <w:t>”没有规定的评审因素和标准，不作为评标依据。</w:t>
      </w:r>
    </w:p>
    <w:p w14:paraId="385021FE">
      <w:pPr>
        <w:spacing w:line="360" w:lineRule="auto"/>
        <w:rPr>
          <w:rFonts w:ascii="宋体" w:hAnsi="宋体"/>
          <w:color w:val="000000"/>
          <w:sz w:val="24"/>
        </w:rPr>
      </w:pPr>
      <w:r>
        <w:rPr>
          <w:rFonts w:hint="eastAsia" w:ascii="宋体" w:hAnsi="宋体"/>
          <w:color w:val="000000"/>
          <w:sz w:val="24"/>
        </w:rPr>
        <w:t>26.4评标应当在严格保密的情况下进行。</w:t>
      </w:r>
      <w:r>
        <w:rPr>
          <w:rFonts w:ascii="宋体" w:hAnsi="宋体"/>
          <w:color w:val="000000"/>
          <w:sz w:val="24"/>
        </w:rPr>
        <w:t xml:space="preserve"> </w:t>
      </w:r>
      <w:r>
        <w:rPr>
          <w:rFonts w:hint="eastAsia" w:ascii="宋体" w:hAnsi="宋体"/>
          <w:color w:val="000000"/>
          <w:sz w:val="24"/>
        </w:rPr>
        <w:t>任何单位和个人不得非法干预、影响评标办法的确定，以及评标过程和结果。</w:t>
      </w:r>
      <w:r>
        <w:rPr>
          <w:rFonts w:ascii="宋体" w:hAnsi="宋体"/>
          <w:color w:val="000000"/>
          <w:sz w:val="24"/>
        </w:rPr>
        <w:t>评标委员会成员和与评标活动有关的人员</w:t>
      </w:r>
      <w:r>
        <w:rPr>
          <w:rFonts w:hint="eastAsia" w:ascii="宋体" w:hAnsi="宋体"/>
          <w:color w:val="000000"/>
          <w:sz w:val="24"/>
        </w:rPr>
        <w:t>在政府采购活动中应严格遵守政府采购评审工作纪律，不得向外界泄露评审情况。</w:t>
      </w:r>
    </w:p>
    <w:p w14:paraId="7534E34A">
      <w:pPr>
        <w:spacing w:line="360" w:lineRule="auto"/>
        <w:rPr>
          <w:rFonts w:ascii="宋体" w:hAnsi="宋体" w:cs="宋体"/>
          <w:color w:val="000000"/>
          <w:kern w:val="0"/>
          <w:sz w:val="24"/>
        </w:rPr>
      </w:pPr>
      <w:r>
        <w:rPr>
          <w:rFonts w:ascii="宋体" w:hAnsi="宋体"/>
          <w:color w:val="000000"/>
          <w:sz w:val="24"/>
        </w:rPr>
        <w:t>★</w:t>
      </w:r>
      <w:r>
        <w:rPr>
          <w:rFonts w:hint="eastAsia" w:ascii="宋体" w:hAnsi="宋体"/>
          <w:color w:val="000000"/>
          <w:sz w:val="24"/>
        </w:rPr>
        <w:t>26.5</w:t>
      </w:r>
      <w:r>
        <w:rPr>
          <w:rFonts w:ascii="宋体" w:hAnsi="宋体" w:cs="宋体"/>
          <w:color w:val="000000"/>
          <w:kern w:val="0"/>
          <w:sz w:val="24"/>
        </w:rPr>
        <w:t>在评标过程中</w:t>
      </w:r>
      <w:r>
        <w:rPr>
          <w:rFonts w:hint="eastAsia" w:ascii="宋体" w:hAnsi="宋体" w:cs="宋体"/>
          <w:color w:val="000000"/>
          <w:kern w:val="0"/>
          <w:sz w:val="24"/>
        </w:rPr>
        <w:t>，</w:t>
      </w:r>
      <w:r>
        <w:rPr>
          <w:rFonts w:ascii="宋体" w:hAnsi="宋体" w:cs="宋体"/>
          <w:color w:val="000000"/>
          <w:kern w:val="0"/>
          <w:sz w:val="24"/>
        </w:rPr>
        <w:t>评标委员会发现投标人有</w:t>
      </w:r>
      <w:r>
        <w:rPr>
          <w:rFonts w:hint="eastAsia" w:ascii="宋体" w:hAnsi="宋体" w:cs="宋体"/>
          <w:color w:val="000000"/>
          <w:kern w:val="0"/>
          <w:sz w:val="24"/>
        </w:rPr>
        <w:t>本须知19条款规定的情形</w:t>
      </w:r>
      <w:r>
        <w:rPr>
          <w:rFonts w:ascii="宋体" w:hAnsi="宋体" w:cs="宋体"/>
          <w:color w:val="000000"/>
          <w:kern w:val="0"/>
          <w:sz w:val="24"/>
        </w:rPr>
        <w:t>，应当认定其投标无效，并书面报告本级财政部门。</w:t>
      </w:r>
    </w:p>
    <w:p w14:paraId="09007BCE">
      <w:pPr>
        <w:spacing w:line="360" w:lineRule="auto"/>
        <w:rPr>
          <w:rFonts w:ascii="宋体" w:hAnsi="宋体" w:cs="宋体"/>
          <w:color w:val="000000"/>
          <w:kern w:val="0"/>
          <w:sz w:val="24"/>
        </w:rPr>
      </w:pPr>
      <w:r>
        <w:rPr>
          <w:rFonts w:ascii="宋体" w:hAnsi="宋体"/>
          <w:color w:val="000000"/>
          <w:sz w:val="24"/>
        </w:rPr>
        <w:t>★</w:t>
      </w:r>
      <w:r>
        <w:rPr>
          <w:rFonts w:hint="eastAsia" w:ascii="宋体" w:hAnsi="宋体" w:cs="宋体"/>
          <w:color w:val="000000"/>
          <w:kern w:val="0"/>
          <w:sz w:val="24"/>
        </w:rPr>
        <w:t>26.6</w:t>
      </w:r>
      <w:r>
        <w:rPr>
          <w:rFonts w:ascii="宋体" w:hAnsi="宋体" w:cs="宋体"/>
          <w:color w:val="000000"/>
          <w:kern w:val="0"/>
          <w:sz w:val="24"/>
        </w:rPr>
        <w:t>有下列情形之一的，视为投标人串通投标，其投标无效：</w:t>
      </w:r>
    </w:p>
    <w:p w14:paraId="729A534B">
      <w:pPr>
        <w:widowControl/>
        <w:spacing w:line="360" w:lineRule="auto"/>
        <w:jc w:val="left"/>
        <w:textAlignment w:val="baseline"/>
        <w:rPr>
          <w:rFonts w:ascii="宋体" w:hAnsi="宋体" w:cs="宋体"/>
          <w:color w:val="000000"/>
          <w:kern w:val="0"/>
          <w:sz w:val="24"/>
        </w:rPr>
      </w:pPr>
      <w:r>
        <w:rPr>
          <w:rFonts w:ascii="宋体" w:hAnsi="宋体" w:cs="宋体"/>
          <w:color w:val="000000"/>
          <w:kern w:val="0"/>
          <w:sz w:val="24"/>
        </w:rPr>
        <w:t>（一）不同投标人的投标文件由同一单位或者个人编制；</w:t>
      </w:r>
    </w:p>
    <w:p w14:paraId="257A4CB3">
      <w:pPr>
        <w:widowControl/>
        <w:spacing w:line="360" w:lineRule="auto"/>
        <w:jc w:val="left"/>
        <w:textAlignment w:val="baseline"/>
        <w:rPr>
          <w:rFonts w:ascii="宋体" w:hAnsi="宋体" w:cs="宋体"/>
          <w:color w:val="000000"/>
          <w:kern w:val="0"/>
          <w:sz w:val="24"/>
        </w:rPr>
      </w:pPr>
      <w:r>
        <w:rPr>
          <w:rFonts w:ascii="宋体" w:hAnsi="宋体" w:cs="宋体"/>
          <w:color w:val="000000"/>
          <w:kern w:val="0"/>
          <w:sz w:val="24"/>
        </w:rPr>
        <w:t>（二）不同投标人委托同一单位或者个人办理投标事宜；</w:t>
      </w:r>
    </w:p>
    <w:p w14:paraId="5FDD2A98">
      <w:pPr>
        <w:widowControl/>
        <w:spacing w:line="360" w:lineRule="auto"/>
        <w:jc w:val="left"/>
        <w:textAlignment w:val="baseline"/>
        <w:rPr>
          <w:rFonts w:ascii="宋体" w:hAnsi="宋体" w:cs="宋体"/>
          <w:color w:val="000000"/>
          <w:kern w:val="0"/>
          <w:sz w:val="24"/>
        </w:rPr>
      </w:pPr>
      <w:r>
        <w:rPr>
          <w:rFonts w:ascii="宋体" w:hAnsi="宋体" w:cs="宋体"/>
          <w:color w:val="000000"/>
          <w:kern w:val="0"/>
          <w:sz w:val="24"/>
        </w:rPr>
        <w:t>（三）不同投标人的投标文件载明的项目管理成员或者联系人员为同一人；</w:t>
      </w:r>
    </w:p>
    <w:p w14:paraId="42B7F291">
      <w:pPr>
        <w:widowControl/>
        <w:spacing w:line="360" w:lineRule="auto"/>
        <w:jc w:val="left"/>
        <w:textAlignment w:val="baseline"/>
        <w:rPr>
          <w:rFonts w:ascii="宋体" w:hAnsi="宋体" w:cs="宋体"/>
          <w:color w:val="000000"/>
          <w:kern w:val="0"/>
          <w:sz w:val="24"/>
        </w:rPr>
      </w:pPr>
      <w:r>
        <w:rPr>
          <w:rFonts w:ascii="宋体" w:hAnsi="宋体" w:cs="宋体"/>
          <w:color w:val="000000"/>
          <w:kern w:val="0"/>
          <w:sz w:val="24"/>
        </w:rPr>
        <w:t>（四）不同投标人的投标文件异常一致或者投标报价呈规律性差异；</w:t>
      </w:r>
    </w:p>
    <w:p w14:paraId="25E18D5A">
      <w:pPr>
        <w:widowControl/>
        <w:spacing w:line="360" w:lineRule="auto"/>
        <w:jc w:val="left"/>
        <w:textAlignment w:val="baseline"/>
        <w:rPr>
          <w:rFonts w:ascii="宋体" w:hAnsi="宋体" w:cs="宋体"/>
          <w:color w:val="000000"/>
          <w:kern w:val="0"/>
          <w:sz w:val="24"/>
        </w:rPr>
      </w:pPr>
      <w:r>
        <w:rPr>
          <w:rFonts w:ascii="宋体" w:hAnsi="宋体" w:cs="宋体"/>
          <w:color w:val="000000"/>
          <w:kern w:val="0"/>
          <w:sz w:val="24"/>
        </w:rPr>
        <w:t>（五）不同投标人的投标文件相互混装；</w:t>
      </w:r>
    </w:p>
    <w:p w14:paraId="58F88604">
      <w:pPr>
        <w:widowControl/>
        <w:spacing w:line="360" w:lineRule="auto"/>
        <w:jc w:val="left"/>
        <w:textAlignment w:val="baseline"/>
        <w:rPr>
          <w:rFonts w:ascii="宋体" w:hAnsi="宋体" w:cs="宋体"/>
          <w:color w:val="000000"/>
          <w:kern w:val="0"/>
          <w:sz w:val="24"/>
        </w:rPr>
      </w:pPr>
      <w:r>
        <w:rPr>
          <w:rFonts w:ascii="宋体" w:hAnsi="宋体" w:cs="宋体"/>
          <w:color w:val="000000"/>
          <w:kern w:val="0"/>
          <w:sz w:val="24"/>
        </w:rPr>
        <w:t>（六）不同投标人的投标保证金从同一单位或者个人的账户转出。</w:t>
      </w:r>
    </w:p>
    <w:p w14:paraId="513A3CDD">
      <w:pPr>
        <w:spacing w:line="360" w:lineRule="auto"/>
        <w:jc w:val="left"/>
        <w:rPr>
          <w:rFonts w:ascii="宋体" w:hAnsi="宋体"/>
          <w:b/>
          <w:color w:val="000000"/>
          <w:sz w:val="24"/>
        </w:rPr>
      </w:pPr>
      <w:r>
        <w:rPr>
          <w:rFonts w:ascii="宋体" w:hAnsi="宋体"/>
          <w:b/>
          <w:color w:val="000000"/>
          <w:sz w:val="24"/>
        </w:rPr>
        <w:t>2</w:t>
      </w:r>
      <w:r>
        <w:rPr>
          <w:rFonts w:hint="eastAsia" w:ascii="宋体" w:hAnsi="宋体"/>
          <w:b/>
          <w:color w:val="000000"/>
          <w:sz w:val="24"/>
        </w:rPr>
        <w:t>7.废标、中止</w:t>
      </w:r>
    </w:p>
    <w:p w14:paraId="423DDC54">
      <w:pPr>
        <w:pStyle w:val="16"/>
        <w:spacing w:line="360" w:lineRule="auto"/>
        <w:rPr>
          <w:rFonts w:hAnsi="宋体"/>
          <w:b/>
          <w:bCs/>
          <w:color w:val="000000"/>
          <w:sz w:val="24"/>
          <w:szCs w:val="24"/>
        </w:rPr>
      </w:pPr>
      <w:r>
        <w:rPr>
          <w:rFonts w:hAnsi="宋体"/>
          <w:b/>
          <w:color w:val="000000"/>
          <w:sz w:val="24"/>
          <w:szCs w:val="24"/>
        </w:rPr>
        <w:t>27.1</w:t>
      </w:r>
      <w:r>
        <w:rPr>
          <w:rFonts w:hint="eastAsia" w:hAnsi="宋体"/>
          <w:b/>
          <w:color w:val="000000"/>
          <w:sz w:val="24"/>
          <w:szCs w:val="24"/>
        </w:rPr>
        <w:t>在招标采购中，出现下列情形之一的，应予废标：</w:t>
      </w:r>
    </w:p>
    <w:p w14:paraId="5A3A4786">
      <w:pPr>
        <w:pStyle w:val="16"/>
        <w:spacing w:line="360" w:lineRule="auto"/>
        <w:ind w:left="959" w:leftChars="342" w:hanging="1"/>
        <w:rPr>
          <w:rFonts w:hAnsi="宋体"/>
          <w:b/>
          <w:color w:val="000000"/>
          <w:sz w:val="24"/>
          <w:szCs w:val="24"/>
        </w:rPr>
      </w:pPr>
      <w:r>
        <w:rPr>
          <w:rFonts w:hint="eastAsia" w:hAnsi="宋体"/>
          <w:b/>
          <w:color w:val="000000"/>
          <w:sz w:val="24"/>
          <w:szCs w:val="24"/>
        </w:rPr>
        <w:t>(1)符合专业条件的投标人或者对招标文件作实质响应的投标人不足3家的；</w:t>
      </w:r>
    </w:p>
    <w:p w14:paraId="08D6C4B0">
      <w:pPr>
        <w:pStyle w:val="16"/>
        <w:spacing w:line="360" w:lineRule="auto"/>
        <w:ind w:left="959" w:leftChars="342" w:hanging="1"/>
        <w:rPr>
          <w:rFonts w:hAnsi="宋体"/>
          <w:b/>
          <w:color w:val="000000"/>
          <w:sz w:val="24"/>
          <w:szCs w:val="24"/>
        </w:rPr>
      </w:pPr>
      <w:r>
        <w:rPr>
          <w:rFonts w:hint="eastAsia" w:hAnsi="宋体"/>
          <w:b/>
          <w:color w:val="000000"/>
          <w:sz w:val="24"/>
          <w:szCs w:val="24"/>
        </w:rPr>
        <w:t>(2)出现影响采购公正的违法、违规行为的；</w:t>
      </w:r>
    </w:p>
    <w:p w14:paraId="324441B8">
      <w:pPr>
        <w:pStyle w:val="16"/>
        <w:spacing w:line="360" w:lineRule="auto"/>
        <w:ind w:left="959" w:leftChars="342" w:hanging="1"/>
        <w:rPr>
          <w:rFonts w:hAnsi="宋体"/>
          <w:b/>
          <w:color w:val="000000"/>
          <w:sz w:val="24"/>
          <w:szCs w:val="24"/>
        </w:rPr>
      </w:pPr>
      <w:r>
        <w:rPr>
          <w:rFonts w:hint="eastAsia" w:hAnsi="宋体"/>
          <w:b/>
          <w:color w:val="000000"/>
          <w:sz w:val="24"/>
          <w:szCs w:val="24"/>
        </w:rPr>
        <w:t>(3)投标人的报价均超过了采购预算，采购人不能支付的；</w:t>
      </w:r>
    </w:p>
    <w:p w14:paraId="7F9A0901">
      <w:pPr>
        <w:pStyle w:val="16"/>
        <w:spacing w:line="360" w:lineRule="auto"/>
        <w:ind w:left="959" w:leftChars="342" w:hanging="1"/>
        <w:rPr>
          <w:rFonts w:hAnsi="宋体"/>
          <w:b/>
          <w:color w:val="000000"/>
          <w:sz w:val="24"/>
          <w:szCs w:val="24"/>
        </w:rPr>
      </w:pPr>
      <w:r>
        <w:rPr>
          <w:rFonts w:hint="eastAsia" w:hAnsi="宋体"/>
          <w:b/>
          <w:color w:val="000000"/>
          <w:sz w:val="24"/>
          <w:szCs w:val="24"/>
        </w:rPr>
        <w:t>(4)因重大变故，采购任务取消的。</w:t>
      </w:r>
    </w:p>
    <w:p w14:paraId="53587169">
      <w:pPr>
        <w:pStyle w:val="16"/>
        <w:spacing w:line="360" w:lineRule="auto"/>
        <w:ind w:firstLine="525"/>
        <w:rPr>
          <w:rFonts w:hAnsi="宋体"/>
          <w:b/>
          <w:color w:val="000000"/>
          <w:sz w:val="24"/>
          <w:szCs w:val="24"/>
        </w:rPr>
      </w:pPr>
      <w:r>
        <w:rPr>
          <w:rFonts w:hint="eastAsia" w:hAnsi="宋体"/>
          <w:b/>
          <w:color w:val="000000"/>
          <w:sz w:val="24"/>
          <w:szCs w:val="24"/>
        </w:rPr>
        <w:t>废标后，采购人应当将废标理由通知所有投标人。</w:t>
      </w:r>
    </w:p>
    <w:p w14:paraId="0303A157">
      <w:pPr>
        <w:spacing w:line="360" w:lineRule="auto"/>
        <w:jc w:val="left"/>
        <w:rPr>
          <w:rFonts w:ascii="宋体" w:hAnsi="宋体"/>
          <w:sz w:val="24"/>
        </w:rPr>
      </w:pPr>
      <w:r>
        <w:rPr>
          <w:rFonts w:hint="eastAsia" w:ascii="宋体" w:hAnsi="宋体"/>
          <w:sz w:val="24"/>
        </w:rPr>
        <w:t>27.2电子交易活动的中止</w:t>
      </w:r>
    </w:p>
    <w:p w14:paraId="3D513210">
      <w:pPr>
        <w:spacing w:line="360" w:lineRule="auto"/>
        <w:ind w:firstLine="540" w:firstLineChars="225"/>
        <w:jc w:val="left"/>
        <w:rPr>
          <w:rFonts w:ascii="宋体" w:hAnsi="宋体"/>
          <w:sz w:val="24"/>
        </w:rPr>
      </w:pPr>
      <w:r>
        <w:rPr>
          <w:rFonts w:hint="eastAsia" w:ascii="宋体" w:hAnsi="宋体"/>
          <w:sz w:val="24"/>
        </w:rPr>
        <w:t>采购过程中出现以下情形，导致电子交易平台无法正常运行，或者无法保证电子交易的公平、公正和安全时，采购代理机构可中止电子交易活动：</w:t>
      </w:r>
    </w:p>
    <w:p w14:paraId="6EFA7723">
      <w:pPr>
        <w:spacing w:line="360" w:lineRule="auto"/>
        <w:ind w:firstLine="540" w:firstLineChars="225"/>
        <w:jc w:val="left"/>
        <w:rPr>
          <w:rFonts w:ascii="宋体" w:hAnsi="宋体"/>
          <w:sz w:val="24"/>
        </w:rPr>
      </w:pPr>
      <w:r>
        <w:rPr>
          <w:rFonts w:hint="eastAsia" w:ascii="宋体" w:hAnsi="宋体"/>
          <w:sz w:val="24"/>
        </w:rPr>
        <w:t>（1）电子交易平台发生故障而无法登录访问的；</w:t>
      </w:r>
    </w:p>
    <w:p w14:paraId="19B97D11">
      <w:pPr>
        <w:spacing w:line="360" w:lineRule="auto"/>
        <w:ind w:firstLine="540" w:firstLineChars="225"/>
        <w:jc w:val="left"/>
        <w:rPr>
          <w:rFonts w:ascii="宋体" w:hAnsi="宋体"/>
          <w:sz w:val="24"/>
        </w:rPr>
      </w:pPr>
      <w:r>
        <w:rPr>
          <w:rFonts w:hint="eastAsia" w:ascii="宋体" w:hAnsi="宋体"/>
          <w:sz w:val="24"/>
        </w:rPr>
        <w:t>（2）电子交易平台应用或数据库出现错误，不能进行正常操作的；</w:t>
      </w:r>
    </w:p>
    <w:p w14:paraId="7BFFB8AF">
      <w:pPr>
        <w:spacing w:line="360" w:lineRule="auto"/>
        <w:ind w:firstLine="540" w:firstLineChars="225"/>
        <w:jc w:val="left"/>
        <w:rPr>
          <w:rFonts w:ascii="宋体" w:hAnsi="宋体"/>
          <w:sz w:val="24"/>
        </w:rPr>
      </w:pPr>
      <w:r>
        <w:rPr>
          <w:rFonts w:hint="eastAsia" w:ascii="宋体" w:hAnsi="宋体"/>
          <w:sz w:val="24"/>
        </w:rPr>
        <w:t>（3）电子交易平台发现严重安全漏洞，有潜在泄密危险的；</w:t>
      </w:r>
    </w:p>
    <w:p w14:paraId="1C5D04AB">
      <w:pPr>
        <w:spacing w:line="360" w:lineRule="auto"/>
        <w:ind w:firstLine="540" w:firstLineChars="225"/>
        <w:jc w:val="left"/>
        <w:rPr>
          <w:rFonts w:ascii="宋体" w:hAnsi="宋体"/>
          <w:sz w:val="24"/>
        </w:rPr>
      </w:pPr>
      <w:r>
        <w:rPr>
          <w:rFonts w:hint="eastAsia" w:ascii="宋体" w:hAnsi="宋体"/>
          <w:sz w:val="24"/>
        </w:rPr>
        <w:t>（4）病毒发作导致不能进行正常操作的；</w:t>
      </w:r>
    </w:p>
    <w:p w14:paraId="3788C799">
      <w:pPr>
        <w:spacing w:line="360" w:lineRule="auto"/>
        <w:ind w:firstLine="540" w:firstLineChars="225"/>
        <w:jc w:val="left"/>
        <w:rPr>
          <w:rFonts w:ascii="宋体" w:hAnsi="宋体"/>
          <w:sz w:val="24"/>
        </w:rPr>
      </w:pPr>
      <w:r>
        <w:rPr>
          <w:rFonts w:hint="eastAsia" w:ascii="宋体" w:hAnsi="宋体"/>
          <w:sz w:val="24"/>
        </w:rPr>
        <w:t>（5）其他无法保证电子交易的公平、公正和安全的情况。</w:t>
      </w:r>
    </w:p>
    <w:p w14:paraId="155E0A42">
      <w:pPr>
        <w:spacing w:line="360" w:lineRule="auto"/>
        <w:ind w:firstLine="542" w:firstLineChars="225"/>
        <w:jc w:val="left"/>
        <w:rPr>
          <w:rFonts w:ascii="宋体" w:hAnsi="宋体"/>
          <w:b/>
          <w:sz w:val="24"/>
        </w:rPr>
      </w:pPr>
      <w:r>
        <w:rPr>
          <w:rFonts w:hint="eastAsia" w:ascii="宋体" w:hAnsi="宋体"/>
          <w:b/>
          <w:sz w:val="24"/>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53BC3900">
      <w:pPr>
        <w:pStyle w:val="4"/>
        <w:numPr>
          <w:ilvl w:val="0"/>
          <w:numId w:val="0"/>
        </w:numPr>
        <w:ind w:left="425"/>
        <w:jc w:val="center"/>
        <w:rPr>
          <w:rFonts w:ascii="宋体" w:hAnsi="宋体" w:eastAsia="宋体"/>
          <w:color w:val="000000"/>
          <w:sz w:val="30"/>
          <w:szCs w:val="30"/>
        </w:rPr>
      </w:pPr>
      <w:bookmarkStart w:id="54" w:name="_Toc70446109"/>
      <w:bookmarkStart w:id="55" w:name="_Toc152246148"/>
      <w:r>
        <w:rPr>
          <w:rFonts w:hint="eastAsia" w:ascii="宋体" w:hAnsi="宋体" w:eastAsia="宋体"/>
          <w:color w:val="000000"/>
          <w:sz w:val="30"/>
          <w:szCs w:val="30"/>
        </w:rPr>
        <w:t>六、中标结果</w:t>
      </w:r>
      <w:bookmarkEnd w:id="54"/>
      <w:bookmarkEnd w:id="55"/>
    </w:p>
    <w:p w14:paraId="76E3A996">
      <w:pPr>
        <w:pStyle w:val="16"/>
        <w:spacing w:line="360" w:lineRule="auto"/>
        <w:rPr>
          <w:rFonts w:hAnsi="宋体"/>
          <w:b/>
          <w:color w:val="000000"/>
          <w:sz w:val="24"/>
          <w:szCs w:val="24"/>
        </w:rPr>
      </w:pPr>
      <w:r>
        <w:rPr>
          <w:rFonts w:hint="eastAsia" w:hAnsi="宋体"/>
          <w:b/>
          <w:color w:val="000000"/>
          <w:sz w:val="24"/>
          <w:szCs w:val="24"/>
        </w:rPr>
        <w:t>28. 中标人的确定</w:t>
      </w:r>
    </w:p>
    <w:p w14:paraId="16EDD19C">
      <w:pPr>
        <w:spacing w:line="360" w:lineRule="auto"/>
        <w:rPr>
          <w:rFonts w:ascii="宋体" w:hAnsi="宋体"/>
          <w:color w:val="000000"/>
          <w:sz w:val="24"/>
        </w:rPr>
      </w:pPr>
      <w:r>
        <w:rPr>
          <w:rFonts w:hint="eastAsia" w:ascii="宋体" w:hAnsi="宋体"/>
          <w:color w:val="000000"/>
          <w:sz w:val="24"/>
        </w:rPr>
        <w:t>28.1采购代理机构应当在评标结束之日起2个工作日内将评标报告送采购人确认。</w:t>
      </w:r>
    </w:p>
    <w:p w14:paraId="3C8F19BA">
      <w:pPr>
        <w:pStyle w:val="16"/>
        <w:spacing w:line="360" w:lineRule="auto"/>
        <w:rPr>
          <w:rFonts w:hAnsi="宋体"/>
          <w:color w:val="000000"/>
          <w:sz w:val="24"/>
          <w:szCs w:val="24"/>
        </w:rPr>
      </w:pPr>
      <w:r>
        <w:rPr>
          <w:rFonts w:hint="eastAsia" w:hAnsi="宋体"/>
          <w:color w:val="000000"/>
          <w:sz w:val="24"/>
          <w:szCs w:val="24"/>
        </w:rPr>
        <w:t>28.2采购人应当在收到评标报告</w:t>
      </w:r>
      <w:r>
        <w:rPr>
          <w:rFonts w:hint="eastAsia" w:hAnsi="宋体"/>
          <w:color w:val="000000"/>
          <w:sz w:val="24"/>
        </w:rPr>
        <w:t>之日起</w:t>
      </w:r>
      <w:r>
        <w:rPr>
          <w:rFonts w:hint="eastAsia" w:hAnsi="宋体"/>
          <w:color w:val="000000"/>
          <w:sz w:val="24"/>
          <w:szCs w:val="24"/>
        </w:rPr>
        <w:t>5个工作日内，在评标报告中推荐的中标候选人中按顺序确定中标人。</w:t>
      </w:r>
    </w:p>
    <w:p w14:paraId="58DAB60E">
      <w:pPr>
        <w:pStyle w:val="16"/>
        <w:spacing w:line="360" w:lineRule="auto"/>
        <w:rPr>
          <w:rFonts w:hAnsi="宋体"/>
          <w:b/>
          <w:bCs/>
          <w:color w:val="000000"/>
          <w:sz w:val="24"/>
          <w:szCs w:val="24"/>
        </w:rPr>
      </w:pPr>
      <w:r>
        <w:rPr>
          <w:rFonts w:hint="eastAsia" w:hAnsi="宋体"/>
          <w:b/>
          <w:bCs/>
          <w:color w:val="000000"/>
          <w:sz w:val="24"/>
          <w:szCs w:val="24"/>
        </w:rPr>
        <w:t>29. 中标通知书</w:t>
      </w:r>
    </w:p>
    <w:p w14:paraId="59872DD9">
      <w:pPr>
        <w:pStyle w:val="16"/>
        <w:spacing w:line="360" w:lineRule="auto"/>
        <w:rPr>
          <w:rFonts w:hAnsi="宋体"/>
          <w:color w:val="000000"/>
          <w:sz w:val="24"/>
          <w:szCs w:val="24"/>
        </w:rPr>
      </w:pPr>
      <w:r>
        <w:rPr>
          <w:rFonts w:hint="eastAsia" w:hAnsi="宋体"/>
          <w:color w:val="000000"/>
          <w:sz w:val="24"/>
          <w:szCs w:val="24"/>
        </w:rPr>
        <w:t>29.1</w:t>
      </w:r>
      <w:r>
        <w:rPr>
          <w:rFonts w:hint="eastAsia" w:hAnsi="宋体"/>
          <w:color w:val="000000"/>
          <w:sz w:val="24"/>
        </w:rPr>
        <w:t>中标人确定之日起2个工作日内，</w:t>
      </w:r>
      <w:r>
        <w:rPr>
          <w:rFonts w:hint="eastAsia" w:hAnsi="宋体"/>
          <w:color w:val="000000"/>
          <w:sz w:val="24"/>
          <w:szCs w:val="24"/>
        </w:rPr>
        <w:t>采购代理机构在省级以上</w:t>
      </w:r>
      <w:r>
        <w:rPr>
          <w:rFonts w:hint="eastAsia" w:hAnsi="宋体"/>
          <w:color w:val="000000"/>
          <w:sz w:val="24"/>
        </w:rPr>
        <w:t>财政部门指定的媒体上公告中标结果，中标公告期限为1个工作日，同时</w:t>
      </w:r>
      <w:r>
        <w:rPr>
          <w:rFonts w:hint="eastAsia" w:hAnsi="宋体"/>
          <w:color w:val="000000"/>
          <w:sz w:val="24"/>
          <w:szCs w:val="24"/>
        </w:rPr>
        <w:t>向中标人发出中标通知书。</w:t>
      </w:r>
    </w:p>
    <w:p w14:paraId="31F6B3DA">
      <w:pPr>
        <w:pStyle w:val="16"/>
        <w:spacing w:line="360" w:lineRule="auto"/>
        <w:rPr>
          <w:rFonts w:hAnsi="宋体"/>
          <w:color w:val="000000"/>
          <w:sz w:val="24"/>
          <w:szCs w:val="24"/>
        </w:rPr>
      </w:pPr>
      <w:r>
        <w:rPr>
          <w:rFonts w:hint="eastAsia" w:hAnsi="宋体"/>
          <w:color w:val="000000"/>
          <w:sz w:val="24"/>
          <w:szCs w:val="24"/>
        </w:rPr>
        <w:t>29.2中标通知书是合同的一个组成部分。</w:t>
      </w:r>
    </w:p>
    <w:p w14:paraId="605E79C0">
      <w:pPr>
        <w:pStyle w:val="16"/>
        <w:spacing w:line="360" w:lineRule="auto"/>
        <w:rPr>
          <w:rFonts w:hAnsi="宋体"/>
          <w:b/>
          <w:bCs/>
          <w:color w:val="000000"/>
          <w:sz w:val="24"/>
          <w:szCs w:val="24"/>
        </w:rPr>
      </w:pPr>
      <w:r>
        <w:rPr>
          <w:rFonts w:hint="eastAsia" w:hAnsi="宋体"/>
          <w:b/>
          <w:bCs/>
          <w:color w:val="000000"/>
          <w:sz w:val="24"/>
          <w:szCs w:val="24"/>
        </w:rPr>
        <w:t>30. 签订合同</w:t>
      </w:r>
    </w:p>
    <w:p w14:paraId="2371A680">
      <w:pPr>
        <w:pStyle w:val="16"/>
        <w:spacing w:line="360" w:lineRule="auto"/>
        <w:rPr>
          <w:rFonts w:hAnsi="宋体"/>
          <w:color w:val="000000"/>
          <w:sz w:val="24"/>
          <w:szCs w:val="24"/>
        </w:rPr>
      </w:pPr>
      <w:r>
        <w:rPr>
          <w:rFonts w:hint="eastAsia" w:hAnsi="宋体"/>
          <w:color w:val="000000"/>
          <w:sz w:val="24"/>
          <w:szCs w:val="24"/>
        </w:rPr>
        <w:t>30.1</w:t>
      </w:r>
      <w:r>
        <w:rPr>
          <w:rFonts w:hAnsi="宋体"/>
          <w:color w:val="000000"/>
          <w:sz w:val="24"/>
          <w:szCs w:val="24"/>
        </w:rPr>
        <w:t>采购人与中标</w:t>
      </w:r>
      <w:r>
        <w:rPr>
          <w:rFonts w:hint="eastAsia" w:hAnsi="宋体"/>
          <w:color w:val="000000"/>
          <w:sz w:val="24"/>
          <w:szCs w:val="24"/>
        </w:rPr>
        <w:t>人</w:t>
      </w:r>
      <w:r>
        <w:rPr>
          <w:rFonts w:hAnsi="宋体"/>
          <w:color w:val="000000"/>
          <w:sz w:val="24"/>
          <w:szCs w:val="24"/>
        </w:rPr>
        <w:t>应当在中标通知书发出之日起</w:t>
      </w:r>
      <w:r>
        <w:rPr>
          <w:rFonts w:hint="eastAsia" w:hAnsi="宋体"/>
          <w:color w:val="000000"/>
          <w:sz w:val="24"/>
          <w:szCs w:val="24"/>
        </w:rPr>
        <w:t>3</w:t>
      </w:r>
      <w:r>
        <w:rPr>
          <w:rFonts w:hAnsi="宋体"/>
          <w:color w:val="000000"/>
          <w:sz w:val="24"/>
          <w:szCs w:val="24"/>
        </w:rPr>
        <w:t>0日内，按照</w:t>
      </w:r>
      <w:r>
        <w:rPr>
          <w:rFonts w:hint="eastAsia" w:hAnsi="宋体"/>
          <w:color w:val="000000"/>
          <w:sz w:val="24"/>
          <w:szCs w:val="24"/>
        </w:rPr>
        <w:t>招标</w:t>
      </w:r>
      <w:r>
        <w:rPr>
          <w:rFonts w:hAnsi="宋体"/>
          <w:color w:val="000000"/>
          <w:sz w:val="24"/>
          <w:szCs w:val="24"/>
        </w:rPr>
        <w:t>文件和中标人投标文件的规定签订政府采购合同。</w:t>
      </w:r>
    </w:p>
    <w:p w14:paraId="5A0D379E">
      <w:pPr>
        <w:pStyle w:val="16"/>
        <w:spacing w:line="360" w:lineRule="auto"/>
        <w:rPr>
          <w:rFonts w:hAnsi="宋体"/>
          <w:color w:val="000000"/>
          <w:sz w:val="24"/>
          <w:szCs w:val="24"/>
        </w:rPr>
      </w:pPr>
      <w:r>
        <w:rPr>
          <w:rFonts w:hint="eastAsia" w:hAnsi="宋体"/>
          <w:color w:val="000000"/>
          <w:sz w:val="24"/>
          <w:szCs w:val="24"/>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481B8E4D">
      <w:pPr>
        <w:pStyle w:val="16"/>
        <w:spacing w:line="360" w:lineRule="auto"/>
        <w:rPr>
          <w:rFonts w:hAnsi="宋体"/>
          <w:color w:val="000000"/>
          <w:sz w:val="24"/>
          <w:szCs w:val="24"/>
        </w:rPr>
      </w:pPr>
      <w:r>
        <w:rPr>
          <w:rFonts w:hint="eastAsia" w:hAnsi="宋体"/>
          <w:color w:val="000000"/>
          <w:sz w:val="24"/>
          <w:szCs w:val="24"/>
        </w:rPr>
        <w:t>30.3政府采购合同履行中，采购人需追加与合同标的相同的货物的，在不改变合同其他条款的前提下，可以与中标人协商签订补充合同，但所有补充合同的采购金额不得超过原合同采购金额的百分之十。</w:t>
      </w:r>
    </w:p>
    <w:p w14:paraId="642EFB02">
      <w:pPr>
        <w:pStyle w:val="16"/>
        <w:spacing w:line="360" w:lineRule="auto"/>
        <w:rPr>
          <w:rFonts w:hAnsi="宋体"/>
          <w:b/>
          <w:bCs/>
          <w:color w:val="000000"/>
          <w:sz w:val="24"/>
          <w:szCs w:val="24"/>
        </w:rPr>
      </w:pPr>
      <w:r>
        <w:rPr>
          <w:rFonts w:hAnsi="宋体"/>
          <w:b/>
          <w:bCs/>
          <w:color w:val="000000"/>
          <w:sz w:val="24"/>
          <w:szCs w:val="24"/>
        </w:rPr>
        <w:t>3</w:t>
      </w:r>
      <w:r>
        <w:rPr>
          <w:rFonts w:hint="eastAsia" w:hAnsi="宋体"/>
          <w:b/>
          <w:bCs/>
          <w:color w:val="000000"/>
          <w:sz w:val="24"/>
          <w:szCs w:val="24"/>
        </w:rPr>
        <w:t>1. 履约担保</w:t>
      </w:r>
    </w:p>
    <w:p w14:paraId="79607029">
      <w:pPr>
        <w:pStyle w:val="16"/>
        <w:tabs>
          <w:tab w:val="left" w:pos="710"/>
        </w:tabs>
        <w:spacing w:line="360" w:lineRule="auto"/>
        <w:rPr>
          <w:rFonts w:hAnsi="宋体"/>
          <w:color w:val="000000"/>
          <w:sz w:val="24"/>
          <w:szCs w:val="24"/>
        </w:rPr>
      </w:pPr>
      <w:r>
        <w:rPr>
          <w:rFonts w:hAnsi="宋体"/>
          <w:color w:val="000000"/>
          <w:sz w:val="24"/>
          <w:szCs w:val="24"/>
        </w:rPr>
        <w:t>3</w:t>
      </w:r>
      <w:r>
        <w:rPr>
          <w:rFonts w:hint="eastAsia" w:hAnsi="宋体"/>
          <w:color w:val="000000"/>
          <w:sz w:val="24"/>
          <w:szCs w:val="24"/>
        </w:rPr>
        <w:t>1.1签订合同</w:t>
      </w:r>
      <w:r>
        <w:rPr>
          <w:rFonts w:hint="eastAsia" w:hAnsi="宋体"/>
          <w:color w:val="000000"/>
          <w:sz w:val="24"/>
          <w:szCs w:val="24"/>
          <w:lang w:val="en-US" w:eastAsia="zh-CN"/>
        </w:rPr>
        <w:t>前</w:t>
      </w:r>
      <w:r>
        <w:rPr>
          <w:rFonts w:hint="eastAsia" w:hAnsi="宋体"/>
          <w:color w:val="000000"/>
          <w:sz w:val="24"/>
          <w:szCs w:val="24"/>
        </w:rPr>
        <w:t>，中标人应按“</w:t>
      </w:r>
      <w:r>
        <w:rPr>
          <w:rFonts w:hint="eastAsia" w:hAnsi="宋体"/>
          <w:b/>
          <w:color w:val="000000"/>
          <w:sz w:val="24"/>
          <w:szCs w:val="24"/>
        </w:rPr>
        <w:t>投标人须知前附表</w:t>
      </w:r>
      <w:r>
        <w:rPr>
          <w:rFonts w:hint="eastAsia" w:hAnsi="宋体"/>
          <w:color w:val="000000"/>
          <w:sz w:val="24"/>
          <w:szCs w:val="24"/>
        </w:rPr>
        <w:t>”上确定的履约担保的金额及形式，向采购人提交履约担保，</w:t>
      </w:r>
      <w:r>
        <w:rPr>
          <w:rFonts w:hAnsi="宋体"/>
          <w:color w:val="000000"/>
          <w:sz w:val="24"/>
          <w:szCs w:val="24"/>
        </w:rPr>
        <w:t>联合体中标的，其履约担保由牵头人递交</w:t>
      </w:r>
      <w:r>
        <w:rPr>
          <w:rFonts w:hint="eastAsia" w:hAnsi="宋体"/>
          <w:color w:val="000000"/>
          <w:sz w:val="24"/>
          <w:szCs w:val="24"/>
        </w:rPr>
        <w:t>。否则，视为放弃中标项目，投标保证金将不予退还。</w:t>
      </w:r>
    </w:p>
    <w:p w14:paraId="03BBDF71">
      <w:pPr>
        <w:pStyle w:val="16"/>
        <w:spacing w:line="360" w:lineRule="auto"/>
        <w:rPr>
          <w:rFonts w:hAnsi="宋体"/>
          <w:color w:val="000000"/>
          <w:sz w:val="24"/>
          <w:szCs w:val="24"/>
        </w:rPr>
      </w:pPr>
      <w:r>
        <w:rPr>
          <w:rFonts w:hAnsi="宋体"/>
          <w:color w:val="000000"/>
          <w:sz w:val="24"/>
          <w:szCs w:val="24"/>
        </w:rPr>
        <w:t>3</w:t>
      </w:r>
      <w:r>
        <w:rPr>
          <w:rFonts w:hint="eastAsia" w:hAnsi="宋体"/>
          <w:color w:val="000000"/>
          <w:sz w:val="24"/>
          <w:szCs w:val="24"/>
        </w:rPr>
        <w:t>1.2签订合同后，如中标人不按双方签订合同约定履约，则没收其全部履约保证金，履约保证金不足以赔偿损失的，按实际损失赔偿。</w:t>
      </w:r>
    </w:p>
    <w:p w14:paraId="59779FFB">
      <w:pPr>
        <w:pStyle w:val="4"/>
        <w:numPr>
          <w:ilvl w:val="0"/>
          <w:numId w:val="0"/>
        </w:numPr>
        <w:ind w:left="425"/>
        <w:jc w:val="center"/>
        <w:rPr>
          <w:rFonts w:ascii="宋体" w:hAnsi="宋体" w:eastAsia="宋体"/>
          <w:color w:val="000000"/>
          <w:sz w:val="30"/>
          <w:szCs w:val="30"/>
        </w:rPr>
      </w:pPr>
      <w:bookmarkStart w:id="56" w:name="_Toc70446110"/>
      <w:bookmarkStart w:id="57" w:name="_Toc152246149"/>
      <w:r>
        <w:rPr>
          <w:rFonts w:hint="eastAsia" w:ascii="宋体" w:hAnsi="宋体" w:eastAsia="宋体"/>
          <w:color w:val="000000"/>
          <w:sz w:val="30"/>
          <w:szCs w:val="30"/>
        </w:rPr>
        <w:t>七、其他事项</w:t>
      </w:r>
      <w:bookmarkEnd w:id="56"/>
      <w:bookmarkEnd w:id="57"/>
    </w:p>
    <w:p w14:paraId="5D414749">
      <w:pPr>
        <w:pStyle w:val="16"/>
        <w:spacing w:line="360" w:lineRule="auto"/>
        <w:rPr>
          <w:rFonts w:hAnsi="宋体"/>
          <w:b/>
          <w:bCs/>
          <w:color w:val="000000"/>
          <w:sz w:val="24"/>
          <w:szCs w:val="24"/>
        </w:rPr>
      </w:pPr>
      <w:r>
        <w:rPr>
          <w:rFonts w:hAnsi="宋体"/>
          <w:b/>
          <w:bCs/>
          <w:color w:val="000000"/>
          <w:sz w:val="24"/>
          <w:szCs w:val="24"/>
        </w:rPr>
        <w:t>3</w:t>
      </w:r>
      <w:r>
        <w:rPr>
          <w:rFonts w:hint="eastAsia" w:hAnsi="宋体"/>
          <w:b/>
          <w:bCs/>
          <w:color w:val="000000"/>
          <w:sz w:val="24"/>
          <w:szCs w:val="24"/>
        </w:rPr>
        <w:t>2. 采购代理服务费</w:t>
      </w:r>
    </w:p>
    <w:p w14:paraId="2C5892F6">
      <w:pPr>
        <w:pStyle w:val="16"/>
        <w:spacing w:line="360" w:lineRule="auto"/>
        <w:rPr>
          <w:rFonts w:hAnsi="宋体"/>
          <w:color w:val="000000"/>
          <w:sz w:val="24"/>
          <w:szCs w:val="24"/>
        </w:rPr>
      </w:pPr>
      <w:r>
        <w:rPr>
          <w:rFonts w:hAnsi="宋体"/>
          <w:color w:val="000000"/>
          <w:sz w:val="24"/>
          <w:szCs w:val="24"/>
        </w:rPr>
        <w:t>3</w:t>
      </w:r>
      <w:r>
        <w:rPr>
          <w:rFonts w:hint="eastAsia" w:hAnsi="宋体"/>
          <w:color w:val="000000"/>
          <w:sz w:val="24"/>
          <w:szCs w:val="24"/>
        </w:rPr>
        <w:t>2.1采购代理机构按“</w:t>
      </w:r>
      <w:r>
        <w:rPr>
          <w:rFonts w:hint="eastAsia" w:hAnsi="宋体"/>
          <w:b/>
          <w:color w:val="000000"/>
          <w:sz w:val="24"/>
          <w:szCs w:val="24"/>
        </w:rPr>
        <w:t>投标人须知前附表</w:t>
      </w:r>
      <w:r>
        <w:rPr>
          <w:rFonts w:hint="eastAsia" w:hAnsi="宋体"/>
          <w:color w:val="000000"/>
          <w:sz w:val="24"/>
          <w:szCs w:val="24"/>
        </w:rPr>
        <w:t>”中的收费标准向中标人收取招标代理服务费；</w:t>
      </w:r>
    </w:p>
    <w:p w14:paraId="5D0AC03B">
      <w:pPr>
        <w:pStyle w:val="16"/>
        <w:spacing w:line="360" w:lineRule="auto"/>
        <w:rPr>
          <w:rFonts w:hAnsi="宋体"/>
          <w:color w:val="000000"/>
          <w:sz w:val="24"/>
          <w:szCs w:val="24"/>
        </w:rPr>
      </w:pPr>
      <w:r>
        <w:rPr>
          <w:rFonts w:hAnsi="宋体"/>
          <w:color w:val="000000"/>
          <w:sz w:val="24"/>
          <w:szCs w:val="24"/>
        </w:rPr>
        <w:t>3</w:t>
      </w:r>
      <w:r>
        <w:rPr>
          <w:rFonts w:hint="eastAsia" w:hAnsi="宋体"/>
          <w:color w:val="000000"/>
          <w:sz w:val="24"/>
          <w:szCs w:val="24"/>
        </w:rPr>
        <w:t>2.2中标人应在接受“</w:t>
      </w:r>
      <w:r>
        <w:rPr>
          <w:rFonts w:hint="eastAsia" w:hAnsi="宋体"/>
          <w:b/>
          <w:color w:val="000000"/>
          <w:sz w:val="24"/>
          <w:szCs w:val="24"/>
        </w:rPr>
        <w:t>中标通知书</w:t>
      </w:r>
      <w:r>
        <w:rPr>
          <w:rFonts w:hint="eastAsia" w:hAnsi="宋体"/>
          <w:color w:val="000000"/>
          <w:sz w:val="24"/>
          <w:szCs w:val="24"/>
        </w:rPr>
        <w:t>”前向采购代理机构一次付清代理服务费。</w:t>
      </w:r>
    </w:p>
    <w:p w14:paraId="007D819C">
      <w:pPr>
        <w:pStyle w:val="16"/>
        <w:spacing w:line="360" w:lineRule="auto"/>
        <w:rPr>
          <w:rFonts w:hAnsi="宋体"/>
          <w:b/>
          <w:bCs/>
          <w:color w:val="000000"/>
          <w:sz w:val="24"/>
          <w:szCs w:val="24"/>
        </w:rPr>
      </w:pPr>
      <w:r>
        <w:rPr>
          <w:rFonts w:hint="eastAsia" w:hAnsi="宋体"/>
          <w:b/>
          <w:bCs/>
          <w:color w:val="000000"/>
          <w:sz w:val="24"/>
          <w:szCs w:val="24"/>
        </w:rPr>
        <w:t>33. 招标文件编制依据</w:t>
      </w:r>
    </w:p>
    <w:p w14:paraId="69E1FFE8">
      <w:pPr>
        <w:pStyle w:val="16"/>
        <w:spacing w:line="360" w:lineRule="auto"/>
        <w:rPr>
          <w:rFonts w:hAnsi="宋体"/>
          <w:color w:val="000000"/>
          <w:sz w:val="24"/>
          <w:szCs w:val="24"/>
        </w:rPr>
      </w:pPr>
      <w:r>
        <w:rPr>
          <w:rFonts w:hint="eastAsia" w:hAnsi="宋体"/>
          <w:color w:val="000000"/>
          <w:sz w:val="24"/>
          <w:szCs w:val="24"/>
        </w:rPr>
        <w:t>33.1本招标文件根据《中华人民共和国政府采购法》及相关法律法规编制。</w:t>
      </w:r>
    </w:p>
    <w:p w14:paraId="1E235701">
      <w:pPr>
        <w:pStyle w:val="16"/>
        <w:spacing w:line="360" w:lineRule="auto"/>
        <w:rPr>
          <w:rFonts w:hAnsi="宋体"/>
          <w:b/>
          <w:bCs/>
          <w:color w:val="000000"/>
          <w:sz w:val="24"/>
          <w:szCs w:val="24"/>
        </w:rPr>
      </w:pPr>
      <w:r>
        <w:rPr>
          <w:rFonts w:hint="eastAsia" w:hAnsi="宋体"/>
          <w:b/>
          <w:bCs/>
          <w:color w:val="000000"/>
          <w:sz w:val="24"/>
          <w:szCs w:val="24"/>
        </w:rPr>
        <w:t>34.</w:t>
      </w:r>
      <w:r>
        <w:rPr>
          <w:rFonts w:hint="eastAsia" w:hAnsi="宋体"/>
          <w:b/>
          <w:color w:val="000000"/>
          <w:sz w:val="24"/>
          <w:szCs w:val="24"/>
        </w:rPr>
        <w:t>需要补充的其他内容</w:t>
      </w:r>
    </w:p>
    <w:p w14:paraId="4CCD79A2">
      <w:pPr>
        <w:pStyle w:val="16"/>
        <w:spacing w:line="360" w:lineRule="auto"/>
        <w:rPr>
          <w:rFonts w:hAnsi="宋体"/>
          <w:color w:val="000000"/>
          <w:sz w:val="24"/>
        </w:rPr>
      </w:pPr>
      <w:r>
        <w:rPr>
          <w:rFonts w:hAnsi="宋体"/>
          <w:color w:val="000000"/>
          <w:sz w:val="24"/>
        </w:rPr>
        <w:t>3</w:t>
      </w:r>
      <w:r>
        <w:rPr>
          <w:rFonts w:hint="eastAsia" w:hAnsi="宋体"/>
          <w:color w:val="000000"/>
          <w:sz w:val="24"/>
        </w:rPr>
        <w:t>4</w:t>
      </w:r>
      <w:r>
        <w:rPr>
          <w:rFonts w:hAnsi="宋体"/>
          <w:color w:val="000000"/>
          <w:sz w:val="24"/>
        </w:rPr>
        <w:t>.1 “</w:t>
      </w:r>
      <w:r>
        <w:rPr>
          <w:rFonts w:hAnsi="宋体"/>
          <w:b/>
          <w:color w:val="000000"/>
          <w:sz w:val="24"/>
        </w:rPr>
        <w:t>投标人须知前附表</w:t>
      </w:r>
      <w:r>
        <w:rPr>
          <w:rFonts w:hAnsi="宋体"/>
          <w:color w:val="000000"/>
          <w:sz w:val="24"/>
        </w:rPr>
        <w:t>”</w:t>
      </w:r>
      <w:r>
        <w:rPr>
          <w:rFonts w:hint="eastAsia" w:hAnsi="宋体"/>
          <w:color w:val="000000"/>
          <w:sz w:val="24"/>
        </w:rPr>
        <w:t>中若</w:t>
      </w:r>
      <w:r>
        <w:rPr>
          <w:rFonts w:hAnsi="宋体"/>
          <w:color w:val="000000"/>
          <w:sz w:val="24"/>
        </w:rPr>
        <w:t>规定</w:t>
      </w:r>
      <w:r>
        <w:rPr>
          <w:rFonts w:hint="eastAsia" w:hAnsi="宋体"/>
          <w:color w:val="000000"/>
          <w:sz w:val="24"/>
        </w:rPr>
        <w:t>可以接受</w:t>
      </w:r>
      <w:r>
        <w:rPr>
          <w:rFonts w:hAnsi="宋体"/>
          <w:color w:val="000000"/>
          <w:sz w:val="24"/>
        </w:rPr>
        <w:t>备选方案</w:t>
      </w:r>
      <w:r>
        <w:rPr>
          <w:rFonts w:hint="eastAsia" w:hAnsi="宋体"/>
          <w:color w:val="000000"/>
          <w:sz w:val="24"/>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01C02581">
      <w:pPr>
        <w:pStyle w:val="16"/>
        <w:spacing w:line="360" w:lineRule="auto"/>
        <w:ind w:firstLine="480" w:firstLineChars="200"/>
        <w:rPr>
          <w:rFonts w:hAnsi="宋体"/>
          <w:color w:val="000000"/>
          <w:sz w:val="24"/>
        </w:rPr>
      </w:pPr>
      <w:r>
        <w:rPr>
          <w:rFonts w:hint="eastAsia" w:hAnsi="宋体"/>
          <w:color w:val="000000"/>
          <w:sz w:val="24"/>
        </w:rPr>
        <w:t>评标委员会在对有备选方案的投标人进行评审时，应当以</w:t>
      </w:r>
      <w:r>
        <w:rPr>
          <w:rFonts w:hAnsi="宋体"/>
          <w:color w:val="000000"/>
          <w:sz w:val="24"/>
        </w:rPr>
        <w:t>主选方案</w:t>
      </w:r>
      <w:r>
        <w:rPr>
          <w:rFonts w:hint="eastAsia" w:hAnsi="宋体"/>
          <w:color w:val="000000"/>
          <w:sz w:val="24"/>
        </w:rPr>
        <w:t>为准进行</w:t>
      </w:r>
      <w:r>
        <w:rPr>
          <w:rFonts w:hAnsi="宋体"/>
          <w:color w:val="000000"/>
          <w:sz w:val="24"/>
        </w:rPr>
        <w:t>评</w:t>
      </w:r>
      <w:r>
        <w:rPr>
          <w:rFonts w:hint="eastAsia" w:hAnsi="宋体"/>
          <w:color w:val="000000"/>
          <w:sz w:val="24"/>
        </w:rPr>
        <w:t>审，如考虑备选方案的，备选方案必须实质性响应招标文件要求</w:t>
      </w:r>
      <w:r>
        <w:rPr>
          <w:rFonts w:hAnsi="宋体"/>
          <w:color w:val="000000"/>
          <w:sz w:val="24"/>
        </w:rPr>
        <w:t>。</w:t>
      </w:r>
    </w:p>
    <w:p w14:paraId="436B7DAF">
      <w:pPr>
        <w:pStyle w:val="16"/>
        <w:spacing w:line="360" w:lineRule="auto"/>
        <w:rPr>
          <w:rFonts w:hAnsi="宋体"/>
          <w:color w:val="000000"/>
          <w:sz w:val="24"/>
          <w:szCs w:val="24"/>
        </w:rPr>
      </w:pPr>
      <w:r>
        <w:rPr>
          <w:rFonts w:hint="eastAsia" w:hAnsi="宋体"/>
          <w:color w:val="000000"/>
          <w:sz w:val="24"/>
          <w:szCs w:val="24"/>
        </w:rPr>
        <w:t>34.2其它需要补充的其他内容：见“</w:t>
      </w:r>
      <w:r>
        <w:rPr>
          <w:rFonts w:hint="eastAsia" w:hAnsi="宋体"/>
          <w:b/>
          <w:color w:val="000000"/>
          <w:sz w:val="24"/>
          <w:szCs w:val="24"/>
        </w:rPr>
        <w:t>投标人须知前附表</w:t>
      </w:r>
      <w:r>
        <w:rPr>
          <w:rFonts w:hint="eastAsia" w:hAnsi="宋体"/>
          <w:color w:val="000000"/>
          <w:sz w:val="24"/>
          <w:szCs w:val="24"/>
        </w:rPr>
        <w:t>”。</w:t>
      </w:r>
    </w:p>
    <w:p w14:paraId="0DC188C8">
      <w:pPr>
        <w:spacing w:line="360" w:lineRule="auto"/>
        <w:jc w:val="left"/>
        <w:rPr>
          <w:rFonts w:ascii="宋体" w:hAnsi="宋体"/>
          <w:color w:val="000000"/>
          <w:sz w:val="24"/>
        </w:rPr>
      </w:pPr>
    </w:p>
    <w:p w14:paraId="54A921D8">
      <w:pPr>
        <w:pStyle w:val="28"/>
        <w:rPr>
          <w:rFonts w:ascii="宋体" w:hAnsi="宋体"/>
          <w:bCs w:val="0"/>
          <w:color w:val="000000"/>
          <w:kern w:val="44"/>
          <w:sz w:val="36"/>
          <w:szCs w:val="20"/>
        </w:rPr>
      </w:pPr>
      <w:bookmarkStart w:id="58" w:name="_Toc213141090"/>
      <w:r>
        <w:rPr>
          <w:rFonts w:ascii="宋体" w:hAnsi="宋体"/>
          <w:bCs w:val="0"/>
          <w:color w:val="000000"/>
          <w:kern w:val="44"/>
          <w:sz w:val="36"/>
          <w:szCs w:val="20"/>
        </w:rPr>
        <w:br w:type="page"/>
      </w:r>
      <w:bookmarkStart w:id="59" w:name="_Toc152246150"/>
      <w:r>
        <w:rPr>
          <w:rFonts w:hint="eastAsia" w:ascii="宋体" w:hAnsi="宋体"/>
          <w:bCs w:val="0"/>
          <w:color w:val="000000"/>
          <w:kern w:val="44"/>
          <w:sz w:val="36"/>
          <w:szCs w:val="20"/>
        </w:rPr>
        <w:t>第三章 合同书样式及主要条款</w:t>
      </w:r>
      <w:bookmarkEnd w:id="58"/>
      <w:bookmarkEnd w:id="59"/>
    </w:p>
    <w:p w14:paraId="7784365B">
      <w:pPr>
        <w:pStyle w:val="3"/>
        <w:numPr>
          <w:ilvl w:val="0"/>
          <w:numId w:val="0"/>
        </w:numPr>
        <w:jc w:val="center"/>
        <w:rPr>
          <w:rFonts w:ascii="宋体" w:hAnsi="宋体" w:eastAsia="宋体"/>
          <w:b w:val="0"/>
          <w:color w:val="000000"/>
          <w:sz w:val="36"/>
        </w:rPr>
      </w:pPr>
      <w:bookmarkStart w:id="60" w:name="_Toc152246151"/>
      <w:bookmarkStart w:id="61" w:name="_Toc213141091"/>
      <w:r>
        <w:rPr>
          <w:rFonts w:hint="eastAsia" w:ascii="宋体" w:hAnsi="宋体" w:eastAsia="宋体"/>
          <w:b w:val="0"/>
          <w:color w:val="000000"/>
          <w:sz w:val="36"/>
        </w:rPr>
        <w:t>合同条款前附表</w:t>
      </w:r>
      <w:bookmarkEnd w:id="60"/>
      <w:bookmarkEnd w:id="61"/>
    </w:p>
    <w:tbl>
      <w:tblPr>
        <w:tblStyle w:val="31"/>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47B16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22" w:type="dxa"/>
            <w:vAlign w:val="center"/>
          </w:tcPr>
          <w:p w14:paraId="26262790">
            <w:pPr>
              <w:pStyle w:val="16"/>
              <w:spacing w:line="440" w:lineRule="exact"/>
              <w:ind w:firstLine="241" w:firstLineChars="100"/>
              <w:rPr>
                <w:rFonts w:hAnsi="宋体"/>
                <w:b/>
                <w:bCs/>
                <w:color w:val="000000"/>
                <w:sz w:val="24"/>
                <w:szCs w:val="24"/>
              </w:rPr>
            </w:pPr>
            <w:r>
              <w:rPr>
                <w:rFonts w:hint="eastAsia" w:hAnsi="宋体"/>
                <w:b/>
                <w:bCs/>
                <w:color w:val="000000"/>
                <w:sz w:val="24"/>
                <w:szCs w:val="24"/>
              </w:rPr>
              <w:t>序号</w:t>
            </w:r>
          </w:p>
        </w:tc>
        <w:tc>
          <w:tcPr>
            <w:tcW w:w="7819" w:type="dxa"/>
            <w:vAlign w:val="center"/>
          </w:tcPr>
          <w:p w14:paraId="20C8855F">
            <w:pPr>
              <w:pStyle w:val="16"/>
              <w:spacing w:line="440" w:lineRule="exact"/>
              <w:ind w:firstLine="241" w:firstLineChars="100"/>
              <w:jc w:val="center"/>
              <w:rPr>
                <w:rFonts w:hAnsi="宋体"/>
                <w:b/>
                <w:bCs/>
                <w:color w:val="000000"/>
                <w:sz w:val="24"/>
                <w:szCs w:val="24"/>
              </w:rPr>
            </w:pPr>
            <w:r>
              <w:rPr>
                <w:rFonts w:hint="eastAsia" w:hAnsi="宋体"/>
                <w:b/>
                <w:bCs/>
                <w:color w:val="000000"/>
                <w:sz w:val="24"/>
                <w:szCs w:val="24"/>
              </w:rPr>
              <w:t>内      容</w:t>
            </w:r>
          </w:p>
        </w:tc>
      </w:tr>
      <w:tr w14:paraId="13B68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122" w:type="dxa"/>
            <w:vAlign w:val="center"/>
          </w:tcPr>
          <w:p w14:paraId="7AE2645B">
            <w:pPr>
              <w:pStyle w:val="16"/>
              <w:spacing w:line="440" w:lineRule="exact"/>
              <w:jc w:val="center"/>
              <w:rPr>
                <w:rFonts w:hAnsi="宋体"/>
                <w:sz w:val="24"/>
                <w:szCs w:val="24"/>
              </w:rPr>
            </w:pPr>
            <w:r>
              <w:rPr>
                <w:rFonts w:hint="eastAsia" w:hAnsi="宋体"/>
                <w:sz w:val="24"/>
                <w:szCs w:val="24"/>
              </w:rPr>
              <w:t>1</w:t>
            </w:r>
          </w:p>
        </w:tc>
        <w:tc>
          <w:tcPr>
            <w:tcW w:w="7819" w:type="dxa"/>
            <w:vAlign w:val="center"/>
          </w:tcPr>
          <w:p w14:paraId="5A30FBD5">
            <w:pPr>
              <w:pStyle w:val="16"/>
              <w:spacing w:line="440" w:lineRule="exact"/>
              <w:rPr>
                <w:rFonts w:hAnsi="宋体"/>
                <w:b/>
                <w:sz w:val="24"/>
                <w:szCs w:val="24"/>
              </w:rPr>
            </w:pPr>
            <w:r>
              <w:rPr>
                <w:rFonts w:hint="eastAsia" w:hAnsi="宋体"/>
                <w:b/>
                <w:sz w:val="24"/>
                <w:szCs w:val="24"/>
              </w:rPr>
              <w:t>合同履行期限、服务地点</w:t>
            </w:r>
          </w:p>
          <w:p w14:paraId="2439EF20">
            <w:pPr>
              <w:pStyle w:val="16"/>
              <w:spacing w:line="440" w:lineRule="exact"/>
              <w:rPr>
                <w:rFonts w:hAnsi="宋体"/>
                <w:sz w:val="24"/>
                <w:szCs w:val="24"/>
              </w:rPr>
            </w:pPr>
            <w:r>
              <w:rPr>
                <w:rFonts w:hint="eastAsia" w:hAnsi="宋体"/>
                <w:sz w:val="24"/>
                <w:szCs w:val="24"/>
              </w:rPr>
              <w:t>合同履行期限：</w:t>
            </w:r>
            <w:r>
              <w:rPr>
                <w:rFonts w:hint="eastAsia" w:hAnsi="宋体"/>
                <w:sz w:val="24"/>
              </w:rPr>
              <w:t>自云南省体育彩票管理中心2024年即开型体育彩票物流服务项目合同服务期到期后，该合同生效，服务期限为生效之日起一年内（若合同约定金额在期限内提前用完则合同提前终止）。</w:t>
            </w:r>
          </w:p>
          <w:p w14:paraId="5D9762CF">
            <w:pPr>
              <w:pStyle w:val="16"/>
              <w:spacing w:line="440" w:lineRule="exact"/>
              <w:rPr>
                <w:rFonts w:hAnsi="宋体"/>
                <w:sz w:val="24"/>
                <w:szCs w:val="24"/>
              </w:rPr>
            </w:pPr>
            <w:r>
              <w:rPr>
                <w:rFonts w:hint="eastAsia" w:hAnsi="宋体"/>
                <w:sz w:val="24"/>
                <w:szCs w:val="24"/>
              </w:rPr>
              <w:t>服务地点：云南省省内129个县（市、区）级城市的运输服务，运送至采购方指定的省内，省外配送地点。</w:t>
            </w:r>
          </w:p>
        </w:tc>
      </w:tr>
      <w:tr w14:paraId="4FB7E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5BFD72E8">
            <w:pPr>
              <w:pStyle w:val="16"/>
              <w:spacing w:line="440" w:lineRule="exact"/>
              <w:jc w:val="center"/>
              <w:rPr>
                <w:rFonts w:hAnsi="宋体"/>
                <w:sz w:val="24"/>
                <w:szCs w:val="24"/>
              </w:rPr>
            </w:pPr>
            <w:r>
              <w:rPr>
                <w:rFonts w:hint="eastAsia" w:hAnsi="宋体"/>
                <w:sz w:val="24"/>
                <w:szCs w:val="24"/>
              </w:rPr>
              <w:t>2</w:t>
            </w:r>
          </w:p>
        </w:tc>
        <w:tc>
          <w:tcPr>
            <w:tcW w:w="7819" w:type="dxa"/>
            <w:vAlign w:val="center"/>
          </w:tcPr>
          <w:p w14:paraId="252E0354">
            <w:pPr>
              <w:spacing w:line="440" w:lineRule="exact"/>
              <w:rPr>
                <w:rFonts w:ascii="宋体" w:hAnsi="宋体"/>
                <w:b/>
                <w:sz w:val="24"/>
              </w:rPr>
            </w:pPr>
            <w:r>
              <w:rPr>
                <w:rFonts w:hint="eastAsia" w:ascii="宋体" w:hAnsi="宋体"/>
                <w:b/>
                <w:sz w:val="24"/>
              </w:rPr>
              <w:t>付款方式：</w:t>
            </w:r>
          </w:p>
          <w:p w14:paraId="58E48F4D">
            <w:pPr>
              <w:spacing w:line="440" w:lineRule="exact"/>
              <w:rPr>
                <w:rFonts w:ascii="宋体" w:hAnsi="宋体"/>
                <w:sz w:val="24"/>
              </w:rPr>
            </w:pPr>
            <w:r>
              <w:rPr>
                <w:rFonts w:hint="eastAsia" w:ascii="宋体" w:hAnsi="宋体"/>
                <w:sz w:val="24"/>
              </w:rPr>
              <w:t>1.实际产生物流费用，按月据实结算。乙方每月6日前提供上月结算明细及签收回单，核对无误后，开据发票，甲方于收到发票10日内支付物流费用。</w:t>
            </w:r>
          </w:p>
          <w:p w14:paraId="535A7143">
            <w:pPr>
              <w:spacing w:line="440" w:lineRule="exact"/>
              <w:rPr>
                <w:rFonts w:ascii="宋体" w:hAnsi="宋体"/>
                <w:sz w:val="24"/>
                <w:highlight w:val="yellow"/>
              </w:rPr>
            </w:pPr>
            <w:r>
              <w:rPr>
                <w:rFonts w:hint="eastAsia" w:ascii="宋体" w:hAnsi="宋体"/>
                <w:sz w:val="24"/>
              </w:rPr>
              <w:t>2.双方约定</w:t>
            </w:r>
            <w:r>
              <w:rPr>
                <w:rFonts w:hint="eastAsia" w:ascii="宋体" w:hAnsi="宋体"/>
                <w:sz w:val="24"/>
                <w:lang w:eastAsia="zh-CN"/>
              </w:rPr>
              <w:t>，</w:t>
            </w:r>
            <w:r>
              <w:rPr>
                <w:rFonts w:hint="eastAsia" w:ascii="宋体" w:hAnsi="宋体"/>
                <w:sz w:val="24"/>
              </w:rPr>
              <w:t>乙方应于合同签定前10日内一次性向甲方指定账户交纳合同总价5%的履约保证金。在履约担保有效期内，如乙方不履行或不按合同履行约定的义务，履约保证金不予退还。待乙方按合同相关条款履行完合同后，双方结算完毕后甲方于合同执行完毕且结算完成后的10日内一次性将履约保证金无利息退还乙方。（未尽事宜以双方在签订合同时协商为准）</w:t>
            </w:r>
          </w:p>
        </w:tc>
      </w:tr>
      <w:tr w14:paraId="2D197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5E224997">
            <w:pPr>
              <w:pStyle w:val="16"/>
              <w:spacing w:line="440" w:lineRule="exact"/>
              <w:jc w:val="center"/>
              <w:rPr>
                <w:rFonts w:hAnsi="宋体"/>
                <w:sz w:val="24"/>
                <w:szCs w:val="24"/>
              </w:rPr>
            </w:pPr>
            <w:r>
              <w:rPr>
                <w:rFonts w:hint="eastAsia" w:hAnsi="宋体"/>
                <w:sz w:val="24"/>
                <w:szCs w:val="24"/>
              </w:rPr>
              <w:t>3</w:t>
            </w:r>
          </w:p>
        </w:tc>
        <w:tc>
          <w:tcPr>
            <w:tcW w:w="7819" w:type="dxa"/>
            <w:vAlign w:val="center"/>
          </w:tcPr>
          <w:p w14:paraId="646E053D">
            <w:pPr>
              <w:pStyle w:val="16"/>
              <w:adjustRightInd w:val="0"/>
              <w:snapToGrid w:val="0"/>
              <w:spacing w:line="440" w:lineRule="exact"/>
              <w:jc w:val="left"/>
              <w:rPr>
                <w:rFonts w:hAnsi="宋体"/>
                <w:b/>
                <w:sz w:val="24"/>
              </w:rPr>
            </w:pPr>
            <w:r>
              <w:rPr>
                <w:rFonts w:hint="eastAsia" w:hAnsi="宋体"/>
                <w:b/>
                <w:sz w:val="24"/>
              </w:rPr>
              <w:t>履约保证金：</w:t>
            </w:r>
          </w:p>
          <w:p w14:paraId="6BCBD7C3">
            <w:pPr>
              <w:pStyle w:val="16"/>
              <w:adjustRightInd w:val="0"/>
              <w:snapToGrid w:val="0"/>
              <w:spacing w:line="440" w:lineRule="exact"/>
              <w:jc w:val="left"/>
              <w:rPr>
                <w:rFonts w:hAnsi="宋体"/>
                <w:sz w:val="24"/>
                <w:highlight w:val="green"/>
              </w:rPr>
            </w:pPr>
            <w:r>
              <w:rPr>
                <w:rFonts w:hint="eastAsia" w:hAnsi="宋体"/>
                <w:sz w:val="24"/>
              </w:rPr>
              <w:t>1）履约保证金金额：合同金额的5%</w:t>
            </w:r>
          </w:p>
          <w:p w14:paraId="0621558B">
            <w:pPr>
              <w:pStyle w:val="16"/>
              <w:adjustRightInd w:val="0"/>
              <w:snapToGrid w:val="0"/>
              <w:spacing w:line="440" w:lineRule="exact"/>
              <w:jc w:val="left"/>
              <w:rPr>
                <w:rFonts w:hAnsi="宋体"/>
                <w:sz w:val="24"/>
              </w:rPr>
            </w:pPr>
            <w:r>
              <w:rPr>
                <w:rFonts w:hint="eastAsia" w:hAnsi="宋体"/>
                <w:sz w:val="24"/>
              </w:rPr>
              <w:t>2）履约保证金形式：银行转账、支票、汇票、本票或者金融机构、担保机构出具的保函等非现金形式</w:t>
            </w:r>
          </w:p>
          <w:p w14:paraId="49C3CE32">
            <w:pPr>
              <w:pStyle w:val="16"/>
              <w:adjustRightInd w:val="0"/>
              <w:snapToGrid w:val="0"/>
              <w:spacing w:line="440" w:lineRule="exact"/>
              <w:jc w:val="left"/>
              <w:rPr>
                <w:rFonts w:hAnsi="宋体"/>
                <w:sz w:val="24"/>
              </w:rPr>
            </w:pPr>
            <w:r>
              <w:rPr>
                <w:rFonts w:hint="eastAsia" w:hAnsi="宋体"/>
                <w:sz w:val="24"/>
                <w:lang w:val="en-US" w:eastAsia="zh-CN"/>
              </w:rPr>
              <w:t>3</w:t>
            </w:r>
            <w:r>
              <w:rPr>
                <w:rFonts w:hint="eastAsia" w:hAnsi="宋体"/>
                <w:sz w:val="24"/>
              </w:rPr>
              <w:t>）履约保证金的退还：合同履行期限结束后，乙方无履约问题，由乙方提出申请后无息退还履约保证金。</w:t>
            </w:r>
          </w:p>
          <w:p w14:paraId="77CA25C2">
            <w:pPr>
              <w:pStyle w:val="16"/>
              <w:adjustRightInd w:val="0"/>
              <w:snapToGrid w:val="0"/>
              <w:spacing w:line="440" w:lineRule="exact"/>
              <w:jc w:val="left"/>
              <w:rPr>
                <w:rFonts w:hAnsi="宋体"/>
                <w:sz w:val="24"/>
              </w:rPr>
            </w:pPr>
            <w:r>
              <w:rPr>
                <w:rFonts w:hint="eastAsia" w:hAnsi="宋体"/>
                <w:sz w:val="24"/>
                <w:lang w:val="en-US" w:eastAsia="zh-CN"/>
              </w:rPr>
              <w:t>4</w:t>
            </w:r>
            <w:r>
              <w:rPr>
                <w:rFonts w:hint="eastAsia" w:hAnsi="宋体"/>
                <w:sz w:val="24"/>
              </w:rPr>
              <w:t>）履约保证金不予退还的情形：</w:t>
            </w:r>
          </w:p>
          <w:p w14:paraId="21177C43">
            <w:pPr>
              <w:pStyle w:val="16"/>
              <w:adjustRightInd w:val="0"/>
              <w:snapToGrid w:val="0"/>
              <w:spacing w:line="440" w:lineRule="exact"/>
              <w:jc w:val="left"/>
              <w:rPr>
                <w:rFonts w:hAnsi="宋体"/>
                <w:sz w:val="24"/>
              </w:rPr>
            </w:pPr>
            <w:r>
              <w:rPr>
                <w:rFonts w:hint="eastAsia" w:hAnsi="宋体"/>
                <w:sz w:val="24"/>
                <w:lang w:val="en-US" w:eastAsia="zh-CN"/>
              </w:rPr>
              <w:t>4</w:t>
            </w:r>
            <w:r>
              <w:rPr>
                <w:rFonts w:hint="eastAsia" w:hAnsi="宋体"/>
                <w:sz w:val="24"/>
              </w:rPr>
              <w:t>.1以银行转账形式提交的履约保证金：在履约担保有效期内，如乙方不履行或不按合同履行约定的义务，履约保证金不予退还。</w:t>
            </w:r>
          </w:p>
          <w:p w14:paraId="1D06E8B0">
            <w:pPr>
              <w:pStyle w:val="16"/>
              <w:adjustRightInd w:val="0"/>
              <w:snapToGrid w:val="0"/>
              <w:spacing w:line="440" w:lineRule="exact"/>
              <w:jc w:val="left"/>
              <w:rPr>
                <w:rFonts w:hint="eastAsia" w:hAnsi="宋体"/>
                <w:sz w:val="24"/>
              </w:rPr>
            </w:pPr>
            <w:r>
              <w:rPr>
                <w:rFonts w:hint="eastAsia" w:hAnsi="宋体"/>
                <w:sz w:val="24"/>
                <w:lang w:val="en-US" w:eastAsia="zh-CN"/>
              </w:rPr>
              <w:t>4</w:t>
            </w:r>
            <w:r>
              <w:rPr>
                <w:rFonts w:hint="eastAsia" w:hAnsi="宋体"/>
                <w:sz w:val="24"/>
              </w:rPr>
              <w:t>.2以银行保函形式提交的履约保证金：在履约担保有效期内，如乙方不履行或不按合同履行约定的义务，乙方应立即向甲方无追索地支付履约保证金。</w:t>
            </w:r>
          </w:p>
          <w:p w14:paraId="31AB1744">
            <w:pPr>
              <w:pStyle w:val="16"/>
              <w:numPr>
                <w:ilvl w:val="0"/>
                <w:numId w:val="3"/>
              </w:numPr>
              <w:adjustRightInd w:val="0"/>
              <w:snapToGrid w:val="0"/>
              <w:spacing w:line="440" w:lineRule="exact"/>
              <w:jc w:val="left"/>
              <w:rPr>
                <w:rFonts w:hint="eastAsia" w:hAnsi="宋体"/>
                <w:sz w:val="24"/>
                <w:lang w:val="en-US" w:eastAsia="zh-CN"/>
              </w:rPr>
            </w:pPr>
            <w:r>
              <w:rPr>
                <w:rFonts w:hint="eastAsia" w:hAnsi="宋体"/>
                <w:sz w:val="24"/>
                <w:lang w:val="en-US" w:eastAsia="zh-CN"/>
              </w:rPr>
              <w:t>履约保证金账户及相关内容：</w:t>
            </w:r>
          </w:p>
          <w:p w14:paraId="2C826C10">
            <w:pPr>
              <w:pStyle w:val="16"/>
              <w:numPr>
                <w:ilvl w:val="0"/>
                <w:numId w:val="0"/>
              </w:numPr>
              <w:adjustRightInd w:val="0"/>
              <w:snapToGrid w:val="0"/>
              <w:spacing w:line="440" w:lineRule="exact"/>
              <w:jc w:val="left"/>
              <w:rPr>
                <w:rFonts w:hint="default" w:hAnsi="宋体"/>
                <w:sz w:val="24"/>
                <w:lang w:val="en-US" w:eastAsia="zh-CN"/>
              </w:rPr>
            </w:pPr>
            <w:r>
              <w:rPr>
                <w:rFonts w:hint="eastAsia" w:hAnsi="宋体"/>
                <w:sz w:val="24"/>
                <w:lang w:val="en-US" w:eastAsia="zh-CN"/>
              </w:rPr>
              <w:t>5.1</w:t>
            </w:r>
            <w:r>
              <w:rPr>
                <w:rFonts w:hint="default" w:hAnsi="宋体"/>
                <w:sz w:val="24"/>
                <w:lang w:val="en-US" w:eastAsia="zh-CN"/>
              </w:rPr>
              <w:t>甲方银行账户名称：云南省体育彩票管理中心</w:t>
            </w:r>
          </w:p>
          <w:p w14:paraId="27C5BB67">
            <w:pPr>
              <w:pStyle w:val="16"/>
              <w:numPr>
                <w:ilvl w:val="0"/>
                <w:numId w:val="0"/>
              </w:numPr>
              <w:adjustRightInd w:val="0"/>
              <w:snapToGrid w:val="0"/>
              <w:spacing w:line="440" w:lineRule="exact"/>
              <w:jc w:val="left"/>
              <w:rPr>
                <w:rFonts w:hint="default" w:hAnsi="宋体"/>
                <w:sz w:val="24"/>
                <w:lang w:val="en-US" w:eastAsia="zh-CN"/>
              </w:rPr>
            </w:pPr>
            <w:r>
              <w:rPr>
                <w:rFonts w:hint="eastAsia" w:hAnsi="宋体"/>
                <w:sz w:val="24"/>
                <w:lang w:val="en-US" w:eastAsia="zh-CN"/>
              </w:rPr>
              <w:t>5.2</w:t>
            </w:r>
            <w:r>
              <w:rPr>
                <w:rFonts w:hint="default" w:hAnsi="宋体"/>
                <w:sz w:val="24"/>
                <w:lang w:val="en-US" w:eastAsia="zh-CN"/>
              </w:rPr>
              <w:t xml:space="preserve">甲方开户行名称：中国农业银行股份有限公司昆明市经济技术开发区支行 </w:t>
            </w:r>
          </w:p>
          <w:p w14:paraId="7B9BD95F">
            <w:pPr>
              <w:pStyle w:val="16"/>
              <w:numPr>
                <w:ilvl w:val="0"/>
                <w:numId w:val="0"/>
              </w:numPr>
              <w:adjustRightInd w:val="0"/>
              <w:snapToGrid w:val="0"/>
              <w:spacing w:line="440" w:lineRule="exact"/>
              <w:jc w:val="left"/>
              <w:rPr>
                <w:rFonts w:hint="default" w:hAnsi="宋体"/>
                <w:sz w:val="24"/>
                <w:lang w:val="en-US" w:eastAsia="zh-CN"/>
              </w:rPr>
            </w:pPr>
            <w:r>
              <w:rPr>
                <w:rFonts w:hint="eastAsia" w:hAnsi="宋体"/>
                <w:sz w:val="24"/>
                <w:lang w:val="en-US" w:eastAsia="zh-CN"/>
              </w:rPr>
              <w:t>5.3</w:t>
            </w:r>
            <w:r>
              <w:rPr>
                <w:rFonts w:hint="default" w:hAnsi="宋体"/>
                <w:sz w:val="24"/>
                <w:lang w:val="en-US" w:eastAsia="zh-CN"/>
              </w:rPr>
              <w:t xml:space="preserve">甲方银行账号：24-029601040010839                                                                                                    </w:t>
            </w:r>
            <w:r>
              <w:rPr>
                <w:rFonts w:hint="eastAsia" w:hAnsi="宋体"/>
                <w:sz w:val="24"/>
                <w:lang w:val="en-US" w:eastAsia="zh-CN"/>
              </w:rPr>
              <w:t>5.4保函</w:t>
            </w:r>
            <w:r>
              <w:rPr>
                <w:rFonts w:hint="default" w:hAnsi="宋体"/>
                <w:sz w:val="24"/>
                <w:lang w:val="en-US" w:eastAsia="zh-CN"/>
              </w:rPr>
              <w:t>承保期限：一年</w:t>
            </w:r>
          </w:p>
        </w:tc>
      </w:tr>
      <w:tr w14:paraId="1E9A2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4469B9ED">
            <w:pPr>
              <w:pStyle w:val="16"/>
              <w:spacing w:line="440" w:lineRule="exact"/>
              <w:jc w:val="center"/>
              <w:rPr>
                <w:rFonts w:hAnsi="宋体"/>
                <w:sz w:val="24"/>
                <w:szCs w:val="24"/>
              </w:rPr>
            </w:pPr>
            <w:r>
              <w:rPr>
                <w:rFonts w:hint="eastAsia" w:hAnsi="宋体"/>
                <w:sz w:val="24"/>
                <w:szCs w:val="24"/>
              </w:rPr>
              <w:t>4</w:t>
            </w:r>
          </w:p>
        </w:tc>
        <w:tc>
          <w:tcPr>
            <w:tcW w:w="7819" w:type="dxa"/>
            <w:vAlign w:val="center"/>
          </w:tcPr>
          <w:p w14:paraId="270E8839">
            <w:pPr>
              <w:adjustRightInd w:val="0"/>
              <w:snapToGrid w:val="0"/>
              <w:spacing w:line="440" w:lineRule="exact"/>
              <w:jc w:val="left"/>
              <w:rPr>
                <w:rFonts w:ascii="宋体" w:hAnsi="宋体"/>
                <w:b/>
                <w:sz w:val="24"/>
              </w:rPr>
            </w:pPr>
            <w:r>
              <w:rPr>
                <w:rFonts w:hint="eastAsia" w:ascii="宋体" w:hAnsi="宋体"/>
                <w:b/>
                <w:sz w:val="24"/>
              </w:rPr>
              <w:t>违约责任：</w:t>
            </w:r>
          </w:p>
          <w:p w14:paraId="0070CD72">
            <w:pPr>
              <w:adjustRightInd w:val="0"/>
              <w:snapToGrid w:val="0"/>
              <w:spacing w:line="440" w:lineRule="exact"/>
              <w:ind w:firstLine="480" w:firstLineChars="200"/>
              <w:jc w:val="left"/>
              <w:rPr>
                <w:rFonts w:ascii="宋体" w:hAnsi="宋体"/>
                <w:sz w:val="24"/>
              </w:rPr>
            </w:pPr>
            <w:r>
              <w:rPr>
                <w:rFonts w:hint="eastAsia" w:ascii="宋体" w:hAnsi="宋体"/>
                <w:sz w:val="24"/>
              </w:rPr>
              <w:t>1.如乙方在履行即开票承运服务过程中造成彩票破损、玷污和丢失导致不能销售的，乙方需在知晓情况后的一小时内以电话或传真方式通知甲方，并免除该票货物的运输费用，并在十日内按实际受损和丢失的彩票面值及媒体公告费给予甲方赔偿。</w:t>
            </w:r>
          </w:p>
          <w:p w14:paraId="028646B0">
            <w:pPr>
              <w:adjustRightInd w:val="0"/>
              <w:snapToGrid w:val="0"/>
              <w:spacing w:line="440" w:lineRule="exact"/>
              <w:ind w:firstLine="480" w:firstLineChars="200"/>
              <w:jc w:val="left"/>
              <w:rPr>
                <w:rFonts w:ascii="宋体" w:hAnsi="宋体"/>
                <w:sz w:val="24"/>
              </w:rPr>
            </w:pPr>
            <w:r>
              <w:rPr>
                <w:rFonts w:hint="eastAsia" w:ascii="宋体" w:hAnsi="宋体"/>
                <w:sz w:val="24"/>
              </w:rPr>
              <w:t>2.对于甲方的承运要求，乙方必须在48小时内运送到目的地(甲方州市销售管理部仓库所在地)，逾期一天减免该票货物运费的50%，逾期两天该票货物运费全免。</w:t>
            </w:r>
          </w:p>
          <w:p w14:paraId="74529139">
            <w:pPr>
              <w:adjustRightInd w:val="0"/>
              <w:snapToGrid w:val="0"/>
              <w:spacing w:line="440" w:lineRule="exact"/>
              <w:ind w:firstLine="480" w:firstLineChars="200"/>
              <w:jc w:val="left"/>
              <w:rPr>
                <w:rFonts w:ascii="宋体" w:hAnsi="宋体"/>
                <w:sz w:val="24"/>
              </w:rPr>
            </w:pPr>
            <w:r>
              <w:rPr>
                <w:rFonts w:hint="eastAsia" w:ascii="宋体" w:hAnsi="宋体"/>
                <w:sz w:val="24"/>
              </w:rPr>
              <w:t>3.因乙方责任将货物错送或错达收货人，乙方承担因此带来的全部损失和责任并将货物无偿运到指定的收货人处。</w:t>
            </w:r>
          </w:p>
        </w:tc>
      </w:tr>
      <w:tr w14:paraId="30F36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19FFD737">
            <w:pPr>
              <w:pStyle w:val="16"/>
              <w:spacing w:line="440" w:lineRule="exact"/>
              <w:jc w:val="center"/>
              <w:rPr>
                <w:rFonts w:hAnsi="宋体"/>
                <w:sz w:val="24"/>
                <w:szCs w:val="24"/>
              </w:rPr>
            </w:pPr>
            <w:r>
              <w:rPr>
                <w:rFonts w:hint="eastAsia" w:hAnsi="宋体"/>
                <w:sz w:val="24"/>
                <w:szCs w:val="24"/>
              </w:rPr>
              <w:t>5</w:t>
            </w:r>
          </w:p>
        </w:tc>
        <w:tc>
          <w:tcPr>
            <w:tcW w:w="7819" w:type="dxa"/>
            <w:vAlign w:val="center"/>
          </w:tcPr>
          <w:p w14:paraId="06F02350">
            <w:pPr>
              <w:adjustRightInd w:val="0"/>
              <w:snapToGrid w:val="0"/>
              <w:spacing w:line="440" w:lineRule="exact"/>
              <w:jc w:val="left"/>
              <w:rPr>
                <w:rFonts w:ascii="宋体" w:hAnsi="宋体"/>
                <w:b/>
                <w:sz w:val="24"/>
              </w:rPr>
            </w:pPr>
            <w:r>
              <w:rPr>
                <w:rFonts w:hint="eastAsia" w:ascii="宋体" w:hAnsi="宋体"/>
                <w:b/>
                <w:sz w:val="24"/>
              </w:rPr>
              <w:t>验收标准：</w:t>
            </w:r>
            <w:r>
              <w:rPr>
                <w:rFonts w:hint="eastAsia" w:ascii="宋体" w:hAnsi="宋体"/>
                <w:bCs/>
                <w:sz w:val="24"/>
              </w:rPr>
              <w:t>以上月结算报表（结算明细、签收回单等）作为验收依据。根据供应商提供的物流单据签收联、配送明细表等材料结合服务标准和要求进行验收。</w:t>
            </w:r>
          </w:p>
        </w:tc>
      </w:tr>
      <w:tr w14:paraId="2A2BA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122" w:type="dxa"/>
            <w:vAlign w:val="center"/>
          </w:tcPr>
          <w:p w14:paraId="061224D7">
            <w:pPr>
              <w:pStyle w:val="16"/>
              <w:spacing w:line="440" w:lineRule="exact"/>
              <w:jc w:val="center"/>
              <w:rPr>
                <w:rFonts w:hAnsi="宋体"/>
                <w:sz w:val="24"/>
                <w:szCs w:val="24"/>
              </w:rPr>
            </w:pPr>
            <w:r>
              <w:rPr>
                <w:rFonts w:hint="eastAsia" w:hAnsi="宋体"/>
                <w:sz w:val="24"/>
                <w:szCs w:val="24"/>
              </w:rPr>
              <w:t>6</w:t>
            </w:r>
          </w:p>
        </w:tc>
        <w:tc>
          <w:tcPr>
            <w:tcW w:w="7819" w:type="dxa"/>
            <w:vAlign w:val="center"/>
          </w:tcPr>
          <w:p w14:paraId="011BFFA9">
            <w:pPr>
              <w:spacing w:line="440" w:lineRule="exact"/>
              <w:rPr>
                <w:rFonts w:ascii="宋体" w:hAnsi="宋体"/>
                <w:sz w:val="24"/>
              </w:rPr>
            </w:pPr>
            <w:r>
              <w:rPr>
                <w:rFonts w:hint="eastAsia" w:ascii="宋体" w:hAnsi="宋体"/>
                <w:sz w:val="24"/>
              </w:rPr>
              <w:t>未尽事宜以合同谈判时双方商定为准。</w:t>
            </w:r>
          </w:p>
        </w:tc>
      </w:tr>
    </w:tbl>
    <w:p w14:paraId="67F2A3C0">
      <w:pPr>
        <w:rPr>
          <w:rFonts w:ascii="宋体" w:hAnsi="宋体"/>
          <w:b/>
          <w:bCs/>
          <w:color w:val="000000"/>
        </w:rPr>
      </w:pPr>
    </w:p>
    <w:p w14:paraId="6280FD36">
      <w:r>
        <w:rPr>
          <w:rFonts w:hint="eastAsia" w:ascii="宋体" w:hAnsi="宋体"/>
          <w:b/>
          <w:bCs/>
          <w:color w:val="000000"/>
        </w:rPr>
        <w:t xml:space="preserve">  </w:t>
      </w:r>
    </w:p>
    <w:p w14:paraId="097EFDE7">
      <w:r>
        <w:br w:type="page"/>
      </w:r>
    </w:p>
    <w:p w14:paraId="5625309A">
      <w:pPr>
        <w:spacing w:after="240" w:line="240" w:lineRule="auto"/>
        <w:jc w:val="center"/>
        <w:rPr>
          <w:rFonts w:ascii="Times New Roman" w:hAnsi="Times New Roman" w:eastAsia="宋体" w:cs="Times New Roman"/>
          <w:b/>
          <w:sz w:val="52"/>
          <w:szCs w:val="20"/>
          <w14:ligatures w14:val="none"/>
        </w:rPr>
      </w:pPr>
      <w:r>
        <w:rPr>
          <w:rFonts w:ascii="Times New Roman" w:hAnsi="Times New Roman" w:eastAsia="宋体" w:cs="Times New Roman"/>
          <w:b/>
          <w:sz w:val="52"/>
          <w:szCs w:val="20"/>
          <w14:ligatures w14:val="none"/>
        </w:rPr>
        <w:t>政府采购合同</w:t>
      </w:r>
    </w:p>
    <w:p w14:paraId="6BC665CD">
      <w:pPr>
        <w:spacing w:after="0" w:line="240" w:lineRule="auto"/>
        <w:ind w:firstLine="560" w:firstLineChars="200"/>
        <w:jc w:val="both"/>
        <w:rPr>
          <w:rFonts w:ascii="Times New Roman" w:hAnsi="Times New Roman" w:eastAsia="宋体" w:cs="Times New Roman"/>
          <w:sz w:val="28"/>
          <w:szCs w:val="20"/>
          <w14:ligatures w14:val="none"/>
        </w:rPr>
      </w:pPr>
    </w:p>
    <w:p w14:paraId="353C4BDB">
      <w:pPr>
        <w:adjustRightInd w:val="0"/>
        <w:snapToGrid w:val="0"/>
        <w:spacing w:after="0" w:line="360" w:lineRule="auto"/>
        <w:jc w:val="both"/>
        <w:rPr>
          <w:rFonts w:ascii="Times New Roman" w:hAnsi="Times New Roman" w:eastAsia="宋体" w:cs="Times New Roman"/>
          <w:sz w:val="28"/>
          <w:szCs w:val="28"/>
          <w14:ligatures w14:val="none"/>
        </w:rPr>
      </w:pPr>
    </w:p>
    <w:p w14:paraId="6536D710">
      <w:pPr>
        <w:adjustRightInd w:val="0"/>
        <w:snapToGrid w:val="0"/>
        <w:spacing w:after="0" w:line="360" w:lineRule="auto"/>
        <w:jc w:val="both"/>
        <w:rPr>
          <w:rFonts w:ascii="Times New Roman" w:hAnsi="Times New Roman" w:eastAsia="宋体" w:cs="Times New Roman"/>
          <w:sz w:val="28"/>
          <w:szCs w:val="28"/>
          <w14:ligatures w14:val="none"/>
        </w:rPr>
      </w:pPr>
    </w:p>
    <w:p w14:paraId="07249A37">
      <w:pPr>
        <w:adjustRightInd w:val="0"/>
        <w:snapToGrid w:val="0"/>
        <w:spacing w:after="0" w:line="360" w:lineRule="auto"/>
        <w:ind w:left="3814" w:leftChars="762" w:hanging="1680" w:hangingChars="600"/>
        <w:jc w:val="both"/>
        <w:rPr>
          <w:rFonts w:hint="eastAsia" w:ascii="Times New Roman" w:hAnsi="Times New Roman" w:eastAsia="宋体" w:cs="Times New Roman"/>
          <w:sz w:val="28"/>
          <w:szCs w:val="28"/>
          <w:lang w:eastAsia="zh-CN"/>
          <w14:ligatures w14:val="none"/>
        </w:rPr>
      </w:pPr>
      <w:r>
        <w:rPr>
          <w:rFonts w:ascii="Times New Roman" w:hAnsi="Times New Roman" w:eastAsia="宋体" w:cs="Times New Roman"/>
          <w:sz w:val="28"/>
          <w:szCs w:val="28"/>
          <w14:ligatures w14:val="none"/>
        </w:rPr>
        <w:t>项 目 名 称：</w:t>
      </w:r>
      <w:r>
        <w:rPr>
          <w:rFonts w:hint="eastAsia" w:ascii="Times New Roman" w:hAnsi="Times New Roman" w:eastAsia="宋体" w:cs="Times New Roman"/>
          <w:sz w:val="28"/>
          <w:szCs w:val="28"/>
          <w:lang w:eastAsia="zh-CN"/>
          <w14:ligatures w14:val="none"/>
        </w:rPr>
        <w:t>云南省体育彩票管理中心2025年迪庆销售管理部营销活动宣传推广服务采购项目</w:t>
      </w:r>
    </w:p>
    <w:p w14:paraId="16232D2C">
      <w:pPr>
        <w:adjustRightInd w:val="0"/>
        <w:snapToGrid w:val="0"/>
        <w:spacing w:after="0" w:line="360" w:lineRule="auto"/>
        <w:ind w:firstLine="1680" w:firstLineChars="600"/>
        <w:jc w:val="both"/>
        <w:rPr>
          <w:rFonts w:ascii="Times New Roman" w:hAnsi="Times New Roman" w:eastAsia="宋体" w:cs="Times New Roman"/>
          <w:sz w:val="28"/>
          <w:szCs w:val="28"/>
          <w14:ligatures w14:val="none"/>
        </w:rPr>
      </w:pPr>
      <w:r>
        <w:rPr>
          <w:rFonts w:hint="eastAsia" w:ascii="Times New Roman" w:hAnsi="Times New Roman" w:eastAsia="宋体" w:cs="Times New Roman"/>
          <w:sz w:val="28"/>
          <w:szCs w:val="28"/>
          <w14:ligatures w14:val="none"/>
        </w:rPr>
        <w:t>合 同 编 号：（系统编号）</w:t>
      </w:r>
    </w:p>
    <w:p w14:paraId="5E88AB47">
      <w:pPr>
        <w:adjustRightInd w:val="0"/>
        <w:snapToGrid w:val="0"/>
        <w:spacing w:after="0" w:line="360" w:lineRule="auto"/>
        <w:ind w:firstLine="1680" w:firstLineChars="600"/>
        <w:jc w:val="both"/>
        <w:rPr>
          <w:rFonts w:ascii="Times New Roman" w:hAnsi="Times New Roman" w:eastAsia="宋体" w:cs="Times New Roman"/>
          <w:sz w:val="28"/>
          <w:szCs w:val="28"/>
          <w14:ligatures w14:val="none"/>
        </w:rPr>
      </w:pPr>
      <w:r>
        <w:rPr>
          <w:rFonts w:hint="eastAsia" w:ascii="Times New Roman" w:hAnsi="Times New Roman" w:eastAsia="宋体" w:cs="Times New Roman"/>
          <w:sz w:val="28"/>
          <w:szCs w:val="28"/>
          <w14:ligatures w14:val="none"/>
        </w:rPr>
        <w:t>（自编号，如有）</w:t>
      </w:r>
    </w:p>
    <w:p w14:paraId="3C1FA8C5">
      <w:pPr>
        <w:adjustRightInd w:val="0"/>
        <w:snapToGrid w:val="0"/>
        <w:spacing w:after="0" w:line="360" w:lineRule="auto"/>
        <w:ind w:firstLine="1680" w:firstLineChars="600"/>
        <w:jc w:val="both"/>
        <w:rPr>
          <w:rFonts w:ascii="Times New Roman" w:hAnsi="Times New Roman" w:eastAsia="宋体" w:cs="Times New Roman"/>
          <w:sz w:val="28"/>
          <w:szCs w:val="28"/>
          <w14:ligatures w14:val="none"/>
        </w:rPr>
      </w:pPr>
      <w:r>
        <w:rPr>
          <w:rFonts w:hint="eastAsia" w:ascii="Times New Roman" w:hAnsi="Times New Roman" w:eastAsia="宋体" w:cs="Times New Roman"/>
          <w:sz w:val="28"/>
          <w:szCs w:val="28"/>
          <w14:ligatures w14:val="none"/>
        </w:rPr>
        <w:t>甲 方：云南省体育彩票管理中心</w:t>
      </w:r>
    </w:p>
    <w:p w14:paraId="259A6F93">
      <w:pPr>
        <w:adjustRightInd w:val="0"/>
        <w:snapToGrid w:val="0"/>
        <w:spacing w:after="0" w:line="360" w:lineRule="auto"/>
        <w:ind w:firstLine="1680" w:firstLineChars="600"/>
        <w:jc w:val="both"/>
        <w:rPr>
          <w:rFonts w:hint="default" w:ascii="Times New Roman" w:hAnsi="Times New Roman" w:eastAsia="宋体" w:cs="Times New Roman"/>
          <w:sz w:val="28"/>
          <w:szCs w:val="28"/>
          <w:lang w:val="en-US" w:eastAsia="zh-CN"/>
          <w14:ligatures w14:val="none"/>
        </w:rPr>
      </w:pPr>
      <w:r>
        <w:rPr>
          <w:rFonts w:hint="eastAsia" w:ascii="Times New Roman" w:hAnsi="Times New Roman" w:eastAsia="宋体" w:cs="Times New Roman"/>
          <w:sz w:val="28"/>
          <w:szCs w:val="28"/>
          <w14:ligatures w14:val="none"/>
        </w:rPr>
        <w:t>乙 方：</w:t>
      </w:r>
      <w:r>
        <w:rPr>
          <w:rFonts w:hint="eastAsia" w:ascii="Times New Roman" w:hAnsi="Times New Roman" w:eastAsia="宋体" w:cs="Times New Roman"/>
          <w:sz w:val="28"/>
          <w:szCs w:val="28"/>
          <w:lang w:val="en-US" w:eastAsia="zh-CN"/>
          <w14:ligatures w14:val="none"/>
        </w:rPr>
        <w:t xml:space="preserve">   </w:t>
      </w:r>
    </w:p>
    <w:p w14:paraId="7B51F60C">
      <w:pPr>
        <w:pStyle w:val="27"/>
        <w:jc w:val="center"/>
        <w:rPr>
          <w:rFonts w:cs="Tahoma"/>
          <w:b/>
          <w:bCs/>
          <w:color w:val="000000"/>
        </w:rPr>
      </w:pPr>
    </w:p>
    <w:p w14:paraId="324953A7">
      <w:pPr>
        <w:spacing w:after="240"/>
        <w:rPr>
          <w:rFonts w:ascii="宋体" w:hAnsi="宋体" w:cs="Tahoma"/>
          <w:color w:val="000000"/>
          <w:sz w:val="24"/>
        </w:rPr>
      </w:pPr>
      <w:r>
        <w:rPr>
          <w:rFonts w:ascii="宋体" w:hAnsi="宋体"/>
          <w:b/>
          <w:color w:val="000000"/>
          <w:sz w:val="24"/>
        </w:rPr>
        <w:br w:type="page"/>
      </w:r>
    </w:p>
    <w:p w14:paraId="421B06E8">
      <w:pPr>
        <w:spacing w:after="240"/>
        <w:rPr>
          <w:rFonts w:ascii="宋体" w:hAnsi="宋体" w:cs="Tahoma"/>
          <w:color w:val="000000"/>
          <w:sz w:val="24"/>
        </w:rPr>
      </w:pPr>
    </w:p>
    <w:p w14:paraId="21E4D8EF">
      <w:pPr>
        <w:spacing w:line="400" w:lineRule="exact"/>
        <w:ind w:left="2159" w:leftChars="771"/>
        <w:rPr>
          <w:rFonts w:ascii="宋体" w:hAnsi="宋体" w:cs="Tahoma"/>
          <w:color w:val="000000"/>
          <w:sz w:val="24"/>
        </w:rPr>
      </w:pPr>
    </w:p>
    <w:p w14:paraId="63631CD1">
      <w:pPr>
        <w:spacing w:line="400" w:lineRule="exact"/>
        <w:ind w:left="2159" w:leftChars="771"/>
        <w:rPr>
          <w:rFonts w:ascii="宋体" w:hAnsi="宋体" w:cs="Tahoma"/>
          <w:color w:val="000000"/>
          <w:sz w:val="24"/>
        </w:rPr>
      </w:pPr>
    </w:p>
    <w:p w14:paraId="6C556F84">
      <w:pPr>
        <w:spacing w:line="400" w:lineRule="exact"/>
        <w:ind w:left="2159" w:leftChars="771"/>
        <w:rPr>
          <w:rFonts w:ascii="宋体" w:hAnsi="宋体" w:cs="Tahoma"/>
          <w:color w:val="000000"/>
          <w:sz w:val="24"/>
        </w:rPr>
      </w:pPr>
      <w:r>
        <w:rPr>
          <w:rFonts w:hint="eastAsia" w:ascii="宋体" w:hAnsi="宋体" w:cs="Tahoma"/>
          <w:color w:val="000000"/>
          <w:sz w:val="24"/>
        </w:rPr>
        <w:t>甲方（采购人公章）名 称：</w:t>
      </w:r>
    </w:p>
    <w:p w14:paraId="24A402E1">
      <w:pPr>
        <w:spacing w:line="400" w:lineRule="exact"/>
        <w:ind w:left="2159" w:leftChars="771"/>
        <w:rPr>
          <w:rFonts w:ascii="宋体" w:hAnsi="宋体" w:cs="Tahoma"/>
          <w:color w:val="000000"/>
          <w:sz w:val="24"/>
        </w:rPr>
      </w:pPr>
      <w:r>
        <w:rPr>
          <w:rFonts w:hint="eastAsia" w:ascii="宋体" w:hAnsi="宋体" w:cs="Tahoma"/>
          <w:color w:val="000000"/>
          <w:sz w:val="24"/>
        </w:rPr>
        <w:t>地 址：</w:t>
      </w:r>
    </w:p>
    <w:p w14:paraId="430F492E">
      <w:pPr>
        <w:spacing w:line="400" w:lineRule="exact"/>
        <w:ind w:left="2159" w:leftChars="771"/>
        <w:rPr>
          <w:rFonts w:ascii="宋体" w:hAnsi="宋体"/>
          <w:color w:val="000000"/>
          <w:sz w:val="24"/>
        </w:rPr>
      </w:pPr>
      <w:r>
        <w:rPr>
          <w:rFonts w:hint="eastAsia" w:ascii="宋体" w:hAnsi="宋体" w:cs="Tahoma"/>
          <w:color w:val="000000"/>
          <w:sz w:val="24"/>
        </w:rPr>
        <w:t>邮 编：</w:t>
      </w:r>
    </w:p>
    <w:p w14:paraId="3C774294">
      <w:pPr>
        <w:spacing w:line="400" w:lineRule="exact"/>
        <w:ind w:left="2159" w:leftChars="771"/>
        <w:rPr>
          <w:rFonts w:ascii="宋体" w:hAnsi="宋体" w:cs="Tahoma"/>
          <w:color w:val="000000"/>
          <w:sz w:val="24"/>
        </w:rPr>
      </w:pPr>
      <w:r>
        <w:rPr>
          <w:rFonts w:hint="eastAsia" w:ascii="宋体" w:hAnsi="宋体" w:cs="Tahoma"/>
          <w:color w:val="000000"/>
          <w:sz w:val="24"/>
        </w:rPr>
        <w:t>法定代表人或委托代理人：</w:t>
      </w:r>
    </w:p>
    <w:p w14:paraId="4641EB93">
      <w:pPr>
        <w:spacing w:line="400" w:lineRule="exact"/>
        <w:ind w:left="2159" w:leftChars="771"/>
        <w:rPr>
          <w:rFonts w:ascii="宋体" w:hAnsi="宋体" w:cs="Tahoma"/>
          <w:color w:val="000000"/>
          <w:sz w:val="24"/>
        </w:rPr>
      </w:pPr>
      <w:r>
        <w:rPr>
          <w:rFonts w:hint="eastAsia" w:ascii="宋体" w:hAnsi="宋体" w:cs="Tahoma"/>
          <w:color w:val="000000"/>
          <w:sz w:val="24"/>
        </w:rPr>
        <w:t>项目（技术）负责人：</w:t>
      </w:r>
    </w:p>
    <w:p w14:paraId="69F74F00">
      <w:pPr>
        <w:spacing w:line="400" w:lineRule="exact"/>
        <w:ind w:left="2159" w:leftChars="771"/>
        <w:rPr>
          <w:rFonts w:ascii="宋体" w:hAnsi="宋体" w:cs="Tahoma"/>
          <w:color w:val="000000"/>
          <w:sz w:val="24"/>
        </w:rPr>
      </w:pPr>
      <w:r>
        <w:rPr>
          <w:rFonts w:hint="eastAsia" w:ascii="宋体" w:hAnsi="宋体" w:cs="Tahoma"/>
          <w:color w:val="000000"/>
          <w:sz w:val="24"/>
        </w:rPr>
        <w:t>电 话：</w:t>
      </w:r>
    </w:p>
    <w:p w14:paraId="4F9EA2B8">
      <w:pPr>
        <w:spacing w:line="400" w:lineRule="exact"/>
        <w:ind w:left="2159" w:leftChars="771"/>
        <w:rPr>
          <w:rFonts w:ascii="宋体" w:hAnsi="宋体" w:cs="Tahoma"/>
          <w:color w:val="000000"/>
          <w:sz w:val="24"/>
        </w:rPr>
      </w:pPr>
      <w:r>
        <w:rPr>
          <w:rFonts w:hint="eastAsia" w:ascii="宋体" w:hAnsi="宋体" w:cs="Tahoma"/>
          <w:color w:val="000000"/>
          <w:sz w:val="24"/>
        </w:rPr>
        <w:t>签订日期：</w:t>
      </w:r>
    </w:p>
    <w:p w14:paraId="13D54004">
      <w:pPr>
        <w:spacing w:line="400" w:lineRule="exact"/>
        <w:ind w:left="2159" w:leftChars="771"/>
        <w:rPr>
          <w:rFonts w:ascii="宋体" w:hAnsi="宋体" w:cs="Tahoma"/>
          <w:color w:val="000000"/>
          <w:sz w:val="24"/>
        </w:rPr>
      </w:pPr>
    </w:p>
    <w:p w14:paraId="7705A4C1">
      <w:pPr>
        <w:spacing w:line="400" w:lineRule="exact"/>
        <w:ind w:left="2159" w:leftChars="771"/>
        <w:rPr>
          <w:rFonts w:ascii="宋体" w:hAnsi="宋体" w:cs="Tahoma"/>
          <w:color w:val="000000"/>
          <w:sz w:val="24"/>
        </w:rPr>
      </w:pPr>
    </w:p>
    <w:p w14:paraId="2E8E6F02">
      <w:pPr>
        <w:spacing w:line="400" w:lineRule="exact"/>
        <w:ind w:left="2159" w:leftChars="771"/>
        <w:rPr>
          <w:rFonts w:ascii="宋体" w:hAnsi="宋体" w:cs="Tahoma"/>
          <w:color w:val="000000"/>
          <w:sz w:val="24"/>
        </w:rPr>
      </w:pPr>
      <w:r>
        <w:rPr>
          <w:rFonts w:hint="eastAsia" w:ascii="宋体" w:hAnsi="宋体" w:cs="Tahoma"/>
          <w:color w:val="000000"/>
          <w:sz w:val="24"/>
        </w:rPr>
        <w:t>乙方（供应商公章）名 称：</w:t>
      </w:r>
    </w:p>
    <w:p w14:paraId="294572F9">
      <w:pPr>
        <w:spacing w:line="400" w:lineRule="exact"/>
        <w:ind w:left="2159" w:leftChars="771"/>
        <w:rPr>
          <w:rFonts w:ascii="宋体" w:hAnsi="宋体" w:cs="Tahoma"/>
          <w:color w:val="000000"/>
          <w:sz w:val="24"/>
        </w:rPr>
      </w:pPr>
      <w:r>
        <w:rPr>
          <w:rFonts w:hint="eastAsia" w:ascii="宋体" w:hAnsi="宋体" w:cs="Tahoma"/>
          <w:color w:val="000000"/>
          <w:sz w:val="24"/>
        </w:rPr>
        <w:t>地 址：</w:t>
      </w:r>
    </w:p>
    <w:p w14:paraId="68588CBA">
      <w:pPr>
        <w:spacing w:line="400" w:lineRule="exact"/>
        <w:ind w:left="2159" w:leftChars="771"/>
        <w:rPr>
          <w:rFonts w:ascii="宋体" w:hAnsi="宋体"/>
          <w:color w:val="000000"/>
          <w:sz w:val="24"/>
        </w:rPr>
      </w:pPr>
      <w:r>
        <w:rPr>
          <w:rFonts w:hint="eastAsia" w:ascii="宋体" w:hAnsi="宋体" w:cs="Tahoma"/>
          <w:color w:val="000000"/>
          <w:sz w:val="24"/>
        </w:rPr>
        <w:t>邮 编：</w:t>
      </w:r>
    </w:p>
    <w:p w14:paraId="281BA658">
      <w:pPr>
        <w:spacing w:line="400" w:lineRule="exact"/>
        <w:ind w:left="2159" w:leftChars="771"/>
        <w:rPr>
          <w:rFonts w:ascii="宋体" w:hAnsi="宋体" w:cs="Tahoma"/>
          <w:color w:val="000000"/>
          <w:sz w:val="24"/>
        </w:rPr>
      </w:pPr>
      <w:r>
        <w:rPr>
          <w:rFonts w:hint="eastAsia" w:ascii="宋体" w:hAnsi="宋体" w:cs="Tahoma"/>
          <w:color w:val="000000"/>
          <w:sz w:val="24"/>
        </w:rPr>
        <w:t>法定代表人或委托代理人：</w:t>
      </w:r>
    </w:p>
    <w:p w14:paraId="47C95197">
      <w:pPr>
        <w:spacing w:line="400" w:lineRule="exact"/>
        <w:ind w:left="2159" w:leftChars="771"/>
        <w:rPr>
          <w:rFonts w:ascii="宋体" w:hAnsi="宋体" w:cs="Tahoma"/>
          <w:color w:val="000000"/>
          <w:sz w:val="24"/>
        </w:rPr>
      </w:pPr>
      <w:r>
        <w:rPr>
          <w:rFonts w:hint="eastAsia" w:ascii="宋体" w:hAnsi="宋体" w:cs="Tahoma"/>
          <w:color w:val="000000"/>
          <w:sz w:val="24"/>
        </w:rPr>
        <w:t>经办人：</w:t>
      </w:r>
    </w:p>
    <w:p w14:paraId="114BDC9C">
      <w:pPr>
        <w:spacing w:line="400" w:lineRule="exact"/>
        <w:ind w:left="2159" w:leftChars="771"/>
        <w:rPr>
          <w:rFonts w:ascii="宋体" w:hAnsi="宋体" w:cs="Tahoma"/>
          <w:color w:val="000000"/>
          <w:sz w:val="24"/>
        </w:rPr>
      </w:pPr>
      <w:r>
        <w:rPr>
          <w:rFonts w:hint="eastAsia" w:ascii="宋体" w:hAnsi="宋体" w:cs="Tahoma"/>
          <w:color w:val="000000"/>
          <w:sz w:val="24"/>
        </w:rPr>
        <w:t>电 话：</w:t>
      </w:r>
    </w:p>
    <w:p w14:paraId="265AFC7A">
      <w:pPr>
        <w:spacing w:line="400" w:lineRule="exact"/>
        <w:ind w:left="2159" w:leftChars="771"/>
        <w:rPr>
          <w:rFonts w:ascii="宋体" w:hAnsi="宋体" w:cs="Tahoma"/>
          <w:color w:val="000000"/>
          <w:sz w:val="24"/>
        </w:rPr>
      </w:pPr>
      <w:r>
        <w:rPr>
          <w:rFonts w:hint="eastAsia" w:ascii="宋体" w:hAnsi="宋体" w:cs="Tahoma"/>
          <w:color w:val="000000"/>
          <w:sz w:val="24"/>
        </w:rPr>
        <w:t>签订日期：</w:t>
      </w:r>
    </w:p>
    <w:p w14:paraId="0B94A9D1">
      <w:pPr>
        <w:spacing w:line="400" w:lineRule="exact"/>
        <w:ind w:left="2159" w:leftChars="771"/>
        <w:rPr>
          <w:rFonts w:ascii="宋体" w:hAnsi="宋体" w:cs="Tahoma"/>
          <w:color w:val="000000"/>
          <w:sz w:val="24"/>
        </w:rPr>
      </w:pPr>
    </w:p>
    <w:p w14:paraId="61437411">
      <w:pPr>
        <w:spacing w:line="400" w:lineRule="exact"/>
        <w:ind w:left="2159" w:leftChars="771"/>
        <w:rPr>
          <w:rFonts w:ascii="宋体" w:hAnsi="宋体" w:cs="Tahoma"/>
          <w:color w:val="000000"/>
          <w:sz w:val="24"/>
        </w:rPr>
      </w:pPr>
    </w:p>
    <w:p w14:paraId="73C89267">
      <w:pPr>
        <w:spacing w:line="400" w:lineRule="exact"/>
        <w:ind w:left="2159" w:leftChars="771"/>
        <w:rPr>
          <w:rFonts w:ascii="宋体" w:hAnsi="宋体" w:cs="Tahoma"/>
          <w:vanish/>
          <w:color w:val="000000"/>
          <w:sz w:val="24"/>
        </w:rPr>
      </w:pPr>
    </w:p>
    <w:p w14:paraId="70A57EA3">
      <w:pPr>
        <w:spacing w:line="400" w:lineRule="exact"/>
        <w:ind w:left="2159" w:leftChars="771"/>
        <w:rPr>
          <w:rFonts w:ascii="宋体" w:hAnsi="宋体" w:cs="Tahoma"/>
          <w:color w:val="000000"/>
          <w:sz w:val="24"/>
        </w:rPr>
      </w:pPr>
      <w:r>
        <w:rPr>
          <w:rFonts w:hint="eastAsia" w:ascii="宋体" w:hAnsi="宋体" w:cs="Tahoma"/>
          <w:color w:val="000000"/>
          <w:sz w:val="24"/>
        </w:rPr>
        <w:t>丙方（鉴证方公章）名 称：</w:t>
      </w:r>
    </w:p>
    <w:p w14:paraId="17F831EC">
      <w:pPr>
        <w:spacing w:line="400" w:lineRule="exact"/>
        <w:ind w:left="2159" w:leftChars="771"/>
        <w:rPr>
          <w:rFonts w:ascii="宋体" w:hAnsi="宋体" w:cs="Tahoma"/>
          <w:color w:val="000000"/>
          <w:sz w:val="24"/>
        </w:rPr>
      </w:pPr>
      <w:r>
        <w:rPr>
          <w:rFonts w:hint="eastAsia" w:ascii="宋体" w:hAnsi="宋体" w:cs="Tahoma"/>
          <w:color w:val="000000"/>
          <w:sz w:val="24"/>
        </w:rPr>
        <w:t>地 址：</w:t>
      </w:r>
    </w:p>
    <w:p w14:paraId="279FE435">
      <w:pPr>
        <w:spacing w:line="400" w:lineRule="exact"/>
        <w:ind w:left="2159" w:leftChars="771"/>
        <w:rPr>
          <w:rFonts w:ascii="宋体" w:hAnsi="宋体" w:cs="Tahoma"/>
          <w:color w:val="000000"/>
          <w:sz w:val="24"/>
        </w:rPr>
      </w:pPr>
      <w:r>
        <w:rPr>
          <w:rFonts w:hint="eastAsia" w:ascii="宋体" w:hAnsi="宋体" w:cs="Tahoma"/>
          <w:color w:val="000000"/>
          <w:sz w:val="24"/>
        </w:rPr>
        <w:t>邮 编：</w:t>
      </w:r>
    </w:p>
    <w:p w14:paraId="3C0284F2">
      <w:pPr>
        <w:spacing w:line="400" w:lineRule="exact"/>
        <w:ind w:left="2159" w:leftChars="771"/>
        <w:rPr>
          <w:rFonts w:ascii="宋体" w:hAnsi="宋体" w:cs="Tahoma"/>
          <w:color w:val="000000"/>
          <w:sz w:val="24"/>
        </w:rPr>
      </w:pPr>
      <w:r>
        <w:rPr>
          <w:rFonts w:hint="eastAsia" w:ascii="宋体" w:hAnsi="宋体" w:cs="Tahoma"/>
          <w:color w:val="000000"/>
          <w:sz w:val="24"/>
        </w:rPr>
        <w:t>法定代表人或委托代理人：</w:t>
      </w:r>
    </w:p>
    <w:p w14:paraId="47B2FA86">
      <w:pPr>
        <w:spacing w:line="400" w:lineRule="exact"/>
        <w:ind w:left="2159" w:leftChars="771"/>
        <w:rPr>
          <w:rFonts w:ascii="宋体" w:hAnsi="宋体" w:cs="Tahoma"/>
          <w:color w:val="000000"/>
          <w:sz w:val="24"/>
        </w:rPr>
      </w:pPr>
      <w:r>
        <w:rPr>
          <w:rFonts w:hint="eastAsia" w:ascii="宋体" w:hAnsi="宋体" w:cs="Tahoma"/>
          <w:color w:val="000000"/>
          <w:sz w:val="24"/>
        </w:rPr>
        <w:t>经办人：</w:t>
      </w:r>
    </w:p>
    <w:p w14:paraId="3841D2E0">
      <w:pPr>
        <w:spacing w:line="400" w:lineRule="exact"/>
        <w:ind w:left="2159" w:leftChars="771"/>
        <w:rPr>
          <w:rFonts w:ascii="宋体" w:hAnsi="宋体" w:cs="Tahoma"/>
          <w:color w:val="000000"/>
          <w:sz w:val="24"/>
        </w:rPr>
      </w:pPr>
      <w:r>
        <w:rPr>
          <w:rFonts w:hint="eastAsia" w:ascii="宋体" w:hAnsi="宋体" w:cs="Tahoma"/>
          <w:color w:val="000000"/>
          <w:sz w:val="24"/>
        </w:rPr>
        <w:t>电 话：</w:t>
      </w:r>
    </w:p>
    <w:p w14:paraId="5043C04E">
      <w:pPr>
        <w:widowControl/>
        <w:snapToGrid w:val="0"/>
        <w:spacing w:line="360" w:lineRule="auto"/>
        <w:ind w:firstLine="482" w:firstLineChars="200"/>
        <w:jc w:val="left"/>
        <w:rPr>
          <w:rFonts w:ascii="宋体" w:hAnsi="宋体"/>
          <w:color w:val="000000"/>
          <w:sz w:val="24"/>
        </w:rPr>
      </w:pPr>
      <w:r>
        <w:rPr>
          <w:rFonts w:hint="eastAsia" w:ascii="宋体" w:hAnsi="宋体"/>
          <w:b/>
          <w:color w:val="000000"/>
          <w:sz w:val="24"/>
        </w:rPr>
        <w:br w:type="page"/>
      </w:r>
    </w:p>
    <w:p w14:paraId="52353D83">
      <w:pPr>
        <w:spacing w:line="360" w:lineRule="auto"/>
        <w:ind w:firstLine="614" w:firstLineChars="255"/>
        <w:jc w:val="center"/>
        <w:rPr>
          <w:rFonts w:ascii="宋体"/>
          <w:b/>
          <w:color w:val="000000"/>
          <w:sz w:val="24"/>
        </w:rPr>
      </w:pPr>
      <w:r>
        <w:rPr>
          <w:rFonts w:hint="eastAsia" w:ascii="宋体"/>
          <w:b/>
          <w:color w:val="000000"/>
          <w:sz w:val="24"/>
        </w:rPr>
        <w:t>(以下合同内容仅供参考，具体合同内容以签订合同时甲乙双方商定为准)</w:t>
      </w:r>
    </w:p>
    <w:p w14:paraId="5F85A7E0">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甲方：云南省体育彩票管理中心</w:t>
      </w:r>
    </w:p>
    <w:p w14:paraId="25861BB0">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 xml:space="preserve">乙方： </w:t>
      </w:r>
    </w:p>
    <w:p w14:paraId="24E0E437">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甲乙双方根据招标编号为</w:t>
      </w:r>
      <w:r>
        <w:rPr>
          <w:rFonts w:hint="eastAsia" w:ascii="宋体" w:hAnsi="宋体"/>
          <w:b/>
          <w:color w:val="000000"/>
          <w:sz w:val="24"/>
          <w:highlight w:val="none"/>
          <w:u w:val="single"/>
          <w:lang w:eastAsia="zh-CN"/>
        </w:rPr>
        <w:t xml:space="preserve">G53A00625001578 </w:t>
      </w:r>
      <w:r>
        <w:rPr>
          <w:rFonts w:hint="eastAsia" w:ascii="宋体" w:hAnsi="宋体"/>
          <w:color w:val="000000"/>
          <w:sz w:val="24"/>
          <w:highlight w:val="none"/>
          <w:u w:val="single"/>
        </w:rPr>
        <w:t xml:space="preserve"> </w:t>
      </w:r>
      <w:r>
        <w:rPr>
          <w:rFonts w:hint="eastAsia" w:ascii="宋体" w:hAnsi="宋体"/>
          <w:color w:val="000000"/>
          <w:sz w:val="24"/>
        </w:rPr>
        <w:t>“</w:t>
      </w:r>
      <w:r>
        <w:rPr>
          <w:rFonts w:hint="eastAsia" w:ascii="宋体" w:hAnsi="宋体"/>
          <w:b/>
          <w:color w:val="000000"/>
          <w:sz w:val="24"/>
          <w:u w:val="single"/>
        </w:rPr>
        <w:t>云南省体育彩票管理中心2025年即开型体育彩票物流服务采购项目</w:t>
      </w:r>
      <w:r>
        <w:rPr>
          <w:rFonts w:hint="eastAsia" w:ascii="宋体" w:hAnsi="宋体"/>
          <w:color w:val="000000"/>
          <w:sz w:val="24"/>
        </w:rPr>
        <w:t xml:space="preserve">”公开招标采购结果，经双方协定达成一致，签订以下内容： </w:t>
      </w:r>
    </w:p>
    <w:p w14:paraId="629FCB13">
      <w:pPr>
        <w:tabs>
          <w:tab w:val="left" w:pos="6930"/>
        </w:tabs>
        <w:spacing w:line="360" w:lineRule="auto"/>
        <w:ind w:firstLine="482" w:firstLineChars="200"/>
        <w:rPr>
          <w:rFonts w:ascii="宋体" w:hAnsi="宋体"/>
          <w:b/>
          <w:color w:val="000000"/>
          <w:sz w:val="24"/>
        </w:rPr>
      </w:pPr>
      <w:r>
        <w:rPr>
          <w:rFonts w:hint="eastAsia" w:ascii="宋体" w:hAnsi="宋体"/>
          <w:b/>
          <w:color w:val="000000"/>
          <w:sz w:val="24"/>
        </w:rPr>
        <w:t>1. 合作事项</w:t>
      </w:r>
    </w:p>
    <w:p w14:paraId="273E817A">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甲方作为托运人，乙方作为承运人，甲方委托乙方承运</w:t>
      </w:r>
      <w:r>
        <w:rPr>
          <w:rFonts w:hint="eastAsia" w:ascii="宋体" w:hAnsi="宋体"/>
          <w:color w:val="000000"/>
          <w:sz w:val="24"/>
          <w:u w:val="single"/>
        </w:rPr>
        <w:t xml:space="preserve">                        。</w:t>
      </w:r>
    </w:p>
    <w:p w14:paraId="23F9FC8A">
      <w:pPr>
        <w:tabs>
          <w:tab w:val="left" w:pos="6930"/>
        </w:tabs>
        <w:spacing w:line="360" w:lineRule="auto"/>
        <w:ind w:firstLine="482" w:firstLineChars="200"/>
        <w:rPr>
          <w:rFonts w:ascii="宋体" w:hAnsi="宋体"/>
          <w:b/>
          <w:color w:val="000000"/>
          <w:sz w:val="24"/>
        </w:rPr>
      </w:pPr>
      <w:r>
        <w:rPr>
          <w:rFonts w:hint="eastAsia" w:ascii="宋体" w:hAnsi="宋体"/>
          <w:b/>
          <w:color w:val="000000"/>
          <w:sz w:val="24"/>
        </w:rPr>
        <w:t xml:space="preserve">2. 合作期限 </w:t>
      </w:r>
    </w:p>
    <w:p w14:paraId="4859FE18">
      <w:pPr>
        <w:tabs>
          <w:tab w:val="left" w:pos="6930"/>
        </w:tabs>
        <w:spacing w:line="360" w:lineRule="auto"/>
        <w:ind w:firstLine="480" w:firstLineChars="200"/>
        <w:rPr>
          <w:rFonts w:ascii="宋体" w:hAnsi="宋体"/>
          <w:b/>
          <w:sz w:val="24"/>
          <w:highlight w:val="green"/>
          <w:u w:val="single"/>
        </w:rPr>
      </w:pPr>
      <w:r>
        <w:rPr>
          <w:rFonts w:hint="eastAsia" w:ascii="宋体" w:hAnsi="宋体"/>
          <w:sz w:val="24"/>
          <w:u w:val="single"/>
        </w:rPr>
        <w:t>服务期限为：自云南省体育彩票管理中心2024年即开型体育彩票物流服务项目合同服务期到期后，该合同生效，服务期限为生效之日起一年内（若合同约定金额在期限内提前用完则合同提前终止）。</w:t>
      </w:r>
    </w:p>
    <w:p w14:paraId="3F75AEE4">
      <w:pPr>
        <w:tabs>
          <w:tab w:val="left" w:pos="6930"/>
        </w:tabs>
        <w:spacing w:line="360" w:lineRule="auto"/>
        <w:ind w:firstLine="482" w:firstLineChars="200"/>
        <w:rPr>
          <w:rFonts w:ascii="宋体" w:hAnsi="宋体"/>
          <w:b/>
          <w:color w:val="000000"/>
          <w:sz w:val="24"/>
        </w:rPr>
      </w:pPr>
      <w:r>
        <w:rPr>
          <w:rFonts w:hint="eastAsia" w:ascii="宋体" w:hAnsi="宋体"/>
          <w:b/>
          <w:color w:val="000000"/>
          <w:sz w:val="24"/>
        </w:rPr>
        <w:t>3. 费用构成及计算支付</w:t>
      </w:r>
    </w:p>
    <w:p w14:paraId="20C3484E">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3.1运输费用构成及计算支付</w:t>
      </w:r>
    </w:p>
    <w:p w14:paraId="7EB9AC41">
      <w:pPr>
        <w:tabs>
          <w:tab w:val="left" w:pos="6930"/>
        </w:tabs>
        <w:spacing w:line="360" w:lineRule="auto"/>
        <w:ind w:firstLine="480" w:firstLineChars="200"/>
        <w:rPr>
          <w:rFonts w:ascii="宋体" w:hAnsi="宋体"/>
          <w:sz w:val="24"/>
          <w:highlight w:val="green"/>
        </w:rPr>
      </w:pPr>
      <w:r>
        <w:rPr>
          <w:rFonts w:hint="eastAsia" w:ascii="宋体" w:hAnsi="宋体"/>
          <w:sz w:val="24"/>
        </w:rPr>
        <w:t>3.1.1物资的运输费用包含但不限于</w:t>
      </w:r>
      <w:r>
        <w:rPr>
          <w:rFonts w:hint="eastAsia" w:ascii="宋体" w:hAnsi="宋体"/>
          <w:sz w:val="24"/>
          <w:u w:val="single"/>
        </w:rPr>
        <w:t>物流运输费用、临时仓储费用、相关配套服务费用（供应商赴采购方指定地点上门提货、装箱分拣、外包装覆膜、送货上门、入库按要求摆放、运输材料、货物保险、临时仓储等全部相关服务内容）、人工费、服务费等完成本项目所需的各种费用及必要的保险费用、市场价格的变化、利润及税金等所有费用的总和，为</w:t>
      </w:r>
      <w:r>
        <w:rPr>
          <w:rFonts w:hint="eastAsia" w:ascii="宋体" w:hAnsi="宋体"/>
          <w:b/>
          <w:sz w:val="24"/>
          <w:u w:val="single"/>
        </w:rPr>
        <w:t>综合单价</w:t>
      </w:r>
      <w:r>
        <w:rPr>
          <w:rFonts w:hint="eastAsia" w:ascii="宋体" w:hAnsi="宋体"/>
          <w:sz w:val="24"/>
          <w:u w:val="single"/>
        </w:rPr>
        <w:t>。</w:t>
      </w:r>
    </w:p>
    <w:p w14:paraId="3412243D">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3.1.2运输费用的结算以双方约定的条款作为收费标准的依据。详见合同附件《运输价格明细表》。</w:t>
      </w:r>
    </w:p>
    <w:p w14:paraId="3704FDEB">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3.1.3乙方应以书面委托确定结算代理人。甲方依照乙方开具、双方核对认可的物资移交单为结算依据，签订明细合同进行支付。乙方出具的结算依据交甲方核对时甲方应给予签名签收确认，不同时具备本条款条件时，甲方有权拒绝付款。</w:t>
      </w:r>
    </w:p>
    <w:p w14:paraId="558DFE55">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 xml:space="preserve">3.1.4 </w:t>
      </w:r>
      <w:r>
        <w:rPr>
          <w:rFonts w:hint="eastAsia" w:ascii="宋体" w:hAnsi="宋体"/>
          <w:color w:val="000000"/>
          <w:sz w:val="24"/>
          <w:u w:val="single"/>
        </w:rPr>
        <w:t>物流费用按月据实结算</w:t>
      </w:r>
      <w:r>
        <w:rPr>
          <w:rFonts w:hint="eastAsia" w:ascii="宋体" w:hAnsi="宋体"/>
          <w:color w:val="000000"/>
          <w:sz w:val="24"/>
        </w:rPr>
        <w:t>。</w:t>
      </w:r>
    </w:p>
    <w:p w14:paraId="4362D42D">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3.1.5甲方按照以下方式与乙方结算运输费用：</w:t>
      </w:r>
    </w:p>
    <w:p w14:paraId="41729F42">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（1）结算方式：</w:t>
      </w:r>
      <w:r>
        <w:rPr>
          <w:rFonts w:hint="eastAsia" w:ascii="宋体" w:hAnsi="宋体"/>
          <w:color w:val="000000"/>
          <w:sz w:val="24"/>
          <w:u w:val="single"/>
        </w:rPr>
        <w:t xml:space="preserve">  </w:t>
      </w:r>
      <w:r>
        <w:rPr>
          <w:rFonts w:hint="eastAsia" w:ascii="宋体" w:hAnsi="宋体"/>
          <w:b/>
          <w:color w:val="000000"/>
          <w:sz w:val="24"/>
          <w:u w:val="single"/>
        </w:rPr>
        <w:t>按月据实结算</w:t>
      </w:r>
      <w:r>
        <w:rPr>
          <w:rFonts w:hint="eastAsia" w:ascii="宋体" w:hAnsi="宋体"/>
          <w:color w:val="000000"/>
          <w:sz w:val="24"/>
          <w:u w:val="single"/>
        </w:rPr>
        <w:t xml:space="preserve">  </w:t>
      </w:r>
      <w:r>
        <w:rPr>
          <w:rFonts w:hint="eastAsia" w:ascii="宋体" w:hAnsi="宋体"/>
          <w:color w:val="000000"/>
          <w:sz w:val="24"/>
        </w:rPr>
        <w:t xml:space="preserve"> 。</w:t>
      </w:r>
    </w:p>
    <w:p w14:paraId="655489CE">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（2）付款日期：</w:t>
      </w:r>
      <w:r>
        <w:rPr>
          <w:rFonts w:hint="eastAsia" w:ascii="宋体" w:hAnsi="宋体"/>
          <w:color w:val="000000"/>
          <w:sz w:val="24"/>
          <w:u w:val="single"/>
        </w:rPr>
        <w:t xml:space="preserve">  </w:t>
      </w:r>
      <w:r>
        <w:rPr>
          <w:rFonts w:hint="eastAsia" w:ascii="宋体" w:hAnsi="宋体"/>
          <w:b/>
          <w:color w:val="000000"/>
          <w:sz w:val="24"/>
          <w:u w:val="single"/>
        </w:rPr>
        <w:t>见合同条款前附表。</w:t>
      </w:r>
    </w:p>
    <w:p w14:paraId="77379413">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（3）甲方的付款方式为：</w:t>
      </w:r>
      <w:r>
        <w:rPr>
          <w:rFonts w:hint="eastAsia" w:ascii="宋体" w:hAnsi="宋体"/>
          <w:b/>
          <w:color w:val="000000"/>
          <w:sz w:val="24"/>
          <w:u w:val="single"/>
        </w:rPr>
        <w:t>见合同条款前附表。</w:t>
      </w:r>
    </w:p>
    <w:p w14:paraId="2A38A0DA">
      <w:pPr>
        <w:tabs>
          <w:tab w:val="left" w:pos="6930"/>
        </w:tabs>
        <w:spacing w:line="360" w:lineRule="auto"/>
        <w:ind w:firstLine="482" w:firstLineChars="200"/>
        <w:rPr>
          <w:rFonts w:ascii="宋体" w:hAnsi="宋体"/>
          <w:b/>
          <w:color w:val="000000"/>
          <w:sz w:val="24"/>
        </w:rPr>
      </w:pPr>
      <w:r>
        <w:rPr>
          <w:rFonts w:hint="eastAsia" w:ascii="宋体" w:hAnsi="宋体"/>
          <w:b/>
          <w:color w:val="000000"/>
          <w:sz w:val="24"/>
        </w:rPr>
        <w:t>4. 托运货物的交付、运输</w:t>
      </w:r>
    </w:p>
    <w:p w14:paraId="597FA016">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4.1 甲方交付托运物时乙方应当验收，乙方核实托运货物的品名、数量、重量等必要情况后，应向甲方开具收货凭证；</w:t>
      </w:r>
    </w:p>
    <w:p w14:paraId="102D647B">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4.2 货物运输需办理相关手续，由乙方负责办理。</w:t>
      </w:r>
    </w:p>
    <w:p w14:paraId="38747928">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4.3 如果甲方托运货物需要采取特殊运输措施的，乙方应当具备运输该类货物的资质和条件。甲方托运货物在运输过程中的包装和装卸，由乙方本着安全、稳妥的原则负责办理。</w:t>
      </w:r>
    </w:p>
    <w:p w14:paraId="6758CF64">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4.4 甲方指定的交货地点为: 详见承运物资省内常用托运地址。</w:t>
      </w:r>
    </w:p>
    <w:p w14:paraId="551923B1">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4.5 在承运过程中发生货物被盗、丢失、货损和数量短少的，由乙方承担由此产生的全部责任。</w:t>
      </w:r>
    </w:p>
    <w:p w14:paraId="407B1A83">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4.6 乙方负责办理托运货物从交货地点至收货地点运输途中的保险，乙方承担为货物投保发生的全部费用。</w:t>
      </w:r>
    </w:p>
    <w:p w14:paraId="4DB4EBEE">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4.7 托运货物到达指定抽检机构后，甲方指定收货人应当进行验收，甲方在验收过程中对托运货物的数量等有异议的，应当以书面形式向乙方提出。</w:t>
      </w:r>
    </w:p>
    <w:p w14:paraId="30CBE938">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4.8 本合同签订后，乙方负责指派其所属车辆托运甲方的货物；未经甲方书面同意，乙方不得将甲方交付托运的货物交由他人的车辆进行运输，乙方不得转让本合同项下的权利和义务。</w:t>
      </w:r>
    </w:p>
    <w:p w14:paraId="19BEE86E">
      <w:pPr>
        <w:tabs>
          <w:tab w:val="left" w:pos="6930"/>
        </w:tabs>
        <w:spacing w:line="360" w:lineRule="auto"/>
        <w:ind w:firstLine="482" w:firstLineChars="200"/>
        <w:rPr>
          <w:rFonts w:ascii="宋体" w:hAnsi="宋体"/>
          <w:b/>
          <w:color w:val="000000"/>
          <w:sz w:val="24"/>
        </w:rPr>
      </w:pPr>
      <w:r>
        <w:rPr>
          <w:rFonts w:hint="eastAsia" w:ascii="宋体" w:hAnsi="宋体"/>
          <w:b/>
          <w:color w:val="000000"/>
          <w:sz w:val="24"/>
        </w:rPr>
        <w:t>5. 双方的权利义务</w:t>
      </w:r>
    </w:p>
    <w:p w14:paraId="4BE78AB1">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5.1 甲方权利和义务</w:t>
      </w:r>
    </w:p>
    <w:p w14:paraId="0CC09420">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5.1.1  甲方应按照本合同约定向乙方履行付款义务。</w:t>
      </w:r>
    </w:p>
    <w:p w14:paraId="52FF51B6">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5.1.2  在乙方未将货物交付甲方指定收货人之前，甲方可以要求乙方中止运输、返还货物、或者将货物交给甲方指定的其他收货人，由此给乙方增加费用或成本的，双方另行协商承担办法。</w:t>
      </w:r>
    </w:p>
    <w:p w14:paraId="27EE94E7">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5.1.3  甲方指定收货人接到乙方到货通知后，应按本合同约定及时验收和提货。</w:t>
      </w:r>
    </w:p>
    <w:p w14:paraId="06D316F9">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5.2 乙方权利和义务</w:t>
      </w:r>
    </w:p>
    <w:p w14:paraId="6B24F2A5">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5.2.1  按照本合同约定安全、及时、稳妥地将甲方托运货物运抵甲方指定抽检机构，并交给甲方指定收货人。</w:t>
      </w:r>
    </w:p>
    <w:p w14:paraId="037D99E2">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5.2.2  托运货物运抵甲方指定抽检机构后，乙方应当及时通知甲方和甲方指定收货人。</w:t>
      </w:r>
    </w:p>
    <w:p w14:paraId="048522FC">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5.2.3  乙方对运输过程中货物的毁损、灭失、遗失、被盗及数量短少，承担损害赔偿责任。</w:t>
      </w:r>
    </w:p>
    <w:p w14:paraId="029BD3A6">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5.2.4  乙方托运货物的车辆在运输途中，因交通事故遭受行政处罚或者经济损失的，由乙方自行承担由此产生的一切损失和责任。</w:t>
      </w:r>
    </w:p>
    <w:p w14:paraId="2F134054">
      <w:pPr>
        <w:tabs>
          <w:tab w:val="left" w:pos="6930"/>
        </w:tabs>
        <w:spacing w:line="360" w:lineRule="auto"/>
        <w:ind w:firstLine="482" w:firstLineChars="200"/>
        <w:rPr>
          <w:rFonts w:ascii="宋体" w:hAnsi="宋体"/>
          <w:b/>
          <w:color w:val="000000"/>
          <w:sz w:val="24"/>
        </w:rPr>
      </w:pPr>
      <w:r>
        <w:rPr>
          <w:rFonts w:hint="eastAsia" w:ascii="宋体" w:hAnsi="宋体"/>
          <w:b/>
          <w:color w:val="000000"/>
          <w:sz w:val="24"/>
        </w:rPr>
        <w:t>6. 违约责任</w:t>
      </w:r>
    </w:p>
    <w:p w14:paraId="109792C3">
      <w:pPr>
        <w:tabs>
          <w:tab w:val="left" w:pos="6930"/>
        </w:tabs>
        <w:spacing w:line="360" w:lineRule="auto"/>
        <w:ind w:firstLine="480" w:firstLineChars="200"/>
        <w:rPr>
          <w:rFonts w:ascii="宋体" w:hAnsi="宋体"/>
          <w:sz w:val="24"/>
          <w:u w:val="single"/>
        </w:rPr>
      </w:pPr>
      <w:r>
        <w:rPr>
          <w:rFonts w:hint="eastAsia" w:ascii="宋体" w:hAnsi="宋体"/>
          <w:sz w:val="24"/>
          <w:u w:val="single"/>
        </w:rPr>
        <w:t>6.1.如乙方在履行即开票承运服务过程中造成彩票破损、玷污和丢失导致不能销售的，乙方需在知晓情况后的一小时内以电话或传真方式通知甲方，并免除该票货物的运输费用，并在十日内按实际受损和丢失的彩票面值及媒体公告费给予甲方赔偿。</w:t>
      </w:r>
    </w:p>
    <w:p w14:paraId="21E60ED2">
      <w:pPr>
        <w:tabs>
          <w:tab w:val="left" w:pos="6930"/>
        </w:tabs>
        <w:spacing w:line="360" w:lineRule="auto"/>
        <w:ind w:firstLine="480" w:firstLineChars="200"/>
        <w:rPr>
          <w:rFonts w:ascii="宋体" w:hAnsi="宋体"/>
          <w:sz w:val="24"/>
          <w:u w:val="single"/>
        </w:rPr>
      </w:pPr>
      <w:r>
        <w:rPr>
          <w:rFonts w:hint="eastAsia" w:ascii="宋体" w:hAnsi="宋体"/>
          <w:sz w:val="24"/>
          <w:u w:val="single"/>
        </w:rPr>
        <w:t>6.2.对于甲方的承运要求，乙方必须在48小时内运送到目的地(甲方州市销售管理部仓库所在地)，逾期一天减免该票货物运费的50%，逾期两天该票货物运费全免。</w:t>
      </w:r>
    </w:p>
    <w:p w14:paraId="11D348D0">
      <w:pPr>
        <w:tabs>
          <w:tab w:val="left" w:pos="6930"/>
        </w:tabs>
        <w:spacing w:line="360" w:lineRule="auto"/>
        <w:ind w:firstLine="480" w:firstLineChars="200"/>
        <w:rPr>
          <w:rFonts w:ascii="宋体" w:hAnsi="宋体"/>
          <w:sz w:val="24"/>
          <w:u w:val="single"/>
        </w:rPr>
      </w:pPr>
      <w:r>
        <w:rPr>
          <w:rFonts w:hint="eastAsia" w:ascii="宋体" w:hAnsi="宋体"/>
          <w:sz w:val="24"/>
          <w:u w:val="single"/>
        </w:rPr>
        <w:t>6.3.因乙方责任将货物错送或错达收货人，乙方承担因此带来的全部损失和责任并将货物无偿运到指定的收货人处。</w:t>
      </w:r>
    </w:p>
    <w:p w14:paraId="719D01B7">
      <w:pPr>
        <w:tabs>
          <w:tab w:val="left" w:pos="6930"/>
        </w:tabs>
        <w:spacing w:line="360" w:lineRule="auto"/>
        <w:ind w:firstLine="482" w:firstLineChars="200"/>
        <w:rPr>
          <w:rFonts w:ascii="宋体" w:hAnsi="宋体"/>
          <w:b/>
          <w:color w:val="000000"/>
          <w:sz w:val="24"/>
        </w:rPr>
      </w:pPr>
      <w:r>
        <w:rPr>
          <w:rFonts w:hint="eastAsia" w:ascii="宋体" w:hAnsi="宋体"/>
          <w:b/>
          <w:color w:val="000000"/>
          <w:sz w:val="24"/>
        </w:rPr>
        <w:t>7. 合同的变更与解除</w:t>
      </w:r>
    </w:p>
    <w:p w14:paraId="2F57C57D">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7.1 本合同履行期间，经协商一致，甲乙双方可以变更本合同的相关条款。</w:t>
      </w:r>
    </w:p>
    <w:p w14:paraId="55401790">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7.2  出现以下情形之一，甲乙双方可以解除本合同：</w:t>
      </w:r>
    </w:p>
    <w:p w14:paraId="16D4D046">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7.2.1 双方协商一致。</w:t>
      </w:r>
    </w:p>
    <w:p w14:paraId="7D46C28D">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7.2.2 因不可抗力致使本合同的目的不能实现。</w:t>
      </w:r>
    </w:p>
    <w:p w14:paraId="1EA2931C">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7.2.3 法律规定或者本合同约定的可以解除合同的其他情形。</w:t>
      </w:r>
    </w:p>
    <w:p w14:paraId="5DF264A0">
      <w:pPr>
        <w:tabs>
          <w:tab w:val="left" w:pos="6930"/>
        </w:tabs>
        <w:spacing w:line="360" w:lineRule="auto"/>
        <w:ind w:firstLine="482" w:firstLineChars="200"/>
        <w:rPr>
          <w:rFonts w:ascii="宋体" w:hAnsi="宋体"/>
          <w:b/>
          <w:color w:val="000000"/>
          <w:sz w:val="24"/>
        </w:rPr>
      </w:pPr>
      <w:r>
        <w:rPr>
          <w:rFonts w:hint="eastAsia" w:ascii="宋体" w:hAnsi="宋体"/>
          <w:b/>
          <w:color w:val="000000"/>
          <w:sz w:val="24"/>
        </w:rPr>
        <w:t>8. 不可抗力</w:t>
      </w:r>
    </w:p>
    <w:p w14:paraId="370B2498">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8.1 不可抗力，是指不能预见、不能避免并不能克服的客观情况。</w:t>
      </w:r>
    </w:p>
    <w:p w14:paraId="4187A639">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8.2 本合同一方因不可抗力不能履行合同的，应当及时通知对方，以减轻可能给对方造成的损失，遭受不可抗力一方应当在合理期限内向对方提供证明。因不可抗力不能履行本合同的，可根据不可抗力的影响，部分或者全部免除责任。</w:t>
      </w:r>
    </w:p>
    <w:p w14:paraId="0C00ABBB">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8.3 甲方托运的货物在运输过程中因不可抗力灭失或损坏，甲方未支付运费的，乙方不得要求甲方支付运费；乙方已收取运费的，甲方有权要求乙方全额返还。</w:t>
      </w:r>
    </w:p>
    <w:p w14:paraId="10C8E24E">
      <w:pPr>
        <w:tabs>
          <w:tab w:val="left" w:pos="6930"/>
        </w:tabs>
        <w:spacing w:line="360" w:lineRule="auto"/>
        <w:ind w:firstLine="482" w:firstLineChars="200"/>
        <w:rPr>
          <w:rFonts w:ascii="宋体" w:hAnsi="宋体"/>
          <w:b/>
          <w:color w:val="000000"/>
          <w:sz w:val="24"/>
        </w:rPr>
      </w:pPr>
      <w:r>
        <w:rPr>
          <w:rFonts w:hint="eastAsia" w:ascii="宋体" w:hAnsi="宋体"/>
          <w:b/>
          <w:color w:val="000000"/>
          <w:sz w:val="24"/>
        </w:rPr>
        <w:t>9. 通知及送达</w:t>
      </w:r>
    </w:p>
    <w:p w14:paraId="059E74C0">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9.1 双方在履行本合同过程中发出的全部通知，均须采取书面形式，送达地址为双方在本合同上填写的地址。</w:t>
      </w:r>
    </w:p>
    <w:p w14:paraId="2AF195E2">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9.2 甲方为履行本合同的指定联系人为：         ，联系电话为：             ；乙方为履行本合同的指定联系人为： ，联系电话为：    。</w:t>
      </w:r>
    </w:p>
    <w:p w14:paraId="110FD86B">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9.3 任何一方的地址或联系人发生变更时，须在变更前    日以书面形式通知对方。因迟延通知而造成的损失，由过错方承担责任。</w:t>
      </w:r>
    </w:p>
    <w:p w14:paraId="27EE4821">
      <w:pPr>
        <w:tabs>
          <w:tab w:val="left" w:pos="6930"/>
        </w:tabs>
        <w:spacing w:line="360" w:lineRule="auto"/>
        <w:ind w:firstLine="482" w:firstLineChars="200"/>
        <w:rPr>
          <w:rFonts w:ascii="宋体" w:hAnsi="宋体"/>
          <w:b/>
          <w:color w:val="000000"/>
          <w:sz w:val="24"/>
        </w:rPr>
      </w:pPr>
      <w:r>
        <w:rPr>
          <w:rFonts w:hint="eastAsia" w:ascii="宋体" w:hAnsi="宋体"/>
          <w:b/>
          <w:color w:val="000000"/>
          <w:sz w:val="24"/>
        </w:rPr>
        <w:t>10. 争议的解决</w:t>
      </w:r>
    </w:p>
    <w:p w14:paraId="7B51E9DC">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因履行本合同发生争议的，双方应友好协商解决，协商不成的，任何一方均有权向甲方住所地人民法院提起诉讼。</w:t>
      </w:r>
    </w:p>
    <w:p w14:paraId="10858EE4">
      <w:pPr>
        <w:tabs>
          <w:tab w:val="left" w:pos="6930"/>
        </w:tabs>
        <w:spacing w:line="360" w:lineRule="auto"/>
        <w:ind w:firstLine="482" w:firstLineChars="200"/>
        <w:rPr>
          <w:rFonts w:ascii="宋体" w:hAnsi="宋体"/>
          <w:b/>
          <w:color w:val="000000"/>
          <w:sz w:val="24"/>
        </w:rPr>
      </w:pPr>
      <w:r>
        <w:rPr>
          <w:rFonts w:hint="eastAsia" w:ascii="宋体" w:hAnsi="宋体"/>
          <w:b/>
          <w:color w:val="000000"/>
          <w:sz w:val="24"/>
        </w:rPr>
        <w:t>11. 合同生效及其他</w:t>
      </w:r>
    </w:p>
    <w:p w14:paraId="6EC77EF1">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11.1 本合同一式</w:t>
      </w:r>
      <w:r>
        <w:rPr>
          <w:rFonts w:hint="eastAsia" w:ascii="宋体" w:hAnsi="宋体"/>
          <w:color w:val="000000"/>
          <w:sz w:val="24"/>
          <w:u w:val="single"/>
        </w:rPr>
        <w:t xml:space="preserve">  伍  </w:t>
      </w:r>
      <w:r>
        <w:rPr>
          <w:rFonts w:hint="eastAsia" w:ascii="宋体" w:hAnsi="宋体"/>
          <w:color w:val="000000"/>
          <w:sz w:val="24"/>
        </w:rPr>
        <w:t>份，甲方持</w:t>
      </w:r>
      <w:r>
        <w:rPr>
          <w:rFonts w:hint="eastAsia" w:ascii="宋体" w:hAnsi="宋体"/>
          <w:color w:val="000000"/>
          <w:sz w:val="24"/>
          <w:u w:val="single"/>
        </w:rPr>
        <w:t xml:space="preserve">  叁  </w:t>
      </w:r>
      <w:r>
        <w:rPr>
          <w:rFonts w:hint="eastAsia" w:ascii="宋体" w:hAnsi="宋体"/>
          <w:color w:val="000000"/>
          <w:sz w:val="24"/>
        </w:rPr>
        <w:t>份，乙方持</w:t>
      </w:r>
      <w:r>
        <w:rPr>
          <w:rFonts w:hint="eastAsia" w:ascii="宋体" w:hAnsi="宋体"/>
          <w:color w:val="000000"/>
          <w:sz w:val="24"/>
          <w:u w:val="single"/>
        </w:rPr>
        <w:t xml:space="preserve">  壹  </w:t>
      </w:r>
      <w:r>
        <w:rPr>
          <w:rFonts w:hint="eastAsia" w:ascii="宋体" w:hAnsi="宋体"/>
          <w:color w:val="000000"/>
          <w:sz w:val="24"/>
        </w:rPr>
        <w:t>份，丙方持壹份， 具有同等法律效力。</w:t>
      </w:r>
    </w:p>
    <w:p w14:paraId="765DD3A4">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11.2 本合同自甲乙双方签字盖章之日生效。</w:t>
      </w:r>
    </w:p>
    <w:p w14:paraId="088D3098">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11.3 本合同未尽事宜由双方协商解决或签订书面补充协议，补充协议与本合同具有同等法律效力，补充协议与本合同不一致的以补充协议为准。</w:t>
      </w:r>
    </w:p>
    <w:p w14:paraId="2B8DEDFE">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11.4 本合同附件是合同的有效组成部分，与本合同具有同等法律效力。</w:t>
      </w:r>
    </w:p>
    <w:p w14:paraId="7EEFFAA4">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11.5 其他约定事项： 。</w:t>
      </w:r>
    </w:p>
    <w:p w14:paraId="576F6FD2">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12.合同附件</w:t>
      </w:r>
    </w:p>
    <w:p w14:paraId="6921AA12">
      <w:pPr>
        <w:tabs>
          <w:tab w:val="left" w:pos="6930"/>
        </w:tabs>
        <w:spacing w:line="360" w:lineRule="auto"/>
        <w:ind w:firstLine="480" w:firstLineChars="200"/>
        <w:rPr>
          <w:rFonts w:ascii="宋体" w:hAnsi="宋体"/>
          <w:color w:val="000000"/>
          <w:sz w:val="24"/>
        </w:rPr>
      </w:pPr>
      <w:r>
        <w:rPr>
          <w:rFonts w:hint="eastAsia" w:ascii="宋体" w:hAnsi="宋体"/>
          <w:color w:val="000000"/>
          <w:sz w:val="24"/>
        </w:rPr>
        <w:t>本合同不可分割之部分：</w:t>
      </w:r>
    </w:p>
    <w:p w14:paraId="4B866C20">
      <w:pPr>
        <w:spacing w:line="360" w:lineRule="auto"/>
        <w:ind w:firstLine="480" w:firstLineChars="200"/>
        <w:jc w:val="left"/>
        <w:rPr>
          <w:rFonts w:ascii="宋体" w:hAnsi="宋体"/>
          <w:color w:val="000000"/>
          <w:sz w:val="24"/>
        </w:rPr>
        <w:sectPr>
          <w:type w:val="continuous"/>
          <w:pgSz w:w="11906" w:h="16838"/>
          <w:pgMar w:top="794" w:right="746" w:bottom="680" w:left="1134" w:header="720" w:footer="720" w:gutter="0"/>
          <w:cols w:space="720" w:num="1"/>
          <w:titlePg/>
          <w:docGrid w:type="lines" w:linePitch="331" w:charSpace="0"/>
        </w:sectPr>
      </w:pPr>
      <w:r>
        <w:rPr>
          <w:rFonts w:hint="eastAsia" w:ascii="宋体" w:hAnsi="宋体"/>
          <w:color w:val="000000"/>
          <w:sz w:val="24"/>
        </w:rPr>
        <w:t>1、中标人投标文件；2、中标通知书；3、合同书附件；4、运输价格明细表。</w:t>
      </w:r>
    </w:p>
    <w:p w14:paraId="7EEEDD90">
      <w:pPr>
        <w:rPr>
          <w:rFonts w:ascii="宋体" w:hAnsi="宋体"/>
          <w:color w:val="000000"/>
        </w:rPr>
      </w:pPr>
    </w:p>
    <w:p w14:paraId="2CB6EAA1">
      <w:pPr>
        <w:pStyle w:val="28"/>
        <w:rPr>
          <w:rFonts w:ascii="宋体" w:hAnsi="宋体"/>
          <w:bCs w:val="0"/>
          <w:color w:val="000000"/>
          <w:kern w:val="44"/>
          <w:sz w:val="36"/>
          <w:szCs w:val="20"/>
        </w:rPr>
      </w:pPr>
      <w:bookmarkStart w:id="62" w:name="_Toc152246152"/>
      <w:r>
        <w:rPr>
          <w:rFonts w:hint="eastAsia" w:ascii="宋体" w:hAnsi="宋体"/>
          <w:bCs w:val="0"/>
          <w:color w:val="000000"/>
          <w:kern w:val="44"/>
          <w:sz w:val="36"/>
          <w:szCs w:val="20"/>
        </w:rPr>
        <w:t>第四章  投标文件格式</w:t>
      </w:r>
      <w:bookmarkEnd w:id="62"/>
    </w:p>
    <w:p w14:paraId="0053EC26">
      <w:pPr>
        <w:pStyle w:val="16"/>
        <w:spacing w:line="500" w:lineRule="exact"/>
        <w:rPr>
          <w:rFonts w:hAnsi="宋体"/>
          <w:color w:val="000000"/>
          <w:szCs w:val="21"/>
        </w:rPr>
      </w:pPr>
    </w:p>
    <w:p w14:paraId="2E971020">
      <w:pPr>
        <w:rPr>
          <w:color w:val="000000"/>
        </w:rPr>
      </w:pPr>
    </w:p>
    <w:p w14:paraId="74525671">
      <w:pPr>
        <w:rPr>
          <w:color w:val="000000"/>
        </w:rPr>
      </w:pPr>
    </w:p>
    <w:p w14:paraId="15CB2BD5">
      <w:pPr>
        <w:rPr>
          <w:color w:val="000000"/>
        </w:rPr>
      </w:pPr>
    </w:p>
    <w:p w14:paraId="2E5D4ABE">
      <w:pPr>
        <w:rPr>
          <w:color w:val="000000"/>
        </w:rPr>
      </w:pPr>
    </w:p>
    <w:p w14:paraId="4C0935FC">
      <w:pPr>
        <w:rPr>
          <w:color w:val="000000"/>
        </w:rPr>
      </w:pPr>
    </w:p>
    <w:p w14:paraId="1868F205">
      <w:pPr>
        <w:rPr>
          <w:color w:val="000000"/>
        </w:rPr>
      </w:pPr>
    </w:p>
    <w:p w14:paraId="0D196BC2">
      <w:pPr>
        <w:rPr>
          <w:color w:val="000000"/>
        </w:rPr>
      </w:pPr>
    </w:p>
    <w:p w14:paraId="23479EF6">
      <w:pPr>
        <w:rPr>
          <w:color w:val="000000"/>
        </w:rPr>
      </w:pPr>
    </w:p>
    <w:p w14:paraId="0DAA00A9">
      <w:pPr>
        <w:rPr>
          <w:color w:val="000000"/>
        </w:rPr>
      </w:pPr>
    </w:p>
    <w:p w14:paraId="4DE81D33">
      <w:pPr>
        <w:rPr>
          <w:color w:val="000000"/>
        </w:rPr>
      </w:pPr>
    </w:p>
    <w:p w14:paraId="5CB50425">
      <w:pPr>
        <w:rPr>
          <w:color w:val="000000"/>
        </w:rPr>
      </w:pPr>
    </w:p>
    <w:p w14:paraId="276CD862">
      <w:pPr>
        <w:rPr>
          <w:color w:val="000000"/>
        </w:rPr>
      </w:pPr>
    </w:p>
    <w:p w14:paraId="15B5F262">
      <w:pPr>
        <w:rPr>
          <w:color w:val="000000"/>
        </w:rPr>
      </w:pPr>
    </w:p>
    <w:p w14:paraId="002057B9">
      <w:pPr>
        <w:rPr>
          <w:color w:val="000000"/>
        </w:rPr>
      </w:pPr>
    </w:p>
    <w:p w14:paraId="73D1F792">
      <w:pPr>
        <w:rPr>
          <w:color w:val="000000"/>
        </w:rPr>
      </w:pPr>
    </w:p>
    <w:p w14:paraId="5913920D">
      <w:pPr>
        <w:rPr>
          <w:color w:val="000000"/>
        </w:rPr>
      </w:pPr>
    </w:p>
    <w:p w14:paraId="5ED6E83E">
      <w:pPr>
        <w:rPr>
          <w:color w:val="000000"/>
        </w:rPr>
      </w:pPr>
    </w:p>
    <w:p w14:paraId="75988576">
      <w:pPr>
        <w:rPr>
          <w:color w:val="000000"/>
        </w:rPr>
      </w:pPr>
    </w:p>
    <w:p w14:paraId="7744F221">
      <w:pPr>
        <w:rPr>
          <w:color w:val="000000"/>
        </w:rPr>
      </w:pPr>
    </w:p>
    <w:p w14:paraId="2B09DC58">
      <w:pPr>
        <w:rPr>
          <w:color w:val="000000"/>
        </w:rPr>
      </w:pPr>
    </w:p>
    <w:p w14:paraId="3456D54A">
      <w:pPr>
        <w:rPr>
          <w:color w:val="000000"/>
        </w:rPr>
      </w:pPr>
    </w:p>
    <w:p w14:paraId="02415001">
      <w:pPr>
        <w:jc w:val="right"/>
        <w:rPr>
          <w:color w:val="000000"/>
        </w:rPr>
      </w:pPr>
    </w:p>
    <w:p w14:paraId="1EA6DADB">
      <w:pPr>
        <w:rPr>
          <w:color w:val="000000"/>
        </w:rPr>
      </w:pPr>
    </w:p>
    <w:p w14:paraId="0226C8A6">
      <w:pPr>
        <w:rPr>
          <w:color w:val="000000"/>
        </w:rPr>
      </w:pPr>
    </w:p>
    <w:p w14:paraId="24EC3E8E">
      <w:pPr>
        <w:rPr>
          <w:color w:val="000000"/>
        </w:rPr>
      </w:pPr>
    </w:p>
    <w:p w14:paraId="1628948C">
      <w:pPr>
        <w:rPr>
          <w:color w:val="000000"/>
        </w:rPr>
      </w:pPr>
    </w:p>
    <w:p w14:paraId="2DD789DD">
      <w:pPr>
        <w:rPr>
          <w:color w:val="000000"/>
        </w:rPr>
      </w:pPr>
    </w:p>
    <w:p w14:paraId="40D0B64E">
      <w:pPr>
        <w:pStyle w:val="16"/>
        <w:spacing w:line="500" w:lineRule="exact"/>
        <w:rPr>
          <w:rFonts w:hAnsi="宋体"/>
          <w:color w:val="000000"/>
          <w:szCs w:val="21"/>
        </w:rPr>
      </w:pPr>
      <w:r>
        <w:rPr>
          <w:rFonts w:hint="eastAsia" w:ascii="Times New Roman"/>
          <w:color w:val="000000"/>
        </w:rPr>
        <w:br w:type="page"/>
      </w:r>
    </w:p>
    <w:p w14:paraId="21EEB211">
      <w:pPr>
        <w:pStyle w:val="16"/>
        <w:spacing w:line="500" w:lineRule="exact"/>
        <w:rPr>
          <w:rFonts w:hAnsi="宋体"/>
          <w:color w:val="000000"/>
          <w:szCs w:val="21"/>
        </w:rPr>
      </w:pPr>
    </w:p>
    <w:p w14:paraId="5D3206F2">
      <w:pPr>
        <w:adjustRightInd w:val="0"/>
        <w:snapToGrid w:val="0"/>
        <w:spacing w:line="360" w:lineRule="auto"/>
        <w:jc w:val="center"/>
        <w:rPr>
          <w:rFonts w:ascii="宋体" w:hAnsi="宋体"/>
          <w:b/>
          <w:color w:val="000000"/>
          <w:sz w:val="48"/>
          <w:szCs w:val="48"/>
          <w:u w:val="single"/>
        </w:rPr>
      </w:pPr>
      <w:r>
        <w:rPr>
          <w:rFonts w:hint="eastAsia" w:ascii="宋体" w:hAnsi="宋体"/>
          <w:b/>
          <w:bCs/>
          <w:color w:val="000000"/>
          <w:sz w:val="48"/>
          <w:u w:val="single"/>
        </w:rPr>
        <w:t>云南省体育彩票管理中心2025年即开型体育彩票物流服务采购项目</w:t>
      </w:r>
    </w:p>
    <w:p w14:paraId="63416AC6">
      <w:pPr>
        <w:spacing w:line="500" w:lineRule="exact"/>
        <w:jc w:val="center"/>
        <w:rPr>
          <w:rFonts w:ascii="宋体" w:hAnsi="宋体"/>
          <w:b/>
          <w:color w:val="000000"/>
          <w:sz w:val="32"/>
          <w:szCs w:val="32"/>
        </w:rPr>
      </w:pPr>
    </w:p>
    <w:p w14:paraId="5FAA073E">
      <w:pPr>
        <w:spacing w:line="500" w:lineRule="exact"/>
        <w:jc w:val="center"/>
        <w:rPr>
          <w:rFonts w:ascii="宋体" w:hAnsi="宋体"/>
          <w:b/>
          <w:color w:val="000000"/>
          <w:sz w:val="32"/>
          <w:szCs w:val="32"/>
        </w:rPr>
      </w:pPr>
    </w:p>
    <w:p w14:paraId="18E4C325">
      <w:pPr>
        <w:spacing w:line="500" w:lineRule="exact"/>
        <w:jc w:val="center"/>
        <w:rPr>
          <w:rFonts w:ascii="宋体" w:hAnsi="宋体"/>
          <w:b/>
          <w:color w:val="000000"/>
          <w:sz w:val="32"/>
          <w:szCs w:val="32"/>
        </w:rPr>
      </w:pPr>
    </w:p>
    <w:p w14:paraId="1B1F3251">
      <w:pPr>
        <w:spacing w:line="500" w:lineRule="exact"/>
        <w:jc w:val="center"/>
        <w:rPr>
          <w:rFonts w:ascii="宋体" w:hAnsi="宋体"/>
          <w:b/>
          <w:color w:val="000000"/>
          <w:sz w:val="32"/>
          <w:szCs w:val="32"/>
        </w:rPr>
      </w:pPr>
    </w:p>
    <w:p w14:paraId="16DA1908">
      <w:pPr>
        <w:spacing w:line="500" w:lineRule="exact"/>
        <w:jc w:val="center"/>
        <w:rPr>
          <w:rFonts w:ascii="宋体" w:hAnsi="宋体"/>
          <w:b/>
          <w:color w:val="000000"/>
          <w:sz w:val="32"/>
          <w:szCs w:val="32"/>
        </w:rPr>
      </w:pPr>
    </w:p>
    <w:p w14:paraId="47FF05F2">
      <w:pPr>
        <w:spacing w:line="780" w:lineRule="exact"/>
        <w:jc w:val="center"/>
        <w:rPr>
          <w:rFonts w:ascii="宋体" w:hAnsi="宋体"/>
          <w:b/>
          <w:color w:val="000000"/>
          <w:sz w:val="72"/>
          <w:szCs w:val="72"/>
        </w:rPr>
      </w:pPr>
      <w:r>
        <w:rPr>
          <w:rFonts w:hint="eastAsia" w:ascii="宋体" w:hAnsi="宋体"/>
          <w:b/>
          <w:color w:val="000000"/>
          <w:sz w:val="72"/>
          <w:szCs w:val="72"/>
        </w:rPr>
        <w:t>投 标 文 件</w:t>
      </w:r>
    </w:p>
    <w:p w14:paraId="1D93FE0A">
      <w:pPr>
        <w:spacing w:line="500" w:lineRule="exact"/>
        <w:jc w:val="center"/>
        <w:rPr>
          <w:rFonts w:ascii="宋体" w:hAnsi="宋体"/>
          <w:b/>
          <w:color w:val="000000"/>
          <w:sz w:val="72"/>
          <w:szCs w:val="72"/>
        </w:rPr>
      </w:pPr>
    </w:p>
    <w:p w14:paraId="51859967">
      <w:pPr>
        <w:spacing w:line="500" w:lineRule="exact"/>
        <w:ind w:firstLine="3601" w:firstLineChars="1281"/>
        <w:rPr>
          <w:rFonts w:ascii="宋体" w:hAnsi="宋体"/>
          <w:b/>
          <w:color w:val="000000"/>
          <w:szCs w:val="28"/>
          <w:u w:val="single"/>
        </w:rPr>
      </w:pPr>
      <w:r>
        <w:rPr>
          <w:rFonts w:hint="eastAsia" w:ascii="宋体" w:hAnsi="宋体"/>
          <w:b/>
          <w:color w:val="000000"/>
          <w:szCs w:val="28"/>
        </w:rPr>
        <w:t>招标编号：</w:t>
      </w:r>
    </w:p>
    <w:p w14:paraId="0D5AE11C">
      <w:pPr>
        <w:spacing w:line="500" w:lineRule="exact"/>
        <w:ind w:firstLine="3601" w:firstLineChars="1281"/>
        <w:rPr>
          <w:rFonts w:ascii="宋体" w:hAnsi="宋体"/>
          <w:b/>
          <w:color w:val="000000"/>
          <w:szCs w:val="28"/>
        </w:rPr>
      </w:pPr>
    </w:p>
    <w:p w14:paraId="727A96BB">
      <w:pPr>
        <w:spacing w:line="500" w:lineRule="exact"/>
        <w:ind w:firstLine="3601" w:firstLineChars="1281"/>
        <w:rPr>
          <w:rFonts w:ascii="宋体" w:hAnsi="宋体"/>
          <w:b/>
          <w:color w:val="000000"/>
          <w:szCs w:val="28"/>
        </w:rPr>
      </w:pPr>
    </w:p>
    <w:p w14:paraId="63F5808A">
      <w:pPr>
        <w:spacing w:line="500" w:lineRule="exact"/>
        <w:jc w:val="center"/>
        <w:rPr>
          <w:rFonts w:ascii="宋体" w:hAnsi="宋体"/>
          <w:b/>
          <w:color w:val="000000"/>
          <w:szCs w:val="28"/>
        </w:rPr>
      </w:pPr>
    </w:p>
    <w:p w14:paraId="5C510AAB">
      <w:pPr>
        <w:spacing w:line="500" w:lineRule="exact"/>
        <w:jc w:val="center"/>
        <w:rPr>
          <w:rFonts w:ascii="宋体" w:hAnsi="宋体"/>
          <w:b/>
          <w:color w:val="000000"/>
          <w:szCs w:val="28"/>
        </w:rPr>
      </w:pPr>
    </w:p>
    <w:p w14:paraId="2C13287A">
      <w:pPr>
        <w:spacing w:line="500" w:lineRule="exact"/>
        <w:jc w:val="center"/>
        <w:rPr>
          <w:rFonts w:ascii="宋体" w:hAnsi="宋体"/>
          <w:b/>
          <w:color w:val="000000"/>
          <w:sz w:val="72"/>
          <w:szCs w:val="72"/>
        </w:rPr>
      </w:pPr>
    </w:p>
    <w:p w14:paraId="76048870">
      <w:pPr>
        <w:spacing w:line="500" w:lineRule="exact"/>
        <w:jc w:val="center"/>
        <w:rPr>
          <w:rFonts w:ascii="宋体" w:hAnsi="宋体"/>
          <w:b/>
          <w:color w:val="000000"/>
          <w:sz w:val="72"/>
          <w:szCs w:val="72"/>
        </w:rPr>
      </w:pPr>
    </w:p>
    <w:p w14:paraId="26F332C4">
      <w:pPr>
        <w:spacing w:line="500" w:lineRule="exact"/>
        <w:jc w:val="center"/>
        <w:rPr>
          <w:rFonts w:ascii="宋体" w:hAnsi="宋体"/>
          <w:b/>
          <w:color w:val="000000"/>
          <w:sz w:val="72"/>
          <w:szCs w:val="72"/>
        </w:rPr>
      </w:pPr>
    </w:p>
    <w:p w14:paraId="5AEF4944">
      <w:pPr>
        <w:spacing w:line="500" w:lineRule="exact"/>
        <w:jc w:val="center"/>
        <w:rPr>
          <w:rFonts w:ascii="宋体" w:hAnsi="宋体"/>
          <w:b/>
          <w:color w:val="000000"/>
          <w:sz w:val="72"/>
          <w:szCs w:val="72"/>
        </w:rPr>
      </w:pPr>
    </w:p>
    <w:p w14:paraId="28DA9B28">
      <w:pPr>
        <w:spacing w:line="360" w:lineRule="auto"/>
        <w:ind w:left="1260" w:leftChars="450"/>
        <w:rPr>
          <w:rFonts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657F251F">
      <w:pPr>
        <w:spacing w:line="360" w:lineRule="auto"/>
        <w:ind w:left="1260" w:leftChars="450"/>
        <w:rPr>
          <w:rFonts w:ascii="宋体" w:hAnsi="宋体"/>
          <w:b/>
          <w:sz w:val="24"/>
        </w:rPr>
      </w:pPr>
      <w:r>
        <w:rPr>
          <w:rFonts w:hint="eastAsia" w:ascii="宋体" w:hAnsi="宋体"/>
          <w:b/>
          <w:sz w:val="24"/>
        </w:rPr>
        <w:t>法定代表人/负责人或其委托代理人：</w:t>
      </w:r>
      <w:r>
        <w:rPr>
          <w:rFonts w:ascii="宋体" w:hAnsi="宋体"/>
          <w:b/>
          <w:sz w:val="24"/>
          <w:u w:val="single"/>
        </w:rPr>
        <w:t xml:space="preserve">               </w:t>
      </w:r>
      <w:r>
        <w:rPr>
          <w:rFonts w:hint="eastAsia" w:ascii="宋体" w:hAnsi="宋体"/>
          <w:b/>
          <w:sz w:val="24"/>
        </w:rPr>
        <w:t>（电子签名）</w:t>
      </w:r>
    </w:p>
    <w:p w14:paraId="59BFFD10">
      <w:pPr>
        <w:spacing w:line="360" w:lineRule="auto"/>
        <w:ind w:left="1260" w:leftChars="450" w:firstLine="2" w:firstLineChars="1"/>
        <w:rPr>
          <w:rFonts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355C30BF">
      <w:pPr>
        <w:spacing w:line="360" w:lineRule="auto"/>
        <w:jc w:val="center"/>
        <w:rPr>
          <w:rFonts w:ascii="宋体" w:hAnsi="宋体"/>
          <w:b/>
          <w:color w:val="000000"/>
          <w:sz w:val="24"/>
        </w:rPr>
      </w:pPr>
    </w:p>
    <w:p w14:paraId="2CC6D260">
      <w:pPr>
        <w:spacing w:line="500" w:lineRule="exact"/>
        <w:rPr>
          <w:rFonts w:ascii="宋体" w:hAnsi="宋体"/>
          <w:b/>
          <w:color w:val="000000"/>
          <w:szCs w:val="28"/>
        </w:rPr>
      </w:pPr>
      <w:r>
        <w:rPr>
          <w:rFonts w:hint="eastAsia" w:ascii="宋体" w:hAnsi="宋体"/>
          <w:color w:val="000000"/>
          <w:sz w:val="24"/>
        </w:rPr>
        <w:br w:type="page"/>
      </w:r>
    </w:p>
    <w:p w14:paraId="62816F2F">
      <w:pPr>
        <w:keepNext/>
        <w:adjustRightInd w:val="0"/>
        <w:spacing w:before="120" w:line="360" w:lineRule="auto"/>
        <w:ind w:left="425"/>
        <w:jc w:val="center"/>
        <w:textAlignment w:val="baseline"/>
        <w:outlineLvl w:val="1"/>
        <w:rPr>
          <w:rFonts w:ascii="宋体" w:hAnsi="宋体"/>
          <w:b/>
          <w:color w:val="000000"/>
          <w:kern w:val="0"/>
          <w:sz w:val="32"/>
          <w:szCs w:val="32"/>
        </w:rPr>
      </w:pPr>
      <w:bookmarkStart w:id="63" w:name="_Toc63070515"/>
      <w:bookmarkStart w:id="64" w:name="_Toc152246153"/>
      <w:r>
        <w:rPr>
          <w:rFonts w:hint="eastAsia" w:ascii="宋体" w:hAnsi="宋体"/>
          <w:b/>
          <w:color w:val="000000"/>
          <w:kern w:val="0"/>
          <w:sz w:val="32"/>
          <w:szCs w:val="32"/>
        </w:rPr>
        <w:t>开标一览表</w:t>
      </w:r>
      <w:bookmarkEnd w:id="63"/>
      <w:bookmarkEnd w:id="64"/>
    </w:p>
    <w:p w14:paraId="1A9354C3">
      <w:pPr>
        <w:rPr>
          <w:rFonts w:ascii="宋体" w:hAnsi="宋体"/>
          <w:color w:val="000000"/>
          <w:sz w:val="21"/>
          <w:szCs w:val="24"/>
        </w:rPr>
      </w:pPr>
    </w:p>
    <w:p w14:paraId="21278BE4">
      <w:pPr>
        <w:rPr>
          <w:rFonts w:ascii="宋体" w:hAnsi="宋体"/>
          <w:color w:val="000000"/>
          <w:sz w:val="24"/>
          <w:szCs w:val="24"/>
        </w:rPr>
      </w:pPr>
      <w:r>
        <w:rPr>
          <w:rFonts w:hint="eastAsia" w:ascii="宋体" w:hAnsi="宋体"/>
          <w:b/>
          <w:color w:val="000000"/>
          <w:sz w:val="24"/>
          <w:szCs w:val="24"/>
        </w:rPr>
        <w:t>项目名称：                                       招标编号：</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2"/>
        <w:gridCol w:w="1470"/>
        <w:gridCol w:w="1419"/>
        <w:gridCol w:w="2410"/>
        <w:gridCol w:w="1151"/>
        <w:gridCol w:w="1192"/>
        <w:gridCol w:w="740"/>
      </w:tblGrid>
      <w:tr w14:paraId="6F502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trPr>
        <w:tc>
          <w:tcPr>
            <w:tcW w:w="747" w:type="pct"/>
            <w:tcBorders>
              <w:top w:val="single" w:color="auto" w:sz="4" w:space="0"/>
              <w:left w:val="single" w:color="auto" w:sz="4" w:space="0"/>
              <w:bottom w:val="single" w:color="auto" w:sz="4" w:space="0"/>
              <w:right w:val="single" w:color="auto" w:sz="4" w:space="0"/>
            </w:tcBorders>
            <w:vAlign w:val="center"/>
          </w:tcPr>
          <w:p w14:paraId="052E7582">
            <w:pPr>
              <w:jc w:val="center"/>
              <w:rPr>
                <w:rFonts w:ascii="宋体" w:hAnsi="宋体"/>
                <w:b/>
                <w:sz w:val="24"/>
                <w:szCs w:val="24"/>
              </w:rPr>
            </w:pPr>
            <w:r>
              <w:rPr>
                <w:rFonts w:hint="eastAsia" w:ascii="宋体" w:hAnsi="宋体"/>
                <w:b/>
                <w:sz w:val="24"/>
                <w:szCs w:val="24"/>
              </w:rPr>
              <w:t>投标人名称</w:t>
            </w:r>
          </w:p>
        </w:tc>
        <w:tc>
          <w:tcPr>
            <w:tcW w:w="746" w:type="pct"/>
            <w:tcBorders>
              <w:top w:val="single" w:color="auto" w:sz="4" w:space="0"/>
              <w:left w:val="single" w:color="auto" w:sz="4" w:space="0"/>
              <w:bottom w:val="single" w:color="auto" w:sz="4" w:space="0"/>
              <w:right w:val="single" w:color="auto" w:sz="4" w:space="0"/>
            </w:tcBorders>
            <w:vAlign w:val="center"/>
          </w:tcPr>
          <w:p w14:paraId="625EC13C">
            <w:pPr>
              <w:jc w:val="center"/>
              <w:rPr>
                <w:rFonts w:ascii="宋体" w:hAnsi="宋体"/>
                <w:b/>
                <w:sz w:val="24"/>
                <w:szCs w:val="24"/>
              </w:rPr>
            </w:pPr>
            <w:r>
              <w:rPr>
                <w:rFonts w:hint="eastAsia" w:ascii="宋体" w:hAnsi="宋体"/>
                <w:b/>
                <w:sz w:val="24"/>
                <w:szCs w:val="24"/>
              </w:rPr>
              <w:t>暂估投标总报价（万元）</w:t>
            </w:r>
          </w:p>
        </w:tc>
        <w:tc>
          <w:tcPr>
            <w:tcW w:w="720" w:type="pct"/>
            <w:tcBorders>
              <w:top w:val="single" w:color="auto" w:sz="4" w:space="0"/>
              <w:left w:val="single" w:color="auto" w:sz="4" w:space="0"/>
              <w:bottom w:val="single" w:color="auto" w:sz="4" w:space="0"/>
              <w:right w:val="single" w:color="auto" w:sz="4" w:space="0"/>
            </w:tcBorders>
            <w:vAlign w:val="center"/>
          </w:tcPr>
          <w:p w14:paraId="6827FFCC">
            <w:pPr>
              <w:jc w:val="center"/>
              <w:rPr>
                <w:rFonts w:ascii="宋体" w:hAnsi="宋体"/>
                <w:b/>
                <w:sz w:val="24"/>
                <w:szCs w:val="24"/>
              </w:rPr>
            </w:pPr>
            <w:r>
              <w:rPr>
                <w:rFonts w:hint="eastAsia" w:ascii="宋体" w:hAnsi="宋体"/>
                <w:b/>
                <w:sz w:val="24"/>
                <w:szCs w:val="24"/>
              </w:rPr>
              <w:t>综合单价（元/件）</w:t>
            </w:r>
          </w:p>
        </w:tc>
        <w:tc>
          <w:tcPr>
            <w:tcW w:w="1223" w:type="pct"/>
            <w:tcBorders>
              <w:top w:val="single" w:color="auto" w:sz="4" w:space="0"/>
              <w:left w:val="single" w:color="auto" w:sz="4" w:space="0"/>
              <w:bottom w:val="single" w:color="auto" w:sz="4" w:space="0"/>
              <w:right w:val="single" w:color="auto" w:sz="4" w:space="0"/>
            </w:tcBorders>
            <w:vAlign w:val="center"/>
          </w:tcPr>
          <w:p w14:paraId="618D2F9E">
            <w:pPr>
              <w:jc w:val="center"/>
              <w:rPr>
                <w:rFonts w:ascii="宋体" w:hAnsi="宋体"/>
                <w:b/>
                <w:sz w:val="24"/>
                <w:szCs w:val="24"/>
              </w:rPr>
            </w:pPr>
            <w:r>
              <w:rPr>
                <w:rFonts w:hint="eastAsia" w:ascii="宋体" w:hAnsi="宋体"/>
                <w:b/>
                <w:sz w:val="24"/>
                <w:szCs w:val="24"/>
              </w:rPr>
              <w:t>合同履行期限</w:t>
            </w:r>
          </w:p>
        </w:tc>
        <w:tc>
          <w:tcPr>
            <w:tcW w:w="584" w:type="pct"/>
            <w:tcBorders>
              <w:top w:val="single" w:color="auto" w:sz="4" w:space="0"/>
              <w:left w:val="single" w:color="auto" w:sz="4" w:space="0"/>
              <w:bottom w:val="single" w:color="auto" w:sz="4" w:space="0"/>
              <w:right w:val="single" w:color="auto" w:sz="4" w:space="0"/>
            </w:tcBorders>
            <w:vAlign w:val="center"/>
          </w:tcPr>
          <w:p w14:paraId="00689991">
            <w:pPr>
              <w:jc w:val="center"/>
              <w:rPr>
                <w:rFonts w:ascii="宋体" w:hAnsi="宋体"/>
                <w:b/>
                <w:sz w:val="24"/>
                <w:szCs w:val="24"/>
              </w:rPr>
            </w:pPr>
            <w:r>
              <w:rPr>
                <w:rFonts w:hint="eastAsia" w:ascii="宋体" w:hAnsi="宋体"/>
                <w:b/>
                <w:sz w:val="24"/>
                <w:szCs w:val="24"/>
              </w:rPr>
              <w:t>服务承诺</w:t>
            </w:r>
          </w:p>
        </w:tc>
        <w:tc>
          <w:tcPr>
            <w:tcW w:w="605" w:type="pct"/>
            <w:tcBorders>
              <w:top w:val="single" w:color="auto" w:sz="4" w:space="0"/>
              <w:left w:val="single" w:color="auto" w:sz="4" w:space="0"/>
              <w:bottom w:val="single" w:color="auto" w:sz="4" w:space="0"/>
              <w:right w:val="single" w:color="auto" w:sz="4" w:space="0"/>
            </w:tcBorders>
            <w:vAlign w:val="center"/>
          </w:tcPr>
          <w:p w14:paraId="47D808FF">
            <w:pPr>
              <w:jc w:val="center"/>
              <w:rPr>
                <w:rFonts w:ascii="宋体" w:hAnsi="宋体"/>
                <w:b/>
                <w:sz w:val="24"/>
                <w:szCs w:val="24"/>
              </w:rPr>
            </w:pPr>
            <w:r>
              <w:rPr>
                <w:rFonts w:hint="eastAsia" w:ascii="宋体" w:hAnsi="宋体"/>
                <w:b/>
                <w:sz w:val="24"/>
                <w:szCs w:val="24"/>
              </w:rPr>
              <w:t>投标保证金形式</w:t>
            </w:r>
          </w:p>
        </w:tc>
        <w:tc>
          <w:tcPr>
            <w:tcW w:w="375" w:type="pct"/>
            <w:tcBorders>
              <w:top w:val="single" w:color="auto" w:sz="4" w:space="0"/>
              <w:left w:val="single" w:color="auto" w:sz="4" w:space="0"/>
              <w:bottom w:val="single" w:color="auto" w:sz="4" w:space="0"/>
              <w:right w:val="single" w:color="auto" w:sz="4" w:space="0"/>
            </w:tcBorders>
            <w:vAlign w:val="center"/>
          </w:tcPr>
          <w:p w14:paraId="45DDF6C1">
            <w:pPr>
              <w:jc w:val="center"/>
              <w:rPr>
                <w:rFonts w:ascii="宋体" w:hAnsi="宋体"/>
                <w:b/>
                <w:sz w:val="24"/>
                <w:szCs w:val="24"/>
              </w:rPr>
            </w:pPr>
            <w:r>
              <w:rPr>
                <w:rFonts w:hint="eastAsia" w:ascii="宋体" w:hAnsi="宋体"/>
                <w:b/>
                <w:sz w:val="24"/>
                <w:szCs w:val="24"/>
              </w:rPr>
              <w:t>备注</w:t>
            </w:r>
          </w:p>
        </w:tc>
      </w:tr>
      <w:tr w14:paraId="1543D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trPr>
        <w:tc>
          <w:tcPr>
            <w:tcW w:w="747" w:type="pct"/>
            <w:tcBorders>
              <w:top w:val="single" w:color="auto" w:sz="4" w:space="0"/>
              <w:left w:val="single" w:color="auto" w:sz="4" w:space="0"/>
              <w:bottom w:val="single" w:color="auto" w:sz="4" w:space="0"/>
              <w:right w:val="single" w:color="auto" w:sz="4" w:space="0"/>
            </w:tcBorders>
            <w:vAlign w:val="center"/>
          </w:tcPr>
          <w:p w14:paraId="70691A58">
            <w:pPr>
              <w:jc w:val="center"/>
              <w:rPr>
                <w:rFonts w:ascii="宋体" w:hAnsi="宋体"/>
                <w:sz w:val="21"/>
              </w:rPr>
            </w:pPr>
          </w:p>
        </w:tc>
        <w:tc>
          <w:tcPr>
            <w:tcW w:w="746" w:type="pct"/>
            <w:tcBorders>
              <w:top w:val="single" w:color="auto" w:sz="4" w:space="0"/>
              <w:left w:val="single" w:color="auto" w:sz="4" w:space="0"/>
              <w:bottom w:val="single" w:color="auto" w:sz="4" w:space="0"/>
              <w:right w:val="single" w:color="auto" w:sz="4" w:space="0"/>
            </w:tcBorders>
            <w:vAlign w:val="center"/>
          </w:tcPr>
          <w:p w14:paraId="0B249C7B">
            <w:pPr>
              <w:jc w:val="center"/>
              <w:rPr>
                <w:rFonts w:ascii="宋体" w:hAnsi="宋体"/>
                <w:b/>
                <w:sz w:val="21"/>
              </w:rPr>
            </w:pPr>
            <w:r>
              <w:rPr>
                <w:rFonts w:hint="eastAsia" w:ascii="宋体" w:hAnsi="宋体"/>
                <w:b/>
                <w:sz w:val="24"/>
                <w:u w:val="single"/>
              </w:rPr>
              <w:t>95.99835</w:t>
            </w:r>
          </w:p>
        </w:tc>
        <w:tc>
          <w:tcPr>
            <w:tcW w:w="720" w:type="pct"/>
            <w:tcBorders>
              <w:top w:val="single" w:color="auto" w:sz="4" w:space="0"/>
              <w:left w:val="single" w:color="auto" w:sz="4" w:space="0"/>
              <w:bottom w:val="single" w:color="auto" w:sz="4" w:space="0"/>
              <w:right w:val="single" w:color="auto" w:sz="4" w:space="0"/>
            </w:tcBorders>
            <w:vAlign w:val="center"/>
          </w:tcPr>
          <w:p w14:paraId="1693CD90">
            <w:pPr>
              <w:jc w:val="center"/>
              <w:rPr>
                <w:rFonts w:ascii="宋体" w:hAnsi="宋体"/>
                <w:sz w:val="21"/>
              </w:rPr>
            </w:pPr>
          </w:p>
        </w:tc>
        <w:tc>
          <w:tcPr>
            <w:tcW w:w="1223" w:type="pct"/>
            <w:tcBorders>
              <w:top w:val="single" w:color="auto" w:sz="4" w:space="0"/>
              <w:left w:val="single" w:color="auto" w:sz="4" w:space="0"/>
              <w:bottom w:val="single" w:color="auto" w:sz="4" w:space="0"/>
              <w:right w:val="single" w:color="auto" w:sz="4" w:space="0"/>
            </w:tcBorders>
            <w:vAlign w:val="center"/>
          </w:tcPr>
          <w:p w14:paraId="3F41CD9A">
            <w:pPr>
              <w:jc w:val="center"/>
              <w:rPr>
                <w:rFonts w:ascii="宋体" w:hAnsi="宋体"/>
                <w:sz w:val="21"/>
              </w:rPr>
            </w:pPr>
          </w:p>
        </w:tc>
        <w:tc>
          <w:tcPr>
            <w:tcW w:w="584" w:type="pct"/>
            <w:tcBorders>
              <w:top w:val="single" w:color="auto" w:sz="4" w:space="0"/>
              <w:left w:val="single" w:color="auto" w:sz="4" w:space="0"/>
              <w:bottom w:val="single" w:color="auto" w:sz="4" w:space="0"/>
              <w:right w:val="single" w:color="auto" w:sz="4" w:space="0"/>
            </w:tcBorders>
            <w:vAlign w:val="center"/>
          </w:tcPr>
          <w:p w14:paraId="5A7960F0">
            <w:pPr>
              <w:jc w:val="center"/>
              <w:rPr>
                <w:rFonts w:ascii="宋体" w:hAnsi="宋体"/>
                <w:sz w:val="21"/>
              </w:rPr>
            </w:pPr>
          </w:p>
        </w:tc>
        <w:tc>
          <w:tcPr>
            <w:tcW w:w="605" w:type="pct"/>
            <w:tcBorders>
              <w:top w:val="single" w:color="auto" w:sz="4" w:space="0"/>
              <w:left w:val="single" w:color="auto" w:sz="4" w:space="0"/>
              <w:bottom w:val="single" w:color="auto" w:sz="4" w:space="0"/>
              <w:right w:val="single" w:color="auto" w:sz="4" w:space="0"/>
            </w:tcBorders>
            <w:vAlign w:val="center"/>
          </w:tcPr>
          <w:p w14:paraId="7D88C8C6">
            <w:pPr>
              <w:jc w:val="center"/>
              <w:rPr>
                <w:rFonts w:ascii="宋体" w:hAnsi="宋体"/>
                <w:sz w:val="21"/>
              </w:rPr>
            </w:pPr>
          </w:p>
        </w:tc>
        <w:tc>
          <w:tcPr>
            <w:tcW w:w="375" w:type="pct"/>
            <w:tcBorders>
              <w:top w:val="single" w:color="auto" w:sz="4" w:space="0"/>
              <w:left w:val="single" w:color="auto" w:sz="4" w:space="0"/>
              <w:bottom w:val="single" w:color="auto" w:sz="4" w:space="0"/>
              <w:right w:val="single" w:color="auto" w:sz="4" w:space="0"/>
            </w:tcBorders>
            <w:vAlign w:val="center"/>
          </w:tcPr>
          <w:p w14:paraId="038B6239">
            <w:pPr>
              <w:jc w:val="center"/>
              <w:rPr>
                <w:rFonts w:ascii="宋体" w:hAnsi="宋体"/>
                <w:sz w:val="21"/>
              </w:rPr>
            </w:pPr>
          </w:p>
        </w:tc>
      </w:tr>
      <w:tr w14:paraId="3A982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3" w:hRule="atLeast"/>
        </w:trPr>
        <w:tc>
          <w:tcPr>
            <w:tcW w:w="5000" w:type="pct"/>
            <w:gridSpan w:val="7"/>
            <w:tcBorders>
              <w:top w:val="single" w:color="auto" w:sz="4" w:space="0"/>
              <w:left w:val="single" w:color="auto" w:sz="4" w:space="0"/>
              <w:bottom w:val="single" w:color="auto" w:sz="4" w:space="0"/>
              <w:right w:val="single" w:color="auto" w:sz="4" w:space="0"/>
            </w:tcBorders>
          </w:tcPr>
          <w:p w14:paraId="666D58E2">
            <w:pPr>
              <w:rPr>
                <w:rFonts w:ascii="宋体" w:hAnsi="宋体"/>
                <w:b/>
                <w:color w:val="000000"/>
                <w:sz w:val="24"/>
                <w:szCs w:val="24"/>
              </w:rPr>
            </w:pPr>
          </w:p>
          <w:p w14:paraId="0BF7C047">
            <w:pPr>
              <w:widowControl/>
              <w:jc w:val="left"/>
              <w:rPr>
                <w:rFonts w:ascii="Calibri" w:hAnsi="Calibri" w:cs="Calibri"/>
                <w:sz w:val="21"/>
                <w:szCs w:val="22"/>
              </w:rPr>
            </w:pPr>
            <w:r>
              <w:rPr>
                <w:rFonts w:hint="eastAsia" w:ascii="宋体" w:hAnsi="宋体" w:cs="Calibri"/>
                <w:b/>
                <w:sz w:val="24"/>
                <w:szCs w:val="22"/>
              </w:rPr>
              <w:t>综合单价大写：</w:t>
            </w:r>
          </w:p>
        </w:tc>
      </w:tr>
    </w:tbl>
    <w:p w14:paraId="79F7CA42">
      <w:pPr>
        <w:spacing w:line="360" w:lineRule="auto"/>
        <w:ind w:firstLine="2" w:firstLineChars="1"/>
        <w:rPr>
          <w:rFonts w:ascii="宋体" w:hAnsi="宋体"/>
          <w:color w:val="000000"/>
          <w:sz w:val="21"/>
          <w:szCs w:val="21"/>
        </w:rPr>
      </w:pPr>
    </w:p>
    <w:p w14:paraId="32173F83">
      <w:pPr>
        <w:spacing w:line="360" w:lineRule="auto"/>
        <w:jc w:val="left"/>
        <w:rPr>
          <w:rFonts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40EC500B">
      <w:pPr>
        <w:spacing w:line="360" w:lineRule="auto"/>
        <w:jc w:val="left"/>
        <w:rPr>
          <w:rFonts w:ascii="宋体" w:hAnsi="宋体"/>
          <w:b/>
          <w:sz w:val="24"/>
        </w:rPr>
      </w:pPr>
      <w:r>
        <w:rPr>
          <w:rFonts w:hint="eastAsia" w:ascii="宋体" w:hAnsi="宋体"/>
          <w:b/>
          <w:sz w:val="24"/>
        </w:rPr>
        <w:t>法定代表人/负责人或其委托代理人：</w:t>
      </w:r>
      <w:r>
        <w:rPr>
          <w:rFonts w:ascii="宋体" w:hAnsi="宋体"/>
          <w:b/>
          <w:sz w:val="24"/>
          <w:u w:val="single"/>
        </w:rPr>
        <w:t xml:space="preserve">               </w:t>
      </w:r>
      <w:r>
        <w:rPr>
          <w:rFonts w:hint="eastAsia" w:ascii="宋体" w:hAnsi="宋体"/>
          <w:b/>
          <w:sz w:val="24"/>
        </w:rPr>
        <w:t>（电子签名）</w:t>
      </w:r>
    </w:p>
    <w:p w14:paraId="44C78C77">
      <w:pPr>
        <w:spacing w:line="360" w:lineRule="auto"/>
        <w:jc w:val="left"/>
        <w:rPr>
          <w:rFonts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36647C3C">
      <w:pPr>
        <w:spacing w:line="360" w:lineRule="auto"/>
        <w:ind w:firstLine="2" w:firstLineChars="1"/>
        <w:rPr>
          <w:rFonts w:ascii="宋体" w:hAnsi="宋体"/>
          <w:b/>
          <w:color w:val="000000"/>
          <w:sz w:val="24"/>
          <w:szCs w:val="24"/>
        </w:rPr>
      </w:pPr>
    </w:p>
    <w:p w14:paraId="47FEDCD1">
      <w:pPr>
        <w:spacing w:line="360" w:lineRule="auto"/>
        <w:rPr>
          <w:rFonts w:ascii="宋体" w:hAnsi="宋体"/>
          <w:color w:val="000000"/>
          <w:sz w:val="24"/>
          <w:szCs w:val="24"/>
        </w:rPr>
      </w:pPr>
    </w:p>
    <w:p w14:paraId="176A21A8">
      <w:pPr>
        <w:spacing w:line="360" w:lineRule="auto"/>
        <w:rPr>
          <w:rFonts w:ascii="宋体" w:hAnsi="宋体"/>
          <w:b/>
          <w:sz w:val="24"/>
        </w:rPr>
      </w:pPr>
      <w:r>
        <w:rPr>
          <w:rFonts w:hint="eastAsia" w:ascii="宋体" w:hAnsi="宋体"/>
          <w:b/>
          <w:sz w:val="24"/>
        </w:rPr>
        <w:t>注：1.</w:t>
      </w:r>
      <w:r>
        <w:rPr>
          <w:rFonts w:hint="eastAsia"/>
        </w:rPr>
        <w:t>★</w:t>
      </w:r>
      <w:r>
        <w:rPr>
          <w:rFonts w:hint="eastAsia" w:ascii="宋体" w:hAnsi="宋体"/>
          <w:b/>
          <w:sz w:val="24"/>
        </w:rPr>
        <w:t>暂估投标总报价为预算金额，属于不可更改价格，否则按不实质性响应招标文件处理；</w:t>
      </w:r>
    </w:p>
    <w:p w14:paraId="5D99FACD">
      <w:pPr>
        <w:spacing w:line="360" w:lineRule="auto"/>
        <w:ind w:firstLine="482" w:firstLineChars="200"/>
        <w:rPr>
          <w:rFonts w:ascii="宋体" w:hAnsi="宋体"/>
          <w:b/>
          <w:color w:val="000000"/>
          <w:sz w:val="24"/>
        </w:rPr>
      </w:pPr>
      <w:r>
        <w:rPr>
          <w:rFonts w:hint="eastAsia" w:ascii="宋体" w:hAnsi="宋体"/>
          <w:b/>
          <w:color w:val="000000"/>
          <w:sz w:val="24"/>
        </w:rPr>
        <w:t>2.投标报价为综合单价，包括但不仅限于</w:t>
      </w:r>
      <w:r>
        <w:rPr>
          <w:rFonts w:hint="eastAsia" w:ascii="宋体" w:hAnsi="宋体"/>
          <w:color w:val="000000"/>
          <w:sz w:val="24"/>
        </w:rPr>
        <w:t>物流运输费用、临时仓储费用、相关配套服务费用（供应商赴采购方指定地点上门提货、装箱分拣、外包装覆膜、送货上门、入库按要求摆放、运输材料、货物保险、临时仓储等全部相关服务内容）、人工费、服务费等完成本项目所需的各种费用及必要的保险费用、市场价格的变化、利润及税金等所有费用的总和；</w:t>
      </w:r>
    </w:p>
    <w:p w14:paraId="77378354">
      <w:pPr>
        <w:spacing w:line="360" w:lineRule="auto"/>
        <w:ind w:firstLine="482" w:firstLineChars="200"/>
        <w:rPr>
          <w:rFonts w:ascii="宋体" w:hAnsi="宋体"/>
          <w:b/>
          <w:color w:val="000000"/>
          <w:sz w:val="24"/>
        </w:rPr>
      </w:pPr>
      <w:r>
        <w:rPr>
          <w:rFonts w:hint="eastAsia" w:ascii="宋体" w:hAnsi="宋体"/>
          <w:b/>
          <w:color w:val="000000"/>
          <w:sz w:val="24"/>
        </w:rPr>
        <w:t>3.最终合同结算价</w:t>
      </w:r>
      <w:r>
        <w:rPr>
          <w:rFonts w:hint="eastAsia" w:ascii="宋体" w:hAnsi="宋体"/>
          <w:color w:val="000000"/>
          <w:sz w:val="24"/>
        </w:rPr>
        <w:t>以实际运输量乘以综合单价进行结算，结算金额</w:t>
      </w:r>
      <w:r>
        <w:rPr>
          <w:rFonts w:hint="eastAsia" w:ascii="宋体" w:hAnsi="宋体"/>
          <w:b/>
          <w:color w:val="000000"/>
          <w:sz w:val="24"/>
        </w:rPr>
        <w:t>不超过合同暂估总价（预算金额）</w:t>
      </w:r>
      <w:r>
        <w:rPr>
          <w:rFonts w:hint="eastAsia" w:ascii="宋体" w:hAnsi="宋体"/>
          <w:color w:val="000000"/>
          <w:sz w:val="24"/>
        </w:rPr>
        <w:t>；</w:t>
      </w:r>
    </w:p>
    <w:p w14:paraId="27B62D32">
      <w:pPr>
        <w:spacing w:line="360" w:lineRule="auto"/>
        <w:ind w:firstLine="482" w:firstLineChars="200"/>
        <w:rPr>
          <w:rFonts w:ascii="宋体" w:hAnsi="宋体"/>
          <w:b/>
          <w:sz w:val="24"/>
        </w:rPr>
      </w:pPr>
      <w:r>
        <w:rPr>
          <w:rFonts w:hint="eastAsia" w:ascii="宋体" w:hAnsi="宋体"/>
          <w:b/>
          <w:sz w:val="24"/>
        </w:rPr>
        <w:t>★4.本项目设置单价最高限价：24.5元/件（不限面值、游戏品种、重量），投标人综合单价报价不得超过规定的最高限价，否则按不实质性响应招标文件处理。</w:t>
      </w:r>
    </w:p>
    <w:p w14:paraId="12F09E6D">
      <w:pPr>
        <w:spacing w:line="360" w:lineRule="auto"/>
        <w:rPr>
          <w:rFonts w:ascii="宋体" w:hAnsi="宋体"/>
          <w:b/>
          <w:color w:val="FF0000"/>
          <w:sz w:val="21"/>
        </w:rPr>
      </w:pPr>
    </w:p>
    <w:p w14:paraId="33FA651C">
      <w:pPr>
        <w:spacing w:line="360" w:lineRule="auto"/>
        <w:rPr>
          <w:rFonts w:ascii="宋体" w:hAnsi="宋体"/>
          <w:color w:val="000000"/>
          <w:sz w:val="24"/>
          <w:szCs w:val="24"/>
          <w:u w:val="single"/>
        </w:rPr>
      </w:pPr>
    </w:p>
    <w:p w14:paraId="2805AEC7">
      <w:pPr>
        <w:widowControl/>
        <w:spacing w:line="360" w:lineRule="auto"/>
        <w:jc w:val="left"/>
        <w:rPr>
          <w:rFonts w:ascii="Calibri" w:hAnsi="Calibri"/>
          <w:sz w:val="21"/>
          <w:szCs w:val="22"/>
        </w:rPr>
        <w:sectPr>
          <w:pgSz w:w="11906" w:h="16838"/>
          <w:pgMar w:top="1134" w:right="1134" w:bottom="1134" w:left="1134" w:header="720" w:footer="460" w:gutter="0"/>
          <w:cols w:space="720" w:num="1"/>
          <w:docGrid w:type="lines" w:linePitch="331" w:charSpace="0"/>
        </w:sectPr>
      </w:pPr>
    </w:p>
    <w:p w14:paraId="7D0EC655">
      <w:pPr>
        <w:keepNext/>
        <w:adjustRightInd w:val="0"/>
        <w:spacing w:before="120" w:line="360" w:lineRule="auto"/>
        <w:ind w:left="425"/>
        <w:jc w:val="center"/>
        <w:textAlignment w:val="baseline"/>
        <w:outlineLvl w:val="1"/>
        <w:rPr>
          <w:rFonts w:ascii="宋体" w:hAnsi="宋体"/>
          <w:b/>
          <w:color w:val="000000"/>
          <w:kern w:val="0"/>
          <w:sz w:val="32"/>
          <w:szCs w:val="32"/>
        </w:rPr>
      </w:pPr>
      <w:bookmarkStart w:id="65" w:name="_Toc63070516"/>
      <w:bookmarkStart w:id="66" w:name="_Toc152246154"/>
      <w:r>
        <w:rPr>
          <w:rFonts w:hint="eastAsia" w:ascii="宋体" w:hAnsi="宋体"/>
          <w:b/>
          <w:color w:val="000000"/>
          <w:kern w:val="0"/>
          <w:sz w:val="32"/>
          <w:szCs w:val="32"/>
        </w:rPr>
        <w:t>一、资格证明文件</w:t>
      </w:r>
      <w:bookmarkEnd w:id="65"/>
      <w:bookmarkEnd w:id="66"/>
    </w:p>
    <w:p w14:paraId="3ADB9401">
      <w:pPr>
        <w:rPr>
          <w:rFonts w:ascii="宋体" w:hAnsi="宋体"/>
          <w:color w:val="000000"/>
          <w:sz w:val="24"/>
          <w:szCs w:val="24"/>
        </w:rPr>
      </w:pPr>
    </w:p>
    <w:p w14:paraId="14C9BE36">
      <w:pPr>
        <w:numPr>
          <w:ilvl w:val="0"/>
          <w:numId w:val="4"/>
        </w:numPr>
        <w:spacing w:line="360" w:lineRule="auto"/>
        <w:rPr>
          <w:rFonts w:ascii="宋体" w:hAnsi="宋体"/>
          <w:b/>
          <w:color w:val="000000"/>
          <w:sz w:val="24"/>
          <w:szCs w:val="24"/>
        </w:rPr>
      </w:pPr>
      <w:r>
        <w:rPr>
          <w:rFonts w:hint="eastAsia" w:ascii="宋体" w:hAnsi="宋体"/>
          <w:b/>
          <w:color w:val="000000"/>
          <w:sz w:val="24"/>
          <w:szCs w:val="24"/>
        </w:rPr>
        <w:t>投标人应按所附格式要求填写并提交。</w:t>
      </w:r>
    </w:p>
    <w:p w14:paraId="1A92DAE9">
      <w:pPr>
        <w:numPr>
          <w:ilvl w:val="0"/>
          <w:numId w:val="4"/>
        </w:numPr>
        <w:spacing w:line="360" w:lineRule="auto"/>
        <w:rPr>
          <w:rFonts w:ascii="宋体" w:hAnsi="宋体"/>
          <w:b/>
          <w:color w:val="000000"/>
          <w:sz w:val="24"/>
          <w:szCs w:val="24"/>
        </w:rPr>
      </w:pPr>
      <w:r>
        <w:rPr>
          <w:rFonts w:hint="eastAsia" w:ascii="宋体" w:hAnsi="宋体"/>
          <w:b/>
          <w:color w:val="000000"/>
          <w:sz w:val="24"/>
          <w:szCs w:val="24"/>
        </w:rPr>
        <w:t>资格声明中的投标人应保证全部声明和填写的内容是真实的和正确的。</w:t>
      </w:r>
    </w:p>
    <w:p w14:paraId="0EE4E674">
      <w:pPr>
        <w:numPr>
          <w:ilvl w:val="0"/>
          <w:numId w:val="4"/>
        </w:numPr>
        <w:spacing w:line="360" w:lineRule="auto"/>
        <w:rPr>
          <w:rFonts w:ascii="宋体" w:hAnsi="宋体"/>
          <w:b/>
          <w:color w:val="000000"/>
          <w:sz w:val="24"/>
          <w:szCs w:val="24"/>
        </w:rPr>
      </w:pPr>
      <w:r>
        <w:rPr>
          <w:rFonts w:hint="eastAsia" w:ascii="宋体" w:hAnsi="宋体"/>
          <w:b/>
          <w:color w:val="000000"/>
          <w:sz w:val="24"/>
          <w:szCs w:val="24"/>
        </w:rPr>
        <w:t>投标人提交的材料将被保密，但不退还。</w:t>
      </w:r>
    </w:p>
    <w:p w14:paraId="7E69A064">
      <w:pPr>
        <w:spacing w:line="600" w:lineRule="exact"/>
        <w:rPr>
          <w:rFonts w:ascii="宋体" w:hAnsi="宋体"/>
          <w:color w:val="000000"/>
          <w:sz w:val="24"/>
          <w:szCs w:val="24"/>
        </w:rPr>
      </w:pPr>
    </w:p>
    <w:p w14:paraId="353B1BA2">
      <w:pPr>
        <w:rPr>
          <w:color w:val="000000"/>
          <w:sz w:val="21"/>
          <w:szCs w:val="24"/>
        </w:rPr>
      </w:pPr>
    </w:p>
    <w:p w14:paraId="379FE0B5">
      <w:pPr>
        <w:rPr>
          <w:color w:val="000000"/>
          <w:sz w:val="21"/>
          <w:szCs w:val="24"/>
        </w:rPr>
      </w:pPr>
    </w:p>
    <w:p w14:paraId="0B7C44D7">
      <w:pPr>
        <w:rPr>
          <w:color w:val="000000"/>
          <w:sz w:val="21"/>
          <w:szCs w:val="24"/>
        </w:rPr>
      </w:pPr>
    </w:p>
    <w:p w14:paraId="3969B1B7">
      <w:pPr>
        <w:rPr>
          <w:color w:val="000000"/>
          <w:sz w:val="21"/>
          <w:szCs w:val="24"/>
        </w:rPr>
      </w:pPr>
    </w:p>
    <w:p w14:paraId="26D38981">
      <w:pPr>
        <w:rPr>
          <w:color w:val="000000"/>
          <w:sz w:val="21"/>
          <w:szCs w:val="24"/>
        </w:rPr>
      </w:pPr>
    </w:p>
    <w:p w14:paraId="1C4EF368">
      <w:pPr>
        <w:rPr>
          <w:color w:val="000000"/>
          <w:sz w:val="21"/>
          <w:szCs w:val="24"/>
        </w:rPr>
      </w:pPr>
    </w:p>
    <w:p w14:paraId="1BDC9295">
      <w:pPr>
        <w:rPr>
          <w:color w:val="000000"/>
          <w:sz w:val="21"/>
          <w:szCs w:val="24"/>
        </w:rPr>
      </w:pPr>
    </w:p>
    <w:p w14:paraId="77F021A3">
      <w:pPr>
        <w:rPr>
          <w:color w:val="000000"/>
          <w:sz w:val="21"/>
          <w:szCs w:val="24"/>
        </w:rPr>
      </w:pPr>
    </w:p>
    <w:p w14:paraId="52475D4E">
      <w:pPr>
        <w:rPr>
          <w:color w:val="000000"/>
          <w:sz w:val="21"/>
          <w:szCs w:val="24"/>
        </w:rPr>
      </w:pPr>
    </w:p>
    <w:p w14:paraId="16D3532E">
      <w:pPr>
        <w:rPr>
          <w:color w:val="000000"/>
          <w:sz w:val="21"/>
          <w:szCs w:val="24"/>
        </w:rPr>
      </w:pPr>
    </w:p>
    <w:p w14:paraId="442AB705">
      <w:pPr>
        <w:rPr>
          <w:color w:val="000000"/>
          <w:sz w:val="21"/>
          <w:szCs w:val="24"/>
        </w:rPr>
      </w:pPr>
    </w:p>
    <w:p w14:paraId="35BC1435">
      <w:pPr>
        <w:rPr>
          <w:color w:val="000000"/>
          <w:sz w:val="21"/>
          <w:szCs w:val="24"/>
        </w:rPr>
      </w:pPr>
    </w:p>
    <w:p w14:paraId="0B60037C">
      <w:pPr>
        <w:rPr>
          <w:color w:val="000000"/>
          <w:sz w:val="21"/>
          <w:szCs w:val="24"/>
        </w:rPr>
      </w:pPr>
    </w:p>
    <w:p w14:paraId="7D72516F">
      <w:pPr>
        <w:rPr>
          <w:color w:val="000000"/>
          <w:sz w:val="21"/>
          <w:szCs w:val="24"/>
        </w:rPr>
      </w:pPr>
    </w:p>
    <w:p w14:paraId="25AB01AB">
      <w:pPr>
        <w:rPr>
          <w:color w:val="000000"/>
          <w:sz w:val="21"/>
          <w:szCs w:val="24"/>
        </w:rPr>
      </w:pPr>
    </w:p>
    <w:p w14:paraId="2C6BB7CB">
      <w:pPr>
        <w:rPr>
          <w:color w:val="000000"/>
          <w:sz w:val="21"/>
          <w:szCs w:val="24"/>
        </w:rPr>
      </w:pPr>
    </w:p>
    <w:p w14:paraId="3B76A2D7">
      <w:pPr>
        <w:rPr>
          <w:color w:val="000000"/>
          <w:sz w:val="21"/>
          <w:szCs w:val="24"/>
        </w:rPr>
      </w:pPr>
    </w:p>
    <w:p w14:paraId="5151DF81">
      <w:pPr>
        <w:rPr>
          <w:color w:val="000000"/>
          <w:sz w:val="21"/>
          <w:szCs w:val="24"/>
        </w:rPr>
      </w:pPr>
    </w:p>
    <w:p w14:paraId="4CF84A0E">
      <w:pPr>
        <w:rPr>
          <w:color w:val="000000"/>
          <w:sz w:val="21"/>
          <w:szCs w:val="24"/>
        </w:rPr>
      </w:pPr>
    </w:p>
    <w:p w14:paraId="6C3DCE07">
      <w:pPr>
        <w:tabs>
          <w:tab w:val="left" w:pos="864"/>
        </w:tabs>
        <w:rPr>
          <w:color w:val="000000"/>
          <w:sz w:val="21"/>
          <w:szCs w:val="24"/>
        </w:rPr>
      </w:pPr>
    </w:p>
    <w:p w14:paraId="1A15E5AC">
      <w:pPr>
        <w:rPr>
          <w:color w:val="000000"/>
          <w:sz w:val="21"/>
          <w:szCs w:val="24"/>
        </w:rPr>
      </w:pPr>
    </w:p>
    <w:p w14:paraId="5518A62A">
      <w:pPr>
        <w:rPr>
          <w:color w:val="000000"/>
          <w:sz w:val="21"/>
          <w:szCs w:val="24"/>
        </w:rPr>
      </w:pPr>
    </w:p>
    <w:p w14:paraId="2DAB7951">
      <w:pPr>
        <w:rPr>
          <w:color w:val="000000"/>
          <w:sz w:val="21"/>
          <w:szCs w:val="24"/>
        </w:rPr>
      </w:pPr>
    </w:p>
    <w:p w14:paraId="2659ED06">
      <w:pPr>
        <w:rPr>
          <w:color w:val="000000"/>
          <w:sz w:val="21"/>
          <w:szCs w:val="24"/>
        </w:rPr>
      </w:pPr>
    </w:p>
    <w:p w14:paraId="62E6B56D">
      <w:pPr>
        <w:rPr>
          <w:color w:val="000000"/>
          <w:sz w:val="21"/>
          <w:szCs w:val="24"/>
        </w:rPr>
      </w:pPr>
    </w:p>
    <w:p w14:paraId="47CB03EB">
      <w:pPr>
        <w:spacing w:line="600" w:lineRule="exact"/>
        <w:rPr>
          <w:rFonts w:ascii="宋体"/>
          <w:color w:val="000000"/>
          <w:sz w:val="21"/>
        </w:rPr>
      </w:pPr>
      <w:r>
        <w:rPr>
          <w:rFonts w:hint="eastAsia" w:ascii="宋体"/>
          <w:color w:val="000000"/>
          <w:sz w:val="21"/>
        </w:rPr>
        <w:br w:type="page"/>
      </w:r>
    </w:p>
    <w:p w14:paraId="526228BC">
      <w:pPr>
        <w:tabs>
          <w:tab w:val="left" w:pos="900"/>
          <w:tab w:val="left" w:pos="1588"/>
        </w:tabs>
        <w:adjustRightInd w:val="0"/>
        <w:spacing w:before="120" w:line="360" w:lineRule="auto"/>
        <w:jc w:val="center"/>
        <w:textAlignment w:val="baseline"/>
        <w:outlineLvl w:val="2"/>
        <w:rPr>
          <w:rFonts w:ascii="宋体" w:hAnsi="宋体"/>
          <w:kern w:val="0"/>
          <w:sz w:val="32"/>
          <w:szCs w:val="32"/>
        </w:rPr>
      </w:pPr>
      <w:r>
        <w:rPr>
          <w:rFonts w:hint="eastAsia" w:ascii="宋体" w:hAnsi="宋体"/>
          <w:b/>
          <w:kern w:val="0"/>
          <w:sz w:val="32"/>
          <w:szCs w:val="32"/>
        </w:rPr>
        <w:t>（一）基本资质部分</w:t>
      </w:r>
    </w:p>
    <w:p w14:paraId="1AC19063">
      <w:pPr>
        <w:spacing w:line="600" w:lineRule="exact"/>
        <w:rPr>
          <w:rFonts w:ascii="宋体"/>
          <w:color w:val="000000"/>
          <w:sz w:val="21"/>
        </w:rPr>
      </w:pPr>
    </w:p>
    <w:p w14:paraId="0ECCE283">
      <w:pPr>
        <w:spacing w:line="600" w:lineRule="exact"/>
        <w:rPr>
          <w:rFonts w:ascii="宋体" w:hAnsi="宋体"/>
          <w:b/>
          <w:color w:val="000000"/>
          <w:szCs w:val="28"/>
        </w:rPr>
      </w:pPr>
      <w:r>
        <w:rPr>
          <w:rFonts w:hint="eastAsia" w:ascii="宋体" w:hAnsi="宋体"/>
          <w:b/>
          <w:color w:val="000000"/>
          <w:szCs w:val="28"/>
        </w:rPr>
        <w:t>格式1：</w:t>
      </w:r>
    </w:p>
    <w:p w14:paraId="651A6612">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r>
        <w:rPr>
          <w:rFonts w:hint="eastAsia" w:ascii="宋体" w:hAnsi="宋体"/>
          <w:b/>
          <w:color w:val="000000"/>
          <w:kern w:val="0"/>
          <w:sz w:val="32"/>
          <w:szCs w:val="32"/>
          <w:lang w:val="zh-CN"/>
        </w:rPr>
        <w:t>营业执照（扫描件）</w:t>
      </w:r>
    </w:p>
    <w:p w14:paraId="40CAC05E">
      <w:pPr>
        <w:spacing w:line="600" w:lineRule="exact"/>
        <w:rPr>
          <w:rFonts w:ascii="宋体" w:hAnsi="宋体"/>
          <w:b/>
          <w:color w:val="000000"/>
          <w:szCs w:val="28"/>
        </w:rPr>
      </w:pPr>
      <w:r>
        <w:rPr>
          <w:rFonts w:hint="eastAsia" w:ascii="宋体" w:hAnsi="宋体"/>
          <w:color w:val="000000"/>
          <w:sz w:val="24"/>
        </w:rPr>
        <w:br w:type="page"/>
      </w:r>
      <w:r>
        <w:rPr>
          <w:rFonts w:hint="eastAsia" w:ascii="宋体" w:hAnsi="宋体"/>
          <w:b/>
          <w:color w:val="000000"/>
          <w:szCs w:val="28"/>
        </w:rPr>
        <w:t>格式</w:t>
      </w:r>
      <w:r>
        <w:rPr>
          <w:rFonts w:ascii="宋体" w:hAnsi="宋体"/>
          <w:b/>
          <w:color w:val="000000"/>
          <w:szCs w:val="28"/>
        </w:rPr>
        <w:t>2</w:t>
      </w:r>
      <w:r>
        <w:rPr>
          <w:rFonts w:hint="eastAsia" w:ascii="宋体" w:hAnsi="宋体"/>
          <w:b/>
          <w:color w:val="000000"/>
          <w:szCs w:val="28"/>
        </w:rPr>
        <w:t>：</w:t>
      </w:r>
    </w:p>
    <w:p w14:paraId="3D42AB58">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r>
        <w:rPr>
          <w:rFonts w:hint="eastAsia" w:ascii="宋体" w:hAnsi="宋体"/>
          <w:b/>
          <w:color w:val="000000"/>
          <w:kern w:val="0"/>
          <w:sz w:val="32"/>
          <w:szCs w:val="32"/>
          <w:lang w:val="zh-CN"/>
        </w:rPr>
        <w:t>投标人财务状况证明材料</w:t>
      </w:r>
    </w:p>
    <w:p w14:paraId="41B4169A">
      <w:pPr>
        <w:spacing w:line="600" w:lineRule="exact"/>
        <w:jc w:val="left"/>
        <w:rPr>
          <w:rFonts w:ascii="宋体" w:hAnsi="宋体"/>
          <w:b/>
          <w:color w:val="000000"/>
          <w:szCs w:val="28"/>
        </w:rPr>
      </w:pPr>
      <w:r>
        <w:rPr>
          <w:rFonts w:hint="eastAsia" w:ascii="宋体" w:hAnsi="宋体"/>
          <w:bCs/>
          <w:color w:val="000000"/>
          <w:sz w:val="24"/>
          <w:szCs w:val="24"/>
        </w:rPr>
        <w:br w:type="page"/>
      </w:r>
      <w:r>
        <w:rPr>
          <w:rFonts w:hint="eastAsia" w:ascii="宋体" w:hAnsi="宋体"/>
          <w:b/>
          <w:color w:val="000000"/>
          <w:szCs w:val="28"/>
        </w:rPr>
        <w:t>格式</w:t>
      </w:r>
      <w:r>
        <w:rPr>
          <w:rFonts w:ascii="宋体" w:hAnsi="宋体"/>
          <w:b/>
          <w:color w:val="000000"/>
          <w:szCs w:val="28"/>
        </w:rPr>
        <w:t>3</w:t>
      </w:r>
      <w:r>
        <w:rPr>
          <w:rFonts w:hint="eastAsia" w:ascii="宋体" w:hAnsi="宋体"/>
          <w:b/>
          <w:color w:val="000000"/>
          <w:szCs w:val="28"/>
        </w:rPr>
        <w:t>：</w:t>
      </w:r>
    </w:p>
    <w:p w14:paraId="34D3DE4C">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r>
        <w:rPr>
          <w:rFonts w:hint="eastAsia" w:ascii="宋体" w:hAnsi="宋体"/>
          <w:b/>
          <w:color w:val="000000"/>
          <w:kern w:val="0"/>
          <w:sz w:val="32"/>
          <w:szCs w:val="32"/>
          <w:lang w:val="zh-CN"/>
        </w:rPr>
        <w:t>投标人依法缴纳税收的证明材料</w:t>
      </w:r>
    </w:p>
    <w:p w14:paraId="3F03E6F8">
      <w:pPr>
        <w:spacing w:line="600" w:lineRule="exact"/>
        <w:jc w:val="left"/>
        <w:rPr>
          <w:rFonts w:ascii="宋体" w:hAnsi="宋体"/>
          <w:b/>
          <w:color w:val="000000"/>
          <w:szCs w:val="28"/>
        </w:rPr>
      </w:pPr>
      <w:r>
        <w:rPr>
          <w:rFonts w:hint="eastAsia" w:ascii="宋体" w:hAnsi="宋体"/>
          <w:color w:val="000000"/>
          <w:sz w:val="24"/>
        </w:rPr>
        <w:br w:type="page"/>
      </w:r>
      <w:r>
        <w:rPr>
          <w:rFonts w:hint="eastAsia" w:ascii="宋体" w:hAnsi="宋体"/>
          <w:b/>
          <w:color w:val="000000"/>
          <w:szCs w:val="28"/>
        </w:rPr>
        <w:t>格式</w:t>
      </w:r>
      <w:r>
        <w:rPr>
          <w:rFonts w:ascii="宋体" w:hAnsi="宋体"/>
          <w:b/>
          <w:color w:val="000000"/>
          <w:szCs w:val="28"/>
        </w:rPr>
        <w:t>4</w:t>
      </w:r>
      <w:r>
        <w:rPr>
          <w:rFonts w:hint="eastAsia" w:ascii="宋体" w:hAnsi="宋体"/>
          <w:b/>
          <w:color w:val="000000"/>
          <w:szCs w:val="28"/>
        </w:rPr>
        <w:t>：</w:t>
      </w:r>
    </w:p>
    <w:p w14:paraId="13C09E60">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r>
        <w:rPr>
          <w:rFonts w:hint="eastAsia" w:ascii="宋体" w:hAnsi="宋体"/>
          <w:b/>
          <w:color w:val="000000"/>
          <w:kern w:val="0"/>
          <w:sz w:val="32"/>
          <w:szCs w:val="32"/>
          <w:lang w:val="zh-CN"/>
        </w:rPr>
        <w:t>投标人依法缴纳社会保障资金的证明材料</w:t>
      </w:r>
    </w:p>
    <w:p w14:paraId="5F887A07">
      <w:pPr>
        <w:spacing w:line="600" w:lineRule="exact"/>
        <w:rPr>
          <w:rFonts w:ascii="宋体" w:hAnsi="宋体"/>
          <w:b/>
          <w:color w:val="000000"/>
          <w:szCs w:val="28"/>
        </w:rPr>
      </w:pPr>
      <w:r>
        <w:rPr>
          <w:rFonts w:hint="eastAsia" w:ascii="宋体" w:hAnsi="宋体"/>
          <w:color w:val="000000"/>
          <w:sz w:val="24"/>
        </w:rPr>
        <w:br w:type="page"/>
      </w:r>
      <w:r>
        <w:rPr>
          <w:rFonts w:hint="eastAsia" w:ascii="宋体" w:hAnsi="宋体"/>
          <w:b/>
          <w:color w:val="000000"/>
          <w:szCs w:val="28"/>
        </w:rPr>
        <w:t>格式</w:t>
      </w:r>
      <w:r>
        <w:rPr>
          <w:rFonts w:ascii="宋体" w:hAnsi="宋体"/>
          <w:b/>
          <w:color w:val="000000"/>
          <w:szCs w:val="28"/>
        </w:rPr>
        <w:t>5</w:t>
      </w:r>
      <w:r>
        <w:rPr>
          <w:rFonts w:hint="eastAsia" w:ascii="宋体" w:hAnsi="宋体"/>
          <w:b/>
          <w:color w:val="000000"/>
          <w:szCs w:val="28"/>
        </w:rPr>
        <w:t>：</w:t>
      </w:r>
    </w:p>
    <w:p w14:paraId="11BE3E61">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r>
        <w:rPr>
          <w:rFonts w:hint="eastAsia" w:ascii="宋体" w:hAnsi="宋体"/>
          <w:b/>
          <w:color w:val="000000"/>
          <w:kern w:val="0"/>
          <w:sz w:val="32"/>
          <w:szCs w:val="32"/>
          <w:lang w:val="zh-CN"/>
        </w:rPr>
        <w:t>投标人具备履行合同所必需的设备和专业技术能力的证明材料或相关承诺</w:t>
      </w:r>
    </w:p>
    <w:p w14:paraId="4A6BCEED">
      <w:pPr>
        <w:pStyle w:val="9"/>
        <w:ind w:firstLine="0" w:firstLineChars="0"/>
        <w:rPr>
          <w:lang w:val="zh-CN"/>
        </w:rPr>
      </w:pPr>
    </w:p>
    <w:p w14:paraId="24EE4313">
      <w:pPr>
        <w:widowControl/>
        <w:jc w:val="left"/>
        <w:rPr>
          <w:rFonts w:ascii="宋体" w:hAnsi="宋体"/>
          <w:b/>
          <w:color w:val="000000"/>
          <w:szCs w:val="28"/>
        </w:rPr>
      </w:pPr>
      <w:r>
        <w:rPr>
          <w:rFonts w:ascii="宋体" w:hAnsi="宋体"/>
          <w:b/>
          <w:color w:val="000000"/>
          <w:szCs w:val="28"/>
        </w:rPr>
        <w:br w:type="page"/>
      </w:r>
    </w:p>
    <w:p w14:paraId="638FF5BC">
      <w:pPr>
        <w:spacing w:line="600" w:lineRule="exact"/>
        <w:rPr>
          <w:rFonts w:ascii="宋体" w:hAnsi="宋体"/>
          <w:b/>
          <w:color w:val="000000"/>
          <w:szCs w:val="28"/>
        </w:rPr>
      </w:pPr>
      <w:r>
        <w:rPr>
          <w:rFonts w:hint="eastAsia" w:ascii="宋体" w:hAnsi="宋体"/>
          <w:b/>
          <w:color w:val="000000"/>
          <w:szCs w:val="28"/>
        </w:rPr>
        <w:t>格式</w:t>
      </w:r>
      <w:r>
        <w:rPr>
          <w:rFonts w:ascii="宋体" w:hAnsi="宋体"/>
          <w:b/>
          <w:color w:val="000000"/>
          <w:szCs w:val="28"/>
        </w:rPr>
        <w:t>6</w:t>
      </w:r>
      <w:r>
        <w:rPr>
          <w:rFonts w:hint="eastAsia" w:ascii="宋体" w:hAnsi="宋体"/>
          <w:b/>
          <w:color w:val="000000"/>
          <w:szCs w:val="28"/>
        </w:rPr>
        <w:t>：</w:t>
      </w:r>
    </w:p>
    <w:p w14:paraId="24D3123A">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bookmarkStart w:id="67" w:name="_Toc531895128"/>
      <w:r>
        <w:rPr>
          <w:rFonts w:hint="eastAsia" w:ascii="宋体" w:hAnsi="宋体"/>
          <w:b/>
          <w:color w:val="000000"/>
          <w:kern w:val="0"/>
          <w:sz w:val="32"/>
          <w:szCs w:val="32"/>
          <w:lang w:val="zh-CN"/>
        </w:rPr>
        <w:t>参加政府采购活动前3年内在经营活动中没有重大违法记录的书面声明</w:t>
      </w:r>
      <w:bookmarkEnd w:id="67"/>
    </w:p>
    <w:p w14:paraId="506F083F">
      <w:pPr>
        <w:ind w:firstLine="840" w:firstLineChars="350"/>
        <w:jc w:val="center"/>
        <w:rPr>
          <w:rFonts w:ascii="宋体" w:hAnsi="宋体"/>
          <w:color w:val="000000"/>
          <w:sz w:val="24"/>
          <w:szCs w:val="24"/>
        </w:rPr>
      </w:pPr>
      <w:r>
        <w:rPr>
          <w:rFonts w:hint="eastAsia" w:ascii="宋体" w:hAnsi="宋体"/>
          <w:color w:val="000000"/>
          <w:sz w:val="24"/>
          <w:szCs w:val="24"/>
        </w:rPr>
        <w:t>（根据重大违法记录的定义自行承诺及说明，内容自拟）</w:t>
      </w:r>
    </w:p>
    <w:p w14:paraId="4E9C362C">
      <w:pPr>
        <w:spacing w:line="360" w:lineRule="auto"/>
        <w:jc w:val="left"/>
        <w:rPr>
          <w:rFonts w:ascii="宋体" w:hAnsi="宋体"/>
          <w:color w:val="000000"/>
          <w:sz w:val="24"/>
          <w:szCs w:val="24"/>
        </w:rPr>
      </w:pPr>
    </w:p>
    <w:p w14:paraId="59D7154B">
      <w:pPr>
        <w:spacing w:line="360" w:lineRule="auto"/>
        <w:jc w:val="left"/>
        <w:rPr>
          <w:rFonts w:ascii="宋体" w:hAnsi="宋体"/>
          <w:color w:val="000000"/>
          <w:sz w:val="24"/>
          <w:szCs w:val="24"/>
        </w:rPr>
      </w:pPr>
    </w:p>
    <w:p w14:paraId="2B58B9E3">
      <w:pPr>
        <w:spacing w:line="360" w:lineRule="auto"/>
        <w:jc w:val="left"/>
        <w:rPr>
          <w:rFonts w:ascii="宋体" w:hAnsi="宋体"/>
          <w:color w:val="000000"/>
          <w:sz w:val="24"/>
          <w:szCs w:val="24"/>
        </w:rPr>
      </w:pPr>
    </w:p>
    <w:p w14:paraId="05DFF290">
      <w:pPr>
        <w:spacing w:line="360" w:lineRule="auto"/>
        <w:jc w:val="left"/>
        <w:rPr>
          <w:rFonts w:ascii="宋体" w:hAnsi="宋体"/>
          <w:color w:val="000000"/>
          <w:sz w:val="24"/>
          <w:szCs w:val="24"/>
        </w:rPr>
      </w:pPr>
    </w:p>
    <w:p w14:paraId="7B694185">
      <w:pPr>
        <w:spacing w:line="360" w:lineRule="auto"/>
        <w:jc w:val="left"/>
        <w:rPr>
          <w:rFonts w:ascii="宋体" w:hAnsi="宋体"/>
          <w:color w:val="000000"/>
          <w:sz w:val="24"/>
          <w:szCs w:val="24"/>
        </w:rPr>
      </w:pPr>
    </w:p>
    <w:p w14:paraId="100388E6">
      <w:pPr>
        <w:spacing w:line="360" w:lineRule="auto"/>
        <w:jc w:val="left"/>
        <w:rPr>
          <w:rFonts w:ascii="宋体" w:hAnsi="宋体"/>
          <w:color w:val="000000"/>
          <w:sz w:val="24"/>
          <w:szCs w:val="24"/>
        </w:rPr>
      </w:pPr>
    </w:p>
    <w:p w14:paraId="72A7A383">
      <w:pPr>
        <w:spacing w:line="360" w:lineRule="auto"/>
        <w:jc w:val="left"/>
        <w:rPr>
          <w:rFonts w:ascii="宋体" w:hAnsi="宋体"/>
          <w:color w:val="000000"/>
          <w:sz w:val="24"/>
          <w:szCs w:val="24"/>
        </w:rPr>
      </w:pPr>
    </w:p>
    <w:p w14:paraId="2438CF21">
      <w:pPr>
        <w:spacing w:line="360" w:lineRule="auto"/>
        <w:jc w:val="left"/>
        <w:rPr>
          <w:rFonts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326EE641">
      <w:pPr>
        <w:spacing w:line="360" w:lineRule="auto"/>
        <w:jc w:val="left"/>
        <w:rPr>
          <w:rFonts w:ascii="宋体" w:hAnsi="宋体"/>
          <w:b/>
          <w:sz w:val="24"/>
        </w:rPr>
      </w:pPr>
      <w:r>
        <w:rPr>
          <w:rFonts w:hint="eastAsia" w:ascii="宋体" w:hAnsi="宋体"/>
          <w:b/>
          <w:sz w:val="24"/>
        </w:rPr>
        <w:t>法定代表人/负责人或其委托代理人：</w:t>
      </w:r>
      <w:r>
        <w:rPr>
          <w:rFonts w:ascii="宋体" w:hAnsi="宋体"/>
          <w:b/>
          <w:sz w:val="24"/>
          <w:u w:val="single"/>
        </w:rPr>
        <w:t xml:space="preserve">               </w:t>
      </w:r>
      <w:r>
        <w:rPr>
          <w:rFonts w:hint="eastAsia" w:ascii="宋体" w:hAnsi="宋体"/>
          <w:b/>
          <w:sz w:val="24"/>
        </w:rPr>
        <w:t>（电子签名）</w:t>
      </w:r>
    </w:p>
    <w:p w14:paraId="6384071B">
      <w:pPr>
        <w:spacing w:line="360" w:lineRule="auto"/>
        <w:jc w:val="left"/>
        <w:rPr>
          <w:rFonts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5B117930">
      <w:pPr>
        <w:spacing w:line="360" w:lineRule="auto"/>
        <w:ind w:firstLine="2" w:firstLineChars="1"/>
        <w:rPr>
          <w:rFonts w:ascii="宋体" w:hAnsi="宋体"/>
          <w:b/>
          <w:color w:val="000000"/>
          <w:sz w:val="24"/>
          <w:szCs w:val="24"/>
        </w:rPr>
      </w:pPr>
    </w:p>
    <w:p w14:paraId="4863133C">
      <w:pPr>
        <w:spacing w:line="360" w:lineRule="auto"/>
        <w:ind w:left="4721" w:leftChars="1686"/>
        <w:jc w:val="left"/>
        <w:rPr>
          <w:rFonts w:ascii="宋体" w:hAnsi="宋体"/>
          <w:color w:val="000000"/>
          <w:sz w:val="24"/>
          <w:szCs w:val="24"/>
          <w:u w:val="single"/>
        </w:rPr>
      </w:pPr>
    </w:p>
    <w:p w14:paraId="1BE5B4BF">
      <w:pPr>
        <w:spacing w:line="360" w:lineRule="auto"/>
        <w:jc w:val="left"/>
        <w:rPr>
          <w:rFonts w:ascii="宋体" w:hAnsi="宋体"/>
          <w:color w:val="000000"/>
          <w:sz w:val="24"/>
          <w:szCs w:val="24"/>
        </w:rPr>
      </w:pPr>
    </w:p>
    <w:p w14:paraId="5653D5F5">
      <w:pPr>
        <w:spacing w:line="360" w:lineRule="auto"/>
        <w:jc w:val="left"/>
        <w:rPr>
          <w:rFonts w:ascii="宋体" w:hAnsi="宋体"/>
          <w:color w:val="000000"/>
          <w:sz w:val="24"/>
          <w:szCs w:val="24"/>
        </w:rPr>
      </w:pPr>
      <w:r>
        <w:rPr>
          <w:rFonts w:hint="eastAsia" w:ascii="宋体" w:hAnsi="宋体"/>
          <w:color w:val="000000"/>
          <w:sz w:val="24"/>
          <w:szCs w:val="24"/>
        </w:rPr>
        <w:t>注：</w:t>
      </w:r>
    </w:p>
    <w:p w14:paraId="6943F849">
      <w:pPr>
        <w:spacing w:line="360" w:lineRule="auto"/>
        <w:jc w:val="left"/>
        <w:rPr>
          <w:rFonts w:ascii="宋体" w:hAnsi="宋体"/>
          <w:b/>
          <w:bCs/>
          <w:color w:val="000000"/>
          <w:sz w:val="24"/>
          <w:szCs w:val="24"/>
        </w:rPr>
      </w:pPr>
      <w:r>
        <w:rPr>
          <w:rFonts w:hint="eastAsia" w:ascii="宋体" w:hAnsi="宋体"/>
          <w:b/>
          <w:bCs/>
          <w:color w:val="000000"/>
          <w:sz w:val="24"/>
          <w:szCs w:val="24"/>
        </w:rPr>
        <w:t>1、重大违法记录，是指供应商因违法经营受到刑事处罚或者责令停产停业、吊销许可证或者执照、较大数额罚款等行政处罚。</w:t>
      </w:r>
    </w:p>
    <w:p w14:paraId="6F98F204">
      <w:pPr>
        <w:spacing w:line="360" w:lineRule="auto"/>
        <w:jc w:val="left"/>
        <w:rPr>
          <w:rFonts w:ascii="宋体" w:hAnsi="宋体"/>
          <w:b/>
          <w:bCs/>
          <w:color w:val="000000"/>
          <w:sz w:val="24"/>
          <w:szCs w:val="24"/>
        </w:rPr>
      </w:pPr>
      <w:r>
        <w:rPr>
          <w:rFonts w:hint="eastAsia" w:ascii="宋体" w:hAnsi="宋体"/>
          <w:b/>
          <w:bCs/>
          <w:color w:val="000000"/>
          <w:sz w:val="24"/>
          <w:szCs w:val="24"/>
        </w:rPr>
        <w:t>2、“较大数额罚款”，是指200万元以上的罚款，法律、行政法规以及国务院有关部门明确规定相关领域“较大数额罚款”标准高于200万元的，从其规定。</w:t>
      </w:r>
    </w:p>
    <w:p w14:paraId="59897A10">
      <w:pPr>
        <w:spacing w:line="360" w:lineRule="auto"/>
        <w:jc w:val="left"/>
        <w:rPr>
          <w:rFonts w:ascii="宋体" w:hAnsi="宋体"/>
          <w:b/>
          <w:bCs/>
          <w:color w:val="000000"/>
          <w:sz w:val="24"/>
          <w:szCs w:val="24"/>
        </w:rPr>
      </w:pPr>
    </w:p>
    <w:p w14:paraId="0A1CA656">
      <w:pPr>
        <w:spacing w:line="600" w:lineRule="exact"/>
        <w:rPr>
          <w:rFonts w:ascii="宋体" w:hAnsi="宋体"/>
          <w:color w:val="000000"/>
          <w:sz w:val="24"/>
        </w:rPr>
      </w:pPr>
    </w:p>
    <w:p w14:paraId="0825E1A6">
      <w:pPr>
        <w:spacing w:line="360" w:lineRule="auto"/>
        <w:ind w:left="4721" w:leftChars="1686"/>
        <w:jc w:val="left"/>
        <w:rPr>
          <w:rFonts w:ascii="宋体" w:hAnsi="宋体"/>
          <w:color w:val="000000"/>
          <w:sz w:val="24"/>
          <w:szCs w:val="24"/>
          <w:u w:val="single"/>
        </w:rPr>
      </w:pPr>
    </w:p>
    <w:p w14:paraId="304E5DD2">
      <w:pPr>
        <w:spacing w:line="600" w:lineRule="exact"/>
        <w:rPr>
          <w:rFonts w:ascii="宋体" w:hAnsi="宋体"/>
          <w:b/>
          <w:color w:val="000000"/>
          <w:szCs w:val="28"/>
        </w:rPr>
      </w:pPr>
      <w:r>
        <w:rPr>
          <w:rFonts w:hint="eastAsia" w:ascii="宋体" w:hAnsi="宋体"/>
          <w:b/>
          <w:color w:val="000000"/>
          <w:szCs w:val="28"/>
        </w:rPr>
        <w:br w:type="page"/>
      </w:r>
      <w:r>
        <w:rPr>
          <w:rFonts w:hint="eastAsia" w:ascii="宋体" w:hAnsi="宋体"/>
          <w:b/>
          <w:color w:val="000000"/>
          <w:szCs w:val="28"/>
        </w:rPr>
        <w:t>格式</w:t>
      </w:r>
      <w:r>
        <w:rPr>
          <w:rFonts w:ascii="宋体" w:hAnsi="宋体"/>
          <w:b/>
          <w:color w:val="000000"/>
          <w:szCs w:val="28"/>
        </w:rPr>
        <w:t>7</w:t>
      </w:r>
      <w:r>
        <w:rPr>
          <w:rFonts w:hint="eastAsia" w:ascii="宋体" w:hAnsi="宋体"/>
          <w:b/>
          <w:color w:val="000000"/>
          <w:szCs w:val="28"/>
        </w:rPr>
        <w:t>：</w:t>
      </w:r>
    </w:p>
    <w:p w14:paraId="497203D3">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bookmarkStart w:id="68" w:name="_Toc383175513"/>
      <w:bookmarkStart w:id="69" w:name="_Toc347849250"/>
      <w:r>
        <w:rPr>
          <w:rFonts w:hint="eastAsia" w:ascii="宋体" w:hAnsi="宋体"/>
          <w:b/>
          <w:color w:val="000000"/>
          <w:kern w:val="0"/>
          <w:sz w:val="32"/>
          <w:szCs w:val="32"/>
          <w:lang w:val="zh-CN"/>
        </w:rPr>
        <w:t>供应商具备参加政府采购活动条件承诺书</w:t>
      </w:r>
      <w:bookmarkEnd w:id="68"/>
      <w:bookmarkEnd w:id="69"/>
    </w:p>
    <w:p w14:paraId="36099AE2">
      <w:pPr>
        <w:spacing w:line="440" w:lineRule="exact"/>
        <w:ind w:firstLine="480" w:firstLineChars="200"/>
        <w:rPr>
          <w:color w:val="000000"/>
          <w:sz w:val="24"/>
          <w:szCs w:val="21"/>
        </w:rPr>
      </w:pPr>
      <w:r>
        <w:rPr>
          <w:rFonts w:hint="eastAsia"/>
          <w:color w:val="000000"/>
          <w:sz w:val="24"/>
          <w:szCs w:val="21"/>
        </w:rPr>
        <w:t>致：</w:t>
      </w:r>
      <w:r>
        <w:rPr>
          <w:color w:val="000000"/>
          <w:sz w:val="24"/>
          <w:szCs w:val="21"/>
          <w:u w:val="single"/>
        </w:rPr>
        <w:t xml:space="preserve">         </w:t>
      </w:r>
      <w:r>
        <w:rPr>
          <w:rFonts w:hint="eastAsia"/>
          <w:color w:val="000000"/>
          <w:sz w:val="24"/>
          <w:szCs w:val="21"/>
          <w:u w:val="single"/>
        </w:rPr>
        <w:t>（采购人名称）</w:t>
      </w:r>
      <w:r>
        <w:rPr>
          <w:rFonts w:hint="eastAsia"/>
          <w:color w:val="000000"/>
          <w:sz w:val="24"/>
          <w:szCs w:val="21"/>
        </w:rPr>
        <w:t>：</w:t>
      </w:r>
    </w:p>
    <w:p w14:paraId="298792CA">
      <w:pPr>
        <w:spacing w:before="240"/>
        <w:ind w:firstLine="843" w:firstLineChars="350"/>
        <w:jc w:val="left"/>
        <w:rPr>
          <w:b/>
          <w:bCs/>
          <w:color w:val="000000"/>
          <w:sz w:val="24"/>
          <w:szCs w:val="21"/>
        </w:rPr>
      </w:pPr>
      <w:r>
        <w:rPr>
          <w:rFonts w:hint="eastAsia"/>
          <w:b/>
          <w:bCs/>
          <w:color w:val="000000"/>
          <w:sz w:val="24"/>
          <w:szCs w:val="21"/>
        </w:rPr>
        <w:t>我公司</w:t>
      </w:r>
      <w:r>
        <w:rPr>
          <w:b/>
          <w:bCs/>
          <w:color w:val="000000"/>
          <w:sz w:val="24"/>
          <w:szCs w:val="21"/>
        </w:rPr>
        <w:t>承诺，</w:t>
      </w:r>
      <w:r>
        <w:rPr>
          <w:rFonts w:hint="eastAsia"/>
          <w:b/>
          <w:bCs/>
          <w:color w:val="000000"/>
          <w:sz w:val="24"/>
          <w:szCs w:val="21"/>
        </w:rPr>
        <w:t>具备以下条件：</w:t>
      </w:r>
    </w:p>
    <w:p w14:paraId="51171C2F">
      <w:pPr>
        <w:spacing w:before="240"/>
        <w:ind w:firstLine="840" w:firstLineChars="350"/>
        <w:jc w:val="left"/>
        <w:rPr>
          <w:color w:val="000000"/>
          <w:sz w:val="24"/>
          <w:szCs w:val="21"/>
        </w:rPr>
      </w:pPr>
      <w:r>
        <w:rPr>
          <w:rFonts w:hint="eastAsia"/>
          <w:color w:val="000000"/>
          <w:sz w:val="24"/>
          <w:szCs w:val="21"/>
        </w:rPr>
        <w:t>（一）具有独立承担民事责任的能力；</w:t>
      </w:r>
    </w:p>
    <w:p w14:paraId="7EA117E1">
      <w:pPr>
        <w:spacing w:before="240"/>
        <w:ind w:firstLine="840" w:firstLineChars="350"/>
        <w:jc w:val="left"/>
        <w:rPr>
          <w:color w:val="000000"/>
          <w:sz w:val="24"/>
          <w:szCs w:val="21"/>
        </w:rPr>
      </w:pPr>
      <w:r>
        <w:rPr>
          <w:rFonts w:hint="eastAsia"/>
          <w:color w:val="000000"/>
          <w:sz w:val="24"/>
          <w:szCs w:val="21"/>
        </w:rPr>
        <w:t>（二）具有良好的商业信誉和健全的财务会计制度；</w:t>
      </w:r>
    </w:p>
    <w:p w14:paraId="051E06A8">
      <w:pPr>
        <w:spacing w:before="240"/>
        <w:ind w:firstLine="840" w:firstLineChars="350"/>
        <w:jc w:val="left"/>
        <w:rPr>
          <w:color w:val="000000"/>
          <w:sz w:val="24"/>
          <w:szCs w:val="21"/>
        </w:rPr>
      </w:pPr>
      <w:r>
        <w:rPr>
          <w:rFonts w:hint="eastAsia"/>
          <w:color w:val="000000"/>
          <w:sz w:val="24"/>
          <w:szCs w:val="21"/>
        </w:rPr>
        <w:t>（三）具有履行合同所必需的设备和专业技术能力；</w:t>
      </w:r>
    </w:p>
    <w:p w14:paraId="6BF20E81">
      <w:pPr>
        <w:spacing w:before="240"/>
        <w:ind w:firstLine="840" w:firstLineChars="350"/>
        <w:jc w:val="left"/>
        <w:rPr>
          <w:color w:val="000000"/>
          <w:sz w:val="24"/>
          <w:szCs w:val="21"/>
        </w:rPr>
      </w:pPr>
      <w:r>
        <w:rPr>
          <w:rFonts w:hint="eastAsia"/>
          <w:color w:val="000000"/>
          <w:sz w:val="24"/>
          <w:szCs w:val="21"/>
        </w:rPr>
        <w:t>（四）有依法缴纳税收和社会保障资金的良好记录；</w:t>
      </w:r>
    </w:p>
    <w:p w14:paraId="402362E6">
      <w:pPr>
        <w:spacing w:before="240"/>
        <w:ind w:firstLine="840" w:firstLineChars="350"/>
        <w:jc w:val="left"/>
        <w:rPr>
          <w:color w:val="000000"/>
          <w:sz w:val="24"/>
          <w:szCs w:val="21"/>
        </w:rPr>
      </w:pPr>
      <w:r>
        <w:rPr>
          <w:rFonts w:hint="eastAsia"/>
          <w:color w:val="000000"/>
          <w:sz w:val="24"/>
          <w:szCs w:val="21"/>
        </w:rPr>
        <w:t>（五）参加政府采购活动前三年内，在经营活动中没有重大违法记录；</w:t>
      </w:r>
    </w:p>
    <w:p w14:paraId="2895EB19">
      <w:pPr>
        <w:spacing w:before="240"/>
        <w:ind w:firstLine="840" w:firstLineChars="350"/>
        <w:jc w:val="left"/>
        <w:rPr>
          <w:color w:val="000000"/>
          <w:sz w:val="24"/>
          <w:szCs w:val="21"/>
        </w:rPr>
      </w:pPr>
      <w:r>
        <w:rPr>
          <w:rFonts w:hint="eastAsia"/>
          <w:color w:val="000000"/>
          <w:sz w:val="24"/>
          <w:szCs w:val="21"/>
        </w:rPr>
        <w:t>（六）法律、行政法规规定的其他条件。</w:t>
      </w:r>
    </w:p>
    <w:p w14:paraId="1A68D3E2">
      <w:pPr>
        <w:spacing w:line="360" w:lineRule="auto"/>
        <w:jc w:val="left"/>
        <w:rPr>
          <w:rFonts w:ascii="宋体"/>
          <w:color w:val="000000"/>
          <w:sz w:val="21"/>
          <w:szCs w:val="21"/>
        </w:rPr>
      </w:pPr>
    </w:p>
    <w:p w14:paraId="4295489D">
      <w:pPr>
        <w:spacing w:line="360" w:lineRule="auto"/>
        <w:jc w:val="left"/>
        <w:rPr>
          <w:rFonts w:ascii="宋体"/>
          <w:color w:val="000000"/>
          <w:sz w:val="21"/>
          <w:szCs w:val="21"/>
        </w:rPr>
      </w:pPr>
    </w:p>
    <w:p w14:paraId="740F7BC2">
      <w:pPr>
        <w:spacing w:line="360" w:lineRule="auto"/>
        <w:jc w:val="left"/>
        <w:rPr>
          <w:rFonts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110BC1AF">
      <w:pPr>
        <w:spacing w:line="360" w:lineRule="auto"/>
        <w:jc w:val="left"/>
        <w:rPr>
          <w:rFonts w:ascii="宋体" w:hAnsi="宋体"/>
          <w:b/>
          <w:sz w:val="24"/>
        </w:rPr>
      </w:pPr>
      <w:r>
        <w:rPr>
          <w:rFonts w:hint="eastAsia" w:ascii="宋体" w:hAnsi="宋体"/>
          <w:b/>
          <w:sz w:val="24"/>
        </w:rPr>
        <w:t>法定代表人/负责人或其委托代理人：</w:t>
      </w:r>
      <w:r>
        <w:rPr>
          <w:rFonts w:ascii="宋体" w:hAnsi="宋体"/>
          <w:b/>
          <w:sz w:val="24"/>
          <w:u w:val="single"/>
        </w:rPr>
        <w:t xml:space="preserve">               </w:t>
      </w:r>
      <w:r>
        <w:rPr>
          <w:rFonts w:hint="eastAsia" w:ascii="宋体" w:hAnsi="宋体"/>
          <w:b/>
          <w:sz w:val="24"/>
        </w:rPr>
        <w:t>（电子签名）</w:t>
      </w:r>
    </w:p>
    <w:p w14:paraId="0B1201F6">
      <w:pPr>
        <w:spacing w:line="360" w:lineRule="auto"/>
        <w:jc w:val="left"/>
        <w:rPr>
          <w:rFonts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4CE1F45C">
      <w:pPr>
        <w:spacing w:line="360" w:lineRule="auto"/>
        <w:rPr>
          <w:rFonts w:ascii="宋体" w:hAnsi="宋体"/>
          <w:b/>
          <w:color w:val="000000"/>
          <w:sz w:val="24"/>
          <w:szCs w:val="24"/>
        </w:rPr>
      </w:pPr>
    </w:p>
    <w:p w14:paraId="13685DE4">
      <w:pPr>
        <w:spacing w:line="360" w:lineRule="auto"/>
        <w:ind w:left="4721" w:leftChars="1686"/>
        <w:jc w:val="left"/>
        <w:rPr>
          <w:color w:val="000000"/>
          <w:sz w:val="21"/>
          <w:szCs w:val="21"/>
          <w:u w:val="single"/>
        </w:rPr>
      </w:pPr>
    </w:p>
    <w:p w14:paraId="25E6BFF5">
      <w:pPr>
        <w:spacing w:line="360" w:lineRule="auto"/>
        <w:jc w:val="left"/>
        <w:rPr>
          <w:rFonts w:ascii="宋体"/>
          <w:color w:val="000000"/>
          <w:sz w:val="21"/>
          <w:szCs w:val="21"/>
        </w:rPr>
      </w:pPr>
    </w:p>
    <w:p w14:paraId="205EE276">
      <w:pPr>
        <w:spacing w:line="360" w:lineRule="auto"/>
        <w:jc w:val="left"/>
        <w:rPr>
          <w:rFonts w:ascii="宋体"/>
          <w:b/>
          <w:bCs/>
          <w:color w:val="000000"/>
          <w:sz w:val="24"/>
          <w:szCs w:val="21"/>
        </w:rPr>
      </w:pPr>
      <w:r>
        <w:rPr>
          <w:rFonts w:hint="eastAsia" w:ascii="宋体"/>
          <w:b/>
          <w:bCs/>
          <w:color w:val="000000"/>
          <w:sz w:val="24"/>
          <w:szCs w:val="21"/>
        </w:rPr>
        <w:t>注：</w:t>
      </w:r>
    </w:p>
    <w:p w14:paraId="73229524">
      <w:pPr>
        <w:spacing w:line="360" w:lineRule="auto"/>
        <w:jc w:val="left"/>
        <w:rPr>
          <w:rFonts w:ascii="宋体"/>
          <w:color w:val="000000"/>
          <w:sz w:val="24"/>
          <w:szCs w:val="21"/>
        </w:rPr>
      </w:pPr>
      <w:r>
        <w:rPr>
          <w:rFonts w:hint="eastAsia" w:ascii="宋体"/>
          <w:color w:val="000000"/>
          <w:sz w:val="24"/>
          <w:szCs w:val="21"/>
        </w:rPr>
        <w:t>1、</w:t>
      </w:r>
      <w:r>
        <w:rPr>
          <w:rFonts w:hint="eastAsia"/>
          <w:color w:val="000000"/>
          <w:sz w:val="24"/>
          <w:szCs w:val="21"/>
        </w:rPr>
        <w:t>供应商</w:t>
      </w:r>
      <w:r>
        <w:rPr>
          <w:rFonts w:hint="eastAsia" w:ascii="宋体"/>
          <w:color w:val="000000"/>
          <w:sz w:val="24"/>
          <w:szCs w:val="21"/>
        </w:rPr>
        <w:t>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进行说明和承诺。</w:t>
      </w:r>
    </w:p>
    <w:p w14:paraId="10C082D6">
      <w:pPr>
        <w:spacing w:line="600" w:lineRule="exact"/>
        <w:rPr>
          <w:rFonts w:ascii="宋体" w:hAnsi="宋体"/>
          <w:b/>
          <w:color w:val="000000"/>
          <w:szCs w:val="28"/>
        </w:rPr>
      </w:pPr>
      <w:r>
        <w:rPr>
          <w:rFonts w:hint="eastAsia" w:ascii="宋体" w:hAnsi="宋体"/>
          <w:b/>
          <w:color w:val="000000"/>
          <w:szCs w:val="28"/>
        </w:rPr>
        <w:br w:type="page"/>
      </w:r>
    </w:p>
    <w:p w14:paraId="44680FDA">
      <w:pPr>
        <w:tabs>
          <w:tab w:val="left" w:pos="900"/>
          <w:tab w:val="left" w:pos="1588"/>
        </w:tabs>
        <w:adjustRightInd w:val="0"/>
        <w:spacing w:before="120" w:line="360" w:lineRule="auto"/>
        <w:jc w:val="center"/>
        <w:textAlignment w:val="baseline"/>
        <w:outlineLvl w:val="2"/>
        <w:rPr>
          <w:rFonts w:ascii="宋体" w:hAnsi="宋体"/>
          <w:b/>
          <w:kern w:val="0"/>
          <w:sz w:val="32"/>
          <w:szCs w:val="32"/>
        </w:rPr>
      </w:pPr>
      <w:r>
        <w:rPr>
          <w:rFonts w:hint="eastAsia" w:ascii="宋体" w:hAnsi="宋体"/>
          <w:b/>
          <w:kern w:val="0"/>
          <w:sz w:val="32"/>
          <w:szCs w:val="32"/>
        </w:rPr>
        <w:t>（二）采购政策部分</w:t>
      </w:r>
    </w:p>
    <w:p w14:paraId="6734FC4E">
      <w:pPr>
        <w:jc w:val="center"/>
        <w:rPr>
          <w:rFonts w:ascii="宋体" w:hAnsi="宋体"/>
          <w:bCs/>
          <w:szCs w:val="28"/>
        </w:rPr>
      </w:pPr>
      <w:r>
        <w:rPr>
          <w:rFonts w:hint="eastAsia" w:ascii="宋体" w:hAnsi="宋体"/>
          <w:bCs/>
          <w:szCs w:val="28"/>
        </w:rPr>
        <w:t>无</w:t>
      </w:r>
    </w:p>
    <w:p w14:paraId="76C01B91">
      <w:pPr>
        <w:widowControl/>
        <w:ind w:firstLine="400" w:firstLineChars="200"/>
        <w:jc w:val="left"/>
        <w:rPr>
          <w:kern w:val="0"/>
          <w:sz w:val="20"/>
        </w:rPr>
      </w:pPr>
    </w:p>
    <w:p w14:paraId="42EE84B5">
      <w:pPr>
        <w:spacing w:line="600" w:lineRule="exact"/>
        <w:rPr>
          <w:rFonts w:ascii="宋体" w:hAnsi="宋体"/>
          <w:b/>
          <w:color w:val="000000"/>
          <w:szCs w:val="28"/>
        </w:rPr>
      </w:pPr>
    </w:p>
    <w:p w14:paraId="5365F77C">
      <w:pPr>
        <w:rPr>
          <w:rFonts w:ascii="宋体" w:hAnsi="宋体"/>
          <w:b/>
          <w:color w:val="000000"/>
          <w:szCs w:val="28"/>
        </w:rPr>
      </w:pPr>
      <w:r>
        <w:rPr>
          <w:rFonts w:hint="eastAsia" w:ascii="宋体" w:hAnsi="宋体"/>
          <w:b/>
          <w:color w:val="000000"/>
          <w:szCs w:val="28"/>
        </w:rPr>
        <w:br w:type="page"/>
      </w:r>
    </w:p>
    <w:p w14:paraId="09D420D3">
      <w:pPr>
        <w:tabs>
          <w:tab w:val="left" w:pos="900"/>
          <w:tab w:val="left" w:pos="1588"/>
        </w:tabs>
        <w:adjustRightInd w:val="0"/>
        <w:spacing w:before="120" w:line="360" w:lineRule="auto"/>
        <w:jc w:val="center"/>
        <w:textAlignment w:val="baseline"/>
        <w:outlineLvl w:val="2"/>
        <w:rPr>
          <w:rFonts w:ascii="宋体" w:hAnsi="宋体"/>
          <w:b/>
          <w:kern w:val="0"/>
          <w:sz w:val="32"/>
          <w:szCs w:val="32"/>
        </w:rPr>
      </w:pPr>
      <w:r>
        <w:rPr>
          <w:rFonts w:hint="eastAsia" w:ascii="宋体" w:hAnsi="宋体"/>
          <w:b/>
          <w:kern w:val="0"/>
          <w:sz w:val="32"/>
          <w:szCs w:val="32"/>
        </w:rPr>
        <w:t>（三）特定资质部分</w:t>
      </w:r>
    </w:p>
    <w:p w14:paraId="29FBEAC9">
      <w:pPr>
        <w:spacing w:line="600" w:lineRule="exact"/>
        <w:rPr>
          <w:rFonts w:ascii="宋体" w:hAnsi="宋体"/>
          <w:b/>
          <w:color w:val="000000"/>
          <w:szCs w:val="28"/>
        </w:rPr>
      </w:pPr>
    </w:p>
    <w:p w14:paraId="406AFA56">
      <w:pPr>
        <w:spacing w:line="600" w:lineRule="exact"/>
        <w:jc w:val="left"/>
        <w:rPr>
          <w:rFonts w:ascii="宋体" w:hAnsi="宋体"/>
          <w:b/>
          <w:szCs w:val="28"/>
        </w:rPr>
      </w:pPr>
      <w:r>
        <w:rPr>
          <w:rFonts w:hint="eastAsia" w:ascii="宋体" w:hAnsi="宋体"/>
          <w:b/>
          <w:szCs w:val="28"/>
        </w:rPr>
        <w:t>格式1：</w:t>
      </w:r>
    </w:p>
    <w:p w14:paraId="63127C7F">
      <w:pPr>
        <w:widowControl/>
        <w:jc w:val="center"/>
        <w:rPr>
          <w:rFonts w:ascii="宋体" w:hAnsi="宋体"/>
          <w:b/>
          <w:kern w:val="0"/>
          <w:sz w:val="32"/>
          <w:szCs w:val="32"/>
          <w:lang w:val="zh-CN"/>
        </w:rPr>
      </w:pPr>
      <w:r>
        <w:rPr>
          <w:rFonts w:hint="eastAsia" w:ascii="宋体" w:hAnsi="宋体"/>
          <w:b/>
          <w:kern w:val="0"/>
          <w:sz w:val="32"/>
          <w:szCs w:val="32"/>
          <w:lang w:val="zh-CN"/>
        </w:rPr>
        <w:t>资质证书</w:t>
      </w:r>
    </w:p>
    <w:p w14:paraId="573F0A5F">
      <w:pPr>
        <w:pStyle w:val="16"/>
        <w:spacing w:line="500" w:lineRule="exact"/>
        <w:ind w:firstLine="178"/>
        <w:jc w:val="left"/>
        <w:rPr>
          <w:rFonts w:hAnsi="宋体"/>
          <w:color w:val="000000"/>
          <w:sz w:val="24"/>
        </w:rPr>
      </w:pPr>
      <w:r>
        <w:rPr>
          <w:rFonts w:hint="eastAsia" w:hAnsi="宋体"/>
          <w:color w:val="000000"/>
          <w:sz w:val="24"/>
        </w:rPr>
        <w:t>注：因交通运输部办公厅取消了总质量4.5吨及以下普通货运车辆道路运输证，如拟投入车辆均为总质量4.5吨及以下，则无需提供《道路运输经营许可证》。如拟投入车辆证明材料无法反映车辆总质量而又未提供《道路运输经营许可证》的，不予认可。</w:t>
      </w:r>
    </w:p>
    <w:p w14:paraId="287DD07B">
      <w:pPr>
        <w:rPr>
          <w:rFonts w:hAnsi="宋体"/>
          <w:color w:val="000000"/>
          <w:sz w:val="24"/>
        </w:rPr>
      </w:pPr>
      <w:r>
        <w:rPr>
          <w:rFonts w:hint="eastAsia" w:hAnsi="宋体"/>
          <w:color w:val="000000"/>
          <w:sz w:val="24"/>
        </w:rPr>
        <w:br w:type="page"/>
      </w:r>
    </w:p>
    <w:p w14:paraId="7DB3BCB9">
      <w:pPr>
        <w:spacing w:line="600" w:lineRule="exact"/>
        <w:jc w:val="left"/>
        <w:rPr>
          <w:rFonts w:ascii="宋体" w:hAnsi="宋体"/>
          <w:b/>
          <w:szCs w:val="28"/>
        </w:rPr>
      </w:pPr>
      <w:r>
        <w:rPr>
          <w:rFonts w:hint="eastAsia" w:ascii="宋体" w:hAnsi="宋体"/>
          <w:b/>
          <w:szCs w:val="28"/>
        </w:rPr>
        <w:t>格式2：</w:t>
      </w:r>
    </w:p>
    <w:p w14:paraId="735BEE54">
      <w:pPr>
        <w:tabs>
          <w:tab w:val="left" w:pos="900"/>
          <w:tab w:val="left" w:pos="1588"/>
        </w:tabs>
        <w:adjustRightInd w:val="0"/>
        <w:spacing w:before="120" w:line="360" w:lineRule="auto"/>
        <w:jc w:val="center"/>
        <w:outlineLvl w:val="3"/>
        <w:rPr>
          <w:rFonts w:ascii="宋体" w:hAnsi="宋体"/>
          <w:b/>
          <w:kern w:val="0"/>
          <w:sz w:val="32"/>
          <w:szCs w:val="32"/>
          <w:lang w:val="zh-CN"/>
        </w:rPr>
      </w:pPr>
      <w:r>
        <w:rPr>
          <w:rFonts w:hint="eastAsia" w:ascii="宋体" w:hAnsi="宋体"/>
          <w:b/>
          <w:kern w:val="0"/>
          <w:sz w:val="32"/>
          <w:szCs w:val="32"/>
          <w:lang w:val="zh-CN"/>
        </w:rPr>
        <w:t>授权书（如有）</w:t>
      </w:r>
    </w:p>
    <w:p w14:paraId="28D306BA">
      <w:pPr>
        <w:pStyle w:val="14"/>
        <w:jc w:val="center"/>
        <w:rPr>
          <w:rFonts w:ascii="宋体" w:hAnsi="宋体"/>
          <w:b/>
          <w:color w:val="000000"/>
          <w:sz w:val="24"/>
        </w:rPr>
      </w:pPr>
      <w:r>
        <w:rPr>
          <w:rFonts w:hint="eastAsia" w:ascii="宋体" w:hAnsi="宋体"/>
          <w:b/>
          <w:color w:val="000000"/>
          <w:sz w:val="24"/>
        </w:rPr>
        <w:t>若分公司参加投标的，应当提供总公司出具针对本项目的授权</w:t>
      </w:r>
    </w:p>
    <w:p w14:paraId="42B5CAF0">
      <w:pPr>
        <w:pStyle w:val="16"/>
        <w:spacing w:line="500" w:lineRule="exact"/>
        <w:ind w:firstLine="178"/>
        <w:jc w:val="left"/>
        <w:rPr>
          <w:rFonts w:hAnsi="宋体"/>
          <w:color w:val="000000"/>
          <w:sz w:val="24"/>
        </w:rPr>
      </w:pPr>
    </w:p>
    <w:p w14:paraId="533729F6">
      <w:pPr>
        <w:widowControl/>
        <w:jc w:val="left"/>
        <w:rPr>
          <w:rFonts w:ascii="宋体" w:hAnsi="宋体"/>
          <w:b/>
          <w:color w:val="000000"/>
          <w:szCs w:val="28"/>
        </w:rPr>
      </w:pPr>
    </w:p>
    <w:p w14:paraId="065194DE">
      <w:pPr>
        <w:widowControl/>
        <w:jc w:val="left"/>
        <w:rPr>
          <w:rFonts w:ascii="宋体" w:hAnsi="宋体"/>
          <w:b/>
          <w:color w:val="000000"/>
          <w:szCs w:val="28"/>
        </w:rPr>
      </w:pPr>
    </w:p>
    <w:p w14:paraId="02C8BB9B">
      <w:pPr>
        <w:widowControl/>
        <w:jc w:val="left"/>
        <w:rPr>
          <w:rFonts w:ascii="宋体" w:hAnsi="宋体"/>
          <w:b/>
          <w:color w:val="000000"/>
          <w:szCs w:val="28"/>
        </w:rPr>
      </w:pPr>
      <w:r>
        <w:rPr>
          <w:rFonts w:ascii="宋体" w:hAnsi="宋体"/>
          <w:b/>
          <w:color w:val="000000"/>
          <w:szCs w:val="28"/>
        </w:rPr>
        <w:br w:type="page"/>
      </w:r>
    </w:p>
    <w:p w14:paraId="69D1CA33">
      <w:pPr>
        <w:spacing w:line="600" w:lineRule="exact"/>
        <w:jc w:val="left"/>
        <w:rPr>
          <w:rFonts w:ascii="宋体" w:hAnsi="宋体"/>
          <w:b/>
          <w:szCs w:val="28"/>
        </w:rPr>
      </w:pPr>
      <w:r>
        <w:rPr>
          <w:rFonts w:hint="eastAsia" w:ascii="宋体" w:hAnsi="宋体"/>
          <w:b/>
          <w:szCs w:val="28"/>
        </w:rPr>
        <w:t>格式3：</w:t>
      </w:r>
    </w:p>
    <w:p w14:paraId="3046FCC5">
      <w:pPr>
        <w:tabs>
          <w:tab w:val="left" w:pos="900"/>
          <w:tab w:val="left" w:pos="1588"/>
        </w:tabs>
        <w:adjustRightInd w:val="0"/>
        <w:spacing w:before="120" w:line="360" w:lineRule="auto"/>
        <w:jc w:val="center"/>
        <w:outlineLvl w:val="3"/>
        <w:rPr>
          <w:rFonts w:ascii="宋体" w:hAnsi="宋体"/>
          <w:b/>
          <w:kern w:val="0"/>
          <w:sz w:val="32"/>
          <w:szCs w:val="32"/>
          <w:lang w:val="zh-CN"/>
        </w:rPr>
      </w:pPr>
      <w:r>
        <w:rPr>
          <w:rFonts w:hint="eastAsia" w:ascii="宋体" w:hAnsi="宋体"/>
          <w:b/>
          <w:kern w:val="0"/>
          <w:sz w:val="32"/>
          <w:szCs w:val="32"/>
          <w:lang w:val="zh-CN"/>
        </w:rPr>
        <w:t>其他资格声明函</w:t>
      </w:r>
    </w:p>
    <w:p w14:paraId="2E5BCDCF">
      <w:pPr>
        <w:spacing w:line="360" w:lineRule="auto"/>
        <w:rPr>
          <w:rFonts w:ascii="宋体" w:hAnsi="宋体"/>
          <w:b/>
          <w:sz w:val="24"/>
          <w:szCs w:val="24"/>
        </w:rPr>
      </w:pPr>
      <w:r>
        <w:rPr>
          <w:rFonts w:hint="eastAsia" w:ascii="宋体" w:hAnsi="宋体"/>
          <w:b/>
          <w:sz w:val="24"/>
          <w:szCs w:val="24"/>
        </w:rPr>
        <w:t>云南招标股份有限公司：</w:t>
      </w:r>
    </w:p>
    <w:p w14:paraId="12F3598A">
      <w:pPr>
        <w:spacing w:line="360" w:lineRule="auto"/>
        <w:rPr>
          <w:rFonts w:ascii="宋体" w:hAnsi="宋体"/>
          <w:b/>
          <w:sz w:val="24"/>
          <w:szCs w:val="24"/>
        </w:rPr>
      </w:pPr>
      <w:r>
        <w:rPr>
          <w:rFonts w:hint="eastAsia" w:ascii="宋体" w:hAnsi="宋体"/>
          <w:b/>
          <w:sz w:val="24"/>
          <w:szCs w:val="24"/>
        </w:rPr>
        <w:t>一、下述公司负责人与我公司单位负责人为同一人：（如无则本项填写“无”）</w:t>
      </w:r>
    </w:p>
    <w:p w14:paraId="1CBEC6B8">
      <w:pPr>
        <w:spacing w:line="360" w:lineRule="auto"/>
        <w:rPr>
          <w:rFonts w:ascii="宋体" w:hAnsi="宋体"/>
          <w:sz w:val="24"/>
          <w:szCs w:val="24"/>
        </w:rPr>
      </w:pPr>
      <w:r>
        <w:rPr>
          <w:rFonts w:hint="eastAsia" w:ascii="宋体" w:hAnsi="宋体"/>
          <w:sz w:val="24"/>
          <w:szCs w:val="24"/>
        </w:rPr>
        <w:t>1.                              </w:t>
      </w:r>
    </w:p>
    <w:p w14:paraId="5DDA548A">
      <w:pPr>
        <w:spacing w:line="360" w:lineRule="auto"/>
        <w:rPr>
          <w:rFonts w:ascii="宋体" w:hAnsi="宋体"/>
          <w:sz w:val="24"/>
          <w:szCs w:val="24"/>
        </w:rPr>
      </w:pPr>
      <w:r>
        <w:rPr>
          <w:rFonts w:hint="eastAsia" w:ascii="宋体" w:hAnsi="宋体"/>
          <w:sz w:val="24"/>
          <w:szCs w:val="24"/>
        </w:rPr>
        <w:t>2.                              </w:t>
      </w:r>
    </w:p>
    <w:p w14:paraId="1BEA07DA">
      <w:pPr>
        <w:spacing w:line="360" w:lineRule="auto"/>
        <w:rPr>
          <w:rFonts w:ascii="宋体" w:hAnsi="宋体"/>
          <w:sz w:val="24"/>
          <w:szCs w:val="24"/>
        </w:rPr>
      </w:pPr>
      <w:r>
        <w:rPr>
          <w:rFonts w:hint="eastAsia" w:ascii="宋体" w:hAnsi="宋体"/>
          <w:sz w:val="24"/>
          <w:szCs w:val="24"/>
        </w:rPr>
        <w:t>……</w:t>
      </w:r>
    </w:p>
    <w:p w14:paraId="7C3C083D">
      <w:pPr>
        <w:spacing w:line="360" w:lineRule="auto"/>
        <w:rPr>
          <w:rFonts w:ascii="宋体" w:hAnsi="宋体"/>
          <w:sz w:val="24"/>
          <w:szCs w:val="24"/>
        </w:rPr>
      </w:pPr>
      <w:r>
        <w:rPr>
          <w:rFonts w:hint="eastAsia" w:ascii="宋体" w:hAnsi="宋体"/>
          <w:sz w:val="24"/>
          <w:szCs w:val="24"/>
        </w:rPr>
        <w:t>（可自行添加）</w:t>
      </w:r>
    </w:p>
    <w:p w14:paraId="26150865">
      <w:pPr>
        <w:spacing w:line="360" w:lineRule="auto"/>
        <w:rPr>
          <w:rFonts w:ascii="宋体" w:hAnsi="宋体"/>
          <w:b/>
          <w:sz w:val="24"/>
          <w:szCs w:val="24"/>
        </w:rPr>
      </w:pPr>
      <w:r>
        <w:rPr>
          <w:rFonts w:hint="eastAsia" w:ascii="宋体" w:hAnsi="宋体"/>
          <w:b/>
          <w:sz w:val="24"/>
          <w:szCs w:val="24"/>
        </w:rPr>
        <w:t>二、我公司与下述公司存在直接控股关系：（如无则本项填写“无”）</w:t>
      </w:r>
    </w:p>
    <w:p w14:paraId="0FEFC477">
      <w:pPr>
        <w:spacing w:line="360" w:lineRule="auto"/>
        <w:rPr>
          <w:rFonts w:ascii="宋体" w:hAnsi="宋体"/>
          <w:sz w:val="24"/>
          <w:szCs w:val="24"/>
        </w:rPr>
      </w:pPr>
      <w:r>
        <w:rPr>
          <w:rFonts w:hint="eastAsia" w:ascii="宋体" w:hAnsi="宋体"/>
          <w:sz w:val="24"/>
          <w:szCs w:val="24"/>
        </w:rPr>
        <w:t>1.                              </w:t>
      </w:r>
    </w:p>
    <w:p w14:paraId="7C50BE6D">
      <w:pPr>
        <w:spacing w:line="360" w:lineRule="auto"/>
        <w:rPr>
          <w:rFonts w:ascii="宋体" w:hAnsi="宋体"/>
          <w:sz w:val="24"/>
          <w:szCs w:val="24"/>
        </w:rPr>
      </w:pPr>
      <w:r>
        <w:rPr>
          <w:rFonts w:hint="eastAsia" w:ascii="宋体" w:hAnsi="宋体"/>
          <w:sz w:val="24"/>
          <w:szCs w:val="24"/>
        </w:rPr>
        <w:t>2.                              </w:t>
      </w:r>
    </w:p>
    <w:p w14:paraId="40A65A74">
      <w:pPr>
        <w:spacing w:line="360" w:lineRule="auto"/>
        <w:rPr>
          <w:rFonts w:ascii="宋体" w:hAnsi="宋体"/>
          <w:sz w:val="24"/>
          <w:szCs w:val="24"/>
        </w:rPr>
      </w:pPr>
      <w:r>
        <w:rPr>
          <w:rFonts w:hint="eastAsia" w:ascii="宋体" w:hAnsi="宋体"/>
          <w:sz w:val="24"/>
          <w:szCs w:val="24"/>
        </w:rPr>
        <w:t>……</w:t>
      </w:r>
    </w:p>
    <w:p w14:paraId="48E8DB8C">
      <w:pPr>
        <w:spacing w:line="360" w:lineRule="auto"/>
        <w:rPr>
          <w:rFonts w:ascii="宋体" w:hAnsi="宋体"/>
          <w:sz w:val="24"/>
          <w:szCs w:val="24"/>
        </w:rPr>
      </w:pPr>
      <w:r>
        <w:rPr>
          <w:rFonts w:hint="eastAsia" w:ascii="宋体" w:hAnsi="宋体"/>
          <w:sz w:val="24"/>
          <w:szCs w:val="24"/>
        </w:rPr>
        <w:t>（可自行添加）</w:t>
      </w:r>
    </w:p>
    <w:p w14:paraId="283B67AC">
      <w:pPr>
        <w:spacing w:line="360" w:lineRule="auto"/>
        <w:rPr>
          <w:rFonts w:ascii="宋体" w:hAnsi="宋体"/>
          <w:b/>
          <w:sz w:val="24"/>
          <w:szCs w:val="24"/>
        </w:rPr>
      </w:pPr>
      <w:r>
        <w:rPr>
          <w:rFonts w:hint="eastAsia" w:ascii="宋体" w:hAnsi="宋体"/>
          <w:b/>
          <w:sz w:val="24"/>
          <w:szCs w:val="24"/>
        </w:rPr>
        <w:t>三、我公司与下述公司存在管理关系：（如无则本项填写“无”） </w:t>
      </w:r>
    </w:p>
    <w:p w14:paraId="0A04F4D9">
      <w:pPr>
        <w:spacing w:line="360" w:lineRule="auto"/>
        <w:rPr>
          <w:rFonts w:ascii="宋体" w:hAnsi="宋体"/>
          <w:sz w:val="24"/>
          <w:szCs w:val="24"/>
        </w:rPr>
      </w:pPr>
      <w:r>
        <w:rPr>
          <w:rFonts w:hint="eastAsia" w:ascii="宋体" w:hAnsi="宋体"/>
          <w:sz w:val="24"/>
          <w:szCs w:val="24"/>
        </w:rPr>
        <w:t>1.                              </w:t>
      </w:r>
    </w:p>
    <w:p w14:paraId="7B31E79E">
      <w:pPr>
        <w:spacing w:line="360" w:lineRule="auto"/>
        <w:rPr>
          <w:rFonts w:ascii="宋体" w:hAnsi="宋体"/>
          <w:sz w:val="24"/>
          <w:szCs w:val="24"/>
        </w:rPr>
      </w:pPr>
      <w:r>
        <w:rPr>
          <w:rFonts w:hint="eastAsia" w:ascii="宋体" w:hAnsi="宋体"/>
          <w:sz w:val="24"/>
          <w:szCs w:val="24"/>
        </w:rPr>
        <w:t>2.                              </w:t>
      </w:r>
    </w:p>
    <w:p w14:paraId="448FA0D8">
      <w:pPr>
        <w:spacing w:line="360" w:lineRule="auto"/>
        <w:rPr>
          <w:rFonts w:ascii="宋体" w:hAnsi="宋体"/>
          <w:sz w:val="24"/>
          <w:szCs w:val="24"/>
        </w:rPr>
      </w:pPr>
      <w:r>
        <w:rPr>
          <w:rFonts w:hint="eastAsia" w:ascii="宋体" w:hAnsi="宋体"/>
          <w:sz w:val="24"/>
          <w:szCs w:val="24"/>
        </w:rPr>
        <w:t>……</w:t>
      </w:r>
    </w:p>
    <w:p w14:paraId="551A4F77">
      <w:pPr>
        <w:spacing w:line="360" w:lineRule="auto"/>
        <w:rPr>
          <w:rFonts w:ascii="宋体" w:hAnsi="宋体"/>
          <w:sz w:val="24"/>
          <w:szCs w:val="24"/>
        </w:rPr>
      </w:pPr>
      <w:r>
        <w:rPr>
          <w:rFonts w:hint="eastAsia" w:ascii="宋体" w:hAnsi="宋体"/>
          <w:sz w:val="24"/>
          <w:szCs w:val="24"/>
        </w:rPr>
        <w:t>（可自行添加）</w:t>
      </w:r>
    </w:p>
    <w:p w14:paraId="6D676FA1">
      <w:pPr>
        <w:spacing w:line="360" w:lineRule="auto"/>
        <w:rPr>
          <w:rFonts w:ascii="宋体" w:hAnsi="宋体"/>
          <w:b/>
          <w:sz w:val="24"/>
          <w:szCs w:val="24"/>
        </w:rPr>
      </w:pPr>
      <w:r>
        <w:rPr>
          <w:rFonts w:hint="eastAsia" w:ascii="宋体" w:hAnsi="宋体"/>
          <w:sz w:val="24"/>
          <w:szCs w:val="24"/>
        </w:rPr>
        <w:t xml:space="preserve">    </w:t>
      </w:r>
      <w:r>
        <w:rPr>
          <w:rFonts w:hint="eastAsia" w:ascii="宋体" w:hAnsi="宋体"/>
          <w:b/>
          <w:sz w:val="24"/>
          <w:szCs w:val="24"/>
        </w:rPr>
        <w:t xml:space="preserve"> 我单位郑重声明：</w:t>
      </w:r>
    </w:p>
    <w:p w14:paraId="343266CE">
      <w:pPr>
        <w:spacing w:line="360" w:lineRule="auto"/>
        <w:rPr>
          <w:rFonts w:ascii="宋体" w:hAnsi="宋体"/>
          <w:sz w:val="24"/>
          <w:szCs w:val="24"/>
        </w:rPr>
      </w:pPr>
      <w:r>
        <w:rPr>
          <w:rFonts w:hint="eastAsia" w:ascii="宋体" w:hAnsi="宋体"/>
          <w:b/>
          <w:sz w:val="24"/>
          <w:szCs w:val="24"/>
        </w:rPr>
        <w:t>1.</w:t>
      </w:r>
      <w:r>
        <w:rPr>
          <w:rFonts w:hint="eastAsia" w:ascii="宋体" w:hAnsi="宋体"/>
          <w:sz w:val="24"/>
          <w:szCs w:val="24"/>
        </w:rPr>
        <w:t>与本单位负责人为同一人或者与本单位存在直接控股关系、管理关系的供应商</w:t>
      </w:r>
      <w:r>
        <w:rPr>
          <w:rFonts w:hint="eastAsia" w:ascii="宋体" w:hAnsi="宋体"/>
          <w:b/>
          <w:bCs/>
          <w:sz w:val="24"/>
          <w:szCs w:val="24"/>
          <w:u w:val="single"/>
        </w:rPr>
        <w:t>（填写：参与/未参与）</w:t>
      </w:r>
      <w:r>
        <w:rPr>
          <w:rFonts w:hint="eastAsia" w:ascii="宋体" w:hAnsi="宋体"/>
          <w:sz w:val="24"/>
          <w:szCs w:val="24"/>
          <w:u w:val="single"/>
        </w:rPr>
        <w:t>_  (项目名称)  </w:t>
      </w:r>
      <w:r>
        <w:rPr>
          <w:rFonts w:hint="eastAsia" w:ascii="宋体" w:hAnsi="宋体"/>
          <w:sz w:val="24"/>
          <w:szCs w:val="24"/>
        </w:rPr>
        <w:t>同一合同项下的投标。</w:t>
      </w:r>
    </w:p>
    <w:p w14:paraId="0C9EB54C">
      <w:pPr>
        <w:spacing w:line="360" w:lineRule="auto"/>
        <w:rPr>
          <w:rFonts w:ascii="宋体" w:hAnsi="宋体"/>
          <w:sz w:val="24"/>
          <w:szCs w:val="24"/>
        </w:rPr>
      </w:pPr>
      <w:r>
        <w:rPr>
          <w:rFonts w:hint="eastAsia" w:ascii="宋体" w:hAnsi="宋体"/>
          <w:sz w:val="24"/>
          <w:szCs w:val="24"/>
        </w:rPr>
        <w:t>2.我单位</w:t>
      </w:r>
      <w:r>
        <w:rPr>
          <w:rFonts w:hint="eastAsia" w:ascii="宋体" w:hAnsi="宋体"/>
          <w:b/>
          <w:bCs/>
          <w:sz w:val="24"/>
          <w:szCs w:val="24"/>
          <w:u w:val="single"/>
        </w:rPr>
        <w:t>（填写：属于/不属于）</w:t>
      </w:r>
      <w:r>
        <w:rPr>
          <w:rFonts w:hint="eastAsia" w:ascii="宋体" w:hAnsi="宋体"/>
          <w:sz w:val="24"/>
          <w:szCs w:val="24"/>
        </w:rPr>
        <w:t>为本项目提供整体设计、规范编制或者项目管理、监理、检测等服务的供应商。</w:t>
      </w:r>
    </w:p>
    <w:p w14:paraId="3F9DCA86">
      <w:pPr>
        <w:spacing w:line="360" w:lineRule="auto"/>
        <w:rPr>
          <w:rFonts w:ascii="宋体" w:hAnsi="宋体"/>
          <w:sz w:val="24"/>
          <w:szCs w:val="24"/>
        </w:rPr>
      </w:pPr>
      <w:r>
        <w:rPr>
          <w:rFonts w:hint="eastAsia" w:ascii="宋体" w:hAnsi="宋体"/>
          <w:sz w:val="24"/>
          <w:szCs w:val="24"/>
        </w:rPr>
        <w:t>3.单位</w:t>
      </w:r>
      <w:r>
        <w:rPr>
          <w:rFonts w:hint="eastAsia" w:ascii="宋体" w:hAnsi="宋体"/>
          <w:b/>
          <w:bCs/>
          <w:sz w:val="24"/>
          <w:szCs w:val="24"/>
          <w:u w:val="single"/>
        </w:rPr>
        <w:t>（填写：属于/不属于）</w:t>
      </w:r>
      <w:r>
        <w:rPr>
          <w:rFonts w:hint="eastAsia" w:ascii="宋体" w:hAnsi="宋体"/>
          <w:sz w:val="24"/>
          <w:szCs w:val="24"/>
        </w:rPr>
        <w:t>联合体参与投标。</w:t>
      </w:r>
    </w:p>
    <w:p w14:paraId="236F4D13">
      <w:pPr>
        <w:spacing w:line="360" w:lineRule="auto"/>
        <w:rPr>
          <w:rFonts w:ascii="宋体" w:hAnsi="宋体"/>
          <w:sz w:val="24"/>
          <w:szCs w:val="24"/>
        </w:rPr>
      </w:pPr>
      <w:r>
        <w:rPr>
          <w:rFonts w:hint="eastAsia" w:ascii="宋体" w:hAnsi="宋体"/>
          <w:sz w:val="24"/>
          <w:szCs w:val="24"/>
        </w:rPr>
        <w:t>4.</w:t>
      </w:r>
      <w:r>
        <w:rPr>
          <w:rFonts w:hint="eastAsia" w:ascii="宋体" w:hAnsi="宋体"/>
          <w:sz w:val="24"/>
          <w:szCs w:val="24"/>
          <w:u w:val="single"/>
        </w:rPr>
        <w:t xml:space="preserve">       （其他声明，由投标人自行填写）</w:t>
      </w:r>
      <w:r>
        <w:rPr>
          <w:rFonts w:hint="eastAsia" w:ascii="宋体" w:hAnsi="宋体"/>
          <w:sz w:val="24"/>
          <w:szCs w:val="24"/>
        </w:rPr>
        <w:t>。</w:t>
      </w:r>
    </w:p>
    <w:p w14:paraId="7FEC95EF">
      <w:pPr>
        <w:spacing w:line="360" w:lineRule="auto"/>
        <w:rPr>
          <w:rFonts w:ascii="宋体" w:hAnsi="宋体"/>
          <w:b/>
          <w:sz w:val="24"/>
          <w:szCs w:val="24"/>
        </w:rPr>
      </w:pPr>
      <w:r>
        <w:rPr>
          <w:rFonts w:hint="eastAsia" w:ascii="宋体" w:hAnsi="宋体"/>
          <w:b/>
          <w:sz w:val="24"/>
          <w:szCs w:val="24"/>
        </w:rPr>
        <w:t>我单位保证上述声明真实、有效、可查。</w:t>
      </w:r>
    </w:p>
    <w:p w14:paraId="3240EF55">
      <w:pPr>
        <w:spacing w:line="360" w:lineRule="auto"/>
        <w:rPr>
          <w:rFonts w:ascii="宋体" w:hAnsi="宋体"/>
          <w:b/>
          <w:sz w:val="24"/>
          <w:szCs w:val="24"/>
        </w:rPr>
      </w:pPr>
      <w:r>
        <w:rPr>
          <w:rFonts w:hint="eastAsia" w:ascii="宋体" w:hAnsi="宋体"/>
          <w:b/>
          <w:sz w:val="24"/>
          <w:szCs w:val="24"/>
        </w:rPr>
        <w:t>特此声明。 </w:t>
      </w:r>
    </w:p>
    <w:p w14:paraId="002A4CF3">
      <w:pPr>
        <w:spacing w:line="360" w:lineRule="auto"/>
        <w:ind w:firstLine="2" w:firstLineChars="1"/>
        <w:rPr>
          <w:sz w:val="24"/>
          <w:szCs w:val="21"/>
        </w:rPr>
      </w:pPr>
    </w:p>
    <w:p w14:paraId="71D6BB2D">
      <w:pPr>
        <w:spacing w:line="360" w:lineRule="auto"/>
        <w:jc w:val="left"/>
        <w:rPr>
          <w:rFonts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55D79054">
      <w:pPr>
        <w:spacing w:line="360" w:lineRule="auto"/>
        <w:jc w:val="left"/>
        <w:rPr>
          <w:rFonts w:ascii="宋体" w:hAnsi="宋体"/>
          <w:b/>
          <w:sz w:val="24"/>
        </w:rPr>
      </w:pPr>
      <w:r>
        <w:rPr>
          <w:rFonts w:hint="eastAsia" w:ascii="宋体" w:hAnsi="宋体"/>
          <w:b/>
          <w:sz w:val="24"/>
        </w:rPr>
        <w:t>法定代表人/负责人或其委托代理人：</w:t>
      </w:r>
      <w:r>
        <w:rPr>
          <w:rFonts w:ascii="宋体" w:hAnsi="宋体"/>
          <w:b/>
          <w:sz w:val="24"/>
          <w:u w:val="single"/>
        </w:rPr>
        <w:t xml:space="preserve">               </w:t>
      </w:r>
      <w:r>
        <w:rPr>
          <w:rFonts w:hint="eastAsia" w:ascii="宋体" w:hAnsi="宋体"/>
          <w:b/>
          <w:sz w:val="24"/>
        </w:rPr>
        <w:t>（电子签名）</w:t>
      </w:r>
    </w:p>
    <w:p w14:paraId="49C8CCCB">
      <w:pPr>
        <w:spacing w:line="360" w:lineRule="auto"/>
        <w:jc w:val="left"/>
        <w:rPr>
          <w:rFonts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37655F43">
      <w:pPr>
        <w:spacing w:after="120" w:line="360" w:lineRule="auto"/>
        <w:ind w:firstLine="482"/>
        <w:rPr>
          <w:rFonts w:ascii="宋体" w:hAnsi="宋体"/>
          <w:b/>
          <w:kern w:val="0"/>
          <w:sz w:val="24"/>
          <w:szCs w:val="24"/>
        </w:rPr>
      </w:pPr>
      <w:r>
        <w:rPr>
          <w:rFonts w:hint="eastAsia" w:ascii="宋体" w:hAnsi="宋体"/>
          <w:b/>
          <w:kern w:val="0"/>
          <w:sz w:val="24"/>
          <w:szCs w:val="24"/>
        </w:rPr>
        <w:t>注：</w:t>
      </w:r>
    </w:p>
    <w:p w14:paraId="47046D2C">
      <w:pPr>
        <w:spacing w:after="120" w:line="360" w:lineRule="auto"/>
        <w:ind w:firstLine="482"/>
        <w:rPr>
          <w:rFonts w:ascii="宋体" w:hAnsi="宋体"/>
          <w:b/>
          <w:kern w:val="0"/>
          <w:sz w:val="24"/>
          <w:szCs w:val="24"/>
        </w:rPr>
      </w:pPr>
      <w:r>
        <w:rPr>
          <w:rFonts w:hint="eastAsia" w:ascii="宋体" w:hAnsi="宋体"/>
          <w:b/>
          <w:kern w:val="0"/>
          <w:sz w:val="24"/>
          <w:szCs w:val="24"/>
        </w:rPr>
        <w:t>1、单位负责人，是指单位法定代表人或者法律、行政法规规定代表单位行使职权的主要负责人。</w:t>
      </w:r>
    </w:p>
    <w:p w14:paraId="0FDD170A">
      <w:pPr>
        <w:spacing w:after="120" w:line="360" w:lineRule="auto"/>
        <w:ind w:firstLine="482"/>
        <w:rPr>
          <w:rFonts w:ascii="宋体" w:hAnsi="宋体"/>
          <w:b/>
          <w:kern w:val="0"/>
          <w:sz w:val="24"/>
          <w:szCs w:val="24"/>
        </w:rPr>
      </w:pPr>
      <w:r>
        <w:rPr>
          <w:rFonts w:hint="eastAsia" w:ascii="宋体" w:hAnsi="宋体"/>
          <w:b/>
          <w:kern w:val="0"/>
          <w:sz w:val="24"/>
          <w:szCs w:val="24"/>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2FC99D3F">
      <w:pPr>
        <w:widowControl/>
        <w:ind w:firstLine="482" w:firstLineChars="200"/>
        <w:jc w:val="left"/>
        <w:rPr>
          <w:rFonts w:ascii="Calibri" w:hAnsi="Calibri" w:cs="Calibri"/>
          <w:sz w:val="21"/>
          <w:szCs w:val="22"/>
        </w:rPr>
      </w:pPr>
      <w:r>
        <w:rPr>
          <w:rFonts w:hint="eastAsia" w:ascii="宋体" w:hAnsi="宋体"/>
          <w:b/>
          <w:kern w:val="0"/>
          <w:sz w:val="24"/>
          <w:szCs w:val="24"/>
        </w:rPr>
        <w:t>3、直接管理关系，是指不具有出资持股关系的其他单位之间存在的直接管理与被管理关系，如上下级关系的事业单位和团体组织。</w:t>
      </w:r>
    </w:p>
    <w:p w14:paraId="64A23FB8">
      <w:pPr>
        <w:widowControl/>
        <w:jc w:val="left"/>
        <w:rPr>
          <w:rFonts w:ascii="宋体" w:hAnsi="宋体"/>
          <w:b/>
          <w:szCs w:val="28"/>
        </w:rPr>
      </w:pPr>
      <w:r>
        <w:rPr>
          <w:rFonts w:hint="eastAsia" w:ascii="宋体" w:hAnsi="宋体"/>
          <w:color w:val="000000"/>
          <w:sz w:val="21"/>
          <w:szCs w:val="24"/>
        </w:rPr>
        <w:br w:type="page"/>
      </w:r>
      <w:r>
        <w:rPr>
          <w:rFonts w:hint="eastAsia" w:ascii="宋体" w:hAnsi="宋体"/>
          <w:b/>
          <w:szCs w:val="28"/>
        </w:rPr>
        <w:t>格式4：</w:t>
      </w:r>
    </w:p>
    <w:p w14:paraId="3F735AC6">
      <w:pPr>
        <w:tabs>
          <w:tab w:val="left" w:pos="900"/>
          <w:tab w:val="left" w:pos="1588"/>
        </w:tabs>
        <w:adjustRightInd w:val="0"/>
        <w:spacing w:before="120" w:line="360" w:lineRule="auto"/>
        <w:jc w:val="center"/>
        <w:outlineLvl w:val="3"/>
        <w:rPr>
          <w:rFonts w:ascii="宋体" w:hAnsi="宋体"/>
          <w:b/>
          <w:kern w:val="0"/>
          <w:sz w:val="32"/>
          <w:szCs w:val="32"/>
          <w:lang w:val="zh-CN"/>
        </w:rPr>
      </w:pPr>
      <w:r>
        <w:rPr>
          <w:rFonts w:hint="eastAsia" w:ascii="宋体" w:hAnsi="宋体"/>
          <w:b/>
          <w:kern w:val="0"/>
          <w:sz w:val="32"/>
          <w:szCs w:val="32"/>
          <w:lang w:val="zh-CN"/>
        </w:rPr>
        <w:t>其他资格证明文件</w:t>
      </w:r>
    </w:p>
    <w:p w14:paraId="476E2B1B">
      <w:pPr>
        <w:spacing w:line="600" w:lineRule="exact"/>
        <w:jc w:val="center"/>
        <w:rPr>
          <w:rFonts w:ascii="宋体" w:hAnsi="宋体"/>
          <w:sz w:val="24"/>
          <w:szCs w:val="28"/>
        </w:rPr>
      </w:pPr>
      <w:r>
        <w:rPr>
          <w:rFonts w:hint="eastAsia" w:ascii="宋体" w:hAnsi="宋体"/>
          <w:sz w:val="24"/>
          <w:szCs w:val="28"/>
        </w:rPr>
        <w:t>“申请人的资格要求”要求提供的其他材料或投标人认为有必要提供的其他材料。</w:t>
      </w:r>
    </w:p>
    <w:p w14:paraId="68788818">
      <w:pPr>
        <w:widowControl/>
        <w:jc w:val="left"/>
        <w:rPr>
          <w:rFonts w:ascii="宋体" w:hAnsi="宋体"/>
          <w:sz w:val="24"/>
          <w:szCs w:val="28"/>
        </w:rPr>
      </w:pPr>
    </w:p>
    <w:p w14:paraId="7309E006">
      <w:pPr>
        <w:spacing w:line="600" w:lineRule="exact"/>
        <w:jc w:val="center"/>
        <w:rPr>
          <w:rFonts w:ascii="宋体" w:hAnsi="宋体"/>
          <w:color w:val="000000"/>
          <w:sz w:val="24"/>
          <w:szCs w:val="28"/>
        </w:rPr>
      </w:pPr>
    </w:p>
    <w:p w14:paraId="5CE4482E">
      <w:pPr>
        <w:widowControl/>
        <w:jc w:val="left"/>
        <w:rPr>
          <w:rFonts w:ascii="宋体" w:hAnsi="宋体"/>
          <w:color w:val="000000"/>
          <w:sz w:val="24"/>
          <w:szCs w:val="28"/>
        </w:rPr>
      </w:pPr>
    </w:p>
    <w:p w14:paraId="3CB1EC3F">
      <w:pPr>
        <w:spacing w:line="600" w:lineRule="exact"/>
        <w:rPr>
          <w:rFonts w:ascii="宋体" w:hAnsi="宋体"/>
          <w:color w:val="000000"/>
          <w:sz w:val="30"/>
          <w:szCs w:val="30"/>
        </w:rPr>
      </w:pPr>
      <w:r>
        <w:rPr>
          <w:rFonts w:hint="eastAsia" w:ascii="宋体" w:hAnsi="宋体"/>
          <w:color w:val="000000"/>
          <w:sz w:val="21"/>
        </w:rPr>
        <w:br w:type="page"/>
      </w:r>
    </w:p>
    <w:p w14:paraId="10C0F712">
      <w:pPr>
        <w:keepNext/>
        <w:adjustRightInd w:val="0"/>
        <w:spacing w:before="120" w:line="360" w:lineRule="auto"/>
        <w:jc w:val="center"/>
        <w:textAlignment w:val="baseline"/>
        <w:outlineLvl w:val="1"/>
        <w:rPr>
          <w:rFonts w:ascii="宋体" w:hAnsi="宋体"/>
          <w:b/>
          <w:color w:val="000000"/>
          <w:kern w:val="0"/>
          <w:sz w:val="32"/>
          <w:szCs w:val="32"/>
        </w:rPr>
      </w:pPr>
      <w:bookmarkStart w:id="70" w:name="_Toc63070517"/>
      <w:bookmarkStart w:id="71" w:name="_Toc152246155"/>
      <w:r>
        <w:rPr>
          <w:rFonts w:hint="eastAsia" w:ascii="宋体" w:hAnsi="宋体"/>
          <w:b/>
          <w:color w:val="000000"/>
          <w:kern w:val="0"/>
          <w:sz w:val="32"/>
          <w:szCs w:val="32"/>
        </w:rPr>
        <w:t>二、技术部分</w:t>
      </w:r>
      <w:bookmarkEnd w:id="70"/>
      <w:bookmarkEnd w:id="71"/>
    </w:p>
    <w:p w14:paraId="55D31A45">
      <w:pPr>
        <w:spacing w:line="600" w:lineRule="exact"/>
        <w:rPr>
          <w:rFonts w:ascii="宋体" w:hAnsi="宋体"/>
          <w:b/>
          <w:color w:val="000000"/>
          <w:szCs w:val="28"/>
        </w:rPr>
      </w:pPr>
      <w:r>
        <w:rPr>
          <w:rFonts w:hint="eastAsia" w:ascii="宋体" w:hAnsi="宋体"/>
          <w:b/>
          <w:color w:val="000000"/>
          <w:szCs w:val="28"/>
        </w:rPr>
        <w:t>格式1：</w:t>
      </w:r>
    </w:p>
    <w:p w14:paraId="1EA3B3C4">
      <w:pPr>
        <w:spacing w:line="500" w:lineRule="exact"/>
        <w:jc w:val="center"/>
        <w:outlineLvl w:val="2"/>
        <w:rPr>
          <w:rFonts w:ascii="宋体" w:hAnsi="宋体"/>
          <w:b/>
          <w:color w:val="000000"/>
          <w:kern w:val="0"/>
          <w:sz w:val="32"/>
          <w:szCs w:val="32"/>
        </w:rPr>
      </w:pPr>
      <w:r>
        <w:rPr>
          <w:rFonts w:hint="eastAsia" w:ascii="宋体" w:hAnsi="宋体"/>
          <w:b/>
          <w:color w:val="000000"/>
          <w:kern w:val="0"/>
          <w:sz w:val="32"/>
          <w:szCs w:val="32"/>
        </w:rPr>
        <w:t>服务指标规范响应表</w:t>
      </w:r>
    </w:p>
    <w:p w14:paraId="093432DC">
      <w:pPr>
        <w:rPr>
          <w:rFonts w:ascii="宋体" w:hAnsi="宋体"/>
          <w:color w:val="000000"/>
          <w:sz w:val="24"/>
          <w:szCs w:val="24"/>
        </w:rPr>
      </w:pPr>
      <w:r>
        <w:rPr>
          <w:rFonts w:hint="eastAsia" w:ascii="宋体" w:hAnsi="宋体"/>
          <w:b/>
          <w:color w:val="000000"/>
          <w:sz w:val="24"/>
          <w:szCs w:val="24"/>
        </w:rPr>
        <w:t xml:space="preserve">项目名称：                                          招标编号：           </w:t>
      </w:r>
    </w:p>
    <w:tbl>
      <w:tblPr>
        <w:tblStyle w:val="31"/>
        <w:tblW w:w="10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5"/>
      </w:tblGrid>
      <w:tr w14:paraId="51EF2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1" w:hRule="atLeast"/>
          <w:jc w:val="center"/>
        </w:trPr>
        <w:tc>
          <w:tcPr>
            <w:tcW w:w="10245" w:type="dxa"/>
            <w:tcBorders>
              <w:top w:val="single" w:color="auto" w:sz="4" w:space="0"/>
              <w:left w:val="single" w:color="auto" w:sz="4" w:space="0"/>
              <w:bottom w:val="single" w:color="auto" w:sz="4" w:space="0"/>
              <w:right w:val="single" w:color="auto" w:sz="4" w:space="0"/>
            </w:tcBorders>
            <w:vAlign w:val="center"/>
          </w:tcPr>
          <w:p w14:paraId="328FCE6E">
            <w:pPr>
              <w:spacing w:line="360" w:lineRule="auto"/>
              <w:jc w:val="center"/>
              <w:rPr>
                <w:color w:val="000000"/>
                <w:sz w:val="21"/>
                <w:szCs w:val="21"/>
              </w:rPr>
            </w:pPr>
            <w:r>
              <w:rPr>
                <w:rFonts w:hint="eastAsia" w:ascii="宋体" w:hAnsi="宋体"/>
                <w:sz w:val="24"/>
              </w:rPr>
              <w:t>投标单位在满足招标文件要求的前提下，结合自身实际进行编写，格式自拟。</w:t>
            </w:r>
          </w:p>
        </w:tc>
      </w:tr>
    </w:tbl>
    <w:p w14:paraId="5ED4F020">
      <w:pPr>
        <w:spacing w:line="360" w:lineRule="auto"/>
        <w:jc w:val="left"/>
        <w:rPr>
          <w:rFonts w:ascii="宋体" w:hAnsi="宋体"/>
          <w:b/>
          <w:sz w:val="24"/>
        </w:rPr>
      </w:pPr>
    </w:p>
    <w:p w14:paraId="2A0CF3BD">
      <w:pPr>
        <w:spacing w:line="360" w:lineRule="auto"/>
        <w:jc w:val="left"/>
        <w:rPr>
          <w:rFonts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4DEF53A7">
      <w:pPr>
        <w:spacing w:line="360" w:lineRule="auto"/>
        <w:jc w:val="left"/>
        <w:rPr>
          <w:rFonts w:ascii="宋体" w:hAnsi="宋体"/>
          <w:b/>
          <w:sz w:val="24"/>
        </w:rPr>
      </w:pPr>
      <w:r>
        <w:rPr>
          <w:rFonts w:hint="eastAsia" w:ascii="宋体" w:hAnsi="宋体"/>
          <w:b/>
          <w:sz w:val="24"/>
        </w:rPr>
        <w:t>法定代表人/负责人或其委托代理人：</w:t>
      </w:r>
      <w:r>
        <w:rPr>
          <w:rFonts w:ascii="宋体" w:hAnsi="宋体"/>
          <w:b/>
          <w:sz w:val="24"/>
          <w:u w:val="single"/>
        </w:rPr>
        <w:t xml:space="preserve">               </w:t>
      </w:r>
      <w:r>
        <w:rPr>
          <w:rFonts w:hint="eastAsia" w:ascii="宋体" w:hAnsi="宋体"/>
          <w:b/>
          <w:sz w:val="24"/>
        </w:rPr>
        <w:t>（电子签名）</w:t>
      </w:r>
    </w:p>
    <w:p w14:paraId="71691E22">
      <w:pPr>
        <w:spacing w:line="360" w:lineRule="auto"/>
        <w:jc w:val="left"/>
        <w:rPr>
          <w:rFonts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68B5F0D7">
      <w:pPr>
        <w:spacing w:line="360" w:lineRule="auto"/>
        <w:ind w:firstLine="2" w:firstLineChars="1"/>
        <w:rPr>
          <w:rFonts w:ascii="宋体" w:hAnsi="宋体"/>
          <w:b/>
          <w:color w:val="000000"/>
          <w:sz w:val="24"/>
          <w:szCs w:val="24"/>
        </w:rPr>
      </w:pPr>
    </w:p>
    <w:p w14:paraId="26E556ED">
      <w:pPr>
        <w:spacing w:line="600" w:lineRule="exact"/>
        <w:rPr>
          <w:rFonts w:ascii="宋体" w:hAnsi="宋体"/>
          <w:b/>
          <w:color w:val="000000"/>
          <w:szCs w:val="28"/>
        </w:rPr>
      </w:pPr>
      <w:r>
        <w:rPr>
          <w:rFonts w:hint="eastAsia" w:ascii="宋体" w:hAnsi="宋体"/>
          <w:b/>
          <w:color w:val="000000"/>
          <w:szCs w:val="28"/>
        </w:rPr>
        <w:br w:type="page"/>
      </w:r>
      <w:bookmarkStart w:id="72" w:name="_Toc213141099"/>
      <w:bookmarkStart w:id="73" w:name="_Toc496122213"/>
      <w:r>
        <w:rPr>
          <w:rFonts w:hint="eastAsia" w:ascii="宋体" w:hAnsi="宋体"/>
          <w:b/>
          <w:color w:val="000000"/>
          <w:szCs w:val="28"/>
        </w:rPr>
        <w:t>格式</w:t>
      </w:r>
      <w:r>
        <w:rPr>
          <w:rFonts w:ascii="宋体" w:hAnsi="宋体"/>
          <w:b/>
          <w:color w:val="000000"/>
          <w:szCs w:val="28"/>
        </w:rPr>
        <w:t>2</w:t>
      </w:r>
      <w:r>
        <w:rPr>
          <w:rFonts w:hint="eastAsia" w:ascii="宋体" w:hAnsi="宋体"/>
          <w:b/>
          <w:color w:val="000000"/>
          <w:szCs w:val="28"/>
        </w:rPr>
        <w:t>：</w:t>
      </w:r>
    </w:p>
    <w:bookmarkEnd w:id="72"/>
    <w:bookmarkEnd w:id="73"/>
    <w:p w14:paraId="47448E60">
      <w:pPr>
        <w:spacing w:line="500" w:lineRule="exact"/>
        <w:jc w:val="center"/>
        <w:outlineLvl w:val="2"/>
        <w:rPr>
          <w:rFonts w:ascii="宋体" w:hAnsi="宋体"/>
          <w:b/>
          <w:kern w:val="0"/>
          <w:sz w:val="32"/>
          <w:szCs w:val="32"/>
        </w:rPr>
      </w:pPr>
      <w:r>
        <w:rPr>
          <w:rFonts w:hint="eastAsia" w:ascii="宋体" w:hAnsi="宋体"/>
          <w:b/>
          <w:kern w:val="0"/>
          <w:sz w:val="32"/>
          <w:szCs w:val="32"/>
        </w:rPr>
        <w:t>技术文件</w:t>
      </w:r>
    </w:p>
    <w:p w14:paraId="2C16CF45">
      <w:pPr>
        <w:spacing w:line="360" w:lineRule="auto"/>
        <w:ind w:firstLine="480" w:firstLineChars="200"/>
        <w:rPr>
          <w:rFonts w:ascii="宋体" w:hAnsi="宋体"/>
          <w:sz w:val="24"/>
          <w:szCs w:val="24"/>
        </w:rPr>
      </w:pPr>
      <w:r>
        <w:rPr>
          <w:rFonts w:hint="eastAsia" w:ascii="宋体" w:hAnsi="宋体"/>
          <w:sz w:val="24"/>
          <w:szCs w:val="24"/>
        </w:rPr>
        <w:t>由供应商按第五章的相关要求，结合项目实际情况自行编制拟定，但应至少包含以下几个方面：</w:t>
      </w:r>
    </w:p>
    <w:p w14:paraId="021A4E1B">
      <w:pPr>
        <w:spacing w:line="360" w:lineRule="auto"/>
        <w:ind w:firstLine="480" w:firstLineChars="200"/>
        <w:rPr>
          <w:rFonts w:ascii="宋体" w:hAnsi="宋体"/>
          <w:sz w:val="24"/>
        </w:rPr>
      </w:pPr>
      <w:r>
        <w:rPr>
          <w:rFonts w:hint="eastAsia" w:ascii="宋体" w:hAnsi="宋体"/>
          <w:sz w:val="24"/>
        </w:rPr>
        <w:t>一、供应商情况简介；</w:t>
      </w:r>
    </w:p>
    <w:p w14:paraId="46331296">
      <w:pPr>
        <w:spacing w:line="360" w:lineRule="auto"/>
        <w:ind w:firstLine="480" w:firstLineChars="200"/>
        <w:rPr>
          <w:rFonts w:ascii="宋体" w:hAnsi="宋体"/>
          <w:sz w:val="24"/>
        </w:rPr>
      </w:pPr>
      <w:r>
        <w:rPr>
          <w:rFonts w:hint="eastAsia" w:ascii="宋体" w:hAnsi="宋体"/>
          <w:sz w:val="24"/>
        </w:rPr>
        <w:t>二、类似项目经验和成果简介；</w:t>
      </w:r>
    </w:p>
    <w:p w14:paraId="305CE7DA">
      <w:pPr>
        <w:spacing w:line="360" w:lineRule="auto"/>
        <w:ind w:firstLine="482" w:firstLineChars="200"/>
        <w:rPr>
          <w:rFonts w:ascii="宋体" w:hAnsi="宋体"/>
          <w:b/>
          <w:bCs/>
          <w:sz w:val="24"/>
        </w:rPr>
      </w:pPr>
      <w:r>
        <w:rPr>
          <w:rFonts w:hint="eastAsia" w:ascii="宋体" w:hAnsi="宋体"/>
          <w:b/>
          <w:bCs/>
          <w:sz w:val="24"/>
        </w:rPr>
        <w:t>三、</w:t>
      </w:r>
      <w:r>
        <w:rPr>
          <w:rFonts w:hint="eastAsia" w:ascii="宋体" w:hAnsi="宋体"/>
          <w:b/>
          <w:color w:val="000000"/>
          <w:sz w:val="24"/>
        </w:rPr>
        <w:t>物流服务方案</w:t>
      </w:r>
    </w:p>
    <w:p w14:paraId="77375B20">
      <w:pPr>
        <w:spacing w:line="360" w:lineRule="auto"/>
        <w:ind w:firstLine="482" w:firstLineChars="200"/>
        <w:rPr>
          <w:rFonts w:ascii="宋体" w:hAnsi="宋体"/>
          <w:b/>
          <w:color w:val="000000"/>
          <w:sz w:val="24"/>
        </w:rPr>
      </w:pPr>
      <w:r>
        <w:rPr>
          <w:rFonts w:hint="eastAsia" w:ascii="宋体" w:hAnsi="宋体"/>
          <w:b/>
          <w:color w:val="000000"/>
          <w:sz w:val="24"/>
        </w:rPr>
        <w:t>（一）物流服务方案</w:t>
      </w:r>
    </w:p>
    <w:p w14:paraId="21AFDF07">
      <w:pPr>
        <w:spacing w:line="360" w:lineRule="auto"/>
        <w:ind w:firstLine="482" w:firstLineChars="200"/>
        <w:rPr>
          <w:rFonts w:ascii="宋体" w:hAnsi="宋体"/>
          <w:b/>
          <w:color w:val="000000"/>
          <w:sz w:val="24"/>
        </w:rPr>
      </w:pPr>
      <w:r>
        <w:rPr>
          <w:rFonts w:hint="eastAsia" w:ascii="宋体" w:hAnsi="宋体"/>
          <w:b/>
          <w:color w:val="000000"/>
          <w:sz w:val="24"/>
        </w:rPr>
        <w:t>（二）运输保障方案</w:t>
      </w:r>
    </w:p>
    <w:p w14:paraId="730BC184">
      <w:pPr>
        <w:spacing w:line="360" w:lineRule="auto"/>
        <w:ind w:firstLine="482" w:firstLineChars="200"/>
        <w:rPr>
          <w:rFonts w:ascii="宋体" w:hAnsi="宋体"/>
          <w:b/>
          <w:bCs/>
          <w:sz w:val="24"/>
        </w:rPr>
      </w:pPr>
      <w:r>
        <w:rPr>
          <w:rFonts w:hint="eastAsia" w:ascii="宋体" w:hAnsi="宋体"/>
          <w:b/>
          <w:bCs/>
          <w:sz w:val="24"/>
        </w:rPr>
        <w:t>四、投标人运输能力</w:t>
      </w:r>
    </w:p>
    <w:p w14:paraId="250BEB14">
      <w:pPr>
        <w:spacing w:line="360" w:lineRule="auto"/>
        <w:ind w:firstLine="482" w:firstLineChars="200"/>
        <w:rPr>
          <w:rFonts w:ascii="宋体" w:hAnsi="宋体"/>
          <w:b/>
          <w:bCs/>
          <w:sz w:val="24"/>
        </w:rPr>
      </w:pPr>
      <w:r>
        <w:rPr>
          <w:rFonts w:hint="eastAsia" w:ascii="宋体" w:hAnsi="宋体"/>
          <w:b/>
          <w:bCs/>
          <w:sz w:val="24"/>
        </w:rPr>
        <w:t>五、</w:t>
      </w:r>
      <w:r>
        <w:rPr>
          <w:rFonts w:hint="eastAsia" w:ascii="宋体" w:hAnsi="宋体"/>
          <w:b/>
          <w:color w:val="000000"/>
          <w:sz w:val="24"/>
        </w:rPr>
        <w:t>仓储能力评价</w:t>
      </w:r>
    </w:p>
    <w:p w14:paraId="55461723">
      <w:pPr>
        <w:spacing w:line="360" w:lineRule="auto"/>
        <w:ind w:firstLine="482" w:firstLineChars="200"/>
        <w:rPr>
          <w:rFonts w:ascii="宋体" w:hAnsi="宋体"/>
          <w:b/>
          <w:bCs/>
          <w:sz w:val="24"/>
        </w:rPr>
      </w:pPr>
      <w:r>
        <w:rPr>
          <w:rFonts w:hint="eastAsia" w:ascii="宋体" w:hAnsi="宋体"/>
          <w:b/>
          <w:bCs/>
          <w:sz w:val="24"/>
        </w:rPr>
        <w:t>六、</w:t>
      </w:r>
      <w:r>
        <w:rPr>
          <w:rFonts w:hint="eastAsia" w:ascii="宋体" w:hAnsi="宋体"/>
          <w:b/>
          <w:color w:val="000000"/>
          <w:sz w:val="24"/>
        </w:rPr>
        <w:t>制度管理</w:t>
      </w:r>
    </w:p>
    <w:p w14:paraId="7CF26E61">
      <w:pPr>
        <w:spacing w:line="360" w:lineRule="auto"/>
        <w:ind w:firstLine="482" w:firstLineChars="200"/>
        <w:rPr>
          <w:rFonts w:ascii="宋体" w:hAnsi="宋体"/>
          <w:b/>
          <w:bCs/>
          <w:sz w:val="24"/>
        </w:rPr>
      </w:pPr>
      <w:r>
        <w:rPr>
          <w:rFonts w:hint="eastAsia" w:ascii="宋体" w:hAnsi="宋体"/>
          <w:b/>
          <w:bCs/>
          <w:sz w:val="24"/>
        </w:rPr>
        <w:t>七、</w:t>
      </w:r>
      <w:r>
        <w:rPr>
          <w:rFonts w:hint="eastAsia" w:ascii="宋体" w:hAnsi="宋体"/>
          <w:b/>
          <w:sz w:val="24"/>
          <w:szCs w:val="24"/>
        </w:rPr>
        <w:t>应急风险预案</w:t>
      </w:r>
    </w:p>
    <w:p w14:paraId="7B81892E">
      <w:pPr>
        <w:spacing w:line="360" w:lineRule="auto"/>
        <w:ind w:firstLine="480" w:firstLineChars="200"/>
        <w:rPr>
          <w:rFonts w:ascii="宋体" w:hAnsi="宋体"/>
          <w:sz w:val="24"/>
        </w:rPr>
      </w:pPr>
      <w:r>
        <w:rPr>
          <w:rFonts w:hint="eastAsia" w:ascii="宋体" w:hAnsi="宋体"/>
          <w:sz w:val="24"/>
        </w:rPr>
        <w:t>八、按照国家、行业标准应予承诺的其它服务内容。</w:t>
      </w:r>
    </w:p>
    <w:p w14:paraId="337892FC">
      <w:pPr>
        <w:spacing w:line="360" w:lineRule="auto"/>
        <w:ind w:firstLine="480" w:firstLineChars="200"/>
        <w:rPr>
          <w:rFonts w:ascii="宋体" w:hAnsi="宋体"/>
          <w:color w:val="000000"/>
          <w:sz w:val="21"/>
          <w:szCs w:val="21"/>
        </w:rPr>
      </w:pPr>
      <w:r>
        <w:rPr>
          <w:rFonts w:hint="eastAsia" w:ascii="宋体" w:hAnsi="宋体"/>
          <w:color w:val="000000"/>
          <w:sz w:val="24"/>
        </w:rPr>
        <w:t>……</w:t>
      </w:r>
    </w:p>
    <w:p w14:paraId="33ABAF54">
      <w:pPr>
        <w:spacing w:line="360" w:lineRule="auto"/>
        <w:ind w:firstLine="480" w:firstLineChars="200"/>
        <w:rPr>
          <w:rFonts w:ascii="宋体" w:hAnsi="宋体"/>
          <w:color w:val="000000"/>
          <w:sz w:val="24"/>
        </w:rPr>
      </w:pPr>
    </w:p>
    <w:p w14:paraId="5C7204ED">
      <w:pPr>
        <w:pStyle w:val="9"/>
      </w:pPr>
    </w:p>
    <w:p w14:paraId="1D33E904">
      <w:pPr>
        <w:spacing w:line="600" w:lineRule="exact"/>
        <w:rPr>
          <w:rFonts w:ascii="宋体" w:hAnsi="宋体"/>
          <w:b/>
          <w:szCs w:val="28"/>
        </w:rPr>
      </w:pPr>
      <w:r>
        <w:br w:type="page"/>
      </w:r>
      <w:r>
        <w:rPr>
          <w:rFonts w:hint="eastAsia" w:ascii="宋体" w:hAnsi="宋体"/>
          <w:b/>
          <w:szCs w:val="28"/>
        </w:rPr>
        <w:t>格式3：</w:t>
      </w:r>
    </w:p>
    <w:p w14:paraId="6B7F0E06">
      <w:pPr>
        <w:spacing w:line="600" w:lineRule="exact"/>
        <w:rPr>
          <w:rFonts w:ascii="宋体" w:hAnsi="宋体"/>
          <w:b/>
          <w:szCs w:val="28"/>
        </w:rPr>
      </w:pPr>
      <w:r>
        <w:rPr>
          <w:rFonts w:hint="eastAsia" w:ascii="宋体" w:hAnsi="宋体"/>
          <w:b/>
          <w:szCs w:val="28"/>
        </w:rPr>
        <w:t>格式3-1</w:t>
      </w:r>
    </w:p>
    <w:p w14:paraId="0449F8A4">
      <w:pPr>
        <w:tabs>
          <w:tab w:val="left" w:pos="900"/>
          <w:tab w:val="left" w:pos="1588"/>
        </w:tabs>
        <w:adjustRightInd w:val="0"/>
        <w:spacing w:before="120" w:line="360" w:lineRule="auto"/>
        <w:jc w:val="center"/>
        <w:outlineLvl w:val="2"/>
        <w:rPr>
          <w:rFonts w:ascii="宋体" w:hAnsi="宋体"/>
          <w:b/>
          <w:kern w:val="0"/>
          <w:sz w:val="32"/>
          <w:szCs w:val="32"/>
          <w:lang w:val="zh-CN"/>
        </w:rPr>
      </w:pPr>
      <w:bookmarkStart w:id="74" w:name="_Toc531895133"/>
      <w:bookmarkStart w:id="75" w:name="_Toc386046245"/>
      <w:bookmarkStart w:id="76" w:name="_Toc531895132"/>
      <w:r>
        <w:rPr>
          <w:rFonts w:hint="eastAsia" w:ascii="宋体" w:hAnsi="宋体"/>
          <w:b/>
          <w:kern w:val="0"/>
          <w:sz w:val="32"/>
          <w:szCs w:val="32"/>
          <w:lang w:val="zh-CN"/>
        </w:rPr>
        <w:t>项目负责人简历表</w:t>
      </w:r>
      <w:bookmarkEnd w:id="74"/>
    </w:p>
    <w:tbl>
      <w:tblPr>
        <w:tblStyle w:val="31"/>
        <w:tblW w:w="9855" w:type="dxa"/>
        <w:jc w:val="center"/>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1378"/>
        <w:gridCol w:w="1267"/>
        <w:gridCol w:w="913"/>
        <w:gridCol w:w="1411"/>
        <w:gridCol w:w="2521"/>
        <w:gridCol w:w="2365"/>
      </w:tblGrid>
      <w:tr w14:paraId="5D2197B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377" w:type="dxa"/>
            <w:tcBorders>
              <w:top w:val="thinThickSmallGap" w:color="auto" w:sz="24" w:space="0"/>
              <w:left w:val="thinThickSmallGap" w:color="auto" w:sz="24" w:space="0"/>
              <w:bottom w:val="single" w:color="auto" w:sz="4" w:space="0"/>
              <w:right w:val="single" w:color="auto" w:sz="4" w:space="0"/>
            </w:tcBorders>
            <w:vAlign w:val="center"/>
          </w:tcPr>
          <w:p w14:paraId="24D453D1">
            <w:pPr>
              <w:snapToGrid w:val="0"/>
              <w:spacing w:line="360" w:lineRule="auto"/>
              <w:jc w:val="center"/>
              <w:rPr>
                <w:rFonts w:ascii="宋体" w:hAnsi="宋体"/>
                <w:bCs/>
                <w:sz w:val="24"/>
                <w:szCs w:val="24"/>
              </w:rPr>
            </w:pPr>
            <w:r>
              <w:rPr>
                <w:rFonts w:hint="eastAsia" w:ascii="宋体" w:hAnsi="宋体"/>
                <w:bCs/>
                <w:sz w:val="24"/>
                <w:szCs w:val="24"/>
              </w:rPr>
              <w:t>姓名</w:t>
            </w:r>
          </w:p>
        </w:tc>
        <w:tc>
          <w:tcPr>
            <w:tcW w:w="1267" w:type="dxa"/>
            <w:tcBorders>
              <w:top w:val="thinThickSmallGap" w:color="auto" w:sz="24" w:space="0"/>
              <w:left w:val="single" w:color="auto" w:sz="4" w:space="0"/>
              <w:bottom w:val="single" w:color="auto" w:sz="4" w:space="0"/>
              <w:right w:val="single" w:color="auto" w:sz="4" w:space="0"/>
            </w:tcBorders>
            <w:vAlign w:val="center"/>
          </w:tcPr>
          <w:p w14:paraId="00A04129">
            <w:pPr>
              <w:snapToGrid w:val="0"/>
              <w:spacing w:line="360" w:lineRule="auto"/>
              <w:jc w:val="center"/>
              <w:rPr>
                <w:rFonts w:ascii="宋体" w:hAnsi="宋体"/>
                <w:bCs/>
                <w:sz w:val="24"/>
                <w:szCs w:val="24"/>
              </w:rPr>
            </w:pPr>
          </w:p>
        </w:tc>
        <w:tc>
          <w:tcPr>
            <w:tcW w:w="913" w:type="dxa"/>
            <w:tcBorders>
              <w:top w:val="thinThickSmallGap" w:color="auto" w:sz="24" w:space="0"/>
              <w:left w:val="single" w:color="auto" w:sz="4" w:space="0"/>
              <w:bottom w:val="single" w:color="auto" w:sz="4" w:space="0"/>
              <w:right w:val="single" w:color="auto" w:sz="4" w:space="0"/>
            </w:tcBorders>
            <w:vAlign w:val="center"/>
          </w:tcPr>
          <w:p w14:paraId="1EF07945">
            <w:pPr>
              <w:snapToGrid w:val="0"/>
              <w:spacing w:line="360" w:lineRule="auto"/>
              <w:jc w:val="center"/>
              <w:rPr>
                <w:rFonts w:ascii="宋体" w:hAnsi="宋体"/>
                <w:bCs/>
                <w:sz w:val="24"/>
                <w:szCs w:val="24"/>
              </w:rPr>
            </w:pPr>
            <w:r>
              <w:rPr>
                <w:rFonts w:hint="eastAsia" w:ascii="宋体" w:hAnsi="宋体"/>
                <w:bCs/>
                <w:sz w:val="24"/>
                <w:szCs w:val="24"/>
              </w:rPr>
              <w:t>年龄</w:t>
            </w:r>
          </w:p>
        </w:tc>
        <w:tc>
          <w:tcPr>
            <w:tcW w:w="1411" w:type="dxa"/>
            <w:tcBorders>
              <w:top w:val="thinThickSmallGap" w:color="auto" w:sz="24" w:space="0"/>
              <w:left w:val="single" w:color="auto" w:sz="4" w:space="0"/>
              <w:bottom w:val="single" w:color="auto" w:sz="4" w:space="0"/>
              <w:right w:val="single" w:color="auto" w:sz="4" w:space="0"/>
            </w:tcBorders>
            <w:vAlign w:val="center"/>
          </w:tcPr>
          <w:p w14:paraId="0A690877">
            <w:pPr>
              <w:snapToGrid w:val="0"/>
              <w:spacing w:line="360" w:lineRule="auto"/>
              <w:jc w:val="center"/>
              <w:rPr>
                <w:rFonts w:ascii="宋体" w:hAnsi="宋体"/>
                <w:bCs/>
                <w:sz w:val="24"/>
                <w:szCs w:val="24"/>
              </w:rPr>
            </w:pPr>
          </w:p>
        </w:tc>
        <w:tc>
          <w:tcPr>
            <w:tcW w:w="2520" w:type="dxa"/>
            <w:tcBorders>
              <w:top w:val="thinThickSmallGap" w:color="auto" w:sz="24" w:space="0"/>
              <w:left w:val="single" w:color="auto" w:sz="4" w:space="0"/>
              <w:bottom w:val="single" w:color="auto" w:sz="4" w:space="0"/>
              <w:right w:val="single" w:color="auto" w:sz="4" w:space="0"/>
            </w:tcBorders>
            <w:vAlign w:val="center"/>
          </w:tcPr>
          <w:p w14:paraId="7A766547">
            <w:pPr>
              <w:snapToGrid w:val="0"/>
              <w:spacing w:line="360" w:lineRule="auto"/>
              <w:jc w:val="center"/>
              <w:rPr>
                <w:rFonts w:ascii="宋体" w:hAnsi="宋体"/>
                <w:bCs/>
                <w:sz w:val="24"/>
                <w:szCs w:val="24"/>
              </w:rPr>
            </w:pPr>
            <w:r>
              <w:rPr>
                <w:rFonts w:hint="eastAsia" w:ascii="宋体" w:hAnsi="宋体"/>
                <w:bCs/>
                <w:sz w:val="24"/>
                <w:szCs w:val="24"/>
              </w:rPr>
              <w:t>学历</w:t>
            </w:r>
          </w:p>
        </w:tc>
        <w:tc>
          <w:tcPr>
            <w:tcW w:w="2365" w:type="dxa"/>
            <w:tcBorders>
              <w:top w:val="thinThickSmallGap" w:color="auto" w:sz="24" w:space="0"/>
              <w:left w:val="single" w:color="auto" w:sz="4" w:space="0"/>
              <w:bottom w:val="single" w:color="auto" w:sz="4" w:space="0"/>
              <w:right w:val="thickThinSmallGap" w:color="auto" w:sz="24" w:space="0"/>
            </w:tcBorders>
            <w:vAlign w:val="center"/>
          </w:tcPr>
          <w:p w14:paraId="2B184526">
            <w:pPr>
              <w:snapToGrid w:val="0"/>
              <w:spacing w:line="360" w:lineRule="auto"/>
              <w:jc w:val="center"/>
              <w:rPr>
                <w:rFonts w:ascii="宋体" w:hAnsi="宋体"/>
                <w:bCs/>
                <w:sz w:val="24"/>
                <w:szCs w:val="24"/>
              </w:rPr>
            </w:pPr>
          </w:p>
        </w:tc>
      </w:tr>
      <w:tr w14:paraId="65952FB1">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7" w:type="dxa"/>
            <w:tcBorders>
              <w:top w:val="single" w:color="auto" w:sz="4" w:space="0"/>
              <w:left w:val="thinThickSmallGap" w:color="auto" w:sz="24" w:space="0"/>
              <w:bottom w:val="single" w:color="auto" w:sz="4" w:space="0"/>
              <w:right w:val="single" w:color="auto" w:sz="4" w:space="0"/>
            </w:tcBorders>
            <w:vAlign w:val="center"/>
          </w:tcPr>
          <w:p w14:paraId="6CC58025">
            <w:pPr>
              <w:snapToGrid w:val="0"/>
              <w:spacing w:line="360" w:lineRule="auto"/>
              <w:jc w:val="center"/>
              <w:rPr>
                <w:rFonts w:ascii="宋体" w:hAnsi="宋体"/>
                <w:bCs/>
                <w:sz w:val="24"/>
                <w:szCs w:val="24"/>
              </w:rPr>
            </w:pPr>
            <w:r>
              <w:rPr>
                <w:rFonts w:hint="eastAsia" w:ascii="宋体" w:hAnsi="宋体"/>
                <w:bCs/>
                <w:sz w:val="24"/>
                <w:szCs w:val="24"/>
              </w:rPr>
              <w:t>职务</w:t>
            </w: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6FD20EA3">
            <w:pPr>
              <w:snapToGrid w:val="0"/>
              <w:spacing w:line="360" w:lineRule="auto"/>
              <w:jc w:val="center"/>
              <w:rPr>
                <w:rFonts w:ascii="宋体" w:hAnsi="宋体"/>
                <w:bCs/>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68888583">
            <w:pPr>
              <w:snapToGrid w:val="0"/>
              <w:spacing w:line="360" w:lineRule="auto"/>
              <w:jc w:val="center"/>
              <w:rPr>
                <w:rFonts w:ascii="宋体" w:hAnsi="宋体"/>
                <w:bCs/>
                <w:sz w:val="24"/>
                <w:szCs w:val="24"/>
              </w:rPr>
            </w:pPr>
            <w:r>
              <w:rPr>
                <w:rFonts w:hint="eastAsia" w:ascii="宋体" w:hAnsi="宋体"/>
                <w:bCs/>
                <w:sz w:val="24"/>
                <w:szCs w:val="24"/>
              </w:rPr>
              <w:t>拟在本项目任职</w:t>
            </w:r>
          </w:p>
        </w:tc>
        <w:tc>
          <w:tcPr>
            <w:tcW w:w="2365" w:type="dxa"/>
            <w:tcBorders>
              <w:top w:val="single" w:color="auto" w:sz="4" w:space="0"/>
              <w:left w:val="single" w:color="auto" w:sz="4" w:space="0"/>
              <w:bottom w:val="single" w:color="auto" w:sz="4" w:space="0"/>
              <w:right w:val="thickThinSmallGap" w:color="auto" w:sz="24" w:space="0"/>
            </w:tcBorders>
            <w:vAlign w:val="center"/>
          </w:tcPr>
          <w:p w14:paraId="5876EDFF">
            <w:pPr>
              <w:snapToGrid w:val="0"/>
              <w:spacing w:line="360" w:lineRule="auto"/>
              <w:jc w:val="center"/>
              <w:rPr>
                <w:rFonts w:ascii="宋体" w:hAnsi="宋体"/>
                <w:bCs/>
                <w:sz w:val="24"/>
                <w:szCs w:val="24"/>
              </w:rPr>
            </w:pPr>
          </w:p>
        </w:tc>
      </w:tr>
      <w:tr w14:paraId="16FCA430">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557" w:type="dxa"/>
            <w:gridSpan w:val="3"/>
            <w:tcBorders>
              <w:top w:val="single" w:color="auto" w:sz="4" w:space="0"/>
              <w:left w:val="thinThickSmallGap" w:color="auto" w:sz="24" w:space="0"/>
              <w:bottom w:val="single" w:color="auto" w:sz="4" w:space="0"/>
              <w:right w:val="single" w:color="auto" w:sz="4" w:space="0"/>
            </w:tcBorders>
            <w:vAlign w:val="center"/>
          </w:tcPr>
          <w:p w14:paraId="27539443">
            <w:pPr>
              <w:snapToGrid w:val="0"/>
              <w:spacing w:line="360" w:lineRule="auto"/>
              <w:jc w:val="center"/>
              <w:rPr>
                <w:rFonts w:ascii="宋体" w:hAnsi="宋体"/>
                <w:bCs/>
                <w:sz w:val="24"/>
                <w:szCs w:val="24"/>
              </w:rPr>
            </w:pPr>
            <w:r>
              <w:rPr>
                <w:rFonts w:hint="eastAsia" w:ascii="宋体" w:hAnsi="宋体"/>
                <w:bCs/>
                <w:sz w:val="24"/>
                <w:szCs w:val="24"/>
              </w:rPr>
              <w:t>执业资格等级</w:t>
            </w:r>
          </w:p>
        </w:tc>
        <w:tc>
          <w:tcPr>
            <w:tcW w:w="1411" w:type="dxa"/>
            <w:tcBorders>
              <w:top w:val="single" w:color="auto" w:sz="4" w:space="0"/>
              <w:left w:val="single" w:color="auto" w:sz="4" w:space="0"/>
              <w:bottom w:val="single" w:color="auto" w:sz="4" w:space="0"/>
              <w:right w:val="single" w:color="auto" w:sz="4" w:space="0"/>
            </w:tcBorders>
            <w:vAlign w:val="center"/>
          </w:tcPr>
          <w:p w14:paraId="4C6B8496">
            <w:pPr>
              <w:snapToGrid w:val="0"/>
              <w:spacing w:line="360" w:lineRule="auto"/>
              <w:jc w:val="center"/>
              <w:rPr>
                <w:rFonts w:ascii="宋体" w:hAnsi="宋体"/>
                <w:bCs/>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53CA5BD0">
            <w:pPr>
              <w:snapToGrid w:val="0"/>
              <w:spacing w:line="360" w:lineRule="auto"/>
              <w:jc w:val="center"/>
              <w:rPr>
                <w:rFonts w:ascii="宋体" w:hAnsi="宋体"/>
                <w:bCs/>
                <w:sz w:val="24"/>
                <w:szCs w:val="24"/>
              </w:rPr>
            </w:pPr>
            <w:r>
              <w:rPr>
                <w:rFonts w:hint="eastAsia" w:ascii="宋体" w:hAnsi="宋体"/>
                <w:bCs/>
                <w:sz w:val="24"/>
                <w:szCs w:val="24"/>
              </w:rPr>
              <w:t>专业</w:t>
            </w:r>
          </w:p>
        </w:tc>
        <w:tc>
          <w:tcPr>
            <w:tcW w:w="2365" w:type="dxa"/>
            <w:tcBorders>
              <w:top w:val="single" w:color="auto" w:sz="4" w:space="0"/>
              <w:left w:val="single" w:color="auto" w:sz="4" w:space="0"/>
              <w:bottom w:val="single" w:color="auto" w:sz="4" w:space="0"/>
              <w:right w:val="thickThinSmallGap" w:color="auto" w:sz="24" w:space="0"/>
            </w:tcBorders>
            <w:vAlign w:val="center"/>
          </w:tcPr>
          <w:p w14:paraId="153114EE">
            <w:pPr>
              <w:snapToGrid w:val="0"/>
              <w:spacing w:line="360" w:lineRule="auto"/>
              <w:jc w:val="center"/>
              <w:rPr>
                <w:rFonts w:ascii="宋体" w:hAnsi="宋体"/>
                <w:bCs/>
                <w:sz w:val="24"/>
                <w:szCs w:val="24"/>
              </w:rPr>
            </w:pPr>
          </w:p>
        </w:tc>
      </w:tr>
      <w:tr w14:paraId="43614B7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cantSplit/>
          <w:trHeight w:val="358" w:hRule="atLeast"/>
          <w:jc w:val="center"/>
        </w:trPr>
        <w:tc>
          <w:tcPr>
            <w:tcW w:w="3557" w:type="dxa"/>
            <w:gridSpan w:val="3"/>
            <w:tcBorders>
              <w:top w:val="single" w:color="auto" w:sz="4" w:space="0"/>
              <w:left w:val="thinThickSmallGap" w:color="auto" w:sz="24" w:space="0"/>
              <w:bottom w:val="single" w:color="auto" w:sz="4" w:space="0"/>
              <w:right w:val="single" w:color="auto" w:sz="4" w:space="0"/>
            </w:tcBorders>
            <w:vAlign w:val="center"/>
          </w:tcPr>
          <w:p w14:paraId="753381FA">
            <w:pPr>
              <w:snapToGrid w:val="0"/>
              <w:spacing w:line="360" w:lineRule="auto"/>
              <w:jc w:val="center"/>
              <w:rPr>
                <w:rFonts w:ascii="宋体" w:hAnsi="宋体"/>
                <w:bCs/>
                <w:sz w:val="24"/>
                <w:szCs w:val="24"/>
              </w:rPr>
            </w:pPr>
            <w:r>
              <w:rPr>
                <w:rFonts w:hint="eastAsia" w:ascii="宋体" w:hAnsi="宋体"/>
                <w:bCs/>
                <w:sz w:val="24"/>
                <w:szCs w:val="24"/>
              </w:rPr>
              <w:t>证   书</w:t>
            </w:r>
          </w:p>
        </w:tc>
        <w:tc>
          <w:tcPr>
            <w:tcW w:w="6296" w:type="dxa"/>
            <w:gridSpan w:val="3"/>
            <w:tcBorders>
              <w:top w:val="single" w:color="auto" w:sz="4" w:space="0"/>
              <w:left w:val="single" w:color="auto" w:sz="4" w:space="0"/>
              <w:bottom w:val="single" w:color="auto" w:sz="4" w:space="0"/>
              <w:right w:val="thickThinSmallGap" w:color="auto" w:sz="24" w:space="0"/>
            </w:tcBorders>
            <w:vAlign w:val="center"/>
          </w:tcPr>
          <w:p w14:paraId="540E4B08">
            <w:pPr>
              <w:snapToGrid w:val="0"/>
              <w:spacing w:line="360" w:lineRule="auto"/>
              <w:jc w:val="center"/>
              <w:rPr>
                <w:rFonts w:ascii="宋体" w:hAnsi="宋体"/>
                <w:bCs/>
                <w:sz w:val="24"/>
                <w:szCs w:val="24"/>
              </w:rPr>
            </w:pPr>
          </w:p>
        </w:tc>
      </w:tr>
      <w:tr w14:paraId="7F7CAD8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cantSplit/>
          <w:trHeight w:val="358" w:hRule="atLeast"/>
          <w:jc w:val="center"/>
        </w:trPr>
        <w:tc>
          <w:tcPr>
            <w:tcW w:w="1377" w:type="dxa"/>
            <w:tcBorders>
              <w:top w:val="single" w:color="auto" w:sz="4" w:space="0"/>
              <w:left w:val="thinThickSmallGap" w:color="auto" w:sz="24" w:space="0"/>
              <w:bottom w:val="single" w:color="auto" w:sz="4" w:space="0"/>
              <w:right w:val="single" w:color="auto" w:sz="4" w:space="0"/>
            </w:tcBorders>
            <w:vAlign w:val="center"/>
          </w:tcPr>
          <w:p w14:paraId="06983094">
            <w:pPr>
              <w:snapToGrid w:val="0"/>
              <w:spacing w:line="360" w:lineRule="auto"/>
              <w:jc w:val="center"/>
              <w:rPr>
                <w:rFonts w:ascii="宋体" w:hAnsi="宋体"/>
                <w:bCs/>
                <w:sz w:val="24"/>
                <w:szCs w:val="24"/>
              </w:rPr>
            </w:pPr>
            <w:r>
              <w:rPr>
                <w:rFonts w:hint="eastAsia" w:ascii="宋体" w:hAnsi="宋体"/>
                <w:bCs/>
                <w:sz w:val="24"/>
                <w:szCs w:val="24"/>
              </w:rPr>
              <w:t>毕业院校</w:t>
            </w:r>
          </w:p>
        </w:tc>
        <w:tc>
          <w:tcPr>
            <w:tcW w:w="8476" w:type="dxa"/>
            <w:gridSpan w:val="5"/>
            <w:tcBorders>
              <w:top w:val="single" w:color="auto" w:sz="4" w:space="0"/>
              <w:left w:val="single" w:color="auto" w:sz="4" w:space="0"/>
              <w:bottom w:val="single" w:color="auto" w:sz="4" w:space="0"/>
              <w:right w:val="thickThinSmallGap" w:color="auto" w:sz="24" w:space="0"/>
            </w:tcBorders>
            <w:vAlign w:val="center"/>
          </w:tcPr>
          <w:p w14:paraId="178C6147">
            <w:pPr>
              <w:snapToGrid w:val="0"/>
              <w:spacing w:line="360" w:lineRule="auto"/>
              <w:ind w:firstLine="720" w:firstLineChars="300"/>
              <w:jc w:val="center"/>
              <w:rPr>
                <w:rFonts w:ascii="宋体" w:hAnsi="宋体"/>
                <w:bCs/>
                <w:sz w:val="24"/>
                <w:szCs w:val="24"/>
              </w:rPr>
            </w:pPr>
            <w:r>
              <w:rPr>
                <w:rFonts w:hint="eastAsia" w:ascii="宋体" w:hAnsi="宋体"/>
                <w:bCs/>
                <w:sz w:val="24"/>
                <w:szCs w:val="24"/>
              </w:rPr>
              <w:t>年毕业于                  学校              专业</w:t>
            </w:r>
          </w:p>
        </w:tc>
      </w:tr>
      <w:tr w14:paraId="0B484D48">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853" w:type="dxa"/>
            <w:gridSpan w:val="6"/>
            <w:tcBorders>
              <w:top w:val="single" w:color="auto" w:sz="4" w:space="0"/>
              <w:left w:val="thinThickSmallGap" w:color="auto" w:sz="24" w:space="0"/>
              <w:bottom w:val="single" w:color="auto" w:sz="4" w:space="0"/>
              <w:right w:val="thickThinSmallGap" w:color="auto" w:sz="24" w:space="0"/>
            </w:tcBorders>
            <w:vAlign w:val="center"/>
          </w:tcPr>
          <w:p w14:paraId="6D19A127">
            <w:pPr>
              <w:snapToGrid w:val="0"/>
              <w:spacing w:line="360" w:lineRule="auto"/>
              <w:jc w:val="center"/>
              <w:rPr>
                <w:rFonts w:ascii="宋体" w:hAnsi="宋体"/>
                <w:bCs/>
                <w:sz w:val="24"/>
                <w:szCs w:val="24"/>
              </w:rPr>
            </w:pPr>
            <w:r>
              <w:rPr>
                <w:rFonts w:hint="eastAsia" w:ascii="宋体" w:hAnsi="宋体"/>
                <w:bCs/>
                <w:sz w:val="24"/>
                <w:szCs w:val="24"/>
              </w:rPr>
              <w:t>主要工作经历</w:t>
            </w:r>
          </w:p>
        </w:tc>
      </w:tr>
      <w:tr w14:paraId="6BA0335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377" w:type="dxa"/>
            <w:tcBorders>
              <w:top w:val="single" w:color="auto" w:sz="4" w:space="0"/>
              <w:left w:val="thinThickSmallGap" w:color="auto" w:sz="24" w:space="0"/>
              <w:bottom w:val="single" w:color="auto" w:sz="4" w:space="0"/>
              <w:right w:val="single" w:color="auto" w:sz="4" w:space="0"/>
            </w:tcBorders>
            <w:vAlign w:val="center"/>
          </w:tcPr>
          <w:p w14:paraId="6FC97D39">
            <w:pPr>
              <w:snapToGrid w:val="0"/>
              <w:spacing w:line="360" w:lineRule="auto"/>
              <w:jc w:val="center"/>
              <w:rPr>
                <w:rFonts w:ascii="宋体" w:hAnsi="宋体"/>
                <w:bCs/>
                <w:sz w:val="24"/>
                <w:szCs w:val="24"/>
              </w:rPr>
            </w:pPr>
            <w:r>
              <w:rPr>
                <w:rFonts w:hint="eastAsia" w:ascii="宋体" w:hAnsi="宋体"/>
                <w:bCs/>
                <w:sz w:val="24"/>
                <w:szCs w:val="24"/>
              </w:rPr>
              <w:t>时间</w:t>
            </w: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1FD5EB25">
            <w:pPr>
              <w:snapToGrid w:val="0"/>
              <w:spacing w:line="360" w:lineRule="auto"/>
              <w:jc w:val="center"/>
              <w:rPr>
                <w:rFonts w:ascii="宋体" w:hAnsi="宋体"/>
                <w:bCs/>
                <w:sz w:val="24"/>
                <w:szCs w:val="24"/>
              </w:rPr>
            </w:pPr>
            <w:r>
              <w:rPr>
                <w:rFonts w:hint="eastAsia" w:ascii="宋体" w:hAnsi="宋体"/>
                <w:bCs/>
                <w:sz w:val="24"/>
                <w:szCs w:val="24"/>
              </w:rPr>
              <w:t>参加过的类似项目名称</w:t>
            </w:r>
          </w:p>
        </w:tc>
        <w:tc>
          <w:tcPr>
            <w:tcW w:w="2520" w:type="dxa"/>
            <w:tcBorders>
              <w:top w:val="single" w:color="auto" w:sz="4" w:space="0"/>
              <w:left w:val="single" w:color="auto" w:sz="4" w:space="0"/>
              <w:bottom w:val="single" w:color="auto" w:sz="4" w:space="0"/>
              <w:right w:val="single" w:color="auto" w:sz="4" w:space="0"/>
            </w:tcBorders>
            <w:vAlign w:val="center"/>
          </w:tcPr>
          <w:p w14:paraId="6CAAB298">
            <w:pPr>
              <w:snapToGrid w:val="0"/>
              <w:spacing w:line="360" w:lineRule="auto"/>
              <w:jc w:val="center"/>
              <w:rPr>
                <w:rFonts w:ascii="宋体" w:hAnsi="宋体"/>
                <w:bCs/>
                <w:sz w:val="24"/>
                <w:szCs w:val="24"/>
              </w:rPr>
            </w:pPr>
            <w:r>
              <w:rPr>
                <w:rFonts w:hint="eastAsia" w:ascii="宋体" w:hAnsi="宋体"/>
                <w:bCs/>
                <w:sz w:val="24"/>
                <w:szCs w:val="24"/>
              </w:rPr>
              <w:t>项目概况说明</w:t>
            </w:r>
          </w:p>
        </w:tc>
        <w:tc>
          <w:tcPr>
            <w:tcW w:w="2365" w:type="dxa"/>
            <w:tcBorders>
              <w:top w:val="single" w:color="auto" w:sz="4" w:space="0"/>
              <w:left w:val="single" w:color="auto" w:sz="4" w:space="0"/>
              <w:bottom w:val="single" w:color="auto" w:sz="4" w:space="0"/>
              <w:right w:val="thickThinSmallGap" w:color="auto" w:sz="24" w:space="0"/>
            </w:tcBorders>
            <w:vAlign w:val="center"/>
          </w:tcPr>
          <w:p w14:paraId="6B926E59">
            <w:pPr>
              <w:snapToGrid w:val="0"/>
              <w:spacing w:line="360" w:lineRule="auto"/>
              <w:jc w:val="center"/>
              <w:rPr>
                <w:rFonts w:ascii="宋体" w:hAnsi="宋体"/>
                <w:bCs/>
                <w:sz w:val="24"/>
                <w:szCs w:val="24"/>
              </w:rPr>
            </w:pPr>
            <w:r>
              <w:rPr>
                <w:rFonts w:hint="eastAsia" w:ascii="宋体" w:hAnsi="宋体"/>
                <w:bCs/>
                <w:sz w:val="24"/>
                <w:szCs w:val="24"/>
              </w:rPr>
              <w:t>备注</w:t>
            </w:r>
          </w:p>
        </w:tc>
      </w:tr>
      <w:tr w14:paraId="79112CB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7" w:type="dxa"/>
            <w:tcBorders>
              <w:top w:val="single" w:color="auto" w:sz="4" w:space="0"/>
              <w:left w:val="thinThickSmallGap" w:color="auto" w:sz="24" w:space="0"/>
              <w:bottom w:val="single" w:color="auto" w:sz="4" w:space="0"/>
              <w:right w:val="single" w:color="auto" w:sz="4" w:space="0"/>
            </w:tcBorders>
            <w:vAlign w:val="center"/>
          </w:tcPr>
          <w:p w14:paraId="7BDF20F7">
            <w:pPr>
              <w:snapToGrid w:val="0"/>
              <w:spacing w:line="360" w:lineRule="auto"/>
              <w:jc w:val="center"/>
              <w:rPr>
                <w:rFonts w:ascii="宋体" w:hAnsi="宋体"/>
                <w:bCs/>
                <w:sz w:val="24"/>
                <w:szCs w:val="24"/>
              </w:rPr>
            </w:pP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3A00AE20">
            <w:pPr>
              <w:snapToGrid w:val="0"/>
              <w:spacing w:line="360" w:lineRule="auto"/>
              <w:jc w:val="center"/>
              <w:rPr>
                <w:rFonts w:ascii="宋体" w:hAnsi="宋体"/>
                <w:bCs/>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4724C7FC">
            <w:pPr>
              <w:snapToGrid w:val="0"/>
              <w:spacing w:line="360" w:lineRule="auto"/>
              <w:jc w:val="center"/>
              <w:rPr>
                <w:rFonts w:ascii="宋体" w:hAnsi="宋体"/>
                <w:bCs/>
                <w:sz w:val="24"/>
                <w:szCs w:val="24"/>
              </w:rPr>
            </w:pPr>
          </w:p>
        </w:tc>
        <w:tc>
          <w:tcPr>
            <w:tcW w:w="2365" w:type="dxa"/>
            <w:tcBorders>
              <w:top w:val="single" w:color="auto" w:sz="4" w:space="0"/>
              <w:left w:val="single" w:color="auto" w:sz="4" w:space="0"/>
              <w:bottom w:val="single" w:color="auto" w:sz="4" w:space="0"/>
              <w:right w:val="thickThinSmallGap" w:color="auto" w:sz="24" w:space="0"/>
            </w:tcBorders>
            <w:vAlign w:val="center"/>
          </w:tcPr>
          <w:p w14:paraId="6918D786">
            <w:pPr>
              <w:snapToGrid w:val="0"/>
              <w:spacing w:line="360" w:lineRule="auto"/>
              <w:jc w:val="center"/>
              <w:rPr>
                <w:rFonts w:ascii="宋体" w:hAnsi="宋体"/>
                <w:bCs/>
                <w:sz w:val="24"/>
                <w:szCs w:val="24"/>
              </w:rPr>
            </w:pPr>
          </w:p>
        </w:tc>
      </w:tr>
      <w:tr w14:paraId="1E44472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7" w:type="dxa"/>
            <w:tcBorders>
              <w:top w:val="single" w:color="auto" w:sz="4" w:space="0"/>
              <w:left w:val="thinThickSmallGap" w:color="auto" w:sz="24" w:space="0"/>
              <w:bottom w:val="single" w:color="auto" w:sz="4" w:space="0"/>
              <w:right w:val="single" w:color="auto" w:sz="4" w:space="0"/>
            </w:tcBorders>
            <w:vAlign w:val="center"/>
          </w:tcPr>
          <w:p w14:paraId="22EE0835">
            <w:pPr>
              <w:snapToGrid w:val="0"/>
              <w:spacing w:line="360" w:lineRule="auto"/>
              <w:jc w:val="center"/>
              <w:rPr>
                <w:rFonts w:ascii="宋体" w:hAnsi="宋体"/>
                <w:sz w:val="24"/>
                <w:szCs w:val="24"/>
              </w:rPr>
            </w:pP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20BD9FEA">
            <w:pPr>
              <w:snapToGrid w:val="0"/>
              <w:spacing w:line="360" w:lineRule="auto"/>
              <w:jc w:val="center"/>
              <w:rPr>
                <w:rFonts w:ascii="宋体" w:hAnsi="宋体"/>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25AC9280">
            <w:pPr>
              <w:snapToGrid w:val="0"/>
              <w:spacing w:line="360" w:lineRule="auto"/>
              <w:jc w:val="center"/>
              <w:rPr>
                <w:rFonts w:ascii="宋体" w:hAnsi="宋体"/>
                <w:sz w:val="24"/>
                <w:szCs w:val="24"/>
              </w:rPr>
            </w:pPr>
          </w:p>
        </w:tc>
        <w:tc>
          <w:tcPr>
            <w:tcW w:w="2365" w:type="dxa"/>
            <w:tcBorders>
              <w:top w:val="single" w:color="auto" w:sz="4" w:space="0"/>
              <w:left w:val="single" w:color="auto" w:sz="4" w:space="0"/>
              <w:bottom w:val="single" w:color="auto" w:sz="4" w:space="0"/>
              <w:right w:val="thickThinSmallGap" w:color="auto" w:sz="24" w:space="0"/>
            </w:tcBorders>
            <w:vAlign w:val="center"/>
          </w:tcPr>
          <w:p w14:paraId="687CFEB5">
            <w:pPr>
              <w:snapToGrid w:val="0"/>
              <w:spacing w:line="360" w:lineRule="auto"/>
              <w:jc w:val="center"/>
              <w:rPr>
                <w:rFonts w:ascii="宋体" w:hAnsi="宋体"/>
                <w:sz w:val="24"/>
                <w:szCs w:val="24"/>
              </w:rPr>
            </w:pPr>
          </w:p>
        </w:tc>
      </w:tr>
      <w:tr w14:paraId="62E6DA46">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7" w:type="dxa"/>
            <w:tcBorders>
              <w:top w:val="single" w:color="auto" w:sz="4" w:space="0"/>
              <w:left w:val="thinThickSmallGap" w:color="auto" w:sz="24" w:space="0"/>
              <w:bottom w:val="single" w:color="auto" w:sz="4" w:space="0"/>
              <w:right w:val="single" w:color="auto" w:sz="4" w:space="0"/>
            </w:tcBorders>
            <w:vAlign w:val="center"/>
          </w:tcPr>
          <w:p w14:paraId="3C6ACED4">
            <w:pPr>
              <w:snapToGrid w:val="0"/>
              <w:spacing w:line="360" w:lineRule="auto"/>
              <w:jc w:val="center"/>
              <w:rPr>
                <w:rFonts w:ascii="宋体" w:hAnsi="宋体"/>
                <w:sz w:val="24"/>
                <w:szCs w:val="24"/>
              </w:rPr>
            </w:pP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688D7A2C">
            <w:pPr>
              <w:snapToGrid w:val="0"/>
              <w:spacing w:line="360" w:lineRule="auto"/>
              <w:jc w:val="center"/>
              <w:rPr>
                <w:rFonts w:ascii="宋体" w:hAnsi="宋体"/>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1694DE0D">
            <w:pPr>
              <w:snapToGrid w:val="0"/>
              <w:spacing w:line="360" w:lineRule="auto"/>
              <w:jc w:val="center"/>
              <w:rPr>
                <w:rFonts w:ascii="宋体" w:hAnsi="宋体"/>
                <w:sz w:val="24"/>
                <w:szCs w:val="24"/>
              </w:rPr>
            </w:pPr>
          </w:p>
        </w:tc>
        <w:tc>
          <w:tcPr>
            <w:tcW w:w="2365" w:type="dxa"/>
            <w:tcBorders>
              <w:top w:val="single" w:color="auto" w:sz="4" w:space="0"/>
              <w:left w:val="single" w:color="auto" w:sz="4" w:space="0"/>
              <w:bottom w:val="single" w:color="auto" w:sz="4" w:space="0"/>
              <w:right w:val="thickThinSmallGap" w:color="auto" w:sz="24" w:space="0"/>
            </w:tcBorders>
            <w:vAlign w:val="center"/>
          </w:tcPr>
          <w:p w14:paraId="68175A0F">
            <w:pPr>
              <w:snapToGrid w:val="0"/>
              <w:spacing w:line="360" w:lineRule="auto"/>
              <w:jc w:val="center"/>
              <w:rPr>
                <w:rFonts w:ascii="宋体" w:hAnsi="宋体"/>
                <w:sz w:val="24"/>
                <w:szCs w:val="24"/>
              </w:rPr>
            </w:pPr>
          </w:p>
        </w:tc>
      </w:tr>
      <w:tr w14:paraId="7080C5CC">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7" w:type="dxa"/>
            <w:tcBorders>
              <w:top w:val="single" w:color="auto" w:sz="4" w:space="0"/>
              <w:left w:val="thinThickSmallGap" w:color="auto" w:sz="24" w:space="0"/>
              <w:bottom w:val="single" w:color="auto" w:sz="4" w:space="0"/>
              <w:right w:val="single" w:color="auto" w:sz="4" w:space="0"/>
            </w:tcBorders>
            <w:vAlign w:val="center"/>
          </w:tcPr>
          <w:p w14:paraId="4D508DB0">
            <w:pPr>
              <w:snapToGrid w:val="0"/>
              <w:spacing w:line="360" w:lineRule="auto"/>
              <w:jc w:val="center"/>
              <w:rPr>
                <w:rFonts w:ascii="宋体" w:hAnsi="宋体"/>
                <w:sz w:val="24"/>
                <w:szCs w:val="24"/>
              </w:rPr>
            </w:pP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2658861C">
            <w:pPr>
              <w:snapToGrid w:val="0"/>
              <w:spacing w:line="360" w:lineRule="auto"/>
              <w:jc w:val="center"/>
              <w:rPr>
                <w:rFonts w:ascii="宋体" w:hAnsi="宋体"/>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2D1DAC9A">
            <w:pPr>
              <w:snapToGrid w:val="0"/>
              <w:spacing w:line="360" w:lineRule="auto"/>
              <w:jc w:val="center"/>
              <w:rPr>
                <w:rFonts w:ascii="宋体" w:hAnsi="宋体"/>
                <w:sz w:val="24"/>
                <w:szCs w:val="24"/>
              </w:rPr>
            </w:pPr>
          </w:p>
        </w:tc>
        <w:tc>
          <w:tcPr>
            <w:tcW w:w="2365" w:type="dxa"/>
            <w:tcBorders>
              <w:top w:val="single" w:color="auto" w:sz="4" w:space="0"/>
              <w:left w:val="single" w:color="auto" w:sz="4" w:space="0"/>
              <w:bottom w:val="single" w:color="auto" w:sz="4" w:space="0"/>
              <w:right w:val="thickThinSmallGap" w:color="auto" w:sz="24" w:space="0"/>
            </w:tcBorders>
            <w:vAlign w:val="center"/>
          </w:tcPr>
          <w:p w14:paraId="66734DE9">
            <w:pPr>
              <w:snapToGrid w:val="0"/>
              <w:spacing w:line="360" w:lineRule="auto"/>
              <w:jc w:val="center"/>
              <w:rPr>
                <w:rFonts w:ascii="宋体" w:hAnsi="宋体"/>
                <w:sz w:val="24"/>
                <w:szCs w:val="24"/>
              </w:rPr>
            </w:pPr>
          </w:p>
        </w:tc>
      </w:tr>
      <w:tr w14:paraId="3D9DC39F">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7" w:type="dxa"/>
            <w:tcBorders>
              <w:top w:val="single" w:color="auto" w:sz="4" w:space="0"/>
              <w:left w:val="thinThickSmallGap" w:color="auto" w:sz="24" w:space="0"/>
              <w:bottom w:val="single" w:color="auto" w:sz="4" w:space="0"/>
              <w:right w:val="single" w:color="auto" w:sz="4" w:space="0"/>
            </w:tcBorders>
            <w:vAlign w:val="center"/>
          </w:tcPr>
          <w:p w14:paraId="1731215E">
            <w:pPr>
              <w:snapToGrid w:val="0"/>
              <w:spacing w:line="360" w:lineRule="auto"/>
              <w:jc w:val="center"/>
              <w:rPr>
                <w:rFonts w:ascii="宋体" w:hAnsi="宋体"/>
                <w:sz w:val="24"/>
                <w:szCs w:val="24"/>
              </w:rPr>
            </w:pP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52D9C92C">
            <w:pPr>
              <w:snapToGrid w:val="0"/>
              <w:spacing w:line="360" w:lineRule="auto"/>
              <w:jc w:val="center"/>
              <w:rPr>
                <w:rFonts w:ascii="宋体" w:hAnsi="宋体"/>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08077567">
            <w:pPr>
              <w:snapToGrid w:val="0"/>
              <w:spacing w:line="360" w:lineRule="auto"/>
              <w:jc w:val="center"/>
              <w:rPr>
                <w:rFonts w:ascii="宋体" w:hAnsi="宋体"/>
                <w:sz w:val="24"/>
                <w:szCs w:val="24"/>
              </w:rPr>
            </w:pPr>
          </w:p>
        </w:tc>
        <w:tc>
          <w:tcPr>
            <w:tcW w:w="2365" w:type="dxa"/>
            <w:tcBorders>
              <w:top w:val="single" w:color="auto" w:sz="4" w:space="0"/>
              <w:left w:val="single" w:color="auto" w:sz="4" w:space="0"/>
              <w:bottom w:val="single" w:color="auto" w:sz="4" w:space="0"/>
              <w:right w:val="thickThinSmallGap" w:color="auto" w:sz="24" w:space="0"/>
            </w:tcBorders>
            <w:vAlign w:val="center"/>
          </w:tcPr>
          <w:p w14:paraId="212FB0C9">
            <w:pPr>
              <w:snapToGrid w:val="0"/>
              <w:spacing w:line="360" w:lineRule="auto"/>
              <w:jc w:val="center"/>
              <w:rPr>
                <w:rFonts w:ascii="宋体" w:hAnsi="宋体"/>
                <w:sz w:val="24"/>
                <w:szCs w:val="24"/>
              </w:rPr>
            </w:pPr>
          </w:p>
        </w:tc>
      </w:tr>
      <w:tr w14:paraId="728E342C">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7" w:type="dxa"/>
            <w:tcBorders>
              <w:top w:val="single" w:color="auto" w:sz="4" w:space="0"/>
              <w:left w:val="thinThickSmallGap" w:color="auto" w:sz="24" w:space="0"/>
              <w:bottom w:val="single" w:color="auto" w:sz="4" w:space="0"/>
              <w:right w:val="single" w:color="auto" w:sz="4" w:space="0"/>
            </w:tcBorders>
            <w:vAlign w:val="center"/>
          </w:tcPr>
          <w:p w14:paraId="686671DE">
            <w:pPr>
              <w:snapToGrid w:val="0"/>
              <w:spacing w:line="360" w:lineRule="auto"/>
              <w:jc w:val="center"/>
              <w:rPr>
                <w:rFonts w:ascii="宋体" w:hAnsi="宋体"/>
                <w:sz w:val="24"/>
                <w:szCs w:val="24"/>
              </w:rPr>
            </w:pPr>
          </w:p>
        </w:tc>
        <w:tc>
          <w:tcPr>
            <w:tcW w:w="3591" w:type="dxa"/>
            <w:gridSpan w:val="3"/>
            <w:tcBorders>
              <w:top w:val="single" w:color="auto" w:sz="4" w:space="0"/>
              <w:left w:val="single" w:color="auto" w:sz="4" w:space="0"/>
              <w:bottom w:val="single" w:color="auto" w:sz="4" w:space="0"/>
              <w:right w:val="single" w:color="auto" w:sz="4" w:space="0"/>
            </w:tcBorders>
            <w:vAlign w:val="center"/>
          </w:tcPr>
          <w:p w14:paraId="3D2B39F3">
            <w:pPr>
              <w:snapToGrid w:val="0"/>
              <w:spacing w:line="360" w:lineRule="auto"/>
              <w:jc w:val="center"/>
              <w:rPr>
                <w:rFonts w:ascii="宋体" w:hAnsi="宋体"/>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3E5AF31F">
            <w:pPr>
              <w:snapToGrid w:val="0"/>
              <w:spacing w:line="360" w:lineRule="auto"/>
              <w:jc w:val="center"/>
              <w:rPr>
                <w:rFonts w:ascii="宋体" w:hAnsi="宋体"/>
                <w:sz w:val="24"/>
                <w:szCs w:val="24"/>
              </w:rPr>
            </w:pPr>
          </w:p>
        </w:tc>
        <w:tc>
          <w:tcPr>
            <w:tcW w:w="2365" w:type="dxa"/>
            <w:tcBorders>
              <w:top w:val="single" w:color="auto" w:sz="4" w:space="0"/>
              <w:left w:val="single" w:color="auto" w:sz="4" w:space="0"/>
              <w:bottom w:val="single" w:color="auto" w:sz="4" w:space="0"/>
              <w:right w:val="thickThinSmallGap" w:color="auto" w:sz="24" w:space="0"/>
            </w:tcBorders>
            <w:vAlign w:val="center"/>
          </w:tcPr>
          <w:p w14:paraId="422DCFEB">
            <w:pPr>
              <w:snapToGrid w:val="0"/>
              <w:spacing w:line="360" w:lineRule="auto"/>
              <w:jc w:val="center"/>
              <w:rPr>
                <w:rFonts w:ascii="宋体" w:hAnsi="宋体"/>
                <w:sz w:val="24"/>
                <w:szCs w:val="24"/>
              </w:rPr>
            </w:pPr>
          </w:p>
        </w:tc>
      </w:tr>
      <w:tr w14:paraId="7260D50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7" w:type="dxa"/>
            <w:tcBorders>
              <w:top w:val="single" w:color="auto" w:sz="4" w:space="0"/>
              <w:left w:val="thinThickSmallGap" w:color="auto" w:sz="24" w:space="0"/>
              <w:bottom w:val="thickThinSmallGap" w:color="auto" w:sz="24" w:space="0"/>
              <w:right w:val="single" w:color="auto" w:sz="4" w:space="0"/>
            </w:tcBorders>
            <w:vAlign w:val="center"/>
          </w:tcPr>
          <w:p w14:paraId="547478F7">
            <w:pPr>
              <w:snapToGrid w:val="0"/>
              <w:spacing w:line="360" w:lineRule="auto"/>
              <w:jc w:val="center"/>
              <w:rPr>
                <w:rFonts w:ascii="宋体" w:hAnsi="宋体"/>
                <w:sz w:val="24"/>
                <w:szCs w:val="24"/>
              </w:rPr>
            </w:pPr>
          </w:p>
        </w:tc>
        <w:tc>
          <w:tcPr>
            <w:tcW w:w="3591" w:type="dxa"/>
            <w:gridSpan w:val="3"/>
            <w:tcBorders>
              <w:top w:val="single" w:color="auto" w:sz="4" w:space="0"/>
              <w:left w:val="single" w:color="auto" w:sz="4" w:space="0"/>
              <w:bottom w:val="thickThinSmallGap" w:color="auto" w:sz="24" w:space="0"/>
              <w:right w:val="single" w:color="auto" w:sz="4" w:space="0"/>
            </w:tcBorders>
            <w:vAlign w:val="center"/>
          </w:tcPr>
          <w:p w14:paraId="135174AC">
            <w:pPr>
              <w:snapToGrid w:val="0"/>
              <w:spacing w:line="360" w:lineRule="auto"/>
              <w:jc w:val="center"/>
              <w:rPr>
                <w:rFonts w:ascii="宋体" w:hAnsi="宋体"/>
                <w:sz w:val="24"/>
                <w:szCs w:val="24"/>
              </w:rPr>
            </w:pPr>
          </w:p>
        </w:tc>
        <w:tc>
          <w:tcPr>
            <w:tcW w:w="2520" w:type="dxa"/>
            <w:tcBorders>
              <w:top w:val="single" w:color="auto" w:sz="4" w:space="0"/>
              <w:left w:val="single" w:color="auto" w:sz="4" w:space="0"/>
              <w:bottom w:val="thickThinSmallGap" w:color="auto" w:sz="24" w:space="0"/>
              <w:right w:val="single" w:color="auto" w:sz="4" w:space="0"/>
            </w:tcBorders>
            <w:vAlign w:val="center"/>
          </w:tcPr>
          <w:p w14:paraId="36F5B544">
            <w:pPr>
              <w:snapToGrid w:val="0"/>
              <w:spacing w:line="360" w:lineRule="auto"/>
              <w:jc w:val="center"/>
              <w:rPr>
                <w:rFonts w:ascii="宋体" w:hAnsi="宋体"/>
                <w:sz w:val="24"/>
                <w:szCs w:val="24"/>
              </w:rPr>
            </w:pPr>
          </w:p>
        </w:tc>
        <w:tc>
          <w:tcPr>
            <w:tcW w:w="2365" w:type="dxa"/>
            <w:tcBorders>
              <w:top w:val="single" w:color="auto" w:sz="4" w:space="0"/>
              <w:left w:val="single" w:color="auto" w:sz="4" w:space="0"/>
              <w:bottom w:val="thickThinSmallGap" w:color="auto" w:sz="24" w:space="0"/>
              <w:right w:val="thickThinSmallGap" w:color="auto" w:sz="24" w:space="0"/>
            </w:tcBorders>
            <w:vAlign w:val="center"/>
          </w:tcPr>
          <w:p w14:paraId="0B37AFD2">
            <w:pPr>
              <w:snapToGrid w:val="0"/>
              <w:spacing w:line="360" w:lineRule="auto"/>
              <w:jc w:val="center"/>
              <w:rPr>
                <w:rFonts w:ascii="宋体" w:hAnsi="宋体"/>
                <w:sz w:val="24"/>
                <w:szCs w:val="24"/>
              </w:rPr>
            </w:pPr>
          </w:p>
        </w:tc>
      </w:tr>
    </w:tbl>
    <w:p w14:paraId="07D8F078">
      <w:pPr>
        <w:spacing w:line="600" w:lineRule="exact"/>
        <w:rPr>
          <w:rFonts w:ascii="宋体" w:hAnsi="宋体"/>
          <w:sz w:val="24"/>
          <w:szCs w:val="21"/>
        </w:rPr>
      </w:pPr>
      <w:r>
        <w:rPr>
          <w:rFonts w:hint="eastAsia" w:ascii="宋体" w:hAnsi="宋体"/>
          <w:sz w:val="24"/>
          <w:szCs w:val="21"/>
        </w:rPr>
        <w:t>后附项目负责人相关材料等（如有提供）。</w:t>
      </w:r>
    </w:p>
    <w:p w14:paraId="288DE25E">
      <w:pPr>
        <w:spacing w:line="600" w:lineRule="exact"/>
        <w:rPr>
          <w:rFonts w:ascii="宋体" w:hAnsi="宋体"/>
          <w:szCs w:val="21"/>
        </w:rPr>
      </w:pPr>
    </w:p>
    <w:bookmarkEnd w:id="75"/>
    <w:bookmarkEnd w:id="76"/>
    <w:p w14:paraId="66320185">
      <w:pPr>
        <w:spacing w:line="600" w:lineRule="exact"/>
        <w:rPr>
          <w:rFonts w:ascii="宋体" w:hAnsi="宋体"/>
          <w:b/>
          <w:szCs w:val="28"/>
        </w:rPr>
      </w:pPr>
      <w:r>
        <w:rPr>
          <w:rFonts w:hint="eastAsia" w:ascii="宋体" w:hAnsi="宋体"/>
          <w:b/>
          <w:szCs w:val="28"/>
        </w:rPr>
        <w:br w:type="page"/>
      </w:r>
      <w:bookmarkStart w:id="77" w:name="_Toc386046247"/>
      <w:bookmarkStart w:id="78" w:name="_Toc364351267"/>
      <w:r>
        <w:rPr>
          <w:rFonts w:hint="eastAsia" w:ascii="宋体" w:hAnsi="宋体"/>
          <w:b/>
          <w:szCs w:val="28"/>
        </w:rPr>
        <w:t>格式3-2</w:t>
      </w:r>
    </w:p>
    <w:p w14:paraId="27712F33">
      <w:pPr>
        <w:tabs>
          <w:tab w:val="left" w:pos="900"/>
          <w:tab w:val="left" w:pos="1588"/>
        </w:tabs>
        <w:adjustRightInd w:val="0"/>
        <w:spacing w:before="120" w:line="360" w:lineRule="auto"/>
        <w:jc w:val="center"/>
        <w:outlineLvl w:val="2"/>
        <w:rPr>
          <w:rFonts w:ascii="宋体" w:hAnsi="宋体"/>
          <w:b/>
          <w:kern w:val="0"/>
          <w:sz w:val="32"/>
          <w:szCs w:val="32"/>
          <w:lang w:val="zh-CN"/>
        </w:rPr>
      </w:pPr>
      <w:r>
        <w:rPr>
          <w:rFonts w:hint="eastAsia" w:ascii="宋体" w:hAnsi="宋体"/>
          <w:b/>
          <w:kern w:val="0"/>
          <w:sz w:val="32"/>
          <w:szCs w:val="32"/>
          <w:lang w:val="zh-CN"/>
        </w:rPr>
        <w:t>拟在本项目投入主要人员情况一览表</w:t>
      </w:r>
    </w:p>
    <w:tbl>
      <w:tblPr>
        <w:tblStyle w:val="31"/>
        <w:tblW w:w="5000" w:type="pct"/>
        <w:jc w:val="center"/>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autofit"/>
        <w:tblCellMar>
          <w:top w:w="0" w:type="dxa"/>
          <w:left w:w="108" w:type="dxa"/>
          <w:bottom w:w="0" w:type="dxa"/>
          <w:right w:w="108" w:type="dxa"/>
        </w:tblCellMar>
      </w:tblPr>
      <w:tblGrid>
        <w:gridCol w:w="1094"/>
        <w:gridCol w:w="1094"/>
        <w:gridCol w:w="983"/>
        <w:gridCol w:w="1663"/>
        <w:gridCol w:w="1890"/>
        <w:gridCol w:w="3130"/>
      </w:tblGrid>
      <w:tr w14:paraId="46E4156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55" w:type="pct"/>
            <w:tcBorders>
              <w:top w:val="thinThickSmallGap" w:color="auto" w:sz="24" w:space="0"/>
              <w:left w:val="thinThickSmallGap" w:color="auto" w:sz="24" w:space="0"/>
              <w:bottom w:val="single" w:color="auto" w:sz="4" w:space="0"/>
              <w:right w:val="single" w:color="auto" w:sz="4" w:space="0"/>
            </w:tcBorders>
            <w:vAlign w:val="center"/>
          </w:tcPr>
          <w:p w14:paraId="3C2C6FE0">
            <w:pPr>
              <w:spacing w:line="360" w:lineRule="auto"/>
              <w:jc w:val="center"/>
              <w:rPr>
                <w:rFonts w:ascii="宋体" w:hAnsi="宋体"/>
                <w:sz w:val="24"/>
                <w:szCs w:val="24"/>
              </w:rPr>
            </w:pPr>
            <w:r>
              <w:rPr>
                <w:rFonts w:hint="eastAsia" w:ascii="宋体" w:hAnsi="宋体"/>
                <w:sz w:val="24"/>
                <w:szCs w:val="24"/>
              </w:rPr>
              <w:t>序号</w:t>
            </w:r>
          </w:p>
        </w:tc>
        <w:tc>
          <w:tcPr>
            <w:tcW w:w="555" w:type="pct"/>
            <w:tcBorders>
              <w:top w:val="thinThickSmallGap" w:color="auto" w:sz="24" w:space="0"/>
              <w:left w:val="single" w:color="auto" w:sz="4" w:space="0"/>
              <w:bottom w:val="single" w:color="auto" w:sz="4" w:space="0"/>
              <w:right w:val="single" w:color="auto" w:sz="4" w:space="0"/>
            </w:tcBorders>
            <w:vAlign w:val="center"/>
          </w:tcPr>
          <w:p w14:paraId="0FCCAEA2">
            <w:pPr>
              <w:spacing w:line="360" w:lineRule="auto"/>
              <w:jc w:val="center"/>
              <w:rPr>
                <w:rFonts w:ascii="宋体" w:hAnsi="宋体"/>
                <w:sz w:val="24"/>
                <w:szCs w:val="24"/>
              </w:rPr>
            </w:pPr>
            <w:r>
              <w:rPr>
                <w:rFonts w:hint="eastAsia" w:ascii="宋体" w:hAnsi="宋体"/>
                <w:sz w:val="24"/>
                <w:szCs w:val="24"/>
              </w:rPr>
              <w:t>姓名</w:t>
            </w:r>
          </w:p>
        </w:tc>
        <w:tc>
          <w:tcPr>
            <w:tcW w:w="499" w:type="pct"/>
            <w:tcBorders>
              <w:top w:val="thinThickSmallGap" w:color="auto" w:sz="24" w:space="0"/>
              <w:left w:val="single" w:color="auto" w:sz="4" w:space="0"/>
              <w:bottom w:val="single" w:color="auto" w:sz="4" w:space="0"/>
              <w:right w:val="single" w:color="auto" w:sz="4" w:space="0"/>
            </w:tcBorders>
            <w:vAlign w:val="center"/>
          </w:tcPr>
          <w:p w14:paraId="3A54308E">
            <w:pPr>
              <w:spacing w:line="360" w:lineRule="auto"/>
              <w:jc w:val="center"/>
              <w:rPr>
                <w:rFonts w:ascii="宋体" w:hAnsi="宋体"/>
                <w:sz w:val="24"/>
                <w:szCs w:val="24"/>
              </w:rPr>
            </w:pPr>
            <w:r>
              <w:rPr>
                <w:rFonts w:hint="eastAsia" w:ascii="宋体" w:hAnsi="宋体"/>
                <w:sz w:val="24"/>
                <w:szCs w:val="24"/>
              </w:rPr>
              <w:t>性别</w:t>
            </w:r>
          </w:p>
        </w:tc>
        <w:tc>
          <w:tcPr>
            <w:tcW w:w="844" w:type="pct"/>
            <w:tcBorders>
              <w:top w:val="thinThickSmallGap" w:color="auto" w:sz="24" w:space="0"/>
              <w:left w:val="single" w:color="auto" w:sz="4" w:space="0"/>
              <w:bottom w:val="single" w:color="auto" w:sz="4" w:space="0"/>
              <w:right w:val="single" w:color="auto" w:sz="4" w:space="0"/>
            </w:tcBorders>
            <w:vAlign w:val="center"/>
          </w:tcPr>
          <w:p w14:paraId="4AD777CD">
            <w:pPr>
              <w:spacing w:line="360" w:lineRule="auto"/>
              <w:jc w:val="center"/>
              <w:rPr>
                <w:rFonts w:ascii="宋体" w:hAnsi="宋体"/>
                <w:sz w:val="24"/>
                <w:szCs w:val="24"/>
              </w:rPr>
            </w:pPr>
            <w:r>
              <w:rPr>
                <w:rFonts w:hint="eastAsia" w:ascii="宋体" w:hAnsi="宋体"/>
                <w:sz w:val="24"/>
                <w:szCs w:val="24"/>
              </w:rPr>
              <w:t>文化程度</w:t>
            </w:r>
          </w:p>
        </w:tc>
        <w:tc>
          <w:tcPr>
            <w:tcW w:w="959" w:type="pct"/>
            <w:tcBorders>
              <w:top w:val="thinThickSmallGap" w:color="auto" w:sz="24" w:space="0"/>
              <w:left w:val="single" w:color="auto" w:sz="4" w:space="0"/>
              <w:bottom w:val="single" w:color="auto" w:sz="4" w:space="0"/>
              <w:right w:val="single" w:color="auto" w:sz="4" w:space="0"/>
            </w:tcBorders>
            <w:vAlign w:val="center"/>
          </w:tcPr>
          <w:p w14:paraId="471BC080">
            <w:pPr>
              <w:spacing w:line="360" w:lineRule="auto"/>
              <w:jc w:val="center"/>
              <w:rPr>
                <w:rFonts w:ascii="宋体" w:hAnsi="宋体"/>
                <w:sz w:val="24"/>
                <w:szCs w:val="24"/>
              </w:rPr>
            </w:pPr>
            <w:r>
              <w:rPr>
                <w:rFonts w:hint="eastAsia" w:ascii="宋体" w:hAnsi="宋体"/>
                <w:sz w:val="24"/>
                <w:szCs w:val="24"/>
              </w:rPr>
              <w:t>拟从事岗位</w:t>
            </w:r>
          </w:p>
        </w:tc>
        <w:tc>
          <w:tcPr>
            <w:tcW w:w="1588" w:type="pct"/>
            <w:tcBorders>
              <w:top w:val="thinThickSmallGap" w:color="auto" w:sz="24" w:space="0"/>
              <w:left w:val="single" w:color="auto" w:sz="4" w:space="0"/>
              <w:bottom w:val="single" w:color="auto" w:sz="4" w:space="0"/>
              <w:right w:val="thickThinSmallGap" w:color="auto" w:sz="24" w:space="0"/>
            </w:tcBorders>
            <w:vAlign w:val="center"/>
          </w:tcPr>
          <w:p w14:paraId="0EB4BDDA">
            <w:pPr>
              <w:spacing w:line="360" w:lineRule="auto"/>
              <w:jc w:val="center"/>
              <w:rPr>
                <w:rFonts w:ascii="宋体" w:hAnsi="宋体"/>
                <w:sz w:val="24"/>
                <w:szCs w:val="24"/>
              </w:rPr>
            </w:pPr>
            <w:r>
              <w:rPr>
                <w:rFonts w:hint="eastAsia"/>
                <w:sz w:val="24"/>
                <w:szCs w:val="24"/>
              </w:rPr>
              <w:t>类似项目经验</w:t>
            </w:r>
          </w:p>
        </w:tc>
      </w:tr>
      <w:tr w14:paraId="13377F7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555" w:type="pct"/>
            <w:tcBorders>
              <w:top w:val="single" w:color="auto" w:sz="4" w:space="0"/>
              <w:left w:val="thinThickSmallGap" w:color="auto" w:sz="24" w:space="0"/>
              <w:bottom w:val="single" w:color="auto" w:sz="4" w:space="0"/>
              <w:right w:val="single" w:color="auto" w:sz="4" w:space="0"/>
            </w:tcBorders>
          </w:tcPr>
          <w:p w14:paraId="37152B7E">
            <w:pPr>
              <w:spacing w:line="360" w:lineRule="auto"/>
              <w:jc w:val="center"/>
              <w:rPr>
                <w:rFonts w:ascii="宋体" w:hAnsi="宋体"/>
                <w:b/>
                <w:sz w:val="24"/>
                <w:szCs w:val="24"/>
              </w:rPr>
            </w:pPr>
          </w:p>
        </w:tc>
        <w:tc>
          <w:tcPr>
            <w:tcW w:w="555" w:type="pct"/>
            <w:tcBorders>
              <w:top w:val="single" w:color="auto" w:sz="4" w:space="0"/>
              <w:left w:val="single" w:color="auto" w:sz="4" w:space="0"/>
              <w:bottom w:val="single" w:color="auto" w:sz="4" w:space="0"/>
              <w:right w:val="single" w:color="auto" w:sz="4" w:space="0"/>
            </w:tcBorders>
            <w:vAlign w:val="center"/>
          </w:tcPr>
          <w:p w14:paraId="423240EA">
            <w:pPr>
              <w:spacing w:line="360" w:lineRule="auto"/>
              <w:jc w:val="center"/>
              <w:rPr>
                <w:rFonts w:ascii="宋体" w:hAnsi="宋体"/>
                <w:b/>
                <w:sz w:val="24"/>
                <w:szCs w:val="24"/>
              </w:rPr>
            </w:pPr>
          </w:p>
        </w:tc>
        <w:tc>
          <w:tcPr>
            <w:tcW w:w="499" w:type="pct"/>
            <w:tcBorders>
              <w:top w:val="single" w:color="auto" w:sz="4" w:space="0"/>
              <w:left w:val="single" w:color="auto" w:sz="4" w:space="0"/>
              <w:bottom w:val="single" w:color="auto" w:sz="4" w:space="0"/>
              <w:right w:val="single" w:color="auto" w:sz="4" w:space="0"/>
            </w:tcBorders>
            <w:vAlign w:val="center"/>
          </w:tcPr>
          <w:p w14:paraId="1CF11711">
            <w:pPr>
              <w:spacing w:line="360" w:lineRule="auto"/>
              <w:jc w:val="center"/>
              <w:rPr>
                <w:rFonts w:ascii="宋体" w:hAnsi="宋体"/>
                <w:b/>
                <w:sz w:val="24"/>
                <w:szCs w:val="24"/>
              </w:rPr>
            </w:pPr>
          </w:p>
        </w:tc>
        <w:tc>
          <w:tcPr>
            <w:tcW w:w="844" w:type="pct"/>
            <w:tcBorders>
              <w:top w:val="single" w:color="auto" w:sz="4" w:space="0"/>
              <w:left w:val="single" w:color="auto" w:sz="4" w:space="0"/>
              <w:bottom w:val="single" w:color="auto" w:sz="4" w:space="0"/>
              <w:right w:val="single" w:color="auto" w:sz="4" w:space="0"/>
            </w:tcBorders>
            <w:vAlign w:val="center"/>
          </w:tcPr>
          <w:p w14:paraId="680EBAA5">
            <w:pPr>
              <w:spacing w:line="360" w:lineRule="auto"/>
              <w:jc w:val="center"/>
              <w:rPr>
                <w:rFonts w:ascii="宋体" w:hAnsi="宋体"/>
                <w:b/>
                <w:sz w:val="24"/>
                <w:szCs w:val="24"/>
              </w:rPr>
            </w:pPr>
          </w:p>
        </w:tc>
        <w:tc>
          <w:tcPr>
            <w:tcW w:w="959" w:type="pct"/>
            <w:tcBorders>
              <w:top w:val="single" w:color="auto" w:sz="4" w:space="0"/>
              <w:left w:val="single" w:color="auto" w:sz="4" w:space="0"/>
              <w:bottom w:val="single" w:color="auto" w:sz="4" w:space="0"/>
              <w:right w:val="single" w:color="auto" w:sz="4" w:space="0"/>
            </w:tcBorders>
            <w:vAlign w:val="center"/>
          </w:tcPr>
          <w:p w14:paraId="181B331F">
            <w:pPr>
              <w:spacing w:line="360" w:lineRule="auto"/>
              <w:jc w:val="center"/>
              <w:rPr>
                <w:rFonts w:ascii="宋体" w:hAnsi="宋体"/>
                <w:b/>
                <w:sz w:val="24"/>
                <w:szCs w:val="24"/>
              </w:rPr>
            </w:pPr>
          </w:p>
        </w:tc>
        <w:tc>
          <w:tcPr>
            <w:tcW w:w="1588" w:type="pct"/>
            <w:tcBorders>
              <w:top w:val="single" w:color="auto" w:sz="4" w:space="0"/>
              <w:left w:val="single" w:color="auto" w:sz="4" w:space="0"/>
              <w:bottom w:val="single" w:color="auto" w:sz="4" w:space="0"/>
              <w:right w:val="thickThinSmallGap" w:color="auto" w:sz="24" w:space="0"/>
            </w:tcBorders>
            <w:vAlign w:val="center"/>
          </w:tcPr>
          <w:p w14:paraId="6684E44E">
            <w:pPr>
              <w:spacing w:line="360" w:lineRule="auto"/>
              <w:jc w:val="center"/>
              <w:rPr>
                <w:rFonts w:ascii="宋体" w:hAnsi="宋体"/>
                <w:b/>
                <w:sz w:val="24"/>
                <w:szCs w:val="24"/>
              </w:rPr>
            </w:pPr>
          </w:p>
        </w:tc>
      </w:tr>
      <w:tr w14:paraId="6C811DD8">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55" w:type="pct"/>
            <w:tcBorders>
              <w:top w:val="single" w:color="auto" w:sz="4" w:space="0"/>
              <w:left w:val="thinThickSmallGap" w:color="auto" w:sz="24" w:space="0"/>
              <w:bottom w:val="single" w:color="auto" w:sz="4" w:space="0"/>
              <w:right w:val="single" w:color="auto" w:sz="4" w:space="0"/>
            </w:tcBorders>
          </w:tcPr>
          <w:p w14:paraId="5320FC99">
            <w:pPr>
              <w:spacing w:line="360" w:lineRule="auto"/>
              <w:jc w:val="center"/>
              <w:rPr>
                <w:rFonts w:ascii="宋体" w:hAnsi="宋体"/>
                <w:sz w:val="24"/>
                <w:szCs w:val="24"/>
              </w:rPr>
            </w:pPr>
          </w:p>
        </w:tc>
        <w:tc>
          <w:tcPr>
            <w:tcW w:w="555" w:type="pct"/>
            <w:tcBorders>
              <w:top w:val="single" w:color="auto" w:sz="4" w:space="0"/>
              <w:left w:val="single" w:color="auto" w:sz="4" w:space="0"/>
              <w:bottom w:val="single" w:color="auto" w:sz="4" w:space="0"/>
              <w:right w:val="single" w:color="auto" w:sz="4" w:space="0"/>
            </w:tcBorders>
            <w:vAlign w:val="center"/>
          </w:tcPr>
          <w:p w14:paraId="33875EA9">
            <w:pPr>
              <w:spacing w:line="360" w:lineRule="auto"/>
              <w:jc w:val="center"/>
              <w:rPr>
                <w:rFonts w:ascii="宋体" w:hAnsi="宋体"/>
                <w:sz w:val="24"/>
                <w:szCs w:val="24"/>
              </w:rPr>
            </w:pPr>
          </w:p>
        </w:tc>
        <w:tc>
          <w:tcPr>
            <w:tcW w:w="499" w:type="pct"/>
            <w:tcBorders>
              <w:top w:val="single" w:color="auto" w:sz="4" w:space="0"/>
              <w:left w:val="single" w:color="auto" w:sz="4" w:space="0"/>
              <w:bottom w:val="single" w:color="auto" w:sz="4" w:space="0"/>
              <w:right w:val="single" w:color="auto" w:sz="4" w:space="0"/>
            </w:tcBorders>
            <w:vAlign w:val="center"/>
          </w:tcPr>
          <w:p w14:paraId="6B475481">
            <w:pPr>
              <w:spacing w:line="360" w:lineRule="auto"/>
              <w:jc w:val="center"/>
              <w:rPr>
                <w:rFonts w:ascii="宋体" w:hAnsi="宋体"/>
                <w:sz w:val="24"/>
                <w:szCs w:val="24"/>
              </w:rPr>
            </w:pPr>
          </w:p>
        </w:tc>
        <w:tc>
          <w:tcPr>
            <w:tcW w:w="844" w:type="pct"/>
            <w:tcBorders>
              <w:top w:val="single" w:color="auto" w:sz="4" w:space="0"/>
              <w:left w:val="single" w:color="auto" w:sz="4" w:space="0"/>
              <w:bottom w:val="single" w:color="auto" w:sz="4" w:space="0"/>
              <w:right w:val="single" w:color="auto" w:sz="4" w:space="0"/>
            </w:tcBorders>
            <w:vAlign w:val="center"/>
          </w:tcPr>
          <w:p w14:paraId="2A81D446">
            <w:pPr>
              <w:spacing w:line="360" w:lineRule="auto"/>
              <w:jc w:val="center"/>
              <w:rPr>
                <w:rFonts w:ascii="宋体" w:hAnsi="宋体"/>
                <w:sz w:val="24"/>
                <w:szCs w:val="24"/>
              </w:rPr>
            </w:pPr>
          </w:p>
        </w:tc>
        <w:tc>
          <w:tcPr>
            <w:tcW w:w="959" w:type="pct"/>
            <w:tcBorders>
              <w:top w:val="single" w:color="auto" w:sz="4" w:space="0"/>
              <w:left w:val="single" w:color="auto" w:sz="4" w:space="0"/>
              <w:bottom w:val="single" w:color="auto" w:sz="4" w:space="0"/>
              <w:right w:val="single" w:color="auto" w:sz="4" w:space="0"/>
            </w:tcBorders>
            <w:vAlign w:val="center"/>
          </w:tcPr>
          <w:p w14:paraId="51B93B33">
            <w:pPr>
              <w:spacing w:line="360" w:lineRule="auto"/>
              <w:jc w:val="center"/>
              <w:rPr>
                <w:rFonts w:ascii="宋体" w:hAnsi="宋体"/>
                <w:sz w:val="24"/>
                <w:szCs w:val="24"/>
              </w:rPr>
            </w:pPr>
          </w:p>
        </w:tc>
        <w:tc>
          <w:tcPr>
            <w:tcW w:w="1588" w:type="pct"/>
            <w:tcBorders>
              <w:top w:val="single" w:color="auto" w:sz="4" w:space="0"/>
              <w:left w:val="single" w:color="auto" w:sz="4" w:space="0"/>
              <w:bottom w:val="single" w:color="auto" w:sz="4" w:space="0"/>
              <w:right w:val="thickThinSmallGap" w:color="auto" w:sz="24" w:space="0"/>
            </w:tcBorders>
            <w:vAlign w:val="center"/>
          </w:tcPr>
          <w:p w14:paraId="4A20EF17">
            <w:pPr>
              <w:spacing w:line="360" w:lineRule="auto"/>
              <w:jc w:val="center"/>
              <w:rPr>
                <w:rFonts w:ascii="宋体" w:hAnsi="宋体"/>
                <w:sz w:val="24"/>
                <w:szCs w:val="24"/>
              </w:rPr>
            </w:pPr>
          </w:p>
        </w:tc>
      </w:tr>
      <w:tr w14:paraId="6D0E01F7">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555" w:type="pct"/>
            <w:tcBorders>
              <w:top w:val="single" w:color="auto" w:sz="4" w:space="0"/>
              <w:left w:val="thinThickSmallGap" w:color="auto" w:sz="24" w:space="0"/>
              <w:bottom w:val="single" w:color="auto" w:sz="4" w:space="0"/>
              <w:right w:val="single" w:color="auto" w:sz="4" w:space="0"/>
            </w:tcBorders>
          </w:tcPr>
          <w:p w14:paraId="3062D52A">
            <w:pPr>
              <w:spacing w:line="360" w:lineRule="auto"/>
              <w:jc w:val="center"/>
              <w:rPr>
                <w:rFonts w:ascii="宋体" w:hAnsi="宋体"/>
                <w:sz w:val="24"/>
                <w:szCs w:val="24"/>
              </w:rPr>
            </w:pPr>
          </w:p>
        </w:tc>
        <w:tc>
          <w:tcPr>
            <w:tcW w:w="555" w:type="pct"/>
            <w:tcBorders>
              <w:top w:val="single" w:color="auto" w:sz="4" w:space="0"/>
              <w:left w:val="single" w:color="auto" w:sz="4" w:space="0"/>
              <w:bottom w:val="single" w:color="auto" w:sz="4" w:space="0"/>
              <w:right w:val="single" w:color="auto" w:sz="4" w:space="0"/>
            </w:tcBorders>
            <w:vAlign w:val="center"/>
          </w:tcPr>
          <w:p w14:paraId="5A988319">
            <w:pPr>
              <w:spacing w:line="360" w:lineRule="auto"/>
              <w:jc w:val="center"/>
              <w:rPr>
                <w:rFonts w:ascii="宋体" w:hAnsi="宋体"/>
                <w:sz w:val="24"/>
                <w:szCs w:val="24"/>
              </w:rPr>
            </w:pPr>
          </w:p>
        </w:tc>
        <w:tc>
          <w:tcPr>
            <w:tcW w:w="499" w:type="pct"/>
            <w:tcBorders>
              <w:top w:val="single" w:color="auto" w:sz="4" w:space="0"/>
              <w:left w:val="single" w:color="auto" w:sz="4" w:space="0"/>
              <w:bottom w:val="single" w:color="auto" w:sz="4" w:space="0"/>
              <w:right w:val="single" w:color="auto" w:sz="4" w:space="0"/>
            </w:tcBorders>
            <w:vAlign w:val="center"/>
          </w:tcPr>
          <w:p w14:paraId="27EA43EE">
            <w:pPr>
              <w:spacing w:line="360" w:lineRule="auto"/>
              <w:jc w:val="center"/>
              <w:rPr>
                <w:rFonts w:ascii="宋体" w:hAnsi="宋体"/>
                <w:sz w:val="24"/>
                <w:szCs w:val="24"/>
              </w:rPr>
            </w:pPr>
          </w:p>
        </w:tc>
        <w:tc>
          <w:tcPr>
            <w:tcW w:w="844" w:type="pct"/>
            <w:tcBorders>
              <w:top w:val="single" w:color="auto" w:sz="4" w:space="0"/>
              <w:left w:val="single" w:color="auto" w:sz="4" w:space="0"/>
              <w:bottom w:val="single" w:color="auto" w:sz="4" w:space="0"/>
              <w:right w:val="single" w:color="auto" w:sz="4" w:space="0"/>
            </w:tcBorders>
            <w:vAlign w:val="center"/>
          </w:tcPr>
          <w:p w14:paraId="613CBFE0">
            <w:pPr>
              <w:spacing w:line="360" w:lineRule="auto"/>
              <w:jc w:val="center"/>
              <w:rPr>
                <w:rFonts w:ascii="宋体" w:hAnsi="宋体"/>
                <w:sz w:val="24"/>
                <w:szCs w:val="24"/>
              </w:rPr>
            </w:pPr>
          </w:p>
        </w:tc>
        <w:tc>
          <w:tcPr>
            <w:tcW w:w="959" w:type="pct"/>
            <w:tcBorders>
              <w:top w:val="single" w:color="auto" w:sz="4" w:space="0"/>
              <w:left w:val="single" w:color="auto" w:sz="4" w:space="0"/>
              <w:bottom w:val="single" w:color="auto" w:sz="4" w:space="0"/>
              <w:right w:val="single" w:color="auto" w:sz="4" w:space="0"/>
            </w:tcBorders>
            <w:vAlign w:val="center"/>
          </w:tcPr>
          <w:p w14:paraId="7299D9FA">
            <w:pPr>
              <w:spacing w:line="360" w:lineRule="auto"/>
              <w:jc w:val="center"/>
              <w:rPr>
                <w:rFonts w:ascii="宋体" w:hAnsi="宋体"/>
                <w:sz w:val="24"/>
                <w:szCs w:val="24"/>
              </w:rPr>
            </w:pPr>
          </w:p>
        </w:tc>
        <w:tc>
          <w:tcPr>
            <w:tcW w:w="1588" w:type="pct"/>
            <w:tcBorders>
              <w:top w:val="single" w:color="auto" w:sz="4" w:space="0"/>
              <w:left w:val="single" w:color="auto" w:sz="4" w:space="0"/>
              <w:bottom w:val="single" w:color="auto" w:sz="4" w:space="0"/>
              <w:right w:val="thickThinSmallGap" w:color="auto" w:sz="24" w:space="0"/>
            </w:tcBorders>
            <w:vAlign w:val="center"/>
          </w:tcPr>
          <w:p w14:paraId="134C315A">
            <w:pPr>
              <w:spacing w:line="360" w:lineRule="auto"/>
              <w:jc w:val="center"/>
              <w:rPr>
                <w:rFonts w:ascii="宋体" w:hAnsi="宋体"/>
                <w:sz w:val="24"/>
                <w:szCs w:val="24"/>
              </w:rPr>
            </w:pPr>
          </w:p>
        </w:tc>
      </w:tr>
      <w:tr w14:paraId="0234B0CD">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555" w:type="pct"/>
            <w:tcBorders>
              <w:top w:val="single" w:color="auto" w:sz="4" w:space="0"/>
              <w:left w:val="thinThickSmallGap" w:color="auto" w:sz="24" w:space="0"/>
              <w:bottom w:val="single" w:color="auto" w:sz="4" w:space="0"/>
              <w:right w:val="single" w:color="auto" w:sz="4" w:space="0"/>
            </w:tcBorders>
          </w:tcPr>
          <w:p w14:paraId="4D6E4A61">
            <w:pPr>
              <w:spacing w:line="360" w:lineRule="auto"/>
              <w:jc w:val="center"/>
              <w:rPr>
                <w:rFonts w:ascii="宋体" w:hAnsi="宋体"/>
                <w:sz w:val="24"/>
                <w:szCs w:val="24"/>
              </w:rPr>
            </w:pPr>
          </w:p>
        </w:tc>
        <w:tc>
          <w:tcPr>
            <w:tcW w:w="555" w:type="pct"/>
            <w:tcBorders>
              <w:top w:val="single" w:color="auto" w:sz="4" w:space="0"/>
              <w:left w:val="single" w:color="auto" w:sz="4" w:space="0"/>
              <w:bottom w:val="single" w:color="auto" w:sz="4" w:space="0"/>
              <w:right w:val="single" w:color="auto" w:sz="4" w:space="0"/>
            </w:tcBorders>
            <w:vAlign w:val="center"/>
          </w:tcPr>
          <w:p w14:paraId="1B284993">
            <w:pPr>
              <w:spacing w:line="360" w:lineRule="auto"/>
              <w:jc w:val="center"/>
              <w:rPr>
                <w:rFonts w:ascii="宋体" w:hAnsi="宋体"/>
                <w:sz w:val="24"/>
                <w:szCs w:val="24"/>
              </w:rPr>
            </w:pPr>
          </w:p>
        </w:tc>
        <w:tc>
          <w:tcPr>
            <w:tcW w:w="499" w:type="pct"/>
            <w:tcBorders>
              <w:top w:val="single" w:color="auto" w:sz="4" w:space="0"/>
              <w:left w:val="single" w:color="auto" w:sz="4" w:space="0"/>
              <w:bottom w:val="single" w:color="auto" w:sz="4" w:space="0"/>
              <w:right w:val="single" w:color="auto" w:sz="4" w:space="0"/>
            </w:tcBorders>
            <w:vAlign w:val="center"/>
          </w:tcPr>
          <w:p w14:paraId="739B5A2D">
            <w:pPr>
              <w:widowControl/>
              <w:spacing w:line="360" w:lineRule="auto"/>
              <w:jc w:val="center"/>
              <w:rPr>
                <w:rFonts w:ascii="宋体" w:hAnsi="宋体"/>
                <w:sz w:val="24"/>
                <w:szCs w:val="24"/>
              </w:rPr>
            </w:pPr>
          </w:p>
        </w:tc>
        <w:tc>
          <w:tcPr>
            <w:tcW w:w="844" w:type="pct"/>
            <w:tcBorders>
              <w:top w:val="single" w:color="auto" w:sz="4" w:space="0"/>
              <w:left w:val="single" w:color="auto" w:sz="4" w:space="0"/>
              <w:bottom w:val="single" w:color="auto" w:sz="4" w:space="0"/>
              <w:right w:val="single" w:color="auto" w:sz="4" w:space="0"/>
            </w:tcBorders>
            <w:vAlign w:val="center"/>
          </w:tcPr>
          <w:p w14:paraId="29DF5F05">
            <w:pPr>
              <w:spacing w:line="360" w:lineRule="auto"/>
              <w:jc w:val="center"/>
              <w:rPr>
                <w:rFonts w:ascii="宋体" w:hAnsi="宋体"/>
                <w:sz w:val="24"/>
                <w:szCs w:val="24"/>
              </w:rPr>
            </w:pPr>
          </w:p>
        </w:tc>
        <w:tc>
          <w:tcPr>
            <w:tcW w:w="959" w:type="pct"/>
            <w:tcBorders>
              <w:top w:val="single" w:color="auto" w:sz="4" w:space="0"/>
              <w:left w:val="single" w:color="auto" w:sz="4" w:space="0"/>
              <w:bottom w:val="single" w:color="auto" w:sz="4" w:space="0"/>
              <w:right w:val="single" w:color="auto" w:sz="4" w:space="0"/>
            </w:tcBorders>
            <w:vAlign w:val="center"/>
          </w:tcPr>
          <w:p w14:paraId="794D013A">
            <w:pPr>
              <w:spacing w:line="360" w:lineRule="auto"/>
              <w:jc w:val="center"/>
              <w:rPr>
                <w:rFonts w:ascii="宋体" w:hAnsi="宋体"/>
                <w:sz w:val="24"/>
                <w:szCs w:val="24"/>
              </w:rPr>
            </w:pPr>
          </w:p>
        </w:tc>
        <w:tc>
          <w:tcPr>
            <w:tcW w:w="1588" w:type="pct"/>
            <w:tcBorders>
              <w:top w:val="single" w:color="auto" w:sz="4" w:space="0"/>
              <w:left w:val="single" w:color="auto" w:sz="4" w:space="0"/>
              <w:bottom w:val="single" w:color="auto" w:sz="4" w:space="0"/>
              <w:right w:val="thickThinSmallGap" w:color="auto" w:sz="24" w:space="0"/>
            </w:tcBorders>
            <w:vAlign w:val="center"/>
          </w:tcPr>
          <w:p w14:paraId="1A351A0A">
            <w:pPr>
              <w:spacing w:line="360" w:lineRule="auto"/>
              <w:jc w:val="center"/>
              <w:rPr>
                <w:rFonts w:ascii="宋体" w:hAnsi="宋体"/>
                <w:sz w:val="24"/>
                <w:szCs w:val="24"/>
              </w:rPr>
            </w:pPr>
          </w:p>
        </w:tc>
      </w:tr>
      <w:tr w14:paraId="5E34B6A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55" w:type="pct"/>
            <w:tcBorders>
              <w:top w:val="single" w:color="auto" w:sz="4" w:space="0"/>
              <w:left w:val="thinThickSmallGap" w:color="auto" w:sz="24" w:space="0"/>
              <w:bottom w:val="single" w:color="auto" w:sz="4" w:space="0"/>
              <w:right w:val="single" w:color="auto" w:sz="4" w:space="0"/>
            </w:tcBorders>
          </w:tcPr>
          <w:p w14:paraId="3A6F60AB">
            <w:pPr>
              <w:spacing w:line="360" w:lineRule="auto"/>
              <w:jc w:val="center"/>
              <w:rPr>
                <w:rFonts w:ascii="宋体" w:hAnsi="宋体"/>
                <w:sz w:val="24"/>
                <w:szCs w:val="24"/>
              </w:rPr>
            </w:pPr>
          </w:p>
        </w:tc>
        <w:tc>
          <w:tcPr>
            <w:tcW w:w="555" w:type="pct"/>
            <w:tcBorders>
              <w:top w:val="single" w:color="auto" w:sz="4" w:space="0"/>
              <w:left w:val="single" w:color="auto" w:sz="4" w:space="0"/>
              <w:bottom w:val="single" w:color="auto" w:sz="4" w:space="0"/>
              <w:right w:val="single" w:color="auto" w:sz="4" w:space="0"/>
            </w:tcBorders>
            <w:vAlign w:val="center"/>
          </w:tcPr>
          <w:p w14:paraId="5DDC62CD">
            <w:pPr>
              <w:spacing w:line="360" w:lineRule="auto"/>
              <w:jc w:val="center"/>
              <w:rPr>
                <w:rFonts w:ascii="宋体" w:hAnsi="宋体"/>
                <w:sz w:val="24"/>
                <w:szCs w:val="24"/>
              </w:rPr>
            </w:pPr>
          </w:p>
        </w:tc>
        <w:tc>
          <w:tcPr>
            <w:tcW w:w="499" w:type="pct"/>
            <w:tcBorders>
              <w:top w:val="single" w:color="auto" w:sz="4" w:space="0"/>
              <w:left w:val="single" w:color="auto" w:sz="4" w:space="0"/>
              <w:bottom w:val="single" w:color="auto" w:sz="4" w:space="0"/>
              <w:right w:val="single" w:color="auto" w:sz="4" w:space="0"/>
            </w:tcBorders>
            <w:vAlign w:val="center"/>
          </w:tcPr>
          <w:p w14:paraId="6AC74BC7">
            <w:pPr>
              <w:spacing w:line="360" w:lineRule="auto"/>
              <w:jc w:val="center"/>
              <w:rPr>
                <w:rFonts w:ascii="宋体" w:hAnsi="宋体"/>
                <w:sz w:val="24"/>
                <w:szCs w:val="24"/>
              </w:rPr>
            </w:pPr>
          </w:p>
        </w:tc>
        <w:tc>
          <w:tcPr>
            <w:tcW w:w="844" w:type="pct"/>
            <w:tcBorders>
              <w:top w:val="single" w:color="auto" w:sz="4" w:space="0"/>
              <w:left w:val="single" w:color="auto" w:sz="4" w:space="0"/>
              <w:bottom w:val="single" w:color="auto" w:sz="4" w:space="0"/>
              <w:right w:val="single" w:color="auto" w:sz="4" w:space="0"/>
            </w:tcBorders>
            <w:vAlign w:val="center"/>
          </w:tcPr>
          <w:p w14:paraId="7AB3146A">
            <w:pPr>
              <w:spacing w:line="360" w:lineRule="auto"/>
              <w:jc w:val="center"/>
              <w:rPr>
                <w:rFonts w:ascii="宋体" w:hAnsi="宋体"/>
                <w:sz w:val="24"/>
                <w:szCs w:val="24"/>
              </w:rPr>
            </w:pPr>
          </w:p>
        </w:tc>
        <w:tc>
          <w:tcPr>
            <w:tcW w:w="959" w:type="pct"/>
            <w:tcBorders>
              <w:top w:val="single" w:color="auto" w:sz="4" w:space="0"/>
              <w:left w:val="single" w:color="auto" w:sz="4" w:space="0"/>
              <w:bottom w:val="single" w:color="auto" w:sz="4" w:space="0"/>
              <w:right w:val="single" w:color="auto" w:sz="4" w:space="0"/>
            </w:tcBorders>
            <w:vAlign w:val="center"/>
          </w:tcPr>
          <w:p w14:paraId="432321EA">
            <w:pPr>
              <w:spacing w:line="360" w:lineRule="auto"/>
              <w:jc w:val="center"/>
              <w:rPr>
                <w:rFonts w:ascii="宋体" w:hAnsi="宋体"/>
                <w:sz w:val="24"/>
                <w:szCs w:val="24"/>
              </w:rPr>
            </w:pPr>
          </w:p>
        </w:tc>
        <w:tc>
          <w:tcPr>
            <w:tcW w:w="1588" w:type="pct"/>
            <w:tcBorders>
              <w:top w:val="single" w:color="auto" w:sz="4" w:space="0"/>
              <w:left w:val="single" w:color="auto" w:sz="4" w:space="0"/>
              <w:bottom w:val="single" w:color="auto" w:sz="4" w:space="0"/>
              <w:right w:val="thickThinSmallGap" w:color="auto" w:sz="24" w:space="0"/>
            </w:tcBorders>
            <w:vAlign w:val="center"/>
          </w:tcPr>
          <w:p w14:paraId="35D8EE24">
            <w:pPr>
              <w:spacing w:line="360" w:lineRule="auto"/>
              <w:jc w:val="center"/>
              <w:rPr>
                <w:rFonts w:ascii="宋体" w:hAnsi="宋体"/>
                <w:sz w:val="24"/>
                <w:szCs w:val="24"/>
              </w:rPr>
            </w:pPr>
          </w:p>
        </w:tc>
      </w:tr>
      <w:tr w14:paraId="2F02F2DD">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555" w:type="pct"/>
            <w:tcBorders>
              <w:top w:val="single" w:color="auto" w:sz="4" w:space="0"/>
              <w:left w:val="thinThickSmallGap" w:color="auto" w:sz="24" w:space="0"/>
              <w:bottom w:val="single" w:color="auto" w:sz="4" w:space="0"/>
              <w:right w:val="single" w:color="auto" w:sz="4" w:space="0"/>
            </w:tcBorders>
          </w:tcPr>
          <w:p w14:paraId="274F8A12">
            <w:pPr>
              <w:spacing w:line="360" w:lineRule="auto"/>
              <w:jc w:val="center"/>
              <w:rPr>
                <w:rFonts w:ascii="宋体" w:hAnsi="宋体"/>
                <w:sz w:val="24"/>
                <w:szCs w:val="24"/>
              </w:rPr>
            </w:pPr>
          </w:p>
        </w:tc>
        <w:tc>
          <w:tcPr>
            <w:tcW w:w="555" w:type="pct"/>
            <w:tcBorders>
              <w:top w:val="single" w:color="auto" w:sz="4" w:space="0"/>
              <w:left w:val="single" w:color="auto" w:sz="4" w:space="0"/>
              <w:bottom w:val="single" w:color="auto" w:sz="4" w:space="0"/>
              <w:right w:val="single" w:color="auto" w:sz="4" w:space="0"/>
            </w:tcBorders>
            <w:vAlign w:val="center"/>
          </w:tcPr>
          <w:p w14:paraId="31709BDF">
            <w:pPr>
              <w:spacing w:line="360" w:lineRule="auto"/>
              <w:jc w:val="center"/>
              <w:rPr>
                <w:rFonts w:ascii="宋体" w:hAnsi="宋体"/>
                <w:sz w:val="24"/>
                <w:szCs w:val="24"/>
              </w:rPr>
            </w:pPr>
          </w:p>
        </w:tc>
        <w:tc>
          <w:tcPr>
            <w:tcW w:w="499" w:type="pct"/>
            <w:tcBorders>
              <w:top w:val="single" w:color="auto" w:sz="4" w:space="0"/>
              <w:left w:val="single" w:color="auto" w:sz="4" w:space="0"/>
              <w:bottom w:val="single" w:color="auto" w:sz="4" w:space="0"/>
              <w:right w:val="single" w:color="auto" w:sz="4" w:space="0"/>
            </w:tcBorders>
            <w:vAlign w:val="center"/>
          </w:tcPr>
          <w:p w14:paraId="481890DA">
            <w:pPr>
              <w:spacing w:line="360" w:lineRule="auto"/>
              <w:jc w:val="center"/>
              <w:rPr>
                <w:rFonts w:ascii="宋体" w:hAnsi="宋体"/>
                <w:sz w:val="24"/>
                <w:szCs w:val="24"/>
              </w:rPr>
            </w:pPr>
          </w:p>
        </w:tc>
        <w:tc>
          <w:tcPr>
            <w:tcW w:w="844" w:type="pct"/>
            <w:tcBorders>
              <w:top w:val="single" w:color="auto" w:sz="4" w:space="0"/>
              <w:left w:val="single" w:color="auto" w:sz="4" w:space="0"/>
              <w:bottom w:val="single" w:color="auto" w:sz="4" w:space="0"/>
              <w:right w:val="single" w:color="auto" w:sz="4" w:space="0"/>
            </w:tcBorders>
            <w:vAlign w:val="center"/>
          </w:tcPr>
          <w:p w14:paraId="7179E90A">
            <w:pPr>
              <w:spacing w:line="360" w:lineRule="auto"/>
              <w:jc w:val="center"/>
              <w:rPr>
                <w:rFonts w:ascii="宋体" w:hAnsi="宋体"/>
                <w:sz w:val="24"/>
                <w:szCs w:val="24"/>
              </w:rPr>
            </w:pPr>
          </w:p>
        </w:tc>
        <w:tc>
          <w:tcPr>
            <w:tcW w:w="959" w:type="pct"/>
            <w:tcBorders>
              <w:top w:val="single" w:color="auto" w:sz="4" w:space="0"/>
              <w:left w:val="single" w:color="auto" w:sz="4" w:space="0"/>
              <w:bottom w:val="single" w:color="auto" w:sz="4" w:space="0"/>
              <w:right w:val="single" w:color="auto" w:sz="4" w:space="0"/>
            </w:tcBorders>
            <w:vAlign w:val="center"/>
          </w:tcPr>
          <w:p w14:paraId="6CEE0969">
            <w:pPr>
              <w:spacing w:line="360" w:lineRule="auto"/>
              <w:jc w:val="center"/>
              <w:rPr>
                <w:rFonts w:ascii="宋体" w:hAnsi="宋体"/>
                <w:sz w:val="24"/>
                <w:szCs w:val="24"/>
              </w:rPr>
            </w:pPr>
          </w:p>
        </w:tc>
        <w:tc>
          <w:tcPr>
            <w:tcW w:w="1588" w:type="pct"/>
            <w:tcBorders>
              <w:top w:val="single" w:color="auto" w:sz="4" w:space="0"/>
              <w:left w:val="single" w:color="auto" w:sz="4" w:space="0"/>
              <w:bottom w:val="single" w:color="auto" w:sz="4" w:space="0"/>
              <w:right w:val="thickThinSmallGap" w:color="auto" w:sz="24" w:space="0"/>
            </w:tcBorders>
            <w:vAlign w:val="center"/>
          </w:tcPr>
          <w:p w14:paraId="02EBE6D4">
            <w:pPr>
              <w:spacing w:line="360" w:lineRule="auto"/>
              <w:jc w:val="center"/>
              <w:rPr>
                <w:rFonts w:ascii="宋体" w:hAnsi="宋体"/>
                <w:sz w:val="24"/>
                <w:szCs w:val="24"/>
              </w:rPr>
            </w:pPr>
          </w:p>
        </w:tc>
      </w:tr>
      <w:tr w14:paraId="15142A5F">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55" w:type="pct"/>
            <w:tcBorders>
              <w:top w:val="single" w:color="auto" w:sz="4" w:space="0"/>
              <w:left w:val="thinThickSmallGap" w:color="auto" w:sz="24" w:space="0"/>
              <w:bottom w:val="single" w:color="auto" w:sz="4" w:space="0"/>
              <w:right w:val="single" w:color="auto" w:sz="4" w:space="0"/>
            </w:tcBorders>
          </w:tcPr>
          <w:p w14:paraId="1F2BC355">
            <w:pPr>
              <w:spacing w:line="360" w:lineRule="auto"/>
              <w:jc w:val="center"/>
              <w:rPr>
                <w:rFonts w:ascii="宋体" w:hAnsi="宋体"/>
                <w:sz w:val="24"/>
                <w:szCs w:val="24"/>
              </w:rPr>
            </w:pPr>
          </w:p>
        </w:tc>
        <w:tc>
          <w:tcPr>
            <w:tcW w:w="555" w:type="pct"/>
            <w:tcBorders>
              <w:top w:val="single" w:color="auto" w:sz="4" w:space="0"/>
              <w:left w:val="single" w:color="auto" w:sz="4" w:space="0"/>
              <w:bottom w:val="single" w:color="auto" w:sz="4" w:space="0"/>
              <w:right w:val="single" w:color="auto" w:sz="4" w:space="0"/>
            </w:tcBorders>
            <w:vAlign w:val="center"/>
          </w:tcPr>
          <w:p w14:paraId="6CF16373">
            <w:pPr>
              <w:spacing w:line="360" w:lineRule="auto"/>
              <w:jc w:val="center"/>
              <w:rPr>
                <w:rFonts w:ascii="宋体" w:hAnsi="宋体"/>
                <w:sz w:val="24"/>
                <w:szCs w:val="24"/>
              </w:rPr>
            </w:pPr>
          </w:p>
        </w:tc>
        <w:tc>
          <w:tcPr>
            <w:tcW w:w="499" w:type="pct"/>
            <w:tcBorders>
              <w:top w:val="single" w:color="auto" w:sz="4" w:space="0"/>
              <w:left w:val="single" w:color="auto" w:sz="4" w:space="0"/>
              <w:bottom w:val="single" w:color="auto" w:sz="4" w:space="0"/>
              <w:right w:val="single" w:color="auto" w:sz="4" w:space="0"/>
            </w:tcBorders>
            <w:vAlign w:val="center"/>
          </w:tcPr>
          <w:p w14:paraId="03812F3D">
            <w:pPr>
              <w:spacing w:line="360" w:lineRule="auto"/>
              <w:jc w:val="center"/>
              <w:rPr>
                <w:rFonts w:ascii="宋体" w:hAnsi="宋体"/>
                <w:sz w:val="24"/>
                <w:szCs w:val="24"/>
              </w:rPr>
            </w:pPr>
          </w:p>
        </w:tc>
        <w:tc>
          <w:tcPr>
            <w:tcW w:w="844" w:type="pct"/>
            <w:tcBorders>
              <w:top w:val="single" w:color="auto" w:sz="4" w:space="0"/>
              <w:left w:val="single" w:color="auto" w:sz="4" w:space="0"/>
              <w:bottom w:val="single" w:color="auto" w:sz="4" w:space="0"/>
              <w:right w:val="single" w:color="auto" w:sz="4" w:space="0"/>
            </w:tcBorders>
            <w:vAlign w:val="center"/>
          </w:tcPr>
          <w:p w14:paraId="0DFDDF66">
            <w:pPr>
              <w:spacing w:line="360" w:lineRule="auto"/>
              <w:jc w:val="center"/>
              <w:rPr>
                <w:rFonts w:ascii="宋体" w:hAnsi="宋体"/>
                <w:sz w:val="24"/>
                <w:szCs w:val="24"/>
              </w:rPr>
            </w:pPr>
          </w:p>
        </w:tc>
        <w:tc>
          <w:tcPr>
            <w:tcW w:w="959" w:type="pct"/>
            <w:tcBorders>
              <w:top w:val="single" w:color="auto" w:sz="4" w:space="0"/>
              <w:left w:val="single" w:color="auto" w:sz="4" w:space="0"/>
              <w:bottom w:val="single" w:color="auto" w:sz="4" w:space="0"/>
              <w:right w:val="single" w:color="auto" w:sz="4" w:space="0"/>
            </w:tcBorders>
            <w:vAlign w:val="center"/>
          </w:tcPr>
          <w:p w14:paraId="5F701449">
            <w:pPr>
              <w:spacing w:line="360" w:lineRule="auto"/>
              <w:jc w:val="center"/>
              <w:rPr>
                <w:rFonts w:ascii="宋体" w:hAnsi="宋体"/>
                <w:sz w:val="24"/>
                <w:szCs w:val="24"/>
              </w:rPr>
            </w:pPr>
          </w:p>
        </w:tc>
        <w:tc>
          <w:tcPr>
            <w:tcW w:w="1588" w:type="pct"/>
            <w:tcBorders>
              <w:top w:val="single" w:color="auto" w:sz="4" w:space="0"/>
              <w:left w:val="single" w:color="auto" w:sz="4" w:space="0"/>
              <w:bottom w:val="single" w:color="auto" w:sz="4" w:space="0"/>
              <w:right w:val="thickThinSmallGap" w:color="auto" w:sz="24" w:space="0"/>
            </w:tcBorders>
            <w:vAlign w:val="center"/>
          </w:tcPr>
          <w:p w14:paraId="69C71241">
            <w:pPr>
              <w:spacing w:line="360" w:lineRule="auto"/>
              <w:jc w:val="center"/>
              <w:rPr>
                <w:rFonts w:ascii="宋体" w:hAnsi="宋体"/>
                <w:sz w:val="24"/>
                <w:szCs w:val="24"/>
              </w:rPr>
            </w:pPr>
          </w:p>
        </w:tc>
      </w:tr>
      <w:tr w14:paraId="7D3319C5">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555" w:type="pct"/>
            <w:tcBorders>
              <w:top w:val="single" w:color="auto" w:sz="4" w:space="0"/>
              <w:left w:val="thinThickSmallGap" w:color="auto" w:sz="24" w:space="0"/>
              <w:bottom w:val="single" w:color="auto" w:sz="4" w:space="0"/>
              <w:right w:val="single" w:color="auto" w:sz="4" w:space="0"/>
            </w:tcBorders>
          </w:tcPr>
          <w:p w14:paraId="41AA416C">
            <w:pPr>
              <w:spacing w:line="360" w:lineRule="auto"/>
              <w:jc w:val="center"/>
              <w:rPr>
                <w:rFonts w:ascii="宋体" w:hAnsi="宋体"/>
                <w:sz w:val="24"/>
                <w:szCs w:val="24"/>
              </w:rPr>
            </w:pPr>
          </w:p>
        </w:tc>
        <w:tc>
          <w:tcPr>
            <w:tcW w:w="555" w:type="pct"/>
            <w:tcBorders>
              <w:top w:val="single" w:color="auto" w:sz="4" w:space="0"/>
              <w:left w:val="single" w:color="auto" w:sz="4" w:space="0"/>
              <w:bottom w:val="single" w:color="auto" w:sz="4" w:space="0"/>
              <w:right w:val="single" w:color="auto" w:sz="4" w:space="0"/>
            </w:tcBorders>
            <w:vAlign w:val="center"/>
          </w:tcPr>
          <w:p w14:paraId="3B9CADF1">
            <w:pPr>
              <w:spacing w:line="360" w:lineRule="auto"/>
              <w:jc w:val="center"/>
              <w:rPr>
                <w:rFonts w:ascii="宋体" w:hAnsi="宋体"/>
                <w:sz w:val="24"/>
                <w:szCs w:val="24"/>
              </w:rPr>
            </w:pPr>
          </w:p>
        </w:tc>
        <w:tc>
          <w:tcPr>
            <w:tcW w:w="499" w:type="pct"/>
            <w:tcBorders>
              <w:top w:val="single" w:color="auto" w:sz="4" w:space="0"/>
              <w:left w:val="single" w:color="auto" w:sz="4" w:space="0"/>
              <w:bottom w:val="single" w:color="auto" w:sz="4" w:space="0"/>
              <w:right w:val="single" w:color="auto" w:sz="4" w:space="0"/>
            </w:tcBorders>
            <w:vAlign w:val="center"/>
          </w:tcPr>
          <w:p w14:paraId="04C9CB00">
            <w:pPr>
              <w:spacing w:line="360" w:lineRule="auto"/>
              <w:jc w:val="center"/>
              <w:rPr>
                <w:rFonts w:ascii="宋体" w:hAnsi="宋体"/>
                <w:sz w:val="24"/>
                <w:szCs w:val="24"/>
              </w:rPr>
            </w:pPr>
          </w:p>
        </w:tc>
        <w:tc>
          <w:tcPr>
            <w:tcW w:w="844" w:type="pct"/>
            <w:tcBorders>
              <w:top w:val="single" w:color="auto" w:sz="4" w:space="0"/>
              <w:left w:val="single" w:color="auto" w:sz="4" w:space="0"/>
              <w:bottom w:val="single" w:color="auto" w:sz="4" w:space="0"/>
              <w:right w:val="single" w:color="auto" w:sz="4" w:space="0"/>
            </w:tcBorders>
            <w:vAlign w:val="center"/>
          </w:tcPr>
          <w:p w14:paraId="4C7D6750">
            <w:pPr>
              <w:spacing w:line="360" w:lineRule="auto"/>
              <w:jc w:val="center"/>
              <w:rPr>
                <w:rFonts w:ascii="宋体" w:hAnsi="宋体"/>
                <w:sz w:val="24"/>
                <w:szCs w:val="24"/>
              </w:rPr>
            </w:pPr>
          </w:p>
        </w:tc>
        <w:tc>
          <w:tcPr>
            <w:tcW w:w="959" w:type="pct"/>
            <w:tcBorders>
              <w:top w:val="single" w:color="auto" w:sz="4" w:space="0"/>
              <w:left w:val="single" w:color="auto" w:sz="4" w:space="0"/>
              <w:bottom w:val="single" w:color="auto" w:sz="4" w:space="0"/>
              <w:right w:val="single" w:color="auto" w:sz="4" w:space="0"/>
            </w:tcBorders>
            <w:vAlign w:val="center"/>
          </w:tcPr>
          <w:p w14:paraId="01F13744">
            <w:pPr>
              <w:spacing w:line="360" w:lineRule="auto"/>
              <w:jc w:val="center"/>
              <w:rPr>
                <w:rFonts w:ascii="宋体" w:hAnsi="宋体"/>
                <w:sz w:val="24"/>
                <w:szCs w:val="24"/>
              </w:rPr>
            </w:pPr>
          </w:p>
        </w:tc>
        <w:tc>
          <w:tcPr>
            <w:tcW w:w="1588" w:type="pct"/>
            <w:tcBorders>
              <w:top w:val="single" w:color="auto" w:sz="4" w:space="0"/>
              <w:left w:val="single" w:color="auto" w:sz="4" w:space="0"/>
              <w:bottom w:val="single" w:color="auto" w:sz="4" w:space="0"/>
              <w:right w:val="thickThinSmallGap" w:color="auto" w:sz="24" w:space="0"/>
            </w:tcBorders>
            <w:vAlign w:val="center"/>
          </w:tcPr>
          <w:p w14:paraId="1DE1DEF5">
            <w:pPr>
              <w:spacing w:line="360" w:lineRule="auto"/>
              <w:jc w:val="center"/>
              <w:rPr>
                <w:rFonts w:ascii="宋体" w:hAnsi="宋体"/>
                <w:sz w:val="24"/>
                <w:szCs w:val="24"/>
              </w:rPr>
            </w:pPr>
          </w:p>
        </w:tc>
      </w:tr>
      <w:tr w14:paraId="0F96F14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555" w:type="pct"/>
            <w:tcBorders>
              <w:top w:val="single" w:color="auto" w:sz="4" w:space="0"/>
              <w:left w:val="thinThickSmallGap" w:color="auto" w:sz="24" w:space="0"/>
              <w:bottom w:val="single" w:color="auto" w:sz="4" w:space="0"/>
              <w:right w:val="single" w:color="auto" w:sz="4" w:space="0"/>
            </w:tcBorders>
          </w:tcPr>
          <w:p w14:paraId="2C709753">
            <w:pPr>
              <w:spacing w:line="360" w:lineRule="auto"/>
              <w:jc w:val="center"/>
              <w:rPr>
                <w:rFonts w:ascii="宋体" w:hAnsi="宋体"/>
                <w:sz w:val="24"/>
                <w:szCs w:val="24"/>
              </w:rPr>
            </w:pPr>
          </w:p>
        </w:tc>
        <w:tc>
          <w:tcPr>
            <w:tcW w:w="555" w:type="pct"/>
            <w:tcBorders>
              <w:top w:val="single" w:color="auto" w:sz="4" w:space="0"/>
              <w:left w:val="single" w:color="auto" w:sz="4" w:space="0"/>
              <w:bottom w:val="single" w:color="auto" w:sz="4" w:space="0"/>
              <w:right w:val="single" w:color="auto" w:sz="4" w:space="0"/>
            </w:tcBorders>
            <w:vAlign w:val="center"/>
          </w:tcPr>
          <w:p w14:paraId="766A0F42">
            <w:pPr>
              <w:spacing w:line="360" w:lineRule="auto"/>
              <w:jc w:val="center"/>
              <w:rPr>
                <w:rFonts w:ascii="宋体" w:hAnsi="宋体"/>
                <w:sz w:val="24"/>
                <w:szCs w:val="24"/>
              </w:rPr>
            </w:pPr>
          </w:p>
        </w:tc>
        <w:tc>
          <w:tcPr>
            <w:tcW w:w="499" w:type="pct"/>
            <w:tcBorders>
              <w:top w:val="single" w:color="auto" w:sz="4" w:space="0"/>
              <w:left w:val="single" w:color="auto" w:sz="4" w:space="0"/>
              <w:bottom w:val="single" w:color="auto" w:sz="4" w:space="0"/>
              <w:right w:val="single" w:color="auto" w:sz="4" w:space="0"/>
            </w:tcBorders>
            <w:vAlign w:val="center"/>
          </w:tcPr>
          <w:p w14:paraId="5DD85B73">
            <w:pPr>
              <w:spacing w:line="360" w:lineRule="auto"/>
              <w:jc w:val="center"/>
              <w:rPr>
                <w:rFonts w:ascii="宋体" w:hAnsi="宋体"/>
                <w:sz w:val="24"/>
                <w:szCs w:val="24"/>
              </w:rPr>
            </w:pPr>
          </w:p>
        </w:tc>
        <w:tc>
          <w:tcPr>
            <w:tcW w:w="844" w:type="pct"/>
            <w:tcBorders>
              <w:top w:val="single" w:color="auto" w:sz="4" w:space="0"/>
              <w:left w:val="single" w:color="auto" w:sz="4" w:space="0"/>
              <w:bottom w:val="single" w:color="auto" w:sz="4" w:space="0"/>
              <w:right w:val="single" w:color="auto" w:sz="4" w:space="0"/>
            </w:tcBorders>
            <w:vAlign w:val="center"/>
          </w:tcPr>
          <w:p w14:paraId="50392A03">
            <w:pPr>
              <w:spacing w:line="360" w:lineRule="auto"/>
              <w:jc w:val="center"/>
              <w:rPr>
                <w:rFonts w:ascii="宋体" w:hAnsi="宋体"/>
                <w:sz w:val="24"/>
                <w:szCs w:val="24"/>
              </w:rPr>
            </w:pPr>
          </w:p>
        </w:tc>
        <w:tc>
          <w:tcPr>
            <w:tcW w:w="959" w:type="pct"/>
            <w:tcBorders>
              <w:top w:val="single" w:color="auto" w:sz="4" w:space="0"/>
              <w:left w:val="single" w:color="auto" w:sz="4" w:space="0"/>
              <w:bottom w:val="single" w:color="auto" w:sz="4" w:space="0"/>
              <w:right w:val="single" w:color="auto" w:sz="4" w:space="0"/>
            </w:tcBorders>
            <w:vAlign w:val="center"/>
          </w:tcPr>
          <w:p w14:paraId="3C0D89C2">
            <w:pPr>
              <w:spacing w:line="360" w:lineRule="auto"/>
              <w:jc w:val="center"/>
              <w:rPr>
                <w:rFonts w:ascii="宋体" w:hAnsi="宋体"/>
                <w:sz w:val="24"/>
                <w:szCs w:val="24"/>
              </w:rPr>
            </w:pPr>
          </w:p>
        </w:tc>
        <w:tc>
          <w:tcPr>
            <w:tcW w:w="1588" w:type="pct"/>
            <w:tcBorders>
              <w:top w:val="single" w:color="auto" w:sz="4" w:space="0"/>
              <w:left w:val="single" w:color="auto" w:sz="4" w:space="0"/>
              <w:bottom w:val="single" w:color="auto" w:sz="4" w:space="0"/>
              <w:right w:val="thickThinSmallGap" w:color="auto" w:sz="24" w:space="0"/>
            </w:tcBorders>
            <w:vAlign w:val="center"/>
          </w:tcPr>
          <w:p w14:paraId="6E6ABB0E">
            <w:pPr>
              <w:spacing w:line="360" w:lineRule="auto"/>
              <w:jc w:val="center"/>
              <w:rPr>
                <w:rFonts w:ascii="宋体" w:hAnsi="宋体"/>
                <w:sz w:val="24"/>
                <w:szCs w:val="24"/>
              </w:rPr>
            </w:pPr>
          </w:p>
        </w:tc>
      </w:tr>
      <w:tr w14:paraId="29A90C2E">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55" w:type="pct"/>
            <w:tcBorders>
              <w:top w:val="single" w:color="auto" w:sz="4" w:space="0"/>
              <w:left w:val="thinThickSmallGap" w:color="auto" w:sz="24" w:space="0"/>
              <w:bottom w:val="single" w:color="auto" w:sz="4" w:space="0"/>
              <w:right w:val="single" w:color="auto" w:sz="4" w:space="0"/>
            </w:tcBorders>
          </w:tcPr>
          <w:p w14:paraId="2CB35842">
            <w:pPr>
              <w:spacing w:line="360" w:lineRule="auto"/>
              <w:jc w:val="center"/>
              <w:rPr>
                <w:rFonts w:ascii="宋体" w:hAnsi="宋体"/>
                <w:sz w:val="24"/>
                <w:szCs w:val="24"/>
              </w:rPr>
            </w:pPr>
          </w:p>
        </w:tc>
        <w:tc>
          <w:tcPr>
            <w:tcW w:w="555" w:type="pct"/>
            <w:tcBorders>
              <w:top w:val="single" w:color="auto" w:sz="4" w:space="0"/>
              <w:left w:val="single" w:color="auto" w:sz="4" w:space="0"/>
              <w:bottom w:val="single" w:color="auto" w:sz="4" w:space="0"/>
              <w:right w:val="single" w:color="auto" w:sz="4" w:space="0"/>
            </w:tcBorders>
            <w:vAlign w:val="center"/>
          </w:tcPr>
          <w:p w14:paraId="774DB48A">
            <w:pPr>
              <w:spacing w:line="360" w:lineRule="auto"/>
              <w:jc w:val="center"/>
              <w:rPr>
                <w:rFonts w:ascii="宋体" w:hAnsi="宋体"/>
                <w:sz w:val="24"/>
                <w:szCs w:val="24"/>
              </w:rPr>
            </w:pPr>
          </w:p>
        </w:tc>
        <w:tc>
          <w:tcPr>
            <w:tcW w:w="499" w:type="pct"/>
            <w:tcBorders>
              <w:top w:val="single" w:color="auto" w:sz="4" w:space="0"/>
              <w:left w:val="single" w:color="auto" w:sz="4" w:space="0"/>
              <w:bottom w:val="single" w:color="auto" w:sz="4" w:space="0"/>
              <w:right w:val="single" w:color="auto" w:sz="4" w:space="0"/>
            </w:tcBorders>
            <w:vAlign w:val="center"/>
          </w:tcPr>
          <w:p w14:paraId="7B1406CB">
            <w:pPr>
              <w:spacing w:line="360" w:lineRule="auto"/>
              <w:jc w:val="center"/>
              <w:rPr>
                <w:rFonts w:ascii="宋体" w:hAnsi="宋体"/>
                <w:sz w:val="24"/>
                <w:szCs w:val="24"/>
              </w:rPr>
            </w:pPr>
          </w:p>
        </w:tc>
        <w:tc>
          <w:tcPr>
            <w:tcW w:w="844" w:type="pct"/>
            <w:tcBorders>
              <w:top w:val="single" w:color="auto" w:sz="4" w:space="0"/>
              <w:left w:val="single" w:color="auto" w:sz="4" w:space="0"/>
              <w:bottom w:val="single" w:color="auto" w:sz="4" w:space="0"/>
              <w:right w:val="single" w:color="auto" w:sz="4" w:space="0"/>
            </w:tcBorders>
            <w:vAlign w:val="center"/>
          </w:tcPr>
          <w:p w14:paraId="4A5592E8">
            <w:pPr>
              <w:spacing w:line="360" w:lineRule="auto"/>
              <w:jc w:val="center"/>
              <w:rPr>
                <w:rFonts w:ascii="宋体" w:hAnsi="宋体"/>
                <w:sz w:val="24"/>
                <w:szCs w:val="24"/>
              </w:rPr>
            </w:pPr>
          </w:p>
        </w:tc>
        <w:tc>
          <w:tcPr>
            <w:tcW w:w="959" w:type="pct"/>
            <w:tcBorders>
              <w:top w:val="single" w:color="auto" w:sz="4" w:space="0"/>
              <w:left w:val="single" w:color="auto" w:sz="4" w:space="0"/>
              <w:bottom w:val="single" w:color="auto" w:sz="4" w:space="0"/>
              <w:right w:val="single" w:color="auto" w:sz="4" w:space="0"/>
            </w:tcBorders>
            <w:vAlign w:val="center"/>
          </w:tcPr>
          <w:p w14:paraId="4FF19D2E">
            <w:pPr>
              <w:spacing w:line="360" w:lineRule="auto"/>
              <w:jc w:val="center"/>
              <w:rPr>
                <w:rFonts w:ascii="宋体" w:hAnsi="宋体"/>
                <w:sz w:val="24"/>
                <w:szCs w:val="24"/>
              </w:rPr>
            </w:pPr>
          </w:p>
        </w:tc>
        <w:tc>
          <w:tcPr>
            <w:tcW w:w="1588" w:type="pct"/>
            <w:tcBorders>
              <w:top w:val="single" w:color="auto" w:sz="4" w:space="0"/>
              <w:left w:val="single" w:color="auto" w:sz="4" w:space="0"/>
              <w:bottom w:val="single" w:color="auto" w:sz="4" w:space="0"/>
              <w:right w:val="thickThinSmallGap" w:color="auto" w:sz="24" w:space="0"/>
            </w:tcBorders>
            <w:vAlign w:val="center"/>
          </w:tcPr>
          <w:p w14:paraId="0327D1D2">
            <w:pPr>
              <w:spacing w:line="360" w:lineRule="auto"/>
              <w:jc w:val="center"/>
              <w:rPr>
                <w:rFonts w:ascii="宋体" w:hAnsi="宋体"/>
                <w:sz w:val="24"/>
                <w:szCs w:val="24"/>
              </w:rPr>
            </w:pPr>
          </w:p>
        </w:tc>
      </w:tr>
      <w:tr w14:paraId="49CF528D">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555" w:type="pct"/>
            <w:tcBorders>
              <w:top w:val="single" w:color="auto" w:sz="4" w:space="0"/>
              <w:left w:val="thinThickSmallGap" w:color="auto" w:sz="24" w:space="0"/>
              <w:bottom w:val="single" w:color="auto" w:sz="4" w:space="0"/>
              <w:right w:val="single" w:color="auto" w:sz="4" w:space="0"/>
            </w:tcBorders>
          </w:tcPr>
          <w:p w14:paraId="5544FE9A">
            <w:pPr>
              <w:spacing w:line="360" w:lineRule="auto"/>
              <w:jc w:val="center"/>
              <w:rPr>
                <w:rFonts w:ascii="宋体" w:hAnsi="宋体"/>
                <w:sz w:val="24"/>
                <w:szCs w:val="24"/>
              </w:rPr>
            </w:pPr>
          </w:p>
        </w:tc>
        <w:tc>
          <w:tcPr>
            <w:tcW w:w="555" w:type="pct"/>
            <w:tcBorders>
              <w:top w:val="single" w:color="auto" w:sz="4" w:space="0"/>
              <w:left w:val="single" w:color="auto" w:sz="4" w:space="0"/>
              <w:bottom w:val="single" w:color="auto" w:sz="4" w:space="0"/>
              <w:right w:val="single" w:color="auto" w:sz="4" w:space="0"/>
            </w:tcBorders>
            <w:vAlign w:val="center"/>
          </w:tcPr>
          <w:p w14:paraId="52E84C23">
            <w:pPr>
              <w:spacing w:line="360" w:lineRule="auto"/>
              <w:jc w:val="center"/>
              <w:rPr>
                <w:rFonts w:ascii="宋体" w:hAnsi="宋体"/>
                <w:sz w:val="24"/>
                <w:szCs w:val="24"/>
              </w:rPr>
            </w:pPr>
          </w:p>
        </w:tc>
        <w:tc>
          <w:tcPr>
            <w:tcW w:w="499" w:type="pct"/>
            <w:tcBorders>
              <w:top w:val="single" w:color="auto" w:sz="4" w:space="0"/>
              <w:left w:val="single" w:color="auto" w:sz="4" w:space="0"/>
              <w:bottom w:val="single" w:color="auto" w:sz="4" w:space="0"/>
              <w:right w:val="single" w:color="auto" w:sz="4" w:space="0"/>
            </w:tcBorders>
            <w:vAlign w:val="center"/>
          </w:tcPr>
          <w:p w14:paraId="34BDADA9">
            <w:pPr>
              <w:spacing w:line="360" w:lineRule="auto"/>
              <w:jc w:val="center"/>
              <w:rPr>
                <w:rFonts w:ascii="宋体" w:hAnsi="宋体"/>
                <w:sz w:val="24"/>
                <w:szCs w:val="24"/>
              </w:rPr>
            </w:pPr>
          </w:p>
        </w:tc>
        <w:tc>
          <w:tcPr>
            <w:tcW w:w="844" w:type="pct"/>
            <w:tcBorders>
              <w:top w:val="single" w:color="auto" w:sz="4" w:space="0"/>
              <w:left w:val="single" w:color="auto" w:sz="4" w:space="0"/>
              <w:bottom w:val="single" w:color="auto" w:sz="4" w:space="0"/>
              <w:right w:val="single" w:color="auto" w:sz="4" w:space="0"/>
            </w:tcBorders>
            <w:vAlign w:val="center"/>
          </w:tcPr>
          <w:p w14:paraId="6BBC0927">
            <w:pPr>
              <w:spacing w:line="360" w:lineRule="auto"/>
              <w:jc w:val="center"/>
              <w:rPr>
                <w:rFonts w:ascii="宋体" w:hAnsi="宋体"/>
                <w:sz w:val="24"/>
                <w:szCs w:val="24"/>
              </w:rPr>
            </w:pPr>
          </w:p>
        </w:tc>
        <w:tc>
          <w:tcPr>
            <w:tcW w:w="959" w:type="pct"/>
            <w:tcBorders>
              <w:top w:val="single" w:color="auto" w:sz="4" w:space="0"/>
              <w:left w:val="single" w:color="auto" w:sz="4" w:space="0"/>
              <w:bottom w:val="single" w:color="auto" w:sz="4" w:space="0"/>
              <w:right w:val="single" w:color="auto" w:sz="4" w:space="0"/>
            </w:tcBorders>
            <w:vAlign w:val="center"/>
          </w:tcPr>
          <w:p w14:paraId="27B8186D">
            <w:pPr>
              <w:spacing w:line="360" w:lineRule="auto"/>
              <w:jc w:val="center"/>
              <w:rPr>
                <w:rFonts w:ascii="宋体" w:hAnsi="宋体"/>
                <w:sz w:val="24"/>
                <w:szCs w:val="24"/>
              </w:rPr>
            </w:pPr>
          </w:p>
        </w:tc>
        <w:tc>
          <w:tcPr>
            <w:tcW w:w="1588" w:type="pct"/>
            <w:tcBorders>
              <w:top w:val="single" w:color="auto" w:sz="4" w:space="0"/>
              <w:left w:val="single" w:color="auto" w:sz="4" w:space="0"/>
              <w:bottom w:val="single" w:color="auto" w:sz="4" w:space="0"/>
              <w:right w:val="thickThinSmallGap" w:color="auto" w:sz="24" w:space="0"/>
            </w:tcBorders>
            <w:vAlign w:val="center"/>
          </w:tcPr>
          <w:p w14:paraId="5C8DDFCB">
            <w:pPr>
              <w:spacing w:line="360" w:lineRule="auto"/>
              <w:jc w:val="center"/>
              <w:rPr>
                <w:rFonts w:ascii="宋体" w:hAnsi="宋体"/>
                <w:sz w:val="24"/>
                <w:szCs w:val="24"/>
              </w:rPr>
            </w:pPr>
          </w:p>
        </w:tc>
      </w:tr>
      <w:tr w14:paraId="2F7C42A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555" w:type="pct"/>
            <w:tcBorders>
              <w:top w:val="single" w:color="auto" w:sz="4" w:space="0"/>
              <w:left w:val="thinThickSmallGap" w:color="auto" w:sz="24" w:space="0"/>
              <w:bottom w:val="single" w:color="auto" w:sz="4" w:space="0"/>
              <w:right w:val="single" w:color="auto" w:sz="4" w:space="0"/>
            </w:tcBorders>
          </w:tcPr>
          <w:p w14:paraId="319EC2F7">
            <w:pPr>
              <w:spacing w:line="360" w:lineRule="auto"/>
              <w:jc w:val="center"/>
              <w:rPr>
                <w:rFonts w:ascii="宋体" w:hAnsi="宋体"/>
                <w:sz w:val="24"/>
                <w:szCs w:val="24"/>
              </w:rPr>
            </w:pPr>
          </w:p>
        </w:tc>
        <w:tc>
          <w:tcPr>
            <w:tcW w:w="555" w:type="pct"/>
            <w:tcBorders>
              <w:top w:val="single" w:color="auto" w:sz="4" w:space="0"/>
              <w:left w:val="single" w:color="auto" w:sz="4" w:space="0"/>
              <w:bottom w:val="single" w:color="auto" w:sz="4" w:space="0"/>
              <w:right w:val="single" w:color="auto" w:sz="4" w:space="0"/>
            </w:tcBorders>
            <w:vAlign w:val="center"/>
          </w:tcPr>
          <w:p w14:paraId="32AA4C1B">
            <w:pPr>
              <w:spacing w:line="360" w:lineRule="auto"/>
              <w:jc w:val="center"/>
              <w:rPr>
                <w:rFonts w:ascii="宋体" w:hAnsi="宋体"/>
                <w:sz w:val="24"/>
                <w:szCs w:val="24"/>
              </w:rPr>
            </w:pPr>
          </w:p>
        </w:tc>
        <w:tc>
          <w:tcPr>
            <w:tcW w:w="499" w:type="pct"/>
            <w:tcBorders>
              <w:top w:val="single" w:color="auto" w:sz="4" w:space="0"/>
              <w:left w:val="single" w:color="auto" w:sz="4" w:space="0"/>
              <w:bottom w:val="single" w:color="auto" w:sz="4" w:space="0"/>
              <w:right w:val="single" w:color="auto" w:sz="4" w:space="0"/>
            </w:tcBorders>
            <w:vAlign w:val="center"/>
          </w:tcPr>
          <w:p w14:paraId="4A36817F">
            <w:pPr>
              <w:spacing w:line="360" w:lineRule="auto"/>
              <w:jc w:val="center"/>
              <w:rPr>
                <w:rFonts w:ascii="宋体" w:hAnsi="宋体"/>
                <w:sz w:val="24"/>
                <w:szCs w:val="24"/>
              </w:rPr>
            </w:pPr>
          </w:p>
        </w:tc>
        <w:tc>
          <w:tcPr>
            <w:tcW w:w="844" w:type="pct"/>
            <w:tcBorders>
              <w:top w:val="single" w:color="auto" w:sz="4" w:space="0"/>
              <w:left w:val="single" w:color="auto" w:sz="4" w:space="0"/>
              <w:bottom w:val="single" w:color="auto" w:sz="4" w:space="0"/>
              <w:right w:val="single" w:color="auto" w:sz="4" w:space="0"/>
            </w:tcBorders>
            <w:vAlign w:val="center"/>
          </w:tcPr>
          <w:p w14:paraId="2812CF3D">
            <w:pPr>
              <w:spacing w:line="360" w:lineRule="auto"/>
              <w:jc w:val="center"/>
              <w:rPr>
                <w:rFonts w:ascii="宋体" w:hAnsi="宋体"/>
                <w:sz w:val="24"/>
                <w:szCs w:val="24"/>
              </w:rPr>
            </w:pPr>
          </w:p>
        </w:tc>
        <w:tc>
          <w:tcPr>
            <w:tcW w:w="959" w:type="pct"/>
            <w:tcBorders>
              <w:top w:val="single" w:color="auto" w:sz="4" w:space="0"/>
              <w:left w:val="single" w:color="auto" w:sz="4" w:space="0"/>
              <w:bottom w:val="single" w:color="auto" w:sz="4" w:space="0"/>
              <w:right w:val="single" w:color="auto" w:sz="4" w:space="0"/>
            </w:tcBorders>
            <w:vAlign w:val="center"/>
          </w:tcPr>
          <w:p w14:paraId="74A5126D">
            <w:pPr>
              <w:spacing w:line="360" w:lineRule="auto"/>
              <w:jc w:val="center"/>
              <w:rPr>
                <w:rFonts w:ascii="宋体" w:hAnsi="宋体"/>
                <w:sz w:val="24"/>
                <w:szCs w:val="24"/>
              </w:rPr>
            </w:pPr>
          </w:p>
        </w:tc>
        <w:tc>
          <w:tcPr>
            <w:tcW w:w="1588" w:type="pct"/>
            <w:tcBorders>
              <w:top w:val="single" w:color="auto" w:sz="4" w:space="0"/>
              <w:left w:val="single" w:color="auto" w:sz="4" w:space="0"/>
              <w:bottom w:val="single" w:color="auto" w:sz="4" w:space="0"/>
              <w:right w:val="thickThinSmallGap" w:color="auto" w:sz="24" w:space="0"/>
            </w:tcBorders>
            <w:vAlign w:val="center"/>
          </w:tcPr>
          <w:p w14:paraId="7BC0D36F">
            <w:pPr>
              <w:spacing w:line="360" w:lineRule="auto"/>
              <w:jc w:val="center"/>
              <w:rPr>
                <w:rFonts w:ascii="宋体" w:hAnsi="宋体"/>
                <w:sz w:val="24"/>
                <w:szCs w:val="24"/>
              </w:rPr>
            </w:pPr>
          </w:p>
        </w:tc>
      </w:tr>
      <w:tr w14:paraId="7DC579B5">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555" w:type="pct"/>
            <w:tcBorders>
              <w:top w:val="single" w:color="auto" w:sz="4" w:space="0"/>
              <w:left w:val="thinThickSmallGap" w:color="auto" w:sz="24" w:space="0"/>
              <w:bottom w:val="thickThinSmallGap" w:color="auto" w:sz="24" w:space="0"/>
              <w:right w:val="single" w:color="auto" w:sz="4" w:space="0"/>
            </w:tcBorders>
          </w:tcPr>
          <w:p w14:paraId="4D151DB0">
            <w:pPr>
              <w:spacing w:line="360" w:lineRule="auto"/>
              <w:jc w:val="center"/>
              <w:rPr>
                <w:rFonts w:ascii="宋体" w:hAnsi="宋体"/>
                <w:sz w:val="24"/>
                <w:szCs w:val="24"/>
              </w:rPr>
            </w:pPr>
          </w:p>
        </w:tc>
        <w:tc>
          <w:tcPr>
            <w:tcW w:w="555" w:type="pct"/>
            <w:tcBorders>
              <w:top w:val="single" w:color="auto" w:sz="4" w:space="0"/>
              <w:left w:val="single" w:color="auto" w:sz="4" w:space="0"/>
              <w:bottom w:val="thickThinSmallGap" w:color="auto" w:sz="24" w:space="0"/>
              <w:right w:val="single" w:color="auto" w:sz="4" w:space="0"/>
            </w:tcBorders>
            <w:vAlign w:val="center"/>
          </w:tcPr>
          <w:p w14:paraId="3E20C4CD">
            <w:pPr>
              <w:spacing w:line="360" w:lineRule="auto"/>
              <w:jc w:val="center"/>
              <w:rPr>
                <w:rFonts w:ascii="宋体" w:hAnsi="宋体"/>
                <w:sz w:val="24"/>
                <w:szCs w:val="24"/>
              </w:rPr>
            </w:pPr>
          </w:p>
        </w:tc>
        <w:tc>
          <w:tcPr>
            <w:tcW w:w="499" w:type="pct"/>
            <w:tcBorders>
              <w:top w:val="single" w:color="auto" w:sz="4" w:space="0"/>
              <w:left w:val="single" w:color="auto" w:sz="4" w:space="0"/>
              <w:bottom w:val="thickThinSmallGap" w:color="auto" w:sz="24" w:space="0"/>
              <w:right w:val="single" w:color="auto" w:sz="4" w:space="0"/>
            </w:tcBorders>
            <w:vAlign w:val="center"/>
          </w:tcPr>
          <w:p w14:paraId="0A2ABA7A">
            <w:pPr>
              <w:spacing w:line="360" w:lineRule="auto"/>
              <w:jc w:val="center"/>
              <w:rPr>
                <w:rFonts w:ascii="宋体" w:hAnsi="宋体"/>
                <w:sz w:val="24"/>
                <w:szCs w:val="24"/>
              </w:rPr>
            </w:pPr>
          </w:p>
        </w:tc>
        <w:tc>
          <w:tcPr>
            <w:tcW w:w="844" w:type="pct"/>
            <w:tcBorders>
              <w:top w:val="single" w:color="auto" w:sz="4" w:space="0"/>
              <w:left w:val="single" w:color="auto" w:sz="4" w:space="0"/>
              <w:bottom w:val="thickThinSmallGap" w:color="auto" w:sz="24" w:space="0"/>
              <w:right w:val="single" w:color="auto" w:sz="4" w:space="0"/>
            </w:tcBorders>
            <w:vAlign w:val="center"/>
          </w:tcPr>
          <w:p w14:paraId="2440912B">
            <w:pPr>
              <w:spacing w:line="360" w:lineRule="auto"/>
              <w:jc w:val="center"/>
              <w:rPr>
                <w:rFonts w:ascii="宋体" w:hAnsi="宋体"/>
                <w:sz w:val="24"/>
                <w:szCs w:val="24"/>
              </w:rPr>
            </w:pPr>
          </w:p>
        </w:tc>
        <w:tc>
          <w:tcPr>
            <w:tcW w:w="959" w:type="pct"/>
            <w:tcBorders>
              <w:top w:val="single" w:color="auto" w:sz="4" w:space="0"/>
              <w:left w:val="single" w:color="auto" w:sz="4" w:space="0"/>
              <w:bottom w:val="thickThinSmallGap" w:color="auto" w:sz="24" w:space="0"/>
              <w:right w:val="single" w:color="auto" w:sz="4" w:space="0"/>
            </w:tcBorders>
            <w:vAlign w:val="center"/>
          </w:tcPr>
          <w:p w14:paraId="5C0DF6F6">
            <w:pPr>
              <w:spacing w:line="360" w:lineRule="auto"/>
              <w:jc w:val="center"/>
              <w:rPr>
                <w:rFonts w:ascii="宋体" w:hAnsi="宋体"/>
                <w:sz w:val="24"/>
                <w:szCs w:val="24"/>
              </w:rPr>
            </w:pPr>
          </w:p>
        </w:tc>
        <w:tc>
          <w:tcPr>
            <w:tcW w:w="1588" w:type="pct"/>
            <w:tcBorders>
              <w:top w:val="single" w:color="auto" w:sz="4" w:space="0"/>
              <w:left w:val="single" w:color="auto" w:sz="4" w:space="0"/>
              <w:bottom w:val="thickThinSmallGap" w:color="auto" w:sz="24" w:space="0"/>
              <w:right w:val="thickThinSmallGap" w:color="auto" w:sz="24" w:space="0"/>
            </w:tcBorders>
            <w:vAlign w:val="center"/>
          </w:tcPr>
          <w:p w14:paraId="1EC81B21">
            <w:pPr>
              <w:spacing w:line="360" w:lineRule="auto"/>
              <w:jc w:val="center"/>
              <w:rPr>
                <w:rFonts w:ascii="宋体" w:hAnsi="宋体"/>
                <w:sz w:val="24"/>
                <w:szCs w:val="24"/>
              </w:rPr>
            </w:pPr>
          </w:p>
        </w:tc>
      </w:tr>
    </w:tbl>
    <w:p w14:paraId="1BDB01DA">
      <w:pPr>
        <w:spacing w:line="360" w:lineRule="auto"/>
        <w:rPr>
          <w:rFonts w:ascii="宋体" w:hAnsi="宋体"/>
          <w:sz w:val="24"/>
          <w:szCs w:val="21"/>
        </w:rPr>
      </w:pPr>
      <w:r>
        <w:rPr>
          <w:rFonts w:hint="eastAsia" w:ascii="宋体" w:hAnsi="宋体"/>
          <w:sz w:val="24"/>
          <w:szCs w:val="21"/>
        </w:rPr>
        <w:t>后附：1.人员组织构架说明（如有提供）；</w:t>
      </w:r>
    </w:p>
    <w:p w14:paraId="3BE2CDA8">
      <w:pPr>
        <w:spacing w:line="360" w:lineRule="auto"/>
        <w:ind w:firstLine="720" w:firstLineChars="300"/>
        <w:rPr>
          <w:rFonts w:ascii="宋体" w:hAnsi="宋体"/>
          <w:sz w:val="24"/>
          <w:szCs w:val="21"/>
        </w:rPr>
      </w:pPr>
      <w:r>
        <w:rPr>
          <w:rFonts w:hint="eastAsia" w:ascii="宋体" w:hAnsi="宋体"/>
          <w:sz w:val="24"/>
          <w:szCs w:val="21"/>
        </w:rPr>
        <w:t>2.人员相关材料等（如有提供）。</w:t>
      </w:r>
    </w:p>
    <w:p w14:paraId="06F8681F">
      <w:pPr>
        <w:spacing w:line="360" w:lineRule="auto"/>
        <w:rPr>
          <w:rFonts w:ascii="宋体" w:hAnsi="宋体" w:cs="义启新宋体"/>
          <w:b/>
          <w:kern w:val="0"/>
          <w:sz w:val="24"/>
          <w:szCs w:val="21"/>
        </w:rPr>
      </w:pPr>
    </w:p>
    <w:p w14:paraId="02BF28AF">
      <w:pPr>
        <w:spacing w:line="600" w:lineRule="exact"/>
        <w:rPr>
          <w:rFonts w:ascii="宋体" w:hAnsi="宋体"/>
          <w:b/>
          <w:szCs w:val="28"/>
        </w:rPr>
      </w:pPr>
    </w:p>
    <w:bookmarkEnd w:id="77"/>
    <w:bookmarkEnd w:id="78"/>
    <w:p w14:paraId="7A88769F">
      <w:pPr>
        <w:widowControl/>
        <w:jc w:val="left"/>
        <w:rPr>
          <w:rFonts w:ascii="宋体" w:hAnsi="宋体" w:cs="Calibri"/>
          <w:b/>
          <w:szCs w:val="28"/>
        </w:rPr>
      </w:pPr>
      <w:r>
        <w:rPr>
          <w:rFonts w:hint="eastAsia" w:ascii="宋体" w:hAnsi="宋体" w:cs="Calibri"/>
          <w:b/>
          <w:szCs w:val="28"/>
        </w:rPr>
        <w:br w:type="page"/>
      </w:r>
      <w:bookmarkStart w:id="79" w:name="_Toc531895135"/>
      <w:r>
        <w:rPr>
          <w:rFonts w:hint="eastAsia" w:ascii="宋体" w:hAnsi="宋体" w:cs="Calibri"/>
          <w:b/>
          <w:szCs w:val="28"/>
        </w:rPr>
        <w:t>格式4：</w:t>
      </w:r>
    </w:p>
    <w:p w14:paraId="603BA2AE">
      <w:pPr>
        <w:tabs>
          <w:tab w:val="left" w:pos="900"/>
          <w:tab w:val="left" w:pos="1588"/>
        </w:tabs>
        <w:adjustRightInd w:val="0"/>
        <w:spacing w:before="120" w:line="360" w:lineRule="auto"/>
        <w:jc w:val="center"/>
        <w:outlineLvl w:val="2"/>
        <w:rPr>
          <w:rFonts w:ascii="宋体" w:hAnsi="宋体"/>
          <w:b/>
          <w:kern w:val="0"/>
          <w:sz w:val="32"/>
          <w:szCs w:val="32"/>
          <w:lang w:val="zh-CN"/>
        </w:rPr>
      </w:pPr>
      <w:r>
        <w:rPr>
          <w:rFonts w:hint="eastAsia" w:ascii="宋体" w:hAnsi="宋体"/>
          <w:b/>
          <w:kern w:val="0"/>
          <w:sz w:val="32"/>
          <w:szCs w:val="32"/>
          <w:lang w:val="zh-CN"/>
        </w:rPr>
        <w:t>运输交通工具情况表</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7"/>
        <w:gridCol w:w="2337"/>
        <w:gridCol w:w="2532"/>
        <w:gridCol w:w="1752"/>
        <w:gridCol w:w="2336"/>
      </w:tblGrid>
      <w:tr w14:paraId="19AC3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55" w:type="pct"/>
            <w:vAlign w:val="center"/>
          </w:tcPr>
          <w:p w14:paraId="6ADCD3C9">
            <w:pPr>
              <w:spacing w:line="480" w:lineRule="exact"/>
              <w:jc w:val="center"/>
              <w:rPr>
                <w:rFonts w:ascii="宋体" w:hAnsi="宋体"/>
                <w:color w:val="000000"/>
                <w:sz w:val="24"/>
              </w:rPr>
            </w:pPr>
            <w:r>
              <w:rPr>
                <w:rFonts w:hint="eastAsia" w:ascii="宋体" w:hAnsi="宋体"/>
                <w:color w:val="000000"/>
                <w:sz w:val="24"/>
              </w:rPr>
              <w:t>序号</w:t>
            </w:r>
          </w:p>
        </w:tc>
        <w:tc>
          <w:tcPr>
            <w:tcW w:w="1186" w:type="pct"/>
            <w:vAlign w:val="center"/>
          </w:tcPr>
          <w:p w14:paraId="34B5B969">
            <w:pPr>
              <w:spacing w:line="480" w:lineRule="exact"/>
              <w:jc w:val="center"/>
              <w:rPr>
                <w:rFonts w:ascii="宋体" w:hAnsi="宋体"/>
                <w:color w:val="000000"/>
                <w:sz w:val="24"/>
              </w:rPr>
            </w:pPr>
            <w:r>
              <w:rPr>
                <w:rFonts w:hint="eastAsia" w:ascii="宋体" w:hAnsi="宋体"/>
                <w:color w:val="000000"/>
                <w:sz w:val="24"/>
              </w:rPr>
              <w:t>名称</w:t>
            </w:r>
          </w:p>
        </w:tc>
        <w:tc>
          <w:tcPr>
            <w:tcW w:w="1285" w:type="pct"/>
            <w:vAlign w:val="center"/>
          </w:tcPr>
          <w:p w14:paraId="3A96C07F">
            <w:pPr>
              <w:spacing w:line="480" w:lineRule="exact"/>
              <w:jc w:val="center"/>
              <w:rPr>
                <w:rFonts w:ascii="宋体" w:hAnsi="宋体"/>
                <w:color w:val="000000"/>
                <w:sz w:val="24"/>
              </w:rPr>
            </w:pPr>
            <w:r>
              <w:rPr>
                <w:rFonts w:hint="eastAsia" w:ascii="宋体" w:hAnsi="宋体"/>
                <w:color w:val="000000"/>
                <w:sz w:val="24"/>
              </w:rPr>
              <w:t>规格型号</w:t>
            </w:r>
          </w:p>
        </w:tc>
        <w:tc>
          <w:tcPr>
            <w:tcW w:w="889" w:type="pct"/>
            <w:vAlign w:val="center"/>
          </w:tcPr>
          <w:p w14:paraId="44638953">
            <w:pPr>
              <w:spacing w:line="480" w:lineRule="exact"/>
              <w:jc w:val="center"/>
              <w:rPr>
                <w:rFonts w:ascii="宋体" w:hAnsi="宋体"/>
                <w:color w:val="000000"/>
                <w:sz w:val="24"/>
              </w:rPr>
            </w:pPr>
            <w:r>
              <w:rPr>
                <w:rFonts w:hint="eastAsia" w:ascii="宋体" w:hAnsi="宋体"/>
                <w:color w:val="000000"/>
                <w:sz w:val="24"/>
              </w:rPr>
              <w:t>数量</w:t>
            </w:r>
          </w:p>
        </w:tc>
        <w:tc>
          <w:tcPr>
            <w:tcW w:w="1186" w:type="pct"/>
            <w:vAlign w:val="center"/>
          </w:tcPr>
          <w:p w14:paraId="3998100B">
            <w:pPr>
              <w:spacing w:line="480" w:lineRule="exact"/>
              <w:jc w:val="center"/>
              <w:rPr>
                <w:rFonts w:ascii="宋体" w:hAnsi="宋体"/>
                <w:color w:val="000000"/>
                <w:sz w:val="24"/>
              </w:rPr>
            </w:pPr>
            <w:r>
              <w:rPr>
                <w:rFonts w:hint="eastAsia" w:ascii="宋体" w:hAnsi="宋体"/>
                <w:color w:val="000000"/>
                <w:sz w:val="24"/>
              </w:rPr>
              <w:t>用途</w:t>
            </w:r>
          </w:p>
        </w:tc>
      </w:tr>
      <w:tr w14:paraId="4E7DD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55" w:type="pct"/>
          </w:tcPr>
          <w:p w14:paraId="7EA5A2C5">
            <w:pPr>
              <w:spacing w:line="480" w:lineRule="exact"/>
              <w:jc w:val="center"/>
              <w:rPr>
                <w:rFonts w:ascii="宋体" w:hAnsi="宋体"/>
                <w:color w:val="000000"/>
                <w:sz w:val="24"/>
              </w:rPr>
            </w:pPr>
          </w:p>
        </w:tc>
        <w:tc>
          <w:tcPr>
            <w:tcW w:w="1186" w:type="pct"/>
          </w:tcPr>
          <w:p w14:paraId="33625967">
            <w:pPr>
              <w:spacing w:line="480" w:lineRule="exact"/>
              <w:jc w:val="center"/>
              <w:rPr>
                <w:rFonts w:ascii="宋体" w:hAnsi="宋体"/>
                <w:color w:val="000000"/>
                <w:sz w:val="24"/>
              </w:rPr>
            </w:pPr>
          </w:p>
        </w:tc>
        <w:tc>
          <w:tcPr>
            <w:tcW w:w="1285" w:type="pct"/>
          </w:tcPr>
          <w:p w14:paraId="5F0C8561">
            <w:pPr>
              <w:spacing w:line="480" w:lineRule="exact"/>
              <w:jc w:val="center"/>
              <w:rPr>
                <w:rFonts w:ascii="宋体" w:hAnsi="宋体"/>
                <w:color w:val="000000"/>
                <w:sz w:val="24"/>
              </w:rPr>
            </w:pPr>
          </w:p>
        </w:tc>
        <w:tc>
          <w:tcPr>
            <w:tcW w:w="889" w:type="pct"/>
          </w:tcPr>
          <w:p w14:paraId="7E65C695">
            <w:pPr>
              <w:spacing w:line="480" w:lineRule="exact"/>
              <w:jc w:val="center"/>
              <w:rPr>
                <w:rFonts w:ascii="宋体" w:hAnsi="宋体"/>
                <w:color w:val="000000"/>
                <w:sz w:val="24"/>
              </w:rPr>
            </w:pPr>
          </w:p>
        </w:tc>
        <w:tc>
          <w:tcPr>
            <w:tcW w:w="1186" w:type="pct"/>
          </w:tcPr>
          <w:p w14:paraId="218034FF">
            <w:pPr>
              <w:spacing w:line="480" w:lineRule="exact"/>
              <w:jc w:val="center"/>
              <w:rPr>
                <w:rFonts w:ascii="宋体" w:hAnsi="宋体"/>
                <w:color w:val="000000"/>
                <w:sz w:val="24"/>
              </w:rPr>
            </w:pPr>
          </w:p>
        </w:tc>
      </w:tr>
      <w:tr w14:paraId="1C293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55" w:type="pct"/>
          </w:tcPr>
          <w:p w14:paraId="4DF9A1F2">
            <w:pPr>
              <w:spacing w:line="480" w:lineRule="exact"/>
              <w:jc w:val="center"/>
              <w:rPr>
                <w:rFonts w:ascii="宋体" w:hAnsi="宋体"/>
                <w:color w:val="000000"/>
                <w:sz w:val="24"/>
              </w:rPr>
            </w:pPr>
          </w:p>
        </w:tc>
        <w:tc>
          <w:tcPr>
            <w:tcW w:w="1186" w:type="pct"/>
          </w:tcPr>
          <w:p w14:paraId="7CC6950E">
            <w:pPr>
              <w:spacing w:line="480" w:lineRule="exact"/>
              <w:jc w:val="center"/>
              <w:rPr>
                <w:rFonts w:ascii="宋体" w:hAnsi="宋体"/>
                <w:color w:val="000000"/>
                <w:sz w:val="24"/>
              </w:rPr>
            </w:pPr>
          </w:p>
        </w:tc>
        <w:tc>
          <w:tcPr>
            <w:tcW w:w="1285" w:type="pct"/>
          </w:tcPr>
          <w:p w14:paraId="6951399D">
            <w:pPr>
              <w:spacing w:line="480" w:lineRule="exact"/>
              <w:jc w:val="center"/>
              <w:rPr>
                <w:rFonts w:ascii="宋体" w:hAnsi="宋体"/>
                <w:color w:val="000000"/>
                <w:sz w:val="24"/>
              </w:rPr>
            </w:pPr>
          </w:p>
        </w:tc>
        <w:tc>
          <w:tcPr>
            <w:tcW w:w="889" w:type="pct"/>
          </w:tcPr>
          <w:p w14:paraId="6C1C1BDE">
            <w:pPr>
              <w:spacing w:line="480" w:lineRule="exact"/>
              <w:jc w:val="center"/>
              <w:rPr>
                <w:rFonts w:ascii="宋体" w:hAnsi="宋体"/>
                <w:color w:val="000000"/>
                <w:sz w:val="24"/>
              </w:rPr>
            </w:pPr>
          </w:p>
        </w:tc>
        <w:tc>
          <w:tcPr>
            <w:tcW w:w="1186" w:type="pct"/>
          </w:tcPr>
          <w:p w14:paraId="0D65F9B4">
            <w:pPr>
              <w:spacing w:line="480" w:lineRule="exact"/>
              <w:jc w:val="center"/>
              <w:rPr>
                <w:rFonts w:ascii="宋体" w:hAnsi="宋体"/>
                <w:color w:val="000000"/>
                <w:sz w:val="24"/>
              </w:rPr>
            </w:pPr>
          </w:p>
        </w:tc>
      </w:tr>
      <w:tr w14:paraId="6F872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55" w:type="pct"/>
          </w:tcPr>
          <w:p w14:paraId="734F78EF">
            <w:pPr>
              <w:spacing w:line="480" w:lineRule="exact"/>
              <w:jc w:val="center"/>
              <w:rPr>
                <w:rFonts w:ascii="宋体" w:hAnsi="宋体"/>
                <w:color w:val="000000"/>
                <w:sz w:val="24"/>
              </w:rPr>
            </w:pPr>
          </w:p>
        </w:tc>
        <w:tc>
          <w:tcPr>
            <w:tcW w:w="1186" w:type="pct"/>
          </w:tcPr>
          <w:p w14:paraId="4ADF6BE0">
            <w:pPr>
              <w:spacing w:line="480" w:lineRule="exact"/>
              <w:jc w:val="center"/>
              <w:rPr>
                <w:rFonts w:ascii="宋体" w:hAnsi="宋体"/>
                <w:color w:val="000000"/>
                <w:sz w:val="24"/>
              </w:rPr>
            </w:pPr>
          </w:p>
        </w:tc>
        <w:tc>
          <w:tcPr>
            <w:tcW w:w="1285" w:type="pct"/>
          </w:tcPr>
          <w:p w14:paraId="783A3E5F">
            <w:pPr>
              <w:spacing w:line="480" w:lineRule="exact"/>
              <w:jc w:val="center"/>
              <w:rPr>
                <w:rFonts w:ascii="宋体" w:hAnsi="宋体"/>
                <w:color w:val="000000"/>
                <w:sz w:val="24"/>
              </w:rPr>
            </w:pPr>
          </w:p>
        </w:tc>
        <w:tc>
          <w:tcPr>
            <w:tcW w:w="889" w:type="pct"/>
          </w:tcPr>
          <w:p w14:paraId="6D77C615">
            <w:pPr>
              <w:spacing w:line="480" w:lineRule="exact"/>
              <w:jc w:val="center"/>
              <w:rPr>
                <w:rFonts w:ascii="宋体" w:hAnsi="宋体"/>
                <w:color w:val="000000"/>
                <w:sz w:val="24"/>
              </w:rPr>
            </w:pPr>
          </w:p>
        </w:tc>
        <w:tc>
          <w:tcPr>
            <w:tcW w:w="1186" w:type="pct"/>
          </w:tcPr>
          <w:p w14:paraId="26F71256">
            <w:pPr>
              <w:spacing w:line="480" w:lineRule="exact"/>
              <w:jc w:val="center"/>
              <w:rPr>
                <w:rFonts w:ascii="宋体" w:hAnsi="宋体"/>
                <w:color w:val="000000"/>
                <w:sz w:val="24"/>
              </w:rPr>
            </w:pPr>
          </w:p>
        </w:tc>
      </w:tr>
      <w:tr w14:paraId="7DF0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55" w:type="pct"/>
          </w:tcPr>
          <w:p w14:paraId="2EE4FA2C">
            <w:pPr>
              <w:spacing w:line="480" w:lineRule="exact"/>
              <w:jc w:val="center"/>
              <w:rPr>
                <w:rFonts w:ascii="宋体" w:hAnsi="宋体"/>
                <w:color w:val="000000"/>
                <w:sz w:val="24"/>
              </w:rPr>
            </w:pPr>
          </w:p>
        </w:tc>
        <w:tc>
          <w:tcPr>
            <w:tcW w:w="1186" w:type="pct"/>
          </w:tcPr>
          <w:p w14:paraId="215E2CBF">
            <w:pPr>
              <w:spacing w:line="480" w:lineRule="exact"/>
              <w:jc w:val="center"/>
              <w:rPr>
                <w:rFonts w:ascii="宋体" w:hAnsi="宋体"/>
                <w:color w:val="000000"/>
                <w:sz w:val="24"/>
              </w:rPr>
            </w:pPr>
          </w:p>
        </w:tc>
        <w:tc>
          <w:tcPr>
            <w:tcW w:w="1285" w:type="pct"/>
          </w:tcPr>
          <w:p w14:paraId="34E76F28">
            <w:pPr>
              <w:spacing w:line="480" w:lineRule="exact"/>
              <w:jc w:val="center"/>
              <w:rPr>
                <w:rFonts w:ascii="宋体" w:hAnsi="宋体"/>
                <w:color w:val="000000"/>
                <w:sz w:val="24"/>
              </w:rPr>
            </w:pPr>
          </w:p>
        </w:tc>
        <w:tc>
          <w:tcPr>
            <w:tcW w:w="889" w:type="pct"/>
          </w:tcPr>
          <w:p w14:paraId="2DA02E38">
            <w:pPr>
              <w:spacing w:line="480" w:lineRule="exact"/>
              <w:jc w:val="center"/>
              <w:rPr>
                <w:rFonts w:ascii="宋体" w:hAnsi="宋体"/>
                <w:color w:val="000000"/>
                <w:sz w:val="24"/>
              </w:rPr>
            </w:pPr>
          </w:p>
        </w:tc>
        <w:tc>
          <w:tcPr>
            <w:tcW w:w="1186" w:type="pct"/>
          </w:tcPr>
          <w:p w14:paraId="7519E844">
            <w:pPr>
              <w:spacing w:line="480" w:lineRule="exact"/>
              <w:jc w:val="center"/>
              <w:rPr>
                <w:rFonts w:ascii="宋体" w:hAnsi="宋体"/>
                <w:color w:val="000000"/>
                <w:sz w:val="24"/>
              </w:rPr>
            </w:pPr>
          </w:p>
        </w:tc>
      </w:tr>
      <w:tr w14:paraId="46367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55" w:type="pct"/>
          </w:tcPr>
          <w:p w14:paraId="0CD1343D">
            <w:pPr>
              <w:spacing w:line="480" w:lineRule="exact"/>
              <w:jc w:val="center"/>
              <w:rPr>
                <w:rFonts w:ascii="宋体" w:hAnsi="宋体"/>
                <w:color w:val="000000"/>
                <w:sz w:val="24"/>
              </w:rPr>
            </w:pPr>
          </w:p>
        </w:tc>
        <w:tc>
          <w:tcPr>
            <w:tcW w:w="1186" w:type="pct"/>
          </w:tcPr>
          <w:p w14:paraId="50CDC839">
            <w:pPr>
              <w:spacing w:line="480" w:lineRule="exact"/>
              <w:jc w:val="center"/>
              <w:rPr>
                <w:rFonts w:ascii="宋体" w:hAnsi="宋体"/>
                <w:color w:val="000000"/>
                <w:sz w:val="24"/>
              </w:rPr>
            </w:pPr>
          </w:p>
        </w:tc>
        <w:tc>
          <w:tcPr>
            <w:tcW w:w="1285" w:type="pct"/>
          </w:tcPr>
          <w:p w14:paraId="0187182A">
            <w:pPr>
              <w:spacing w:line="480" w:lineRule="exact"/>
              <w:jc w:val="center"/>
              <w:rPr>
                <w:rFonts w:ascii="宋体" w:hAnsi="宋体"/>
                <w:color w:val="000000"/>
                <w:sz w:val="24"/>
              </w:rPr>
            </w:pPr>
          </w:p>
        </w:tc>
        <w:tc>
          <w:tcPr>
            <w:tcW w:w="889" w:type="pct"/>
          </w:tcPr>
          <w:p w14:paraId="36B6B47D">
            <w:pPr>
              <w:spacing w:line="480" w:lineRule="exact"/>
              <w:jc w:val="center"/>
              <w:rPr>
                <w:rFonts w:ascii="宋体" w:hAnsi="宋体"/>
                <w:color w:val="000000"/>
                <w:sz w:val="24"/>
              </w:rPr>
            </w:pPr>
          </w:p>
        </w:tc>
        <w:tc>
          <w:tcPr>
            <w:tcW w:w="1186" w:type="pct"/>
          </w:tcPr>
          <w:p w14:paraId="1A36DFDA">
            <w:pPr>
              <w:spacing w:line="480" w:lineRule="exact"/>
              <w:jc w:val="center"/>
              <w:rPr>
                <w:rFonts w:ascii="宋体" w:hAnsi="宋体"/>
                <w:color w:val="000000"/>
                <w:sz w:val="24"/>
              </w:rPr>
            </w:pPr>
          </w:p>
        </w:tc>
      </w:tr>
      <w:tr w14:paraId="01023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55" w:type="pct"/>
          </w:tcPr>
          <w:p w14:paraId="323C1367">
            <w:pPr>
              <w:spacing w:line="480" w:lineRule="exact"/>
              <w:jc w:val="center"/>
              <w:rPr>
                <w:rFonts w:ascii="宋体" w:hAnsi="宋体"/>
                <w:color w:val="000000"/>
                <w:sz w:val="24"/>
              </w:rPr>
            </w:pPr>
          </w:p>
        </w:tc>
        <w:tc>
          <w:tcPr>
            <w:tcW w:w="1186" w:type="pct"/>
          </w:tcPr>
          <w:p w14:paraId="45C12E62">
            <w:pPr>
              <w:spacing w:line="480" w:lineRule="exact"/>
              <w:jc w:val="center"/>
              <w:rPr>
                <w:rFonts w:ascii="宋体" w:hAnsi="宋体"/>
                <w:color w:val="000000"/>
                <w:sz w:val="24"/>
              </w:rPr>
            </w:pPr>
          </w:p>
        </w:tc>
        <w:tc>
          <w:tcPr>
            <w:tcW w:w="1285" w:type="pct"/>
          </w:tcPr>
          <w:p w14:paraId="1F1D48E2">
            <w:pPr>
              <w:spacing w:line="480" w:lineRule="exact"/>
              <w:jc w:val="center"/>
              <w:rPr>
                <w:rFonts w:ascii="宋体" w:hAnsi="宋体"/>
                <w:color w:val="000000"/>
                <w:sz w:val="24"/>
              </w:rPr>
            </w:pPr>
          </w:p>
        </w:tc>
        <w:tc>
          <w:tcPr>
            <w:tcW w:w="889" w:type="pct"/>
          </w:tcPr>
          <w:p w14:paraId="4181D36E">
            <w:pPr>
              <w:spacing w:line="480" w:lineRule="exact"/>
              <w:jc w:val="center"/>
              <w:rPr>
                <w:rFonts w:ascii="宋体" w:hAnsi="宋体"/>
                <w:color w:val="000000"/>
                <w:sz w:val="24"/>
              </w:rPr>
            </w:pPr>
          </w:p>
        </w:tc>
        <w:tc>
          <w:tcPr>
            <w:tcW w:w="1186" w:type="pct"/>
          </w:tcPr>
          <w:p w14:paraId="2C98E7D2">
            <w:pPr>
              <w:spacing w:line="480" w:lineRule="exact"/>
              <w:jc w:val="center"/>
              <w:rPr>
                <w:rFonts w:ascii="宋体" w:hAnsi="宋体"/>
                <w:color w:val="000000"/>
                <w:sz w:val="24"/>
              </w:rPr>
            </w:pPr>
          </w:p>
        </w:tc>
      </w:tr>
      <w:tr w14:paraId="5376F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55" w:type="pct"/>
          </w:tcPr>
          <w:p w14:paraId="4D859172">
            <w:pPr>
              <w:spacing w:line="480" w:lineRule="exact"/>
              <w:jc w:val="center"/>
              <w:rPr>
                <w:rFonts w:ascii="宋体" w:hAnsi="宋体"/>
                <w:color w:val="000000"/>
                <w:sz w:val="24"/>
              </w:rPr>
            </w:pPr>
          </w:p>
        </w:tc>
        <w:tc>
          <w:tcPr>
            <w:tcW w:w="1186" w:type="pct"/>
          </w:tcPr>
          <w:p w14:paraId="18299AD5">
            <w:pPr>
              <w:spacing w:line="480" w:lineRule="exact"/>
              <w:jc w:val="center"/>
              <w:rPr>
                <w:rFonts w:ascii="宋体" w:hAnsi="宋体"/>
                <w:color w:val="000000"/>
                <w:sz w:val="24"/>
              </w:rPr>
            </w:pPr>
          </w:p>
        </w:tc>
        <w:tc>
          <w:tcPr>
            <w:tcW w:w="1285" w:type="pct"/>
          </w:tcPr>
          <w:p w14:paraId="0F25A936">
            <w:pPr>
              <w:spacing w:line="480" w:lineRule="exact"/>
              <w:jc w:val="center"/>
              <w:rPr>
                <w:rFonts w:ascii="宋体" w:hAnsi="宋体"/>
                <w:color w:val="000000"/>
                <w:sz w:val="24"/>
              </w:rPr>
            </w:pPr>
          </w:p>
        </w:tc>
        <w:tc>
          <w:tcPr>
            <w:tcW w:w="889" w:type="pct"/>
          </w:tcPr>
          <w:p w14:paraId="32D92933">
            <w:pPr>
              <w:spacing w:line="480" w:lineRule="exact"/>
              <w:jc w:val="center"/>
              <w:rPr>
                <w:rFonts w:ascii="宋体" w:hAnsi="宋体"/>
                <w:color w:val="000000"/>
                <w:sz w:val="24"/>
              </w:rPr>
            </w:pPr>
          </w:p>
        </w:tc>
        <w:tc>
          <w:tcPr>
            <w:tcW w:w="1186" w:type="pct"/>
          </w:tcPr>
          <w:p w14:paraId="500E664A">
            <w:pPr>
              <w:spacing w:line="480" w:lineRule="exact"/>
              <w:jc w:val="center"/>
              <w:rPr>
                <w:rFonts w:ascii="宋体" w:hAnsi="宋体"/>
                <w:color w:val="000000"/>
                <w:sz w:val="24"/>
              </w:rPr>
            </w:pPr>
          </w:p>
        </w:tc>
      </w:tr>
      <w:tr w14:paraId="64B88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55" w:type="pct"/>
          </w:tcPr>
          <w:p w14:paraId="1659196B">
            <w:pPr>
              <w:spacing w:line="480" w:lineRule="exact"/>
              <w:jc w:val="center"/>
              <w:rPr>
                <w:rFonts w:ascii="宋体" w:hAnsi="宋体"/>
                <w:color w:val="000000"/>
                <w:sz w:val="24"/>
              </w:rPr>
            </w:pPr>
          </w:p>
        </w:tc>
        <w:tc>
          <w:tcPr>
            <w:tcW w:w="1186" w:type="pct"/>
          </w:tcPr>
          <w:p w14:paraId="7330D457">
            <w:pPr>
              <w:spacing w:line="480" w:lineRule="exact"/>
              <w:jc w:val="center"/>
              <w:rPr>
                <w:rFonts w:ascii="宋体" w:hAnsi="宋体"/>
                <w:color w:val="000000"/>
                <w:sz w:val="24"/>
              </w:rPr>
            </w:pPr>
          </w:p>
        </w:tc>
        <w:tc>
          <w:tcPr>
            <w:tcW w:w="1285" w:type="pct"/>
          </w:tcPr>
          <w:p w14:paraId="334F0FD5">
            <w:pPr>
              <w:spacing w:line="480" w:lineRule="exact"/>
              <w:jc w:val="center"/>
              <w:rPr>
                <w:rFonts w:ascii="宋体" w:hAnsi="宋体"/>
                <w:color w:val="000000"/>
                <w:sz w:val="24"/>
              </w:rPr>
            </w:pPr>
          </w:p>
        </w:tc>
        <w:tc>
          <w:tcPr>
            <w:tcW w:w="889" w:type="pct"/>
          </w:tcPr>
          <w:p w14:paraId="7B1F2C87">
            <w:pPr>
              <w:spacing w:line="480" w:lineRule="exact"/>
              <w:jc w:val="center"/>
              <w:rPr>
                <w:rFonts w:ascii="宋体" w:hAnsi="宋体"/>
                <w:color w:val="000000"/>
                <w:sz w:val="24"/>
              </w:rPr>
            </w:pPr>
          </w:p>
        </w:tc>
        <w:tc>
          <w:tcPr>
            <w:tcW w:w="1186" w:type="pct"/>
          </w:tcPr>
          <w:p w14:paraId="75FC2230">
            <w:pPr>
              <w:spacing w:line="480" w:lineRule="exact"/>
              <w:jc w:val="center"/>
              <w:rPr>
                <w:rFonts w:ascii="宋体" w:hAnsi="宋体"/>
                <w:color w:val="000000"/>
                <w:sz w:val="24"/>
              </w:rPr>
            </w:pPr>
          </w:p>
        </w:tc>
      </w:tr>
      <w:tr w14:paraId="6D881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55" w:type="pct"/>
          </w:tcPr>
          <w:p w14:paraId="1561F4E2">
            <w:pPr>
              <w:spacing w:line="480" w:lineRule="exact"/>
              <w:jc w:val="center"/>
              <w:rPr>
                <w:rFonts w:ascii="宋体" w:hAnsi="宋体"/>
                <w:color w:val="000000"/>
                <w:sz w:val="24"/>
              </w:rPr>
            </w:pPr>
          </w:p>
        </w:tc>
        <w:tc>
          <w:tcPr>
            <w:tcW w:w="1186" w:type="pct"/>
          </w:tcPr>
          <w:p w14:paraId="69FC3281">
            <w:pPr>
              <w:spacing w:line="480" w:lineRule="exact"/>
              <w:jc w:val="center"/>
              <w:rPr>
                <w:rFonts w:ascii="宋体" w:hAnsi="宋体"/>
                <w:color w:val="000000"/>
                <w:sz w:val="24"/>
              </w:rPr>
            </w:pPr>
          </w:p>
        </w:tc>
        <w:tc>
          <w:tcPr>
            <w:tcW w:w="1285" w:type="pct"/>
          </w:tcPr>
          <w:p w14:paraId="0B2A65BE">
            <w:pPr>
              <w:spacing w:line="480" w:lineRule="exact"/>
              <w:jc w:val="center"/>
              <w:rPr>
                <w:rFonts w:ascii="宋体" w:hAnsi="宋体"/>
                <w:color w:val="000000"/>
                <w:sz w:val="24"/>
              </w:rPr>
            </w:pPr>
          </w:p>
        </w:tc>
        <w:tc>
          <w:tcPr>
            <w:tcW w:w="889" w:type="pct"/>
          </w:tcPr>
          <w:p w14:paraId="748DEC8F">
            <w:pPr>
              <w:spacing w:line="480" w:lineRule="exact"/>
              <w:jc w:val="center"/>
              <w:rPr>
                <w:rFonts w:ascii="宋体" w:hAnsi="宋体"/>
                <w:color w:val="000000"/>
                <w:sz w:val="24"/>
              </w:rPr>
            </w:pPr>
          </w:p>
        </w:tc>
        <w:tc>
          <w:tcPr>
            <w:tcW w:w="1186" w:type="pct"/>
          </w:tcPr>
          <w:p w14:paraId="03B90F2E">
            <w:pPr>
              <w:spacing w:line="480" w:lineRule="exact"/>
              <w:jc w:val="center"/>
              <w:rPr>
                <w:rFonts w:ascii="宋体" w:hAnsi="宋体"/>
                <w:color w:val="000000"/>
                <w:sz w:val="24"/>
              </w:rPr>
            </w:pPr>
          </w:p>
        </w:tc>
      </w:tr>
    </w:tbl>
    <w:p w14:paraId="196C67BB">
      <w:pPr>
        <w:spacing w:line="360" w:lineRule="auto"/>
        <w:rPr>
          <w:rFonts w:ascii="宋体" w:hAnsi="宋体"/>
          <w:bCs/>
          <w:kern w:val="0"/>
          <w:sz w:val="24"/>
          <w:szCs w:val="24"/>
          <w:lang w:val="zh-CN"/>
        </w:rPr>
      </w:pPr>
      <w:r>
        <w:rPr>
          <w:rFonts w:hint="eastAsia" w:ascii="宋体" w:hAnsi="宋体"/>
          <w:bCs/>
          <w:kern w:val="0"/>
          <w:sz w:val="24"/>
          <w:szCs w:val="24"/>
          <w:lang w:val="zh-CN"/>
        </w:rPr>
        <w:t>注：本表所列工具要求附相关证明材料（如为自有车辆，须在投标文件中提供车辆行驶证或者车辆购置发票复印件；如非自有车辆，则须提供车辆行驶证及租赁合同等能证明该车辆使用权的有效证明材料）</w:t>
      </w:r>
    </w:p>
    <w:p w14:paraId="6ED42767">
      <w:pPr>
        <w:widowControl/>
        <w:jc w:val="left"/>
        <w:rPr>
          <w:rFonts w:ascii="宋体" w:hAnsi="宋体" w:cs="Calibri"/>
          <w:b/>
          <w:szCs w:val="28"/>
        </w:rPr>
      </w:pPr>
      <w:r>
        <w:rPr>
          <w:rFonts w:hint="eastAsia" w:ascii="宋体" w:hAnsi="宋体" w:cs="Calibri"/>
          <w:b/>
          <w:szCs w:val="28"/>
        </w:rPr>
        <w:br w:type="page"/>
      </w:r>
      <w:r>
        <w:rPr>
          <w:rFonts w:hint="eastAsia" w:ascii="宋体" w:hAnsi="宋体" w:cs="Calibri"/>
          <w:b/>
          <w:szCs w:val="28"/>
        </w:rPr>
        <w:t>格式5：</w:t>
      </w:r>
    </w:p>
    <w:p w14:paraId="5BF89CA4">
      <w:pPr>
        <w:tabs>
          <w:tab w:val="left" w:pos="900"/>
          <w:tab w:val="left" w:pos="1588"/>
        </w:tabs>
        <w:adjustRightInd w:val="0"/>
        <w:spacing w:before="120" w:line="360" w:lineRule="auto"/>
        <w:jc w:val="center"/>
        <w:outlineLvl w:val="2"/>
        <w:rPr>
          <w:rFonts w:ascii="宋体" w:hAnsi="宋体"/>
          <w:b/>
          <w:kern w:val="0"/>
          <w:sz w:val="32"/>
          <w:szCs w:val="32"/>
          <w:lang w:val="zh-CN"/>
        </w:rPr>
      </w:pPr>
      <w:r>
        <w:rPr>
          <w:rFonts w:hint="eastAsia" w:ascii="宋体" w:hAnsi="宋体"/>
          <w:b/>
          <w:kern w:val="0"/>
          <w:sz w:val="32"/>
          <w:szCs w:val="32"/>
          <w:lang w:val="zh-CN"/>
        </w:rPr>
        <w:t>构成投标文件技术部分的其他资料</w:t>
      </w:r>
      <w:bookmarkEnd w:id="79"/>
    </w:p>
    <w:p w14:paraId="6B9E3417">
      <w:pPr>
        <w:tabs>
          <w:tab w:val="left" w:pos="900"/>
          <w:tab w:val="left" w:pos="1588"/>
        </w:tabs>
        <w:adjustRightInd w:val="0"/>
        <w:spacing w:before="120" w:line="360" w:lineRule="auto"/>
        <w:jc w:val="center"/>
        <w:rPr>
          <w:rFonts w:ascii="宋体" w:hAnsi="宋体"/>
          <w:b/>
          <w:color w:val="000000"/>
          <w:kern w:val="0"/>
          <w:sz w:val="32"/>
          <w:szCs w:val="32"/>
          <w:lang w:val="zh-CN"/>
        </w:rPr>
      </w:pPr>
    </w:p>
    <w:p w14:paraId="2F414181">
      <w:pPr>
        <w:spacing w:line="588" w:lineRule="exact"/>
        <w:jc w:val="left"/>
        <w:rPr>
          <w:rFonts w:hAnsi="宋体"/>
          <w:color w:val="000000"/>
          <w:sz w:val="24"/>
          <w:szCs w:val="24"/>
        </w:rPr>
      </w:pPr>
    </w:p>
    <w:p w14:paraId="757AC21C">
      <w:pPr>
        <w:keepNext/>
        <w:adjustRightInd w:val="0"/>
        <w:spacing w:before="120" w:line="360" w:lineRule="auto"/>
        <w:jc w:val="center"/>
        <w:textAlignment w:val="baseline"/>
        <w:outlineLvl w:val="1"/>
        <w:rPr>
          <w:rFonts w:ascii="宋体" w:hAnsi="宋体"/>
          <w:b/>
          <w:color w:val="000000"/>
          <w:kern w:val="0"/>
          <w:sz w:val="32"/>
          <w:szCs w:val="32"/>
        </w:rPr>
      </w:pPr>
      <w:r>
        <w:rPr>
          <w:rFonts w:hint="eastAsia" w:ascii="宋体" w:hAnsi="宋体"/>
          <w:b/>
          <w:color w:val="000000"/>
          <w:kern w:val="0"/>
          <w:sz w:val="30"/>
          <w:szCs w:val="30"/>
        </w:rPr>
        <w:br w:type="page"/>
      </w:r>
      <w:bookmarkStart w:id="80" w:name="_Toc152246156"/>
      <w:bookmarkStart w:id="81" w:name="_Toc63070520"/>
      <w:r>
        <w:rPr>
          <w:rFonts w:hint="eastAsia" w:ascii="宋体" w:hAnsi="宋体"/>
          <w:b/>
          <w:color w:val="000000"/>
          <w:kern w:val="0"/>
          <w:sz w:val="32"/>
          <w:szCs w:val="32"/>
        </w:rPr>
        <w:t>三、商务报价部分</w:t>
      </w:r>
      <w:bookmarkEnd w:id="80"/>
      <w:bookmarkEnd w:id="81"/>
    </w:p>
    <w:p w14:paraId="01759A9F">
      <w:pPr>
        <w:spacing w:line="600" w:lineRule="exact"/>
        <w:rPr>
          <w:rFonts w:ascii="宋体" w:hAnsi="宋体"/>
          <w:b/>
          <w:szCs w:val="28"/>
        </w:rPr>
      </w:pPr>
      <w:r>
        <w:rPr>
          <w:rFonts w:hint="eastAsia" w:ascii="宋体" w:hAnsi="宋体"/>
          <w:b/>
          <w:szCs w:val="28"/>
        </w:rPr>
        <w:t>格式1：</w:t>
      </w:r>
    </w:p>
    <w:p w14:paraId="17B96F5A">
      <w:pPr>
        <w:tabs>
          <w:tab w:val="left" w:pos="900"/>
          <w:tab w:val="left" w:pos="1588"/>
        </w:tabs>
        <w:adjustRightInd w:val="0"/>
        <w:spacing w:before="120" w:line="360" w:lineRule="auto"/>
        <w:jc w:val="center"/>
        <w:outlineLvl w:val="2"/>
        <w:rPr>
          <w:rFonts w:ascii="宋体" w:hAnsi="宋体"/>
          <w:b/>
          <w:kern w:val="0"/>
          <w:sz w:val="32"/>
          <w:szCs w:val="32"/>
          <w:lang w:val="zh-CN"/>
        </w:rPr>
      </w:pPr>
      <w:bookmarkStart w:id="82" w:name="_Toc531895137"/>
      <w:r>
        <w:rPr>
          <w:rFonts w:hint="eastAsia" w:ascii="宋体" w:hAnsi="宋体"/>
          <w:b/>
          <w:kern w:val="0"/>
          <w:sz w:val="32"/>
          <w:szCs w:val="32"/>
          <w:lang w:val="zh-CN"/>
        </w:rPr>
        <w:t>投标人信息表</w:t>
      </w:r>
    </w:p>
    <w:p w14:paraId="3FF17BE8">
      <w:pPr>
        <w:spacing w:line="400" w:lineRule="exact"/>
        <w:jc w:val="center"/>
        <w:rPr>
          <w:rFonts w:ascii="宋体" w:hAnsi="宋体"/>
          <w:b/>
          <w:sz w:val="24"/>
          <w:szCs w:val="24"/>
        </w:rPr>
      </w:pPr>
      <w:r>
        <w:rPr>
          <w:rFonts w:hint="eastAsia" w:ascii="宋体" w:hAnsi="宋体"/>
          <w:b/>
          <w:sz w:val="24"/>
          <w:szCs w:val="24"/>
        </w:rPr>
        <w:t>（请投标人如实填写本表信息）</w:t>
      </w:r>
    </w:p>
    <w:tbl>
      <w:tblPr>
        <w:tblStyle w:val="3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470"/>
        <w:gridCol w:w="1508"/>
        <w:gridCol w:w="1843"/>
        <w:gridCol w:w="1123"/>
        <w:gridCol w:w="1222"/>
        <w:gridCol w:w="2688"/>
      </w:tblGrid>
      <w:tr w14:paraId="50F2B5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1511" w:type="pct"/>
            <w:gridSpan w:val="2"/>
            <w:tcBorders>
              <w:top w:val="single" w:color="auto" w:sz="12" w:space="0"/>
              <w:left w:val="single" w:color="auto" w:sz="12" w:space="0"/>
              <w:bottom w:val="single" w:color="auto" w:sz="6" w:space="0"/>
              <w:right w:val="single" w:color="auto" w:sz="4" w:space="0"/>
            </w:tcBorders>
            <w:vAlign w:val="center"/>
          </w:tcPr>
          <w:p w14:paraId="2E2B38B4">
            <w:pPr>
              <w:widowControl/>
              <w:jc w:val="center"/>
              <w:rPr>
                <w:rFonts w:ascii="宋体" w:hAnsi="宋体"/>
                <w:sz w:val="24"/>
                <w:szCs w:val="24"/>
              </w:rPr>
            </w:pPr>
            <w:r>
              <w:rPr>
                <w:rFonts w:hint="eastAsia" w:ascii="宋体" w:hAnsi="宋体"/>
                <w:sz w:val="24"/>
                <w:szCs w:val="24"/>
              </w:rPr>
              <w:t>公司名称</w:t>
            </w:r>
          </w:p>
        </w:tc>
        <w:tc>
          <w:tcPr>
            <w:tcW w:w="3489" w:type="pct"/>
            <w:gridSpan w:val="4"/>
            <w:tcBorders>
              <w:top w:val="single" w:color="auto" w:sz="12" w:space="0"/>
              <w:left w:val="single" w:color="auto" w:sz="4" w:space="0"/>
              <w:bottom w:val="single" w:color="auto" w:sz="6" w:space="0"/>
              <w:right w:val="single" w:color="auto" w:sz="12" w:space="0"/>
            </w:tcBorders>
            <w:vAlign w:val="center"/>
          </w:tcPr>
          <w:p w14:paraId="4B2B2336">
            <w:pPr>
              <w:widowControl/>
              <w:jc w:val="left"/>
              <w:rPr>
                <w:rFonts w:ascii="宋体" w:hAnsi="宋体"/>
                <w:sz w:val="24"/>
                <w:szCs w:val="24"/>
              </w:rPr>
            </w:pPr>
          </w:p>
        </w:tc>
      </w:tr>
      <w:tr w14:paraId="249D52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1511" w:type="pct"/>
            <w:gridSpan w:val="2"/>
            <w:tcBorders>
              <w:top w:val="single" w:color="auto" w:sz="6" w:space="0"/>
              <w:left w:val="single" w:color="auto" w:sz="12" w:space="0"/>
              <w:bottom w:val="single" w:color="auto" w:sz="6" w:space="0"/>
              <w:right w:val="single" w:color="auto" w:sz="4" w:space="0"/>
            </w:tcBorders>
            <w:vAlign w:val="center"/>
          </w:tcPr>
          <w:p w14:paraId="0A3ACAE7">
            <w:pPr>
              <w:widowControl/>
              <w:jc w:val="center"/>
              <w:rPr>
                <w:rFonts w:ascii="宋体" w:hAnsi="宋体"/>
                <w:sz w:val="24"/>
                <w:szCs w:val="24"/>
              </w:rPr>
            </w:pPr>
            <w:r>
              <w:rPr>
                <w:rFonts w:hint="eastAsia" w:ascii="宋体" w:hAnsi="宋体"/>
                <w:sz w:val="24"/>
                <w:szCs w:val="24"/>
              </w:rPr>
              <w:t>公司地址</w:t>
            </w:r>
          </w:p>
        </w:tc>
        <w:tc>
          <w:tcPr>
            <w:tcW w:w="3489" w:type="pct"/>
            <w:gridSpan w:val="4"/>
            <w:tcBorders>
              <w:top w:val="single" w:color="auto" w:sz="6" w:space="0"/>
              <w:left w:val="single" w:color="auto" w:sz="4" w:space="0"/>
              <w:bottom w:val="single" w:color="auto" w:sz="6" w:space="0"/>
              <w:right w:val="single" w:color="auto" w:sz="12" w:space="0"/>
            </w:tcBorders>
            <w:vAlign w:val="center"/>
          </w:tcPr>
          <w:p w14:paraId="0C86A60F">
            <w:pPr>
              <w:widowControl/>
              <w:jc w:val="center"/>
              <w:rPr>
                <w:rFonts w:ascii="宋体" w:hAnsi="宋体"/>
                <w:sz w:val="24"/>
                <w:szCs w:val="24"/>
              </w:rPr>
            </w:pPr>
          </w:p>
        </w:tc>
      </w:tr>
      <w:tr w14:paraId="71C801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1511" w:type="pct"/>
            <w:gridSpan w:val="2"/>
            <w:tcBorders>
              <w:top w:val="single" w:color="auto" w:sz="6" w:space="0"/>
              <w:left w:val="single" w:color="auto" w:sz="12" w:space="0"/>
              <w:bottom w:val="single" w:color="auto" w:sz="6" w:space="0"/>
              <w:right w:val="single" w:color="auto" w:sz="4" w:space="0"/>
            </w:tcBorders>
            <w:vAlign w:val="center"/>
          </w:tcPr>
          <w:p w14:paraId="426E57A3">
            <w:pPr>
              <w:widowControl/>
              <w:jc w:val="center"/>
              <w:rPr>
                <w:rFonts w:ascii="宋体" w:hAnsi="宋体"/>
                <w:sz w:val="24"/>
                <w:szCs w:val="24"/>
              </w:rPr>
            </w:pPr>
            <w:r>
              <w:rPr>
                <w:rFonts w:hint="eastAsia" w:ascii="宋体" w:hAnsi="宋体"/>
                <w:sz w:val="24"/>
                <w:szCs w:val="24"/>
              </w:rPr>
              <w:t>公司性质</w:t>
            </w:r>
          </w:p>
        </w:tc>
        <w:tc>
          <w:tcPr>
            <w:tcW w:w="935" w:type="pct"/>
            <w:tcBorders>
              <w:top w:val="single" w:color="auto" w:sz="6" w:space="0"/>
              <w:left w:val="single" w:color="auto" w:sz="4" w:space="0"/>
              <w:bottom w:val="single" w:color="auto" w:sz="6" w:space="0"/>
              <w:right w:val="single" w:color="auto" w:sz="4" w:space="0"/>
            </w:tcBorders>
            <w:vAlign w:val="center"/>
          </w:tcPr>
          <w:p w14:paraId="1E24E07C">
            <w:pPr>
              <w:widowControl/>
              <w:jc w:val="center"/>
              <w:rPr>
                <w:rFonts w:ascii="宋体" w:hAnsi="宋体"/>
                <w:sz w:val="24"/>
                <w:szCs w:val="24"/>
              </w:rPr>
            </w:pPr>
          </w:p>
        </w:tc>
        <w:tc>
          <w:tcPr>
            <w:tcW w:w="1189" w:type="pct"/>
            <w:gridSpan w:val="2"/>
            <w:tcBorders>
              <w:top w:val="single" w:color="auto" w:sz="6" w:space="0"/>
              <w:left w:val="single" w:color="auto" w:sz="4" w:space="0"/>
              <w:bottom w:val="single" w:color="auto" w:sz="6" w:space="0"/>
              <w:right w:val="single" w:color="auto" w:sz="4" w:space="0"/>
            </w:tcBorders>
            <w:vAlign w:val="center"/>
          </w:tcPr>
          <w:p w14:paraId="07C4A77A">
            <w:pPr>
              <w:widowControl/>
              <w:jc w:val="center"/>
              <w:rPr>
                <w:rFonts w:ascii="宋体" w:hAnsi="宋体"/>
                <w:sz w:val="24"/>
                <w:szCs w:val="24"/>
              </w:rPr>
            </w:pPr>
            <w:r>
              <w:rPr>
                <w:rFonts w:hint="eastAsia" w:ascii="宋体" w:hAnsi="宋体"/>
                <w:sz w:val="24"/>
                <w:szCs w:val="24"/>
              </w:rPr>
              <w:t>公司类型</w:t>
            </w:r>
          </w:p>
        </w:tc>
        <w:tc>
          <w:tcPr>
            <w:tcW w:w="1365" w:type="pct"/>
            <w:tcBorders>
              <w:top w:val="single" w:color="auto" w:sz="6" w:space="0"/>
              <w:left w:val="single" w:color="auto" w:sz="4" w:space="0"/>
              <w:bottom w:val="single" w:color="auto" w:sz="6" w:space="0"/>
              <w:right w:val="single" w:color="auto" w:sz="12" w:space="0"/>
            </w:tcBorders>
            <w:vAlign w:val="center"/>
          </w:tcPr>
          <w:p w14:paraId="1E59B02A">
            <w:pPr>
              <w:widowControl/>
              <w:jc w:val="center"/>
              <w:rPr>
                <w:rFonts w:ascii="宋体" w:hAnsi="宋体"/>
                <w:sz w:val="24"/>
                <w:szCs w:val="24"/>
              </w:rPr>
            </w:pPr>
          </w:p>
        </w:tc>
      </w:tr>
      <w:tr w14:paraId="51D085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11" w:type="pct"/>
            <w:gridSpan w:val="2"/>
            <w:tcBorders>
              <w:top w:val="single" w:color="auto" w:sz="6" w:space="0"/>
              <w:left w:val="single" w:color="auto" w:sz="12" w:space="0"/>
              <w:bottom w:val="single" w:color="auto" w:sz="6" w:space="0"/>
              <w:right w:val="single" w:color="auto" w:sz="6" w:space="0"/>
            </w:tcBorders>
            <w:vAlign w:val="center"/>
          </w:tcPr>
          <w:p w14:paraId="20F2D361">
            <w:pPr>
              <w:widowControl/>
              <w:jc w:val="center"/>
              <w:rPr>
                <w:rFonts w:ascii="宋体" w:hAnsi="宋体"/>
                <w:sz w:val="24"/>
                <w:szCs w:val="24"/>
              </w:rPr>
            </w:pPr>
            <w:r>
              <w:rPr>
                <w:rFonts w:hint="eastAsia" w:ascii="宋体" w:hAnsi="宋体"/>
                <w:sz w:val="24"/>
                <w:szCs w:val="24"/>
              </w:rPr>
              <w:t>法定代表人</w:t>
            </w:r>
          </w:p>
        </w:tc>
        <w:tc>
          <w:tcPr>
            <w:tcW w:w="935" w:type="pct"/>
            <w:tcBorders>
              <w:top w:val="single" w:color="auto" w:sz="6" w:space="0"/>
              <w:left w:val="single" w:color="auto" w:sz="6" w:space="0"/>
              <w:bottom w:val="single" w:color="auto" w:sz="6" w:space="0"/>
              <w:right w:val="single" w:color="auto" w:sz="6" w:space="0"/>
            </w:tcBorders>
            <w:vAlign w:val="center"/>
          </w:tcPr>
          <w:p w14:paraId="1EA40715">
            <w:pPr>
              <w:widowControl/>
              <w:jc w:val="center"/>
              <w:rPr>
                <w:rFonts w:ascii="宋体" w:hAnsi="宋体"/>
                <w:sz w:val="24"/>
                <w:szCs w:val="24"/>
              </w:rPr>
            </w:pPr>
          </w:p>
        </w:tc>
        <w:tc>
          <w:tcPr>
            <w:tcW w:w="1189" w:type="pct"/>
            <w:gridSpan w:val="2"/>
            <w:tcBorders>
              <w:top w:val="single" w:color="auto" w:sz="6" w:space="0"/>
              <w:left w:val="single" w:color="auto" w:sz="6" w:space="0"/>
              <w:bottom w:val="single" w:color="auto" w:sz="6" w:space="0"/>
              <w:right w:val="single" w:color="auto" w:sz="4" w:space="0"/>
            </w:tcBorders>
            <w:vAlign w:val="center"/>
          </w:tcPr>
          <w:p w14:paraId="15B0781D">
            <w:pPr>
              <w:widowControl/>
              <w:jc w:val="center"/>
              <w:rPr>
                <w:rFonts w:ascii="宋体" w:hAnsi="宋体"/>
                <w:sz w:val="24"/>
                <w:szCs w:val="24"/>
              </w:rPr>
            </w:pPr>
            <w:r>
              <w:rPr>
                <w:rFonts w:hint="eastAsia" w:ascii="宋体" w:hAnsi="宋体"/>
                <w:sz w:val="24"/>
                <w:szCs w:val="24"/>
              </w:rPr>
              <w:t>注册资金</w:t>
            </w:r>
          </w:p>
        </w:tc>
        <w:tc>
          <w:tcPr>
            <w:tcW w:w="1365" w:type="pct"/>
            <w:tcBorders>
              <w:top w:val="single" w:color="auto" w:sz="6" w:space="0"/>
              <w:left w:val="single" w:color="auto" w:sz="4" w:space="0"/>
              <w:bottom w:val="single" w:color="auto" w:sz="6" w:space="0"/>
              <w:right w:val="single" w:color="auto" w:sz="12" w:space="0"/>
            </w:tcBorders>
            <w:vAlign w:val="center"/>
          </w:tcPr>
          <w:p w14:paraId="2DFCAEF4">
            <w:pPr>
              <w:widowControl/>
              <w:jc w:val="center"/>
              <w:rPr>
                <w:rFonts w:ascii="宋体" w:hAnsi="宋体"/>
                <w:sz w:val="24"/>
                <w:szCs w:val="24"/>
              </w:rPr>
            </w:pPr>
          </w:p>
        </w:tc>
      </w:tr>
      <w:tr w14:paraId="3A2613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1511" w:type="pct"/>
            <w:gridSpan w:val="2"/>
            <w:vMerge w:val="restart"/>
            <w:tcBorders>
              <w:top w:val="single" w:color="auto" w:sz="6" w:space="0"/>
              <w:left w:val="single" w:color="auto" w:sz="12" w:space="0"/>
              <w:bottom w:val="single" w:color="auto" w:sz="6" w:space="0"/>
              <w:right w:val="single" w:color="auto" w:sz="6" w:space="0"/>
            </w:tcBorders>
            <w:vAlign w:val="center"/>
          </w:tcPr>
          <w:p w14:paraId="47ACEE44">
            <w:pPr>
              <w:widowControl/>
              <w:jc w:val="center"/>
              <w:rPr>
                <w:rFonts w:ascii="宋体" w:hAnsi="宋体"/>
                <w:sz w:val="24"/>
                <w:szCs w:val="24"/>
              </w:rPr>
            </w:pPr>
            <w:r>
              <w:rPr>
                <w:rFonts w:hint="eastAsia" w:ascii="宋体" w:hAnsi="宋体"/>
                <w:sz w:val="24"/>
                <w:szCs w:val="24"/>
              </w:rPr>
              <w:t>注册日期</w:t>
            </w:r>
          </w:p>
        </w:tc>
        <w:tc>
          <w:tcPr>
            <w:tcW w:w="935" w:type="pct"/>
            <w:vMerge w:val="restart"/>
            <w:tcBorders>
              <w:top w:val="single" w:color="auto" w:sz="6" w:space="0"/>
              <w:left w:val="single" w:color="auto" w:sz="6" w:space="0"/>
              <w:bottom w:val="single" w:color="auto" w:sz="6" w:space="0"/>
              <w:right w:val="single" w:color="auto" w:sz="6" w:space="0"/>
            </w:tcBorders>
            <w:vAlign w:val="center"/>
          </w:tcPr>
          <w:p w14:paraId="503D8543">
            <w:pPr>
              <w:widowControl/>
              <w:jc w:val="center"/>
              <w:rPr>
                <w:rFonts w:ascii="宋体" w:hAnsi="宋体"/>
                <w:sz w:val="24"/>
                <w:szCs w:val="24"/>
              </w:rPr>
            </w:pPr>
          </w:p>
        </w:tc>
        <w:tc>
          <w:tcPr>
            <w:tcW w:w="1189" w:type="pct"/>
            <w:gridSpan w:val="2"/>
            <w:tcBorders>
              <w:top w:val="single" w:color="auto" w:sz="6" w:space="0"/>
              <w:left w:val="single" w:color="auto" w:sz="6" w:space="0"/>
              <w:bottom w:val="single" w:color="auto" w:sz="4" w:space="0"/>
              <w:right w:val="single" w:color="auto" w:sz="6" w:space="0"/>
            </w:tcBorders>
            <w:vAlign w:val="center"/>
          </w:tcPr>
          <w:p w14:paraId="632E3E05">
            <w:pPr>
              <w:widowControl/>
              <w:jc w:val="center"/>
              <w:rPr>
                <w:rFonts w:ascii="宋体" w:hAnsi="宋体"/>
                <w:sz w:val="24"/>
                <w:szCs w:val="24"/>
              </w:rPr>
            </w:pPr>
            <w:r>
              <w:rPr>
                <w:rFonts w:hint="eastAsia" w:ascii="宋体" w:hAnsi="宋体"/>
                <w:sz w:val="24"/>
                <w:szCs w:val="24"/>
              </w:rPr>
              <w:t>开户银行</w:t>
            </w:r>
          </w:p>
        </w:tc>
        <w:tc>
          <w:tcPr>
            <w:tcW w:w="1365" w:type="pct"/>
            <w:tcBorders>
              <w:top w:val="single" w:color="auto" w:sz="6" w:space="0"/>
              <w:left w:val="single" w:color="auto" w:sz="6" w:space="0"/>
              <w:bottom w:val="single" w:color="auto" w:sz="4" w:space="0"/>
              <w:right w:val="single" w:color="auto" w:sz="12" w:space="0"/>
            </w:tcBorders>
            <w:vAlign w:val="center"/>
          </w:tcPr>
          <w:p w14:paraId="000E2820">
            <w:pPr>
              <w:widowControl/>
              <w:jc w:val="center"/>
              <w:rPr>
                <w:rFonts w:ascii="宋体" w:hAnsi="宋体"/>
                <w:sz w:val="24"/>
                <w:szCs w:val="24"/>
              </w:rPr>
            </w:pPr>
          </w:p>
        </w:tc>
      </w:tr>
      <w:tr w14:paraId="259E76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1511" w:type="pct"/>
            <w:gridSpan w:val="2"/>
            <w:vMerge w:val="continue"/>
            <w:tcBorders>
              <w:top w:val="single" w:color="auto" w:sz="6" w:space="0"/>
              <w:left w:val="single" w:color="auto" w:sz="12" w:space="0"/>
              <w:bottom w:val="single" w:color="auto" w:sz="6" w:space="0"/>
              <w:right w:val="single" w:color="auto" w:sz="6" w:space="0"/>
            </w:tcBorders>
            <w:vAlign w:val="center"/>
          </w:tcPr>
          <w:p w14:paraId="61B72D6D">
            <w:pPr>
              <w:widowControl/>
              <w:jc w:val="left"/>
              <w:rPr>
                <w:rFonts w:ascii="宋体" w:hAnsi="宋体"/>
                <w:sz w:val="24"/>
                <w:szCs w:val="24"/>
              </w:rPr>
            </w:pPr>
          </w:p>
        </w:tc>
        <w:tc>
          <w:tcPr>
            <w:tcW w:w="935" w:type="pct"/>
            <w:vMerge w:val="continue"/>
            <w:tcBorders>
              <w:top w:val="single" w:color="auto" w:sz="6" w:space="0"/>
              <w:left w:val="single" w:color="auto" w:sz="6" w:space="0"/>
              <w:bottom w:val="single" w:color="auto" w:sz="6" w:space="0"/>
              <w:right w:val="single" w:color="auto" w:sz="6" w:space="0"/>
            </w:tcBorders>
            <w:vAlign w:val="center"/>
          </w:tcPr>
          <w:p w14:paraId="4B568E6E">
            <w:pPr>
              <w:widowControl/>
              <w:jc w:val="left"/>
              <w:rPr>
                <w:rFonts w:ascii="宋体" w:hAnsi="宋体"/>
                <w:sz w:val="24"/>
                <w:szCs w:val="24"/>
              </w:rPr>
            </w:pPr>
          </w:p>
        </w:tc>
        <w:tc>
          <w:tcPr>
            <w:tcW w:w="1189" w:type="pct"/>
            <w:gridSpan w:val="2"/>
            <w:tcBorders>
              <w:top w:val="single" w:color="auto" w:sz="4" w:space="0"/>
              <w:left w:val="single" w:color="auto" w:sz="6" w:space="0"/>
              <w:bottom w:val="single" w:color="auto" w:sz="6" w:space="0"/>
              <w:right w:val="single" w:color="auto" w:sz="6" w:space="0"/>
            </w:tcBorders>
            <w:vAlign w:val="center"/>
          </w:tcPr>
          <w:p w14:paraId="52A2F803">
            <w:pPr>
              <w:widowControl/>
              <w:jc w:val="center"/>
              <w:rPr>
                <w:rFonts w:ascii="宋体" w:hAnsi="宋体"/>
                <w:sz w:val="24"/>
                <w:szCs w:val="24"/>
              </w:rPr>
            </w:pPr>
            <w:r>
              <w:rPr>
                <w:rFonts w:hint="eastAsia" w:ascii="宋体" w:hAnsi="宋体"/>
                <w:sz w:val="24"/>
                <w:szCs w:val="24"/>
              </w:rPr>
              <w:t>开户基本账号</w:t>
            </w:r>
          </w:p>
        </w:tc>
        <w:tc>
          <w:tcPr>
            <w:tcW w:w="1365" w:type="pct"/>
            <w:tcBorders>
              <w:top w:val="single" w:color="auto" w:sz="4" w:space="0"/>
              <w:left w:val="single" w:color="auto" w:sz="6" w:space="0"/>
              <w:bottom w:val="single" w:color="auto" w:sz="6" w:space="0"/>
              <w:right w:val="single" w:color="auto" w:sz="12" w:space="0"/>
            </w:tcBorders>
            <w:vAlign w:val="center"/>
          </w:tcPr>
          <w:p w14:paraId="51117410">
            <w:pPr>
              <w:widowControl/>
              <w:jc w:val="center"/>
              <w:rPr>
                <w:rFonts w:ascii="宋体" w:hAnsi="宋体"/>
                <w:sz w:val="24"/>
                <w:szCs w:val="24"/>
              </w:rPr>
            </w:pPr>
          </w:p>
        </w:tc>
      </w:tr>
      <w:tr w14:paraId="1C2AA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1511" w:type="pct"/>
            <w:gridSpan w:val="2"/>
            <w:vMerge w:val="restart"/>
            <w:tcBorders>
              <w:top w:val="single" w:color="auto" w:sz="6" w:space="0"/>
              <w:left w:val="single" w:color="auto" w:sz="12" w:space="0"/>
              <w:bottom w:val="single" w:color="auto" w:sz="6" w:space="0"/>
              <w:right w:val="single" w:color="auto" w:sz="6" w:space="0"/>
            </w:tcBorders>
            <w:vAlign w:val="center"/>
          </w:tcPr>
          <w:p w14:paraId="4B220FA8">
            <w:pPr>
              <w:widowControl/>
              <w:jc w:val="center"/>
              <w:rPr>
                <w:rFonts w:ascii="宋体" w:hAnsi="宋体"/>
                <w:sz w:val="24"/>
                <w:szCs w:val="24"/>
              </w:rPr>
            </w:pPr>
            <w:r>
              <w:rPr>
                <w:rFonts w:hint="eastAsia" w:ascii="宋体" w:hAnsi="宋体"/>
                <w:sz w:val="24"/>
                <w:szCs w:val="24"/>
              </w:rPr>
              <w:t>联系人</w:t>
            </w:r>
          </w:p>
        </w:tc>
        <w:tc>
          <w:tcPr>
            <w:tcW w:w="935" w:type="pct"/>
            <w:vMerge w:val="restart"/>
            <w:tcBorders>
              <w:top w:val="single" w:color="auto" w:sz="6" w:space="0"/>
              <w:left w:val="single" w:color="auto" w:sz="6" w:space="0"/>
              <w:bottom w:val="single" w:color="auto" w:sz="6" w:space="0"/>
              <w:right w:val="single" w:color="auto" w:sz="6" w:space="0"/>
            </w:tcBorders>
            <w:vAlign w:val="center"/>
          </w:tcPr>
          <w:p w14:paraId="74BF6D34">
            <w:pPr>
              <w:widowControl/>
              <w:jc w:val="center"/>
              <w:rPr>
                <w:rFonts w:ascii="宋体" w:hAnsi="宋体"/>
                <w:sz w:val="24"/>
                <w:szCs w:val="24"/>
              </w:rPr>
            </w:pPr>
          </w:p>
        </w:tc>
        <w:tc>
          <w:tcPr>
            <w:tcW w:w="570" w:type="pct"/>
            <w:vMerge w:val="restart"/>
            <w:tcBorders>
              <w:top w:val="single" w:color="auto" w:sz="6" w:space="0"/>
              <w:left w:val="single" w:color="auto" w:sz="6" w:space="0"/>
              <w:bottom w:val="single" w:color="auto" w:sz="6" w:space="0"/>
              <w:right w:val="single" w:color="auto" w:sz="6" w:space="0"/>
            </w:tcBorders>
            <w:vAlign w:val="center"/>
          </w:tcPr>
          <w:p w14:paraId="6ECD6789">
            <w:pPr>
              <w:widowControl/>
              <w:jc w:val="center"/>
              <w:rPr>
                <w:rFonts w:ascii="宋体" w:hAnsi="宋体"/>
                <w:sz w:val="24"/>
                <w:szCs w:val="24"/>
              </w:rPr>
            </w:pPr>
            <w:r>
              <w:rPr>
                <w:rFonts w:hint="eastAsia" w:ascii="宋体" w:hAnsi="宋体"/>
                <w:sz w:val="24"/>
                <w:szCs w:val="24"/>
              </w:rPr>
              <w:t>联系电话</w:t>
            </w:r>
          </w:p>
        </w:tc>
        <w:tc>
          <w:tcPr>
            <w:tcW w:w="620" w:type="pct"/>
            <w:tcBorders>
              <w:top w:val="single" w:color="auto" w:sz="6" w:space="0"/>
              <w:left w:val="single" w:color="auto" w:sz="6" w:space="0"/>
              <w:bottom w:val="single" w:color="auto" w:sz="6" w:space="0"/>
              <w:right w:val="single" w:color="auto" w:sz="6" w:space="0"/>
            </w:tcBorders>
            <w:vAlign w:val="center"/>
          </w:tcPr>
          <w:p w14:paraId="5909F884">
            <w:pPr>
              <w:widowControl/>
              <w:jc w:val="center"/>
              <w:rPr>
                <w:rFonts w:ascii="宋体" w:hAnsi="宋体"/>
                <w:sz w:val="24"/>
                <w:szCs w:val="24"/>
              </w:rPr>
            </w:pPr>
            <w:r>
              <w:rPr>
                <w:rFonts w:hint="eastAsia" w:ascii="宋体" w:hAnsi="宋体"/>
                <w:sz w:val="24"/>
                <w:szCs w:val="24"/>
              </w:rPr>
              <w:t>手机</w:t>
            </w:r>
          </w:p>
        </w:tc>
        <w:tc>
          <w:tcPr>
            <w:tcW w:w="1365" w:type="pct"/>
            <w:tcBorders>
              <w:top w:val="single" w:color="auto" w:sz="6" w:space="0"/>
              <w:left w:val="single" w:color="auto" w:sz="6" w:space="0"/>
              <w:bottom w:val="single" w:color="auto" w:sz="6" w:space="0"/>
              <w:right w:val="single" w:color="auto" w:sz="12" w:space="0"/>
            </w:tcBorders>
            <w:vAlign w:val="center"/>
          </w:tcPr>
          <w:p w14:paraId="6E8FC2A2">
            <w:pPr>
              <w:widowControl/>
              <w:jc w:val="center"/>
              <w:rPr>
                <w:rFonts w:ascii="宋体" w:hAnsi="宋体"/>
                <w:sz w:val="24"/>
                <w:szCs w:val="24"/>
              </w:rPr>
            </w:pPr>
          </w:p>
        </w:tc>
      </w:tr>
      <w:tr w14:paraId="36130E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1511" w:type="pct"/>
            <w:gridSpan w:val="2"/>
            <w:vMerge w:val="continue"/>
            <w:tcBorders>
              <w:top w:val="single" w:color="auto" w:sz="6" w:space="0"/>
              <w:left w:val="single" w:color="auto" w:sz="12" w:space="0"/>
              <w:bottom w:val="single" w:color="auto" w:sz="6" w:space="0"/>
              <w:right w:val="single" w:color="auto" w:sz="6" w:space="0"/>
            </w:tcBorders>
            <w:vAlign w:val="center"/>
          </w:tcPr>
          <w:p w14:paraId="2AC21B5C">
            <w:pPr>
              <w:widowControl/>
              <w:jc w:val="left"/>
              <w:rPr>
                <w:rFonts w:ascii="宋体" w:hAnsi="宋体"/>
                <w:sz w:val="24"/>
                <w:szCs w:val="24"/>
              </w:rPr>
            </w:pPr>
          </w:p>
        </w:tc>
        <w:tc>
          <w:tcPr>
            <w:tcW w:w="935" w:type="pct"/>
            <w:vMerge w:val="continue"/>
            <w:tcBorders>
              <w:top w:val="single" w:color="auto" w:sz="6" w:space="0"/>
              <w:left w:val="single" w:color="auto" w:sz="6" w:space="0"/>
              <w:bottom w:val="single" w:color="auto" w:sz="6" w:space="0"/>
              <w:right w:val="single" w:color="auto" w:sz="6" w:space="0"/>
            </w:tcBorders>
            <w:vAlign w:val="center"/>
          </w:tcPr>
          <w:p w14:paraId="73A06C7D">
            <w:pPr>
              <w:widowControl/>
              <w:jc w:val="left"/>
              <w:rPr>
                <w:rFonts w:ascii="宋体" w:hAnsi="宋体"/>
                <w:sz w:val="24"/>
                <w:szCs w:val="24"/>
              </w:rPr>
            </w:pPr>
          </w:p>
        </w:tc>
        <w:tc>
          <w:tcPr>
            <w:tcW w:w="570" w:type="pct"/>
            <w:vMerge w:val="continue"/>
            <w:tcBorders>
              <w:top w:val="single" w:color="auto" w:sz="6" w:space="0"/>
              <w:left w:val="single" w:color="auto" w:sz="6" w:space="0"/>
              <w:bottom w:val="single" w:color="auto" w:sz="6" w:space="0"/>
              <w:right w:val="single" w:color="auto" w:sz="6" w:space="0"/>
            </w:tcBorders>
            <w:vAlign w:val="center"/>
          </w:tcPr>
          <w:p w14:paraId="6C6EEFF8">
            <w:pPr>
              <w:widowControl/>
              <w:jc w:val="left"/>
              <w:rPr>
                <w:rFonts w:ascii="宋体" w:hAnsi="宋体"/>
                <w:sz w:val="24"/>
                <w:szCs w:val="24"/>
              </w:rPr>
            </w:pPr>
          </w:p>
        </w:tc>
        <w:tc>
          <w:tcPr>
            <w:tcW w:w="620" w:type="pct"/>
            <w:tcBorders>
              <w:top w:val="single" w:color="auto" w:sz="6" w:space="0"/>
              <w:left w:val="single" w:color="auto" w:sz="6" w:space="0"/>
              <w:bottom w:val="single" w:color="auto" w:sz="6" w:space="0"/>
              <w:right w:val="single" w:color="auto" w:sz="6" w:space="0"/>
            </w:tcBorders>
            <w:vAlign w:val="center"/>
          </w:tcPr>
          <w:p w14:paraId="76F8E0F8">
            <w:pPr>
              <w:widowControl/>
              <w:jc w:val="center"/>
              <w:rPr>
                <w:rFonts w:ascii="宋体" w:hAnsi="宋体"/>
                <w:sz w:val="24"/>
                <w:szCs w:val="24"/>
              </w:rPr>
            </w:pPr>
            <w:r>
              <w:rPr>
                <w:rFonts w:hint="eastAsia" w:ascii="宋体" w:hAnsi="宋体"/>
                <w:sz w:val="24"/>
                <w:szCs w:val="24"/>
              </w:rPr>
              <w:t>固话</w:t>
            </w:r>
          </w:p>
        </w:tc>
        <w:tc>
          <w:tcPr>
            <w:tcW w:w="1365" w:type="pct"/>
            <w:tcBorders>
              <w:top w:val="single" w:color="auto" w:sz="6" w:space="0"/>
              <w:left w:val="single" w:color="auto" w:sz="6" w:space="0"/>
              <w:bottom w:val="single" w:color="auto" w:sz="6" w:space="0"/>
              <w:right w:val="single" w:color="auto" w:sz="12" w:space="0"/>
            </w:tcBorders>
            <w:vAlign w:val="center"/>
          </w:tcPr>
          <w:p w14:paraId="44DB8F3E">
            <w:pPr>
              <w:widowControl/>
              <w:jc w:val="center"/>
              <w:rPr>
                <w:rFonts w:ascii="宋体" w:hAnsi="宋体"/>
                <w:sz w:val="24"/>
                <w:szCs w:val="24"/>
              </w:rPr>
            </w:pPr>
          </w:p>
        </w:tc>
      </w:tr>
      <w:tr w14:paraId="32DD16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511" w:type="pct"/>
            <w:gridSpan w:val="2"/>
            <w:tcBorders>
              <w:top w:val="single" w:color="auto" w:sz="6" w:space="0"/>
              <w:left w:val="single" w:color="auto" w:sz="12" w:space="0"/>
              <w:bottom w:val="single" w:color="auto" w:sz="6" w:space="0"/>
              <w:right w:val="single" w:color="auto" w:sz="6" w:space="0"/>
            </w:tcBorders>
            <w:vAlign w:val="center"/>
          </w:tcPr>
          <w:p w14:paraId="142C6B34">
            <w:pPr>
              <w:widowControl/>
              <w:jc w:val="center"/>
              <w:rPr>
                <w:rFonts w:ascii="宋体" w:hAnsi="宋体"/>
                <w:sz w:val="24"/>
                <w:szCs w:val="24"/>
              </w:rPr>
            </w:pPr>
            <w:r>
              <w:rPr>
                <w:rFonts w:hint="eastAsia" w:ascii="宋体" w:hAnsi="宋体"/>
                <w:sz w:val="24"/>
                <w:szCs w:val="24"/>
              </w:rPr>
              <w:t>联系传真</w:t>
            </w:r>
          </w:p>
        </w:tc>
        <w:tc>
          <w:tcPr>
            <w:tcW w:w="935" w:type="pct"/>
            <w:tcBorders>
              <w:top w:val="single" w:color="auto" w:sz="6" w:space="0"/>
              <w:left w:val="single" w:color="auto" w:sz="6" w:space="0"/>
              <w:bottom w:val="single" w:color="auto" w:sz="6" w:space="0"/>
              <w:right w:val="single" w:color="auto" w:sz="6" w:space="0"/>
            </w:tcBorders>
            <w:vAlign w:val="center"/>
          </w:tcPr>
          <w:p w14:paraId="0719665D">
            <w:pPr>
              <w:widowControl/>
              <w:jc w:val="center"/>
              <w:rPr>
                <w:rFonts w:ascii="宋体" w:hAnsi="宋体"/>
                <w:sz w:val="24"/>
                <w:szCs w:val="24"/>
              </w:rPr>
            </w:pPr>
          </w:p>
        </w:tc>
        <w:tc>
          <w:tcPr>
            <w:tcW w:w="1189" w:type="pct"/>
            <w:gridSpan w:val="2"/>
            <w:tcBorders>
              <w:top w:val="single" w:color="auto" w:sz="6" w:space="0"/>
              <w:left w:val="single" w:color="auto" w:sz="6" w:space="0"/>
              <w:bottom w:val="single" w:color="auto" w:sz="6" w:space="0"/>
              <w:right w:val="single" w:color="auto" w:sz="6" w:space="0"/>
            </w:tcBorders>
            <w:vAlign w:val="center"/>
          </w:tcPr>
          <w:p w14:paraId="7478A14C">
            <w:pPr>
              <w:widowControl/>
              <w:jc w:val="center"/>
              <w:rPr>
                <w:rFonts w:ascii="宋体" w:hAnsi="宋体"/>
                <w:sz w:val="24"/>
                <w:szCs w:val="24"/>
              </w:rPr>
            </w:pPr>
            <w:r>
              <w:rPr>
                <w:rFonts w:hint="eastAsia" w:ascii="宋体" w:hAnsi="宋体"/>
                <w:sz w:val="24"/>
                <w:szCs w:val="24"/>
              </w:rPr>
              <w:t>联系邮箱</w:t>
            </w:r>
          </w:p>
        </w:tc>
        <w:tc>
          <w:tcPr>
            <w:tcW w:w="1365" w:type="pct"/>
            <w:tcBorders>
              <w:top w:val="single" w:color="auto" w:sz="6" w:space="0"/>
              <w:left w:val="single" w:color="auto" w:sz="6" w:space="0"/>
              <w:bottom w:val="single" w:color="auto" w:sz="6" w:space="0"/>
              <w:right w:val="single" w:color="auto" w:sz="12" w:space="0"/>
            </w:tcBorders>
            <w:vAlign w:val="center"/>
          </w:tcPr>
          <w:p w14:paraId="52D0E48F">
            <w:pPr>
              <w:widowControl/>
              <w:jc w:val="center"/>
              <w:rPr>
                <w:rFonts w:ascii="宋体" w:hAnsi="宋体"/>
                <w:sz w:val="24"/>
                <w:szCs w:val="24"/>
              </w:rPr>
            </w:pPr>
          </w:p>
        </w:tc>
      </w:tr>
      <w:tr w14:paraId="1805E9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1511" w:type="pct"/>
            <w:gridSpan w:val="2"/>
            <w:tcBorders>
              <w:top w:val="single" w:color="auto" w:sz="6" w:space="0"/>
              <w:left w:val="single" w:color="auto" w:sz="12" w:space="0"/>
              <w:bottom w:val="single" w:color="auto" w:sz="6" w:space="0"/>
              <w:right w:val="single" w:color="auto" w:sz="6" w:space="0"/>
            </w:tcBorders>
            <w:vAlign w:val="center"/>
          </w:tcPr>
          <w:p w14:paraId="66C22E97">
            <w:pPr>
              <w:widowControl/>
              <w:jc w:val="center"/>
              <w:rPr>
                <w:rFonts w:ascii="宋体" w:hAnsi="宋体"/>
                <w:sz w:val="24"/>
                <w:szCs w:val="24"/>
              </w:rPr>
            </w:pPr>
            <w:r>
              <w:rPr>
                <w:rFonts w:hint="eastAsia" w:ascii="宋体" w:hAnsi="宋体"/>
                <w:sz w:val="24"/>
                <w:szCs w:val="24"/>
              </w:rPr>
              <w:t>经营范围</w:t>
            </w:r>
          </w:p>
        </w:tc>
        <w:tc>
          <w:tcPr>
            <w:tcW w:w="3489" w:type="pct"/>
            <w:gridSpan w:val="4"/>
            <w:tcBorders>
              <w:top w:val="single" w:color="auto" w:sz="6" w:space="0"/>
              <w:left w:val="single" w:color="auto" w:sz="6" w:space="0"/>
              <w:bottom w:val="single" w:color="auto" w:sz="6" w:space="0"/>
              <w:right w:val="single" w:color="auto" w:sz="12" w:space="0"/>
            </w:tcBorders>
            <w:vAlign w:val="center"/>
          </w:tcPr>
          <w:p w14:paraId="428233B1">
            <w:pPr>
              <w:widowControl/>
              <w:jc w:val="center"/>
              <w:rPr>
                <w:rFonts w:ascii="宋体" w:hAnsi="宋体"/>
                <w:sz w:val="24"/>
                <w:szCs w:val="24"/>
              </w:rPr>
            </w:pPr>
          </w:p>
        </w:tc>
      </w:tr>
      <w:tr w14:paraId="769754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1511" w:type="pct"/>
            <w:gridSpan w:val="2"/>
            <w:tcBorders>
              <w:top w:val="single" w:color="auto" w:sz="6" w:space="0"/>
              <w:left w:val="single" w:color="auto" w:sz="12" w:space="0"/>
              <w:bottom w:val="single" w:color="auto" w:sz="6" w:space="0"/>
              <w:right w:val="single" w:color="auto" w:sz="6" w:space="0"/>
            </w:tcBorders>
            <w:vAlign w:val="center"/>
          </w:tcPr>
          <w:p w14:paraId="35CEBE42">
            <w:pPr>
              <w:widowControl/>
              <w:jc w:val="center"/>
              <w:rPr>
                <w:rFonts w:ascii="宋体" w:hAnsi="宋体"/>
                <w:sz w:val="24"/>
                <w:szCs w:val="24"/>
              </w:rPr>
            </w:pPr>
            <w:r>
              <w:rPr>
                <w:rFonts w:hint="eastAsia" w:ascii="宋体" w:hAnsi="宋体"/>
                <w:sz w:val="24"/>
                <w:szCs w:val="24"/>
              </w:rPr>
              <w:t>公司管理体系认证</w:t>
            </w:r>
          </w:p>
        </w:tc>
        <w:tc>
          <w:tcPr>
            <w:tcW w:w="3489" w:type="pct"/>
            <w:gridSpan w:val="4"/>
            <w:tcBorders>
              <w:top w:val="single" w:color="auto" w:sz="6" w:space="0"/>
              <w:left w:val="single" w:color="auto" w:sz="6" w:space="0"/>
              <w:bottom w:val="single" w:color="auto" w:sz="6" w:space="0"/>
              <w:right w:val="single" w:color="auto" w:sz="12" w:space="0"/>
            </w:tcBorders>
            <w:vAlign w:val="center"/>
          </w:tcPr>
          <w:p w14:paraId="5765C730">
            <w:pPr>
              <w:widowControl/>
              <w:jc w:val="center"/>
              <w:rPr>
                <w:rFonts w:ascii="宋体" w:hAnsi="宋体"/>
                <w:sz w:val="24"/>
                <w:szCs w:val="24"/>
              </w:rPr>
            </w:pPr>
            <w:r>
              <w:rPr>
                <w:rFonts w:hint="eastAsia" w:ascii="宋体" w:hAnsi="宋体"/>
                <w:sz w:val="24"/>
                <w:szCs w:val="24"/>
              </w:rPr>
              <w:t>（质量、职业、环境管理体系，如有）</w:t>
            </w:r>
          </w:p>
        </w:tc>
      </w:tr>
      <w:tr w14:paraId="51D26F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5000" w:type="pct"/>
            <w:gridSpan w:val="6"/>
            <w:tcBorders>
              <w:top w:val="single" w:color="auto" w:sz="6" w:space="0"/>
              <w:left w:val="single" w:color="auto" w:sz="12" w:space="0"/>
              <w:bottom w:val="single" w:color="auto" w:sz="6" w:space="0"/>
              <w:right w:val="single" w:color="auto" w:sz="12" w:space="0"/>
            </w:tcBorders>
            <w:vAlign w:val="center"/>
          </w:tcPr>
          <w:p w14:paraId="269C360E">
            <w:pPr>
              <w:widowControl/>
              <w:jc w:val="left"/>
              <w:rPr>
                <w:rFonts w:ascii="宋体" w:hAnsi="宋体"/>
                <w:sz w:val="24"/>
                <w:szCs w:val="24"/>
              </w:rPr>
            </w:pPr>
            <w:r>
              <w:rPr>
                <w:rFonts w:hint="eastAsia" w:ascii="宋体" w:hAnsi="宋体"/>
                <w:sz w:val="24"/>
                <w:szCs w:val="24"/>
              </w:rPr>
              <w:t>公司资质及各类生产、经营许可等（如有）</w:t>
            </w:r>
          </w:p>
        </w:tc>
      </w:tr>
      <w:tr w14:paraId="41F45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5000" w:type="pct"/>
            <w:gridSpan w:val="6"/>
            <w:tcBorders>
              <w:top w:val="single" w:color="auto" w:sz="6" w:space="0"/>
              <w:left w:val="single" w:color="auto" w:sz="12" w:space="0"/>
              <w:bottom w:val="single" w:color="auto" w:sz="6" w:space="0"/>
              <w:right w:val="single" w:color="auto" w:sz="12" w:space="0"/>
            </w:tcBorders>
            <w:vAlign w:val="center"/>
          </w:tcPr>
          <w:p w14:paraId="111DDEAD">
            <w:pPr>
              <w:widowControl/>
              <w:rPr>
                <w:rFonts w:ascii="宋体" w:hAnsi="宋体"/>
                <w:sz w:val="24"/>
                <w:szCs w:val="24"/>
              </w:rPr>
            </w:pPr>
            <w:r>
              <w:rPr>
                <w:rFonts w:hint="eastAsia" w:ascii="宋体" w:hAnsi="宋体"/>
                <w:sz w:val="24"/>
                <w:szCs w:val="24"/>
              </w:rPr>
              <w:t>如：工程类资质（工程单位）、设备制造商、经销商（生产、经营许可证、产品认证）、其它资质。</w:t>
            </w:r>
          </w:p>
        </w:tc>
      </w:tr>
      <w:tr w14:paraId="7E0D2D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46" w:type="pct"/>
            <w:tcBorders>
              <w:top w:val="single" w:color="auto" w:sz="6" w:space="0"/>
              <w:left w:val="single" w:color="auto" w:sz="12" w:space="0"/>
              <w:bottom w:val="single" w:color="auto" w:sz="12" w:space="0"/>
              <w:right w:val="single" w:color="auto" w:sz="6" w:space="0"/>
            </w:tcBorders>
            <w:vAlign w:val="center"/>
          </w:tcPr>
          <w:p w14:paraId="54B05F03">
            <w:pPr>
              <w:widowControl/>
              <w:jc w:val="center"/>
              <w:rPr>
                <w:rFonts w:ascii="宋体" w:hAnsi="宋体"/>
                <w:sz w:val="24"/>
                <w:szCs w:val="24"/>
              </w:rPr>
            </w:pPr>
            <w:r>
              <w:rPr>
                <w:rFonts w:hint="eastAsia" w:ascii="宋体" w:hAnsi="宋体"/>
                <w:sz w:val="24"/>
                <w:szCs w:val="24"/>
              </w:rPr>
              <w:t>备注</w:t>
            </w:r>
          </w:p>
        </w:tc>
        <w:tc>
          <w:tcPr>
            <w:tcW w:w="4254" w:type="pct"/>
            <w:gridSpan w:val="5"/>
            <w:tcBorders>
              <w:top w:val="single" w:color="auto" w:sz="6" w:space="0"/>
              <w:left w:val="single" w:color="auto" w:sz="6" w:space="0"/>
              <w:bottom w:val="single" w:color="auto" w:sz="12" w:space="0"/>
              <w:right w:val="single" w:color="auto" w:sz="12" w:space="0"/>
            </w:tcBorders>
            <w:vAlign w:val="center"/>
          </w:tcPr>
          <w:p w14:paraId="0D39D0D5">
            <w:pPr>
              <w:widowControl/>
              <w:jc w:val="center"/>
              <w:rPr>
                <w:rFonts w:ascii="宋体" w:hAnsi="宋体"/>
                <w:sz w:val="24"/>
                <w:szCs w:val="24"/>
              </w:rPr>
            </w:pPr>
          </w:p>
        </w:tc>
      </w:tr>
    </w:tbl>
    <w:p w14:paraId="5A9A7B6D">
      <w:pPr>
        <w:spacing w:line="360" w:lineRule="auto"/>
        <w:rPr>
          <w:rFonts w:ascii="宋体" w:hAnsi="宋体"/>
          <w:b/>
          <w:sz w:val="24"/>
          <w:szCs w:val="24"/>
        </w:rPr>
      </w:pPr>
      <w:r>
        <w:rPr>
          <w:rFonts w:hint="eastAsia" w:ascii="宋体" w:hAnsi="宋体"/>
          <w:b/>
          <w:sz w:val="24"/>
          <w:szCs w:val="24"/>
        </w:rPr>
        <w:t>注：1.后附营业执照、相关资质证书（扫描件，如有提供）</w:t>
      </w:r>
    </w:p>
    <w:p w14:paraId="737DFDC1">
      <w:pPr>
        <w:spacing w:line="360" w:lineRule="auto"/>
        <w:ind w:firstLine="2125" w:firstLineChars="882"/>
        <w:rPr>
          <w:rFonts w:ascii="宋体" w:hAnsi="宋体"/>
          <w:b/>
          <w:sz w:val="24"/>
          <w:szCs w:val="24"/>
        </w:rPr>
      </w:pPr>
    </w:p>
    <w:p w14:paraId="437CCA4D">
      <w:pPr>
        <w:spacing w:line="600" w:lineRule="exact"/>
        <w:rPr>
          <w:rFonts w:ascii="宋体" w:hAnsi="宋体"/>
          <w:b/>
          <w:szCs w:val="28"/>
        </w:rPr>
      </w:pPr>
      <w:r>
        <w:rPr>
          <w:rFonts w:hint="eastAsia" w:ascii="宋体" w:hAnsi="宋体"/>
        </w:rPr>
        <w:br w:type="page"/>
      </w:r>
      <w:r>
        <w:rPr>
          <w:rFonts w:hint="eastAsia" w:ascii="宋体" w:hAnsi="宋体"/>
          <w:b/>
          <w:szCs w:val="28"/>
        </w:rPr>
        <w:t>格式2：</w:t>
      </w:r>
    </w:p>
    <w:p w14:paraId="2569C91C">
      <w:pPr>
        <w:tabs>
          <w:tab w:val="left" w:pos="900"/>
          <w:tab w:val="left" w:pos="1588"/>
        </w:tabs>
        <w:adjustRightInd w:val="0"/>
        <w:spacing w:before="120" w:line="360" w:lineRule="auto"/>
        <w:jc w:val="center"/>
        <w:outlineLvl w:val="2"/>
        <w:rPr>
          <w:rFonts w:ascii="宋体" w:hAnsi="宋体"/>
          <w:b/>
          <w:kern w:val="0"/>
          <w:sz w:val="32"/>
          <w:szCs w:val="32"/>
          <w:lang w:val="zh-CN"/>
        </w:rPr>
      </w:pPr>
      <w:bookmarkStart w:id="83" w:name="_Toc531895123"/>
      <w:r>
        <w:rPr>
          <w:rFonts w:hint="eastAsia" w:ascii="宋体" w:hAnsi="宋体"/>
          <w:b/>
          <w:kern w:val="0"/>
          <w:sz w:val="32"/>
          <w:szCs w:val="32"/>
          <w:lang w:val="zh-CN"/>
        </w:rPr>
        <w:t>法定代表人/负责人身份证明书</w:t>
      </w:r>
      <w:bookmarkEnd w:id="83"/>
    </w:p>
    <w:p w14:paraId="6655088B">
      <w:pPr>
        <w:spacing w:line="440" w:lineRule="exact"/>
        <w:jc w:val="center"/>
        <w:rPr>
          <w:rFonts w:ascii="宋体" w:hAnsi="宋体"/>
          <w:b/>
          <w:sz w:val="30"/>
          <w:szCs w:val="30"/>
        </w:rPr>
      </w:pPr>
    </w:p>
    <w:p w14:paraId="6735A060">
      <w:pPr>
        <w:spacing w:line="360" w:lineRule="auto"/>
        <w:rPr>
          <w:rFonts w:ascii="宋体" w:hAnsi="宋体"/>
          <w:sz w:val="24"/>
          <w:szCs w:val="24"/>
        </w:rPr>
      </w:pPr>
      <w:r>
        <w:rPr>
          <w:rFonts w:hint="eastAsia" w:ascii="宋体" w:hAnsi="宋体"/>
          <w:sz w:val="24"/>
          <w:szCs w:val="24"/>
        </w:rPr>
        <w:t>投标人名称：</w:t>
      </w:r>
    </w:p>
    <w:p w14:paraId="0F566196">
      <w:pPr>
        <w:spacing w:line="360" w:lineRule="auto"/>
        <w:rPr>
          <w:rFonts w:ascii="宋体" w:hAnsi="宋体"/>
          <w:sz w:val="24"/>
          <w:szCs w:val="24"/>
        </w:rPr>
      </w:pPr>
      <w:r>
        <w:rPr>
          <w:rFonts w:hint="eastAsia" w:ascii="宋体" w:hAnsi="宋体"/>
          <w:sz w:val="24"/>
          <w:szCs w:val="24"/>
        </w:rPr>
        <w:t>单位性质：</w:t>
      </w:r>
    </w:p>
    <w:p w14:paraId="7FEA81BE">
      <w:pPr>
        <w:spacing w:line="360" w:lineRule="auto"/>
        <w:rPr>
          <w:rFonts w:ascii="宋体" w:hAnsi="宋体"/>
          <w:sz w:val="24"/>
          <w:szCs w:val="24"/>
        </w:rPr>
      </w:pPr>
      <w:r>
        <w:rPr>
          <w:rFonts w:hint="eastAsia" w:ascii="宋体" w:hAnsi="宋体"/>
          <w:sz w:val="24"/>
          <w:szCs w:val="24"/>
        </w:rPr>
        <w:t>成立时间： 年 月 日</w:t>
      </w:r>
    </w:p>
    <w:p w14:paraId="62805673">
      <w:pPr>
        <w:spacing w:line="360" w:lineRule="auto"/>
        <w:rPr>
          <w:rFonts w:ascii="宋体" w:hAnsi="宋体"/>
          <w:sz w:val="24"/>
          <w:szCs w:val="24"/>
        </w:rPr>
      </w:pPr>
      <w:r>
        <w:rPr>
          <w:rFonts w:hint="eastAsia" w:ascii="宋体" w:hAnsi="宋体"/>
          <w:sz w:val="24"/>
          <w:szCs w:val="24"/>
        </w:rPr>
        <w:t>经营期限：</w:t>
      </w:r>
    </w:p>
    <w:p w14:paraId="70816080">
      <w:pPr>
        <w:spacing w:line="360" w:lineRule="auto"/>
        <w:rPr>
          <w:rFonts w:ascii="宋体" w:hAnsi="宋体"/>
          <w:sz w:val="24"/>
          <w:szCs w:val="24"/>
        </w:rPr>
      </w:pPr>
      <w:r>
        <w:rPr>
          <w:rFonts w:hint="eastAsia" w:ascii="宋体" w:hAnsi="宋体"/>
          <w:sz w:val="24"/>
          <w:szCs w:val="24"/>
        </w:rPr>
        <w:t>姓名： 性别： 年龄：  职务：</w:t>
      </w:r>
    </w:p>
    <w:p w14:paraId="2E600FD4">
      <w:pPr>
        <w:spacing w:line="360" w:lineRule="auto"/>
        <w:rPr>
          <w:rFonts w:ascii="宋体" w:hAnsi="宋体"/>
          <w:sz w:val="24"/>
          <w:szCs w:val="24"/>
        </w:rPr>
      </w:pPr>
      <w:r>
        <w:rPr>
          <w:rFonts w:hint="eastAsia" w:ascii="宋体" w:hAnsi="宋体"/>
          <w:sz w:val="24"/>
          <w:szCs w:val="24"/>
        </w:rPr>
        <w:t>系（投标人名称）的法定代表人/负责人。</w:t>
      </w:r>
    </w:p>
    <w:p w14:paraId="364BFF46">
      <w:pPr>
        <w:spacing w:line="360" w:lineRule="auto"/>
        <w:rPr>
          <w:rFonts w:ascii="宋体" w:hAnsi="宋体"/>
          <w:sz w:val="24"/>
          <w:szCs w:val="24"/>
        </w:rPr>
      </w:pPr>
    </w:p>
    <w:p w14:paraId="1C8CF04E">
      <w:pPr>
        <w:spacing w:line="360" w:lineRule="auto"/>
        <w:ind w:firstLine="480" w:firstLineChars="200"/>
        <w:rPr>
          <w:rFonts w:ascii="宋体" w:hAnsi="宋体"/>
          <w:sz w:val="24"/>
          <w:szCs w:val="24"/>
        </w:rPr>
      </w:pPr>
    </w:p>
    <w:p w14:paraId="65EBABF0">
      <w:pPr>
        <w:spacing w:line="360" w:lineRule="auto"/>
        <w:ind w:firstLine="480" w:firstLineChars="200"/>
        <w:rPr>
          <w:rFonts w:ascii="宋体" w:hAnsi="宋体"/>
          <w:sz w:val="24"/>
          <w:szCs w:val="24"/>
        </w:rPr>
      </w:pPr>
      <w:r>
        <w:rPr>
          <w:rFonts w:hint="eastAsia" w:ascii="宋体" w:hAnsi="宋体"/>
          <w:sz w:val="24"/>
          <w:szCs w:val="24"/>
        </w:rPr>
        <w:t>特此证明。</w:t>
      </w:r>
    </w:p>
    <w:p w14:paraId="1D2FFA98">
      <w:pPr>
        <w:spacing w:line="360" w:lineRule="auto"/>
        <w:rPr>
          <w:rFonts w:ascii="宋体" w:hAnsi="宋体"/>
          <w:szCs w:val="21"/>
        </w:rPr>
      </w:pPr>
    </w:p>
    <w:p w14:paraId="54AD5BFB">
      <w:pPr>
        <w:spacing w:line="360" w:lineRule="auto"/>
        <w:rPr>
          <w:rFonts w:ascii="宋体" w:hAnsi="宋体"/>
          <w:szCs w:val="21"/>
        </w:rPr>
      </w:pPr>
    </w:p>
    <w:p w14:paraId="19AE7FF5">
      <w:pPr>
        <w:spacing w:line="500" w:lineRule="exact"/>
        <w:ind w:firstLine="420"/>
        <w:rPr>
          <w:rFonts w:ascii="宋体" w:hAnsi="宋体"/>
          <w:b/>
          <w:bCs/>
          <w:sz w:val="24"/>
          <w:szCs w:val="24"/>
        </w:rPr>
      </w:pPr>
      <w:r>
        <w:rPr>
          <w:rFonts w:hint="eastAsia" w:ascii="宋体" w:hAnsi="宋体"/>
          <w:b/>
          <w:bCs/>
          <w:sz w:val="24"/>
          <w:szCs w:val="24"/>
        </w:rPr>
        <w:t>注:</w:t>
      </w:r>
      <w:r>
        <w:rPr>
          <w:rFonts w:hint="eastAsia" w:ascii="宋体" w:hAnsi="宋体"/>
          <w:b/>
          <w:bCs/>
          <w:sz w:val="24"/>
        </w:rPr>
        <w:t>后附法定代表人/负责人身份证扫描件。</w:t>
      </w:r>
    </w:p>
    <w:p w14:paraId="566F9053">
      <w:pPr>
        <w:spacing w:line="360" w:lineRule="auto"/>
        <w:rPr>
          <w:rFonts w:ascii="宋体" w:hAnsi="宋体"/>
          <w:szCs w:val="21"/>
        </w:rPr>
      </w:pPr>
    </w:p>
    <w:p w14:paraId="1100B472">
      <w:pPr>
        <w:spacing w:line="360" w:lineRule="auto"/>
        <w:rPr>
          <w:rFonts w:ascii="宋体" w:hAnsi="宋体"/>
          <w:szCs w:val="21"/>
        </w:rPr>
      </w:pPr>
    </w:p>
    <w:p w14:paraId="6317294B">
      <w:pPr>
        <w:spacing w:line="360" w:lineRule="auto"/>
        <w:jc w:val="left"/>
        <w:rPr>
          <w:rFonts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0A97FEB6">
      <w:pPr>
        <w:spacing w:line="360" w:lineRule="auto"/>
        <w:jc w:val="left"/>
        <w:rPr>
          <w:rFonts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04134524">
      <w:pPr>
        <w:spacing w:line="360" w:lineRule="auto"/>
        <w:ind w:firstLine="2" w:firstLineChars="1"/>
        <w:rPr>
          <w:rFonts w:ascii="宋体" w:hAnsi="宋体"/>
          <w:b/>
          <w:sz w:val="24"/>
          <w:szCs w:val="24"/>
        </w:rPr>
      </w:pPr>
    </w:p>
    <w:p w14:paraId="72503251">
      <w:pPr>
        <w:spacing w:line="360" w:lineRule="auto"/>
        <w:rPr>
          <w:rFonts w:ascii="宋体" w:hAnsi="宋体"/>
          <w:szCs w:val="21"/>
        </w:rPr>
      </w:pPr>
    </w:p>
    <w:p w14:paraId="09A74F21">
      <w:pPr>
        <w:spacing w:line="600" w:lineRule="exact"/>
        <w:rPr>
          <w:rFonts w:ascii="宋体" w:hAnsi="宋体"/>
          <w:b/>
          <w:szCs w:val="28"/>
        </w:rPr>
      </w:pPr>
      <w:r>
        <w:rPr>
          <w:rFonts w:hint="eastAsia" w:ascii="宋体" w:hAnsi="宋体"/>
          <w:b/>
          <w:szCs w:val="21"/>
        </w:rPr>
        <w:br w:type="page"/>
      </w:r>
      <w:r>
        <w:rPr>
          <w:rFonts w:hint="eastAsia" w:ascii="宋体" w:hAnsi="宋体"/>
          <w:b/>
          <w:szCs w:val="28"/>
        </w:rPr>
        <w:t>格式3：</w:t>
      </w:r>
    </w:p>
    <w:p w14:paraId="729368A5">
      <w:pPr>
        <w:tabs>
          <w:tab w:val="left" w:pos="900"/>
          <w:tab w:val="left" w:pos="1588"/>
        </w:tabs>
        <w:adjustRightInd w:val="0"/>
        <w:spacing w:before="120" w:line="360" w:lineRule="auto"/>
        <w:jc w:val="center"/>
        <w:outlineLvl w:val="2"/>
        <w:rPr>
          <w:rFonts w:ascii="宋体" w:hAnsi="宋体"/>
          <w:b/>
          <w:kern w:val="0"/>
          <w:sz w:val="32"/>
          <w:szCs w:val="32"/>
          <w:lang w:val="zh-CN"/>
        </w:rPr>
      </w:pPr>
      <w:bookmarkStart w:id="84" w:name="_Toc531895124"/>
      <w:r>
        <w:rPr>
          <w:rFonts w:hint="eastAsia" w:ascii="宋体" w:hAnsi="宋体"/>
          <w:b/>
          <w:kern w:val="0"/>
          <w:sz w:val="32"/>
          <w:szCs w:val="32"/>
          <w:lang w:val="zh-CN"/>
        </w:rPr>
        <w:t>法定代表人授权委托书</w:t>
      </w:r>
      <w:bookmarkEnd w:id="84"/>
    </w:p>
    <w:p w14:paraId="1C2282F8">
      <w:pPr>
        <w:spacing w:line="500" w:lineRule="exact"/>
        <w:ind w:firstLine="480" w:firstLineChars="200"/>
        <w:rPr>
          <w:rFonts w:ascii="宋体" w:hAnsi="宋体"/>
          <w:sz w:val="24"/>
          <w:szCs w:val="24"/>
        </w:rPr>
      </w:pPr>
    </w:p>
    <w:p w14:paraId="730735D6">
      <w:pPr>
        <w:spacing w:line="360" w:lineRule="auto"/>
        <w:ind w:firstLine="480" w:firstLineChars="200"/>
        <w:rPr>
          <w:rFonts w:ascii="宋体" w:hAnsi="宋体"/>
          <w:sz w:val="24"/>
          <w:szCs w:val="24"/>
        </w:rPr>
      </w:pPr>
      <w:r>
        <w:rPr>
          <w:rFonts w:hint="eastAsia" w:ascii="宋体" w:hAnsi="宋体"/>
          <w:sz w:val="24"/>
          <w:szCs w:val="24"/>
        </w:rPr>
        <w:t>本授权书声明：</w:t>
      </w:r>
      <w:r>
        <w:rPr>
          <w:rFonts w:hint="eastAsia" w:ascii="宋体" w:hAnsi="宋体"/>
          <w:sz w:val="24"/>
          <w:szCs w:val="24"/>
          <w:u w:val="single"/>
        </w:rPr>
        <w:t xml:space="preserve">  （投标人全称） </w:t>
      </w:r>
      <w:r>
        <w:rPr>
          <w:rFonts w:hint="eastAsia" w:ascii="宋体" w:hAnsi="宋体"/>
          <w:sz w:val="24"/>
          <w:szCs w:val="24"/>
        </w:rPr>
        <w:t>的法定代表人/负责人代表本公司授权</w:t>
      </w:r>
      <w:r>
        <w:rPr>
          <w:rFonts w:hint="eastAsia" w:ascii="宋体" w:hAnsi="宋体"/>
          <w:sz w:val="24"/>
          <w:szCs w:val="24"/>
          <w:u w:val="single"/>
        </w:rPr>
        <w:t>（委托代理人姓名）</w:t>
      </w:r>
      <w:r>
        <w:rPr>
          <w:rFonts w:hint="eastAsia" w:ascii="宋体" w:hAnsi="宋体"/>
          <w:sz w:val="24"/>
          <w:szCs w:val="24"/>
        </w:rPr>
        <w:t>为本公司合法代理人，就贵方组织的有关</w:t>
      </w:r>
      <w:r>
        <w:rPr>
          <w:rFonts w:hint="eastAsia" w:ascii="宋体" w:hAnsi="宋体"/>
          <w:sz w:val="24"/>
          <w:szCs w:val="24"/>
          <w:u w:val="single"/>
        </w:rPr>
        <w:t>（采购项目名称）</w:t>
      </w:r>
      <w:r>
        <w:rPr>
          <w:rFonts w:hint="eastAsia" w:ascii="宋体" w:hAnsi="宋体"/>
          <w:sz w:val="24"/>
          <w:szCs w:val="24"/>
        </w:rPr>
        <w:t>项目（招标编号：        ）的招标，以本单位名义投标。代理人在本项目投标过程中所签署的一切文件和处理与之有关的一切事务，我方均予承认。</w:t>
      </w:r>
    </w:p>
    <w:p w14:paraId="76A95976">
      <w:pPr>
        <w:spacing w:line="500" w:lineRule="exact"/>
        <w:ind w:firstLine="420"/>
        <w:rPr>
          <w:rFonts w:ascii="宋体" w:hAnsi="宋体"/>
          <w:sz w:val="24"/>
          <w:szCs w:val="24"/>
        </w:rPr>
      </w:pPr>
      <w:r>
        <w:rPr>
          <w:rFonts w:hint="eastAsia" w:ascii="宋体" w:hAnsi="宋体"/>
          <w:sz w:val="24"/>
          <w:szCs w:val="24"/>
        </w:rPr>
        <w:t>代理人无转委托权。</w:t>
      </w:r>
    </w:p>
    <w:p w14:paraId="59D9F47C">
      <w:pPr>
        <w:spacing w:line="500" w:lineRule="exact"/>
        <w:ind w:firstLine="420"/>
        <w:rPr>
          <w:rFonts w:ascii="宋体" w:hAnsi="宋体"/>
          <w:sz w:val="24"/>
          <w:szCs w:val="24"/>
        </w:rPr>
      </w:pPr>
    </w:p>
    <w:p w14:paraId="19851330">
      <w:pPr>
        <w:spacing w:line="500" w:lineRule="exact"/>
        <w:ind w:firstLine="420"/>
        <w:rPr>
          <w:rFonts w:ascii="宋体" w:hAnsi="宋体"/>
          <w:sz w:val="24"/>
          <w:szCs w:val="24"/>
        </w:rPr>
      </w:pPr>
    </w:p>
    <w:p w14:paraId="213DDF9F">
      <w:pPr>
        <w:spacing w:line="360" w:lineRule="auto"/>
        <w:jc w:val="left"/>
        <w:rPr>
          <w:rFonts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5DB89FAA">
      <w:pPr>
        <w:spacing w:line="360" w:lineRule="auto"/>
        <w:jc w:val="left"/>
        <w:rPr>
          <w:rFonts w:ascii="宋体" w:hAnsi="宋体"/>
          <w:b/>
          <w:sz w:val="24"/>
        </w:rPr>
      </w:pPr>
      <w:r>
        <w:rPr>
          <w:rFonts w:hint="eastAsia" w:ascii="宋体" w:hAnsi="宋体"/>
          <w:b/>
          <w:sz w:val="24"/>
        </w:rPr>
        <w:t>法定代表人/负责人：</w:t>
      </w:r>
      <w:r>
        <w:rPr>
          <w:rFonts w:ascii="宋体" w:hAnsi="宋体"/>
          <w:b/>
          <w:sz w:val="24"/>
          <w:u w:val="single"/>
        </w:rPr>
        <w:t xml:space="preserve">               </w:t>
      </w:r>
      <w:r>
        <w:rPr>
          <w:rFonts w:hint="eastAsia" w:ascii="宋体" w:hAnsi="宋体"/>
          <w:b/>
          <w:sz w:val="24"/>
        </w:rPr>
        <w:t>（电子签名）</w:t>
      </w:r>
    </w:p>
    <w:p w14:paraId="0ED232D9">
      <w:pPr>
        <w:spacing w:line="360" w:lineRule="auto"/>
        <w:jc w:val="left"/>
        <w:rPr>
          <w:rFonts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30F56C80">
      <w:pPr>
        <w:spacing w:line="360" w:lineRule="auto"/>
        <w:ind w:firstLine="2" w:firstLineChars="1"/>
        <w:rPr>
          <w:rFonts w:ascii="宋体" w:hAnsi="宋体"/>
          <w:b/>
          <w:sz w:val="24"/>
          <w:szCs w:val="24"/>
        </w:rPr>
      </w:pPr>
    </w:p>
    <w:p w14:paraId="525030C8">
      <w:pPr>
        <w:spacing w:line="500" w:lineRule="exact"/>
        <w:ind w:firstLine="420"/>
        <w:rPr>
          <w:rFonts w:ascii="宋体" w:hAnsi="宋体"/>
          <w:sz w:val="24"/>
          <w:szCs w:val="24"/>
        </w:rPr>
      </w:pPr>
    </w:p>
    <w:p w14:paraId="696C5107">
      <w:pPr>
        <w:spacing w:line="360" w:lineRule="auto"/>
        <w:ind w:left="5332" w:leftChars="1350" w:hanging="1552" w:hangingChars="647"/>
        <w:rPr>
          <w:rFonts w:hAnsi="宋体"/>
          <w:sz w:val="24"/>
          <w:szCs w:val="24"/>
        </w:rPr>
      </w:pPr>
    </w:p>
    <w:p w14:paraId="7B6D7AB7">
      <w:pPr>
        <w:spacing w:line="500" w:lineRule="exact"/>
        <w:rPr>
          <w:rFonts w:ascii="宋体" w:hAnsi="宋体"/>
        </w:rPr>
      </w:pPr>
      <w:r>
        <w:rPr>
          <w:rFonts w:hint="eastAsia" w:ascii="宋体" w:hAnsi="宋体"/>
        </w:rPr>
        <w:t>__________________________________________________________________________________________</w:t>
      </w:r>
    </w:p>
    <w:tbl>
      <w:tblPr>
        <w:tblStyle w:val="31"/>
        <w:tblW w:w="5865" w:type="dxa"/>
        <w:tblInd w:w="720" w:type="dxa"/>
        <w:tblLayout w:type="fixed"/>
        <w:tblCellMar>
          <w:top w:w="0" w:type="dxa"/>
          <w:left w:w="108" w:type="dxa"/>
          <w:bottom w:w="0" w:type="dxa"/>
          <w:right w:w="108" w:type="dxa"/>
        </w:tblCellMar>
      </w:tblPr>
      <w:tblGrid>
        <w:gridCol w:w="1907"/>
        <w:gridCol w:w="3958"/>
      </w:tblGrid>
      <w:tr w14:paraId="3DBDC6D6">
        <w:tblPrEx>
          <w:tblCellMar>
            <w:top w:w="0" w:type="dxa"/>
            <w:left w:w="108" w:type="dxa"/>
            <w:bottom w:w="0" w:type="dxa"/>
            <w:right w:w="108" w:type="dxa"/>
          </w:tblCellMar>
        </w:tblPrEx>
        <w:tc>
          <w:tcPr>
            <w:tcW w:w="1908" w:type="dxa"/>
          </w:tcPr>
          <w:p w14:paraId="3209C461">
            <w:pPr>
              <w:spacing w:line="500" w:lineRule="exact"/>
              <w:rPr>
                <w:rFonts w:ascii="宋体" w:hAnsi="宋体"/>
                <w:sz w:val="24"/>
              </w:rPr>
            </w:pPr>
            <w:r>
              <w:rPr>
                <w:rFonts w:hint="eastAsia" w:ascii="宋体" w:hAnsi="宋体"/>
                <w:sz w:val="24"/>
              </w:rPr>
              <w:t xml:space="preserve">附： </w:t>
            </w:r>
          </w:p>
        </w:tc>
        <w:tc>
          <w:tcPr>
            <w:tcW w:w="3960" w:type="dxa"/>
          </w:tcPr>
          <w:p w14:paraId="3BBF877E">
            <w:pPr>
              <w:spacing w:line="500" w:lineRule="exact"/>
              <w:rPr>
                <w:rFonts w:ascii="宋体" w:hAnsi="宋体"/>
                <w:sz w:val="24"/>
              </w:rPr>
            </w:pP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p>
        </w:tc>
      </w:tr>
      <w:tr w14:paraId="6758B546">
        <w:tblPrEx>
          <w:tblCellMar>
            <w:top w:w="0" w:type="dxa"/>
            <w:left w:w="108" w:type="dxa"/>
            <w:bottom w:w="0" w:type="dxa"/>
            <w:right w:w="108" w:type="dxa"/>
          </w:tblCellMar>
        </w:tblPrEx>
        <w:tc>
          <w:tcPr>
            <w:tcW w:w="1908" w:type="dxa"/>
          </w:tcPr>
          <w:p w14:paraId="3481E652">
            <w:pPr>
              <w:spacing w:line="500" w:lineRule="exact"/>
              <w:jc w:val="distribute"/>
              <w:rPr>
                <w:rFonts w:ascii="宋体" w:hAnsi="宋体"/>
                <w:sz w:val="24"/>
              </w:rPr>
            </w:pPr>
            <w:r>
              <w:rPr>
                <w:rFonts w:hint="eastAsia" w:ascii="宋体" w:hAnsi="宋体"/>
                <w:sz w:val="24"/>
              </w:rPr>
              <w:t>委托代理人姓名：</w:t>
            </w:r>
          </w:p>
        </w:tc>
        <w:tc>
          <w:tcPr>
            <w:tcW w:w="3960" w:type="dxa"/>
          </w:tcPr>
          <w:p w14:paraId="766DA4D0">
            <w:pPr>
              <w:spacing w:line="500" w:lineRule="exact"/>
              <w:rPr>
                <w:rFonts w:ascii="宋体" w:hAnsi="宋体"/>
                <w:sz w:val="24"/>
              </w:rPr>
            </w:pPr>
          </w:p>
        </w:tc>
      </w:tr>
      <w:tr w14:paraId="0FD0A7EF">
        <w:tblPrEx>
          <w:tblCellMar>
            <w:top w:w="0" w:type="dxa"/>
            <w:left w:w="108" w:type="dxa"/>
            <w:bottom w:w="0" w:type="dxa"/>
            <w:right w:w="108" w:type="dxa"/>
          </w:tblCellMar>
        </w:tblPrEx>
        <w:tc>
          <w:tcPr>
            <w:tcW w:w="1908" w:type="dxa"/>
          </w:tcPr>
          <w:p w14:paraId="512F260E">
            <w:pPr>
              <w:spacing w:line="500" w:lineRule="exact"/>
              <w:jc w:val="distribute"/>
              <w:rPr>
                <w:rFonts w:ascii="宋体" w:hAnsi="宋体"/>
                <w:sz w:val="24"/>
              </w:rPr>
            </w:pPr>
            <w:r>
              <w:rPr>
                <w:rFonts w:hint="eastAsia" w:ascii="宋体" w:hAnsi="宋体"/>
                <w:sz w:val="24"/>
              </w:rPr>
              <w:t>职       务：</w:t>
            </w:r>
          </w:p>
        </w:tc>
        <w:tc>
          <w:tcPr>
            <w:tcW w:w="3960" w:type="dxa"/>
          </w:tcPr>
          <w:p w14:paraId="18D3C8F2">
            <w:pPr>
              <w:spacing w:line="500" w:lineRule="exact"/>
              <w:rPr>
                <w:rFonts w:ascii="宋体" w:hAnsi="宋体"/>
                <w:sz w:val="24"/>
              </w:rPr>
            </w:pPr>
          </w:p>
        </w:tc>
      </w:tr>
      <w:tr w14:paraId="292E2FAC">
        <w:tblPrEx>
          <w:tblCellMar>
            <w:top w:w="0" w:type="dxa"/>
            <w:left w:w="108" w:type="dxa"/>
            <w:bottom w:w="0" w:type="dxa"/>
            <w:right w:w="108" w:type="dxa"/>
          </w:tblCellMar>
        </w:tblPrEx>
        <w:tc>
          <w:tcPr>
            <w:tcW w:w="1908" w:type="dxa"/>
          </w:tcPr>
          <w:p w14:paraId="52C74242">
            <w:pPr>
              <w:spacing w:line="500" w:lineRule="exact"/>
              <w:jc w:val="distribute"/>
              <w:rPr>
                <w:rFonts w:ascii="宋体" w:hAnsi="宋体"/>
                <w:sz w:val="24"/>
              </w:rPr>
            </w:pPr>
            <w:r>
              <w:rPr>
                <w:rFonts w:hint="eastAsia" w:ascii="宋体" w:hAnsi="宋体"/>
                <w:sz w:val="24"/>
              </w:rPr>
              <w:t>身份证号码：</w:t>
            </w:r>
          </w:p>
        </w:tc>
        <w:tc>
          <w:tcPr>
            <w:tcW w:w="3960" w:type="dxa"/>
          </w:tcPr>
          <w:p w14:paraId="4145ADED">
            <w:pPr>
              <w:spacing w:line="500" w:lineRule="exact"/>
              <w:rPr>
                <w:rFonts w:ascii="宋体" w:hAnsi="宋体"/>
                <w:sz w:val="24"/>
              </w:rPr>
            </w:pPr>
          </w:p>
        </w:tc>
      </w:tr>
      <w:tr w14:paraId="06E56AA0">
        <w:tblPrEx>
          <w:tblCellMar>
            <w:top w:w="0" w:type="dxa"/>
            <w:left w:w="108" w:type="dxa"/>
            <w:bottom w:w="0" w:type="dxa"/>
            <w:right w:w="108" w:type="dxa"/>
          </w:tblCellMar>
        </w:tblPrEx>
        <w:tc>
          <w:tcPr>
            <w:tcW w:w="1908" w:type="dxa"/>
          </w:tcPr>
          <w:p w14:paraId="6BE79367">
            <w:pPr>
              <w:spacing w:line="500" w:lineRule="exact"/>
              <w:jc w:val="distribute"/>
              <w:rPr>
                <w:rFonts w:ascii="宋体" w:hAnsi="宋体"/>
                <w:sz w:val="24"/>
              </w:rPr>
            </w:pPr>
            <w:r>
              <w:rPr>
                <w:rFonts w:hint="eastAsia" w:ascii="宋体" w:hAnsi="宋体"/>
                <w:sz w:val="24"/>
              </w:rPr>
              <w:t>详 细  地 址：</w:t>
            </w:r>
          </w:p>
        </w:tc>
        <w:tc>
          <w:tcPr>
            <w:tcW w:w="3960" w:type="dxa"/>
          </w:tcPr>
          <w:p w14:paraId="2E0EBFEB">
            <w:pPr>
              <w:spacing w:line="500" w:lineRule="exact"/>
              <w:rPr>
                <w:rFonts w:ascii="宋体" w:hAnsi="宋体"/>
                <w:sz w:val="24"/>
              </w:rPr>
            </w:pPr>
          </w:p>
        </w:tc>
      </w:tr>
      <w:tr w14:paraId="65CC96B3">
        <w:tblPrEx>
          <w:tblCellMar>
            <w:top w:w="0" w:type="dxa"/>
            <w:left w:w="108" w:type="dxa"/>
            <w:bottom w:w="0" w:type="dxa"/>
            <w:right w:w="108" w:type="dxa"/>
          </w:tblCellMar>
        </w:tblPrEx>
        <w:tc>
          <w:tcPr>
            <w:tcW w:w="1908" w:type="dxa"/>
          </w:tcPr>
          <w:p w14:paraId="2A381DD8">
            <w:pPr>
              <w:spacing w:line="500" w:lineRule="exact"/>
              <w:jc w:val="distribute"/>
              <w:rPr>
                <w:rFonts w:ascii="宋体" w:hAnsi="宋体"/>
                <w:sz w:val="24"/>
              </w:rPr>
            </w:pPr>
            <w:r>
              <w:rPr>
                <w:rFonts w:hint="eastAsia" w:ascii="宋体" w:hAnsi="宋体"/>
                <w:sz w:val="24"/>
              </w:rPr>
              <w:t>电       话：</w:t>
            </w:r>
          </w:p>
        </w:tc>
        <w:tc>
          <w:tcPr>
            <w:tcW w:w="3960" w:type="dxa"/>
          </w:tcPr>
          <w:p w14:paraId="45DDB744">
            <w:pPr>
              <w:spacing w:line="500" w:lineRule="exact"/>
              <w:rPr>
                <w:rFonts w:ascii="宋体" w:hAnsi="宋体"/>
                <w:sz w:val="24"/>
              </w:rPr>
            </w:pPr>
          </w:p>
        </w:tc>
      </w:tr>
    </w:tbl>
    <w:p w14:paraId="74BE398D">
      <w:pPr>
        <w:spacing w:line="500" w:lineRule="exact"/>
        <w:ind w:firstLine="420"/>
        <w:rPr>
          <w:rFonts w:ascii="宋体" w:hAnsi="宋体"/>
          <w:sz w:val="24"/>
          <w:szCs w:val="24"/>
        </w:rPr>
      </w:pPr>
    </w:p>
    <w:p w14:paraId="40B2BEF9">
      <w:pPr>
        <w:spacing w:line="500" w:lineRule="exact"/>
        <w:ind w:firstLine="420"/>
        <w:rPr>
          <w:rFonts w:ascii="宋体" w:hAnsi="宋体"/>
          <w:sz w:val="24"/>
          <w:szCs w:val="24"/>
        </w:rPr>
      </w:pPr>
    </w:p>
    <w:p w14:paraId="24552DE6">
      <w:pPr>
        <w:spacing w:line="500" w:lineRule="exact"/>
        <w:ind w:firstLine="420"/>
        <w:rPr>
          <w:rFonts w:ascii="宋体" w:hAnsi="宋体"/>
          <w:b/>
          <w:bCs/>
          <w:sz w:val="24"/>
        </w:rPr>
      </w:pPr>
      <w:r>
        <w:rPr>
          <w:rFonts w:hint="eastAsia" w:ascii="宋体" w:hAnsi="宋体"/>
          <w:b/>
          <w:bCs/>
          <w:sz w:val="24"/>
          <w:szCs w:val="24"/>
        </w:rPr>
        <w:t>注:1.</w:t>
      </w:r>
      <w:r>
        <w:rPr>
          <w:rFonts w:hint="eastAsia" w:ascii="宋体" w:hAnsi="宋体"/>
          <w:b/>
          <w:bCs/>
          <w:sz w:val="24"/>
        </w:rPr>
        <w:t>在投标文件中附法定代表人/负责人及委托代理人身份证扫描件。</w:t>
      </w:r>
    </w:p>
    <w:p w14:paraId="72CEA96B">
      <w:pPr>
        <w:spacing w:line="600" w:lineRule="exact"/>
        <w:rPr>
          <w:rFonts w:ascii="宋体" w:hAnsi="宋体"/>
          <w:b/>
          <w:szCs w:val="28"/>
        </w:rPr>
      </w:pPr>
      <w:r>
        <w:rPr>
          <w:rFonts w:ascii="宋体" w:hAnsi="宋体"/>
          <w:b/>
          <w:szCs w:val="28"/>
        </w:rPr>
        <w:br w:type="page"/>
      </w:r>
      <w:r>
        <w:rPr>
          <w:rFonts w:hint="eastAsia" w:ascii="宋体" w:hAnsi="宋体"/>
          <w:b/>
          <w:szCs w:val="28"/>
        </w:rPr>
        <w:t>格式</w:t>
      </w:r>
      <w:r>
        <w:rPr>
          <w:rFonts w:ascii="宋体" w:hAnsi="宋体"/>
          <w:b/>
          <w:szCs w:val="28"/>
        </w:rPr>
        <w:t>4</w:t>
      </w:r>
      <w:r>
        <w:rPr>
          <w:rFonts w:hint="eastAsia" w:ascii="宋体" w:hAnsi="宋体"/>
          <w:b/>
          <w:szCs w:val="28"/>
        </w:rPr>
        <w:t>：</w:t>
      </w:r>
    </w:p>
    <w:p w14:paraId="7D46580B">
      <w:pPr>
        <w:tabs>
          <w:tab w:val="left" w:pos="900"/>
          <w:tab w:val="left" w:pos="1588"/>
        </w:tabs>
        <w:adjustRightInd w:val="0"/>
        <w:spacing w:before="120" w:line="360" w:lineRule="auto"/>
        <w:jc w:val="center"/>
        <w:outlineLvl w:val="2"/>
        <w:rPr>
          <w:rFonts w:ascii="宋体" w:hAnsi="宋体"/>
          <w:b/>
          <w:kern w:val="0"/>
          <w:sz w:val="32"/>
          <w:szCs w:val="32"/>
          <w:lang w:val="zh-CN"/>
        </w:rPr>
      </w:pPr>
      <w:r>
        <w:rPr>
          <w:rFonts w:hint="eastAsia" w:ascii="宋体" w:hAnsi="宋体"/>
          <w:b/>
          <w:kern w:val="0"/>
          <w:sz w:val="32"/>
          <w:szCs w:val="32"/>
          <w:lang w:val="zh-CN"/>
        </w:rPr>
        <w:t>投 标 函</w:t>
      </w:r>
      <w:bookmarkEnd w:id="82"/>
    </w:p>
    <w:p w14:paraId="0EAC86AD">
      <w:pPr>
        <w:spacing w:line="360" w:lineRule="auto"/>
        <w:rPr>
          <w:rFonts w:ascii="宋体" w:hAnsi="宋体"/>
          <w:sz w:val="24"/>
          <w:szCs w:val="24"/>
        </w:rPr>
      </w:pPr>
      <w:r>
        <w:rPr>
          <w:rFonts w:hint="eastAsia" w:ascii="宋体" w:hAnsi="宋体"/>
          <w:sz w:val="24"/>
          <w:szCs w:val="24"/>
        </w:rPr>
        <w:t>致：</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（采购人名称）</w:t>
      </w:r>
      <w:r>
        <w:rPr>
          <w:rFonts w:ascii="宋体" w:hAnsi="宋体"/>
          <w:sz w:val="24"/>
          <w:szCs w:val="24"/>
          <w:u w:val="single"/>
        </w:rPr>
        <w:t xml:space="preserve">  </w:t>
      </w:r>
    </w:p>
    <w:p w14:paraId="0BB744E3">
      <w:pPr>
        <w:spacing w:line="360" w:lineRule="auto"/>
        <w:ind w:firstLine="482"/>
        <w:rPr>
          <w:rFonts w:ascii="宋体" w:hAnsi="宋体"/>
          <w:sz w:val="24"/>
          <w:szCs w:val="24"/>
        </w:rPr>
      </w:pPr>
      <w:r>
        <w:rPr>
          <w:rFonts w:hint="eastAsia" w:ascii="宋体" w:hAnsi="宋体"/>
          <w:sz w:val="24"/>
          <w:szCs w:val="24"/>
        </w:rPr>
        <w:t>我方仔细研究了</w:t>
      </w:r>
      <w:r>
        <w:rPr>
          <w:rFonts w:hint="eastAsia" w:ascii="宋体" w:hAnsi="宋体"/>
          <w:sz w:val="24"/>
          <w:szCs w:val="24"/>
          <w:u w:val="single"/>
        </w:rPr>
        <w:t xml:space="preserve">（采购项目名称）   </w:t>
      </w:r>
      <w:r>
        <w:rPr>
          <w:rFonts w:hint="eastAsia" w:ascii="宋体" w:hAnsi="宋体"/>
          <w:sz w:val="24"/>
          <w:szCs w:val="24"/>
        </w:rPr>
        <w:t>（招标编号：</w:t>
      </w:r>
      <w:r>
        <w:rPr>
          <w:rFonts w:hint="eastAsia" w:ascii="宋体" w:hAnsi="宋体"/>
          <w:sz w:val="24"/>
          <w:szCs w:val="24"/>
          <w:u w:val="single"/>
        </w:rPr>
        <w:t xml:space="preserve">      </w:t>
      </w:r>
      <w:r>
        <w:rPr>
          <w:rFonts w:hint="eastAsia" w:ascii="宋体" w:hAnsi="宋体"/>
          <w:sz w:val="24"/>
          <w:szCs w:val="24"/>
        </w:rPr>
        <w:t>）项目招标文件的全部内容，正式授权下述人员</w:t>
      </w:r>
      <w:r>
        <w:rPr>
          <w:rFonts w:hint="eastAsia" w:ascii="宋体" w:hAnsi="宋体"/>
          <w:sz w:val="24"/>
          <w:szCs w:val="24"/>
          <w:u w:val="single"/>
        </w:rPr>
        <w:t xml:space="preserve">   （姓名和职务）     </w:t>
      </w:r>
      <w:r>
        <w:rPr>
          <w:rFonts w:hint="eastAsia" w:ascii="宋体" w:hAnsi="宋体"/>
          <w:sz w:val="24"/>
          <w:szCs w:val="24"/>
        </w:rPr>
        <w:t>全权代表投标人</w:t>
      </w:r>
      <w:r>
        <w:rPr>
          <w:rFonts w:hint="eastAsia" w:ascii="宋体" w:hAnsi="宋体"/>
          <w:sz w:val="24"/>
          <w:szCs w:val="24"/>
          <w:u w:val="single"/>
        </w:rPr>
        <w:t xml:space="preserve">  （投标人全称）   </w:t>
      </w:r>
      <w:r>
        <w:rPr>
          <w:rFonts w:hint="eastAsia" w:ascii="宋体" w:hAnsi="宋体"/>
          <w:sz w:val="24"/>
          <w:szCs w:val="24"/>
        </w:rPr>
        <w:t>参加投标。</w:t>
      </w:r>
    </w:p>
    <w:p w14:paraId="10DA681F">
      <w:pPr>
        <w:spacing w:line="360" w:lineRule="auto"/>
        <w:ind w:firstLine="420"/>
        <w:rPr>
          <w:rFonts w:ascii="宋体" w:hAnsi="宋体"/>
          <w:sz w:val="24"/>
          <w:szCs w:val="24"/>
        </w:rPr>
      </w:pPr>
      <w:r>
        <w:rPr>
          <w:rFonts w:hint="eastAsia" w:ascii="宋体" w:hAnsi="宋体"/>
          <w:sz w:val="24"/>
          <w:szCs w:val="24"/>
        </w:rPr>
        <w:t>据此函，我单位兹宣布同意如下：</w:t>
      </w:r>
    </w:p>
    <w:p w14:paraId="25D934D2">
      <w:pPr>
        <w:spacing w:line="360" w:lineRule="auto"/>
        <w:ind w:left="1400" w:leftChars="200" w:hanging="840" w:hangingChars="350"/>
        <w:jc w:val="left"/>
        <w:rPr>
          <w:rFonts w:ascii="宋体" w:hAnsi="宋体"/>
          <w:sz w:val="24"/>
          <w:szCs w:val="24"/>
        </w:rPr>
      </w:pPr>
      <w:r>
        <w:rPr>
          <w:rFonts w:hint="eastAsia" w:ascii="宋体" w:hAnsi="宋体"/>
          <w:sz w:val="24"/>
          <w:szCs w:val="24"/>
        </w:rPr>
        <w:t>1、按招标文件服务要求及技术需求和投标分项报价表，</w:t>
      </w:r>
      <w:r>
        <w:rPr>
          <w:rFonts w:hint="eastAsia" w:ascii="宋体" w:hAnsi="宋体"/>
          <w:b/>
          <w:bCs/>
          <w:sz w:val="24"/>
          <w:szCs w:val="24"/>
          <w:lang w:val="en-US" w:eastAsia="zh-CN"/>
        </w:rPr>
        <w:t>综合单价</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u w:val="single"/>
          <w:lang w:val="en-US" w:eastAsia="zh-CN"/>
        </w:rPr>
        <w:t>元/件</w:t>
      </w:r>
      <w:r>
        <w:rPr>
          <w:rFonts w:hint="eastAsia" w:ascii="宋体" w:hAnsi="宋体"/>
          <w:sz w:val="24"/>
          <w:szCs w:val="24"/>
        </w:rPr>
        <w:t>。在</w:t>
      </w:r>
      <w:r>
        <w:rPr>
          <w:rFonts w:hint="eastAsia" w:ascii="宋体" w:hAnsi="宋体"/>
          <w:sz w:val="24"/>
          <w:u w:val="single"/>
        </w:rPr>
        <w:t xml:space="preserve">  （合同履行期限）   </w:t>
      </w:r>
      <w:r>
        <w:rPr>
          <w:rFonts w:hint="eastAsia" w:ascii="宋体" w:hAnsi="宋体"/>
          <w:sz w:val="24"/>
        </w:rPr>
        <w:t>内完成项目需求所含内容</w:t>
      </w:r>
      <w:r>
        <w:rPr>
          <w:rFonts w:hint="eastAsia" w:ascii="宋体" w:hAnsi="宋体"/>
          <w:sz w:val="24"/>
          <w:szCs w:val="24"/>
        </w:rPr>
        <w:t>。</w:t>
      </w:r>
    </w:p>
    <w:p w14:paraId="18CC21AD">
      <w:pPr>
        <w:spacing w:line="360" w:lineRule="auto"/>
        <w:ind w:firstLine="420"/>
        <w:rPr>
          <w:rFonts w:ascii="宋体" w:hAnsi="宋体"/>
          <w:spacing w:val="-10"/>
          <w:sz w:val="24"/>
        </w:rPr>
      </w:pPr>
      <w:r>
        <w:rPr>
          <w:rFonts w:hint="eastAsia" w:ascii="宋体" w:hAnsi="宋体"/>
          <w:sz w:val="24"/>
        </w:rPr>
        <w:t>2、</w:t>
      </w:r>
      <w:r>
        <w:rPr>
          <w:rFonts w:hint="eastAsia" w:ascii="宋体" w:hAnsi="宋体"/>
          <w:spacing w:val="-10"/>
          <w:sz w:val="24"/>
        </w:rPr>
        <w:t>我方已详细审查全部招标文件，包括</w:t>
      </w:r>
      <w:r>
        <w:rPr>
          <w:rFonts w:hint="eastAsia" w:ascii="宋体" w:hAnsi="宋体"/>
          <w:spacing w:val="-10"/>
          <w:sz w:val="24"/>
          <w:u w:val="single"/>
        </w:rPr>
        <w:t>（澄清文件）(如果有的话)</w:t>
      </w:r>
      <w:r>
        <w:rPr>
          <w:rFonts w:hint="eastAsia" w:ascii="宋体" w:hAnsi="宋体"/>
          <w:spacing w:val="-10"/>
          <w:sz w:val="24"/>
        </w:rPr>
        <w:t>。我方完全理解相关文件要求，并承担对这方面有不明及误解的后果。</w:t>
      </w:r>
    </w:p>
    <w:p w14:paraId="6A34A4F7">
      <w:pPr>
        <w:spacing w:line="360" w:lineRule="auto"/>
        <w:ind w:firstLine="420"/>
        <w:rPr>
          <w:rFonts w:ascii="宋体" w:hAnsi="宋体"/>
          <w:sz w:val="24"/>
        </w:rPr>
      </w:pPr>
      <w:r>
        <w:rPr>
          <w:rFonts w:hint="eastAsia" w:ascii="宋体" w:hAnsi="宋体"/>
          <w:sz w:val="24"/>
          <w:szCs w:val="24"/>
        </w:rPr>
        <w:t>3、在投标人须知规定的开标日期起遵循本投标文件，并在投标人须知第17.1条规定的投标文件有效期满之前均具有约束力。</w:t>
      </w:r>
    </w:p>
    <w:p w14:paraId="00A97DA3">
      <w:pPr>
        <w:spacing w:line="360" w:lineRule="auto"/>
        <w:ind w:firstLine="420"/>
        <w:rPr>
          <w:rFonts w:ascii="宋体" w:hAnsi="宋体"/>
          <w:sz w:val="24"/>
          <w:szCs w:val="24"/>
        </w:rPr>
      </w:pPr>
      <w:r>
        <w:rPr>
          <w:rFonts w:hint="eastAsia" w:ascii="宋体" w:hAnsi="宋体"/>
          <w:sz w:val="24"/>
          <w:szCs w:val="24"/>
        </w:rPr>
        <w:t>4、</w:t>
      </w:r>
      <w:r>
        <w:rPr>
          <w:rFonts w:hint="eastAsia" w:ascii="宋体" w:hAnsi="宋体"/>
          <w:sz w:val="24"/>
        </w:rPr>
        <w:t>同意投标人须知中关于投标保证金不予退还的规定。</w:t>
      </w:r>
    </w:p>
    <w:p w14:paraId="01458AE5">
      <w:pPr>
        <w:spacing w:line="360" w:lineRule="auto"/>
        <w:ind w:firstLine="420"/>
        <w:rPr>
          <w:rFonts w:ascii="宋体" w:hAnsi="宋体"/>
          <w:sz w:val="24"/>
          <w:szCs w:val="24"/>
        </w:rPr>
      </w:pPr>
      <w:r>
        <w:rPr>
          <w:rFonts w:hint="eastAsia" w:ascii="宋体" w:hAnsi="宋体"/>
          <w:sz w:val="24"/>
          <w:szCs w:val="24"/>
        </w:rPr>
        <w:t>5、同意应贵方要求提供与本投标有关的任何数据或资料，并保证数据和资料的完整性和真实性。</w:t>
      </w:r>
    </w:p>
    <w:p w14:paraId="63EE1AE7">
      <w:pPr>
        <w:spacing w:line="360" w:lineRule="auto"/>
        <w:ind w:firstLine="420"/>
        <w:rPr>
          <w:rFonts w:ascii="宋体" w:hAnsi="宋体"/>
          <w:sz w:val="24"/>
          <w:szCs w:val="24"/>
        </w:rPr>
      </w:pPr>
      <w:r>
        <w:rPr>
          <w:rFonts w:hint="eastAsia" w:ascii="宋体" w:hAnsi="宋体"/>
          <w:sz w:val="24"/>
          <w:szCs w:val="24"/>
        </w:rPr>
        <w:t>6、完全理解贵方不一定要接受最低报价的投标人为中标人的行为。</w:t>
      </w:r>
    </w:p>
    <w:p w14:paraId="408AFF99">
      <w:pPr>
        <w:spacing w:line="360" w:lineRule="auto"/>
        <w:ind w:firstLine="420"/>
        <w:rPr>
          <w:rFonts w:ascii="宋体" w:hAnsi="宋体"/>
          <w:sz w:val="24"/>
          <w:szCs w:val="24"/>
        </w:rPr>
      </w:pPr>
      <w:r>
        <w:rPr>
          <w:rFonts w:hint="eastAsia" w:ascii="宋体" w:hAnsi="宋体"/>
          <w:sz w:val="24"/>
          <w:szCs w:val="24"/>
        </w:rPr>
        <w:t>7．如我方中标：</w:t>
      </w:r>
    </w:p>
    <w:p w14:paraId="2F7C5C7C">
      <w:pPr>
        <w:spacing w:line="360" w:lineRule="auto"/>
        <w:ind w:firstLine="420"/>
        <w:rPr>
          <w:rFonts w:ascii="宋体" w:hAnsi="宋体"/>
          <w:sz w:val="24"/>
          <w:szCs w:val="24"/>
        </w:rPr>
      </w:pPr>
      <w:r>
        <w:rPr>
          <w:rFonts w:hint="eastAsia" w:ascii="宋体" w:hAnsi="宋体"/>
          <w:sz w:val="24"/>
          <w:szCs w:val="24"/>
        </w:rPr>
        <w:t>（1）我方承诺在收到中标通知书后，在中标通知书规定的期限内与你方签订合同，并履行相应的合同责任和义务。</w:t>
      </w:r>
    </w:p>
    <w:p w14:paraId="50F4DAF6">
      <w:pPr>
        <w:spacing w:line="360" w:lineRule="auto"/>
        <w:ind w:firstLine="420"/>
        <w:rPr>
          <w:rFonts w:ascii="宋体" w:hAnsi="宋体"/>
          <w:sz w:val="24"/>
          <w:szCs w:val="24"/>
        </w:rPr>
      </w:pPr>
      <w:r>
        <w:rPr>
          <w:rFonts w:hint="eastAsia" w:ascii="宋体" w:hAnsi="宋体"/>
          <w:sz w:val="24"/>
          <w:szCs w:val="24"/>
        </w:rPr>
        <w:t>（2）我方承诺按照招标文件规定向你方递交履约担保（如有）。</w:t>
      </w:r>
    </w:p>
    <w:p w14:paraId="5C80E802">
      <w:pPr>
        <w:spacing w:line="360" w:lineRule="auto"/>
        <w:ind w:firstLine="420"/>
        <w:rPr>
          <w:rFonts w:ascii="宋体" w:hAnsi="宋体"/>
          <w:sz w:val="24"/>
          <w:szCs w:val="24"/>
        </w:rPr>
      </w:pPr>
      <w:r>
        <w:rPr>
          <w:rFonts w:hint="eastAsia" w:ascii="宋体" w:hAnsi="宋体"/>
          <w:sz w:val="24"/>
          <w:szCs w:val="24"/>
        </w:rPr>
        <w:t>（3）我方承诺将按照贵方要求高质量完成服务，并</w:t>
      </w:r>
      <w:r>
        <w:rPr>
          <w:rFonts w:hint="eastAsia" w:ascii="宋体" w:hAnsi="宋体"/>
          <w:sz w:val="24"/>
        </w:rPr>
        <w:t>承担售后服务。</w:t>
      </w:r>
    </w:p>
    <w:p w14:paraId="585169FE">
      <w:pPr>
        <w:spacing w:line="360" w:lineRule="auto"/>
        <w:ind w:firstLine="420"/>
        <w:rPr>
          <w:rFonts w:ascii="宋体" w:hAnsi="宋体"/>
          <w:sz w:val="24"/>
          <w:szCs w:val="24"/>
        </w:rPr>
      </w:pPr>
      <w:r>
        <w:rPr>
          <w:rFonts w:hint="eastAsia" w:ascii="宋体" w:hAnsi="宋体"/>
          <w:sz w:val="24"/>
          <w:szCs w:val="24"/>
        </w:rPr>
        <w:t>8．我方在此声明，所递交的投标文件及有关资料内容完整、真实和准确。</w:t>
      </w:r>
    </w:p>
    <w:p w14:paraId="465C2A3D">
      <w:pPr>
        <w:spacing w:line="360" w:lineRule="auto"/>
        <w:ind w:firstLine="420"/>
        <w:rPr>
          <w:rFonts w:ascii="宋体" w:hAnsi="宋体"/>
          <w:sz w:val="24"/>
          <w:szCs w:val="24"/>
        </w:rPr>
      </w:pPr>
      <w:r>
        <w:rPr>
          <w:rFonts w:hint="eastAsia" w:ascii="宋体" w:hAnsi="宋体"/>
          <w:sz w:val="24"/>
          <w:szCs w:val="24"/>
        </w:rPr>
        <w:t>9．（其他补充说明）。</w:t>
      </w:r>
    </w:p>
    <w:p w14:paraId="58CD2E64">
      <w:pPr>
        <w:spacing w:line="360" w:lineRule="auto"/>
        <w:ind w:firstLine="420"/>
        <w:rPr>
          <w:rFonts w:ascii="宋体" w:hAnsi="宋体"/>
          <w:sz w:val="24"/>
          <w:szCs w:val="24"/>
        </w:rPr>
      </w:pPr>
    </w:p>
    <w:p w14:paraId="52799010">
      <w:pPr>
        <w:spacing w:line="360" w:lineRule="auto"/>
        <w:ind w:firstLine="420"/>
        <w:rPr>
          <w:rFonts w:ascii="宋体" w:hAnsi="宋体"/>
          <w:b/>
          <w:bCs/>
          <w:sz w:val="24"/>
          <w:szCs w:val="24"/>
        </w:rPr>
      </w:pPr>
      <w:r>
        <w:rPr>
          <w:rFonts w:hint="eastAsia" w:ascii="宋体" w:hAnsi="宋体"/>
          <w:b/>
          <w:bCs/>
          <w:sz w:val="24"/>
          <w:szCs w:val="24"/>
        </w:rPr>
        <w:t>与本投标有关的正式通讯地址为：</w:t>
      </w:r>
    </w:p>
    <w:p w14:paraId="1C989892">
      <w:pPr>
        <w:spacing w:line="360" w:lineRule="auto"/>
        <w:ind w:firstLine="420"/>
        <w:rPr>
          <w:rFonts w:ascii="宋体" w:hAnsi="宋体"/>
          <w:sz w:val="24"/>
          <w:szCs w:val="24"/>
        </w:rPr>
      </w:pPr>
      <w:r>
        <w:rPr>
          <w:rFonts w:hint="eastAsia" w:ascii="宋体" w:hAnsi="宋体"/>
          <w:sz w:val="24"/>
          <w:szCs w:val="24"/>
        </w:rPr>
        <w:t>地址：</w:t>
      </w:r>
      <w:r>
        <w:rPr>
          <w:rFonts w:hint="eastAsia" w:ascii="宋体" w:hAnsi="宋体"/>
          <w:sz w:val="24"/>
          <w:szCs w:val="24"/>
          <w:u w:val="single"/>
        </w:rPr>
        <w:t xml:space="preserve">                                      　　　　　　　　　</w:t>
      </w:r>
    </w:p>
    <w:p w14:paraId="2521DBF4">
      <w:pPr>
        <w:spacing w:line="360" w:lineRule="auto"/>
        <w:ind w:firstLine="420"/>
        <w:rPr>
          <w:rFonts w:ascii="宋体" w:hAnsi="宋体"/>
          <w:sz w:val="24"/>
          <w:szCs w:val="24"/>
        </w:rPr>
      </w:pPr>
      <w:r>
        <w:rPr>
          <w:rFonts w:hint="eastAsia" w:ascii="宋体" w:hAnsi="宋体"/>
          <w:sz w:val="24"/>
          <w:szCs w:val="24"/>
        </w:rPr>
        <w:t>邮政编码：</w:t>
      </w:r>
      <w:r>
        <w:rPr>
          <w:rFonts w:hint="eastAsia" w:ascii="宋体" w:hAnsi="宋体"/>
          <w:sz w:val="24"/>
          <w:szCs w:val="24"/>
          <w:u w:val="single"/>
        </w:rPr>
        <w:t xml:space="preserve">                                      　　　　　　　　　</w:t>
      </w:r>
    </w:p>
    <w:p w14:paraId="1EFFDAFC">
      <w:pPr>
        <w:spacing w:line="360" w:lineRule="auto"/>
        <w:ind w:firstLine="420"/>
        <w:rPr>
          <w:rFonts w:ascii="宋体" w:hAnsi="宋体"/>
          <w:sz w:val="24"/>
          <w:szCs w:val="24"/>
          <w:u w:val="single"/>
        </w:rPr>
      </w:pPr>
      <w:r>
        <w:rPr>
          <w:rFonts w:hint="eastAsia" w:ascii="宋体" w:hAnsi="宋体"/>
          <w:sz w:val="24"/>
          <w:szCs w:val="24"/>
        </w:rPr>
        <w:t>电话：</w:t>
      </w:r>
      <w:r>
        <w:rPr>
          <w:rFonts w:hint="eastAsia" w:ascii="宋体" w:hAnsi="宋体"/>
          <w:sz w:val="24"/>
          <w:szCs w:val="24"/>
          <w:u w:val="single"/>
        </w:rPr>
        <w:t xml:space="preserve">                                      　　　　　　　　　</w:t>
      </w:r>
    </w:p>
    <w:p w14:paraId="5880C9FD">
      <w:pPr>
        <w:spacing w:line="360" w:lineRule="auto"/>
        <w:ind w:firstLine="420"/>
        <w:rPr>
          <w:rFonts w:ascii="宋体" w:hAnsi="宋体"/>
          <w:sz w:val="24"/>
          <w:szCs w:val="24"/>
        </w:rPr>
      </w:pPr>
      <w:r>
        <w:rPr>
          <w:rFonts w:hint="eastAsia" w:ascii="宋体" w:hAnsi="宋体"/>
          <w:sz w:val="24"/>
          <w:szCs w:val="24"/>
        </w:rPr>
        <w:t>传真：</w:t>
      </w:r>
      <w:r>
        <w:rPr>
          <w:rFonts w:hint="eastAsia" w:ascii="宋体" w:hAnsi="宋体"/>
          <w:sz w:val="24"/>
          <w:szCs w:val="24"/>
          <w:u w:val="single"/>
        </w:rPr>
        <w:t>　　　　　　　　　　　　　　　　　　　　　　　　　　　　</w:t>
      </w:r>
    </w:p>
    <w:p w14:paraId="5FD1E3F2">
      <w:pPr>
        <w:spacing w:line="360" w:lineRule="auto"/>
        <w:ind w:firstLine="420"/>
        <w:rPr>
          <w:rFonts w:ascii="宋体" w:hAnsi="宋体"/>
          <w:sz w:val="24"/>
          <w:szCs w:val="24"/>
          <w:u w:val="single"/>
        </w:rPr>
      </w:pPr>
      <w:r>
        <w:rPr>
          <w:rFonts w:hint="eastAsia" w:ascii="宋体" w:hAnsi="宋体"/>
          <w:sz w:val="24"/>
          <w:szCs w:val="24"/>
        </w:rPr>
        <w:t>开户名称：</w:t>
      </w:r>
      <w:r>
        <w:rPr>
          <w:rFonts w:hint="eastAsia" w:ascii="宋体" w:hAnsi="宋体"/>
          <w:sz w:val="24"/>
          <w:szCs w:val="24"/>
          <w:u w:val="single"/>
        </w:rPr>
        <w:t xml:space="preserve">                                      　　　　　　　　　</w:t>
      </w:r>
    </w:p>
    <w:p w14:paraId="1222B07B">
      <w:pPr>
        <w:spacing w:line="360" w:lineRule="auto"/>
        <w:ind w:firstLine="420"/>
        <w:rPr>
          <w:rFonts w:ascii="宋体" w:hAnsi="宋体"/>
          <w:sz w:val="24"/>
          <w:szCs w:val="24"/>
          <w:u w:val="single"/>
        </w:rPr>
      </w:pPr>
      <w:r>
        <w:rPr>
          <w:rFonts w:hint="eastAsia" w:ascii="宋体" w:hAnsi="宋体"/>
          <w:sz w:val="24"/>
          <w:szCs w:val="24"/>
        </w:rPr>
        <w:t>开户银行：</w:t>
      </w:r>
      <w:r>
        <w:rPr>
          <w:rFonts w:hint="eastAsia" w:ascii="宋体" w:hAnsi="宋体"/>
          <w:sz w:val="24"/>
          <w:szCs w:val="24"/>
          <w:u w:val="single"/>
        </w:rPr>
        <w:t xml:space="preserve">                                      　　　　　　　　　</w:t>
      </w:r>
    </w:p>
    <w:p w14:paraId="57D911EF">
      <w:pPr>
        <w:spacing w:line="360" w:lineRule="auto"/>
        <w:ind w:firstLine="420"/>
        <w:rPr>
          <w:rFonts w:ascii="宋体" w:hAnsi="宋体"/>
          <w:sz w:val="24"/>
          <w:szCs w:val="24"/>
          <w:u w:val="single"/>
        </w:rPr>
      </w:pPr>
      <w:r>
        <w:rPr>
          <w:rFonts w:hint="eastAsia" w:ascii="宋体" w:hAnsi="宋体"/>
          <w:sz w:val="24"/>
          <w:szCs w:val="24"/>
        </w:rPr>
        <w:t>帐    号：</w:t>
      </w:r>
      <w:r>
        <w:rPr>
          <w:rFonts w:hint="eastAsia" w:ascii="宋体" w:hAnsi="宋体"/>
          <w:sz w:val="24"/>
          <w:szCs w:val="24"/>
          <w:u w:val="single"/>
        </w:rPr>
        <w:t xml:space="preserve">                                      　　　　　　　　　</w:t>
      </w:r>
    </w:p>
    <w:p w14:paraId="3D91E0F4">
      <w:pPr>
        <w:spacing w:line="360" w:lineRule="auto"/>
        <w:ind w:firstLine="420"/>
        <w:rPr>
          <w:rFonts w:ascii="宋体" w:hAnsi="宋体"/>
          <w:sz w:val="24"/>
          <w:szCs w:val="24"/>
        </w:rPr>
      </w:pPr>
    </w:p>
    <w:p w14:paraId="206FD665">
      <w:pPr>
        <w:spacing w:line="360" w:lineRule="auto"/>
        <w:ind w:left="420" w:leftChars="150"/>
        <w:jc w:val="left"/>
        <w:rPr>
          <w:rFonts w:ascii="宋体" w:hAnsi="宋体"/>
          <w:b/>
          <w:sz w:val="24"/>
        </w:rPr>
      </w:pPr>
      <w:r>
        <w:rPr>
          <w:rFonts w:hint="eastAsia" w:ascii="宋体" w:hAnsi="宋体"/>
          <w:b/>
          <w:sz w:val="24"/>
        </w:rPr>
        <w:t>投标人：</w:t>
      </w:r>
      <w:r>
        <w:rPr>
          <w:rFonts w:ascii="宋体" w:hAnsi="宋体"/>
          <w:b/>
          <w:sz w:val="24"/>
          <w:u w:val="single"/>
        </w:rPr>
        <w:t xml:space="preserve">                                 </w:t>
      </w:r>
      <w:r>
        <w:rPr>
          <w:rFonts w:hint="eastAsia" w:ascii="宋体" w:hAnsi="宋体"/>
          <w:b/>
          <w:sz w:val="24"/>
        </w:rPr>
        <w:t>（电子签章）</w:t>
      </w:r>
    </w:p>
    <w:p w14:paraId="7D80ADCA">
      <w:pPr>
        <w:spacing w:line="360" w:lineRule="auto"/>
        <w:ind w:left="420" w:leftChars="150"/>
        <w:jc w:val="left"/>
        <w:rPr>
          <w:rFonts w:ascii="宋体" w:hAnsi="宋体"/>
          <w:b/>
          <w:sz w:val="24"/>
        </w:rPr>
      </w:pPr>
      <w:r>
        <w:rPr>
          <w:rFonts w:hint="eastAsia" w:ascii="宋体" w:hAnsi="宋体"/>
          <w:b/>
          <w:sz w:val="24"/>
        </w:rPr>
        <w:t>法定代表人/负责人或其委托代理人：</w:t>
      </w:r>
      <w:r>
        <w:rPr>
          <w:rFonts w:ascii="宋体" w:hAnsi="宋体"/>
          <w:b/>
          <w:sz w:val="24"/>
          <w:u w:val="single"/>
        </w:rPr>
        <w:t xml:space="preserve">               </w:t>
      </w:r>
      <w:r>
        <w:rPr>
          <w:rFonts w:hint="eastAsia" w:ascii="宋体" w:hAnsi="宋体"/>
          <w:b/>
          <w:sz w:val="24"/>
        </w:rPr>
        <w:t>（电子签名）</w:t>
      </w:r>
    </w:p>
    <w:p w14:paraId="4C981B10">
      <w:pPr>
        <w:spacing w:line="360" w:lineRule="auto"/>
        <w:ind w:left="420" w:leftChars="150"/>
        <w:jc w:val="left"/>
        <w:rPr>
          <w:rFonts w:ascii="宋体" w:hAnsi="宋体"/>
          <w:b/>
          <w:sz w:val="24"/>
        </w:rPr>
      </w:pPr>
      <w:r>
        <w:rPr>
          <w:rFonts w:hint="eastAsia" w:ascii="宋体" w:hAnsi="宋体"/>
          <w:b/>
          <w:sz w:val="24"/>
        </w:rPr>
        <w:t>日期：</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年</w:t>
      </w:r>
      <w:r>
        <w:rPr>
          <w:rFonts w:ascii="宋体" w:hAnsi="宋体"/>
          <w:b/>
          <w:sz w:val="24"/>
          <w:u w:val="single"/>
        </w:rPr>
        <w:t xml:space="preserve">       </w:t>
      </w:r>
      <w:r>
        <w:rPr>
          <w:rFonts w:hint="eastAsia" w:ascii="宋体" w:hAnsi="宋体"/>
          <w:b/>
          <w:sz w:val="24"/>
        </w:rPr>
        <w:t>月</w:t>
      </w:r>
      <w:r>
        <w:rPr>
          <w:rFonts w:ascii="宋体" w:hAnsi="宋体"/>
          <w:b/>
          <w:sz w:val="24"/>
          <w:u w:val="single"/>
        </w:rPr>
        <w:t xml:space="preserve">       </w:t>
      </w:r>
      <w:r>
        <w:rPr>
          <w:rFonts w:hint="eastAsia" w:ascii="宋体" w:hAnsi="宋体"/>
          <w:b/>
          <w:sz w:val="24"/>
        </w:rPr>
        <w:t>日</w:t>
      </w:r>
    </w:p>
    <w:p w14:paraId="0253183F">
      <w:pPr>
        <w:spacing w:line="360" w:lineRule="auto"/>
        <w:ind w:firstLine="420"/>
        <w:rPr>
          <w:rFonts w:ascii="宋体" w:hAnsi="宋体"/>
          <w:b/>
          <w:color w:val="000000"/>
          <w:sz w:val="24"/>
          <w:szCs w:val="24"/>
        </w:rPr>
      </w:pPr>
    </w:p>
    <w:p w14:paraId="48D5DDC9">
      <w:pPr>
        <w:widowControl/>
        <w:spacing w:line="360" w:lineRule="auto"/>
        <w:jc w:val="left"/>
        <w:rPr>
          <w:rFonts w:ascii="宋体" w:hAnsi="宋体"/>
          <w:b/>
          <w:color w:val="000000"/>
          <w:sz w:val="24"/>
          <w:szCs w:val="24"/>
        </w:rPr>
        <w:sectPr>
          <w:pgSz w:w="11906" w:h="16838"/>
          <w:pgMar w:top="1134" w:right="1134" w:bottom="1134" w:left="1134" w:header="720" w:footer="720" w:gutter="0"/>
          <w:cols w:space="720" w:num="1"/>
          <w:docGrid w:type="lines" w:linePitch="331" w:charSpace="0"/>
        </w:sectPr>
      </w:pPr>
    </w:p>
    <w:p w14:paraId="4FAA4B00">
      <w:pPr>
        <w:spacing w:line="600" w:lineRule="exact"/>
        <w:rPr>
          <w:rFonts w:ascii="宋体" w:hAnsi="宋体"/>
          <w:b/>
          <w:color w:val="000000"/>
          <w:szCs w:val="28"/>
        </w:rPr>
      </w:pPr>
    </w:p>
    <w:p w14:paraId="530C2DD1">
      <w:pPr>
        <w:widowControl/>
        <w:jc w:val="left"/>
        <w:rPr>
          <w:rFonts w:ascii="宋体" w:hAnsi="宋体"/>
          <w:b/>
          <w:color w:val="000000"/>
          <w:szCs w:val="28"/>
        </w:rPr>
      </w:pPr>
      <w:r>
        <w:rPr>
          <w:rFonts w:hint="eastAsia" w:ascii="宋体" w:hAnsi="宋体"/>
          <w:b/>
          <w:color w:val="000000"/>
          <w:szCs w:val="28"/>
        </w:rPr>
        <w:br w:type="page"/>
      </w:r>
      <w:r>
        <w:rPr>
          <w:rFonts w:hint="eastAsia" w:ascii="宋体" w:hAnsi="宋体"/>
          <w:b/>
          <w:color w:val="000000"/>
          <w:szCs w:val="28"/>
        </w:rPr>
        <w:t>格式</w:t>
      </w:r>
      <w:r>
        <w:rPr>
          <w:rFonts w:ascii="宋体" w:hAnsi="宋体"/>
          <w:b/>
          <w:color w:val="000000"/>
          <w:szCs w:val="28"/>
        </w:rPr>
        <w:t>5</w:t>
      </w:r>
      <w:r>
        <w:rPr>
          <w:rFonts w:hint="eastAsia" w:ascii="宋体" w:hAnsi="宋体"/>
          <w:b/>
          <w:color w:val="000000"/>
          <w:szCs w:val="28"/>
        </w:rPr>
        <w:t>：</w:t>
      </w:r>
    </w:p>
    <w:p w14:paraId="15469D92">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r>
        <w:rPr>
          <w:rFonts w:hint="eastAsia" w:ascii="宋体" w:hAnsi="宋体"/>
          <w:b/>
          <w:color w:val="000000"/>
          <w:kern w:val="0"/>
          <w:sz w:val="32"/>
          <w:szCs w:val="32"/>
          <w:lang w:val="zh-CN"/>
        </w:rPr>
        <w:t>报价详细说明</w:t>
      </w:r>
    </w:p>
    <w:p w14:paraId="51179A11">
      <w:pPr>
        <w:pStyle w:val="14"/>
        <w:jc w:val="center"/>
        <w:rPr>
          <w:lang w:val="zh-CN"/>
        </w:rPr>
      </w:pPr>
      <w:r>
        <w:rPr>
          <w:rFonts w:hint="eastAsia" w:ascii="宋体" w:hAnsi="宋体"/>
          <w:b/>
          <w:color w:val="000000"/>
          <w:kern w:val="0"/>
          <w:sz w:val="32"/>
          <w:szCs w:val="32"/>
          <w:lang w:val="zh-CN"/>
        </w:rPr>
        <w:t>（</w:t>
      </w:r>
      <w:r>
        <w:rPr>
          <w:rFonts w:hint="eastAsia" w:ascii="宋体" w:hAnsi="宋体"/>
          <w:b/>
          <w:color w:val="000000"/>
          <w:kern w:val="0"/>
          <w:sz w:val="32"/>
          <w:szCs w:val="32"/>
        </w:rPr>
        <w:t>格式自拟</w:t>
      </w:r>
      <w:r>
        <w:rPr>
          <w:rFonts w:hint="eastAsia" w:ascii="宋体" w:hAnsi="宋体"/>
          <w:b/>
          <w:color w:val="000000"/>
          <w:kern w:val="0"/>
          <w:sz w:val="32"/>
          <w:szCs w:val="32"/>
          <w:lang w:val="zh-CN"/>
        </w:rPr>
        <w:t>）</w:t>
      </w:r>
    </w:p>
    <w:p w14:paraId="117E6894">
      <w:pPr>
        <w:pStyle w:val="9"/>
        <w:rPr>
          <w:lang w:val="zh-CN"/>
        </w:rPr>
      </w:pPr>
    </w:p>
    <w:p w14:paraId="397EA68B">
      <w:pPr>
        <w:rPr>
          <w:lang w:val="zh-CN"/>
        </w:rPr>
        <w:sectPr>
          <w:type w:val="continuous"/>
          <w:pgSz w:w="11906" w:h="16838"/>
          <w:pgMar w:top="1134" w:right="1134" w:bottom="1134" w:left="1134" w:header="680" w:footer="680" w:gutter="0"/>
          <w:cols w:space="720" w:num="1"/>
          <w:docGrid w:type="lines" w:linePitch="331" w:charSpace="0"/>
        </w:sectPr>
      </w:pPr>
    </w:p>
    <w:p w14:paraId="4AC805DA">
      <w:pPr>
        <w:spacing w:line="600" w:lineRule="exact"/>
        <w:rPr>
          <w:rFonts w:ascii="宋体" w:hAnsi="宋体"/>
          <w:b/>
          <w:color w:val="000000"/>
          <w:szCs w:val="28"/>
        </w:rPr>
      </w:pPr>
      <w:r>
        <w:rPr>
          <w:rFonts w:hint="eastAsia" w:ascii="宋体" w:hAnsi="宋体"/>
          <w:b/>
          <w:color w:val="000000"/>
          <w:szCs w:val="28"/>
        </w:rPr>
        <w:t>格式6：</w:t>
      </w:r>
    </w:p>
    <w:p w14:paraId="7695507D">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r>
        <w:rPr>
          <w:rFonts w:hint="eastAsia" w:ascii="宋体" w:hAnsi="宋体"/>
          <w:b/>
          <w:color w:val="000000"/>
          <w:kern w:val="0"/>
          <w:sz w:val="32"/>
          <w:szCs w:val="32"/>
          <w:lang w:val="zh-CN"/>
        </w:rPr>
        <w:t>违约责任承诺及损失赔偿承诺</w:t>
      </w:r>
    </w:p>
    <w:p w14:paraId="593DB283">
      <w:pPr>
        <w:spacing w:line="360" w:lineRule="auto"/>
        <w:ind w:firstLine="480" w:firstLineChars="200"/>
        <w:jc w:val="center"/>
        <w:rPr>
          <w:rFonts w:ascii="宋体" w:hAnsi="宋体"/>
          <w:color w:val="000000"/>
          <w:sz w:val="24"/>
        </w:rPr>
      </w:pPr>
      <w:r>
        <w:rPr>
          <w:rFonts w:hint="eastAsia" w:ascii="宋体" w:hAnsi="宋体"/>
          <w:color w:val="000000"/>
          <w:sz w:val="24"/>
        </w:rPr>
        <w:t>格式自拟</w:t>
      </w:r>
    </w:p>
    <w:p w14:paraId="2EF62308">
      <w:pPr>
        <w:widowControl/>
        <w:jc w:val="left"/>
        <w:rPr>
          <w:rFonts w:ascii="宋体" w:hAnsi="宋体"/>
          <w:b/>
          <w:color w:val="000000"/>
          <w:szCs w:val="28"/>
        </w:rPr>
      </w:pPr>
      <w:r>
        <w:rPr>
          <w:rFonts w:ascii="宋体" w:hAnsi="宋体"/>
          <w:b/>
          <w:color w:val="000000"/>
          <w:szCs w:val="28"/>
        </w:rPr>
        <w:br w:type="page"/>
      </w:r>
    </w:p>
    <w:p w14:paraId="33AAC2C6">
      <w:pPr>
        <w:spacing w:line="600" w:lineRule="exact"/>
        <w:rPr>
          <w:rFonts w:ascii="宋体" w:hAnsi="宋体"/>
          <w:b/>
          <w:color w:val="000000"/>
          <w:szCs w:val="28"/>
        </w:rPr>
      </w:pPr>
      <w:r>
        <w:rPr>
          <w:rFonts w:hint="eastAsia" w:ascii="宋体" w:hAnsi="宋体"/>
          <w:b/>
          <w:color w:val="000000"/>
          <w:szCs w:val="28"/>
        </w:rPr>
        <w:t>格式7：</w:t>
      </w:r>
    </w:p>
    <w:p w14:paraId="38FEE9BE">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r>
        <w:rPr>
          <w:rFonts w:hint="eastAsia" w:ascii="宋体" w:hAnsi="宋体"/>
          <w:b/>
          <w:color w:val="000000"/>
          <w:kern w:val="0"/>
          <w:sz w:val="32"/>
          <w:szCs w:val="32"/>
          <w:lang w:val="zh-CN"/>
        </w:rPr>
        <w:t>服务承诺及保障措施</w:t>
      </w:r>
    </w:p>
    <w:p w14:paraId="2659E043">
      <w:pPr>
        <w:spacing w:line="360" w:lineRule="auto"/>
        <w:ind w:firstLine="480" w:firstLineChars="200"/>
        <w:jc w:val="center"/>
        <w:rPr>
          <w:rFonts w:ascii="宋体" w:hAnsi="宋体"/>
          <w:color w:val="000000"/>
          <w:sz w:val="24"/>
        </w:rPr>
      </w:pPr>
      <w:r>
        <w:rPr>
          <w:rFonts w:hint="eastAsia" w:ascii="宋体" w:hAnsi="宋体"/>
          <w:color w:val="000000"/>
          <w:sz w:val="24"/>
        </w:rPr>
        <w:t>格式自拟</w:t>
      </w:r>
    </w:p>
    <w:p w14:paraId="60FD33B1">
      <w:pPr>
        <w:pStyle w:val="14"/>
        <w:rPr>
          <w:lang w:val="zh-CN"/>
        </w:rPr>
      </w:pPr>
    </w:p>
    <w:p w14:paraId="6CB506D5">
      <w:pPr>
        <w:widowControl/>
        <w:jc w:val="left"/>
        <w:rPr>
          <w:rFonts w:ascii="宋体" w:hAnsi="宋体"/>
          <w:b/>
          <w:color w:val="000000"/>
          <w:szCs w:val="28"/>
        </w:rPr>
      </w:pPr>
      <w:r>
        <w:rPr>
          <w:rFonts w:ascii="宋体" w:hAnsi="宋体"/>
          <w:b/>
          <w:color w:val="000000"/>
          <w:szCs w:val="28"/>
        </w:rPr>
        <w:br w:type="page"/>
      </w:r>
    </w:p>
    <w:p w14:paraId="77D40B0B">
      <w:pPr>
        <w:spacing w:line="600" w:lineRule="exact"/>
        <w:rPr>
          <w:rFonts w:ascii="宋体" w:hAnsi="宋体"/>
          <w:b/>
          <w:color w:val="000000"/>
          <w:szCs w:val="28"/>
        </w:rPr>
      </w:pPr>
      <w:r>
        <w:rPr>
          <w:rFonts w:hint="eastAsia" w:ascii="宋体" w:hAnsi="宋体"/>
          <w:b/>
          <w:color w:val="000000"/>
          <w:szCs w:val="28"/>
        </w:rPr>
        <w:t>格式8：</w:t>
      </w:r>
    </w:p>
    <w:p w14:paraId="1CB893F8">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r>
        <w:rPr>
          <w:rFonts w:hint="eastAsia" w:ascii="宋体" w:hAnsi="宋体"/>
          <w:b/>
          <w:color w:val="000000"/>
          <w:kern w:val="0"/>
          <w:sz w:val="32"/>
          <w:szCs w:val="32"/>
          <w:lang w:val="zh-CN"/>
        </w:rPr>
        <w:t>投标保证金交纳凭证</w:t>
      </w:r>
    </w:p>
    <w:p w14:paraId="70114504">
      <w:pPr>
        <w:spacing w:line="600" w:lineRule="exact"/>
        <w:rPr>
          <w:rFonts w:ascii="宋体" w:hAnsi="宋体"/>
          <w:color w:val="000000"/>
          <w:kern w:val="0"/>
          <w:sz w:val="24"/>
          <w:szCs w:val="24"/>
        </w:rPr>
      </w:pPr>
    </w:p>
    <w:p w14:paraId="6191A5EF">
      <w:pPr>
        <w:spacing w:line="480" w:lineRule="auto"/>
        <w:ind w:firstLine="2" w:firstLineChars="1"/>
        <w:rPr>
          <w:rFonts w:ascii="宋体" w:hAnsi="宋体"/>
          <w:b/>
          <w:color w:val="000000"/>
          <w:szCs w:val="28"/>
        </w:rPr>
      </w:pPr>
      <w:r>
        <w:rPr>
          <w:rFonts w:hint="eastAsia" w:ascii="宋体" w:hAnsi="宋体"/>
          <w:color w:val="000000"/>
          <w:sz w:val="24"/>
          <w:szCs w:val="24"/>
        </w:rPr>
        <w:br w:type="page"/>
      </w:r>
      <w:bookmarkStart w:id="85" w:name="_Toc531895140"/>
      <w:r>
        <w:rPr>
          <w:rFonts w:hint="eastAsia" w:ascii="宋体" w:hAnsi="宋体"/>
          <w:b/>
          <w:color w:val="000000"/>
          <w:szCs w:val="28"/>
        </w:rPr>
        <w:t>格式9：</w:t>
      </w:r>
    </w:p>
    <w:p w14:paraId="2B97A8DA">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r>
        <w:rPr>
          <w:rFonts w:hint="eastAsia" w:ascii="宋体" w:hAnsi="宋体"/>
          <w:b/>
          <w:color w:val="000000"/>
          <w:kern w:val="0"/>
          <w:sz w:val="32"/>
          <w:szCs w:val="32"/>
          <w:lang w:val="zh-CN"/>
        </w:rPr>
        <w:t>类似项目经验（如有）</w:t>
      </w:r>
    </w:p>
    <w:p w14:paraId="743583AA">
      <w:pPr>
        <w:spacing w:line="360" w:lineRule="auto"/>
        <w:rPr>
          <w:rFonts w:ascii="宋体" w:hAnsi="宋体"/>
          <w:color w:val="000000"/>
          <w:kern w:val="0"/>
          <w:sz w:val="24"/>
          <w:u w:val="single"/>
        </w:rPr>
      </w:pPr>
      <w:r>
        <w:rPr>
          <w:rFonts w:hint="eastAsia" w:ascii="宋体" w:hAnsi="宋体"/>
          <w:b/>
          <w:color w:val="000000"/>
          <w:kern w:val="0"/>
          <w:sz w:val="24"/>
        </w:rPr>
        <w:t>项目名称：                                               招标编号：</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2613"/>
        <w:gridCol w:w="1509"/>
        <w:gridCol w:w="1553"/>
        <w:gridCol w:w="1667"/>
        <w:gridCol w:w="1715"/>
      </w:tblGrid>
      <w:tr w14:paraId="6E5FC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469" w:type="pct"/>
            <w:tcBorders>
              <w:top w:val="single" w:color="auto" w:sz="4" w:space="0"/>
              <w:left w:val="single" w:color="auto" w:sz="4" w:space="0"/>
              <w:bottom w:val="single" w:color="auto" w:sz="4" w:space="0"/>
              <w:right w:val="single" w:color="auto" w:sz="4" w:space="0"/>
            </w:tcBorders>
            <w:vAlign w:val="center"/>
          </w:tcPr>
          <w:p w14:paraId="4409141B">
            <w:pPr>
              <w:spacing w:line="600" w:lineRule="exact"/>
              <w:jc w:val="center"/>
              <w:rPr>
                <w:rFonts w:ascii="宋体" w:hAnsi="宋体"/>
                <w:b/>
                <w:color w:val="000000"/>
                <w:sz w:val="24"/>
                <w:szCs w:val="24"/>
              </w:rPr>
            </w:pPr>
            <w:r>
              <w:rPr>
                <w:rFonts w:hint="eastAsia" w:ascii="宋体" w:hAnsi="宋体"/>
                <w:b/>
                <w:color w:val="000000"/>
                <w:sz w:val="24"/>
                <w:szCs w:val="24"/>
              </w:rPr>
              <w:t>序号</w:t>
            </w:r>
          </w:p>
        </w:tc>
        <w:tc>
          <w:tcPr>
            <w:tcW w:w="1307" w:type="pct"/>
            <w:tcBorders>
              <w:top w:val="single" w:color="auto" w:sz="4" w:space="0"/>
              <w:left w:val="single" w:color="auto" w:sz="4" w:space="0"/>
              <w:bottom w:val="single" w:color="auto" w:sz="4" w:space="0"/>
              <w:right w:val="single" w:color="auto" w:sz="4" w:space="0"/>
            </w:tcBorders>
            <w:vAlign w:val="center"/>
          </w:tcPr>
          <w:p w14:paraId="2B5539AF">
            <w:pPr>
              <w:spacing w:line="600" w:lineRule="exact"/>
              <w:jc w:val="center"/>
              <w:rPr>
                <w:rFonts w:ascii="宋体" w:hAnsi="宋体"/>
                <w:b/>
                <w:color w:val="000000"/>
                <w:sz w:val="24"/>
                <w:szCs w:val="24"/>
              </w:rPr>
            </w:pPr>
            <w:r>
              <w:rPr>
                <w:rFonts w:hint="eastAsia" w:ascii="宋体" w:hAnsi="宋体"/>
                <w:b/>
                <w:color w:val="000000"/>
                <w:sz w:val="24"/>
                <w:szCs w:val="24"/>
              </w:rPr>
              <w:t>项目名称</w:t>
            </w:r>
          </w:p>
        </w:tc>
        <w:tc>
          <w:tcPr>
            <w:tcW w:w="755" w:type="pct"/>
            <w:tcBorders>
              <w:top w:val="single" w:color="auto" w:sz="4" w:space="0"/>
              <w:left w:val="single" w:color="auto" w:sz="4" w:space="0"/>
              <w:bottom w:val="single" w:color="auto" w:sz="4" w:space="0"/>
              <w:right w:val="single" w:color="auto" w:sz="4" w:space="0"/>
            </w:tcBorders>
          </w:tcPr>
          <w:p w14:paraId="7F92BB4C">
            <w:pPr>
              <w:spacing w:line="600" w:lineRule="exact"/>
              <w:jc w:val="center"/>
              <w:rPr>
                <w:rFonts w:ascii="宋体" w:hAnsi="宋体"/>
                <w:b/>
                <w:color w:val="000000"/>
                <w:sz w:val="24"/>
                <w:szCs w:val="24"/>
              </w:rPr>
            </w:pPr>
            <w:r>
              <w:rPr>
                <w:rFonts w:hint="eastAsia" w:ascii="宋体" w:hAnsi="宋体"/>
                <w:b/>
                <w:color w:val="000000"/>
                <w:sz w:val="24"/>
                <w:szCs w:val="24"/>
              </w:rPr>
              <w:t>主要内容</w:t>
            </w:r>
          </w:p>
        </w:tc>
        <w:tc>
          <w:tcPr>
            <w:tcW w:w="777" w:type="pct"/>
            <w:tcBorders>
              <w:top w:val="single" w:color="auto" w:sz="4" w:space="0"/>
              <w:left w:val="single" w:color="auto" w:sz="4" w:space="0"/>
              <w:bottom w:val="single" w:color="auto" w:sz="4" w:space="0"/>
              <w:right w:val="single" w:color="auto" w:sz="4" w:space="0"/>
            </w:tcBorders>
            <w:vAlign w:val="center"/>
          </w:tcPr>
          <w:p w14:paraId="3B2852D0">
            <w:pPr>
              <w:spacing w:line="600" w:lineRule="exact"/>
              <w:jc w:val="center"/>
              <w:rPr>
                <w:rFonts w:ascii="宋体" w:hAnsi="宋体"/>
                <w:b/>
                <w:color w:val="000000"/>
                <w:sz w:val="24"/>
                <w:szCs w:val="24"/>
              </w:rPr>
            </w:pPr>
            <w:r>
              <w:rPr>
                <w:rFonts w:hint="eastAsia" w:ascii="宋体" w:hAnsi="宋体"/>
                <w:b/>
                <w:color w:val="000000"/>
                <w:sz w:val="24"/>
                <w:szCs w:val="24"/>
              </w:rPr>
              <w:t>年份</w:t>
            </w:r>
          </w:p>
        </w:tc>
        <w:tc>
          <w:tcPr>
            <w:tcW w:w="834" w:type="pct"/>
            <w:tcBorders>
              <w:top w:val="single" w:color="auto" w:sz="4" w:space="0"/>
              <w:left w:val="single" w:color="auto" w:sz="4" w:space="0"/>
              <w:bottom w:val="single" w:color="auto" w:sz="4" w:space="0"/>
              <w:right w:val="single" w:color="auto" w:sz="4" w:space="0"/>
            </w:tcBorders>
            <w:vAlign w:val="center"/>
          </w:tcPr>
          <w:p w14:paraId="14FDC750">
            <w:pPr>
              <w:spacing w:line="600" w:lineRule="exact"/>
              <w:jc w:val="center"/>
              <w:rPr>
                <w:rFonts w:ascii="宋体" w:hAnsi="宋体"/>
                <w:b/>
                <w:color w:val="000000"/>
                <w:sz w:val="24"/>
                <w:szCs w:val="24"/>
              </w:rPr>
            </w:pPr>
            <w:r>
              <w:rPr>
                <w:rFonts w:hint="eastAsia" w:ascii="宋体" w:hAnsi="宋体"/>
                <w:b/>
                <w:color w:val="000000"/>
                <w:sz w:val="24"/>
                <w:szCs w:val="24"/>
              </w:rPr>
              <w:t>业主单位</w:t>
            </w:r>
          </w:p>
        </w:tc>
        <w:tc>
          <w:tcPr>
            <w:tcW w:w="858" w:type="pct"/>
            <w:tcBorders>
              <w:top w:val="single" w:color="auto" w:sz="4" w:space="0"/>
              <w:left w:val="single" w:color="auto" w:sz="4" w:space="0"/>
              <w:bottom w:val="single" w:color="auto" w:sz="4" w:space="0"/>
              <w:right w:val="single" w:color="auto" w:sz="4" w:space="0"/>
            </w:tcBorders>
            <w:vAlign w:val="center"/>
          </w:tcPr>
          <w:p w14:paraId="66D4020E">
            <w:pPr>
              <w:spacing w:line="600" w:lineRule="exact"/>
              <w:jc w:val="center"/>
              <w:rPr>
                <w:rFonts w:ascii="宋体" w:hAnsi="宋体"/>
                <w:b/>
                <w:color w:val="000000"/>
                <w:sz w:val="24"/>
                <w:szCs w:val="24"/>
              </w:rPr>
            </w:pPr>
            <w:r>
              <w:rPr>
                <w:rFonts w:hint="eastAsia" w:ascii="宋体" w:hAnsi="宋体"/>
                <w:b/>
                <w:color w:val="000000"/>
                <w:sz w:val="24"/>
                <w:szCs w:val="24"/>
              </w:rPr>
              <w:t>备注</w:t>
            </w:r>
          </w:p>
        </w:tc>
      </w:tr>
      <w:tr w14:paraId="6CC55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9" w:type="pct"/>
            <w:tcBorders>
              <w:top w:val="single" w:color="auto" w:sz="4" w:space="0"/>
              <w:left w:val="single" w:color="auto" w:sz="4" w:space="0"/>
              <w:bottom w:val="single" w:color="auto" w:sz="4" w:space="0"/>
              <w:right w:val="single" w:color="auto" w:sz="4" w:space="0"/>
            </w:tcBorders>
          </w:tcPr>
          <w:p w14:paraId="6ADDEAB6">
            <w:pPr>
              <w:spacing w:line="600" w:lineRule="exact"/>
              <w:jc w:val="center"/>
              <w:rPr>
                <w:rFonts w:ascii="宋体" w:hAnsi="宋体"/>
                <w:b/>
                <w:color w:val="000000"/>
                <w:sz w:val="21"/>
                <w:szCs w:val="21"/>
              </w:rPr>
            </w:pPr>
            <w:r>
              <w:rPr>
                <w:rFonts w:hint="eastAsia" w:ascii="宋体" w:hAnsi="宋体"/>
                <w:b/>
                <w:color w:val="000000"/>
                <w:sz w:val="21"/>
                <w:szCs w:val="21"/>
              </w:rPr>
              <w:t>1</w:t>
            </w:r>
          </w:p>
        </w:tc>
        <w:tc>
          <w:tcPr>
            <w:tcW w:w="1307" w:type="pct"/>
            <w:tcBorders>
              <w:top w:val="single" w:color="auto" w:sz="4" w:space="0"/>
              <w:left w:val="single" w:color="auto" w:sz="4" w:space="0"/>
              <w:bottom w:val="single" w:color="auto" w:sz="4" w:space="0"/>
              <w:right w:val="single" w:color="auto" w:sz="4" w:space="0"/>
            </w:tcBorders>
          </w:tcPr>
          <w:p w14:paraId="5E8236EF">
            <w:pPr>
              <w:spacing w:line="600" w:lineRule="exact"/>
              <w:jc w:val="center"/>
              <w:rPr>
                <w:rFonts w:ascii="宋体" w:hAnsi="宋体"/>
                <w:b/>
                <w:color w:val="000000"/>
                <w:szCs w:val="28"/>
              </w:rPr>
            </w:pPr>
          </w:p>
        </w:tc>
        <w:tc>
          <w:tcPr>
            <w:tcW w:w="755" w:type="pct"/>
            <w:tcBorders>
              <w:top w:val="single" w:color="auto" w:sz="4" w:space="0"/>
              <w:left w:val="single" w:color="auto" w:sz="4" w:space="0"/>
              <w:bottom w:val="single" w:color="auto" w:sz="4" w:space="0"/>
              <w:right w:val="single" w:color="auto" w:sz="4" w:space="0"/>
            </w:tcBorders>
          </w:tcPr>
          <w:p w14:paraId="4482618A">
            <w:pPr>
              <w:spacing w:line="600" w:lineRule="exact"/>
              <w:jc w:val="center"/>
              <w:rPr>
                <w:rFonts w:ascii="宋体" w:hAnsi="宋体"/>
                <w:b/>
                <w:color w:val="000000"/>
                <w:szCs w:val="28"/>
              </w:rPr>
            </w:pPr>
          </w:p>
        </w:tc>
        <w:tc>
          <w:tcPr>
            <w:tcW w:w="777" w:type="pct"/>
            <w:tcBorders>
              <w:top w:val="single" w:color="auto" w:sz="4" w:space="0"/>
              <w:left w:val="single" w:color="auto" w:sz="4" w:space="0"/>
              <w:bottom w:val="single" w:color="auto" w:sz="4" w:space="0"/>
              <w:right w:val="single" w:color="auto" w:sz="4" w:space="0"/>
            </w:tcBorders>
          </w:tcPr>
          <w:p w14:paraId="58E4C87E">
            <w:pPr>
              <w:spacing w:line="600" w:lineRule="exact"/>
              <w:jc w:val="center"/>
              <w:rPr>
                <w:rFonts w:ascii="宋体" w:hAnsi="宋体"/>
                <w:b/>
                <w:color w:val="000000"/>
                <w:szCs w:val="28"/>
              </w:rPr>
            </w:pPr>
          </w:p>
        </w:tc>
        <w:tc>
          <w:tcPr>
            <w:tcW w:w="834" w:type="pct"/>
            <w:tcBorders>
              <w:top w:val="single" w:color="auto" w:sz="4" w:space="0"/>
              <w:left w:val="single" w:color="auto" w:sz="4" w:space="0"/>
              <w:bottom w:val="single" w:color="auto" w:sz="4" w:space="0"/>
              <w:right w:val="single" w:color="auto" w:sz="4" w:space="0"/>
            </w:tcBorders>
          </w:tcPr>
          <w:p w14:paraId="5BEC700D">
            <w:pPr>
              <w:spacing w:line="600" w:lineRule="exact"/>
              <w:jc w:val="center"/>
              <w:rPr>
                <w:rFonts w:ascii="宋体" w:hAnsi="宋体"/>
                <w:b/>
                <w:color w:val="000000"/>
                <w:szCs w:val="28"/>
              </w:rPr>
            </w:pPr>
          </w:p>
        </w:tc>
        <w:tc>
          <w:tcPr>
            <w:tcW w:w="858" w:type="pct"/>
            <w:tcBorders>
              <w:top w:val="single" w:color="auto" w:sz="4" w:space="0"/>
              <w:left w:val="single" w:color="auto" w:sz="4" w:space="0"/>
              <w:bottom w:val="single" w:color="auto" w:sz="4" w:space="0"/>
              <w:right w:val="single" w:color="auto" w:sz="4" w:space="0"/>
            </w:tcBorders>
          </w:tcPr>
          <w:p w14:paraId="18937A3E">
            <w:pPr>
              <w:spacing w:line="600" w:lineRule="exact"/>
              <w:jc w:val="center"/>
              <w:rPr>
                <w:rFonts w:ascii="宋体" w:hAnsi="宋体"/>
                <w:b/>
                <w:color w:val="000000"/>
                <w:szCs w:val="28"/>
              </w:rPr>
            </w:pPr>
          </w:p>
        </w:tc>
      </w:tr>
      <w:tr w14:paraId="2F824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9" w:type="pct"/>
            <w:tcBorders>
              <w:top w:val="single" w:color="auto" w:sz="4" w:space="0"/>
              <w:left w:val="single" w:color="auto" w:sz="4" w:space="0"/>
              <w:bottom w:val="single" w:color="auto" w:sz="4" w:space="0"/>
              <w:right w:val="single" w:color="auto" w:sz="4" w:space="0"/>
            </w:tcBorders>
          </w:tcPr>
          <w:p w14:paraId="6980D753">
            <w:pPr>
              <w:spacing w:line="600" w:lineRule="exact"/>
              <w:jc w:val="center"/>
              <w:rPr>
                <w:rFonts w:ascii="宋体" w:hAnsi="宋体"/>
                <w:b/>
                <w:color w:val="000000"/>
                <w:sz w:val="21"/>
                <w:szCs w:val="21"/>
              </w:rPr>
            </w:pPr>
            <w:r>
              <w:rPr>
                <w:rFonts w:hint="eastAsia" w:ascii="宋体" w:hAnsi="宋体"/>
                <w:b/>
                <w:color w:val="000000"/>
                <w:sz w:val="21"/>
                <w:szCs w:val="21"/>
              </w:rPr>
              <w:t>2</w:t>
            </w:r>
          </w:p>
        </w:tc>
        <w:tc>
          <w:tcPr>
            <w:tcW w:w="1307" w:type="pct"/>
            <w:tcBorders>
              <w:top w:val="single" w:color="auto" w:sz="4" w:space="0"/>
              <w:left w:val="single" w:color="auto" w:sz="4" w:space="0"/>
              <w:bottom w:val="single" w:color="auto" w:sz="4" w:space="0"/>
              <w:right w:val="single" w:color="auto" w:sz="4" w:space="0"/>
            </w:tcBorders>
          </w:tcPr>
          <w:p w14:paraId="0ED17448">
            <w:pPr>
              <w:spacing w:line="600" w:lineRule="exact"/>
              <w:jc w:val="center"/>
              <w:rPr>
                <w:rFonts w:ascii="宋体" w:hAnsi="宋体"/>
                <w:b/>
                <w:color w:val="000000"/>
                <w:szCs w:val="28"/>
              </w:rPr>
            </w:pPr>
          </w:p>
        </w:tc>
        <w:tc>
          <w:tcPr>
            <w:tcW w:w="755" w:type="pct"/>
            <w:tcBorders>
              <w:top w:val="single" w:color="auto" w:sz="4" w:space="0"/>
              <w:left w:val="single" w:color="auto" w:sz="4" w:space="0"/>
              <w:bottom w:val="single" w:color="auto" w:sz="4" w:space="0"/>
              <w:right w:val="single" w:color="auto" w:sz="4" w:space="0"/>
            </w:tcBorders>
          </w:tcPr>
          <w:p w14:paraId="14669B91">
            <w:pPr>
              <w:spacing w:line="600" w:lineRule="exact"/>
              <w:jc w:val="center"/>
              <w:rPr>
                <w:rFonts w:ascii="宋体" w:hAnsi="宋体"/>
                <w:b/>
                <w:color w:val="000000"/>
                <w:szCs w:val="28"/>
              </w:rPr>
            </w:pPr>
          </w:p>
        </w:tc>
        <w:tc>
          <w:tcPr>
            <w:tcW w:w="777" w:type="pct"/>
            <w:tcBorders>
              <w:top w:val="single" w:color="auto" w:sz="4" w:space="0"/>
              <w:left w:val="single" w:color="auto" w:sz="4" w:space="0"/>
              <w:bottom w:val="single" w:color="auto" w:sz="4" w:space="0"/>
              <w:right w:val="single" w:color="auto" w:sz="4" w:space="0"/>
            </w:tcBorders>
          </w:tcPr>
          <w:p w14:paraId="3F6AC000">
            <w:pPr>
              <w:spacing w:line="600" w:lineRule="exact"/>
              <w:jc w:val="center"/>
              <w:rPr>
                <w:rFonts w:ascii="宋体" w:hAnsi="宋体"/>
                <w:b/>
                <w:color w:val="000000"/>
                <w:szCs w:val="28"/>
              </w:rPr>
            </w:pPr>
          </w:p>
        </w:tc>
        <w:tc>
          <w:tcPr>
            <w:tcW w:w="834" w:type="pct"/>
            <w:tcBorders>
              <w:top w:val="single" w:color="auto" w:sz="4" w:space="0"/>
              <w:left w:val="single" w:color="auto" w:sz="4" w:space="0"/>
              <w:bottom w:val="single" w:color="auto" w:sz="4" w:space="0"/>
              <w:right w:val="single" w:color="auto" w:sz="4" w:space="0"/>
            </w:tcBorders>
          </w:tcPr>
          <w:p w14:paraId="7D548DEC">
            <w:pPr>
              <w:spacing w:line="600" w:lineRule="exact"/>
              <w:jc w:val="center"/>
              <w:rPr>
                <w:rFonts w:ascii="宋体" w:hAnsi="宋体"/>
                <w:b/>
                <w:color w:val="000000"/>
                <w:szCs w:val="28"/>
              </w:rPr>
            </w:pPr>
          </w:p>
        </w:tc>
        <w:tc>
          <w:tcPr>
            <w:tcW w:w="858" w:type="pct"/>
            <w:tcBorders>
              <w:top w:val="single" w:color="auto" w:sz="4" w:space="0"/>
              <w:left w:val="single" w:color="auto" w:sz="4" w:space="0"/>
              <w:bottom w:val="single" w:color="auto" w:sz="4" w:space="0"/>
              <w:right w:val="single" w:color="auto" w:sz="4" w:space="0"/>
            </w:tcBorders>
          </w:tcPr>
          <w:p w14:paraId="2FD59357">
            <w:pPr>
              <w:spacing w:line="600" w:lineRule="exact"/>
              <w:jc w:val="center"/>
              <w:rPr>
                <w:rFonts w:ascii="宋体" w:hAnsi="宋体"/>
                <w:b/>
                <w:color w:val="000000"/>
                <w:szCs w:val="28"/>
              </w:rPr>
            </w:pPr>
          </w:p>
        </w:tc>
      </w:tr>
      <w:tr w14:paraId="7DD38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9" w:type="pct"/>
            <w:tcBorders>
              <w:top w:val="single" w:color="auto" w:sz="4" w:space="0"/>
              <w:left w:val="single" w:color="auto" w:sz="4" w:space="0"/>
              <w:bottom w:val="single" w:color="auto" w:sz="4" w:space="0"/>
              <w:right w:val="single" w:color="auto" w:sz="4" w:space="0"/>
            </w:tcBorders>
          </w:tcPr>
          <w:p w14:paraId="34D6446E">
            <w:pPr>
              <w:spacing w:line="600" w:lineRule="exact"/>
              <w:jc w:val="center"/>
              <w:rPr>
                <w:rFonts w:ascii="宋体" w:hAnsi="宋体"/>
                <w:b/>
                <w:color w:val="000000"/>
                <w:sz w:val="21"/>
                <w:szCs w:val="21"/>
              </w:rPr>
            </w:pPr>
            <w:r>
              <w:rPr>
                <w:rFonts w:hint="eastAsia" w:ascii="宋体" w:hAnsi="宋体"/>
                <w:b/>
                <w:color w:val="000000"/>
                <w:sz w:val="21"/>
                <w:szCs w:val="21"/>
              </w:rPr>
              <w:t>3</w:t>
            </w:r>
          </w:p>
        </w:tc>
        <w:tc>
          <w:tcPr>
            <w:tcW w:w="1307" w:type="pct"/>
            <w:tcBorders>
              <w:top w:val="single" w:color="auto" w:sz="4" w:space="0"/>
              <w:left w:val="single" w:color="auto" w:sz="4" w:space="0"/>
              <w:bottom w:val="single" w:color="auto" w:sz="4" w:space="0"/>
              <w:right w:val="single" w:color="auto" w:sz="4" w:space="0"/>
            </w:tcBorders>
          </w:tcPr>
          <w:p w14:paraId="1B0C0E73">
            <w:pPr>
              <w:spacing w:line="600" w:lineRule="exact"/>
              <w:jc w:val="center"/>
              <w:rPr>
                <w:rFonts w:ascii="宋体" w:hAnsi="宋体"/>
                <w:b/>
                <w:color w:val="000000"/>
                <w:szCs w:val="28"/>
              </w:rPr>
            </w:pPr>
          </w:p>
        </w:tc>
        <w:tc>
          <w:tcPr>
            <w:tcW w:w="755" w:type="pct"/>
            <w:tcBorders>
              <w:top w:val="single" w:color="auto" w:sz="4" w:space="0"/>
              <w:left w:val="single" w:color="auto" w:sz="4" w:space="0"/>
              <w:bottom w:val="single" w:color="auto" w:sz="4" w:space="0"/>
              <w:right w:val="single" w:color="auto" w:sz="4" w:space="0"/>
            </w:tcBorders>
          </w:tcPr>
          <w:p w14:paraId="38930721">
            <w:pPr>
              <w:spacing w:line="600" w:lineRule="exact"/>
              <w:jc w:val="center"/>
              <w:rPr>
                <w:rFonts w:ascii="宋体" w:hAnsi="宋体"/>
                <w:b/>
                <w:color w:val="000000"/>
                <w:szCs w:val="28"/>
              </w:rPr>
            </w:pPr>
          </w:p>
        </w:tc>
        <w:tc>
          <w:tcPr>
            <w:tcW w:w="777" w:type="pct"/>
            <w:tcBorders>
              <w:top w:val="single" w:color="auto" w:sz="4" w:space="0"/>
              <w:left w:val="single" w:color="auto" w:sz="4" w:space="0"/>
              <w:bottom w:val="single" w:color="auto" w:sz="4" w:space="0"/>
              <w:right w:val="single" w:color="auto" w:sz="4" w:space="0"/>
            </w:tcBorders>
          </w:tcPr>
          <w:p w14:paraId="7B853D0C">
            <w:pPr>
              <w:spacing w:line="600" w:lineRule="exact"/>
              <w:jc w:val="center"/>
              <w:rPr>
                <w:rFonts w:ascii="宋体" w:hAnsi="宋体"/>
                <w:b/>
                <w:color w:val="000000"/>
                <w:szCs w:val="28"/>
              </w:rPr>
            </w:pPr>
          </w:p>
        </w:tc>
        <w:tc>
          <w:tcPr>
            <w:tcW w:w="834" w:type="pct"/>
            <w:tcBorders>
              <w:top w:val="single" w:color="auto" w:sz="4" w:space="0"/>
              <w:left w:val="single" w:color="auto" w:sz="4" w:space="0"/>
              <w:bottom w:val="single" w:color="auto" w:sz="4" w:space="0"/>
              <w:right w:val="single" w:color="auto" w:sz="4" w:space="0"/>
            </w:tcBorders>
          </w:tcPr>
          <w:p w14:paraId="4184012D">
            <w:pPr>
              <w:spacing w:line="600" w:lineRule="exact"/>
              <w:jc w:val="center"/>
              <w:rPr>
                <w:rFonts w:ascii="宋体" w:hAnsi="宋体"/>
                <w:b/>
                <w:color w:val="000000"/>
                <w:szCs w:val="28"/>
              </w:rPr>
            </w:pPr>
          </w:p>
        </w:tc>
        <w:tc>
          <w:tcPr>
            <w:tcW w:w="858" w:type="pct"/>
            <w:tcBorders>
              <w:top w:val="single" w:color="auto" w:sz="4" w:space="0"/>
              <w:left w:val="single" w:color="auto" w:sz="4" w:space="0"/>
              <w:bottom w:val="single" w:color="auto" w:sz="4" w:space="0"/>
              <w:right w:val="single" w:color="auto" w:sz="4" w:space="0"/>
            </w:tcBorders>
          </w:tcPr>
          <w:p w14:paraId="002DF318">
            <w:pPr>
              <w:spacing w:line="600" w:lineRule="exact"/>
              <w:jc w:val="center"/>
              <w:rPr>
                <w:rFonts w:ascii="宋体" w:hAnsi="宋体"/>
                <w:b/>
                <w:color w:val="000000"/>
                <w:szCs w:val="28"/>
              </w:rPr>
            </w:pPr>
          </w:p>
        </w:tc>
      </w:tr>
      <w:tr w14:paraId="4A71C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9" w:type="pct"/>
            <w:tcBorders>
              <w:top w:val="single" w:color="auto" w:sz="4" w:space="0"/>
              <w:left w:val="single" w:color="auto" w:sz="4" w:space="0"/>
              <w:bottom w:val="single" w:color="auto" w:sz="4" w:space="0"/>
              <w:right w:val="single" w:color="auto" w:sz="4" w:space="0"/>
            </w:tcBorders>
          </w:tcPr>
          <w:p w14:paraId="370AEAA0">
            <w:pPr>
              <w:spacing w:line="600" w:lineRule="exact"/>
              <w:jc w:val="center"/>
              <w:rPr>
                <w:rFonts w:ascii="宋体" w:hAnsi="宋体"/>
                <w:b/>
                <w:color w:val="000000"/>
                <w:sz w:val="21"/>
                <w:szCs w:val="21"/>
              </w:rPr>
            </w:pPr>
            <w:r>
              <w:rPr>
                <w:rFonts w:hint="eastAsia" w:ascii="宋体" w:hAnsi="宋体"/>
                <w:b/>
                <w:color w:val="000000"/>
                <w:sz w:val="21"/>
                <w:szCs w:val="21"/>
              </w:rPr>
              <w:t>4</w:t>
            </w:r>
          </w:p>
        </w:tc>
        <w:tc>
          <w:tcPr>
            <w:tcW w:w="1307" w:type="pct"/>
            <w:tcBorders>
              <w:top w:val="single" w:color="auto" w:sz="4" w:space="0"/>
              <w:left w:val="single" w:color="auto" w:sz="4" w:space="0"/>
              <w:bottom w:val="single" w:color="auto" w:sz="4" w:space="0"/>
              <w:right w:val="single" w:color="auto" w:sz="4" w:space="0"/>
            </w:tcBorders>
          </w:tcPr>
          <w:p w14:paraId="38D7CE52">
            <w:pPr>
              <w:spacing w:line="600" w:lineRule="exact"/>
              <w:jc w:val="center"/>
              <w:rPr>
                <w:rFonts w:ascii="宋体" w:hAnsi="宋体"/>
                <w:b/>
                <w:color w:val="000000"/>
                <w:szCs w:val="28"/>
              </w:rPr>
            </w:pPr>
          </w:p>
        </w:tc>
        <w:tc>
          <w:tcPr>
            <w:tcW w:w="755" w:type="pct"/>
            <w:tcBorders>
              <w:top w:val="single" w:color="auto" w:sz="4" w:space="0"/>
              <w:left w:val="single" w:color="auto" w:sz="4" w:space="0"/>
              <w:bottom w:val="single" w:color="auto" w:sz="4" w:space="0"/>
              <w:right w:val="single" w:color="auto" w:sz="4" w:space="0"/>
            </w:tcBorders>
          </w:tcPr>
          <w:p w14:paraId="4A130398">
            <w:pPr>
              <w:spacing w:line="600" w:lineRule="exact"/>
              <w:jc w:val="center"/>
              <w:rPr>
                <w:rFonts w:ascii="宋体" w:hAnsi="宋体"/>
                <w:b/>
                <w:color w:val="000000"/>
                <w:szCs w:val="28"/>
              </w:rPr>
            </w:pPr>
          </w:p>
        </w:tc>
        <w:tc>
          <w:tcPr>
            <w:tcW w:w="777" w:type="pct"/>
            <w:tcBorders>
              <w:top w:val="single" w:color="auto" w:sz="4" w:space="0"/>
              <w:left w:val="single" w:color="auto" w:sz="4" w:space="0"/>
              <w:bottom w:val="single" w:color="auto" w:sz="4" w:space="0"/>
              <w:right w:val="single" w:color="auto" w:sz="4" w:space="0"/>
            </w:tcBorders>
          </w:tcPr>
          <w:p w14:paraId="567DB5F5">
            <w:pPr>
              <w:spacing w:line="600" w:lineRule="exact"/>
              <w:jc w:val="center"/>
              <w:rPr>
                <w:rFonts w:ascii="宋体" w:hAnsi="宋体"/>
                <w:b/>
                <w:color w:val="000000"/>
                <w:szCs w:val="28"/>
              </w:rPr>
            </w:pPr>
          </w:p>
        </w:tc>
        <w:tc>
          <w:tcPr>
            <w:tcW w:w="834" w:type="pct"/>
            <w:tcBorders>
              <w:top w:val="single" w:color="auto" w:sz="4" w:space="0"/>
              <w:left w:val="single" w:color="auto" w:sz="4" w:space="0"/>
              <w:bottom w:val="single" w:color="auto" w:sz="4" w:space="0"/>
              <w:right w:val="single" w:color="auto" w:sz="4" w:space="0"/>
            </w:tcBorders>
          </w:tcPr>
          <w:p w14:paraId="2FBA6CBE">
            <w:pPr>
              <w:spacing w:line="600" w:lineRule="exact"/>
              <w:jc w:val="center"/>
              <w:rPr>
                <w:rFonts w:ascii="宋体" w:hAnsi="宋体"/>
                <w:b/>
                <w:color w:val="000000"/>
                <w:szCs w:val="28"/>
              </w:rPr>
            </w:pPr>
          </w:p>
        </w:tc>
        <w:tc>
          <w:tcPr>
            <w:tcW w:w="858" w:type="pct"/>
            <w:tcBorders>
              <w:top w:val="single" w:color="auto" w:sz="4" w:space="0"/>
              <w:left w:val="single" w:color="auto" w:sz="4" w:space="0"/>
              <w:bottom w:val="single" w:color="auto" w:sz="4" w:space="0"/>
              <w:right w:val="single" w:color="auto" w:sz="4" w:space="0"/>
            </w:tcBorders>
          </w:tcPr>
          <w:p w14:paraId="1DEA8EB7">
            <w:pPr>
              <w:spacing w:line="600" w:lineRule="exact"/>
              <w:jc w:val="center"/>
              <w:rPr>
                <w:rFonts w:ascii="宋体" w:hAnsi="宋体"/>
                <w:b/>
                <w:color w:val="000000"/>
                <w:szCs w:val="28"/>
              </w:rPr>
            </w:pPr>
          </w:p>
        </w:tc>
      </w:tr>
      <w:tr w14:paraId="612C2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9" w:type="pct"/>
            <w:tcBorders>
              <w:top w:val="single" w:color="auto" w:sz="4" w:space="0"/>
              <w:left w:val="single" w:color="auto" w:sz="4" w:space="0"/>
              <w:bottom w:val="single" w:color="auto" w:sz="4" w:space="0"/>
              <w:right w:val="single" w:color="auto" w:sz="4" w:space="0"/>
            </w:tcBorders>
          </w:tcPr>
          <w:p w14:paraId="09CE0D9E">
            <w:pPr>
              <w:spacing w:line="600" w:lineRule="exact"/>
              <w:jc w:val="center"/>
              <w:rPr>
                <w:rFonts w:ascii="宋体" w:hAnsi="宋体"/>
                <w:b/>
                <w:color w:val="000000"/>
                <w:sz w:val="21"/>
                <w:szCs w:val="21"/>
              </w:rPr>
            </w:pPr>
            <w:r>
              <w:rPr>
                <w:rFonts w:hint="eastAsia" w:ascii="宋体" w:hAnsi="宋体"/>
                <w:b/>
                <w:color w:val="000000"/>
                <w:sz w:val="21"/>
                <w:szCs w:val="21"/>
              </w:rPr>
              <w:t>5</w:t>
            </w:r>
          </w:p>
        </w:tc>
        <w:tc>
          <w:tcPr>
            <w:tcW w:w="4531" w:type="pct"/>
            <w:gridSpan w:val="5"/>
            <w:tcBorders>
              <w:top w:val="single" w:color="auto" w:sz="4" w:space="0"/>
              <w:left w:val="single" w:color="auto" w:sz="4" w:space="0"/>
              <w:bottom w:val="single" w:color="auto" w:sz="4" w:space="0"/>
              <w:right w:val="single" w:color="auto" w:sz="4" w:space="0"/>
            </w:tcBorders>
          </w:tcPr>
          <w:p w14:paraId="40ED0D83">
            <w:pPr>
              <w:spacing w:line="600" w:lineRule="exact"/>
              <w:jc w:val="center"/>
              <w:rPr>
                <w:rFonts w:ascii="宋体" w:hAnsi="宋体"/>
                <w:b/>
                <w:color w:val="000000"/>
                <w:szCs w:val="28"/>
              </w:rPr>
            </w:pPr>
            <w:r>
              <w:rPr>
                <w:rFonts w:hint="eastAsia" w:ascii="宋体" w:hAnsi="宋体"/>
                <w:b/>
                <w:color w:val="000000"/>
                <w:szCs w:val="28"/>
              </w:rPr>
              <w:t>…………………………</w:t>
            </w:r>
          </w:p>
        </w:tc>
      </w:tr>
    </w:tbl>
    <w:p w14:paraId="76D5FDC9">
      <w:pPr>
        <w:spacing w:line="480" w:lineRule="auto"/>
        <w:ind w:firstLine="2" w:firstLineChars="1"/>
        <w:rPr>
          <w:rFonts w:ascii="宋体" w:hAnsi="宋体"/>
          <w:b/>
          <w:color w:val="000000"/>
          <w:szCs w:val="28"/>
        </w:rPr>
      </w:pPr>
      <w:r>
        <w:rPr>
          <w:rFonts w:hint="eastAsia" w:hAnsi="宋体"/>
          <w:color w:val="000000"/>
          <w:sz w:val="24"/>
          <w:szCs w:val="24"/>
        </w:rPr>
        <w:t>注：供应商根据自身实际情况进行填报，类似项目经验须附相关证明材料。</w:t>
      </w:r>
    </w:p>
    <w:p w14:paraId="0A760B86">
      <w:pPr>
        <w:spacing w:line="480" w:lineRule="auto"/>
        <w:ind w:firstLine="2" w:firstLineChars="1"/>
        <w:rPr>
          <w:rFonts w:ascii="宋体" w:hAnsi="宋体"/>
          <w:b/>
          <w:color w:val="000000"/>
          <w:szCs w:val="28"/>
        </w:rPr>
      </w:pPr>
      <w:r>
        <w:rPr>
          <w:rFonts w:hint="eastAsia" w:ascii="宋体" w:hAnsi="宋体"/>
          <w:b/>
          <w:color w:val="000000"/>
          <w:szCs w:val="28"/>
        </w:rPr>
        <w:br w:type="page"/>
      </w:r>
      <w:r>
        <w:rPr>
          <w:rFonts w:hint="eastAsia" w:ascii="宋体" w:hAnsi="宋体"/>
          <w:b/>
          <w:color w:val="000000"/>
          <w:szCs w:val="28"/>
        </w:rPr>
        <w:t>格式10：</w:t>
      </w:r>
    </w:p>
    <w:p w14:paraId="6DA4BEC3">
      <w:pPr>
        <w:pStyle w:val="5"/>
        <w:numPr>
          <w:ilvl w:val="0"/>
          <w:numId w:val="0"/>
        </w:numPr>
        <w:jc w:val="center"/>
        <w:rPr>
          <w:rFonts w:hint="eastAsia" w:ascii="宋体" w:hAnsi="宋体" w:eastAsia="宋体"/>
          <w:color w:val="000000"/>
          <w:sz w:val="32"/>
          <w:lang w:eastAsia="zh-CN"/>
        </w:rPr>
      </w:pPr>
      <w:r>
        <w:rPr>
          <w:rFonts w:hint="eastAsia" w:ascii="宋体" w:hAnsi="宋体" w:eastAsia="宋体"/>
          <w:color w:val="000000"/>
          <w:sz w:val="32"/>
        </w:rPr>
        <w:t>中小企业声明函（服务）</w:t>
      </w:r>
      <w:r>
        <w:rPr>
          <w:rFonts w:hint="eastAsia" w:ascii="宋体" w:hAnsi="宋体" w:eastAsia="宋体"/>
          <w:color w:val="000000"/>
          <w:sz w:val="32"/>
          <w:lang w:eastAsia="zh-CN"/>
        </w:rPr>
        <w:t>（</w:t>
      </w:r>
      <w:r>
        <w:rPr>
          <w:rFonts w:hint="eastAsia" w:ascii="宋体" w:hAnsi="宋体" w:eastAsia="宋体"/>
          <w:color w:val="000000"/>
          <w:sz w:val="32"/>
          <w:lang w:val="en-US" w:eastAsia="zh-CN"/>
        </w:rPr>
        <w:t>如有</w:t>
      </w:r>
      <w:r>
        <w:rPr>
          <w:rFonts w:hint="eastAsia" w:ascii="宋体" w:hAnsi="宋体" w:eastAsia="宋体"/>
          <w:color w:val="000000"/>
          <w:sz w:val="32"/>
          <w:lang w:eastAsia="zh-CN"/>
        </w:rPr>
        <w:t>）</w:t>
      </w:r>
    </w:p>
    <w:p w14:paraId="643729B0">
      <w:pPr>
        <w:spacing w:after="120" w:line="360" w:lineRule="auto"/>
        <w:ind w:firstLine="720" w:firstLineChars="300"/>
        <w:rPr>
          <w:rFonts w:ascii="宋体" w:hAnsi="宋体"/>
          <w:color w:val="000000"/>
          <w:sz w:val="24"/>
        </w:rPr>
      </w:pPr>
      <w:r>
        <w:rPr>
          <w:rFonts w:hint="eastAsia" w:ascii="宋体" w:hAnsi="宋体"/>
          <w:color w:val="000000"/>
          <w:sz w:val="24"/>
        </w:rPr>
        <w:t>本公司（联合体）郑重声明，根据《政府采购促进中小企业发展管理办法》（财库﹝2020﹞46号）的规定，本公司（联合体）参加</w:t>
      </w:r>
      <w:r>
        <w:rPr>
          <w:rFonts w:hint="eastAsia" w:ascii="宋体" w:hAnsi="宋体"/>
          <w:color w:val="000000"/>
          <w:sz w:val="24"/>
          <w:u w:val="single"/>
        </w:rPr>
        <w:t>（ 单 位 名 称 ）</w:t>
      </w:r>
      <w:r>
        <w:rPr>
          <w:rFonts w:hint="eastAsia" w:ascii="宋体" w:hAnsi="宋体"/>
          <w:color w:val="000000"/>
          <w:sz w:val="24"/>
        </w:rPr>
        <w:t xml:space="preserve"> 的</w:t>
      </w:r>
      <w:r>
        <w:rPr>
          <w:rFonts w:hint="eastAsia" w:ascii="宋体" w:hAnsi="宋体"/>
          <w:color w:val="000000"/>
          <w:sz w:val="24"/>
          <w:u w:val="single"/>
        </w:rPr>
        <w:t>（ 项 目 名 称 ）</w:t>
      </w:r>
      <w:r>
        <w:rPr>
          <w:rFonts w:hint="eastAsia" w:ascii="宋体" w:hAnsi="宋体"/>
          <w:color w:val="000000"/>
          <w:sz w:val="24"/>
        </w:rPr>
        <w:t xml:space="preserve"> 采购活动，服务全部由符合政策要求的中小企业承接。相关企业（含联合体中的中小企业、签订分包意向协议的中小企业）的具体情况如下： </w:t>
      </w:r>
    </w:p>
    <w:p w14:paraId="33471FAD">
      <w:pPr>
        <w:spacing w:after="120" w:line="360" w:lineRule="auto"/>
        <w:ind w:firstLine="720" w:firstLineChars="300"/>
        <w:rPr>
          <w:rFonts w:ascii="宋体" w:hAnsi="宋体"/>
          <w:color w:val="000000"/>
          <w:sz w:val="24"/>
        </w:rPr>
      </w:pPr>
      <w:r>
        <w:rPr>
          <w:rFonts w:hint="eastAsia" w:ascii="宋体" w:hAnsi="宋体"/>
          <w:color w:val="000000"/>
          <w:sz w:val="24"/>
        </w:rPr>
        <w:t xml:space="preserve">1. </w:t>
      </w:r>
      <w:r>
        <w:rPr>
          <w:rFonts w:hint="eastAsia" w:ascii="宋体" w:hAnsi="宋体"/>
          <w:color w:val="000000"/>
          <w:sz w:val="24"/>
          <w:u w:val="single"/>
        </w:rPr>
        <w:t xml:space="preserve">（ 标 的 名 称 ） </w:t>
      </w:r>
      <w:r>
        <w:rPr>
          <w:rFonts w:hint="eastAsia" w:ascii="宋体" w:hAnsi="宋体"/>
          <w:color w:val="000000"/>
          <w:sz w:val="24"/>
        </w:rPr>
        <w:t>，属于</w:t>
      </w:r>
      <w:r>
        <w:rPr>
          <w:rFonts w:hint="eastAsia" w:ascii="宋体" w:hAnsi="宋体"/>
          <w:b/>
          <w:color w:val="000000"/>
          <w:sz w:val="24"/>
          <w:u w:val="single"/>
        </w:rPr>
        <w:t>（六）交通运输业</w:t>
      </w:r>
      <w:r>
        <w:rPr>
          <w:rFonts w:hint="eastAsia" w:ascii="宋体" w:hAnsi="宋体"/>
          <w:color w:val="000000"/>
          <w:sz w:val="24"/>
        </w:rPr>
        <w:t>行业；承建（承接）企业为</w:t>
      </w:r>
      <w:r>
        <w:rPr>
          <w:rFonts w:hint="eastAsia" w:ascii="宋体" w:hAnsi="宋体"/>
          <w:color w:val="000000"/>
          <w:sz w:val="24"/>
          <w:u w:val="single"/>
        </w:rPr>
        <w:t xml:space="preserve">（ 企 业 名 称 ）  </w:t>
      </w:r>
      <w:r>
        <w:rPr>
          <w:rFonts w:hint="eastAsia" w:ascii="宋体" w:hAnsi="宋体"/>
          <w:color w:val="000000"/>
          <w:sz w:val="24"/>
        </w:rPr>
        <w:t>，从业人员</w:t>
      </w:r>
      <w:r>
        <w:rPr>
          <w:rFonts w:hint="eastAsia" w:ascii="宋体" w:hAnsi="宋体"/>
          <w:color w:val="000000"/>
          <w:sz w:val="24"/>
          <w:u w:val="single"/>
        </w:rPr>
        <w:t xml:space="preserve">        </w:t>
      </w:r>
      <w:r>
        <w:rPr>
          <w:rFonts w:hint="eastAsia" w:ascii="宋体" w:hAnsi="宋体"/>
          <w:color w:val="000000"/>
          <w:sz w:val="24"/>
        </w:rPr>
        <w:t>人，营业收入为</w:t>
      </w:r>
      <w:r>
        <w:rPr>
          <w:rFonts w:hint="eastAsia" w:ascii="宋体" w:hAnsi="宋体"/>
          <w:color w:val="000000"/>
          <w:sz w:val="24"/>
          <w:u w:val="single"/>
        </w:rPr>
        <w:t xml:space="preserve">       </w:t>
      </w:r>
      <w:r>
        <w:rPr>
          <w:rFonts w:hint="eastAsia" w:ascii="宋体" w:hAnsi="宋体"/>
          <w:color w:val="000000"/>
          <w:sz w:val="24"/>
        </w:rPr>
        <w:t>万元，资产总额为</w:t>
      </w:r>
      <w:r>
        <w:rPr>
          <w:rFonts w:hint="eastAsia" w:ascii="宋体" w:hAnsi="宋体"/>
          <w:color w:val="000000"/>
          <w:sz w:val="24"/>
          <w:u w:val="single"/>
        </w:rPr>
        <w:t xml:space="preserve">      </w:t>
      </w:r>
      <w:r>
        <w:rPr>
          <w:rFonts w:hint="eastAsia" w:ascii="宋体" w:hAnsi="宋体"/>
          <w:color w:val="000000"/>
          <w:sz w:val="24"/>
        </w:rPr>
        <w:t>万元，属于</w:t>
      </w:r>
      <w:r>
        <w:rPr>
          <w:rFonts w:hint="eastAsia" w:ascii="宋体" w:hAnsi="宋体"/>
          <w:color w:val="000000"/>
          <w:sz w:val="24"/>
          <w:u w:val="single"/>
        </w:rPr>
        <w:t xml:space="preserve">                 （ 中 型 企 业 、 小 型 企 业 、 微 型 企 业 ） </w:t>
      </w:r>
      <w:r>
        <w:rPr>
          <w:rFonts w:hint="eastAsia" w:ascii="宋体" w:hAnsi="宋体"/>
          <w:color w:val="000000"/>
          <w:sz w:val="24"/>
        </w:rPr>
        <w:t xml:space="preserve">； </w:t>
      </w:r>
    </w:p>
    <w:p w14:paraId="4A97086A">
      <w:pPr>
        <w:spacing w:after="120" w:line="360" w:lineRule="auto"/>
        <w:ind w:firstLine="720" w:firstLineChars="300"/>
        <w:rPr>
          <w:rFonts w:ascii="宋体" w:hAnsi="宋体"/>
          <w:color w:val="000000"/>
          <w:sz w:val="24"/>
        </w:rPr>
      </w:pPr>
      <w:r>
        <w:rPr>
          <w:rFonts w:hint="eastAsia" w:ascii="宋体" w:hAnsi="宋体"/>
          <w:color w:val="000000"/>
          <w:sz w:val="24"/>
        </w:rPr>
        <w:t xml:space="preserve">2. </w:t>
      </w:r>
      <w:r>
        <w:rPr>
          <w:rFonts w:hint="eastAsia" w:ascii="宋体" w:hAnsi="宋体"/>
          <w:color w:val="000000"/>
          <w:sz w:val="24"/>
          <w:u w:val="single"/>
        </w:rPr>
        <w:t xml:space="preserve">（ 标 的 名 称 ） </w:t>
      </w:r>
      <w:r>
        <w:rPr>
          <w:rFonts w:hint="eastAsia" w:ascii="宋体" w:hAnsi="宋体"/>
          <w:color w:val="000000"/>
          <w:sz w:val="24"/>
        </w:rPr>
        <w:t>，属于</w:t>
      </w:r>
      <w:r>
        <w:rPr>
          <w:rFonts w:hint="eastAsia" w:ascii="宋体" w:hAnsi="宋体"/>
          <w:color w:val="000000"/>
          <w:sz w:val="24"/>
          <w:u w:val="single"/>
        </w:rPr>
        <w:t>（采购文件中明确的所属行业）</w:t>
      </w:r>
      <w:r>
        <w:rPr>
          <w:rFonts w:hint="eastAsia" w:ascii="宋体" w:hAnsi="宋体"/>
          <w:color w:val="000000"/>
          <w:sz w:val="24"/>
        </w:rPr>
        <w:t>行业；承建（承接）企业为</w:t>
      </w:r>
      <w:r>
        <w:rPr>
          <w:rFonts w:hint="eastAsia" w:ascii="宋体" w:hAnsi="宋体"/>
          <w:color w:val="000000"/>
          <w:sz w:val="24"/>
          <w:u w:val="single"/>
        </w:rPr>
        <w:t xml:space="preserve">（ 企 业 名 称 ）  </w:t>
      </w:r>
      <w:r>
        <w:rPr>
          <w:rFonts w:hint="eastAsia" w:ascii="宋体" w:hAnsi="宋体"/>
          <w:color w:val="000000"/>
          <w:sz w:val="24"/>
        </w:rPr>
        <w:t>，从业人员</w:t>
      </w:r>
      <w:r>
        <w:rPr>
          <w:rFonts w:hint="eastAsia" w:ascii="宋体" w:hAnsi="宋体"/>
          <w:color w:val="000000"/>
          <w:sz w:val="24"/>
          <w:u w:val="single"/>
        </w:rPr>
        <w:t xml:space="preserve">    </w:t>
      </w:r>
      <w:r>
        <w:rPr>
          <w:rFonts w:hint="eastAsia" w:ascii="宋体" w:hAnsi="宋体"/>
          <w:color w:val="000000"/>
          <w:sz w:val="24"/>
        </w:rPr>
        <w:t>人，营业收入为</w:t>
      </w:r>
      <w:r>
        <w:rPr>
          <w:rFonts w:hint="eastAsia" w:ascii="宋体" w:hAnsi="宋体"/>
          <w:color w:val="000000"/>
          <w:sz w:val="24"/>
          <w:u w:val="single"/>
        </w:rPr>
        <w:t xml:space="preserve">     </w:t>
      </w:r>
      <w:r>
        <w:rPr>
          <w:rFonts w:hint="eastAsia" w:ascii="宋体" w:hAnsi="宋体"/>
          <w:color w:val="000000"/>
          <w:sz w:val="24"/>
        </w:rPr>
        <w:t>万元，资产总额为</w:t>
      </w:r>
      <w:r>
        <w:rPr>
          <w:rFonts w:hint="eastAsia" w:ascii="宋体" w:hAnsi="宋体"/>
          <w:color w:val="000000"/>
          <w:sz w:val="24"/>
          <w:u w:val="single"/>
        </w:rPr>
        <w:t xml:space="preserve">     </w:t>
      </w:r>
      <w:r>
        <w:rPr>
          <w:rFonts w:hint="eastAsia" w:ascii="宋体" w:hAnsi="宋体"/>
          <w:color w:val="000000"/>
          <w:sz w:val="24"/>
        </w:rPr>
        <w:t>万元</w:t>
      </w:r>
      <w:r>
        <w:rPr>
          <w:rFonts w:hint="eastAsia" w:ascii="宋体" w:hAnsi="宋体"/>
          <w:color w:val="000000"/>
          <w:sz w:val="24"/>
          <w:vertAlign w:val="superscript"/>
        </w:rPr>
        <w:t>1</w:t>
      </w:r>
      <w:r>
        <w:rPr>
          <w:rFonts w:hint="eastAsia" w:ascii="宋体" w:hAnsi="宋体"/>
          <w:color w:val="000000"/>
          <w:sz w:val="24"/>
        </w:rPr>
        <w:t>，属于</w:t>
      </w:r>
      <w:r>
        <w:rPr>
          <w:rFonts w:hint="eastAsia" w:ascii="宋体" w:hAnsi="宋体"/>
          <w:color w:val="000000"/>
          <w:sz w:val="24"/>
          <w:u w:val="single"/>
        </w:rPr>
        <w:t xml:space="preserve">         （ 中 型 企 业 、 小 型 企 业 、 微 型 企 业 ） </w:t>
      </w:r>
      <w:r>
        <w:rPr>
          <w:rFonts w:hint="eastAsia" w:ascii="宋体" w:hAnsi="宋体"/>
          <w:color w:val="000000"/>
          <w:sz w:val="24"/>
        </w:rPr>
        <w:t>；</w:t>
      </w:r>
    </w:p>
    <w:p w14:paraId="1F2A98CF">
      <w:pPr>
        <w:spacing w:after="120" w:line="360" w:lineRule="auto"/>
        <w:ind w:firstLine="720" w:firstLineChars="300"/>
        <w:rPr>
          <w:rFonts w:ascii="宋体" w:hAnsi="宋体"/>
          <w:color w:val="000000"/>
          <w:sz w:val="24"/>
        </w:rPr>
      </w:pPr>
      <w:r>
        <w:rPr>
          <w:rFonts w:hint="eastAsia" w:ascii="宋体" w:hAnsi="宋体"/>
          <w:color w:val="000000"/>
          <w:sz w:val="24"/>
        </w:rPr>
        <w:t xml:space="preserve">…… </w:t>
      </w:r>
    </w:p>
    <w:p w14:paraId="40350FEC">
      <w:pPr>
        <w:spacing w:after="120" w:line="360" w:lineRule="auto"/>
        <w:ind w:firstLine="720" w:firstLineChars="300"/>
        <w:rPr>
          <w:rFonts w:ascii="宋体" w:hAnsi="宋体"/>
          <w:b/>
          <w:color w:val="000000"/>
          <w:sz w:val="24"/>
        </w:rPr>
      </w:pPr>
      <w:r>
        <w:rPr>
          <w:rFonts w:hint="eastAsia" w:ascii="宋体" w:hAnsi="宋体"/>
          <w:b/>
          <w:color w:val="000000"/>
          <w:sz w:val="24"/>
        </w:rPr>
        <w:t xml:space="preserve">以上企业，不属于大企业的分支机构，不存在控股股东为大企业的情形，也不存在与大企业的负责人为同一人的情形。 </w:t>
      </w:r>
    </w:p>
    <w:p w14:paraId="4EB09897">
      <w:pPr>
        <w:spacing w:after="120" w:line="360" w:lineRule="auto"/>
        <w:ind w:firstLine="720" w:firstLineChars="300"/>
        <w:rPr>
          <w:rFonts w:ascii="宋体" w:hAnsi="宋体"/>
          <w:b/>
          <w:color w:val="000000"/>
          <w:sz w:val="24"/>
        </w:rPr>
      </w:pPr>
      <w:r>
        <w:rPr>
          <w:rFonts w:hint="eastAsia" w:ascii="宋体" w:hAnsi="宋体"/>
          <w:b/>
          <w:color w:val="000000"/>
          <w:sz w:val="24"/>
        </w:rPr>
        <w:t xml:space="preserve">本企业对上述声明内容的真实性负责。如有虚假，将依法承担相应责任。 </w:t>
      </w:r>
    </w:p>
    <w:p w14:paraId="67DABA1C">
      <w:pPr>
        <w:spacing w:after="120" w:line="360" w:lineRule="auto"/>
        <w:ind w:firstLine="720" w:firstLineChars="300"/>
        <w:rPr>
          <w:rFonts w:ascii="宋体" w:hAnsi="宋体"/>
          <w:color w:val="000000"/>
          <w:sz w:val="24"/>
        </w:rPr>
      </w:pPr>
    </w:p>
    <w:p w14:paraId="4D22BB88">
      <w:pPr>
        <w:spacing w:after="120" w:line="360" w:lineRule="auto"/>
        <w:ind w:firstLine="3600" w:firstLineChars="1500"/>
        <w:rPr>
          <w:rFonts w:ascii="宋体" w:hAnsi="宋体"/>
          <w:color w:val="000000"/>
          <w:sz w:val="24"/>
        </w:rPr>
      </w:pPr>
    </w:p>
    <w:p w14:paraId="488137CF">
      <w:pPr>
        <w:spacing w:after="120" w:line="360" w:lineRule="auto"/>
        <w:ind w:firstLine="3840" w:firstLineChars="1600"/>
        <w:rPr>
          <w:rFonts w:ascii="宋体" w:hAnsi="宋体"/>
          <w:b/>
          <w:color w:val="000000"/>
          <w:sz w:val="24"/>
        </w:rPr>
      </w:pPr>
      <w:r>
        <w:rPr>
          <w:rFonts w:hint="eastAsia" w:ascii="宋体" w:hAnsi="宋体"/>
          <w:b/>
          <w:color w:val="000000"/>
          <w:sz w:val="24"/>
        </w:rPr>
        <w:t>企业名称（加盖电子公章）：</w:t>
      </w:r>
    </w:p>
    <w:p w14:paraId="2046CD27">
      <w:pPr>
        <w:spacing w:line="360" w:lineRule="auto"/>
        <w:ind w:firstLine="3840" w:firstLineChars="1600"/>
        <w:rPr>
          <w:rFonts w:ascii="宋体" w:hAnsi="宋体"/>
          <w:b/>
          <w:color w:val="000000"/>
          <w:sz w:val="24"/>
        </w:rPr>
      </w:pPr>
      <w:r>
        <w:rPr>
          <w:rFonts w:hint="eastAsia" w:ascii="宋体" w:hAnsi="宋体"/>
          <w:b/>
          <w:color w:val="000000"/>
          <w:sz w:val="24"/>
        </w:rPr>
        <w:t>日 期：</w:t>
      </w:r>
    </w:p>
    <w:p w14:paraId="5739198C">
      <w:pPr>
        <w:spacing w:line="360" w:lineRule="auto"/>
        <w:ind w:firstLine="480" w:firstLineChars="200"/>
        <w:rPr>
          <w:rFonts w:ascii="宋体" w:hAnsi="宋体"/>
          <w:b/>
          <w:color w:val="000000"/>
          <w:sz w:val="24"/>
        </w:rPr>
      </w:pPr>
      <w:r>
        <w:rPr>
          <w:rFonts w:hint="eastAsia" w:ascii="宋体" w:hAnsi="宋体"/>
          <w:b/>
          <w:color w:val="000000"/>
          <w:sz w:val="24"/>
        </w:rPr>
        <w:t>注：</w:t>
      </w:r>
    </w:p>
    <w:p w14:paraId="4495FB88">
      <w:pPr>
        <w:spacing w:line="360" w:lineRule="auto"/>
        <w:ind w:firstLine="480" w:firstLineChars="200"/>
        <w:rPr>
          <w:rFonts w:ascii="宋体" w:hAnsi="宋体"/>
          <w:color w:val="000000"/>
          <w:sz w:val="24"/>
        </w:rPr>
      </w:pPr>
      <w:r>
        <w:rPr>
          <w:rFonts w:hint="eastAsia" w:ascii="宋体" w:hAnsi="宋体"/>
          <w:color w:val="000000"/>
          <w:sz w:val="24"/>
        </w:rPr>
        <w:t>1、上表中从业人员、营业收入、资产总额填报上一年度数据，无上一年度数据的新成立企业可不填报。</w:t>
      </w:r>
    </w:p>
    <w:p w14:paraId="48DF6AEB">
      <w:pPr>
        <w:spacing w:line="360" w:lineRule="auto"/>
        <w:ind w:firstLine="480" w:firstLineChars="200"/>
        <w:rPr>
          <w:rFonts w:ascii="宋体" w:hAnsi="宋体"/>
          <w:b/>
          <w:color w:val="000000"/>
          <w:sz w:val="24"/>
        </w:rPr>
      </w:pPr>
      <w:r>
        <w:rPr>
          <w:rFonts w:hint="eastAsia" w:ascii="宋体" w:hAnsi="宋体"/>
          <w:b/>
          <w:color w:val="000000"/>
          <w:sz w:val="24"/>
        </w:rPr>
        <w:t>2、服务由中小企业承接，即提供服务的人员为中小企业依照《中华人民共和国劳动合同法》订立劳动合同的从业人员；</w:t>
      </w:r>
    </w:p>
    <w:p w14:paraId="3E15A365">
      <w:pPr>
        <w:spacing w:line="360" w:lineRule="auto"/>
        <w:ind w:firstLine="480" w:firstLineChars="200"/>
        <w:rPr>
          <w:rFonts w:ascii="宋体" w:hAnsi="宋体"/>
          <w:b/>
          <w:color w:val="000000"/>
          <w:sz w:val="24"/>
        </w:rPr>
      </w:pPr>
      <w:r>
        <w:rPr>
          <w:rFonts w:hint="eastAsia" w:ascii="宋体" w:hAnsi="宋体"/>
          <w:b/>
          <w:color w:val="000000"/>
          <w:sz w:val="24"/>
        </w:rPr>
        <w:t>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F2A345A">
      <w:pPr>
        <w:spacing w:line="360" w:lineRule="auto"/>
        <w:ind w:firstLine="480" w:firstLineChars="200"/>
        <w:rPr>
          <w:rFonts w:ascii="宋体" w:hAnsi="宋体"/>
          <w:b/>
          <w:color w:val="000000"/>
          <w:sz w:val="24"/>
        </w:rPr>
      </w:pPr>
      <w:r>
        <w:rPr>
          <w:rFonts w:hint="eastAsia" w:ascii="宋体" w:hAnsi="宋体"/>
          <w:b/>
          <w:color w:val="000000"/>
          <w:sz w:val="24"/>
        </w:rPr>
        <w:t>4、投标人须核对《关于印发中小企业划型标准规定的通知》（工信部联企业〔2011〕300号）规定的中小企业划型标准，如实填写声明函。所声明的从业人员人数或营业收入金额或资产总额不符合中小企业划型标准规定或未按招标文件明确的所属行业完整、明晰填写的，导致无法确认的，将不予扣除。根据政府采购主管部门关于政府采购信息公示的相关要求，如中标单位为中小企业，其投标文件中所提供的中小企业声明函需在云南省政府采购网随中标结果一并公示，请各投标单位如实提供及填写本单位企业情况。</w:t>
      </w:r>
    </w:p>
    <w:p w14:paraId="712758A7">
      <w:pPr>
        <w:spacing w:line="360" w:lineRule="auto"/>
        <w:ind w:firstLine="480" w:firstLineChars="200"/>
        <w:rPr>
          <w:rFonts w:ascii="宋体" w:hAnsi="宋体"/>
          <w:b/>
          <w:color w:val="000000"/>
          <w:sz w:val="24"/>
        </w:rPr>
      </w:pPr>
      <w:r>
        <w:rPr>
          <w:rFonts w:hint="eastAsia" w:ascii="宋体" w:hAnsi="宋体"/>
          <w:b/>
          <w:sz w:val="24"/>
        </w:rPr>
        <w:t>5、</w:t>
      </w:r>
      <w:r>
        <w:rPr>
          <w:rFonts w:hint="eastAsia" w:ascii="宋体" w:hAnsi="宋体"/>
          <w:b/>
          <w:color w:val="000000"/>
          <w:sz w:val="24"/>
        </w:rPr>
        <w:t>注：本项目属于《关于印发中小企业划型标准规定的通知》（工信部联企业〔2011〕300号）规定中的</w:t>
      </w:r>
      <w:r>
        <w:rPr>
          <w:rFonts w:hint="eastAsia" w:ascii="宋体" w:hAnsi="宋体"/>
          <w:b/>
          <w:color w:val="000000"/>
          <w:sz w:val="24"/>
          <w:u w:val="single"/>
        </w:rPr>
        <w:t>“（六）交通运输业”</w:t>
      </w:r>
      <w:r>
        <w:rPr>
          <w:rFonts w:hint="eastAsia" w:ascii="宋体" w:hAnsi="宋体"/>
          <w:b/>
          <w:color w:val="000000"/>
          <w:sz w:val="24"/>
        </w:rPr>
        <w:t>。填报中小企业声明函填写所属行业</w:t>
      </w:r>
      <w:r>
        <w:rPr>
          <w:rFonts w:hint="eastAsia" w:ascii="宋体" w:hAnsi="宋体"/>
          <w:b/>
          <w:color w:val="000000"/>
          <w:sz w:val="24"/>
          <w:u w:val="single"/>
        </w:rPr>
        <w:t>（采购文件中明确的所属行业）</w:t>
      </w:r>
      <w:r>
        <w:rPr>
          <w:rFonts w:hint="eastAsia" w:ascii="宋体" w:hAnsi="宋体"/>
          <w:b/>
          <w:color w:val="000000"/>
          <w:sz w:val="24"/>
        </w:rPr>
        <w:t>时须按此填写。（注：（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D80F775">
      <w:pPr>
        <w:widowControl/>
        <w:jc w:val="left"/>
        <w:rPr>
          <w:rFonts w:ascii="宋体" w:hAnsi="宋体"/>
          <w:b/>
          <w:color w:val="000000"/>
          <w:kern w:val="0"/>
          <w:sz w:val="32"/>
          <w:szCs w:val="32"/>
          <w:lang w:val="zh-CN"/>
        </w:rPr>
      </w:pPr>
      <w:r>
        <w:rPr>
          <w:rFonts w:ascii="宋体" w:hAnsi="宋体"/>
          <w:b/>
          <w:color w:val="000000"/>
          <w:kern w:val="0"/>
          <w:sz w:val="32"/>
          <w:szCs w:val="32"/>
          <w:lang w:val="zh-CN"/>
        </w:rPr>
        <w:br w:type="page"/>
      </w:r>
    </w:p>
    <w:p w14:paraId="27A1EF7D">
      <w:pPr>
        <w:spacing w:line="600" w:lineRule="exact"/>
        <w:rPr>
          <w:rFonts w:ascii="宋体" w:hAnsi="宋体"/>
          <w:b/>
          <w:color w:val="000000"/>
          <w:szCs w:val="28"/>
        </w:rPr>
      </w:pPr>
      <w:r>
        <w:rPr>
          <w:rFonts w:hint="eastAsia" w:ascii="宋体" w:hAnsi="宋体"/>
          <w:b/>
          <w:color w:val="000000"/>
          <w:szCs w:val="28"/>
        </w:rPr>
        <w:t>格式11：</w:t>
      </w:r>
    </w:p>
    <w:p w14:paraId="0A6D59CB">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r>
        <w:rPr>
          <w:rFonts w:hint="eastAsia" w:ascii="宋体" w:hAnsi="宋体"/>
          <w:b/>
          <w:color w:val="000000"/>
          <w:kern w:val="0"/>
          <w:sz w:val="32"/>
          <w:szCs w:val="32"/>
          <w:lang w:val="zh-CN"/>
        </w:rPr>
        <w:t>残疾人福利性单位声明函（如有）</w:t>
      </w:r>
    </w:p>
    <w:p w14:paraId="201A69E2">
      <w:pPr>
        <w:spacing w:line="588" w:lineRule="exact"/>
        <w:ind w:firstLine="480" w:firstLineChars="200"/>
        <w:rPr>
          <w:rFonts w:ascii="宋体" w:hAnsi="宋体"/>
          <w:sz w:val="24"/>
          <w:szCs w:val="24"/>
        </w:rPr>
      </w:pPr>
      <w:r>
        <w:rPr>
          <w:rFonts w:hint="eastAsia" w:ascii="宋体" w:hAnsi="宋体"/>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p>
    <w:p w14:paraId="305CD23A">
      <w:pPr>
        <w:spacing w:line="588" w:lineRule="exact"/>
        <w:ind w:firstLine="480" w:firstLineChars="200"/>
        <w:rPr>
          <w:rFonts w:ascii="宋体" w:hAnsi="宋体"/>
          <w:sz w:val="24"/>
          <w:szCs w:val="24"/>
        </w:rPr>
      </w:pPr>
      <w:r>
        <w:rPr>
          <w:rFonts w:hint="eastAsia" w:ascii="宋体" w:hAnsi="宋体"/>
          <w:sz w:val="24"/>
          <w:szCs w:val="24"/>
        </w:rPr>
        <w:t>本单位对上述声明的真实性负责。如有虚假，将依法承担相应责任。</w:t>
      </w:r>
    </w:p>
    <w:p w14:paraId="73F9CDB7">
      <w:pPr>
        <w:widowControl/>
        <w:ind w:firstLine="420" w:firstLineChars="200"/>
        <w:jc w:val="left"/>
        <w:rPr>
          <w:rFonts w:ascii="Calibri" w:hAnsi="Calibri" w:cs="Calibri"/>
          <w:sz w:val="21"/>
          <w:szCs w:val="22"/>
        </w:rPr>
      </w:pPr>
    </w:p>
    <w:p w14:paraId="5155CCBB">
      <w:pPr>
        <w:widowControl/>
        <w:ind w:firstLine="420" w:firstLineChars="200"/>
        <w:jc w:val="left"/>
        <w:rPr>
          <w:rFonts w:ascii="Calibri" w:hAnsi="Calibri" w:cs="Calibri"/>
          <w:sz w:val="21"/>
          <w:szCs w:val="22"/>
        </w:rPr>
      </w:pPr>
    </w:p>
    <w:p w14:paraId="639C0776">
      <w:pPr>
        <w:widowControl/>
        <w:jc w:val="left"/>
        <w:rPr>
          <w:rFonts w:ascii="等线" w:hAnsi="等线" w:eastAsia="等线"/>
          <w:sz w:val="21"/>
          <w:szCs w:val="22"/>
        </w:rPr>
      </w:pPr>
      <w:r>
        <w:rPr>
          <w:sz w:val="21"/>
          <w:szCs w:val="24"/>
        </w:rPr>
        <w:br w:type="page"/>
      </w:r>
    </w:p>
    <w:p w14:paraId="73D7186D">
      <w:pPr>
        <w:spacing w:line="600" w:lineRule="exact"/>
        <w:rPr>
          <w:rFonts w:ascii="宋体" w:hAnsi="宋体"/>
          <w:b/>
          <w:color w:val="000000"/>
          <w:szCs w:val="28"/>
        </w:rPr>
      </w:pPr>
      <w:r>
        <w:rPr>
          <w:rFonts w:hint="eastAsia" w:ascii="宋体" w:hAnsi="宋体"/>
          <w:b/>
          <w:color w:val="000000"/>
          <w:szCs w:val="28"/>
        </w:rPr>
        <w:t>格式12：</w:t>
      </w:r>
    </w:p>
    <w:p w14:paraId="1DD0F048">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r>
        <w:rPr>
          <w:rFonts w:hint="eastAsia" w:ascii="宋体" w:hAnsi="宋体"/>
          <w:b/>
          <w:color w:val="000000"/>
          <w:kern w:val="0"/>
          <w:sz w:val="32"/>
          <w:szCs w:val="32"/>
          <w:lang w:val="zh-CN"/>
        </w:rPr>
        <w:t>监狱企业证明文件（如有）</w:t>
      </w:r>
    </w:p>
    <w:p w14:paraId="739EB62C">
      <w:pPr>
        <w:spacing w:line="588" w:lineRule="exact"/>
        <w:ind w:firstLine="480" w:firstLineChars="200"/>
        <w:rPr>
          <w:rFonts w:hAnsi="宋体"/>
          <w:sz w:val="24"/>
          <w:szCs w:val="21"/>
        </w:rPr>
      </w:pPr>
      <w:r>
        <w:rPr>
          <w:rFonts w:hint="eastAsia" w:hAnsi="宋体"/>
          <w:sz w:val="24"/>
          <w:szCs w:val="21"/>
        </w:rPr>
        <w:t>根据财政部《司法部关于政府采购支持监狱企业发展有关问题》的通知（财库〔</w:t>
      </w:r>
      <w:r>
        <w:rPr>
          <w:rFonts w:hAnsi="宋体"/>
          <w:sz w:val="24"/>
          <w:szCs w:val="21"/>
        </w:rPr>
        <w:t>2014</w:t>
      </w:r>
      <w:r>
        <w:rPr>
          <w:rFonts w:hint="eastAsia" w:hAnsi="宋体"/>
          <w:sz w:val="24"/>
          <w:szCs w:val="21"/>
        </w:rPr>
        <w:t>〕</w:t>
      </w:r>
      <w:r>
        <w:rPr>
          <w:rFonts w:hAnsi="宋体"/>
          <w:sz w:val="24"/>
          <w:szCs w:val="21"/>
        </w:rPr>
        <w:t>68</w:t>
      </w:r>
      <w:r>
        <w:rPr>
          <w:rFonts w:hint="eastAsia" w:hAnsi="宋体"/>
          <w:sz w:val="24"/>
          <w:szCs w:val="21"/>
        </w:rPr>
        <w:t>号），监狱企业是指由司法部认定的为罪犯、戒毒人员提供生产项目和劳动对象，且全部产权属于司法部监狱管理局、戒毒管理局、直属煤矿管理局，各省、自治区、直辖市监狱管理局、戒毒管理局，各地</w:t>
      </w:r>
      <w:r>
        <w:rPr>
          <w:rFonts w:hAnsi="宋体"/>
          <w:sz w:val="24"/>
          <w:szCs w:val="21"/>
        </w:rPr>
        <w:t>(</w:t>
      </w:r>
      <w:r>
        <w:rPr>
          <w:rFonts w:hint="eastAsia" w:hAnsi="宋体"/>
          <w:sz w:val="24"/>
          <w:szCs w:val="21"/>
        </w:rPr>
        <w:t>设区的市</w:t>
      </w:r>
      <w:r>
        <w:rPr>
          <w:rFonts w:hAnsi="宋体"/>
          <w:sz w:val="24"/>
          <w:szCs w:val="21"/>
        </w:rPr>
        <w:t>)</w:t>
      </w:r>
      <w:r>
        <w:rPr>
          <w:rFonts w:hint="eastAsia" w:hAnsi="宋体"/>
          <w:sz w:val="24"/>
          <w:szCs w:val="21"/>
        </w:rPr>
        <w:t>监狱、强制隔离戒毒所、戒毒康复所，以及新疆生产建设兵团监狱管理局、戒毒管理局的企业，监狱企业参加政府采购活动时，应当提供由省级以上监狱管理局、戒毒管理局</w:t>
      </w:r>
      <w:r>
        <w:rPr>
          <w:rFonts w:hAnsi="宋体"/>
          <w:sz w:val="24"/>
          <w:szCs w:val="21"/>
        </w:rPr>
        <w:t>(</w:t>
      </w:r>
      <w:r>
        <w:rPr>
          <w:rFonts w:hint="eastAsia" w:hAnsi="宋体"/>
          <w:sz w:val="24"/>
          <w:szCs w:val="21"/>
        </w:rPr>
        <w:t>含新疆生产建设兵团</w:t>
      </w:r>
      <w:r>
        <w:rPr>
          <w:rFonts w:hAnsi="宋体"/>
          <w:sz w:val="24"/>
          <w:szCs w:val="21"/>
        </w:rPr>
        <w:t>)</w:t>
      </w:r>
      <w:r>
        <w:rPr>
          <w:rFonts w:hint="eastAsia" w:hAnsi="宋体"/>
          <w:sz w:val="24"/>
          <w:szCs w:val="21"/>
        </w:rPr>
        <w:t>出具的属于监狱企业的证明文件</w:t>
      </w:r>
    </w:p>
    <w:p w14:paraId="2ABFA2C8">
      <w:pPr>
        <w:widowControl/>
        <w:jc w:val="left"/>
        <w:rPr>
          <w:rFonts w:ascii="宋体" w:hAnsi="宋体"/>
          <w:b/>
          <w:color w:val="000000"/>
          <w:szCs w:val="28"/>
        </w:rPr>
      </w:pPr>
      <w:r>
        <w:rPr>
          <w:rFonts w:ascii="宋体" w:hAnsi="宋体"/>
          <w:b/>
          <w:color w:val="000000"/>
          <w:szCs w:val="28"/>
        </w:rPr>
        <w:br w:type="page"/>
      </w:r>
    </w:p>
    <w:p w14:paraId="14D4A29C">
      <w:pPr>
        <w:spacing w:line="600" w:lineRule="exact"/>
        <w:rPr>
          <w:rFonts w:ascii="宋体" w:hAnsi="宋体"/>
          <w:b/>
          <w:color w:val="000000"/>
          <w:szCs w:val="28"/>
        </w:rPr>
      </w:pPr>
      <w:r>
        <w:rPr>
          <w:rFonts w:hint="eastAsia" w:ascii="宋体" w:hAnsi="宋体"/>
          <w:b/>
          <w:color w:val="000000"/>
          <w:szCs w:val="28"/>
        </w:rPr>
        <w:t>格式13：</w:t>
      </w:r>
    </w:p>
    <w:p w14:paraId="3C6EE6E1">
      <w:pPr>
        <w:tabs>
          <w:tab w:val="left" w:pos="900"/>
          <w:tab w:val="left" w:pos="1588"/>
        </w:tabs>
        <w:adjustRightInd w:val="0"/>
        <w:spacing w:before="120" w:line="360" w:lineRule="auto"/>
        <w:jc w:val="center"/>
        <w:outlineLvl w:val="2"/>
        <w:rPr>
          <w:rFonts w:ascii="宋体" w:hAnsi="宋体"/>
          <w:b/>
          <w:color w:val="000000"/>
          <w:kern w:val="0"/>
          <w:sz w:val="32"/>
          <w:szCs w:val="32"/>
          <w:lang w:val="zh-CN"/>
        </w:rPr>
      </w:pPr>
      <w:r>
        <w:rPr>
          <w:rFonts w:hint="eastAsia" w:ascii="宋体" w:hAnsi="宋体"/>
          <w:b/>
          <w:color w:val="000000"/>
          <w:kern w:val="0"/>
          <w:sz w:val="32"/>
          <w:szCs w:val="32"/>
          <w:lang w:val="zh-CN"/>
        </w:rPr>
        <w:t>构成投标文件商务部分的其他资料</w:t>
      </w:r>
      <w:bookmarkEnd w:id="85"/>
    </w:p>
    <w:p w14:paraId="059C2606">
      <w:pPr>
        <w:jc w:val="center"/>
        <w:rPr>
          <w:rFonts w:ascii="宋体" w:hAnsi="宋体"/>
          <w:color w:val="000000"/>
          <w:sz w:val="24"/>
        </w:rPr>
      </w:pPr>
      <w:r>
        <w:rPr>
          <w:rFonts w:hint="eastAsia"/>
          <w:color w:val="000000"/>
          <w:sz w:val="24"/>
          <w:szCs w:val="24"/>
        </w:rPr>
        <w:t>投标人认为有必要提供的其他资料，格式自拟</w:t>
      </w:r>
    </w:p>
    <w:p w14:paraId="526B7751">
      <w:pPr>
        <w:spacing w:line="588" w:lineRule="exact"/>
        <w:jc w:val="left"/>
        <w:rPr>
          <w:rFonts w:hAnsi="宋体"/>
          <w:color w:val="000000"/>
          <w:sz w:val="24"/>
        </w:rPr>
      </w:pPr>
      <w:r>
        <w:rPr>
          <w:rFonts w:hint="eastAsia" w:hAnsi="宋体"/>
          <w:color w:val="000000"/>
          <w:sz w:val="24"/>
        </w:rPr>
        <w:t xml:space="preserve"> </w:t>
      </w:r>
    </w:p>
    <w:p w14:paraId="7FCD2EAC">
      <w:pPr>
        <w:pStyle w:val="28"/>
        <w:rPr>
          <w:rFonts w:ascii="宋体" w:hAnsi="宋体"/>
          <w:color w:val="000000"/>
          <w:sz w:val="36"/>
        </w:rPr>
      </w:pPr>
      <w:r>
        <w:rPr>
          <w:rFonts w:ascii="宋体" w:hAnsi="宋体"/>
          <w:color w:val="000000"/>
          <w:sz w:val="24"/>
          <w:szCs w:val="24"/>
        </w:rPr>
        <w:br w:type="page"/>
      </w:r>
      <w:bookmarkStart w:id="86" w:name="_Toc152246157"/>
      <w:r>
        <w:rPr>
          <w:rFonts w:hint="eastAsia" w:ascii="宋体" w:hAnsi="宋体"/>
          <w:bCs w:val="0"/>
          <w:color w:val="000000"/>
          <w:kern w:val="44"/>
          <w:sz w:val="36"/>
          <w:szCs w:val="20"/>
        </w:rPr>
        <w:t xml:space="preserve">第五章  </w:t>
      </w:r>
      <w:r>
        <w:rPr>
          <w:rFonts w:hint="eastAsia" w:ascii="宋体" w:hAnsi="宋体"/>
          <w:color w:val="000000"/>
          <w:sz w:val="36"/>
        </w:rPr>
        <w:t>项目需求及</w:t>
      </w:r>
      <w:r>
        <w:rPr>
          <w:rFonts w:ascii="宋体" w:hAnsi="宋体"/>
          <w:color w:val="000000"/>
          <w:sz w:val="36"/>
        </w:rPr>
        <w:t>服务要求</w:t>
      </w:r>
      <w:bookmarkEnd w:id="86"/>
    </w:p>
    <w:p w14:paraId="130E1ACB">
      <w:pPr>
        <w:pStyle w:val="9"/>
        <w:ind w:firstLine="482"/>
        <w:rPr>
          <w:b/>
          <w:bCs/>
        </w:rPr>
      </w:pPr>
      <w:r>
        <w:rPr>
          <w:rFonts w:hint="eastAsia"/>
          <w:b/>
          <w:bCs/>
        </w:rPr>
        <w:t>本项目属于《关于印发中小企业划型标准规定的通知》（工信部联企业〔2011〕300号）规定中的“（六）交通运输业”。填报中小企业声明函填写所属行业（采购文件中明确的所属行业）时须按此填写。（（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F269EA3">
      <w:pPr>
        <w:adjustRightInd w:val="0"/>
        <w:snapToGrid w:val="0"/>
        <w:spacing w:line="360" w:lineRule="auto"/>
        <w:ind w:firstLine="480" w:firstLineChars="200"/>
      </w:pPr>
      <w:r>
        <w:rPr>
          <w:rFonts w:ascii="宋体" w:hAnsi="宋体"/>
          <w:b/>
          <w:sz w:val="24"/>
        </w:rPr>
        <w:br w:type="page"/>
      </w:r>
    </w:p>
    <w:p w14:paraId="27A0923B">
      <w:pPr>
        <w:pStyle w:val="4"/>
        <w:numPr>
          <w:ilvl w:val="0"/>
          <w:numId w:val="0"/>
        </w:numPr>
        <w:ind w:left="425"/>
        <w:rPr>
          <w:rFonts w:asciiTheme="minorEastAsia" w:hAnsiTheme="minorEastAsia" w:eastAsiaTheme="minorEastAsia"/>
          <w:sz w:val="24"/>
          <w:szCs w:val="24"/>
        </w:rPr>
      </w:pPr>
      <w:r>
        <w:rPr>
          <w:rFonts w:asciiTheme="minorEastAsia" w:hAnsiTheme="minorEastAsia" w:eastAsiaTheme="minorEastAsia"/>
          <w:sz w:val="24"/>
          <w:szCs w:val="24"/>
        </w:rPr>
        <w:t>一</w:t>
      </w:r>
      <w:r>
        <w:rPr>
          <w:rFonts w:hint="eastAsia" w:asciiTheme="minorEastAsia" w:hAnsiTheme="minorEastAsia" w:eastAsiaTheme="minorEastAsia"/>
          <w:sz w:val="24"/>
          <w:szCs w:val="24"/>
        </w:rPr>
        <w:t>、</w:t>
      </w:r>
      <w:r>
        <w:rPr>
          <w:rFonts w:asciiTheme="minorEastAsia" w:hAnsiTheme="minorEastAsia" w:eastAsiaTheme="minorEastAsia"/>
          <w:sz w:val="24"/>
          <w:szCs w:val="24"/>
        </w:rPr>
        <w:t>采购目的</w:t>
      </w:r>
    </w:p>
    <w:p w14:paraId="5616B20E">
      <w:pPr>
        <w:pStyle w:val="4"/>
        <w:numPr>
          <w:ilvl w:val="0"/>
          <w:numId w:val="0"/>
        </w:numPr>
        <w:ind w:left="425" w:firstLine="480" w:firstLineChars="200"/>
        <w:rPr>
          <w:rFonts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即开型体育彩票（以下简称即开票）是中国体育彩票三大游戏之一，2024年全省体彩销售154.23亿元，即开销售29.86亿元，占全省体彩销量的19.36%。为保障我省即开票正常销售，即开票的正常运输，确保我省2025年即开销售目标任务完成，拟采购即开票物流服务。供应商提供的主要服务为：对从总局中心到达昆明仓库的即开票进行核验、分拣，并按省中心指令运送到各州市销售管理部仓库。</w:t>
      </w:r>
    </w:p>
    <w:p w14:paraId="7C99DF28">
      <w:pPr>
        <w:pStyle w:val="4"/>
        <w:numPr>
          <w:ilvl w:val="0"/>
          <w:numId w:val="0"/>
        </w:numPr>
        <w:ind w:left="425"/>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二</w:t>
      </w:r>
      <w:r>
        <w:rPr>
          <w:rFonts w:hint="eastAsia" w:asciiTheme="minorEastAsia" w:hAnsiTheme="minorEastAsia" w:eastAsiaTheme="minorEastAsia"/>
          <w:sz w:val="24"/>
          <w:szCs w:val="24"/>
        </w:rPr>
        <w:t>、</w:t>
      </w:r>
      <w:r>
        <w:rPr>
          <w:rFonts w:asciiTheme="minorEastAsia" w:hAnsiTheme="minorEastAsia" w:eastAsiaTheme="minorEastAsia"/>
          <w:sz w:val="24"/>
          <w:szCs w:val="24"/>
        </w:rPr>
        <w:t>项目资金</w:t>
      </w:r>
    </w:p>
    <w:p w14:paraId="3612EE7A">
      <w:pPr>
        <w:pStyle w:val="9"/>
      </w:pPr>
      <w:r>
        <w:rPr>
          <w:rFonts w:hint="eastAsia"/>
        </w:rPr>
        <w:t>预算金额：95.99835万元</w:t>
      </w:r>
    </w:p>
    <w:p w14:paraId="0F539C5C">
      <w:pPr>
        <w:pStyle w:val="4"/>
        <w:numPr>
          <w:ilvl w:val="0"/>
          <w:numId w:val="0"/>
        </w:numPr>
        <w:ind w:left="425"/>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三</w:t>
      </w:r>
      <w:r>
        <w:rPr>
          <w:rFonts w:asciiTheme="minorEastAsia" w:hAnsiTheme="minorEastAsia" w:eastAsiaTheme="minorEastAsia"/>
          <w:sz w:val="24"/>
          <w:szCs w:val="24"/>
        </w:rPr>
        <w:t>、采购项目</w:t>
      </w:r>
    </w:p>
    <w:p w14:paraId="15A22754">
      <w:pPr>
        <w:pStyle w:val="5"/>
        <w:numPr>
          <w:ilvl w:val="0"/>
          <w:numId w:val="0"/>
        </w:numPr>
        <w:ind w:firstLine="240" w:firstLineChars="100"/>
        <w:rPr>
          <w:rFonts w:asciiTheme="minorEastAsia" w:hAnsiTheme="minorEastAsia" w:eastAsiaTheme="minorEastAsia"/>
          <w:sz w:val="24"/>
          <w:szCs w:val="24"/>
        </w:rPr>
      </w:pPr>
      <w:r>
        <w:rPr>
          <w:rFonts w:hint="eastAsia" w:asciiTheme="minorEastAsia" w:hAnsiTheme="minorEastAsia" w:eastAsiaTheme="minorEastAsia"/>
          <w:sz w:val="24"/>
          <w:szCs w:val="24"/>
        </w:rPr>
        <w:t>（一）</w:t>
      </w:r>
      <w:r>
        <w:rPr>
          <w:rFonts w:asciiTheme="minorEastAsia" w:hAnsiTheme="minorEastAsia" w:eastAsiaTheme="minorEastAsia"/>
          <w:sz w:val="24"/>
          <w:szCs w:val="24"/>
        </w:rPr>
        <w:t>项目名称</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4778"/>
        <w:gridCol w:w="1843"/>
        <w:gridCol w:w="1173"/>
        <w:gridCol w:w="1625"/>
      </w:tblGrid>
      <w:tr w14:paraId="671BD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88" w:type="pct"/>
            <w:vAlign w:val="center"/>
          </w:tcPr>
          <w:p w14:paraId="08CB73F2">
            <w:pPr>
              <w:widowControl/>
              <w:adjustRightInd w:val="0"/>
              <w:snapToGrid w:val="0"/>
              <w:jc w:val="center"/>
              <w:rPr>
                <w:rFonts w:asciiTheme="minorEastAsia" w:hAnsiTheme="minorEastAsia" w:eastAsiaTheme="minorEastAsia"/>
                <w:b/>
                <w:sz w:val="24"/>
                <w:szCs w:val="24"/>
              </w:rPr>
            </w:pPr>
            <w:r>
              <w:rPr>
                <w:rFonts w:asciiTheme="minorEastAsia" w:hAnsiTheme="minorEastAsia" w:eastAsiaTheme="minorEastAsia"/>
                <w:b/>
                <w:sz w:val="24"/>
                <w:szCs w:val="24"/>
              </w:rPr>
              <w:t>序号</w:t>
            </w:r>
          </w:p>
        </w:tc>
        <w:tc>
          <w:tcPr>
            <w:tcW w:w="2390" w:type="pct"/>
            <w:vAlign w:val="center"/>
          </w:tcPr>
          <w:p w14:paraId="002BC7C3">
            <w:pPr>
              <w:widowControl/>
              <w:adjustRightInd w:val="0"/>
              <w:snapToGrid w:val="0"/>
              <w:jc w:val="center"/>
              <w:rPr>
                <w:rFonts w:asciiTheme="minorEastAsia" w:hAnsiTheme="minorEastAsia" w:eastAsiaTheme="minorEastAsia"/>
                <w:b/>
                <w:sz w:val="24"/>
                <w:szCs w:val="24"/>
              </w:rPr>
            </w:pPr>
            <w:r>
              <w:rPr>
                <w:rFonts w:asciiTheme="minorEastAsia" w:hAnsiTheme="minorEastAsia" w:eastAsiaTheme="minorEastAsia"/>
                <w:b/>
                <w:sz w:val="24"/>
                <w:szCs w:val="24"/>
              </w:rPr>
              <w:t>产品（项目）名称</w:t>
            </w:r>
          </w:p>
        </w:tc>
        <w:tc>
          <w:tcPr>
            <w:tcW w:w="922" w:type="pct"/>
            <w:vAlign w:val="center"/>
          </w:tcPr>
          <w:p w14:paraId="2A9B23D6">
            <w:pPr>
              <w:widowControl/>
              <w:adjustRightInd w:val="0"/>
              <w:snapToGrid w:val="0"/>
              <w:jc w:val="center"/>
              <w:rPr>
                <w:rFonts w:asciiTheme="minorEastAsia" w:hAnsiTheme="minorEastAsia" w:eastAsiaTheme="minorEastAsia"/>
                <w:b/>
                <w:sz w:val="24"/>
                <w:szCs w:val="24"/>
              </w:rPr>
            </w:pPr>
            <w:r>
              <w:rPr>
                <w:rFonts w:asciiTheme="minorEastAsia" w:hAnsiTheme="minorEastAsia" w:eastAsiaTheme="minorEastAsia"/>
                <w:b/>
                <w:sz w:val="24"/>
                <w:szCs w:val="24"/>
              </w:rPr>
              <w:t>暂估数量（约）</w:t>
            </w:r>
          </w:p>
        </w:tc>
        <w:tc>
          <w:tcPr>
            <w:tcW w:w="587" w:type="pct"/>
            <w:vAlign w:val="center"/>
          </w:tcPr>
          <w:p w14:paraId="1CBA91BA">
            <w:pPr>
              <w:widowControl/>
              <w:adjustRightInd w:val="0"/>
              <w:snapToGrid w:val="0"/>
              <w:jc w:val="center"/>
              <w:rPr>
                <w:rFonts w:asciiTheme="minorEastAsia" w:hAnsiTheme="minorEastAsia" w:eastAsiaTheme="minorEastAsia"/>
                <w:b/>
                <w:sz w:val="24"/>
                <w:szCs w:val="24"/>
              </w:rPr>
            </w:pPr>
            <w:r>
              <w:rPr>
                <w:rFonts w:asciiTheme="minorEastAsia" w:hAnsiTheme="minorEastAsia" w:eastAsiaTheme="minorEastAsia"/>
                <w:b/>
                <w:sz w:val="24"/>
                <w:szCs w:val="24"/>
              </w:rPr>
              <w:t>计量</w:t>
            </w:r>
          </w:p>
          <w:p w14:paraId="3C754B49">
            <w:pPr>
              <w:widowControl/>
              <w:adjustRightInd w:val="0"/>
              <w:snapToGrid w:val="0"/>
              <w:jc w:val="center"/>
              <w:rPr>
                <w:rFonts w:asciiTheme="minorEastAsia" w:hAnsiTheme="minorEastAsia" w:eastAsiaTheme="minorEastAsia"/>
                <w:b/>
                <w:sz w:val="24"/>
                <w:szCs w:val="24"/>
              </w:rPr>
            </w:pPr>
            <w:r>
              <w:rPr>
                <w:rFonts w:asciiTheme="minorEastAsia" w:hAnsiTheme="minorEastAsia" w:eastAsiaTheme="minorEastAsia"/>
                <w:b/>
                <w:sz w:val="24"/>
                <w:szCs w:val="24"/>
              </w:rPr>
              <w:t>单位</w:t>
            </w:r>
          </w:p>
        </w:tc>
        <w:tc>
          <w:tcPr>
            <w:tcW w:w="813" w:type="pct"/>
            <w:vAlign w:val="center"/>
          </w:tcPr>
          <w:p w14:paraId="7AD60AA1">
            <w:pPr>
              <w:widowControl/>
              <w:adjustRightInd w:val="0"/>
              <w:snapToGrid w:val="0"/>
              <w:jc w:val="center"/>
              <w:rPr>
                <w:rFonts w:asciiTheme="minorEastAsia" w:hAnsiTheme="minorEastAsia" w:eastAsiaTheme="minorEastAsia"/>
                <w:b/>
                <w:sz w:val="24"/>
                <w:szCs w:val="24"/>
              </w:rPr>
            </w:pPr>
            <w:r>
              <w:rPr>
                <w:rFonts w:asciiTheme="minorEastAsia" w:hAnsiTheme="minorEastAsia" w:eastAsiaTheme="minorEastAsia"/>
                <w:b/>
                <w:sz w:val="24"/>
                <w:szCs w:val="24"/>
              </w:rPr>
              <w:t>预算金额</w:t>
            </w:r>
          </w:p>
          <w:p w14:paraId="0062BDE6">
            <w:pPr>
              <w:widowControl/>
              <w:adjustRightInd w:val="0"/>
              <w:snapToGrid w:val="0"/>
              <w:jc w:val="center"/>
              <w:rPr>
                <w:rFonts w:asciiTheme="minorEastAsia" w:hAnsiTheme="minorEastAsia" w:eastAsiaTheme="minorEastAsia"/>
                <w:b/>
                <w:sz w:val="24"/>
                <w:szCs w:val="24"/>
              </w:rPr>
            </w:pPr>
            <w:r>
              <w:rPr>
                <w:rFonts w:asciiTheme="minorEastAsia" w:hAnsiTheme="minorEastAsia" w:eastAsiaTheme="minorEastAsia"/>
                <w:b/>
                <w:sz w:val="24"/>
                <w:szCs w:val="24"/>
              </w:rPr>
              <w:t>（元）</w:t>
            </w:r>
          </w:p>
        </w:tc>
      </w:tr>
      <w:tr w14:paraId="3D69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288" w:type="pct"/>
            <w:vAlign w:val="center"/>
          </w:tcPr>
          <w:p w14:paraId="32937DB8">
            <w:pPr>
              <w:widowControl/>
              <w:jc w:val="center"/>
              <w:rPr>
                <w:rFonts w:asciiTheme="minorEastAsia" w:hAnsiTheme="minorEastAsia" w:eastAsiaTheme="minorEastAsia"/>
                <w:sz w:val="24"/>
                <w:szCs w:val="24"/>
              </w:rPr>
            </w:pPr>
            <w:r>
              <w:rPr>
                <w:rFonts w:asciiTheme="minorEastAsia" w:hAnsiTheme="minorEastAsia" w:eastAsiaTheme="minorEastAsia"/>
                <w:sz w:val="24"/>
                <w:szCs w:val="24"/>
              </w:rPr>
              <w:t>1</w:t>
            </w:r>
          </w:p>
        </w:tc>
        <w:tc>
          <w:tcPr>
            <w:tcW w:w="2390" w:type="pct"/>
            <w:vAlign w:val="center"/>
          </w:tcPr>
          <w:p w14:paraId="5F4ABC5B">
            <w:pPr>
              <w:widowControl/>
              <w:adjustRightInd w:val="0"/>
              <w:snapToGrid w:val="0"/>
              <w:jc w:val="center"/>
              <w:rPr>
                <w:rFonts w:asciiTheme="minorEastAsia" w:hAnsiTheme="minorEastAsia" w:eastAsiaTheme="minorEastAsia"/>
                <w:sz w:val="24"/>
                <w:szCs w:val="24"/>
              </w:rPr>
            </w:pPr>
            <w:r>
              <w:rPr>
                <w:rFonts w:asciiTheme="minorEastAsia" w:hAnsiTheme="minorEastAsia" w:eastAsiaTheme="minorEastAsia"/>
                <w:color w:val="auto"/>
                <w:sz w:val="24"/>
                <w:szCs w:val="24"/>
              </w:rPr>
              <w:t>云南省体育彩票管理中心202</w:t>
            </w:r>
            <w:r>
              <w:rPr>
                <w:rFonts w:hint="eastAsia" w:asciiTheme="minorEastAsia" w:hAnsiTheme="minorEastAsia" w:eastAsiaTheme="minorEastAsia"/>
                <w:color w:val="auto"/>
                <w:sz w:val="24"/>
                <w:szCs w:val="24"/>
              </w:rPr>
              <w:t>5</w:t>
            </w:r>
            <w:r>
              <w:rPr>
                <w:rFonts w:asciiTheme="minorEastAsia" w:hAnsiTheme="minorEastAsia" w:eastAsiaTheme="minorEastAsia"/>
                <w:color w:val="auto"/>
                <w:sz w:val="24"/>
                <w:szCs w:val="24"/>
              </w:rPr>
              <w:t>年即开票物流服务采购项目</w:t>
            </w:r>
          </w:p>
        </w:tc>
        <w:tc>
          <w:tcPr>
            <w:tcW w:w="922" w:type="pct"/>
            <w:vAlign w:val="center"/>
          </w:tcPr>
          <w:p w14:paraId="5128D7F5">
            <w:pPr>
              <w:widowControl/>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39183</w:t>
            </w:r>
          </w:p>
        </w:tc>
        <w:tc>
          <w:tcPr>
            <w:tcW w:w="587" w:type="pct"/>
            <w:vAlign w:val="center"/>
          </w:tcPr>
          <w:p w14:paraId="26F1B73C">
            <w:pPr>
              <w:widowControl/>
              <w:jc w:val="center"/>
              <w:rPr>
                <w:rFonts w:asciiTheme="minorEastAsia" w:hAnsiTheme="minorEastAsia" w:eastAsiaTheme="minorEastAsia"/>
                <w:sz w:val="24"/>
                <w:szCs w:val="24"/>
              </w:rPr>
            </w:pPr>
            <w:r>
              <w:rPr>
                <w:rFonts w:asciiTheme="minorEastAsia" w:hAnsiTheme="minorEastAsia" w:eastAsiaTheme="minorEastAsia"/>
                <w:sz w:val="24"/>
                <w:szCs w:val="24"/>
              </w:rPr>
              <w:t>件</w:t>
            </w:r>
          </w:p>
        </w:tc>
        <w:tc>
          <w:tcPr>
            <w:tcW w:w="813" w:type="pct"/>
            <w:vAlign w:val="center"/>
          </w:tcPr>
          <w:p w14:paraId="220F3B7C">
            <w:pPr>
              <w:widowControl/>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959，983.50</w:t>
            </w:r>
          </w:p>
        </w:tc>
      </w:tr>
    </w:tbl>
    <w:p w14:paraId="1F7DF5A4">
      <w:pPr>
        <w:pStyle w:val="5"/>
        <w:numPr>
          <w:ilvl w:val="0"/>
          <w:numId w:val="0"/>
        </w:numPr>
        <w:ind w:firstLine="240" w:firstLineChars="100"/>
        <w:rPr>
          <w:rFonts w:asciiTheme="minorEastAsia" w:hAnsiTheme="minorEastAsia" w:eastAsiaTheme="minorEastAsia"/>
          <w:sz w:val="24"/>
          <w:szCs w:val="24"/>
        </w:rPr>
      </w:pPr>
      <w:r>
        <w:rPr>
          <w:rFonts w:asciiTheme="minorEastAsia" w:hAnsiTheme="minorEastAsia" w:eastAsiaTheme="minorEastAsia"/>
          <w:sz w:val="24"/>
          <w:szCs w:val="24"/>
        </w:rPr>
        <w:t>（</w:t>
      </w:r>
      <w:r>
        <w:rPr>
          <w:rFonts w:hint="eastAsia" w:asciiTheme="minorEastAsia" w:hAnsiTheme="minorEastAsia" w:eastAsiaTheme="minorEastAsia"/>
          <w:sz w:val="24"/>
          <w:szCs w:val="24"/>
        </w:rPr>
        <w:t>二</w:t>
      </w:r>
      <w:r>
        <w:rPr>
          <w:rFonts w:asciiTheme="minorEastAsia" w:hAnsiTheme="minorEastAsia" w:eastAsiaTheme="minorEastAsia"/>
          <w:sz w:val="24"/>
          <w:szCs w:val="24"/>
        </w:rPr>
        <w:t>）服务期限</w:t>
      </w:r>
    </w:p>
    <w:p w14:paraId="3E456221">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自云南省体育彩票管理中心2024年即开型体育彩票物流服务项目合同服务期到期后，该合同生效，服务期限为生效之日起一年内（若合同约定金额在期限内提前用完则合同提前终止）</w:t>
      </w:r>
      <w:r>
        <w:rPr>
          <w:rFonts w:asciiTheme="minorEastAsia" w:hAnsiTheme="minorEastAsia" w:eastAsiaTheme="minorEastAsia"/>
          <w:kern w:val="0"/>
          <w:sz w:val="24"/>
          <w:szCs w:val="24"/>
          <w:lang w:bidi="ar"/>
        </w:rPr>
        <w:t>。</w:t>
      </w:r>
    </w:p>
    <w:p w14:paraId="06D265C2">
      <w:pPr>
        <w:pStyle w:val="5"/>
        <w:numPr>
          <w:ilvl w:val="0"/>
          <w:numId w:val="0"/>
        </w:numPr>
        <w:ind w:firstLine="240" w:firstLineChars="100"/>
        <w:rPr>
          <w:rFonts w:asciiTheme="minorEastAsia" w:hAnsiTheme="minorEastAsia" w:eastAsiaTheme="minorEastAsia"/>
          <w:sz w:val="24"/>
          <w:szCs w:val="24"/>
        </w:rPr>
      </w:pPr>
      <w:r>
        <w:rPr>
          <w:rFonts w:hint="eastAsia" w:asciiTheme="minorEastAsia" w:hAnsiTheme="minorEastAsia" w:eastAsiaTheme="minorEastAsia"/>
          <w:sz w:val="24"/>
          <w:szCs w:val="24"/>
        </w:rPr>
        <w:t>（三）服务地点</w:t>
      </w:r>
    </w:p>
    <w:p w14:paraId="509667D1">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云南省省内129个县（市、区）级城市的运输服务，运送至采购方指定的省内，省外配送地点。</w:t>
      </w:r>
    </w:p>
    <w:p w14:paraId="35199A70">
      <w:pPr>
        <w:pStyle w:val="4"/>
        <w:numPr>
          <w:ilvl w:val="0"/>
          <w:numId w:val="0"/>
        </w:numPr>
        <w:ind w:left="425"/>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四</w:t>
      </w:r>
      <w:r>
        <w:rPr>
          <w:rFonts w:asciiTheme="minorEastAsia" w:hAnsiTheme="minorEastAsia" w:eastAsiaTheme="minorEastAsia"/>
          <w:sz w:val="24"/>
          <w:szCs w:val="24"/>
        </w:rPr>
        <w:t>、</w:t>
      </w:r>
      <w:r>
        <w:rPr>
          <w:rFonts w:hint="eastAsia" w:asciiTheme="minorEastAsia" w:hAnsiTheme="minorEastAsia" w:eastAsiaTheme="minorEastAsia"/>
          <w:sz w:val="24"/>
          <w:szCs w:val="24"/>
        </w:rPr>
        <w:t>服务</w:t>
      </w:r>
      <w:r>
        <w:rPr>
          <w:rFonts w:asciiTheme="minorEastAsia" w:hAnsiTheme="minorEastAsia" w:eastAsiaTheme="minorEastAsia"/>
          <w:sz w:val="24"/>
          <w:szCs w:val="24"/>
        </w:rPr>
        <w:t>要求</w:t>
      </w:r>
    </w:p>
    <w:p w14:paraId="3246888A">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（一）供应商通过电话、微信或E-mail等方式接受采购人委托；供应商接受采购人委托后应及时办理有关货物手续，并按服务收费标准开据工作单，及办理保险手续。</w:t>
      </w:r>
    </w:p>
    <w:p w14:paraId="56F0E568">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（二）供应商应提供云南省省内129个县（市、区）级城市的运输服务。</w:t>
      </w:r>
    </w:p>
    <w:p w14:paraId="729DA75C">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三）供应商按照采购人的指令进行严格操作，包括负责完成即开票从北京总局中心到达供应商仓库的核验、分拣，从采购人仓库（在昆明）或供应商仓库运送到采购人在各州市府及指定城市的即开彩票仓库所在地，并完成配送彩票的按标准入库摆放操作。</w:t>
      </w:r>
    </w:p>
    <w:p w14:paraId="252A79CC">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（四）供应商应提供安全可靠的且有监控设备的室内场所，面积不少于400平方米，用作即开票的分拣、装卸和临时仓储。彩票所在区域无死角视频监控，监控录像要求保存三个月。</w:t>
      </w:r>
    </w:p>
    <w:p w14:paraId="698F46DF">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（五）供应商应根据采购人不同货物存放要求，提供相应场地，包括防盗、防潮、防污、防虫、防鼠等储存条件。</w:t>
      </w:r>
    </w:p>
    <w:p w14:paraId="389EC8F5">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（六）采购人有权要求供应商按委托的时间、地点、方式将货物运送到目的地，在未办理提货、发货手续之前，采购方有权变更或取消委托内容；</w:t>
      </w:r>
    </w:p>
    <w:p w14:paraId="3E9020B7">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配送时间要求：昆明市区上午提货、下午送达；其他各地市自提货之日起，48小时内送达,逾期一天减免该票货物运费的50%，逾期两天该票货物运费全免。</w:t>
      </w:r>
    </w:p>
    <w:p w14:paraId="3A43F1C9">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七）供应商应保证在服务过程中货物的安全。因运输物品的特殊性质，供应商在履行承运服务过程中造成彩票破损、玷污和丢失导致不能销售的,供应商需在知晓情况后的一小时内以电话或传真方式通知招标人，并免除该票货物的运输费用，同时按实际受损和丢失的彩票面值及媒体公告费给予采购方赔偿。</w:t>
      </w:r>
    </w:p>
    <w:p w14:paraId="5B9F75AC">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（八）供应商按合同要求为采购人及时提供安全准时运送货物服务，在车辆运力紧张的情况下，优先为采购方提供服务。</w:t>
      </w:r>
    </w:p>
    <w:p w14:paraId="0F723688">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（九）供应商需为采购人保守商业秘密，并向采购人提供承运服务执行情况的存根，包括物流单据签收单。结算时将以签收单据为必要依据。</w:t>
      </w:r>
    </w:p>
    <w:p w14:paraId="2BA2BA3A">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（十）供应商提供的服务车辆必须牌照齐全有效，运行状况良好。</w:t>
      </w:r>
    </w:p>
    <w:p w14:paraId="1CCF0D1A">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（十一）供应商应为采购人提供专人专项负责的服务，对有关于合作中出现或有可能出现的任何情况及时沟通解决。</w:t>
      </w:r>
    </w:p>
    <w:p w14:paraId="4E36639B">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十二）供应商负责提供货物运中、运后跟踪查询，信息反馈服务；运输采购人货运车辆须配备定位追踪系统，车辆必须牌照齐全有效，驾驶人员具备国家认可的相应证照；保证完好无损将货物送达采购人指定的收货人，并由收货人确认签收。</w:t>
      </w:r>
    </w:p>
    <w:p w14:paraId="1797FDE3">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十三）具体收费标准为:根据对潜在供应商的询价和上年度采购价为依据，以箱为单位，每箱为一件（每箱单价不高于24.5元、最终以成交单价为准、不限面值、游戏品种），每箱即开票按均重12KG计算（即开票每箱重量不一，所承运的彩票每箱不足12KG或超过12KG的，均按每箱12KG计一件进行结算），供应商按采购人的要求每送一箱彩票到指定的仓库所在地,向采购人收取合同约定的每箱的承运服务费用(含分拣费、配送费、防潮防污覆膜费及装卸并码放至指定区域费用) 。</w:t>
      </w:r>
    </w:p>
    <w:p w14:paraId="3CF3B95E">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（十四）供应商结算时应提供物流单据签收联、与供应商对应一致的结算明细表及发票。</w:t>
      </w:r>
    </w:p>
    <w:p w14:paraId="6D1B250F">
      <w:pPr>
        <w:widowControl/>
        <w:spacing w:line="560" w:lineRule="exact"/>
        <w:ind w:firstLine="480" w:firstLineChars="200"/>
        <w:jc w:val="left"/>
        <w:rPr>
          <w:rFonts w:asciiTheme="minorEastAsia" w:hAnsiTheme="minorEastAsia" w:eastAsiaTheme="minorEastAsia"/>
          <w:kern w:val="0"/>
          <w:sz w:val="24"/>
          <w:szCs w:val="24"/>
          <w:lang w:bidi="ar"/>
        </w:rPr>
      </w:pPr>
      <w:r>
        <w:rPr>
          <w:rFonts w:hint="eastAsia" w:asciiTheme="minorEastAsia" w:hAnsiTheme="minorEastAsia" w:eastAsiaTheme="minorEastAsia"/>
          <w:kern w:val="0"/>
          <w:sz w:val="24"/>
          <w:szCs w:val="24"/>
          <w:lang w:bidi="ar"/>
        </w:rPr>
        <w:t>（十五）供应商在运输过程中保障货物安全，不存在运输物资的损坏、丢失、损毁等情况。</w:t>
      </w:r>
    </w:p>
    <w:p w14:paraId="4569AF74">
      <w:pPr>
        <w:spacing w:line="580" w:lineRule="exact"/>
        <w:ind w:firstLine="480" w:firstLineChars="200"/>
        <w:rPr>
          <w:rFonts w:asciiTheme="minorEastAsia" w:hAnsiTheme="minorEastAsia" w:eastAsiaTheme="minorEastAsia"/>
          <w:b/>
          <w:sz w:val="24"/>
          <w:szCs w:val="24"/>
        </w:rPr>
      </w:pPr>
      <w:r>
        <w:rPr>
          <w:rFonts w:hint="eastAsia" w:asciiTheme="minorEastAsia" w:hAnsiTheme="minorEastAsia" w:eastAsiaTheme="minorEastAsia"/>
          <w:b/>
          <w:sz w:val="24"/>
          <w:szCs w:val="24"/>
          <w:lang w:val="en-US" w:eastAsia="zh-CN"/>
        </w:rPr>
        <w:t>五</w:t>
      </w:r>
      <w:r>
        <w:rPr>
          <w:rFonts w:hint="eastAsia" w:asciiTheme="minorEastAsia" w:hAnsiTheme="minorEastAsia" w:eastAsiaTheme="minorEastAsia"/>
          <w:b/>
          <w:sz w:val="24"/>
          <w:szCs w:val="24"/>
        </w:rPr>
        <w:t>、</w:t>
      </w:r>
      <w:r>
        <w:rPr>
          <w:rFonts w:asciiTheme="minorEastAsia" w:hAnsiTheme="minorEastAsia" w:eastAsiaTheme="minorEastAsia"/>
          <w:b/>
          <w:sz w:val="24"/>
          <w:szCs w:val="24"/>
        </w:rPr>
        <w:t>服务范围</w:t>
      </w:r>
    </w:p>
    <w:p w14:paraId="027CCA7D">
      <w:pPr>
        <w:spacing w:line="56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1.甲方委托乙方对省外运达云南省的即开票进行验收、分拣、发货等，并负责接收货物的存放、运输安全；</w:t>
      </w:r>
    </w:p>
    <w:p w14:paraId="0870CC9E">
      <w:pPr>
        <w:spacing w:line="56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2.乙方负责对甲方委托承运的即开票完成上门提货、分拣、覆膜、配送、码放入库等，运送至甲方省内各分支机构指定仓库并按要求码放；</w:t>
      </w:r>
    </w:p>
    <w:p w14:paraId="6A668D82">
      <w:pPr>
        <w:spacing w:line="56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3.乙方负责对甲方委托承运的即开票完成上门提货、分拣、配送等，运送至甲方指定的省内,省外配送地点；</w:t>
      </w:r>
    </w:p>
    <w:p w14:paraId="7B4FA954">
      <w:pPr>
        <w:spacing w:line="56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4.乙方负责甲方日常交付的需运输的货物，运送至甲方指定的地点。</w:t>
      </w:r>
    </w:p>
    <w:p w14:paraId="3A1FE8C3">
      <w:pPr>
        <w:spacing w:line="580" w:lineRule="exact"/>
        <w:ind w:firstLine="480" w:firstLineChars="200"/>
        <w:rPr>
          <w:rFonts w:asciiTheme="minorEastAsia" w:hAnsiTheme="minorEastAsia" w:eastAsiaTheme="minorEastAsia"/>
          <w:b/>
          <w:sz w:val="24"/>
          <w:szCs w:val="24"/>
        </w:rPr>
      </w:pPr>
      <w:r>
        <w:rPr>
          <w:rFonts w:hint="eastAsia" w:asciiTheme="minorEastAsia" w:hAnsiTheme="minorEastAsia" w:eastAsiaTheme="minorEastAsia"/>
          <w:b/>
          <w:sz w:val="24"/>
          <w:szCs w:val="24"/>
          <w:lang w:val="en-US" w:eastAsia="zh-CN"/>
        </w:rPr>
        <w:t>六</w:t>
      </w:r>
      <w:r>
        <w:rPr>
          <w:rFonts w:hint="eastAsia" w:asciiTheme="minorEastAsia" w:hAnsiTheme="minorEastAsia" w:eastAsiaTheme="minorEastAsia"/>
          <w:b/>
          <w:sz w:val="24"/>
          <w:szCs w:val="24"/>
        </w:rPr>
        <w:t>、</w:t>
      </w:r>
      <w:r>
        <w:rPr>
          <w:rFonts w:asciiTheme="minorEastAsia" w:hAnsiTheme="minorEastAsia" w:eastAsiaTheme="minorEastAsia"/>
          <w:b/>
          <w:sz w:val="24"/>
          <w:szCs w:val="24"/>
        </w:rPr>
        <w:t>物货运输收费</w:t>
      </w:r>
      <w:r>
        <w:rPr>
          <w:rFonts w:hint="eastAsia" w:asciiTheme="minorEastAsia" w:hAnsiTheme="minorEastAsia" w:eastAsiaTheme="minorEastAsia"/>
          <w:b/>
          <w:sz w:val="24"/>
          <w:szCs w:val="24"/>
        </w:rPr>
        <w:t>（报价要求）</w:t>
      </w:r>
    </w:p>
    <w:p w14:paraId="75315462">
      <w:pPr>
        <w:spacing w:line="56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即开票按照不高于24.5元/箱（不限面值、游戏品种）以最终成交单价为准，包含但不限于乙方赴甲方指定地点上门提货、装箱分拣、外包装覆膜、送货上门、入库按要求摆放、运输材料、货物保险等。费用包括云南省省内配送，及云南至省外配送。</w:t>
      </w:r>
    </w:p>
    <w:p w14:paraId="007F21C0">
      <w:pPr>
        <w:spacing w:line="56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2.甲方若有其它特殊运输要求，则由双方具体协商收费事宜。</w:t>
      </w:r>
    </w:p>
    <w:p w14:paraId="283E76D4">
      <w:pPr>
        <w:pStyle w:val="9"/>
        <w:rPr>
          <w:rFonts w:eastAsiaTheme="minorEastAsia"/>
        </w:rPr>
      </w:pPr>
      <w:r>
        <w:rPr>
          <w:rFonts w:hint="eastAsia" w:eastAsiaTheme="minorEastAsia"/>
        </w:rPr>
        <w:t>八、验收方式</w:t>
      </w:r>
    </w:p>
    <w:p w14:paraId="7F615FB5">
      <w:pPr>
        <w:spacing w:line="56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以上月结算报表（结算明细、签收回单等）作为验收依据。根据供应商提供的物流单据签收联、配送明细表等材料结合服务标准和要求进行验收。</w:t>
      </w:r>
    </w:p>
    <w:p w14:paraId="55A18D0A">
      <w:pPr>
        <w:pStyle w:val="4"/>
        <w:numPr>
          <w:ilvl w:val="0"/>
          <w:numId w:val="0"/>
        </w:numPr>
        <w:ind w:left="425"/>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七</w:t>
      </w:r>
      <w:r>
        <w:rPr>
          <w:rFonts w:asciiTheme="minorEastAsia" w:hAnsiTheme="minorEastAsia" w:eastAsiaTheme="minorEastAsia"/>
          <w:sz w:val="24"/>
          <w:szCs w:val="24"/>
        </w:rPr>
        <w:t>、合同主要条款</w:t>
      </w:r>
    </w:p>
    <w:p w14:paraId="31AC989E">
      <w:pPr>
        <w:pStyle w:val="4"/>
        <w:numPr>
          <w:ilvl w:val="0"/>
          <w:numId w:val="0"/>
        </w:numPr>
        <w:ind w:left="425"/>
        <w:rPr>
          <w:rFonts w:asciiTheme="minorEastAsia" w:hAnsiTheme="minorEastAsia" w:eastAsiaTheme="minorEastAsia"/>
          <w:sz w:val="24"/>
          <w:szCs w:val="24"/>
        </w:rPr>
      </w:pPr>
      <w:r>
        <w:rPr>
          <w:rFonts w:hint="eastAsia" w:asciiTheme="minorEastAsia" w:hAnsiTheme="minorEastAsia" w:eastAsiaTheme="minorEastAsia"/>
          <w:sz w:val="24"/>
          <w:szCs w:val="24"/>
        </w:rPr>
        <w:t>（一）</w:t>
      </w:r>
      <w:r>
        <w:rPr>
          <w:rFonts w:asciiTheme="minorEastAsia" w:hAnsiTheme="minorEastAsia" w:eastAsiaTheme="minorEastAsia"/>
          <w:sz w:val="24"/>
          <w:szCs w:val="24"/>
        </w:rPr>
        <w:t>付款方式</w:t>
      </w:r>
    </w:p>
    <w:p w14:paraId="4567B306">
      <w:pPr>
        <w:snapToGrid w:val="0"/>
        <w:spacing w:line="56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1.实际产生物流费用，按月据实结算。乙方每月6日前提供上月结算明细及签收回单，核对无误后，开据发票，甲方于收到发票10日内支付物流费用。</w:t>
      </w:r>
    </w:p>
    <w:p w14:paraId="364BCDEA">
      <w:pPr>
        <w:snapToGrid w:val="0"/>
        <w:spacing w:line="56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乙方应于合同签定后10日内一次性向甲方指定账户交纳合同总价5%的履约保证金，在履约担保有效期内，如乙方不履行或不按合同履行约定的义务，履约保证金不予退还。待乙方按合同相关条款履行完合同后，双方结算完毕后甲方于合同执行完毕且结算完成后的10日内一次性将履约保证金无利息退还乙方。</w:t>
      </w:r>
    </w:p>
    <w:p w14:paraId="15275098">
      <w:pPr>
        <w:pStyle w:val="4"/>
        <w:numPr>
          <w:ilvl w:val="0"/>
          <w:numId w:val="0"/>
        </w:numPr>
        <w:ind w:left="425"/>
        <w:rPr>
          <w:rFonts w:asciiTheme="minorEastAsia" w:hAnsiTheme="minorEastAsia" w:eastAsiaTheme="minorEastAsia"/>
          <w:sz w:val="24"/>
          <w:szCs w:val="24"/>
        </w:rPr>
      </w:pPr>
      <w:r>
        <w:rPr>
          <w:rFonts w:hint="eastAsia" w:asciiTheme="minorEastAsia" w:hAnsiTheme="minorEastAsia" w:eastAsiaTheme="minorEastAsia"/>
          <w:sz w:val="24"/>
          <w:szCs w:val="24"/>
        </w:rPr>
        <w:t>（二）</w:t>
      </w:r>
      <w:r>
        <w:rPr>
          <w:rFonts w:asciiTheme="minorEastAsia" w:hAnsiTheme="minorEastAsia" w:eastAsiaTheme="minorEastAsia"/>
          <w:sz w:val="24"/>
          <w:szCs w:val="24"/>
        </w:rPr>
        <w:t>违约责任</w:t>
      </w:r>
    </w:p>
    <w:p w14:paraId="204B8EBE">
      <w:pPr>
        <w:snapToGrid w:val="0"/>
        <w:spacing w:line="56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如乙方在履行即开票承运服务过程中造成彩票破损、玷污和丢失导致不能销售的，乙方需在知晓情况后的一小时内以电话或传真方式通知甲方，并免除该票货物的运输费用，并在十日内按实际受损和丢失的彩票面值及媒体公告费给予甲方赔偿。</w:t>
      </w:r>
    </w:p>
    <w:p w14:paraId="0DAFD95B">
      <w:pPr>
        <w:snapToGrid w:val="0"/>
        <w:spacing w:line="56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2.对于甲方的承运要求，乙方必须在48小时内运送到目的地(甲方州市销售管理部仓库所在地)，逾期一天减免该票货物运费的50%，逾期两天该票货物运费全免。</w:t>
      </w:r>
    </w:p>
    <w:p w14:paraId="2E3232BB">
      <w:pPr>
        <w:snapToGrid w:val="0"/>
        <w:spacing w:line="56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3.因乙方责任将货物错送或错达收货人，乙方承担因此带来的全部损失和责任并将货物无偿运到指定的收货人处。</w:t>
      </w:r>
    </w:p>
    <w:p w14:paraId="56D0EC06">
      <w:pPr>
        <w:pStyle w:val="120"/>
        <w:spacing w:before="381" w:beforeLines="100"/>
        <w:ind w:left="0" w:leftChars="0" w:firstLine="0" w:firstLineChars="0"/>
        <w:rPr>
          <w:rFonts w:ascii="方正仿宋_GBK" w:hAnsi="方正仿宋_GBK" w:eastAsia="方正仿宋_GBK" w:cs="方正仿宋_GBK"/>
          <w:sz w:val="28"/>
          <w:szCs w:val="28"/>
        </w:rPr>
      </w:pPr>
    </w:p>
    <w:p w14:paraId="27FB95F2">
      <w:pPr>
        <w:tabs>
          <w:tab w:val="left" w:pos="1674"/>
        </w:tabs>
        <w:jc w:val="left"/>
      </w:pPr>
    </w:p>
    <w:p w14:paraId="79B430BD">
      <w:pPr>
        <w:pStyle w:val="9"/>
      </w:pPr>
    </w:p>
    <w:p w14:paraId="10BEBBF9">
      <w:pPr>
        <w:pStyle w:val="28"/>
        <w:rPr>
          <w:rFonts w:ascii="宋体" w:hAnsi="宋体"/>
          <w:bCs w:val="0"/>
          <w:color w:val="000000"/>
          <w:kern w:val="44"/>
          <w:sz w:val="36"/>
          <w:szCs w:val="20"/>
        </w:rPr>
      </w:pPr>
      <w:r>
        <w:br w:type="page"/>
      </w:r>
      <w:bookmarkStart w:id="87" w:name="_Toc152246158"/>
      <w:bookmarkStart w:id="88" w:name="_Toc63070522"/>
      <w:r>
        <w:rPr>
          <w:rFonts w:hint="eastAsia" w:ascii="宋体" w:hAnsi="宋体"/>
          <w:bCs w:val="0"/>
          <w:color w:val="000000"/>
          <w:kern w:val="44"/>
          <w:sz w:val="36"/>
          <w:szCs w:val="20"/>
        </w:rPr>
        <w:t>第六章 资格评审标准</w:t>
      </w:r>
      <w:bookmarkEnd w:id="87"/>
      <w:bookmarkEnd w:id="88"/>
    </w:p>
    <w:p w14:paraId="69244927">
      <w:pPr>
        <w:tabs>
          <w:tab w:val="left" w:pos="2472"/>
        </w:tabs>
        <w:spacing w:line="360" w:lineRule="auto"/>
        <w:ind w:firstLine="480" w:firstLineChars="200"/>
        <w:rPr>
          <w:rFonts w:ascii="宋体" w:hAnsi="宋体"/>
          <w:color w:val="000000"/>
          <w:sz w:val="24"/>
          <w:szCs w:val="21"/>
        </w:rPr>
      </w:pPr>
      <w:r>
        <w:rPr>
          <w:rFonts w:hint="eastAsia" w:ascii="宋体" w:hAnsi="宋体"/>
          <w:color w:val="000000"/>
          <w:sz w:val="24"/>
          <w:szCs w:val="21"/>
        </w:rPr>
        <w:t>投标文件出现不满足下列各项评审内容及标准要求之一的，则资格评审为不合格。合格投标人不足3家的，不得评标。下列各项评审内容及标准均为招</w:t>
      </w:r>
      <w:r>
        <w:rPr>
          <w:rFonts w:ascii="宋体" w:hAnsi="宋体"/>
          <w:color w:val="000000"/>
          <w:sz w:val="24"/>
          <w:szCs w:val="21"/>
        </w:rPr>
        <w:t>标文件的实质性要求</w:t>
      </w:r>
      <w:r>
        <w:rPr>
          <w:rFonts w:hint="eastAsia" w:ascii="宋体" w:hAnsi="宋体"/>
          <w:color w:val="000000"/>
          <w:sz w:val="24"/>
          <w:szCs w:val="21"/>
        </w:rPr>
        <w:t>，投标文件响应各款所列材料在开标后不得澄清、后补。</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7"/>
        <w:gridCol w:w="842"/>
        <w:gridCol w:w="7786"/>
      </w:tblGrid>
      <w:tr w14:paraId="6759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684" w:type="pct"/>
            <w:tcBorders>
              <w:top w:val="single" w:color="auto" w:sz="4" w:space="0"/>
              <w:left w:val="single" w:color="auto" w:sz="4" w:space="0"/>
              <w:bottom w:val="single" w:color="auto" w:sz="4" w:space="0"/>
              <w:right w:val="single" w:color="auto" w:sz="4" w:space="0"/>
            </w:tcBorders>
            <w:vAlign w:val="center"/>
          </w:tcPr>
          <w:p w14:paraId="301748C4">
            <w:pPr>
              <w:spacing w:before="100" w:beforeAutospacing="1" w:after="100" w:afterAutospacing="1" w:line="440" w:lineRule="exact"/>
              <w:jc w:val="center"/>
              <w:rPr>
                <w:rFonts w:ascii="宋体" w:hAnsi="宋体"/>
                <w:b/>
                <w:color w:val="000000"/>
                <w:sz w:val="24"/>
              </w:rPr>
            </w:pPr>
            <w:r>
              <w:rPr>
                <w:rFonts w:hint="eastAsia" w:ascii="宋体" w:hAnsi="宋体"/>
                <w:b/>
                <w:color w:val="000000"/>
                <w:sz w:val="24"/>
              </w:rPr>
              <w:t>评审程序</w:t>
            </w:r>
          </w:p>
        </w:tc>
        <w:tc>
          <w:tcPr>
            <w:tcW w:w="4315" w:type="pct"/>
            <w:gridSpan w:val="2"/>
            <w:tcBorders>
              <w:top w:val="single" w:color="auto" w:sz="4" w:space="0"/>
              <w:left w:val="single" w:color="auto" w:sz="4" w:space="0"/>
              <w:bottom w:val="single" w:color="auto" w:sz="4" w:space="0"/>
              <w:right w:val="single" w:color="auto" w:sz="4" w:space="0"/>
            </w:tcBorders>
            <w:vAlign w:val="center"/>
          </w:tcPr>
          <w:p w14:paraId="084F5AC0">
            <w:pPr>
              <w:spacing w:before="100" w:beforeAutospacing="1" w:after="100" w:afterAutospacing="1" w:line="440" w:lineRule="exact"/>
              <w:jc w:val="center"/>
              <w:rPr>
                <w:rFonts w:ascii="宋体" w:hAnsi="宋体"/>
                <w:b/>
                <w:color w:val="000000"/>
                <w:sz w:val="24"/>
              </w:rPr>
            </w:pPr>
            <w:r>
              <w:rPr>
                <w:rFonts w:hint="eastAsia" w:ascii="宋体" w:hAnsi="宋体"/>
                <w:b/>
                <w:color w:val="000000"/>
                <w:sz w:val="24"/>
              </w:rPr>
              <w:t>评 审 内 容 及 标 准</w:t>
            </w:r>
          </w:p>
        </w:tc>
      </w:tr>
      <w:tr w14:paraId="5908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84" w:type="pct"/>
            <w:vMerge w:val="restart"/>
            <w:tcBorders>
              <w:top w:val="single" w:color="auto" w:sz="4" w:space="0"/>
              <w:left w:val="single" w:color="auto" w:sz="4" w:space="0"/>
              <w:bottom w:val="single" w:color="auto" w:sz="4" w:space="0"/>
              <w:right w:val="single" w:color="auto" w:sz="4" w:space="0"/>
            </w:tcBorders>
            <w:vAlign w:val="center"/>
          </w:tcPr>
          <w:p w14:paraId="65E71EB1">
            <w:pPr>
              <w:spacing w:before="100" w:beforeAutospacing="1" w:after="100" w:afterAutospacing="1" w:line="440" w:lineRule="exact"/>
              <w:jc w:val="center"/>
              <w:rPr>
                <w:rFonts w:ascii="宋体" w:hAnsi="宋体"/>
                <w:b/>
                <w:color w:val="000000"/>
                <w:sz w:val="24"/>
              </w:rPr>
            </w:pPr>
            <w:r>
              <w:rPr>
                <w:rFonts w:hint="eastAsia" w:ascii="宋体" w:hAnsi="宋体"/>
                <w:color w:val="000000"/>
                <w:sz w:val="24"/>
              </w:rPr>
              <w:t>资格审查前附表</w:t>
            </w:r>
          </w:p>
        </w:tc>
        <w:tc>
          <w:tcPr>
            <w:tcW w:w="421" w:type="pct"/>
            <w:tcBorders>
              <w:top w:val="single" w:color="auto" w:sz="4" w:space="0"/>
              <w:left w:val="single" w:color="auto" w:sz="4" w:space="0"/>
              <w:bottom w:val="single" w:color="auto" w:sz="4" w:space="0"/>
              <w:right w:val="single" w:color="auto" w:sz="4" w:space="0"/>
            </w:tcBorders>
            <w:vAlign w:val="center"/>
          </w:tcPr>
          <w:p w14:paraId="6E9167C8">
            <w:pPr>
              <w:spacing w:before="100" w:beforeAutospacing="1" w:after="100" w:afterAutospacing="1" w:line="440" w:lineRule="exact"/>
              <w:jc w:val="center"/>
              <w:rPr>
                <w:rFonts w:ascii="宋体" w:hAnsi="宋体"/>
                <w:b/>
                <w:color w:val="000000"/>
                <w:sz w:val="24"/>
              </w:rPr>
            </w:pPr>
            <w:r>
              <w:rPr>
                <w:rFonts w:hint="eastAsia" w:ascii="宋体" w:hAnsi="宋体"/>
                <w:b/>
                <w:color w:val="000000"/>
                <w:sz w:val="24"/>
              </w:rPr>
              <w:t>1</w:t>
            </w:r>
          </w:p>
        </w:tc>
        <w:tc>
          <w:tcPr>
            <w:tcW w:w="3893" w:type="pct"/>
            <w:tcBorders>
              <w:top w:val="single" w:color="auto" w:sz="4" w:space="0"/>
              <w:left w:val="single" w:color="auto" w:sz="4" w:space="0"/>
              <w:bottom w:val="single" w:color="auto" w:sz="4" w:space="0"/>
              <w:right w:val="single" w:color="auto" w:sz="4" w:space="0"/>
            </w:tcBorders>
            <w:vAlign w:val="center"/>
          </w:tcPr>
          <w:p w14:paraId="5B474AAE">
            <w:pPr>
              <w:spacing w:before="100" w:beforeAutospacing="1" w:after="100" w:afterAutospacing="1" w:line="440" w:lineRule="exact"/>
              <w:jc w:val="left"/>
              <w:rPr>
                <w:rFonts w:ascii="宋体" w:hAnsi="宋体"/>
                <w:b/>
                <w:color w:val="000000"/>
                <w:sz w:val="24"/>
              </w:rPr>
            </w:pPr>
            <w:r>
              <w:rPr>
                <w:rFonts w:hint="eastAsia" w:ascii="宋体" w:hAnsi="宋体"/>
                <w:b/>
                <w:color w:val="000000"/>
                <w:sz w:val="24"/>
              </w:rPr>
              <w:t>满足《中华人民共和国政府采购法》第二十二条规定，提供下列材料：</w:t>
            </w:r>
          </w:p>
        </w:tc>
      </w:tr>
      <w:tr w14:paraId="07B9F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6574537">
            <w:pPr>
              <w:widowControl/>
              <w:spacing w:line="440" w:lineRule="exact"/>
              <w:jc w:val="left"/>
              <w:rPr>
                <w:rFonts w:ascii="宋体" w:hAnsi="宋体"/>
                <w:b/>
                <w:color w:val="000000"/>
                <w:sz w:val="24"/>
                <w:highlight w:val="yellow"/>
              </w:rPr>
            </w:pPr>
          </w:p>
        </w:tc>
        <w:tc>
          <w:tcPr>
            <w:tcW w:w="421" w:type="pct"/>
            <w:tcBorders>
              <w:top w:val="single" w:color="auto" w:sz="4" w:space="0"/>
              <w:left w:val="single" w:color="auto" w:sz="4" w:space="0"/>
              <w:bottom w:val="single" w:color="auto" w:sz="4" w:space="0"/>
              <w:right w:val="single" w:color="auto" w:sz="4" w:space="0"/>
            </w:tcBorders>
            <w:vAlign w:val="center"/>
          </w:tcPr>
          <w:p w14:paraId="1D0734A9">
            <w:pPr>
              <w:spacing w:before="100" w:beforeAutospacing="1" w:after="100" w:afterAutospacing="1" w:line="440" w:lineRule="exact"/>
              <w:jc w:val="center"/>
              <w:rPr>
                <w:rFonts w:ascii="宋体" w:hAnsi="宋体"/>
                <w:color w:val="000000"/>
                <w:sz w:val="24"/>
              </w:rPr>
            </w:pPr>
            <w:r>
              <w:rPr>
                <w:rFonts w:hint="eastAsia" w:ascii="宋体" w:hAnsi="宋体"/>
                <w:color w:val="000000"/>
                <w:sz w:val="24"/>
              </w:rPr>
              <w:t>1.1</w:t>
            </w:r>
          </w:p>
        </w:tc>
        <w:tc>
          <w:tcPr>
            <w:tcW w:w="3893" w:type="pct"/>
            <w:tcBorders>
              <w:top w:val="single" w:color="auto" w:sz="4" w:space="0"/>
              <w:left w:val="single" w:color="auto" w:sz="4" w:space="0"/>
              <w:bottom w:val="single" w:color="auto" w:sz="4" w:space="0"/>
              <w:right w:val="single" w:color="auto" w:sz="4" w:space="0"/>
            </w:tcBorders>
            <w:vAlign w:val="center"/>
          </w:tcPr>
          <w:p w14:paraId="387BFD87">
            <w:pPr>
              <w:spacing w:line="440" w:lineRule="exact"/>
              <w:rPr>
                <w:rFonts w:ascii="宋体" w:hAnsi="宋体"/>
                <w:color w:val="000000"/>
                <w:sz w:val="24"/>
              </w:rPr>
            </w:pPr>
            <w:r>
              <w:rPr>
                <w:rFonts w:hint="eastAsia" w:ascii="宋体" w:hAnsi="宋体"/>
                <w:color w:val="000000"/>
                <w:sz w:val="24"/>
              </w:rPr>
              <w:t>投标人必须是具有独立承担民事责任能力的法人或其他组织或自然人：提供三证合一的营业执照或其他组织证明材料或自然人身份证明；</w:t>
            </w:r>
          </w:p>
        </w:tc>
      </w:tr>
      <w:tr w14:paraId="56993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56497BE">
            <w:pPr>
              <w:widowControl/>
              <w:spacing w:line="440" w:lineRule="exact"/>
              <w:jc w:val="left"/>
              <w:rPr>
                <w:rFonts w:ascii="宋体" w:hAnsi="宋体"/>
                <w:b/>
                <w:color w:val="000000"/>
                <w:sz w:val="24"/>
                <w:highlight w:val="yellow"/>
              </w:rPr>
            </w:pPr>
          </w:p>
        </w:tc>
        <w:tc>
          <w:tcPr>
            <w:tcW w:w="421" w:type="pct"/>
            <w:tcBorders>
              <w:top w:val="single" w:color="auto" w:sz="4" w:space="0"/>
              <w:left w:val="single" w:color="auto" w:sz="4" w:space="0"/>
              <w:bottom w:val="single" w:color="auto" w:sz="4" w:space="0"/>
              <w:right w:val="single" w:color="auto" w:sz="4" w:space="0"/>
            </w:tcBorders>
            <w:vAlign w:val="center"/>
          </w:tcPr>
          <w:p w14:paraId="7F1E0C71">
            <w:pPr>
              <w:spacing w:before="100" w:beforeAutospacing="1" w:after="100" w:afterAutospacing="1" w:line="440" w:lineRule="exact"/>
              <w:jc w:val="center"/>
              <w:rPr>
                <w:rFonts w:ascii="宋体" w:hAnsi="宋体"/>
                <w:sz w:val="24"/>
              </w:rPr>
            </w:pPr>
            <w:r>
              <w:rPr>
                <w:rFonts w:hint="eastAsia" w:ascii="宋体" w:hAnsi="宋体"/>
                <w:sz w:val="24"/>
              </w:rPr>
              <w:t>1.2</w:t>
            </w:r>
          </w:p>
        </w:tc>
        <w:tc>
          <w:tcPr>
            <w:tcW w:w="3893" w:type="pct"/>
            <w:tcBorders>
              <w:top w:val="single" w:color="auto" w:sz="4" w:space="0"/>
              <w:left w:val="single" w:color="auto" w:sz="4" w:space="0"/>
              <w:bottom w:val="single" w:color="auto" w:sz="4" w:space="0"/>
              <w:right w:val="single" w:color="auto" w:sz="4" w:space="0"/>
            </w:tcBorders>
            <w:vAlign w:val="center"/>
          </w:tcPr>
          <w:p w14:paraId="3ED042A3">
            <w:pPr>
              <w:spacing w:before="100" w:beforeAutospacing="1" w:after="100" w:afterAutospacing="1" w:line="440" w:lineRule="exact"/>
              <w:jc w:val="left"/>
              <w:rPr>
                <w:rFonts w:ascii="宋体" w:hAnsi="宋体"/>
                <w:sz w:val="24"/>
              </w:rPr>
            </w:pPr>
            <w:r>
              <w:rPr>
                <w:rFonts w:hint="eastAsia" w:ascii="宋体" w:hAnsi="宋体"/>
                <w:sz w:val="24"/>
              </w:rPr>
              <w:t>提供上一年度（2024年）经审计的财务报告（扫描件)或自提交投标文件截止时间前三个月内基本开户银行出具的资信证明（扫描件）（成立时间不足一年的，可提供自提交投标文件截止时间前三个月内基本开户银行出具的资信证明或自成立至今经第三方审计的财务报告）；</w:t>
            </w:r>
          </w:p>
        </w:tc>
      </w:tr>
      <w:tr w14:paraId="1CB34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FCC0E7B">
            <w:pPr>
              <w:widowControl/>
              <w:spacing w:line="440" w:lineRule="exact"/>
              <w:jc w:val="left"/>
              <w:rPr>
                <w:rFonts w:ascii="宋体" w:hAnsi="宋体"/>
                <w:b/>
                <w:color w:val="000000"/>
                <w:sz w:val="24"/>
                <w:highlight w:val="yellow"/>
              </w:rPr>
            </w:pPr>
          </w:p>
        </w:tc>
        <w:tc>
          <w:tcPr>
            <w:tcW w:w="421" w:type="pct"/>
            <w:tcBorders>
              <w:top w:val="single" w:color="auto" w:sz="4" w:space="0"/>
              <w:left w:val="single" w:color="auto" w:sz="4" w:space="0"/>
              <w:bottom w:val="single" w:color="auto" w:sz="4" w:space="0"/>
              <w:right w:val="single" w:color="auto" w:sz="4" w:space="0"/>
            </w:tcBorders>
            <w:vAlign w:val="center"/>
          </w:tcPr>
          <w:p w14:paraId="6254748D">
            <w:pPr>
              <w:spacing w:before="100" w:beforeAutospacing="1" w:after="100" w:afterAutospacing="1" w:line="440" w:lineRule="exact"/>
              <w:jc w:val="center"/>
              <w:rPr>
                <w:rFonts w:ascii="宋体" w:hAnsi="宋体"/>
                <w:sz w:val="24"/>
              </w:rPr>
            </w:pPr>
            <w:r>
              <w:rPr>
                <w:rFonts w:hint="eastAsia" w:ascii="宋体" w:hAnsi="宋体"/>
                <w:sz w:val="24"/>
              </w:rPr>
              <w:t>1.3</w:t>
            </w:r>
          </w:p>
        </w:tc>
        <w:tc>
          <w:tcPr>
            <w:tcW w:w="3893" w:type="pct"/>
            <w:tcBorders>
              <w:top w:val="single" w:color="auto" w:sz="4" w:space="0"/>
              <w:left w:val="single" w:color="auto" w:sz="4" w:space="0"/>
              <w:bottom w:val="single" w:color="auto" w:sz="4" w:space="0"/>
              <w:right w:val="single" w:color="auto" w:sz="4" w:space="0"/>
            </w:tcBorders>
            <w:vAlign w:val="center"/>
          </w:tcPr>
          <w:p w14:paraId="5D082654">
            <w:pPr>
              <w:spacing w:before="100" w:beforeAutospacing="1" w:after="100" w:afterAutospacing="1" w:line="440" w:lineRule="exact"/>
              <w:jc w:val="left"/>
              <w:rPr>
                <w:rFonts w:ascii="宋体" w:hAnsi="宋体"/>
                <w:sz w:val="24"/>
              </w:rPr>
            </w:pPr>
            <w:r>
              <w:rPr>
                <w:rFonts w:hint="eastAsia" w:ascii="宋体" w:hAnsi="宋体"/>
                <w:b/>
                <w:sz w:val="24"/>
                <w:szCs w:val="21"/>
              </w:rPr>
              <w:t>缴税所属时间在</w:t>
            </w:r>
            <w:r>
              <w:rPr>
                <w:rFonts w:hint="eastAsia" w:ascii="宋体" w:hAnsi="宋体"/>
                <w:b/>
                <w:sz w:val="24"/>
                <w:szCs w:val="21"/>
                <w:u w:val="single"/>
              </w:rPr>
              <w:t>2024年1月至投标截止日期前任意连续3个月</w:t>
            </w:r>
            <w:r>
              <w:rPr>
                <w:rFonts w:hint="eastAsia" w:ascii="宋体" w:hAnsi="宋体"/>
                <w:b/>
                <w:sz w:val="24"/>
                <w:szCs w:val="21"/>
              </w:rPr>
              <w:t>的税务局税收通用缴款书扫描件或银行电子缴税（费）凭证扫描件或税务局出具纳税情况的相关证明扫描件（</w:t>
            </w:r>
            <w:r>
              <w:rPr>
                <w:rFonts w:hint="eastAsia" w:ascii="宋体" w:hAnsi="宋体"/>
                <w:b/>
                <w:sz w:val="24"/>
                <w:szCs w:val="21"/>
                <w:u w:val="single"/>
              </w:rPr>
              <w:t>成立未满3个月</w:t>
            </w:r>
            <w:r>
              <w:rPr>
                <w:rFonts w:hint="eastAsia" w:ascii="宋体" w:hAnsi="宋体"/>
                <w:b/>
                <w:sz w:val="24"/>
                <w:szCs w:val="21"/>
              </w:rPr>
              <w:t>的提供成立以来的纳税证明或相关情况说明；依法免税的，应提供相应文件证明其依法免税）。</w:t>
            </w:r>
          </w:p>
        </w:tc>
      </w:tr>
      <w:tr w14:paraId="104FD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5C1DFD5">
            <w:pPr>
              <w:widowControl/>
              <w:spacing w:line="440" w:lineRule="exact"/>
              <w:jc w:val="left"/>
              <w:rPr>
                <w:rFonts w:ascii="宋体" w:hAnsi="宋体"/>
                <w:b/>
                <w:color w:val="000000"/>
                <w:sz w:val="24"/>
                <w:highlight w:val="yellow"/>
              </w:rPr>
            </w:pPr>
          </w:p>
        </w:tc>
        <w:tc>
          <w:tcPr>
            <w:tcW w:w="421" w:type="pct"/>
            <w:tcBorders>
              <w:top w:val="single" w:color="auto" w:sz="4" w:space="0"/>
              <w:left w:val="single" w:color="auto" w:sz="4" w:space="0"/>
              <w:bottom w:val="single" w:color="auto" w:sz="4" w:space="0"/>
              <w:right w:val="single" w:color="auto" w:sz="4" w:space="0"/>
            </w:tcBorders>
            <w:vAlign w:val="center"/>
          </w:tcPr>
          <w:p w14:paraId="19B4BA95">
            <w:pPr>
              <w:spacing w:before="100" w:beforeAutospacing="1" w:after="100" w:afterAutospacing="1" w:line="440" w:lineRule="exact"/>
              <w:jc w:val="center"/>
              <w:rPr>
                <w:rFonts w:ascii="宋体" w:hAnsi="宋体"/>
                <w:sz w:val="24"/>
              </w:rPr>
            </w:pPr>
            <w:r>
              <w:rPr>
                <w:rFonts w:hint="eastAsia" w:ascii="宋体" w:hAnsi="宋体"/>
                <w:sz w:val="24"/>
              </w:rPr>
              <w:t>1.4</w:t>
            </w:r>
          </w:p>
        </w:tc>
        <w:tc>
          <w:tcPr>
            <w:tcW w:w="3893" w:type="pct"/>
            <w:tcBorders>
              <w:top w:val="single" w:color="auto" w:sz="4" w:space="0"/>
              <w:left w:val="single" w:color="auto" w:sz="4" w:space="0"/>
              <w:bottom w:val="single" w:color="auto" w:sz="4" w:space="0"/>
              <w:right w:val="single" w:color="auto" w:sz="4" w:space="0"/>
            </w:tcBorders>
            <w:vAlign w:val="center"/>
          </w:tcPr>
          <w:p w14:paraId="4566B58E">
            <w:pPr>
              <w:spacing w:before="100" w:beforeAutospacing="1" w:after="100" w:afterAutospacing="1" w:line="440" w:lineRule="exact"/>
              <w:jc w:val="left"/>
              <w:rPr>
                <w:rFonts w:ascii="宋体" w:hAnsi="宋体"/>
                <w:sz w:val="24"/>
              </w:rPr>
            </w:pPr>
            <w:r>
              <w:rPr>
                <w:rFonts w:hint="eastAsia" w:ascii="宋体" w:hAnsi="宋体"/>
                <w:b/>
                <w:sz w:val="24"/>
                <w:szCs w:val="21"/>
              </w:rPr>
              <w:t>缴费所属时间在</w:t>
            </w:r>
            <w:r>
              <w:rPr>
                <w:rFonts w:hint="eastAsia" w:ascii="宋体" w:hAnsi="宋体"/>
                <w:b/>
                <w:sz w:val="24"/>
                <w:szCs w:val="21"/>
                <w:u w:val="single"/>
              </w:rPr>
              <w:t>2024年1月至投标截止日期前任意连续3个月</w:t>
            </w:r>
            <w:r>
              <w:rPr>
                <w:rFonts w:hint="eastAsia" w:ascii="宋体" w:hAnsi="宋体"/>
                <w:b/>
                <w:sz w:val="24"/>
                <w:szCs w:val="21"/>
              </w:rPr>
              <w:t>的社会保险费缴款书扫描件或银行电子缴税（费）凭证扫描件或社保管理部门出具的有效的缴款证明扫描件（</w:t>
            </w:r>
            <w:r>
              <w:rPr>
                <w:rFonts w:hint="eastAsia" w:ascii="宋体" w:hAnsi="宋体"/>
                <w:b/>
                <w:sz w:val="24"/>
                <w:szCs w:val="21"/>
                <w:u w:val="single"/>
              </w:rPr>
              <w:t>成立未满3个月</w:t>
            </w:r>
            <w:r>
              <w:rPr>
                <w:rFonts w:hint="eastAsia" w:ascii="宋体" w:hAnsi="宋体"/>
                <w:b/>
                <w:sz w:val="24"/>
                <w:szCs w:val="21"/>
              </w:rPr>
              <w:t>的提供成立以来的社会保险费缴纳证明或相关情况说明；不需要缴纳社会保险费的，应提供相应文件证明其不需要缴纳社会保险费）。</w:t>
            </w:r>
          </w:p>
        </w:tc>
      </w:tr>
      <w:tr w14:paraId="357F7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107DFCA">
            <w:pPr>
              <w:widowControl/>
              <w:spacing w:line="440" w:lineRule="exact"/>
              <w:jc w:val="left"/>
              <w:rPr>
                <w:rFonts w:ascii="宋体" w:hAnsi="宋体"/>
                <w:b/>
                <w:color w:val="000000"/>
                <w:sz w:val="24"/>
                <w:highlight w:val="yellow"/>
              </w:rPr>
            </w:pPr>
          </w:p>
        </w:tc>
        <w:tc>
          <w:tcPr>
            <w:tcW w:w="421" w:type="pct"/>
            <w:tcBorders>
              <w:top w:val="single" w:color="auto" w:sz="4" w:space="0"/>
              <w:left w:val="single" w:color="auto" w:sz="4" w:space="0"/>
              <w:bottom w:val="single" w:color="auto" w:sz="4" w:space="0"/>
              <w:right w:val="single" w:color="auto" w:sz="4" w:space="0"/>
            </w:tcBorders>
            <w:vAlign w:val="center"/>
          </w:tcPr>
          <w:p w14:paraId="06212F43">
            <w:pPr>
              <w:spacing w:before="100" w:beforeAutospacing="1" w:after="100" w:afterAutospacing="1" w:line="440" w:lineRule="exact"/>
              <w:jc w:val="center"/>
              <w:rPr>
                <w:rFonts w:ascii="宋体" w:hAnsi="宋体"/>
                <w:color w:val="000000"/>
                <w:sz w:val="24"/>
              </w:rPr>
            </w:pPr>
            <w:r>
              <w:rPr>
                <w:rFonts w:hint="eastAsia" w:ascii="宋体" w:hAnsi="宋体"/>
                <w:color w:val="000000"/>
                <w:sz w:val="24"/>
              </w:rPr>
              <w:t>1.5</w:t>
            </w:r>
          </w:p>
        </w:tc>
        <w:tc>
          <w:tcPr>
            <w:tcW w:w="3893" w:type="pct"/>
            <w:tcBorders>
              <w:top w:val="single" w:color="auto" w:sz="4" w:space="0"/>
              <w:left w:val="single" w:color="auto" w:sz="4" w:space="0"/>
              <w:bottom w:val="single" w:color="auto" w:sz="4" w:space="0"/>
              <w:right w:val="single" w:color="auto" w:sz="4" w:space="0"/>
            </w:tcBorders>
            <w:vAlign w:val="center"/>
          </w:tcPr>
          <w:p w14:paraId="421EDFE0">
            <w:pPr>
              <w:spacing w:before="100" w:beforeAutospacing="1" w:after="100" w:afterAutospacing="1" w:line="440" w:lineRule="exact"/>
              <w:jc w:val="left"/>
              <w:rPr>
                <w:rFonts w:ascii="宋体" w:hAnsi="宋体"/>
                <w:color w:val="000000"/>
                <w:sz w:val="24"/>
              </w:rPr>
            </w:pPr>
            <w:r>
              <w:rPr>
                <w:rFonts w:hint="eastAsia" w:ascii="宋体" w:hAnsi="宋体"/>
                <w:color w:val="000000"/>
                <w:sz w:val="24"/>
              </w:rPr>
              <w:t>投标人须提供具备履行合同所必需的设备和专业技术能力的证明材料或相关承诺；</w:t>
            </w:r>
          </w:p>
        </w:tc>
      </w:tr>
      <w:tr w14:paraId="44A58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668F1FE">
            <w:pPr>
              <w:widowControl/>
              <w:spacing w:line="440" w:lineRule="exact"/>
              <w:jc w:val="left"/>
              <w:rPr>
                <w:rFonts w:ascii="宋体" w:hAnsi="宋体"/>
                <w:b/>
                <w:color w:val="000000"/>
                <w:sz w:val="24"/>
                <w:highlight w:val="yellow"/>
              </w:rPr>
            </w:pPr>
          </w:p>
        </w:tc>
        <w:tc>
          <w:tcPr>
            <w:tcW w:w="421" w:type="pct"/>
            <w:tcBorders>
              <w:top w:val="single" w:color="auto" w:sz="4" w:space="0"/>
              <w:left w:val="single" w:color="auto" w:sz="4" w:space="0"/>
              <w:bottom w:val="single" w:color="auto" w:sz="4" w:space="0"/>
              <w:right w:val="single" w:color="auto" w:sz="4" w:space="0"/>
            </w:tcBorders>
            <w:vAlign w:val="center"/>
          </w:tcPr>
          <w:p w14:paraId="33189070">
            <w:pPr>
              <w:spacing w:before="100" w:beforeAutospacing="1" w:after="100" w:afterAutospacing="1" w:line="440" w:lineRule="exact"/>
              <w:jc w:val="center"/>
              <w:rPr>
                <w:rFonts w:ascii="宋体" w:hAnsi="宋体"/>
                <w:color w:val="000000"/>
                <w:sz w:val="24"/>
              </w:rPr>
            </w:pPr>
            <w:r>
              <w:rPr>
                <w:rFonts w:hint="eastAsia" w:ascii="宋体" w:hAnsi="宋体"/>
                <w:color w:val="000000"/>
                <w:sz w:val="24"/>
              </w:rPr>
              <w:t>1.6</w:t>
            </w:r>
          </w:p>
        </w:tc>
        <w:tc>
          <w:tcPr>
            <w:tcW w:w="3893" w:type="pct"/>
            <w:tcBorders>
              <w:top w:val="single" w:color="auto" w:sz="4" w:space="0"/>
              <w:left w:val="single" w:color="auto" w:sz="4" w:space="0"/>
              <w:bottom w:val="single" w:color="auto" w:sz="4" w:space="0"/>
              <w:right w:val="single" w:color="auto" w:sz="4" w:space="0"/>
            </w:tcBorders>
            <w:vAlign w:val="center"/>
          </w:tcPr>
          <w:p w14:paraId="5069F992">
            <w:pPr>
              <w:spacing w:before="100" w:beforeAutospacing="1" w:after="100" w:afterAutospacing="1" w:line="440" w:lineRule="exact"/>
              <w:jc w:val="left"/>
              <w:rPr>
                <w:rFonts w:ascii="宋体" w:hAnsi="宋体"/>
                <w:color w:val="000000"/>
                <w:sz w:val="24"/>
              </w:rPr>
            </w:pPr>
            <w:r>
              <w:rPr>
                <w:rFonts w:hint="eastAsia" w:ascii="宋体" w:hAnsi="宋体"/>
                <w:color w:val="000000"/>
                <w:sz w:val="24"/>
              </w:rPr>
              <w:t>（1）投标人必须提供参加政府采购活动前3年内在经营活动中没有重大违法记录的书面声明（</w:t>
            </w:r>
            <w:r>
              <w:rPr>
                <w:rFonts w:hint="eastAsia" w:ascii="宋体" w:hAnsi="宋体" w:cs="宋体"/>
                <w:b/>
                <w:sz w:val="24"/>
                <w:szCs w:val="24"/>
              </w:rPr>
              <w:t>1、重大违法记录，是指供应商因违法经营受到刑事处罚或者责令停产停业、吊销许可证或者执照、较大数额罚款等行政处罚。2、“较大数额罚款”，是指200万元以上的罚款，法律、行政法规以及国务院有关部门明确规定相关领域“较大数额罚款”标准高于200万元的，从其规定</w:t>
            </w:r>
            <w:r>
              <w:rPr>
                <w:rFonts w:hint="eastAsia" w:ascii="宋体" w:hAnsi="宋体"/>
                <w:color w:val="000000"/>
                <w:sz w:val="24"/>
              </w:rPr>
              <w:t>）；</w:t>
            </w:r>
          </w:p>
          <w:p w14:paraId="0C982A90">
            <w:pPr>
              <w:spacing w:before="100" w:beforeAutospacing="1" w:after="100" w:afterAutospacing="1" w:line="440" w:lineRule="exact"/>
              <w:jc w:val="left"/>
              <w:rPr>
                <w:rFonts w:ascii="宋体" w:hAnsi="宋体"/>
                <w:color w:val="000000"/>
                <w:sz w:val="24"/>
              </w:rPr>
            </w:pPr>
            <w:r>
              <w:rPr>
                <w:rFonts w:hint="eastAsia" w:ascii="宋体" w:hAnsi="宋体"/>
                <w:color w:val="000000"/>
                <w:sz w:val="24"/>
              </w:rPr>
              <w:t>（2）采购代理机构将于评标前在“信用中国”网站（www.creditchina.gov.cn）失信被执行人、重大税收违法失信主体名单及中国政府采购网（www.ccgp.gov.cn）“政府采购严重违法失信行为记录名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14:paraId="60FAF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D02E34D">
            <w:pPr>
              <w:widowControl/>
              <w:spacing w:line="440" w:lineRule="exact"/>
              <w:jc w:val="left"/>
              <w:rPr>
                <w:rFonts w:ascii="宋体" w:hAnsi="宋体"/>
                <w:b/>
                <w:color w:val="000000"/>
                <w:sz w:val="24"/>
                <w:highlight w:val="yellow"/>
              </w:rPr>
            </w:pPr>
          </w:p>
        </w:tc>
        <w:tc>
          <w:tcPr>
            <w:tcW w:w="421" w:type="pct"/>
            <w:tcBorders>
              <w:top w:val="single" w:color="auto" w:sz="4" w:space="0"/>
              <w:left w:val="single" w:color="auto" w:sz="4" w:space="0"/>
              <w:bottom w:val="single" w:color="auto" w:sz="4" w:space="0"/>
              <w:right w:val="single" w:color="auto" w:sz="4" w:space="0"/>
            </w:tcBorders>
            <w:vAlign w:val="center"/>
          </w:tcPr>
          <w:p w14:paraId="12D6B49A">
            <w:pPr>
              <w:spacing w:before="100" w:beforeAutospacing="1" w:after="100" w:afterAutospacing="1" w:line="440" w:lineRule="exact"/>
              <w:jc w:val="center"/>
              <w:rPr>
                <w:rFonts w:ascii="宋体" w:hAnsi="宋体"/>
                <w:b/>
                <w:sz w:val="24"/>
              </w:rPr>
            </w:pPr>
            <w:r>
              <w:rPr>
                <w:rFonts w:hint="eastAsia" w:ascii="宋体" w:hAnsi="宋体"/>
                <w:b/>
                <w:sz w:val="24"/>
              </w:rPr>
              <w:t>2</w:t>
            </w:r>
          </w:p>
        </w:tc>
        <w:tc>
          <w:tcPr>
            <w:tcW w:w="3893" w:type="pct"/>
            <w:tcBorders>
              <w:top w:val="single" w:color="auto" w:sz="4" w:space="0"/>
              <w:left w:val="single" w:color="auto" w:sz="4" w:space="0"/>
              <w:bottom w:val="single" w:color="auto" w:sz="4" w:space="0"/>
              <w:right w:val="single" w:color="auto" w:sz="4" w:space="0"/>
            </w:tcBorders>
            <w:vAlign w:val="center"/>
          </w:tcPr>
          <w:p w14:paraId="51DB3131">
            <w:pPr>
              <w:spacing w:before="100" w:beforeAutospacing="1" w:after="100" w:afterAutospacing="1" w:line="440" w:lineRule="exact"/>
              <w:jc w:val="left"/>
              <w:rPr>
                <w:rFonts w:ascii="宋体" w:hAnsi="宋体"/>
                <w:b/>
                <w:sz w:val="24"/>
              </w:rPr>
            </w:pPr>
            <w:r>
              <w:rPr>
                <w:rFonts w:hint="eastAsia" w:ascii="宋体" w:hAnsi="宋体"/>
                <w:b/>
                <w:sz w:val="24"/>
              </w:rPr>
              <w:t>落实政府采购政策需满足的资格要求：</w:t>
            </w:r>
            <w:r>
              <w:rPr>
                <w:rFonts w:hint="eastAsia" w:ascii="宋体" w:hAnsi="宋体"/>
                <w:bCs/>
                <w:sz w:val="24"/>
                <w:u w:val="single"/>
              </w:rPr>
              <w:t>无；（1）云南省体育彩票管理中心2025年即开型体育彩票物流服务采购项目：非专门面向中小企业采购；</w:t>
            </w:r>
          </w:p>
        </w:tc>
      </w:tr>
      <w:tr w14:paraId="4F50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6BA3A41">
            <w:pPr>
              <w:widowControl/>
              <w:spacing w:line="440" w:lineRule="exact"/>
              <w:jc w:val="left"/>
              <w:rPr>
                <w:rFonts w:ascii="宋体" w:hAnsi="宋体"/>
                <w:b/>
                <w:color w:val="000000"/>
                <w:sz w:val="24"/>
                <w:highlight w:val="yellow"/>
              </w:rPr>
            </w:pPr>
          </w:p>
        </w:tc>
        <w:tc>
          <w:tcPr>
            <w:tcW w:w="421" w:type="pct"/>
            <w:tcBorders>
              <w:top w:val="single" w:color="auto" w:sz="4" w:space="0"/>
              <w:left w:val="single" w:color="auto" w:sz="4" w:space="0"/>
              <w:bottom w:val="single" w:color="auto" w:sz="4" w:space="0"/>
              <w:right w:val="single" w:color="auto" w:sz="4" w:space="0"/>
            </w:tcBorders>
            <w:vAlign w:val="center"/>
          </w:tcPr>
          <w:p w14:paraId="01599454">
            <w:pPr>
              <w:spacing w:before="100" w:beforeAutospacing="1" w:after="100" w:afterAutospacing="1" w:line="440" w:lineRule="exact"/>
              <w:jc w:val="center"/>
              <w:rPr>
                <w:rFonts w:ascii="宋体" w:hAnsi="宋体"/>
                <w:b/>
                <w:color w:val="000000"/>
                <w:sz w:val="24"/>
              </w:rPr>
            </w:pPr>
            <w:r>
              <w:rPr>
                <w:rFonts w:hint="eastAsia" w:ascii="宋体" w:hAnsi="宋体"/>
                <w:b/>
                <w:color w:val="000000"/>
                <w:sz w:val="24"/>
              </w:rPr>
              <w:t>3</w:t>
            </w:r>
          </w:p>
        </w:tc>
        <w:tc>
          <w:tcPr>
            <w:tcW w:w="3893" w:type="pct"/>
            <w:tcBorders>
              <w:top w:val="single" w:color="auto" w:sz="4" w:space="0"/>
              <w:left w:val="single" w:color="auto" w:sz="4" w:space="0"/>
              <w:bottom w:val="single" w:color="auto" w:sz="4" w:space="0"/>
              <w:right w:val="single" w:color="auto" w:sz="4" w:space="0"/>
            </w:tcBorders>
            <w:vAlign w:val="center"/>
          </w:tcPr>
          <w:p w14:paraId="649BFD48">
            <w:pPr>
              <w:spacing w:before="100" w:beforeAutospacing="1" w:after="100" w:afterAutospacing="1" w:line="440" w:lineRule="exact"/>
              <w:jc w:val="left"/>
              <w:rPr>
                <w:rFonts w:ascii="宋体" w:hAnsi="宋体"/>
                <w:b/>
                <w:color w:val="000000"/>
                <w:sz w:val="24"/>
              </w:rPr>
            </w:pPr>
            <w:r>
              <w:rPr>
                <w:rFonts w:hint="eastAsia" w:ascii="宋体" w:hAnsi="宋体"/>
                <w:b/>
                <w:color w:val="000000"/>
                <w:sz w:val="24"/>
              </w:rPr>
              <w:t>本项目的特定资格要求：</w:t>
            </w:r>
          </w:p>
        </w:tc>
      </w:tr>
      <w:tr w14:paraId="04471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1DBDD26">
            <w:pPr>
              <w:widowControl/>
              <w:spacing w:line="440" w:lineRule="exact"/>
              <w:jc w:val="left"/>
              <w:rPr>
                <w:rFonts w:ascii="宋体" w:hAnsi="宋体"/>
                <w:b/>
                <w:color w:val="000000"/>
                <w:sz w:val="24"/>
                <w:highlight w:val="yellow"/>
              </w:rPr>
            </w:pPr>
          </w:p>
        </w:tc>
        <w:tc>
          <w:tcPr>
            <w:tcW w:w="421" w:type="pct"/>
            <w:tcBorders>
              <w:top w:val="single" w:color="auto" w:sz="4" w:space="0"/>
              <w:left w:val="single" w:color="auto" w:sz="4" w:space="0"/>
              <w:bottom w:val="single" w:color="auto" w:sz="4" w:space="0"/>
              <w:right w:val="single" w:color="auto" w:sz="4" w:space="0"/>
            </w:tcBorders>
            <w:vAlign w:val="center"/>
          </w:tcPr>
          <w:p w14:paraId="4ABFE08F">
            <w:pPr>
              <w:spacing w:before="100" w:beforeAutospacing="1" w:after="100" w:afterAutospacing="1" w:line="440" w:lineRule="exact"/>
              <w:jc w:val="center"/>
              <w:rPr>
                <w:rFonts w:ascii="宋体" w:hAnsi="宋体"/>
                <w:sz w:val="24"/>
              </w:rPr>
            </w:pPr>
            <w:r>
              <w:rPr>
                <w:rFonts w:hint="eastAsia" w:ascii="宋体" w:hAnsi="宋体"/>
                <w:sz w:val="24"/>
              </w:rPr>
              <w:t>3.1</w:t>
            </w:r>
          </w:p>
        </w:tc>
        <w:tc>
          <w:tcPr>
            <w:tcW w:w="3893" w:type="pct"/>
            <w:tcBorders>
              <w:top w:val="single" w:color="auto" w:sz="4" w:space="0"/>
              <w:left w:val="single" w:color="auto" w:sz="4" w:space="0"/>
              <w:bottom w:val="single" w:color="auto" w:sz="4" w:space="0"/>
              <w:right w:val="single" w:color="auto" w:sz="4" w:space="0"/>
            </w:tcBorders>
            <w:vAlign w:val="center"/>
          </w:tcPr>
          <w:p w14:paraId="3E169B0D">
            <w:pPr>
              <w:spacing w:before="100" w:beforeAutospacing="1" w:after="100" w:afterAutospacing="1" w:line="440" w:lineRule="exact"/>
              <w:jc w:val="left"/>
              <w:rPr>
                <w:rFonts w:ascii="宋体" w:hAnsi="宋体"/>
                <w:sz w:val="24"/>
                <w:u w:val="single"/>
              </w:rPr>
            </w:pPr>
            <w:r>
              <w:rPr>
                <w:rFonts w:hint="eastAsia" w:ascii="宋体" w:hAnsi="宋体"/>
                <w:bCs/>
                <w:sz w:val="24"/>
                <w:u w:val="single"/>
              </w:rPr>
              <w:t>供应商须具备有效的《道路运输经营许可证》（若分公司参加投标的，应当提供总公司出具针对本项目的授权，授权书中须由总公司承诺承担相关主体责任，每个总公司仅能授权一家分支机构参与投标，不接受总公司及其分支机构同时参与同一项目投标，否则相关投标均按无效投标处理）；（注：因交通运输部办公厅取消了总质量4.5吨及以下普通货运车辆道路运输证，如拟投入车辆均为总质量4.5吨及以下，则无需提供《道路运输经营许可证》。如拟投入车辆证明材料无法反映车辆总质量而又未提供《道路运输经营许可证》的，不予认可。）</w:t>
            </w:r>
          </w:p>
        </w:tc>
      </w:tr>
      <w:tr w14:paraId="3CF13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6721B10">
            <w:pPr>
              <w:widowControl/>
              <w:spacing w:line="440" w:lineRule="exact"/>
              <w:jc w:val="left"/>
              <w:rPr>
                <w:rFonts w:ascii="宋体" w:hAnsi="宋体"/>
                <w:b/>
                <w:color w:val="000000"/>
                <w:sz w:val="24"/>
                <w:highlight w:val="yellow"/>
              </w:rPr>
            </w:pPr>
          </w:p>
        </w:tc>
        <w:tc>
          <w:tcPr>
            <w:tcW w:w="421" w:type="pct"/>
            <w:tcBorders>
              <w:top w:val="single" w:color="auto" w:sz="4" w:space="0"/>
              <w:left w:val="single" w:color="auto" w:sz="4" w:space="0"/>
              <w:bottom w:val="single" w:color="auto" w:sz="4" w:space="0"/>
              <w:right w:val="single" w:color="auto" w:sz="4" w:space="0"/>
            </w:tcBorders>
            <w:vAlign w:val="center"/>
          </w:tcPr>
          <w:p w14:paraId="52851013">
            <w:pPr>
              <w:spacing w:before="100" w:beforeAutospacing="1" w:after="100" w:afterAutospacing="1" w:line="440" w:lineRule="exact"/>
              <w:jc w:val="center"/>
              <w:rPr>
                <w:rFonts w:ascii="宋体" w:hAnsi="宋体"/>
                <w:color w:val="000000"/>
                <w:sz w:val="24"/>
              </w:rPr>
            </w:pPr>
            <w:r>
              <w:rPr>
                <w:rFonts w:hint="eastAsia" w:ascii="宋体" w:hAnsi="宋体"/>
                <w:color w:val="000000"/>
                <w:sz w:val="24"/>
              </w:rPr>
              <w:t>3.2</w:t>
            </w:r>
          </w:p>
        </w:tc>
        <w:tc>
          <w:tcPr>
            <w:tcW w:w="3893" w:type="pct"/>
            <w:tcBorders>
              <w:top w:val="single" w:color="auto" w:sz="4" w:space="0"/>
              <w:left w:val="single" w:color="auto" w:sz="4" w:space="0"/>
              <w:bottom w:val="single" w:color="auto" w:sz="4" w:space="0"/>
              <w:right w:val="single" w:color="auto" w:sz="4" w:space="0"/>
            </w:tcBorders>
            <w:shd w:val="clear" w:color="auto" w:fill="auto"/>
            <w:vAlign w:val="center"/>
          </w:tcPr>
          <w:p w14:paraId="55C68BE2">
            <w:pPr>
              <w:spacing w:before="100" w:beforeAutospacing="1" w:after="100" w:afterAutospacing="1" w:line="440" w:lineRule="exact"/>
              <w:jc w:val="left"/>
              <w:rPr>
                <w:rFonts w:ascii="宋体" w:hAnsi="宋体"/>
                <w:b/>
                <w:sz w:val="24"/>
              </w:rPr>
            </w:pPr>
            <w:r>
              <w:rPr>
                <w:rFonts w:hint="eastAsia" w:ascii="宋体" w:hAnsi="宋体"/>
                <w:bCs/>
                <w:sz w:val="24"/>
                <w:u w:val="single"/>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tc>
      </w:tr>
      <w:tr w14:paraId="2A066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C87F0B8">
            <w:pPr>
              <w:widowControl/>
              <w:spacing w:line="440" w:lineRule="exact"/>
              <w:jc w:val="left"/>
              <w:rPr>
                <w:rFonts w:ascii="宋体" w:hAnsi="宋体"/>
                <w:b/>
                <w:color w:val="000000"/>
                <w:sz w:val="24"/>
                <w:highlight w:val="yellow"/>
              </w:rPr>
            </w:pPr>
          </w:p>
        </w:tc>
        <w:tc>
          <w:tcPr>
            <w:tcW w:w="421" w:type="pct"/>
            <w:tcBorders>
              <w:top w:val="single" w:color="auto" w:sz="4" w:space="0"/>
              <w:left w:val="single" w:color="auto" w:sz="4" w:space="0"/>
              <w:bottom w:val="single" w:color="auto" w:sz="4" w:space="0"/>
              <w:right w:val="single" w:color="auto" w:sz="4" w:space="0"/>
            </w:tcBorders>
            <w:vAlign w:val="center"/>
          </w:tcPr>
          <w:p w14:paraId="562A720C">
            <w:pPr>
              <w:spacing w:before="100" w:beforeAutospacing="1" w:after="100" w:afterAutospacing="1" w:line="440" w:lineRule="exact"/>
              <w:jc w:val="center"/>
              <w:rPr>
                <w:rFonts w:ascii="宋体" w:hAnsi="宋体"/>
                <w:color w:val="000000"/>
                <w:sz w:val="24"/>
              </w:rPr>
            </w:pPr>
            <w:r>
              <w:rPr>
                <w:rFonts w:hint="eastAsia" w:ascii="宋体" w:hAnsi="宋体"/>
                <w:color w:val="000000"/>
                <w:sz w:val="24"/>
              </w:rPr>
              <w:t>3.3</w:t>
            </w:r>
          </w:p>
        </w:tc>
        <w:tc>
          <w:tcPr>
            <w:tcW w:w="3893" w:type="pct"/>
            <w:tcBorders>
              <w:top w:val="single" w:color="auto" w:sz="4" w:space="0"/>
              <w:left w:val="single" w:color="auto" w:sz="4" w:space="0"/>
              <w:bottom w:val="single" w:color="auto" w:sz="4" w:space="0"/>
              <w:right w:val="single" w:color="auto" w:sz="4" w:space="0"/>
            </w:tcBorders>
            <w:shd w:val="clear" w:color="auto" w:fill="auto"/>
            <w:vAlign w:val="center"/>
          </w:tcPr>
          <w:p w14:paraId="356620D5">
            <w:pPr>
              <w:spacing w:line="440" w:lineRule="exact"/>
              <w:rPr>
                <w:rFonts w:ascii="宋体" w:hAnsi="宋体"/>
                <w:sz w:val="24"/>
                <w:u w:val="single"/>
              </w:rPr>
            </w:pPr>
            <w:r>
              <w:rPr>
                <w:rFonts w:hint="eastAsia" w:ascii="宋体" w:hAnsi="宋体"/>
                <w:sz w:val="24"/>
                <w:u w:val="single"/>
              </w:rPr>
              <w:t>本次招标</w:t>
            </w:r>
            <w:r>
              <w:rPr>
                <w:rFonts w:hint="eastAsia" w:ascii="宋体" w:hAnsi="宋体"/>
                <w:b/>
                <w:sz w:val="24"/>
                <w:u w:val="single"/>
              </w:rPr>
              <w:t>不接受</w:t>
            </w:r>
            <w:r>
              <w:rPr>
                <w:rFonts w:hint="eastAsia" w:ascii="宋体" w:hAnsi="宋体"/>
                <w:sz w:val="24"/>
                <w:u w:val="single"/>
              </w:rPr>
              <w:t>联合体投标</w:t>
            </w:r>
            <w:r>
              <w:rPr>
                <w:rFonts w:hint="eastAsia" w:ascii="宋体" w:hAnsi="宋体"/>
                <w:sz w:val="24"/>
              </w:rPr>
              <w:t>。</w:t>
            </w:r>
          </w:p>
        </w:tc>
      </w:tr>
      <w:tr w14:paraId="7086D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684" w:type="pct"/>
            <w:tcBorders>
              <w:top w:val="single" w:color="auto" w:sz="4" w:space="0"/>
              <w:left w:val="single" w:color="auto" w:sz="4" w:space="0"/>
              <w:bottom w:val="single" w:color="auto" w:sz="4" w:space="0"/>
              <w:right w:val="single" w:color="auto" w:sz="4" w:space="0"/>
            </w:tcBorders>
            <w:vAlign w:val="center"/>
          </w:tcPr>
          <w:p w14:paraId="5309BFA5">
            <w:pPr>
              <w:spacing w:before="100" w:beforeAutospacing="1" w:after="100" w:afterAutospacing="1" w:line="440" w:lineRule="exact"/>
              <w:jc w:val="center"/>
              <w:rPr>
                <w:rFonts w:ascii="宋体" w:hAnsi="宋体"/>
                <w:color w:val="000000"/>
                <w:sz w:val="24"/>
                <w:highlight w:val="yellow"/>
              </w:rPr>
            </w:pPr>
            <w:r>
              <w:rPr>
                <w:rFonts w:hint="eastAsia" w:ascii="宋体" w:hAnsi="宋体"/>
                <w:color w:val="000000"/>
                <w:sz w:val="24"/>
              </w:rPr>
              <w:t>资格审查小组</w:t>
            </w:r>
          </w:p>
        </w:tc>
        <w:tc>
          <w:tcPr>
            <w:tcW w:w="4315" w:type="pct"/>
            <w:gridSpan w:val="2"/>
            <w:tcBorders>
              <w:top w:val="single" w:color="auto" w:sz="4" w:space="0"/>
              <w:left w:val="single" w:color="auto" w:sz="4" w:space="0"/>
              <w:bottom w:val="single" w:color="auto" w:sz="4" w:space="0"/>
              <w:right w:val="single" w:color="auto" w:sz="4" w:space="0"/>
            </w:tcBorders>
            <w:vAlign w:val="center"/>
          </w:tcPr>
          <w:p w14:paraId="3809F19C">
            <w:pPr>
              <w:spacing w:before="100" w:beforeAutospacing="1" w:after="100" w:afterAutospacing="1" w:line="440" w:lineRule="exact"/>
              <w:jc w:val="left"/>
              <w:rPr>
                <w:rFonts w:ascii="宋体" w:hAnsi="宋体"/>
                <w:color w:val="000000"/>
                <w:sz w:val="24"/>
              </w:rPr>
            </w:pPr>
            <w:r>
              <w:rPr>
                <w:rFonts w:hint="eastAsia" w:ascii="宋体" w:hAnsi="宋体"/>
                <w:color w:val="000000"/>
                <w:sz w:val="24"/>
              </w:rPr>
              <w:t>资格审查小组由采购人和采购代理机构共同组成。</w:t>
            </w:r>
          </w:p>
        </w:tc>
      </w:tr>
    </w:tbl>
    <w:p w14:paraId="7F166D72">
      <w:pPr>
        <w:pStyle w:val="9"/>
        <w:rPr>
          <w:highlight w:val="yellow"/>
        </w:rPr>
      </w:pPr>
    </w:p>
    <w:p w14:paraId="1A71AF85">
      <w:pPr>
        <w:keepNext/>
        <w:tabs>
          <w:tab w:val="left" w:pos="360"/>
          <w:tab w:val="left" w:pos="1021"/>
        </w:tabs>
        <w:adjustRightInd w:val="0"/>
        <w:spacing w:line="360" w:lineRule="auto"/>
        <w:textAlignment w:val="baseline"/>
        <w:outlineLvl w:val="1"/>
        <w:rPr>
          <w:rFonts w:ascii="宋体" w:hAnsi="宋体" w:cs="宋体"/>
          <w:b/>
          <w:color w:val="000000"/>
          <w:kern w:val="0"/>
          <w:sz w:val="24"/>
        </w:rPr>
      </w:pPr>
      <w:bookmarkStart w:id="89" w:name="_Toc32158"/>
      <w:bookmarkStart w:id="90" w:name="_Toc152246159"/>
      <w:bookmarkStart w:id="91" w:name="_Toc70446120"/>
      <w:r>
        <w:rPr>
          <w:rFonts w:hint="eastAsia" w:ascii="宋体" w:hAnsi="宋体" w:cs="宋体"/>
          <w:b/>
          <w:color w:val="000000"/>
          <w:kern w:val="0"/>
          <w:sz w:val="24"/>
        </w:rPr>
        <w:t>1. 资格审查</w:t>
      </w:r>
      <w:bookmarkEnd w:id="89"/>
      <w:bookmarkEnd w:id="90"/>
      <w:bookmarkEnd w:id="91"/>
    </w:p>
    <w:p w14:paraId="16673399">
      <w:pPr>
        <w:ind w:firstLine="480" w:firstLineChars="200"/>
        <w:rPr>
          <w:rFonts w:ascii="宋体" w:hAnsi="宋体" w:cs="宋体"/>
          <w:color w:val="000000"/>
          <w:sz w:val="24"/>
        </w:rPr>
      </w:pPr>
      <w:r>
        <w:rPr>
          <w:rFonts w:hint="eastAsia" w:ascii="宋体" w:hAnsi="宋体" w:cs="宋体"/>
          <w:color w:val="000000"/>
          <w:sz w:val="24"/>
        </w:rPr>
        <w:t>公开招标采购项目开标结束后，采购人或者采购代理机构依法对投标人的资格进行审查。</w:t>
      </w:r>
    </w:p>
    <w:p w14:paraId="1033237E">
      <w:pPr>
        <w:keepNext/>
        <w:tabs>
          <w:tab w:val="left" w:pos="360"/>
          <w:tab w:val="left" w:pos="1021"/>
        </w:tabs>
        <w:adjustRightInd w:val="0"/>
        <w:spacing w:line="360" w:lineRule="auto"/>
        <w:textAlignment w:val="baseline"/>
        <w:outlineLvl w:val="1"/>
        <w:rPr>
          <w:rFonts w:ascii="宋体" w:hAnsi="宋体" w:cs="宋体"/>
          <w:b/>
          <w:color w:val="000000"/>
          <w:kern w:val="0"/>
          <w:sz w:val="24"/>
        </w:rPr>
      </w:pPr>
      <w:bookmarkStart w:id="92" w:name="_Toc30004"/>
      <w:bookmarkStart w:id="93" w:name="_Toc152246160"/>
      <w:bookmarkStart w:id="94" w:name="_Toc70446121"/>
      <w:r>
        <w:rPr>
          <w:rFonts w:hint="eastAsia" w:ascii="宋体" w:hAnsi="宋体" w:cs="宋体"/>
          <w:b/>
          <w:color w:val="000000"/>
          <w:kern w:val="0"/>
          <w:sz w:val="24"/>
        </w:rPr>
        <w:t>2. 资格审查标准</w:t>
      </w:r>
      <w:bookmarkEnd w:id="92"/>
      <w:bookmarkEnd w:id="93"/>
      <w:bookmarkEnd w:id="94"/>
    </w:p>
    <w:p w14:paraId="14E54103">
      <w:pPr>
        <w:spacing w:line="360" w:lineRule="auto"/>
        <w:ind w:firstLine="480" w:firstLineChars="200"/>
        <w:jc w:val="left"/>
        <w:rPr>
          <w:rFonts w:ascii="宋体" w:hAnsi="宋体" w:cs="宋体"/>
          <w:color w:val="000000"/>
          <w:sz w:val="24"/>
        </w:rPr>
      </w:pPr>
      <w:r>
        <w:rPr>
          <w:rFonts w:hint="eastAsia" w:ascii="宋体" w:hAnsi="宋体" w:cs="宋体"/>
          <w:color w:val="000000"/>
          <w:sz w:val="24"/>
        </w:rPr>
        <w:t>资格审查标准：依据法律法规和招标文件的规定，对投标文件中的资格条件以及证明文件等进行审查，以确定投标人是否具备投标资格；见资格审查前附表。</w:t>
      </w:r>
    </w:p>
    <w:p w14:paraId="39FBD852">
      <w:pPr>
        <w:keepNext/>
        <w:tabs>
          <w:tab w:val="left" w:pos="360"/>
          <w:tab w:val="left" w:pos="1021"/>
        </w:tabs>
        <w:adjustRightInd w:val="0"/>
        <w:spacing w:line="360" w:lineRule="auto"/>
        <w:textAlignment w:val="baseline"/>
        <w:outlineLvl w:val="1"/>
        <w:rPr>
          <w:rFonts w:ascii="宋体" w:hAnsi="宋体" w:cs="宋体"/>
          <w:b/>
          <w:color w:val="000000"/>
          <w:kern w:val="0"/>
          <w:sz w:val="24"/>
        </w:rPr>
      </w:pPr>
      <w:bookmarkStart w:id="95" w:name="_Toc152246161"/>
      <w:bookmarkStart w:id="96" w:name="_Toc17507"/>
      <w:bookmarkStart w:id="97" w:name="_Toc70446122"/>
      <w:r>
        <w:rPr>
          <w:rFonts w:hint="eastAsia" w:ascii="宋体" w:hAnsi="宋体" w:cs="宋体"/>
          <w:b/>
          <w:color w:val="000000"/>
          <w:kern w:val="0"/>
          <w:sz w:val="24"/>
        </w:rPr>
        <w:t>3. 资格审查程序</w:t>
      </w:r>
      <w:bookmarkEnd w:id="95"/>
      <w:bookmarkEnd w:id="96"/>
      <w:bookmarkEnd w:id="97"/>
    </w:p>
    <w:p w14:paraId="0DA69F87">
      <w:pPr>
        <w:tabs>
          <w:tab w:val="left" w:pos="2472"/>
        </w:tabs>
        <w:spacing w:line="360" w:lineRule="auto"/>
        <w:ind w:firstLine="480" w:firstLineChars="200"/>
        <w:rPr>
          <w:rFonts w:ascii="宋体" w:hAnsi="宋体" w:cs="宋体"/>
          <w:color w:val="000000"/>
          <w:sz w:val="24"/>
        </w:rPr>
      </w:pPr>
      <w:r>
        <w:rPr>
          <w:rFonts w:hint="eastAsia" w:ascii="宋体" w:hAnsi="宋体" w:cs="宋体"/>
          <w:color w:val="000000"/>
          <w:sz w:val="24"/>
        </w:rPr>
        <w:t>采购人或采购代理机构依据本章规定的标准对投标文件进行资格审查。有一项不符合审查标准的，投标无效。</w:t>
      </w:r>
    </w:p>
    <w:p w14:paraId="4C42BA6F">
      <w:pPr>
        <w:spacing w:before="100" w:beforeAutospacing="1" w:after="100" w:afterAutospacing="1" w:line="360" w:lineRule="auto"/>
        <w:ind w:firstLine="480" w:firstLineChars="200"/>
        <w:jc w:val="left"/>
        <w:rPr>
          <w:rFonts w:ascii="宋体" w:hAnsi="宋体" w:cs="宋体"/>
          <w:b/>
          <w:color w:val="000000"/>
          <w:sz w:val="24"/>
          <w:u w:val="single"/>
        </w:rPr>
      </w:pPr>
      <w:r>
        <w:rPr>
          <w:rFonts w:hint="eastAsia" w:ascii="宋体" w:hAnsi="宋体" w:cs="宋体"/>
          <w:b/>
          <w:color w:val="000000"/>
          <w:sz w:val="24"/>
          <w:u w:val="single"/>
        </w:rPr>
        <w:t>注：合格投标人不足3家的，不再进入评标程序，作废标处理。</w:t>
      </w:r>
    </w:p>
    <w:p w14:paraId="36F71D99">
      <w:pPr>
        <w:pStyle w:val="28"/>
        <w:rPr>
          <w:rFonts w:ascii="宋体" w:hAnsi="宋体"/>
          <w:color w:val="000000"/>
          <w:szCs w:val="21"/>
        </w:rPr>
      </w:pPr>
      <w:bookmarkStart w:id="98" w:name="_Toc63070523"/>
      <w:r>
        <w:rPr>
          <w:rFonts w:ascii="宋体" w:hAnsi="宋体"/>
          <w:color w:val="000000"/>
          <w:sz w:val="36"/>
        </w:rPr>
        <w:br w:type="page"/>
      </w:r>
      <w:bookmarkStart w:id="99" w:name="_Toc152246162"/>
      <w:r>
        <w:rPr>
          <w:rFonts w:hint="eastAsia" w:ascii="宋体" w:hAnsi="宋体"/>
          <w:color w:val="000000"/>
          <w:sz w:val="36"/>
        </w:rPr>
        <w:t>第七章 评标方法（综合评分法）</w:t>
      </w:r>
      <w:bookmarkEnd w:id="98"/>
      <w:bookmarkEnd w:id="99"/>
    </w:p>
    <w:p w14:paraId="4137584A">
      <w:pPr>
        <w:pStyle w:val="4"/>
        <w:numPr>
          <w:ilvl w:val="0"/>
          <w:numId w:val="0"/>
        </w:numPr>
        <w:jc w:val="center"/>
        <w:rPr>
          <w:rFonts w:ascii="宋体" w:hAnsi="宋体" w:eastAsia="宋体"/>
          <w:color w:val="000000"/>
        </w:rPr>
      </w:pPr>
      <w:bookmarkStart w:id="100" w:name="_Toc398126394"/>
      <w:bookmarkStart w:id="101" w:name="_Toc402942147"/>
      <w:bookmarkStart w:id="102" w:name="_Toc152246163"/>
      <w:r>
        <w:rPr>
          <w:rFonts w:hint="eastAsia" w:ascii="宋体" w:hAnsi="宋体" w:eastAsia="宋体"/>
          <w:color w:val="000000"/>
        </w:rPr>
        <w:t>评标方法前附表</w:t>
      </w:r>
      <w:bookmarkEnd w:id="100"/>
      <w:bookmarkEnd w:id="101"/>
      <w:bookmarkEnd w:id="102"/>
    </w:p>
    <w:tbl>
      <w:tblPr>
        <w:tblStyle w:val="31"/>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114"/>
        <w:gridCol w:w="2087"/>
        <w:gridCol w:w="5969"/>
      </w:tblGrid>
      <w:tr w14:paraId="276CA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blHeader/>
          <w:jc w:val="center"/>
        </w:trPr>
        <w:tc>
          <w:tcPr>
            <w:tcW w:w="685" w:type="dxa"/>
            <w:tcBorders>
              <w:top w:val="single" w:color="auto" w:sz="4" w:space="0"/>
              <w:left w:val="single" w:color="auto" w:sz="4" w:space="0"/>
              <w:bottom w:val="single" w:color="auto" w:sz="4" w:space="0"/>
              <w:right w:val="single" w:color="auto" w:sz="4" w:space="0"/>
            </w:tcBorders>
            <w:vAlign w:val="center"/>
          </w:tcPr>
          <w:p w14:paraId="0342E355">
            <w:pPr>
              <w:spacing w:before="100" w:beforeAutospacing="1" w:after="100" w:afterAutospacing="1"/>
              <w:jc w:val="center"/>
              <w:rPr>
                <w:rFonts w:ascii="宋体" w:hAnsi="宋体"/>
                <w:b/>
                <w:color w:val="000000"/>
                <w:sz w:val="24"/>
                <w:szCs w:val="24"/>
              </w:rPr>
            </w:pPr>
            <w:r>
              <w:rPr>
                <w:rFonts w:hint="eastAsia" w:ascii="宋体" w:hAnsi="宋体"/>
                <w:b/>
                <w:color w:val="000000"/>
                <w:sz w:val="24"/>
                <w:szCs w:val="24"/>
              </w:rPr>
              <w:t>条款号</w:t>
            </w:r>
          </w:p>
        </w:tc>
        <w:tc>
          <w:tcPr>
            <w:tcW w:w="1114" w:type="dxa"/>
            <w:tcBorders>
              <w:top w:val="single" w:color="auto" w:sz="4" w:space="0"/>
              <w:left w:val="single" w:color="auto" w:sz="4" w:space="0"/>
              <w:bottom w:val="single" w:color="auto" w:sz="4" w:space="0"/>
              <w:right w:val="single" w:color="auto" w:sz="4" w:space="0"/>
            </w:tcBorders>
            <w:vAlign w:val="center"/>
          </w:tcPr>
          <w:p w14:paraId="3817DC31">
            <w:pPr>
              <w:spacing w:before="100" w:beforeAutospacing="1" w:after="100" w:afterAutospacing="1"/>
              <w:jc w:val="center"/>
              <w:rPr>
                <w:rFonts w:ascii="宋体" w:hAnsi="宋体"/>
                <w:b/>
                <w:color w:val="000000"/>
                <w:sz w:val="24"/>
                <w:szCs w:val="24"/>
              </w:rPr>
            </w:pPr>
            <w:r>
              <w:rPr>
                <w:rFonts w:hint="eastAsia" w:ascii="宋体" w:hAnsi="宋体"/>
                <w:b/>
                <w:color w:val="000000"/>
                <w:sz w:val="24"/>
                <w:szCs w:val="24"/>
              </w:rPr>
              <w:t>评审程序</w:t>
            </w:r>
          </w:p>
        </w:tc>
        <w:tc>
          <w:tcPr>
            <w:tcW w:w="2087" w:type="dxa"/>
            <w:tcBorders>
              <w:top w:val="single" w:color="auto" w:sz="4" w:space="0"/>
              <w:left w:val="single" w:color="auto" w:sz="4" w:space="0"/>
              <w:bottom w:val="single" w:color="auto" w:sz="4" w:space="0"/>
              <w:right w:val="single" w:color="auto" w:sz="4" w:space="0"/>
            </w:tcBorders>
            <w:vAlign w:val="center"/>
          </w:tcPr>
          <w:p w14:paraId="06671302">
            <w:pPr>
              <w:spacing w:before="100" w:beforeAutospacing="1" w:after="100" w:afterAutospacing="1" w:line="360" w:lineRule="auto"/>
              <w:jc w:val="center"/>
              <w:rPr>
                <w:rFonts w:ascii="宋体" w:hAnsi="宋体"/>
                <w:b/>
                <w:color w:val="000000"/>
                <w:sz w:val="24"/>
                <w:szCs w:val="24"/>
              </w:rPr>
            </w:pPr>
            <w:r>
              <w:rPr>
                <w:rFonts w:hint="eastAsia" w:ascii="宋体" w:hAnsi="宋体"/>
                <w:b/>
                <w:color w:val="000000"/>
                <w:sz w:val="24"/>
                <w:szCs w:val="24"/>
              </w:rPr>
              <w:t>评审因素</w:t>
            </w:r>
          </w:p>
        </w:tc>
        <w:tc>
          <w:tcPr>
            <w:tcW w:w="5968" w:type="dxa"/>
            <w:tcBorders>
              <w:top w:val="single" w:color="auto" w:sz="4" w:space="0"/>
              <w:left w:val="single" w:color="auto" w:sz="4" w:space="0"/>
              <w:bottom w:val="single" w:color="auto" w:sz="4" w:space="0"/>
              <w:right w:val="single" w:color="auto" w:sz="4" w:space="0"/>
            </w:tcBorders>
            <w:vAlign w:val="center"/>
          </w:tcPr>
          <w:p w14:paraId="3B50D79E">
            <w:pPr>
              <w:spacing w:before="100" w:beforeAutospacing="1" w:after="100" w:afterAutospacing="1" w:line="360" w:lineRule="auto"/>
              <w:jc w:val="center"/>
              <w:rPr>
                <w:rFonts w:ascii="宋体" w:hAnsi="宋体"/>
                <w:b/>
                <w:color w:val="000000"/>
                <w:sz w:val="24"/>
                <w:szCs w:val="24"/>
              </w:rPr>
            </w:pPr>
            <w:r>
              <w:rPr>
                <w:rFonts w:hint="eastAsia" w:ascii="宋体" w:hAnsi="宋体"/>
                <w:b/>
                <w:color w:val="000000"/>
                <w:sz w:val="24"/>
                <w:szCs w:val="24"/>
              </w:rPr>
              <w:t>评 审 内 容 及 标 准</w:t>
            </w:r>
          </w:p>
        </w:tc>
      </w:tr>
      <w:tr w14:paraId="374DD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85" w:type="dxa"/>
            <w:vMerge w:val="restart"/>
            <w:tcBorders>
              <w:top w:val="single" w:color="auto" w:sz="4" w:space="0"/>
              <w:left w:val="single" w:color="auto" w:sz="4" w:space="0"/>
              <w:bottom w:val="single" w:color="auto" w:sz="4" w:space="0"/>
              <w:right w:val="single" w:color="auto" w:sz="4" w:space="0"/>
            </w:tcBorders>
            <w:vAlign w:val="center"/>
          </w:tcPr>
          <w:p w14:paraId="0DA16F73">
            <w:pPr>
              <w:spacing w:before="100" w:beforeAutospacing="1" w:after="100" w:afterAutospacing="1" w:line="360" w:lineRule="auto"/>
              <w:jc w:val="center"/>
              <w:rPr>
                <w:rFonts w:ascii="宋体" w:hAnsi="宋体"/>
                <w:color w:val="000000"/>
                <w:sz w:val="24"/>
                <w:szCs w:val="24"/>
              </w:rPr>
            </w:pPr>
            <w:r>
              <w:rPr>
                <w:rFonts w:hint="eastAsia" w:ascii="宋体" w:hAnsi="宋体"/>
                <w:color w:val="000000"/>
                <w:sz w:val="24"/>
                <w:szCs w:val="24"/>
              </w:rPr>
              <w:t>3.1</w:t>
            </w:r>
          </w:p>
        </w:tc>
        <w:tc>
          <w:tcPr>
            <w:tcW w:w="1114" w:type="dxa"/>
            <w:vMerge w:val="restart"/>
            <w:tcBorders>
              <w:top w:val="single" w:color="auto" w:sz="4" w:space="0"/>
              <w:left w:val="single" w:color="auto" w:sz="4" w:space="0"/>
              <w:bottom w:val="single" w:color="auto" w:sz="4" w:space="0"/>
              <w:right w:val="single" w:color="auto" w:sz="4" w:space="0"/>
            </w:tcBorders>
            <w:vAlign w:val="center"/>
          </w:tcPr>
          <w:p w14:paraId="053D3572">
            <w:pPr>
              <w:spacing w:before="100" w:beforeAutospacing="1" w:after="100" w:afterAutospacing="1" w:line="360" w:lineRule="auto"/>
              <w:jc w:val="center"/>
              <w:rPr>
                <w:rFonts w:ascii="宋体" w:hAnsi="宋体"/>
                <w:color w:val="000000"/>
                <w:sz w:val="24"/>
                <w:szCs w:val="24"/>
              </w:rPr>
            </w:pPr>
            <w:r>
              <w:rPr>
                <w:rFonts w:hint="eastAsia" w:ascii="宋体" w:hAnsi="宋体"/>
                <w:color w:val="000000"/>
                <w:sz w:val="24"/>
                <w:szCs w:val="24"/>
              </w:rPr>
              <w:t>符合性评审标准</w:t>
            </w:r>
          </w:p>
        </w:tc>
        <w:tc>
          <w:tcPr>
            <w:tcW w:w="8055" w:type="dxa"/>
            <w:gridSpan w:val="2"/>
            <w:tcBorders>
              <w:top w:val="single" w:color="auto" w:sz="4" w:space="0"/>
              <w:left w:val="single" w:color="auto" w:sz="4" w:space="0"/>
              <w:bottom w:val="single" w:color="auto" w:sz="4" w:space="0"/>
              <w:right w:val="single" w:color="auto" w:sz="4" w:space="0"/>
            </w:tcBorders>
            <w:vAlign w:val="center"/>
          </w:tcPr>
          <w:p w14:paraId="1837FF67">
            <w:pPr>
              <w:spacing w:before="100" w:beforeAutospacing="1" w:after="100" w:afterAutospacing="1" w:line="360" w:lineRule="auto"/>
              <w:jc w:val="left"/>
              <w:rPr>
                <w:rFonts w:ascii="宋体" w:hAnsi="宋体"/>
                <w:b/>
                <w:color w:val="000000"/>
                <w:sz w:val="24"/>
                <w:szCs w:val="24"/>
              </w:rPr>
            </w:pPr>
            <w:r>
              <w:rPr>
                <w:rFonts w:hint="eastAsia" w:ascii="宋体" w:hAnsi="宋体"/>
                <w:b/>
                <w:color w:val="000000"/>
                <w:sz w:val="24"/>
                <w:szCs w:val="24"/>
              </w:rPr>
              <w:t>投标人存在下列情况之一的，投标无效：</w:t>
            </w:r>
          </w:p>
        </w:tc>
      </w:tr>
      <w:tr w14:paraId="15702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14:paraId="3FBBBC32">
            <w:pPr>
              <w:widowControl/>
              <w:jc w:val="left"/>
              <w:rPr>
                <w:rFonts w:ascii="宋体" w:hAnsi="宋体"/>
                <w:color w:val="000000"/>
                <w:sz w:val="24"/>
                <w:szCs w:val="24"/>
              </w:rPr>
            </w:pPr>
          </w:p>
        </w:tc>
        <w:tc>
          <w:tcPr>
            <w:tcW w:w="1114" w:type="dxa"/>
            <w:vMerge w:val="continue"/>
            <w:tcBorders>
              <w:top w:val="single" w:color="auto" w:sz="4" w:space="0"/>
              <w:left w:val="single" w:color="auto" w:sz="4" w:space="0"/>
              <w:bottom w:val="single" w:color="auto" w:sz="4" w:space="0"/>
              <w:right w:val="single" w:color="auto" w:sz="4" w:space="0"/>
            </w:tcBorders>
            <w:vAlign w:val="center"/>
          </w:tcPr>
          <w:p w14:paraId="202FB0AB">
            <w:pPr>
              <w:widowControl/>
              <w:jc w:val="left"/>
              <w:rPr>
                <w:rFonts w:ascii="宋体" w:hAnsi="宋体"/>
                <w:color w:val="000000"/>
                <w:sz w:val="24"/>
                <w:szCs w:val="24"/>
              </w:rPr>
            </w:pPr>
          </w:p>
        </w:tc>
        <w:tc>
          <w:tcPr>
            <w:tcW w:w="2087" w:type="dxa"/>
            <w:tcBorders>
              <w:top w:val="single" w:color="auto" w:sz="4" w:space="0"/>
              <w:left w:val="single" w:color="auto" w:sz="4" w:space="0"/>
              <w:bottom w:val="single" w:color="auto" w:sz="4" w:space="0"/>
              <w:right w:val="single" w:color="auto" w:sz="4" w:space="0"/>
            </w:tcBorders>
            <w:vAlign w:val="center"/>
          </w:tcPr>
          <w:p w14:paraId="6099562D">
            <w:pPr>
              <w:spacing w:before="100" w:beforeAutospacing="1" w:after="100" w:afterAutospacing="1" w:line="360" w:lineRule="auto"/>
              <w:jc w:val="center"/>
              <w:rPr>
                <w:rFonts w:ascii="宋体" w:hAnsi="宋体"/>
                <w:color w:val="000000"/>
                <w:sz w:val="24"/>
                <w:szCs w:val="24"/>
              </w:rPr>
            </w:pPr>
            <w:r>
              <w:rPr>
                <w:rFonts w:hint="eastAsia" w:ascii="宋体" w:hAnsi="宋体"/>
                <w:color w:val="000000"/>
                <w:sz w:val="24"/>
                <w:szCs w:val="24"/>
              </w:rPr>
              <w:t>投标保证金</w:t>
            </w:r>
          </w:p>
        </w:tc>
        <w:tc>
          <w:tcPr>
            <w:tcW w:w="5968" w:type="dxa"/>
            <w:tcBorders>
              <w:top w:val="single" w:color="auto" w:sz="4" w:space="0"/>
              <w:left w:val="single" w:color="auto" w:sz="4" w:space="0"/>
              <w:bottom w:val="single" w:color="auto" w:sz="4" w:space="0"/>
              <w:right w:val="single" w:color="auto" w:sz="4" w:space="0"/>
            </w:tcBorders>
            <w:vAlign w:val="center"/>
          </w:tcPr>
          <w:p w14:paraId="758BF62E">
            <w:pPr>
              <w:spacing w:before="100" w:beforeAutospacing="1" w:after="100" w:afterAutospacing="1" w:line="360" w:lineRule="auto"/>
              <w:jc w:val="left"/>
              <w:rPr>
                <w:rFonts w:ascii="宋体" w:hAnsi="宋体"/>
                <w:color w:val="000000"/>
                <w:sz w:val="24"/>
                <w:szCs w:val="24"/>
              </w:rPr>
            </w:pPr>
            <w:r>
              <w:rPr>
                <w:rFonts w:hint="eastAsia" w:ascii="宋体" w:hAnsi="宋体"/>
                <w:color w:val="000000"/>
                <w:sz w:val="24"/>
                <w:szCs w:val="24"/>
              </w:rPr>
              <w:t>未按照招标文件的规定提交投标保证金的；</w:t>
            </w:r>
          </w:p>
        </w:tc>
      </w:tr>
      <w:tr w14:paraId="1DAF4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14:paraId="0B03C7F4">
            <w:pPr>
              <w:widowControl/>
              <w:jc w:val="left"/>
              <w:rPr>
                <w:rFonts w:ascii="宋体" w:hAnsi="宋体"/>
                <w:color w:val="000000"/>
                <w:sz w:val="24"/>
                <w:szCs w:val="24"/>
              </w:rPr>
            </w:pPr>
          </w:p>
        </w:tc>
        <w:tc>
          <w:tcPr>
            <w:tcW w:w="1114" w:type="dxa"/>
            <w:vMerge w:val="continue"/>
            <w:tcBorders>
              <w:top w:val="single" w:color="auto" w:sz="4" w:space="0"/>
              <w:left w:val="single" w:color="auto" w:sz="4" w:space="0"/>
              <w:bottom w:val="single" w:color="auto" w:sz="4" w:space="0"/>
              <w:right w:val="single" w:color="auto" w:sz="4" w:space="0"/>
            </w:tcBorders>
            <w:vAlign w:val="center"/>
          </w:tcPr>
          <w:p w14:paraId="2B1A90FE">
            <w:pPr>
              <w:widowControl/>
              <w:jc w:val="left"/>
              <w:rPr>
                <w:rFonts w:ascii="宋体" w:hAnsi="宋体"/>
                <w:color w:val="000000"/>
                <w:sz w:val="24"/>
                <w:szCs w:val="24"/>
              </w:rPr>
            </w:pPr>
          </w:p>
        </w:tc>
        <w:tc>
          <w:tcPr>
            <w:tcW w:w="2087" w:type="dxa"/>
            <w:tcBorders>
              <w:top w:val="single" w:color="auto" w:sz="4" w:space="0"/>
              <w:left w:val="single" w:color="auto" w:sz="4" w:space="0"/>
              <w:bottom w:val="single" w:color="auto" w:sz="4" w:space="0"/>
              <w:right w:val="single" w:color="auto" w:sz="4" w:space="0"/>
            </w:tcBorders>
            <w:vAlign w:val="center"/>
          </w:tcPr>
          <w:p w14:paraId="35392057">
            <w:pPr>
              <w:spacing w:before="100" w:beforeAutospacing="1" w:after="100" w:afterAutospacing="1" w:line="360" w:lineRule="auto"/>
              <w:jc w:val="center"/>
              <w:rPr>
                <w:rFonts w:ascii="宋体" w:hAnsi="宋体"/>
                <w:color w:val="000000"/>
                <w:sz w:val="24"/>
                <w:szCs w:val="24"/>
              </w:rPr>
            </w:pPr>
            <w:r>
              <w:rPr>
                <w:rFonts w:hint="eastAsia" w:ascii="宋体" w:hAnsi="宋体"/>
                <w:color w:val="000000"/>
                <w:sz w:val="24"/>
                <w:szCs w:val="24"/>
              </w:rPr>
              <w:t>签署、盖章</w:t>
            </w:r>
          </w:p>
        </w:tc>
        <w:tc>
          <w:tcPr>
            <w:tcW w:w="5968" w:type="dxa"/>
            <w:tcBorders>
              <w:top w:val="single" w:color="auto" w:sz="4" w:space="0"/>
              <w:left w:val="single" w:color="auto" w:sz="4" w:space="0"/>
              <w:bottom w:val="single" w:color="auto" w:sz="4" w:space="0"/>
              <w:right w:val="single" w:color="auto" w:sz="4" w:space="0"/>
            </w:tcBorders>
            <w:vAlign w:val="center"/>
          </w:tcPr>
          <w:p w14:paraId="6B9A68B1">
            <w:pPr>
              <w:spacing w:before="100" w:beforeAutospacing="1" w:after="100" w:afterAutospacing="1" w:line="360" w:lineRule="auto"/>
              <w:jc w:val="left"/>
              <w:rPr>
                <w:rFonts w:ascii="宋体" w:hAnsi="宋体"/>
                <w:color w:val="000000"/>
                <w:sz w:val="24"/>
                <w:szCs w:val="24"/>
              </w:rPr>
            </w:pPr>
            <w:r>
              <w:rPr>
                <w:rFonts w:hint="eastAsia" w:ascii="宋体" w:hAnsi="宋体"/>
                <w:color w:val="000000"/>
                <w:sz w:val="24"/>
                <w:szCs w:val="24"/>
              </w:rPr>
              <w:t>投标文件未按招标文件要求签署、盖章的；</w:t>
            </w:r>
          </w:p>
        </w:tc>
      </w:tr>
      <w:tr w14:paraId="3DA15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exact"/>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14:paraId="690D407D">
            <w:pPr>
              <w:widowControl/>
              <w:jc w:val="left"/>
              <w:rPr>
                <w:rFonts w:ascii="宋体" w:hAnsi="宋体"/>
                <w:color w:val="000000"/>
                <w:sz w:val="24"/>
                <w:szCs w:val="24"/>
              </w:rPr>
            </w:pPr>
          </w:p>
        </w:tc>
        <w:tc>
          <w:tcPr>
            <w:tcW w:w="1114" w:type="dxa"/>
            <w:vMerge w:val="continue"/>
            <w:tcBorders>
              <w:top w:val="single" w:color="auto" w:sz="4" w:space="0"/>
              <w:left w:val="single" w:color="auto" w:sz="4" w:space="0"/>
              <w:bottom w:val="single" w:color="auto" w:sz="4" w:space="0"/>
              <w:right w:val="single" w:color="auto" w:sz="4" w:space="0"/>
            </w:tcBorders>
            <w:vAlign w:val="center"/>
          </w:tcPr>
          <w:p w14:paraId="3C6FE44F">
            <w:pPr>
              <w:widowControl/>
              <w:jc w:val="left"/>
              <w:rPr>
                <w:rFonts w:ascii="宋体" w:hAnsi="宋体"/>
                <w:color w:val="000000"/>
                <w:sz w:val="24"/>
                <w:szCs w:val="24"/>
              </w:rPr>
            </w:pPr>
          </w:p>
        </w:tc>
        <w:tc>
          <w:tcPr>
            <w:tcW w:w="2087" w:type="dxa"/>
            <w:tcBorders>
              <w:top w:val="single" w:color="auto" w:sz="4" w:space="0"/>
              <w:left w:val="single" w:color="auto" w:sz="4" w:space="0"/>
              <w:bottom w:val="single" w:color="auto" w:sz="4" w:space="0"/>
              <w:right w:val="single" w:color="auto" w:sz="4" w:space="0"/>
            </w:tcBorders>
            <w:vAlign w:val="center"/>
          </w:tcPr>
          <w:p w14:paraId="2B968FEE">
            <w:pPr>
              <w:spacing w:before="100" w:beforeAutospacing="1" w:after="100" w:afterAutospacing="1" w:line="360" w:lineRule="auto"/>
              <w:jc w:val="center"/>
              <w:rPr>
                <w:rFonts w:ascii="宋体" w:hAnsi="宋体"/>
                <w:color w:val="000000"/>
                <w:sz w:val="24"/>
                <w:szCs w:val="24"/>
              </w:rPr>
            </w:pPr>
            <w:r>
              <w:rPr>
                <w:rFonts w:hint="eastAsia" w:ascii="宋体" w:hAnsi="宋体"/>
                <w:color w:val="000000"/>
                <w:sz w:val="24"/>
                <w:szCs w:val="24"/>
              </w:rPr>
              <w:t>投标报价</w:t>
            </w:r>
          </w:p>
        </w:tc>
        <w:tc>
          <w:tcPr>
            <w:tcW w:w="5968" w:type="dxa"/>
            <w:tcBorders>
              <w:top w:val="single" w:color="auto" w:sz="4" w:space="0"/>
              <w:left w:val="single" w:color="auto" w:sz="4" w:space="0"/>
              <w:bottom w:val="single" w:color="auto" w:sz="4" w:space="0"/>
              <w:right w:val="single" w:color="auto" w:sz="4" w:space="0"/>
            </w:tcBorders>
            <w:vAlign w:val="center"/>
          </w:tcPr>
          <w:p w14:paraId="4A1C6026">
            <w:pPr>
              <w:rPr>
                <w:rFonts w:ascii="宋体" w:hAnsi="宋体"/>
                <w:color w:val="000000"/>
                <w:sz w:val="24"/>
                <w:szCs w:val="24"/>
              </w:rPr>
            </w:pPr>
            <w:r>
              <w:rPr>
                <w:rFonts w:hint="eastAsia" w:ascii="宋体" w:hAnsi="宋体"/>
                <w:color w:val="000000"/>
                <w:sz w:val="24"/>
                <w:szCs w:val="24"/>
              </w:rPr>
              <w:t>投标报价超过招标文件中规定的预算金额或者最高限价的或未按要求进行报价；</w:t>
            </w:r>
          </w:p>
        </w:tc>
      </w:tr>
      <w:tr w14:paraId="3EC79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exact"/>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14:paraId="72B7411D">
            <w:pPr>
              <w:widowControl/>
              <w:jc w:val="left"/>
              <w:rPr>
                <w:rFonts w:ascii="宋体" w:hAnsi="宋体"/>
                <w:color w:val="000000"/>
                <w:sz w:val="24"/>
                <w:szCs w:val="24"/>
              </w:rPr>
            </w:pPr>
          </w:p>
        </w:tc>
        <w:tc>
          <w:tcPr>
            <w:tcW w:w="1114" w:type="dxa"/>
            <w:vMerge w:val="continue"/>
            <w:tcBorders>
              <w:top w:val="single" w:color="auto" w:sz="4" w:space="0"/>
              <w:left w:val="single" w:color="auto" w:sz="4" w:space="0"/>
              <w:bottom w:val="single" w:color="auto" w:sz="4" w:space="0"/>
              <w:right w:val="single" w:color="auto" w:sz="4" w:space="0"/>
            </w:tcBorders>
            <w:vAlign w:val="center"/>
          </w:tcPr>
          <w:p w14:paraId="7B49E972">
            <w:pPr>
              <w:widowControl/>
              <w:jc w:val="left"/>
              <w:rPr>
                <w:rFonts w:ascii="宋体" w:hAnsi="宋体"/>
                <w:color w:val="000000"/>
                <w:sz w:val="24"/>
                <w:szCs w:val="24"/>
              </w:rPr>
            </w:pPr>
          </w:p>
        </w:tc>
        <w:tc>
          <w:tcPr>
            <w:tcW w:w="2087" w:type="dxa"/>
            <w:tcBorders>
              <w:top w:val="single" w:color="auto" w:sz="4" w:space="0"/>
              <w:left w:val="single" w:color="auto" w:sz="4" w:space="0"/>
              <w:bottom w:val="single" w:color="auto" w:sz="4" w:space="0"/>
              <w:right w:val="single" w:color="auto" w:sz="4" w:space="0"/>
            </w:tcBorders>
            <w:vAlign w:val="center"/>
          </w:tcPr>
          <w:p w14:paraId="5D8DBA9D">
            <w:pPr>
              <w:spacing w:before="100" w:beforeAutospacing="1" w:after="100" w:afterAutospacing="1"/>
              <w:jc w:val="center"/>
              <w:rPr>
                <w:rFonts w:ascii="宋体" w:hAnsi="宋体"/>
                <w:color w:val="000000"/>
                <w:sz w:val="24"/>
                <w:szCs w:val="24"/>
              </w:rPr>
            </w:pPr>
            <w:r>
              <w:rPr>
                <w:rFonts w:hint="eastAsia" w:ascii="宋体" w:hAnsi="宋体"/>
                <w:color w:val="000000"/>
                <w:sz w:val="24"/>
                <w:szCs w:val="24"/>
              </w:rPr>
              <w:t>不能接受的附加条件</w:t>
            </w:r>
          </w:p>
        </w:tc>
        <w:tc>
          <w:tcPr>
            <w:tcW w:w="5968" w:type="dxa"/>
            <w:tcBorders>
              <w:top w:val="single" w:color="auto" w:sz="4" w:space="0"/>
              <w:left w:val="single" w:color="auto" w:sz="4" w:space="0"/>
              <w:bottom w:val="single" w:color="auto" w:sz="4" w:space="0"/>
              <w:right w:val="single" w:color="auto" w:sz="4" w:space="0"/>
            </w:tcBorders>
            <w:vAlign w:val="center"/>
          </w:tcPr>
          <w:p w14:paraId="213D1126">
            <w:pPr>
              <w:spacing w:before="100" w:beforeAutospacing="1" w:after="100" w:afterAutospacing="1" w:line="360" w:lineRule="auto"/>
              <w:jc w:val="left"/>
              <w:rPr>
                <w:rFonts w:ascii="宋体" w:hAnsi="宋体"/>
                <w:color w:val="000000"/>
                <w:sz w:val="24"/>
                <w:szCs w:val="24"/>
              </w:rPr>
            </w:pPr>
            <w:r>
              <w:rPr>
                <w:rFonts w:hint="eastAsia" w:ascii="宋体" w:hAnsi="宋体"/>
                <w:color w:val="000000"/>
                <w:sz w:val="24"/>
                <w:szCs w:val="24"/>
              </w:rPr>
              <w:t>投标文件含有采购人不能接受的附加条件的；</w:t>
            </w:r>
          </w:p>
        </w:tc>
      </w:tr>
      <w:tr w14:paraId="5B3ED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14:paraId="0A3DBA95">
            <w:pPr>
              <w:widowControl/>
              <w:jc w:val="left"/>
              <w:rPr>
                <w:rFonts w:ascii="宋体" w:hAnsi="宋体"/>
                <w:color w:val="000000"/>
                <w:sz w:val="24"/>
                <w:szCs w:val="24"/>
              </w:rPr>
            </w:pPr>
          </w:p>
        </w:tc>
        <w:tc>
          <w:tcPr>
            <w:tcW w:w="1114" w:type="dxa"/>
            <w:vMerge w:val="continue"/>
            <w:tcBorders>
              <w:top w:val="single" w:color="auto" w:sz="4" w:space="0"/>
              <w:left w:val="single" w:color="auto" w:sz="4" w:space="0"/>
              <w:bottom w:val="single" w:color="auto" w:sz="4" w:space="0"/>
              <w:right w:val="single" w:color="auto" w:sz="4" w:space="0"/>
            </w:tcBorders>
            <w:vAlign w:val="center"/>
          </w:tcPr>
          <w:p w14:paraId="7D2B8BE4">
            <w:pPr>
              <w:widowControl/>
              <w:jc w:val="left"/>
              <w:rPr>
                <w:rFonts w:ascii="宋体" w:hAnsi="宋体"/>
                <w:color w:val="000000"/>
                <w:sz w:val="24"/>
                <w:szCs w:val="24"/>
              </w:rPr>
            </w:pPr>
          </w:p>
        </w:tc>
        <w:tc>
          <w:tcPr>
            <w:tcW w:w="2087" w:type="dxa"/>
            <w:tcBorders>
              <w:top w:val="single" w:color="auto" w:sz="4" w:space="0"/>
              <w:left w:val="single" w:color="auto" w:sz="4" w:space="0"/>
              <w:bottom w:val="single" w:color="auto" w:sz="4" w:space="0"/>
              <w:right w:val="single" w:color="auto" w:sz="4" w:space="0"/>
            </w:tcBorders>
            <w:vAlign w:val="center"/>
          </w:tcPr>
          <w:p w14:paraId="0AA298A7">
            <w:pPr>
              <w:spacing w:before="100" w:beforeAutospacing="1" w:after="100" w:afterAutospacing="1" w:line="360" w:lineRule="auto"/>
              <w:jc w:val="center"/>
              <w:rPr>
                <w:rFonts w:ascii="宋体" w:hAnsi="宋体"/>
                <w:color w:val="000000"/>
                <w:sz w:val="24"/>
                <w:szCs w:val="24"/>
              </w:rPr>
            </w:pPr>
            <w:r>
              <w:rPr>
                <w:rFonts w:hint="eastAsia" w:ascii="宋体" w:hAnsi="宋体"/>
                <w:color w:val="000000"/>
                <w:sz w:val="24"/>
                <w:szCs w:val="24"/>
              </w:rPr>
              <w:t>其它实质性条件</w:t>
            </w:r>
          </w:p>
        </w:tc>
        <w:tc>
          <w:tcPr>
            <w:tcW w:w="5968" w:type="dxa"/>
            <w:tcBorders>
              <w:top w:val="single" w:color="auto" w:sz="4" w:space="0"/>
              <w:left w:val="single" w:color="auto" w:sz="4" w:space="0"/>
              <w:bottom w:val="single" w:color="auto" w:sz="4" w:space="0"/>
              <w:right w:val="single" w:color="auto" w:sz="4" w:space="0"/>
            </w:tcBorders>
            <w:vAlign w:val="center"/>
          </w:tcPr>
          <w:p w14:paraId="1AC6E4A9">
            <w:pPr>
              <w:spacing w:before="100" w:beforeAutospacing="1" w:after="100" w:afterAutospacing="1" w:line="360" w:lineRule="auto"/>
              <w:jc w:val="left"/>
              <w:rPr>
                <w:rFonts w:ascii="宋体" w:hAnsi="宋体"/>
                <w:color w:val="000000"/>
                <w:sz w:val="24"/>
                <w:szCs w:val="24"/>
              </w:rPr>
            </w:pPr>
            <w:r>
              <w:rPr>
                <w:rFonts w:hint="eastAsia" w:ascii="宋体" w:hAnsi="宋体"/>
                <w:color w:val="000000"/>
                <w:sz w:val="24"/>
                <w:szCs w:val="24"/>
              </w:rPr>
              <w:t>未实质性响应招标文件中标注★条款内容的；</w:t>
            </w:r>
          </w:p>
        </w:tc>
      </w:tr>
      <w:tr w14:paraId="2CA0A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14:paraId="15E6889C">
            <w:pPr>
              <w:widowControl/>
              <w:jc w:val="left"/>
              <w:rPr>
                <w:rFonts w:ascii="宋体" w:hAnsi="宋体"/>
                <w:color w:val="000000"/>
                <w:sz w:val="24"/>
                <w:szCs w:val="24"/>
              </w:rPr>
            </w:pPr>
          </w:p>
        </w:tc>
        <w:tc>
          <w:tcPr>
            <w:tcW w:w="1114" w:type="dxa"/>
            <w:vMerge w:val="continue"/>
            <w:tcBorders>
              <w:top w:val="single" w:color="auto" w:sz="4" w:space="0"/>
              <w:left w:val="single" w:color="auto" w:sz="4" w:space="0"/>
              <w:bottom w:val="single" w:color="auto" w:sz="4" w:space="0"/>
              <w:right w:val="single" w:color="auto" w:sz="4" w:space="0"/>
            </w:tcBorders>
            <w:vAlign w:val="center"/>
          </w:tcPr>
          <w:p w14:paraId="481379D3">
            <w:pPr>
              <w:widowControl/>
              <w:jc w:val="left"/>
              <w:rPr>
                <w:rFonts w:ascii="宋体" w:hAnsi="宋体"/>
                <w:color w:val="000000"/>
                <w:sz w:val="24"/>
                <w:szCs w:val="24"/>
              </w:rPr>
            </w:pPr>
          </w:p>
        </w:tc>
        <w:tc>
          <w:tcPr>
            <w:tcW w:w="2087" w:type="dxa"/>
            <w:tcBorders>
              <w:top w:val="single" w:color="auto" w:sz="4" w:space="0"/>
              <w:left w:val="single" w:color="auto" w:sz="4" w:space="0"/>
              <w:bottom w:val="single" w:color="auto" w:sz="4" w:space="0"/>
              <w:right w:val="single" w:color="auto" w:sz="4" w:space="0"/>
            </w:tcBorders>
            <w:vAlign w:val="center"/>
          </w:tcPr>
          <w:p w14:paraId="2E35737D">
            <w:pPr>
              <w:spacing w:before="100" w:beforeAutospacing="1" w:after="100" w:afterAutospacing="1" w:line="360" w:lineRule="auto"/>
              <w:jc w:val="center"/>
              <w:rPr>
                <w:rFonts w:ascii="宋体" w:hAnsi="宋体"/>
                <w:color w:val="000000"/>
                <w:sz w:val="24"/>
                <w:szCs w:val="24"/>
              </w:rPr>
            </w:pPr>
            <w:r>
              <w:rPr>
                <w:rFonts w:hint="eastAsia" w:ascii="宋体" w:hAnsi="宋体"/>
                <w:color w:val="000000"/>
                <w:sz w:val="24"/>
                <w:szCs w:val="24"/>
              </w:rPr>
              <w:t>其他无效情形</w:t>
            </w:r>
          </w:p>
        </w:tc>
        <w:tc>
          <w:tcPr>
            <w:tcW w:w="5968" w:type="dxa"/>
            <w:tcBorders>
              <w:top w:val="single" w:color="auto" w:sz="4" w:space="0"/>
              <w:left w:val="single" w:color="auto" w:sz="4" w:space="0"/>
              <w:bottom w:val="single" w:color="auto" w:sz="4" w:space="0"/>
              <w:right w:val="single" w:color="auto" w:sz="4" w:space="0"/>
            </w:tcBorders>
            <w:vAlign w:val="center"/>
          </w:tcPr>
          <w:p w14:paraId="539C4219">
            <w:pPr>
              <w:spacing w:before="100" w:beforeAutospacing="1" w:after="100" w:afterAutospacing="1" w:line="360" w:lineRule="auto"/>
              <w:jc w:val="left"/>
              <w:rPr>
                <w:rFonts w:ascii="宋体" w:hAnsi="宋体"/>
                <w:color w:val="000000"/>
                <w:sz w:val="24"/>
                <w:szCs w:val="24"/>
              </w:rPr>
            </w:pPr>
            <w:r>
              <w:rPr>
                <w:rFonts w:hint="eastAsia" w:ascii="宋体" w:hAnsi="宋体"/>
                <w:color w:val="000000"/>
                <w:sz w:val="24"/>
                <w:szCs w:val="24"/>
              </w:rPr>
              <w:t>法律、法规和招标文件规定的其他无效情形。</w:t>
            </w:r>
          </w:p>
        </w:tc>
      </w:tr>
      <w:tr w14:paraId="7B17E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685" w:type="dxa"/>
            <w:vMerge w:val="restart"/>
            <w:tcBorders>
              <w:top w:val="single" w:color="auto" w:sz="4" w:space="0"/>
              <w:left w:val="single" w:color="auto" w:sz="4" w:space="0"/>
              <w:bottom w:val="single" w:color="auto" w:sz="4" w:space="0"/>
              <w:right w:val="single" w:color="auto" w:sz="4" w:space="0"/>
            </w:tcBorders>
            <w:vAlign w:val="center"/>
          </w:tcPr>
          <w:p w14:paraId="2975DF49">
            <w:pPr>
              <w:spacing w:line="360" w:lineRule="auto"/>
              <w:jc w:val="center"/>
              <w:rPr>
                <w:rFonts w:ascii="宋体" w:hAnsi="宋体"/>
                <w:color w:val="000000"/>
                <w:sz w:val="24"/>
                <w:szCs w:val="24"/>
              </w:rPr>
            </w:pPr>
            <w:r>
              <w:rPr>
                <w:rFonts w:hint="eastAsia" w:ascii="宋体" w:hAnsi="宋体"/>
                <w:color w:val="000000"/>
                <w:sz w:val="24"/>
                <w:szCs w:val="24"/>
              </w:rPr>
              <w:t>3.2</w:t>
            </w:r>
          </w:p>
        </w:tc>
        <w:tc>
          <w:tcPr>
            <w:tcW w:w="1114" w:type="dxa"/>
            <w:vMerge w:val="restart"/>
            <w:tcBorders>
              <w:top w:val="single" w:color="auto" w:sz="4" w:space="0"/>
              <w:left w:val="single" w:color="auto" w:sz="4" w:space="0"/>
              <w:bottom w:val="single" w:color="auto" w:sz="4" w:space="0"/>
              <w:right w:val="single" w:color="auto" w:sz="4" w:space="0"/>
            </w:tcBorders>
            <w:vAlign w:val="center"/>
          </w:tcPr>
          <w:p w14:paraId="2A03B216">
            <w:pPr>
              <w:spacing w:line="360" w:lineRule="auto"/>
              <w:rPr>
                <w:rFonts w:ascii="宋体" w:hAnsi="宋体"/>
                <w:color w:val="000000"/>
                <w:sz w:val="24"/>
                <w:szCs w:val="24"/>
              </w:rPr>
            </w:pPr>
            <w:r>
              <w:rPr>
                <w:rFonts w:hint="eastAsia" w:ascii="宋体" w:hAnsi="宋体"/>
                <w:color w:val="000000"/>
                <w:sz w:val="24"/>
                <w:szCs w:val="24"/>
              </w:rPr>
              <w:t>详细评审标准</w:t>
            </w:r>
          </w:p>
        </w:tc>
        <w:tc>
          <w:tcPr>
            <w:tcW w:w="2087" w:type="dxa"/>
            <w:tcBorders>
              <w:top w:val="single" w:color="auto" w:sz="4" w:space="0"/>
              <w:left w:val="single" w:color="auto" w:sz="4" w:space="0"/>
              <w:bottom w:val="single" w:color="auto" w:sz="4" w:space="0"/>
              <w:right w:val="single" w:color="auto" w:sz="4" w:space="0"/>
            </w:tcBorders>
            <w:vAlign w:val="center"/>
          </w:tcPr>
          <w:p w14:paraId="6AD3C32B">
            <w:pPr>
              <w:spacing w:line="360" w:lineRule="auto"/>
              <w:jc w:val="center"/>
              <w:rPr>
                <w:rFonts w:ascii="宋体" w:hAnsi="宋体"/>
                <w:color w:val="000000"/>
                <w:sz w:val="24"/>
                <w:szCs w:val="24"/>
              </w:rPr>
            </w:pPr>
            <w:r>
              <w:rPr>
                <w:rFonts w:hint="eastAsia" w:ascii="宋体" w:hAnsi="宋体"/>
                <w:color w:val="000000"/>
                <w:sz w:val="24"/>
                <w:szCs w:val="24"/>
              </w:rPr>
              <w:t>1、评标总得分计算公式</w:t>
            </w:r>
          </w:p>
        </w:tc>
        <w:tc>
          <w:tcPr>
            <w:tcW w:w="5968" w:type="dxa"/>
            <w:tcBorders>
              <w:top w:val="single" w:color="auto" w:sz="4" w:space="0"/>
              <w:left w:val="single" w:color="auto" w:sz="4" w:space="0"/>
              <w:bottom w:val="single" w:color="auto" w:sz="4" w:space="0"/>
              <w:right w:val="single" w:color="auto" w:sz="4" w:space="0"/>
            </w:tcBorders>
            <w:vAlign w:val="center"/>
          </w:tcPr>
          <w:p w14:paraId="58F325E8">
            <w:pPr>
              <w:spacing w:line="360" w:lineRule="auto"/>
              <w:rPr>
                <w:rFonts w:ascii="宋体" w:hAnsi="宋体"/>
                <w:color w:val="000000"/>
                <w:sz w:val="24"/>
                <w:szCs w:val="24"/>
              </w:rPr>
            </w:pPr>
            <w:r>
              <w:rPr>
                <w:rFonts w:hint="eastAsia" w:ascii="宋体" w:hAnsi="宋体"/>
                <w:color w:val="000000"/>
                <w:sz w:val="24"/>
                <w:szCs w:val="24"/>
              </w:rPr>
              <w:t>投标人的评标总得分＝F1＋F2＋F3</w:t>
            </w:r>
          </w:p>
          <w:p w14:paraId="030214AB">
            <w:pPr>
              <w:spacing w:line="360" w:lineRule="auto"/>
              <w:rPr>
                <w:rFonts w:ascii="宋体" w:hAnsi="宋体"/>
                <w:color w:val="000000"/>
                <w:sz w:val="24"/>
                <w:szCs w:val="24"/>
              </w:rPr>
            </w:pPr>
            <w:r>
              <w:rPr>
                <w:rFonts w:hint="eastAsia" w:ascii="宋体" w:hAnsi="宋体"/>
                <w:color w:val="000000"/>
                <w:sz w:val="24"/>
                <w:szCs w:val="24"/>
              </w:rPr>
              <w:t>其中：</w:t>
            </w:r>
          </w:p>
          <w:p w14:paraId="01DFA05E">
            <w:pPr>
              <w:spacing w:line="360" w:lineRule="auto"/>
              <w:rPr>
                <w:rFonts w:ascii="宋体" w:hAnsi="宋体"/>
                <w:color w:val="000000"/>
                <w:sz w:val="24"/>
                <w:szCs w:val="24"/>
              </w:rPr>
            </w:pPr>
            <w:r>
              <w:rPr>
                <w:rFonts w:hint="eastAsia" w:ascii="宋体" w:hAnsi="宋体"/>
                <w:color w:val="000000"/>
                <w:sz w:val="24"/>
                <w:szCs w:val="24"/>
              </w:rPr>
              <w:t>F1、F2、F3分别为投标报价、技术部分、商务部分3项评分因素的汇总得分；</w:t>
            </w:r>
          </w:p>
        </w:tc>
      </w:tr>
      <w:tr w14:paraId="4C82D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14:paraId="5FA40535">
            <w:pPr>
              <w:widowControl/>
              <w:jc w:val="left"/>
              <w:rPr>
                <w:rFonts w:ascii="宋体" w:hAnsi="宋体"/>
                <w:color w:val="000000"/>
                <w:sz w:val="24"/>
                <w:szCs w:val="24"/>
              </w:rPr>
            </w:pPr>
          </w:p>
        </w:tc>
        <w:tc>
          <w:tcPr>
            <w:tcW w:w="1114" w:type="dxa"/>
            <w:vMerge w:val="continue"/>
            <w:tcBorders>
              <w:top w:val="single" w:color="auto" w:sz="4" w:space="0"/>
              <w:left w:val="single" w:color="auto" w:sz="4" w:space="0"/>
              <w:bottom w:val="single" w:color="auto" w:sz="4" w:space="0"/>
              <w:right w:val="single" w:color="auto" w:sz="4" w:space="0"/>
            </w:tcBorders>
            <w:vAlign w:val="center"/>
          </w:tcPr>
          <w:p w14:paraId="3268ABAE">
            <w:pPr>
              <w:widowControl/>
              <w:jc w:val="left"/>
              <w:rPr>
                <w:rFonts w:ascii="宋体" w:hAnsi="宋体"/>
                <w:color w:val="000000"/>
                <w:sz w:val="24"/>
                <w:szCs w:val="24"/>
              </w:rPr>
            </w:pPr>
          </w:p>
        </w:tc>
        <w:tc>
          <w:tcPr>
            <w:tcW w:w="2087" w:type="dxa"/>
            <w:tcBorders>
              <w:top w:val="single" w:color="auto" w:sz="4" w:space="0"/>
              <w:left w:val="single" w:color="auto" w:sz="4" w:space="0"/>
              <w:bottom w:val="single" w:color="auto" w:sz="4" w:space="0"/>
              <w:right w:val="single" w:color="auto" w:sz="4" w:space="0"/>
            </w:tcBorders>
            <w:vAlign w:val="center"/>
          </w:tcPr>
          <w:p w14:paraId="748EFB7D">
            <w:pPr>
              <w:rPr>
                <w:rFonts w:ascii="宋体" w:hAnsi="宋体"/>
                <w:color w:val="000000"/>
                <w:sz w:val="24"/>
                <w:szCs w:val="24"/>
              </w:rPr>
            </w:pPr>
            <w:r>
              <w:rPr>
                <w:rFonts w:hint="eastAsia" w:ascii="宋体" w:hAnsi="宋体"/>
                <w:color w:val="000000"/>
                <w:sz w:val="24"/>
                <w:szCs w:val="24"/>
              </w:rPr>
              <w:t>2、评分因素分值</w:t>
            </w:r>
          </w:p>
        </w:tc>
        <w:tc>
          <w:tcPr>
            <w:tcW w:w="5968" w:type="dxa"/>
            <w:tcBorders>
              <w:top w:val="single" w:color="auto" w:sz="4" w:space="0"/>
              <w:left w:val="single" w:color="auto" w:sz="4" w:space="0"/>
              <w:bottom w:val="single" w:color="auto" w:sz="4" w:space="0"/>
              <w:right w:val="single" w:color="auto" w:sz="4" w:space="0"/>
            </w:tcBorders>
            <w:vAlign w:val="center"/>
          </w:tcPr>
          <w:p w14:paraId="2C52DCFA">
            <w:pPr>
              <w:ind w:left="1258" w:hanging="1258"/>
              <w:rPr>
                <w:rFonts w:ascii="宋体" w:hAnsi="宋体"/>
                <w:color w:val="000000"/>
                <w:sz w:val="24"/>
                <w:szCs w:val="24"/>
              </w:rPr>
            </w:pPr>
            <w:r>
              <w:rPr>
                <w:rFonts w:hint="eastAsia" w:ascii="宋体" w:hAnsi="宋体"/>
                <w:color w:val="000000"/>
                <w:sz w:val="24"/>
                <w:szCs w:val="24"/>
              </w:rPr>
              <w:t>投标报价F1：满分10分；</w:t>
            </w:r>
          </w:p>
          <w:p w14:paraId="01F43253">
            <w:pPr>
              <w:rPr>
                <w:rFonts w:ascii="宋体" w:hAnsi="宋体"/>
                <w:color w:val="000000"/>
                <w:sz w:val="24"/>
                <w:szCs w:val="24"/>
              </w:rPr>
            </w:pPr>
            <w:r>
              <w:rPr>
                <w:rFonts w:hint="eastAsia" w:ascii="宋体" w:hAnsi="宋体"/>
                <w:color w:val="000000"/>
                <w:sz w:val="24"/>
                <w:szCs w:val="24"/>
              </w:rPr>
              <w:t>技术部分F2：满分70分；</w:t>
            </w:r>
          </w:p>
          <w:p w14:paraId="103B42EB">
            <w:pPr>
              <w:rPr>
                <w:rFonts w:ascii="宋体" w:hAnsi="宋体"/>
                <w:color w:val="000000"/>
                <w:sz w:val="24"/>
                <w:szCs w:val="24"/>
              </w:rPr>
            </w:pPr>
            <w:r>
              <w:rPr>
                <w:rFonts w:hint="eastAsia" w:ascii="宋体" w:hAnsi="宋体"/>
                <w:color w:val="000000"/>
                <w:sz w:val="24"/>
                <w:szCs w:val="24"/>
              </w:rPr>
              <w:t>商务部分F3：满分20分；</w:t>
            </w:r>
          </w:p>
        </w:tc>
      </w:tr>
    </w:tbl>
    <w:p w14:paraId="537E4DEC">
      <w:pPr>
        <w:pStyle w:val="18"/>
        <w:tabs>
          <w:tab w:val="left" w:pos="540"/>
        </w:tabs>
        <w:adjustRightInd w:val="0"/>
        <w:spacing w:before="240" w:line="360" w:lineRule="auto"/>
        <w:ind w:left="0" w:leftChars="0"/>
        <w:rPr>
          <w:rFonts w:hAnsi="宋体"/>
          <w:b/>
          <w:bCs/>
          <w:color w:val="000000"/>
          <w:sz w:val="24"/>
        </w:rPr>
      </w:pPr>
    </w:p>
    <w:p w14:paraId="2F80330C">
      <w:pPr>
        <w:tabs>
          <w:tab w:val="left" w:pos="2472"/>
        </w:tabs>
        <w:spacing w:line="480" w:lineRule="exact"/>
        <w:outlineLvl w:val="1"/>
        <w:rPr>
          <w:rFonts w:ascii="宋体" w:hAnsi="宋体"/>
          <w:b/>
          <w:bCs/>
          <w:color w:val="000000"/>
          <w:sz w:val="24"/>
        </w:rPr>
      </w:pPr>
      <w:r>
        <w:rPr>
          <w:rFonts w:hAnsi="宋体"/>
          <w:b/>
          <w:bCs/>
          <w:color w:val="000000"/>
          <w:sz w:val="24"/>
        </w:rPr>
        <w:br w:type="page"/>
      </w:r>
      <w:bookmarkStart w:id="103" w:name="_Toc152246164"/>
      <w:r>
        <w:rPr>
          <w:rFonts w:ascii="宋体" w:hAnsi="宋体"/>
          <w:b/>
          <w:bCs/>
          <w:color w:val="000000"/>
          <w:sz w:val="24"/>
        </w:rPr>
        <w:t>评分细则如下：</w:t>
      </w:r>
      <w:bookmarkEnd w:id="103"/>
    </w:p>
    <w:tbl>
      <w:tblPr>
        <w:tblStyle w:val="3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1842"/>
        <w:gridCol w:w="6344"/>
      </w:tblGrid>
      <w:tr w14:paraId="26CD8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8" w:type="dxa"/>
            <w:tcBorders>
              <w:top w:val="single" w:color="auto" w:sz="4" w:space="0"/>
              <w:left w:val="single" w:color="auto" w:sz="4" w:space="0"/>
              <w:bottom w:val="single" w:color="auto" w:sz="4" w:space="0"/>
              <w:right w:val="single" w:color="auto" w:sz="4" w:space="0"/>
            </w:tcBorders>
            <w:vAlign w:val="center"/>
          </w:tcPr>
          <w:p w14:paraId="643324CE">
            <w:pPr>
              <w:adjustRightInd w:val="0"/>
              <w:snapToGrid w:val="0"/>
              <w:spacing w:line="440" w:lineRule="exact"/>
              <w:jc w:val="center"/>
              <w:rPr>
                <w:rFonts w:ascii="宋体" w:hAnsi="宋体"/>
                <w:b/>
                <w:color w:val="000000"/>
                <w:sz w:val="24"/>
                <w:szCs w:val="24"/>
              </w:rPr>
            </w:pPr>
            <w:r>
              <w:rPr>
                <w:rFonts w:hint="eastAsia" w:ascii="宋体" w:hAnsi="宋体"/>
                <w:b/>
                <w:color w:val="000000"/>
                <w:sz w:val="24"/>
                <w:szCs w:val="24"/>
              </w:rPr>
              <w:t>评分因素</w:t>
            </w:r>
          </w:p>
        </w:tc>
        <w:tc>
          <w:tcPr>
            <w:tcW w:w="8186" w:type="dxa"/>
            <w:gridSpan w:val="2"/>
            <w:tcBorders>
              <w:top w:val="single" w:color="auto" w:sz="4" w:space="0"/>
              <w:left w:val="single" w:color="auto" w:sz="4" w:space="0"/>
              <w:bottom w:val="single" w:color="auto" w:sz="4" w:space="0"/>
              <w:right w:val="single" w:color="auto" w:sz="4" w:space="0"/>
            </w:tcBorders>
            <w:vAlign w:val="center"/>
          </w:tcPr>
          <w:p w14:paraId="1917DDB0">
            <w:pPr>
              <w:adjustRightInd w:val="0"/>
              <w:snapToGrid w:val="0"/>
              <w:spacing w:line="440" w:lineRule="exact"/>
              <w:ind w:firstLine="480" w:firstLineChars="200"/>
              <w:jc w:val="center"/>
              <w:rPr>
                <w:rFonts w:ascii="宋体" w:hAnsi="宋体"/>
                <w:b/>
                <w:color w:val="000000"/>
                <w:sz w:val="24"/>
                <w:szCs w:val="24"/>
              </w:rPr>
            </w:pPr>
            <w:r>
              <w:rPr>
                <w:rFonts w:hint="eastAsia" w:ascii="宋体" w:hAnsi="宋体"/>
                <w:b/>
                <w:color w:val="000000"/>
                <w:sz w:val="24"/>
                <w:szCs w:val="24"/>
              </w:rPr>
              <w:t>评分标准</w:t>
            </w:r>
          </w:p>
        </w:tc>
      </w:tr>
      <w:tr w14:paraId="419CD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8" w:type="dxa"/>
            <w:tcBorders>
              <w:top w:val="single" w:color="auto" w:sz="4" w:space="0"/>
              <w:left w:val="single" w:color="auto" w:sz="4" w:space="0"/>
              <w:bottom w:val="single" w:color="auto" w:sz="4" w:space="0"/>
              <w:right w:val="single" w:color="auto" w:sz="4" w:space="0"/>
            </w:tcBorders>
            <w:vAlign w:val="center"/>
          </w:tcPr>
          <w:p w14:paraId="34DAFBC6">
            <w:pPr>
              <w:adjustRightInd w:val="0"/>
              <w:snapToGrid w:val="0"/>
              <w:spacing w:line="440" w:lineRule="exact"/>
              <w:jc w:val="center"/>
              <w:rPr>
                <w:rFonts w:ascii="宋体" w:hAnsi="宋体"/>
                <w:b/>
                <w:color w:val="000000"/>
                <w:sz w:val="24"/>
                <w:szCs w:val="24"/>
              </w:rPr>
            </w:pPr>
            <w:r>
              <w:rPr>
                <w:rFonts w:hint="eastAsia" w:ascii="宋体" w:hAnsi="宋体"/>
                <w:b/>
                <w:color w:val="000000"/>
                <w:sz w:val="24"/>
                <w:szCs w:val="24"/>
              </w:rPr>
              <w:t>F1投标报价</w:t>
            </w:r>
            <w:r>
              <w:rPr>
                <w:rFonts w:hint="eastAsia" w:ascii="宋体" w:hAnsi="宋体"/>
                <w:b/>
                <w:sz w:val="24"/>
                <w:szCs w:val="24"/>
              </w:rPr>
              <w:t>--综合单价</w:t>
            </w:r>
            <w:r>
              <w:rPr>
                <w:rFonts w:hint="eastAsia" w:ascii="宋体" w:hAnsi="宋体"/>
                <w:b/>
                <w:color w:val="000000"/>
                <w:sz w:val="24"/>
                <w:szCs w:val="24"/>
              </w:rPr>
              <w:t>得分（</w:t>
            </w:r>
            <w:r>
              <w:rPr>
                <w:rFonts w:ascii="宋体" w:hAnsi="宋体"/>
                <w:b/>
                <w:color w:val="000000"/>
                <w:sz w:val="24"/>
                <w:szCs w:val="24"/>
              </w:rPr>
              <w:t>满分</w:t>
            </w:r>
            <w:r>
              <w:rPr>
                <w:rFonts w:hint="eastAsia" w:ascii="宋体" w:hAnsi="宋体"/>
                <w:b/>
                <w:color w:val="000000"/>
                <w:sz w:val="24"/>
                <w:szCs w:val="24"/>
              </w:rPr>
              <w:t>10分</w:t>
            </w:r>
            <w:r>
              <w:rPr>
                <w:rFonts w:ascii="宋体" w:hAnsi="宋体"/>
                <w:b/>
                <w:color w:val="000000"/>
                <w:sz w:val="24"/>
                <w:szCs w:val="24"/>
              </w:rPr>
              <w:t>）</w:t>
            </w:r>
          </w:p>
        </w:tc>
        <w:tc>
          <w:tcPr>
            <w:tcW w:w="8186" w:type="dxa"/>
            <w:gridSpan w:val="2"/>
            <w:tcBorders>
              <w:top w:val="single" w:color="auto" w:sz="4" w:space="0"/>
              <w:left w:val="single" w:color="auto" w:sz="4" w:space="0"/>
              <w:bottom w:val="single" w:color="auto" w:sz="4" w:space="0"/>
              <w:right w:val="single" w:color="auto" w:sz="4" w:space="0"/>
            </w:tcBorders>
            <w:vAlign w:val="center"/>
          </w:tcPr>
          <w:p w14:paraId="4FF9B0CC">
            <w:pPr>
              <w:adjustRightInd w:val="0"/>
              <w:snapToGrid w:val="0"/>
              <w:spacing w:line="440" w:lineRule="exact"/>
              <w:rPr>
                <w:rFonts w:ascii="宋体" w:hAnsi="宋体"/>
                <w:b/>
                <w:sz w:val="24"/>
                <w:szCs w:val="24"/>
              </w:rPr>
            </w:pPr>
            <w:r>
              <w:rPr>
                <w:rFonts w:hint="eastAsia" w:ascii="宋体" w:hAnsi="宋体"/>
                <w:b/>
                <w:sz w:val="24"/>
                <w:szCs w:val="24"/>
              </w:rPr>
              <w:t>投标报价得分=（评标基准价/投标报价）×10</w:t>
            </w:r>
          </w:p>
          <w:p w14:paraId="39006218">
            <w:pPr>
              <w:adjustRightInd w:val="0"/>
              <w:snapToGrid w:val="0"/>
              <w:spacing w:line="440" w:lineRule="exact"/>
              <w:rPr>
                <w:rFonts w:ascii="宋体" w:hAnsi="宋体"/>
                <w:sz w:val="24"/>
                <w:szCs w:val="24"/>
              </w:rPr>
            </w:pPr>
            <w:r>
              <w:rPr>
                <w:rFonts w:hint="eastAsia" w:ascii="宋体" w:hAnsi="宋体"/>
                <w:sz w:val="24"/>
                <w:szCs w:val="24"/>
              </w:rPr>
              <w:t>评标基准价：满足招标文件资格评审及符合性评审要求且</w:t>
            </w:r>
            <w:r>
              <w:rPr>
                <w:rFonts w:hint="eastAsia" w:ascii="宋体" w:hAnsi="宋体"/>
                <w:b/>
                <w:sz w:val="24"/>
                <w:szCs w:val="24"/>
              </w:rPr>
              <w:t>投标价格最低</w:t>
            </w:r>
            <w:r>
              <w:rPr>
                <w:rFonts w:hint="eastAsia" w:ascii="宋体" w:hAnsi="宋体"/>
                <w:sz w:val="24"/>
                <w:szCs w:val="24"/>
              </w:rPr>
              <w:t>的投标报价。</w:t>
            </w:r>
          </w:p>
          <w:p w14:paraId="5EC00058">
            <w:pPr>
              <w:adjustRightInd w:val="0"/>
              <w:snapToGrid w:val="0"/>
              <w:spacing w:line="440" w:lineRule="exact"/>
              <w:rPr>
                <w:rFonts w:ascii="宋体" w:hAnsi="宋体"/>
                <w:b/>
                <w:sz w:val="24"/>
                <w:szCs w:val="24"/>
              </w:rPr>
            </w:pPr>
            <w:r>
              <w:rPr>
                <w:rFonts w:hint="eastAsia" w:ascii="宋体" w:hAnsi="宋体"/>
                <w:b/>
                <w:sz w:val="24"/>
                <w:szCs w:val="24"/>
              </w:rPr>
              <w:t>1.供应商为小、微企业应考虑的优先条件和价格折扣：</w:t>
            </w:r>
          </w:p>
          <w:p w14:paraId="06DA10B4">
            <w:pPr>
              <w:adjustRightInd w:val="0"/>
              <w:snapToGrid w:val="0"/>
              <w:spacing w:line="440" w:lineRule="exact"/>
              <w:rPr>
                <w:rFonts w:ascii="宋体" w:hAnsi="宋体"/>
                <w:sz w:val="24"/>
                <w:szCs w:val="24"/>
              </w:rPr>
            </w:pPr>
            <w:r>
              <w:rPr>
                <w:rFonts w:hint="eastAsia" w:ascii="宋体" w:hAnsi="宋体"/>
                <w:sz w:val="24"/>
                <w:szCs w:val="24"/>
              </w:rPr>
              <w:t>对服务由小微企业承接，即提供服务的人员为小微企业依照《中华人民共和国劳动合同法》订立劳动合同的从业人员的供应商所报价格给予</w:t>
            </w:r>
            <w:r>
              <w:rPr>
                <w:rFonts w:hint="eastAsia" w:ascii="宋体" w:hAnsi="宋体"/>
                <w:b/>
                <w:sz w:val="24"/>
                <w:szCs w:val="24"/>
              </w:rPr>
              <w:t>10%</w:t>
            </w:r>
            <w:r>
              <w:rPr>
                <w:rFonts w:hint="eastAsia" w:ascii="宋体" w:hAnsi="宋体"/>
                <w:sz w:val="24"/>
                <w:szCs w:val="24"/>
              </w:rPr>
              <w:t>的扣除，用扣除后的报价参与评审（须提供服务企业的《中小企业声明函》，否则不予认可）。</w:t>
            </w:r>
          </w:p>
          <w:p w14:paraId="4922F75F">
            <w:pPr>
              <w:adjustRightInd w:val="0"/>
              <w:snapToGrid w:val="0"/>
              <w:spacing w:line="440" w:lineRule="exact"/>
              <w:rPr>
                <w:rFonts w:ascii="宋体" w:hAnsi="宋体"/>
                <w:b/>
                <w:sz w:val="24"/>
                <w:szCs w:val="24"/>
              </w:rPr>
            </w:pPr>
            <w:r>
              <w:rPr>
                <w:rFonts w:hint="eastAsia" w:ascii="宋体" w:hAnsi="宋体"/>
                <w:b/>
                <w:sz w:val="24"/>
                <w:szCs w:val="24"/>
              </w:rPr>
              <w:t>2.供应商为监狱企业视同小型或微型企业：</w:t>
            </w:r>
          </w:p>
          <w:p w14:paraId="5D78DF83">
            <w:pPr>
              <w:adjustRightInd w:val="0"/>
              <w:snapToGrid w:val="0"/>
              <w:spacing w:line="440" w:lineRule="exact"/>
              <w:rPr>
                <w:rFonts w:ascii="宋体" w:hAnsi="宋体"/>
                <w:sz w:val="24"/>
                <w:szCs w:val="24"/>
              </w:rPr>
            </w:pPr>
            <w:r>
              <w:rPr>
                <w:rFonts w:hint="eastAsia" w:ascii="宋体" w:hAnsi="宋体"/>
                <w:sz w:val="24"/>
                <w:szCs w:val="24"/>
              </w:rPr>
              <w:t>对监狱企业提供服务部分的最终价格给予</w:t>
            </w:r>
            <w:r>
              <w:rPr>
                <w:rFonts w:hint="eastAsia" w:ascii="宋体" w:hAnsi="宋体"/>
                <w:b/>
                <w:sz w:val="24"/>
                <w:szCs w:val="24"/>
              </w:rPr>
              <w:t>10%</w:t>
            </w:r>
            <w:r>
              <w:rPr>
                <w:rFonts w:hint="eastAsia" w:ascii="宋体" w:hAnsi="宋体"/>
                <w:sz w:val="24"/>
                <w:szCs w:val="24"/>
              </w:rPr>
              <w:t>的扣除，用扣除后的最终价格参与评审（供应商为监狱企业参加政府采购活动时，应当提供由省级以上监狱管理局、戒毒管理局(含新疆生产建设兵团)出具的属于监狱企业的证明文件，否则不予认可）。</w:t>
            </w:r>
          </w:p>
          <w:p w14:paraId="012382EE">
            <w:pPr>
              <w:adjustRightInd w:val="0"/>
              <w:snapToGrid w:val="0"/>
              <w:spacing w:line="440" w:lineRule="exact"/>
              <w:rPr>
                <w:rFonts w:ascii="宋体" w:hAnsi="宋体"/>
                <w:b/>
                <w:sz w:val="24"/>
                <w:szCs w:val="24"/>
              </w:rPr>
            </w:pPr>
            <w:r>
              <w:rPr>
                <w:rFonts w:hint="eastAsia" w:ascii="宋体" w:hAnsi="宋体"/>
                <w:b/>
                <w:sz w:val="24"/>
                <w:szCs w:val="24"/>
              </w:rPr>
              <w:t>3.供应商为残疾人福利性单位视同小型或微型企业：</w:t>
            </w:r>
          </w:p>
          <w:p w14:paraId="4A628BDF">
            <w:pPr>
              <w:adjustRightInd w:val="0"/>
              <w:snapToGrid w:val="0"/>
              <w:spacing w:line="440" w:lineRule="exact"/>
              <w:rPr>
                <w:rFonts w:ascii="宋体" w:hAnsi="宋体"/>
                <w:sz w:val="24"/>
                <w:szCs w:val="24"/>
              </w:rPr>
            </w:pPr>
            <w:r>
              <w:rPr>
                <w:rFonts w:hint="eastAsia" w:ascii="宋体" w:hAnsi="宋体"/>
                <w:sz w:val="24"/>
                <w:szCs w:val="24"/>
              </w:rPr>
              <w:t>对残疾人福利性单位提供服务部分的最终价格给予</w:t>
            </w:r>
            <w:r>
              <w:rPr>
                <w:rFonts w:hint="eastAsia" w:ascii="宋体" w:hAnsi="宋体"/>
                <w:b/>
                <w:sz w:val="24"/>
                <w:szCs w:val="24"/>
              </w:rPr>
              <w:t>10%</w:t>
            </w:r>
            <w:r>
              <w:rPr>
                <w:rFonts w:hint="eastAsia" w:ascii="宋体" w:hAnsi="宋体"/>
                <w:sz w:val="24"/>
                <w:szCs w:val="24"/>
              </w:rPr>
              <w:t>的扣除，用扣除后的最终价格参与评审（提供《残疾人福利性单位声明函》或相关证明材料，否则不予认可）。</w:t>
            </w:r>
          </w:p>
        </w:tc>
      </w:tr>
      <w:tr w14:paraId="62C2B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668" w:type="dxa"/>
            <w:vMerge w:val="restart"/>
            <w:tcBorders>
              <w:top w:val="single" w:color="auto" w:sz="4" w:space="0"/>
              <w:left w:val="single" w:color="auto" w:sz="4" w:space="0"/>
              <w:right w:val="single" w:color="auto" w:sz="4" w:space="0"/>
            </w:tcBorders>
            <w:vAlign w:val="center"/>
          </w:tcPr>
          <w:p w14:paraId="39317B61">
            <w:pPr>
              <w:adjustRightInd w:val="0"/>
              <w:snapToGrid w:val="0"/>
              <w:spacing w:line="440" w:lineRule="exact"/>
              <w:jc w:val="center"/>
              <w:rPr>
                <w:rFonts w:ascii="宋体" w:hAnsi="宋体"/>
                <w:b/>
                <w:sz w:val="24"/>
                <w:szCs w:val="24"/>
              </w:rPr>
            </w:pPr>
            <w:r>
              <w:rPr>
                <w:rFonts w:ascii="宋体" w:hAnsi="宋体"/>
                <w:b/>
                <w:sz w:val="24"/>
                <w:szCs w:val="24"/>
              </w:rPr>
              <w:t>F2</w:t>
            </w:r>
            <w:r>
              <w:rPr>
                <w:rFonts w:hint="eastAsia" w:ascii="宋体" w:hAnsi="宋体"/>
                <w:b/>
                <w:sz w:val="24"/>
                <w:szCs w:val="24"/>
              </w:rPr>
              <w:t>技术部分得分（满分  70分）</w:t>
            </w:r>
          </w:p>
        </w:tc>
        <w:tc>
          <w:tcPr>
            <w:tcW w:w="1842" w:type="dxa"/>
            <w:tcBorders>
              <w:top w:val="single" w:color="auto" w:sz="4" w:space="0"/>
              <w:left w:val="single" w:color="auto" w:sz="4" w:space="0"/>
              <w:bottom w:val="single" w:color="auto" w:sz="4" w:space="0"/>
              <w:right w:val="single" w:color="auto" w:sz="4" w:space="0"/>
            </w:tcBorders>
            <w:vAlign w:val="center"/>
          </w:tcPr>
          <w:p w14:paraId="3A570EDB">
            <w:pPr>
              <w:spacing w:line="440" w:lineRule="exact"/>
              <w:rPr>
                <w:rFonts w:ascii="宋体" w:hAnsi="宋体"/>
                <w:b/>
                <w:color w:val="000000"/>
                <w:sz w:val="24"/>
                <w:szCs w:val="24"/>
              </w:rPr>
            </w:pPr>
            <w:r>
              <w:rPr>
                <w:rFonts w:hint="eastAsia" w:ascii="宋体" w:hAnsi="宋体"/>
                <w:b/>
                <w:color w:val="000000"/>
                <w:sz w:val="24"/>
              </w:rPr>
              <w:t>一、物流服务方案（满分15分）</w:t>
            </w:r>
          </w:p>
        </w:tc>
        <w:tc>
          <w:tcPr>
            <w:tcW w:w="6344" w:type="dxa"/>
            <w:tcBorders>
              <w:top w:val="single" w:color="auto" w:sz="4" w:space="0"/>
              <w:left w:val="single" w:color="auto" w:sz="4" w:space="0"/>
              <w:bottom w:val="single" w:color="auto" w:sz="4" w:space="0"/>
              <w:right w:val="single" w:color="auto" w:sz="4" w:space="0"/>
            </w:tcBorders>
            <w:vAlign w:val="center"/>
          </w:tcPr>
          <w:p w14:paraId="38E1C080">
            <w:pPr>
              <w:spacing w:line="440" w:lineRule="exact"/>
              <w:rPr>
                <w:rFonts w:ascii="宋体" w:hAnsi="宋体"/>
                <w:b/>
                <w:color w:val="000000"/>
                <w:sz w:val="24"/>
                <w:szCs w:val="24"/>
              </w:rPr>
            </w:pPr>
            <w:r>
              <w:rPr>
                <w:rFonts w:hint="eastAsia" w:ascii="宋体" w:hAnsi="宋体"/>
                <w:b/>
                <w:color w:val="000000"/>
                <w:sz w:val="24"/>
              </w:rPr>
              <w:t>（一）物流服务方案（6分）</w:t>
            </w:r>
          </w:p>
          <w:p w14:paraId="47A2B947">
            <w:pPr>
              <w:spacing w:line="440" w:lineRule="exact"/>
              <w:rPr>
                <w:rFonts w:ascii="宋体" w:hAnsi="宋体"/>
                <w:color w:val="000000"/>
                <w:sz w:val="24"/>
              </w:rPr>
            </w:pPr>
            <w:r>
              <w:rPr>
                <w:rFonts w:hint="eastAsia" w:ascii="宋体" w:hAnsi="宋体"/>
                <w:color w:val="000000"/>
                <w:sz w:val="24"/>
              </w:rPr>
              <w:t>1、服务方案框架齐全、内容完整，对</w:t>
            </w:r>
            <w:r>
              <w:rPr>
                <w:rFonts w:hint="eastAsia" w:ascii="宋体" w:hAnsi="宋体" w:cs="仿宋_GB2312"/>
                <w:sz w:val="24"/>
              </w:rPr>
              <w:t>即开型体育彩票上门提货、装箱分拣、外包装覆膜、送货上门、入库按要求摆放、运输、货物保险办理、临时仓储等服务内容进行了</w:t>
            </w:r>
            <w:r>
              <w:rPr>
                <w:rFonts w:hint="eastAsia" w:ascii="宋体" w:hAnsi="宋体"/>
                <w:color w:val="000000"/>
                <w:sz w:val="24"/>
              </w:rPr>
              <w:t>详细的阐述和说明；</w:t>
            </w:r>
          </w:p>
          <w:p w14:paraId="48AABD46">
            <w:pPr>
              <w:spacing w:line="440" w:lineRule="exact"/>
              <w:rPr>
                <w:rFonts w:ascii="宋体" w:hAnsi="宋体"/>
                <w:color w:val="000000"/>
                <w:sz w:val="24"/>
              </w:rPr>
            </w:pPr>
            <w:r>
              <w:rPr>
                <w:rFonts w:hint="eastAsia" w:ascii="宋体" w:hAnsi="宋体"/>
                <w:color w:val="000000"/>
                <w:sz w:val="24"/>
              </w:rPr>
              <w:t>2、</w:t>
            </w:r>
            <w:r>
              <w:rPr>
                <w:rFonts w:hint="eastAsia" w:ascii="宋体" w:hAnsi="宋体" w:cs="仿宋_GB2312"/>
                <w:sz w:val="24"/>
              </w:rPr>
              <w:t>对配送范围、货物安全等</w:t>
            </w:r>
            <w:r>
              <w:rPr>
                <w:rFonts w:hint="eastAsia" w:ascii="宋体" w:hAnsi="宋体"/>
                <w:color w:val="000000"/>
                <w:sz w:val="24"/>
              </w:rPr>
              <w:t>服务要求进行了全面响应。</w:t>
            </w:r>
          </w:p>
          <w:p w14:paraId="592BF028">
            <w:pPr>
              <w:adjustRightInd w:val="0"/>
              <w:snapToGrid w:val="0"/>
              <w:spacing w:line="440" w:lineRule="exact"/>
              <w:rPr>
                <w:rFonts w:ascii="宋体" w:hAnsi="宋体"/>
                <w:b/>
                <w:bCs/>
                <w:sz w:val="24"/>
                <w:szCs w:val="24"/>
              </w:rPr>
            </w:pPr>
            <w:r>
              <w:rPr>
                <w:rFonts w:hint="eastAsia" w:ascii="宋体" w:hAnsi="宋体"/>
                <w:b/>
                <w:bCs/>
                <w:sz w:val="24"/>
              </w:rPr>
              <w:t>以上方面，每项3分，有一项内容缺乏完整性或合理性或针对性的扣1.5分，有一项内容缺项漏项或不满足采购文件要求的扣3分。</w:t>
            </w:r>
          </w:p>
          <w:p w14:paraId="05A9248C">
            <w:pPr>
              <w:adjustRightInd w:val="0"/>
              <w:snapToGrid w:val="0"/>
              <w:spacing w:line="440" w:lineRule="exact"/>
              <w:rPr>
                <w:rFonts w:ascii="宋体" w:hAnsi="宋体"/>
                <w:b/>
                <w:color w:val="000000"/>
                <w:sz w:val="24"/>
              </w:rPr>
            </w:pPr>
            <w:r>
              <w:rPr>
                <w:rFonts w:hint="eastAsia" w:ascii="宋体" w:hAnsi="宋体"/>
                <w:b/>
                <w:color w:val="000000"/>
                <w:sz w:val="24"/>
              </w:rPr>
              <w:t>（二）运输保障方案（9分）</w:t>
            </w:r>
          </w:p>
          <w:p w14:paraId="44EBC58F">
            <w:pPr>
              <w:spacing w:line="440" w:lineRule="exact"/>
              <w:rPr>
                <w:rFonts w:ascii="宋体" w:hAnsi="宋体"/>
                <w:color w:val="000000"/>
                <w:sz w:val="24"/>
              </w:rPr>
            </w:pPr>
            <w:r>
              <w:rPr>
                <w:rFonts w:hint="eastAsia" w:ascii="宋体" w:hAnsi="宋体"/>
                <w:color w:val="000000"/>
                <w:sz w:val="24"/>
              </w:rPr>
              <w:t>1、提供了完整、合理可行的人员保障、车辆保障方案及对应切实可行的保障措施；</w:t>
            </w:r>
          </w:p>
          <w:p w14:paraId="2406C95B">
            <w:pPr>
              <w:spacing w:line="440" w:lineRule="exact"/>
              <w:rPr>
                <w:rFonts w:ascii="宋体" w:hAnsi="宋体"/>
                <w:color w:val="000000"/>
                <w:sz w:val="24"/>
              </w:rPr>
            </w:pPr>
            <w:r>
              <w:rPr>
                <w:rFonts w:hint="eastAsia" w:ascii="宋体" w:hAnsi="宋体"/>
                <w:color w:val="000000"/>
                <w:sz w:val="24"/>
              </w:rPr>
              <w:t>2、提供了完整、合理可行的货物送达时限保障及对应切实可行的保障措施；</w:t>
            </w:r>
          </w:p>
          <w:p w14:paraId="336769B2">
            <w:pPr>
              <w:spacing w:line="440" w:lineRule="exact"/>
              <w:rPr>
                <w:rFonts w:ascii="宋体" w:hAnsi="宋体"/>
                <w:color w:val="000000"/>
                <w:sz w:val="24"/>
              </w:rPr>
            </w:pPr>
            <w:r>
              <w:rPr>
                <w:rFonts w:hint="eastAsia" w:ascii="宋体" w:hAnsi="宋体"/>
                <w:color w:val="000000"/>
                <w:sz w:val="24"/>
              </w:rPr>
              <w:t>3、提供了完整、合理可行的货物安全保障、车辆和货物保险保障方案及对应切实可行的保障措施；</w:t>
            </w:r>
          </w:p>
          <w:p w14:paraId="214EB000">
            <w:pPr>
              <w:adjustRightInd w:val="0"/>
              <w:snapToGrid w:val="0"/>
              <w:spacing w:line="440" w:lineRule="exact"/>
            </w:pPr>
            <w:r>
              <w:rPr>
                <w:rFonts w:hint="eastAsia" w:ascii="宋体" w:hAnsi="宋体"/>
                <w:b/>
                <w:bCs/>
                <w:sz w:val="24"/>
              </w:rPr>
              <w:t>以上方面，每项3分，有一项内容缺乏完整性或合理性或针对性的扣1.5分，有一项内容缺项漏项或不满足采购文件要求的扣3分。</w:t>
            </w:r>
          </w:p>
        </w:tc>
      </w:tr>
      <w:tr w14:paraId="5D7D9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8" w:type="dxa"/>
            <w:vMerge w:val="continue"/>
            <w:tcBorders>
              <w:top w:val="single" w:color="auto" w:sz="4" w:space="0"/>
              <w:left w:val="single" w:color="auto" w:sz="4" w:space="0"/>
              <w:right w:val="single" w:color="auto" w:sz="4" w:space="0"/>
            </w:tcBorders>
            <w:vAlign w:val="center"/>
          </w:tcPr>
          <w:p w14:paraId="63F74399">
            <w:pPr>
              <w:adjustRightInd w:val="0"/>
              <w:snapToGrid w:val="0"/>
              <w:spacing w:line="440" w:lineRule="exact"/>
              <w:jc w:val="center"/>
              <w:rPr>
                <w:rFonts w:ascii="宋体" w:hAnsi="宋体"/>
                <w:b/>
                <w:sz w:val="24"/>
                <w:szCs w:val="24"/>
              </w:rPr>
            </w:pPr>
          </w:p>
        </w:tc>
        <w:tc>
          <w:tcPr>
            <w:tcW w:w="1842" w:type="dxa"/>
            <w:tcBorders>
              <w:top w:val="single" w:color="auto" w:sz="4" w:space="0"/>
              <w:left w:val="single" w:color="auto" w:sz="4" w:space="0"/>
              <w:bottom w:val="single" w:color="auto" w:sz="4" w:space="0"/>
              <w:right w:val="single" w:color="auto" w:sz="4" w:space="0"/>
            </w:tcBorders>
            <w:vAlign w:val="center"/>
          </w:tcPr>
          <w:p w14:paraId="1FE9294A">
            <w:pPr>
              <w:spacing w:line="440" w:lineRule="exact"/>
              <w:jc w:val="center"/>
              <w:rPr>
                <w:rFonts w:ascii="宋体" w:hAnsi="宋体"/>
                <w:b/>
                <w:kern w:val="0"/>
                <w:sz w:val="24"/>
                <w:szCs w:val="24"/>
              </w:rPr>
            </w:pPr>
            <w:r>
              <w:rPr>
                <w:rFonts w:hint="eastAsia" w:ascii="宋体" w:hAnsi="宋体"/>
                <w:b/>
                <w:color w:val="000000"/>
                <w:sz w:val="24"/>
              </w:rPr>
              <w:t>二、投标人运输能力（满分22分）</w:t>
            </w:r>
          </w:p>
        </w:tc>
        <w:tc>
          <w:tcPr>
            <w:tcW w:w="6344" w:type="dxa"/>
            <w:tcBorders>
              <w:top w:val="single" w:color="auto" w:sz="4" w:space="0"/>
              <w:left w:val="single" w:color="auto" w:sz="4" w:space="0"/>
              <w:bottom w:val="single" w:color="auto" w:sz="4" w:space="0"/>
              <w:right w:val="single" w:color="auto" w:sz="4" w:space="0"/>
            </w:tcBorders>
            <w:vAlign w:val="center"/>
          </w:tcPr>
          <w:p w14:paraId="4EE1B427">
            <w:pPr>
              <w:spacing w:line="440" w:lineRule="exact"/>
              <w:rPr>
                <w:rFonts w:ascii="宋体" w:hAnsi="宋体"/>
                <w:color w:val="000000"/>
                <w:sz w:val="24"/>
                <w:szCs w:val="24"/>
              </w:rPr>
            </w:pPr>
            <w:r>
              <w:rPr>
                <w:rFonts w:hint="eastAsia" w:ascii="宋体" w:hAnsi="宋体"/>
                <w:color w:val="000000"/>
                <w:sz w:val="24"/>
              </w:rPr>
              <w:t>1、运输车辆投入与物流服务方案相呼应，车型齐全，提供了对应支撑材料，满足招标文件项目需求及服务要求的，得</w:t>
            </w:r>
            <w:r>
              <w:rPr>
                <w:rFonts w:hint="eastAsia" w:ascii="宋体" w:hAnsi="宋体"/>
                <w:color w:val="000000"/>
                <w:sz w:val="24"/>
                <w:u w:val="single"/>
              </w:rPr>
              <w:t>3分</w:t>
            </w:r>
            <w:r>
              <w:rPr>
                <w:rFonts w:hint="eastAsia" w:ascii="宋体" w:hAnsi="宋体"/>
                <w:color w:val="000000"/>
                <w:sz w:val="24"/>
              </w:rPr>
              <w:t>，支撑材料不完整的，得</w:t>
            </w:r>
            <w:r>
              <w:rPr>
                <w:rFonts w:hint="eastAsia" w:ascii="宋体" w:hAnsi="宋体"/>
                <w:color w:val="000000"/>
                <w:sz w:val="24"/>
                <w:u w:val="single"/>
              </w:rPr>
              <w:t>1.5分</w:t>
            </w:r>
            <w:r>
              <w:rPr>
                <w:rFonts w:hint="eastAsia" w:ascii="宋体" w:hAnsi="宋体"/>
                <w:color w:val="000000"/>
                <w:sz w:val="24"/>
              </w:rPr>
              <w:t>，未提供相关信息的不得分；</w:t>
            </w:r>
          </w:p>
          <w:p w14:paraId="43C925D1">
            <w:pPr>
              <w:spacing w:line="440" w:lineRule="exact"/>
              <w:rPr>
                <w:rFonts w:ascii="宋体" w:hAnsi="宋体"/>
                <w:color w:val="000000"/>
                <w:sz w:val="24"/>
              </w:rPr>
            </w:pPr>
            <w:r>
              <w:rPr>
                <w:rFonts w:hint="eastAsia" w:ascii="宋体" w:hAnsi="宋体"/>
                <w:color w:val="000000"/>
                <w:sz w:val="24"/>
              </w:rPr>
              <w:t>2、对应车辆有对应的拟投入驾驶员信息，提供了对应驾驶员支撑材料的，得</w:t>
            </w:r>
            <w:r>
              <w:rPr>
                <w:rFonts w:hint="eastAsia" w:ascii="宋体" w:hAnsi="宋体"/>
                <w:color w:val="000000"/>
                <w:sz w:val="24"/>
                <w:u w:val="single"/>
              </w:rPr>
              <w:t>3分</w:t>
            </w:r>
            <w:r>
              <w:rPr>
                <w:rFonts w:hint="eastAsia" w:ascii="宋体" w:hAnsi="宋体"/>
                <w:color w:val="000000"/>
                <w:sz w:val="24"/>
              </w:rPr>
              <w:t>，对应驾驶员不完整的，得</w:t>
            </w:r>
            <w:r>
              <w:rPr>
                <w:rFonts w:hint="eastAsia" w:ascii="宋体" w:hAnsi="宋体"/>
                <w:color w:val="000000"/>
                <w:sz w:val="24"/>
                <w:u w:val="single"/>
              </w:rPr>
              <w:t>1.5分</w:t>
            </w:r>
            <w:r>
              <w:rPr>
                <w:rFonts w:hint="eastAsia" w:ascii="宋体" w:hAnsi="宋体"/>
                <w:color w:val="000000"/>
                <w:sz w:val="24"/>
              </w:rPr>
              <w:t>，未提供驾驶员相关支撑材料的不得分；</w:t>
            </w:r>
          </w:p>
          <w:p w14:paraId="16BCA11D">
            <w:pPr>
              <w:spacing w:line="440" w:lineRule="exact"/>
              <w:rPr>
                <w:rFonts w:ascii="宋体" w:hAnsi="宋体"/>
                <w:color w:val="000000"/>
                <w:sz w:val="24"/>
                <w:szCs w:val="24"/>
              </w:rPr>
            </w:pPr>
            <w:r>
              <w:rPr>
                <w:rFonts w:hint="eastAsia" w:ascii="宋体" w:hAnsi="宋体"/>
                <w:color w:val="000000"/>
                <w:sz w:val="24"/>
              </w:rPr>
              <w:t>3、</w:t>
            </w:r>
            <w:r>
              <w:rPr>
                <w:rFonts w:hint="eastAsia" w:ascii="宋体" w:hAnsi="宋体"/>
                <w:color w:val="000000"/>
                <w:sz w:val="24"/>
                <w:lang w:val="en-US" w:eastAsia="zh-CN"/>
              </w:rPr>
              <w:t>供应商承诺省内16个州市均具备</w:t>
            </w:r>
            <w:r>
              <w:rPr>
                <w:rFonts w:hint="eastAsia" w:ascii="宋体" w:hAnsi="宋体"/>
                <w:color w:val="000000"/>
                <w:sz w:val="24"/>
              </w:rPr>
              <w:t>满足运输服务要求</w:t>
            </w:r>
            <w:r>
              <w:rPr>
                <w:rFonts w:hint="eastAsia" w:ascii="宋体" w:hAnsi="宋体"/>
                <w:color w:val="000000"/>
                <w:sz w:val="24"/>
                <w:lang w:eastAsia="zh-CN"/>
              </w:rPr>
              <w:t>的</w:t>
            </w:r>
            <w:r>
              <w:rPr>
                <w:rFonts w:hint="eastAsia" w:ascii="宋体" w:hAnsi="宋体"/>
                <w:color w:val="000000"/>
                <w:sz w:val="24"/>
                <w:lang w:val="en-US" w:eastAsia="zh-CN"/>
              </w:rPr>
              <w:t>能力，</w:t>
            </w:r>
            <w:r>
              <w:rPr>
                <w:rFonts w:hint="eastAsia" w:ascii="宋体" w:hAnsi="宋体"/>
                <w:color w:val="000000"/>
                <w:sz w:val="24"/>
              </w:rPr>
              <w:t>得</w:t>
            </w:r>
            <w:r>
              <w:rPr>
                <w:rFonts w:hint="eastAsia" w:ascii="宋体" w:hAnsi="宋体"/>
                <w:color w:val="000000"/>
                <w:sz w:val="24"/>
                <w:u w:val="single"/>
              </w:rPr>
              <w:t>16分</w:t>
            </w:r>
            <w:r>
              <w:rPr>
                <w:rFonts w:hint="eastAsia" w:ascii="宋体" w:hAnsi="宋体"/>
                <w:color w:val="000000"/>
                <w:sz w:val="24"/>
              </w:rPr>
              <w:t>，缺少1个州市（因本项目运输服务须涵盖省内各州市体彩机构）的扣</w:t>
            </w:r>
            <w:r>
              <w:rPr>
                <w:rFonts w:hint="eastAsia" w:ascii="宋体" w:hAnsi="宋体"/>
                <w:color w:val="000000"/>
                <w:sz w:val="24"/>
                <w:u w:val="single"/>
              </w:rPr>
              <w:t>1分</w:t>
            </w:r>
            <w:r>
              <w:rPr>
                <w:rFonts w:hint="eastAsia" w:ascii="宋体" w:hAnsi="宋体"/>
                <w:color w:val="000000"/>
                <w:sz w:val="24"/>
              </w:rPr>
              <w:t>，最多扣16分。</w:t>
            </w:r>
          </w:p>
        </w:tc>
      </w:tr>
      <w:tr w14:paraId="4ACFC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8" w:type="dxa"/>
            <w:vMerge w:val="continue"/>
            <w:tcBorders>
              <w:top w:val="single" w:color="auto" w:sz="4" w:space="0"/>
              <w:left w:val="single" w:color="auto" w:sz="4" w:space="0"/>
              <w:right w:val="single" w:color="auto" w:sz="4" w:space="0"/>
            </w:tcBorders>
            <w:vAlign w:val="center"/>
          </w:tcPr>
          <w:p w14:paraId="35D8546D">
            <w:pPr>
              <w:adjustRightInd w:val="0"/>
              <w:snapToGrid w:val="0"/>
              <w:spacing w:line="440" w:lineRule="exact"/>
              <w:jc w:val="center"/>
              <w:rPr>
                <w:rFonts w:ascii="宋体" w:hAnsi="宋体"/>
                <w:b/>
                <w:sz w:val="24"/>
                <w:szCs w:val="24"/>
              </w:rPr>
            </w:pPr>
          </w:p>
        </w:tc>
        <w:tc>
          <w:tcPr>
            <w:tcW w:w="1842" w:type="dxa"/>
            <w:tcBorders>
              <w:top w:val="single" w:color="auto" w:sz="4" w:space="0"/>
              <w:left w:val="single" w:color="auto" w:sz="4" w:space="0"/>
              <w:bottom w:val="single" w:color="auto" w:sz="4" w:space="0"/>
              <w:right w:val="single" w:color="auto" w:sz="4" w:space="0"/>
            </w:tcBorders>
            <w:vAlign w:val="center"/>
          </w:tcPr>
          <w:p w14:paraId="472B9730">
            <w:pPr>
              <w:spacing w:line="440" w:lineRule="exact"/>
              <w:jc w:val="center"/>
              <w:rPr>
                <w:rFonts w:ascii="宋体" w:hAnsi="宋体"/>
                <w:b/>
                <w:kern w:val="0"/>
                <w:sz w:val="24"/>
                <w:szCs w:val="24"/>
              </w:rPr>
            </w:pPr>
            <w:r>
              <w:rPr>
                <w:rFonts w:hint="eastAsia" w:ascii="宋体" w:hAnsi="宋体"/>
                <w:b/>
                <w:color w:val="000000"/>
                <w:sz w:val="24"/>
              </w:rPr>
              <w:t>三、仓储能力评价（满分12分）</w:t>
            </w:r>
          </w:p>
        </w:tc>
        <w:tc>
          <w:tcPr>
            <w:tcW w:w="6344" w:type="dxa"/>
            <w:tcBorders>
              <w:top w:val="single" w:color="auto" w:sz="4" w:space="0"/>
              <w:left w:val="single" w:color="auto" w:sz="4" w:space="0"/>
              <w:bottom w:val="single" w:color="auto" w:sz="4" w:space="0"/>
              <w:right w:val="single" w:color="auto" w:sz="4" w:space="0"/>
            </w:tcBorders>
            <w:vAlign w:val="center"/>
          </w:tcPr>
          <w:p w14:paraId="6E53F21D">
            <w:pPr>
              <w:spacing w:line="440" w:lineRule="exact"/>
              <w:rPr>
                <w:rFonts w:ascii="宋体" w:hAnsi="宋体"/>
                <w:color w:val="000000"/>
                <w:sz w:val="24"/>
                <w:szCs w:val="24"/>
              </w:rPr>
            </w:pPr>
            <w:r>
              <w:rPr>
                <w:rFonts w:hint="eastAsia" w:ascii="宋体" w:hAnsi="宋体"/>
                <w:color w:val="000000"/>
                <w:sz w:val="24"/>
              </w:rPr>
              <w:t>本项评分从仓库大小、仓库位置、仓库设施、仓库安全、防护设施等方面进行评审打分：</w:t>
            </w:r>
          </w:p>
          <w:p w14:paraId="257C2F09">
            <w:pPr>
              <w:spacing w:line="440" w:lineRule="exact"/>
              <w:rPr>
                <w:rFonts w:ascii="宋体" w:hAnsi="宋体"/>
                <w:color w:val="000000"/>
                <w:sz w:val="24"/>
              </w:rPr>
            </w:pPr>
            <w:r>
              <w:rPr>
                <w:rFonts w:hint="eastAsia" w:ascii="宋体" w:hAnsi="宋体"/>
                <w:color w:val="000000"/>
                <w:sz w:val="24"/>
              </w:rPr>
              <w:t>1、</w:t>
            </w:r>
            <w:r>
              <w:rPr>
                <w:rFonts w:hint="eastAsia" w:ascii="宋体" w:hAnsi="宋体" w:cs="仿宋_GB2312"/>
                <w:sz w:val="24"/>
              </w:rPr>
              <w:t>室内场所安全可靠，面积不少于400平方米，具有监控设备(无死角)，监控录像留存</w:t>
            </w:r>
            <w:r>
              <w:rPr>
                <w:rFonts w:hint="eastAsia" w:ascii="宋体" w:hAnsi="宋体"/>
                <w:color w:val="000000"/>
                <w:sz w:val="24"/>
              </w:rPr>
              <w:t>满足招标文件要求，</w:t>
            </w:r>
            <w:r>
              <w:rPr>
                <w:rFonts w:hint="eastAsia" w:ascii="宋体" w:hAnsi="宋体"/>
                <w:b/>
                <w:bCs/>
                <w:color w:val="000000"/>
                <w:sz w:val="24"/>
              </w:rPr>
              <w:t>提供相关证明材料</w:t>
            </w:r>
            <w:r>
              <w:rPr>
                <w:rFonts w:hint="eastAsia" w:ascii="宋体" w:hAnsi="宋体"/>
                <w:color w:val="000000"/>
                <w:sz w:val="24"/>
              </w:rPr>
              <w:t>；</w:t>
            </w:r>
          </w:p>
          <w:p w14:paraId="28252059">
            <w:pPr>
              <w:spacing w:line="440" w:lineRule="exact"/>
              <w:rPr>
                <w:rFonts w:ascii="宋体" w:hAnsi="宋体"/>
                <w:sz w:val="24"/>
              </w:rPr>
            </w:pPr>
            <w:r>
              <w:rPr>
                <w:rFonts w:hint="eastAsia" w:ascii="宋体" w:hAnsi="宋体"/>
                <w:color w:val="000000"/>
                <w:sz w:val="24"/>
              </w:rPr>
              <w:t>2、具备防盗、防潮、防污、防虫、防鼠等储存条件，提供相关支撑材料或图片等的</w:t>
            </w:r>
            <w:r>
              <w:rPr>
                <w:rFonts w:hint="eastAsia" w:ascii="宋体" w:hAnsi="宋体"/>
                <w:sz w:val="24"/>
              </w:rPr>
              <w:t>；</w:t>
            </w:r>
          </w:p>
          <w:p w14:paraId="3356B306">
            <w:pPr>
              <w:spacing w:line="440" w:lineRule="exact"/>
              <w:rPr>
                <w:rFonts w:ascii="宋体" w:hAnsi="宋体"/>
                <w:color w:val="000000"/>
                <w:sz w:val="24"/>
              </w:rPr>
            </w:pPr>
            <w:r>
              <w:rPr>
                <w:rFonts w:hint="eastAsia" w:ascii="宋体" w:hAnsi="宋体"/>
                <w:color w:val="000000"/>
                <w:sz w:val="24"/>
              </w:rPr>
              <w:t>3、基础设备齐全，具有拖地叉车、托盘、电子称等基础设备，完全满足</w:t>
            </w:r>
            <w:r>
              <w:rPr>
                <w:rFonts w:hint="eastAsia" w:ascii="宋体" w:hAnsi="宋体" w:cs="仿宋_GB2312"/>
                <w:bCs/>
                <w:kern w:val="44"/>
                <w:sz w:val="24"/>
              </w:rPr>
              <w:t>分拣、装卸服务需要，</w:t>
            </w:r>
            <w:r>
              <w:rPr>
                <w:rFonts w:hint="eastAsia" w:ascii="宋体" w:hAnsi="宋体"/>
                <w:color w:val="000000"/>
                <w:sz w:val="24"/>
              </w:rPr>
              <w:t>提供相关支撑材料或图片等的</w:t>
            </w:r>
            <w:r>
              <w:rPr>
                <w:rFonts w:hint="eastAsia" w:ascii="宋体" w:hAnsi="宋体"/>
                <w:sz w:val="24"/>
              </w:rPr>
              <w:t>；</w:t>
            </w:r>
          </w:p>
          <w:p w14:paraId="588393F4">
            <w:pPr>
              <w:spacing w:line="440" w:lineRule="exact"/>
              <w:rPr>
                <w:rFonts w:ascii="宋体" w:hAnsi="宋体"/>
                <w:color w:val="000000"/>
                <w:sz w:val="24"/>
                <w:szCs w:val="24"/>
              </w:rPr>
            </w:pPr>
            <w:r>
              <w:rPr>
                <w:rFonts w:hint="eastAsia" w:ascii="宋体" w:hAnsi="宋体"/>
                <w:b/>
                <w:bCs/>
                <w:sz w:val="24"/>
              </w:rPr>
              <w:t>以上方面，每项</w:t>
            </w:r>
            <w:r>
              <w:rPr>
                <w:rFonts w:hint="eastAsia" w:ascii="宋体" w:hAnsi="宋体"/>
                <w:b/>
                <w:bCs/>
                <w:sz w:val="24"/>
                <w:lang w:val="en-US" w:eastAsia="zh-CN"/>
              </w:rPr>
              <w:t>4</w:t>
            </w:r>
            <w:r>
              <w:rPr>
                <w:rFonts w:hint="eastAsia" w:ascii="宋体" w:hAnsi="宋体"/>
                <w:b/>
                <w:bCs/>
                <w:sz w:val="24"/>
              </w:rPr>
              <w:t>分，有一项内容缺乏完整性或合理性或针对性的扣</w:t>
            </w:r>
            <w:r>
              <w:rPr>
                <w:rFonts w:hint="eastAsia" w:ascii="宋体" w:hAnsi="宋体"/>
                <w:b/>
                <w:bCs/>
                <w:sz w:val="24"/>
                <w:lang w:val="en-US" w:eastAsia="zh-CN"/>
              </w:rPr>
              <w:t>2</w:t>
            </w:r>
            <w:r>
              <w:rPr>
                <w:rFonts w:hint="eastAsia" w:ascii="宋体" w:hAnsi="宋体"/>
                <w:b/>
                <w:bCs/>
                <w:sz w:val="24"/>
              </w:rPr>
              <w:t>分，有一项内容缺项漏项或不满足采购文件要求的扣</w:t>
            </w:r>
            <w:r>
              <w:rPr>
                <w:rFonts w:hint="eastAsia" w:ascii="宋体" w:hAnsi="宋体"/>
                <w:b/>
                <w:bCs/>
                <w:sz w:val="24"/>
                <w:lang w:val="en-US" w:eastAsia="zh-CN"/>
              </w:rPr>
              <w:t>4</w:t>
            </w:r>
            <w:bookmarkStart w:id="120" w:name="_GoBack"/>
            <w:bookmarkEnd w:id="120"/>
            <w:r>
              <w:rPr>
                <w:rFonts w:hint="eastAsia" w:ascii="宋体" w:hAnsi="宋体"/>
                <w:b/>
                <w:bCs/>
                <w:sz w:val="24"/>
              </w:rPr>
              <w:t>分。</w:t>
            </w:r>
          </w:p>
        </w:tc>
      </w:tr>
      <w:tr w14:paraId="256BA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8" w:type="dxa"/>
            <w:vMerge w:val="continue"/>
            <w:tcBorders>
              <w:top w:val="single" w:color="auto" w:sz="4" w:space="0"/>
              <w:left w:val="single" w:color="auto" w:sz="4" w:space="0"/>
              <w:right w:val="single" w:color="auto" w:sz="4" w:space="0"/>
            </w:tcBorders>
            <w:vAlign w:val="center"/>
          </w:tcPr>
          <w:p w14:paraId="210EB415">
            <w:pPr>
              <w:adjustRightInd w:val="0"/>
              <w:snapToGrid w:val="0"/>
              <w:spacing w:line="440" w:lineRule="exact"/>
              <w:jc w:val="center"/>
              <w:rPr>
                <w:rFonts w:ascii="宋体" w:hAnsi="宋体"/>
                <w:b/>
                <w:sz w:val="24"/>
                <w:szCs w:val="24"/>
              </w:rPr>
            </w:pPr>
          </w:p>
        </w:tc>
        <w:tc>
          <w:tcPr>
            <w:tcW w:w="1842" w:type="dxa"/>
            <w:tcBorders>
              <w:top w:val="single" w:color="auto" w:sz="4" w:space="0"/>
              <w:left w:val="single" w:color="auto" w:sz="4" w:space="0"/>
              <w:bottom w:val="single" w:color="auto" w:sz="4" w:space="0"/>
              <w:right w:val="single" w:color="auto" w:sz="4" w:space="0"/>
            </w:tcBorders>
            <w:vAlign w:val="center"/>
          </w:tcPr>
          <w:p w14:paraId="4C1F5322">
            <w:pPr>
              <w:spacing w:line="440" w:lineRule="exact"/>
              <w:jc w:val="center"/>
              <w:rPr>
                <w:rFonts w:ascii="宋体" w:hAnsi="宋体"/>
                <w:b/>
                <w:kern w:val="0"/>
                <w:sz w:val="24"/>
                <w:szCs w:val="24"/>
              </w:rPr>
            </w:pPr>
            <w:r>
              <w:rPr>
                <w:rFonts w:hint="eastAsia" w:ascii="宋体" w:hAnsi="宋体"/>
                <w:b/>
                <w:color w:val="000000"/>
                <w:sz w:val="24"/>
              </w:rPr>
              <w:t>四、制度管理（满分3分）</w:t>
            </w:r>
          </w:p>
        </w:tc>
        <w:tc>
          <w:tcPr>
            <w:tcW w:w="6344" w:type="dxa"/>
            <w:tcBorders>
              <w:top w:val="single" w:color="auto" w:sz="4" w:space="0"/>
              <w:left w:val="single" w:color="auto" w:sz="4" w:space="0"/>
              <w:bottom w:val="single" w:color="auto" w:sz="4" w:space="0"/>
              <w:right w:val="single" w:color="auto" w:sz="4" w:space="0"/>
            </w:tcBorders>
            <w:vAlign w:val="center"/>
          </w:tcPr>
          <w:p w14:paraId="68C52075">
            <w:pPr>
              <w:spacing w:line="440" w:lineRule="exact"/>
              <w:rPr>
                <w:rFonts w:ascii="宋体" w:hAnsi="宋体"/>
                <w:color w:val="000000"/>
                <w:sz w:val="24"/>
                <w:szCs w:val="24"/>
              </w:rPr>
            </w:pPr>
            <w:r>
              <w:rPr>
                <w:rFonts w:hint="eastAsia" w:ascii="宋体" w:hAnsi="宋体"/>
                <w:color w:val="000000"/>
                <w:sz w:val="24"/>
              </w:rPr>
              <w:t>本项评分从投标人内部管理规定、安全管理规章等方面进行评审打分。</w:t>
            </w:r>
          </w:p>
          <w:p w14:paraId="6D7B11ED">
            <w:pPr>
              <w:spacing w:line="440" w:lineRule="exact"/>
              <w:rPr>
                <w:rFonts w:ascii="宋体" w:hAnsi="宋体"/>
                <w:color w:val="000000"/>
                <w:sz w:val="24"/>
                <w:szCs w:val="24"/>
              </w:rPr>
            </w:pPr>
            <w:r>
              <w:rPr>
                <w:rFonts w:hint="eastAsia" w:ascii="宋体" w:hAnsi="宋体"/>
                <w:color w:val="000000"/>
                <w:sz w:val="24"/>
              </w:rPr>
              <w:t>投标人各项管理制度健全，且制度切实可行，便于采购人管理，得</w:t>
            </w:r>
            <w:r>
              <w:rPr>
                <w:rFonts w:hint="eastAsia" w:ascii="宋体" w:hAnsi="宋体"/>
                <w:color w:val="000000"/>
                <w:sz w:val="24"/>
                <w:u w:val="single"/>
              </w:rPr>
              <w:t>3分</w:t>
            </w:r>
            <w:r>
              <w:rPr>
                <w:rFonts w:hint="eastAsia" w:ascii="宋体" w:hAnsi="宋体"/>
                <w:color w:val="000000"/>
                <w:sz w:val="24"/>
              </w:rPr>
              <w:t>，缺乏完整性或合理性或针对性的得</w:t>
            </w:r>
            <w:r>
              <w:rPr>
                <w:rFonts w:hint="eastAsia" w:ascii="宋体" w:hAnsi="宋体"/>
                <w:color w:val="000000"/>
                <w:sz w:val="24"/>
                <w:u w:val="single"/>
              </w:rPr>
              <w:t>1.5分</w:t>
            </w:r>
            <w:r>
              <w:rPr>
                <w:rFonts w:hint="eastAsia" w:ascii="宋体" w:hAnsi="宋体"/>
                <w:color w:val="000000"/>
                <w:sz w:val="24"/>
              </w:rPr>
              <w:t>，未提供不得分。</w:t>
            </w:r>
          </w:p>
        </w:tc>
      </w:tr>
      <w:tr w14:paraId="1C498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8" w:type="dxa"/>
            <w:vMerge w:val="continue"/>
            <w:tcBorders>
              <w:top w:val="single" w:color="auto" w:sz="4" w:space="0"/>
              <w:left w:val="single" w:color="auto" w:sz="4" w:space="0"/>
              <w:right w:val="single" w:color="auto" w:sz="4" w:space="0"/>
            </w:tcBorders>
            <w:vAlign w:val="center"/>
          </w:tcPr>
          <w:p w14:paraId="2D026560">
            <w:pPr>
              <w:adjustRightInd w:val="0"/>
              <w:snapToGrid w:val="0"/>
              <w:spacing w:line="440" w:lineRule="exact"/>
              <w:jc w:val="center"/>
              <w:rPr>
                <w:rFonts w:ascii="宋体" w:hAnsi="宋体"/>
                <w:b/>
                <w:sz w:val="24"/>
                <w:szCs w:val="24"/>
              </w:rPr>
            </w:pPr>
          </w:p>
        </w:tc>
        <w:tc>
          <w:tcPr>
            <w:tcW w:w="1842" w:type="dxa"/>
            <w:tcBorders>
              <w:top w:val="single" w:color="auto" w:sz="4" w:space="0"/>
              <w:left w:val="single" w:color="auto" w:sz="4" w:space="0"/>
              <w:bottom w:val="single" w:color="auto" w:sz="4" w:space="0"/>
              <w:right w:val="single" w:color="auto" w:sz="4" w:space="0"/>
            </w:tcBorders>
            <w:vAlign w:val="center"/>
          </w:tcPr>
          <w:p w14:paraId="4FF7F13C">
            <w:pPr>
              <w:spacing w:line="440" w:lineRule="exact"/>
              <w:jc w:val="center"/>
              <w:rPr>
                <w:rFonts w:ascii="宋体" w:hAnsi="宋体"/>
                <w:b/>
                <w:kern w:val="0"/>
                <w:sz w:val="24"/>
                <w:szCs w:val="24"/>
              </w:rPr>
            </w:pPr>
            <w:r>
              <w:rPr>
                <w:rFonts w:hint="eastAsia" w:ascii="宋体" w:hAnsi="宋体"/>
                <w:b/>
                <w:sz w:val="24"/>
                <w:szCs w:val="24"/>
              </w:rPr>
              <w:t>五、应急风险预案</w:t>
            </w:r>
            <w:r>
              <w:rPr>
                <w:rFonts w:hint="eastAsia" w:ascii="宋体" w:hAnsi="宋体"/>
                <w:b/>
                <w:color w:val="000000"/>
                <w:sz w:val="24"/>
              </w:rPr>
              <w:t>（满分6分）</w:t>
            </w:r>
          </w:p>
        </w:tc>
        <w:tc>
          <w:tcPr>
            <w:tcW w:w="6344" w:type="dxa"/>
            <w:tcBorders>
              <w:top w:val="single" w:color="auto" w:sz="4" w:space="0"/>
              <w:left w:val="single" w:color="auto" w:sz="4" w:space="0"/>
              <w:bottom w:val="single" w:color="auto" w:sz="4" w:space="0"/>
              <w:right w:val="single" w:color="auto" w:sz="4" w:space="0"/>
            </w:tcBorders>
            <w:vAlign w:val="center"/>
          </w:tcPr>
          <w:p w14:paraId="75EE7112">
            <w:pPr>
              <w:spacing w:line="440" w:lineRule="exact"/>
              <w:rPr>
                <w:rFonts w:ascii="宋体" w:hAnsi="宋体"/>
                <w:color w:val="000000"/>
                <w:sz w:val="24"/>
                <w:szCs w:val="24"/>
              </w:rPr>
            </w:pPr>
            <w:r>
              <w:rPr>
                <w:rFonts w:hint="eastAsia" w:ascii="宋体" w:hAnsi="宋体"/>
                <w:color w:val="000000"/>
                <w:sz w:val="24"/>
              </w:rPr>
              <w:t>1、</w:t>
            </w:r>
            <w:r>
              <w:rPr>
                <w:rFonts w:hint="eastAsia" w:ascii="宋体" w:hAnsi="宋体"/>
                <w:sz w:val="24"/>
                <w:szCs w:val="24"/>
              </w:rPr>
              <w:t>针对物流服务制定了完整、详细、合理的应急风险预案</w:t>
            </w:r>
            <w:r>
              <w:rPr>
                <w:rFonts w:hint="eastAsia" w:ascii="宋体" w:hAnsi="宋体"/>
                <w:color w:val="000000"/>
                <w:sz w:val="24"/>
              </w:rPr>
              <w:t>；</w:t>
            </w:r>
          </w:p>
          <w:p w14:paraId="5774BD6B">
            <w:pPr>
              <w:spacing w:line="440" w:lineRule="exact"/>
              <w:rPr>
                <w:rFonts w:ascii="宋体" w:hAnsi="宋体"/>
                <w:color w:val="000000"/>
                <w:sz w:val="24"/>
              </w:rPr>
            </w:pPr>
            <w:r>
              <w:rPr>
                <w:rFonts w:hint="eastAsia" w:ascii="宋体" w:hAnsi="宋体"/>
                <w:color w:val="000000"/>
                <w:sz w:val="24"/>
              </w:rPr>
              <w:t>2、以及切实可行的保障措施，包括但不限于运输协调能力或或合作物流快速调配预案、具有紧急备用车辆等；</w:t>
            </w:r>
          </w:p>
          <w:p w14:paraId="349391B5">
            <w:pPr>
              <w:spacing w:line="440" w:lineRule="exact"/>
              <w:rPr>
                <w:rFonts w:ascii="宋体" w:hAnsi="宋体"/>
                <w:color w:val="000000"/>
                <w:sz w:val="24"/>
                <w:szCs w:val="24"/>
              </w:rPr>
            </w:pPr>
            <w:r>
              <w:rPr>
                <w:rFonts w:hint="eastAsia" w:ascii="宋体" w:hAnsi="宋体"/>
                <w:b/>
                <w:bCs/>
                <w:sz w:val="24"/>
              </w:rPr>
              <w:t>以上方面，每项3分，有一项内容缺乏完整性或合理性或针对性的扣1.5分，有一项内容缺项漏项或不满足采购文件要求的扣3分。</w:t>
            </w:r>
          </w:p>
        </w:tc>
      </w:tr>
      <w:tr w14:paraId="791F8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8" w:type="dxa"/>
            <w:vMerge w:val="continue"/>
            <w:tcBorders>
              <w:top w:val="single" w:color="auto" w:sz="4" w:space="0"/>
              <w:left w:val="single" w:color="auto" w:sz="4" w:space="0"/>
              <w:right w:val="single" w:color="auto" w:sz="4" w:space="0"/>
            </w:tcBorders>
            <w:vAlign w:val="center"/>
          </w:tcPr>
          <w:p w14:paraId="4C9DB406">
            <w:pPr>
              <w:adjustRightInd w:val="0"/>
              <w:snapToGrid w:val="0"/>
              <w:spacing w:line="440" w:lineRule="exact"/>
              <w:jc w:val="center"/>
              <w:rPr>
                <w:rFonts w:ascii="宋体" w:hAnsi="宋体"/>
                <w:b/>
                <w:sz w:val="24"/>
                <w:szCs w:val="24"/>
              </w:rPr>
            </w:pPr>
          </w:p>
        </w:tc>
        <w:tc>
          <w:tcPr>
            <w:tcW w:w="1842" w:type="dxa"/>
            <w:tcBorders>
              <w:top w:val="single" w:color="auto" w:sz="4" w:space="0"/>
              <w:left w:val="single" w:color="auto" w:sz="4" w:space="0"/>
              <w:bottom w:val="single" w:color="auto" w:sz="4" w:space="0"/>
              <w:right w:val="single" w:color="auto" w:sz="4" w:space="0"/>
            </w:tcBorders>
            <w:vAlign w:val="center"/>
          </w:tcPr>
          <w:p w14:paraId="59103660">
            <w:pPr>
              <w:spacing w:line="440" w:lineRule="exact"/>
              <w:jc w:val="center"/>
              <w:rPr>
                <w:rFonts w:ascii="宋体" w:hAnsi="宋体"/>
                <w:b/>
                <w:kern w:val="0"/>
                <w:sz w:val="24"/>
                <w:szCs w:val="24"/>
              </w:rPr>
            </w:pPr>
            <w:r>
              <w:rPr>
                <w:rFonts w:hint="eastAsia" w:ascii="宋体" w:hAnsi="宋体"/>
                <w:b/>
                <w:color w:val="000000"/>
                <w:sz w:val="24"/>
              </w:rPr>
              <w:t>六、</w:t>
            </w:r>
            <w:r>
              <w:rPr>
                <w:rFonts w:hint="eastAsia" w:ascii="宋体" w:hAnsi="宋体"/>
                <w:b/>
                <w:sz w:val="24"/>
                <w:szCs w:val="24"/>
              </w:rPr>
              <w:t>项目组织机构</w:t>
            </w:r>
            <w:r>
              <w:rPr>
                <w:rFonts w:hint="eastAsia" w:ascii="宋体" w:hAnsi="宋体"/>
                <w:b/>
                <w:color w:val="000000"/>
                <w:sz w:val="24"/>
              </w:rPr>
              <w:t>（满分12分）</w:t>
            </w:r>
          </w:p>
        </w:tc>
        <w:tc>
          <w:tcPr>
            <w:tcW w:w="6344" w:type="dxa"/>
            <w:tcBorders>
              <w:top w:val="single" w:color="auto" w:sz="4" w:space="0"/>
              <w:left w:val="single" w:color="auto" w:sz="4" w:space="0"/>
              <w:bottom w:val="single" w:color="auto" w:sz="4" w:space="0"/>
              <w:right w:val="single" w:color="auto" w:sz="4" w:space="0"/>
            </w:tcBorders>
            <w:vAlign w:val="center"/>
          </w:tcPr>
          <w:p w14:paraId="5E02E5CD">
            <w:pPr>
              <w:adjustRightInd w:val="0"/>
              <w:snapToGrid w:val="0"/>
              <w:spacing w:line="440" w:lineRule="exact"/>
              <w:rPr>
                <w:rFonts w:ascii="宋体" w:hAnsi="宋体"/>
                <w:sz w:val="24"/>
              </w:rPr>
            </w:pPr>
            <w:r>
              <w:rPr>
                <w:rFonts w:hint="eastAsia" w:ascii="宋体" w:hAnsi="宋体"/>
                <w:sz w:val="24"/>
              </w:rPr>
              <w:t>1、供应商拟配备一名项目负责人，为采购人提供专人专项负责的服务。</w:t>
            </w:r>
          </w:p>
          <w:p w14:paraId="3036DD03">
            <w:pPr>
              <w:adjustRightInd w:val="0"/>
              <w:snapToGrid w:val="0"/>
              <w:spacing w:line="440" w:lineRule="exact"/>
              <w:rPr>
                <w:rFonts w:ascii="宋体" w:hAnsi="宋体"/>
                <w:sz w:val="24"/>
              </w:rPr>
            </w:pPr>
            <w:r>
              <w:rPr>
                <w:rFonts w:hint="eastAsia" w:ascii="宋体" w:hAnsi="宋体"/>
                <w:sz w:val="24"/>
              </w:rPr>
              <w:t>2、提供了完整、详细、合理的人员组织构架说明；</w:t>
            </w:r>
          </w:p>
          <w:p w14:paraId="43C99960">
            <w:pPr>
              <w:adjustRightInd w:val="0"/>
              <w:snapToGrid w:val="0"/>
              <w:spacing w:line="440" w:lineRule="exact"/>
              <w:rPr>
                <w:rFonts w:ascii="宋体" w:hAnsi="宋体"/>
                <w:sz w:val="24"/>
              </w:rPr>
            </w:pPr>
            <w:r>
              <w:rPr>
                <w:rFonts w:hint="eastAsia" w:ascii="宋体" w:hAnsi="宋体"/>
                <w:sz w:val="24"/>
              </w:rPr>
              <w:t>3、其他管理人员（如仓库管理、数据报表提供等）配置齐全，岗位职责明确；</w:t>
            </w:r>
          </w:p>
          <w:p w14:paraId="280DD730">
            <w:pPr>
              <w:adjustRightInd w:val="0"/>
              <w:snapToGrid w:val="0"/>
              <w:spacing w:line="440" w:lineRule="exact"/>
              <w:rPr>
                <w:rFonts w:hint="eastAsia" w:ascii="宋体" w:hAnsi="宋体"/>
                <w:sz w:val="24"/>
              </w:rPr>
            </w:pPr>
            <w:r>
              <w:rPr>
                <w:rFonts w:hint="eastAsia" w:ascii="宋体" w:hAnsi="宋体"/>
                <w:sz w:val="24"/>
              </w:rPr>
              <w:t>4、仓库具备相应的仓库搬运、装卸（含叉车）人员的，提供仓库相关人员信息以及对应操作证书的。</w:t>
            </w:r>
          </w:p>
          <w:p w14:paraId="35CE4E69">
            <w:pPr>
              <w:pStyle w:val="14"/>
              <w:rPr>
                <w:rFonts w:hint="eastAsia" w:eastAsia="宋体"/>
                <w:b/>
                <w:bCs/>
                <w:lang w:val="en-US" w:eastAsia="zh-CN"/>
              </w:rPr>
            </w:pPr>
            <w:r>
              <w:rPr>
                <w:rFonts w:hint="eastAsia" w:ascii="宋体" w:hAnsi="宋体"/>
                <w:b/>
                <w:bCs/>
                <w:sz w:val="24"/>
                <w:lang w:val="en-US" w:eastAsia="zh-CN"/>
              </w:rPr>
              <w:t>注：项目团队人员须为本单位在职员工，提供劳动合同或社保缴纳证明材料，如证明材料无法清晰反映人员姓名和时间的，不予认可</w:t>
            </w:r>
          </w:p>
          <w:p w14:paraId="360501B6">
            <w:pPr>
              <w:spacing w:line="440" w:lineRule="exact"/>
              <w:rPr>
                <w:rFonts w:ascii="宋体" w:hAnsi="宋体"/>
                <w:color w:val="000000"/>
                <w:sz w:val="24"/>
                <w:szCs w:val="24"/>
              </w:rPr>
            </w:pPr>
            <w:r>
              <w:rPr>
                <w:rFonts w:hint="eastAsia" w:ascii="宋体" w:hAnsi="宋体"/>
                <w:b/>
                <w:bCs/>
                <w:sz w:val="24"/>
              </w:rPr>
              <w:t>以上方面，每项3分，有一项内容缺乏完整性或合理性或针对性的扣1.5分，有一项内容缺项漏项或不满足采购文件要求的扣3分。</w:t>
            </w:r>
          </w:p>
        </w:tc>
      </w:tr>
      <w:tr w14:paraId="7C0E8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8" w:type="dxa"/>
            <w:vMerge w:val="restart"/>
            <w:tcBorders>
              <w:left w:val="single" w:color="auto" w:sz="4" w:space="0"/>
              <w:right w:val="single" w:color="auto" w:sz="4" w:space="0"/>
            </w:tcBorders>
            <w:vAlign w:val="center"/>
          </w:tcPr>
          <w:p w14:paraId="48E12AFA">
            <w:pPr>
              <w:adjustRightInd w:val="0"/>
              <w:snapToGrid w:val="0"/>
              <w:spacing w:line="440" w:lineRule="exact"/>
              <w:jc w:val="center"/>
              <w:rPr>
                <w:rFonts w:ascii="宋体" w:hAnsi="宋体"/>
                <w:b/>
                <w:sz w:val="24"/>
                <w:szCs w:val="24"/>
              </w:rPr>
            </w:pPr>
            <w:r>
              <w:rPr>
                <w:rFonts w:ascii="宋体" w:hAnsi="宋体"/>
                <w:b/>
                <w:sz w:val="24"/>
                <w:szCs w:val="24"/>
              </w:rPr>
              <w:t>F3</w:t>
            </w:r>
            <w:r>
              <w:rPr>
                <w:rFonts w:hint="eastAsia" w:ascii="宋体" w:hAnsi="宋体"/>
                <w:b/>
                <w:sz w:val="24"/>
                <w:szCs w:val="24"/>
              </w:rPr>
              <w:t>商务部分得分</w:t>
            </w:r>
            <w:r>
              <w:rPr>
                <w:rFonts w:ascii="宋体" w:hAnsi="宋体"/>
                <w:b/>
                <w:sz w:val="24"/>
                <w:szCs w:val="24"/>
              </w:rPr>
              <w:t>（满分</w:t>
            </w:r>
            <w:r>
              <w:rPr>
                <w:rFonts w:hint="eastAsia" w:ascii="宋体" w:hAnsi="宋体"/>
                <w:b/>
                <w:sz w:val="24"/>
                <w:szCs w:val="24"/>
              </w:rPr>
              <w:t xml:space="preserve">  20分）</w:t>
            </w:r>
          </w:p>
        </w:tc>
        <w:tc>
          <w:tcPr>
            <w:tcW w:w="1842" w:type="dxa"/>
            <w:tcBorders>
              <w:top w:val="single" w:color="auto" w:sz="4" w:space="0"/>
              <w:left w:val="single" w:color="auto" w:sz="4" w:space="0"/>
              <w:bottom w:val="single" w:color="auto" w:sz="4" w:space="0"/>
              <w:right w:val="single" w:color="auto" w:sz="4" w:space="0"/>
            </w:tcBorders>
            <w:vAlign w:val="center"/>
          </w:tcPr>
          <w:p w14:paraId="013A901E">
            <w:pPr>
              <w:spacing w:line="440" w:lineRule="exact"/>
              <w:jc w:val="center"/>
              <w:rPr>
                <w:rFonts w:ascii="宋体" w:hAnsi="宋体"/>
                <w:b/>
                <w:sz w:val="24"/>
                <w:szCs w:val="24"/>
              </w:rPr>
            </w:pPr>
            <w:r>
              <w:rPr>
                <w:rFonts w:hint="eastAsia" w:ascii="宋体" w:hAnsi="宋体"/>
                <w:b/>
                <w:sz w:val="24"/>
              </w:rPr>
              <w:t>一、投标人类似服务经验（满分5分）</w:t>
            </w:r>
          </w:p>
        </w:tc>
        <w:tc>
          <w:tcPr>
            <w:tcW w:w="6344" w:type="dxa"/>
            <w:tcBorders>
              <w:top w:val="single" w:color="auto" w:sz="4" w:space="0"/>
              <w:left w:val="single" w:color="auto" w:sz="4" w:space="0"/>
              <w:bottom w:val="single" w:color="auto" w:sz="4" w:space="0"/>
              <w:right w:val="single" w:color="auto" w:sz="4" w:space="0"/>
            </w:tcBorders>
            <w:vAlign w:val="center"/>
          </w:tcPr>
          <w:p w14:paraId="3EB77377">
            <w:pPr>
              <w:adjustRightInd w:val="0"/>
              <w:snapToGrid w:val="0"/>
              <w:spacing w:line="440" w:lineRule="exact"/>
              <w:rPr>
                <w:rFonts w:ascii="宋体" w:hAnsi="宋体"/>
                <w:sz w:val="24"/>
                <w:szCs w:val="24"/>
              </w:rPr>
            </w:pPr>
            <w:r>
              <w:rPr>
                <w:rFonts w:hint="eastAsia" w:ascii="宋体" w:hAnsi="宋体"/>
                <w:sz w:val="24"/>
                <w:szCs w:val="24"/>
              </w:rPr>
              <w:t>提供一个投标人近三年（2022年-至今）类似运输服务经验的，得1分，分数加满为止。</w:t>
            </w:r>
          </w:p>
          <w:p w14:paraId="1ED56849">
            <w:pPr>
              <w:spacing w:line="440" w:lineRule="exact"/>
              <w:rPr>
                <w:rFonts w:ascii="宋体" w:hAnsi="宋体"/>
                <w:sz w:val="24"/>
                <w:szCs w:val="24"/>
              </w:rPr>
            </w:pPr>
            <w:r>
              <w:rPr>
                <w:rFonts w:hint="eastAsia" w:ascii="宋体" w:hAnsi="宋体"/>
                <w:sz w:val="24"/>
                <w:szCs w:val="24"/>
              </w:rPr>
              <w:t>类似服务经验证明以中标/成交通知书或合同或业主证明材料等有效证明文件为准。</w:t>
            </w:r>
          </w:p>
        </w:tc>
      </w:tr>
      <w:tr w14:paraId="5C6D8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8" w:type="dxa"/>
            <w:vMerge w:val="continue"/>
            <w:tcBorders>
              <w:left w:val="single" w:color="auto" w:sz="4" w:space="0"/>
              <w:right w:val="single" w:color="auto" w:sz="4" w:space="0"/>
            </w:tcBorders>
            <w:vAlign w:val="center"/>
          </w:tcPr>
          <w:p w14:paraId="54233B56">
            <w:pPr>
              <w:adjustRightInd w:val="0"/>
              <w:snapToGrid w:val="0"/>
              <w:spacing w:line="440" w:lineRule="exact"/>
              <w:jc w:val="center"/>
              <w:rPr>
                <w:rFonts w:ascii="宋体" w:hAnsi="宋体"/>
                <w:b/>
                <w:sz w:val="24"/>
                <w:szCs w:val="24"/>
              </w:rPr>
            </w:pPr>
          </w:p>
        </w:tc>
        <w:tc>
          <w:tcPr>
            <w:tcW w:w="1842" w:type="dxa"/>
            <w:tcBorders>
              <w:top w:val="single" w:color="auto" w:sz="4" w:space="0"/>
              <w:left w:val="single" w:color="auto" w:sz="4" w:space="0"/>
              <w:bottom w:val="single" w:color="auto" w:sz="4" w:space="0"/>
              <w:right w:val="single" w:color="auto" w:sz="4" w:space="0"/>
            </w:tcBorders>
            <w:vAlign w:val="center"/>
          </w:tcPr>
          <w:p w14:paraId="66A83E10">
            <w:pPr>
              <w:spacing w:line="440" w:lineRule="exact"/>
              <w:jc w:val="center"/>
              <w:rPr>
                <w:rFonts w:ascii="宋体" w:hAnsi="宋体"/>
                <w:b/>
                <w:sz w:val="24"/>
              </w:rPr>
            </w:pPr>
            <w:r>
              <w:rPr>
                <w:rFonts w:hint="eastAsia" w:ascii="宋体" w:hAnsi="宋体"/>
                <w:b/>
                <w:sz w:val="24"/>
                <w:szCs w:val="24"/>
              </w:rPr>
              <w:t>二、违约责任承诺及损失赔偿承诺（满分10分）</w:t>
            </w:r>
          </w:p>
        </w:tc>
        <w:tc>
          <w:tcPr>
            <w:tcW w:w="6344" w:type="dxa"/>
            <w:tcBorders>
              <w:top w:val="single" w:color="auto" w:sz="4" w:space="0"/>
              <w:left w:val="single" w:color="auto" w:sz="4" w:space="0"/>
              <w:bottom w:val="single" w:color="auto" w:sz="4" w:space="0"/>
              <w:right w:val="single" w:color="auto" w:sz="4" w:space="0"/>
            </w:tcBorders>
            <w:vAlign w:val="center"/>
          </w:tcPr>
          <w:p w14:paraId="5F61D443">
            <w:pPr>
              <w:adjustRightInd w:val="0"/>
              <w:snapToGrid w:val="0"/>
              <w:spacing w:line="440" w:lineRule="exact"/>
              <w:rPr>
                <w:rFonts w:ascii="宋体" w:hAnsi="宋体"/>
                <w:sz w:val="24"/>
                <w:szCs w:val="24"/>
              </w:rPr>
            </w:pPr>
            <w:r>
              <w:rPr>
                <w:rFonts w:hint="eastAsia" w:ascii="宋体" w:hAnsi="宋体"/>
                <w:sz w:val="24"/>
                <w:szCs w:val="24"/>
              </w:rPr>
              <w:t>1、提供了完整、详细的违约责任承诺（包括逾期上门取件、未按时送达、逾期送达等），内容全面、违约处罚合理可行；</w:t>
            </w:r>
          </w:p>
          <w:p w14:paraId="4718F01F">
            <w:pPr>
              <w:adjustRightInd w:val="0"/>
              <w:snapToGrid w:val="0"/>
              <w:spacing w:line="440" w:lineRule="exact"/>
              <w:rPr>
                <w:rFonts w:ascii="宋体" w:hAnsi="宋体"/>
                <w:sz w:val="24"/>
                <w:szCs w:val="24"/>
              </w:rPr>
            </w:pPr>
            <w:r>
              <w:rPr>
                <w:rFonts w:hint="eastAsia" w:ascii="宋体" w:hAnsi="宋体"/>
                <w:sz w:val="24"/>
                <w:szCs w:val="24"/>
              </w:rPr>
              <w:t>2、针对未按时送达、逾期送达等情况有切实可行的保障措施；</w:t>
            </w:r>
          </w:p>
          <w:p w14:paraId="22C0B0AD">
            <w:pPr>
              <w:adjustRightInd w:val="0"/>
              <w:snapToGrid w:val="0"/>
              <w:spacing w:line="440" w:lineRule="exact"/>
              <w:rPr>
                <w:rFonts w:ascii="宋体" w:hAnsi="宋体"/>
                <w:sz w:val="24"/>
                <w:szCs w:val="24"/>
              </w:rPr>
            </w:pPr>
            <w:r>
              <w:rPr>
                <w:rFonts w:hint="eastAsia" w:ascii="宋体" w:hAnsi="宋体"/>
                <w:sz w:val="24"/>
                <w:szCs w:val="24"/>
              </w:rPr>
              <w:t>3、提供了完整、详细的损失赔偿承诺（</w:t>
            </w:r>
            <w:r>
              <w:rPr>
                <w:rFonts w:hint="eastAsia" w:ascii="宋体" w:hAnsi="宋体"/>
                <w:color w:val="000000"/>
                <w:sz w:val="24"/>
              </w:rPr>
              <w:t>包括</w:t>
            </w:r>
            <w:r>
              <w:rPr>
                <w:rFonts w:hint="eastAsia" w:ascii="宋体" w:hAnsi="宋体" w:cs="仿宋_GB2312"/>
                <w:color w:val="000000"/>
                <w:sz w:val="24"/>
              </w:rPr>
              <w:t>彩票破损、玷污和丢失</w:t>
            </w:r>
            <w:r>
              <w:rPr>
                <w:rFonts w:hint="eastAsia" w:ascii="宋体" w:hAnsi="宋体"/>
                <w:color w:val="000000"/>
                <w:sz w:val="24"/>
              </w:rPr>
              <w:t>等情况</w:t>
            </w:r>
            <w:r>
              <w:rPr>
                <w:rFonts w:hint="eastAsia" w:ascii="宋体" w:hAnsi="宋体"/>
                <w:sz w:val="24"/>
                <w:szCs w:val="24"/>
              </w:rPr>
              <w:t>），内容全面、违约处罚合理可行；</w:t>
            </w:r>
          </w:p>
          <w:p w14:paraId="5546A766">
            <w:pPr>
              <w:adjustRightInd w:val="0"/>
              <w:snapToGrid w:val="0"/>
              <w:spacing w:line="440" w:lineRule="exact"/>
              <w:rPr>
                <w:rFonts w:ascii="宋体" w:hAnsi="宋体"/>
                <w:sz w:val="24"/>
                <w:szCs w:val="24"/>
              </w:rPr>
            </w:pPr>
            <w:r>
              <w:rPr>
                <w:rFonts w:hint="eastAsia" w:ascii="宋体" w:hAnsi="宋体"/>
                <w:sz w:val="24"/>
                <w:szCs w:val="24"/>
              </w:rPr>
              <w:t>4、</w:t>
            </w:r>
            <w:r>
              <w:rPr>
                <w:rFonts w:hint="eastAsia" w:ascii="宋体" w:hAnsi="宋体"/>
                <w:color w:val="000000"/>
                <w:sz w:val="24"/>
              </w:rPr>
              <w:t>有具体的损失赔偿承诺，赔偿标准满足或优于招标文件的要求，且合理可行</w:t>
            </w:r>
            <w:r>
              <w:rPr>
                <w:rFonts w:hint="eastAsia" w:ascii="宋体" w:hAnsi="宋体"/>
                <w:sz w:val="24"/>
                <w:szCs w:val="24"/>
              </w:rPr>
              <w:t>。</w:t>
            </w:r>
          </w:p>
          <w:p w14:paraId="1290E9FF">
            <w:pPr>
              <w:spacing w:line="440" w:lineRule="exact"/>
              <w:rPr>
                <w:rFonts w:ascii="宋体" w:hAnsi="宋体"/>
                <w:sz w:val="24"/>
                <w:szCs w:val="24"/>
              </w:rPr>
            </w:pPr>
            <w:r>
              <w:rPr>
                <w:rFonts w:hint="eastAsia" w:ascii="宋体" w:hAnsi="宋体"/>
                <w:b/>
                <w:bCs/>
                <w:sz w:val="24"/>
              </w:rPr>
              <w:t>以上方面，每项2.5分，有一项内容缺乏完整性或合理性或针对性的扣1分，有一项内容缺项漏项或不满足采购文件要求的扣2.5分。</w:t>
            </w:r>
          </w:p>
        </w:tc>
      </w:tr>
      <w:tr w14:paraId="261D5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8" w:type="dxa"/>
            <w:vMerge w:val="continue"/>
            <w:tcBorders>
              <w:left w:val="single" w:color="auto" w:sz="4" w:space="0"/>
              <w:right w:val="single" w:color="auto" w:sz="4" w:space="0"/>
            </w:tcBorders>
            <w:vAlign w:val="center"/>
          </w:tcPr>
          <w:p w14:paraId="718863AC">
            <w:pPr>
              <w:adjustRightInd w:val="0"/>
              <w:snapToGrid w:val="0"/>
              <w:spacing w:line="440" w:lineRule="exact"/>
              <w:ind w:firstLine="200"/>
              <w:rPr>
                <w:rFonts w:ascii="宋体" w:hAnsi="宋体"/>
                <w:b/>
                <w:sz w:val="24"/>
                <w:szCs w:val="24"/>
              </w:rPr>
            </w:pPr>
          </w:p>
        </w:tc>
        <w:tc>
          <w:tcPr>
            <w:tcW w:w="1842" w:type="dxa"/>
            <w:tcBorders>
              <w:top w:val="single" w:color="auto" w:sz="4" w:space="0"/>
              <w:left w:val="single" w:color="auto" w:sz="4" w:space="0"/>
              <w:bottom w:val="single" w:color="auto" w:sz="4" w:space="0"/>
              <w:right w:val="single" w:color="auto" w:sz="4" w:space="0"/>
            </w:tcBorders>
            <w:vAlign w:val="center"/>
          </w:tcPr>
          <w:p w14:paraId="1864A51D">
            <w:pPr>
              <w:spacing w:line="440" w:lineRule="exact"/>
              <w:jc w:val="center"/>
              <w:rPr>
                <w:rFonts w:ascii="宋体" w:hAnsi="宋体"/>
                <w:b/>
                <w:color w:val="000000"/>
                <w:sz w:val="24"/>
                <w:szCs w:val="24"/>
              </w:rPr>
            </w:pPr>
            <w:r>
              <w:rPr>
                <w:rFonts w:hint="eastAsia" w:ascii="宋体" w:hAnsi="宋体"/>
                <w:b/>
                <w:sz w:val="24"/>
                <w:szCs w:val="24"/>
              </w:rPr>
              <w:t>三、</w:t>
            </w:r>
            <w:bookmarkStart w:id="104" w:name="OLE_LINK5"/>
            <w:r>
              <w:rPr>
                <w:rFonts w:hint="eastAsia" w:ascii="宋体" w:hAnsi="宋体"/>
                <w:b/>
                <w:sz w:val="24"/>
                <w:szCs w:val="24"/>
              </w:rPr>
              <w:t>服务承诺及保障措施</w:t>
            </w:r>
            <w:bookmarkEnd w:id="104"/>
            <w:r>
              <w:rPr>
                <w:rFonts w:hint="eastAsia" w:ascii="宋体" w:hAnsi="宋体"/>
                <w:b/>
                <w:sz w:val="24"/>
                <w:szCs w:val="24"/>
              </w:rPr>
              <w:t>（5分）</w:t>
            </w:r>
          </w:p>
        </w:tc>
        <w:tc>
          <w:tcPr>
            <w:tcW w:w="6344" w:type="dxa"/>
            <w:tcBorders>
              <w:top w:val="single" w:color="auto" w:sz="4" w:space="0"/>
              <w:left w:val="single" w:color="auto" w:sz="4" w:space="0"/>
              <w:bottom w:val="single" w:color="auto" w:sz="4" w:space="0"/>
              <w:right w:val="single" w:color="auto" w:sz="4" w:space="0"/>
            </w:tcBorders>
            <w:vAlign w:val="center"/>
          </w:tcPr>
          <w:p w14:paraId="681F051A">
            <w:pPr>
              <w:spacing w:line="440" w:lineRule="exact"/>
              <w:rPr>
                <w:rFonts w:ascii="宋体" w:hAnsi="宋体"/>
                <w:color w:val="000000"/>
                <w:sz w:val="24"/>
                <w:szCs w:val="24"/>
              </w:rPr>
            </w:pPr>
            <w:r>
              <w:rPr>
                <w:rFonts w:hint="eastAsia" w:ascii="宋体" w:hAnsi="宋体"/>
                <w:color w:val="000000"/>
                <w:sz w:val="24"/>
                <w:szCs w:val="24"/>
              </w:rPr>
              <w:t>1、提供了完整、详细、合理的服务质量承诺（包括专人、专车进行承运及不无故换车运输等服务质量、安全责任等）以及切实可行的保障措施、惩处措施；</w:t>
            </w:r>
          </w:p>
          <w:p w14:paraId="09139FCC">
            <w:pPr>
              <w:spacing w:line="440" w:lineRule="exact"/>
              <w:rPr>
                <w:rFonts w:ascii="宋体" w:hAnsi="宋体"/>
                <w:color w:val="000000"/>
                <w:sz w:val="24"/>
                <w:szCs w:val="24"/>
              </w:rPr>
            </w:pPr>
            <w:r>
              <w:rPr>
                <w:rFonts w:hint="eastAsia" w:ascii="宋体" w:hAnsi="宋体"/>
                <w:color w:val="000000"/>
                <w:sz w:val="24"/>
                <w:szCs w:val="24"/>
              </w:rPr>
              <w:t>2、提供了完整、详细、合理的保密承诺（至少包括不得向外透露采购人委托运送货物的相关信息、人员相关信息等）以及切实可行的保障措施、惩处措施；</w:t>
            </w:r>
          </w:p>
          <w:p w14:paraId="50E6176C">
            <w:pPr>
              <w:spacing w:line="440" w:lineRule="exact"/>
              <w:rPr>
                <w:rFonts w:ascii="宋体" w:hAnsi="宋体"/>
                <w:color w:val="000000"/>
                <w:sz w:val="24"/>
                <w:szCs w:val="24"/>
              </w:rPr>
            </w:pPr>
            <w:r>
              <w:rPr>
                <w:rFonts w:hint="eastAsia" w:ascii="宋体" w:hAnsi="宋体"/>
                <w:b/>
                <w:bCs/>
                <w:color w:val="000000"/>
                <w:sz w:val="24"/>
                <w:szCs w:val="24"/>
              </w:rPr>
              <w:t>以上方面，每项2.5分，有一项内容缺乏完整性或合理性或针对性的扣1分，有一项内容缺项漏项或不满足采购文件要求的扣2.5分。</w:t>
            </w:r>
          </w:p>
        </w:tc>
      </w:tr>
    </w:tbl>
    <w:p w14:paraId="4F27EEFF">
      <w:pPr>
        <w:pStyle w:val="18"/>
        <w:tabs>
          <w:tab w:val="left" w:pos="540"/>
        </w:tabs>
        <w:adjustRightInd w:val="0"/>
        <w:spacing w:before="240" w:line="360" w:lineRule="auto"/>
        <w:ind w:left="0" w:leftChars="0"/>
        <w:rPr>
          <w:rFonts w:hAnsi="宋体"/>
          <w:b/>
          <w:bCs/>
          <w:color w:val="000000"/>
          <w:sz w:val="24"/>
        </w:rPr>
      </w:pPr>
    </w:p>
    <w:p w14:paraId="4A089EAD">
      <w:pPr>
        <w:pStyle w:val="18"/>
        <w:tabs>
          <w:tab w:val="left" w:pos="540"/>
        </w:tabs>
        <w:adjustRightInd w:val="0"/>
        <w:spacing w:before="240" w:line="360" w:lineRule="auto"/>
        <w:ind w:left="0" w:leftChars="0"/>
        <w:outlineLvl w:val="1"/>
        <w:rPr>
          <w:rFonts w:ascii="宋体" w:hAnsi="宋体"/>
          <w:b/>
          <w:color w:val="000000"/>
          <w:sz w:val="24"/>
        </w:rPr>
      </w:pPr>
      <w:r>
        <w:rPr>
          <w:rFonts w:ascii="宋体" w:hAnsi="宋体"/>
          <w:b/>
          <w:color w:val="000000"/>
          <w:sz w:val="24"/>
        </w:rPr>
        <w:br w:type="page"/>
      </w:r>
      <w:r>
        <w:rPr>
          <w:rFonts w:hint="eastAsia" w:ascii="宋体" w:hAnsi="宋体"/>
          <w:b/>
          <w:color w:val="000000"/>
          <w:sz w:val="24"/>
        </w:rPr>
        <w:t>1.评标方法：</w:t>
      </w:r>
    </w:p>
    <w:p w14:paraId="47BC3E38">
      <w:pPr>
        <w:pStyle w:val="16"/>
        <w:tabs>
          <w:tab w:val="left" w:pos="2472"/>
        </w:tabs>
        <w:spacing w:line="480" w:lineRule="exact"/>
        <w:rPr>
          <w:rFonts w:hAnsi="宋体"/>
          <w:bCs/>
          <w:color w:val="000000"/>
          <w:sz w:val="24"/>
        </w:rPr>
      </w:pPr>
      <w:r>
        <w:rPr>
          <w:rFonts w:hint="eastAsia" w:hAnsi="宋体"/>
          <w:b/>
          <w:bCs/>
          <w:color w:val="000000"/>
          <w:sz w:val="24"/>
        </w:rPr>
        <w:t>1.1本次评标采用综合评分法。</w:t>
      </w:r>
      <w:r>
        <w:rPr>
          <w:rFonts w:hint="eastAsia" w:hAnsi="宋体"/>
          <w:bCs/>
          <w:color w:val="000000"/>
          <w:sz w:val="24"/>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w:t>
      </w:r>
      <w:r>
        <w:rPr>
          <w:rFonts w:hint="eastAsia" w:hAnsi="宋体"/>
          <w:sz w:val="24"/>
        </w:rPr>
        <w:t>所有得分均相等的，按优先采购小微企业、监狱企业、残疾人福利性单位的产品和服务的原则推荐中标候选人；</w:t>
      </w:r>
      <w:r>
        <w:rPr>
          <w:rFonts w:hint="eastAsia" w:hAnsi="宋体"/>
          <w:bCs/>
          <w:color w:val="000000"/>
          <w:sz w:val="24"/>
        </w:rPr>
        <w:t>所有得分均相等且政府采购政策条件也相等的，按</w:t>
      </w:r>
      <w:r>
        <w:rPr>
          <w:rFonts w:hint="eastAsia" w:hAnsi="宋体"/>
          <w:b/>
          <w:bCs/>
          <w:color w:val="000000"/>
          <w:sz w:val="24"/>
        </w:rPr>
        <w:t>物流服务方案、投标人运输能力、仓储能力评价</w:t>
      </w:r>
      <w:r>
        <w:rPr>
          <w:rFonts w:hint="eastAsia" w:hAnsi="宋体"/>
          <w:bCs/>
          <w:color w:val="000000"/>
          <w:sz w:val="24"/>
        </w:rPr>
        <w:t>评审得分高优先的顺序推荐中标候选人。</w:t>
      </w:r>
    </w:p>
    <w:p w14:paraId="1BABCF5A">
      <w:pPr>
        <w:pStyle w:val="18"/>
        <w:tabs>
          <w:tab w:val="left" w:pos="540"/>
        </w:tabs>
        <w:adjustRightInd w:val="0"/>
        <w:spacing w:before="240" w:line="360" w:lineRule="auto"/>
        <w:ind w:left="0" w:leftChars="0"/>
        <w:outlineLvl w:val="1"/>
        <w:rPr>
          <w:rFonts w:ascii="宋体" w:hAnsi="宋体"/>
          <w:b/>
          <w:color w:val="000000"/>
          <w:sz w:val="24"/>
        </w:rPr>
      </w:pPr>
      <w:bookmarkStart w:id="105" w:name="_Toc152246165"/>
      <w:bookmarkStart w:id="106" w:name="_Toc48742770"/>
      <w:bookmarkStart w:id="107" w:name="_Toc63070525"/>
      <w:r>
        <w:rPr>
          <w:rFonts w:hint="eastAsia" w:ascii="宋体" w:hAnsi="宋体"/>
          <w:b/>
          <w:color w:val="000000"/>
          <w:sz w:val="24"/>
        </w:rPr>
        <w:t>2.政府采购政策：</w:t>
      </w:r>
      <w:bookmarkEnd w:id="105"/>
      <w:bookmarkEnd w:id="106"/>
      <w:bookmarkEnd w:id="107"/>
    </w:p>
    <w:p w14:paraId="293E5D7A">
      <w:pPr>
        <w:spacing w:line="360" w:lineRule="auto"/>
        <w:rPr>
          <w:rFonts w:ascii="宋体" w:hAnsi="宋体"/>
          <w:b/>
          <w:color w:val="000000"/>
          <w:sz w:val="24"/>
        </w:rPr>
      </w:pPr>
      <w:r>
        <w:rPr>
          <w:rFonts w:hint="eastAsia" w:ascii="宋体" w:hAnsi="宋体"/>
          <w:b/>
          <w:color w:val="000000"/>
          <w:sz w:val="24"/>
        </w:rPr>
        <w:t>2.1中小企业</w:t>
      </w:r>
    </w:p>
    <w:p w14:paraId="5894EA7C">
      <w:pPr>
        <w:spacing w:line="360" w:lineRule="auto"/>
        <w:rPr>
          <w:rFonts w:ascii="宋体" w:hAnsi="宋体"/>
          <w:color w:val="000000"/>
          <w:sz w:val="24"/>
        </w:rPr>
      </w:pPr>
      <w:r>
        <w:rPr>
          <w:rFonts w:hint="eastAsia" w:ascii="宋体" w:hAnsi="宋体"/>
          <w:color w:val="000000"/>
          <w:sz w:val="24"/>
        </w:rPr>
        <w:t>2.1.1根据《关于印发《政府采购促进中小企业发展管理办法》的通知》（财库〔2020〕46号）的规定，在政府采购活动中，供应商提供的货物、工程或者服务符合下列情形的，享受本办法规定的中小企业扶持政策：</w:t>
      </w:r>
    </w:p>
    <w:p w14:paraId="63F476BA">
      <w:pPr>
        <w:spacing w:line="360" w:lineRule="auto"/>
        <w:ind w:firstLine="422" w:firstLineChars="176"/>
        <w:rPr>
          <w:rFonts w:ascii="宋体" w:hAnsi="宋体"/>
          <w:color w:val="000000"/>
          <w:sz w:val="24"/>
        </w:rPr>
      </w:pPr>
      <w:r>
        <w:rPr>
          <w:rFonts w:hint="eastAsia" w:ascii="宋体" w:hAnsi="宋体"/>
          <w:color w:val="000000"/>
          <w:sz w:val="24"/>
        </w:rPr>
        <w:t>（一）在货物采购项目中，货物由中小企业制造，即货物由中小企业生产且使用该中小企业商号或者注册商标；</w:t>
      </w:r>
    </w:p>
    <w:p w14:paraId="347BBC0D">
      <w:pPr>
        <w:spacing w:line="360" w:lineRule="auto"/>
        <w:ind w:firstLine="422" w:firstLineChars="176"/>
        <w:rPr>
          <w:rFonts w:ascii="宋体" w:hAnsi="宋体"/>
          <w:color w:val="000000"/>
          <w:sz w:val="24"/>
        </w:rPr>
      </w:pPr>
      <w:r>
        <w:rPr>
          <w:rFonts w:hint="eastAsia" w:ascii="宋体" w:hAnsi="宋体"/>
          <w:color w:val="000000"/>
          <w:sz w:val="24"/>
        </w:rPr>
        <w:t>（二）在工程采购项目中，工程由中小企业承建，即工程施工单位为中小企业；</w:t>
      </w:r>
    </w:p>
    <w:p w14:paraId="09EA0994">
      <w:pPr>
        <w:spacing w:line="360" w:lineRule="auto"/>
        <w:ind w:firstLine="422" w:firstLineChars="176"/>
        <w:rPr>
          <w:rFonts w:ascii="宋体" w:hAnsi="宋体"/>
          <w:color w:val="000000"/>
          <w:sz w:val="24"/>
        </w:rPr>
      </w:pPr>
      <w:r>
        <w:rPr>
          <w:rFonts w:hint="eastAsia" w:ascii="宋体" w:hAnsi="宋体"/>
          <w:color w:val="000000"/>
          <w:sz w:val="24"/>
        </w:rPr>
        <w:t>（三）在服务采购项目中，服务由中小企业承接，即提供服务的人员为中小企业依照《中华人民共和国劳动合同法》订立劳动合同的从业人员。</w:t>
      </w:r>
    </w:p>
    <w:p w14:paraId="727E37D9">
      <w:pPr>
        <w:spacing w:line="360" w:lineRule="auto"/>
        <w:ind w:firstLine="422" w:firstLineChars="176"/>
        <w:rPr>
          <w:rFonts w:ascii="宋体" w:hAnsi="宋体"/>
          <w:color w:val="000000"/>
          <w:sz w:val="24"/>
        </w:rPr>
      </w:pPr>
      <w:r>
        <w:rPr>
          <w:rFonts w:hint="eastAsia" w:ascii="宋体" w:hAnsi="宋体"/>
          <w:color w:val="000000"/>
          <w:sz w:val="24"/>
        </w:rPr>
        <w:t>在货物采购项目中，供应商提供的货物既有中小企业制造货物，也有大型企业制造货物的，不享受本办法规定的中小企业扶持政策。</w:t>
      </w:r>
    </w:p>
    <w:p w14:paraId="6F316BCD">
      <w:pPr>
        <w:spacing w:line="360" w:lineRule="auto"/>
        <w:ind w:firstLine="422" w:firstLineChars="176"/>
        <w:rPr>
          <w:rFonts w:ascii="宋体" w:hAnsi="宋体"/>
          <w:color w:val="000000"/>
          <w:sz w:val="24"/>
        </w:rPr>
      </w:pPr>
      <w:r>
        <w:rPr>
          <w:rFonts w:hint="eastAsia" w:ascii="宋体" w:hAnsi="宋体"/>
          <w:color w:val="000000"/>
          <w:sz w:val="24"/>
        </w:rPr>
        <w:t>以联合体形式参加政府采购活动，联合体各方均为中小企业的，联合体视同中小企业。其中，联合体各方均为小微企业的，联合体视同小微企业。</w:t>
      </w:r>
    </w:p>
    <w:p w14:paraId="56018DEF">
      <w:pPr>
        <w:spacing w:line="360" w:lineRule="auto"/>
        <w:rPr>
          <w:rFonts w:ascii="宋体" w:hAnsi="宋体"/>
          <w:color w:val="000000"/>
          <w:sz w:val="24"/>
        </w:rPr>
      </w:pPr>
      <w:r>
        <w:rPr>
          <w:rFonts w:hint="eastAsia" w:ascii="宋体" w:hAnsi="宋体"/>
          <w:color w:val="000000"/>
          <w:sz w:val="24"/>
        </w:rPr>
        <w:t>2.1.2本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4AEEA69">
      <w:pPr>
        <w:spacing w:line="360" w:lineRule="auto"/>
        <w:ind w:firstLine="240" w:firstLineChars="100"/>
        <w:rPr>
          <w:rFonts w:ascii="宋体" w:hAnsi="宋体"/>
          <w:color w:val="000000"/>
          <w:sz w:val="24"/>
        </w:rPr>
      </w:pPr>
      <w:r>
        <w:rPr>
          <w:rFonts w:hint="eastAsia" w:ascii="宋体" w:hAnsi="宋体"/>
          <w:color w:val="000000"/>
          <w:sz w:val="24"/>
        </w:rPr>
        <w:t>2.1.3小型、微型企业提供中型企业制造的货物的，视同为中型企业。</w:t>
      </w:r>
    </w:p>
    <w:p w14:paraId="156376CB">
      <w:pPr>
        <w:spacing w:line="360" w:lineRule="auto"/>
        <w:ind w:firstLine="240" w:firstLineChars="100"/>
        <w:rPr>
          <w:rFonts w:ascii="宋体" w:hAnsi="宋体"/>
          <w:color w:val="000000"/>
          <w:sz w:val="24"/>
        </w:rPr>
      </w:pPr>
      <w:r>
        <w:rPr>
          <w:rFonts w:hint="eastAsia" w:ascii="宋体" w:hAnsi="宋体"/>
          <w:color w:val="000000"/>
          <w:sz w:val="24"/>
        </w:rPr>
        <w:t>2.1.4中小企业提供本企业制造的货物参与投标时，须提供本企业的《中小企业声明函》；中小企业提供其他中小企业制造的货物参与投标时，须在《中小企业声明函》中如实填报制造商信息。</w:t>
      </w:r>
    </w:p>
    <w:p w14:paraId="23D10983">
      <w:pPr>
        <w:pStyle w:val="16"/>
        <w:tabs>
          <w:tab w:val="left" w:pos="2472"/>
        </w:tabs>
        <w:spacing w:line="480" w:lineRule="exact"/>
        <w:rPr>
          <w:rFonts w:hAnsi="宋体"/>
          <w:b/>
          <w:color w:val="000000"/>
          <w:sz w:val="24"/>
          <w:szCs w:val="24"/>
        </w:rPr>
      </w:pPr>
      <w:r>
        <w:rPr>
          <w:rFonts w:hint="eastAsia" w:hAnsi="宋体"/>
          <w:b/>
          <w:color w:val="000000"/>
          <w:sz w:val="24"/>
          <w:szCs w:val="24"/>
        </w:rPr>
        <w:t>2.2监狱企业</w:t>
      </w:r>
    </w:p>
    <w:p w14:paraId="2566B02C">
      <w:pPr>
        <w:pStyle w:val="16"/>
        <w:tabs>
          <w:tab w:val="left" w:pos="2472"/>
        </w:tabs>
        <w:spacing w:line="480" w:lineRule="exact"/>
        <w:rPr>
          <w:rFonts w:hAnsi="宋体"/>
          <w:color w:val="000000"/>
          <w:sz w:val="24"/>
          <w:szCs w:val="24"/>
        </w:rPr>
      </w:pPr>
      <w:r>
        <w:rPr>
          <w:rFonts w:hint="eastAsia" w:hAnsi="宋体"/>
          <w:color w:val="000000"/>
          <w:sz w:val="24"/>
          <w:szCs w:val="24"/>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F8149B2">
      <w:pPr>
        <w:pStyle w:val="16"/>
        <w:tabs>
          <w:tab w:val="left" w:pos="2472"/>
        </w:tabs>
        <w:spacing w:line="480" w:lineRule="exact"/>
        <w:rPr>
          <w:rFonts w:hAnsi="宋体"/>
          <w:b/>
          <w:color w:val="000000"/>
          <w:sz w:val="24"/>
          <w:szCs w:val="24"/>
        </w:rPr>
      </w:pPr>
      <w:r>
        <w:rPr>
          <w:rFonts w:hint="eastAsia" w:hAnsi="宋体"/>
          <w:b/>
          <w:color w:val="000000"/>
          <w:sz w:val="24"/>
          <w:szCs w:val="24"/>
        </w:rPr>
        <w:t>2.3残疾人福利性单位</w:t>
      </w:r>
    </w:p>
    <w:p w14:paraId="4DF516F7">
      <w:pPr>
        <w:pStyle w:val="16"/>
        <w:tabs>
          <w:tab w:val="left" w:pos="2472"/>
        </w:tabs>
        <w:spacing w:line="480" w:lineRule="exact"/>
        <w:rPr>
          <w:rFonts w:hAnsi="宋体"/>
          <w:color w:val="000000"/>
          <w:sz w:val="24"/>
          <w:szCs w:val="24"/>
        </w:rPr>
      </w:pPr>
      <w:r>
        <w:rPr>
          <w:rFonts w:hint="eastAsia" w:hAnsi="宋体"/>
          <w:color w:val="000000"/>
          <w:sz w:val="24"/>
          <w:szCs w:val="24"/>
        </w:rPr>
        <w:t>2.3.1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14:paraId="4E7EF1BF">
      <w:pPr>
        <w:pStyle w:val="16"/>
        <w:tabs>
          <w:tab w:val="left" w:pos="2472"/>
        </w:tabs>
        <w:spacing w:line="480" w:lineRule="exact"/>
        <w:rPr>
          <w:rFonts w:hAnsi="宋体"/>
          <w:color w:val="000000"/>
          <w:sz w:val="24"/>
          <w:szCs w:val="24"/>
        </w:rPr>
      </w:pPr>
      <w:r>
        <w:rPr>
          <w:rFonts w:hint="eastAsia" w:hAnsi="宋体"/>
          <w:color w:val="000000"/>
          <w:sz w:val="24"/>
          <w:szCs w:val="24"/>
        </w:rPr>
        <w:t>2.3.2在政府采购活动中，残疾人福利性单位视同小型、微型企业。</w:t>
      </w:r>
    </w:p>
    <w:p w14:paraId="770D1B6D">
      <w:pPr>
        <w:pStyle w:val="16"/>
        <w:tabs>
          <w:tab w:val="left" w:pos="2472"/>
        </w:tabs>
        <w:spacing w:line="480" w:lineRule="exact"/>
        <w:rPr>
          <w:rFonts w:hAnsi="宋体"/>
          <w:color w:val="000000"/>
          <w:sz w:val="24"/>
          <w:szCs w:val="24"/>
        </w:rPr>
      </w:pPr>
      <w:r>
        <w:rPr>
          <w:rFonts w:hint="eastAsia" w:hAnsi="宋体"/>
          <w:color w:val="000000"/>
          <w:sz w:val="24"/>
          <w:szCs w:val="24"/>
        </w:rPr>
        <w:t>2.3.3中标、成交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4CE22C24">
      <w:pPr>
        <w:pStyle w:val="16"/>
        <w:tabs>
          <w:tab w:val="left" w:pos="2472"/>
        </w:tabs>
        <w:spacing w:line="480" w:lineRule="exact"/>
        <w:rPr>
          <w:rFonts w:hAnsi="宋体"/>
          <w:b/>
          <w:color w:val="000000"/>
          <w:sz w:val="24"/>
          <w:szCs w:val="24"/>
        </w:rPr>
      </w:pPr>
      <w:r>
        <w:rPr>
          <w:rFonts w:hint="eastAsia" w:hAnsi="宋体"/>
          <w:b/>
          <w:color w:val="000000"/>
          <w:sz w:val="24"/>
          <w:szCs w:val="24"/>
        </w:rPr>
        <w:t>2.4小微企业（监狱企业、残疾人福利性单位视同小型或微型企业）应考虑的优先条件和价格折扣：</w:t>
      </w:r>
    </w:p>
    <w:p w14:paraId="1BC4518C">
      <w:pPr>
        <w:pStyle w:val="16"/>
        <w:tabs>
          <w:tab w:val="left" w:pos="2472"/>
        </w:tabs>
        <w:spacing w:line="480" w:lineRule="exact"/>
        <w:rPr>
          <w:rFonts w:hAnsi="宋体"/>
          <w:b/>
          <w:color w:val="000000"/>
          <w:sz w:val="24"/>
          <w:szCs w:val="24"/>
        </w:rPr>
      </w:pPr>
      <w:r>
        <w:rPr>
          <w:rFonts w:hint="eastAsia" w:hAnsi="宋体"/>
          <w:color w:val="000000"/>
          <w:sz w:val="24"/>
        </w:rPr>
        <w:t>对小型和微型企业（监狱企业、残疾人福利性单位视同小型或微型企业）服务的最终价格给予</w:t>
      </w:r>
      <w:r>
        <w:rPr>
          <w:rFonts w:hAnsi="宋体"/>
          <w:b/>
          <w:color w:val="000000"/>
          <w:sz w:val="24"/>
        </w:rPr>
        <w:t>10%</w:t>
      </w:r>
      <w:r>
        <w:rPr>
          <w:rFonts w:hint="eastAsia" w:hAnsi="宋体"/>
          <w:color w:val="000000"/>
          <w:sz w:val="24"/>
        </w:rPr>
        <w:t>的扣除，用扣除后的价格参与评审（如所投服务为小型或微型企业提供，须提供《中小企业声明函》，因所提供声明导致评标委员会无法评定时，评标价格不予扣除）。</w:t>
      </w:r>
    </w:p>
    <w:p w14:paraId="557933FC">
      <w:pPr>
        <w:pStyle w:val="16"/>
        <w:tabs>
          <w:tab w:val="left" w:pos="2472"/>
        </w:tabs>
        <w:spacing w:line="480" w:lineRule="exact"/>
        <w:rPr>
          <w:rFonts w:hAnsi="宋体"/>
          <w:b/>
          <w:color w:val="000000"/>
          <w:sz w:val="24"/>
          <w:szCs w:val="24"/>
        </w:rPr>
      </w:pPr>
      <w:r>
        <w:rPr>
          <w:rFonts w:hint="eastAsia" w:hAnsi="宋体"/>
          <w:b/>
          <w:color w:val="000000"/>
          <w:sz w:val="24"/>
          <w:szCs w:val="24"/>
        </w:rPr>
        <w:t>2.5节能、环境标志产品</w:t>
      </w:r>
    </w:p>
    <w:p w14:paraId="25CC395E">
      <w:pPr>
        <w:pStyle w:val="16"/>
        <w:tabs>
          <w:tab w:val="left" w:pos="2472"/>
        </w:tabs>
        <w:spacing w:line="480" w:lineRule="exact"/>
        <w:rPr>
          <w:rFonts w:hAnsi="宋体"/>
          <w:color w:val="000000"/>
          <w:sz w:val="24"/>
          <w:szCs w:val="24"/>
        </w:rPr>
      </w:pPr>
      <w:r>
        <w:rPr>
          <w:rFonts w:hint="eastAsia" w:hAnsi="宋体"/>
          <w:color w:val="000000"/>
          <w:sz w:val="24"/>
          <w:szCs w:val="24"/>
        </w:rPr>
        <w:t>2.5.1节能产品是指列入财政部和国家发改委公布的《节能产品政府采购品目清单》中的货物。政府强制采购节能产品是指《节能产品政府采购品目清单》中以“★”标注类别的产品。</w:t>
      </w:r>
    </w:p>
    <w:p w14:paraId="26C1976D">
      <w:pPr>
        <w:pStyle w:val="16"/>
        <w:tabs>
          <w:tab w:val="left" w:pos="2472"/>
        </w:tabs>
        <w:spacing w:line="480" w:lineRule="exact"/>
        <w:rPr>
          <w:rFonts w:hAnsi="宋体"/>
          <w:color w:val="000000"/>
          <w:sz w:val="24"/>
          <w:szCs w:val="24"/>
        </w:rPr>
      </w:pPr>
      <w:r>
        <w:rPr>
          <w:rFonts w:hint="eastAsia" w:hAnsi="宋体"/>
          <w:color w:val="000000"/>
          <w:sz w:val="24"/>
          <w:szCs w:val="24"/>
        </w:rPr>
        <w:t>2.5.2环境标志产品是指列入财政部、生态环境部公布的《环境标志产品政府采购品目清单》中的货物。</w:t>
      </w:r>
    </w:p>
    <w:p w14:paraId="6BDB06FD">
      <w:pPr>
        <w:pStyle w:val="16"/>
        <w:tabs>
          <w:tab w:val="left" w:pos="2472"/>
        </w:tabs>
        <w:spacing w:line="480" w:lineRule="exact"/>
        <w:rPr>
          <w:rFonts w:hAnsi="宋体"/>
          <w:b/>
          <w:color w:val="000000"/>
          <w:sz w:val="24"/>
          <w:szCs w:val="24"/>
        </w:rPr>
      </w:pPr>
      <w:r>
        <w:rPr>
          <w:rFonts w:hint="eastAsia" w:hAnsi="宋体"/>
          <w:b/>
          <w:color w:val="000000"/>
          <w:sz w:val="24"/>
          <w:szCs w:val="24"/>
        </w:rPr>
        <w:t>★2.5.3本项目采购清单中若有政府强制采购节能产品，只接受强制节能产品投标，投标人必须在投标文件中提供国家确定的认证机构出具的、处于有效期之内的节能产品认证证书。投标人必须选报，否则按不实质性响应招标文件要求处理。</w:t>
      </w:r>
    </w:p>
    <w:p w14:paraId="4CA8024F">
      <w:pPr>
        <w:pStyle w:val="16"/>
        <w:tabs>
          <w:tab w:val="left" w:pos="2472"/>
        </w:tabs>
        <w:spacing w:line="480" w:lineRule="exact"/>
        <w:rPr>
          <w:rFonts w:hAnsi="宋体"/>
          <w:color w:val="000000"/>
          <w:sz w:val="24"/>
          <w:szCs w:val="24"/>
        </w:rPr>
      </w:pPr>
      <w:r>
        <w:rPr>
          <w:rFonts w:hint="eastAsia" w:hAnsi="宋体"/>
          <w:color w:val="000000"/>
          <w:sz w:val="24"/>
          <w:szCs w:val="24"/>
        </w:rPr>
        <w:t>2.5.4投标人应在投标文件中提供所投标产品国家确定的认证机构出具的、处于有效期之内的节能产品、环境标志产品认证证书，否则不予认可。</w:t>
      </w:r>
    </w:p>
    <w:p w14:paraId="646D67D7">
      <w:pPr>
        <w:pStyle w:val="16"/>
        <w:tabs>
          <w:tab w:val="left" w:pos="2472"/>
        </w:tabs>
        <w:spacing w:line="480" w:lineRule="exact"/>
        <w:rPr>
          <w:rFonts w:hAnsi="宋体"/>
          <w:b/>
          <w:color w:val="000000"/>
          <w:sz w:val="24"/>
          <w:szCs w:val="24"/>
        </w:rPr>
      </w:pPr>
      <w:r>
        <w:rPr>
          <w:rFonts w:hint="eastAsia" w:hAnsi="宋体"/>
          <w:color w:val="000000"/>
          <w:sz w:val="24"/>
          <w:szCs w:val="24"/>
        </w:rPr>
        <w:t>2.5.5《节能产品政府采购品目清单》及《环境标志产品政府采购品目清单》可通过中国政府采购网（http://www.ccgp.gov.cn/ ）查阅、下载。</w:t>
      </w:r>
    </w:p>
    <w:p w14:paraId="54358676">
      <w:pPr>
        <w:pStyle w:val="16"/>
        <w:tabs>
          <w:tab w:val="left" w:pos="2472"/>
        </w:tabs>
        <w:spacing w:line="480" w:lineRule="exact"/>
        <w:outlineLvl w:val="1"/>
        <w:rPr>
          <w:rFonts w:hAnsi="宋体"/>
          <w:b/>
          <w:bCs/>
          <w:color w:val="000000"/>
          <w:sz w:val="24"/>
        </w:rPr>
      </w:pPr>
      <w:bookmarkStart w:id="108" w:name="_Toc48742771"/>
      <w:bookmarkStart w:id="109" w:name="_Toc152246166"/>
      <w:bookmarkStart w:id="110" w:name="_Toc63070526"/>
      <w:r>
        <w:rPr>
          <w:rFonts w:hint="eastAsia" w:hAnsi="宋体"/>
          <w:b/>
          <w:bCs/>
          <w:color w:val="000000"/>
          <w:sz w:val="24"/>
        </w:rPr>
        <w:t>3. 评标程序及标准</w:t>
      </w:r>
      <w:bookmarkEnd w:id="108"/>
      <w:bookmarkEnd w:id="109"/>
      <w:bookmarkEnd w:id="110"/>
    </w:p>
    <w:p w14:paraId="2474312A">
      <w:pPr>
        <w:pStyle w:val="16"/>
        <w:tabs>
          <w:tab w:val="left" w:pos="2472"/>
        </w:tabs>
        <w:spacing w:line="480" w:lineRule="exact"/>
        <w:rPr>
          <w:rFonts w:hAnsi="宋体"/>
          <w:b/>
          <w:color w:val="000000"/>
          <w:sz w:val="24"/>
          <w:szCs w:val="24"/>
        </w:rPr>
      </w:pPr>
      <w:r>
        <w:rPr>
          <w:rFonts w:hint="eastAsia" w:hAnsi="宋体"/>
          <w:b/>
          <w:bCs/>
          <w:color w:val="000000"/>
          <w:sz w:val="24"/>
        </w:rPr>
        <w:t>3.1</w:t>
      </w:r>
      <w:r>
        <w:rPr>
          <w:rFonts w:hint="eastAsia" w:hAnsi="宋体"/>
          <w:b/>
          <w:color w:val="000000"/>
          <w:sz w:val="24"/>
          <w:szCs w:val="24"/>
        </w:rPr>
        <w:t>符合性评审</w:t>
      </w:r>
    </w:p>
    <w:p w14:paraId="188ED900">
      <w:pPr>
        <w:pStyle w:val="16"/>
        <w:tabs>
          <w:tab w:val="left" w:pos="2472"/>
        </w:tabs>
        <w:spacing w:line="480" w:lineRule="exact"/>
        <w:rPr>
          <w:rFonts w:hAnsi="宋体"/>
          <w:color w:val="000000"/>
          <w:sz w:val="24"/>
          <w:szCs w:val="24"/>
        </w:rPr>
      </w:pPr>
      <w:r>
        <w:rPr>
          <w:rFonts w:hint="eastAsia" w:hAnsi="宋体"/>
          <w:color w:val="000000"/>
          <w:sz w:val="24"/>
          <w:szCs w:val="24"/>
        </w:rPr>
        <w:t>3.1.1依据招标文件的规定，评标委员会对符合资格的投标人的投标文件从有效性、完整性和对招标文件的实质性响应程度等方面进行审查，见评标方法前附表。</w:t>
      </w:r>
    </w:p>
    <w:p w14:paraId="3B278614">
      <w:pPr>
        <w:pStyle w:val="16"/>
        <w:tabs>
          <w:tab w:val="left" w:pos="2472"/>
        </w:tabs>
        <w:spacing w:line="480" w:lineRule="exact"/>
        <w:rPr>
          <w:rFonts w:hAnsi="宋体"/>
          <w:color w:val="000000"/>
          <w:sz w:val="24"/>
          <w:szCs w:val="24"/>
        </w:rPr>
      </w:pPr>
      <w:r>
        <w:rPr>
          <w:rFonts w:hint="eastAsia" w:hAnsi="宋体"/>
          <w:color w:val="000000"/>
          <w:sz w:val="24"/>
          <w:szCs w:val="24"/>
        </w:rPr>
        <w:t>3.1.2按上述条款执行后，投标人不足3家的，本项目应予废标。</w:t>
      </w:r>
    </w:p>
    <w:p w14:paraId="764F8621">
      <w:pPr>
        <w:spacing w:line="360" w:lineRule="auto"/>
        <w:jc w:val="left"/>
        <w:rPr>
          <w:rFonts w:ascii="宋体" w:hAnsi="宋体"/>
          <w:b/>
          <w:color w:val="000000"/>
          <w:sz w:val="24"/>
        </w:rPr>
      </w:pPr>
      <w:r>
        <w:rPr>
          <w:rFonts w:hint="eastAsia" w:ascii="宋体" w:hAnsi="宋体"/>
          <w:b/>
          <w:color w:val="000000"/>
          <w:sz w:val="24"/>
        </w:rPr>
        <w:t>3.2详细评审</w:t>
      </w:r>
    </w:p>
    <w:p w14:paraId="63D98A29">
      <w:pPr>
        <w:pStyle w:val="16"/>
        <w:tabs>
          <w:tab w:val="left" w:pos="2472"/>
        </w:tabs>
        <w:spacing w:line="360" w:lineRule="auto"/>
        <w:rPr>
          <w:rFonts w:hAnsi="宋体"/>
          <w:color w:val="000000"/>
          <w:sz w:val="24"/>
          <w:szCs w:val="24"/>
        </w:rPr>
      </w:pPr>
      <w:bookmarkStart w:id="111" w:name="_Toc321836408"/>
      <w:r>
        <w:rPr>
          <w:rFonts w:hint="eastAsia" w:hAnsi="宋体"/>
          <w:color w:val="000000"/>
          <w:sz w:val="24"/>
          <w:szCs w:val="24"/>
        </w:rPr>
        <w:t>3.2.1</w:t>
      </w:r>
      <w:bookmarkEnd w:id="111"/>
      <w:r>
        <w:rPr>
          <w:rFonts w:hint="eastAsia" w:ascii="Cambria" w:hAnsi="Cambria" w:cs="宋体"/>
          <w:color w:val="000000"/>
          <w:sz w:val="24"/>
          <w:szCs w:val="24"/>
        </w:rPr>
        <w:t>评标委员会按照招标文件中规定的评标方法和标准，对符合性审查合格的投标文件进行商务和技术评估，综合比较与评价</w:t>
      </w:r>
      <w:r>
        <w:rPr>
          <w:rFonts w:hint="eastAsia" w:hAnsi="宋体"/>
          <w:color w:val="000000"/>
          <w:sz w:val="24"/>
          <w:szCs w:val="24"/>
        </w:rPr>
        <w:t>,见评标方法前附表。</w:t>
      </w:r>
    </w:p>
    <w:p w14:paraId="2B962F92">
      <w:pPr>
        <w:pStyle w:val="16"/>
        <w:tabs>
          <w:tab w:val="left" w:pos="2472"/>
        </w:tabs>
        <w:spacing w:line="360" w:lineRule="auto"/>
        <w:rPr>
          <w:rFonts w:hAnsi="宋体"/>
          <w:color w:val="000000"/>
          <w:sz w:val="24"/>
          <w:szCs w:val="24"/>
        </w:rPr>
      </w:pPr>
      <w:r>
        <w:rPr>
          <w:rFonts w:hint="eastAsia" w:hAnsi="宋体"/>
          <w:color w:val="000000"/>
          <w:sz w:val="24"/>
          <w:szCs w:val="24"/>
        </w:rPr>
        <w:t>3.2.2</w:t>
      </w:r>
      <w:r>
        <w:rPr>
          <w:rFonts w:hint="eastAsia" w:hAnsi="宋体"/>
          <w:color w:val="000000"/>
          <w:sz w:val="24"/>
        </w:rPr>
        <w:t>评标委员会各成员要依法独立评审，并对评审意见承担个人责任。</w:t>
      </w:r>
      <w:r>
        <w:rPr>
          <w:rFonts w:hint="eastAsia" w:hAnsi="宋体"/>
          <w:color w:val="000000"/>
          <w:sz w:val="24"/>
          <w:szCs w:val="24"/>
        </w:rPr>
        <w:t>对投标人的客观评分项的评分应当一致，对其他需要借助专业知识评判的主观评分项，应当严格按照评分细则公正评分。</w:t>
      </w:r>
    </w:p>
    <w:p w14:paraId="3BABC45D">
      <w:pPr>
        <w:pStyle w:val="16"/>
        <w:tabs>
          <w:tab w:val="left" w:pos="2472"/>
        </w:tabs>
        <w:spacing w:line="360" w:lineRule="auto"/>
        <w:rPr>
          <w:rFonts w:hAnsi="宋体"/>
          <w:color w:val="000000"/>
          <w:sz w:val="24"/>
          <w:szCs w:val="24"/>
        </w:rPr>
      </w:pPr>
      <w:r>
        <w:rPr>
          <w:rFonts w:hint="eastAsia" w:hAnsi="宋体"/>
          <w:color w:val="000000"/>
          <w:sz w:val="24"/>
          <w:szCs w:val="24"/>
        </w:rPr>
        <w:t>3.2.3</w:t>
      </w:r>
      <w:r>
        <w:rPr>
          <w:rFonts w:hint="eastAsia" w:hAnsi="宋体"/>
          <w:color w:val="000000"/>
          <w:sz w:val="24"/>
        </w:rPr>
        <w:t>评标委员会成员对需要共同认定的事项存在争议的，按照少数服从多数的原则做出结论。持不同意见的评标委员会成员应当在评标报告上签署不同意见并说明理由，否则视为同意。</w:t>
      </w:r>
    </w:p>
    <w:p w14:paraId="4798F2D6">
      <w:pPr>
        <w:pStyle w:val="16"/>
        <w:tabs>
          <w:tab w:val="left" w:pos="2472"/>
        </w:tabs>
        <w:spacing w:line="360" w:lineRule="auto"/>
        <w:rPr>
          <w:rFonts w:hAnsi="宋体"/>
          <w:color w:val="000000"/>
          <w:sz w:val="24"/>
          <w:szCs w:val="24"/>
        </w:rPr>
      </w:pPr>
      <w:r>
        <w:rPr>
          <w:rFonts w:hint="eastAsia" w:hAnsi="宋体"/>
          <w:color w:val="000000"/>
          <w:sz w:val="24"/>
          <w:szCs w:val="24"/>
        </w:rPr>
        <w:t>3.2.4</w:t>
      </w:r>
      <w:r>
        <w:rPr>
          <w:rFonts w:hint="eastAsia" w:ascii="Cambria" w:hAnsi="Cambria" w:cs="宋体"/>
          <w:color w:val="000000"/>
          <w:sz w:val="24"/>
          <w:szCs w:val="24"/>
        </w:rPr>
        <w:t>投标文件报价出现前后不一致的，按照下列规定修正</w:t>
      </w:r>
      <w:r>
        <w:rPr>
          <w:rFonts w:hint="eastAsia" w:hAnsi="宋体"/>
          <w:color w:val="000000"/>
          <w:sz w:val="24"/>
          <w:szCs w:val="24"/>
        </w:rPr>
        <w:t>：</w:t>
      </w:r>
    </w:p>
    <w:p w14:paraId="51A8C76B">
      <w:pPr>
        <w:pStyle w:val="16"/>
        <w:tabs>
          <w:tab w:val="left" w:pos="2472"/>
        </w:tabs>
        <w:spacing w:line="360" w:lineRule="auto"/>
        <w:ind w:firstLine="480" w:firstLineChars="200"/>
        <w:rPr>
          <w:rFonts w:hAnsi="宋体"/>
          <w:color w:val="000000"/>
          <w:sz w:val="24"/>
          <w:szCs w:val="24"/>
        </w:rPr>
      </w:pPr>
      <w:r>
        <w:rPr>
          <w:rFonts w:hint="eastAsia" w:hAnsi="宋体"/>
          <w:color w:val="000000"/>
          <w:sz w:val="24"/>
          <w:szCs w:val="24"/>
        </w:rPr>
        <w:t>（一）投标文件中开标一览表（报价表）内容与投标文件中相应内容不一致的，以开标一览表（报价表）为准；</w:t>
      </w:r>
    </w:p>
    <w:p w14:paraId="52F73F3E">
      <w:pPr>
        <w:pStyle w:val="16"/>
        <w:tabs>
          <w:tab w:val="left" w:pos="2472"/>
        </w:tabs>
        <w:spacing w:line="360" w:lineRule="auto"/>
        <w:ind w:firstLine="480" w:firstLineChars="200"/>
        <w:rPr>
          <w:rFonts w:hAnsi="宋体"/>
          <w:color w:val="000000"/>
          <w:sz w:val="24"/>
          <w:szCs w:val="24"/>
        </w:rPr>
      </w:pPr>
      <w:r>
        <w:rPr>
          <w:rFonts w:hint="eastAsia" w:hAnsi="宋体"/>
          <w:color w:val="000000"/>
          <w:sz w:val="24"/>
          <w:szCs w:val="24"/>
        </w:rPr>
        <w:t>（二）大写金额和小写金额不一致的，以大写金额为准；</w:t>
      </w:r>
    </w:p>
    <w:p w14:paraId="72421286">
      <w:pPr>
        <w:pStyle w:val="16"/>
        <w:tabs>
          <w:tab w:val="left" w:pos="2472"/>
        </w:tabs>
        <w:spacing w:line="360" w:lineRule="auto"/>
        <w:ind w:firstLine="480" w:firstLineChars="200"/>
        <w:rPr>
          <w:rFonts w:hAnsi="宋体"/>
          <w:color w:val="000000"/>
          <w:sz w:val="24"/>
          <w:szCs w:val="24"/>
        </w:rPr>
      </w:pPr>
      <w:r>
        <w:rPr>
          <w:rFonts w:hint="eastAsia" w:hAnsi="宋体"/>
          <w:color w:val="000000"/>
          <w:sz w:val="24"/>
          <w:szCs w:val="24"/>
        </w:rPr>
        <w:t>（三）单价金额小数点或者百分比有明显错位的，以开标一览表的总价为准，并修改单价；</w:t>
      </w:r>
    </w:p>
    <w:p w14:paraId="6BCD992F">
      <w:pPr>
        <w:pStyle w:val="16"/>
        <w:tabs>
          <w:tab w:val="left" w:pos="2472"/>
        </w:tabs>
        <w:spacing w:line="360" w:lineRule="auto"/>
        <w:ind w:firstLine="480" w:firstLineChars="200"/>
        <w:rPr>
          <w:rFonts w:hAnsi="宋体"/>
          <w:color w:val="000000"/>
          <w:sz w:val="24"/>
          <w:szCs w:val="24"/>
        </w:rPr>
      </w:pPr>
      <w:r>
        <w:rPr>
          <w:rFonts w:hint="eastAsia" w:hAnsi="宋体"/>
          <w:color w:val="000000"/>
          <w:sz w:val="24"/>
          <w:szCs w:val="24"/>
        </w:rPr>
        <w:t>（四）总价金额与按单价汇总金额不一致的，以单价金额计算结果为准。</w:t>
      </w:r>
    </w:p>
    <w:p w14:paraId="497A9FAD">
      <w:pPr>
        <w:pStyle w:val="16"/>
        <w:tabs>
          <w:tab w:val="left" w:pos="2472"/>
        </w:tabs>
        <w:spacing w:line="360" w:lineRule="auto"/>
        <w:rPr>
          <w:rFonts w:hAnsi="宋体"/>
          <w:color w:val="000000"/>
          <w:sz w:val="24"/>
          <w:szCs w:val="24"/>
        </w:rPr>
      </w:pPr>
      <w:r>
        <w:rPr>
          <w:rFonts w:hint="eastAsia" w:hAnsi="宋体"/>
          <w:color w:val="000000"/>
          <w:sz w:val="24"/>
        </w:rPr>
        <w:t>★</w:t>
      </w:r>
      <w:r>
        <w:rPr>
          <w:rFonts w:hint="eastAsia" w:hAnsi="宋体"/>
          <w:color w:val="000000"/>
          <w:sz w:val="24"/>
          <w:szCs w:val="24"/>
        </w:rPr>
        <w:t>同时出现两种以上不一致的，按照前款规定的顺序修正。修正后的报价按照本章4.2款的规定经投标人确认后产生约束力，投标人不确认的，其投标无效。</w:t>
      </w:r>
    </w:p>
    <w:p w14:paraId="004C9694">
      <w:pPr>
        <w:spacing w:line="360" w:lineRule="auto"/>
        <w:jc w:val="left"/>
        <w:rPr>
          <w:rFonts w:ascii="宋体" w:hAnsi="宋体"/>
          <w:color w:val="000000"/>
          <w:sz w:val="24"/>
        </w:rPr>
      </w:pPr>
      <w:r>
        <w:rPr>
          <w:rFonts w:hint="eastAsia" w:ascii="宋体" w:hAnsi="宋体"/>
          <w:color w:val="000000"/>
          <w:sz w:val="24"/>
        </w:rPr>
        <w:t>3.2.5价格部分（F1）按评标方法前附表规定的投标报价计算公式，计算出各投标人价格部分得分。技术部分（F2）和商务部分（F3）得分由评标委员会成员独立评分，投标</w:t>
      </w:r>
      <w:r>
        <w:rPr>
          <w:rFonts w:hint="eastAsia" w:ascii="宋体" w:hAnsi="宋体"/>
          <w:bCs/>
          <w:color w:val="000000"/>
          <w:sz w:val="24"/>
        </w:rPr>
        <w:t>人各项评分因素得分为该项因素各评委评分的算术平均值。所有计算结果均保留小数点后两位</w:t>
      </w:r>
      <w:r>
        <w:rPr>
          <w:rFonts w:hint="eastAsia" w:ascii="宋体" w:hAnsi="宋体"/>
          <w:color w:val="000000"/>
          <w:sz w:val="24"/>
        </w:rPr>
        <w:t>，小数点后第三位“四舍五入”。</w:t>
      </w:r>
    </w:p>
    <w:p w14:paraId="1539605E">
      <w:pPr>
        <w:spacing w:line="360" w:lineRule="auto"/>
        <w:jc w:val="left"/>
        <w:rPr>
          <w:rFonts w:ascii="宋体" w:hAnsi="宋体"/>
          <w:b/>
          <w:color w:val="000000"/>
          <w:sz w:val="24"/>
        </w:rPr>
      </w:pPr>
      <w:r>
        <w:rPr>
          <w:rFonts w:hint="eastAsia" w:hAnsi="宋体"/>
          <w:b/>
          <w:color w:val="000000"/>
          <w:sz w:val="24"/>
        </w:rPr>
        <w:t>★</w:t>
      </w:r>
      <w:r>
        <w:rPr>
          <w:rFonts w:hint="eastAsia" w:ascii="宋体" w:hAnsi="宋体"/>
          <w:b/>
          <w:color w:val="000000"/>
          <w:sz w:val="24"/>
        </w:rPr>
        <w:t>3.2.6</w:t>
      </w:r>
      <w:r>
        <w:rPr>
          <w:rFonts w:hint="eastAsia" w:ascii="Cambria" w:hAnsi="Cambria" w:cs="宋体"/>
          <w:b/>
          <w:color w:val="000000"/>
          <w:kern w:val="0"/>
          <w:sz w:val="24"/>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5532BD42">
      <w:pPr>
        <w:pStyle w:val="16"/>
        <w:tabs>
          <w:tab w:val="left" w:pos="2472"/>
        </w:tabs>
        <w:spacing w:line="480" w:lineRule="exact"/>
        <w:outlineLvl w:val="1"/>
        <w:rPr>
          <w:rFonts w:hAnsi="宋体"/>
          <w:b/>
          <w:bCs/>
          <w:color w:val="000000"/>
          <w:sz w:val="24"/>
        </w:rPr>
      </w:pPr>
      <w:bookmarkStart w:id="112" w:name="_Toc63070527"/>
      <w:bookmarkStart w:id="113" w:name="_Toc152246167"/>
      <w:bookmarkStart w:id="114" w:name="_Toc321836412"/>
      <w:bookmarkStart w:id="115" w:name="_Toc48742772"/>
      <w:r>
        <w:rPr>
          <w:rFonts w:hint="eastAsia" w:hAnsi="宋体"/>
          <w:b/>
          <w:bCs/>
          <w:color w:val="000000"/>
          <w:sz w:val="24"/>
        </w:rPr>
        <w:t>4. 投标文件的澄清</w:t>
      </w:r>
      <w:bookmarkEnd w:id="112"/>
      <w:bookmarkEnd w:id="113"/>
      <w:bookmarkEnd w:id="114"/>
      <w:bookmarkEnd w:id="115"/>
    </w:p>
    <w:p w14:paraId="16935D49">
      <w:pPr>
        <w:spacing w:line="360" w:lineRule="auto"/>
        <w:jc w:val="left"/>
        <w:rPr>
          <w:rFonts w:ascii="宋体" w:hAnsi="宋体"/>
          <w:color w:val="000000"/>
          <w:sz w:val="24"/>
        </w:rPr>
      </w:pPr>
      <w:r>
        <w:rPr>
          <w:rFonts w:hint="eastAsia" w:ascii="宋体" w:hAnsi="宋体"/>
          <w:color w:val="000000"/>
          <w:sz w:val="24"/>
        </w:rPr>
        <w:t>4.1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2E6E6A13">
      <w:pPr>
        <w:spacing w:line="360" w:lineRule="auto"/>
        <w:jc w:val="left"/>
        <w:rPr>
          <w:rFonts w:ascii="宋体" w:hAnsi="宋体"/>
          <w:color w:val="000000"/>
          <w:sz w:val="24"/>
        </w:rPr>
      </w:pPr>
      <w:r>
        <w:rPr>
          <w:rFonts w:hint="eastAsia" w:ascii="宋体" w:hAnsi="宋体"/>
          <w:color w:val="000000"/>
          <w:sz w:val="24"/>
        </w:rPr>
        <w:t>4.2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5CE8295A">
      <w:pPr>
        <w:spacing w:line="360" w:lineRule="auto"/>
        <w:jc w:val="left"/>
        <w:rPr>
          <w:rFonts w:ascii="宋体" w:hAnsi="宋体"/>
          <w:color w:val="000000"/>
          <w:sz w:val="24"/>
        </w:rPr>
      </w:pPr>
      <w:r>
        <w:rPr>
          <w:rFonts w:hint="eastAsia" w:ascii="宋体" w:hAnsi="宋体"/>
          <w:color w:val="000000"/>
          <w:sz w:val="24"/>
        </w:rPr>
        <w:t>4.3 评标委员会对投标人提交的澄清、说明有疑问的，可以要求投标人进一步澄清、说明。</w:t>
      </w:r>
    </w:p>
    <w:p w14:paraId="5187425A">
      <w:pPr>
        <w:pStyle w:val="16"/>
        <w:tabs>
          <w:tab w:val="left" w:pos="2472"/>
        </w:tabs>
        <w:spacing w:line="480" w:lineRule="exact"/>
        <w:outlineLvl w:val="1"/>
        <w:rPr>
          <w:rFonts w:hAnsi="宋体"/>
          <w:b/>
          <w:bCs/>
          <w:color w:val="000000"/>
          <w:sz w:val="24"/>
        </w:rPr>
      </w:pPr>
      <w:bookmarkStart w:id="116" w:name="_Toc152246168"/>
      <w:bookmarkStart w:id="117" w:name="_Toc63070528"/>
      <w:bookmarkStart w:id="118" w:name="_Toc321836413"/>
      <w:bookmarkStart w:id="119" w:name="_Toc48742773"/>
      <w:r>
        <w:rPr>
          <w:rFonts w:hint="eastAsia" w:hAnsi="宋体"/>
          <w:b/>
          <w:bCs/>
          <w:color w:val="000000"/>
          <w:sz w:val="24"/>
        </w:rPr>
        <w:t>5.评标结果</w:t>
      </w:r>
      <w:bookmarkEnd w:id="116"/>
      <w:bookmarkEnd w:id="117"/>
      <w:bookmarkEnd w:id="118"/>
      <w:bookmarkEnd w:id="119"/>
    </w:p>
    <w:p w14:paraId="4D095CAC">
      <w:pPr>
        <w:spacing w:line="360" w:lineRule="auto"/>
        <w:jc w:val="left"/>
        <w:rPr>
          <w:rFonts w:ascii="宋体" w:hAnsi="宋体"/>
          <w:color w:val="000000"/>
          <w:sz w:val="24"/>
        </w:rPr>
      </w:pPr>
      <w:r>
        <w:rPr>
          <w:rFonts w:hint="eastAsia" w:ascii="宋体" w:hAnsi="宋体"/>
          <w:color w:val="000000"/>
          <w:sz w:val="24"/>
        </w:rPr>
        <w:t>5.1评标委员会按最终得分由高到低顺序推荐3名中标候选人，并提出书面评标报告。</w:t>
      </w:r>
    </w:p>
    <w:p w14:paraId="7B35147D">
      <w:pPr>
        <w:spacing w:line="360" w:lineRule="auto"/>
        <w:jc w:val="left"/>
        <w:rPr>
          <w:rFonts w:ascii="宋体" w:hAnsi="宋体"/>
          <w:color w:val="000000"/>
          <w:sz w:val="24"/>
        </w:rPr>
      </w:pPr>
      <w:r>
        <w:rPr>
          <w:rFonts w:hint="eastAsia" w:ascii="宋体" w:hAnsi="宋体"/>
          <w:color w:val="000000"/>
          <w:sz w:val="24"/>
        </w:rPr>
        <w:t>5.2 采购人根据评标委员会提出的书面评标报告和推荐的中标候选人名单，确定中标人。</w:t>
      </w:r>
    </w:p>
    <w:p w14:paraId="3E5FEFBA">
      <w:pPr>
        <w:spacing w:line="360" w:lineRule="auto"/>
        <w:jc w:val="left"/>
        <w:rPr>
          <w:rFonts w:ascii="宋体" w:hAnsi="宋体"/>
          <w:color w:val="000000"/>
          <w:sz w:val="24"/>
        </w:rPr>
      </w:pPr>
      <w:r>
        <w:rPr>
          <w:rFonts w:hint="eastAsia" w:ascii="宋体" w:hAnsi="宋体"/>
          <w:color w:val="000000"/>
          <w:sz w:val="24"/>
        </w:rPr>
        <w:t>5.3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sectPr>
      <w:headerReference r:id="rId6" w:type="first"/>
      <w:pgSz w:w="11906" w:h="16838"/>
      <w:pgMar w:top="1134" w:right="851" w:bottom="1304" w:left="1276" w:header="720" w:footer="720" w:gutter="0"/>
      <w:cols w:space="720" w:num="1"/>
      <w:docGrid w:type="linesAndChars"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Century Gothic">
    <w:panose1 w:val="020B0502020202020204"/>
    <w:charset w:val="00"/>
    <w:family w:val="swiss"/>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Arial Black">
    <w:panose1 w:val="020B0A04020102020204"/>
    <w:charset w:val="00"/>
    <w:family w:val="swiss"/>
    <w:pitch w:val="default"/>
    <w:sig w:usb0="A00002AF" w:usb1="400078FB" w:usb2="00000000" w:usb3="00000000" w:csb0="6000009F" w:csb1="DFD70000"/>
  </w:font>
  <w:font w:name="Verdana">
    <w:panose1 w:val="020B0604030504040204"/>
    <w:charset w:val="00"/>
    <w:family w:val="swiss"/>
    <w:pitch w:val="default"/>
    <w:sig w:usb0="A00006FF" w:usb1="4000205B" w:usb2="00000010" w:usb3="00000000" w:csb0="2000019F" w:csb1="00000000"/>
  </w:font>
  <w:font w:name="方正仿宋_GBK">
    <w:altName w:val="Malgun Gothic Semilight"/>
    <w:panose1 w:val="00000000000000000000"/>
    <w:charset w:val="86"/>
    <w:family w:val="auto"/>
    <w:pitch w:val="default"/>
    <w:sig w:usb0="00000000" w:usb1="00000000" w:usb2="00082016" w:usb3="00000000" w:csb0="00040001" w:csb1="00000000"/>
  </w:font>
  <w:font w:name="Malgun Gothic Semilight">
    <w:panose1 w:val="020B0502040204020203"/>
    <w:charset w:val="86"/>
    <w:family w:val="auto"/>
    <w:pitch w:val="default"/>
    <w:sig w:usb0="900002AF" w:usb1="01D77CFB" w:usb2="00000012" w:usb3="00000000" w:csb0="203E01BD" w:csb1="D7FF0000"/>
  </w:font>
  <w:font w:name="inherit">
    <w:altName w:val="Times New Roman"/>
    <w:panose1 w:val="00000000000000000000"/>
    <w:charset w:val="00"/>
    <w:family w:val="roman"/>
    <w:pitch w:val="default"/>
    <w:sig w:usb0="00000000" w:usb1="00000000" w:usb2="00000000" w:usb3="00000000" w:csb0="00040001" w:csb1="00000000"/>
  </w:font>
  <w:font w:name="义启新宋体">
    <w:altName w:val="宋体"/>
    <w:panose1 w:val="00000000000000000000"/>
    <w:charset w:val="80"/>
    <w:family w:val="auto"/>
    <w:pitch w:val="default"/>
    <w:sig w:usb0="00000000" w:usb1="00000000" w:usb2="00000012"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D7658">
    <w:pPr>
      <w:pStyle w:val="20"/>
      <w:jc w:val="center"/>
    </w:pPr>
    <w:r>
      <w:fldChar w:fldCharType="begin"/>
    </w:r>
    <w:r>
      <w:instrText xml:space="preserve">PAGE   \* MERGEFORMAT</w:instrText>
    </w:r>
    <w:r>
      <w:fldChar w:fldCharType="separate"/>
    </w:r>
    <w:r>
      <w:rPr>
        <w:lang w:val="zh-CN"/>
      </w:rPr>
      <w:t>10</w:t>
    </w:r>
    <w:r>
      <w:fldChar w:fldCharType="end"/>
    </w:r>
  </w:p>
  <w:p w14:paraId="7D21CF3A">
    <w:pPr>
      <w:pStyle w:val="20"/>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0B56A">
    <w:pPr>
      <w:pStyle w:val="20"/>
      <w:framePr w:wrap="around" w:vAnchor="text" w:hAnchor="margin" w:xAlign="center" w:y="1"/>
      <w:rPr>
        <w:rStyle w:val="35"/>
      </w:rPr>
    </w:pPr>
    <w:r>
      <w:fldChar w:fldCharType="begin"/>
    </w:r>
    <w:r>
      <w:rPr>
        <w:rStyle w:val="35"/>
      </w:rPr>
      <w:instrText xml:space="preserve">PAGE  </w:instrText>
    </w:r>
    <w:r>
      <w:fldChar w:fldCharType="separate"/>
    </w:r>
    <w:r>
      <w:rPr>
        <w:rStyle w:val="35"/>
      </w:rPr>
      <w:t>54</w:t>
    </w:r>
    <w:r>
      <w:fldChar w:fldCharType="end"/>
    </w:r>
  </w:p>
  <w:p w14:paraId="4ECC77E0">
    <w:pPr>
      <w:pStyle w:val="20"/>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wps:spPr>
                    <wps:txbx>
                      <w:txbxContent>
                        <w:p w14:paraId="07780980">
                          <w:pPr>
                            <w:pStyle w:val="20"/>
                            <w:rPr>
                              <w:rStyle w:val="35"/>
                              <w:sz w:val="21"/>
                            </w:rPr>
                          </w:pPr>
                          <w:r>
                            <w:rPr>
                              <w:sz w:val="21"/>
                            </w:rPr>
                            <w:fldChar w:fldCharType="begin"/>
                          </w:r>
                          <w:r>
                            <w:rPr>
                              <w:rStyle w:val="35"/>
                              <w:sz w:val="21"/>
                            </w:rPr>
                            <w:instrText xml:space="preserve">Page</w:instrText>
                          </w:r>
                          <w:r>
                            <w:rPr>
                              <w:sz w:val="21"/>
                            </w:rPr>
                            <w:fldChar w:fldCharType="separate"/>
                          </w:r>
                          <w:r>
                            <w:rPr>
                              <w:rStyle w:val="35"/>
                              <w:sz w:val="21"/>
                            </w:rPr>
                            <w:t>54</w:t>
                          </w:r>
                          <w:r>
                            <w:rPr>
                              <w:sz w:val="21"/>
                            </w:rPr>
                            <w:fldChar w:fldCharType="end"/>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&#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G0n7CvTAAAAAwEAAA8AAAAAAAAAAQAgAAAAIgAAAGRy&#10;cy9kb3ducmV2LnhtbFBLAQIUABQAAAAIAIdO4kDPFBl/CgIAAAMEAAAOAAAAAAAAAAEAIAAAACIB&#10;AABkcnMvZTJvRG9jLnhtbFBLBQYAAAAABgAGAFkBAACeBQAAAAA=&#10;">
              <v:fill on="f" focussize="0,0"/>
              <v:stroke on="f"/>
              <v:imagedata o:title=""/>
              <o:lock v:ext="edit" aspectratio="f"/>
              <v:textbox inset="0mm,0mm,0mm,0mm">
                <w:txbxContent>
                  <w:p w14:paraId="07780980">
                    <w:pPr>
                      <w:pStyle w:val="20"/>
                      <w:rPr>
                        <w:rStyle w:val="35"/>
                        <w:sz w:val="21"/>
                      </w:rPr>
                    </w:pPr>
                    <w:r>
                      <w:rPr>
                        <w:sz w:val="21"/>
                      </w:rPr>
                      <w:fldChar w:fldCharType="begin"/>
                    </w:r>
                    <w:r>
                      <w:rPr>
                        <w:rStyle w:val="35"/>
                        <w:sz w:val="21"/>
                      </w:rPr>
                      <w:instrText xml:space="preserve">Page</w:instrText>
                    </w:r>
                    <w:r>
                      <w:rPr>
                        <w:sz w:val="21"/>
                      </w:rPr>
                      <w:fldChar w:fldCharType="separate"/>
                    </w:r>
                    <w:r>
                      <w:rPr>
                        <w:rStyle w:val="35"/>
                        <w:sz w:val="21"/>
                      </w:rPr>
                      <w:t>54</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29566">
    <w:pPr>
      <w:pStyle w:val="20"/>
      <w:jc w:val="center"/>
    </w:pPr>
    <w:r>
      <w:fldChar w:fldCharType="begin"/>
    </w:r>
    <w:r>
      <w:instrText xml:space="preserve">PAGE   \* MERGEFORMAT</w:instrText>
    </w:r>
    <w:r>
      <w:fldChar w:fldCharType="separate"/>
    </w:r>
    <w:r>
      <w:rPr>
        <w:lang w:val="zh-CN"/>
      </w:rPr>
      <w:t>0</w:t>
    </w:r>
    <w:r>
      <w:fldChar w:fldCharType="end"/>
    </w:r>
  </w:p>
  <w:p w14:paraId="682A60D0">
    <w:pPr>
      <w:pStyle w:val="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15732">
    <w:pPr>
      <w:pStyle w:val="21"/>
      <w:jc w:val="both"/>
    </w:pPr>
    <w:r>
      <w:rPr>
        <w:rFonts w:hint="eastAsia" w:ascii="宋体"/>
        <w:lang w:val="en-GB"/>
      </w:rPr>
      <w:t xml:space="preserve">（项目名称）                                </w:t>
    </w:r>
    <w:r>
      <w:rPr>
        <w:rFonts w:hint="eastAsia" w:ascii="宋体"/>
      </w:rPr>
      <w:t xml:space="preserve">                                           招标编号：</w:t>
    </w:r>
    <w:r>
      <w:rPr>
        <w:rFonts w:hint="eastAsia" w:ascii="宋体"/>
        <w:bC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A7CB14"/>
    <w:multiLevelType w:val="singleLevel"/>
    <w:tmpl w:val="95A7CB14"/>
    <w:lvl w:ilvl="0" w:tentative="0">
      <w:start w:val="5"/>
      <w:numFmt w:val="decimal"/>
      <w:suff w:val="nothing"/>
      <w:lvlText w:val="%1）"/>
      <w:lvlJc w:val="left"/>
    </w:lvl>
  </w:abstractNum>
  <w:abstractNum w:abstractNumId="1">
    <w:nsid w:val="00000002"/>
    <w:multiLevelType w:val="multilevel"/>
    <w:tmpl w:val="00000002"/>
    <w:lvl w:ilvl="0" w:tentative="0">
      <w:start w:val="1"/>
      <w:numFmt w:val="decimal"/>
      <w:lvlText w:val="%1."/>
      <w:lvlJc w:val="left"/>
      <w:pPr>
        <w:ind w:left="425" w:hanging="425"/>
      </w:pPr>
    </w:lvl>
    <w:lvl w:ilvl="1" w:tentative="0">
      <w:start w:val="1"/>
      <w:numFmt w:val="decimal"/>
      <w:lvlText w:val="%1.%2."/>
      <w:lvlJc w:val="left"/>
      <w:pPr>
        <w:ind w:left="850" w:hanging="425"/>
      </w:pPr>
    </w:lvl>
    <w:lvl w:ilvl="2" w:tentative="0">
      <w:start w:val="1"/>
      <w:numFmt w:val="decimal"/>
      <w:lvlText w:val="%1.%2.%3."/>
      <w:lvlJc w:val="left"/>
      <w:pPr>
        <w:ind w:left="1275" w:hanging="425"/>
      </w:pPr>
    </w:lvl>
    <w:lvl w:ilvl="3" w:tentative="0">
      <w:start w:val="1"/>
      <w:numFmt w:val="decimal"/>
      <w:lvlText w:val="%1.%2.%3.%4."/>
      <w:lvlJc w:val="left"/>
      <w:pPr>
        <w:ind w:left="1700" w:hanging="425"/>
      </w:pPr>
    </w:lvl>
    <w:lvl w:ilvl="4" w:tentative="0">
      <w:start w:val="1"/>
      <w:numFmt w:val="decimal"/>
      <w:pStyle w:val="7"/>
      <w:lvlText w:val="%1.%2.%3.%4.%5."/>
      <w:lvlJc w:val="left"/>
      <w:pPr>
        <w:ind w:left="2125" w:hanging="425"/>
      </w:pPr>
    </w:lvl>
    <w:lvl w:ilvl="5" w:tentative="0">
      <w:start w:val="1"/>
      <w:numFmt w:val="decimal"/>
      <w:lvlText w:val="%1.%2.%3.%4.%5.%6."/>
      <w:lvlJc w:val="left"/>
      <w:pPr>
        <w:ind w:left="2550" w:hanging="425"/>
      </w:pPr>
    </w:lvl>
    <w:lvl w:ilvl="6" w:tentative="0">
      <w:start w:val="1"/>
      <w:numFmt w:val="decimal"/>
      <w:lvlText w:val="%1.%2.%3.%4.%5.%6.%7."/>
      <w:lvlJc w:val="left"/>
      <w:pPr>
        <w:ind w:left="2975" w:hanging="425"/>
      </w:pPr>
    </w:lvl>
    <w:lvl w:ilvl="7" w:tentative="0">
      <w:start w:val="1"/>
      <w:numFmt w:val="decimal"/>
      <w:lvlText w:val="%1.%2.%3.%4.%5.%6.%7.%8."/>
      <w:lvlJc w:val="left"/>
      <w:pPr>
        <w:ind w:left="3400" w:hanging="425"/>
      </w:pPr>
    </w:lvl>
    <w:lvl w:ilvl="8" w:tentative="0">
      <w:start w:val="1"/>
      <w:numFmt w:val="decimal"/>
      <w:lvlText w:val="%1.%2.%3.%4.%5.%6.%7.%8.%9."/>
      <w:lvlJc w:val="left"/>
      <w:pPr>
        <w:ind w:left="3825" w:hanging="425"/>
      </w:pPr>
    </w:lvl>
  </w:abstractNum>
  <w:abstractNum w:abstractNumId="2">
    <w:nsid w:val="00000006"/>
    <w:multiLevelType w:val="multilevel"/>
    <w:tmpl w:val="00000006"/>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chineseCounting"/>
      <w:pStyle w:val="4"/>
      <w:lvlText w:val="%2、"/>
      <w:lvlJc w:val="left"/>
      <w:pPr>
        <w:tabs>
          <w:tab w:val="left" w:pos="1021"/>
        </w:tabs>
        <w:ind w:left="1021" w:hanging="596"/>
      </w:pPr>
      <w:rPr>
        <w:rFonts w:hint="eastAsia" w:cs="黑体" w:asciiTheme="minorEastAsia" w:hAnsiTheme="minorEastAsia" w:eastAsiaTheme="minorEastAsia"/>
        <w:b/>
        <w:bCs/>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xYmEzMWJhMWVlYjczNDI2NDUzNjg3YjQzODFjZDcifQ=="/>
  </w:docVars>
  <w:rsids>
    <w:rsidRoot w:val="00EB6D6D"/>
    <w:rsid w:val="00006DE5"/>
    <w:rsid w:val="00014170"/>
    <w:rsid w:val="00016199"/>
    <w:rsid w:val="00016884"/>
    <w:rsid w:val="00016F18"/>
    <w:rsid w:val="00020BD1"/>
    <w:rsid w:val="000227D4"/>
    <w:rsid w:val="00022BA5"/>
    <w:rsid w:val="0002333B"/>
    <w:rsid w:val="00024273"/>
    <w:rsid w:val="00025415"/>
    <w:rsid w:val="000258D5"/>
    <w:rsid w:val="00026BD0"/>
    <w:rsid w:val="0003498F"/>
    <w:rsid w:val="00041AF5"/>
    <w:rsid w:val="00045166"/>
    <w:rsid w:val="0004767E"/>
    <w:rsid w:val="00050D9E"/>
    <w:rsid w:val="0005107E"/>
    <w:rsid w:val="000517B8"/>
    <w:rsid w:val="00053E65"/>
    <w:rsid w:val="00054957"/>
    <w:rsid w:val="00055275"/>
    <w:rsid w:val="00062A6E"/>
    <w:rsid w:val="00063E38"/>
    <w:rsid w:val="00066261"/>
    <w:rsid w:val="00066534"/>
    <w:rsid w:val="000758D0"/>
    <w:rsid w:val="000818C0"/>
    <w:rsid w:val="00084335"/>
    <w:rsid w:val="00084496"/>
    <w:rsid w:val="000859F3"/>
    <w:rsid w:val="00090705"/>
    <w:rsid w:val="00090B9F"/>
    <w:rsid w:val="0009201D"/>
    <w:rsid w:val="000948D2"/>
    <w:rsid w:val="000971B3"/>
    <w:rsid w:val="000A495C"/>
    <w:rsid w:val="000A4E30"/>
    <w:rsid w:val="000A6D29"/>
    <w:rsid w:val="000A7B27"/>
    <w:rsid w:val="000B0D3D"/>
    <w:rsid w:val="000B38DB"/>
    <w:rsid w:val="000B673F"/>
    <w:rsid w:val="000C1B81"/>
    <w:rsid w:val="000C202B"/>
    <w:rsid w:val="000C2B29"/>
    <w:rsid w:val="000C2C4F"/>
    <w:rsid w:val="000C2E58"/>
    <w:rsid w:val="000C7304"/>
    <w:rsid w:val="000C77CE"/>
    <w:rsid w:val="000E367B"/>
    <w:rsid w:val="000E6DBB"/>
    <w:rsid w:val="000F0EC6"/>
    <w:rsid w:val="000F1885"/>
    <w:rsid w:val="000F3983"/>
    <w:rsid w:val="000F3D05"/>
    <w:rsid w:val="000F453B"/>
    <w:rsid w:val="00102872"/>
    <w:rsid w:val="00102B86"/>
    <w:rsid w:val="00111371"/>
    <w:rsid w:val="00113EF7"/>
    <w:rsid w:val="00115922"/>
    <w:rsid w:val="0012724D"/>
    <w:rsid w:val="0013177B"/>
    <w:rsid w:val="00135A80"/>
    <w:rsid w:val="00150F3A"/>
    <w:rsid w:val="00151726"/>
    <w:rsid w:val="001539A2"/>
    <w:rsid w:val="00153E6C"/>
    <w:rsid w:val="00165A4B"/>
    <w:rsid w:val="00166124"/>
    <w:rsid w:val="00167735"/>
    <w:rsid w:val="00167818"/>
    <w:rsid w:val="0017107C"/>
    <w:rsid w:val="001728A3"/>
    <w:rsid w:val="0017351C"/>
    <w:rsid w:val="001758E6"/>
    <w:rsid w:val="00176712"/>
    <w:rsid w:val="00185EA7"/>
    <w:rsid w:val="00187D16"/>
    <w:rsid w:val="00190325"/>
    <w:rsid w:val="001929E3"/>
    <w:rsid w:val="001953FC"/>
    <w:rsid w:val="00197398"/>
    <w:rsid w:val="001B468F"/>
    <w:rsid w:val="001B538B"/>
    <w:rsid w:val="001B64F7"/>
    <w:rsid w:val="001C55CE"/>
    <w:rsid w:val="001D09C2"/>
    <w:rsid w:val="001D27C5"/>
    <w:rsid w:val="001D2EF2"/>
    <w:rsid w:val="001D5A06"/>
    <w:rsid w:val="001D5ACC"/>
    <w:rsid w:val="001D6A71"/>
    <w:rsid w:val="001E1225"/>
    <w:rsid w:val="001E3E44"/>
    <w:rsid w:val="001E58FE"/>
    <w:rsid w:val="001E78CB"/>
    <w:rsid w:val="001F4A9A"/>
    <w:rsid w:val="001F7112"/>
    <w:rsid w:val="002004D8"/>
    <w:rsid w:val="00206E02"/>
    <w:rsid w:val="00207401"/>
    <w:rsid w:val="0021059D"/>
    <w:rsid w:val="00221255"/>
    <w:rsid w:val="00225688"/>
    <w:rsid w:val="0022605A"/>
    <w:rsid w:val="00227096"/>
    <w:rsid w:val="00227823"/>
    <w:rsid w:val="002417C9"/>
    <w:rsid w:val="00241D78"/>
    <w:rsid w:val="002445C0"/>
    <w:rsid w:val="00245D65"/>
    <w:rsid w:val="002472F9"/>
    <w:rsid w:val="00250587"/>
    <w:rsid w:val="00251AD3"/>
    <w:rsid w:val="00251E8D"/>
    <w:rsid w:val="00260CAD"/>
    <w:rsid w:val="002614DD"/>
    <w:rsid w:val="00263BA3"/>
    <w:rsid w:val="00263CF7"/>
    <w:rsid w:val="00273E9B"/>
    <w:rsid w:val="00284A3C"/>
    <w:rsid w:val="00291005"/>
    <w:rsid w:val="00292105"/>
    <w:rsid w:val="002921A3"/>
    <w:rsid w:val="002925C9"/>
    <w:rsid w:val="00293E9D"/>
    <w:rsid w:val="00295F41"/>
    <w:rsid w:val="002962D6"/>
    <w:rsid w:val="002A0977"/>
    <w:rsid w:val="002A2AB1"/>
    <w:rsid w:val="002A4068"/>
    <w:rsid w:val="002C3251"/>
    <w:rsid w:val="002D15B8"/>
    <w:rsid w:val="002D1E58"/>
    <w:rsid w:val="002D7691"/>
    <w:rsid w:val="002E3264"/>
    <w:rsid w:val="002E32C9"/>
    <w:rsid w:val="002F0FAC"/>
    <w:rsid w:val="002F54C1"/>
    <w:rsid w:val="002F6080"/>
    <w:rsid w:val="002F728F"/>
    <w:rsid w:val="003000FA"/>
    <w:rsid w:val="0030670C"/>
    <w:rsid w:val="00307402"/>
    <w:rsid w:val="003079AF"/>
    <w:rsid w:val="00310D87"/>
    <w:rsid w:val="003119B9"/>
    <w:rsid w:val="00311EEA"/>
    <w:rsid w:val="003152F7"/>
    <w:rsid w:val="00315B97"/>
    <w:rsid w:val="00317B3E"/>
    <w:rsid w:val="00322302"/>
    <w:rsid w:val="00323432"/>
    <w:rsid w:val="0032351C"/>
    <w:rsid w:val="00324796"/>
    <w:rsid w:val="00331D2D"/>
    <w:rsid w:val="00332D6B"/>
    <w:rsid w:val="00334B90"/>
    <w:rsid w:val="00334EC1"/>
    <w:rsid w:val="00336EBD"/>
    <w:rsid w:val="003403C3"/>
    <w:rsid w:val="00340773"/>
    <w:rsid w:val="00342299"/>
    <w:rsid w:val="00344C56"/>
    <w:rsid w:val="00346588"/>
    <w:rsid w:val="003474E6"/>
    <w:rsid w:val="003514B5"/>
    <w:rsid w:val="00355FC1"/>
    <w:rsid w:val="003563EF"/>
    <w:rsid w:val="00357D6A"/>
    <w:rsid w:val="003602A3"/>
    <w:rsid w:val="0036066D"/>
    <w:rsid w:val="003614D1"/>
    <w:rsid w:val="003615C1"/>
    <w:rsid w:val="003616CE"/>
    <w:rsid w:val="0036379A"/>
    <w:rsid w:val="00363A01"/>
    <w:rsid w:val="00364F8A"/>
    <w:rsid w:val="003662B1"/>
    <w:rsid w:val="003665BB"/>
    <w:rsid w:val="003739FD"/>
    <w:rsid w:val="00373AC8"/>
    <w:rsid w:val="00376237"/>
    <w:rsid w:val="003765F0"/>
    <w:rsid w:val="00377E37"/>
    <w:rsid w:val="00380A69"/>
    <w:rsid w:val="003815C3"/>
    <w:rsid w:val="00391098"/>
    <w:rsid w:val="00391AC4"/>
    <w:rsid w:val="00396043"/>
    <w:rsid w:val="003A2CC5"/>
    <w:rsid w:val="003A5ED6"/>
    <w:rsid w:val="003A79CF"/>
    <w:rsid w:val="003C60B2"/>
    <w:rsid w:val="003C7ED8"/>
    <w:rsid w:val="003D015D"/>
    <w:rsid w:val="003D033F"/>
    <w:rsid w:val="003D2A2C"/>
    <w:rsid w:val="003D347C"/>
    <w:rsid w:val="003D5155"/>
    <w:rsid w:val="003E00E7"/>
    <w:rsid w:val="003E3C7A"/>
    <w:rsid w:val="003E4634"/>
    <w:rsid w:val="003E522A"/>
    <w:rsid w:val="003F21D1"/>
    <w:rsid w:val="003F7085"/>
    <w:rsid w:val="003F7CC2"/>
    <w:rsid w:val="00407CC9"/>
    <w:rsid w:val="004136EC"/>
    <w:rsid w:val="004167F0"/>
    <w:rsid w:val="004175F3"/>
    <w:rsid w:val="00422234"/>
    <w:rsid w:val="0042239B"/>
    <w:rsid w:val="00426F46"/>
    <w:rsid w:val="00431AFA"/>
    <w:rsid w:val="004331AF"/>
    <w:rsid w:val="00435BE7"/>
    <w:rsid w:val="004606D8"/>
    <w:rsid w:val="004649DC"/>
    <w:rsid w:val="00466920"/>
    <w:rsid w:val="0046719C"/>
    <w:rsid w:val="00471A3D"/>
    <w:rsid w:val="004722E6"/>
    <w:rsid w:val="00476FAA"/>
    <w:rsid w:val="00484B40"/>
    <w:rsid w:val="00485FE0"/>
    <w:rsid w:val="004861DF"/>
    <w:rsid w:val="0048717B"/>
    <w:rsid w:val="004872ED"/>
    <w:rsid w:val="0049305D"/>
    <w:rsid w:val="004A1C67"/>
    <w:rsid w:val="004A32E8"/>
    <w:rsid w:val="004A5DB6"/>
    <w:rsid w:val="004C1D16"/>
    <w:rsid w:val="004C2EFF"/>
    <w:rsid w:val="004C4834"/>
    <w:rsid w:val="004C554D"/>
    <w:rsid w:val="004C72C5"/>
    <w:rsid w:val="004D6DF9"/>
    <w:rsid w:val="004D70EE"/>
    <w:rsid w:val="004D7D03"/>
    <w:rsid w:val="004E083D"/>
    <w:rsid w:val="004E13EB"/>
    <w:rsid w:val="004E2D1A"/>
    <w:rsid w:val="004E3991"/>
    <w:rsid w:val="004E59E8"/>
    <w:rsid w:val="004E6F17"/>
    <w:rsid w:val="004F083B"/>
    <w:rsid w:val="004F312E"/>
    <w:rsid w:val="004F3564"/>
    <w:rsid w:val="00501053"/>
    <w:rsid w:val="005046AA"/>
    <w:rsid w:val="0050666E"/>
    <w:rsid w:val="005114E7"/>
    <w:rsid w:val="00512420"/>
    <w:rsid w:val="00513B07"/>
    <w:rsid w:val="00522C12"/>
    <w:rsid w:val="00531CEA"/>
    <w:rsid w:val="00534CB5"/>
    <w:rsid w:val="00535ABC"/>
    <w:rsid w:val="00535B3A"/>
    <w:rsid w:val="005416EF"/>
    <w:rsid w:val="00542096"/>
    <w:rsid w:val="00545C04"/>
    <w:rsid w:val="00556D60"/>
    <w:rsid w:val="0055789D"/>
    <w:rsid w:val="00561865"/>
    <w:rsid w:val="00564218"/>
    <w:rsid w:val="00576CE9"/>
    <w:rsid w:val="005805BA"/>
    <w:rsid w:val="00581EDA"/>
    <w:rsid w:val="00583AC6"/>
    <w:rsid w:val="005921C7"/>
    <w:rsid w:val="005943E6"/>
    <w:rsid w:val="005A25E3"/>
    <w:rsid w:val="005A2D6F"/>
    <w:rsid w:val="005A613E"/>
    <w:rsid w:val="005B0283"/>
    <w:rsid w:val="005B148B"/>
    <w:rsid w:val="005B41A7"/>
    <w:rsid w:val="005C0435"/>
    <w:rsid w:val="005C367C"/>
    <w:rsid w:val="005C5E85"/>
    <w:rsid w:val="005D0237"/>
    <w:rsid w:val="005D22CD"/>
    <w:rsid w:val="005D5808"/>
    <w:rsid w:val="005D5A61"/>
    <w:rsid w:val="005D787B"/>
    <w:rsid w:val="005E18AA"/>
    <w:rsid w:val="005E32A6"/>
    <w:rsid w:val="005E714C"/>
    <w:rsid w:val="005E79DA"/>
    <w:rsid w:val="005F1D59"/>
    <w:rsid w:val="005F1DA8"/>
    <w:rsid w:val="005F21F9"/>
    <w:rsid w:val="00602573"/>
    <w:rsid w:val="00605EF5"/>
    <w:rsid w:val="00607491"/>
    <w:rsid w:val="0061179E"/>
    <w:rsid w:val="006143B8"/>
    <w:rsid w:val="006149BE"/>
    <w:rsid w:val="006153F6"/>
    <w:rsid w:val="0063702B"/>
    <w:rsid w:val="0064235B"/>
    <w:rsid w:val="006439D5"/>
    <w:rsid w:val="00643CBA"/>
    <w:rsid w:val="00647C5B"/>
    <w:rsid w:val="00651813"/>
    <w:rsid w:val="00651851"/>
    <w:rsid w:val="0067106A"/>
    <w:rsid w:val="00672227"/>
    <w:rsid w:val="006772EA"/>
    <w:rsid w:val="00683266"/>
    <w:rsid w:val="00683F6F"/>
    <w:rsid w:val="0068470C"/>
    <w:rsid w:val="006848E5"/>
    <w:rsid w:val="00687ABC"/>
    <w:rsid w:val="00690708"/>
    <w:rsid w:val="00696F83"/>
    <w:rsid w:val="00697458"/>
    <w:rsid w:val="006A3D7B"/>
    <w:rsid w:val="006A53E9"/>
    <w:rsid w:val="006A659F"/>
    <w:rsid w:val="006B2D15"/>
    <w:rsid w:val="006B4FC7"/>
    <w:rsid w:val="006B5ABA"/>
    <w:rsid w:val="006B79BB"/>
    <w:rsid w:val="006C27F6"/>
    <w:rsid w:val="006C5EB1"/>
    <w:rsid w:val="006D6855"/>
    <w:rsid w:val="006E03B9"/>
    <w:rsid w:val="006E75CB"/>
    <w:rsid w:val="006E7945"/>
    <w:rsid w:val="006F4280"/>
    <w:rsid w:val="006F4B8A"/>
    <w:rsid w:val="006F7429"/>
    <w:rsid w:val="00700E7F"/>
    <w:rsid w:val="0070202E"/>
    <w:rsid w:val="007031C2"/>
    <w:rsid w:val="0070647D"/>
    <w:rsid w:val="0071153D"/>
    <w:rsid w:val="00711628"/>
    <w:rsid w:val="00711A78"/>
    <w:rsid w:val="00713029"/>
    <w:rsid w:val="00714B89"/>
    <w:rsid w:val="00715D8E"/>
    <w:rsid w:val="0071782F"/>
    <w:rsid w:val="007254E1"/>
    <w:rsid w:val="007328BE"/>
    <w:rsid w:val="00735CE7"/>
    <w:rsid w:val="007372DC"/>
    <w:rsid w:val="007375D5"/>
    <w:rsid w:val="00743DB3"/>
    <w:rsid w:val="00745C98"/>
    <w:rsid w:val="00747286"/>
    <w:rsid w:val="007520D6"/>
    <w:rsid w:val="00764BA5"/>
    <w:rsid w:val="00764F37"/>
    <w:rsid w:val="007721E7"/>
    <w:rsid w:val="007739A1"/>
    <w:rsid w:val="00780EDA"/>
    <w:rsid w:val="0078101E"/>
    <w:rsid w:val="00784ADA"/>
    <w:rsid w:val="00787E0F"/>
    <w:rsid w:val="007939D5"/>
    <w:rsid w:val="0079477F"/>
    <w:rsid w:val="00794ABC"/>
    <w:rsid w:val="007A4222"/>
    <w:rsid w:val="007B02A3"/>
    <w:rsid w:val="007B174A"/>
    <w:rsid w:val="007B30C4"/>
    <w:rsid w:val="007B36B0"/>
    <w:rsid w:val="007B423B"/>
    <w:rsid w:val="007B7189"/>
    <w:rsid w:val="007B78ED"/>
    <w:rsid w:val="007C2E94"/>
    <w:rsid w:val="007C352D"/>
    <w:rsid w:val="007C78C8"/>
    <w:rsid w:val="007D0EAB"/>
    <w:rsid w:val="007D2B86"/>
    <w:rsid w:val="007D67E3"/>
    <w:rsid w:val="007E206A"/>
    <w:rsid w:val="007E20C4"/>
    <w:rsid w:val="007E3489"/>
    <w:rsid w:val="007E6626"/>
    <w:rsid w:val="007E6C38"/>
    <w:rsid w:val="007F0BD7"/>
    <w:rsid w:val="00804FAA"/>
    <w:rsid w:val="00806DEC"/>
    <w:rsid w:val="00806E61"/>
    <w:rsid w:val="0081697D"/>
    <w:rsid w:val="008178B6"/>
    <w:rsid w:val="00822A24"/>
    <w:rsid w:val="00831423"/>
    <w:rsid w:val="00841DBC"/>
    <w:rsid w:val="00842155"/>
    <w:rsid w:val="00845454"/>
    <w:rsid w:val="0085036D"/>
    <w:rsid w:val="00853290"/>
    <w:rsid w:val="008551F2"/>
    <w:rsid w:val="008610EB"/>
    <w:rsid w:val="008674BA"/>
    <w:rsid w:val="00872D94"/>
    <w:rsid w:val="00873766"/>
    <w:rsid w:val="00876D14"/>
    <w:rsid w:val="00877A7B"/>
    <w:rsid w:val="0088000F"/>
    <w:rsid w:val="0088021F"/>
    <w:rsid w:val="00881F97"/>
    <w:rsid w:val="00882EEA"/>
    <w:rsid w:val="008848E8"/>
    <w:rsid w:val="00884903"/>
    <w:rsid w:val="00885D4D"/>
    <w:rsid w:val="0088792B"/>
    <w:rsid w:val="0089371A"/>
    <w:rsid w:val="0089754B"/>
    <w:rsid w:val="008A09B8"/>
    <w:rsid w:val="008A3354"/>
    <w:rsid w:val="008B360F"/>
    <w:rsid w:val="008B44B8"/>
    <w:rsid w:val="008B79EF"/>
    <w:rsid w:val="008B7A87"/>
    <w:rsid w:val="008B7B5F"/>
    <w:rsid w:val="008C32F1"/>
    <w:rsid w:val="008C55BE"/>
    <w:rsid w:val="008C5A0B"/>
    <w:rsid w:val="008C67A6"/>
    <w:rsid w:val="008D1344"/>
    <w:rsid w:val="008E15D8"/>
    <w:rsid w:val="008E1E51"/>
    <w:rsid w:val="008E3438"/>
    <w:rsid w:val="008E5056"/>
    <w:rsid w:val="00900F3D"/>
    <w:rsid w:val="009035C8"/>
    <w:rsid w:val="00903996"/>
    <w:rsid w:val="009127EF"/>
    <w:rsid w:val="00913509"/>
    <w:rsid w:val="00913A91"/>
    <w:rsid w:val="00913EE4"/>
    <w:rsid w:val="00916C8A"/>
    <w:rsid w:val="0091732B"/>
    <w:rsid w:val="0092167E"/>
    <w:rsid w:val="00921B80"/>
    <w:rsid w:val="00924C78"/>
    <w:rsid w:val="009275E8"/>
    <w:rsid w:val="00930DE2"/>
    <w:rsid w:val="009338D8"/>
    <w:rsid w:val="00936A30"/>
    <w:rsid w:val="009426A3"/>
    <w:rsid w:val="009477AB"/>
    <w:rsid w:val="00955F63"/>
    <w:rsid w:val="00961B2C"/>
    <w:rsid w:val="00961EDB"/>
    <w:rsid w:val="0096307C"/>
    <w:rsid w:val="00963F61"/>
    <w:rsid w:val="00971742"/>
    <w:rsid w:val="00971978"/>
    <w:rsid w:val="009736D3"/>
    <w:rsid w:val="009766B4"/>
    <w:rsid w:val="00976C7E"/>
    <w:rsid w:val="00981D0F"/>
    <w:rsid w:val="00986638"/>
    <w:rsid w:val="00986A86"/>
    <w:rsid w:val="00990AD1"/>
    <w:rsid w:val="0099232A"/>
    <w:rsid w:val="00993AE2"/>
    <w:rsid w:val="009A1B1B"/>
    <w:rsid w:val="009A2CB3"/>
    <w:rsid w:val="009B081E"/>
    <w:rsid w:val="009B1130"/>
    <w:rsid w:val="009B6550"/>
    <w:rsid w:val="009B6AB1"/>
    <w:rsid w:val="009C026D"/>
    <w:rsid w:val="009D1F60"/>
    <w:rsid w:val="009D2DB1"/>
    <w:rsid w:val="009E1A30"/>
    <w:rsid w:val="009E228F"/>
    <w:rsid w:val="009E5C5C"/>
    <w:rsid w:val="009E7E5C"/>
    <w:rsid w:val="009F0199"/>
    <w:rsid w:val="009F01A1"/>
    <w:rsid w:val="009F17ED"/>
    <w:rsid w:val="009F731C"/>
    <w:rsid w:val="00A0069B"/>
    <w:rsid w:val="00A0109D"/>
    <w:rsid w:val="00A02699"/>
    <w:rsid w:val="00A07F94"/>
    <w:rsid w:val="00A14509"/>
    <w:rsid w:val="00A20B4E"/>
    <w:rsid w:val="00A21A81"/>
    <w:rsid w:val="00A24D6A"/>
    <w:rsid w:val="00A25DCD"/>
    <w:rsid w:val="00A27BE5"/>
    <w:rsid w:val="00A27D05"/>
    <w:rsid w:val="00A31335"/>
    <w:rsid w:val="00A32356"/>
    <w:rsid w:val="00A34A2D"/>
    <w:rsid w:val="00A41205"/>
    <w:rsid w:val="00A41FC7"/>
    <w:rsid w:val="00A4347F"/>
    <w:rsid w:val="00A45ACB"/>
    <w:rsid w:val="00A473A4"/>
    <w:rsid w:val="00A528E2"/>
    <w:rsid w:val="00A56CA2"/>
    <w:rsid w:val="00A61B4C"/>
    <w:rsid w:val="00A623CD"/>
    <w:rsid w:val="00A63C32"/>
    <w:rsid w:val="00A65E52"/>
    <w:rsid w:val="00A66AFE"/>
    <w:rsid w:val="00A71E32"/>
    <w:rsid w:val="00A730F8"/>
    <w:rsid w:val="00A73A77"/>
    <w:rsid w:val="00A75069"/>
    <w:rsid w:val="00A76EAE"/>
    <w:rsid w:val="00A80634"/>
    <w:rsid w:val="00A80754"/>
    <w:rsid w:val="00A80E24"/>
    <w:rsid w:val="00A81409"/>
    <w:rsid w:val="00A847FF"/>
    <w:rsid w:val="00A930F8"/>
    <w:rsid w:val="00A9549E"/>
    <w:rsid w:val="00A96FB5"/>
    <w:rsid w:val="00AA683F"/>
    <w:rsid w:val="00AA7546"/>
    <w:rsid w:val="00AB0D08"/>
    <w:rsid w:val="00AB57EA"/>
    <w:rsid w:val="00AC0975"/>
    <w:rsid w:val="00AC350C"/>
    <w:rsid w:val="00AC5490"/>
    <w:rsid w:val="00AC6CDA"/>
    <w:rsid w:val="00AC73ED"/>
    <w:rsid w:val="00AC7F77"/>
    <w:rsid w:val="00AE17FA"/>
    <w:rsid w:val="00AE23A4"/>
    <w:rsid w:val="00AE25F4"/>
    <w:rsid w:val="00AE34A9"/>
    <w:rsid w:val="00AE5568"/>
    <w:rsid w:val="00AE6533"/>
    <w:rsid w:val="00AF058F"/>
    <w:rsid w:val="00AF265B"/>
    <w:rsid w:val="00B000E5"/>
    <w:rsid w:val="00B01728"/>
    <w:rsid w:val="00B02DD9"/>
    <w:rsid w:val="00B067B6"/>
    <w:rsid w:val="00B0721C"/>
    <w:rsid w:val="00B111FD"/>
    <w:rsid w:val="00B22B58"/>
    <w:rsid w:val="00B22BCC"/>
    <w:rsid w:val="00B25917"/>
    <w:rsid w:val="00B2622A"/>
    <w:rsid w:val="00B27440"/>
    <w:rsid w:val="00B27494"/>
    <w:rsid w:val="00B27F0E"/>
    <w:rsid w:val="00B33A50"/>
    <w:rsid w:val="00B371B4"/>
    <w:rsid w:val="00B437C0"/>
    <w:rsid w:val="00B457AA"/>
    <w:rsid w:val="00B4699D"/>
    <w:rsid w:val="00B5447B"/>
    <w:rsid w:val="00B54B47"/>
    <w:rsid w:val="00B57B6A"/>
    <w:rsid w:val="00B633F7"/>
    <w:rsid w:val="00B64941"/>
    <w:rsid w:val="00B664FF"/>
    <w:rsid w:val="00B705CF"/>
    <w:rsid w:val="00B73D98"/>
    <w:rsid w:val="00B815E0"/>
    <w:rsid w:val="00B832B3"/>
    <w:rsid w:val="00B84063"/>
    <w:rsid w:val="00B9076D"/>
    <w:rsid w:val="00B914ED"/>
    <w:rsid w:val="00B92BD2"/>
    <w:rsid w:val="00B976CA"/>
    <w:rsid w:val="00B97AA5"/>
    <w:rsid w:val="00BA1A52"/>
    <w:rsid w:val="00BA1EBF"/>
    <w:rsid w:val="00BA47CE"/>
    <w:rsid w:val="00BA541E"/>
    <w:rsid w:val="00BA6DA2"/>
    <w:rsid w:val="00BB0632"/>
    <w:rsid w:val="00BB4421"/>
    <w:rsid w:val="00BB4F1B"/>
    <w:rsid w:val="00BB6CF5"/>
    <w:rsid w:val="00BB7DE8"/>
    <w:rsid w:val="00BC0A65"/>
    <w:rsid w:val="00BC16EE"/>
    <w:rsid w:val="00BC381A"/>
    <w:rsid w:val="00BC6FF2"/>
    <w:rsid w:val="00BD55F7"/>
    <w:rsid w:val="00BF41DE"/>
    <w:rsid w:val="00BF6B6D"/>
    <w:rsid w:val="00C00C7E"/>
    <w:rsid w:val="00C027FD"/>
    <w:rsid w:val="00C12487"/>
    <w:rsid w:val="00C132B6"/>
    <w:rsid w:val="00C15547"/>
    <w:rsid w:val="00C15DCE"/>
    <w:rsid w:val="00C21584"/>
    <w:rsid w:val="00C2641C"/>
    <w:rsid w:val="00C2769E"/>
    <w:rsid w:val="00C37AA1"/>
    <w:rsid w:val="00C4245F"/>
    <w:rsid w:val="00C45320"/>
    <w:rsid w:val="00C455FE"/>
    <w:rsid w:val="00C471D9"/>
    <w:rsid w:val="00C50C68"/>
    <w:rsid w:val="00C50D14"/>
    <w:rsid w:val="00C52F27"/>
    <w:rsid w:val="00C71B3D"/>
    <w:rsid w:val="00C74112"/>
    <w:rsid w:val="00C77856"/>
    <w:rsid w:val="00C77949"/>
    <w:rsid w:val="00C77975"/>
    <w:rsid w:val="00C90B7B"/>
    <w:rsid w:val="00C95008"/>
    <w:rsid w:val="00C95F81"/>
    <w:rsid w:val="00CA1E9E"/>
    <w:rsid w:val="00CA37C4"/>
    <w:rsid w:val="00CA3A0B"/>
    <w:rsid w:val="00CA4789"/>
    <w:rsid w:val="00CA66ED"/>
    <w:rsid w:val="00CA7D1C"/>
    <w:rsid w:val="00CB0F16"/>
    <w:rsid w:val="00CB1BB1"/>
    <w:rsid w:val="00CB20CF"/>
    <w:rsid w:val="00CB2C34"/>
    <w:rsid w:val="00CB4BFB"/>
    <w:rsid w:val="00CB540B"/>
    <w:rsid w:val="00CC4387"/>
    <w:rsid w:val="00CC5A38"/>
    <w:rsid w:val="00CD07E2"/>
    <w:rsid w:val="00CD09DB"/>
    <w:rsid w:val="00CD0AB0"/>
    <w:rsid w:val="00CD128E"/>
    <w:rsid w:val="00CD6031"/>
    <w:rsid w:val="00CE26A3"/>
    <w:rsid w:val="00CE59B1"/>
    <w:rsid w:val="00CF325F"/>
    <w:rsid w:val="00CF4358"/>
    <w:rsid w:val="00CF6144"/>
    <w:rsid w:val="00CF7FCD"/>
    <w:rsid w:val="00D047E0"/>
    <w:rsid w:val="00D05269"/>
    <w:rsid w:val="00D05A5E"/>
    <w:rsid w:val="00D115AA"/>
    <w:rsid w:val="00D12F3C"/>
    <w:rsid w:val="00D13F11"/>
    <w:rsid w:val="00D13F56"/>
    <w:rsid w:val="00D15163"/>
    <w:rsid w:val="00D15E51"/>
    <w:rsid w:val="00D22A24"/>
    <w:rsid w:val="00D22C65"/>
    <w:rsid w:val="00D2489C"/>
    <w:rsid w:val="00D2500D"/>
    <w:rsid w:val="00D25816"/>
    <w:rsid w:val="00D26527"/>
    <w:rsid w:val="00D26FEB"/>
    <w:rsid w:val="00D3573C"/>
    <w:rsid w:val="00D43831"/>
    <w:rsid w:val="00D44459"/>
    <w:rsid w:val="00D4727B"/>
    <w:rsid w:val="00D47E07"/>
    <w:rsid w:val="00D50C85"/>
    <w:rsid w:val="00D54E5F"/>
    <w:rsid w:val="00D621FF"/>
    <w:rsid w:val="00D62AD6"/>
    <w:rsid w:val="00D674AA"/>
    <w:rsid w:val="00D726D7"/>
    <w:rsid w:val="00D742E8"/>
    <w:rsid w:val="00D75515"/>
    <w:rsid w:val="00D81B23"/>
    <w:rsid w:val="00D837C3"/>
    <w:rsid w:val="00D83E16"/>
    <w:rsid w:val="00D85B68"/>
    <w:rsid w:val="00D922EB"/>
    <w:rsid w:val="00D92D9E"/>
    <w:rsid w:val="00D94A59"/>
    <w:rsid w:val="00D975D7"/>
    <w:rsid w:val="00D97AE0"/>
    <w:rsid w:val="00DA0208"/>
    <w:rsid w:val="00DA1801"/>
    <w:rsid w:val="00DA19CB"/>
    <w:rsid w:val="00DA1A7A"/>
    <w:rsid w:val="00DA1F26"/>
    <w:rsid w:val="00DA7A44"/>
    <w:rsid w:val="00DB0134"/>
    <w:rsid w:val="00DB541B"/>
    <w:rsid w:val="00DB57CF"/>
    <w:rsid w:val="00DC0CBA"/>
    <w:rsid w:val="00DC15CE"/>
    <w:rsid w:val="00DC1764"/>
    <w:rsid w:val="00DC1899"/>
    <w:rsid w:val="00DC194B"/>
    <w:rsid w:val="00DC2731"/>
    <w:rsid w:val="00DC48E1"/>
    <w:rsid w:val="00DD292A"/>
    <w:rsid w:val="00DD5A75"/>
    <w:rsid w:val="00DE71F4"/>
    <w:rsid w:val="00DE7475"/>
    <w:rsid w:val="00DF4FC3"/>
    <w:rsid w:val="00DF6EB6"/>
    <w:rsid w:val="00E009B1"/>
    <w:rsid w:val="00E0258B"/>
    <w:rsid w:val="00E063B3"/>
    <w:rsid w:val="00E06CC5"/>
    <w:rsid w:val="00E10270"/>
    <w:rsid w:val="00E1093F"/>
    <w:rsid w:val="00E24AB4"/>
    <w:rsid w:val="00E25D3E"/>
    <w:rsid w:val="00E271B4"/>
    <w:rsid w:val="00E30B8D"/>
    <w:rsid w:val="00E325D7"/>
    <w:rsid w:val="00E35F0B"/>
    <w:rsid w:val="00E40789"/>
    <w:rsid w:val="00E40B22"/>
    <w:rsid w:val="00E4774D"/>
    <w:rsid w:val="00E51DD7"/>
    <w:rsid w:val="00E54035"/>
    <w:rsid w:val="00E54252"/>
    <w:rsid w:val="00E54A86"/>
    <w:rsid w:val="00E60BC2"/>
    <w:rsid w:val="00E61440"/>
    <w:rsid w:val="00E6459E"/>
    <w:rsid w:val="00E66E19"/>
    <w:rsid w:val="00E67A13"/>
    <w:rsid w:val="00E70F59"/>
    <w:rsid w:val="00E72A05"/>
    <w:rsid w:val="00E769AD"/>
    <w:rsid w:val="00E7703A"/>
    <w:rsid w:val="00E810DA"/>
    <w:rsid w:val="00E8382C"/>
    <w:rsid w:val="00E93D26"/>
    <w:rsid w:val="00E955FF"/>
    <w:rsid w:val="00EB16AD"/>
    <w:rsid w:val="00EB266B"/>
    <w:rsid w:val="00EB392E"/>
    <w:rsid w:val="00EB408C"/>
    <w:rsid w:val="00EB4356"/>
    <w:rsid w:val="00EB6D6D"/>
    <w:rsid w:val="00EC0853"/>
    <w:rsid w:val="00EC1216"/>
    <w:rsid w:val="00EC15BD"/>
    <w:rsid w:val="00EC176B"/>
    <w:rsid w:val="00ED0002"/>
    <w:rsid w:val="00ED0A9C"/>
    <w:rsid w:val="00ED23AE"/>
    <w:rsid w:val="00ED2EDA"/>
    <w:rsid w:val="00ED3AEF"/>
    <w:rsid w:val="00ED4038"/>
    <w:rsid w:val="00ED4850"/>
    <w:rsid w:val="00ED586F"/>
    <w:rsid w:val="00ED7C2E"/>
    <w:rsid w:val="00ED7CA8"/>
    <w:rsid w:val="00EE469C"/>
    <w:rsid w:val="00EE5A2D"/>
    <w:rsid w:val="00EE6B0C"/>
    <w:rsid w:val="00EE6DF9"/>
    <w:rsid w:val="00EF0848"/>
    <w:rsid w:val="00EF3321"/>
    <w:rsid w:val="00EF42D1"/>
    <w:rsid w:val="00EF6F3B"/>
    <w:rsid w:val="00EF7EBE"/>
    <w:rsid w:val="00F02B67"/>
    <w:rsid w:val="00F033B8"/>
    <w:rsid w:val="00F070BC"/>
    <w:rsid w:val="00F0783C"/>
    <w:rsid w:val="00F10125"/>
    <w:rsid w:val="00F10259"/>
    <w:rsid w:val="00F10272"/>
    <w:rsid w:val="00F115A1"/>
    <w:rsid w:val="00F158F2"/>
    <w:rsid w:val="00F1596A"/>
    <w:rsid w:val="00F239FC"/>
    <w:rsid w:val="00F250D5"/>
    <w:rsid w:val="00F2527D"/>
    <w:rsid w:val="00F309C7"/>
    <w:rsid w:val="00F3406B"/>
    <w:rsid w:val="00F40BD5"/>
    <w:rsid w:val="00F52819"/>
    <w:rsid w:val="00F5341A"/>
    <w:rsid w:val="00F558C1"/>
    <w:rsid w:val="00F55A70"/>
    <w:rsid w:val="00F622D9"/>
    <w:rsid w:val="00F6707C"/>
    <w:rsid w:val="00F67678"/>
    <w:rsid w:val="00F733DD"/>
    <w:rsid w:val="00F763DF"/>
    <w:rsid w:val="00F76770"/>
    <w:rsid w:val="00F77B4C"/>
    <w:rsid w:val="00F80C70"/>
    <w:rsid w:val="00F81800"/>
    <w:rsid w:val="00F81F15"/>
    <w:rsid w:val="00F84BC1"/>
    <w:rsid w:val="00F851E4"/>
    <w:rsid w:val="00F91680"/>
    <w:rsid w:val="00F93B8F"/>
    <w:rsid w:val="00F94275"/>
    <w:rsid w:val="00FB693E"/>
    <w:rsid w:val="00FB7849"/>
    <w:rsid w:val="00FB7C2A"/>
    <w:rsid w:val="00FC0F2E"/>
    <w:rsid w:val="00FC4125"/>
    <w:rsid w:val="00FC5DC2"/>
    <w:rsid w:val="00FD0914"/>
    <w:rsid w:val="00FD6C2E"/>
    <w:rsid w:val="00FE1F79"/>
    <w:rsid w:val="00FE73DA"/>
    <w:rsid w:val="00FF0E6F"/>
    <w:rsid w:val="00FF34A7"/>
    <w:rsid w:val="00FF43DE"/>
    <w:rsid w:val="0ADD4EA5"/>
    <w:rsid w:val="0B2F60B0"/>
    <w:rsid w:val="0CDA028A"/>
    <w:rsid w:val="0D0B4ED5"/>
    <w:rsid w:val="0DA863F4"/>
    <w:rsid w:val="0F590936"/>
    <w:rsid w:val="0FBA7C8E"/>
    <w:rsid w:val="10250B46"/>
    <w:rsid w:val="117E36A0"/>
    <w:rsid w:val="1199708A"/>
    <w:rsid w:val="166300EA"/>
    <w:rsid w:val="16EF5585"/>
    <w:rsid w:val="1987419A"/>
    <w:rsid w:val="1A612126"/>
    <w:rsid w:val="1A635119"/>
    <w:rsid w:val="1A6E1BF8"/>
    <w:rsid w:val="1AEA2B52"/>
    <w:rsid w:val="1C755C9C"/>
    <w:rsid w:val="1E33132E"/>
    <w:rsid w:val="1EAE68BC"/>
    <w:rsid w:val="20832045"/>
    <w:rsid w:val="22001566"/>
    <w:rsid w:val="24A87D56"/>
    <w:rsid w:val="278021FC"/>
    <w:rsid w:val="28566108"/>
    <w:rsid w:val="2BB60B25"/>
    <w:rsid w:val="2C335B5A"/>
    <w:rsid w:val="2D3A787B"/>
    <w:rsid w:val="2EEB409A"/>
    <w:rsid w:val="313D6AF3"/>
    <w:rsid w:val="31DB2F8A"/>
    <w:rsid w:val="32FC18D5"/>
    <w:rsid w:val="33947221"/>
    <w:rsid w:val="34610F81"/>
    <w:rsid w:val="36794FEB"/>
    <w:rsid w:val="368C58EB"/>
    <w:rsid w:val="37060F75"/>
    <w:rsid w:val="37950BC2"/>
    <w:rsid w:val="382B5D8D"/>
    <w:rsid w:val="386F3073"/>
    <w:rsid w:val="3A00415D"/>
    <w:rsid w:val="3A842F21"/>
    <w:rsid w:val="3A926546"/>
    <w:rsid w:val="3C240004"/>
    <w:rsid w:val="3C520D72"/>
    <w:rsid w:val="3D6038D6"/>
    <w:rsid w:val="3D737DCC"/>
    <w:rsid w:val="3FE938C8"/>
    <w:rsid w:val="411C08A9"/>
    <w:rsid w:val="42127971"/>
    <w:rsid w:val="42774343"/>
    <w:rsid w:val="427D5872"/>
    <w:rsid w:val="47DB040A"/>
    <w:rsid w:val="487102A5"/>
    <w:rsid w:val="49BB6EDC"/>
    <w:rsid w:val="4A47671F"/>
    <w:rsid w:val="4AC6331D"/>
    <w:rsid w:val="4C51541F"/>
    <w:rsid w:val="512F0A7E"/>
    <w:rsid w:val="51445967"/>
    <w:rsid w:val="52911BE2"/>
    <w:rsid w:val="530F0743"/>
    <w:rsid w:val="53CE63A3"/>
    <w:rsid w:val="54232CB6"/>
    <w:rsid w:val="54875E8A"/>
    <w:rsid w:val="55B812C9"/>
    <w:rsid w:val="55D5070E"/>
    <w:rsid w:val="56866B82"/>
    <w:rsid w:val="592B22B8"/>
    <w:rsid w:val="5AB41451"/>
    <w:rsid w:val="5BFE5599"/>
    <w:rsid w:val="5DCC6C03"/>
    <w:rsid w:val="613C0985"/>
    <w:rsid w:val="63CD0601"/>
    <w:rsid w:val="64850FB0"/>
    <w:rsid w:val="66761BF8"/>
    <w:rsid w:val="687253AE"/>
    <w:rsid w:val="68A0265A"/>
    <w:rsid w:val="690C11B1"/>
    <w:rsid w:val="6AF43192"/>
    <w:rsid w:val="6D793547"/>
    <w:rsid w:val="6E0A3F74"/>
    <w:rsid w:val="70357A26"/>
    <w:rsid w:val="71D3723A"/>
    <w:rsid w:val="723601A0"/>
    <w:rsid w:val="74461538"/>
    <w:rsid w:val="76C92BA3"/>
    <w:rsid w:val="77EF41B5"/>
    <w:rsid w:val="7905444F"/>
    <w:rsid w:val="7A6B28DF"/>
    <w:rsid w:val="7B8D50BE"/>
    <w:rsid w:val="7E762AD5"/>
    <w:rsid w:val="7FAE5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qFormat="1" w:uiPriority="39" w:semiHidden="0" w:name="toc 7"/>
    <w:lsdException w:uiPriority="39" w:name="toc 8"/>
    <w:lsdException w:qFormat="1" w:unhideWhenUsed="0" w:uiPriority="99" w:semiHidden="0" w:name="toc 9"/>
    <w:lsdException w:qFormat="1" w:unhideWhenUsed="0" w:uiPriority="99"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uiPriority="99"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46"/>
    <w:qFormat/>
    <w:uiPriority w:val="0"/>
    <w:pPr>
      <w:keepNext/>
      <w:keepLines/>
      <w:numPr>
        <w:ilvl w:val="0"/>
        <w:numId w:val="1"/>
      </w:numPr>
      <w:adjustRightInd w:val="0"/>
      <w:spacing w:before="120" w:line="360" w:lineRule="auto"/>
      <w:textAlignment w:val="baseline"/>
      <w:outlineLvl w:val="0"/>
    </w:pPr>
    <w:rPr>
      <w:rFonts w:eastAsia="黑体"/>
      <w:b/>
      <w:kern w:val="44"/>
    </w:rPr>
  </w:style>
  <w:style w:type="paragraph" w:styleId="4">
    <w:name w:val="heading 2"/>
    <w:basedOn w:val="1"/>
    <w:next w:val="1"/>
    <w:link w:val="47"/>
    <w:qFormat/>
    <w:uiPriority w:val="9"/>
    <w:pPr>
      <w:keepNext/>
      <w:numPr>
        <w:ilvl w:val="1"/>
        <w:numId w:val="1"/>
      </w:numPr>
      <w:tabs>
        <w:tab w:val="left" w:pos="360"/>
      </w:tabs>
      <w:adjustRightInd w:val="0"/>
      <w:spacing w:before="120" w:line="360" w:lineRule="auto"/>
      <w:textAlignment w:val="baseline"/>
      <w:outlineLvl w:val="1"/>
    </w:pPr>
    <w:rPr>
      <w:rFonts w:eastAsia="黑体"/>
      <w:b/>
      <w:kern w:val="0"/>
    </w:rPr>
  </w:style>
  <w:style w:type="paragraph" w:styleId="5">
    <w:name w:val="heading 3"/>
    <w:basedOn w:val="1"/>
    <w:next w:val="1"/>
    <w:link w:val="48"/>
    <w:qFormat/>
    <w:uiPriority w:val="9"/>
    <w:pPr>
      <w:numPr>
        <w:ilvl w:val="2"/>
        <w:numId w:val="1"/>
      </w:numPr>
      <w:tabs>
        <w:tab w:val="left" w:pos="360"/>
        <w:tab w:val="left" w:pos="900"/>
      </w:tabs>
      <w:adjustRightInd w:val="0"/>
      <w:spacing w:before="120" w:line="360" w:lineRule="auto"/>
      <w:textAlignment w:val="baseline"/>
      <w:outlineLvl w:val="2"/>
    </w:pPr>
    <w:rPr>
      <w:rFonts w:eastAsia="黑体"/>
      <w:b/>
      <w:kern w:val="0"/>
    </w:rPr>
  </w:style>
  <w:style w:type="paragraph" w:styleId="6">
    <w:name w:val="heading 4"/>
    <w:basedOn w:val="1"/>
    <w:next w:val="1"/>
    <w:link w:val="43"/>
    <w:qFormat/>
    <w:uiPriority w:val="0"/>
    <w:pPr>
      <w:numPr>
        <w:ilvl w:val="3"/>
        <w:numId w:val="1"/>
      </w:numPr>
      <w:adjustRightInd w:val="0"/>
      <w:spacing w:before="120" w:line="360" w:lineRule="auto"/>
      <w:textAlignment w:val="baseline"/>
      <w:outlineLvl w:val="3"/>
    </w:pPr>
    <w:rPr>
      <w:rFonts w:ascii="Arial" w:hAnsi="Arial" w:eastAsia="黑体"/>
      <w:kern w:val="0"/>
    </w:rPr>
  </w:style>
  <w:style w:type="paragraph" w:styleId="7">
    <w:name w:val="heading 5"/>
    <w:basedOn w:val="1"/>
    <w:next w:val="1"/>
    <w:link w:val="49"/>
    <w:qFormat/>
    <w:uiPriority w:val="0"/>
    <w:pPr>
      <w:keepNext/>
      <w:keepLines/>
      <w:numPr>
        <w:ilvl w:val="4"/>
        <w:numId w:val="2"/>
      </w:numPr>
      <w:adjustRightInd w:val="0"/>
      <w:spacing w:before="280" w:after="290" w:line="376" w:lineRule="atLeast"/>
      <w:textAlignment w:val="baseline"/>
      <w:outlineLvl w:val="4"/>
    </w:pPr>
    <w:rPr>
      <w:b/>
      <w:kern w:val="0"/>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customStyle="1" w:styleId="2">
    <w:name w:val="Heading2"/>
    <w:basedOn w:val="1"/>
    <w:next w:val="1"/>
    <w:qFormat/>
    <w:uiPriority w:val="0"/>
    <w:pPr>
      <w:keepNext/>
      <w:keepLines/>
      <w:spacing w:before="260" w:after="260" w:line="412" w:lineRule="auto"/>
    </w:pPr>
    <w:rPr>
      <w:rFonts w:ascii="Arial" w:hAnsi="Arial" w:eastAsia="黑体"/>
      <w:b/>
      <w:bCs/>
      <w:sz w:val="21"/>
      <w:szCs w:val="32"/>
    </w:rPr>
  </w:style>
  <w:style w:type="paragraph" w:styleId="8">
    <w:name w:val="toc 7"/>
    <w:basedOn w:val="1"/>
    <w:next w:val="1"/>
    <w:unhideWhenUsed/>
    <w:qFormat/>
    <w:uiPriority w:val="39"/>
    <w:pPr>
      <w:ind w:left="2520" w:leftChars="1200"/>
    </w:pPr>
  </w:style>
  <w:style w:type="paragraph" w:styleId="9">
    <w:name w:val="Normal Indent"/>
    <w:basedOn w:val="1"/>
    <w:next w:val="1"/>
    <w:link w:val="45"/>
    <w:qFormat/>
    <w:uiPriority w:val="99"/>
    <w:pPr>
      <w:widowControl/>
      <w:spacing w:line="360" w:lineRule="auto"/>
      <w:ind w:firstLine="480" w:firstLineChars="200"/>
      <w:jc w:val="left"/>
    </w:pPr>
    <w:rPr>
      <w:rFonts w:ascii="宋体" w:hAnsi="宋体"/>
      <w:sz w:val="24"/>
    </w:rPr>
  </w:style>
  <w:style w:type="paragraph" w:styleId="10">
    <w:name w:val="caption"/>
    <w:basedOn w:val="1"/>
    <w:next w:val="1"/>
    <w:link w:val="50"/>
    <w:qFormat/>
    <w:uiPriority w:val="0"/>
    <w:pPr>
      <w:spacing w:line="300" w:lineRule="auto"/>
    </w:pPr>
    <w:rPr>
      <w:rFonts w:ascii="Cambria" w:hAnsi="Cambria" w:eastAsia="黑体"/>
      <w:sz w:val="21"/>
      <w:szCs w:val="22"/>
      <w:lang w:val="zh-CN"/>
    </w:rPr>
  </w:style>
  <w:style w:type="paragraph" w:styleId="11">
    <w:name w:val="Document Map"/>
    <w:basedOn w:val="1"/>
    <w:link w:val="51"/>
    <w:qFormat/>
    <w:uiPriority w:val="99"/>
    <w:pPr>
      <w:shd w:val="clear" w:color="auto" w:fill="000080"/>
    </w:pPr>
  </w:style>
  <w:style w:type="paragraph" w:styleId="12">
    <w:name w:val="annotation text"/>
    <w:basedOn w:val="1"/>
    <w:link w:val="53"/>
    <w:qFormat/>
    <w:uiPriority w:val="99"/>
    <w:pPr>
      <w:jc w:val="left"/>
    </w:pPr>
  </w:style>
  <w:style w:type="paragraph" w:styleId="13">
    <w:name w:val="Body Text 3"/>
    <w:basedOn w:val="1"/>
    <w:link w:val="55"/>
    <w:qFormat/>
    <w:uiPriority w:val="99"/>
    <w:pPr>
      <w:spacing w:after="120"/>
    </w:pPr>
    <w:rPr>
      <w:sz w:val="16"/>
      <w:szCs w:val="16"/>
    </w:rPr>
  </w:style>
  <w:style w:type="paragraph" w:styleId="14">
    <w:name w:val="Body Text"/>
    <w:basedOn w:val="1"/>
    <w:link w:val="57"/>
    <w:qFormat/>
    <w:uiPriority w:val="99"/>
    <w:pPr>
      <w:spacing w:after="120"/>
    </w:pPr>
  </w:style>
  <w:style w:type="paragraph" w:styleId="15">
    <w:name w:val="Body Text Indent"/>
    <w:basedOn w:val="1"/>
    <w:link w:val="58"/>
    <w:qFormat/>
    <w:uiPriority w:val="99"/>
    <w:pPr>
      <w:spacing w:after="120"/>
      <w:ind w:left="420" w:leftChars="200"/>
    </w:pPr>
  </w:style>
  <w:style w:type="paragraph" w:styleId="16">
    <w:name w:val="Plain Text"/>
    <w:basedOn w:val="1"/>
    <w:link w:val="60"/>
    <w:qFormat/>
    <w:uiPriority w:val="0"/>
    <w:rPr>
      <w:rFonts w:ascii="宋体"/>
    </w:rPr>
  </w:style>
  <w:style w:type="paragraph" w:styleId="17">
    <w:name w:val="Date"/>
    <w:basedOn w:val="1"/>
    <w:next w:val="1"/>
    <w:link w:val="62"/>
    <w:qFormat/>
    <w:uiPriority w:val="99"/>
    <w:pPr>
      <w:ind w:left="100" w:leftChars="2500"/>
    </w:pPr>
  </w:style>
  <w:style w:type="paragraph" w:styleId="18">
    <w:name w:val="Body Text Indent 2"/>
    <w:basedOn w:val="1"/>
    <w:link w:val="64"/>
    <w:qFormat/>
    <w:uiPriority w:val="99"/>
    <w:pPr>
      <w:spacing w:after="120" w:line="480" w:lineRule="auto"/>
      <w:ind w:left="200" w:leftChars="200"/>
    </w:pPr>
  </w:style>
  <w:style w:type="paragraph" w:styleId="19">
    <w:name w:val="Balloon Text"/>
    <w:basedOn w:val="1"/>
    <w:link w:val="65"/>
    <w:qFormat/>
    <w:uiPriority w:val="99"/>
    <w:rPr>
      <w:sz w:val="18"/>
      <w:szCs w:val="18"/>
    </w:rPr>
  </w:style>
  <w:style w:type="paragraph" w:styleId="20">
    <w:name w:val="footer"/>
    <w:basedOn w:val="1"/>
    <w:link w:val="67"/>
    <w:qFormat/>
    <w:uiPriority w:val="0"/>
    <w:pPr>
      <w:tabs>
        <w:tab w:val="center" w:pos="4153"/>
        <w:tab w:val="right" w:pos="8306"/>
      </w:tabs>
      <w:snapToGrid w:val="0"/>
      <w:jc w:val="left"/>
    </w:pPr>
    <w:rPr>
      <w:rFonts w:ascii="宋体"/>
      <w:sz w:val="18"/>
    </w:rPr>
  </w:style>
  <w:style w:type="paragraph" w:styleId="21">
    <w:name w:val="header"/>
    <w:basedOn w:val="1"/>
    <w:link w:val="69"/>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tabs>
        <w:tab w:val="right" w:leader="dot" w:pos="9628"/>
      </w:tabs>
      <w:spacing w:before="120" w:after="120"/>
      <w:ind w:firstLine="74" w:firstLineChars="74"/>
      <w:jc w:val="left"/>
    </w:pPr>
    <w:rPr>
      <w:b/>
      <w:bCs/>
      <w:caps/>
      <w:sz w:val="20"/>
    </w:rPr>
  </w:style>
  <w:style w:type="paragraph" w:styleId="23">
    <w:name w:val="Body Text Indent 3"/>
    <w:basedOn w:val="1"/>
    <w:link w:val="70"/>
    <w:unhideWhenUsed/>
    <w:qFormat/>
    <w:uiPriority w:val="99"/>
    <w:pPr>
      <w:spacing w:line="360" w:lineRule="auto"/>
      <w:ind w:firstLine="192" w:firstLineChars="192"/>
    </w:pPr>
    <w:rPr>
      <w:rFonts w:ascii="仿宋_GB2312" w:eastAsia="仿宋_GB2312"/>
      <w:color w:val="3366FF"/>
      <w:kern w:val="0"/>
      <w:sz w:val="24"/>
      <w:szCs w:val="24"/>
      <w:lang w:val="zh-CN"/>
    </w:rPr>
  </w:style>
  <w:style w:type="paragraph" w:styleId="24">
    <w:name w:val="toc 2"/>
    <w:basedOn w:val="1"/>
    <w:next w:val="1"/>
    <w:qFormat/>
    <w:uiPriority w:val="39"/>
    <w:pPr>
      <w:tabs>
        <w:tab w:val="right" w:leader="dot" w:pos="9628"/>
      </w:tabs>
      <w:spacing w:line="400" w:lineRule="exact"/>
      <w:ind w:left="210"/>
      <w:jc w:val="left"/>
    </w:pPr>
    <w:rPr>
      <w:smallCaps/>
      <w:sz w:val="20"/>
    </w:rPr>
  </w:style>
  <w:style w:type="paragraph" w:styleId="25">
    <w:name w:val="toc 9"/>
    <w:basedOn w:val="1"/>
    <w:next w:val="1"/>
    <w:qFormat/>
    <w:uiPriority w:val="99"/>
    <w:pPr>
      <w:ind w:left="1680"/>
      <w:jc w:val="left"/>
    </w:pPr>
    <w:rPr>
      <w:sz w:val="18"/>
      <w:szCs w:val="18"/>
    </w:rPr>
  </w:style>
  <w:style w:type="paragraph" w:styleId="26">
    <w:name w:val="Body Text 2"/>
    <w:basedOn w:val="1"/>
    <w:link w:val="72"/>
    <w:qFormat/>
    <w:uiPriority w:val="99"/>
    <w:pPr>
      <w:spacing w:after="120" w:line="480" w:lineRule="auto"/>
    </w:pPr>
  </w:style>
  <w:style w:type="paragraph" w:styleId="27">
    <w:name w:val="Normal (Web)"/>
    <w:basedOn w:val="1"/>
    <w:qFormat/>
    <w:uiPriority w:val="0"/>
    <w:pPr>
      <w:widowControl/>
      <w:spacing w:before="100" w:beforeAutospacing="1" w:after="100" w:afterAutospacing="1"/>
      <w:jc w:val="left"/>
    </w:pPr>
    <w:rPr>
      <w:rFonts w:ascii="宋体" w:hAnsi="宋体"/>
      <w:kern w:val="0"/>
      <w:sz w:val="24"/>
    </w:rPr>
  </w:style>
  <w:style w:type="paragraph" w:styleId="28">
    <w:name w:val="Title"/>
    <w:basedOn w:val="1"/>
    <w:next w:val="1"/>
    <w:link w:val="74"/>
    <w:qFormat/>
    <w:uiPriority w:val="0"/>
    <w:pPr>
      <w:spacing w:before="240" w:after="60"/>
      <w:jc w:val="center"/>
      <w:outlineLvl w:val="0"/>
    </w:pPr>
    <w:rPr>
      <w:rFonts w:ascii="Cambria" w:hAnsi="Cambria"/>
      <w:b/>
      <w:bCs/>
      <w:sz w:val="32"/>
      <w:szCs w:val="32"/>
    </w:rPr>
  </w:style>
  <w:style w:type="paragraph" w:styleId="29">
    <w:name w:val="annotation subject"/>
    <w:basedOn w:val="12"/>
    <w:next w:val="12"/>
    <w:link w:val="76"/>
    <w:qFormat/>
    <w:uiPriority w:val="99"/>
    <w:rPr>
      <w:b/>
      <w:bCs/>
    </w:rPr>
  </w:style>
  <w:style w:type="paragraph" w:styleId="30">
    <w:name w:val="Body Text First Indent"/>
    <w:basedOn w:val="14"/>
    <w:link w:val="77"/>
    <w:unhideWhenUsed/>
    <w:qFormat/>
    <w:uiPriority w:val="99"/>
    <w:pPr>
      <w:tabs>
        <w:tab w:val="center" w:pos="2185"/>
      </w:tabs>
      <w:spacing w:beforeLines="50" w:after="0" w:line="300" w:lineRule="auto"/>
      <w:ind w:firstLine="200" w:firstLineChars="200"/>
    </w:pPr>
    <w:rPr>
      <w:rFonts w:ascii="楷体_GB2312" w:eastAsia="楷体_GB2312"/>
      <w:spacing w:val="4"/>
      <w:kern w:val="0"/>
      <w:sz w:val="20"/>
      <w:szCs w:val="24"/>
      <w:lang w:val="zh-CN"/>
    </w:rPr>
  </w:style>
  <w:style w:type="table" w:styleId="32">
    <w:name w:val="Table Grid"/>
    <w:basedOn w:val="31"/>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qFormat/>
    <w:uiPriority w:val="0"/>
    <w:rPr>
      <w:rFonts w:ascii="Times New Roman" w:hAnsi="Times New Roman" w:eastAsia="宋体" w:cs="Times New Roman"/>
      <w:b/>
      <w:bCs/>
    </w:rPr>
  </w:style>
  <w:style w:type="character" w:styleId="35">
    <w:name w:val="page number"/>
    <w:qFormat/>
    <w:uiPriority w:val="0"/>
    <w:rPr>
      <w:rFonts w:ascii="Times New Roman" w:hAnsi="Times New Roman" w:eastAsia="宋体" w:cs="Times New Roman"/>
    </w:rPr>
  </w:style>
  <w:style w:type="character" w:styleId="36">
    <w:name w:val="FollowedHyperlink"/>
    <w:qFormat/>
    <w:uiPriority w:val="99"/>
    <w:rPr>
      <w:rFonts w:ascii="Times New Roman" w:hAnsi="Times New Roman" w:eastAsia="宋体" w:cs="Times New Roman"/>
      <w:color w:val="954F72"/>
      <w:u w:val="single"/>
    </w:rPr>
  </w:style>
  <w:style w:type="character" w:styleId="37">
    <w:name w:val="Emphasis"/>
    <w:qFormat/>
    <w:uiPriority w:val="20"/>
    <w:rPr>
      <w:i/>
    </w:rPr>
  </w:style>
  <w:style w:type="character" w:styleId="38">
    <w:name w:val="Hyperlink"/>
    <w:qFormat/>
    <w:uiPriority w:val="99"/>
    <w:rPr>
      <w:rFonts w:ascii="Times New Roman" w:hAnsi="Times New Roman" w:eastAsia="宋体" w:cs="Times New Roman"/>
      <w:color w:val="0000FF"/>
      <w:u w:val="single"/>
    </w:rPr>
  </w:style>
  <w:style w:type="character" w:styleId="39">
    <w:name w:val="annotation reference"/>
    <w:qFormat/>
    <w:uiPriority w:val="99"/>
    <w:rPr>
      <w:rFonts w:ascii="Times New Roman" w:hAnsi="Times New Roman" w:eastAsia="宋体" w:cs="Times New Roman"/>
      <w:sz w:val="21"/>
      <w:szCs w:val="21"/>
    </w:rPr>
  </w:style>
  <w:style w:type="character" w:customStyle="1" w:styleId="40">
    <w:name w:val="标题 1 Char"/>
    <w:basedOn w:val="33"/>
    <w:qFormat/>
    <w:uiPriority w:val="0"/>
    <w:rPr>
      <w:rFonts w:ascii="Times New Roman" w:hAnsi="Times New Roman" w:eastAsia="宋体" w:cs="Times New Roman"/>
      <w:b/>
      <w:bCs/>
      <w:kern w:val="44"/>
      <w:sz w:val="44"/>
      <w:szCs w:val="44"/>
    </w:rPr>
  </w:style>
  <w:style w:type="character" w:customStyle="1" w:styleId="41">
    <w:name w:val="标题 2 Char"/>
    <w:basedOn w:val="33"/>
    <w:semiHidden/>
    <w:qFormat/>
    <w:uiPriority w:val="9"/>
    <w:rPr>
      <w:rFonts w:asciiTheme="majorHAnsi" w:hAnsiTheme="majorHAnsi" w:eastAsiaTheme="majorEastAsia" w:cstheme="majorBidi"/>
      <w:b/>
      <w:bCs/>
      <w:sz w:val="32"/>
      <w:szCs w:val="32"/>
    </w:rPr>
  </w:style>
  <w:style w:type="character" w:customStyle="1" w:styleId="42">
    <w:name w:val="标题 3 Char"/>
    <w:basedOn w:val="33"/>
    <w:qFormat/>
    <w:uiPriority w:val="0"/>
    <w:rPr>
      <w:rFonts w:ascii="Times New Roman" w:hAnsi="Times New Roman" w:eastAsia="宋体" w:cs="Times New Roman"/>
      <w:b/>
      <w:bCs/>
      <w:sz w:val="32"/>
      <w:szCs w:val="32"/>
    </w:rPr>
  </w:style>
  <w:style w:type="character" w:customStyle="1" w:styleId="43">
    <w:name w:val="标题 4 字符1"/>
    <w:basedOn w:val="33"/>
    <w:link w:val="6"/>
    <w:qFormat/>
    <w:uiPriority w:val="0"/>
    <w:rPr>
      <w:rFonts w:ascii="Arial" w:hAnsi="Arial" w:eastAsia="黑体" w:cs="Times New Roman"/>
      <w:kern w:val="0"/>
      <w:sz w:val="28"/>
      <w:szCs w:val="20"/>
    </w:rPr>
  </w:style>
  <w:style w:type="character" w:customStyle="1" w:styleId="44">
    <w:name w:val="标题 5 Char"/>
    <w:basedOn w:val="33"/>
    <w:semiHidden/>
    <w:qFormat/>
    <w:uiPriority w:val="0"/>
    <w:rPr>
      <w:rFonts w:ascii="Times New Roman" w:hAnsi="Times New Roman" w:eastAsia="宋体" w:cs="Times New Roman"/>
      <w:b/>
      <w:bCs/>
      <w:sz w:val="28"/>
      <w:szCs w:val="28"/>
    </w:rPr>
  </w:style>
  <w:style w:type="character" w:customStyle="1" w:styleId="45">
    <w:name w:val="正文缩进 字符1"/>
    <w:link w:val="9"/>
    <w:qFormat/>
    <w:uiPriority w:val="99"/>
    <w:rPr>
      <w:rFonts w:ascii="宋体" w:hAnsi="宋体" w:eastAsia="宋体" w:cs="Times New Roman"/>
      <w:kern w:val="2"/>
      <w:sz w:val="24"/>
    </w:rPr>
  </w:style>
  <w:style w:type="character" w:customStyle="1" w:styleId="46">
    <w:name w:val="标题 1 字符"/>
    <w:link w:val="3"/>
    <w:qFormat/>
    <w:uiPriority w:val="0"/>
    <w:rPr>
      <w:rFonts w:ascii="Times New Roman" w:hAnsi="Times New Roman" w:eastAsia="黑体" w:cs="Times New Roman"/>
      <w:b/>
      <w:kern w:val="44"/>
      <w:sz w:val="28"/>
      <w:szCs w:val="20"/>
    </w:rPr>
  </w:style>
  <w:style w:type="character" w:customStyle="1" w:styleId="47">
    <w:name w:val="标题 2 字符"/>
    <w:link w:val="4"/>
    <w:qFormat/>
    <w:uiPriority w:val="9"/>
    <w:rPr>
      <w:rFonts w:ascii="Times New Roman" w:hAnsi="Times New Roman" w:eastAsia="黑体" w:cs="Times New Roman"/>
      <w:b/>
      <w:sz w:val="28"/>
    </w:rPr>
  </w:style>
  <w:style w:type="character" w:customStyle="1" w:styleId="48">
    <w:name w:val="标题 3 字符"/>
    <w:link w:val="5"/>
    <w:qFormat/>
    <w:uiPriority w:val="9"/>
    <w:rPr>
      <w:rFonts w:ascii="Times New Roman" w:hAnsi="Times New Roman" w:eastAsia="黑体" w:cs="Times New Roman"/>
      <w:b/>
      <w:sz w:val="28"/>
    </w:rPr>
  </w:style>
  <w:style w:type="character" w:customStyle="1" w:styleId="49">
    <w:name w:val="标题 5 字符"/>
    <w:link w:val="7"/>
    <w:qFormat/>
    <w:uiPriority w:val="0"/>
    <w:rPr>
      <w:rFonts w:ascii="Times New Roman" w:hAnsi="Times New Roman" w:eastAsia="宋体" w:cs="Times New Roman"/>
      <w:b/>
      <w:kern w:val="0"/>
      <w:sz w:val="28"/>
      <w:szCs w:val="20"/>
    </w:rPr>
  </w:style>
  <w:style w:type="character" w:customStyle="1" w:styleId="50">
    <w:name w:val="题注 字符"/>
    <w:link w:val="10"/>
    <w:qFormat/>
    <w:locked/>
    <w:uiPriority w:val="0"/>
    <w:rPr>
      <w:rFonts w:ascii="Cambria" w:hAnsi="Cambria" w:eastAsia="黑体" w:cs="Times New Roman"/>
      <w:lang w:val="zh-CN"/>
    </w:rPr>
  </w:style>
  <w:style w:type="character" w:customStyle="1" w:styleId="51">
    <w:name w:val="文档结构图 字符"/>
    <w:basedOn w:val="33"/>
    <w:link w:val="11"/>
    <w:qFormat/>
    <w:uiPriority w:val="99"/>
    <w:rPr>
      <w:rFonts w:ascii="Times New Roman" w:hAnsi="Times New Roman" w:eastAsia="宋体" w:cs="Times New Roman"/>
      <w:sz w:val="28"/>
      <w:szCs w:val="20"/>
      <w:shd w:val="clear" w:color="auto" w:fill="000080"/>
    </w:rPr>
  </w:style>
  <w:style w:type="character" w:customStyle="1" w:styleId="52">
    <w:name w:val="批注文字 Char"/>
    <w:basedOn w:val="33"/>
    <w:qFormat/>
    <w:uiPriority w:val="99"/>
    <w:rPr>
      <w:rFonts w:ascii="Times New Roman" w:hAnsi="Times New Roman" w:eastAsia="宋体" w:cs="Times New Roman"/>
      <w:sz w:val="28"/>
      <w:szCs w:val="20"/>
    </w:rPr>
  </w:style>
  <w:style w:type="character" w:customStyle="1" w:styleId="53">
    <w:name w:val="批注文字 字符1"/>
    <w:link w:val="12"/>
    <w:qFormat/>
    <w:uiPriority w:val="99"/>
    <w:rPr>
      <w:rFonts w:ascii="Times New Roman" w:hAnsi="Times New Roman" w:eastAsia="宋体" w:cs="Times New Roman"/>
      <w:sz w:val="28"/>
      <w:szCs w:val="20"/>
    </w:rPr>
  </w:style>
  <w:style w:type="character" w:customStyle="1" w:styleId="54">
    <w:name w:val="正文文本 3 Char"/>
    <w:basedOn w:val="33"/>
    <w:semiHidden/>
    <w:qFormat/>
    <w:uiPriority w:val="99"/>
    <w:rPr>
      <w:rFonts w:ascii="Times New Roman" w:hAnsi="Times New Roman" w:eastAsia="宋体" w:cs="Times New Roman"/>
      <w:sz w:val="16"/>
      <w:szCs w:val="16"/>
    </w:rPr>
  </w:style>
  <w:style w:type="character" w:customStyle="1" w:styleId="55">
    <w:name w:val="正文文本 3 字符"/>
    <w:link w:val="13"/>
    <w:qFormat/>
    <w:uiPriority w:val="99"/>
    <w:rPr>
      <w:rFonts w:ascii="Times New Roman" w:hAnsi="Times New Roman" w:eastAsia="宋体" w:cs="Times New Roman"/>
      <w:sz w:val="16"/>
      <w:szCs w:val="16"/>
    </w:rPr>
  </w:style>
  <w:style w:type="character" w:customStyle="1" w:styleId="56">
    <w:name w:val="正文文本 Char"/>
    <w:basedOn w:val="33"/>
    <w:semiHidden/>
    <w:qFormat/>
    <w:uiPriority w:val="99"/>
    <w:rPr>
      <w:rFonts w:ascii="Times New Roman" w:hAnsi="Times New Roman" w:eastAsia="宋体" w:cs="Times New Roman"/>
      <w:sz w:val="28"/>
      <w:szCs w:val="20"/>
    </w:rPr>
  </w:style>
  <w:style w:type="character" w:customStyle="1" w:styleId="57">
    <w:name w:val="正文文本 字符"/>
    <w:link w:val="14"/>
    <w:qFormat/>
    <w:uiPriority w:val="99"/>
    <w:rPr>
      <w:rFonts w:ascii="Times New Roman" w:hAnsi="Times New Roman" w:eastAsia="宋体" w:cs="Times New Roman"/>
      <w:sz w:val="28"/>
      <w:szCs w:val="20"/>
    </w:rPr>
  </w:style>
  <w:style w:type="character" w:customStyle="1" w:styleId="58">
    <w:name w:val="正文文本缩进 字符"/>
    <w:basedOn w:val="33"/>
    <w:link w:val="15"/>
    <w:qFormat/>
    <w:uiPriority w:val="99"/>
    <w:rPr>
      <w:rFonts w:ascii="Times New Roman" w:hAnsi="Times New Roman" w:eastAsia="宋体" w:cs="Times New Roman"/>
      <w:sz w:val="28"/>
      <w:szCs w:val="20"/>
    </w:rPr>
  </w:style>
  <w:style w:type="character" w:customStyle="1" w:styleId="59">
    <w:name w:val="纯文本 Char"/>
    <w:basedOn w:val="33"/>
    <w:semiHidden/>
    <w:qFormat/>
    <w:uiPriority w:val="99"/>
    <w:rPr>
      <w:rFonts w:ascii="宋体" w:hAnsi="Courier New" w:eastAsia="宋体" w:cs="Courier New"/>
      <w:szCs w:val="21"/>
    </w:rPr>
  </w:style>
  <w:style w:type="character" w:customStyle="1" w:styleId="60">
    <w:name w:val="纯文本 字符3"/>
    <w:link w:val="16"/>
    <w:qFormat/>
    <w:uiPriority w:val="0"/>
    <w:rPr>
      <w:rFonts w:ascii="宋体" w:hAnsi="Times New Roman" w:eastAsia="宋体" w:cs="Times New Roman"/>
      <w:sz w:val="28"/>
      <w:szCs w:val="20"/>
    </w:rPr>
  </w:style>
  <w:style w:type="character" w:customStyle="1" w:styleId="61">
    <w:name w:val="日期 Char"/>
    <w:basedOn w:val="33"/>
    <w:semiHidden/>
    <w:qFormat/>
    <w:uiPriority w:val="99"/>
    <w:rPr>
      <w:rFonts w:ascii="Times New Roman" w:hAnsi="Times New Roman" w:eastAsia="宋体" w:cs="Times New Roman"/>
      <w:sz w:val="28"/>
      <w:szCs w:val="20"/>
    </w:rPr>
  </w:style>
  <w:style w:type="character" w:customStyle="1" w:styleId="62">
    <w:name w:val="日期 字符"/>
    <w:link w:val="17"/>
    <w:qFormat/>
    <w:uiPriority w:val="99"/>
    <w:rPr>
      <w:rFonts w:ascii="Times New Roman" w:hAnsi="Times New Roman" w:eastAsia="宋体" w:cs="Times New Roman"/>
      <w:sz w:val="28"/>
      <w:szCs w:val="20"/>
    </w:rPr>
  </w:style>
  <w:style w:type="character" w:customStyle="1" w:styleId="63">
    <w:name w:val="正文文本缩进 2 Char"/>
    <w:basedOn w:val="33"/>
    <w:semiHidden/>
    <w:qFormat/>
    <w:uiPriority w:val="99"/>
    <w:rPr>
      <w:rFonts w:ascii="Times New Roman" w:hAnsi="Times New Roman" w:eastAsia="宋体" w:cs="Times New Roman"/>
      <w:sz w:val="28"/>
      <w:szCs w:val="20"/>
    </w:rPr>
  </w:style>
  <w:style w:type="character" w:customStyle="1" w:styleId="64">
    <w:name w:val="正文文本缩进 2 字符"/>
    <w:link w:val="18"/>
    <w:qFormat/>
    <w:uiPriority w:val="99"/>
    <w:rPr>
      <w:rFonts w:ascii="Times New Roman" w:hAnsi="Times New Roman" w:eastAsia="宋体" w:cs="Times New Roman"/>
      <w:sz w:val="28"/>
      <w:szCs w:val="20"/>
    </w:rPr>
  </w:style>
  <w:style w:type="character" w:customStyle="1" w:styleId="65">
    <w:name w:val="批注框文本 字符"/>
    <w:basedOn w:val="33"/>
    <w:link w:val="19"/>
    <w:qFormat/>
    <w:uiPriority w:val="99"/>
    <w:rPr>
      <w:rFonts w:ascii="Times New Roman" w:hAnsi="Times New Roman" w:eastAsia="宋体" w:cs="Times New Roman"/>
      <w:sz w:val="18"/>
      <w:szCs w:val="18"/>
    </w:rPr>
  </w:style>
  <w:style w:type="character" w:customStyle="1" w:styleId="66">
    <w:name w:val="页脚 Char"/>
    <w:basedOn w:val="33"/>
    <w:qFormat/>
    <w:uiPriority w:val="0"/>
    <w:rPr>
      <w:rFonts w:ascii="Times New Roman" w:hAnsi="Times New Roman" w:eastAsia="宋体" w:cs="Times New Roman"/>
      <w:sz w:val="18"/>
      <w:szCs w:val="18"/>
    </w:rPr>
  </w:style>
  <w:style w:type="character" w:customStyle="1" w:styleId="67">
    <w:name w:val="页脚 字符1"/>
    <w:link w:val="20"/>
    <w:qFormat/>
    <w:uiPriority w:val="0"/>
    <w:rPr>
      <w:rFonts w:ascii="宋体" w:hAnsi="Times New Roman" w:eastAsia="宋体" w:cs="Times New Roman"/>
      <w:sz w:val="18"/>
      <w:szCs w:val="20"/>
    </w:rPr>
  </w:style>
  <w:style w:type="character" w:customStyle="1" w:styleId="68">
    <w:name w:val="页眉 Char"/>
    <w:basedOn w:val="33"/>
    <w:qFormat/>
    <w:uiPriority w:val="99"/>
    <w:rPr>
      <w:rFonts w:ascii="Times New Roman" w:hAnsi="Times New Roman" w:eastAsia="宋体" w:cs="Times New Roman"/>
      <w:sz w:val="18"/>
      <w:szCs w:val="18"/>
    </w:rPr>
  </w:style>
  <w:style w:type="character" w:customStyle="1" w:styleId="69">
    <w:name w:val="页眉 字符"/>
    <w:link w:val="21"/>
    <w:qFormat/>
    <w:uiPriority w:val="99"/>
    <w:rPr>
      <w:rFonts w:ascii="Times New Roman" w:hAnsi="Times New Roman" w:eastAsia="宋体" w:cs="Times New Roman"/>
      <w:sz w:val="18"/>
      <w:szCs w:val="18"/>
    </w:rPr>
  </w:style>
  <w:style w:type="character" w:customStyle="1" w:styleId="70">
    <w:name w:val="正文文本缩进 3 字符"/>
    <w:basedOn w:val="33"/>
    <w:link w:val="23"/>
    <w:qFormat/>
    <w:uiPriority w:val="99"/>
    <w:rPr>
      <w:rFonts w:ascii="仿宋_GB2312" w:hAnsi="Times New Roman" w:eastAsia="仿宋_GB2312" w:cs="Times New Roman"/>
      <w:color w:val="3366FF"/>
      <w:kern w:val="0"/>
      <w:sz w:val="24"/>
      <w:szCs w:val="24"/>
      <w:lang w:val="zh-CN"/>
    </w:rPr>
  </w:style>
  <w:style w:type="character" w:customStyle="1" w:styleId="71">
    <w:name w:val="正文文本 2 Char"/>
    <w:basedOn w:val="33"/>
    <w:semiHidden/>
    <w:qFormat/>
    <w:uiPriority w:val="99"/>
    <w:rPr>
      <w:rFonts w:ascii="Times New Roman" w:hAnsi="Times New Roman" w:eastAsia="宋体" w:cs="Times New Roman"/>
      <w:sz w:val="28"/>
      <w:szCs w:val="20"/>
    </w:rPr>
  </w:style>
  <w:style w:type="character" w:customStyle="1" w:styleId="72">
    <w:name w:val="正文文本 2 字符"/>
    <w:link w:val="26"/>
    <w:qFormat/>
    <w:uiPriority w:val="99"/>
    <w:rPr>
      <w:rFonts w:ascii="Times New Roman" w:hAnsi="Times New Roman" w:eastAsia="宋体" w:cs="Times New Roman"/>
      <w:sz w:val="28"/>
      <w:szCs w:val="20"/>
    </w:rPr>
  </w:style>
  <w:style w:type="character" w:customStyle="1" w:styleId="73">
    <w:name w:val="标题 Char"/>
    <w:basedOn w:val="33"/>
    <w:qFormat/>
    <w:uiPriority w:val="99"/>
    <w:rPr>
      <w:rFonts w:eastAsia="宋体" w:asciiTheme="majorHAnsi" w:hAnsiTheme="majorHAnsi" w:cstheme="majorBidi"/>
      <w:b/>
      <w:bCs/>
      <w:sz w:val="32"/>
      <w:szCs w:val="32"/>
    </w:rPr>
  </w:style>
  <w:style w:type="character" w:customStyle="1" w:styleId="74">
    <w:name w:val="标题 字符"/>
    <w:link w:val="28"/>
    <w:qFormat/>
    <w:uiPriority w:val="99"/>
    <w:rPr>
      <w:rFonts w:ascii="Cambria" w:hAnsi="Cambria" w:eastAsia="宋体" w:cs="Times New Roman"/>
      <w:b/>
      <w:bCs/>
      <w:sz w:val="32"/>
      <w:szCs w:val="32"/>
    </w:rPr>
  </w:style>
  <w:style w:type="character" w:customStyle="1" w:styleId="75">
    <w:name w:val="批注主题 Char"/>
    <w:basedOn w:val="52"/>
    <w:semiHidden/>
    <w:qFormat/>
    <w:uiPriority w:val="99"/>
    <w:rPr>
      <w:rFonts w:ascii="Times New Roman" w:hAnsi="Times New Roman" w:eastAsia="宋体" w:cs="Times New Roman"/>
      <w:b/>
      <w:bCs/>
      <w:sz w:val="28"/>
      <w:szCs w:val="20"/>
    </w:rPr>
  </w:style>
  <w:style w:type="character" w:customStyle="1" w:styleId="76">
    <w:name w:val="批注主题 字符"/>
    <w:link w:val="29"/>
    <w:qFormat/>
    <w:uiPriority w:val="99"/>
    <w:rPr>
      <w:rFonts w:ascii="Times New Roman" w:hAnsi="Times New Roman" w:eastAsia="宋体" w:cs="Times New Roman"/>
      <w:b/>
      <w:bCs/>
      <w:sz w:val="28"/>
      <w:szCs w:val="20"/>
    </w:rPr>
  </w:style>
  <w:style w:type="character" w:customStyle="1" w:styleId="77">
    <w:name w:val="正文首行缩进 字符"/>
    <w:basedOn w:val="56"/>
    <w:link w:val="30"/>
    <w:qFormat/>
    <w:uiPriority w:val="99"/>
    <w:rPr>
      <w:rFonts w:ascii="楷体_GB2312" w:hAnsi="Times New Roman" w:eastAsia="楷体_GB2312" w:cs="Times New Roman"/>
      <w:spacing w:val="4"/>
      <w:kern w:val="0"/>
      <w:sz w:val="20"/>
      <w:szCs w:val="24"/>
      <w:lang w:val="zh-CN"/>
    </w:rPr>
  </w:style>
  <w:style w:type="character" w:customStyle="1" w:styleId="78">
    <w:name w:val="纯文本 Char2"/>
    <w:qFormat/>
    <w:uiPriority w:val="0"/>
    <w:rPr>
      <w:rFonts w:ascii="宋体" w:hAnsi="Times New Roman" w:eastAsia="宋体" w:cs="Times New Roman"/>
      <w:kern w:val="2"/>
      <w:sz w:val="21"/>
      <w:lang w:val="en-US" w:eastAsia="zh-CN" w:bidi="ar-SA"/>
    </w:rPr>
  </w:style>
  <w:style w:type="character" w:customStyle="1" w:styleId="79">
    <w:name w:val="页脚 字符"/>
    <w:qFormat/>
    <w:uiPriority w:val="0"/>
    <w:rPr>
      <w:rFonts w:ascii="Times New Roman" w:hAnsi="Times New Roman" w:eastAsia="宋体" w:cs="Times New Roman"/>
      <w:kern w:val="2"/>
      <w:sz w:val="18"/>
      <w:szCs w:val="18"/>
    </w:rPr>
  </w:style>
  <w:style w:type="character" w:customStyle="1" w:styleId="80">
    <w:name w:val="grame"/>
    <w:qFormat/>
    <w:uiPriority w:val="0"/>
    <w:rPr>
      <w:rFonts w:ascii="Times New Roman" w:hAnsi="Times New Roman" w:eastAsia="宋体" w:cs="Times New Roman"/>
    </w:rPr>
  </w:style>
  <w:style w:type="character" w:customStyle="1" w:styleId="81">
    <w:name w:val="dy_biao_content1"/>
    <w:qFormat/>
    <w:uiPriority w:val="0"/>
    <w:rPr>
      <w:rFonts w:hint="eastAsia" w:ascii="宋体" w:hAnsi="宋体" w:eastAsia="宋体" w:cs="Times New Roman"/>
      <w:sz w:val="24"/>
      <w:szCs w:val="24"/>
    </w:rPr>
  </w:style>
  <w:style w:type="character" w:customStyle="1" w:styleId="82">
    <w:name w:val="不明显强调1"/>
    <w:qFormat/>
    <w:uiPriority w:val="0"/>
    <w:rPr>
      <w:rFonts w:ascii="Times New Roman" w:hAnsi="Times New Roman" w:eastAsia="仿宋_GB2312" w:cs="Times New Roman"/>
      <w:iCs/>
      <w:color w:val="auto"/>
      <w:sz w:val="24"/>
    </w:rPr>
  </w:style>
  <w:style w:type="character" w:customStyle="1" w:styleId="83">
    <w:name w:val="Date Char Char"/>
    <w:link w:val="84"/>
    <w:qFormat/>
    <w:uiPriority w:val="0"/>
    <w:rPr>
      <w:rFonts w:ascii="Times New Roman" w:hAnsi="Times New Roman" w:eastAsia="宋体" w:cs="Times New Roman"/>
    </w:rPr>
  </w:style>
  <w:style w:type="paragraph" w:customStyle="1" w:styleId="84">
    <w:name w:val="日期1"/>
    <w:basedOn w:val="1"/>
    <w:next w:val="1"/>
    <w:link w:val="83"/>
    <w:qFormat/>
    <w:uiPriority w:val="0"/>
    <w:rPr>
      <w:sz w:val="21"/>
      <w:szCs w:val="22"/>
    </w:rPr>
  </w:style>
  <w:style w:type="character" w:customStyle="1" w:styleId="85">
    <w:name w:val="列出段落 字符"/>
    <w:link w:val="86"/>
    <w:qFormat/>
    <w:uiPriority w:val="0"/>
    <w:rPr>
      <w:rFonts w:ascii="Times New Roman" w:hAnsi="Times New Roman" w:eastAsia="宋体" w:cs="Times New Roman"/>
      <w:szCs w:val="24"/>
    </w:rPr>
  </w:style>
  <w:style w:type="paragraph" w:styleId="86">
    <w:name w:val="List Paragraph"/>
    <w:basedOn w:val="1"/>
    <w:link w:val="85"/>
    <w:qFormat/>
    <w:uiPriority w:val="0"/>
    <w:pPr>
      <w:ind w:firstLine="420" w:firstLineChars="200"/>
    </w:pPr>
    <w:rPr>
      <w:sz w:val="21"/>
      <w:szCs w:val="24"/>
    </w:rPr>
  </w:style>
  <w:style w:type="character" w:customStyle="1" w:styleId="87">
    <w:name w:val="纯文本 Char1"/>
    <w:qFormat/>
    <w:uiPriority w:val="0"/>
    <w:rPr>
      <w:rFonts w:ascii="宋体" w:hAnsi="Times New Roman" w:eastAsia="宋体" w:cs="Times New Roman"/>
      <w:kern w:val="2"/>
      <w:sz w:val="21"/>
      <w:lang w:val="en-US" w:eastAsia="zh-CN" w:bidi="ar-SA"/>
    </w:rPr>
  </w:style>
  <w:style w:type="character" w:customStyle="1" w:styleId="88">
    <w:name w:val="承康医疗 Char"/>
    <w:link w:val="89"/>
    <w:qFormat/>
    <w:uiPriority w:val="0"/>
    <w:rPr>
      <w:rFonts w:ascii="微软雅黑" w:hAnsi="微软雅黑" w:eastAsia="微软雅黑" w:cs="Times New Roman"/>
      <w:szCs w:val="21"/>
    </w:rPr>
  </w:style>
  <w:style w:type="paragraph" w:customStyle="1" w:styleId="89">
    <w:name w:val="承康医疗"/>
    <w:basedOn w:val="1"/>
    <w:link w:val="88"/>
    <w:qFormat/>
    <w:uiPriority w:val="0"/>
    <w:pPr>
      <w:widowControl/>
      <w:jc w:val="left"/>
    </w:pPr>
    <w:rPr>
      <w:rFonts w:ascii="微软雅黑" w:hAnsi="微软雅黑" w:eastAsia="微软雅黑"/>
      <w:sz w:val="21"/>
      <w:szCs w:val="21"/>
    </w:rPr>
  </w:style>
  <w:style w:type="character" w:customStyle="1" w:styleId="90">
    <w:name w:val="标题 3 Char1"/>
    <w:qFormat/>
    <w:uiPriority w:val="0"/>
    <w:rPr>
      <w:rFonts w:ascii="Times New Roman" w:hAnsi="Times New Roman" w:eastAsia="宋体" w:cs="Times New Roman"/>
      <w:b/>
      <w:bCs/>
      <w:kern w:val="2"/>
      <w:sz w:val="32"/>
      <w:szCs w:val="32"/>
      <w:lang w:val="en-US" w:eastAsia="zh-CN" w:bidi="ar-SA"/>
    </w:rPr>
  </w:style>
  <w:style w:type="character" w:customStyle="1" w:styleId="91">
    <w:name w:val="纯文本 字符1"/>
    <w:qFormat/>
    <w:uiPriority w:val="0"/>
    <w:rPr>
      <w:rFonts w:ascii="宋体" w:hAnsi="Times New Roman" w:eastAsia="宋体" w:cs="Times New Roman"/>
      <w:kern w:val="2"/>
      <w:sz w:val="21"/>
      <w:lang w:val="en-US" w:eastAsia="zh-CN" w:bidi="ar-SA"/>
    </w:rPr>
  </w:style>
  <w:style w:type="character" w:customStyle="1" w:styleId="92">
    <w:name w:val="孙普文字 Char"/>
    <w:qFormat/>
    <w:uiPriority w:val="0"/>
    <w:rPr>
      <w:rFonts w:ascii="宋体" w:hAnsi="Times New Roman" w:eastAsia="宋体" w:cs="Times New Roman"/>
      <w:szCs w:val="20"/>
    </w:rPr>
  </w:style>
  <w:style w:type="paragraph" w:customStyle="1" w:styleId="93">
    <w:name w:val="表格"/>
    <w:basedOn w:val="1"/>
    <w:qFormat/>
    <w:uiPriority w:val="99"/>
    <w:pPr>
      <w:tabs>
        <w:tab w:val="left" w:pos="1200"/>
      </w:tabs>
      <w:spacing w:line="500" w:lineRule="exact"/>
      <w:jc w:val="center"/>
    </w:pPr>
    <w:rPr>
      <w:rFonts w:ascii="宋体"/>
      <w:sz w:val="24"/>
      <w:szCs w:val="18"/>
    </w:rPr>
  </w:style>
  <w:style w:type="paragraph" w:customStyle="1" w:styleId="94">
    <w:name w:val="修订1"/>
    <w:qFormat/>
    <w:uiPriority w:val="0"/>
    <w:rPr>
      <w:rFonts w:ascii="Times New Roman" w:hAnsi="Times New Roman" w:eastAsia="宋体" w:cs="Times New Roman"/>
      <w:kern w:val="2"/>
      <w:sz w:val="21"/>
      <w:szCs w:val="24"/>
      <w:lang w:val="en-US" w:eastAsia="zh-CN" w:bidi="ar-SA"/>
    </w:rPr>
  </w:style>
  <w:style w:type="paragraph" w:styleId="95">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6">
    <w:name w:val="Absatz2AL"/>
    <w:basedOn w:val="14"/>
    <w:next w:val="1"/>
    <w:qFormat/>
    <w:uiPriority w:val="99"/>
    <w:pPr>
      <w:widowControl/>
      <w:overflowPunct w:val="0"/>
      <w:autoSpaceDE w:val="0"/>
      <w:autoSpaceDN w:val="0"/>
      <w:adjustRightInd w:val="0"/>
      <w:spacing w:after="0"/>
      <w:textAlignment w:val="baseline"/>
    </w:pPr>
    <w:rPr>
      <w:rFonts w:eastAsia="楷体_GB2312"/>
      <w:kern w:val="0"/>
      <w:sz w:val="24"/>
      <w:lang w:val="de-DE" w:eastAsia="de-DE"/>
    </w:rPr>
  </w:style>
  <w:style w:type="paragraph" w:customStyle="1" w:styleId="97">
    <w:name w:val="缺省文本"/>
    <w:basedOn w:val="1"/>
    <w:qFormat/>
    <w:uiPriority w:val="99"/>
    <w:pPr>
      <w:autoSpaceDE w:val="0"/>
      <w:autoSpaceDN w:val="0"/>
      <w:adjustRightInd w:val="0"/>
      <w:jc w:val="left"/>
    </w:pPr>
    <w:rPr>
      <w:kern w:val="0"/>
      <w:sz w:val="24"/>
    </w:rPr>
  </w:style>
  <w:style w:type="paragraph" w:customStyle="1" w:styleId="98">
    <w:name w:val="Char"/>
    <w:basedOn w:val="1"/>
    <w:qFormat/>
    <w:uiPriority w:val="99"/>
  </w:style>
  <w:style w:type="paragraph" w:customStyle="1" w:styleId="99">
    <w:name w:val="Char Char Char"/>
    <w:basedOn w:val="1"/>
    <w:qFormat/>
    <w:uiPriority w:val="99"/>
    <w:pPr>
      <w:ind w:firstLine="200" w:firstLineChars="200"/>
    </w:pPr>
    <w:rPr>
      <w:sz w:val="24"/>
    </w:rPr>
  </w:style>
  <w:style w:type="paragraph" w:customStyle="1" w:styleId="100">
    <w:name w:val="Char2 Char Char Char Char Char Char"/>
    <w:basedOn w:val="11"/>
    <w:qFormat/>
    <w:uiPriority w:val="0"/>
    <w:rPr>
      <w:rFonts w:ascii="Tahoma" w:hAnsi="Tahoma"/>
      <w:sz w:val="24"/>
    </w:rPr>
  </w:style>
  <w:style w:type="paragraph" w:customStyle="1" w:styleId="101">
    <w:name w:val="抬头"/>
    <w:basedOn w:val="1"/>
    <w:qFormat/>
    <w:uiPriority w:val="99"/>
    <w:pPr>
      <w:spacing w:beforeLines="50" w:line="360" w:lineRule="auto"/>
    </w:pPr>
    <w:rPr>
      <w:rFonts w:ascii="宋体"/>
      <w:sz w:val="24"/>
    </w:rPr>
  </w:style>
  <w:style w:type="paragraph" w:customStyle="1" w:styleId="102">
    <w:name w:val="Default"/>
    <w:qFormat/>
    <w:uiPriority w:val="99"/>
    <w:pPr>
      <w:widowControl w:val="0"/>
      <w:autoSpaceDE w:val="0"/>
      <w:autoSpaceDN w:val="0"/>
      <w:adjustRightInd w:val="0"/>
    </w:pPr>
    <w:rPr>
      <w:rFonts w:ascii="宋体" w:hAnsi="Times New Roman" w:eastAsia="宋体" w:cs="宋体"/>
      <w:color w:val="000000"/>
      <w:kern w:val="2"/>
      <w:sz w:val="24"/>
      <w:szCs w:val="24"/>
      <w:lang w:val="en-US" w:eastAsia="zh-CN" w:bidi="ar-SA"/>
    </w:rPr>
  </w:style>
  <w:style w:type="paragraph" w:customStyle="1" w:styleId="103">
    <w:name w:val="5"/>
    <w:basedOn w:val="1"/>
    <w:qFormat/>
    <w:uiPriority w:val="99"/>
    <w:pPr>
      <w:tabs>
        <w:tab w:val="right" w:pos="-2120"/>
      </w:tabs>
      <w:snapToGrid w:val="0"/>
    </w:pPr>
    <w:rPr>
      <w:rFonts w:ascii="Tahoma" w:hAnsi="Tahoma"/>
      <w:spacing w:val="6"/>
      <w:sz w:val="24"/>
    </w:rPr>
  </w:style>
  <w:style w:type="paragraph" w:customStyle="1" w:styleId="104">
    <w:name w:val="Char Char1 Char Char"/>
    <w:basedOn w:val="1"/>
    <w:qFormat/>
    <w:uiPriority w:val="99"/>
    <w:pPr>
      <w:tabs>
        <w:tab w:val="left" w:pos="360"/>
      </w:tabs>
    </w:pPr>
  </w:style>
  <w:style w:type="paragraph" w:customStyle="1" w:styleId="105">
    <w:name w:val="xl23"/>
    <w:next w:val="25"/>
    <w:qFormat/>
    <w:uiPriority w:val="99"/>
    <w:pPr>
      <w:spacing w:before="100" w:beforeAutospacing="1" w:after="100" w:afterAutospacing="1"/>
      <w:jc w:val="center"/>
    </w:pPr>
    <w:rPr>
      <w:rFonts w:ascii="Arial Unicode MS" w:hAnsi="Arial Unicode MS" w:eastAsia="Arial Unicode MS" w:cs="Times New Roman"/>
      <w:kern w:val="2"/>
      <w:sz w:val="24"/>
      <w:lang w:val="en-US" w:eastAsia="zh-CN" w:bidi="ar-SA"/>
    </w:rPr>
  </w:style>
  <w:style w:type="paragraph" w:customStyle="1" w:styleId="106">
    <w:name w:val="Char13"/>
    <w:basedOn w:val="1"/>
    <w:qFormat/>
    <w:uiPriority w:val="99"/>
  </w:style>
  <w:style w:type="paragraph" w:customStyle="1" w:styleId="107">
    <w:name w:val="列出段落1"/>
    <w:basedOn w:val="1"/>
    <w:qFormat/>
    <w:uiPriority w:val="99"/>
    <w:pPr>
      <w:ind w:firstLine="420" w:firstLineChars="200"/>
    </w:pPr>
    <w:rPr>
      <w:szCs w:val="21"/>
    </w:rPr>
  </w:style>
  <w:style w:type="paragraph" w:customStyle="1" w:styleId="108">
    <w:name w:val="Char1"/>
    <w:basedOn w:val="1"/>
    <w:qFormat/>
    <w:uiPriority w:val="99"/>
    <w:pPr>
      <w:ind w:firstLine="200" w:firstLineChars="200"/>
    </w:pPr>
  </w:style>
  <w:style w:type="paragraph" w:customStyle="1" w:styleId="109">
    <w:name w:val="Char Char Char Char Char Char Char Char Char Char Char Char"/>
    <w:basedOn w:val="1"/>
    <w:qFormat/>
    <w:uiPriority w:val="99"/>
    <w:pPr>
      <w:tabs>
        <w:tab w:val="right" w:pos="-2120"/>
      </w:tabs>
      <w:snapToGrid w:val="0"/>
    </w:pPr>
    <w:rPr>
      <w:rFonts w:ascii="Tahoma" w:hAnsi="Tahoma"/>
      <w:spacing w:val="6"/>
      <w:sz w:val="24"/>
    </w:rPr>
  </w:style>
  <w:style w:type="paragraph" w:customStyle="1" w:styleId="110">
    <w:name w:val="样式2"/>
    <w:basedOn w:val="1"/>
    <w:qFormat/>
    <w:uiPriority w:val="99"/>
    <w:pPr>
      <w:spacing w:line="360" w:lineRule="auto"/>
    </w:pPr>
    <w:rPr>
      <w:rFonts w:ascii="Century Gothic" w:hAnsi="Century Gothic" w:eastAsia="黑体"/>
      <w:b/>
      <w:sz w:val="32"/>
      <w:szCs w:val="30"/>
    </w:rPr>
  </w:style>
  <w:style w:type="paragraph" w:customStyle="1" w:styleId="111">
    <w:name w:val="Char Char Char Char Char Char"/>
    <w:basedOn w:val="1"/>
    <w:qFormat/>
    <w:uiPriority w:val="99"/>
    <w:rPr>
      <w:rFonts w:ascii="Tahoma" w:hAnsi="Tahoma"/>
      <w:sz w:val="24"/>
    </w:rPr>
  </w:style>
  <w:style w:type="paragraph" w:customStyle="1" w:styleId="112">
    <w:name w:val="无间隔1"/>
    <w:basedOn w:val="1"/>
    <w:qFormat/>
    <w:uiPriority w:val="99"/>
    <w:pPr>
      <w:widowControl/>
      <w:jc w:val="left"/>
    </w:pPr>
    <w:rPr>
      <w:kern w:val="0"/>
      <w:sz w:val="22"/>
      <w:lang w:eastAsia="en-US" w:bidi="en-US"/>
    </w:rPr>
  </w:style>
  <w:style w:type="paragraph" w:customStyle="1" w:styleId="113">
    <w:name w:val="正文五号"/>
    <w:basedOn w:val="1"/>
    <w:qFormat/>
    <w:uiPriority w:val="99"/>
    <w:rPr>
      <w:rFonts w:ascii="宋体" w:eastAsia="仿宋_GB2312"/>
    </w:rPr>
  </w:style>
  <w:style w:type="paragraph" w:customStyle="1" w:styleId="114">
    <w:name w:val="p0"/>
    <w:basedOn w:val="1"/>
    <w:qFormat/>
    <w:uiPriority w:val="99"/>
    <w:pPr>
      <w:widowControl/>
    </w:pPr>
    <w:rPr>
      <w:kern w:val="0"/>
      <w:szCs w:val="21"/>
    </w:rPr>
  </w:style>
  <w:style w:type="character" w:customStyle="1" w:styleId="115">
    <w:name w:val="不明显强调11"/>
    <w:qFormat/>
    <w:uiPriority w:val="0"/>
    <w:rPr>
      <w:rFonts w:eastAsia="仿宋_GB2312"/>
      <w:iCs/>
      <w:color w:val="auto"/>
      <w:sz w:val="24"/>
    </w:rPr>
  </w:style>
  <w:style w:type="character" w:customStyle="1" w:styleId="116">
    <w:name w:val="批注文字 字符"/>
    <w:qFormat/>
    <w:uiPriority w:val="0"/>
    <w:rPr>
      <w:rFonts w:ascii="Times New Roman" w:hAnsi="Times New Roman" w:eastAsia="宋体" w:cs="Times New Roman"/>
      <w:kern w:val="2"/>
      <w:sz w:val="21"/>
      <w:szCs w:val="24"/>
    </w:rPr>
  </w:style>
  <w:style w:type="character" w:customStyle="1" w:styleId="117">
    <w:name w:val="纯文本 字符"/>
    <w:qFormat/>
    <w:uiPriority w:val="0"/>
    <w:rPr>
      <w:rFonts w:ascii="宋体" w:hAnsi="Times New Roman" w:eastAsia="宋体" w:cs="Times New Roman"/>
      <w:kern w:val="2"/>
      <w:sz w:val="21"/>
      <w:lang w:val="en-US" w:eastAsia="zh-CN" w:bidi="ar-SA"/>
    </w:rPr>
  </w:style>
  <w:style w:type="character" w:customStyle="1" w:styleId="118">
    <w:name w:val="纯文本 字符2"/>
    <w:qFormat/>
    <w:uiPriority w:val="0"/>
    <w:rPr>
      <w:rFonts w:ascii="宋体" w:eastAsia="宋体"/>
    </w:rPr>
  </w:style>
  <w:style w:type="character" w:customStyle="1" w:styleId="119">
    <w:name w:val="正文缩进 字符"/>
    <w:qFormat/>
    <w:uiPriority w:val="99"/>
    <w:rPr>
      <w:rFonts w:ascii="Times New Roman" w:hAnsi="Times New Roman" w:eastAsia="宋体" w:cs="Times New Roman"/>
    </w:rPr>
  </w:style>
  <w:style w:type="paragraph" w:customStyle="1" w:styleId="120">
    <w:name w:val="Body Text First Indent 21"/>
    <w:basedOn w:val="1"/>
    <w:qFormat/>
    <w:uiPriority w:val="0"/>
    <w:pPr>
      <w:ind w:left="420" w:leftChars="200" w:firstLine="420" w:firstLineChars="200"/>
    </w:pPr>
    <w:rPr>
      <w:sz w:val="21"/>
      <w:szCs w:val="24"/>
    </w:rPr>
  </w:style>
  <w:style w:type="character" w:customStyle="1" w:styleId="121">
    <w:name w:val="纯文本 Char3"/>
    <w:qFormat/>
    <w:locked/>
    <w:uiPriority w:val="99"/>
    <w:rPr>
      <w:rFonts w:ascii="宋体" w:hAnsi="Times New Roman" w:eastAsia="宋体" w:cs="Times New Roman"/>
      <w:kern w:val="0"/>
      <w:sz w:val="20"/>
      <w:szCs w:val="20"/>
    </w:rPr>
  </w:style>
  <w:style w:type="character" w:customStyle="1" w:styleId="122">
    <w:name w:val="正文缩进 Char1"/>
    <w:qFormat/>
    <w:locked/>
    <w:uiPriority w:val="0"/>
    <w:rPr>
      <w:rFonts w:ascii="Calibri" w:hAnsi="Calibri" w:cs="Calibri"/>
    </w:rPr>
  </w:style>
  <w:style w:type="character" w:customStyle="1" w:styleId="123">
    <w:name w:val="标题 3 Char2"/>
    <w:semiHidden/>
    <w:qFormat/>
    <w:locked/>
    <w:uiPriority w:val="9"/>
    <w:rPr>
      <w:rFonts w:ascii="Times New Roman" w:hAnsi="Times New Roman" w:eastAsia="黑体" w:cs="Times New Roman"/>
      <w:b/>
      <w:kern w:val="0"/>
      <w:sz w:val="28"/>
      <w:szCs w:val="20"/>
      <w:lang w:val="zh-CN"/>
    </w:rPr>
  </w:style>
  <w:style w:type="character" w:customStyle="1" w:styleId="124">
    <w:name w:val="正文文本 Char2"/>
    <w:semiHidden/>
    <w:qFormat/>
    <w:locked/>
    <w:uiPriority w:val="99"/>
    <w:rPr>
      <w:rFonts w:ascii="Times New Roman" w:hAnsi="Times New Roman" w:eastAsia="宋体" w:cs="Times New Roman"/>
      <w:kern w:val="0"/>
      <w:sz w:val="20"/>
      <w:szCs w:val="24"/>
    </w:rPr>
  </w:style>
  <w:style w:type="character" w:customStyle="1" w:styleId="125">
    <w:name w:val="列出段落 Char2"/>
    <w:qFormat/>
    <w:locked/>
    <w:uiPriority w:val="99"/>
    <w:rPr>
      <w:szCs w:val="24"/>
    </w:rPr>
  </w:style>
  <w:style w:type="paragraph" w:customStyle="1" w:styleId="126">
    <w:name w:val="日期11"/>
    <w:basedOn w:val="1"/>
    <w:next w:val="1"/>
    <w:qFormat/>
    <w:uiPriority w:val="0"/>
    <w:rPr>
      <w:rFonts w:ascii="Calibri" w:hAnsi="Calibri"/>
      <w:sz w:val="21"/>
      <w:szCs w:val="22"/>
    </w:rPr>
  </w:style>
  <w:style w:type="paragraph" w:customStyle="1" w:styleId="127">
    <w:name w:val="Char2 Char Char Char Char Char Char1"/>
    <w:basedOn w:val="11"/>
    <w:qFormat/>
    <w:uiPriority w:val="99"/>
    <w:rPr>
      <w:rFonts w:ascii="Tahoma" w:hAnsi="Tahoma"/>
      <w:kern w:val="0"/>
      <w:sz w:val="24"/>
      <w:szCs w:val="24"/>
    </w:rPr>
  </w:style>
  <w:style w:type="paragraph" w:customStyle="1" w:styleId="128">
    <w:name w:val="表格题注"/>
    <w:basedOn w:val="1"/>
    <w:qFormat/>
    <w:uiPriority w:val="99"/>
    <w:pPr>
      <w:tabs>
        <w:tab w:val="left" w:pos="5562"/>
      </w:tabs>
      <w:ind w:left="5102" w:hanging="1700"/>
    </w:pPr>
    <w:rPr>
      <w:rFonts w:ascii="等线" w:hAnsi="等线" w:eastAsia="等线"/>
      <w:sz w:val="21"/>
      <w:szCs w:val="22"/>
    </w:rPr>
  </w:style>
  <w:style w:type="paragraph" w:customStyle="1" w:styleId="129">
    <w:name w:val="插图题注"/>
    <w:basedOn w:val="1"/>
    <w:qFormat/>
    <w:uiPriority w:val="99"/>
    <w:pPr>
      <w:tabs>
        <w:tab w:val="left" w:pos="5136"/>
      </w:tabs>
      <w:ind w:left="4394" w:hanging="1418"/>
    </w:pPr>
    <w:rPr>
      <w:rFonts w:ascii="等线" w:hAnsi="等线" w:eastAsia="等线"/>
      <w:sz w:val="21"/>
      <w:szCs w:val="22"/>
    </w:rPr>
  </w:style>
  <w:style w:type="paragraph" w:customStyle="1" w:styleId="130">
    <w:name w:val="标题1"/>
    <w:basedOn w:val="3"/>
    <w:qFormat/>
    <w:uiPriority w:val="99"/>
    <w:pPr>
      <w:numPr>
        <w:numId w:val="0"/>
      </w:numPr>
      <w:adjustRightInd/>
      <w:spacing w:before="100" w:beforeAutospacing="1" w:after="100" w:afterAutospacing="1" w:line="240" w:lineRule="atLeast"/>
      <w:jc w:val="center"/>
      <w:textAlignment w:val="auto"/>
    </w:pPr>
    <w:rPr>
      <w:rFonts w:eastAsia="宋体"/>
      <w:bCs/>
      <w:color w:val="000000"/>
      <w:kern w:val="2"/>
      <w:sz w:val="30"/>
      <w:szCs w:val="30"/>
      <w:lang w:val="zh-CN"/>
    </w:rPr>
  </w:style>
  <w:style w:type="paragraph" w:customStyle="1" w:styleId="131">
    <w:name w:val="xl45"/>
    <w:basedOn w:val="1"/>
    <w:qFormat/>
    <w:uiPriority w:val="99"/>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132">
    <w:name w:val="xl5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0"/>
    </w:rPr>
  </w:style>
  <w:style w:type="paragraph" w:customStyle="1" w:styleId="133">
    <w:name w:val="xl28"/>
    <w:basedOn w:val="1"/>
    <w:qFormat/>
    <w:uiPriority w:val="99"/>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szCs w:val="24"/>
    </w:rPr>
  </w:style>
  <w:style w:type="paragraph" w:customStyle="1" w:styleId="134">
    <w:name w:val="font8"/>
    <w:basedOn w:val="1"/>
    <w:qFormat/>
    <w:uiPriority w:val="99"/>
    <w:pPr>
      <w:widowControl/>
      <w:spacing w:before="100" w:beforeAutospacing="1" w:after="100" w:afterAutospacing="1"/>
      <w:jc w:val="left"/>
    </w:pPr>
    <w:rPr>
      <w:kern w:val="0"/>
      <w:sz w:val="20"/>
    </w:rPr>
  </w:style>
  <w:style w:type="paragraph" w:customStyle="1" w:styleId="135">
    <w:name w:val="xl61"/>
    <w:basedOn w:val="1"/>
    <w:qFormat/>
    <w:uiPriority w:val="99"/>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kern w:val="0"/>
      <w:sz w:val="20"/>
    </w:rPr>
  </w:style>
  <w:style w:type="paragraph" w:customStyle="1" w:styleId="136">
    <w:name w:val="xl29"/>
    <w:basedOn w:val="1"/>
    <w:qFormat/>
    <w:uiPriority w:val="99"/>
    <w:pPr>
      <w:widowControl/>
      <w:pBdr>
        <w:bottom w:val="single" w:color="auto" w:sz="8" w:space="0"/>
      </w:pBdr>
      <w:spacing w:before="100" w:beforeAutospacing="1" w:after="100" w:afterAutospacing="1"/>
    </w:pPr>
    <w:rPr>
      <w:rFonts w:ascii="仿宋_GB2312" w:eastAsia="仿宋_GB2312"/>
      <w:kern w:val="0"/>
      <w:sz w:val="24"/>
      <w:szCs w:val="24"/>
    </w:rPr>
  </w:style>
  <w:style w:type="paragraph" w:customStyle="1" w:styleId="137">
    <w:name w:val="xl6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kern w:val="0"/>
      <w:sz w:val="20"/>
    </w:rPr>
  </w:style>
  <w:style w:type="paragraph" w:customStyle="1" w:styleId="138">
    <w:name w:val="xl5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kern w:val="0"/>
      <w:sz w:val="20"/>
    </w:rPr>
  </w:style>
  <w:style w:type="paragraph" w:customStyle="1" w:styleId="139">
    <w:name w:val="Bullet_Title"/>
    <w:basedOn w:val="1"/>
    <w:qFormat/>
    <w:uiPriority w:val="99"/>
    <w:pPr>
      <w:tabs>
        <w:tab w:val="left" w:pos="814"/>
      </w:tabs>
      <w:spacing w:after="78" w:line="300" w:lineRule="auto"/>
      <w:ind w:left="794" w:hanging="340"/>
    </w:pPr>
    <w:rPr>
      <w:rFonts w:ascii="Arial Black" w:hAnsi="Arial Black"/>
      <w:sz w:val="24"/>
    </w:rPr>
  </w:style>
  <w:style w:type="paragraph" w:customStyle="1" w:styleId="140">
    <w:name w:val="font7"/>
    <w:basedOn w:val="1"/>
    <w:qFormat/>
    <w:uiPriority w:val="99"/>
    <w:pPr>
      <w:widowControl/>
      <w:spacing w:before="100" w:beforeAutospacing="1" w:after="100" w:afterAutospacing="1"/>
      <w:jc w:val="left"/>
    </w:pPr>
    <w:rPr>
      <w:rFonts w:ascii="宋体"/>
      <w:kern w:val="0"/>
      <w:sz w:val="18"/>
      <w:szCs w:val="18"/>
    </w:rPr>
  </w:style>
  <w:style w:type="paragraph" w:customStyle="1" w:styleId="141">
    <w:name w:val="xl64"/>
    <w:basedOn w:val="1"/>
    <w:qFormat/>
    <w:uiPriority w:val="99"/>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kern w:val="0"/>
      <w:sz w:val="20"/>
    </w:rPr>
  </w:style>
  <w:style w:type="paragraph" w:customStyle="1" w:styleId="142">
    <w:name w:val="修订11"/>
    <w:qFormat/>
    <w:uiPriority w:val="99"/>
    <w:rPr>
      <w:rFonts w:ascii="Times New Roman" w:hAnsi="Times New Roman" w:eastAsia="宋体" w:cs="Times New Roman"/>
      <w:kern w:val="2"/>
      <w:sz w:val="21"/>
      <w:szCs w:val="24"/>
      <w:lang w:val="en-US" w:eastAsia="zh-CN" w:bidi="ar-SA"/>
    </w:rPr>
  </w:style>
  <w:style w:type="paragraph" w:customStyle="1" w:styleId="143">
    <w:name w:val="xl36"/>
    <w:basedOn w:val="1"/>
    <w:qFormat/>
    <w:uiPriority w:val="99"/>
    <w:pPr>
      <w:widowControl/>
      <w:pBdr>
        <w:top w:val="single" w:color="auto" w:sz="8" w:space="0"/>
        <w:left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44">
    <w:name w:val="xl60"/>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kern w:val="0"/>
      <w:sz w:val="20"/>
    </w:rPr>
  </w:style>
  <w:style w:type="paragraph" w:customStyle="1" w:styleId="145">
    <w:name w:val="xl51"/>
    <w:basedOn w:val="1"/>
    <w:qFormat/>
    <w:uiPriority w:val="99"/>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kern w:val="0"/>
      <w:sz w:val="20"/>
    </w:rPr>
  </w:style>
  <w:style w:type="paragraph" w:customStyle="1" w:styleId="146">
    <w:name w:val="xl24"/>
    <w:basedOn w:val="1"/>
    <w:qFormat/>
    <w:uiPriority w:val="99"/>
    <w:pPr>
      <w:widowControl/>
      <w:pBdr>
        <w:bottom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47">
    <w:name w:val="xl63"/>
    <w:basedOn w:val="1"/>
    <w:qFormat/>
    <w:uiPriority w:val="99"/>
    <w:pPr>
      <w:widowControl/>
      <w:pBdr>
        <w:top w:val="single" w:color="auto" w:sz="4" w:space="0"/>
        <w:left w:val="single" w:color="auto" w:sz="4" w:space="0"/>
        <w:right w:val="single" w:color="auto" w:sz="4" w:space="0"/>
      </w:pBdr>
      <w:spacing w:before="100" w:beforeAutospacing="1" w:after="100" w:afterAutospacing="1"/>
    </w:pPr>
    <w:rPr>
      <w:rFonts w:ascii="宋体"/>
      <w:kern w:val="0"/>
      <w:sz w:val="20"/>
    </w:rPr>
  </w:style>
  <w:style w:type="paragraph" w:customStyle="1" w:styleId="148">
    <w:name w:val="xl41"/>
    <w:basedOn w:val="1"/>
    <w:qFormat/>
    <w:uiPriority w:val="99"/>
    <w:pPr>
      <w:widowControl/>
      <w:pBdr>
        <w:top w:val="single" w:color="000000" w:sz="8" w:space="0"/>
        <w:left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49">
    <w:name w:val="xl43"/>
    <w:basedOn w:val="1"/>
    <w:qFormat/>
    <w:uiPriority w:val="99"/>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150">
    <w:name w:val="font9"/>
    <w:basedOn w:val="1"/>
    <w:qFormat/>
    <w:uiPriority w:val="99"/>
    <w:pPr>
      <w:widowControl/>
      <w:spacing w:before="100" w:beforeAutospacing="1" w:after="100" w:afterAutospacing="1"/>
      <w:jc w:val="left"/>
    </w:pPr>
    <w:rPr>
      <w:rFonts w:ascii="宋体"/>
      <w:b/>
      <w:bCs/>
      <w:color w:val="000000"/>
      <w:kern w:val="0"/>
      <w:sz w:val="18"/>
      <w:szCs w:val="18"/>
    </w:rPr>
  </w:style>
  <w:style w:type="paragraph" w:customStyle="1" w:styleId="151">
    <w:name w:val="xl40"/>
    <w:basedOn w:val="1"/>
    <w:qFormat/>
    <w:uiPriority w:val="99"/>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152">
    <w:name w:val="xl52"/>
    <w:basedOn w:val="1"/>
    <w:qFormat/>
    <w:uiPriority w:val="99"/>
    <w:pPr>
      <w:widowControl/>
      <w:pBdr>
        <w:top w:val="single" w:color="auto" w:sz="4" w:space="0"/>
        <w:left w:val="single" w:color="auto" w:sz="4" w:space="0"/>
        <w:bottom w:val="double" w:color="auto" w:sz="6" w:space="0"/>
        <w:right w:val="single" w:color="auto" w:sz="4" w:space="0"/>
      </w:pBdr>
      <w:spacing w:before="100" w:beforeAutospacing="1" w:after="100" w:afterAutospacing="1"/>
    </w:pPr>
    <w:rPr>
      <w:kern w:val="0"/>
      <w:sz w:val="20"/>
    </w:rPr>
  </w:style>
  <w:style w:type="paragraph" w:customStyle="1" w:styleId="153">
    <w:name w:val="xl65"/>
    <w:basedOn w:val="1"/>
    <w:qFormat/>
    <w:uiPriority w:val="99"/>
    <w:pPr>
      <w:widowControl/>
      <w:pBdr>
        <w:left w:val="single" w:color="auto" w:sz="4" w:space="0"/>
        <w:right w:val="single" w:color="auto" w:sz="4" w:space="0"/>
      </w:pBdr>
      <w:shd w:val="clear" w:color="auto" w:fill="FFFFFF"/>
      <w:spacing w:before="100" w:beforeAutospacing="1" w:after="100" w:afterAutospacing="1"/>
      <w:jc w:val="center"/>
    </w:pPr>
    <w:rPr>
      <w:rFonts w:ascii="宋体"/>
      <w:kern w:val="0"/>
      <w:sz w:val="20"/>
    </w:rPr>
  </w:style>
  <w:style w:type="paragraph" w:customStyle="1" w:styleId="154">
    <w:name w:val="xl25"/>
    <w:basedOn w:val="1"/>
    <w:qFormat/>
    <w:uiPriority w:val="99"/>
    <w:pPr>
      <w:widowControl/>
      <w:pBdr>
        <w:left w:val="single" w:color="auto" w:sz="8" w:space="0"/>
        <w:bottom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55">
    <w:name w:val="font6"/>
    <w:basedOn w:val="1"/>
    <w:qFormat/>
    <w:uiPriority w:val="99"/>
    <w:pPr>
      <w:widowControl/>
      <w:spacing w:before="100" w:beforeAutospacing="1" w:after="100" w:afterAutospacing="1"/>
      <w:jc w:val="left"/>
    </w:pPr>
    <w:rPr>
      <w:rFonts w:ascii="宋体"/>
      <w:color w:val="0000FF"/>
      <w:kern w:val="0"/>
      <w:sz w:val="24"/>
      <w:szCs w:val="24"/>
      <w:u w:val="single"/>
    </w:rPr>
  </w:style>
  <w:style w:type="paragraph" w:customStyle="1" w:styleId="156">
    <w:name w:val="xl38"/>
    <w:basedOn w:val="1"/>
    <w:qFormat/>
    <w:uiPriority w:val="99"/>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157">
    <w:name w:val="xl5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kern w:val="0"/>
      <w:sz w:val="20"/>
    </w:rPr>
  </w:style>
  <w:style w:type="paragraph" w:customStyle="1" w:styleId="158">
    <w:name w:val="xl58"/>
    <w:basedOn w:val="1"/>
    <w:qFormat/>
    <w:uiPriority w:val="99"/>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kern w:val="0"/>
      <w:sz w:val="20"/>
    </w:rPr>
  </w:style>
  <w:style w:type="paragraph" w:customStyle="1" w:styleId="159">
    <w:name w:val="xl5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kern w:val="0"/>
      <w:sz w:val="20"/>
    </w:rPr>
  </w:style>
  <w:style w:type="paragraph" w:customStyle="1" w:styleId="160">
    <w:name w:val="xl26"/>
    <w:basedOn w:val="1"/>
    <w:qFormat/>
    <w:uiPriority w:val="99"/>
    <w:pPr>
      <w:widowControl/>
      <w:pBdr>
        <w:bottom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61">
    <w:name w:val="xl37"/>
    <w:basedOn w:val="1"/>
    <w:qFormat/>
    <w:uiPriority w:val="99"/>
    <w:pPr>
      <w:widowControl/>
      <w:pBdr>
        <w:left w:val="single" w:color="auto" w:sz="8" w:space="0"/>
        <w:bottom w:val="single" w:color="000000"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62">
    <w:name w:val="xl42"/>
    <w:basedOn w:val="1"/>
    <w:qFormat/>
    <w:uiPriority w:val="99"/>
    <w:pPr>
      <w:widowControl/>
      <w:pBdr>
        <w:left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63">
    <w:name w:val="xl31"/>
    <w:basedOn w:val="1"/>
    <w:qFormat/>
    <w:uiPriority w:val="99"/>
    <w:pPr>
      <w:widowControl/>
      <w:pBdr>
        <w:left w:val="single" w:color="auto" w:sz="8" w:space="0"/>
        <w:bottom w:val="single" w:color="auto" w:sz="8" w:space="0"/>
        <w:right w:val="single" w:color="auto" w:sz="8" w:space="0"/>
      </w:pBdr>
      <w:spacing w:before="100" w:beforeAutospacing="1" w:after="100" w:afterAutospacing="1"/>
    </w:pPr>
    <w:rPr>
      <w:rFonts w:ascii="仿宋_GB2312" w:eastAsia="仿宋_GB2312"/>
      <w:kern w:val="0"/>
      <w:sz w:val="24"/>
      <w:szCs w:val="24"/>
    </w:rPr>
  </w:style>
  <w:style w:type="paragraph" w:customStyle="1" w:styleId="164">
    <w:name w:val="_Style 25"/>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65">
    <w:name w:val="xl30"/>
    <w:basedOn w:val="1"/>
    <w:qFormat/>
    <w:uiPriority w:val="99"/>
    <w:pPr>
      <w:widowControl/>
      <w:pBdr>
        <w:bottom w:val="single" w:color="auto" w:sz="8" w:space="0"/>
      </w:pBdr>
      <w:spacing w:before="100" w:beforeAutospacing="1" w:after="100" w:afterAutospacing="1"/>
      <w:jc w:val="left"/>
    </w:pPr>
    <w:rPr>
      <w:rFonts w:ascii="仿宋_GB2312" w:eastAsia="仿宋_GB2312"/>
      <w:kern w:val="0"/>
      <w:sz w:val="24"/>
      <w:szCs w:val="24"/>
    </w:rPr>
  </w:style>
  <w:style w:type="paragraph" w:customStyle="1" w:styleId="166">
    <w:name w:val="xl39"/>
    <w:basedOn w:val="1"/>
    <w:qFormat/>
    <w:uiPriority w:val="99"/>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167">
    <w:name w:val="xl33"/>
    <w:basedOn w:val="1"/>
    <w:qFormat/>
    <w:uiPriority w:val="99"/>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68">
    <w:name w:val="xl46"/>
    <w:basedOn w:val="1"/>
    <w:qFormat/>
    <w:uiPriority w:val="99"/>
    <w:pPr>
      <w:widowControl/>
      <w:pBdr>
        <w:top w:val="single" w:color="auto" w:sz="8" w:space="0"/>
        <w:left w:val="single" w:color="auto" w:sz="8" w:space="0"/>
        <w:right w:val="single" w:color="auto" w:sz="8" w:space="0"/>
      </w:pBdr>
      <w:spacing w:before="100" w:beforeAutospacing="1" w:after="100" w:afterAutospacing="1"/>
      <w:jc w:val="center"/>
    </w:pPr>
    <w:rPr>
      <w:rFonts w:ascii="宋体"/>
      <w:kern w:val="0"/>
      <w:sz w:val="24"/>
      <w:szCs w:val="24"/>
    </w:rPr>
  </w:style>
  <w:style w:type="paragraph" w:customStyle="1" w:styleId="169">
    <w:name w:val="xl49"/>
    <w:basedOn w:val="1"/>
    <w:qFormat/>
    <w:uiPriority w:val="99"/>
    <w:pPr>
      <w:widowControl/>
      <w:pBdr>
        <w:left w:val="single" w:color="auto" w:sz="4" w:space="0"/>
        <w:bottom w:val="double" w:color="auto" w:sz="6" w:space="0"/>
        <w:right w:val="single" w:color="auto" w:sz="4" w:space="0"/>
      </w:pBdr>
      <w:shd w:val="clear" w:color="auto" w:fill="FFFFFF"/>
      <w:spacing w:before="100" w:beforeAutospacing="1" w:after="100" w:afterAutospacing="1"/>
      <w:jc w:val="left"/>
    </w:pPr>
    <w:rPr>
      <w:kern w:val="0"/>
      <w:sz w:val="20"/>
    </w:rPr>
  </w:style>
  <w:style w:type="paragraph" w:customStyle="1" w:styleId="170">
    <w:name w:val="xl48"/>
    <w:basedOn w:val="1"/>
    <w:qFormat/>
    <w:uiPriority w:val="99"/>
    <w:pPr>
      <w:widowControl/>
      <w:pBdr>
        <w:left w:val="single" w:color="auto" w:sz="8" w:space="0"/>
        <w:bottom w:val="single" w:color="000000" w:sz="8" w:space="0"/>
        <w:right w:val="single" w:color="auto" w:sz="8" w:space="0"/>
      </w:pBdr>
      <w:spacing w:before="100" w:beforeAutospacing="1" w:after="100" w:afterAutospacing="1"/>
      <w:jc w:val="center"/>
    </w:pPr>
    <w:rPr>
      <w:rFonts w:ascii="宋体"/>
      <w:kern w:val="0"/>
      <w:sz w:val="24"/>
      <w:szCs w:val="24"/>
    </w:rPr>
  </w:style>
  <w:style w:type="paragraph" w:customStyle="1" w:styleId="171">
    <w:name w:val="xl32"/>
    <w:basedOn w:val="1"/>
    <w:qFormat/>
    <w:uiPriority w:val="99"/>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szCs w:val="24"/>
    </w:rPr>
  </w:style>
  <w:style w:type="paragraph" w:customStyle="1" w:styleId="172">
    <w:name w:val="xl5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rPr>
  </w:style>
  <w:style w:type="paragraph" w:customStyle="1" w:styleId="173">
    <w:name w:val="xl44"/>
    <w:basedOn w:val="1"/>
    <w:qFormat/>
    <w:uiPriority w:val="99"/>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174">
    <w:name w:val="xl59"/>
    <w:basedOn w:val="1"/>
    <w:qFormat/>
    <w:uiPriority w:val="99"/>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kern w:val="0"/>
      <w:sz w:val="20"/>
    </w:rPr>
  </w:style>
  <w:style w:type="paragraph" w:customStyle="1" w:styleId="175">
    <w:name w:val="xl34"/>
    <w:basedOn w:val="1"/>
    <w:qFormat/>
    <w:uiPriority w:val="99"/>
    <w:pPr>
      <w:widowControl/>
      <w:pBdr>
        <w:top w:val="single" w:color="auto" w:sz="8" w:space="0"/>
        <w:left w:val="single" w:color="auto"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76">
    <w:name w:val="xl35"/>
    <w:basedOn w:val="1"/>
    <w:qFormat/>
    <w:uiPriority w:val="99"/>
    <w:pPr>
      <w:widowControl/>
      <w:pBdr>
        <w:left w:val="single" w:color="auto" w:sz="8" w:space="0"/>
        <w:bottom w:val="single" w:color="000000" w:sz="8" w:space="0"/>
        <w:right w:val="single" w:color="auto" w:sz="8" w:space="0"/>
      </w:pBdr>
      <w:spacing w:before="100" w:beforeAutospacing="1" w:after="100" w:afterAutospacing="1"/>
      <w:jc w:val="center"/>
    </w:pPr>
    <w:rPr>
      <w:rFonts w:ascii="仿宋_GB2312" w:eastAsia="仿宋_GB2312"/>
      <w:kern w:val="0"/>
      <w:sz w:val="24"/>
      <w:szCs w:val="24"/>
    </w:rPr>
  </w:style>
  <w:style w:type="paragraph" w:customStyle="1" w:styleId="177">
    <w:name w:val="xl27"/>
    <w:basedOn w:val="1"/>
    <w:qFormat/>
    <w:uiPriority w:val="99"/>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szCs w:val="24"/>
    </w:rPr>
  </w:style>
  <w:style w:type="paragraph" w:customStyle="1" w:styleId="178">
    <w:name w:val="xl5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0"/>
    </w:rPr>
  </w:style>
  <w:style w:type="paragraph" w:customStyle="1" w:styleId="179">
    <w:name w:val="font5"/>
    <w:basedOn w:val="1"/>
    <w:qFormat/>
    <w:uiPriority w:val="99"/>
    <w:pPr>
      <w:widowControl/>
      <w:spacing w:before="100" w:beforeAutospacing="1" w:after="100" w:afterAutospacing="1"/>
      <w:jc w:val="left"/>
    </w:pPr>
    <w:rPr>
      <w:rFonts w:ascii="宋体"/>
      <w:kern w:val="0"/>
      <w:sz w:val="18"/>
      <w:szCs w:val="18"/>
    </w:rPr>
  </w:style>
  <w:style w:type="paragraph" w:customStyle="1" w:styleId="180">
    <w:name w:val="xl47"/>
    <w:basedOn w:val="1"/>
    <w:qFormat/>
    <w:uiPriority w:val="99"/>
    <w:pPr>
      <w:widowControl/>
      <w:pBdr>
        <w:left w:val="single" w:color="auto" w:sz="8" w:space="0"/>
        <w:right w:val="single" w:color="auto" w:sz="8" w:space="0"/>
      </w:pBdr>
      <w:spacing w:before="100" w:beforeAutospacing="1" w:after="100" w:afterAutospacing="1"/>
      <w:jc w:val="center"/>
    </w:pPr>
    <w:rPr>
      <w:rFonts w:ascii="宋体"/>
      <w:kern w:val="0"/>
      <w:sz w:val="24"/>
      <w:szCs w:val="24"/>
    </w:rPr>
  </w:style>
  <w:style w:type="paragraph" w:customStyle="1" w:styleId="181">
    <w:name w:val="Char Char Char Char Char Char Char Char Char Char"/>
    <w:basedOn w:val="1"/>
    <w:qFormat/>
    <w:uiPriority w:val="99"/>
    <w:rPr>
      <w:rFonts w:ascii="Tahoma" w:hAnsi="Tahoma"/>
      <w:sz w:val="24"/>
    </w:rPr>
  </w:style>
  <w:style w:type="paragraph" w:customStyle="1" w:styleId="182">
    <w:name w:val="列出段落2"/>
    <w:basedOn w:val="1"/>
    <w:qFormat/>
    <w:uiPriority w:val="34"/>
    <w:pPr>
      <w:ind w:firstLine="420" w:firstLineChars="200"/>
    </w:pPr>
    <w:rPr>
      <w:rFonts w:ascii="Calibri" w:hAnsi="Calibri"/>
      <w:sz w:val="21"/>
      <w:szCs w:val="22"/>
    </w:rPr>
  </w:style>
  <w:style w:type="paragraph" w:customStyle="1" w:styleId="183">
    <w:name w:val="正文缩进2格"/>
    <w:basedOn w:val="1"/>
    <w:qFormat/>
    <w:uiPriority w:val="99"/>
    <w:pPr>
      <w:spacing w:line="600" w:lineRule="exact"/>
      <w:ind w:firstLine="639" w:firstLineChars="206"/>
    </w:pPr>
    <w:rPr>
      <w:rFonts w:ascii="仿宋_GB2312" w:hAnsi="宋体" w:eastAsia="仿宋_GB2312"/>
      <w:sz w:val="31"/>
    </w:rPr>
  </w:style>
  <w:style w:type="paragraph" w:customStyle="1" w:styleId="184">
    <w:name w:val="正文缩进4格"/>
    <w:basedOn w:val="183"/>
    <w:qFormat/>
    <w:uiPriority w:val="99"/>
    <w:pPr>
      <w:ind w:left="2" w:firstLine="538" w:firstLineChars="192"/>
    </w:pPr>
    <w:rPr>
      <w:color w:val="0000FF"/>
      <w:sz w:val="28"/>
    </w:rPr>
  </w:style>
  <w:style w:type="paragraph" w:customStyle="1" w:styleId="185">
    <w:name w:val="Char Char1 Char Char Char Char Char Char Char Char Char Char Char Char Char Char"/>
    <w:basedOn w:val="1"/>
    <w:qFormat/>
    <w:uiPriority w:val="99"/>
    <w:pPr>
      <w:widowControl/>
      <w:spacing w:after="160" w:line="240" w:lineRule="exact"/>
      <w:jc w:val="left"/>
    </w:pPr>
    <w:rPr>
      <w:rFonts w:ascii="Verdana" w:hAnsi="Verdana"/>
      <w:kern w:val="0"/>
      <w:sz w:val="20"/>
      <w:lang w:eastAsia="en-US"/>
    </w:rPr>
  </w:style>
  <w:style w:type="paragraph" w:customStyle="1" w:styleId="186">
    <w:name w:v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87">
    <w:name w:val="Default Paragraph Font Para Char"/>
    <w:basedOn w:val="1"/>
    <w:qFormat/>
    <w:uiPriority w:val="99"/>
    <w:pPr>
      <w:widowControl/>
      <w:spacing w:after="160" w:line="240" w:lineRule="exact"/>
      <w:jc w:val="left"/>
    </w:pPr>
    <w:rPr>
      <w:rFonts w:ascii="Verdana" w:hAnsi="Verdana"/>
      <w:kern w:val="0"/>
      <w:sz w:val="20"/>
      <w:lang w:eastAsia="en-US"/>
    </w:rPr>
  </w:style>
  <w:style w:type="paragraph" w:customStyle="1" w:styleId="188">
    <w:name w:val="样式 样式 首行缩进:  2 字符 段前: 4.65 磅 + 首行缩进:  2 字符"/>
    <w:basedOn w:val="1"/>
    <w:qFormat/>
    <w:uiPriority w:val="99"/>
    <w:pPr>
      <w:topLinePunct/>
      <w:spacing w:before="93" w:line="360" w:lineRule="auto"/>
      <w:ind w:firstLine="480" w:firstLineChars="200"/>
    </w:pPr>
    <w:rPr>
      <w:rFonts w:cs="宋体"/>
      <w:sz w:val="24"/>
    </w:rPr>
  </w:style>
  <w:style w:type="character" w:customStyle="1" w:styleId="189">
    <w:name w:val="标书正文格式 Char"/>
    <w:link w:val="190"/>
    <w:qFormat/>
    <w:locked/>
    <w:uiPriority w:val="0"/>
    <w:rPr>
      <w:rFonts w:ascii="Calibri" w:hAnsi="Calibri" w:cs="Calibri"/>
      <w:sz w:val="28"/>
      <w:szCs w:val="28"/>
    </w:rPr>
  </w:style>
  <w:style w:type="paragraph" w:customStyle="1" w:styleId="190">
    <w:name w:val="标书正文格式"/>
    <w:link w:val="189"/>
    <w:qFormat/>
    <w:uiPriority w:val="0"/>
    <w:pPr>
      <w:ind w:firstLine="200" w:firstLineChars="200"/>
    </w:pPr>
    <w:rPr>
      <w:rFonts w:ascii="Calibri" w:hAnsi="Calibri" w:cs="Calibri" w:eastAsiaTheme="minorEastAsia"/>
      <w:kern w:val="2"/>
      <w:sz w:val="28"/>
      <w:szCs w:val="28"/>
      <w:lang w:val="en-US" w:eastAsia="zh-CN" w:bidi="ar-SA"/>
    </w:rPr>
  </w:style>
  <w:style w:type="paragraph" w:customStyle="1" w:styleId="191">
    <w:name w:val="正文首行缩进1"/>
    <w:basedOn w:val="14"/>
    <w:qFormat/>
    <w:uiPriority w:val="99"/>
    <w:pPr>
      <w:ind w:firstLine="420" w:firstLineChars="100"/>
    </w:pPr>
    <w:rPr>
      <w:kern w:val="0"/>
      <w:sz w:val="20"/>
      <w:szCs w:val="24"/>
    </w:rPr>
  </w:style>
  <w:style w:type="paragraph" w:customStyle="1" w:styleId="192">
    <w:name w:val="纯文本1"/>
    <w:basedOn w:val="1"/>
    <w:qFormat/>
    <w:uiPriority w:val="99"/>
    <w:rPr>
      <w:rFonts w:ascii="宋体" w:hAnsi="Courier New" w:cs="Courier New"/>
      <w:sz w:val="21"/>
      <w:szCs w:val="21"/>
    </w:rPr>
  </w:style>
  <w:style w:type="paragraph" w:customStyle="1" w:styleId="193">
    <w:name w:val="列出段落3"/>
    <w:basedOn w:val="1"/>
    <w:qFormat/>
    <w:uiPriority w:val="99"/>
    <w:pPr>
      <w:ind w:firstLine="420" w:firstLineChars="200"/>
    </w:pPr>
    <w:rPr>
      <w:sz w:val="21"/>
      <w:szCs w:val="24"/>
    </w:rPr>
  </w:style>
  <w:style w:type="paragraph" w:customStyle="1" w:styleId="194">
    <w:name w:val="样式1"/>
    <w:basedOn w:val="1"/>
    <w:qFormat/>
    <w:uiPriority w:val="99"/>
    <w:pPr>
      <w:adjustRightInd w:val="0"/>
    </w:pPr>
    <w:rPr>
      <w:rFonts w:ascii="宋体" w:hAnsi="宋体"/>
      <w:kern w:val="0"/>
      <w:sz w:val="21"/>
      <w:szCs w:val="21"/>
    </w:rPr>
  </w:style>
  <w:style w:type="paragraph" w:customStyle="1" w:styleId="195">
    <w:name w:val="列出段落4"/>
    <w:basedOn w:val="1"/>
    <w:qFormat/>
    <w:uiPriority w:val="99"/>
    <w:pPr>
      <w:ind w:firstLine="420" w:firstLineChars="200"/>
    </w:pPr>
    <w:rPr>
      <w:sz w:val="21"/>
      <w:szCs w:val="24"/>
    </w:rPr>
  </w:style>
  <w:style w:type="paragraph" w:customStyle="1" w:styleId="196">
    <w:name w:val="修订2"/>
    <w:qFormat/>
    <w:uiPriority w:val="99"/>
    <w:rPr>
      <w:rFonts w:ascii="Times New Roman" w:hAnsi="Times New Roman" w:eastAsia="宋体" w:cs="Times New Roman"/>
      <w:kern w:val="2"/>
      <w:sz w:val="21"/>
      <w:szCs w:val="24"/>
      <w:lang w:val="en-US" w:eastAsia="zh-CN" w:bidi="ar-SA"/>
    </w:rPr>
  </w:style>
  <w:style w:type="character" w:customStyle="1" w:styleId="197">
    <w:name w:val="QB正文 Char"/>
    <w:link w:val="198"/>
    <w:qFormat/>
    <w:locked/>
    <w:uiPriority w:val="0"/>
    <w:rPr>
      <w:rFonts w:ascii="宋体" w:hAnsi="宋体"/>
      <w:sz w:val="24"/>
      <w:lang w:val="zh-CN"/>
    </w:rPr>
  </w:style>
  <w:style w:type="paragraph" w:customStyle="1" w:styleId="198">
    <w:name w:val="QB正文"/>
    <w:basedOn w:val="1"/>
    <w:link w:val="197"/>
    <w:qFormat/>
    <w:uiPriority w:val="0"/>
    <w:pPr>
      <w:widowControl/>
      <w:autoSpaceDE w:val="0"/>
      <w:autoSpaceDN w:val="0"/>
      <w:spacing w:line="360" w:lineRule="auto"/>
      <w:ind w:firstLine="200" w:firstLineChars="200"/>
    </w:pPr>
    <w:rPr>
      <w:rFonts w:ascii="宋体" w:hAnsi="宋体" w:eastAsiaTheme="minorEastAsia" w:cstheme="minorBidi"/>
      <w:sz w:val="24"/>
      <w:szCs w:val="22"/>
      <w:lang w:val="zh-CN"/>
    </w:rPr>
  </w:style>
  <w:style w:type="paragraph" w:customStyle="1" w:styleId="199">
    <w:name w:val="列出段落5"/>
    <w:basedOn w:val="1"/>
    <w:qFormat/>
    <w:uiPriority w:val="99"/>
    <w:pPr>
      <w:ind w:firstLine="420" w:firstLineChars="200"/>
    </w:pPr>
    <w:rPr>
      <w:sz w:val="21"/>
      <w:szCs w:val="21"/>
    </w:rPr>
  </w:style>
  <w:style w:type="paragraph" w:customStyle="1" w:styleId="200">
    <w:name w:val="p2"/>
    <w:basedOn w:val="1"/>
    <w:qFormat/>
    <w:uiPriority w:val="99"/>
    <w:pPr>
      <w:widowControl/>
      <w:spacing w:line="480" w:lineRule="auto"/>
      <w:ind w:firstLine="420"/>
      <w:jc w:val="left"/>
    </w:pPr>
    <w:rPr>
      <w:rFonts w:ascii="宋体" w:hAnsi="宋体" w:cs="宋体"/>
      <w:kern w:val="0"/>
      <w:sz w:val="21"/>
      <w:szCs w:val="21"/>
    </w:rPr>
  </w:style>
  <w:style w:type="character" w:customStyle="1" w:styleId="201">
    <w:name w:val="列出段落 Char"/>
    <w:link w:val="202"/>
    <w:qFormat/>
    <w:locked/>
    <w:uiPriority w:val="34"/>
    <w:rPr>
      <w:rFonts w:ascii="Calibri" w:hAnsi="Calibri" w:cs="Calibri"/>
    </w:rPr>
  </w:style>
  <w:style w:type="paragraph" w:customStyle="1" w:styleId="202">
    <w:name w:val="_Style 245"/>
    <w:basedOn w:val="1"/>
    <w:next w:val="86"/>
    <w:link w:val="201"/>
    <w:qFormat/>
    <w:uiPriority w:val="34"/>
    <w:pPr>
      <w:ind w:firstLine="420" w:firstLineChars="200"/>
    </w:pPr>
    <w:rPr>
      <w:rFonts w:ascii="Calibri" w:hAnsi="Calibri" w:cs="Calibri" w:eastAsiaTheme="minorEastAsia"/>
      <w:sz w:val="21"/>
      <w:szCs w:val="22"/>
    </w:rPr>
  </w:style>
  <w:style w:type="paragraph" w:customStyle="1" w:styleId="203">
    <w:name w:val="修订12"/>
    <w:semiHidden/>
    <w:qFormat/>
    <w:uiPriority w:val="99"/>
    <w:rPr>
      <w:rFonts w:ascii="Times New Roman" w:hAnsi="Times New Roman" w:eastAsia="宋体" w:cs="Times New Roman"/>
      <w:kern w:val="2"/>
      <w:sz w:val="21"/>
      <w:szCs w:val="24"/>
      <w:lang w:val="en-US" w:eastAsia="zh-CN" w:bidi="ar-SA"/>
    </w:rPr>
  </w:style>
  <w:style w:type="character" w:customStyle="1" w:styleId="204">
    <w:name w:val="Char Char"/>
    <w:qFormat/>
    <w:uiPriority w:val="0"/>
    <w:rPr>
      <w:rFonts w:hint="eastAsia" w:ascii="宋体" w:hAnsi="Courier New" w:eastAsia="宋体"/>
      <w:kern w:val="2"/>
      <w:sz w:val="21"/>
      <w:lang w:val="en-US" w:eastAsia="zh-CN" w:bidi="ar-SA"/>
    </w:rPr>
  </w:style>
  <w:style w:type="character" w:customStyle="1" w:styleId="205">
    <w:name w:val="标题 Char1"/>
    <w:qFormat/>
    <w:uiPriority w:val="0"/>
    <w:rPr>
      <w:rFonts w:hint="default" w:ascii="Cambria" w:hAnsi="Cambria" w:eastAsia="宋体" w:cs="Times New Roman"/>
      <w:b/>
      <w:bCs/>
      <w:sz w:val="32"/>
      <w:szCs w:val="32"/>
    </w:rPr>
  </w:style>
  <w:style w:type="character" w:customStyle="1" w:styleId="206">
    <w:name w:val="正文文本 Char1"/>
    <w:qFormat/>
    <w:uiPriority w:val="0"/>
    <w:rPr>
      <w:rFonts w:hint="default" w:ascii="Times New Roman" w:hAnsi="Times New Roman" w:eastAsia="宋体" w:cs="Times New Roman"/>
      <w:szCs w:val="24"/>
    </w:rPr>
  </w:style>
  <w:style w:type="character" w:customStyle="1" w:styleId="207">
    <w:name w:val="标题 3 Char3"/>
    <w:qFormat/>
    <w:uiPriority w:val="0"/>
    <w:rPr>
      <w:rFonts w:hint="default" w:ascii="Times New Roman" w:hAnsi="Times New Roman" w:eastAsia="黑体" w:cs="Times New Roman"/>
      <w:b/>
      <w:kern w:val="0"/>
      <w:sz w:val="28"/>
      <w:szCs w:val="20"/>
      <w:lang w:val="zh-CN" w:eastAsia="zh-CN"/>
    </w:rPr>
  </w:style>
  <w:style w:type="character" w:customStyle="1" w:styleId="208">
    <w:name w:val="标题 4 Char1"/>
    <w:qFormat/>
    <w:uiPriority w:val="0"/>
    <w:rPr>
      <w:rFonts w:hint="default" w:ascii="Arial" w:hAnsi="Arial" w:eastAsia="黑体" w:cs="Times New Roman"/>
      <w:kern w:val="0"/>
      <w:sz w:val="28"/>
      <w:szCs w:val="20"/>
      <w:lang w:val="zh-CN" w:eastAsia="zh-CN"/>
    </w:rPr>
  </w:style>
  <w:style w:type="character" w:customStyle="1" w:styleId="209">
    <w:name w:val="列出段落 Char1"/>
    <w:qFormat/>
    <w:uiPriority w:val="34"/>
    <w:rPr>
      <w:rFonts w:hint="default" w:ascii="Times New Roman" w:hAnsi="Times New Roman" w:eastAsia="宋体" w:cs="Times New Roman"/>
      <w:szCs w:val="24"/>
      <w:lang w:val="zh-CN" w:eastAsia="zh-CN"/>
    </w:rPr>
  </w:style>
  <w:style w:type="character" w:customStyle="1" w:styleId="210">
    <w:name w:val="para1"/>
    <w:qFormat/>
    <w:uiPriority w:val="0"/>
    <w:rPr>
      <w:rFonts w:hint="default" w:ascii="Arial" w:hAnsi="Arial" w:cs="Arial"/>
      <w:sz w:val="18"/>
    </w:rPr>
  </w:style>
  <w:style w:type="character" w:customStyle="1" w:styleId="211">
    <w:name w:val="title_emph"/>
    <w:qFormat/>
    <w:uiPriority w:val="0"/>
  </w:style>
  <w:style w:type="character" w:customStyle="1" w:styleId="212">
    <w:name w:val="para"/>
    <w:qFormat/>
    <w:uiPriority w:val="0"/>
  </w:style>
  <w:style w:type="character" w:customStyle="1" w:styleId="213">
    <w:name w:val="point_normal"/>
    <w:qFormat/>
    <w:uiPriority w:val="0"/>
  </w:style>
  <w:style w:type="character" w:customStyle="1" w:styleId="214">
    <w:name w:val="small1"/>
    <w:qFormat/>
    <w:uiPriority w:val="0"/>
    <w:rPr>
      <w:rFonts w:hint="default" w:ascii="Verdana" w:hAnsi="Verdana"/>
      <w:sz w:val="17"/>
      <w:szCs w:val="17"/>
    </w:rPr>
  </w:style>
  <w:style w:type="character" w:customStyle="1" w:styleId="215">
    <w:name w:val="v151"/>
    <w:qFormat/>
    <w:uiPriority w:val="0"/>
    <w:rPr>
      <w:spacing w:val="280"/>
      <w:sz w:val="18"/>
      <w:szCs w:val="18"/>
    </w:rPr>
  </w:style>
  <w:style w:type="character" w:customStyle="1" w:styleId="216">
    <w:name w:val="style21"/>
    <w:qFormat/>
    <w:uiPriority w:val="0"/>
    <w:rPr>
      <w:b/>
      <w:bCs/>
    </w:rPr>
  </w:style>
  <w:style w:type="character" w:customStyle="1" w:styleId="217">
    <w:name w:val="标题 2 Char1"/>
    <w:qFormat/>
    <w:uiPriority w:val="0"/>
    <w:rPr>
      <w:rFonts w:hint="default" w:ascii="Arial" w:hAnsi="Arial" w:eastAsia="宋体" w:cs="Arial"/>
      <w:b/>
      <w:sz w:val="30"/>
      <w:lang w:val="en-US" w:eastAsia="zh-CN" w:bidi="ar-SA"/>
    </w:rPr>
  </w:style>
  <w:style w:type="character" w:customStyle="1" w:styleId="218">
    <w:name w:val="正文缩进 Char Char"/>
    <w:qFormat/>
    <w:uiPriority w:val="0"/>
    <w:rPr>
      <w:kern w:val="2"/>
      <w:sz w:val="21"/>
      <w:szCs w:val="24"/>
      <w:lang w:bidi="ar-SA"/>
    </w:rPr>
  </w:style>
  <w:style w:type="character" w:customStyle="1" w:styleId="219">
    <w:name w:val="apple-converted-space"/>
    <w:qFormat/>
    <w:uiPriority w:val="0"/>
  </w:style>
  <w:style w:type="character" w:customStyle="1" w:styleId="220">
    <w:name w:val="apple-style-span"/>
    <w:qFormat/>
    <w:uiPriority w:val="0"/>
  </w:style>
  <w:style w:type="character" w:customStyle="1" w:styleId="221">
    <w:name w:val="标题 4 字符"/>
    <w:qFormat/>
    <w:uiPriority w:val="9"/>
    <w:rPr>
      <w:rFonts w:hint="default" w:ascii="Arial" w:hAnsi="Arial" w:eastAsia="黑体" w:cs="Arial"/>
      <w:sz w:val="28"/>
    </w:rPr>
  </w:style>
  <w:style w:type="character" w:customStyle="1" w:styleId="222">
    <w:name w:val="正文缩进 Char"/>
    <w:qFormat/>
    <w:uiPriority w:val="99"/>
    <w:rPr>
      <w:rFonts w:hint="default" w:ascii="Times New Roman" w:hAnsi="Times New Roman" w:eastAsia="宋体" w:cs="Times New Roman"/>
    </w:rPr>
  </w:style>
  <w:style w:type="paragraph" w:customStyle="1" w:styleId="223">
    <w:name w:val="BodyText1I2"/>
    <w:next w:val="224"/>
    <w:qFormat/>
    <w:uiPriority w:val="0"/>
    <w:pPr>
      <w:widowControl w:val="0"/>
      <w:spacing w:after="120"/>
      <w:ind w:left="420" w:leftChars="200" w:firstLine="420"/>
      <w:jc w:val="both"/>
      <w:textAlignment w:val="baseline"/>
    </w:pPr>
    <w:rPr>
      <w:rFonts w:ascii="Times New Roman" w:hAnsi="Times New Roman" w:eastAsia="方正仿宋_GBK" w:cs="Times New Roman"/>
      <w:kern w:val="2"/>
      <w:sz w:val="21"/>
      <w:lang w:val="en-US" w:eastAsia="zh-CN" w:bidi="ar-SA"/>
    </w:rPr>
  </w:style>
  <w:style w:type="paragraph" w:customStyle="1" w:styleId="224">
    <w:name w:val="PlainText"/>
    <w:qFormat/>
    <w:uiPriority w:val="0"/>
    <w:pPr>
      <w:widowControl w:val="0"/>
      <w:jc w:val="both"/>
      <w:textAlignment w:val="baseline"/>
    </w:pPr>
    <w:rPr>
      <w:rFonts w:ascii="等线" w:hAnsi="Courier New" w:eastAsia="等线" w:cs="Times New Roman"/>
      <w:kern w:val="2"/>
      <w:sz w:val="21"/>
      <w:szCs w:val="24"/>
      <w:lang w:val="en-US" w:eastAsia="zh-CN" w:bidi="ar-SA"/>
    </w:rPr>
  </w:style>
  <w:style w:type="character" w:customStyle="1" w:styleId="225">
    <w:name w:val="font01"/>
    <w:qFormat/>
    <w:uiPriority w:val="0"/>
    <w:rPr>
      <w:rFonts w:hint="eastAsia" w:ascii="宋体" w:hAnsi="宋体" w:eastAsia="宋体" w:cs="宋体"/>
      <w:color w:val="000000"/>
      <w:sz w:val="22"/>
      <w:szCs w:val="22"/>
      <w:u w:val="none"/>
    </w:rPr>
  </w:style>
  <w:style w:type="character" w:customStyle="1" w:styleId="226">
    <w:name w:val="font51"/>
    <w:qFormat/>
    <w:uiPriority w:val="0"/>
    <w:rPr>
      <w:rFonts w:hint="eastAsia" w:ascii="宋体" w:hAnsi="宋体" w:eastAsia="宋体" w:cs="宋体"/>
      <w:color w:val="FF0000"/>
      <w:sz w:val="22"/>
      <w:szCs w:val="22"/>
      <w:u w:val="none"/>
    </w:rPr>
  </w:style>
  <w:style w:type="character" w:customStyle="1" w:styleId="227">
    <w:name w:val="font61"/>
    <w:qFormat/>
    <w:uiPriority w:val="0"/>
    <w:rPr>
      <w:rFonts w:hint="eastAsia" w:ascii="宋体" w:hAnsi="宋体" w:eastAsia="宋体" w:cs="宋体"/>
      <w:color w:val="000000"/>
      <w:sz w:val="22"/>
      <w:szCs w:val="22"/>
      <w:u w:val="none"/>
    </w:rPr>
  </w:style>
  <w:style w:type="character" w:customStyle="1" w:styleId="228">
    <w:name w:val="font41"/>
    <w:qFormat/>
    <w:uiPriority w:val="0"/>
    <w:rPr>
      <w:rFonts w:hint="eastAsia" w:ascii="宋体" w:hAnsi="宋体" w:eastAsia="宋体" w:cs="宋体"/>
      <w:color w:val="000000"/>
      <w:sz w:val="22"/>
      <w:szCs w:val="22"/>
      <w:u w:val="none"/>
    </w:rPr>
  </w:style>
  <w:style w:type="table" w:customStyle="1" w:styleId="229">
    <w:name w:val="网格型1"/>
    <w:basedOn w:val="31"/>
    <w:unhideWhenUsed/>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0">
    <w:name w:val="font121"/>
    <w:qFormat/>
    <w:uiPriority w:val="0"/>
    <w:rPr>
      <w:rFonts w:hint="default" w:ascii="Arial" w:hAnsi="Arial" w:eastAsia="宋体" w:cs="Arial"/>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65CBE0-FDF3-43E9-A38D-566BD7224181}">
  <ds:schemaRefs/>
</ds:datastoreItem>
</file>

<file path=docProps/app.xml><?xml version="1.0" encoding="utf-8"?>
<Properties xmlns="http://schemas.openxmlformats.org/officeDocument/2006/extended-properties" xmlns:vt="http://schemas.openxmlformats.org/officeDocument/2006/docPropsVTypes">
  <Template>Normal</Template>
  <Pages>86</Pages>
  <Words>429</Words>
  <Characters>518</Characters>
  <Lines>287</Lines>
  <Paragraphs>80</Paragraphs>
  <TotalTime>13</TotalTime>
  <ScaleCrop>false</ScaleCrop>
  <LinksUpToDate>false</LinksUpToDate>
  <CharactersWithSpaces>575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2024-04-11T11:11:00Z</dcterms:created>
  <dc:creator>NTKO</dc:creator>
  <cp:lastModifiedBy>山止川行</cp:lastModifiedBy>
  <cp:lastPrinted>2024-05-08T07:42:00Z</cp:lastPrinted>
  <dcterms:modified xsi:type="dcterms:W3CDTF">2025-09-23T10:57:19Z</dcterms:modified>
  <cp:revision>1007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FE54B4B2B44A4BC3ACE33316D1EB3949_12</vt:lpwstr>
  </property>
  <property fmtid="{D5CDD505-2E9C-101B-9397-08002B2CF9AE}" pid="4" name="KSOTemplateDocerSaveRecord">
    <vt:lpwstr>eyJoZGlkIjoiMWZiYzcyMTA0MjhkMmM4MGMzMjJiZjZmNmNiNTBhYzAiLCJ1c2VySWQiOiI3NzM2NDA3NzIifQ==</vt:lpwstr>
  </property>
</Properties>
</file>