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版本号：N511822202600002320260629002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荥经县2026-2027学年义务教育阶段学生作业本</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N5118222026000023</w:t>
      </w:r>
    </w:p>
    <w:p>
      <w:pPr>
        <w:pStyle w:val="null3"/>
        <w:jc w:val="left"/>
        <w:outlineLvl w:val="2"/>
      </w:pPr>
      <w:r>
        <w:rPr>
          <w:rFonts w:ascii="仿宋_GB2312" w:hAnsi="仿宋_GB2312" w:cs="仿宋_GB2312" w:eastAsia="仿宋_GB2312"/>
          <w:sz w:val="28"/>
          <w:b/>
        </w:rPr>
        <w:t>荥经县教育局</w:t>
      </w:r>
    </w:p>
    <w:p>
      <w:pPr>
        <w:pStyle w:val="null3"/>
        <w:jc w:val="center"/>
        <w:outlineLvl w:val="2"/>
      </w:pPr>
      <w:r>
        <w:rPr>
          <w:rFonts w:ascii="仿宋_GB2312" w:hAnsi="仿宋_GB2312" w:cs="仿宋_GB2312" w:eastAsia="仿宋_GB2312"/>
          <w:sz w:val="28"/>
          <w:b/>
        </w:rPr>
        <w:t>四川尚屹中采工程项目管理有限公司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四川尚屹中采工程项目管理有限公司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荥经县教育局</w:t>
      </w:r>
      <w:r>
        <w:rPr>
          <w:rFonts w:ascii="仿宋_GB2312" w:hAnsi="仿宋_GB2312" w:cs="仿宋_GB2312" w:eastAsia="仿宋_GB2312"/>
        </w:rPr>
        <w:t xml:space="preserve"> 委托，拟对 </w:t>
      </w:r>
      <w:r>
        <w:rPr>
          <w:rFonts w:ascii="仿宋_GB2312" w:hAnsi="仿宋_GB2312" w:cs="仿宋_GB2312" w:eastAsia="仿宋_GB2312"/>
        </w:rPr>
        <w:t>荥经县2026-2027学年义务教育阶段学生作业本</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雅安市荥经县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N5118222026000023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荥经县2026-2027学年义务教育阶段学生作业本</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本项目为荥经县2026-2027学年义务教育阶段学生作业本</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为生产企业的须在响应文件中提供《印刷经营许可证》原件扫描件并进行电子签章；供应商为非生产企业的须在响应文件中提供所投产品生产企业的《印刷经营许可证》原件扫描件并进行电子签章（描述：供应商为生产企业的须在响应文件中提供《印刷经营许可证》原件扫描件并进行电子签章；供应商为非生产企业的须在响应文件中提供所投产品生产企业的《印刷经营许可证》原件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荥经县教育局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严道街道荥兴路东三段58号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18081479567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四川尚屹中采工程项目管理有限公司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四川省雅安市雨城区四川省雅安市雨城区大兴街道滨江西路6号蜀天·雨城汇2幢4楼11号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0835-3666828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采购包1：334,490.00元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①按照成本⽀出加合理利润的原则确定，本项⽬定额计取招标代理服务费为6000.00元。包含差旅费等所有相关含税费用，由成交单位支付。成交单位与乙方代理费纠纷与甲方无关。收款单位：四川尚屹中采工程项目管理有限公司 开 户 行：四川银行股份有限公司雅安雨城支行 银行账号：73220100088618198</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荥经县教育局</w:t>
      </w:r>
      <w:r>
        <w:rPr>
          <w:rFonts w:ascii="仿宋_GB2312" w:hAnsi="仿宋_GB2312" w:cs="仿宋_GB2312" w:eastAsia="仿宋_GB2312"/>
        </w:rPr>
        <w:t xml:space="preserve"> 和 </w:t>
      </w:r>
      <w:r>
        <w:rPr>
          <w:rFonts w:ascii="仿宋_GB2312" w:hAnsi="仿宋_GB2312" w:cs="仿宋_GB2312" w:eastAsia="仿宋_GB2312"/>
        </w:rPr>
        <w:t>四川尚屹中采工程项目管理有限公司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荥经县教育局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四川尚屹中采工程项目管理有限公司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项目工作全部完成后，供应商提出验收之日起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按照验收交付标准和方法执行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按照验收交付标准和方法执行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按照验收交付标准和方法和采购文件执行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按照验收交付标准和方法执行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四川尚屹中采工程项目管理有限公司</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四川尚屹中采工程项目管理有限公司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四川尚屹中采工程项目管理有限公司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联系电话：17340282463</w:t>
      </w:r>
    </w:p>
    <w:p>
      <w:pPr>
        <w:pStyle w:val="null3"/>
        <w:jc w:val="left"/>
      </w:pPr>
      <w:r>
        <w:rPr>
          <w:rFonts w:ascii="仿宋_GB2312" w:hAnsi="仿宋_GB2312" w:cs="仿宋_GB2312" w:eastAsia="仿宋_GB2312"/>
        </w:rPr>
        <w:t>地址：四川省雅安市雨城区大兴街道滨江西路6号蜀天·雨城汇2幢4楼11号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334,490.00</w:t>
      </w:r>
    </w:p>
    <w:p>
      <w:pPr>
        <w:pStyle w:val="null3"/>
        <w:jc w:val="left"/>
      </w:pPr>
      <w:r>
        <w:rPr>
          <w:rFonts w:ascii="仿宋_GB2312" w:hAnsi="仿宋_GB2312" w:cs="仿宋_GB2312" w:eastAsia="仿宋_GB2312"/>
        </w:rPr>
        <w:t>采购包最高限价（元）: 334,490.00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A07100300 纸制品</w:t>
            </w:r>
          </w:p>
        </w:tc>
        <w:tc>
          <w:tcPr>
            <w:tcW w:type="dxa" w:w="821"/>
          </w:tcPr>
          <w:p>
            <w:pPr>
              <w:pStyle w:val="null3"/>
              <w:jc w:val="left"/>
            </w:pPr>
            <w:r>
              <w:rPr>
                <w:rFonts w:ascii="仿宋_GB2312" w:hAnsi="仿宋_GB2312" w:cs="仿宋_GB2312" w:eastAsia="仿宋_GB2312"/>
              </w:rPr>
              <w:t>荥经县2026-2027学年义务教育阶段学生作业本</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334,490.00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荥经县2026-2027学年义务教育阶段学生作业本</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1.00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报价以1本16开32开作业本报价参加评分，32开32张作业本价格以16开32张作业本成交价折半计算。</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A07100300 纸制品</w:t>
            </w:r>
          </w:p>
        </w:tc>
        <w:tc>
          <w:tcPr>
            <w:tcW w:type="dxa" w:w="2492"/>
          </w:tcPr>
          <w:p>
            <w:pPr>
              <w:pStyle w:val="null3"/>
              <w:jc w:val="left"/>
            </w:pPr>
            <w:r>
              <w:rPr>
                <w:rFonts w:ascii="仿宋_GB2312" w:hAnsi="仿宋_GB2312" w:cs="仿宋_GB2312" w:eastAsia="仿宋_GB2312"/>
              </w:rPr>
              <w:t>荥经县2026-2027学年义务教育阶段学生作业本</w:t>
            </w:r>
          </w:p>
        </w:tc>
        <w:tc>
          <w:tcPr>
            <w:tcW w:type="dxa" w:w="2492"/>
          </w:tcPr>
          <w:p>
            <w:pPr>
              <w:pStyle w:val="null3"/>
              <w:jc w:val="left"/>
            </w:pPr>
            <w:r>
              <w:rPr>
                <w:rFonts w:ascii="仿宋_GB2312" w:hAnsi="仿宋_GB2312" w:cs="仿宋_GB2312" w:eastAsia="仿宋_GB2312"/>
              </w:rPr>
              <w:t>荥经县2026-2027学年义务教育阶段学生作业本</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标的名称：荥经县2026-2027学年义务教育阶段学生作业本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jc w:val="left"/>
            </w:pPr>
            <w:r>
              <w:rPr>
                <w:rFonts w:ascii="仿宋_GB2312" w:hAnsi="仿宋_GB2312" w:cs="仿宋_GB2312" w:eastAsia="仿宋_GB2312"/>
                <w:sz w:val="24"/>
              </w:rPr>
              <w:t>全县义务教育阶段小学生约7175人，初中约2981人。一学年按小学每生30元，初中每生40元的标准购买一学年义务教育学生作业本，共计经费约</w:t>
            </w:r>
            <w:r>
              <w:rPr>
                <w:rFonts w:ascii="仿宋_GB2312" w:hAnsi="仿宋_GB2312" w:cs="仿宋_GB2312" w:eastAsia="仿宋_GB2312"/>
                <w:sz w:val="24"/>
                <w:color w:val="000000"/>
              </w:rPr>
              <w:t>33.449</w:t>
            </w:r>
            <w:r>
              <w:rPr>
                <w:rFonts w:ascii="仿宋_GB2312" w:hAnsi="仿宋_GB2312" w:cs="仿宋_GB2312" w:eastAsia="仿宋_GB2312"/>
                <w:sz w:val="24"/>
              </w:rPr>
              <w:t>万元。根据中标单价和学校对各种本子的需求确定作业本的品种及数量，作业本具体采购数量及货款支付以全县各学校实际接收数量为准。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作业本</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42"/>
              <w:gridCol w:w="904"/>
              <w:gridCol w:w="791"/>
              <w:gridCol w:w="791"/>
              <w:gridCol w:w="2648"/>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标的名称</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规格</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单价限价</w:t>
                  </w:r>
                </w:p>
              </w:tc>
              <w:tc>
                <w:tcPr>
                  <w:tcW w:type="dxa" w:w="2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技术参数要求</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作业本（大）</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16开32张</w:t>
                  </w:r>
                </w:p>
              </w:tc>
              <w:tc>
                <w:tcPr>
                  <w:tcW w:type="dxa" w:w="7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16开32张</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1元/本）</w:t>
                  </w:r>
                </w:p>
              </w:tc>
              <w:tc>
                <w:tcPr>
                  <w:tcW w:type="dxa" w:w="26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1.纸张定量：内芯≥65g/m²</w:t>
                  </w:r>
                  <w:r>
                    <w:rPr>
                      <w:rFonts w:ascii="仿宋_GB2312" w:hAnsi="仿宋_GB2312" w:cs="仿宋_GB2312" w:eastAsia="仿宋_GB2312"/>
                      <w:sz w:val="22"/>
                    </w:rPr>
                    <w:t>原浆</w:t>
                  </w:r>
                  <w:r>
                    <w:rPr>
                      <w:rFonts w:ascii="仿宋_GB2312" w:hAnsi="仿宋_GB2312" w:cs="仿宋_GB2312" w:eastAsia="仿宋_GB2312"/>
                      <w:sz w:val="22"/>
                    </w:rPr>
                    <w:t>双胶纸，封面</w:t>
                  </w:r>
                  <w:r>
                    <w:rPr>
                      <w:rFonts w:ascii="仿宋_GB2312" w:hAnsi="仿宋_GB2312" w:cs="仿宋_GB2312" w:eastAsia="仿宋_GB2312"/>
                      <w:sz w:val="22"/>
                    </w:rPr>
                    <w:t>≥100g/m²</w:t>
                  </w:r>
                  <w:r>
                    <w:rPr>
                      <w:rFonts w:ascii="仿宋_GB2312" w:hAnsi="仿宋_GB2312" w:cs="仿宋_GB2312" w:eastAsia="仿宋_GB2312"/>
                      <w:sz w:val="22"/>
                    </w:rPr>
                    <w:t>原浆</w:t>
                  </w:r>
                  <w:r>
                    <w:rPr>
                      <w:rFonts w:ascii="仿宋_GB2312" w:hAnsi="仿宋_GB2312" w:cs="仿宋_GB2312" w:eastAsia="仿宋_GB2312"/>
                      <w:sz w:val="22"/>
                    </w:rPr>
                    <w:t>双胶纸；</w:t>
                  </w:r>
                </w:p>
                <w:p>
                  <w:pPr>
                    <w:pStyle w:val="null3"/>
                    <w:jc w:val="left"/>
                  </w:pPr>
                  <w:r>
                    <w:rPr>
                      <w:rFonts w:ascii="仿宋_GB2312" w:hAnsi="仿宋_GB2312" w:cs="仿宋_GB2312" w:eastAsia="仿宋_GB2312"/>
                      <w:sz w:val="22"/>
                    </w:rPr>
                    <w:t>2.无破页、脏迹；</w:t>
                  </w:r>
                </w:p>
                <w:p>
                  <w:pPr>
                    <w:pStyle w:val="null3"/>
                    <w:jc w:val="left"/>
                  </w:pPr>
                  <w:r>
                    <w:rPr>
                      <w:rFonts w:ascii="仿宋_GB2312" w:hAnsi="仿宋_GB2312" w:cs="仿宋_GB2312" w:eastAsia="仿宋_GB2312"/>
                      <w:sz w:val="22"/>
                    </w:rPr>
                    <w:t>3.无白页（图画本除外）；</w:t>
                  </w:r>
                </w:p>
                <w:p>
                  <w:pPr>
                    <w:pStyle w:val="null3"/>
                    <w:jc w:val="left"/>
                  </w:pPr>
                  <w:r>
                    <w:rPr>
                      <w:rFonts w:ascii="仿宋_GB2312" w:hAnsi="仿宋_GB2312" w:cs="仿宋_GB2312" w:eastAsia="仿宋_GB2312"/>
                      <w:sz w:val="22"/>
                    </w:rPr>
                    <w:t>4.张数：</w:t>
                  </w:r>
                  <w:r>
                    <w:rPr>
                      <w:rFonts w:ascii="仿宋_GB2312" w:hAnsi="仿宋_GB2312" w:cs="仿宋_GB2312" w:eastAsia="仿宋_GB2312"/>
                      <w:sz w:val="22"/>
                    </w:rPr>
                    <w:t>封面</w:t>
                  </w:r>
                  <w:r>
                    <w:rPr>
                      <w:rFonts w:ascii="仿宋_GB2312" w:hAnsi="仿宋_GB2312" w:cs="仿宋_GB2312" w:eastAsia="仿宋_GB2312"/>
                      <w:sz w:val="22"/>
                    </w:rPr>
                    <w:t>2张加内页30张共32张</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5.断线：</w:t>
                  </w:r>
                  <w:r>
                    <w:rPr>
                      <w:rFonts w:ascii="仿宋_GB2312" w:hAnsi="仿宋_GB2312" w:cs="仿宋_GB2312" w:eastAsia="仿宋_GB2312"/>
                      <w:sz w:val="22"/>
                    </w:rPr>
                    <w:t>长度＜</w:t>
                  </w:r>
                  <w:r>
                    <w:rPr>
                      <w:rFonts w:ascii="仿宋_GB2312" w:hAnsi="仿宋_GB2312" w:cs="仿宋_GB2312" w:eastAsia="仿宋_GB2312"/>
                      <w:sz w:val="22"/>
                    </w:rPr>
                    <w:t>10mm,每本不应超过2页；长度10mm～20mm,每本不应超过1页；长度＞20mm，不应有</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6.偏斜/mm:≤2.0；</w:t>
                  </w:r>
                </w:p>
                <w:p>
                  <w:pPr>
                    <w:pStyle w:val="null3"/>
                    <w:jc w:val="left"/>
                  </w:pPr>
                  <w:r>
                    <w:rPr>
                      <w:rFonts w:ascii="仿宋_GB2312" w:hAnsi="仿宋_GB2312" w:cs="仿宋_GB2312" w:eastAsia="仿宋_GB2312"/>
                      <w:sz w:val="22"/>
                    </w:rPr>
                    <w:t>7.封面/封底：图案、文字印迹清晰、完整；</w:t>
                  </w:r>
                </w:p>
                <w:p>
                  <w:pPr>
                    <w:pStyle w:val="null3"/>
                    <w:jc w:val="left"/>
                  </w:pPr>
                  <w:r>
                    <w:rPr>
                      <w:rFonts w:ascii="仿宋_GB2312" w:hAnsi="仿宋_GB2312" w:cs="仿宋_GB2312" w:eastAsia="仿宋_GB2312"/>
                      <w:sz w:val="22"/>
                    </w:rPr>
                    <w:t>8.套印偏差/mm:≤0.3；</w:t>
                  </w:r>
                </w:p>
                <w:p>
                  <w:pPr>
                    <w:pStyle w:val="null3"/>
                    <w:jc w:val="left"/>
                  </w:pPr>
                  <w:r>
                    <w:rPr>
                      <w:rFonts w:ascii="仿宋_GB2312" w:hAnsi="仿宋_GB2312" w:cs="仿宋_GB2312" w:eastAsia="仿宋_GB2312"/>
                      <w:sz w:val="22"/>
                    </w:rPr>
                    <w:t>9.内芯纸张施胶度/mm:≥0.75；</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成品整体规格尺寸偏差：</w:t>
                  </w:r>
                  <w:r>
                    <w:rPr>
                      <w:rFonts w:ascii="仿宋_GB2312" w:hAnsi="仿宋_GB2312" w:cs="仿宋_GB2312" w:eastAsia="仿宋_GB2312"/>
                      <w:sz w:val="22"/>
                    </w:rPr>
                    <w:t>±1.5mm；</w:t>
                  </w:r>
                </w:p>
                <w:p>
                  <w:pPr>
                    <w:pStyle w:val="null3"/>
                    <w:jc w:val="left"/>
                  </w:pPr>
                  <w:r>
                    <w:rPr>
                      <w:rFonts w:ascii="仿宋_GB2312" w:hAnsi="仿宋_GB2312" w:cs="仿宋_GB2312" w:eastAsia="仿宋_GB2312"/>
                      <w:sz w:val="22"/>
                    </w:rPr>
                    <w:t>11.内芯D65亮度/（%）：55.0～85.0</w:t>
                  </w:r>
                </w:p>
                <w:p>
                  <w:pPr>
                    <w:pStyle w:val="null3"/>
                    <w:jc w:val="left"/>
                  </w:pPr>
                  <w:r>
                    <w:rPr>
                      <w:rFonts w:ascii="仿宋_GB2312" w:hAnsi="仿宋_GB2312" w:cs="仿宋_GB2312" w:eastAsia="仿宋_GB2312"/>
                      <w:sz w:val="22"/>
                    </w:rPr>
                    <w:t>12.内芯D65荧光亮度/（%）：≤5.0</w:t>
                  </w:r>
                </w:p>
                <w:p>
                  <w:pPr>
                    <w:pStyle w:val="null3"/>
                    <w:jc w:val="left"/>
                  </w:pPr>
                  <w:r>
                    <w:rPr>
                      <w:rFonts w:ascii="仿宋_GB2312" w:hAnsi="仿宋_GB2312" w:cs="仿宋_GB2312" w:eastAsia="仿宋_GB2312"/>
                      <w:sz w:val="22"/>
                    </w:rPr>
                    <w:t>13.内芯平滑度：正面/s≥20，反面/s≥20</w:t>
                  </w:r>
                </w:p>
                <w:p>
                  <w:pPr>
                    <w:pStyle w:val="null3"/>
                    <w:jc w:val="left"/>
                  </w:pPr>
                  <w:r>
                    <w:rPr>
                      <w:rFonts w:ascii="仿宋_GB2312" w:hAnsi="仿宋_GB2312" w:cs="仿宋_GB2312" w:eastAsia="仿宋_GB2312"/>
                      <w:sz w:val="22"/>
                    </w:rPr>
                    <w:t>14.开本方式：竖开式；</w:t>
                  </w:r>
                </w:p>
                <w:p>
                  <w:pPr>
                    <w:pStyle w:val="null3"/>
                    <w:jc w:val="left"/>
                  </w:pPr>
                  <w:r>
                    <w:rPr>
                      <w:rFonts w:ascii="仿宋_GB2312" w:hAnsi="仿宋_GB2312" w:cs="仿宋_GB2312" w:eastAsia="仿宋_GB2312"/>
                      <w:sz w:val="22"/>
                    </w:rPr>
                    <w:t>15.装订：</w:t>
                  </w:r>
                  <w:r>
                    <w:rPr>
                      <w:rFonts w:ascii="仿宋_GB2312" w:hAnsi="仿宋_GB2312" w:cs="仿宋_GB2312" w:eastAsia="仿宋_GB2312"/>
                      <w:sz w:val="22"/>
                    </w:rPr>
                    <w:t>内页平钉后</w:t>
                  </w:r>
                  <w:r>
                    <w:rPr>
                      <w:rFonts w:ascii="仿宋_GB2312" w:hAnsi="仿宋_GB2312" w:cs="仿宋_GB2312" w:eastAsia="仿宋_GB2312"/>
                      <w:sz w:val="22"/>
                    </w:rPr>
                    <w:t>，封面内页用浆胶粘牢；</w:t>
                  </w:r>
                </w:p>
                <w:p>
                  <w:pPr>
                    <w:pStyle w:val="null3"/>
                    <w:jc w:val="left"/>
                  </w:pPr>
                  <w:r>
                    <w:rPr>
                      <w:rFonts w:ascii="仿宋_GB2312" w:hAnsi="仿宋_GB2312" w:cs="仿宋_GB2312" w:eastAsia="仿宋_GB2312"/>
                      <w:sz w:val="22"/>
                    </w:rPr>
                    <w:t>16.印刷要求：内页单面胶印、线条粗细均匀、清晰，色泽均匀一致，封面、封底使用规范字体，无商业性广告；</w:t>
                  </w:r>
                </w:p>
                <w:p>
                  <w:pPr>
                    <w:pStyle w:val="null3"/>
                    <w:jc w:val="left"/>
                  </w:pPr>
                  <w:r>
                    <w:rPr>
                      <w:rFonts w:ascii="仿宋_GB2312" w:hAnsi="仿宋_GB2312" w:cs="仿宋_GB2312" w:eastAsia="仿宋_GB2312"/>
                      <w:sz w:val="22"/>
                    </w:rPr>
                    <w:t>17.封底印刷内容：产品名称、厂名、厂址、规格、页数、执行标准编号、标注“四川省义务教育免费作业本”字样及本地质量监督举报电话、学生资助热线电话等内容。</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作文本（大）</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16开32张</w:t>
                  </w:r>
                </w:p>
              </w:tc>
              <w:tc>
                <w:tcPr>
                  <w:tcW w:type="dxa" w:w="791"/>
                  <w:vMerge/>
                  <w:tcBorders>
                    <w:top w:val="none" w:color="000000" w:sz="4"/>
                    <w:left w:val="single" w:color="000000" w:sz="4"/>
                    <w:bottom w:val="single" w:color="000000" w:sz="4"/>
                    <w:right w:val="single" w:color="000000" w:sz="4"/>
                  </w:tcBorders>
                </w:tcPr>
                <w:p/>
              </w:tc>
              <w:tc>
                <w:tcPr>
                  <w:tcW w:type="dxa" w:w="2648"/>
                  <w:vMerge/>
                  <w:tcBorders>
                    <w:top w:val="none" w:color="000000" w:sz="4"/>
                    <w:left w:val="single" w:color="000000" w:sz="4"/>
                    <w:bottom w:val="singl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英语本（大）</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16开32张</w:t>
                  </w:r>
                </w:p>
              </w:tc>
              <w:tc>
                <w:tcPr>
                  <w:tcW w:type="dxa" w:w="791"/>
                  <w:vMerge/>
                  <w:tcBorders>
                    <w:top w:val="none" w:color="000000" w:sz="4"/>
                    <w:left w:val="single" w:color="000000" w:sz="4"/>
                    <w:bottom w:val="single" w:color="000000" w:sz="4"/>
                    <w:right w:val="single" w:color="000000" w:sz="4"/>
                  </w:tcBorders>
                </w:tcPr>
                <w:p/>
              </w:tc>
              <w:tc>
                <w:tcPr>
                  <w:tcW w:type="dxa" w:w="2648"/>
                  <w:vMerge/>
                  <w:tcBorders>
                    <w:top w:val="none" w:color="000000" w:sz="4"/>
                    <w:left w:val="single" w:color="000000" w:sz="4"/>
                    <w:bottom w:val="singl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练习本（大）</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16开32张</w:t>
                  </w:r>
                </w:p>
              </w:tc>
              <w:tc>
                <w:tcPr>
                  <w:tcW w:type="dxa" w:w="791"/>
                  <w:vMerge/>
                  <w:tcBorders>
                    <w:top w:val="none" w:color="000000" w:sz="4"/>
                    <w:left w:val="single" w:color="000000" w:sz="4"/>
                    <w:bottom w:val="single" w:color="000000" w:sz="4"/>
                    <w:right w:val="single" w:color="000000" w:sz="4"/>
                  </w:tcBorders>
                </w:tcPr>
                <w:p/>
              </w:tc>
              <w:tc>
                <w:tcPr>
                  <w:tcW w:type="dxa" w:w="2648"/>
                  <w:vMerge/>
                  <w:tcBorders>
                    <w:top w:val="none" w:color="000000" w:sz="4"/>
                    <w:left w:val="single" w:color="000000" w:sz="4"/>
                    <w:bottom w:val="singl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图画本（大）</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16开32张</w:t>
                  </w:r>
                </w:p>
              </w:tc>
              <w:tc>
                <w:tcPr>
                  <w:tcW w:type="dxa" w:w="791"/>
                  <w:vMerge/>
                  <w:tcBorders>
                    <w:top w:val="none" w:color="000000" w:sz="4"/>
                    <w:left w:val="single" w:color="000000" w:sz="4"/>
                    <w:bottom w:val="single" w:color="000000" w:sz="4"/>
                    <w:right w:val="single" w:color="000000" w:sz="4"/>
                  </w:tcBorders>
                </w:tcPr>
                <w:p/>
              </w:tc>
              <w:tc>
                <w:tcPr>
                  <w:tcW w:type="dxa" w:w="2648"/>
                  <w:vMerge/>
                  <w:tcBorders>
                    <w:top w:val="none" w:color="000000" w:sz="4"/>
                    <w:left w:val="single" w:color="000000" w:sz="4"/>
                    <w:bottom w:val="singl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作业本（小）</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32开32张</w:t>
                  </w:r>
                </w:p>
              </w:tc>
              <w:tc>
                <w:tcPr>
                  <w:tcW w:type="dxa" w:w="7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32开32张（32开作业本价格以16开作业本成交价折半计算）</w:t>
                  </w:r>
                </w:p>
              </w:tc>
              <w:tc>
                <w:tcPr>
                  <w:tcW w:type="dxa" w:w="2648"/>
                  <w:vMerge/>
                  <w:tcBorders>
                    <w:top w:val="none" w:color="000000" w:sz="4"/>
                    <w:left w:val="single" w:color="000000" w:sz="4"/>
                    <w:bottom w:val="singl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写话本（小）</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32开32张</w:t>
                  </w:r>
                </w:p>
              </w:tc>
              <w:tc>
                <w:tcPr>
                  <w:tcW w:type="dxa" w:w="791"/>
                  <w:vMerge/>
                  <w:tcBorders>
                    <w:top w:val="none" w:color="000000" w:sz="4"/>
                    <w:left w:val="single" w:color="000000" w:sz="4"/>
                    <w:bottom w:val="single" w:color="000000" w:sz="4"/>
                    <w:right w:val="single" w:color="000000" w:sz="4"/>
                  </w:tcBorders>
                </w:tcPr>
                <w:p/>
              </w:tc>
              <w:tc>
                <w:tcPr>
                  <w:tcW w:type="dxa" w:w="2648"/>
                  <w:vMerge/>
                  <w:tcBorders>
                    <w:top w:val="none" w:color="000000" w:sz="4"/>
                    <w:left w:val="single" w:color="000000" w:sz="4"/>
                    <w:bottom w:val="singl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拼音本（小）</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32开32张</w:t>
                  </w:r>
                </w:p>
              </w:tc>
              <w:tc>
                <w:tcPr>
                  <w:tcW w:type="dxa" w:w="791"/>
                  <w:vMerge/>
                  <w:tcBorders>
                    <w:top w:val="none" w:color="000000" w:sz="4"/>
                    <w:left w:val="single" w:color="000000" w:sz="4"/>
                    <w:bottom w:val="single" w:color="000000" w:sz="4"/>
                    <w:right w:val="single" w:color="000000" w:sz="4"/>
                  </w:tcBorders>
                </w:tcPr>
                <w:p/>
              </w:tc>
              <w:tc>
                <w:tcPr>
                  <w:tcW w:type="dxa" w:w="2648"/>
                  <w:vMerge/>
                  <w:tcBorders>
                    <w:top w:val="none" w:color="000000" w:sz="4"/>
                    <w:left w:val="single" w:color="000000" w:sz="4"/>
                    <w:bottom w:val="singl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拼写本（小）</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32开32张</w:t>
                  </w:r>
                </w:p>
              </w:tc>
              <w:tc>
                <w:tcPr>
                  <w:tcW w:type="dxa" w:w="791"/>
                  <w:vMerge/>
                  <w:tcBorders>
                    <w:top w:val="none" w:color="000000" w:sz="4"/>
                    <w:left w:val="single" w:color="000000" w:sz="4"/>
                    <w:bottom w:val="single" w:color="000000" w:sz="4"/>
                    <w:right w:val="single" w:color="000000" w:sz="4"/>
                  </w:tcBorders>
                </w:tcPr>
                <w:p/>
              </w:tc>
              <w:tc>
                <w:tcPr>
                  <w:tcW w:type="dxa" w:w="2648"/>
                  <w:vMerge/>
                  <w:tcBorders>
                    <w:top w:val="none" w:color="000000" w:sz="4"/>
                    <w:left w:val="single" w:color="000000" w:sz="4"/>
                    <w:bottom w:val="single" w:color="000000" w:sz="4"/>
                    <w:right w:val="single" w:color="000000" w:sz="4"/>
                  </w:tcBorders>
                </w:tcPr>
                <w:p/>
              </w:tc>
            </w:tr>
            <w:tr>
              <w:tc>
                <w:tcPr>
                  <w:tcW w:type="dxa" w:w="55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注：作业本具体采购数量以全县各学校实际接收数量为准</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、因一体化平台固定格式，本项目采购标的名称（产品名称）以此为准，供应商所投产品明细表、中小企业声明函、关于符合本国产品标准的声明函中填写的标的名称（产品名称）以此为准。</w:t>
            </w:r>
            <w:r>
              <w:rPr>
                <w:rFonts w:ascii="仿宋_GB2312" w:hAnsi="仿宋_GB2312" w:cs="仿宋_GB2312" w:eastAsia="仿宋_GB2312"/>
                <w:sz w:val="21"/>
              </w:rPr>
              <w:t>2</w:t>
            </w:r>
            <w:r>
              <w:rPr>
                <w:rFonts w:ascii="仿宋_GB2312" w:hAnsi="仿宋_GB2312" w:cs="仿宋_GB2312" w:eastAsia="仿宋_GB2312"/>
                <w:sz w:val="21"/>
              </w:rPr>
              <w:t>、报价以</w:t>
            </w:r>
            <w:r>
              <w:rPr>
                <w:rFonts w:ascii="仿宋_GB2312" w:hAnsi="仿宋_GB2312" w:cs="仿宋_GB2312" w:eastAsia="仿宋_GB2312"/>
                <w:sz w:val="21"/>
              </w:rPr>
              <w:t>1</w:t>
            </w:r>
            <w:r>
              <w:rPr>
                <w:rFonts w:ascii="仿宋_GB2312" w:hAnsi="仿宋_GB2312" w:cs="仿宋_GB2312" w:eastAsia="仿宋_GB2312"/>
                <w:sz w:val="21"/>
              </w:rPr>
              <w:t>本</w:t>
            </w:r>
            <w:r>
              <w:rPr>
                <w:rFonts w:ascii="仿宋_GB2312" w:hAnsi="仿宋_GB2312" w:cs="仿宋_GB2312" w:eastAsia="仿宋_GB2312"/>
                <w:sz w:val="21"/>
              </w:rPr>
              <w:t>16</w:t>
            </w:r>
            <w:r>
              <w:rPr>
                <w:rFonts w:ascii="仿宋_GB2312" w:hAnsi="仿宋_GB2312" w:cs="仿宋_GB2312" w:eastAsia="仿宋_GB2312"/>
                <w:sz w:val="21"/>
              </w:rPr>
              <w:t>开</w:t>
            </w:r>
            <w:r>
              <w:rPr>
                <w:rFonts w:ascii="仿宋_GB2312" w:hAnsi="仿宋_GB2312" w:cs="仿宋_GB2312" w:eastAsia="仿宋_GB2312"/>
                <w:sz w:val="21"/>
              </w:rPr>
              <w:t>32张</w:t>
            </w:r>
            <w:r>
              <w:rPr>
                <w:rFonts w:ascii="仿宋_GB2312" w:hAnsi="仿宋_GB2312" w:cs="仿宋_GB2312" w:eastAsia="仿宋_GB2312"/>
                <w:sz w:val="21"/>
              </w:rPr>
              <w:t>作业本报价参加评分，</w:t>
            </w:r>
            <w:r>
              <w:rPr>
                <w:rFonts w:ascii="仿宋_GB2312" w:hAnsi="仿宋_GB2312" w:cs="仿宋_GB2312" w:eastAsia="仿宋_GB2312"/>
                <w:sz w:val="21"/>
              </w:rPr>
              <w:t>32</w:t>
            </w:r>
            <w:r>
              <w:rPr>
                <w:rFonts w:ascii="仿宋_GB2312" w:hAnsi="仿宋_GB2312" w:cs="仿宋_GB2312" w:eastAsia="仿宋_GB2312"/>
                <w:sz w:val="21"/>
              </w:rPr>
              <w:t>开</w:t>
            </w:r>
            <w:r>
              <w:rPr>
                <w:rFonts w:ascii="仿宋_GB2312" w:hAnsi="仿宋_GB2312" w:cs="仿宋_GB2312" w:eastAsia="仿宋_GB2312"/>
                <w:sz w:val="21"/>
              </w:rPr>
              <w:t>32</w:t>
            </w:r>
            <w:r>
              <w:rPr>
                <w:rFonts w:ascii="仿宋_GB2312" w:hAnsi="仿宋_GB2312" w:cs="仿宋_GB2312" w:eastAsia="仿宋_GB2312"/>
                <w:sz w:val="21"/>
              </w:rPr>
              <w:t>张作业本价格以</w:t>
            </w:r>
            <w:r>
              <w:rPr>
                <w:rFonts w:ascii="仿宋_GB2312" w:hAnsi="仿宋_GB2312" w:cs="仿宋_GB2312" w:eastAsia="仿宋_GB2312"/>
                <w:sz w:val="21"/>
              </w:rPr>
              <w:t>16</w:t>
            </w:r>
            <w:r>
              <w:rPr>
                <w:rFonts w:ascii="仿宋_GB2312" w:hAnsi="仿宋_GB2312" w:cs="仿宋_GB2312" w:eastAsia="仿宋_GB2312"/>
                <w:sz w:val="21"/>
              </w:rPr>
              <w:t>开</w:t>
            </w:r>
            <w:r>
              <w:rPr>
                <w:rFonts w:ascii="仿宋_GB2312" w:hAnsi="仿宋_GB2312" w:cs="仿宋_GB2312" w:eastAsia="仿宋_GB2312"/>
                <w:sz w:val="21"/>
              </w:rPr>
              <w:t>32</w:t>
            </w:r>
            <w:r>
              <w:rPr>
                <w:rFonts w:ascii="仿宋_GB2312" w:hAnsi="仿宋_GB2312" w:cs="仿宋_GB2312" w:eastAsia="仿宋_GB2312"/>
                <w:sz w:val="21"/>
              </w:rPr>
              <w:t>张作业本成交价折半计算</w:t>
            </w:r>
            <w:r>
              <w:rPr>
                <w:rFonts w:ascii="仿宋_GB2312" w:hAnsi="仿宋_GB2312" w:cs="仿宋_GB2312" w:eastAsia="仿宋_GB2312"/>
                <w:sz w:val="21"/>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rPr>
              <w:t>1.售后服务应时间：在质保期内，供应商为采购方提供7×24小时的售后服务。供应商将在收到通知后1小时内予以答复响应；如要求紧急处理，供应商将在3小时内解决问题。</w:t>
            </w:r>
          </w:p>
          <w:p>
            <w:pPr>
              <w:pStyle w:val="null3"/>
              <w:jc w:val="left"/>
            </w:pPr>
            <w:r>
              <w:rPr>
                <w:rFonts w:ascii="仿宋_GB2312" w:hAnsi="仿宋_GB2312" w:cs="仿宋_GB2312" w:eastAsia="仿宋_GB2312"/>
              </w:rPr>
              <w:t>2.供应商应每期开学前免费送到全县各中小学承担货物制造或运输途中导致出现的质量问题，供应商负责包退、作业本品种交换、数量补差、质量包换等义务，所有费用由供应商承担.</w:t>
            </w:r>
          </w:p>
          <w:p>
            <w:pPr>
              <w:pStyle w:val="null3"/>
              <w:jc w:val="left"/>
            </w:pPr>
            <w:r>
              <w:rPr>
                <w:rFonts w:ascii="仿宋_GB2312" w:hAnsi="仿宋_GB2312" w:cs="仿宋_GB2312" w:eastAsia="仿宋_GB2312"/>
              </w:rPr>
              <w:t>3.供应商应单独承诺供货前在荥经县成立售后服务点（提供承诺函）。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1.供应商提供的产品不得损害第三方的专利权、商标权或著作权。如出现侵权，责任由供应商自行承担。</w:t>
            </w:r>
          </w:p>
          <w:p>
            <w:pPr>
              <w:pStyle w:val="null3"/>
              <w:jc w:val="left"/>
            </w:pPr>
            <w:r>
              <w:rPr>
                <w:rFonts w:ascii="仿宋_GB2312" w:hAnsi="仿宋_GB2312" w:cs="仿宋_GB2312" w:eastAsia="仿宋_GB2312"/>
              </w:rPr>
              <w:t>2.供应商所提供货物同时符合或者高于GB 21027-2020（学生用品的安全通用要求）、QB/T 1437-2023（课业薄册）、GB 40070-2021（儿童青少年学习用品近视防控卫生要求）等三个标准。项目实施期间如果出现新的国家或行业标准，按照新标准执行，供应商在响应文件中单独提供承诺函。</w:t>
            </w:r>
          </w:p>
          <w:p>
            <w:pPr>
              <w:pStyle w:val="null3"/>
              <w:jc w:val="left"/>
            </w:pPr>
            <w:r>
              <w:rPr>
                <w:rFonts w:ascii="仿宋_GB2312" w:hAnsi="仿宋_GB2312" w:cs="仿宋_GB2312" w:eastAsia="仿宋_GB2312"/>
              </w:rPr>
              <w:t>3.荥经县教育局有权会同市场监管部门随机抽样对产品进行抽检（至少3个品种以上），并将随机抽取的样本密封送具有资质的第三方检测机构检验，所出具的检验报告作为该批次验收。</w:t>
            </w:r>
          </w:p>
          <w:p>
            <w:pPr>
              <w:pStyle w:val="null3"/>
              <w:jc w:val="left"/>
            </w:pPr>
            <w:r>
              <w:rPr>
                <w:rFonts w:ascii="仿宋_GB2312" w:hAnsi="仿宋_GB2312" w:cs="仿宋_GB2312" w:eastAsia="仿宋_GB2312"/>
              </w:rPr>
              <w:t>4.供应商未报投标产品的品牌和型号的按无效响应文件处理。本项目核心产品以此为准核心产品为：作业本（大）</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配送学校清单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45"/>
              <w:gridCol w:w="2242"/>
            </w:tblGrid>
            <w:tr>
              <w:tc>
                <w:tcPr>
                  <w:tcW w:type="dxa" w:w="3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学</w:t>
                  </w:r>
                  <w:r>
                    <w:rPr>
                      <w:rFonts w:ascii="仿宋_GB2312" w:hAnsi="仿宋_GB2312" w:cs="仿宋_GB2312" w:eastAsia="仿宋_GB2312"/>
                      <w:sz w:val="32"/>
                      <w:b/>
                    </w:rPr>
                    <w:t xml:space="preserve">  </w:t>
                  </w:r>
                  <w:r>
                    <w:rPr>
                      <w:rFonts w:ascii="仿宋_GB2312" w:hAnsi="仿宋_GB2312" w:cs="仿宋_GB2312" w:eastAsia="仿宋_GB2312"/>
                      <w:sz w:val="32"/>
                      <w:b/>
                    </w:rPr>
                    <w:t>校</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距县城公里数</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严道第一初级中学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城内</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严道第二初级中学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城内</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胡长保小学集团</w:t>
                  </w:r>
                  <w:r>
                    <w:rPr>
                      <w:rFonts w:ascii="仿宋_GB2312" w:hAnsi="仿宋_GB2312" w:cs="仿宋_GB2312" w:eastAsia="仿宋_GB2312"/>
                      <w:sz w:val="32"/>
                    </w:rPr>
                    <w:t>（</w:t>
                  </w:r>
                  <w:r>
                    <w:rPr>
                      <w:rFonts w:ascii="仿宋_GB2312" w:hAnsi="仿宋_GB2312" w:cs="仿宋_GB2312" w:eastAsia="仿宋_GB2312"/>
                      <w:sz w:val="32"/>
                    </w:rPr>
                    <w:t>2个校区</w:t>
                  </w:r>
                  <w:r>
                    <w:rPr>
                      <w:rFonts w:ascii="仿宋_GB2312" w:hAnsi="仿宋_GB2312" w:cs="仿宋_GB2312" w:eastAsia="仿宋_GB2312"/>
                      <w:sz w:val="32"/>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城内</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严道第二小学集团</w:t>
                  </w:r>
                  <w:r>
                    <w:rPr>
                      <w:rFonts w:ascii="仿宋_GB2312" w:hAnsi="仿宋_GB2312" w:cs="仿宋_GB2312" w:eastAsia="仿宋_GB2312"/>
                      <w:sz w:val="32"/>
                    </w:rPr>
                    <w:t>（２个校区）</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城内</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五宪乡中心小学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花滩镇中心小学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6</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特殊教育学校</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荥经实验学校</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民建彝族乡中心小学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10</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民建彝族乡大坪村教学点</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15</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荥河乡中心小学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17</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泗坪乡中心小学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22</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新添</w:t>
                  </w:r>
                  <w:r>
                    <w:rPr>
                      <w:rFonts w:ascii="仿宋_GB2312" w:hAnsi="仿宋_GB2312" w:cs="仿宋_GB2312" w:eastAsia="仿宋_GB2312"/>
                      <w:sz w:val="32"/>
                    </w:rPr>
                    <w:t>镇</w:t>
                  </w:r>
                  <w:r>
                    <w:rPr>
                      <w:rFonts w:ascii="仿宋_GB2312" w:hAnsi="仿宋_GB2312" w:cs="仿宋_GB2312" w:eastAsia="仿宋_GB2312"/>
                      <w:sz w:val="32"/>
                    </w:rPr>
                    <w:t>中心小学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5</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宝峰彝族乡中心小学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12</w:t>
                  </w:r>
                </w:p>
              </w:tc>
            </w:tr>
            <w:tr>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新添乡石龙小学</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10</w:t>
                  </w: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自签订合同起365日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1、采购合同签订后，供应商向采购人出具合法有效完整的完税发票及凭证资料，达到付款条件起5日内，据实情况说明为支付合同总金额的40.00%为预付款</w:t>
            </w:r>
          </w:p>
          <w:p>
            <w:pPr>
              <w:pStyle w:val="null3"/>
              <w:jc w:val="left"/>
            </w:pPr>
            <w:r>
              <w:rPr>
                <w:rFonts w:ascii="仿宋_GB2312" w:hAnsi="仿宋_GB2312" w:cs="仿宋_GB2312" w:eastAsia="仿宋_GB2312"/>
              </w:rPr>
              <w:t>2、第一学期送货到校并检测合格且验收合格后，供应商提出结算申请，采购人与供应商据实结算【结算金额=（作业本单价*数量）之和】，供应商向采购人出具合法有效完整的完税发票及凭证资料，达到付款条件起10日内，据实情况说明为采购人与供应商据实结算【结算金额=（作业本单价*数量）之和】，供应商向采购人出具合法有效完整的完税发票及凭证资料。</w:t>
            </w:r>
          </w:p>
          <w:p>
            <w:pPr>
              <w:pStyle w:val="null3"/>
              <w:jc w:val="left"/>
            </w:pPr>
            <w:r>
              <w:rPr>
                <w:rFonts w:ascii="仿宋_GB2312" w:hAnsi="仿宋_GB2312" w:cs="仿宋_GB2312" w:eastAsia="仿宋_GB2312"/>
              </w:rPr>
              <w:t>3、剩余货款根据项目完成配送实际货物数量据实结算，在第二学期送货到校并检测合格且最终验收合格后，供应商提出结算申请，达到付款条件起10日内，据实情况说明为采购人与供应商据实结算【结算金额=（作业本单价*数量）之和】，供应商向采购人出具合法有效完整的完税发票及凭证资料。</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办法：供应商与采购人应严格按照《财政部关于进一步加强政府采购需求和履约验收管理的指导意见》（财库【2016】205号）、《雅安市财政局关于规范政府采购履约验收的通知》(雅财采（2021）50号)以及相关质量要求等进行验收。 验收标准：以国家等相关标准、本采购文件要求、供应商的响应方案和合同作为验收依据，如实际交付的货物与响应方案不符或不满足相关国家标准，供应商承担相应的法律责任。2.荥经县教育局有权会同市场监管部门随机抽样对产品进行抽检（至少3个品种以上），并将随机抽取的样本密封送具有资质的第三方检测机构检验，所出具的检验报告作为该批次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自验收合格之日起，质保期1年。</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成交供应商必须遵守采购合同并执行合同中的各项规定，保证采购合同的正常履行。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责任。3.成交供应商应当遵守采购人的相关项目需求及相关技术要求及实质性条款，实施完成采购合同应当完全满足相关项目需求及相关技术要求及实质性条款，若成交供应商瑕疵履行采购合同，采购人有权单方面无条件解除合同，并由成交供应商承担所有责任。4.有下列情形之一的，当事人可以解除合同：4.1因不可抗力致使不能实现合同目的(由于非成交供应商或采购人原因，致使合同实质性条款无法实现的)；4.2当事人一方迟延履行主要债务，经催告后在合理期限内仍未履行；4.3当事人一方迟延履行债务或者有其他违约行为致使不能实现合同目的；4.4法律规定的其他情形。</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本国产品价格扣除:(1)根据《国务院办公厅关于在政府采购中实施本国产品标准及相关政策的通知》 国办发(2025)34号，符合本国产品标准的可享受价格扣除，本国产品应当符合以下条件:(一)在中国境内生产;(二)在中国境内 生产的组件成本占比达到规定比例:(三)特定产品的关键组件、关键工序符合相关要求。(2)政府采购活动中既有本国产品又有 非本国产品参与竞争的，依法对本国产品给予价格评审优惠，对本国产品的报价给予20%的价格扣除，用扣除后的价格参与 评审。对于仅有本国产品参与竞争的政府采购项目，本国产品不享受价格扣除评审优惠。当采购项目或者采购包中含有多种产 品，供应商为该采购项目或者采购包提供的符合本国产品标准的产品成本之和占该供应商提供的全部产品成本之和的比例达到 80%以上时，依法对该供应商提供的全部产品给予价格评审优惠，即对该供应商提供的全部产品的总报价给予20%的价格扣 除，用扣除后的价格参与评审。(3)供应商应提供《关于符合本国产品标准的声明函》原件(格式见附件《本国产品成本比例的 承诺函》)，未提供的，视为放弃享受本国产品价格扣除优惠政策。(4)当采购项目或者采购包中含有多种产品时，供应商还需 提供《本国产品成本比例的声明函》原件(格式见附件《本国产品成本比例的承诺函》)。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供应商为生产企业的须在响应文件中提供《印刷经营许可证》原件扫描件并进行电子签章；供应商为非生产企业的须在响应文件中提供所投产品生产企业的《印刷经营许可证》原件扫描件并进行电子签章</w:t>
            </w:r>
          </w:p>
        </w:tc>
        <w:tc>
          <w:tcPr>
            <w:tcW w:type="dxa" w:w="3322"/>
          </w:tcPr>
          <w:p>
            <w:pPr>
              <w:pStyle w:val="null3"/>
              <w:jc w:val="left"/>
            </w:pPr>
            <w:r>
              <w:rPr>
                <w:rFonts w:ascii="仿宋_GB2312" w:hAnsi="仿宋_GB2312" w:cs="仿宋_GB2312" w:eastAsia="仿宋_GB2312"/>
              </w:rPr>
              <w:t>供应商为生产企业的须在响应文件中提供《印刷经营许可证》原件扫描件并进行电子签章；供应商为非生产企业的须在响应文件中提供所投产品生产企业的《印刷经营许可证》原件扫描件并进行电子签章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采购文件中的技术、服务要求，商务要求及其他要求</w:t>
            </w:r>
          </w:p>
        </w:tc>
        <w:tc>
          <w:tcPr>
            <w:tcW w:type="dxa" w:w="3322"/>
          </w:tcPr>
          <w:p>
            <w:pPr>
              <w:pStyle w:val="null3"/>
              <w:jc w:val="left"/>
            </w:pPr>
            <w:r>
              <w:rPr>
                <w:rFonts w:ascii="仿宋_GB2312" w:hAnsi="仿宋_GB2312" w:cs="仿宋_GB2312" w:eastAsia="仿宋_GB2312"/>
              </w:rPr>
              <w:t>供应商按要求响应采购文件中的技术、服务要求，商务要求及其他要求。</w:t>
            </w:r>
          </w:p>
        </w:tc>
        <w:tc>
          <w:tcPr>
            <w:tcW w:type="dxa" w:w="1661"/>
          </w:tcPr>
          <w:p>
            <w:pPr>
              <w:pStyle w:val="null3"/>
              <w:jc w:val="left"/>
            </w:pPr>
            <w:r>
              <w:rPr>
                <w:rFonts w:ascii="仿宋_GB2312" w:hAnsi="仿宋_GB2312" w:cs="仿宋_GB2312" w:eastAsia="仿宋_GB2312"/>
              </w:rPr>
              <w:t>产品技术参数响应表,商务应答表.docx,服务应答表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荥经县2026-2027学年义务教育阶段学生作业本</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