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bCs/>
          <w:sz w:val="56"/>
          <w:szCs w:val="56"/>
        </w:rPr>
      </w:pPr>
    </w:p>
    <w:p>
      <w:pPr>
        <w:jc w:val="center"/>
        <w:rPr>
          <w:rFonts w:ascii="宋体" w:hAnsi="宋体" w:cs="宋体"/>
          <w:b/>
          <w:bCs/>
          <w:sz w:val="56"/>
          <w:szCs w:val="56"/>
        </w:rPr>
      </w:pPr>
      <w:r>
        <w:rPr>
          <w:rFonts w:hint="eastAsia" w:ascii="宋体" w:hAnsi="宋体" w:cs="宋体"/>
          <w:b/>
          <w:bCs/>
          <w:sz w:val="56"/>
          <w:szCs w:val="56"/>
        </w:rPr>
        <w:t>海口特勤消防救援站器材装备采购项目</w:t>
      </w:r>
    </w:p>
    <w:p>
      <w:pPr>
        <w:pStyle w:val="19"/>
        <w:jc w:val="cente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sz w:val="28"/>
          <w:szCs w:val="28"/>
        </w:rPr>
      </w:pPr>
      <w:r>
        <w:rPr>
          <w:rFonts w:hint="eastAsia" w:ascii="宋体" w:hAnsi="宋体" w:cs="宋体"/>
          <w:sz w:val="28"/>
          <w:szCs w:val="28"/>
        </w:rPr>
        <w:t xml:space="preserve"> </w:t>
      </w:r>
    </w:p>
    <w:p>
      <w:pPr>
        <w:pStyle w:val="19"/>
        <w:rPr>
          <w:rFonts w:ascii="宋体" w:hAnsi="宋体" w:cs="宋体"/>
          <w:sz w:val="28"/>
          <w:szCs w:val="28"/>
        </w:rPr>
      </w:pPr>
    </w:p>
    <w:p>
      <w:pPr>
        <w:pStyle w:val="20"/>
      </w:pPr>
    </w:p>
    <w:p>
      <w:pPr>
        <w:pStyle w:val="19"/>
        <w:rPr>
          <w:rFonts w:ascii="宋体" w:hAnsi="宋体" w:cs="宋体"/>
          <w:sz w:val="28"/>
          <w:szCs w:val="28"/>
        </w:rPr>
      </w:pPr>
    </w:p>
    <w:p>
      <w:pPr>
        <w:jc w:val="center"/>
        <w:rPr>
          <w:rFonts w:ascii="宋体" w:hAnsi="宋体" w:cs="宋体"/>
          <w:sz w:val="100"/>
          <w:szCs w:val="100"/>
        </w:rPr>
      </w:pPr>
      <w:r>
        <w:rPr>
          <w:rFonts w:hint="eastAsia" w:ascii="宋体" w:hAnsi="宋体" w:cs="宋体"/>
          <w:b/>
          <w:bCs/>
          <w:sz w:val="100"/>
          <w:szCs w:val="100"/>
        </w:rPr>
        <w:t>招 标 文 件</w:t>
      </w:r>
      <w:r>
        <w:rPr>
          <w:rFonts w:hint="eastAsia" w:ascii="宋体" w:hAnsi="宋体" w:cs="宋体"/>
          <w:sz w:val="100"/>
          <w:szCs w:val="100"/>
        </w:rPr>
        <w:t xml:space="preserve">  </w:t>
      </w:r>
    </w:p>
    <w:p>
      <w:pPr>
        <w:pStyle w:val="19"/>
        <w:jc w:val="center"/>
        <w:rPr>
          <w:rFonts w:ascii="宋体" w:hAnsi="宋体" w:cs="宋体"/>
          <w:b/>
          <w:bCs/>
          <w:sz w:val="28"/>
          <w:szCs w:val="28"/>
        </w:rPr>
      </w:pPr>
      <w:bookmarkStart w:id="0" w:name="_Hlk169560046"/>
      <w:r>
        <w:rPr>
          <w:rFonts w:hint="eastAsia" w:ascii="宋体" w:hAnsi="宋体" w:cs="宋体"/>
          <w:b/>
          <w:bCs/>
          <w:sz w:val="28"/>
          <w:szCs w:val="28"/>
        </w:rPr>
        <w:t>项目编号：</w:t>
      </w:r>
      <w:r>
        <w:rPr>
          <w:rFonts w:ascii="宋体" w:hAnsi="宋体" w:cs="宋体"/>
          <w:b/>
          <w:bCs/>
          <w:sz w:val="28"/>
          <w:szCs w:val="28"/>
        </w:rPr>
        <w:t>KMZC2024-G1-01163-YNJT-0001</w:t>
      </w:r>
      <w:bookmarkEnd w:id="0"/>
    </w:p>
    <w:p>
      <w:pPr>
        <w:pStyle w:val="19"/>
        <w:jc w:val="center"/>
        <w:rPr>
          <w:rFonts w:hint="eastAsia" w:ascii="宋体" w:hAnsi="宋体" w:eastAsia="宋体" w:cs="宋体"/>
          <w:sz w:val="28"/>
          <w:szCs w:val="28"/>
          <w:lang w:eastAsia="zh-CN"/>
        </w:rPr>
      </w:pPr>
      <w:r>
        <w:rPr>
          <w:rFonts w:hint="eastAsia" w:ascii="宋体" w:hAnsi="宋体" w:cs="宋体"/>
          <w:b/>
          <w:bCs/>
          <w:sz w:val="28"/>
          <w:szCs w:val="28"/>
        </w:rPr>
        <w:t>招标编号：</w:t>
      </w:r>
      <w:r>
        <w:rPr>
          <w:rFonts w:hint="eastAsia" w:ascii="宋体" w:hAnsi="宋体" w:cs="宋体"/>
          <w:b/>
          <w:bCs/>
          <w:sz w:val="28"/>
          <w:szCs w:val="28"/>
          <w:lang w:eastAsia="zh-CN"/>
        </w:rPr>
        <w:t>JT-KMHK-03</w:t>
      </w:r>
    </w:p>
    <w:p>
      <w:pPr>
        <w:pStyle w:val="20"/>
      </w:pPr>
    </w:p>
    <w:p>
      <w:pPr>
        <w:pStyle w:val="19"/>
        <w:ind w:firstLine="2327" w:firstLineChars="644"/>
        <w:rPr>
          <w:rFonts w:ascii="宋体" w:hAnsi="宋体" w:cs="宋体"/>
          <w:b/>
          <w:sz w:val="36"/>
          <w:szCs w:val="36"/>
        </w:rPr>
      </w:pPr>
    </w:p>
    <w:p>
      <w:pPr>
        <w:pStyle w:val="20"/>
        <w:rPr>
          <w:rFonts w:ascii="宋体" w:hAnsi="宋体" w:cs="宋体"/>
          <w:b/>
          <w:sz w:val="36"/>
          <w:szCs w:val="36"/>
        </w:rPr>
      </w:pPr>
    </w:p>
    <w:p>
      <w:pPr>
        <w:rPr>
          <w:rFonts w:ascii="宋体" w:hAnsi="宋体" w:cs="宋体"/>
          <w:b/>
          <w:sz w:val="36"/>
          <w:szCs w:val="36"/>
        </w:rPr>
      </w:pPr>
    </w:p>
    <w:p>
      <w:pPr>
        <w:rPr>
          <w:rFonts w:ascii="宋体" w:hAnsi="宋体" w:cs="宋体"/>
          <w:b/>
          <w:sz w:val="36"/>
          <w:szCs w:val="36"/>
        </w:rPr>
      </w:pPr>
    </w:p>
    <w:p>
      <w:pPr>
        <w:pStyle w:val="19"/>
        <w:spacing w:line="480" w:lineRule="auto"/>
        <w:jc w:val="center"/>
        <w:rPr>
          <w:rFonts w:ascii="宋体" w:hAnsi="宋体" w:cs="宋体"/>
          <w:b/>
          <w:sz w:val="32"/>
          <w:szCs w:val="32"/>
          <w:u w:val="single"/>
        </w:rPr>
      </w:pPr>
      <w:r>
        <w:rPr>
          <w:rFonts w:hint="eastAsia" w:ascii="宋体" w:hAnsi="宋体" w:cs="宋体"/>
          <w:b/>
          <w:sz w:val="32"/>
          <w:szCs w:val="32"/>
        </w:rPr>
        <w:t>采购人：昆明市西山区人民政府海口街道办事处</w:t>
      </w:r>
    </w:p>
    <w:p>
      <w:pPr>
        <w:pStyle w:val="19"/>
        <w:spacing w:line="480" w:lineRule="auto"/>
        <w:jc w:val="center"/>
        <w:rPr>
          <w:rFonts w:ascii="宋体" w:hAnsi="宋体" w:cs="宋体"/>
          <w:bCs/>
          <w:sz w:val="32"/>
          <w:szCs w:val="32"/>
        </w:rPr>
      </w:pPr>
      <w:r>
        <w:rPr>
          <w:rFonts w:hint="eastAsia" w:ascii="宋体" w:hAnsi="宋体" w:cs="宋体"/>
          <w:b/>
          <w:sz w:val="32"/>
          <w:szCs w:val="32"/>
        </w:rPr>
        <w:t>采购代理机构：云南捷通工程咨询有限公司</w:t>
      </w:r>
    </w:p>
    <w:p>
      <w:pPr>
        <w:pStyle w:val="19"/>
        <w:spacing w:line="480" w:lineRule="auto"/>
        <w:jc w:val="center"/>
        <w:rPr>
          <w:rFonts w:ascii="宋体" w:hAnsi="宋体" w:cs="宋体"/>
          <w:b/>
          <w:sz w:val="32"/>
          <w:szCs w:val="32"/>
        </w:rPr>
        <w:sectPr>
          <w:headerReference r:id="rId3" w:type="first"/>
          <w:pgSz w:w="11905" w:h="16838"/>
          <w:pgMar w:top="1134" w:right="1134" w:bottom="1134" w:left="1134" w:header="720" w:footer="720" w:gutter="0"/>
          <w:pgNumType w:fmt="numberInDash" w:start="1"/>
          <w:cols w:space="0" w:num="1"/>
          <w:docGrid w:type="lines" w:linePitch="331" w:charSpace="0"/>
        </w:sectPr>
      </w:pPr>
      <w:r>
        <w:rPr>
          <w:rFonts w:hint="eastAsia" w:ascii="宋体" w:hAnsi="宋体" w:cs="宋体"/>
          <w:b/>
          <w:sz w:val="32"/>
          <w:szCs w:val="32"/>
        </w:rPr>
        <w:t>日期：二○二四年六月</w:t>
      </w:r>
    </w:p>
    <w:p>
      <w:pPr>
        <w:rPr>
          <w:rFonts w:ascii="宋体" w:hAnsi="宋体" w:cs="宋体"/>
        </w:rPr>
      </w:pPr>
    </w:p>
    <w:p>
      <w:pPr>
        <w:spacing w:line="500" w:lineRule="exact"/>
        <w:jc w:val="center"/>
        <w:rPr>
          <w:rFonts w:ascii="宋体" w:hAnsi="宋体" w:cs="宋体"/>
          <w:b/>
          <w:bCs/>
          <w:sz w:val="44"/>
          <w:szCs w:val="44"/>
        </w:rPr>
      </w:pPr>
      <w:r>
        <w:rPr>
          <w:rFonts w:hint="eastAsia" w:ascii="宋体" w:hAnsi="宋体" w:cs="宋体"/>
          <w:b/>
          <w:bCs/>
          <w:sz w:val="44"/>
          <w:szCs w:val="44"/>
        </w:rPr>
        <w:t>目  录</w:t>
      </w:r>
      <w:bookmarkStart w:id="1" w:name="_Toc29067"/>
      <w:bookmarkEnd w:id="1"/>
      <w:bookmarkStart w:id="2" w:name="_Toc25108"/>
      <w:bookmarkEnd w:id="2"/>
    </w:p>
    <w:p>
      <w:pPr>
        <w:pStyle w:val="30"/>
        <w:tabs>
          <w:tab w:val="right" w:leader="dot" w:pos="9740"/>
        </w:tabs>
        <w:spacing w:line="360" w:lineRule="auto"/>
        <w:rPr>
          <w:rFonts w:ascii="宋体" w:hAnsi="宋体" w:cs="宋体"/>
          <w:b w:val="0"/>
          <w:bCs w:val="0"/>
          <w:sz w:val="21"/>
          <w:szCs w:val="21"/>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"1-3" \h \u </w:instrText>
      </w:r>
      <w:r>
        <w:rPr>
          <w:rFonts w:hint="eastAsia" w:ascii="宋体" w:hAnsi="宋体" w:cs="宋体"/>
          <w:b w:val="0"/>
          <w:bCs w:val="0"/>
          <w:sz w:val="24"/>
          <w:szCs w:val="24"/>
        </w:rPr>
        <w:fldChar w:fldCharType="separate"/>
      </w:r>
      <w:r>
        <w:fldChar w:fldCharType="begin"/>
      </w:r>
      <w:r>
        <w:instrText xml:space="preserve"> HYPERLINK \l "_Toc26812" </w:instrText>
      </w:r>
      <w:r>
        <w:fldChar w:fldCharType="separate"/>
      </w:r>
      <w:r>
        <w:rPr>
          <w:rFonts w:hint="eastAsia" w:ascii="宋体" w:hAnsi="宋体" w:cs="宋体"/>
          <w:b w:val="0"/>
          <w:bCs w:val="0"/>
          <w:kern w:val="44"/>
          <w:sz w:val="21"/>
          <w:szCs w:val="21"/>
        </w:rPr>
        <w:t>注意事项（一）</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_Toc26812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"_Toc28743" </w:instrText>
      </w:r>
      <w:r>
        <w:fldChar w:fldCharType="separate"/>
      </w:r>
      <w:r>
        <w:rPr>
          <w:rFonts w:hint="eastAsia" w:ascii="宋体" w:hAnsi="宋体" w:cs="宋体"/>
          <w:b w:val="0"/>
          <w:bCs w:val="0"/>
          <w:sz w:val="21"/>
          <w:szCs w:val="21"/>
        </w:rPr>
        <w:t>注意事项（二）</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_Toc28743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3</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"_Toc22187" </w:instrText>
      </w:r>
      <w:r>
        <w:fldChar w:fldCharType="separate"/>
      </w:r>
      <w:r>
        <w:rPr>
          <w:rFonts w:hint="eastAsia" w:ascii="宋体" w:hAnsi="宋体" w:cs="宋体"/>
          <w:b w:val="0"/>
          <w:bCs w:val="0"/>
          <w:sz w:val="21"/>
          <w:szCs w:val="21"/>
        </w:rPr>
        <w:t>第一章 招标公告</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_Toc22187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9</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"_Toc5206" </w:instrText>
      </w:r>
      <w:r>
        <w:fldChar w:fldCharType="separate"/>
      </w:r>
      <w:r>
        <w:rPr>
          <w:rFonts w:hint="eastAsia" w:ascii="宋体" w:hAnsi="宋体" w:cs="宋体"/>
          <w:b w:val="0"/>
          <w:bCs w:val="0"/>
          <w:sz w:val="21"/>
          <w:szCs w:val="21"/>
        </w:rPr>
        <w:t>第二章 供应商须知</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_Toc5206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12</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"_Toc10605" </w:instrText>
      </w:r>
      <w:r>
        <w:fldChar w:fldCharType="separate"/>
      </w:r>
      <w:r>
        <w:rPr>
          <w:rFonts w:hint="eastAsia" w:ascii="宋体" w:hAnsi="宋体" w:cs="宋体"/>
          <w:sz w:val="21"/>
          <w:szCs w:val="21"/>
        </w:rPr>
        <w:t>供应商须知前附表</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_Toc10605 \h </w:instrText>
      </w:r>
      <w:r>
        <w:rPr>
          <w:rFonts w:hint="eastAsia" w:ascii="宋体" w:hAnsi="宋体" w:cs="宋体"/>
          <w:sz w:val="21"/>
          <w:szCs w:val="21"/>
        </w:rPr>
        <w:fldChar w:fldCharType="separate"/>
      </w:r>
      <w:r>
        <w:rPr>
          <w:rFonts w:hint="eastAsia" w:ascii="宋体" w:hAnsi="宋体" w:cs="宋体"/>
          <w:sz w:val="21"/>
          <w:szCs w:val="21"/>
        </w:rPr>
        <w:t>12</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"_Toc13391" </w:instrText>
      </w:r>
      <w:r>
        <w:fldChar w:fldCharType="separate"/>
      </w:r>
      <w:r>
        <w:rPr>
          <w:rFonts w:hint="eastAsia" w:ascii="宋体" w:hAnsi="宋体" w:cs="宋体"/>
          <w:sz w:val="21"/>
          <w:szCs w:val="21"/>
        </w:rPr>
        <w:t>1. 总则</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_Toc13391 \h </w:instrText>
      </w:r>
      <w:r>
        <w:rPr>
          <w:rFonts w:hint="eastAsia" w:ascii="宋体" w:hAnsi="宋体" w:cs="宋体"/>
          <w:sz w:val="21"/>
          <w:szCs w:val="21"/>
        </w:rPr>
        <w:fldChar w:fldCharType="separate"/>
      </w:r>
      <w:r>
        <w:rPr>
          <w:rFonts w:hint="eastAsia" w:ascii="宋体" w:hAnsi="宋体" w:cs="宋体"/>
          <w:sz w:val="21"/>
          <w:szCs w:val="21"/>
        </w:rPr>
        <w:t>15</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"_Toc22613" </w:instrText>
      </w:r>
      <w:r>
        <w:fldChar w:fldCharType="separate"/>
      </w:r>
      <w:r>
        <w:rPr>
          <w:rFonts w:hint="eastAsia" w:ascii="宋体" w:hAnsi="宋体" w:cs="宋体"/>
          <w:sz w:val="21"/>
          <w:szCs w:val="21"/>
        </w:rPr>
        <w:t>2. 采购文件</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_Toc22613 \h </w:instrText>
      </w:r>
      <w:r>
        <w:rPr>
          <w:rFonts w:hint="eastAsia" w:ascii="宋体" w:hAnsi="宋体" w:cs="宋体"/>
          <w:sz w:val="21"/>
          <w:szCs w:val="21"/>
        </w:rPr>
        <w:fldChar w:fldCharType="separate"/>
      </w:r>
      <w:r>
        <w:rPr>
          <w:rFonts w:hint="eastAsia" w:ascii="宋体" w:hAnsi="宋体" w:cs="宋体"/>
          <w:sz w:val="21"/>
          <w:szCs w:val="21"/>
        </w:rPr>
        <w:t>16</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"_Toc1436" </w:instrText>
      </w:r>
      <w:r>
        <w:fldChar w:fldCharType="separate"/>
      </w:r>
      <w:r>
        <w:rPr>
          <w:rFonts w:hint="eastAsia" w:ascii="宋体" w:hAnsi="宋体" w:cs="宋体"/>
          <w:sz w:val="21"/>
          <w:szCs w:val="21"/>
        </w:rPr>
        <w:t>3. 投标文件</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_Toc1436 \h </w:instrText>
      </w:r>
      <w:r>
        <w:rPr>
          <w:rFonts w:hint="eastAsia" w:ascii="宋体" w:hAnsi="宋体" w:cs="宋体"/>
          <w:sz w:val="21"/>
          <w:szCs w:val="21"/>
        </w:rPr>
        <w:fldChar w:fldCharType="separate"/>
      </w:r>
      <w:r>
        <w:rPr>
          <w:rFonts w:hint="eastAsia" w:ascii="宋体" w:hAnsi="宋体" w:cs="宋体"/>
          <w:sz w:val="21"/>
          <w:szCs w:val="21"/>
        </w:rPr>
        <w:t>17</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"_Toc24967" </w:instrText>
      </w:r>
      <w:r>
        <w:fldChar w:fldCharType="separate"/>
      </w:r>
      <w:r>
        <w:rPr>
          <w:rFonts w:hint="eastAsia" w:ascii="宋体" w:hAnsi="宋体" w:cs="宋体"/>
          <w:sz w:val="21"/>
          <w:szCs w:val="21"/>
        </w:rPr>
        <w:t>4. 投标</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_Toc24967 \h </w:instrText>
      </w:r>
      <w:r>
        <w:rPr>
          <w:rFonts w:hint="eastAsia" w:ascii="宋体" w:hAnsi="宋体" w:cs="宋体"/>
          <w:sz w:val="21"/>
          <w:szCs w:val="21"/>
        </w:rPr>
        <w:fldChar w:fldCharType="separate"/>
      </w:r>
      <w:r>
        <w:rPr>
          <w:rFonts w:hint="eastAsia" w:ascii="宋体" w:hAnsi="宋体" w:cs="宋体"/>
          <w:sz w:val="21"/>
          <w:szCs w:val="21"/>
        </w:rPr>
        <w:t>19</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"_Toc4149" </w:instrText>
      </w:r>
      <w:r>
        <w:fldChar w:fldCharType="separate"/>
      </w:r>
      <w:r>
        <w:rPr>
          <w:rFonts w:hint="eastAsia" w:ascii="宋体" w:hAnsi="宋体" w:cs="宋体"/>
          <w:sz w:val="21"/>
          <w:szCs w:val="21"/>
        </w:rPr>
        <w:t>5. 开标</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_Toc4149 \h </w:instrText>
      </w:r>
      <w:r>
        <w:rPr>
          <w:rFonts w:hint="eastAsia" w:ascii="宋体" w:hAnsi="宋体" w:cs="宋体"/>
          <w:sz w:val="21"/>
          <w:szCs w:val="21"/>
        </w:rPr>
        <w:fldChar w:fldCharType="separate"/>
      </w:r>
      <w:r>
        <w:rPr>
          <w:rFonts w:hint="eastAsia" w:ascii="宋体" w:hAnsi="宋体" w:cs="宋体"/>
          <w:sz w:val="21"/>
          <w:szCs w:val="21"/>
        </w:rPr>
        <w:t>20</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"_Toc13256" </w:instrText>
      </w:r>
      <w:r>
        <w:fldChar w:fldCharType="separate"/>
      </w:r>
      <w:r>
        <w:rPr>
          <w:rFonts w:hint="eastAsia" w:ascii="宋体" w:hAnsi="宋体" w:cs="宋体"/>
          <w:sz w:val="21"/>
          <w:szCs w:val="21"/>
        </w:rPr>
        <w:t>6. 资格审查</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_Toc13256 \h </w:instrText>
      </w:r>
      <w:r>
        <w:rPr>
          <w:rFonts w:hint="eastAsia" w:ascii="宋体" w:hAnsi="宋体" w:cs="宋体"/>
          <w:sz w:val="21"/>
          <w:szCs w:val="21"/>
        </w:rPr>
        <w:fldChar w:fldCharType="separate"/>
      </w:r>
      <w:r>
        <w:rPr>
          <w:rFonts w:hint="eastAsia" w:ascii="宋体" w:hAnsi="宋体" w:cs="宋体"/>
          <w:sz w:val="21"/>
          <w:szCs w:val="21"/>
        </w:rPr>
        <w:t>20</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"_Toc5482" </w:instrText>
      </w:r>
      <w:r>
        <w:fldChar w:fldCharType="separate"/>
      </w:r>
      <w:r>
        <w:rPr>
          <w:rFonts w:hint="eastAsia" w:ascii="宋体" w:hAnsi="宋体" w:cs="宋体"/>
          <w:sz w:val="21"/>
          <w:szCs w:val="21"/>
        </w:rPr>
        <w:t>7. 评标</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_Toc5482 \h </w:instrText>
      </w:r>
      <w:r>
        <w:rPr>
          <w:rFonts w:hint="eastAsia" w:ascii="宋体" w:hAnsi="宋体" w:cs="宋体"/>
          <w:sz w:val="21"/>
          <w:szCs w:val="21"/>
        </w:rPr>
        <w:fldChar w:fldCharType="separate"/>
      </w:r>
      <w:r>
        <w:rPr>
          <w:rFonts w:hint="eastAsia" w:ascii="宋体" w:hAnsi="宋体" w:cs="宋体"/>
          <w:sz w:val="21"/>
          <w:szCs w:val="21"/>
        </w:rPr>
        <w:t>20</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"_Toc14824" </w:instrText>
      </w:r>
      <w:r>
        <w:fldChar w:fldCharType="separate"/>
      </w:r>
      <w:r>
        <w:rPr>
          <w:rFonts w:hint="eastAsia" w:ascii="宋体" w:hAnsi="宋体" w:cs="宋体"/>
          <w:sz w:val="21"/>
          <w:szCs w:val="21"/>
        </w:rPr>
        <w:t>8. 中标和合同</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_Toc14824 \h </w:instrText>
      </w:r>
      <w:r>
        <w:rPr>
          <w:rFonts w:hint="eastAsia" w:ascii="宋体" w:hAnsi="宋体" w:cs="宋体"/>
          <w:sz w:val="21"/>
          <w:szCs w:val="21"/>
        </w:rPr>
        <w:fldChar w:fldCharType="separate"/>
      </w:r>
      <w:r>
        <w:rPr>
          <w:rFonts w:hint="eastAsia" w:ascii="宋体" w:hAnsi="宋体" w:cs="宋体"/>
          <w:sz w:val="21"/>
          <w:szCs w:val="21"/>
        </w:rPr>
        <w:t>22</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"_Toc9453" </w:instrText>
      </w:r>
      <w:r>
        <w:fldChar w:fldCharType="separate"/>
      </w:r>
      <w:r>
        <w:rPr>
          <w:rFonts w:hint="eastAsia" w:ascii="宋体" w:hAnsi="宋体" w:cs="宋体"/>
          <w:sz w:val="21"/>
          <w:szCs w:val="21"/>
        </w:rPr>
        <w:t>9. 询问与答复</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_Toc9453 \h </w:instrText>
      </w:r>
      <w:r>
        <w:rPr>
          <w:rFonts w:hint="eastAsia" w:ascii="宋体" w:hAnsi="宋体" w:cs="宋体"/>
          <w:sz w:val="21"/>
          <w:szCs w:val="21"/>
        </w:rPr>
        <w:fldChar w:fldCharType="separate"/>
      </w:r>
      <w:r>
        <w:rPr>
          <w:rFonts w:hint="eastAsia" w:ascii="宋体" w:hAnsi="宋体" w:cs="宋体"/>
          <w:sz w:val="21"/>
          <w:szCs w:val="21"/>
        </w:rPr>
        <w:t>23</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"_Toc31823" </w:instrText>
      </w:r>
      <w:r>
        <w:fldChar w:fldCharType="separate"/>
      </w:r>
      <w:r>
        <w:rPr>
          <w:rFonts w:hint="eastAsia" w:ascii="宋体" w:hAnsi="宋体" w:cs="宋体"/>
          <w:sz w:val="21"/>
          <w:szCs w:val="21"/>
        </w:rPr>
        <w:t>10. 质疑、投诉</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_Toc31823 \h </w:instrText>
      </w:r>
      <w:r>
        <w:rPr>
          <w:rFonts w:hint="eastAsia" w:ascii="宋体" w:hAnsi="宋体" w:cs="宋体"/>
          <w:sz w:val="21"/>
          <w:szCs w:val="21"/>
        </w:rPr>
        <w:fldChar w:fldCharType="separate"/>
      </w:r>
      <w:r>
        <w:rPr>
          <w:rFonts w:hint="eastAsia" w:ascii="宋体" w:hAnsi="宋体" w:cs="宋体"/>
          <w:sz w:val="21"/>
          <w:szCs w:val="21"/>
        </w:rPr>
        <w:t>23</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"_Toc1799" </w:instrText>
      </w:r>
      <w:r>
        <w:fldChar w:fldCharType="separate"/>
      </w:r>
      <w:r>
        <w:rPr>
          <w:rFonts w:hint="eastAsia" w:ascii="宋体" w:hAnsi="宋体" w:cs="宋体"/>
          <w:sz w:val="21"/>
          <w:szCs w:val="21"/>
        </w:rPr>
        <w:t>11. 纪律和监督</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_Toc1799 \h </w:instrText>
      </w:r>
      <w:r>
        <w:rPr>
          <w:rFonts w:hint="eastAsia" w:ascii="宋体" w:hAnsi="宋体" w:cs="宋体"/>
          <w:sz w:val="21"/>
          <w:szCs w:val="21"/>
        </w:rPr>
        <w:fldChar w:fldCharType="separate"/>
      </w:r>
      <w:r>
        <w:rPr>
          <w:rFonts w:hint="eastAsia" w:ascii="宋体" w:hAnsi="宋体" w:cs="宋体"/>
          <w:sz w:val="21"/>
          <w:szCs w:val="21"/>
        </w:rPr>
        <w:t>24</w:t>
      </w:r>
      <w:r>
        <w:rPr>
          <w:rFonts w:hint="eastAsia" w:ascii="宋体" w:hAnsi="宋体" w:cs="宋体"/>
          <w:sz w:val="21"/>
          <w:szCs w:val="21"/>
        </w:rPr>
        <w:fldChar w:fldCharType="end"/>
      </w:r>
      <w:r>
        <w:rPr>
          <w:rFonts w:hint="eastAsia" w:ascii="宋体" w:hAnsi="宋体" w:cs="宋体"/>
          <w:sz w:val="21"/>
          <w:szCs w:val="21"/>
        </w:rPr>
        <w:fldChar w:fldCharType="end"/>
      </w:r>
    </w:p>
    <w:p>
      <w:pPr>
        <w:pStyle w:val="34"/>
        <w:tabs>
          <w:tab w:val="right" w:leader="dot" w:pos="9740"/>
        </w:tabs>
        <w:spacing w:line="360" w:lineRule="auto"/>
        <w:rPr>
          <w:rFonts w:ascii="宋体" w:hAnsi="宋体" w:cs="宋体"/>
          <w:sz w:val="21"/>
          <w:szCs w:val="21"/>
        </w:rPr>
      </w:pPr>
      <w:r>
        <w:fldChar w:fldCharType="begin"/>
      </w:r>
      <w:r>
        <w:instrText xml:space="preserve"> HYPERLINK \l "_Toc26039" </w:instrText>
      </w:r>
      <w:r>
        <w:fldChar w:fldCharType="separate"/>
      </w:r>
      <w:r>
        <w:rPr>
          <w:rFonts w:hint="eastAsia" w:ascii="宋体" w:hAnsi="宋体" w:cs="宋体"/>
          <w:sz w:val="21"/>
          <w:szCs w:val="21"/>
        </w:rPr>
        <w:t>12.需要补充的其他内容</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_Toc26039 \h </w:instrText>
      </w:r>
      <w:r>
        <w:rPr>
          <w:rFonts w:hint="eastAsia" w:ascii="宋体" w:hAnsi="宋体" w:cs="宋体"/>
          <w:sz w:val="21"/>
          <w:szCs w:val="21"/>
        </w:rPr>
        <w:fldChar w:fldCharType="separate"/>
      </w:r>
      <w:r>
        <w:rPr>
          <w:rFonts w:hint="eastAsia" w:ascii="宋体" w:hAnsi="宋体" w:cs="宋体"/>
          <w:sz w:val="21"/>
          <w:szCs w:val="21"/>
        </w:rPr>
        <w:t>25</w:t>
      </w:r>
      <w:r>
        <w:rPr>
          <w:rFonts w:hint="eastAsia" w:ascii="宋体" w:hAnsi="宋体" w:cs="宋体"/>
          <w:sz w:val="21"/>
          <w:szCs w:val="21"/>
        </w:rPr>
        <w:fldChar w:fldCharType="end"/>
      </w:r>
      <w:r>
        <w:rPr>
          <w:rFonts w:hint="eastAsia" w:ascii="宋体" w:hAnsi="宋体" w:cs="宋体"/>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"_Toc30928" </w:instrText>
      </w:r>
      <w:r>
        <w:fldChar w:fldCharType="separate"/>
      </w:r>
      <w:r>
        <w:rPr>
          <w:rFonts w:hint="eastAsia" w:ascii="宋体" w:hAnsi="宋体" w:cs="宋体"/>
          <w:b w:val="0"/>
          <w:bCs w:val="0"/>
          <w:sz w:val="21"/>
          <w:szCs w:val="21"/>
        </w:rPr>
        <w:t>第三章 评标办法(综合评分法)</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_Toc30928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26</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"_Toc28405" </w:instrText>
      </w:r>
      <w:r>
        <w:fldChar w:fldCharType="separate"/>
      </w:r>
      <w:r>
        <w:rPr>
          <w:rFonts w:hint="eastAsia" w:ascii="宋体" w:hAnsi="宋体" w:cs="宋体"/>
          <w:b w:val="0"/>
          <w:bCs w:val="0"/>
          <w:kern w:val="44"/>
          <w:sz w:val="21"/>
          <w:szCs w:val="21"/>
        </w:rPr>
        <w:t>第四章 合同条款及格式</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_Toc28405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35</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1"/>
          <w:szCs w:val="21"/>
        </w:rPr>
      </w:pPr>
      <w:r>
        <w:fldChar w:fldCharType="begin"/>
      </w:r>
      <w:r>
        <w:instrText xml:space="preserve"> HYPERLINK \l "_Toc1893" </w:instrText>
      </w:r>
      <w:r>
        <w:fldChar w:fldCharType="separate"/>
      </w:r>
      <w:r>
        <w:rPr>
          <w:rFonts w:hint="eastAsia" w:ascii="宋体" w:hAnsi="宋体" w:cs="宋体"/>
          <w:b w:val="0"/>
          <w:bCs w:val="0"/>
          <w:sz w:val="21"/>
          <w:szCs w:val="21"/>
        </w:rPr>
        <w:t>第五章 采购内容及要求</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_Toc1893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49</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30"/>
        <w:tabs>
          <w:tab w:val="right" w:leader="dot" w:pos="9740"/>
        </w:tabs>
        <w:spacing w:line="360" w:lineRule="auto"/>
        <w:rPr>
          <w:rFonts w:ascii="宋体" w:hAnsi="宋体" w:cs="宋体"/>
          <w:b w:val="0"/>
          <w:bCs w:val="0"/>
          <w:sz w:val="24"/>
          <w:szCs w:val="24"/>
        </w:rPr>
      </w:pPr>
      <w:r>
        <w:fldChar w:fldCharType="begin"/>
      </w:r>
      <w:r>
        <w:instrText xml:space="preserve"> HYPERLINK \l "_Toc29164" </w:instrText>
      </w:r>
      <w:r>
        <w:fldChar w:fldCharType="separate"/>
      </w:r>
      <w:r>
        <w:rPr>
          <w:rFonts w:hint="eastAsia" w:ascii="宋体" w:hAnsi="宋体" w:cs="宋体"/>
          <w:b w:val="0"/>
          <w:bCs w:val="0"/>
          <w:sz w:val="21"/>
          <w:szCs w:val="21"/>
        </w:rPr>
        <w:t>第六章 投标文件格式</w:t>
      </w:r>
      <w:r>
        <w:rPr>
          <w:rFonts w:hint="eastAsia" w:ascii="宋体" w:hAnsi="宋体" w:cs="宋体"/>
          <w:b w:val="0"/>
          <w:bCs w:val="0"/>
          <w:sz w:val="21"/>
          <w:szCs w:val="21"/>
        </w:rPr>
        <w:tab/>
      </w: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PAGEREF _Toc29164 \h </w:instrText>
      </w:r>
      <w:r>
        <w:rPr>
          <w:rFonts w:hint="eastAsia" w:ascii="宋体" w:hAnsi="宋体" w:cs="宋体"/>
          <w:b w:val="0"/>
          <w:bCs w:val="0"/>
          <w:sz w:val="21"/>
          <w:szCs w:val="21"/>
        </w:rPr>
        <w:fldChar w:fldCharType="separate"/>
      </w:r>
      <w:r>
        <w:rPr>
          <w:rFonts w:hint="eastAsia" w:ascii="宋体" w:hAnsi="宋体" w:cs="宋体"/>
          <w:b w:val="0"/>
          <w:bCs w:val="0"/>
          <w:sz w:val="21"/>
          <w:szCs w:val="21"/>
        </w:rPr>
        <w:t>116</w:t>
      </w:r>
      <w:r>
        <w:rPr>
          <w:rFonts w:hint="eastAsia" w:ascii="宋体" w:hAnsi="宋体" w:cs="宋体"/>
          <w:b w:val="0"/>
          <w:bCs w:val="0"/>
          <w:sz w:val="21"/>
          <w:szCs w:val="21"/>
        </w:rPr>
        <w:fldChar w:fldCharType="end"/>
      </w:r>
      <w:r>
        <w:rPr>
          <w:rFonts w:hint="eastAsia" w:ascii="宋体" w:hAnsi="宋体" w:cs="宋体"/>
          <w:b w:val="0"/>
          <w:bCs w:val="0"/>
          <w:sz w:val="21"/>
          <w:szCs w:val="21"/>
        </w:rPr>
        <w:fldChar w:fldCharType="end"/>
      </w:r>
    </w:p>
    <w:p>
      <w:pPr>
        <w:pStyle w:val="23"/>
        <w:tabs>
          <w:tab w:val="right" w:leader="dot" w:pos="9740"/>
        </w:tabs>
        <w:rPr>
          <w:rFonts w:ascii="宋体" w:hAnsi="宋体" w:cs="宋体"/>
          <w:sz w:val="24"/>
          <w:szCs w:val="24"/>
        </w:rPr>
      </w:pPr>
    </w:p>
    <w:p>
      <w:pPr>
        <w:spacing w:line="288" w:lineRule="auto"/>
        <w:rPr>
          <w:rFonts w:ascii="宋体" w:hAnsi="宋体" w:cs="宋体"/>
        </w:rPr>
      </w:pPr>
      <w:r>
        <w:rPr>
          <w:rFonts w:hint="eastAsia" w:ascii="宋体" w:hAnsi="宋体" w:cs="宋体"/>
          <w:sz w:val="24"/>
          <w:szCs w:val="24"/>
        </w:rPr>
        <w:fldChar w:fldCharType="end"/>
      </w:r>
    </w:p>
    <w:p>
      <w:pPr>
        <w:spacing w:line="500" w:lineRule="exact"/>
        <w:jc w:val="center"/>
        <w:rPr>
          <w:rFonts w:ascii="宋体" w:hAnsi="宋体" w:cs="宋体"/>
          <w:sz w:val="24"/>
          <w:szCs w:val="24"/>
        </w:rPr>
      </w:pPr>
      <w:r>
        <w:rPr>
          <w:rFonts w:hint="eastAsia" w:ascii="宋体" w:hAnsi="宋体" w:cs="宋体"/>
          <w:sz w:val="24"/>
          <w:szCs w:val="24"/>
        </w:rPr>
        <w:t xml:space="preserve"> </w:t>
      </w:r>
    </w:p>
    <w:p>
      <w:pPr>
        <w:spacing w:line="400" w:lineRule="exact"/>
        <w:rPr>
          <w:rFonts w:ascii="宋体" w:hAnsi="宋体" w:cs="宋体"/>
        </w:rPr>
        <w:sectPr>
          <w:footerReference r:id="rId4" w:type="default"/>
          <w:pgSz w:w="11905" w:h="16838"/>
          <w:pgMar w:top="1134" w:right="1134" w:bottom="1134" w:left="1134" w:header="720" w:footer="720" w:gutter="0"/>
          <w:pgNumType w:fmt="numberInDash" w:start="1"/>
          <w:cols w:space="0" w:num="1"/>
          <w:docGrid w:type="lines" w:linePitch="331" w:charSpace="0"/>
        </w:sectPr>
      </w:pPr>
      <w:bookmarkStart w:id="3" w:name="_Toc12916"/>
      <w:bookmarkEnd w:id="3"/>
      <w:bookmarkStart w:id="4" w:name="_Toc3039"/>
      <w:bookmarkEnd w:id="4"/>
      <w:bookmarkStart w:id="5" w:name="_Toc24776"/>
    </w:p>
    <w:p>
      <w:pPr>
        <w:pStyle w:val="3"/>
        <w:spacing w:before="0" w:after="0" w:line="360" w:lineRule="auto"/>
        <w:jc w:val="center"/>
        <w:rPr>
          <w:rFonts w:ascii="宋体" w:hAnsi="宋体" w:cs="宋体"/>
        </w:rPr>
      </w:pPr>
      <w:bookmarkStart w:id="6" w:name="_Toc5162"/>
      <w:bookmarkStart w:id="7" w:name="_Toc22187"/>
      <w:bookmarkStart w:id="8" w:name="_Toc7465"/>
      <w:r>
        <w:rPr>
          <w:rFonts w:hint="eastAsia" w:ascii="宋体" w:hAnsi="宋体" w:cs="宋体"/>
          <w:sz w:val="32"/>
          <w:szCs w:val="32"/>
        </w:rPr>
        <w:t>第一章 招标公告</w:t>
      </w:r>
      <w:bookmarkEnd w:id="5"/>
      <w:bookmarkEnd w:id="6"/>
      <w:bookmarkEnd w:id="7"/>
      <w:bookmarkEnd w:id="8"/>
    </w:p>
    <w:p>
      <w:pPr>
        <w:widowControl w:val="0"/>
        <w:pBdr>
          <w:top w:val="single" w:color="auto" w:sz="4" w:space="1"/>
          <w:left w:val="single" w:color="auto" w:sz="4" w:space="4"/>
          <w:bottom w:val="single" w:color="auto" w:sz="4" w:space="1"/>
          <w:right w:val="single" w:color="auto" w:sz="4" w:space="4"/>
        </w:pBdr>
        <w:spacing w:line="360" w:lineRule="auto"/>
        <w:jc w:val="both"/>
        <w:rPr>
          <w:rFonts w:ascii="宋体" w:hAnsi="宋体" w:cs="宋体"/>
          <w:sz w:val="24"/>
          <w:szCs w:val="24"/>
        </w:rPr>
      </w:pPr>
      <w:bookmarkStart w:id="9" w:name="_Toc32031"/>
      <w:bookmarkEnd w:id="9"/>
      <w:bookmarkStart w:id="10" w:name="_Toc29108"/>
      <w:bookmarkEnd w:id="10"/>
      <w:r>
        <w:rPr>
          <w:rFonts w:hint="eastAsia" w:ascii="宋体" w:hAnsi="宋体" w:cs="宋体"/>
          <w:kern w:val="2"/>
          <w:sz w:val="24"/>
          <w:szCs w:val="24"/>
        </w:rPr>
        <w:t>项目概况</w:t>
      </w:r>
    </w:p>
    <w:p>
      <w:pPr>
        <w:widowControl w:val="0"/>
        <w:pBdr>
          <w:top w:val="single" w:color="auto" w:sz="4" w:space="1"/>
          <w:left w:val="single" w:color="auto" w:sz="4" w:space="4"/>
          <w:bottom w:val="single" w:color="auto" w:sz="4" w:space="1"/>
          <w:right w:val="single" w:color="auto" w:sz="4" w:space="4"/>
        </w:pBdr>
        <w:spacing w:line="360" w:lineRule="auto"/>
        <w:ind w:firstLine="482" w:firstLineChars="200"/>
        <w:jc w:val="both"/>
        <w:rPr>
          <w:rFonts w:ascii="宋体" w:hAnsi="宋体" w:cs="宋体"/>
          <w:color w:val="000000"/>
          <w:sz w:val="24"/>
          <w:szCs w:val="24"/>
        </w:rPr>
      </w:pPr>
      <w:r>
        <w:rPr>
          <w:rFonts w:hint="eastAsia" w:ascii="宋体" w:hAnsi="宋体" w:cs="宋体"/>
          <w:b/>
          <w:bCs/>
          <w:sz w:val="24"/>
          <w:szCs w:val="24"/>
        </w:rPr>
        <w:t>海口特勤消防救援站器材装备采购项目</w:t>
      </w:r>
      <w:r>
        <w:rPr>
          <w:rFonts w:hint="eastAsia" w:ascii="宋体" w:hAnsi="宋体" w:cs="宋体"/>
          <w:sz w:val="24"/>
          <w:szCs w:val="24"/>
        </w:rPr>
        <w:t>的潜在供应商，凭企业数字证书（CA）登录政采云平台（http：//www.zcygov.cn）网上报名并获取采购文件及其它资料；未办理企业数字证书（C</w:t>
      </w:r>
      <w:r>
        <w:rPr>
          <w:rFonts w:hint="eastAsia" w:ascii="宋体" w:hAnsi="宋体" w:cs="宋体"/>
          <w:color w:val="000000"/>
          <w:sz w:val="24"/>
          <w:szCs w:val="24"/>
        </w:rPr>
        <w:t>A）的企业需要按照云南省公共资源交易电子认证的要求办理，此为获取采购文件的唯一途径</w:t>
      </w:r>
      <w:r>
        <w:rPr>
          <w:rFonts w:hint="eastAsia" w:ascii="宋体" w:hAnsi="宋体" w:cs="宋体"/>
          <w:color w:val="000000"/>
          <w:kern w:val="2"/>
          <w:sz w:val="24"/>
          <w:szCs w:val="24"/>
        </w:rPr>
        <w:t>，并于</w:t>
      </w:r>
      <w:r>
        <w:rPr>
          <w:rFonts w:hint="eastAsia" w:ascii="宋体" w:hAnsi="宋体" w:cs="宋体"/>
          <w:b/>
          <w:bCs/>
          <w:color w:val="000000"/>
          <w:kern w:val="2"/>
          <w:sz w:val="24"/>
          <w:szCs w:val="24"/>
          <w:u w:val="single"/>
        </w:rPr>
        <w:t>2024年</w:t>
      </w:r>
      <w:r>
        <w:rPr>
          <w:rFonts w:hint="eastAsia" w:ascii="宋体" w:hAnsi="宋体" w:cs="宋体"/>
          <w:b/>
          <w:bCs/>
          <w:color w:val="000000"/>
          <w:kern w:val="2"/>
          <w:sz w:val="24"/>
          <w:szCs w:val="24"/>
          <w:u w:val="single"/>
          <w:lang w:val="en-US" w:eastAsia="zh-CN"/>
        </w:rPr>
        <w:t>07</w:t>
      </w:r>
      <w:r>
        <w:rPr>
          <w:rFonts w:hint="eastAsia" w:ascii="宋体" w:hAnsi="宋体" w:cs="宋体"/>
          <w:b/>
          <w:bCs/>
          <w:color w:val="000000"/>
          <w:kern w:val="2"/>
          <w:sz w:val="24"/>
          <w:szCs w:val="24"/>
          <w:u w:val="single"/>
        </w:rPr>
        <w:t>月</w:t>
      </w:r>
      <w:r>
        <w:rPr>
          <w:rFonts w:hint="eastAsia" w:ascii="宋体" w:hAnsi="宋体" w:cs="宋体"/>
          <w:b/>
          <w:bCs/>
          <w:color w:val="000000"/>
          <w:kern w:val="2"/>
          <w:sz w:val="24"/>
          <w:szCs w:val="24"/>
          <w:u w:val="single"/>
          <w:lang w:val="en-US" w:eastAsia="zh-CN"/>
        </w:rPr>
        <w:t>19</w:t>
      </w:r>
      <w:r>
        <w:rPr>
          <w:rFonts w:hint="eastAsia" w:ascii="宋体" w:hAnsi="宋体" w:cs="宋体"/>
          <w:b/>
          <w:bCs/>
          <w:color w:val="000000"/>
          <w:kern w:val="2"/>
          <w:sz w:val="24"/>
          <w:szCs w:val="24"/>
          <w:u w:val="single"/>
        </w:rPr>
        <w:t>日 09点00分</w:t>
      </w:r>
      <w:r>
        <w:rPr>
          <w:rFonts w:hint="eastAsia" w:ascii="宋体" w:hAnsi="宋体" w:cs="宋体"/>
          <w:bCs/>
          <w:color w:val="000000"/>
          <w:kern w:val="2"/>
          <w:sz w:val="24"/>
          <w:szCs w:val="24"/>
        </w:rPr>
        <w:t>（北京时间）前递交投标文件</w:t>
      </w:r>
      <w:r>
        <w:rPr>
          <w:rFonts w:hint="eastAsia" w:ascii="宋体" w:hAnsi="宋体" w:cs="宋体"/>
          <w:color w:val="000000"/>
          <w:kern w:val="2"/>
          <w:sz w:val="24"/>
          <w:szCs w:val="24"/>
        </w:rPr>
        <w:t>。</w:t>
      </w:r>
    </w:p>
    <w:p>
      <w:pPr>
        <w:pStyle w:val="4"/>
        <w:widowControl/>
        <w:spacing w:before="0" w:after="0" w:line="360" w:lineRule="auto"/>
        <w:rPr>
          <w:rFonts w:ascii="宋体" w:hAnsi="宋体" w:eastAsia="宋体" w:cs="宋体"/>
          <w:bCs w:val="0"/>
          <w:color w:val="000000"/>
          <w:sz w:val="24"/>
          <w:szCs w:val="24"/>
        </w:rPr>
      </w:pPr>
      <w:bookmarkStart w:id="11" w:name="_Toc7225"/>
      <w:bookmarkStart w:id="12" w:name="_Toc13186"/>
      <w:bookmarkStart w:id="13" w:name="_Toc28359002"/>
      <w:bookmarkStart w:id="14" w:name="_Toc35393790"/>
      <w:bookmarkStart w:id="15" w:name="_Toc27859"/>
      <w:bookmarkStart w:id="16" w:name="_Toc35393621"/>
      <w:bookmarkStart w:id="17" w:name="_Toc19288"/>
      <w:bookmarkStart w:id="18" w:name="_Toc23839"/>
      <w:bookmarkStart w:id="19" w:name="_Toc28359079"/>
      <w:bookmarkStart w:id="20" w:name="_Hlk24379207"/>
      <w:r>
        <w:rPr>
          <w:rFonts w:hint="eastAsia" w:ascii="宋体" w:hAnsi="宋体" w:eastAsia="宋体" w:cs="宋体"/>
          <w:bCs w:val="0"/>
          <w:color w:val="000000"/>
          <w:sz w:val="24"/>
          <w:szCs w:val="24"/>
        </w:rPr>
        <w:t>一、项目基本情况</w:t>
      </w:r>
      <w:bookmarkEnd w:id="11"/>
      <w:bookmarkEnd w:id="12"/>
      <w:bookmarkEnd w:id="13"/>
      <w:bookmarkEnd w:id="14"/>
      <w:bookmarkEnd w:id="15"/>
      <w:bookmarkEnd w:id="16"/>
      <w:bookmarkEnd w:id="17"/>
      <w:bookmarkEnd w:id="18"/>
      <w:bookmarkEnd w:id="19"/>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项目编号：KMZC2024-G1-01163-YNJT-0001</w:t>
      </w:r>
    </w:p>
    <w:p>
      <w:pPr>
        <w:widowControl w:val="0"/>
        <w:spacing w:line="360" w:lineRule="auto"/>
        <w:ind w:firstLine="480" w:firstLineChars="200"/>
        <w:jc w:val="both"/>
        <w:rPr>
          <w:rFonts w:hint="eastAsia" w:ascii="宋体" w:hAnsi="宋体" w:eastAsia="宋体" w:cs="宋体"/>
          <w:color w:val="000000"/>
          <w:kern w:val="2"/>
          <w:sz w:val="24"/>
          <w:szCs w:val="24"/>
          <w:lang w:eastAsia="zh-CN"/>
        </w:rPr>
      </w:pPr>
      <w:r>
        <w:rPr>
          <w:rFonts w:hint="eastAsia" w:ascii="宋体" w:hAnsi="宋体" w:cs="宋体"/>
          <w:color w:val="000000"/>
          <w:kern w:val="2"/>
          <w:sz w:val="24"/>
          <w:szCs w:val="24"/>
        </w:rPr>
        <w:t>招标编号：</w:t>
      </w:r>
      <w:r>
        <w:rPr>
          <w:rFonts w:hint="eastAsia" w:ascii="宋体" w:hAnsi="宋体" w:cs="宋体"/>
          <w:color w:val="000000"/>
          <w:kern w:val="2"/>
          <w:sz w:val="24"/>
          <w:szCs w:val="24"/>
          <w:lang w:eastAsia="zh-CN"/>
        </w:rPr>
        <w:t>JT-KMHK-03</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项目名称：</w:t>
      </w:r>
      <w:bookmarkEnd w:id="20"/>
      <w:r>
        <w:rPr>
          <w:rFonts w:hint="eastAsia" w:ascii="宋体" w:hAnsi="宋体" w:cs="宋体"/>
          <w:b/>
          <w:bCs/>
          <w:color w:val="000000"/>
          <w:sz w:val="24"/>
          <w:szCs w:val="24"/>
        </w:rPr>
        <w:t>海口特勤消防救援站器材装备采购项目</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预算金额：2086670</w:t>
      </w:r>
      <w:r>
        <w:rPr>
          <w:rFonts w:ascii="宋体" w:hAnsi="宋体" w:cs="宋体"/>
          <w:color w:val="000000"/>
          <w:kern w:val="2"/>
          <w:sz w:val="24"/>
          <w:szCs w:val="24"/>
        </w:rPr>
        <w:t>.00</w:t>
      </w:r>
      <w:r>
        <w:rPr>
          <w:rFonts w:hint="eastAsia" w:ascii="宋体" w:hAnsi="宋体" w:cs="宋体"/>
          <w:color w:val="000000"/>
          <w:kern w:val="2"/>
          <w:sz w:val="24"/>
          <w:szCs w:val="24"/>
        </w:rPr>
        <w:t>元（大写：贰佰零捌万陆仟陆佰柒拾元整）</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最高限价：2086670</w:t>
      </w:r>
      <w:r>
        <w:rPr>
          <w:rFonts w:ascii="宋体" w:hAnsi="宋体" w:cs="宋体"/>
          <w:color w:val="000000"/>
          <w:kern w:val="2"/>
          <w:sz w:val="24"/>
          <w:szCs w:val="24"/>
        </w:rPr>
        <w:t>.00</w:t>
      </w:r>
      <w:r>
        <w:rPr>
          <w:rFonts w:hint="eastAsia" w:ascii="宋体" w:hAnsi="宋体" w:cs="宋体"/>
          <w:color w:val="000000"/>
          <w:kern w:val="2"/>
          <w:sz w:val="24"/>
          <w:szCs w:val="24"/>
        </w:rPr>
        <w:t>元（大写：贰佰零捌万陆仟陆佰柒拾元整）</w:t>
      </w:r>
    </w:p>
    <w:p>
      <w:pPr>
        <w:spacing w:line="360" w:lineRule="auto"/>
        <w:ind w:firstLine="480" w:firstLineChars="200"/>
        <w:rPr>
          <w:rFonts w:ascii="宋体" w:hAnsi="宋体"/>
          <w:color w:val="000000"/>
          <w:sz w:val="24"/>
          <w:szCs w:val="24"/>
        </w:rPr>
      </w:pPr>
      <w:r>
        <w:rPr>
          <w:rFonts w:hint="eastAsia" w:ascii="宋体" w:hAnsi="宋体" w:cs="宋体"/>
          <w:color w:val="000000"/>
          <w:kern w:val="2"/>
          <w:sz w:val="24"/>
          <w:szCs w:val="24"/>
        </w:rPr>
        <w:t>采购需求：</w:t>
      </w:r>
      <w:r>
        <w:rPr>
          <w:rFonts w:hint="eastAsia" w:ascii="宋体" w:hAnsi="宋体"/>
          <w:color w:val="000000"/>
          <w:sz w:val="24"/>
          <w:szCs w:val="24"/>
        </w:rPr>
        <w:t>详细内容见“第五章 采购内容及要求”。</w:t>
      </w:r>
    </w:p>
    <w:p>
      <w:pPr>
        <w:spacing w:line="360" w:lineRule="auto"/>
        <w:ind w:firstLine="480" w:firstLineChars="200"/>
        <w:rPr>
          <w:color w:val="000000"/>
          <w:highlight w:val="yellow"/>
        </w:rPr>
      </w:pPr>
      <w:r>
        <w:rPr>
          <w:rFonts w:hint="eastAsia" w:ascii="宋体" w:hAnsi="宋体" w:cs="宋体"/>
          <w:color w:val="000000"/>
          <w:sz w:val="24"/>
        </w:rPr>
        <w:t xml:space="preserve">合同履行期限：合同签订完毕日起3个月内完成供货，交采购人验收。质保期不少于2年，时间自采购人验收合格之日起（若参数中质保期大于2年的，以参数中明确的为准）（自验收合格之日起开始计算）。 </w:t>
      </w:r>
    </w:p>
    <w:p>
      <w:pPr>
        <w:pStyle w:val="4"/>
        <w:widowControl/>
        <w:spacing w:before="0" w:after="0" w:line="360" w:lineRule="auto"/>
        <w:rPr>
          <w:rFonts w:ascii="宋体" w:hAnsi="宋体" w:eastAsia="宋体" w:cs="宋体"/>
          <w:bCs w:val="0"/>
          <w:color w:val="000000"/>
          <w:sz w:val="24"/>
          <w:szCs w:val="24"/>
        </w:rPr>
      </w:pPr>
      <w:bookmarkStart w:id="21" w:name="_Toc28359080"/>
      <w:bookmarkStart w:id="22" w:name="_Toc35393622"/>
      <w:bookmarkStart w:id="23" w:name="_Toc28359003"/>
      <w:bookmarkStart w:id="24" w:name="_Toc26036"/>
      <w:bookmarkStart w:id="25" w:name="_Toc35393791"/>
      <w:bookmarkStart w:id="26" w:name="_Toc29297"/>
      <w:bookmarkStart w:id="27" w:name="_Toc12739"/>
      <w:bookmarkStart w:id="28" w:name="_Toc15243"/>
      <w:bookmarkStart w:id="29" w:name="_Toc2051"/>
      <w:r>
        <w:rPr>
          <w:rFonts w:hint="eastAsia" w:ascii="宋体" w:hAnsi="宋体" w:eastAsia="宋体" w:cs="宋体"/>
          <w:bCs w:val="0"/>
          <w:color w:val="000000"/>
          <w:sz w:val="24"/>
          <w:szCs w:val="24"/>
        </w:rPr>
        <w:t>二、供应商的资格要求</w:t>
      </w:r>
      <w:bookmarkEnd w:id="21"/>
      <w:bookmarkEnd w:id="22"/>
      <w:bookmarkEnd w:id="23"/>
      <w:bookmarkEnd w:id="24"/>
      <w:bookmarkEnd w:id="25"/>
      <w:bookmarkEnd w:id="26"/>
      <w:bookmarkEnd w:id="27"/>
      <w:bookmarkEnd w:id="28"/>
      <w:bookmarkEnd w:id="29"/>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1.满足《中华人民共和国政府采购法》第二十二条规定：</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1.1具有独立承担民事责任的能力；</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1.2具有良好的商业信誉和健全的财务会计制度；</w:t>
      </w:r>
    </w:p>
    <w:p>
      <w:pPr>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1.3具有履行合同所必需的设备和专业技术能力；</w:t>
      </w:r>
    </w:p>
    <w:p>
      <w:pPr>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1.4有依法缴纳税收和社会保障资金的良好记录；</w:t>
      </w:r>
    </w:p>
    <w:p>
      <w:pPr>
        <w:spacing w:line="360" w:lineRule="auto"/>
        <w:ind w:firstLine="480" w:firstLineChars="200"/>
        <w:jc w:val="both"/>
        <w:rPr>
          <w:rFonts w:ascii="宋体" w:hAnsi="宋体" w:cs="宋体"/>
          <w:color w:val="000000"/>
          <w:sz w:val="24"/>
          <w:szCs w:val="24"/>
        </w:rPr>
      </w:pPr>
      <w:r>
        <w:rPr>
          <w:rFonts w:hint="eastAsia" w:ascii="宋体" w:hAnsi="宋体" w:cs="宋体"/>
          <w:color w:val="000000"/>
          <w:sz w:val="24"/>
          <w:szCs w:val="24"/>
        </w:rPr>
        <w:t>1.5参加政府采购活动前三年内，在经营活动中没有重大违法记录；</w:t>
      </w:r>
    </w:p>
    <w:p>
      <w:pPr>
        <w:spacing w:line="360" w:lineRule="auto"/>
        <w:ind w:firstLine="480" w:firstLineChars="200"/>
        <w:jc w:val="both"/>
        <w:rPr>
          <w:color w:val="000000"/>
        </w:rPr>
      </w:pPr>
      <w:r>
        <w:rPr>
          <w:rFonts w:hint="eastAsia" w:ascii="宋体" w:hAnsi="宋体" w:cs="宋体"/>
          <w:color w:val="000000"/>
          <w:sz w:val="24"/>
          <w:szCs w:val="24"/>
        </w:rPr>
        <w:t>1.6法律、行政法规规定的其他条件</w:t>
      </w:r>
      <w:r>
        <w:rPr>
          <w:rFonts w:hint="eastAsia" w:ascii="宋体" w:hAnsi="宋体" w:cs="宋体"/>
          <w:color w:val="000000"/>
          <w:sz w:val="24"/>
        </w:rPr>
        <w:t>。</w:t>
      </w:r>
    </w:p>
    <w:p>
      <w:pPr>
        <w:spacing w:line="360" w:lineRule="auto"/>
        <w:ind w:firstLine="480" w:firstLineChars="200"/>
        <w:rPr>
          <w:color w:val="000000"/>
        </w:rPr>
      </w:pPr>
      <w:bookmarkStart w:id="30" w:name="_Toc28359004"/>
      <w:bookmarkStart w:id="31" w:name="_Toc28359081"/>
      <w:r>
        <w:rPr>
          <w:rFonts w:hint="eastAsia" w:ascii="宋体" w:hAnsi="宋体" w:cs="宋体"/>
          <w:color w:val="000000"/>
          <w:kern w:val="2"/>
          <w:sz w:val="24"/>
          <w:szCs w:val="24"/>
        </w:rPr>
        <w:t>2.落实政府采购政策需满足的资格要求：</w:t>
      </w:r>
      <w:r>
        <w:rPr>
          <w:rFonts w:hint="eastAsia" w:ascii="宋体" w:hAnsi="宋体" w:cs="宋体"/>
          <w:bCs/>
          <w:color w:val="000000"/>
          <w:sz w:val="24"/>
        </w:rPr>
        <w:t>本项目不属于专门面向中小企业采购的项目，需落实政府采购政策为：促进中小企业发展政策、支持监狱企业发展政策、支持残疾人福利性单位发展政策、采购节能产品、环境标志产品相关政策</w:t>
      </w:r>
      <w:r>
        <w:rPr>
          <w:rFonts w:hint="eastAsia" w:ascii="宋体" w:hAnsi="宋体" w:cs="宋体"/>
          <w:color w:val="000000"/>
          <w:sz w:val="24"/>
        </w:rPr>
        <w:t>等。</w:t>
      </w:r>
    </w:p>
    <w:p>
      <w:pPr>
        <w:pStyle w:val="19"/>
        <w:widowControl w:val="0"/>
        <w:ind w:firstLine="480" w:firstLineChars="200"/>
        <w:rPr>
          <w:rFonts w:ascii="宋体" w:hAnsi="宋体" w:cs="宋体"/>
          <w:color w:val="000000"/>
          <w:sz w:val="24"/>
        </w:rPr>
      </w:pPr>
      <w:r>
        <w:rPr>
          <w:rFonts w:hint="eastAsia" w:ascii="宋体" w:hAnsi="宋体" w:cs="宋体"/>
          <w:color w:val="000000"/>
          <w:sz w:val="24"/>
        </w:rPr>
        <w:t>3.本项目的特定资格要求：</w:t>
      </w:r>
    </w:p>
    <w:p>
      <w:pPr>
        <w:pStyle w:val="19"/>
        <w:widowControl w:val="0"/>
        <w:ind w:firstLine="480" w:firstLineChars="200"/>
        <w:rPr>
          <w:rFonts w:ascii="宋体" w:hAnsi="宋体" w:cs="宋体"/>
          <w:color w:val="000000"/>
          <w:sz w:val="24"/>
        </w:rPr>
      </w:pPr>
      <w:r>
        <w:rPr>
          <w:rFonts w:hint="eastAsia" w:ascii="宋体" w:hAnsi="宋体" w:cs="宋体"/>
          <w:color w:val="000000"/>
          <w:sz w:val="24"/>
        </w:rPr>
        <w:t xml:space="preserve">①单位负责人为同一人或者存在直接控股、管理关系的不同供应商，不得参加同一包或未分包的同一项目下的政府采购活动。 </w:t>
      </w:r>
    </w:p>
    <w:p>
      <w:pPr>
        <w:pStyle w:val="19"/>
        <w:widowControl w:val="0"/>
        <w:ind w:firstLine="480" w:firstLineChars="200"/>
        <w:rPr>
          <w:rFonts w:ascii="宋体" w:hAnsi="宋体" w:cs="宋体"/>
          <w:color w:val="000000"/>
          <w:sz w:val="24"/>
        </w:rPr>
      </w:pPr>
      <w:r>
        <w:rPr>
          <w:rFonts w:hint="eastAsia" w:ascii="宋体" w:hAnsi="宋体" w:cs="宋体"/>
          <w:color w:val="000000"/>
          <w:sz w:val="24"/>
        </w:rPr>
        <w:t xml:space="preserve">②列入失信被执行人、重大税收违法案件当事人名单、政府采购严重违法失信行为记录名单的供应商不得参与本项目政府采购活动。 </w:t>
      </w:r>
    </w:p>
    <w:p>
      <w:pPr>
        <w:pStyle w:val="4"/>
        <w:widowControl/>
        <w:spacing w:before="0" w:after="0" w:line="360" w:lineRule="auto"/>
        <w:rPr>
          <w:rFonts w:ascii="宋体" w:hAnsi="宋体" w:eastAsia="宋体" w:cs="宋体"/>
          <w:bCs w:val="0"/>
          <w:color w:val="000000"/>
          <w:sz w:val="24"/>
          <w:szCs w:val="24"/>
        </w:rPr>
      </w:pPr>
      <w:bookmarkStart w:id="32" w:name="_Toc16901"/>
      <w:bookmarkStart w:id="33" w:name="_Toc35393623"/>
      <w:bookmarkStart w:id="34" w:name="_Toc990"/>
      <w:bookmarkStart w:id="35" w:name="_Toc29745"/>
      <w:bookmarkStart w:id="36" w:name="_Toc20061"/>
      <w:bookmarkStart w:id="37" w:name="_Toc6437"/>
      <w:bookmarkStart w:id="38" w:name="_Toc35393792"/>
      <w:r>
        <w:rPr>
          <w:rFonts w:hint="eastAsia" w:ascii="宋体" w:hAnsi="宋体" w:eastAsia="宋体" w:cs="宋体"/>
          <w:bCs w:val="0"/>
          <w:color w:val="000000"/>
          <w:sz w:val="24"/>
          <w:szCs w:val="24"/>
        </w:rPr>
        <w:t>三、获取采购文件</w:t>
      </w:r>
      <w:bookmarkEnd w:id="30"/>
      <w:bookmarkEnd w:id="31"/>
      <w:bookmarkEnd w:id="32"/>
      <w:bookmarkEnd w:id="33"/>
      <w:bookmarkEnd w:id="34"/>
      <w:bookmarkEnd w:id="35"/>
      <w:bookmarkEnd w:id="36"/>
      <w:bookmarkEnd w:id="37"/>
      <w:bookmarkEnd w:id="38"/>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1.时间：2024年06月</w:t>
      </w:r>
      <w:r>
        <w:rPr>
          <w:rFonts w:hint="eastAsia" w:ascii="宋体" w:hAnsi="宋体" w:cs="宋体"/>
          <w:color w:val="000000" w:themeColor="text1"/>
          <w:sz w:val="24"/>
          <w:u w:val="single"/>
          <w:lang w:val="en-US" w:eastAsia="zh-CN"/>
        </w:rPr>
        <w:t>27</w:t>
      </w:r>
      <w:r>
        <w:rPr>
          <w:rFonts w:hint="eastAsia" w:ascii="宋体" w:hAnsi="宋体" w:cs="宋体"/>
          <w:color w:val="000000" w:themeColor="text1"/>
          <w:sz w:val="24"/>
        </w:rPr>
        <w:t>日</w:t>
      </w:r>
      <w:r>
        <w:rPr>
          <w:rFonts w:hint="eastAsia" w:ascii="宋体" w:hAnsi="宋体" w:cs="宋体"/>
          <w:color w:val="000000" w:themeColor="text1"/>
          <w:sz w:val="24"/>
          <w:lang w:val="en-US" w:eastAsia="zh-CN"/>
        </w:rPr>
        <w:t>00</w:t>
      </w:r>
      <w:r>
        <w:rPr>
          <w:rFonts w:hint="eastAsia" w:ascii="宋体" w:hAnsi="宋体" w:cs="宋体"/>
          <w:color w:val="000000" w:themeColor="text1"/>
          <w:sz w:val="24"/>
        </w:rPr>
        <w:t>时00分至2024年</w:t>
      </w:r>
      <w:r>
        <w:rPr>
          <w:rFonts w:hint="eastAsia" w:ascii="宋体" w:hAnsi="宋体" w:cs="宋体"/>
          <w:color w:val="000000" w:themeColor="text1"/>
          <w:sz w:val="24"/>
          <w:lang w:val="en-US" w:eastAsia="zh-CN"/>
        </w:rPr>
        <w:t>07</w:t>
      </w:r>
      <w:r>
        <w:rPr>
          <w:rFonts w:hint="eastAsia" w:ascii="宋体" w:hAnsi="宋体" w:cs="宋体"/>
          <w:color w:val="000000" w:themeColor="text1"/>
          <w:sz w:val="24"/>
        </w:rPr>
        <w:t>月</w:t>
      </w:r>
      <w:r>
        <w:rPr>
          <w:rFonts w:hint="eastAsia" w:ascii="宋体" w:hAnsi="宋体" w:cs="宋体"/>
          <w:color w:val="000000" w:themeColor="text1"/>
          <w:sz w:val="24"/>
          <w:u w:val="single"/>
          <w:lang w:val="en-US" w:eastAsia="zh-CN"/>
        </w:rPr>
        <w:t>06</w:t>
      </w:r>
      <w:r>
        <w:rPr>
          <w:rFonts w:hint="eastAsia" w:ascii="宋体" w:hAnsi="宋体" w:cs="宋体"/>
          <w:color w:val="000000" w:themeColor="text1"/>
          <w:sz w:val="24"/>
        </w:rPr>
        <w:t>日</w:t>
      </w:r>
      <w:r>
        <w:rPr>
          <w:rFonts w:hint="eastAsia" w:ascii="宋体" w:hAnsi="宋体" w:cs="宋体"/>
          <w:color w:val="000000" w:themeColor="text1"/>
          <w:sz w:val="24"/>
          <w:lang w:val="en-US" w:eastAsia="zh-CN"/>
        </w:rPr>
        <w:t>23</w:t>
      </w:r>
      <w:r>
        <w:rPr>
          <w:rFonts w:hint="eastAsia" w:ascii="宋体" w:hAnsi="宋体" w:cs="宋体"/>
          <w:color w:val="000000" w:themeColor="text1"/>
          <w:sz w:val="24"/>
        </w:rPr>
        <w:t>时59分，每日上午00时00分至12时00分，下午12时00分至23时59分。</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2.地点：政采云平台线上获取。</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本项目不发放纸质采购文件，投标人自行在“政采云”平台 （http：//www.zcygov.cn）下载采购文件（操作路径：登录“政采云”平台-项目采购-获取采购文件 -找到本项目-点击“申请获取采购文件”），电子投标文件制作需要基于“政采云”平台 （http：//www.zcygov.cn）获取的采购文件编制。</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（2）按上述要求获取文件的投标人视为合法获取了本项目采购文件，具备本项目的投标资格。</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注：投标人如之前已在云南 CA在线数字证书办理网进行过注册并办理过企业数字证书（CA）的,直接绑定即可，无需重复办理（2022年1月1日前在云南省公共资源交易平台办理过云南CA证书的需到原办理点进行升级后方可使用）。外省投标人在政釆云平台办理的其他CA可直接使用，无需重复办理。“政采云”客服电话：95763。</w:t>
      </w:r>
    </w:p>
    <w:p>
      <w:pPr>
        <w:spacing w:line="360" w:lineRule="auto"/>
        <w:ind w:firstLine="540"/>
        <w:rPr>
          <w:rFonts w:ascii="宋体" w:hAnsi="宋体" w:cs="宋体"/>
          <w:color w:val="000000"/>
          <w:sz w:val="24"/>
          <w:szCs w:val="24"/>
        </w:rPr>
      </w:pPr>
      <w:r>
        <w:rPr>
          <w:rFonts w:hint="eastAsia" w:ascii="宋体" w:hAnsi="宋体" w:cs="宋体"/>
          <w:color w:val="000000" w:themeColor="text1"/>
          <w:sz w:val="24"/>
        </w:rPr>
        <w:t>4.采购文件售价：0元。</w:t>
      </w:r>
    </w:p>
    <w:p>
      <w:pPr>
        <w:pStyle w:val="4"/>
        <w:widowControl/>
        <w:spacing w:before="0" w:after="0" w:line="360" w:lineRule="auto"/>
        <w:rPr>
          <w:rFonts w:ascii="宋体" w:hAnsi="宋体" w:eastAsia="宋体" w:cs="宋体"/>
          <w:bCs w:val="0"/>
          <w:color w:val="000000"/>
          <w:sz w:val="24"/>
          <w:szCs w:val="24"/>
        </w:rPr>
      </w:pPr>
      <w:bookmarkStart w:id="39" w:name="_Toc28359082"/>
      <w:bookmarkStart w:id="40" w:name="_Toc28359005"/>
      <w:bookmarkStart w:id="41" w:name="_Toc2668"/>
      <w:bookmarkStart w:id="42" w:name="_Toc26119"/>
      <w:bookmarkStart w:id="43" w:name="_Toc6863"/>
      <w:bookmarkStart w:id="44" w:name="_Toc35393624"/>
      <w:bookmarkStart w:id="45" w:name="_Toc35393793"/>
      <w:bookmarkStart w:id="46" w:name="_Toc18417"/>
      <w:bookmarkStart w:id="47" w:name="_Toc11034"/>
      <w:r>
        <w:rPr>
          <w:rFonts w:hint="eastAsia" w:ascii="宋体" w:hAnsi="宋体" w:eastAsia="宋体" w:cs="宋体"/>
          <w:bCs w:val="0"/>
          <w:color w:val="000000"/>
          <w:sz w:val="24"/>
          <w:szCs w:val="24"/>
        </w:rPr>
        <w:t>四、提交投标文件</w:t>
      </w:r>
      <w:bookmarkEnd w:id="39"/>
      <w:bookmarkEnd w:id="40"/>
      <w:r>
        <w:rPr>
          <w:rFonts w:hint="eastAsia" w:ascii="宋体" w:hAnsi="宋体" w:eastAsia="宋体" w:cs="宋体"/>
          <w:bCs w:val="0"/>
          <w:color w:val="000000"/>
          <w:sz w:val="24"/>
          <w:szCs w:val="24"/>
        </w:rPr>
        <w:t>截止时间、开标时间和地点</w:t>
      </w:r>
      <w:bookmarkEnd w:id="41"/>
      <w:bookmarkEnd w:id="42"/>
      <w:bookmarkEnd w:id="43"/>
      <w:bookmarkEnd w:id="44"/>
      <w:bookmarkEnd w:id="45"/>
      <w:bookmarkEnd w:id="46"/>
      <w:bookmarkEnd w:id="47"/>
    </w:p>
    <w:p>
      <w:pPr>
        <w:spacing w:line="360" w:lineRule="auto"/>
        <w:ind w:firstLine="420"/>
        <w:rPr>
          <w:rFonts w:ascii="宋体" w:hAnsi="宋体" w:cs="宋体"/>
          <w:color w:val="000000" w:themeColor="text1"/>
          <w:sz w:val="24"/>
        </w:rPr>
      </w:pPr>
      <w:r>
        <w:rPr>
          <w:rFonts w:hint="eastAsia" w:ascii="宋体" w:hAnsi="宋体" w:cs="宋体"/>
          <w:color w:val="000000" w:themeColor="text1"/>
          <w:sz w:val="24"/>
        </w:rPr>
        <w:t>投标文件截至时间及开标时间：2024 年</w:t>
      </w:r>
      <w:r>
        <w:rPr>
          <w:rFonts w:hint="eastAsia" w:ascii="宋体" w:hAnsi="宋体" w:cs="宋体"/>
          <w:color w:val="000000" w:themeColor="text1"/>
          <w:sz w:val="24"/>
          <w:lang w:val="en-US" w:eastAsia="zh-CN"/>
        </w:rPr>
        <w:t>07</w:t>
      </w:r>
      <w:r>
        <w:rPr>
          <w:rFonts w:hint="eastAsia" w:ascii="宋体" w:hAnsi="宋体" w:cs="宋体"/>
          <w:color w:val="000000" w:themeColor="text1"/>
          <w:sz w:val="24"/>
        </w:rPr>
        <w:t>月</w:t>
      </w:r>
      <w:r>
        <w:rPr>
          <w:rFonts w:hint="eastAsia" w:ascii="宋体" w:hAnsi="宋体" w:cs="宋体"/>
          <w:color w:val="000000" w:themeColor="text1"/>
          <w:sz w:val="24"/>
          <w:u w:val="single"/>
          <w:lang w:val="en-US" w:eastAsia="zh-CN"/>
        </w:rPr>
        <w:t>19</w:t>
      </w:r>
      <w:r>
        <w:rPr>
          <w:rFonts w:hint="eastAsia" w:ascii="宋体" w:hAnsi="宋体" w:cs="宋体"/>
          <w:color w:val="000000" w:themeColor="text1"/>
          <w:sz w:val="24"/>
        </w:rPr>
        <w:t>日09时00分（北京时间）。</w:t>
      </w:r>
    </w:p>
    <w:p>
      <w:pPr>
        <w:spacing w:line="360" w:lineRule="auto"/>
        <w:ind w:firstLine="420"/>
        <w:rPr>
          <w:rFonts w:ascii="宋体" w:hAnsi="宋体" w:cs="宋体"/>
          <w:color w:val="000000" w:themeColor="text1"/>
          <w:sz w:val="24"/>
        </w:rPr>
      </w:pPr>
      <w:r>
        <w:rPr>
          <w:rFonts w:hint="eastAsia" w:ascii="宋体" w:hAnsi="宋体" w:cs="宋体"/>
          <w:color w:val="000000" w:themeColor="text1"/>
          <w:sz w:val="24"/>
        </w:rPr>
        <w:t>开标地点：昆明市西山区西园路718号大观天下广电文化家园西区办公楼B座1501室。</w:t>
      </w:r>
    </w:p>
    <w:p>
      <w:pPr>
        <w:spacing w:line="360" w:lineRule="auto"/>
        <w:ind w:firstLine="480" w:firstLineChars="200"/>
        <w:rPr>
          <w:rFonts w:ascii="宋体" w:hAnsi="宋体" w:cs="宋体"/>
          <w:b/>
          <w:bCs/>
          <w:color w:val="000000"/>
          <w:sz w:val="24"/>
          <w:szCs w:val="24"/>
        </w:rPr>
      </w:pPr>
      <w:r>
        <w:rPr>
          <w:rFonts w:hint="eastAsia" w:ascii="宋体" w:hAnsi="宋体" w:cs="宋体"/>
          <w:color w:val="000000" w:themeColor="text1"/>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widowControl w:val="0"/>
        <w:spacing w:line="360" w:lineRule="auto"/>
        <w:jc w:val="both"/>
        <w:rPr>
          <w:rFonts w:ascii="宋体" w:hAnsi="宋体" w:cs="宋体"/>
          <w:b/>
          <w:bCs/>
          <w:color w:val="000000"/>
          <w:sz w:val="24"/>
          <w:szCs w:val="24"/>
        </w:rPr>
      </w:pPr>
      <w:bookmarkStart w:id="48" w:name="_Toc35393794"/>
      <w:bookmarkStart w:id="49" w:name="_Toc13971"/>
      <w:bookmarkStart w:id="50" w:name="_Toc28359007"/>
      <w:bookmarkStart w:id="51" w:name="_Toc28359084"/>
      <w:bookmarkStart w:id="52" w:name="_Toc35393625"/>
      <w:bookmarkStart w:id="53" w:name="_Toc8704"/>
      <w:bookmarkStart w:id="54" w:name="_Toc4766"/>
      <w:r>
        <w:rPr>
          <w:rFonts w:hint="eastAsia" w:ascii="宋体" w:hAnsi="宋体" w:cs="宋体"/>
          <w:b/>
          <w:bCs/>
          <w:color w:val="000000"/>
          <w:sz w:val="24"/>
          <w:szCs w:val="24"/>
        </w:rPr>
        <w:t>五、公告期限</w:t>
      </w:r>
      <w:bookmarkEnd w:id="48"/>
      <w:bookmarkEnd w:id="49"/>
      <w:bookmarkEnd w:id="50"/>
      <w:bookmarkEnd w:id="51"/>
      <w:bookmarkEnd w:id="52"/>
      <w:bookmarkEnd w:id="53"/>
      <w:bookmarkEnd w:id="54"/>
    </w:p>
    <w:p>
      <w:pPr>
        <w:widowControl w:val="0"/>
        <w:spacing w:line="360" w:lineRule="auto"/>
        <w:ind w:firstLine="480" w:firstLineChars="200"/>
        <w:jc w:val="both"/>
        <w:rPr>
          <w:rFonts w:ascii="宋体" w:hAnsi="宋体" w:cs="宋体"/>
          <w:color w:val="000000"/>
          <w:sz w:val="24"/>
          <w:szCs w:val="24"/>
        </w:rPr>
      </w:pPr>
      <w:r>
        <w:rPr>
          <w:rFonts w:hint="eastAsia" w:ascii="宋体" w:hAnsi="宋体" w:cs="宋体"/>
          <w:color w:val="000000"/>
          <w:sz w:val="24"/>
          <w:szCs w:val="24"/>
        </w:rPr>
        <w:t>自本公告发布之日起5个工作日。</w:t>
      </w:r>
    </w:p>
    <w:p>
      <w:pPr>
        <w:pStyle w:val="4"/>
        <w:widowControl/>
        <w:spacing w:before="0" w:after="0" w:line="360" w:lineRule="auto"/>
        <w:rPr>
          <w:rFonts w:ascii="宋体" w:hAnsi="宋体" w:eastAsia="宋体" w:cs="宋体"/>
          <w:bCs w:val="0"/>
          <w:color w:val="000000"/>
          <w:sz w:val="24"/>
          <w:szCs w:val="24"/>
        </w:rPr>
      </w:pPr>
      <w:bookmarkStart w:id="55" w:name="_Toc13303"/>
      <w:bookmarkStart w:id="56" w:name="_Toc35393626"/>
      <w:bookmarkStart w:id="57" w:name="_Toc14132"/>
      <w:bookmarkStart w:id="58" w:name="_Toc22261"/>
      <w:bookmarkStart w:id="59" w:name="_Toc4075"/>
      <w:bookmarkStart w:id="60" w:name="_Toc35393795"/>
      <w:bookmarkStart w:id="61" w:name="_Toc636"/>
      <w:r>
        <w:rPr>
          <w:rFonts w:hint="eastAsia" w:ascii="宋体" w:hAnsi="宋体" w:eastAsia="宋体" w:cs="宋体"/>
          <w:bCs w:val="0"/>
          <w:color w:val="000000"/>
          <w:sz w:val="24"/>
          <w:szCs w:val="24"/>
        </w:rPr>
        <w:t>六、其他补充事宜</w:t>
      </w:r>
      <w:bookmarkEnd w:id="55"/>
      <w:bookmarkEnd w:id="56"/>
      <w:bookmarkEnd w:id="57"/>
      <w:bookmarkEnd w:id="58"/>
      <w:bookmarkEnd w:id="59"/>
      <w:bookmarkEnd w:id="60"/>
      <w:bookmarkEnd w:id="61"/>
    </w:p>
    <w:p>
      <w:pPr>
        <w:widowControl w:val="0"/>
        <w:spacing w:line="360" w:lineRule="auto"/>
        <w:ind w:firstLine="480" w:firstLineChars="200"/>
        <w:rPr>
          <w:rFonts w:hint="eastAsia" w:ascii="宋体" w:hAnsi="宋体" w:cs="宋体"/>
          <w:color w:val="000000"/>
          <w:sz w:val="24"/>
          <w:szCs w:val="24"/>
          <w:lang w:val="en-US" w:eastAsia="zh-CN"/>
        </w:rPr>
      </w:pPr>
      <w:bookmarkStart w:id="62" w:name="_Toc35393627"/>
      <w:bookmarkStart w:id="63" w:name="_Toc28359008"/>
      <w:bookmarkStart w:id="64" w:name="_Toc28979"/>
      <w:bookmarkStart w:id="65" w:name="_Toc35393796"/>
      <w:bookmarkStart w:id="66" w:name="_Toc28359085"/>
      <w:r>
        <w:rPr>
          <w:rFonts w:hint="eastAsia" w:ascii="宋体" w:hAnsi="宋体" w:cs="宋体"/>
          <w:color w:val="000000"/>
          <w:sz w:val="24"/>
          <w:szCs w:val="24"/>
        </w:rPr>
        <w:t>1.是否需要缴纳投标保证金：</w:t>
      </w:r>
      <w:r>
        <w:rPr>
          <w:rFonts w:hint="eastAsia" w:ascii="宋体" w:hAnsi="宋体" w:cs="宋体"/>
          <w:color w:val="000000"/>
          <w:sz w:val="24"/>
          <w:szCs w:val="24"/>
          <w:lang w:val="en-US" w:eastAsia="zh-CN"/>
        </w:rPr>
        <w:t>是</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账户名称：云南捷通工程咨询有限公司   </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信用代码（纳税人识别号）：91530103MA6PP2JE8K</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开户行：招商银行股份有限公司昆明金江支行</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账号：871909441310101</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地址：云南省昆明市盘龙区北京路金江小区3#地块（云苑）J幢2单元1703号</w:t>
      </w:r>
    </w:p>
    <w:p>
      <w:pPr>
        <w:widowControl w:val="0"/>
        <w:spacing w:line="360" w:lineRule="auto"/>
        <w:ind w:firstLine="480" w:firstLineChars="200"/>
        <w:rPr>
          <w:rFonts w:hint="eastAsia" w:ascii="宋体" w:hAnsi="宋体" w:cs="宋体"/>
          <w:color w:val="000000"/>
          <w:sz w:val="24"/>
          <w:szCs w:val="24"/>
          <w:lang w:eastAsia="zh-CN"/>
        </w:rPr>
      </w:pPr>
      <w:r>
        <w:rPr>
          <w:rFonts w:hint="eastAsia" w:ascii="宋体" w:hAnsi="宋体" w:cs="宋体"/>
          <w:color w:val="000000"/>
          <w:sz w:val="24"/>
          <w:szCs w:val="24"/>
          <w:lang w:eastAsia="zh-CN"/>
        </w:rPr>
        <w:t>电话：18288961557</w:t>
      </w:r>
    </w:p>
    <w:p>
      <w:pPr>
        <w:widowControl w:val="0"/>
        <w:spacing w:line="360" w:lineRule="auto"/>
        <w:ind w:firstLine="480" w:firstLineChars="200"/>
        <w:rPr>
          <w:rFonts w:ascii="宋体" w:hAnsi="宋体" w:cs="宋体"/>
          <w:color w:val="000000"/>
          <w:sz w:val="24"/>
        </w:rPr>
      </w:pPr>
      <w:r>
        <w:rPr>
          <w:rFonts w:hint="eastAsia" w:ascii="宋体" w:hAnsi="宋体" w:cs="宋体"/>
          <w:color w:val="000000"/>
          <w:sz w:val="24"/>
          <w:szCs w:val="24"/>
        </w:rPr>
        <w:t>2.本次采购公告在《云南省政府采购网》上发布，</w:t>
      </w:r>
      <w:r>
        <w:rPr>
          <w:rFonts w:hint="eastAsia" w:ascii="宋体" w:hAnsi="宋体" w:cs="宋体"/>
          <w:color w:val="000000"/>
          <w:sz w:val="24"/>
        </w:rPr>
        <w:t>我公司对其他网站或媒体转载的公告及公告内容不承担任何法律责任。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3.电子投标文件解密：</w:t>
      </w:r>
    </w:p>
    <w:p>
      <w:pPr>
        <w:spacing w:line="360" w:lineRule="auto"/>
        <w:ind w:firstLine="480" w:firstLineChars="200"/>
        <w:rPr>
          <w:rFonts w:ascii="宋体" w:hAnsi="宋体" w:cs="宋体"/>
          <w:color w:val="000000"/>
          <w:sz w:val="24"/>
        </w:rPr>
      </w:pPr>
      <w:r>
        <w:rPr>
          <w:rFonts w:hint="eastAsia" w:ascii="宋体" w:hAnsi="宋体" w:cs="宋体"/>
          <w:color w:val="000000"/>
          <w:sz w:val="24"/>
        </w:rPr>
        <w:t>3.1本标段采用</w:t>
      </w:r>
      <w:r>
        <w:rPr>
          <w:rFonts w:hint="eastAsia" w:ascii="宋体" w:hAnsi="宋体" w:cs="宋体"/>
          <w:b/>
          <w:bCs/>
          <w:color w:val="000000"/>
          <w:sz w:val="24"/>
        </w:rPr>
        <w:t>远程解密；</w:t>
      </w:r>
    </w:p>
    <w:p>
      <w:pPr>
        <w:spacing w:line="360" w:lineRule="auto"/>
        <w:ind w:firstLine="480" w:firstLineChars="200"/>
        <w:rPr>
          <w:rFonts w:ascii="宋体" w:hAnsi="宋体" w:cs="宋体"/>
          <w:color w:val="000000"/>
          <w:sz w:val="24"/>
        </w:rPr>
      </w:pPr>
      <w:r>
        <w:rPr>
          <w:rFonts w:hint="eastAsia" w:ascii="宋体" w:hAnsi="宋体" w:cs="宋体"/>
          <w:color w:val="000000"/>
          <w:sz w:val="24"/>
        </w:rPr>
        <w:t>3.1 远程解密时间：同投标文件截至时间及开标时间。</w:t>
      </w:r>
    </w:p>
    <w:p>
      <w:pPr>
        <w:pStyle w:val="4"/>
        <w:widowControl/>
        <w:spacing w:before="0" w:after="0" w:line="360" w:lineRule="auto"/>
        <w:rPr>
          <w:rFonts w:ascii="宋体" w:hAnsi="宋体" w:eastAsia="宋体" w:cs="宋体"/>
          <w:bCs w:val="0"/>
          <w:color w:val="000000"/>
          <w:sz w:val="24"/>
          <w:szCs w:val="24"/>
        </w:rPr>
      </w:pPr>
      <w:bookmarkStart w:id="67" w:name="_Toc17777"/>
      <w:bookmarkStart w:id="68" w:name="_Toc25387"/>
      <w:bookmarkStart w:id="69" w:name="_Toc9330"/>
      <w:bookmarkStart w:id="70" w:name="_Toc18462"/>
      <w:r>
        <w:rPr>
          <w:rFonts w:hint="eastAsia" w:ascii="宋体" w:hAnsi="宋体" w:eastAsia="宋体" w:cs="宋体"/>
          <w:bCs w:val="0"/>
          <w:color w:val="000000"/>
          <w:sz w:val="24"/>
          <w:szCs w:val="24"/>
        </w:rPr>
        <w:t>八、对本次采购提出询问，请按以下方式联系</w:t>
      </w:r>
      <w:bookmarkEnd w:id="62"/>
      <w:bookmarkEnd w:id="63"/>
      <w:bookmarkEnd w:id="64"/>
      <w:bookmarkEnd w:id="65"/>
      <w:bookmarkEnd w:id="66"/>
      <w:bookmarkEnd w:id="67"/>
      <w:bookmarkEnd w:id="68"/>
      <w:bookmarkEnd w:id="69"/>
      <w:bookmarkEnd w:id="70"/>
    </w:p>
    <w:p>
      <w:pPr>
        <w:spacing w:line="360" w:lineRule="auto"/>
        <w:ind w:firstLine="480" w:firstLineChars="200"/>
        <w:rPr>
          <w:rFonts w:ascii="宋体" w:hAnsi="宋体" w:cs="宋体"/>
          <w:color w:val="000000"/>
          <w:sz w:val="24"/>
          <w:szCs w:val="24"/>
        </w:rPr>
      </w:pPr>
      <w:r>
        <w:rPr>
          <w:rFonts w:hint="eastAsia" w:ascii="宋体" w:hAnsi="宋体" w:cs="宋体"/>
          <w:color w:val="000000"/>
          <w:kern w:val="2"/>
          <w:sz w:val="24"/>
          <w:szCs w:val="24"/>
        </w:rPr>
        <w:t>1.采购人信息</w:t>
      </w:r>
    </w:p>
    <w:p>
      <w:pPr>
        <w:widowControl w:val="0"/>
        <w:spacing w:line="360" w:lineRule="auto"/>
        <w:ind w:firstLine="480" w:firstLineChars="200"/>
        <w:rPr>
          <w:rFonts w:ascii="宋体" w:hAnsi="宋体" w:cs="宋体"/>
          <w:color w:val="000000"/>
          <w:sz w:val="24"/>
          <w:szCs w:val="24"/>
        </w:rPr>
      </w:pPr>
      <w:r>
        <w:rPr>
          <w:rFonts w:hint="eastAsia" w:ascii="宋体" w:hAnsi="宋体" w:cs="宋体"/>
          <w:color w:val="000000"/>
          <w:kern w:val="2"/>
          <w:sz w:val="24"/>
          <w:szCs w:val="24"/>
        </w:rPr>
        <w:t>名称：</w:t>
      </w:r>
      <w:r>
        <w:rPr>
          <w:rFonts w:hint="eastAsia" w:ascii="宋体" w:hAnsi="宋体" w:cs="宋体"/>
          <w:b/>
          <w:color w:val="000000"/>
          <w:kern w:val="2"/>
          <w:sz w:val="24"/>
          <w:szCs w:val="24"/>
        </w:rPr>
        <w:t>昆明市西山区人民政府海口街道办事处</w:t>
      </w:r>
    </w:p>
    <w:p>
      <w:pPr>
        <w:widowControl w:val="0"/>
        <w:spacing w:line="360" w:lineRule="auto"/>
        <w:ind w:firstLine="480" w:firstLineChars="200"/>
        <w:rPr>
          <w:rFonts w:ascii="宋体" w:hAnsi="宋体" w:cs="宋体"/>
          <w:color w:val="000000"/>
          <w:sz w:val="24"/>
          <w:szCs w:val="24"/>
        </w:rPr>
      </w:pPr>
      <w:r>
        <w:rPr>
          <w:rFonts w:hint="eastAsia" w:ascii="宋体" w:hAnsi="宋体" w:cs="宋体"/>
          <w:color w:val="000000"/>
          <w:kern w:val="2"/>
          <w:sz w:val="24"/>
          <w:szCs w:val="24"/>
        </w:rPr>
        <w:t>地址：昆明市西山区海口街道办事处中滩街76号</w:t>
      </w:r>
    </w:p>
    <w:p>
      <w:pPr>
        <w:widowControl w:val="0"/>
        <w:spacing w:line="360" w:lineRule="auto"/>
        <w:ind w:firstLine="480" w:firstLineChars="200"/>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rPr>
        <w:t>联系方式：</w:t>
      </w:r>
      <w:r>
        <w:rPr>
          <w:rFonts w:hint="eastAsia" w:ascii="宋体" w:hAnsi="宋体" w:cs="宋体"/>
          <w:color w:val="000000"/>
          <w:kern w:val="2"/>
          <w:sz w:val="24"/>
          <w:szCs w:val="24"/>
          <w:lang w:val="en-US" w:eastAsia="zh-CN"/>
        </w:rPr>
        <w:t>李永欣/0871-68591012</w:t>
      </w:r>
    </w:p>
    <w:p>
      <w:pPr>
        <w:widowControl w:val="0"/>
        <w:spacing w:line="360" w:lineRule="auto"/>
        <w:ind w:firstLine="480" w:firstLineChars="200"/>
        <w:rPr>
          <w:rFonts w:ascii="宋体" w:hAnsi="宋体" w:cs="宋体"/>
          <w:color w:val="000000"/>
          <w:sz w:val="24"/>
          <w:szCs w:val="24"/>
        </w:rPr>
      </w:pPr>
      <w:r>
        <w:rPr>
          <w:rFonts w:hint="eastAsia" w:ascii="宋体" w:hAnsi="宋体" w:cs="宋体"/>
          <w:color w:val="000000"/>
          <w:kern w:val="2"/>
          <w:sz w:val="24"/>
          <w:szCs w:val="24"/>
        </w:rPr>
        <w:t>2.采购代理机构信息</w:t>
      </w:r>
    </w:p>
    <w:p>
      <w:pPr>
        <w:widowControl w:val="0"/>
        <w:spacing w:line="360" w:lineRule="auto"/>
        <w:ind w:firstLine="480" w:firstLineChars="200"/>
        <w:jc w:val="both"/>
        <w:rPr>
          <w:rFonts w:ascii="宋体" w:hAnsi="宋体" w:cs="宋体"/>
          <w:bCs/>
          <w:color w:val="000000"/>
          <w:sz w:val="24"/>
          <w:szCs w:val="24"/>
        </w:rPr>
      </w:pPr>
      <w:r>
        <w:rPr>
          <w:rFonts w:hint="eastAsia" w:ascii="宋体" w:hAnsi="宋体" w:cs="宋体"/>
          <w:color w:val="000000"/>
          <w:kern w:val="2"/>
          <w:sz w:val="24"/>
          <w:szCs w:val="24"/>
        </w:rPr>
        <w:t>名称：</w:t>
      </w:r>
      <w:r>
        <w:rPr>
          <w:rFonts w:hint="eastAsia" w:ascii="宋体" w:hAnsi="宋体" w:cs="宋体"/>
          <w:b/>
          <w:bCs/>
          <w:color w:val="000000"/>
          <w:kern w:val="2"/>
          <w:sz w:val="24"/>
          <w:szCs w:val="24"/>
        </w:rPr>
        <w:t>云南捷通工程咨询有限公司</w:t>
      </w:r>
    </w:p>
    <w:p>
      <w:pPr>
        <w:widowControl w:val="0"/>
        <w:spacing w:line="360" w:lineRule="auto"/>
        <w:ind w:left="1439" w:leftChars="228" w:hanging="960" w:hangingChars="400"/>
        <w:jc w:val="both"/>
        <w:rPr>
          <w:rFonts w:ascii="宋体" w:hAnsi="宋体" w:cs="宋体"/>
          <w:color w:val="000000"/>
          <w:kern w:val="2"/>
          <w:sz w:val="24"/>
          <w:szCs w:val="24"/>
        </w:rPr>
      </w:pPr>
      <w:r>
        <w:rPr>
          <w:rFonts w:hint="eastAsia" w:ascii="宋体" w:hAnsi="宋体" w:cs="宋体"/>
          <w:color w:val="000000"/>
          <w:kern w:val="2"/>
          <w:sz w:val="24"/>
          <w:szCs w:val="24"/>
        </w:rPr>
        <w:t>地址：昆明市西山区西园路718号大观天下广电文化家园西区办公楼B座1501室</w:t>
      </w:r>
    </w:p>
    <w:p>
      <w:pPr>
        <w:widowControl w:val="0"/>
        <w:spacing w:line="360" w:lineRule="auto"/>
        <w:ind w:firstLine="480" w:firstLineChars="200"/>
        <w:jc w:val="both"/>
        <w:rPr>
          <w:rFonts w:ascii="宋体" w:hAnsi="宋体" w:cs="宋体"/>
          <w:color w:val="000000"/>
          <w:kern w:val="2"/>
          <w:sz w:val="24"/>
          <w:szCs w:val="24"/>
        </w:rPr>
      </w:pPr>
      <w:r>
        <w:rPr>
          <w:rFonts w:hint="eastAsia" w:ascii="宋体" w:hAnsi="宋体" w:cs="宋体"/>
          <w:color w:val="000000"/>
          <w:kern w:val="2"/>
          <w:sz w:val="24"/>
          <w:szCs w:val="24"/>
        </w:rPr>
        <w:t>联系方式：</w:t>
      </w:r>
      <w:bookmarkStart w:id="71" w:name="_Toc28359087"/>
      <w:bookmarkStart w:id="72" w:name="_Toc28359010"/>
      <w:r>
        <w:rPr>
          <w:rFonts w:hint="eastAsia" w:ascii="宋体" w:hAnsi="宋体" w:cs="宋体"/>
          <w:color w:val="000000"/>
          <w:kern w:val="2"/>
          <w:sz w:val="24"/>
          <w:szCs w:val="24"/>
          <w:lang w:eastAsia="zh-CN"/>
        </w:rPr>
        <w:t>康明珠</w:t>
      </w:r>
      <w:r>
        <w:rPr>
          <w:rFonts w:hint="eastAsia" w:ascii="宋体" w:hAnsi="宋体" w:cs="宋体"/>
          <w:color w:val="000000"/>
          <w:kern w:val="2"/>
          <w:sz w:val="24"/>
          <w:szCs w:val="24"/>
        </w:rPr>
        <w:t>/15925158869</w:t>
      </w:r>
    </w:p>
    <w:p>
      <w:pPr>
        <w:widowControl w:val="0"/>
        <w:spacing w:line="360" w:lineRule="auto"/>
        <w:ind w:firstLine="480" w:firstLineChars="200"/>
        <w:jc w:val="both"/>
        <w:rPr>
          <w:rFonts w:ascii="宋体" w:hAnsi="宋体" w:cs="宋体"/>
          <w:color w:val="000000"/>
          <w:sz w:val="24"/>
          <w:szCs w:val="24"/>
          <w:u w:val="single"/>
        </w:rPr>
      </w:pPr>
      <w:r>
        <w:rPr>
          <w:rFonts w:hint="eastAsia" w:ascii="宋体" w:hAnsi="宋体" w:cs="宋体"/>
          <w:color w:val="000000"/>
          <w:kern w:val="2"/>
          <w:sz w:val="24"/>
          <w:szCs w:val="24"/>
        </w:rPr>
        <w:t>3.项目联系方式</w:t>
      </w:r>
      <w:bookmarkEnd w:id="71"/>
      <w:bookmarkEnd w:id="72"/>
    </w:p>
    <w:p>
      <w:pPr>
        <w:pStyle w:val="36"/>
        <w:widowControl w:val="0"/>
        <w:spacing w:before="0" w:beforeAutospacing="0" w:after="0" w:afterAutospacing="0" w:line="360" w:lineRule="auto"/>
        <w:ind w:firstLine="480" w:firstLineChars="200"/>
        <w:jc w:val="both"/>
        <w:rPr>
          <w:rFonts w:hint="eastAsia" w:ascii="宋体" w:hAnsi="宋体" w:eastAsia="宋体" w:cs="宋体"/>
          <w:color w:val="000000"/>
          <w:kern w:val="2"/>
          <w:lang w:eastAsia="zh-CN"/>
        </w:rPr>
      </w:pPr>
      <w:r>
        <w:rPr>
          <w:rFonts w:hint="eastAsia" w:ascii="宋体" w:hAnsi="宋体" w:cs="宋体"/>
          <w:color w:val="000000"/>
          <w:kern w:val="2"/>
        </w:rPr>
        <w:t>项目联系人：</w:t>
      </w:r>
      <w:r>
        <w:rPr>
          <w:rFonts w:hint="eastAsia" w:ascii="宋体" w:hAnsi="宋体" w:cs="宋体"/>
          <w:color w:val="000000"/>
          <w:kern w:val="2"/>
          <w:lang w:eastAsia="zh-CN"/>
        </w:rPr>
        <w:t>康明珠</w:t>
      </w:r>
    </w:p>
    <w:p>
      <w:pPr>
        <w:pStyle w:val="36"/>
        <w:widowControl w:val="0"/>
        <w:spacing w:before="0" w:beforeAutospacing="0" w:after="0" w:afterAutospacing="0" w:line="360" w:lineRule="auto"/>
        <w:ind w:firstLine="480" w:firstLineChars="200"/>
        <w:jc w:val="both"/>
        <w:rPr>
          <w:rFonts w:ascii="宋体" w:hAnsi="宋体" w:cs="宋体"/>
          <w:color w:val="000000"/>
        </w:rPr>
      </w:pPr>
      <w:r>
        <w:rPr>
          <w:rFonts w:hint="eastAsia" w:ascii="宋体" w:hAnsi="宋体" w:cs="宋体"/>
          <w:color w:val="000000"/>
        </w:rPr>
        <w:t>电话：0871-67391122/15925158869</w:t>
      </w:r>
    </w:p>
    <w:p>
      <w:pPr>
        <w:pStyle w:val="3"/>
        <w:spacing w:before="0" w:after="0" w:line="360" w:lineRule="auto"/>
        <w:jc w:val="center"/>
        <w:rPr>
          <w:rFonts w:ascii="宋体" w:hAnsi="宋体" w:cs="宋体"/>
          <w:sz w:val="32"/>
          <w:szCs w:val="32"/>
        </w:rPr>
      </w:pPr>
      <w:r>
        <w:rPr>
          <w:rFonts w:hint="eastAsia" w:ascii="宋体" w:hAnsi="宋体" w:cs="宋体"/>
          <w:color w:val="000000"/>
        </w:rPr>
        <w:br w:type="page"/>
      </w:r>
      <w:bookmarkStart w:id="73" w:name="_Toc5498"/>
      <w:bookmarkEnd w:id="73"/>
      <w:bookmarkStart w:id="74" w:name="_Toc8120"/>
      <w:bookmarkEnd w:id="74"/>
      <w:bookmarkStart w:id="75" w:name="_Toc16794"/>
      <w:bookmarkEnd w:id="75"/>
      <w:bookmarkStart w:id="76" w:name="_Toc13994"/>
      <w:bookmarkEnd w:id="76"/>
      <w:bookmarkStart w:id="77" w:name="_Toc23419"/>
      <w:bookmarkEnd w:id="77"/>
      <w:bookmarkStart w:id="78" w:name="_Toc5206"/>
      <w:bookmarkStart w:id="79" w:name="_Toc6322"/>
      <w:bookmarkStart w:id="80" w:name="_Toc15256"/>
      <w:bookmarkStart w:id="81" w:name="_Toc18212"/>
      <w:r>
        <w:rPr>
          <w:rFonts w:hint="eastAsia" w:ascii="宋体" w:hAnsi="宋体" w:cs="宋体"/>
          <w:sz w:val="32"/>
          <w:szCs w:val="32"/>
        </w:rPr>
        <w:t>第二章 供应商须知</w:t>
      </w:r>
      <w:bookmarkEnd w:id="78"/>
      <w:bookmarkEnd w:id="79"/>
      <w:bookmarkEnd w:id="80"/>
    </w:p>
    <w:bookmarkEnd w:id="81"/>
    <w:p>
      <w:pPr>
        <w:pStyle w:val="4"/>
        <w:spacing w:before="0" w:after="0" w:line="360" w:lineRule="auto"/>
        <w:ind w:firstLine="420"/>
        <w:jc w:val="center"/>
        <w:rPr>
          <w:rFonts w:ascii="宋体" w:hAnsi="宋体" w:eastAsia="宋体" w:cs="宋体"/>
          <w:sz w:val="28"/>
          <w:szCs w:val="28"/>
        </w:rPr>
      </w:pPr>
      <w:bookmarkStart w:id="82" w:name="_Toc21714"/>
      <w:bookmarkEnd w:id="82"/>
      <w:bookmarkStart w:id="83" w:name="_Toc13590"/>
      <w:bookmarkEnd w:id="83"/>
      <w:bookmarkStart w:id="84" w:name="_Toc5989"/>
      <w:bookmarkStart w:id="85" w:name="_Toc10605"/>
      <w:bookmarkStart w:id="86" w:name="_Toc30721"/>
      <w:bookmarkStart w:id="87" w:name="_Toc26144"/>
      <w:r>
        <w:rPr>
          <w:rFonts w:hint="eastAsia" w:ascii="宋体" w:hAnsi="宋体" w:eastAsia="宋体" w:cs="宋体"/>
          <w:sz w:val="28"/>
          <w:szCs w:val="28"/>
        </w:rPr>
        <w:t>供应商须知前附表</w:t>
      </w:r>
      <w:bookmarkEnd w:id="84"/>
      <w:bookmarkEnd w:id="85"/>
      <w:bookmarkEnd w:id="86"/>
      <w:bookmarkEnd w:id="87"/>
    </w:p>
    <w:p>
      <w:pPr>
        <w:spacing w:line="200" w:lineRule="exact"/>
        <w:rPr>
          <w:rFonts w:ascii="宋体" w:hAnsi="宋体" w:cs="宋体"/>
        </w:rPr>
      </w:pPr>
      <w:r>
        <w:rPr>
          <w:rFonts w:hint="eastAsia" w:ascii="宋体" w:hAnsi="宋体" w:cs="宋体"/>
        </w:rPr>
        <w:t xml:space="preserve"> </w:t>
      </w:r>
    </w:p>
    <w:tbl>
      <w:tblPr>
        <w:tblStyle w:val="41"/>
        <w:tblW w:w="10210" w:type="dxa"/>
        <w:jc w:val="center"/>
        <w:tblLayout w:type="fixed"/>
        <w:tblCellMar>
          <w:top w:w="0" w:type="dxa"/>
          <w:left w:w="0" w:type="dxa"/>
          <w:bottom w:w="0" w:type="dxa"/>
          <w:right w:w="0" w:type="dxa"/>
        </w:tblCellMar>
      </w:tblPr>
      <w:tblGrid>
        <w:gridCol w:w="1047"/>
        <w:gridCol w:w="2337"/>
        <w:gridCol w:w="6826"/>
      </w:tblGrid>
      <w:tr>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60" w:lineRule="exact"/>
              <w:jc w:val="center"/>
              <w:rPr>
                <w:rFonts w:ascii="宋体" w:hAnsi="宋体" w:cs="宋体"/>
                <w:b/>
                <w:bCs/>
                <w:kern w:val="2"/>
                <w:sz w:val="24"/>
                <w:szCs w:val="24"/>
              </w:rPr>
            </w:pPr>
            <w:r>
              <w:rPr>
                <w:rFonts w:hint="eastAsia" w:ascii="宋体" w:hAnsi="宋体" w:cs="宋体"/>
                <w:b/>
                <w:bCs/>
                <w:kern w:val="2"/>
                <w:sz w:val="24"/>
                <w:szCs w:val="24"/>
              </w:rPr>
              <w:t>条款号</w:t>
            </w:r>
          </w:p>
        </w:tc>
        <w:tc>
          <w:tcPr>
            <w:tcW w:w="2337" w:type="dxa"/>
            <w:tcBorders>
              <w:top w:val="single" w:color="auto" w:sz="8" w:space="0"/>
              <w:left w:val="nil"/>
              <w:bottom w:val="single" w:color="auto" w:sz="8" w:space="0"/>
              <w:right w:val="single" w:color="auto" w:sz="8" w:space="0"/>
            </w:tcBorders>
            <w:vAlign w:val="center"/>
          </w:tcPr>
          <w:p>
            <w:pPr>
              <w:spacing w:line="460" w:lineRule="exact"/>
              <w:jc w:val="center"/>
              <w:rPr>
                <w:rFonts w:ascii="宋体" w:hAnsi="宋体" w:cs="宋体"/>
                <w:b/>
                <w:bCs/>
                <w:kern w:val="2"/>
                <w:sz w:val="24"/>
                <w:szCs w:val="24"/>
              </w:rPr>
            </w:pPr>
            <w:r>
              <w:rPr>
                <w:rFonts w:hint="eastAsia" w:ascii="宋体" w:hAnsi="宋体" w:cs="宋体"/>
                <w:b/>
                <w:bCs/>
                <w:kern w:val="2"/>
                <w:sz w:val="24"/>
                <w:szCs w:val="24"/>
              </w:rPr>
              <w:t>条款名称</w:t>
            </w:r>
          </w:p>
        </w:tc>
        <w:tc>
          <w:tcPr>
            <w:tcW w:w="6826" w:type="dxa"/>
            <w:tcBorders>
              <w:top w:val="single" w:color="auto" w:sz="8" w:space="0"/>
              <w:left w:val="nil"/>
              <w:bottom w:val="single" w:color="auto" w:sz="8" w:space="0"/>
              <w:right w:val="single" w:color="auto" w:sz="8" w:space="0"/>
            </w:tcBorders>
            <w:vAlign w:val="center"/>
          </w:tcPr>
          <w:p>
            <w:pPr>
              <w:spacing w:line="460" w:lineRule="exact"/>
              <w:ind w:left="1680"/>
              <w:rPr>
                <w:rFonts w:ascii="宋体" w:hAnsi="宋体" w:cs="宋体"/>
                <w:b/>
                <w:bCs/>
                <w:kern w:val="2"/>
                <w:sz w:val="24"/>
                <w:szCs w:val="24"/>
              </w:rPr>
            </w:pPr>
            <w:r>
              <w:rPr>
                <w:rFonts w:hint="eastAsia" w:ascii="宋体" w:hAnsi="宋体" w:cs="宋体"/>
                <w:b/>
                <w:bCs/>
                <w:kern w:val="2"/>
                <w:sz w:val="24"/>
                <w:szCs w:val="24"/>
              </w:rPr>
              <w:t>编列内容</w:t>
            </w:r>
          </w:p>
        </w:tc>
      </w:tr>
      <w:tr>
        <w:tblPrEx>
          <w:tblCellMar>
            <w:top w:w="0" w:type="dxa"/>
            <w:left w:w="0" w:type="dxa"/>
            <w:bottom w:w="0" w:type="dxa"/>
            <w:right w:w="0" w:type="dxa"/>
          </w:tblCellMar>
        </w:tblPrEx>
        <w:trPr>
          <w:trHeight w:val="46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1.1.2</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采购人</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kern w:val="2"/>
                <w:sz w:val="24"/>
                <w:szCs w:val="24"/>
              </w:rPr>
            </w:pPr>
            <w:r>
              <w:rPr>
                <w:rFonts w:hint="eastAsia" w:ascii="宋体" w:hAnsi="宋体" w:cs="宋体"/>
                <w:kern w:val="2"/>
                <w:sz w:val="24"/>
                <w:szCs w:val="24"/>
              </w:rPr>
              <w:t>详见第一章“招标公告”</w:t>
            </w:r>
          </w:p>
        </w:tc>
      </w:tr>
      <w:tr>
        <w:tblPrEx>
          <w:tblCellMar>
            <w:top w:w="0" w:type="dxa"/>
            <w:left w:w="0" w:type="dxa"/>
            <w:bottom w:w="0" w:type="dxa"/>
            <w:right w:w="0" w:type="dxa"/>
          </w:tblCellMar>
        </w:tblPrEx>
        <w:trPr>
          <w:trHeight w:val="51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1.1.3</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采购代理机构</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kern w:val="2"/>
                <w:sz w:val="24"/>
                <w:szCs w:val="24"/>
              </w:rPr>
            </w:pPr>
            <w:r>
              <w:rPr>
                <w:rFonts w:hint="eastAsia" w:ascii="宋体" w:hAnsi="宋体" w:cs="宋体"/>
                <w:kern w:val="2"/>
                <w:sz w:val="24"/>
                <w:szCs w:val="24"/>
              </w:rPr>
              <w:t>详见第一章“招标公告”</w:t>
            </w:r>
          </w:p>
        </w:tc>
      </w:tr>
      <w:tr>
        <w:tblPrEx>
          <w:tblCellMar>
            <w:top w:w="0" w:type="dxa"/>
            <w:left w:w="0" w:type="dxa"/>
            <w:bottom w:w="0" w:type="dxa"/>
            <w:right w:w="0" w:type="dxa"/>
          </w:tblCellMar>
        </w:tblPrEx>
        <w:trPr>
          <w:trHeight w:val="47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1.1.4</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项目名称</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kern w:val="2"/>
                <w:sz w:val="24"/>
                <w:szCs w:val="24"/>
              </w:rPr>
            </w:pPr>
            <w:r>
              <w:rPr>
                <w:rFonts w:hint="eastAsia" w:ascii="宋体" w:hAnsi="宋体" w:cs="宋体"/>
                <w:kern w:val="2"/>
                <w:sz w:val="24"/>
                <w:szCs w:val="24"/>
              </w:rPr>
              <w:t>详见第一章“招标公告”</w:t>
            </w:r>
          </w:p>
        </w:tc>
      </w:tr>
      <w:tr>
        <w:tblPrEx>
          <w:tblCellMar>
            <w:top w:w="0" w:type="dxa"/>
            <w:left w:w="0" w:type="dxa"/>
            <w:bottom w:w="0" w:type="dxa"/>
            <w:right w:w="0" w:type="dxa"/>
          </w:tblCellMar>
        </w:tblPrEx>
        <w:trPr>
          <w:trHeight w:val="49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1.2.1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资金落实情况</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kern w:val="2"/>
                <w:sz w:val="24"/>
                <w:szCs w:val="24"/>
              </w:rPr>
            </w:pPr>
            <w:r>
              <w:rPr>
                <w:rFonts w:hint="eastAsia" w:ascii="宋体" w:hAnsi="宋体" w:cs="宋体"/>
                <w:kern w:val="2"/>
                <w:sz w:val="24"/>
                <w:szCs w:val="24"/>
              </w:rPr>
              <w:t>已落实</w:t>
            </w:r>
          </w:p>
        </w:tc>
      </w:tr>
      <w:tr>
        <w:tblPrEx>
          <w:tblCellMar>
            <w:top w:w="0" w:type="dxa"/>
            <w:left w:w="0" w:type="dxa"/>
            <w:bottom w:w="0" w:type="dxa"/>
            <w:right w:w="0" w:type="dxa"/>
          </w:tblCellMar>
        </w:tblPrEx>
        <w:trPr>
          <w:trHeight w:val="53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1.2.2</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预算金额</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kern w:val="2"/>
                <w:sz w:val="24"/>
                <w:szCs w:val="24"/>
              </w:rPr>
            </w:pPr>
            <w:r>
              <w:rPr>
                <w:rFonts w:hint="eastAsia" w:ascii="宋体" w:hAnsi="宋体" w:cs="宋体"/>
                <w:kern w:val="2"/>
                <w:sz w:val="24"/>
                <w:szCs w:val="24"/>
              </w:rPr>
              <w:t>详见第一章“招标公告”</w:t>
            </w:r>
          </w:p>
        </w:tc>
      </w:tr>
      <w:tr>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1.3.1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采购内容</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kern w:val="2"/>
                <w:sz w:val="24"/>
                <w:szCs w:val="24"/>
              </w:rPr>
            </w:pPr>
            <w:r>
              <w:rPr>
                <w:rFonts w:hint="eastAsia" w:ascii="宋体" w:hAnsi="宋体" w:cs="宋体"/>
                <w:kern w:val="2"/>
                <w:sz w:val="24"/>
                <w:szCs w:val="24"/>
              </w:rPr>
              <w:t>详见第六章《采购内容及要求》的具体内容</w:t>
            </w:r>
          </w:p>
        </w:tc>
      </w:tr>
      <w:tr>
        <w:tblPrEx>
          <w:tblCellMar>
            <w:top w:w="0" w:type="dxa"/>
            <w:left w:w="0" w:type="dxa"/>
            <w:bottom w:w="0" w:type="dxa"/>
            <w:right w:w="0" w:type="dxa"/>
          </w:tblCellMar>
        </w:tblPrEx>
        <w:trPr>
          <w:trHeight w:val="43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1.3.2</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合同履行期限、质保期</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kern w:val="2"/>
                <w:sz w:val="24"/>
                <w:szCs w:val="24"/>
              </w:rPr>
            </w:pPr>
            <w:r>
              <w:rPr>
                <w:rFonts w:hint="eastAsia" w:ascii="宋体" w:hAnsi="宋体" w:cs="宋体"/>
                <w:sz w:val="24"/>
                <w:szCs w:val="24"/>
              </w:rPr>
              <w:t>详见第一章 “</w:t>
            </w:r>
            <w:r>
              <w:rPr>
                <w:rFonts w:hint="eastAsia" w:ascii="宋体" w:hAnsi="宋体" w:cs="宋体"/>
                <w:kern w:val="2"/>
                <w:sz w:val="24"/>
                <w:szCs w:val="24"/>
              </w:rPr>
              <w:t>招标</w:t>
            </w:r>
            <w:r>
              <w:rPr>
                <w:rFonts w:hint="eastAsia" w:ascii="宋体" w:hAnsi="宋体" w:cs="宋体"/>
                <w:sz w:val="24"/>
                <w:szCs w:val="24"/>
              </w:rPr>
              <w:t>公告”</w:t>
            </w:r>
          </w:p>
        </w:tc>
      </w:tr>
      <w:tr>
        <w:tblPrEx>
          <w:tblCellMar>
            <w:top w:w="0" w:type="dxa"/>
            <w:left w:w="0" w:type="dxa"/>
            <w:bottom w:w="0" w:type="dxa"/>
            <w:right w:w="0" w:type="dxa"/>
          </w:tblCellMar>
        </w:tblPrEx>
        <w:trPr>
          <w:trHeight w:val="70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1.3.3</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交货地点、交货方式</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kern w:val="2"/>
                <w:sz w:val="24"/>
                <w:szCs w:val="24"/>
              </w:rPr>
            </w:pPr>
            <w:r>
              <w:rPr>
                <w:rFonts w:hint="eastAsia" w:ascii="宋体" w:hAnsi="宋体" w:cs="宋体"/>
                <w:sz w:val="24"/>
                <w:szCs w:val="24"/>
              </w:rPr>
              <w:t>交货地点：</w:t>
            </w:r>
            <w:r>
              <w:rPr>
                <w:rFonts w:hint="eastAsia" w:ascii="宋体" w:hAnsi="宋体" w:cs="宋体"/>
                <w:kern w:val="2"/>
                <w:sz w:val="24"/>
                <w:szCs w:val="24"/>
              </w:rPr>
              <w:t>采购人指定地点</w:t>
            </w:r>
          </w:p>
          <w:p>
            <w:pPr>
              <w:spacing w:line="380" w:lineRule="exact"/>
              <w:rPr>
                <w:rFonts w:ascii="宋体" w:hAnsi="宋体" w:cs="宋体"/>
                <w:sz w:val="24"/>
              </w:rPr>
            </w:pPr>
            <w:r>
              <w:rPr>
                <w:rFonts w:hint="eastAsia" w:ascii="宋体" w:hAnsi="宋体" w:cs="宋体"/>
                <w:sz w:val="24"/>
              </w:rPr>
              <w:t>交货方式：现场交货</w:t>
            </w:r>
          </w:p>
        </w:tc>
      </w:tr>
      <w:tr>
        <w:tblPrEx>
          <w:tblCellMar>
            <w:top w:w="0" w:type="dxa"/>
            <w:left w:w="0" w:type="dxa"/>
            <w:bottom w:w="0" w:type="dxa"/>
            <w:right w:w="0" w:type="dxa"/>
          </w:tblCellMar>
        </w:tblPrEx>
        <w:trPr>
          <w:trHeight w:val="58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1.4.1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供应商资格要求</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sz w:val="24"/>
                <w:szCs w:val="24"/>
              </w:rPr>
            </w:pPr>
            <w:r>
              <w:rPr>
                <w:rFonts w:hint="eastAsia" w:ascii="宋体" w:hAnsi="宋体" w:cs="宋体"/>
                <w:sz w:val="24"/>
                <w:szCs w:val="24"/>
              </w:rPr>
              <w:t xml:space="preserve">详见“第一章 </w:t>
            </w:r>
            <w:r>
              <w:rPr>
                <w:rFonts w:hint="eastAsia" w:ascii="宋体" w:hAnsi="宋体" w:cs="宋体"/>
                <w:kern w:val="2"/>
                <w:sz w:val="24"/>
                <w:szCs w:val="24"/>
              </w:rPr>
              <w:t>招标</w:t>
            </w:r>
            <w:r>
              <w:rPr>
                <w:rFonts w:hint="eastAsia" w:ascii="宋体" w:hAnsi="宋体" w:cs="宋体"/>
                <w:sz w:val="24"/>
                <w:szCs w:val="24"/>
              </w:rPr>
              <w:t xml:space="preserve">公告 </w:t>
            </w:r>
            <w:r>
              <w:rPr>
                <w:rFonts w:hint="eastAsia" w:ascii="宋体" w:hAnsi="宋体" w:cs="宋体"/>
                <w:bCs/>
                <w:sz w:val="24"/>
                <w:szCs w:val="24"/>
              </w:rPr>
              <w:t>二、供应商的资格要求</w:t>
            </w:r>
            <w:r>
              <w:rPr>
                <w:rFonts w:hint="eastAsia" w:ascii="宋体" w:hAnsi="宋体" w:cs="宋体"/>
                <w:sz w:val="24"/>
                <w:szCs w:val="24"/>
              </w:rPr>
              <w:t>”</w:t>
            </w:r>
          </w:p>
        </w:tc>
      </w:tr>
      <w:tr>
        <w:tblPrEx>
          <w:tblCellMar>
            <w:top w:w="0" w:type="dxa"/>
            <w:left w:w="0" w:type="dxa"/>
            <w:bottom w:w="0" w:type="dxa"/>
            <w:right w:w="0" w:type="dxa"/>
          </w:tblCellMar>
        </w:tblPrEx>
        <w:trPr>
          <w:trHeight w:val="7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1.4.2</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是否接受联合体投标</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sz w:val="24"/>
                <w:szCs w:val="24"/>
              </w:rPr>
            </w:pPr>
            <w:r>
              <w:rPr>
                <w:rFonts w:hint="eastAsia" w:ascii="宋体" w:hAnsi="宋体" w:cs="宋体"/>
                <w:kern w:val="2"/>
                <w:sz w:val="24"/>
                <w:szCs w:val="24"/>
              </w:rPr>
              <w:t>☑</w:t>
            </w:r>
            <w:r>
              <w:rPr>
                <w:rFonts w:hint="eastAsia" w:ascii="宋体" w:hAnsi="宋体" w:cs="宋体"/>
                <w:sz w:val="24"/>
                <w:szCs w:val="24"/>
              </w:rPr>
              <w:t>不接受</w:t>
            </w:r>
          </w:p>
          <w:p>
            <w:pPr>
              <w:spacing w:line="360" w:lineRule="auto"/>
              <w:jc w:val="both"/>
              <w:rPr>
                <w:rFonts w:ascii="宋体" w:hAnsi="宋体" w:cs="宋体"/>
              </w:rPr>
            </w:pPr>
            <w:r>
              <w:rPr>
                <w:rFonts w:hint="eastAsia" w:ascii="宋体" w:hAnsi="宋体" w:cs="宋体"/>
                <w:sz w:val="24"/>
                <w:szCs w:val="24"/>
              </w:rPr>
              <w:t>□接受</w:t>
            </w:r>
          </w:p>
        </w:tc>
      </w:tr>
      <w:tr>
        <w:tblPrEx>
          <w:tblCellMar>
            <w:top w:w="0" w:type="dxa"/>
            <w:left w:w="0" w:type="dxa"/>
            <w:bottom w:w="0" w:type="dxa"/>
            <w:right w:w="0" w:type="dxa"/>
          </w:tblCellMar>
        </w:tblPrEx>
        <w:trPr>
          <w:trHeight w:val="70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1.9.1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现场考察</w:t>
            </w:r>
          </w:p>
        </w:tc>
        <w:tc>
          <w:tcPr>
            <w:tcW w:w="6826" w:type="dxa"/>
            <w:tcBorders>
              <w:top w:val="single" w:color="auto" w:sz="8" w:space="0"/>
              <w:left w:val="nil"/>
              <w:bottom w:val="single" w:color="auto" w:sz="8" w:space="0"/>
              <w:right w:val="single" w:color="auto" w:sz="8" w:space="0"/>
            </w:tcBorders>
            <w:vAlign w:val="center"/>
          </w:tcPr>
          <w:p>
            <w:pPr>
              <w:pStyle w:val="18"/>
              <w:topLinePunct/>
              <w:spacing w:line="380" w:lineRule="exact"/>
              <w:rPr>
                <w:rFonts w:hAnsi="宋体" w:cs="宋体"/>
                <w:kern w:val="2"/>
              </w:rPr>
            </w:pPr>
            <w:r>
              <w:rPr>
                <w:rFonts w:hint="eastAsia" w:hAnsi="宋体" w:cs="宋体"/>
                <w:kern w:val="2"/>
              </w:rPr>
              <w:t>☑不组织（自行踏勘）</w:t>
            </w:r>
          </w:p>
          <w:p>
            <w:pPr>
              <w:spacing w:line="380" w:lineRule="exact"/>
              <w:rPr>
                <w:rFonts w:ascii="宋体" w:hAnsi="宋体" w:cs="宋体"/>
                <w:kern w:val="2"/>
                <w:sz w:val="24"/>
                <w:szCs w:val="24"/>
              </w:rPr>
            </w:pPr>
            <w:r>
              <w:rPr>
                <w:rFonts w:hint="eastAsia" w:ascii="宋体" w:hAnsi="宋体" w:cs="宋体"/>
                <w:kern w:val="2"/>
                <w:sz w:val="24"/>
                <w:szCs w:val="24"/>
              </w:rPr>
              <w:t>□组织</w:t>
            </w:r>
          </w:p>
        </w:tc>
      </w:tr>
      <w:tr>
        <w:tblPrEx>
          <w:tblCellMar>
            <w:top w:w="0" w:type="dxa"/>
            <w:left w:w="0" w:type="dxa"/>
            <w:bottom w:w="0" w:type="dxa"/>
            <w:right w:w="0" w:type="dxa"/>
          </w:tblCellMar>
        </w:tblPrEx>
        <w:trPr>
          <w:trHeight w:val="9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b/>
                <w:bCs/>
                <w:kern w:val="2"/>
                <w:sz w:val="24"/>
                <w:szCs w:val="24"/>
              </w:rPr>
            </w:pPr>
            <w:r>
              <w:rPr>
                <w:rFonts w:hint="eastAsia" w:ascii="宋体" w:hAnsi="宋体" w:cs="宋体"/>
                <w:b/>
                <w:bCs/>
                <w:kern w:val="2"/>
                <w:sz w:val="24"/>
                <w:szCs w:val="24"/>
              </w:rPr>
              <w:t>1.10</w:t>
            </w:r>
          </w:p>
          <w:p>
            <w:pPr>
              <w:spacing w:line="380" w:lineRule="exact"/>
              <w:jc w:val="center"/>
              <w:rPr>
                <w:rFonts w:ascii="宋体" w:hAnsi="宋体" w:cs="宋体"/>
                <w:b/>
              </w:rPr>
            </w:pPr>
            <w:r>
              <w:rPr>
                <w:rFonts w:hint="eastAsia" w:ascii="宋体" w:hAnsi="宋体" w:cs="宋体"/>
                <w:b/>
                <w:bCs/>
                <w:kern w:val="2"/>
                <w:sz w:val="24"/>
                <w:szCs w:val="24"/>
              </w:rPr>
              <w:t>3.5.2</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b/>
                <w:bCs/>
                <w:color w:val="000000"/>
                <w:kern w:val="2"/>
                <w:sz w:val="24"/>
                <w:szCs w:val="24"/>
              </w:rPr>
            </w:pPr>
            <w:r>
              <w:rPr>
                <w:rFonts w:hint="eastAsia" w:ascii="宋体" w:hAnsi="宋体" w:cs="宋体"/>
                <w:b/>
                <w:bCs/>
                <w:color w:val="000000"/>
                <w:kern w:val="2"/>
                <w:sz w:val="24"/>
                <w:szCs w:val="24"/>
              </w:rPr>
              <w:t>不允许偏离的实质性要求和条件</w:t>
            </w:r>
          </w:p>
        </w:tc>
        <w:tc>
          <w:tcPr>
            <w:tcW w:w="6826" w:type="dxa"/>
            <w:tcBorders>
              <w:top w:val="single" w:color="auto" w:sz="8" w:space="0"/>
              <w:left w:val="nil"/>
              <w:bottom w:val="single" w:color="auto" w:sz="8" w:space="0"/>
              <w:right w:val="single" w:color="auto" w:sz="8" w:space="0"/>
            </w:tcBorders>
            <w:vAlign w:val="center"/>
          </w:tcPr>
          <w:p>
            <w:pPr>
              <w:spacing w:line="380" w:lineRule="exact"/>
              <w:rPr>
                <w:rFonts w:ascii="宋体" w:hAnsi="宋体" w:cs="宋体"/>
                <w:b/>
                <w:color w:val="000000"/>
                <w:kern w:val="2"/>
                <w:sz w:val="24"/>
                <w:szCs w:val="24"/>
              </w:rPr>
            </w:pPr>
            <w:r>
              <w:rPr>
                <w:rFonts w:hint="eastAsia" w:ascii="宋体" w:hAnsi="宋体" w:cs="宋体"/>
                <w:b/>
                <w:bCs/>
                <w:color w:val="000000"/>
                <w:kern w:val="2"/>
                <w:sz w:val="24"/>
                <w:szCs w:val="24"/>
              </w:rPr>
              <w:t>资格要求和符合性审查不允许负偏离</w:t>
            </w:r>
          </w:p>
        </w:tc>
      </w:tr>
      <w:tr>
        <w:tblPrEx>
          <w:tblCellMar>
            <w:top w:w="0" w:type="dxa"/>
            <w:left w:w="0" w:type="dxa"/>
            <w:bottom w:w="0" w:type="dxa"/>
            <w:right w:w="0" w:type="dxa"/>
          </w:tblCellMar>
        </w:tblPrEx>
        <w:trPr>
          <w:trHeight w:val="38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bookmarkStart w:id="88" w:name="page17"/>
            <w:bookmarkEnd w:id="88"/>
            <w:r>
              <w:rPr>
                <w:rFonts w:hint="eastAsia" w:ascii="宋体" w:hAnsi="宋体" w:cs="宋体"/>
                <w:kern w:val="2"/>
                <w:sz w:val="24"/>
                <w:szCs w:val="24"/>
              </w:rPr>
              <w:t>2.1</w:t>
            </w:r>
          </w:p>
        </w:tc>
        <w:tc>
          <w:tcPr>
            <w:tcW w:w="2337" w:type="dxa"/>
            <w:tcBorders>
              <w:top w:val="single" w:color="auto" w:sz="8" w:space="0"/>
              <w:left w:val="nil"/>
              <w:bottom w:val="single" w:color="auto" w:sz="8" w:space="0"/>
              <w:right w:val="single" w:color="auto" w:sz="8" w:space="0"/>
            </w:tcBorders>
            <w:vAlign w:val="center"/>
          </w:tcPr>
          <w:p>
            <w:pPr>
              <w:pStyle w:val="143"/>
              <w:spacing w:line="380" w:lineRule="exact"/>
              <w:jc w:val="center"/>
              <w:rPr>
                <w:rFonts w:ascii="宋体" w:hAnsi="宋体" w:cs="宋体"/>
                <w:kern w:val="2"/>
                <w:sz w:val="24"/>
                <w:szCs w:val="24"/>
              </w:rPr>
            </w:pPr>
            <w:r>
              <w:rPr>
                <w:rFonts w:hint="eastAsia" w:ascii="宋体" w:hAnsi="宋体" w:cs="宋体"/>
                <w:kern w:val="2"/>
                <w:sz w:val="24"/>
                <w:szCs w:val="24"/>
              </w:rPr>
              <w:t>构成采购文件的其他资料</w:t>
            </w:r>
          </w:p>
        </w:tc>
        <w:tc>
          <w:tcPr>
            <w:tcW w:w="6826" w:type="dxa"/>
            <w:tcBorders>
              <w:top w:val="single" w:color="auto" w:sz="8" w:space="0"/>
              <w:left w:val="nil"/>
              <w:bottom w:val="single" w:color="auto" w:sz="8" w:space="0"/>
              <w:right w:val="single" w:color="auto" w:sz="8" w:space="0"/>
            </w:tcBorders>
            <w:vAlign w:val="center"/>
          </w:tcPr>
          <w:p>
            <w:pPr>
              <w:pStyle w:val="143"/>
              <w:spacing w:line="380" w:lineRule="exact"/>
              <w:rPr>
                <w:rFonts w:ascii="宋体" w:hAnsi="宋体" w:cs="宋体"/>
                <w:kern w:val="2"/>
                <w:sz w:val="24"/>
                <w:szCs w:val="24"/>
              </w:rPr>
            </w:pPr>
            <w:r>
              <w:rPr>
                <w:rFonts w:hint="eastAsia" w:ascii="宋体" w:hAnsi="宋体" w:cs="宋体"/>
                <w:kern w:val="2"/>
                <w:sz w:val="24"/>
                <w:szCs w:val="24"/>
              </w:rPr>
              <w:t>澄清、修改等内容</w:t>
            </w:r>
          </w:p>
        </w:tc>
      </w:tr>
      <w:tr>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2.2.3</w:t>
            </w:r>
          </w:p>
        </w:tc>
        <w:tc>
          <w:tcPr>
            <w:tcW w:w="2337" w:type="dxa"/>
            <w:tcBorders>
              <w:top w:val="nil"/>
              <w:left w:val="nil"/>
              <w:bottom w:val="single" w:color="auto" w:sz="8" w:space="0"/>
              <w:right w:val="single" w:color="auto" w:sz="8" w:space="0"/>
            </w:tcBorders>
            <w:vAlign w:val="center"/>
          </w:tcPr>
          <w:p>
            <w:pPr>
              <w:pStyle w:val="143"/>
              <w:spacing w:line="360" w:lineRule="auto"/>
              <w:jc w:val="center"/>
              <w:rPr>
                <w:rFonts w:ascii="宋体" w:hAnsi="宋体" w:cs="宋体"/>
                <w:kern w:val="2"/>
                <w:sz w:val="24"/>
                <w:szCs w:val="24"/>
              </w:rPr>
            </w:pPr>
            <w:r>
              <w:rPr>
                <w:rFonts w:hint="eastAsia" w:ascii="宋体" w:hAnsi="宋体" w:cs="宋体"/>
                <w:kern w:val="2"/>
                <w:sz w:val="24"/>
                <w:szCs w:val="24"/>
              </w:rPr>
              <w:t>采购文件澄清或者修改发出的形式</w:t>
            </w:r>
          </w:p>
        </w:tc>
        <w:tc>
          <w:tcPr>
            <w:tcW w:w="6826" w:type="dxa"/>
            <w:tcBorders>
              <w:top w:val="single" w:color="auto" w:sz="8" w:space="0"/>
              <w:left w:val="nil"/>
              <w:bottom w:val="single" w:color="auto" w:sz="8" w:space="0"/>
              <w:right w:val="single" w:color="auto" w:sz="8" w:space="0"/>
            </w:tcBorders>
            <w:vAlign w:val="center"/>
          </w:tcPr>
          <w:p>
            <w:pPr>
              <w:pStyle w:val="143"/>
              <w:spacing w:line="360" w:lineRule="auto"/>
              <w:rPr>
                <w:rFonts w:ascii="宋体" w:hAnsi="宋体" w:cs="宋体"/>
                <w:kern w:val="2"/>
                <w:sz w:val="24"/>
                <w:szCs w:val="24"/>
                <w:u w:val="single"/>
              </w:rPr>
            </w:pPr>
            <w:r>
              <w:rPr>
                <w:rFonts w:hint="eastAsia" w:ascii="宋体" w:hAnsi="宋体" w:cs="宋体"/>
                <w:kern w:val="2"/>
                <w:sz w:val="24"/>
                <w:szCs w:val="24"/>
              </w:rPr>
              <w:t>在原公告发布媒体上发布更正公告</w:t>
            </w:r>
          </w:p>
        </w:tc>
      </w:tr>
      <w:tr>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3.2.3</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color w:val="000000"/>
                <w:kern w:val="2"/>
                <w:sz w:val="24"/>
                <w:szCs w:val="24"/>
              </w:rPr>
            </w:pPr>
            <w:r>
              <w:rPr>
                <w:rFonts w:hint="eastAsia" w:ascii="宋体" w:hAnsi="宋体" w:cs="宋体"/>
                <w:color w:val="000000"/>
                <w:kern w:val="2"/>
                <w:sz w:val="24"/>
                <w:szCs w:val="24"/>
              </w:rPr>
              <w:t>最高投标限价</w:t>
            </w:r>
          </w:p>
        </w:tc>
        <w:tc>
          <w:tcPr>
            <w:tcW w:w="6826" w:type="dxa"/>
            <w:tcBorders>
              <w:top w:val="single" w:color="auto" w:sz="8" w:space="0"/>
              <w:left w:val="nil"/>
              <w:bottom w:val="single" w:color="auto" w:sz="8" w:space="0"/>
              <w:right w:val="single" w:color="auto" w:sz="8" w:space="0"/>
            </w:tcBorders>
            <w:vAlign w:val="center"/>
          </w:tcPr>
          <w:p>
            <w:pPr>
              <w:pStyle w:val="143"/>
              <w:spacing w:line="380" w:lineRule="exact"/>
              <w:rPr>
                <w:rFonts w:ascii="宋体" w:hAnsi="宋体" w:cs="宋体"/>
                <w:color w:val="000000"/>
                <w:kern w:val="2"/>
                <w:sz w:val="24"/>
                <w:szCs w:val="24"/>
              </w:rPr>
            </w:pPr>
            <w:r>
              <w:rPr>
                <w:rFonts w:hint="eastAsia" w:ascii="宋体" w:hAnsi="宋体" w:cs="宋体"/>
                <w:color w:val="000000"/>
                <w:kern w:val="2"/>
                <w:sz w:val="24"/>
                <w:szCs w:val="24"/>
              </w:rPr>
              <w:t>□无</w:t>
            </w:r>
          </w:p>
          <w:p>
            <w:pPr>
              <w:pStyle w:val="143"/>
              <w:spacing w:line="380" w:lineRule="exact"/>
              <w:rPr>
                <w:rFonts w:ascii="宋体" w:hAnsi="宋体" w:cs="宋体"/>
                <w:color w:val="000000"/>
                <w:kern w:val="2"/>
                <w:sz w:val="24"/>
                <w:szCs w:val="24"/>
              </w:rPr>
            </w:pPr>
            <w:r>
              <w:rPr>
                <w:rFonts w:hint="eastAsia" w:ascii="宋体" w:hAnsi="宋体" w:cs="宋体"/>
                <w:color w:val="000000"/>
                <w:kern w:val="2"/>
                <w:sz w:val="24"/>
                <w:szCs w:val="24"/>
              </w:rPr>
              <w:t>☑有，最高投标限价：详见第一章“</w:t>
            </w:r>
            <w:r>
              <w:rPr>
                <w:rFonts w:hint="eastAsia" w:ascii="宋体" w:hAnsi="宋体" w:cs="宋体"/>
                <w:kern w:val="2"/>
                <w:sz w:val="24"/>
                <w:szCs w:val="24"/>
              </w:rPr>
              <w:t>招标</w:t>
            </w:r>
            <w:r>
              <w:rPr>
                <w:rFonts w:hint="eastAsia" w:ascii="宋体" w:hAnsi="宋体" w:cs="宋体"/>
                <w:color w:val="000000"/>
                <w:kern w:val="2"/>
                <w:sz w:val="24"/>
                <w:szCs w:val="24"/>
              </w:rPr>
              <w:t>公告”</w:t>
            </w:r>
          </w:p>
        </w:tc>
      </w:tr>
      <w:tr>
        <w:tblPrEx>
          <w:tblCellMar>
            <w:top w:w="0" w:type="dxa"/>
            <w:left w:w="0" w:type="dxa"/>
            <w:bottom w:w="0" w:type="dxa"/>
            <w:right w:w="0" w:type="dxa"/>
          </w:tblCellMar>
        </w:tblPrEx>
        <w:trPr>
          <w:trHeight w:val="279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3.2.4</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投标报价的其他要求</w:t>
            </w:r>
          </w:p>
        </w:tc>
        <w:tc>
          <w:tcPr>
            <w:tcW w:w="6826" w:type="dxa"/>
            <w:tcBorders>
              <w:top w:val="single" w:color="auto" w:sz="8" w:space="0"/>
              <w:left w:val="nil"/>
              <w:bottom w:val="single" w:color="auto" w:sz="8" w:space="0"/>
              <w:right w:val="single" w:color="auto" w:sz="8" w:space="0"/>
            </w:tcBorders>
            <w:vAlign w:val="center"/>
          </w:tcPr>
          <w:p>
            <w:pPr>
              <w:spacing w:line="360" w:lineRule="auto"/>
              <w:rPr>
                <w:rFonts w:ascii="宋体" w:hAnsi="宋体" w:cs="宋体"/>
                <w:sz w:val="24"/>
                <w:szCs w:val="24"/>
                <w:u w:val="single"/>
              </w:rPr>
            </w:pPr>
            <w:r>
              <w:rPr>
                <w:rFonts w:hint="eastAsia" w:ascii="宋体" w:hAnsi="宋体" w:cs="宋体"/>
                <w:sz w:val="24"/>
                <w:szCs w:val="24"/>
              </w:rPr>
              <w:t>(1)本次投标报价为综合报价，报价应为人民币含税价（元），包括货物价格（含利润）、货物运输、装卸、保险、税收、安装、调试、检验、培训、售后服务、中标服务费等所需全部费用。</w:t>
            </w:r>
          </w:p>
          <w:p>
            <w:pPr>
              <w:spacing w:line="360" w:lineRule="auto"/>
              <w:rPr>
                <w:rFonts w:eastAsia="黑体"/>
              </w:rPr>
            </w:pPr>
            <w:r>
              <w:rPr>
                <w:rFonts w:hint="eastAsia" w:ascii="宋体" w:hAnsi="宋体" w:cs="宋体"/>
                <w:sz w:val="24"/>
                <w:szCs w:val="24"/>
              </w:rPr>
              <w:t>(2)供应商应承担所有与参加投标有关的自身的所有费用，不论采购的结果如何，采购代理机构和采购人在任何情况下均无义务和责任承担这些费用。</w:t>
            </w:r>
          </w:p>
        </w:tc>
      </w:tr>
      <w:tr>
        <w:tblPrEx>
          <w:tblCellMar>
            <w:top w:w="0" w:type="dxa"/>
            <w:left w:w="0" w:type="dxa"/>
            <w:bottom w:w="0" w:type="dxa"/>
            <w:right w:w="0" w:type="dxa"/>
          </w:tblCellMar>
        </w:tblPrEx>
        <w:trPr>
          <w:trHeight w:val="61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3.3.1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投标有效期</w:t>
            </w:r>
          </w:p>
        </w:tc>
        <w:tc>
          <w:tcPr>
            <w:tcW w:w="6826" w:type="dxa"/>
            <w:tcBorders>
              <w:top w:val="single" w:color="auto" w:sz="8" w:space="0"/>
              <w:left w:val="nil"/>
              <w:bottom w:val="single" w:color="auto" w:sz="8" w:space="0"/>
              <w:right w:val="single" w:color="auto" w:sz="8" w:space="0"/>
            </w:tcBorders>
            <w:vAlign w:val="center"/>
          </w:tcPr>
          <w:p>
            <w:pPr>
              <w:pStyle w:val="143"/>
              <w:spacing w:line="380" w:lineRule="exact"/>
              <w:jc w:val="both"/>
              <w:rPr>
                <w:rFonts w:ascii="宋体" w:hAnsi="宋体" w:cs="宋体"/>
                <w:kern w:val="2"/>
                <w:sz w:val="24"/>
                <w:szCs w:val="24"/>
              </w:rPr>
            </w:pPr>
            <w:r>
              <w:rPr>
                <w:rFonts w:hint="eastAsia" w:ascii="宋体" w:hAnsi="宋体" w:cs="宋体"/>
                <w:kern w:val="2"/>
                <w:sz w:val="24"/>
                <w:szCs w:val="24"/>
              </w:rPr>
              <w:t>投标有效期为</w:t>
            </w:r>
            <w:r>
              <w:rPr>
                <w:rFonts w:hint="eastAsia" w:ascii="宋体" w:hAnsi="宋体" w:cs="宋体"/>
                <w:kern w:val="2"/>
                <w:sz w:val="24"/>
                <w:szCs w:val="24"/>
                <w:u w:val="single"/>
              </w:rPr>
              <w:t xml:space="preserve"> 90 </w:t>
            </w:r>
            <w:r>
              <w:rPr>
                <w:rFonts w:hint="eastAsia" w:ascii="宋体" w:hAnsi="宋体" w:cs="宋体"/>
                <w:kern w:val="2"/>
                <w:sz w:val="24"/>
                <w:szCs w:val="24"/>
              </w:rPr>
              <w:t>日历天</w:t>
            </w:r>
            <w:r>
              <w:rPr>
                <w:rFonts w:hint="eastAsia" w:ascii="宋体" w:hAnsi="宋体" w:cs="宋体"/>
                <w:sz w:val="24"/>
                <w:szCs w:val="24"/>
              </w:rPr>
              <w:t>(从投标截止之日算起)</w:t>
            </w:r>
            <w:r>
              <w:rPr>
                <w:rFonts w:hint="eastAsia" w:ascii="宋体" w:hAnsi="宋体" w:cs="宋体"/>
                <w:kern w:val="2"/>
                <w:sz w:val="24"/>
                <w:szCs w:val="24"/>
              </w:rPr>
              <w:t>。</w:t>
            </w:r>
          </w:p>
        </w:tc>
      </w:tr>
      <w:tr>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3.4.1</w:t>
            </w:r>
          </w:p>
        </w:tc>
        <w:tc>
          <w:tcPr>
            <w:tcW w:w="2337" w:type="dxa"/>
            <w:tcBorders>
              <w:top w:val="single" w:color="auto" w:sz="8" w:space="0"/>
              <w:left w:val="nil"/>
              <w:bottom w:val="single" w:color="auto" w:sz="8" w:space="0"/>
              <w:right w:val="single" w:color="auto" w:sz="8" w:space="0"/>
            </w:tcBorders>
            <w:vAlign w:val="center"/>
          </w:tcPr>
          <w:p>
            <w:pPr>
              <w:spacing w:line="380" w:lineRule="exact"/>
              <w:jc w:val="center"/>
              <w:rPr>
                <w:rFonts w:ascii="宋体" w:hAnsi="宋体" w:cs="宋体"/>
                <w:kern w:val="2"/>
                <w:sz w:val="24"/>
                <w:szCs w:val="24"/>
              </w:rPr>
            </w:pPr>
            <w:r>
              <w:rPr>
                <w:rFonts w:hint="eastAsia" w:ascii="宋体" w:hAnsi="宋体" w:cs="宋体"/>
                <w:kern w:val="2"/>
                <w:sz w:val="24"/>
                <w:szCs w:val="24"/>
              </w:rPr>
              <w:t>投标保证金</w:t>
            </w:r>
          </w:p>
        </w:tc>
        <w:tc>
          <w:tcPr>
            <w:tcW w:w="6826" w:type="dxa"/>
            <w:tcBorders>
              <w:top w:val="single" w:color="auto" w:sz="8" w:space="0"/>
              <w:left w:val="nil"/>
              <w:bottom w:val="single" w:color="auto" w:sz="8" w:space="0"/>
              <w:right w:val="single" w:color="auto" w:sz="8" w:space="0"/>
            </w:tcBorders>
            <w:vAlign w:val="center"/>
          </w:tcPr>
          <w:p>
            <w:pPr>
              <w:spacing w:line="380" w:lineRule="exact"/>
              <w:jc w:val="both"/>
              <w:rPr>
                <w:rFonts w:ascii="宋体" w:hAnsi="宋体" w:cs="宋体"/>
                <w:sz w:val="24"/>
                <w:szCs w:val="24"/>
              </w:rPr>
            </w:pPr>
            <w:r>
              <w:rPr>
                <w:rFonts w:hint="eastAsia" w:ascii="宋体" w:hAnsi="宋体" w:cs="宋体"/>
                <w:kern w:val="2"/>
                <w:sz w:val="24"/>
                <w:szCs w:val="24"/>
                <w:lang w:eastAsia="zh-CN"/>
              </w:rPr>
              <w:t>□</w:t>
            </w:r>
            <w:r>
              <w:rPr>
                <w:rFonts w:hint="eastAsia" w:ascii="宋体" w:hAnsi="宋体" w:cs="宋体"/>
                <w:sz w:val="24"/>
                <w:szCs w:val="24"/>
              </w:rPr>
              <w:t>不缴纳</w:t>
            </w:r>
          </w:p>
          <w:p>
            <w:pPr>
              <w:autoSpaceDE w:val="0"/>
              <w:autoSpaceDN w:val="0"/>
              <w:spacing w:line="380" w:lineRule="exact"/>
              <w:rPr>
                <w:rFonts w:hint="eastAsia" w:ascii="宋体" w:hAnsi="宋体" w:eastAsia="宋体" w:cs="宋体"/>
                <w:kern w:val="2"/>
                <w:sz w:val="24"/>
                <w:szCs w:val="24"/>
                <w:lang w:eastAsia="zh-CN"/>
              </w:rPr>
            </w:pPr>
            <w:r>
              <w:rPr>
                <w:rFonts w:hint="eastAsia" w:ascii="宋体" w:hAnsi="宋体" w:cs="宋体"/>
                <w:sz w:val="24"/>
                <w:szCs w:val="24"/>
                <w:lang w:eastAsia="zh-CN"/>
              </w:rPr>
              <w:t>☑</w:t>
            </w:r>
            <w:r>
              <w:rPr>
                <w:rFonts w:hint="eastAsia" w:ascii="宋体" w:hAnsi="宋体" w:cs="宋体"/>
                <w:sz w:val="24"/>
                <w:szCs w:val="24"/>
              </w:rPr>
              <w:t>缴纳</w:t>
            </w:r>
            <w:r>
              <w:rPr>
                <w:rFonts w:hint="eastAsia" w:ascii="宋体" w:hAnsi="宋体" w:cs="宋体"/>
                <w:sz w:val="24"/>
                <w:szCs w:val="24"/>
                <w:lang w:eastAsia="zh-CN"/>
              </w:rPr>
              <w:t>：详见第一章“招标公告”</w:t>
            </w:r>
            <w:bookmarkStart w:id="588" w:name="_GoBack"/>
            <w:bookmarkEnd w:id="588"/>
          </w:p>
        </w:tc>
      </w:tr>
      <w:tr>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3.5.4</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sz w:val="24"/>
                <w:szCs w:val="24"/>
              </w:rPr>
              <w:t>电子投标文件格式</w:t>
            </w:r>
          </w:p>
        </w:tc>
        <w:tc>
          <w:tcPr>
            <w:tcW w:w="6826" w:type="dxa"/>
            <w:tcBorders>
              <w:top w:val="single" w:color="auto" w:sz="8" w:space="0"/>
              <w:left w:val="nil"/>
              <w:bottom w:val="single" w:color="auto" w:sz="8" w:space="0"/>
              <w:right w:val="single" w:color="auto" w:sz="8" w:space="0"/>
            </w:tcBorders>
            <w:vAlign w:val="center"/>
          </w:tcPr>
          <w:p>
            <w:pPr>
              <w:spacing w:line="360" w:lineRule="auto"/>
              <w:rPr>
                <w:rFonts w:ascii="宋体" w:hAnsi="宋体" w:cs="宋体"/>
                <w:kern w:val="2"/>
                <w:sz w:val="24"/>
                <w:szCs w:val="24"/>
              </w:rPr>
            </w:pPr>
            <w:r>
              <w:rPr>
                <w:rFonts w:hint="eastAsia" w:ascii="宋体" w:hAnsi="宋体" w:cs="宋体"/>
                <w:b/>
                <w:bCs/>
                <w:sz w:val="24"/>
                <w:szCs w:val="24"/>
              </w:rPr>
              <w:t>电子投标文件应使用《云南省政府采购投标文件编制系统》制作(电子投标文件格式为*.ZCTBJ)</w:t>
            </w:r>
          </w:p>
        </w:tc>
      </w:tr>
      <w:tr>
        <w:tblPrEx>
          <w:tblCellMar>
            <w:top w:w="0" w:type="dxa"/>
            <w:left w:w="0" w:type="dxa"/>
            <w:bottom w:w="0" w:type="dxa"/>
            <w:right w:w="0" w:type="dxa"/>
          </w:tblCellMar>
        </w:tblPrEx>
        <w:trPr>
          <w:trHeight w:val="59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4.1.1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sz w:val="24"/>
                <w:szCs w:val="24"/>
              </w:rPr>
            </w:pPr>
            <w:r>
              <w:rPr>
                <w:rFonts w:hint="eastAsia" w:ascii="宋体" w:hAnsi="宋体" w:cs="宋体"/>
                <w:kern w:val="2"/>
                <w:sz w:val="24"/>
                <w:szCs w:val="24"/>
              </w:rPr>
              <w:t>投标文件加密要求</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sz w:val="24"/>
                <w:szCs w:val="24"/>
              </w:rPr>
            </w:pPr>
            <w:r>
              <w:rPr>
                <w:rFonts w:hint="eastAsia" w:ascii="宋体" w:hAnsi="宋体" w:cs="宋体"/>
                <w:sz w:val="24"/>
                <w:szCs w:val="24"/>
              </w:rPr>
              <w:t>CA锁加密</w:t>
            </w:r>
          </w:p>
        </w:tc>
      </w:tr>
      <w:tr>
        <w:tblPrEx>
          <w:tblCellMar>
            <w:top w:w="0" w:type="dxa"/>
            <w:left w:w="0" w:type="dxa"/>
            <w:bottom w:w="0" w:type="dxa"/>
            <w:right w:w="0" w:type="dxa"/>
          </w:tblCellMar>
        </w:tblPrEx>
        <w:trPr>
          <w:trHeight w:val="38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rPr>
            </w:pPr>
            <w:r>
              <w:rPr>
                <w:rFonts w:hint="eastAsia" w:ascii="宋体" w:hAnsi="宋体" w:cs="宋体"/>
                <w:sz w:val="24"/>
                <w:szCs w:val="24"/>
              </w:rPr>
              <w:t>4.2.1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投标截止时间</w:t>
            </w:r>
          </w:p>
        </w:tc>
        <w:tc>
          <w:tcPr>
            <w:tcW w:w="6826" w:type="dxa"/>
            <w:tcBorders>
              <w:top w:val="single" w:color="auto" w:sz="8" w:space="0"/>
              <w:left w:val="nil"/>
              <w:bottom w:val="single" w:color="auto" w:sz="8" w:space="0"/>
              <w:right w:val="single" w:color="auto" w:sz="8" w:space="0"/>
            </w:tcBorders>
            <w:vAlign w:val="center"/>
          </w:tcPr>
          <w:p>
            <w:pPr>
              <w:spacing w:line="400" w:lineRule="exact"/>
              <w:jc w:val="both"/>
              <w:rPr>
                <w:rFonts w:ascii="宋体" w:hAnsi="宋体" w:cs="宋体"/>
                <w:kern w:val="2"/>
                <w:sz w:val="24"/>
                <w:szCs w:val="24"/>
              </w:rPr>
            </w:pPr>
            <w:r>
              <w:rPr>
                <w:rFonts w:hint="eastAsia" w:ascii="宋体" w:hAnsi="宋体" w:cs="宋体"/>
                <w:sz w:val="24"/>
                <w:szCs w:val="24"/>
              </w:rPr>
              <w:t>详见第一章 “</w:t>
            </w:r>
            <w:r>
              <w:rPr>
                <w:rFonts w:hint="eastAsia" w:ascii="宋体" w:hAnsi="宋体" w:cs="宋体"/>
                <w:kern w:val="2"/>
                <w:sz w:val="24"/>
                <w:szCs w:val="24"/>
              </w:rPr>
              <w:t>招标</w:t>
            </w:r>
            <w:r>
              <w:rPr>
                <w:rFonts w:hint="eastAsia" w:ascii="宋体" w:hAnsi="宋体" w:cs="宋体"/>
                <w:sz w:val="24"/>
                <w:szCs w:val="24"/>
              </w:rPr>
              <w:t>公告”</w:t>
            </w:r>
          </w:p>
        </w:tc>
      </w:tr>
      <w:tr>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4.2.2</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投标文件递交时间和地点</w:t>
            </w:r>
          </w:p>
        </w:tc>
        <w:tc>
          <w:tcPr>
            <w:tcW w:w="6826" w:type="dxa"/>
            <w:tcBorders>
              <w:top w:val="single" w:color="auto" w:sz="8" w:space="0"/>
              <w:left w:val="nil"/>
              <w:bottom w:val="single" w:color="auto" w:sz="8" w:space="0"/>
              <w:right w:val="single" w:color="auto" w:sz="8" w:space="0"/>
            </w:tcBorders>
            <w:vAlign w:val="center"/>
          </w:tcPr>
          <w:p>
            <w:pPr>
              <w:pStyle w:val="19"/>
              <w:rPr>
                <w:rFonts w:ascii="宋体" w:hAnsi="宋体" w:cs="宋体"/>
                <w:sz w:val="24"/>
              </w:rPr>
            </w:pPr>
            <w:r>
              <w:rPr>
                <w:rFonts w:hint="eastAsia" w:ascii="宋体" w:hAnsi="宋体" w:cs="宋体"/>
                <w:sz w:val="24"/>
              </w:rPr>
              <w:t>详见第一章 “招标公告”</w:t>
            </w:r>
          </w:p>
        </w:tc>
      </w:tr>
      <w:tr>
        <w:tblPrEx>
          <w:tblCellMar>
            <w:top w:w="0" w:type="dxa"/>
            <w:left w:w="0" w:type="dxa"/>
            <w:bottom w:w="0" w:type="dxa"/>
            <w:right w:w="0" w:type="dxa"/>
          </w:tblCellMar>
        </w:tblPrEx>
        <w:trPr>
          <w:trHeight w:val="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4.2.3</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投标文件是否退还</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kern w:val="2"/>
                <w:sz w:val="24"/>
                <w:szCs w:val="24"/>
              </w:rPr>
            </w:pPr>
            <w:r>
              <w:rPr>
                <w:rFonts w:hint="eastAsia" w:ascii="宋体" w:hAnsi="宋体" w:cs="宋体"/>
                <w:kern w:val="2"/>
                <w:sz w:val="24"/>
                <w:szCs w:val="24"/>
              </w:rPr>
              <w:t>投标文件退还：☑否</w:t>
            </w:r>
          </w:p>
          <w:p>
            <w:pPr>
              <w:spacing w:line="400" w:lineRule="exact"/>
              <w:ind w:firstLine="1680"/>
              <w:rPr>
                <w:rFonts w:ascii="宋体" w:hAnsi="宋体" w:cs="宋体"/>
                <w:color w:val="000000"/>
              </w:rPr>
            </w:pPr>
            <w:r>
              <w:rPr>
                <w:rFonts w:hint="eastAsia" w:ascii="宋体" w:hAnsi="宋体" w:cs="宋体"/>
                <w:kern w:val="2"/>
                <w:sz w:val="24"/>
                <w:szCs w:val="24"/>
              </w:rPr>
              <w:t>□是，退还时间：</w:t>
            </w:r>
            <w:r>
              <w:rPr>
                <w:rFonts w:hint="eastAsia" w:ascii="宋体" w:hAnsi="宋体" w:cs="宋体"/>
                <w:kern w:val="2"/>
                <w:sz w:val="24"/>
                <w:szCs w:val="24"/>
                <w:u w:val="single"/>
              </w:rPr>
              <w:t xml:space="preserve">   /   </w:t>
            </w:r>
          </w:p>
          <w:p>
            <w:pPr>
              <w:pStyle w:val="39"/>
              <w:ind w:firstLine="0" w:firstLineChars="0"/>
            </w:pPr>
            <w:r>
              <w:rPr>
                <w:rFonts w:hint="eastAsia" w:ascii="宋体" w:hAnsi="宋体" w:cs="宋体"/>
                <w:sz w:val="24"/>
              </w:rPr>
              <w:t>注：中标结果公示结束后，由中标单位提供纸质投标文件</w:t>
            </w:r>
            <w:r>
              <w:rPr>
                <w:rFonts w:hint="eastAsia" w:ascii="宋体" w:hAnsi="宋体" w:cs="宋体"/>
                <w:b/>
                <w:bCs/>
                <w:sz w:val="24"/>
                <w:u w:val="single"/>
              </w:rPr>
              <w:t>二份（需为电子投标文件打印件）</w:t>
            </w:r>
            <w:r>
              <w:rPr>
                <w:rFonts w:hint="eastAsia" w:ascii="宋体" w:hAnsi="宋体" w:cs="宋体"/>
                <w:sz w:val="24"/>
              </w:rPr>
              <w:t>以供招标代理机构及招标人备案存档使用。</w:t>
            </w:r>
          </w:p>
        </w:tc>
      </w:tr>
      <w:tr>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5.1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color w:val="000000"/>
                <w:kern w:val="2"/>
                <w:sz w:val="24"/>
                <w:szCs w:val="24"/>
              </w:rPr>
            </w:pPr>
            <w:r>
              <w:rPr>
                <w:rFonts w:hint="eastAsia" w:ascii="宋体" w:hAnsi="宋体" w:cs="宋体"/>
                <w:color w:val="000000"/>
                <w:kern w:val="2"/>
                <w:sz w:val="24"/>
                <w:szCs w:val="24"/>
              </w:rPr>
              <w:t>开标时间和地点</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color w:val="000000"/>
                <w:kern w:val="2"/>
                <w:sz w:val="24"/>
                <w:szCs w:val="24"/>
              </w:rPr>
            </w:pPr>
            <w:r>
              <w:rPr>
                <w:rFonts w:hint="eastAsia" w:ascii="宋体" w:hAnsi="宋体" w:cs="宋体"/>
                <w:color w:val="000000"/>
                <w:kern w:val="2"/>
                <w:sz w:val="24"/>
                <w:szCs w:val="24"/>
              </w:rPr>
              <w:t>时间：</w:t>
            </w:r>
            <w:r>
              <w:rPr>
                <w:rFonts w:hint="eastAsia" w:ascii="宋体" w:hAnsi="宋体" w:cs="宋体"/>
                <w:b/>
                <w:bCs/>
                <w:color w:val="000000"/>
                <w:kern w:val="2"/>
                <w:sz w:val="24"/>
                <w:szCs w:val="24"/>
              </w:rPr>
              <w:t>2024年</w:t>
            </w:r>
            <w:r>
              <w:rPr>
                <w:rFonts w:hint="eastAsia" w:ascii="宋体" w:hAnsi="宋体" w:cs="宋体"/>
                <w:b/>
                <w:bCs/>
                <w:color w:val="000000"/>
                <w:kern w:val="2"/>
                <w:sz w:val="24"/>
                <w:szCs w:val="24"/>
                <w:lang w:val="en-US" w:eastAsia="zh-CN"/>
              </w:rPr>
              <w:t>07</w:t>
            </w:r>
            <w:r>
              <w:rPr>
                <w:rFonts w:hint="eastAsia" w:ascii="宋体" w:hAnsi="宋体" w:cs="宋体"/>
                <w:b/>
                <w:bCs/>
                <w:color w:val="000000"/>
                <w:kern w:val="2"/>
                <w:sz w:val="24"/>
                <w:szCs w:val="24"/>
              </w:rPr>
              <w:t>月</w:t>
            </w:r>
            <w:r>
              <w:rPr>
                <w:rFonts w:hint="eastAsia" w:ascii="宋体" w:hAnsi="宋体" w:cs="宋体"/>
                <w:b/>
                <w:bCs/>
                <w:color w:val="000000"/>
                <w:kern w:val="2"/>
                <w:sz w:val="24"/>
                <w:szCs w:val="24"/>
                <w:lang w:val="en-US" w:eastAsia="zh-CN"/>
              </w:rPr>
              <w:t>19</w:t>
            </w:r>
            <w:r>
              <w:rPr>
                <w:rFonts w:hint="eastAsia" w:ascii="宋体" w:hAnsi="宋体" w:cs="宋体"/>
                <w:b/>
                <w:bCs/>
                <w:color w:val="000000"/>
                <w:kern w:val="2"/>
                <w:sz w:val="24"/>
                <w:szCs w:val="24"/>
              </w:rPr>
              <w:t>日09时00分</w:t>
            </w:r>
          </w:p>
          <w:p>
            <w:pPr>
              <w:spacing w:line="400" w:lineRule="exact"/>
              <w:rPr>
                <w:rFonts w:ascii="宋体" w:hAnsi="宋体" w:cs="宋体"/>
                <w:color w:val="000000"/>
                <w:kern w:val="2"/>
                <w:sz w:val="24"/>
                <w:szCs w:val="24"/>
              </w:rPr>
            </w:pPr>
            <w:r>
              <w:rPr>
                <w:rFonts w:hint="eastAsia" w:ascii="宋体" w:hAnsi="宋体" w:cs="宋体"/>
                <w:color w:val="000000"/>
                <w:kern w:val="2"/>
                <w:sz w:val="24"/>
                <w:szCs w:val="24"/>
              </w:rPr>
              <w:t>地点：</w:t>
            </w:r>
            <w:r>
              <w:rPr>
                <w:rFonts w:hint="eastAsia" w:ascii="宋体" w:hAnsi="宋体" w:cs="宋体"/>
                <w:b/>
                <w:bCs/>
                <w:color w:val="000000"/>
                <w:sz w:val="24"/>
                <w:szCs w:val="24"/>
              </w:rPr>
              <w:t>云南捷通工程咨询有限公司开标厅（地址：昆明市西山区西园路718号大观天下广电文化家园西区办公楼B座1501室）</w:t>
            </w:r>
          </w:p>
        </w:tc>
      </w:tr>
      <w:tr>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7.1.1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评标委员会的组成</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color w:val="000000"/>
                <w:kern w:val="2"/>
                <w:sz w:val="24"/>
                <w:szCs w:val="24"/>
              </w:rPr>
            </w:pPr>
            <w:r>
              <w:rPr>
                <w:rFonts w:hint="eastAsia" w:ascii="宋体" w:hAnsi="宋体" w:cs="宋体"/>
                <w:color w:val="000000"/>
                <w:sz w:val="24"/>
                <w:szCs w:val="24"/>
              </w:rPr>
              <w:t>评标委员会由采购人代表和评审专家组成，成员人数为</w:t>
            </w:r>
            <w:r>
              <w:rPr>
                <w:rFonts w:hint="eastAsia" w:ascii="宋体" w:hAnsi="宋体" w:cs="宋体"/>
                <w:color w:val="000000"/>
                <w:sz w:val="24"/>
                <w:szCs w:val="24"/>
                <w:u w:val="single"/>
              </w:rPr>
              <w:t xml:space="preserve"> 5 </w:t>
            </w:r>
            <w:r>
              <w:rPr>
                <w:rFonts w:hint="eastAsia" w:ascii="宋体" w:hAnsi="宋体" w:cs="宋体"/>
                <w:color w:val="000000"/>
                <w:sz w:val="24"/>
                <w:szCs w:val="24"/>
              </w:rPr>
              <w:t>人以上单数，其中技术、经济专家不得少于成员总数的三分之二。</w:t>
            </w:r>
          </w:p>
          <w:p>
            <w:pPr>
              <w:spacing w:line="400" w:lineRule="exact"/>
              <w:rPr>
                <w:rFonts w:ascii="宋体" w:hAnsi="宋体" w:cs="宋体"/>
                <w:kern w:val="2"/>
                <w:sz w:val="24"/>
                <w:szCs w:val="24"/>
              </w:rPr>
            </w:pPr>
            <w:r>
              <w:rPr>
                <w:rFonts w:hint="eastAsia" w:ascii="宋体" w:hAnsi="宋体" w:cs="宋体"/>
                <w:color w:val="000000"/>
                <w:kern w:val="2"/>
                <w:sz w:val="24"/>
                <w:szCs w:val="24"/>
              </w:rPr>
              <w:t>评标专家确定方式：从云南省政府采购评审专家库中随机抽取。</w:t>
            </w:r>
          </w:p>
        </w:tc>
      </w:tr>
      <w:tr>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7.3.2</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评标委员会推荐中标候选人的人数</w:t>
            </w:r>
          </w:p>
        </w:tc>
        <w:tc>
          <w:tcPr>
            <w:tcW w:w="6826" w:type="dxa"/>
            <w:tcBorders>
              <w:top w:val="single" w:color="auto" w:sz="8" w:space="0"/>
              <w:left w:val="nil"/>
              <w:bottom w:val="single" w:color="auto" w:sz="8" w:space="0"/>
              <w:right w:val="single" w:color="auto" w:sz="8" w:space="0"/>
            </w:tcBorders>
            <w:vAlign w:val="center"/>
          </w:tcPr>
          <w:p>
            <w:pPr>
              <w:pStyle w:val="143"/>
              <w:spacing w:line="400" w:lineRule="exact"/>
              <w:jc w:val="both"/>
              <w:rPr>
                <w:rFonts w:ascii="宋体" w:hAnsi="宋体" w:cs="宋体"/>
                <w:color w:val="000000"/>
                <w:kern w:val="2"/>
                <w:sz w:val="24"/>
                <w:szCs w:val="24"/>
              </w:rPr>
            </w:pPr>
            <w:r>
              <w:rPr>
                <w:rFonts w:hint="eastAsia" w:ascii="宋体" w:hAnsi="宋体" w:cs="宋体"/>
                <w:color w:val="000000"/>
                <w:kern w:val="2"/>
                <w:sz w:val="24"/>
                <w:szCs w:val="24"/>
              </w:rPr>
              <w:t>3名</w:t>
            </w:r>
          </w:p>
        </w:tc>
      </w:tr>
      <w:tr>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8.1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是否授权评标委员会确定中标人</w:t>
            </w:r>
          </w:p>
        </w:tc>
        <w:tc>
          <w:tcPr>
            <w:tcW w:w="6826" w:type="dxa"/>
            <w:tcBorders>
              <w:top w:val="single" w:color="auto" w:sz="8" w:space="0"/>
              <w:left w:val="nil"/>
              <w:bottom w:val="single" w:color="auto" w:sz="8" w:space="0"/>
              <w:right w:val="single" w:color="auto" w:sz="8" w:space="0"/>
            </w:tcBorders>
            <w:vAlign w:val="center"/>
          </w:tcPr>
          <w:p>
            <w:pPr>
              <w:spacing w:line="400" w:lineRule="exact"/>
              <w:jc w:val="both"/>
              <w:rPr>
                <w:rFonts w:ascii="宋体" w:hAnsi="宋体" w:cs="宋体"/>
                <w:color w:val="000000"/>
                <w:kern w:val="2"/>
                <w:sz w:val="24"/>
                <w:szCs w:val="24"/>
              </w:rPr>
            </w:pPr>
            <w:r>
              <w:rPr>
                <w:rFonts w:hint="eastAsia" w:ascii="MS Mincho" w:hAnsi="MS Mincho" w:cs="MS Mincho"/>
                <w:color w:val="000000"/>
                <w:kern w:val="2"/>
                <w:sz w:val="24"/>
                <w:szCs w:val="24"/>
              </w:rPr>
              <w:t>□</w:t>
            </w:r>
            <w:r>
              <w:rPr>
                <w:rFonts w:hint="eastAsia" w:ascii="宋体" w:hAnsi="宋体" w:cs="宋体"/>
                <w:color w:val="000000"/>
                <w:kern w:val="2"/>
                <w:sz w:val="24"/>
                <w:szCs w:val="24"/>
              </w:rPr>
              <w:t>是</w:t>
            </w:r>
          </w:p>
          <w:p>
            <w:pPr>
              <w:spacing w:line="400" w:lineRule="exact"/>
              <w:jc w:val="both"/>
              <w:rPr>
                <w:rFonts w:ascii="宋体" w:hAnsi="宋体" w:cs="宋体"/>
                <w:color w:val="000000"/>
                <w:kern w:val="2"/>
                <w:sz w:val="24"/>
                <w:szCs w:val="24"/>
              </w:rPr>
            </w:pPr>
            <w:r>
              <w:rPr>
                <w:rFonts w:hint="eastAsia" w:ascii="宋体" w:hAnsi="宋体" w:cs="宋体"/>
                <w:color w:val="000000"/>
                <w:kern w:val="2"/>
                <w:sz w:val="24"/>
                <w:szCs w:val="24"/>
              </w:rPr>
              <w:t>☑否</w:t>
            </w:r>
          </w:p>
        </w:tc>
      </w:tr>
      <w:tr>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8.2</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中标公告媒介及期限</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kern w:val="2"/>
                <w:sz w:val="24"/>
                <w:szCs w:val="24"/>
              </w:rPr>
            </w:pPr>
            <w:r>
              <w:rPr>
                <w:rFonts w:hint="eastAsia" w:ascii="宋体" w:hAnsi="宋体" w:cs="宋体"/>
                <w:kern w:val="2"/>
                <w:sz w:val="24"/>
                <w:szCs w:val="24"/>
              </w:rPr>
              <w:t>公告媒介：同发布招标公告的媒介</w:t>
            </w:r>
          </w:p>
          <w:p>
            <w:pPr>
              <w:spacing w:line="400" w:lineRule="exact"/>
              <w:rPr>
                <w:rFonts w:ascii="宋体" w:hAnsi="宋体" w:cs="宋体"/>
                <w:kern w:val="2"/>
                <w:sz w:val="24"/>
                <w:szCs w:val="24"/>
                <w:u w:val="single"/>
              </w:rPr>
            </w:pPr>
            <w:r>
              <w:rPr>
                <w:rFonts w:hint="eastAsia" w:ascii="宋体" w:hAnsi="宋体" w:cs="宋体"/>
                <w:kern w:val="2"/>
                <w:sz w:val="24"/>
                <w:szCs w:val="24"/>
              </w:rPr>
              <w:t>公告期限：1 个工作日</w:t>
            </w:r>
          </w:p>
        </w:tc>
      </w:tr>
      <w:tr>
        <w:tblPrEx>
          <w:tblCellMar>
            <w:top w:w="0" w:type="dxa"/>
            <w:left w:w="0" w:type="dxa"/>
            <w:bottom w:w="0" w:type="dxa"/>
            <w:right w:w="0" w:type="dxa"/>
          </w:tblCellMar>
        </w:tblPrEx>
        <w:trPr>
          <w:trHeight w:val="11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8.4.1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履约保证金</w:t>
            </w:r>
          </w:p>
        </w:tc>
        <w:tc>
          <w:tcPr>
            <w:tcW w:w="6826" w:type="dxa"/>
            <w:tcBorders>
              <w:top w:val="single" w:color="auto" w:sz="8" w:space="0"/>
              <w:left w:val="nil"/>
              <w:bottom w:val="single" w:color="auto" w:sz="8" w:space="0"/>
              <w:right w:val="single" w:color="auto" w:sz="8" w:space="0"/>
            </w:tcBorders>
            <w:vAlign w:val="center"/>
          </w:tcPr>
          <w:p>
            <w:pPr>
              <w:spacing w:line="400" w:lineRule="exact"/>
              <w:rPr>
                <w:rFonts w:ascii="宋体" w:hAnsi="宋体" w:cs="宋体"/>
                <w:kern w:val="2"/>
                <w:sz w:val="24"/>
                <w:szCs w:val="24"/>
              </w:rPr>
            </w:pPr>
            <w:r>
              <w:rPr>
                <w:rFonts w:hint="eastAsia" w:ascii="宋体" w:hAnsi="宋体" w:cs="宋体"/>
                <w:kern w:val="2"/>
                <w:sz w:val="24"/>
                <w:szCs w:val="24"/>
              </w:rPr>
              <w:t>是否要求中标人提交履约保证金：</w:t>
            </w:r>
          </w:p>
          <w:p>
            <w:pPr>
              <w:spacing w:line="400" w:lineRule="exact"/>
              <w:rPr>
                <w:rFonts w:ascii="宋体" w:hAnsi="宋体" w:cs="宋体"/>
                <w:kern w:val="2"/>
                <w:sz w:val="24"/>
                <w:szCs w:val="24"/>
              </w:rPr>
            </w:pPr>
            <w:r>
              <w:rPr>
                <w:rFonts w:ascii="Wingdings" w:hAnsi="Wingdings" w:cs="宋体"/>
                <w:kern w:val="2"/>
                <w:sz w:val="24"/>
                <w:szCs w:val="24"/>
              </w:rPr>
              <w:sym w:font="Wingdings" w:char="F0FE"/>
            </w:r>
            <w:r>
              <w:rPr>
                <w:rFonts w:hint="eastAsia" w:ascii="宋体" w:hAnsi="宋体" w:cs="宋体"/>
                <w:kern w:val="2"/>
                <w:sz w:val="24"/>
                <w:szCs w:val="24"/>
              </w:rPr>
              <w:t>要求，履约保证金的形式：</w:t>
            </w:r>
            <w:r>
              <w:rPr>
                <w:rFonts w:hint="eastAsia" w:ascii="宋体" w:hAnsi="宋体" w:cs="宋体"/>
                <w:sz w:val="24"/>
                <w:u w:val="single"/>
              </w:rPr>
              <w:t>支票、汇票、本票或者金融机构、担保机构出具的保函、银行转行、电汇</w:t>
            </w:r>
            <w:r>
              <w:rPr>
                <w:rFonts w:hint="eastAsia" w:ascii="宋体" w:hAnsi="宋体" w:cs="宋体"/>
                <w:kern w:val="2"/>
                <w:sz w:val="24"/>
                <w:szCs w:val="24"/>
              </w:rPr>
              <w:t>等非现金形式提交；</w:t>
            </w:r>
          </w:p>
          <w:p>
            <w:pPr>
              <w:spacing w:line="400" w:lineRule="exact"/>
              <w:ind w:firstLine="960"/>
              <w:rPr>
                <w:rFonts w:ascii="宋体" w:hAnsi="宋体" w:cs="宋体"/>
                <w:kern w:val="2"/>
                <w:sz w:val="24"/>
                <w:szCs w:val="24"/>
              </w:rPr>
            </w:pPr>
            <w:r>
              <w:rPr>
                <w:rFonts w:hint="eastAsia" w:ascii="宋体" w:hAnsi="宋体" w:cs="宋体"/>
                <w:kern w:val="2"/>
                <w:sz w:val="24"/>
                <w:szCs w:val="24"/>
              </w:rPr>
              <w:t>履约保证金的金额：</w:t>
            </w:r>
            <w:r>
              <w:rPr>
                <w:rFonts w:hint="eastAsia" w:ascii="宋体" w:hAnsi="宋体" w:cs="宋体"/>
                <w:kern w:val="2"/>
                <w:sz w:val="24"/>
                <w:szCs w:val="24"/>
                <w:u w:val="single"/>
              </w:rPr>
              <w:t>合同金额的5%</w:t>
            </w:r>
          </w:p>
          <w:p>
            <w:pPr>
              <w:spacing w:line="400" w:lineRule="exact"/>
              <w:rPr>
                <w:rFonts w:ascii="宋体" w:hAnsi="宋体" w:cs="宋体"/>
                <w:kern w:val="2"/>
                <w:sz w:val="24"/>
                <w:szCs w:val="24"/>
              </w:rPr>
            </w:pPr>
            <w:r>
              <w:rPr>
                <w:rFonts w:hint="eastAsia" w:ascii="宋体" w:hAnsi="宋体" w:cs="宋体"/>
                <w:kern w:val="2"/>
                <w:sz w:val="24"/>
                <w:szCs w:val="24"/>
              </w:rPr>
              <w:t>□不要求</w:t>
            </w:r>
          </w:p>
        </w:tc>
      </w:tr>
      <w:tr>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12</w:t>
            </w:r>
          </w:p>
        </w:tc>
        <w:tc>
          <w:tcPr>
            <w:tcW w:w="9163" w:type="dxa"/>
            <w:gridSpan w:val="2"/>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b/>
                <w:bCs/>
                <w:kern w:val="2"/>
                <w:sz w:val="24"/>
                <w:szCs w:val="24"/>
              </w:rPr>
              <w:t>需要补充的其他内容</w:t>
            </w:r>
          </w:p>
        </w:tc>
      </w:tr>
      <w:tr>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12.1</w:t>
            </w:r>
          </w:p>
        </w:tc>
        <w:tc>
          <w:tcPr>
            <w:tcW w:w="2337" w:type="dxa"/>
            <w:tcBorders>
              <w:top w:val="single" w:color="auto" w:sz="8" w:space="0"/>
              <w:left w:val="nil"/>
              <w:bottom w:val="single" w:color="auto" w:sz="8" w:space="0"/>
              <w:right w:val="single" w:color="auto" w:sz="8" w:space="0"/>
            </w:tcBorders>
            <w:vAlign w:val="center"/>
          </w:tcPr>
          <w:p>
            <w:pPr>
              <w:spacing w:line="400" w:lineRule="exact"/>
              <w:jc w:val="center"/>
              <w:rPr>
                <w:rFonts w:ascii="宋体" w:hAnsi="宋体" w:cs="宋体"/>
                <w:kern w:val="2"/>
                <w:sz w:val="24"/>
                <w:szCs w:val="24"/>
              </w:rPr>
            </w:pPr>
            <w:r>
              <w:rPr>
                <w:rFonts w:hint="eastAsia" w:ascii="宋体" w:hAnsi="宋体" w:cs="宋体"/>
                <w:kern w:val="2"/>
                <w:sz w:val="24"/>
                <w:szCs w:val="24"/>
              </w:rPr>
              <w:t>评标方法</w:t>
            </w:r>
          </w:p>
        </w:tc>
        <w:tc>
          <w:tcPr>
            <w:tcW w:w="6826" w:type="dxa"/>
            <w:tcBorders>
              <w:top w:val="single" w:color="auto" w:sz="8" w:space="0"/>
              <w:left w:val="nil"/>
              <w:bottom w:val="single" w:color="auto" w:sz="8" w:space="0"/>
              <w:right w:val="single" w:color="auto" w:sz="8" w:space="0"/>
            </w:tcBorders>
            <w:vAlign w:val="center"/>
          </w:tcPr>
          <w:p>
            <w:pPr>
              <w:spacing w:line="400" w:lineRule="exact"/>
              <w:jc w:val="both"/>
              <w:rPr>
                <w:rFonts w:ascii="宋体" w:hAnsi="宋体" w:cs="宋体"/>
                <w:kern w:val="2"/>
                <w:sz w:val="24"/>
                <w:szCs w:val="24"/>
              </w:rPr>
            </w:pPr>
            <w:r>
              <w:rPr>
                <w:rFonts w:hint="eastAsia" w:ascii="宋体" w:hAnsi="宋体" w:cs="宋体"/>
                <w:kern w:val="2"/>
                <w:sz w:val="24"/>
                <w:szCs w:val="24"/>
              </w:rPr>
              <w:t>☑综合评分法</w:t>
            </w:r>
          </w:p>
          <w:p>
            <w:pPr>
              <w:spacing w:line="400" w:lineRule="exact"/>
              <w:jc w:val="both"/>
              <w:rPr>
                <w:rFonts w:ascii="宋体" w:hAnsi="宋体" w:cs="宋体"/>
                <w:kern w:val="2"/>
                <w:sz w:val="24"/>
                <w:szCs w:val="24"/>
              </w:rPr>
            </w:pPr>
            <w:r>
              <w:rPr>
                <w:rFonts w:hint="eastAsia" w:ascii="宋体" w:hAnsi="宋体" w:cs="宋体"/>
                <w:kern w:val="2"/>
                <w:sz w:val="24"/>
                <w:szCs w:val="24"/>
              </w:rPr>
              <w:t>□最低评标价法</w:t>
            </w:r>
          </w:p>
        </w:tc>
      </w:tr>
      <w:tr>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420" w:lineRule="exact"/>
              <w:jc w:val="center"/>
              <w:rPr>
                <w:rFonts w:ascii="宋体" w:hAnsi="宋体" w:cs="宋体"/>
                <w:kern w:val="2"/>
                <w:sz w:val="24"/>
                <w:szCs w:val="24"/>
              </w:rPr>
            </w:pPr>
            <w:r>
              <w:rPr>
                <w:rFonts w:hint="eastAsia" w:ascii="宋体" w:hAnsi="宋体" w:cs="宋体"/>
                <w:kern w:val="2"/>
                <w:sz w:val="24"/>
                <w:szCs w:val="24"/>
              </w:rPr>
              <w:t>12.2</w:t>
            </w:r>
          </w:p>
        </w:tc>
        <w:tc>
          <w:tcPr>
            <w:tcW w:w="2337" w:type="dxa"/>
            <w:tcBorders>
              <w:top w:val="single" w:color="auto" w:sz="8" w:space="0"/>
              <w:left w:val="nil"/>
              <w:bottom w:val="single" w:color="auto" w:sz="8" w:space="0"/>
              <w:right w:val="single" w:color="auto" w:sz="8" w:space="0"/>
            </w:tcBorders>
            <w:vAlign w:val="center"/>
          </w:tcPr>
          <w:p>
            <w:pPr>
              <w:spacing w:line="420" w:lineRule="exact"/>
              <w:jc w:val="center"/>
              <w:rPr>
                <w:rFonts w:ascii="宋体" w:hAnsi="宋体" w:cs="宋体"/>
                <w:kern w:val="2"/>
                <w:sz w:val="24"/>
                <w:szCs w:val="24"/>
              </w:rPr>
            </w:pPr>
            <w:r>
              <w:rPr>
                <w:rFonts w:hint="eastAsia" w:ascii="宋体" w:hAnsi="宋体" w:cs="宋体"/>
                <w:kern w:val="2"/>
                <w:sz w:val="24"/>
                <w:szCs w:val="24"/>
              </w:rPr>
              <w:t>追加合同金额</w:t>
            </w:r>
          </w:p>
        </w:tc>
        <w:tc>
          <w:tcPr>
            <w:tcW w:w="6826" w:type="dxa"/>
            <w:tcBorders>
              <w:top w:val="single" w:color="auto" w:sz="8" w:space="0"/>
              <w:left w:val="nil"/>
              <w:bottom w:val="single" w:color="auto" w:sz="8" w:space="0"/>
              <w:right w:val="single" w:color="auto" w:sz="8" w:space="0"/>
            </w:tcBorders>
            <w:vAlign w:val="center"/>
          </w:tcPr>
          <w:p>
            <w:pPr>
              <w:spacing w:line="420" w:lineRule="exact"/>
              <w:rPr>
                <w:rFonts w:ascii="宋体" w:hAnsi="宋体" w:cs="宋体"/>
                <w:kern w:val="2"/>
                <w:sz w:val="24"/>
                <w:szCs w:val="24"/>
              </w:rPr>
            </w:pPr>
            <w:r>
              <w:rPr>
                <w:rFonts w:hint="eastAsia" w:ascii="宋体" w:hAnsi="宋体" w:cs="宋体"/>
                <w:sz w:val="24"/>
                <w:szCs w:val="24"/>
              </w:rPr>
              <w:t>政府采购合同履行中，采购人需追加与合同标的相同的货物的，</w:t>
            </w:r>
            <w:r>
              <w:rPr>
                <w:rFonts w:hint="eastAsia" w:ascii="宋体" w:hAnsi="宋体" w:cs="宋体"/>
                <w:sz w:val="24"/>
              </w:rPr>
              <w:t>在不改变合同其他条款的前提下，可以与中标供应商签订补充合同，但所有补充合同的采购金额变更不得超过原合同采购金额的10%，其中金额增加需办理合同追加手续。</w:t>
            </w:r>
          </w:p>
        </w:tc>
      </w:tr>
      <w:tr>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cs="宋体"/>
                <w:kern w:val="2"/>
                <w:sz w:val="24"/>
                <w:szCs w:val="24"/>
              </w:rPr>
            </w:pPr>
            <w:r>
              <w:rPr>
                <w:rFonts w:hint="eastAsia" w:ascii="宋体" w:hAnsi="宋体" w:cs="宋体"/>
                <w:kern w:val="2"/>
                <w:sz w:val="24"/>
                <w:szCs w:val="24"/>
              </w:rPr>
              <w:t>12.3</w:t>
            </w:r>
          </w:p>
        </w:tc>
        <w:tc>
          <w:tcPr>
            <w:tcW w:w="2337" w:type="dxa"/>
            <w:tcBorders>
              <w:top w:val="single" w:color="auto" w:sz="8" w:space="0"/>
              <w:left w:val="nil"/>
              <w:bottom w:val="single" w:color="auto" w:sz="8" w:space="0"/>
              <w:right w:val="single" w:color="auto" w:sz="8" w:space="0"/>
            </w:tcBorders>
            <w:vAlign w:val="center"/>
          </w:tcPr>
          <w:p>
            <w:pPr>
              <w:spacing w:line="360" w:lineRule="auto"/>
              <w:jc w:val="center"/>
              <w:rPr>
                <w:rFonts w:ascii="宋体" w:hAnsi="宋体" w:cs="宋体"/>
                <w:kern w:val="2"/>
                <w:sz w:val="24"/>
                <w:szCs w:val="24"/>
              </w:rPr>
            </w:pPr>
            <w:r>
              <w:rPr>
                <w:rFonts w:hint="eastAsia" w:ascii="宋体" w:hAnsi="宋体" w:cs="宋体"/>
                <w:kern w:val="2"/>
                <w:sz w:val="24"/>
                <w:szCs w:val="24"/>
              </w:rPr>
              <w:t>补充1</w:t>
            </w:r>
          </w:p>
        </w:tc>
        <w:tc>
          <w:tcPr>
            <w:tcW w:w="6826" w:type="dxa"/>
            <w:tcBorders>
              <w:top w:val="single" w:color="auto" w:sz="8" w:space="0"/>
              <w:left w:val="nil"/>
              <w:bottom w:val="single" w:color="auto" w:sz="8" w:space="0"/>
              <w:right w:val="single" w:color="auto" w:sz="8" w:space="0"/>
            </w:tcBorders>
            <w:vAlign w:val="center"/>
          </w:tcPr>
          <w:p>
            <w:pPr>
              <w:widowControl w:val="0"/>
              <w:spacing w:line="360" w:lineRule="auto"/>
              <w:rPr>
                <w:rFonts w:ascii="宋体" w:hAnsi="宋体" w:cs="宋体"/>
                <w:kern w:val="2"/>
                <w:sz w:val="24"/>
                <w:szCs w:val="24"/>
              </w:rPr>
            </w:pPr>
            <w:r>
              <w:rPr>
                <w:rFonts w:hint="eastAsia" w:ascii="宋体" w:hAnsi="宋体" w:cs="宋体"/>
                <w:sz w:val="24"/>
                <w:szCs w:val="24"/>
              </w:rPr>
              <w:t xml:space="preserve">依据《政府采购促进中小企业发展管理办法》（财库〔2020〕46号）规定享受扶持政策获得政府采购合同的，小微企业不得将合同分包给大中型企业，中型企业不得将合同分包给大型企业。 </w:t>
            </w:r>
          </w:p>
        </w:tc>
      </w:tr>
    </w:tbl>
    <w:p>
      <w:pPr>
        <w:pStyle w:val="4"/>
        <w:spacing w:before="0" w:after="0" w:line="360" w:lineRule="auto"/>
        <w:rPr>
          <w:rFonts w:ascii="宋体" w:hAnsi="宋体" w:eastAsia="宋体" w:cs="宋体"/>
          <w:sz w:val="28"/>
          <w:szCs w:val="28"/>
        </w:rPr>
      </w:pPr>
      <w:r>
        <w:rPr>
          <w:rFonts w:hint="eastAsia" w:ascii="宋体" w:hAnsi="宋体" w:eastAsia="宋体" w:cs="宋体"/>
        </w:rPr>
        <w:br w:type="page"/>
      </w:r>
      <w:bookmarkStart w:id="89" w:name="_Toc20589"/>
      <w:bookmarkEnd w:id="89"/>
      <w:bookmarkStart w:id="90" w:name="_Toc27064"/>
      <w:bookmarkEnd w:id="90"/>
      <w:bookmarkStart w:id="91" w:name="_Toc13391"/>
      <w:bookmarkStart w:id="92" w:name="_Toc19039"/>
      <w:bookmarkStart w:id="93" w:name="_Toc17251"/>
      <w:bookmarkStart w:id="94" w:name="_Toc12472"/>
      <w:bookmarkStart w:id="95" w:name="_Toc4701"/>
      <w:r>
        <w:rPr>
          <w:rFonts w:hint="eastAsia" w:ascii="宋体" w:hAnsi="宋体" w:eastAsia="宋体" w:cs="宋体"/>
          <w:sz w:val="28"/>
          <w:szCs w:val="28"/>
        </w:rPr>
        <w:t>1. 总则</w:t>
      </w:r>
      <w:bookmarkEnd w:id="91"/>
      <w:bookmarkEnd w:id="92"/>
      <w:bookmarkEnd w:id="93"/>
      <w:bookmarkEnd w:id="94"/>
      <w:bookmarkEnd w:id="95"/>
    </w:p>
    <w:p>
      <w:pPr>
        <w:spacing w:line="360" w:lineRule="auto"/>
        <w:rPr>
          <w:rFonts w:ascii="宋体" w:hAnsi="宋体" w:cs="宋体"/>
          <w:b/>
          <w:sz w:val="24"/>
          <w:szCs w:val="24"/>
        </w:rPr>
      </w:pPr>
      <w:bookmarkStart w:id="96" w:name="_Toc31335"/>
      <w:bookmarkEnd w:id="96"/>
      <w:bookmarkStart w:id="97" w:name="_Toc700"/>
      <w:r>
        <w:rPr>
          <w:rFonts w:hint="eastAsia" w:ascii="宋体" w:hAnsi="宋体" w:cs="宋体"/>
          <w:b/>
          <w:sz w:val="24"/>
          <w:szCs w:val="24"/>
        </w:rPr>
        <w:t>1.1 项目概况</w:t>
      </w:r>
      <w:bookmarkEnd w:id="97"/>
    </w:p>
    <w:p>
      <w:pPr>
        <w:spacing w:line="360" w:lineRule="auto"/>
        <w:ind w:firstLine="480" w:firstLineChars="200"/>
        <w:rPr>
          <w:rFonts w:ascii="宋体" w:hAnsi="宋体" w:cs="宋体"/>
          <w:sz w:val="24"/>
          <w:szCs w:val="24"/>
        </w:rPr>
      </w:pPr>
      <w:r>
        <w:rPr>
          <w:rFonts w:hint="eastAsia" w:ascii="宋体" w:hAnsi="宋体" w:cs="宋体"/>
          <w:sz w:val="24"/>
          <w:szCs w:val="24"/>
        </w:rPr>
        <w:t>1.1.1根据《中华人民共和国政府采购法》、《中华人民共和国政府采购法实施条例》、《政府采购货物和服务采购投标管理办法》(财政部令第87号)等有关法律、法规和规章的规定，本采购项目已具备采购条件，现对本项目进行采购。</w:t>
      </w:r>
    </w:p>
    <w:p>
      <w:pPr>
        <w:spacing w:line="360" w:lineRule="auto"/>
        <w:ind w:firstLine="480" w:firstLineChars="200"/>
        <w:rPr>
          <w:rFonts w:ascii="宋体" w:hAnsi="宋体" w:cs="宋体"/>
          <w:sz w:val="24"/>
          <w:szCs w:val="24"/>
        </w:rPr>
      </w:pPr>
      <w:r>
        <w:rPr>
          <w:rFonts w:hint="eastAsia" w:ascii="宋体" w:hAnsi="宋体" w:cs="宋体"/>
          <w:sz w:val="24"/>
          <w:szCs w:val="24"/>
        </w:rPr>
        <w:t>1.1.2 采购人：见供应商须知前附表。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1.1.3 采购代理机构：见供应商须知前附表。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1.1.4 项目名称：见供应商须知前附表。</w:t>
      </w:r>
    </w:p>
    <w:p>
      <w:pPr>
        <w:spacing w:line="360" w:lineRule="auto"/>
        <w:rPr>
          <w:rFonts w:ascii="宋体" w:hAnsi="宋体" w:cs="宋体"/>
          <w:b/>
          <w:sz w:val="24"/>
          <w:szCs w:val="24"/>
        </w:rPr>
      </w:pPr>
      <w:bookmarkStart w:id="98" w:name="_Toc27395"/>
      <w:bookmarkEnd w:id="98"/>
      <w:bookmarkStart w:id="99" w:name="_Toc28747"/>
      <w:r>
        <w:rPr>
          <w:rFonts w:hint="eastAsia" w:ascii="宋体" w:hAnsi="宋体" w:cs="宋体"/>
          <w:b/>
          <w:sz w:val="24"/>
          <w:szCs w:val="24"/>
        </w:rPr>
        <w:t>1.2 采购项目的资金情况</w:t>
      </w:r>
      <w:bookmarkEnd w:id="99"/>
    </w:p>
    <w:p>
      <w:pPr>
        <w:spacing w:line="360" w:lineRule="auto"/>
        <w:ind w:firstLine="480" w:firstLineChars="200"/>
        <w:rPr>
          <w:rFonts w:ascii="宋体" w:hAnsi="宋体" w:cs="宋体"/>
          <w:sz w:val="24"/>
          <w:szCs w:val="24"/>
        </w:rPr>
      </w:pPr>
      <w:r>
        <w:rPr>
          <w:rFonts w:hint="eastAsia" w:ascii="宋体" w:hAnsi="宋体" w:cs="宋体"/>
          <w:sz w:val="24"/>
          <w:szCs w:val="24"/>
        </w:rPr>
        <w:t>1.2.1 资金落实情况：见供应商须知前附表。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1.2.2 预算金额：见供应商须知前附表。</w:t>
      </w:r>
    </w:p>
    <w:p>
      <w:pPr>
        <w:spacing w:line="360" w:lineRule="auto"/>
        <w:rPr>
          <w:rFonts w:ascii="宋体" w:hAnsi="宋体" w:cs="宋体"/>
          <w:b/>
          <w:sz w:val="24"/>
          <w:szCs w:val="24"/>
        </w:rPr>
      </w:pPr>
      <w:bookmarkStart w:id="100" w:name="_Toc16064"/>
      <w:bookmarkEnd w:id="100"/>
      <w:bookmarkStart w:id="101" w:name="_Toc20957"/>
      <w:r>
        <w:rPr>
          <w:rFonts w:hint="eastAsia" w:ascii="宋体" w:hAnsi="宋体" w:cs="宋体"/>
          <w:b/>
          <w:sz w:val="24"/>
          <w:szCs w:val="24"/>
        </w:rPr>
        <w:t>1.3采购内容、交货期、质保期、交货地点</w:t>
      </w:r>
      <w:bookmarkEnd w:id="101"/>
      <w:r>
        <w:rPr>
          <w:rFonts w:hint="eastAsia" w:ascii="宋体" w:hAnsi="宋体" w:cs="宋体"/>
          <w:b/>
          <w:sz w:val="24"/>
          <w:szCs w:val="24"/>
        </w:rPr>
        <w:t>、交货方式</w:t>
      </w:r>
    </w:p>
    <w:p>
      <w:pPr>
        <w:spacing w:line="360" w:lineRule="auto"/>
        <w:ind w:firstLine="480" w:firstLineChars="200"/>
        <w:rPr>
          <w:rFonts w:ascii="宋体" w:hAnsi="宋体" w:cs="宋体"/>
          <w:sz w:val="24"/>
          <w:szCs w:val="24"/>
        </w:rPr>
      </w:pPr>
      <w:bookmarkStart w:id="102" w:name="_Toc16202"/>
      <w:bookmarkEnd w:id="102"/>
      <w:r>
        <w:rPr>
          <w:rFonts w:hint="eastAsia" w:ascii="宋体" w:hAnsi="宋体" w:cs="宋体"/>
          <w:sz w:val="24"/>
          <w:szCs w:val="24"/>
        </w:rPr>
        <w:t>1.3.1 采购内容：见供应商须知前附表。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1.3.2 交货期、质保期：见供应商须知前附表。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1.3.3 交货地点、交货方式：见供应商须知前附表。</w:t>
      </w:r>
    </w:p>
    <w:p>
      <w:pPr>
        <w:spacing w:line="360" w:lineRule="auto"/>
        <w:rPr>
          <w:rFonts w:ascii="宋体" w:hAnsi="宋体" w:cs="宋体"/>
          <w:b/>
          <w:sz w:val="24"/>
          <w:szCs w:val="24"/>
        </w:rPr>
      </w:pPr>
      <w:bookmarkStart w:id="103" w:name="_Toc17694"/>
      <w:bookmarkEnd w:id="103"/>
      <w:bookmarkStart w:id="104" w:name="_Toc10611"/>
      <w:r>
        <w:rPr>
          <w:rFonts w:hint="eastAsia" w:ascii="宋体" w:hAnsi="宋体" w:cs="宋体"/>
          <w:b/>
          <w:sz w:val="24"/>
          <w:szCs w:val="24"/>
        </w:rPr>
        <w:t>1.4 供应商资格要求</w:t>
      </w:r>
      <w:bookmarkEnd w:id="104"/>
    </w:p>
    <w:p>
      <w:pPr>
        <w:spacing w:line="360" w:lineRule="auto"/>
        <w:ind w:firstLine="480" w:firstLineChars="200"/>
        <w:rPr>
          <w:rFonts w:ascii="宋体" w:hAnsi="宋体" w:cs="宋体"/>
          <w:sz w:val="24"/>
          <w:szCs w:val="24"/>
        </w:rPr>
      </w:pPr>
      <w:r>
        <w:rPr>
          <w:rFonts w:hint="eastAsia" w:ascii="宋体" w:hAnsi="宋体" w:cs="宋体"/>
          <w:sz w:val="24"/>
          <w:szCs w:val="24"/>
        </w:rPr>
        <w:t>1.4.1 供应商应具备承担本项目的资格条件。</w:t>
      </w:r>
    </w:p>
    <w:p>
      <w:pPr>
        <w:spacing w:line="360" w:lineRule="auto"/>
        <w:ind w:firstLine="480" w:firstLineChars="200"/>
        <w:rPr>
          <w:rFonts w:ascii="宋体" w:hAnsi="宋体" w:cs="宋体"/>
          <w:sz w:val="24"/>
          <w:szCs w:val="24"/>
        </w:rPr>
      </w:pPr>
      <w:r>
        <w:rPr>
          <w:rFonts w:hint="eastAsia" w:ascii="宋体" w:hAnsi="宋体" w:cs="宋体"/>
          <w:sz w:val="24"/>
          <w:szCs w:val="24"/>
        </w:rPr>
        <w:t>1.4.2 供应商须知前附表规定接受联合体投标的，联合体除应符合本章第1.4.1 项和供应商须知前附表的要求外，还应遵守以下规定：</w:t>
      </w:r>
    </w:p>
    <w:p>
      <w:pPr>
        <w:spacing w:line="360" w:lineRule="auto"/>
        <w:ind w:firstLine="540" w:firstLineChars="225"/>
        <w:rPr>
          <w:rFonts w:ascii="宋体" w:hAnsi="宋体" w:cs="宋体"/>
          <w:sz w:val="24"/>
          <w:szCs w:val="24"/>
        </w:rPr>
      </w:pPr>
      <w:r>
        <w:rPr>
          <w:rFonts w:hint="eastAsia" w:ascii="宋体" w:hAnsi="宋体" w:cs="宋体"/>
          <w:sz w:val="24"/>
          <w:szCs w:val="24"/>
        </w:rPr>
        <w:t>(1)联合体各方应按采购文件提供的格式签订联合体协议书，明确联合体牵头人和各方权利义务，并承诺就中标项目向采购人承担连带责任；</w:t>
      </w:r>
    </w:p>
    <w:p>
      <w:pPr>
        <w:spacing w:line="360" w:lineRule="auto"/>
        <w:ind w:firstLine="540" w:firstLineChars="225"/>
        <w:rPr>
          <w:rFonts w:ascii="宋体" w:hAnsi="宋体" w:cs="宋体"/>
          <w:sz w:val="24"/>
          <w:szCs w:val="24"/>
        </w:rPr>
      </w:pPr>
      <w:r>
        <w:rPr>
          <w:rFonts w:hint="eastAsia" w:ascii="宋体" w:hAnsi="宋体" w:cs="宋体"/>
          <w:sz w:val="24"/>
          <w:szCs w:val="24"/>
        </w:rPr>
        <w:t>(2)联合体中有同类资质的供应商按照联合体分工承担相同工作的，应当按照资质等级较低的供应商确定资质等级；</w:t>
      </w:r>
    </w:p>
    <w:p>
      <w:pPr>
        <w:spacing w:line="360" w:lineRule="auto"/>
        <w:ind w:firstLine="540" w:firstLineChars="225"/>
        <w:rPr>
          <w:rFonts w:ascii="宋体" w:hAnsi="宋体" w:cs="宋体"/>
          <w:sz w:val="24"/>
          <w:szCs w:val="24"/>
        </w:rPr>
      </w:pPr>
      <w:r>
        <w:rPr>
          <w:rFonts w:hint="eastAsia" w:ascii="宋体" w:hAnsi="宋体" w:cs="宋体"/>
          <w:sz w:val="24"/>
          <w:szCs w:val="24"/>
        </w:rPr>
        <w:t>(3)以联合体形式参加政府采购活动的，联合体各方不得再单独参加或者与其他供应商另外组成联合体参加同一合同项下的政府采购活动。</w:t>
      </w:r>
    </w:p>
    <w:p>
      <w:pPr>
        <w:spacing w:line="360" w:lineRule="auto"/>
        <w:rPr>
          <w:rFonts w:ascii="宋体" w:hAnsi="宋体" w:cs="宋体"/>
          <w:b/>
          <w:sz w:val="24"/>
          <w:szCs w:val="24"/>
        </w:rPr>
      </w:pPr>
      <w:bookmarkStart w:id="105" w:name="_Toc27960"/>
      <w:bookmarkEnd w:id="105"/>
      <w:bookmarkStart w:id="106" w:name="_Toc18144"/>
      <w:r>
        <w:rPr>
          <w:rFonts w:hint="eastAsia" w:ascii="宋体" w:hAnsi="宋体" w:cs="宋体"/>
          <w:b/>
          <w:sz w:val="24"/>
          <w:szCs w:val="24"/>
        </w:rPr>
        <w:t>1.5 费用承担</w:t>
      </w:r>
      <w:bookmarkEnd w:id="106"/>
    </w:p>
    <w:p>
      <w:pPr>
        <w:spacing w:line="360" w:lineRule="auto"/>
        <w:ind w:firstLine="480" w:firstLineChars="200"/>
        <w:rPr>
          <w:rFonts w:ascii="宋体" w:hAnsi="宋体" w:cs="宋体"/>
          <w:sz w:val="24"/>
          <w:szCs w:val="24"/>
        </w:rPr>
      </w:pPr>
      <w:r>
        <w:rPr>
          <w:rFonts w:hint="eastAsia" w:ascii="宋体" w:hAnsi="宋体" w:cs="宋体"/>
          <w:sz w:val="24"/>
          <w:szCs w:val="24"/>
        </w:rPr>
        <w:t>1.5.1 投标人准备和参加投标活动发生的费用自理。</w:t>
      </w:r>
    </w:p>
    <w:p>
      <w:pPr>
        <w:spacing w:line="360" w:lineRule="auto"/>
        <w:ind w:firstLine="480" w:firstLineChars="200"/>
        <w:rPr>
          <w:rFonts w:ascii="宋体" w:hAnsi="宋体" w:cs="宋体"/>
          <w:sz w:val="24"/>
          <w:szCs w:val="24"/>
        </w:rPr>
      </w:pPr>
      <w:r>
        <w:rPr>
          <w:rFonts w:hint="eastAsia" w:ascii="宋体" w:hAnsi="宋体" w:cs="宋体"/>
          <w:sz w:val="24"/>
          <w:szCs w:val="24"/>
        </w:rPr>
        <w:t>1.5.2 中标人应支付按云价收费[2017]160号云南省物价局 云南省司法厅关于印发《云南省实行政府指导价的公证服务收费项目和标准》的通知中规定的招投标公证费。</w:t>
      </w:r>
    </w:p>
    <w:p>
      <w:pPr>
        <w:spacing w:line="360" w:lineRule="auto"/>
        <w:ind w:firstLine="480" w:firstLineChars="200"/>
        <w:rPr>
          <w:rFonts w:ascii="宋体" w:hAnsi="宋体" w:cs="宋体"/>
          <w:sz w:val="24"/>
          <w:szCs w:val="24"/>
        </w:rPr>
      </w:pPr>
      <w:r>
        <w:rPr>
          <w:rFonts w:hint="eastAsia" w:ascii="宋体" w:hAnsi="宋体" w:cs="宋体"/>
          <w:sz w:val="24"/>
          <w:szCs w:val="24"/>
        </w:rPr>
        <w:t>1.5.3 招标代理服务费参考《云南省建设工程招标代理服务收费知道意见》（云建招协[2023]51号），经招标人与招标代理机构签定的服务合同约定，向中标人收取。</w:t>
      </w:r>
    </w:p>
    <w:p>
      <w:pPr>
        <w:spacing w:line="360" w:lineRule="auto"/>
        <w:rPr>
          <w:rFonts w:ascii="宋体" w:hAnsi="宋体" w:cs="宋体"/>
          <w:b/>
          <w:sz w:val="24"/>
          <w:szCs w:val="24"/>
        </w:rPr>
      </w:pPr>
      <w:bookmarkStart w:id="107" w:name="_Toc6230"/>
      <w:bookmarkEnd w:id="107"/>
      <w:bookmarkStart w:id="108" w:name="_Toc16680"/>
      <w:r>
        <w:rPr>
          <w:rFonts w:hint="eastAsia" w:ascii="宋体" w:hAnsi="宋体" w:cs="宋体"/>
          <w:b/>
          <w:sz w:val="24"/>
          <w:szCs w:val="24"/>
        </w:rPr>
        <w:t>1.6 保密</w:t>
      </w:r>
      <w:bookmarkEnd w:id="108"/>
    </w:p>
    <w:p>
      <w:pPr>
        <w:spacing w:line="360" w:lineRule="auto"/>
        <w:ind w:firstLine="480" w:firstLineChars="200"/>
        <w:rPr>
          <w:rFonts w:ascii="宋体" w:hAnsi="宋体" w:cs="宋体"/>
          <w:sz w:val="24"/>
          <w:szCs w:val="24"/>
        </w:rPr>
      </w:pPr>
      <w:r>
        <w:rPr>
          <w:rFonts w:hint="eastAsia" w:ascii="宋体" w:hAnsi="宋体" w:cs="宋体"/>
          <w:sz w:val="24"/>
          <w:szCs w:val="24"/>
        </w:rPr>
        <w:t>参与采购投标活动的各方应对采购文件和投标文件中的商业和技术等秘密保密，则应承担相应的法律责任。</w:t>
      </w:r>
    </w:p>
    <w:p>
      <w:pPr>
        <w:spacing w:line="360" w:lineRule="auto"/>
        <w:rPr>
          <w:rFonts w:ascii="宋体" w:hAnsi="宋体" w:cs="宋体"/>
          <w:b/>
          <w:sz w:val="24"/>
          <w:szCs w:val="24"/>
        </w:rPr>
      </w:pPr>
      <w:bookmarkStart w:id="109" w:name="_Toc31781"/>
      <w:bookmarkEnd w:id="109"/>
      <w:bookmarkStart w:id="110" w:name="_Toc787"/>
      <w:r>
        <w:rPr>
          <w:rFonts w:hint="eastAsia" w:ascii="宋体" w:hAnsi="宋体" w:cs="宋体"/>
          <w:b/>
          <w:sz w:val="24"/>
          <w:szCs w:val="24"/>
        </w:rPr>
        <w:t>1.7 语言文字</w:t>
      </w:r>
      <w:bookmarkEnd w:id="110"/>
    </w:p>
    <w:p>
      <w:pPr>
        <w:spacing w:line="360" w:lineRule="auto"/>
        <w:ind w:firstLine="482" w:firstLineChars="200"/>
        <w:rPr>
          <w:rFonts w:ascii="宋体" w:hAnsi="宋体" w:cs="宋体"/>
          <w:b/>
          <w:sz w:val="24"/>
          <w:szCs w:val="24"/>
        </w:rPr>
      </w:pPr>
      <w:r>
        <w:rPr>
          <w:rFonts w:hint="eastAsia" w:ascii="宋体" w:hAnsi="宋体" w:cs="宋体"/>
          <w:b/>
          <w:sz w:val="24"/>
          <w:szCs w:val="24"/>
        </w:rPr>
        <w:t>采购投标文件使用的语言文字为中文。专用术语使用外文的，应附有中文注释。</w:t>
      </w:r>
    </w:p>
    <w:p>
      <w:pPr>
        <w:spacing w:line="360" w:lineRule="auto"/>
        <w:rPr>
          <w:rFonts w:ascii="宋体" w:hAnsi="宋体" w:cs="宋体"/>
          <w:b/>
          <w:sz w:val="24"/>
          <w:szCs w:val="24"/>
        </w:rPr>
      </w:pPr>
      <w:bookmarkStart w:id="111" w:name="_Toc29423"/>
      <w:bookmarkEnd w:id="111"/>
      <w:bookmarkStart w:id="112" w:name="_Toc29116"/>
      <w:r>
        <w:rPr>
          <w:rFonts w:hint="eastAsia" w:ascii="宋体" w:hAnsi="宋体" w:cs="宋体"/>
          <w:b/>
          <w:sz w:val="24"/>
          <w:szCs w:val="24"/>
        </w:rPr>
        <w:t>1.8 计量单位</w:t>
      </w:r>
      <w:bookmarkEnd w:id="112"/>
    </w:p>
    <w:p>
      <w:pPr>
        <w:spacing w:line="360" w:lineRule="auto"/>
        <w:ind w:firstLine="480" w:firstLineChars="200"/>
        <w:rPr>
          <w:rFonts w:ascii="宋体" w:hAnsi="宋体" w:cs="宋体"/>
          <w:sz w:val="24"/>
          <w:szCs w:val="24"/>
        </w:rPr>
      </w:pPr>
      <w:r>
        <w:rPr>
          <w:rFonts w:hint="eastAsia" w:ascii="宋体" w:hAnsi="宋体" w:cs="宋体"/>
          <w:sz w:val="24"/>
          <w:szCs w:val="24"/>
        </w:rPr>
        <w:t>所有计量均采用中华人民共和国法定计量单位。</w:t>
      </w:r>
    </w:p>
    <w:p>
      <w:pPr>
        <w:spacing w:line="360" w:lineRule="auto"/>
        <w:rPr>
          <w:rFonts w:ascii="宋体" w:hAnsi="宋体" w:cs="宋体"/>
          <w:b/>
          <w:sz w:val="24"/>
          <w:szCs w:val="24"/>
        </w:rPr>
      </w:pPr>
      <w:bookmarkStart w:id="113" w:name="_Toc152042315"/>
      <w:bookmarkEnd w:id="113"/>
      <w:bookmarkStart w:id="114" w:name="_Toc152045539"/>
      <w:bookmarkEnd w:id="114"/>
      <w:bookmarkStart w:id="115" w:name="_Toc29812"/>
      <w:bookmarkEnd w:id="115"/>
      <w:bookmarkStart w:id="116" w:name="_Toc247513962"/>
      <w:bookmarkEnd w:id="116"/>
      <w:bookmarkStart w:id="117" w:name="_Toc247592876"/>
      <w:bookmarkEnd w:id="117"/>
      <w:bookmarkStart w:id="118" w:name="_Toc247527563"/>
      <w:bookmarkEnd w:id="118"/>
      <w:bookmarkStart w:id="119" w:name="_Toc144974507"/>
      <w:bookmarkEnd w:id="119"/>
      <w:bookmarkStart w:id="120" w:name="_Toc296602429"/>
      <w:bookmarkEnd w:id="120"/>
      <w:bookmarkStart w:id="121" w:name="_Toc29408"/>
      <w:r>
        <w:rPr>
          <w:rFonts w:hint="eastAsia" w:ascii="宋体" w:hAnsi="宋体" w:cs="宋体"/>
          <w:b/>
          <w:sz w:val="24"/>
          <w:szCs w:val="24"/>
        </w:rPr>
        <w:t>1.9 现场</w:t>
      </w:r>
      <w:bookmarkEnd w:id="121"/>
      <w:r>
        <w:rPr>
          <w:rFonts w:hint="eastAsia" w:ascii="宋体" w:hAnsi="宋体" w:cs="宋体"/>
          <w:b/>
          <w:sz w:val="24"/>
          <w:szCs w:val="24"/>
        </w:rPr>
        <w:t>考察</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1.9.1 供应商须知前附表规定组织现场考察的，采购人按供应商须知前附表规定的时间、地点组织供应商考察项目现场。 </w:t>
      </w:r>
    </w:p>
    <w:p>
      <w:pPr>
        <w:spacing w:line="360" w:lineRule="auto"/>
        <w:ind w:firstLine="480" w:firstLineChars="200"/>
        <w:rPr>
          <w:rFonts w:ascii="宋体" w:hAnsi="宋体" w:cs="宋体"/>
          <w:sz w:val="24"/>
          <w:szCs w:val="24"/>
        </w:rPr>
      </w:pPr>
      <w:r>
        <w:rPr>
          <w:rFonts w:hint="eastAsia" w:ascii="宋体" w:hAnsi="宋体" w:cs="宋体"/>
          <w:sz w:val="24"/>
          <w:szCs w:val="24"/>
        </w:rPr>
        <w:t>1.9.2 供应商考察现场发生的费用自理。</w:t>
      </w:r>
    </w:p>
    <w:p>
      <w:pPr>
        <w:spacing w:line="360" w:lineRule="auto"/>
        <w:ind w:firstLine="480" w:firstLineChars="200"/>
        <w:rPr>
          <w:rFonts w:ascii="宋体" w:hAnsi="宋体" w:cs="宋体"/>
          <w:sz w:val="24"/>
          <w:szCs w:val="24"/>
        </w:rPr>
      </w:pPr>
      <w:r>
        <w:rPr>
          <w:rFonts w:hint="eastAsia" w:ascii="宋体" w:hAnsi="宋体" w:cs="宋体"/>
          <w:sz w:val="24"/>
          <w:szCs w:val="24"/>
        </w:rPr>
        <w:t>1.9.3 除采购人的原因外，供应商自行负责在考察现场中所发生的人员伤亡和财产损失。</w:t>
      </w:r>
    </w:p>
    <w:p>
      <w:pPr>
        <w:spacing w:line="360" w:lineRule="auto"/>
        <w:ind w:firstLine="480" w:firstLineChars="200"/>
        <w:rPr>
          <w:rFonts w:ascii="宋体" w:hAnsi="宋体" w:cs="宋体"/>
          <w:sz w:val="24"/>
          <w:szCs w:val="24"/>
        </w:rPr>
      </w:pPr>
      <w:r>
        <w:rPr>
          <w:rFonts w:hint="eastAsia" w:ascii="宋体" w:hAnsi="宋体" w:cs="宋体"/>
          <w:sz w:val="24"/>
          <w:szCs w:val="24"/>
        </w:rPr>
        <w:t>1.9.4 采购人在考察现场中介绍的项目场地和相关的周边环境情况，供供应商在编制投标文件时参考，采购人不对供应商据此作出的判断和决策负责。</w:t>
      </w:r>
    </w:p>
    <w:p>
      <w:pPr>
        <w:spacing w:line="360" w:lineRule="auto"/>
        <w:rPr>
          <w:rFonts w:ascii="宋体" w:hAnsi="宋体" w:cs="宋体"/>
          <w:b/>
          <w:sz w:val="24"/>
          <w:szCs w:val="24"/>
        </w:rPr>
      </w:pPr>
      <w:bookmarkStart w:id="122" w:name="_Toc587"/>
      <w:bookmarkEnd w:id="122"/>
      <w:bookmarkStart w:id="123" w:name="_Toc31848"/>
      <w:bookmarkEnd w:id="123"/>
      <w:bookmarkStart w:id="124" w:name="_Toc29345"/>
      <w:r>
        <w:rPr>
          <w:rFonts w:hint="eastAsia" w:ascii="宋体" w:hAnsi="宋体" w:cs="宋体"/>
          <w:b/>
          <w:sz w:val="24"/>
          <w:szCs w:val="24"/>
        </w:rPr>
        <w:t>1.10响应和偏</w:t>
      </w:r>
      <w:bookmarkEnd w:id="124"/>
      <w:r>
        <w:rPr>
          <w:rFonts w:hint="eastAsia" w:ascii="宋体" w:hAnsi="宋体" w:cs="宋体"/>
          <w:b/>
          <w:sz w:val="24"/>
          <w:szCs w:val="24"/>
        </w:rPr>
        <w:t>离</w:t>
      </w:r>
    </w:p>
    <w:p>
      <w:pPr>
        <w:spacing w:line="360" w:lineRule="auto"/>
        <w:ind w:firstLine="480" w:firstLineChars="200"/>
        <w:rPr>
          <w:rFonts w:ascii="宋体" w:hAnsi="宋体" w:cs="宋体"/>
          <w:sz w:val="24"/>
          <w:szCs w:val="24"/>
        </w:rPr>
      </w:pPr>
      <w:bookmarkStart w:id="125" w:name="page22"/>
      <w:bookmarkEnd w:id="125"/>
      <w:r>
        <w:rPr>
          <w:rFonts w:hint="eastAsia" w:ascii="宋体" w:hAnsi="宋体" w:cs="宋体"/>
          <w:sz w:val="24"/>
          <w:szCs w:val="24"/>
        </w:rPr>
        <w:t>投标文件应当对采购文件的实质性要求和条件作出响应，否则，供应商投标无效。</w:t>
      </w:r>
      <w:r>
        <w:rPr>
          <w:rFonts w:hint="eastAsia" w:ascii="宋体" w:hAnsi="宋体" w:cs="宋体"/>
          <w:kern w:val="2"/>
          <w:sz w:val="24"/>
          <w:szCs w:val="24"/>
        </w:rPr>
        <w:t>不允许偏离的</w:t>
      </w:r>
      <w:r>
        <w:rPr>
          <w:rFonts w:hint="eastAsia" w:ascii="宋体" w:hAnsi="宋体" w:cs="宋体"/>
          <w:sz w:val="24"/>
          <w:szCs w:val="24"/>
        </w:rPr>
        <w:t>实质性要求和条件见供应商须知前附表。</w:t>
      </w:r>
    </w:p>
    <w:p>
      <w:pPr>
        <w:spacing w:line="360" w:lineRule="auto"/>
        <w:rPr>
          <w:rFonts w:ascii="宋体" w:hAnsi="宋体" w:cs="宋体"/>
          <w:b/>
          <w:sz w:val="24"/>
          <w:szCs w:val="24"/>
        </w:rPr>
      </w:pPr>
      <w:r>
        <w:rPr>
          <w:rFonts w:hint="eastAsia" w:ascii="宋体" w:hAnsi="宋体" w:cs="宋体"/>
          <w:b/>
          <w:sz w:val="24"/>
          <w:szCs w:val="24"/>
        </w:rPr>
        <w:t>1.11 采购文件的采购需求中若有要求的产品品牌或型号，是采购人根据项目所要实现的功能推荐的品牌或型号，仅供供应商参考，并不是限制条件。</w:t>
      </w:r>
    </w:p>
    <w:p>
      <w:pPr>
        <w:pStyle w:val="4"/>
        <w:spacing w:before="0" w:after="0" w:line="360" w:lineRule="auto"/>
        <w:rPr>
          <w:rFonts w:ascii="宋体" w:hAnsi="宋体" w:eastAsia="宋体" w:cs="宋体"/>
          <w:sz w:val="28"/>
          <w:szCs w:val="28"/>
        </w:rPr>
      </w:pPr>
      <w:bookmarkStart w:id="126" w:name="_Toc31795"/>
      <w:bookmarkEnd w:id="126"/>
      <w:bookmarkStart w:id="127" w:name="_Toc32012"/>
      <w:bookmarkEnd w:id="127"/>
      <w:bookmarkStart w:id="128" w:name="_Toc4081"/>
      <w:bookmarkStart w:id="129" w:name="_Toc22613"/>
      <w:bookmarkStart w:id="130" w:name="_Toc13193"/>
      <w:bookmarkStart w:id="131" w:name="_Toc30039"/>
      <w:bookmarkStart w:id="132" w:name="_Toc31733"/>
      <w:r>
        <w:rPr>
          <w:rFonts w:hint="eastAsia" w:ascii="宋体" w:hAnsi="宋体" w:eastAsia="宋体" w:cs="宋体"/>
          <w:sz w:val="28"/>
          <w:szCs w:val="28"/>
        </w:rPr>
        <w:t>2. 采购文件</w:t>
      </w:r>
      <w:bookmarkEnd w:id="128"/>
      <w:bookmarkEnd w:id="129"/>
      <w:bookmarkEnd w:id="130"/>
      <w:bookmarkEnd w:id="131"/>
      <w:bookmarkEnd w:id="132"/>
    </w:p>
    <w:p>
      <w:pPr>
        <w:spacing w:line="360" w:lineRule="auto"/>
        <w:rPr>
          <w:rFonts w:ascii="宋体" w:hAnsi="宋体" w:cs="宋体"/>
          <w:b/>
          <w:sz w:val="24"/>
          <w:szCs w:val="24"/>
        </w:rPr>
      </w:pPr>
      <w:bookmarkStart w:id="133" w:name="_Toc21536"/>
      <w:bookmarkEnd w:id="133"/>
      <w:bookmarkStart w:id="134" w:name="_Toc16596"/>
      <w:r>
        <w:rPr>
          <w:rFonts w:hint="eastAsia" w:ascii="宋体" w:hAnsi="宋体" w:cs="宋体"/>
          <w:b/>
          <w:sz w:val="24"/>
          <w:szCs w:val="24"/>
        </w:rPr>
        <w:t>2.1 采购文件的组成</w:t>
      </w:r>
      <w:bookmarkEnd w:id="134"/>
    </w:p>
    <w:p>
      <w:pPr>
        <w:spacing w:line="360" w:lineRule="auto"/>
        <w:ind w:firstLine="480" w:firstLineChars="200"/>
        <w:rPr>
          <w:rFonts w:ascii="宋体" w:hAnsi="宋体" w:cs="宋体"/>
          <w:sz w:val="24"/>
          <w:szCs w:val="24"/>
        </w:rPr>
      </w:pPr>
      <w:r>
        <w:rPr>
          <w:rFonts w:hint="eastAsia" w:ascii="宋体" w:hAnsi="宋体" w:cs="宋体"/>
          <w:sz w:val="24"/>
          <w:szCs w:val="24"/>
        </w:rPr>
        <w:t>本采购文件包括：</w:t>
      </w:r>
    </w:p>
    <w:p>
      <w:pPr>
        <w:spacing w:line="360" w:lineRule="auto"/>
        <w:ind w:firstLine="540" w:firstLineChars="225"/>
        <w:rPr>
          <w:rFonts w:ascii="宋体" w:hAnsi="宋体" w:cs="宋体"/>
          <w:sz w:val="24"/>
          <w:szCs w:val="24"/>
        </w:rPr>
      </w:pPr>
      <w:r>
        <w:rPr>
          <w:rFonts w:hint="eastAsia" w:ascii="宋体" w:hAnsi="宋体" w:cs="宋体"/>
          <w:sz w:val="24"/>
          <w:szCs w:val="24"/>
        </w:rPr>
        <w:t>(1)</w:t>
      </w:r>
      <w:r>
        <w:rPr>
          <w:rFonts w:hint="eastAsia" w:ascii="宋体" w:hAnsi="宋体" w:cs="宋体"/>
          <w:kern w:val="2"/>
          <w:sz w:val="24"/>
          <w:szCs w:val="24"/>
        </w:rPr>
        <w:t>招标</w:t>
      </w:r>
      <w:r>
        <w:rPr>
          <w:rFonts w:hint="eastAsia" w:ascii="宋体" w:hAnsi="宋体" w:cs="宋体"/>
          <w:sz w:val="24"/>
          <w:szCs w:val="24"/>
        </w:rPr>
        <w:t>公告；</w:t>
      </w:r>
    </w:p>
    <w:p>
      <w:pPr>
        <w:spacing w:line="360" w:lineRule="auto"/>
        <w:ind w:firstLine="540" w:firstLineChars="225"/>
        <w:rPr>
          <w:rFonts w:ascii="宋体" w:hAnsi="宋体" w:cs="宋体"/>
          <w:sz w:val="24"/>
          <w:szCs w:val="24"/>
        </w:rPr>
      </w:pPr>
      <w:r>
        <w:rPr>
          <w:rFonts w:hint="eastAsia" w:ascii="宋体" w:hAnsi="宋体" w:cs="宋体"/>
          <w:sz w:val="24"/>
          <w:szCs w:val="24"/>
        </w:rPr>
        <w:t>(2)供应商须知；</w:t>
      </w:r>
    </w:p>
    <w:p>
      <w:pPr>
        <w:spacing w:line="360" w:lineRule="auto"/>
        <w:ind w:firstLine="540" w:firstLineChars="225"/>
        <w:rPr>
          <w:rFonts w:ascii="宋体" w:hAnsi="宋体" w:cs="宋体"/>
          <w:sz w:val="24"/>
          <w:szCs w:val="24"/>
        </w:rPr>
      </w:pPr>
      <w:r>
        <w:rPr>
          <w:rFonts w:hint="eastAsia" w:ascii="宋体" w:hAnsi="宋体" w:cs="宋体"/>
          <w:sz w:val="24"/>
          <w:szCs w:val="24"/>
        </w:rPr>
        <w:t>(3)评标办法；</w:t>
      </w:r>
    </w:p>
    <w:p>
      <w:pPr>
        <w:spacing w:line="360" w:lineRule="auto"/>
        <w:ind w:firstLine="540" w:firstLineChars="225"/>
        <w:rPr>
          <w:rFonts w:ascii="宋体" w:hAnsi="宋体" w:cs="宋体"/>
          <w:sz w:val="24"/>
          <w:szCs w:val="24"/>
        </w:rPr>
      </w:pPr>
      <w:r>
        <w:rPr>
          <w:rFonts w:hint="eastAsia" w:ascii="宋体" w:hAnsi="宋体" w:cs="宋体"/>
          <w:sz w:val="24"/>
          <w:szCs w:val="24"/>
        </w:rPr>
        <w:t>(4)合同条款及格式；</w:t>
      </w:r>
    </w:p>
    <w:p>
      <w:pPr>
        <w:spacing w:line="360" w:lineRule="auto"/>
        <w:ind w:firstLine="540" w:firstLineChars="225"/>
        <w:rPr>
          <w:rFonts w:ascii="宋体" w:hAnsi="宋体" w:cs="宋体"/>
          <w:sz w:val="24"/>
          <w:szCs w:val="24"/>
        </w:rPr>
      </w:pPr>
      <w:r>
        <w:rPr>
          <w:rFonts w:hint="eastAsia" w:ascii="宋体" w:hAnsi="宋体" w:cs="宋体"/>
          <w:sz w:val="24"/>
          <w:szCs w:val="24"/>
        </w:rPr>
        <w:t>(5)采购内容及要求；</w:t>
      </w:r>
    </w:p>
    <w:p>
      <w:pPr>
        <w:spacing w:line="360" w:lineRule="auto"/>
        <w:ind w:firstLine="540" w:firstLineChars="225"/>
        <w:rPr>
          <w:rFonts w:ascii="宋体" w:hAnsi="宋体" w:cs="宋体"/>
          <w:sz w:val="24"/>
          <w:szCs w:val="24"/>
        </w:rPr>
      </w:pPr>
      <w:r>
        <w:rPr>
          <w:rFonts w:hint="eastAsia" w:ascii="宋体" w:hAnsi="宋体" w:cs="宋体"/>
          <w:sz w:val="24"/>
          <w:szCs w:val="24"/>
        </w:rPr>
        <w:t>(6)投标文件格式。</w:t>
      </w:r>
    </w:p>
    <w:p>
      <w:pPr>
        <w:spacing w:line="360" w:lineRule="auto"/>
        <w:ind w:firstLine="480" w:firstLineChars="200"/>
        <w:rPr>
          <w:rFonts w:ascii="宋体" w:hAnsi="宋体" w:cs="宋体"/>
          <w:sz w:val="24"/>
          <w:szCs w:val="24"/>
        </w:rPr>
      </w:pPr>
      <w:r>
        <w:rPr>
          <w:rFonts w:hint="eastAsia" w:ascii="宋体" w:hAnsi="宋体" w:cs="宋体"/>
          <w:sz w:val="24"/>
          <w:szCs w:val="24"/>
        </w:rPr>
        <w:t>根据本章第2.2 款和第2.3 款对采购文件所作的澄清、修改，构成采购文件的组成部分。</w:t>
      </w:r>
    </w:p>
    <w:p>
      <w:pPr>
        <w:spacing w:line="360" w:lineRule="auto"/>
        <w:rPr>
          <w:rFonts w:ascii="宋体" w:hAnsi="宋体" w:cs="宋体"/>
          <w:b/>
          <w:sz w:val="24"/>
          <w:szCs w:val="24"/>
        </w:rPr>
      </w:pPr>
      <w:bookmarkStart w:id="135" w:name="_Toc17621"/>
      <w:bookmarkEnd w:id="135"/>
      <w:bookmarkStart w:id="136" w:name="_Toc23003"/>
      <w:bookmarkEnd w:id="136"/>
      <w:bookmarkStart w:id="137" w:name="_Toc515904805"/>
      <w:bookmarkStart w:id="138" w:name="_Toc520356148"/>
      <w:bookmarkStart w:id="139" w:name="_Toc26044"/>
      <w:bookmarkStart w:id="140" w:name="_Toc532473456"/>
      <w:bookmarkStart w:id="141" w:name="_Toc2582270"/>
      <w:bookmarkStart w:id="142" w:name="_Toc9232"/>
      <w:bookmarkStart w:id="143" w:name="_Toc13591"/>
      <w:bookmarkStart w:id="144" w:name="_Toc8029"/>
      <w:r>
        <w:rPr>
          <w:rFonts w:hint="eastAsia" w:ascii="宋体" w:hAnsi="宋体" w:cs="宋体"/>
          <w:b/>
          <w:sz w:val="24"/>
          <w:szCs w:val="24"/>
        </w:rPr>
        <w:t>2.2 采购文件的澄清</w:t>
      </w:r>
      <w:bookmarkEnd w:id="137"/>
      <w:bookmarkEnd w:id="138"/>
      <w:r>
        <w:rPr>
          <w:rFonts w:hint="eastAsia" w:ascii="宋体" w:hAnsi="宋体" w:cs="宋体"/>
          <w:b/>
          <w:sz w:val="24"/>
          <w:szCs w:val="24"/>
        </w:rPr>
        <w:t>与修改</w:t>
      </w:r>
      <w:bookmarkEnd w:id="139"/>
      <w:bookmarkEnd w:id="140"/>
      <w:bookmarkEnd w:id="141"/>
      <w:bookmarkEnd w:id="142"/>
    </w:p>
    <w:p>
      <w:pPr>
        <w:spacing w:line="360" w:lineRule="auto"/>
        <w:ind w:firstLine="480" w:firstLineChars="200"/>
        <w:rPr>
          <w:rFonts w:ascii="宋体" w:hAnsi="宋体" w:cs="宋体"/>
          <w:sz w:val="24"/>
          <w:szCs w:val="24"/>
        </w:rPr>
      </w:pPr>
      <w:r>
        <w:rPr>
          <w:rFonts w:hint="eastAsia" w:ascii="宋体" w:hAnsi="宋体" w:cs="宋体"/>
          <w:sz w:val="24"/>
          <w:szCs w:val="24"/>
        </w:rPr>
        <w:t>2.2.1供应商应仔细阅读和检查采购文件的全部内容。如发现缺页或附件不全，应及时向采购代理机构提出，以便补齐。</w:t>
      </w:r>
    </w:p>
    <w:p>
      <w:pPr>
        <w:spacing w:line="360" w:lineRule="auto"/>
        <w:ind w:firstLine="480" w:firstLineChars="200"/>
        <w:rPr>
          <w:rFonts w:ascii="宋体" w:hAnsi="宋体" w:cs="宋体"/>
          <w:sz w:val="24"/>
          <w:szCs w:val="24"/>
        </w:rPr>
      </w:pPr>
      <w:r>
        <w:rPr>
          <w:rFonts w:hint="eastAsia" w:ascii="宋体" w:hAnsi="宋体" w:cs="宋体"/>
          <w:sz w:val="24"/>
          <w:szCs w:val="24"/>
        </w:rPr>
        <w:t>2.2.2采购人、采购代理机构可以对已发出的采购文件等进行必要的澄清或者修改。澄清或者修改的内容为采购文件的组成部分。澄清或者修改应当在原公告发布媒体上发布更正公告。</w:t>
      </w:r>
    </w:p>
    <w:p>
      <w:pPr>
        <w:spacing w:line="360" w:lineRule="auto"/>
        <w:ind w:firstLine="480" w:firstLineChars="200"/>
        <w:rPr>
          <w:rFonts w:ascii="宋体" w:hAnsi="宋体" w:cs="宋体"/>
          <w:sz w:val="24"/>
          <w:szCs w:val="24"/>
        </w:rPr>
      </w:pPr>
      <w:r>
        <w:rPr>
          <w:rFonts w:hint="eastAsia" w:ascii="宋体" w:hAnsi="宋体" w:cs="宋体"/>
          <w:sz w:val="24"/>
          <w:szCs w:val="24"/>
        </w:rPr>
        <w:t>2.2.3采购文件的澄清或者修改以供应商须知前附表规定的形式发出，但不指明澄清问题的来源。澄清或者修改发出的时间距本章第4.2.1项规定的投标截止时间不足15日的，并且澄清或者修改内容可能影响投标文件编制的，将相应延长投标截止时间。</w:t>
      </w:r>
    </w:p>
    <w:p>
      <w:pPr>
        <w:spacing w:line="360" w:lineRule="auto"/>
        <w:ind w:firstLine="480" w:firstLineChars="200"/>
        <w:rPr>
          <w:rFonts w:ascii="宋体" w:hAnsi="宋体"/>
          <w:sz w:val="24"/>
          <w:szCs w:val="24"/>
        </w:rPr>
      </w:pPr>
      <w:r>
        <w:rPr>
          <w:rFonts w:hint="eastAsia" w:ascii="宋体" w:hAnsi="宋体"/>
          <w:sz w:val="24"/>
          <w:szCs w:val="24"/>
        </w:rPr>
        <w:t>2.2.4采购文件中有不一致的，有澄清的部分以最终的澄清更正内容为准；未澄清的，以供应商须知前附表为准；供应商须知前附表不涉及的内容，以编排在后的最后描述为准。</w:t>
      </w:r>
    </w:p>
    <w:bookmarkEnd w:id="143"/>
    <w:p>
      <w:pPr>
        <w:spacing w:line="360" w:lineRule="auto"/>
        <w:rPr>
          <w:rFonts w:ascii="宋体" w:hAnsi="宋体" w:cs="宋体"/>
          <w:b/>
          <w:sz w:val="24"/>
          <w:szCs w:val="24"/>
        </w:rPr>
      </w:pPr>
      <w:r>
        <w:rPr>
          <w:rFonts w:hint="eastAsia" w:ascii="宋体" w:hAnsi="宋体" w:cs="宋体"/>
          <w:b/>
          <w:sz w:val="24"/>
          <w:szCs w:val="24"/>
        </w:rPr>
        <w:t>2.3 采购文件的修改</w:t>
      </w:r>
      <w:bookmarkEnd w:id="144"/>
    </w:p>
    <w:p>
      <w:pPr>
        <w:spacing w:line="360" w:lineRule="auto"/>
        <w:ind w:firstLine="480" w:firstLineChars="200"/>
        <w:rPr>
          <w:rFonts w:ascii="宋体" w:hAnsi="宋体" w:cs="宋体"/>
          <w:sz w:val="24"/>
          <w:szCs w:val="24"/>
        </w:rPr>
      </w:pPr>
      <w:r>
        <w:rPr>
          <w:rFonts w:hint="eastAsia" w:ascii="宋体" w:hAnsi="宋体" w:cs="宋体"/>
          <w:sz w:val="24"/>
          <w:szCs w:val="24"/>
        </w:rPr>
        <w:t>2.3.1 采购人以供应商须知前附表规定的形式修改采购文件，并通知所有已获取采购文件的供应商。修改采购文件的时间距本章4.2.1项规定的投标截止时间不足15日的，并且修改内容可能影响投标文件编制的，将相应延长投标截止时间。</w:t>
      </w:r>
    </w:p>
    <w:p>
      <w:pPr>
        <w:spacing w:line="360" w:lineRule="auto"/>
        <w:ind w:firstLine="480" w:firstLineChars="200"/>
        <w:rPr>
          <w:rFonts w:ascii="宋体" w:hAnsi="宋体" w:cs="宋体"/>
          <w:sz w:val="24"/>
          <w:szCs w:val="24"/>
        </w:rPr>
      </w:pPr>
      <w:r>
        <w:rPr>
          <w:rFonts w:hint="eastAsia" w:ascii="宋体" w:hAnsi="宋体" w:cs="宋体"/>
          <w:sz w:val="24"/>
          <w:szCs w:val="24"/>
        </w:rPr>
        <w:t>2.3.2供应商收到修改内容后，应按供应商须知前附表规定的时间和形式通知</w:t>
      </w:r>
      <w:r>
        <w:rPr>
          <w:rFonts w:hint="eastAsia" w:ascii="宋体" w:hAnsi="宋体" w:cs="宋体"/>
          <w:kern w:val="2"/>
          <w:sz w:val="24"/>
          <w:szCs w:val="24"/>
        </w:rPr>
        <w:t>采购代理机构</w:t>
      </w:r>
      <w:r>
        <w:rPr>
          <w:rFonts w:hint="eastAsia" w:ascii="宋体" w:hAnsi="宋体" w:cs="宋体"/>
          <w:sz w:val="24"/>
          <w:szCs w:val="24"/>
        </w:rPr>
        <w:t>，确认已收到该修改。</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2.3.3采购代理机构在采购文件要求提交投标文件截止时间三日前，有权决定延长投标截止时间和开标时间，并在原采购信息发布媒体上发布变更公告。 </w:t>
      </w:r>
    </w:p>
    <w:p>
      <w:pPr>
        <w:spacing w:line="360" w:lineRule="auto"/>
        <w:ind w:firstLine="480" w:firstLineChars="200"/>
        <w:rPr>
          <w:rFonts w:ascii="宋体" w:hAnsi="宋体" w:cs="宋体"/>
          <w:sz w:val="24"/>
          <w:szCs w:val="24"/>
        </w:rPr>
      </w:pPr>
      <w:r>
        <w:rPr>
          <w:rFonts w:hint="eastAsia" w:ascii="宋体" w:hAnsi="宋体" w:cs="宋体"/>
          <w:sz w:val="24"/>
          <w:szCs w:val="24"/>
        </w:rPr>
        <w:t>2.3.4供应商应在投标截止时间前关注原采购信息发布媒体上有关本招标项目有无变更公告。</w:t>
      </w:r>
    </w:p>
    <w:p>
      <w:pPr>
        <w:pStyle w:val="4"/>
        <w:spacing w:before="0" w:after="0" w:line="360" w:lineRule="auto"/>
        <w:rPr>
          <w:rFonts w:ascii="宋体" w:hAnsi="宋体" w:eastAsia="宋体" w:cs="宋体"/>
          <w:sz w:val="28"/>
          <w:szCs w:val="28"/>
        </w:rPr>
      </w:pPr>
      <w:bookmarkStart w:id="145" w:name="_Toc16663"/>
      <w:bookmarkEnd w:id="145"/>
      <w:bookmarkStart w:id="146" w:name="_Toc24916"/>
      <w:bookmarkEnd w:id="146"/>
      <w:bookmarkStart w:id="147" w:name="_Toc29741"/>
      <w:bookmarkEnd w:id="147"/>
      <w:bookmarkStart w:id="148" w:name="_Toc16109"/>
      <w:bookmarkStart w:id="149" w:name="_Toc29470"/>
      <w:bookmarkStart w:id="150" w:name="_Toc11415"/>
      <w:bookmarkStart w:id="151" w:name="_Toc24768"/>
      <w:bookmarkStart w:id="152" w:name="_Toc1436"/>
      <w:r>
        <w:rPr>
          <w:rFonts w:hint="eastAsia" w:ascii="宋体" w:hAnsi="宋体" w:eastAsia="宋体" w:cs="宋体"/>
          <w:sz w:val="28"/>
          <w:szCs w:val="28"/>
        </w:rPr>
        <w:t>3. 投标文件</w:t>
      </w:r>
      <w:bookmarkEnd w:id="148"/>
      <w:bookmarkEnd w:id="149"/>
      <w:bookmarkEnd w:id="150"/>
      <w:bookmarkEnd w:id="151"/>
      <w:bookmarkEnd w:id="152"/>
    </w:p>
    <w:p>
      <w:pPr>
        <w:spacing w:line="360" w:lineRule="auto"/>
        <w:rPr>
          <w:rFonts w:ascii="宋体" w:hAnsi="宋体" w:cs="宋体"/>
          <w:b/>
          <w:sz w:val="24"/>
          <w:szCs w:val="24"/>
        </w:rPr>
      </w:pPr>
      <w:bookmarkStart w:id="153" w:name="_Toc2432"/>
      <w:bookmarkEnd w:id="153"/>
      <w:bookmarkStart w:id="154" w:name="_Toc4962"/>
      <w:r>
        <w:rPr>
          <w:rFonts w:hint="eastAsia" w:ascii="宋体" w:hAnsi="宋体" w:cs="宋体"/>
          <w:b/>
          <w:sz w:val="24"/>
          <w:szCs w:val="24"/>
        </w:rPr>
        <w:t>3.1 投标文件的组成</w:t>
      </w:r>
      <w:bookmarkEnd w:id="154"/>
    </w:p>
    <w:p>
      <w:pPr>
        <w:spacing w:line="360" w:lineRule="auto"/>
        <w:ind w:firstLine="480" w:firstLineChars="200"/>
        <w:rPr>
          <w:rFonts w:ascii="宋体" w:hAnsi="宋体" w:cs="宋体"/>
          <w:sz w:val="24"/>
          <w:szCs w:val="24"/>
        </w:rPr>
      </w:pPr>
      <w:r>
        <w:rPr>
          <w:rFonts w:hint="eastAsia" w:ascii="宋体" w:hAnsi="宋体" w:cs="宋体"/>
          <w:sz w:val="24"/>
          <w:szCs w:val="24"/>
        </w:rPr>
        <w:t>3.1.1 投标文件资格审查部分详见第六章“投标文件格式”资格审查部分中的内容。</w:t>
      </w:r>
    </w:p>
    <w:p>
      <w:pPr>
        <w:spacing w:line="360" w:lineRule="auto"/>
        <w:ind w:firstLine="480" w:firstLineChars="200"/>
        <w:rPr>
          <w:rFonts w:ascii="宋体" w:hAnsi="宋体" w:cs="宋体"/>
          <w:sz w:val="24"/>
          <w:szCs w:val="24"/>
        </w:rPr>
      </w:pPr>
      <w:r>
        <w:rPr>
          <w:rFonts w:hint="eastAsia" w:ascii="宋体" w:hAnsi="宋体" w:cs="宋体"/>
          <w:sz w:val="24"/>
          <w:szCs w:val="24"/>
        </w:rPr>
        <w:t>3.1.2 投标文件商务技术部分详见第六章“投标文件格式”商务技术部分中的内容。</w:t>
      </w:r>
    </w:p>
    <w:p>
      <w:pPr>
        <w:spacing w:line="360" w:lineRule="auto"/>
        <w:ind w:firstLine="540" w:firstLineChars="225"/>
        <w:rPr>
          <w:rFonts w:ascii="宋体" w:hAnsi="宋体" w:cs="宋体"/>
          <w:sz w:val="24"/>
          <w:szCs w:val="24"/>
        </w:rPr>
      </w:pPr>
      <w:r>
        <w:rPr>
          <w:rFonts w:hint="eastAsia" w:ascii="宋体" w:hAnsi="宋体" w:cs="宋体"/>
          <w:sz w:val="24"/>
          <w:szCs w:val="24"/>
        </w:rPr>
        <w:t>供应商在评标过程中作出的符合法律法规和采购文件规定的澄清确认，构成投标文件的组成部分。</w:t>
      </w:r>
    </w:p>
    <w:p>
      <w:pPr>
        <w:spacing w:line="360" w:lineRule="auto"/>
        <w:rPr>
          <w:rFonts w:ascii="宋体" w:hAnsi="宋体" w:cs="宋体"/>
          <w:b/>
          <w:sz w:val="24"/>
          <w:szCs w:val="24"/>
        </w:rPr>
      </w:pPr>
      <w:bookmarkStart w:id="155" w:name="_Toc3252"/>
      <w:bookmarkEnd w:id="155"/>
      <w:bookmarkStart w:id="156" w:name="_Toc21369"/>
      <w:r>
        <w:rPr>
          <w:rFonts w:hint="eastAsia" w:ascii="宋体" w:hAnsi="宋体" w:cs="宋体"/>
          <w:b/>
          <w:sz w:val="24"/>
          <w:szCs w:val="24"/>
        </w:rPr>
        <w:t>3.2 投标报价</w:t>
      </w:r>
      <w:bookmarkEnd w:id="156"/>
    </w:p>
    <w:p>
      <w:pPr>
        <w:spacing w:line="360" w:lineRule="auto"/>
        <w:ind w:firstLine="540" w:firstLineChars="225"/>
        <w:rPr>
          <w:rFonts w:ascii="宋体" w:hAnsi="宋体" w:cs="宋体"/>
          <w:sz w:val="24"/>
          <w:szCs w:val="24"/>
        </w:rPr>
      </w:pPr>
      <w:r>
        <w:rPr>
          <w:rFonts w:hint="eastAsia" w:ascii="宋体" w:hAnsi="宋体" w:cs="宋体"/>
          <w:sz w:val="24"/>
          <w:szCs w:val="24"/>
        </w:rPr>
        <w:t>3.2.1 供应商应按第六章“投标文件格式”的要求在投标函中进行报价。</w:t>
      </w:r>
    </w:p>
    <w:p>
      <w:pPr>
        <w:spacing w:line="360" w:lineRule="auto"/>
        <w:ind w:firstLine="540" w:firstLineChars="225"/>
        <w:rPr>
          <w:rFonts w:ascii="宋体" w:hAnsi="宋体" w:cs="宋体"/>
          <w:sz w:val="24"/>
          <w:szCs w:val="24"/>
        </w:rPr>
      </w:pPr>
      <w:r>
        <w:rPr>
          <w:rFonts w:hint="eastAsia" w:ascii="宋体" w:hAnsi="宋体" w:cs="宋体"/>
          <w:sz w:val="24"/>
          <w:szCs w:val="24"/>
        </w:rPr>
        <w:t>3.2.2 供应商应充分了解该项目的总体情况以及影响投标报价的其他要素。</w:t>
      </w:r>
    </w:p>
    <w:p>
      <w:pPr>
        <w:spacing w:line="360" w:lineRule="auto"/>
        <w:ind w:firstLine="540" w:firstLineChars="225"/>
        <w:rPr>
          <w:rFonts w:ascii="宋体" w:hAnsi="宋体" w:cs="宋体"/>
          <w:sz w:val="24"/>
          <w:szCs w:val="24"/>
        </w:rPr>
      </w:pPr>
      <w:r>
        <w:rPr>
          <w:rFonts w:hint="eastAsia" w:ascii="宋体" w:hAnsi="宋体" w:cs="宋体"/>
          <w:sz w:val="24"/>
          <w:szCs w:val="24"/>
        </w:rPr>
        <w:t>3.2.3 供应商的投标报价不得超过预算金额，若采购人还设有最高投标限价的，供应商的投标报价还应当不得超过最高投标限价，最高投标限价在供应商须知前附表中载明。</w:t>
      </w:r>
    </w:p>
    <w:p>
      <w:pPr>
        <w:spacing w:line="360" w:lineRule="auto"/>
        <w:ind w:firstLine="540" w:firstLineChars="225"/>
        <w:rPr>
          <w:rFonts w:ascii="宋体" w:hAnsi="宋体" w:cs="宋体"/>
          <w:sz w:val="24"/>
          <w:szCs w:val="24"/>
        </w:rPr>
      </w:pPr>
      <w:r>
        <w:rPr>
          <w:rFonts w:hint="eastAsia" w:ascii="宋体" w:hAnsi="宋体" w:cs="宋体"/>
          <w:sz w:val="24"/>
          <w:szCs w:val="24"/>
        </w:rPr>
        <w:t>3.2.4 投标报价的其他要求见供应商须知前附表。</w:t>
      </w:r>
    </w:p>
    <w:p>
      <w:pPr>
        <w:spacing w:line="360" w:lineRule="auto"/>
        <w:rPr>
          <w:rFonts w:ascii="宋体" w:hAnsi="宋体" w:cs="宋体"/>
          <w:b/>
          <w:sz w:val="24"/>
          <w:szCs w:val="24"/>
        </w:rPr>
      </w:pPr>
      <w:bookmarkStart w:id="157" w:name="_Toc12995"/>
      <w:bookmarkEnd w:id="157"/>
      <w:bookmarkStart w:id="158" w:name="_Toc14190"/>
      <w:r>
        <w:rPr>
          <w:rFonts w:hint="eastAsia" w:ascii="宋体" w:hAnsi="宋体" w:cs="宋体"/>
          <w:b/>
          <w:sz w:val="24"/>
          <w:szCs w:val="24"/>
        </w:rPr>
        <w:t>3.3 投标有效期</w:t>
      </w:r>
      <w:bookmarkEnd w:id="158"/>
    </w:p>
    <w:p>
      <w:pPr>
        <w:spacing w:line="360" w:lineRule="auto"/>
        <w:ind w:firstLine="480" w:firstLineChars="200"/>
        <w:rPr>
          <w:rFonts w:ascii="宋体" w:hAnsi="宋体" w:cs="宋体"/>
          <w:sz w:val="24"/>
          <w:szCs w:val="24"/>
        </w:rPr>
      </w:pPr>
      <w:r>
        <w:rPr>
          <w:rFonts w:hint="eastAsia" w:ascii="宋体" w:hAnsi="宋体" w:cs="宋体"/>
          <w:sz w:val="24"/>
          <w:szCs w:val="24"/>
        </w:rPr>
        <w:t>3.3.1投标有效期见供应商须知前附表。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3.3.2在投标有效期内，供应商撤销或修改其投标文件的，应承担采购文件和法律规定的责任。</w:t>
      </w:r>
    </w:p>
    <w:p>
      <w:pPr>
        <w:spacing w:line="360" w:lineRule="auto"/>
        <w:ind w:firstLine="480" w:firstLineChars="200"/>
        <w:rPr>
          <w:rFonts w:ascii="宋体" w:hAnsi="宋体" w:cs="宋体"/>
          <w:sz w:val="24"/>
          <w:szCs w:val="24"/>
        </w:rPr>
      </w:pPr>
      <w:r>
        <w:rPr>
          <w:rFonts w:hint="eastAsia" w:ascii="宋体" w:hAnsi="宋体" w:cs="宋体"/>
          <w:sz w:val="24"/>
          <w:szCs w:val="24"/>
        </w:rPr>
        <w:t>3.3.3 出现特殊情况需要延长投标有效期的，采购人以书面形式通知所有供应商延长投标有效期。供应商应予以书面答复，同意延长的，应相应延长其投标保证金的有效期，但不得要求或被允许修改其投标文件；供应商拒绝延长的，其投标失效。</w:t>
      </w:r>
    </w:p>
    <w:p>
      <w:pPr>
        <w:spacing w:line="360" w:lineRule="auto"/>
        <w:rPr>
          <w:rFonts w:ascii="宋体" w:hAnsi="宋体" w:cs="宋体"/>
          <w:b/>
          <w:sz w:val="24"/>
          <w:szCs w:val="24"/>
        </w:rPr>
      </w:pPr>
      <w:bookmarkStart w:id="159" w:name="_Toc1543"/>
      <w:bookmarkEnd w:id="159"/>
      <w:bookmarkStart w:id="160" w:name="_Toc23125"/>
      <w:r>
        <w:rPr>
          <w:rFonts w:hint="eastAsia" w:ascii="宋体" w:hAnsi="宋体" w:cs="宋体"/>
          <w:b/>
          <w:sz w:val="24"/>
          <w:szCs w:val="24"/>
        </w:rPr>
        <w:t>3.4 投标保证金</w:t>
      </w:r>
      <w:bookmarkEnd w:id="160"/>
      <w:r>
        <w:rPr>
          <w:rFonts w:hint="eastAsia" w:ascii="宋体" w:hAnsi="宋体" w:cs="宋体"/>
          <w:b/>
          <w:sz w:val="24"/>
          <w:szCs w:val="24"/>
        </w:rPr>
        <w:t>（不缴纳）</w:t>
      </w:r>
    </w:p>
    <w:p>
      <w:pPr>
        <w:spacing w:line="360" w:lineRule="auto"/>
        <w:ind w:firstLine="480" w:firstLineChars="200"/>
        <w:rPr>
          <w:rFonts w:ascii="宋体" w:hAnsi="宋体" w:cs="宋体"/>
          <w:sz w:val="24"/>
          <w:szCs w:val="24"/>
        </w:rPr>
      </w:pPr>
      <w:r>
        <w:rPr>
          <w:rFonts w:hint="eastAsia" w:ascii="宋体" w:hAnsi="宋体" w:cs="宋体"/>
          <w:sz w:val="24"/>
          <w:szCs w:val="24"/>
        </w:rPr>
        <w:t>3.4.1供应商在递交投标文件的同时，应按供应商须知前附表规定的金额、形式和第六章“投标文件格式”规定的投标保证金格式递交投标保证金，并作为其投标文件的组成部分。应当从其基本账户转出并在投标文件中附上开户许可证或基本存款账户信息或投标保证金缴纳凭证。联合体投标的，其投标保证金可以由牵头人递交。</w:t>
      </w:r>
    </w:p>
    <w:p>
      <w:pPr>
        <w:spacing w:line="360" w:lineRule="auto"/>
        <w:ind w:firstLine="480" w:firstLineChars="200"/>
        <w:rPr>
          <w:rFonts w:ascii="宋体" w:hAnsi="宋体" w:cs="宋体"/>
          <w:sz w:val="24"/>
          <w:szCs w:val="24"/>
        </w:rPr>
      </w:pPr>
      <w:r>
        <w:rPr>
          <w:rFonts w:hint="eastAsia" w:ascii="宋体" w:hAnsi="宋体" w:cs="宋体"/>
          <w:sz w:val="24"/>
          <w:szCs w:val="24"/>
        </w:rPr>
        <w:t>3.4.2 供应商不按本章第3.4.1 项要求提交投标保证金的，其投标将被视为无效投标。</w:t>
      </w:r>
    </w:p>
    <w:p>
      <w:pPr>
        <w:spacing w:line="360" w:lineRule="auto"/>
        <w:ind w:firstLine="480" w:firstLineChars="200"/>
        <w:rPr>
          <w:rFonts w:ascii="宋体" w:hAnsi="宋体" w:cs="宋体"/>
          <w:sz w:val="24"/>
          <w:szCs w:val="24"/>
        </w:rPr>
      </w:pPr>
      <w:r>
        <w:rPr>
          <w:rFonts w:hint="eastAsia" w:ascii="宋体" w:hAnsi="宋体" w:cs="宋体"/>
          <w:sz w:val="24"/>
          <w:szCs w:val="24"/>
        </w:rPr>
        <w:t>3.4.3 采购人或者采购代理机构应当自中标通知书发出之日起5个工作日内退还未中标人的投标保证金，自采购合同签订之日起5个工作日内退还中标人的投标保证金。</w:t>
      </w:r>
    </w:p>
    <w:p>
      <w:pPr>
        <w:spacing w:line="360" w:lineRule="auto"/>
        <w:ind w:firstLine="480" w:firstLineChars="200"/>
        <w:rPr>
          <w:rFonts w:ascii="宋体" w:hAnsi="宋体" w:cs="宋体"/>
          <w:sz w:val="24"/>
          <w:szCs w:val="24"/>
        </w:rPr>
      </w:pPr>
      <w:r>
        <w:rPr>
          <w:rFonts w:hint="eastAsia" w:ascii="宋体" w:hAnsi="宋体" w:cs="宋体"/>
          <w:sz w:val="24"/>
          <w:szCs w:val="24"/>
        </w:rPr>
        <w:t>3.4.4 有下列情形之一的，投标保证金将不予退还：</w:t>
      </w:r>
    </w:p>
    <w:p>
      <w:pPr>
        <w:spacing w:line="360" w:lineRule="auto"/>
        <w:ind w:firstLine="480" w:firstLineChars="200"/>
        <w:rPr>
          <w:rFonts w:ascii="宋体" w:hAnsi="宋体" w:cs="宋体"/>
          <w:sz w:val="24"/>
          <w:szCs w:val="24"/>
        </w:rPr>
      </w:pPr>
      <w:r>
        <w:rPr>
          <w:rFonts w:hint="eastAsia" w:ascii="宋体" w:hAnsi="宋体" w:cs="宋体"/>
          <w:sz w:val="24"/>
          <w:szCs w:val="24"/>
        </w:rPr>
        <w:t>(1)供应商在投标有效期内撤销投标文件；</w:t>
      </w:r>
    </w:p>
    <w:p>
      <w:pPr>
        <w:spacing w:line="360" w:lineRule="auto"/>
        <w:ind w:firstLine="480" w:firstLineChars="200"/>
        <w:rPr>
          <w:rFonts w:ascii="宋体" w:hAnsi="宋体" w:cs="宋体"/>
          <w:sz w:val="24"/>
          <w:szCs w:val="24"/>
        </w:rPr>
      </w:pPr>
      <w:r>
        <w:rPr>
          <w:rFonts w:hint="eastAsia" w:ascii="宋体" w:hAnsi="宋体" w:cs="宋体"/>
          <w:sz w:val="24"/>
          <w:szCs w:val="24"/>
        </w:rPr>
        <w:t>(2)中标人在收到中标通知书后，无正当理由不与采购人订立合同，在签订合同时向采购人提出附加条件，或者不按照采购文件要求提交履约保证金；</w:t>
      </w:r>
    </w:p>
    <w:p>
      <w:pPr>
        <w:spacing w:line="360" w:lineRule="auto"/>
        <w:ind w:left="479" w:leftChars="228"/>
        <w:rPr>
          <w:rFonts w:ascii="宋体" w:hAnsi="宋体" w:cs="宋体"/>
          <w:sz w:val="24"/>
          <w:szCs w:val="24"/>
        </w:rPr>
      </w:pPr>
      <w:r>
        <w:rPr>
          <w:rFonts w:hint="eastAsia" w:ascii="宋体" w:hAnsi="宋体" w:cs="宋体"/>
          <w:sz w:val="24"/>
          <w:szCs w:val="24"/>
        </w:rPr>
        <w:t>(3)其他法律法规要求不予退还投标保证金的情形。</w:t>
      </w:r>
    </w:p>
    <w:p>
      <w:pPr>
        <w:spacing w:line="360" w:lineRule="auto"/>
        <w:rPr>
          <w:rFonts w:ascii="宋体" w:hAnsi="宋体" w:cs="宋体"/>
          <w:b/>
          <w:sz w:val="24"/>
          <w:szCs w:val="24"/>
        </w:rPr>
      </w:pPr>
      <w:bookmarkStart w:id="161" w:name="_Toc32408"/>
      <w:bookmarkEnd w:id="161"/>
      <w:bookmarkStart w:id="162" w:name="_Toc4859"/>
      <w:r>
        <w:rPr>
          <w:rFonts w:hint="eastAsia" w:ascii="宋体" w:hAnsi="宋体" w:cs="宋体"/>
          <w:b/>
          <w:sz w:val="24"/>
          <w:szCs w:val="24"/>
        </w:rPr>
        <w:t>3.5</w:t>
      </w:r>
      <w:bookmarkEnd w:id="162"/>
      <w:r>
        <w:rPr>
          <w:rFonts w:hint="eastAsia" w:ascii="宋体" w:hAnsi="宋体" w:cs="宋体"/>
          <w:b/>
          <w:sz w:val="24"/>
          <w:szCs w:val="24"/>
        </w:rPr>
        <w:t xml:space="preserve">投标文件的语言、计量单位、货币和编制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3.5.1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3.5.2供应商所使用的计量单位应为国家法定计量单位。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3.5.3 供应商应用人民币报价。投标产品如果是进口产品的，应提供人民币与外币之间的 汇率；报价单位为“元”。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3.5.4 投标文件应按照采购文件规定的顺序编制目录并编排页码，由于编排混乱导致投标文件被误读或查找不到，责任由供应商承担。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3.5.5 供应商应在电子投标文件中写清相应的项目编号、项目名称、供应商全称、地址、电话、传真等。 </w:t>
      </w:r>
    </w:p>
    <w:p>
      <w:pPr>
        <w:spacing w:line="360" w:lineRule="auto"/>
        <w:ind w:firstLine="480" w:firstLineChars="200"/>
        <w:rPr>
          <w:rFonts w:ascii="宋体" w:hAnsi="宋体" w:cs="宋体"/>
          <w:sz w:val="24"/>
          <w:szCs w:val="24"/>
        </w:rPr>
      </w:pPr>
      <w:r>
        <w:rPr>
          <w:rFonts w:hint="eastAsia" w:ascii="宋体" w:hAnsi="宋体" w:cs="宋体"/>
          <w:sz w:val="24"/>
          <w:szCs w:val="24"/>
        </w:rPr>
        <w:t>3.5.6 投标文件应按第六章“投标文件格式”进行编写。</w:t>
      </w:r>
    </w:p>
    <w:p>
      <w:pPr>
        <w:spacing w:line="360" w:lineRule="auto"/>
        <w:ind w:firstLine="482" w:firstLineChars="200"/>
        <w:rPr>
          <w:rFonts w:ascii="宋体" w:hAnsi="宋体" w:cs="宋体"/>
          <w:sz w:val="24"/>
          <w:szCs w:val="24"/>
        </w:rPr>
      </w:pPr>
      <w:r>
        <w:rPr>
          <w:rFonts w:hint="eastAsia" w:ascii="宋体" w:hAnsi="宋体" w:cs="宋体"/>
          <w:b/>
          <w:bCs/>
          <w:sz w:val="24"/>
          <w:szCs w:val="24"/>
        </w:rPr>
        <w:t>3.5.7 投标文件应当对采购文件供应商须知前附表1.10规定的不允许偏离的实质性要求和条件作出响应。</w:t>
      </w:r>
    </w:p>
    <w:p>
      <w:pPr>
        <w:spacing w:line="360" w:lineRule="auto"/>
        <w:ind w:firstLine="482" w:firstLineChars="200"/>
        <w:rPr>
          <w:rFonts w:ascii="宋体" w:hAnsi="宋体" w:cs="宋体"/>
          <w:b/>
          <w:sz w:val="24"/>
          <w:szCs w:val="24"/>
        </w:rPr>
      </w:pPr>
      <w:bookmarkStart w:id="163" w:name="_Toc13757"/>
      <w:bookmarkEnd w:id="163"/>
      <w:bookmarkStart w:id="164" w:name="_Toc1490"/>
      <w:bookmarkEnd w:id="164"/>
      <w:bookmarkStart w:id="165" w:name="_Toc7149"/>
      <w:r>
        <w:rPr>
          <w:rFonts w:hint="eastAsia" w:ascii="宋体" w:hAnsi="宋体" w:cs="宋体"/>
          <w:b/>
          <w:sz w:val="24"/>
          <w:szCs w:val="24"/>
        </w:rPr>
        <w:t>3.5.8投标文件全部采用电子文档，除供应商须知前附表另有规定外，投标文件所附证书证件均为原件扫描件，并采用单位和个人数字证书，按采购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p>
    <w:p>
      <w:pPr>
        <w:spacing w:line="360" w:lineRule="auto"/>
        <w:ind w:firstLine="480" w:firstLineChars="200"/>
        <w:rPr>
          <w:rFonts w:ascii="宋体" w:hAnsi="宋体" w:cs="宋体"/>
          <w:sz w:val="24"/>
          <w:szCs w:val="24"/>
        </w:rPr>
      </w:pPr>
      <w:r>
        <w:rPr>
          <w:rFonts w:hint="eastAsia" w:ascii="宋体" w:hAnsi="宋体" w:cs="宋体"/>
          <w:sz w:val="24"/>
          <w:szCs w:val="24"/>
        </w:rPr>
        <w:t>3.5.9电子投标文件的格式见供应商须知前附表。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3.5.10如供应商提交的电子标书不符合3.5.4要求或开标时无法读取导入或解密，其投标文件将不予受理。</w:t>
      </w:r>
    </w:p>
    <w:p>
      <w:pPr>
        <w:pStyle w:val="4"/>
        <w:spacing w:before="0" w:after="0" w:line="360" w:lineRule="auto"/>
        <w:rPr>
          <w:rFonts w:ascii="宋体" w:hAnsi="宋体" w:eastAsia="宋体" w:cs="宋体"/>
          <w:sz w:val="28"/>
          <w:szCs w:val="28"/>
        </w:rPr>
      </w:pPr>
      <w:bookmarkStart w:id="166" w:name="_Toc24967"/>
      <w:bookmarkStart w:id="167" w:name="_Toc16925"/>
      <w:bookmarkStart w:id="168" w:name="_Toc24205"/>
      <w:bookmarkStart w:id="169" w:name="_Toc20926"/>
      <w:r>
        <w:rPr>
          <w:rFonts w:hint="eastAsia" w:ascii="宋体" w:hAnsi="宋体" w:eastAsia="宋体" w:cs="宋体"/>
          <w:sz w:val="28"/>
          <w:szCs w:val="28"/>
        </w:rPr>
        <w:t>4. 投标</w:t>
      </w:r>
      <w:bookmarkEnd w:id="165"/>
      <w:bookmarkEnd w:id="166"/>
      <w:bookmarkEnd w:id="167"/>
      <w:bookmarkEnd w:id="168"/>
      <w:bookmarkEnd w:id="169"/>
    </w:p>
    <w:p>
      <w:pPr>
        <w:spacing w:line="360" w:lineRule="auto"/>
        <w:rPr>
          <w:rFonts w:ascii="宋体" w:hAnsi="宋体" w:cs="宋体"/>
          <w:b/>
          <w:sz w:val="24"/>
          <w:szCs w:val="24"/>
        </w:rPr>
      </w:pPr>
      <w:bookmarkStart w:id="170" w:name="_Toc1523"/>
      <w:bookmarkEnd w:id="170"/>
      <w:bookmarkStart w:id="171" w:name="_Toc25497"/>
      <w:r>
        <w:rPr>
          <w:rFonts w:hint="eastAsia" w:ascii="宋体" w:hAnsi="宋体" w:cs="宋体"/>
          <w:b/>
          <w:sz w:val="24"/>
          <w:szCs w:val="24"/>
        </w:rPr>
        <w:t>4.1 投标文件</w:t>
      </w:r>
      <w:bookmarkEnd w:id="171"/>
      <w:r>
        <w:rPr>
          <w:rFonts w:hint="eastAsia" w:ascii="宋体" w:hAnsi="宋体" w:cs="宋体"/>
          <w:b/>
          <w:sz w:val="24"/>
          <w:szCs w:val="24"/>
        </w:rPr>
        <w:t>加密要求</w:t>
      </w:r>
    </w:p>
    <w:p>
      <w:pPr>
        <w:spacing w:line="360" w:lineRule="auto"/>
        <w:ind w:firstLine="480" w:firstLineChars="200"/>
        <w:rPr>
          <w:rFonts w:ascii="宋体" w:hAnsi="宋体" w:cs="宋体"/>
          <w:sz w:val="24"/>
          <w:szCs w:val="24"/>
        </w:rPr>
      </w:pPr>
      <w:bookmarkStart w:id="172" w:name="_Toc27596"/>
      <w:bookmarkEnd w:id="172"/>
      <w:r>
        <w:rPr>
          <w:rFonts w:hint="eastAsia" w:ascii="宋体" w:hAnsi="宋体" w:cs="宋体"/>
          <w:sz w:val="24"/>
          <w:szCs w:val="24"/>
        </w:rPr>
        <w:t>4.1.1 供应商应当按照采购文件和电子采购投标交易平台的要求加密投标文件，具体要求见供应商须知前附表。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4.1.2 未按本章第4.1.1 要求加密的投标文件，采购人将予以拒收。</w:t>
      </w:r>
    </w:p>
    <w:p>
      <w:pPr>
        <w:spacing w:line="360" w:lineRule="auto"/>
        <w:rPr>
          <w:rFonts w:ascii="宋体" w:hAnsi="宋体" w:cs="宋体"/>
          <w:b/>
          <w:sz w:val="24"/>
          <w:szCs w:val="24"/>
        </w:rPr>
      </w:pPr>
      <w:bookmarkStart w:id="173" w:name="_Toc20611"/>
      <w:bookmarkEnd w:id="173"/>
      <w:bookmarkStart w:id="174" w:name="_Toc9134"/>
      <w:r>
        <w:rPr>
          <w:rFonts w:hint="eastAsia" w:ascii="宋体" w:hAnsi="宋体" w:cs="宋体"/>
          <w:b/>
          <w:sz w:val="24"/>
          <w:szCs w:val="24"/>
        </w:rPr>
        <w:t>4.2 投标文件的递交</w:t>
      </w:r>
      <w:bookmarkEnd w:id="174"/>
    </w:p>
    <w:p>
      <w:pPr>
        <w:pStyle w:val="19"/>
        <w:ind w:firstLine="480" w:firstLineChars="200"/>
        <w:rPr>
          <w:rFonts w:ascii="宋体" w:hAnsi="宋体" w:cs="宋体"/>
          <w:kern w:val="0"/>
          <w:sz w:val="24"/>
        </w:rPr>
      </w:pPr>
      <w:r>
        <w:rPr>
          <w:rFonts w:hint="eastAsia" w:ascii="宋体" w:hAnsi="宋体" w:cs="宋体"/>
          <w:kern w:val="0"/>
          <w:sz w:val="24"/>
        </w:rPr>
        <w:t>4.2.1 供应商应在供应商须知前附表规定的投标截止时间前递交投标文件。</w:t>
      </w:r>
    </w:p>
    <w:p>
      <w:pPr>
        <w:pStyle w:val="19"/>
        <w:ind w:firstLine="480" w:firstLineChars="200"/>
        <w:rPr>
          <w:rFonts w:ascii="宋体" w:hAnsi="宋体" w:cs="宋体"/>
          <w:kern w:val="0"/>
          <w:sz w:val="24"/>
        </w:rPr>
      </w:pPr>
      <w:r>
        <w:rPr>
          <w:rFonts w:hint="eastAsia" w:ascii="宋体" w:hAnsi="宋体" w:cs="宋体"/>
          <w:kern w:val="0"/>
          <w:sz w:val="24"/>
        </w:rPr>
        <w:t>4.2.2 供应商递交投标文件的时间和地点：见供应商须知前附表。</w:t>
      </w:r>
    </w:p>
    <w:p>
      <w:pPr>
        <w:pStyle w:val="19"/>
        <w:ind w:firstLine="480" w:firstLineChars="200"/>
        <w:rPr>
          <w:rFonts w:ascii="宋体" w:hAnsi="宋体" w:cs="宋体"/>
          <w:kern w:val="0"/>
          <w:sz w:val="24"/>
        </w:rPr>
      </w:pPr>
      <w:r>
        <w:rPr>
          <w:rFonts w:hint="eastAsia" w:ascii="宋体" w:hAnsi="宋体" w:cs="宋体"/>
          <w:kern w:val="0"/>
          <w:sz w:val="24"/>
        </w:rPr>
        <w:t>4.2.3 除供应商须知前附表另有规定外，供应商所递交的投标文件不予退还。</w:t>
      </w:r>
    </w:p>
    <w:p>
      <w:pPr>
        <w:spacing w:line="360" w:lineRule="auto"/>
        <w:rPr>
          <w:rFonts w:ascii="宋体" w:hAnsi="宋体" w:cs="宋体"/>
          <w:b/>
          <w:sz w:val="24"/>
          <w:szCs w:val="24"/>
        </w:rPr>
      </w:pPr>
      <w:bookmarkStart w:id="175" w:name="_Toc21133"/>
      <w:bookmarkEnd w:id="175"/>
      <w:bookmarkStart w:id="176" w:name="_Toc8975"/>
      <w:bookmarkEnd w:id="176"/>
      <w:bookmarkStart w:id="177" w:name="_Toc5071"/>
      <w:r>
        <w:rPr>
          <w:rFonts w:hint="eastAsia" w:ascii="宋体" w:hAnsi="宋体" w:cs="宋体"/>
          <w:b/>
          <w:sz w:val="24"/>
          <w:szCs w:val="24"/>
        </w:rPr>
        <w:t>4.3 投标文件的修改与撤回</w:t>
      </w:r>
      <w:bookmarkEnd w:id="177"/>
    </w:p>
    <w:p>
      <w:pPr>
        <w:spacing w:line="360" w:lineRule="auto"/>
        <w:ind w:firstLine="480" w:firstLineChars="200"/>
        <w:rPr>
          <w:rFonts w:ascii="宋体" w:hAnsi="宋体" w:cs="宋体"/>
          <w:sz w:val="24"/>
          <w:szCs w:val="24"/>
        </w:rPr>
      </w:pPr>
      <w:bookmarkStart w:id="178" w:name="_Toc20324"/>
      <w:r>
        <w:rPr>
          <w:rFonts w:hint="eastAsia" w:ascii="宋体" w:hAnsi="宋体" w:cs="宋体"/>
          <w:sz w:val="24"/>
          <w:szCs w:val="24"/>
        </w:rPr>
        <w:t>4.3.1在投标截止时间前，供应商可以撤回在网上已递交的投标文件，修改后重新递交。</w:t>
      </w:r>
    </w:p>
    <w:p>
      <w:pPr>
        <w:spacing w:line="360" w:lineRule="auto"/>
        <w:ind w:firstLine="480" w:firstLineChars="200"/>
        <w:rPr>
          <w:rFonts w:ascii="宋体" w:hAnsi="宋体" w:cs="宋体"/>
          <w:sz w:val="24"/>
          <w:szCs w:val="24"/>
        </w:rPr>
      </w:pPr>
      <w:r>
        <w:rPr>
          <w:rFonts w:hint="eastAsia" w:ascii="宋体" w:hAnsi="宋体" w:cs="宋体"/>
          <w:sz w:val="24"/>
          <w:szCs w:val="24"/>
        </w:rPr>
        <w:t>4.3.2修改的投标文件应按照《电子投标文件编制及报送要求》规定进行编制、加密和递交。</w:t>
      </w:r>
    </w:p>
    <w:p>
      <w:pPr>
        <w:spacing w:line="360" w:lineRule="auto"/>
        <w:rPr>
          <w:rFonts w:ascii="宋体" w:hAnsi="宋体" w:cs="宋体"/>
          <w:b/>
          <w:bCs/>
          <w:sz w:val="24"/>
          <w:szCs w:val="24"/>
        </w:rPr>
      </w:pPr>
      <w:bookmarkStart w:id="179" w:name="_Toc12263"/>
      <w:bookmarkStart w:id="180" w:name="_Toc13613"/>
      <w:bookmarkStart w:id="181" w:name="_Toc20199"/>
      <w:r>
        <w:rPr>
          <w:rFonts w:hint="eastAsia" w:ascii="宋体" w:hAnsi="宋体" w:cs="宋体"/>
          <w:sz w:val="24"/>
          <w:szCs w:val="24"/>
        </w:rPr>
        <w:t>4.5.</w:t>
      </w:r>
      <w:r>
        <w:rPr>
          <w:rFonts w:hint="eastAsia" w:ascii="宋体" w:hAnsi="宋体" w:cs="宋体"/>
          <w:b/>
          <w:bCs/>
          <w:sz w:val="24"/>
          <w:szCs w:val="24"/>
        </w:rPr>
        <w:t xml:space="preserve">投标费用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 4.5.1供应商应承担所有与准备和参加投标有关的费用，无论采购结果如何，采购人和采购代理机构和在任何情况下均无义务和责任承担这些费用。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4.5.2招标代理服务费：在领取中标通知书前由中标单位向招标代理机构一次性支付中标服务费。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4.5.3公证费 </w:t>
      </w:r>
    </w:p>
    <w:p>
      <w:pPr>
        <w:spacing w:line="360" w:lineRule="auto"/>
        <w:ind w:firstLine="480" w:firstLineChars="200"/>
        <w:rPr>
          <w:rFonts w:ascii="宋体" w:hAnsi="宋体" w:cs="宋体"/>
          <w:sz w:val="24"/>
          <w:szCs w:val="24"/>
        </w:rPr>
      </w:pPr>
      <w:r>
        <w:rPr>
          <w:rFonts w:hint="eastAsia" w:ascii="宋体" w:hAnsi="宋体" w:cs="宋体"/>
          <w:sz w:val="24"/>
          <w:szCs w:val="24"/>
        </w:rPr>
        <w:t>受委托的公证处受理本项目招标投标现场监督公正，公证书费由公证处按国家计划发展委员会、国家司法部（1998）814号文的规定向中标单位收取。</w:t>
      </w:r>
    </w:p>
    <w:p>
      <w:pPr>
        <w:spacing w:line="360" w:lineRule="auto"/>
        <w:ind w:firstLine="480" w:firstLineChars="200"/>
        <w:rPr>
          <w:rFonts w:ascii="宋体" w:hAnsi="宋体" w:cs="宋体"/>
          <w:sz w:val="28"/>
          <w:szCs w:val="28"/>
        </w:rPr>
      </w:pPr>
      <w:r>
        <w:rPr>
          <w:rFonts w:hint="eastAsia" w:ascii="宋体" w:hAnsi="宋体" w:cs="宋体"/>
          <w:sz w:val="24"/>
          <w:szCs w:val="24"/>
        </w:rPr>
        <w:t>中标单位应在领取中标通知书时递交2份公证书给予代理机构，以供本项目情况报告书备案使用。</w:t>
      </w:r>
    </w:p>
    <w:p>
      <w:pPr>
        <w:pStyle w:val="4"/>
        <w:spacing w:before="0" w:after="0" w:line="360" w:lineRule="auto"/>
        <w:rPr>
          <w:rFonts w:ascii="宋体" w:hAnsi="宋体" w:eastAsia="宋体" w:cs="宋体"/>
          <w:sz w:val="28"/>
          <w:szCs w:val="28"/>
        </w:rPr>
      </w:pPr>
      <w:bookmarkStart w:id="182" w:name="_Toc4149"/>
      <w:r>
        <w:rPr>
          <w:rFonts w:hint="eastAsia" w:ascii="宋体" w:hAnsi="宋体" w:eastAsia="宋体" w:cs="宋体"/>
          <w:sz w:val="28"/>
          <w:szCs w:val="28"/>
        </w:rPr>
        <w:t>5. 开标</w:t>
      </w:r>
      <w:bookmarkEnd w:id="178"/>
      <w:bookmarkEnd w:id="179"/>
      <w:bookmarkEnd w:id="180"/>
      <w:bookmarkEnd w:id="181"/>
      <w:bookmarkEnd w:id="182"/>
    </w:p>
    <w:p>
      <w:pPr>
        <w:spacing w:line="360" w:lineRule="auto"/>
        <w:rPr>
          <w:rFonts w:ascii="宋体" w:hAnsi="宋体" w:cs="宋体"/>
          <w:b/>
          <w:sz w:val="24"/>
          <w:szCs w:val="24"/>
        </w:rPr>
      </w:pPr>
      <w:bookmarkStart w:id="183" w:name="_Toc1527"/>
      <w:bookmarkEnd w:id="183"/>
      <w:bookmarkStart w:id="184" w:name="_Toc9143"/>
      <w:r>
        <w:rPr>
          <w:rFonts w:hint="eastAsia" w:ascii="宋体" w:hAnsi="宋体" w:cs="宋体"/>
          <w:b/>
          <w:sz w:val="24"/>
          <w:szCs w:val="24"/>
        </w:rPr>
        <w:t>5.1 开标时间和地点</w:t>
      </w:r>
      <w:bookmarkEnd w:id="184"/>
    </w:p>
    <w:p>
      <w:pPr>
        <w:pStyle w:val="24"/>
        <w:spacing w:line="360" w:lineRule="auto"/>
        <w:ind w:firstLine="480" w:firstLineChars="200"/>
        <w:rPr>
          <w:rFonts w:hAnsi="宋体" w:cs="宋体"/>
          <w:sz w:val="24"/>
        </w:rPr>
      </w:pPr>
      <w:r>
        <w:rPr>
          <w:rFonts w:hint="eastAsia" w:hAnsi="宋体" w:cs="宋体"/>
          <w:sz w:val="24"/>
          <w:szCs w:val="24"/>
        </w:rPr>
        <w:t>采购人在本章第4.2.1款规定的投标截止时间(开标时间)和供应商须知前附表规定的地点公开开标。</w:t>
      </w:r>
      <w:r>
        <w:rPr>
          <w:rFonts w:hint="eastAsia" w:hAnsi="宋体" w:cs="宋体"/>
          <w:sz w:val="24"/>
        </w:rPr>
        <w:t>投标人应根据招标文件要求远程解密方式参与开标活动，并在规定的时间内完成网上智能开标远程解密，否则视为撤销其投标文件，不再进入评标阶段。本项目无须投标人到现场递交纸质文件及电子光盘。各投标单位对上传的相关证件及证明资料真实性负责（确保上传的相关资料清晰可辨，如评标过程中，评标委员会无法辨别影响投标的，责任由投标人自行承担），如发现提供虚假材料的，一经查实取消投标资格，并依据相关法律、法规进行处罚。</w:t>
      </w:r>
    </w:p>
    <w:p>
      <w:pPr>
        <w:spacing w:line="360" w:lineRule="auto"/>
        <w:rPr>
          <w:rFonts w:ascii="宋体" w:hAnsi="宋体" w:cs="宋体"/>
          <w:b/>
          <w:bCs/>
          <w:sz w:val="24"/>
          <w:szCs w:val="24"/>
        </w:rPr>
      </w:pPr>
      <w:bookmarkStart w:id="185" w:name="_Toc21332"/>
      <w:bookmarkEnd w:id="185"/>
      <w:bookmarkStart w:id="186" w:name="_Toc27792"/>
      <w:bookmarkEnd w:id="186"/>
      <w:bookmarkStart w:id="187" w:name="_Toc24636"/>
      <w:r>
        <w:rPr>
          <w:rFonts w:hint="eastAsia" w:ascii="宋体" w:hAnsi="宋体" w:cs="宋体"/>
          <w:b/>
          <w:sz w:val="24"/>
          <w:szCs w:val="24"/>
        </w:rPr>
        <w:t>5.2</w:t>
      </w:r>
      <w:r>
        <w:rPr>
          <w:rFonts w:hint="eastAsia" w:ascii="宋体" w:hAnsi="宋体" w:cs="宋体"/>
          <w:b/>
          <w:bCs/>
          <w:sz w:val="24"/>
          <w:szCs w:val="24"/>
        </w:rPr>
        <w:t>投标时间截止后供应商不足3家的，不得开标。</w:t>
      </w:r>
    </w:p>
    <w:p>
      <w:pPr>
        <w:spacing w:line="360" w:lineRule="auto"/>
        <w:rPr>
          <w:rFonts w:ascii="宋体" w:hAnsi="宋体" w:cs="宋体"/>
          <w:b/>
          <w:sz w:val="24"/>
          <w:szCs w:val="24"/>
        </w:rPr>
      </w:pPr>
      <w:r>
        <w:rPr>
          <w:rFonts w:hint="eastAsia" w:ascii="宋体" w:hAnsi="宋体" w:cs="宋体"/>
          <w:b/>
          <w:sz w:val="24"/>
          <w:szCs w:val="24"/>
        </w:rPr>
        <w:t>5.3 开标程序</w:t>
      </w:r>
      <w:bookmarkEnd w:id="187"/>
    </w:p>
    <w:p>
      <w:pPr>
        <w:spacing w:line="360" w:lineRule="auto"/>
        <w:ind w:firstLine="480" w:firstLineChars="200"/>
        <w:rPr>
          <w:rFonts w:ascii="宋体" w:hAnsi="宋体" w:cs="宋体"/>
          <w:sz w:val="24"/>
          <w:szCs w:val="24"/>
        </w:rPr>
      </w:pPr>
      <w:bookmarkStart w:id="188" w:name="_Toc27216"/>
      <w:bookmarkEnd w:id="188"/>
      <w:bookmarkStart w:id="189" w:name="_Toc22860"/>
      <w:r>
        <w:rPr>
          <w:rFonts w:hint="eastAsia" w:ascii="宋体" w:hAnsi="宋体" w:cs="宋体"/>
          <w:sz w:val="24"/>
          <w:szCs w:val="24"/>
        </w:rPr>
        <w:t>(1)开标会由采购代理机构主持。</w:t>
      </w:r>
    </w:p>
    <w:p>
      <w:pPr>
        <w:spacing w:line="360" w:lineRule="auto"/>
        <w:ind w:firstLine="480" w:firstLineChars="200"/>
        <w:rPr>
          <w:rFonts w:ascii="宋体" w:hAnsi="宋体" w:cs="宋体"/>
          <w:sz w:val="24"/>
          <w:szCs w:val="24"/>
        </w:rPr>
      </w:pPr>
      <w:r>
        <w:rPr>
          <w:rFonts w:hint="eastAsia" w:ascii="宋体" w:hAnsi="宋体" w:cs="宋体"/>
          <w:sz w:val="24"/>
          <w:szCs w:val="24"/>
        </w:rPr>
        <w:t>(2)开标:顺序按照电子公共资源交易平台自动提取所有供应商的顺序当众开标。</w:t>
      </w:r>
    </w:p>
    <w:p>
      <w:pPr>
        <w:spacing w:line="360" w:lineRule="auto"/>
        <w:ind w:firstLine="480" w:firstLineChars="200"/>
        <w:rPr>
          <w:rFonts w:ascii="宋体" w:hAnsi="宋体" w:cs="宋体"/>
          <w:sz w:val="24"/>
          <w:szCs w:val="24"/>
        </w:rPr>
      </w:pPr>
      <w:r>
        <w:rPr>
          <w:rFonts w:hint="eastAsia" w:ascii="宋体" w:hAnsi="宋体" w:cs="宋体"/>
          <w:sz w:val="24"/>
          <w:szCs w:val="24"/>
        </w:rPr>
        <w:t>(3)唱标：智能播报/由唱标人宣读供应商在其电子投标文件中投标价格和采购文件规定的需要宣布的其他内容。</w:t>
      </w:r>
    </w:p>
    <w:p>
      <w:pPr>
        <w:spacing w:line="360" w:lineRule="auto"/>
        <w:ind w:firstLine="480" w:firstLineChars="200"/>
        <w:rPr>
          <w:rFonts w:ascii="宋体" w:hAnsi="宋体" w:cs="宋体"/>
          <w:sz w:val="24"/>
          <w:szCs w:val="24"/>
        </w:rPr>
      </w:pPr>
      <w:r>
        <w:rPr>
          <w:rFonts w:hint="eastAsia" w:ascii="宋体" w:hAnsi="宋体" w:cs="宋体"/>
          <w:sz w:val="24"/>
          <w:szCs w:val="24"/>
        </w:rPr>
        <w:t>(4) 开标工作人员将做开标记录，参加开标的各相关工作人员须签字确认。</w:t>
      </w:r>
    </w:p>
    <w:p>
      <w:pPr>
        <w:spacing w:line="360" w:lineRule="auto"/>
        <w:rPr>
          <w:rFonts w:ascii="宋体" w:hAnsi="宋体" w:cs="宋体"/>
          <w:b/>
          <w:sz w:val="24"/>
          <w:szCs w:val="24"/>
        </w:rPr>
      </w:pPr>
      <w:r>
        <w:rPr>
          <w:rFonts w:hint="eastAsia" w:ascii="宋体" w:hAnsi="宋体" w:cs="宋体"/>
          <w:b/>
          <w:sz w:val="24"/>
          <w:szCs w:val="24"/>
        </w:rPr>
        <w:t>5.4 开标</w:t>
      </w:r>
      <w:bookmarkEnd w:id="189"/>
      <w:r>
        <w:rPr>
          <w:rFonts w:hint="eastAsia" w:ascii="宋体" w:hAnsi="宋体" w:cs="宋体"/>
          <w:b/>
          <w:sz w:val="24"/>
          <w:szCs w:val="24"/>
        </w:rPr>
        <w:t>异议</w:t>
      </w:r>
    </w:p>
    <w:p>
      <w:pPr>
        <w:spacing w:line="360" w:lineRule="auto"/>
        <w:ind w:firstLine="480" w:firstLineChars="200"/>
        <w:rPr>
          <w:rFonts w:ascii="宋体" w:hAnsi="宋体" w:cs="宋体"/>
          <w:sz w:val="24"/>
          <w:szCs w:val="24"/>
        </w:rPr>
      </w:pPr>
      <w:r>
        <w:rPr>
          <w:rFonts w:hint="eastAsia" w:ascii="宋体" w:hAnsi="宋体" w:cs="宋体"/>
          <w:sz w:val="24"/>
          <w:szCs w:val="24"/>
        </w:rPr>
        <w:t>开标过程中如有问题，可以在线提出异议，由代理机构给予回复。在规定的异议询问时间内未提出异议的，则视为对开标结果无异议。</w:t>
      </w:r>
    </w:p>
    <w:p>
      <w:pPr>
        <w:pStyle w:val="4"/>
        <w:spacing w:before="0" w:after="0" w:line="360" w:lineRule="auto"/>
        <w:rPr>
          <w:rFonts w:ascii="宋体" w:hAnsi="宋体" w:eastAsia="宋体" w:cs="宋体"/>
          <w:sz w:val="28"/>
          <w:szCs w:val="28"/>
        </w:rPr>
      </w:pPr>
      <w:bookmarkStart w:id="190" w:name="_Toc26040"/>
      <w:bookmarkEnd w:id="190"/>
      <w:bookmarkStart w:id="191" w:name="_Toc27754"/>
      <w:bookmarkEnd w:id="191"/>
      <w:bookmarkStart w:id="192" w:name="_Toc13256"/>
      <w:bookmarkStart w:id="193" w:name="_Toc792"/>
      <w:bookmarkStart w:id="194" w:name="_Toc1452"/>
      <w:bookmarkStart w:id="195" w:name="_Toc2599"/>
      <w:bookmarkStart w:id="196" w:name="_Toc30133"/>
      <w:r>
        <w:rPr>
          <w:rFonts w:hint="eastAsia" w:ascii="宋体" w:hAnsi="宋体" w:eastAsia="宋体" w:cs="宋体"/>
          <w:sz w:val="28"/>
          <w:szCs w:val="28"/>
        </w:rPr>
        <w:t>6. 资格审查</w:t>
      </w:r>
      <w:bookmarkEnd w:id="192"/>
      <w:bookmarkEnd w:id="193"/>
      <w:bookmarkEnd w:id="194"/>
      <w:bookmarkEnd w:id="195"/>
      <w:bookmarkEnd w:id="196"/>
    </w:p>
    <w:p>
      <w:pPr>
        <w:spacing w:line="360" w:lineRule="auto"/>
        <w:ind w:firstLine="540" w:firstLineChars="225"/>
        <w:rPr>
          <w:rFonts w:ascii="宋体" w:hAnsi="宋体" w:cs="宋体"/>
          <w:sz w:val="24"/>
          <w:szCs w:val="24"/>
        </w:rPr>
      </w:pPr>
      <w:r>
        <w:rPr>
          <w:rFonts w:hint="eastAsia" w:ascii="宋体" w:hAnsi="宋体" w:cs="宋体"/>
          <w:sz w:val="24"/>
          <w:szCs w:val="24"/>
        </w:rPr>
        <w:t>公开采购采购项目开标结束后，采购人或者采购代理机构应当依法对供应商的资格进行审查。</w:t>
      </w:r>
    </w:p>
    <w:p>
      <w:pPr>
        <w:spacing w:line="360" w:lineRule="auto"/>
        <w:ind w:firstLine="540" w:firstLineChars="225"/>
        <w:rPr>
          <w:rFonts w:ascii="宋体" w:hAnsi="宋体" w:cs="宋体"/>
          <w:sz w:val="24"/>
          <w:szCs w:val="24"/>
        </w:rPr>
      </w:pPr>
      <w:r>
        <w:rPr>
          <w:rFonts w:hint="eastAsia" w:ascii="宋体" w:hAnsi="宋体" w:cs="宋体"/>
          <w:sz w:val="24"/>
          <w:szCs w:val="24"/>
        </w:rPr>
        <w:t>合格供应商不足3家的，不得评标。</w:t>
      </w:r>
    </w:p>
    <w:p>
      <w:pPr>
        <w:pStyle w:val="4"/>
        <w:spacing w:before="0" w:after="0" w:line="360" w:lineRule="auto"/>
        <w:rPr>
          <w:rFonts w:ascii="宋体" w:hAnsi="宋体" w:eastAsia="宋体" w:cs="宋体"/>
          <w:sz w:val="28"/>
          <w:szCs w:val="28"/>
        </w:rPr>
      </w:pPr>
      <w:bookmarkStart w:id="197" w:name="_Toc25563"/>
      <w:bookmarkEnd w:id="197"/>
      <w:bookmarkStart w:id="198" w:name="_Toc11518"/>
      <w:bookmarkEnd w:id="198"/>
      <w:bookmarkStart w:id="199" w:name="_Toc30840"/>
      <w:bookmarkStart w:id="200" w:name="_Toc17538"/>
      <w:bookmarkStart w:id="201" w:name="_Toc5482"/>
      <w:bookmarkStart w:id="202" w:name="_Toc16183"/>
      <w:bookmarkStart w:id="203" w:name="_Toc29087"/>
      <w:r>
        <w:rPr>
          <w:rFonts w:hint="eastAsia" w:ascii="宋体" w:hAnsi="宋体" w:eastAsia="宋体" w:cs="宋体"/>
          <w:sz w:val="28"/>
          <w:szCs w:val="28"/>
        </w:rPr>
        <w:t>7. 评标</w:t>
      </w:r>
      <w:bookmarkEnd w:id="199"/>
      <w:bookmarkEnd w:id="200"/>
      <w:bookmarkEnd w:id="201"/>
      <w:bookmarkEnd w:id="202"/>
      <w:bookmarkEnd w:id="203"/>
    </w:p>
    <w:p>
      <w:pPr>
        <w:spacing w:line="360" w:lineRule="auto"/>
        <w:rPr>
          <w:rFonts w:ascii="宋体" w:hAnsi="宋体" w:cs="宋体"/>
          <w:b/>
          <w:sz w:val="24"/>
          <w:szCs w:val="24"/>
        </w:rPr>
      </w:pPr>
      <w:bookmarkStart w:id="204" w:name="_Toc11207"/>
      <w:bookmarkEnd w:id="204"/>
      <w:bookmarkStart w:id="205" w:name="_Toc4770"/>
      <w:r>
        <w:rPr>
          <w:rFonts w:hint="eastAsia" w:ascii="宋体" w:hAnsi="宋体" w:cs="宋体"/>
          <w:b/>
          <w:sz w:val="24"/>
          <w:szCs w:val="24"/>
        </w:rPr>
        <w:t>7.1 评标委员会</w:t>
      </w:r>
      <w:bookmarkEnd w:id="205"/>
    </w:p>
    <w:p>
      <w:pPr>
        <w:spacing w:line="360" w:lineRule="auto"/>
        <w:ind w:firstLine="480" w:firstLineChars="200"/>
        <w:rPr>
          <w:rFonts w:ascii="宋体" w:hAnsi="宋体" w:cs="宋体"/>
          <w:sz w:val="24"/>
          <w:szCs w:val="24"/>
        </w:rPr>
      </w:pPr>
      <w:r>
        <w:rPr>
          <w:rFonts w:hint="eastAsia" w:ascii="宋体" w:hAnsi="宋体" w:cs="宋体"/>
          <w:sz w:val="24"/>
          <w:szCs w:val="24"/>
        </w:rPr>
        <w:t>7.1.1 评标由采购人依法组建的评标委员会负责。评标委员会由采购人代表以及有关技术、经济等方面的专家组成。评标委员会成员人数以及技术、经济等方面专家的确定方式见供应商须知前附表。</w:t>
      </w:r>
    </w:p>
    <w:p>
      <w:pPr>
        <w:spacing w:line="360" w:lineRule="auto"/>
        <w:ind w:firstLine="540" w:firstLineChars="225"/>
        <w:rPr>
          <w:rFonts w:ascii="宋体" w:hAnsi="宋体" w:cs="宋体"/>
          <w:sz w:val="24"/>
          <w:szCs w:val="24"/>
        </w:rPr>
      </w:pPr>
      <w:r>
        <w:rPr>
          <w:rFonts w:hint="eastAsia" w:ascii="宋体" w:hAnsi="宋体" w:cs="宋体"/>
          <w:sz w:val="24"/>
          <w:szCs w:val="24"/>
        </w:rPr>
        <w:t>7.1.2 评标中因评标委员会成员缺席、回避或者健康等特殊原因导致评标委员会组成不符合《政府采购货物和服务采购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采购文件一并存档。</w:t>
      </w:r>
    </w:p>
    <w:p>
      <w:pPr>
        <w:spacing w:line="360" w:lineRule="auto"/>
        <w:rPr>
          <w:rFonts w:ascii="宋体" w:hAnsi="宋体" w:cs="宋体"/>
          <w:b/>
          <w:sz w:val="24"/>
          <w:szCs w:val="24"/>
        </w:rPr>
      </w:pPr>
      <w:bookmarkStart w:id="206" w:name="_Toc28237"/>
      <w:bookmarkEnd w:id="206"/>
      <w:bookmarkStart w:id="207" w:name="_Toc6336"/>
      <w:r>
        <w:rPr>
          <w:rFonts w:hint="eastAsia" w:ascii="宋体" w:hAnsi="宋体" w:cs="宋体"/>
          <w:b/>
          <w:sz w:val="24"/>
          <w:szCs w:val="24"/>
        </w:rPr>
        <w:t>7.2 评标原则</w:t>
      </w:r>
      <w:bookmarkEnd w:id="207"/>
    </w:p>
    <w:p>
      <w:pPr>
        <w:spacing w:line="360" w:lineRule="auto"/>
        <w:ind w:firstLine="480" w:firstLineChars="200"/>
        <w:rPr>
          <w:rFonts w:ascii="宋体" w:hAnsi="宋体" w:cs="宋体"/>
          <w:sz w:val="24"/>
          <w:szCs w:val="24"/>
        </w:rPr>
      </w:pPr>
      <w:r>
        <w:rPr>
          <w:rFonts w:hint="eastAsia" w:ascii="宋体" w:hAnsi="宋体" w:cs="宋体"/>
          <w:sz w:val="24"/>
          <w:szCs w:val="24"/>
        </w:rPr>
        <w:t>评标活动遵循公平、公正、科学和择优的原则。</w:t>
      </w:r>
    </w:p>
    <w:p>
      <w:pPr>
        <w:spacing w:line="360" w:lineRule="auto"/>
        <w:rPr>
          <w:rFonts w:ascii="宋体" w:hAnsi="宋体" w:cs="宋体"/>
          <w:b/>
          <w:sz w:val="24"/>
          <w:szCs w:val="24"/>
        </w:rPr>
      </w:pPr>
      <w:bookmarkStart w:id="208" w:name="_Toc10442"/>
      <w:bookmarkEnd w:id="208"/>
      <w:bookmarkStart w:id="209" w:name="_Toc5282"/>
      <w:r>
        <w:rPr>
          <w:rFonts w:hint="eastAsia" w:ascii="宋体" w:hAnsi="宋体" w:cs="宋体"/>
          <w:b/>
          <w:sz w:val="24"/>
          <w:szCs w:val="24"/>
        </w:rPr>
        <w:t>7.3 评标</w:t>
      </w:r>
      <w:bookmarkEnd w:id="209"/>
    </w:p>
    <w:p>
      <w:pPr>
        <w:spacing w:line="360" w:lineRule="auto"/>
        <w:ind w:firstLine="480" w:firstLineChars="200"/>
        <w:rPr>
          <w:rFonts w:ascii="宋体" w:hAnsi="宋体" w:cs="宋体"/>
          <w:sz w:val="24"/>
          <w:szCs w:val="24"/>
        </w:rPr>
      </w:pPr>
      <w:r>
        <w:rPr>
          <w:rFonts w:hint="eastAsia" w:ascii="宋体" w:hAnsi="宋体" w:cs="宋体"/>
          <w:sz w:val="24"/>
          <w:szCs w:val="24"/>
        </w:rPr>
        <w:t>7.3.1 评标委员会按照第三章“评标办法”规定的方法、评审因素、标准和程序对投标文件进行评审。第三章“评标办法”没有规定的方法、评审因素和标准，不作为评标依据。</w:t>
      </w:r>
    </w:p>
    <w:p>
      <w:pPr>
        <w:spacing w:line="360" w:lineRule="auto"/>
        <w:ind w:firstLine="480" w:firstLineChars="200"/>
        <w:rPr>
          <w:rFonts w:ascii="宋体" w:hAnsi="宋体" w:cs="宋体"/>
          <w:sz w:val="24"/>
          <w:szCs w:val="24"/>
        </w:rPr>
      </w:pPr>
      <w:r>
        <w:rPr>
          <w:rFonts w:hint="eastAsia" w:ascii="宋体" w:hAnsi="宋体" w:cs="宋体"/>
          <w:sz w:val="24"/>
          <w:szCs w:val="24"/>
        </w:rPr>
        <w:t>7.3.2 评标完成后，评标委员会应当向采购人提交书面评标报告和中标候选人名单。评标委员会推荐中标候选人的人数见供应商须知前附表。</w:t>
      </w:r>
    </w:p>
    <w:p>
      <w:pPr>
        <w:spacing w:line="360" w:lineRule="auto"/>
        <w:rPr>
          <w:rFonts w:ascii="宋体" w:hAnsi="宋体" w:cs="宋体"/>
          <w:b/>
          <w:bCs/>
          <w:sz w:val="24"/>
          <w:szCs w:val="24"/>
        </w:rPr>
      </w:pPr>
      <w:bookmarkStart w:id="210" w:name="_Toc11009"/>
      <w:bookmarkStart w:id="211" w:name="_Toc10868"/>
      <w:bookmarkStart w:id="212" w:name="_Toc21022"/>
      <w:bookmarkStart w:id="213" w:name="_Toc24998"/>
      <w:bookmarkStart w:id="214" w:name="_Toc20084"/>
      <w:r>
        <w:rPr>
          <w:rFonts w:hint="eastAsia" w:ascii="宋体" w:hAnsi="宋体" w:cs="宋体"/>
          <w:b/>
          <w:bCs/>
          <w:sz w:val="24"/>
          <w:szCs w:val="24"/>
        </w:rPr>
        <w:t>7.4有下列情形之一的，视为投标人串通投标，其投标无效：</w:t>
      </w:r>
      <w:bookmarkEnd w:id="210"/>
    </w:p>
    <w:p>
      <w:pPr>
        <w:spacing w:line="360" w:lineRule="auto"/>
        <w:ind w:firstLine="480" w:firstLineChars="200"/>
        <w:rPr>
          <w:rFonts w:ascii="宋体" w:hAnsi="宋体" w:cs="宋体"/>
          <w:sz w:val="24"/>
          <w:szCs w:val="24"/>
        </w:rPr>
      </w:pPr>
      <w:r>
        <w:rPr>
          <w:rFonts w:hint="eastAsia" w:ascii="宋体" w:hAnsi="宋体" w:cs="宋体"/>
          <w:sz w:val="24"/>
          <w:szCs w:val="24"/>
        </w:rPr>
        <w:t>（一）不同投标人的投标文件由同一单位或者个人编制；</w:t>
      </w:r>
    </w:p>
    <w:p>
      <w:pPr>
        <w:spacing w:line="360" w:lineRule="auto"/>
        <w:ind w:firstLine="480" w:firstLineChars="200"/>
        <w:rPr>
          <w:rFonts w:ascii="宋体" w:hAnsi="宋体" w:cs="宋体"/>
          <w:sz w:val="24"/>
          <w:szCs w:val="24"/>
        </w:rPr>
      </w:pPr>
      <w:r>
        <w:rPr>
          <w:rFonts w:hint="eastAsia" w:ascii="宋体" w:hAnsi="宋体" w:cs="宋体"/>
          <w:sz w:val="24"/>
          <w:szCs w:val="24"/>
        </w:rPr>
        <w:t>（二）不同投标人委托同一单位或者个人办理投标事宜；</w:t>
      </w:r>
    </w:p>
    <w:p>
      <w:pPr>
        <w:spacing w:line="360" w:lineRule="auto"/>
        <w:ind w:firstLine="480" w:firstLineChars="200"/>
        <w:rPr>
          <w:rFonts w:ascii="宋体" w:hAnsi="宋体" w:cs="宋体"/>
          <w:sz w:val="24"/>
          <w:szCs w:val="24"/>
        </w:rPr>
      </w:pPr>
      <w:r>
        <w:rPr>
          <w:rFonts w:hint="eastAsia" w:ascii="宋体" w:hAnsi="宋体" w:cs="宋体"/>
          <w:sz w:val="24"/>
          <w:szCs w:val="24"/>
        </w:rPr>
        <w:t>（三）不同投标人的投标文件载明的项目管理成员或者联系人员为同一人；</w:t>
      </w:r>
    </w:p>
    <w:p>
      <w:pPr>
        <w:spacing w:line="360" w:lineRule="auto"/>
        <w:ind w:firstLine="480" w:firstLineChars="200"/>
        <w:rPr>
          <w:rFonts w:ascii="宋体" w:hAnsi="宋体" w:cs="宋体"/>
          <w:sz w:val="24"/>
          <w:szCs w:val="24"/>
        </w:rPr>
      </w:pPr>
      <w:r>
        <w:rPr>
          <w:rFonts w:hint="eastAsia" w:ascii="宋体" w:hAnsi="宋体" w:cs="宋体"/>
          <w:sz w:val="24"/>
          <w:szCs w:val="24"/>
        </w:rPr>
        <w:t>（四）不同投标人的投标文件异常一致或者投标报价呈规律性差异；</w:t>
      </w:r>
    </w:p>
    <w:p>
      <w:pPr>
        <w:spacing w:line="360" w:lineRule="auto"/>
        <w:ind w:firstLine="480" w:firstLineChars="200"/>
        <w:rPr>
          <w:rFonts w:ascii="宋体" w:hAnsi="宋体" w:cs="宋体"/>
          <w:sz w:val="24"/>
          <w:szCs w:val="24"/>
        </w:rPr>
      </w:pPr>
      <w:r>
        <w:rPr>
          <w:rFonts w:hint="eastAsia" w:ascii="宋体" w:hAnsi="宋体" w:cs="宋体"/>
          <w:sz w:val="24"/>
          <w:szCs w:val="24"/>
        </w:rPr>
        <w:t>（五）不同投标人的投标文件相互混装。</w:t>
      </w:r>
    </w:p>
    <w:p>
      <w:pPr>
        <w:spacing w:line="360" w:lineRule="auto"/>
        <w:ind w:firstLine="480" w:firstLineChars="200"/>
        <w:rPr>
          <w:rFonts w:ascii="宋体" w:hAnsi="宋体" w:cs="宋体"/>
          <w:sz w:val="24"/>
          <w:szCs w:val="24"/>
        </w:rPr>
      </w:pPr>
      <w:r>
        <w:rPr>
          <w:rFonts w:hint="eastAsia" w:ascii="宋体" w:hAnsi="宋体" w:cs="宋体"/>
          <w:sz w:val="24"/>
          <w:szCs w:val="24"/>
        </w:rPr>
        <w:t>投标人应当遵循公平竞争的原则，不得恶意串通，不得妨碍其他投标人的竞争行为，不得损害采购人或者其他投标人的合法权益。</w:t>
      </w:r>
    </w:p>
    <w:p>
      <w:pPr>
        <w:spacing w:line="360" w:lineRule="auto"/>
        <w:ind w:firstLine="480" w:firstLineChars="200"/>
        <w:rPr>
          <w:rFonts w:ascii="宋体" w:hAnsi="宋体" w:cs="宋体"/>
          <w:sz w:val="24"/>
          <w:szCs w:val="24"/>
        </w:rPr>
      </w:pPr>
      <w:r>
        <w:rPr>
          <w:rFonts w:hint="eastAsia" w:ascii="宋体" w:hAnsi="宋体" w:cs="宋体"/>
          <w:sz w:val="24"/>
          <w:szCs w:val="24"/>
        </w:rPr>
        <w:t>在评标过程中发现投标人有上述情形的，评标委员会应当认定其投标无效，并书面报告本级财政部门。</w:t>
      </w:r>
    </w:p>
    <w:bookmarkEnd w:id="211"/>
    <w:bookmarkEnd w:id="212"/>
    <w:bookmarkEnd w:id="213"/>
    <w:bookmarkEnd w:id="214"/>
    <w:p>
      <w:pPr>
        <w:spacing w:line="360" w:lineRule="auto"/>
        <w:rPr>
          <w:rFonts w:ascii="宋体" w:hAnsi="宋体" w:cs="宋体"/>
          <w:b/>
          <w:bCs/>
          <w:sz w:val="24"/>
          <w:szCs w:val="24"/>
        </w:rPr>
      </w:pPr>
      <w:bookmarkStart w:id="215" w:name="_Toc9475"/>
      <w:bookmarkStart w:id="216" w:name="_Toc489145736"/>
      <w:bookmarkStart w:id="217" w:name="_Toc489197840"/>
      <w:bookmarkStart w:id="218" w:name="_Toc175"/>
      <w:bookmarkStart w:id="219" w:name="_Toc13478"/>
      <w:bookmarkStart w:id="220" w:name="_Toc528186484"/>
      <w:bookmarkStart w:id="221" w:name="_Toc18744"/>
      <w:r>
        <w:rPr>
          <w:rFonts w:hint="eastAsia" w:ascii="宋体" w:hAnsi="宋体" w:cs="宋体"/>
          <w:b/>
          <w:bCs/>
          <w:sz w:val="24"/>
          <w:szCs w:val="24"/>
        </w:rPr>
        <w:t>7.5投标人存在下列情</w:t>
      </w:r>
      <w:bookmarkStart w:id="222" w:name="_Toc417913977"/>
      <w:r>
        <w:rPr>
          <w:rFonts w:hint="eastAsia" w:ascii="宋体" w:hAnsi="宋体" w:cs="宋体"/>
          <w:b/>
          <w:bCs/>
          <w:sz w:val="24"/>
          <w:szCs w:val="24"/>
        </w:rPr>
        <w:t>况之一的，投标无效：</w:t>
      </w:r>
      <w:bookmarkEnd w:id="215"/>
      <w:bookmarkEnd w:id="216"/>
      <w:bookmarkEnd w:id="217"/>
      <w:bookmarkEnd w:id="218"/>
      <w:bookmarkEnd w:id="219"/>
      <w:bookmarkEnd w:id="220"/>
      <w:bookmarkEnd w:id="221"/>
    </w:p>
    <w:p>
      <w:pPr>
        <w:spacing w:line="360" w:lineRule="auto"/>
        <w:ind w:firstLine="480" w:firstLineChars="200"/>
        <w:rPr>
          <w:rFonts w:ascii="宋体" w:hAnsi="宋体" w:cs="宋体"/>
          <w:sz w:val="24"/>
          <w:szCs w:val="24"/>
        </w:rPr>
      </w:pPr>
      <w:r>
        <w:rPr>
          <w:rFonts w:hint="eastAsia" w:ascii="宋体" w:hAnsi="宋体" w:cs="宋体"/>
          <w:sz w:val="24"/>
          <w:szCs w:val="24"/>
        </w:rPr>
        <w:t>（一）</w:t>
      </w:r>
      <w:bookmarkEnd w:id="222"/>
      <w:r>
        <w:rPr>
          <w:rFonts w:hint="eastAsia" w:ascii="宋体" w:hAnsi="宋体" w:cs="宋体"/>
          <w:sz w:val="24"/>
          <w:szCs w:val="24"/>
        </w:rPr>
        <w:t>投标文件未按采购文件要求签署、盖章的；</w:t>
      </w:r>
    </w:p>
    <w:p>
      <w:pPr>
        <w:spacing w:line="360" w:lineRule="auto"/>
        <w:ind w:firstLine="480" w:firstLineChars="200"/>
        <w:rPr>
          <w:rFonts w:ascii="宋体" w:hAnsi="宋体" w:cs="宋体"/>
          <w:sz w:val="24"/>
          <w:szCs w:val="24"/>
        </w:rPr>
      </w:pPr>
      <w:r>
        <w:rPr>
          <w:rFonts w:hint="eastAsia" w:ascii="宋体" w:hAnsi="宋体" w:cs="宋体"/>
          <w:sz w:val="24"/>
          <w:szCs w:val="24"/>
        </w:rPr>
        <w:t>（二）不具备采购文件中规定的资格要求的；</w:t>
      </w:r>
    </w:p>
    <w:p>
      <w:pPr>
        <w:spacing w:line="360" w:lineRule="auto"/>
        <w:ind w:firstLine="480" w:firstLineChars="200"/>
        <w:rPr>
          <w:rFonts w:ascii="宋体" w:hAnsi="宋体" w:cs="宋体"/>
          <w:sz w:val="24"/>
          <w:szCs w:val="24"/>
        </w:rPr>
      </w:pPr>
      <w:r>
        <w:rPr>
          <w:rFonts w:hint="eastAsia" w:ascii="宋体" w:hAnsi="宋体" w:cs="宋体"/>
          <w:sz w:val="24"/>
          <w:szCs w:val="24"/>
        </w:rPr>
        <w:t>（三）总报价超过采购文件中规定的预算金额（最高限价）的；</w:t>
      </w:r>
    </w:p>
    <w:p>
      <w:pPr>
        <w:spacing w:line="360" w:lineRule="auto"/>
        <w:ind w:firstLine="480" w:firstLineChars="200"/>
        <w:rPr>
          <w:rFonts w:ascii="宋体" w:hAnsi="宋体" w:cs="宋体"/>
          <w:sz w:val="24"/>
          <w:szCs w:val="24"/>
        </w:rPr>
      </w:pPr>
      <w:r>
        <w:rPr>
          <w:rFonts w:hint="eastAsia" w:ascii="宋体" w:hAnsi="宋体" w:cs="宋体"/>
          <w:sz w:val="24"/>
          <w:szCs w:val="24"/>
        </w:rPr>
        <w:t>（四）投标文件含有采购人不能接受的附加条件的；</w:t>
      </w:r>
    </w:p>
    <w:p>
      <w:pPr>
        <w:spacing w:line="360" w:lineRule="auto"/>
        <w:ind w:firstLine="480" w:firstLineChars="200"/>
        <w:rPr>
          <w:rFonts w:ascii="宋体" w:hAnsi="宋体" w:cs="宋体"/>
          <w:sz w:val="24"/>
          <w:szCs w:val="24"/>
        </w:rPr>
      </w:pPr>
      <w:r>
        <w:rPr>
          <w:rFonts w:hint="eastAsia" w:ascii="宋体" w:hAnsi="宋体" w:cs="宋体"/>
          <w:sz w:val="24"/>
          <w:szCs w:val="24"/>
        </w:rPr>
        <w:t>（五）法律、法规和采购文件规定的其他无效情形。</w:t>
      </w:r>
    </w:p>
    <w:p>
      <w:pPr>
        <w:spacing w:line="360" w:lineRule="auto"/>
        <w:rPr>
          <w:rFonts w:ascii="宋体" w:hAnsi="宋体" w:cs="宋体"/>
          <w:b/>
          <w:bCs/>
          <w:sz w:val="24"/>
          <w:szCs w:val="24"/>
        </w:rPr>
      </w:pPr>
      <w:bookmarkStart w:id="223" w:name="_Toc7840"/>
      <w:bookmarkStart w:id="224" w:name="_Toc26738"/>
      <w:bookmarkStart w:id="225" w:name="_Toc3047"/>
      <w:r>
        <w:rPr>
          <w:rFonts w:hint="eastAsia" w:ascii="宋体" w:hAnsi="宋体" w:cs="宋体"/>
          <w:b/>
          <w:bCs/>
          <w:sz w:val="24"/>
          <w:szCs w:val="24"/>
        </w:rPr>
        <w:t>7.6在招标采购中，出现下列情形之一的，项目废标：</w:t>
      </w:r>
      <w:bookmarkEnd w:id="223"/>
      <w:bookmarkEnd w:id="224"/>
      <w:bookmarkEnd w:id="225"/>
    </w:p>
    <w:p>
      <w:pPr>
        <w:spacing w:line="360" w:lineRule="auto"/>
        <w:ind w:firstLine="480" w:firstLineChars="200"/>
        <w:rPr>
          <w:rFonts w:ascii="宋体" w:hAnsi="宋体" w:cs="宋体"/>
          <w:sz w:val="24"/>
          <w:szCs w:val="24"/>
        </w:rPr>
      </w:pPr>
      <w:r>
        <w:rPr>
          <w:rFonts w:hint="eastAsia" w:ascii="宋体" w:hAnsi="宋体" w:cs="宋体"/>
          <w:sz w:val="24"/>
          <w:szCs w:val="24"/>
        </w:rPr>
        <w:t>（1）符合专业条件的投标人或者对采购文件作出实质响应的投标人不足3家的；</w:t>
      </w:r>
    </w:p>
    <w:p>
      <w:pPr>
        <w:spacing w:line="360" w:lineRule="auto"/>
        <w:ind w:firstLine="480" w:firstLineChars="200"/>
        <w:rPr>
          <w:rFonts w:ascii="宋体" w:hAnsi="宋体" w:cs="宋体"/>
          <w:sz w:val="24"/>
          <w:szCs w:val="24"/>
        </w:rPr>
      </w:pPr>
      <w:r>
        <w:rPr>
          <w:rFonts w:hint="eastAsia" w:ascii="宋体" w:hAnsi="宋体" w:cs="宋体"/>
          <w:sz w:val="24"/>
          <w:szCs w:val="24"/>
        </w:rPr>
        <w:t>（2）出现影响采购公正的违法、违规行为的；</w:t>
      </w:r>
    </w:p>
    <w:p>
      <w:pPr>
        <w:spacing w:line="360" w:lineRule="auto"/>
        <w:ind w:firstLine="480" w:firstLineChars="200"/>
        <w:rPr>
          <w:rFonts w:ascii="宋体" w:hAnsi="宋体" w:cs="宋体"/>
          <w:sz w:val="24"/>
          <w:szCs w:val="24"/>
        </w:rPr>
      </w:pPr>
      <w:r>
        <w:rPr>
          <w:rFonts w:hint="eastAsia" w:ascii="宋体" w:hAnsi="宋体" w:cs="宋体"/>
          <w:sz w:val="24"/>
          <w:szCs w:val="24"/>
        </w:rPr>
        <w:t>（3）总报价不超过预算金额（最高限价）的投标人不足3家的；</w:t>
      </w:r>
    </w:p>
    <w:p>
      <w:pPr>
        <w:spacing w:line="360" w:lineRule="auto"/>
        <w:ind w:firstLine="480" w:firstLineChars="200"/>
        <w:rPr>
          <w:rFonts w:ascii="宋体" w:hAnsi="宋体" w:cs="宋体"/>
          <w:sz w:val="24"/>
          <w:szCs w:val="24"/>
        </w:rPr>
      </w:pPr>
      <w:r>
        <w:rPr>
          <w:rFonts w:hint="eastAsia" w:ascii="宋体" w:hAnsi="宋体" w:cs="宋体"/>
          <w:sz w:val="24"/>
          <w:szCs w:val="24"/>
        </w:rPr>
        <w:t>（4）因重大变故，采购任务取消的。</w:t>
      </w:r>
    </w:p>
    <w:p>
      <w:pPr>
        <w:spacing w:line="360" w:lineRule="auto"/>
        <w:ind w:firstLine="480" w:firstLineChars="200"/>
        <w:rPr>
          <w:rFonts w:ascii="宋体" w:hAnsi="宋体" w:cs="宋体"/>
          <w:sz w:val="24"/>
          <w:szCs w:val="24"/>
        </w:rPr>
      </w:pPr>
      <w:bookmarkStart w:id="226" w:name="_Toc17011"/>
      <w:r>
        <w:rPr>
          <w:rFonts w:hint="eastAsia" w:ascii="宋体" w:hAnsi="宋体" w:cs="宋体"/>
          <w:sz w:val="24"/>
          <w:szCs w:val="24"/>
        </w:rPr>
        <w:t>废标后，采购人应当将废标理由对外公示。</w:t>
      </w:r>
      <w:bookmarkEnd w:id="226"/>
    </w:p>
    <w:p>
      <w:pPr>
        <w:pStyle w:val="4"/>
        <w:spacing w:before="0" w:after="0" w:line="360" w:lineRule="auto"/>
        <w:rPr>
          <w:rFonts w:ascii="宋体" w:hAnsi="宋体" w:eastAsia="宋体" w:cs="宋体"/>
          <w:sz w:val="28"/>
          <w:szCs w:val="28"/>
        </w:rPr>
      </w:pPr>
      <w:bookmarkStart w:id="227" w:name="_Toc30483"/>
      <w:bookmarkEnd w:id="227"/>
      <w:bookmarkStart w:id="228" w:name="_Toc6003"/>
      <w:bookmarkEnd w:id="228"/>
      <w:bookmarkStart w:id="229" w:name="_Toc22840"/>
      <w:bookmarkStart w:id="230" w:name="_Toc14824"/>
      <w:bookmarkStart w:id="231" w:name="_Toc24143"/>
      <w:bookmarkStart w:id="232" w:name="_Toc14836"/>
      <w:bookmarkStart w:id="233" w:name="_Toc1907"/>
      <w:r>
        <w:rPr>
          <w:rFonts w:hint="eastAsia" w:ascii="宋体" w:hAnsi="宋体" w:eastAsia="宋体" w:cs="宋体"/>
          <w:sz w:val="28"/>
          <w:szCs w:val="28"/>
        </w:rPr>
        <w:t>8. 中标和合同</w:t>
      </w:r>
      <w:bookmarkEnd w:id="229"/>
      <w:bookmarkEnd w:id="230"/>
      <w:bookmarkEnd w:id="231"/>
      <w:bookmarkEnd w:id="232"/>
      <w:bookmarkEnd w:id="233"/>
    </w:p>
    <w:p>
      <w:pPr>
        <w:spacing w:line="360" w:lineRule="auto"/>
        <w:rPr>
          <w:rFonts w:ascii="宋体" w:hAnsi="宋体" w:cs="宋体"/>
          <w:b/>
          <w:sz w:val="24"/>
          <w:szCs w:val="24"/>
        </w:rPr>
      </w:pPr>
      <w:bookmarkStart w:id="234" w:name="_Toc18219"/>
      <w:bookmarkEnd w:id="234"/>
      <w:bookmarkStart w:id="235" w:name="_Toc31217"/>
      <w:r>
        <w:rPr>
          <w:rFonts w:hint="eastAsia" w:ascii="宋体" w:hAnsi="宋体" w:cs="宋体"/>
          <w:b/>
          <w:sz w:val="24"/>
          <w:szCs w:val="24"/>
        </w:rPr>
        <w:t>8.1 定标</w:t>
      </w:r>
      <w:bookmarkEnd w:id="235"/>
    </w:p>
    <w:p>
      <w:pPr>
        <w:spacing w:line="360" w:lineRule="auto"/>
        <w:ind w:firstLine="480" w:firstLineChars="200"/>
        <w:rPr>
          <w:rFonts w:ascii="宋体" w:hAnsi="宋体" w:cs="宋体"/>
          <w:sz w:val="24"/>
          <w:szCs w:val="24"/>
        </w:rPr>
      </w:pPr>
      <w:r>
        <w:rPr>
          <w:rFonts w:hint="eastAsia" w:ascii="宋体" w:hAnsi="宋体" w:cs="宋体"/>
          <w:sz w:val="24"/>
          <w:szCs w:val="24"/>
        </w:rPr>
        <w:t>采购人应当自收到评审报告之日起5个工作日内在评审报告推荐的中标或者成交候选人中按排名顺序确定中标或者成交供应商。</w:t>
      </w:r>
    </w:p>
    <w:p>
      <w:pPr>
        <w:spacing w:line="360" w:lineRule="auto"/>
        <w:rPr>
          <w:rFonts w:ascii="宋体" w:hAnsi="宋体" w:cs="宋体"/>
          <w:b/>
          <w:sz w:val="24"/>
          <w:szCs w:val="24"/>
        </w:rPr>
      </w:pPr>
      <w:bookmarkStart w:id="236" w:name="_Toc18811"/>
      <w:bookmarkEnd w:id="236"/>
      <w:bookmarkStart w:id="237" w:name="_Toc18115"/>
      <w:r>
        <w:rPr>
          <w:rFonts w:hint="eastAsia" w:ascii="宋体" w:hAnsi="宋体" w:cs="宋体"/>
          <w:b/>
          <w:sz w:val="24"/>
          <w:szCs w:val="24"/>
        </w:rPr>
        <w:t>8.2中标公告</w:t>
      </w:r>
      <w:bookmarkEnd w:id="237"/>
    </w:p>
    <w:p>
      <w:pPr>
        <w:widowControl w:val="0"/>
        <w:spacing w:line="360" w:lineRule="auto"/>
        <w:ind w:firstLine="480" w:firstLineChars="200"/>
        <w:rPr>
          <w:rFonts w:ascii="宋体" w:hAnsi="宋体" w:cs="宋体"/>
          <w:sz w:val="24"/>
          <w:szCs w:val="24"/>
        </w:rPr>
      </w:pPr>
      <w:r>
        <w:rPr>
          <w:rFonts w:hint="eastAsia" w:ascii="宋体" w:hAnsi="宋体" w:cs="宋体"/>
          <w:sz w:val="24"/>
          <w:szCs w:val="24"/>
        </w:rPr>
        <w:t>采购人或者采购代理机构应当自中标人确定之日起2个工作日内，按照供应商须知前附表规定的媒介和期限公告中标结果，采购文件应当随中标结果同时公告。</w:t>
      </w:r>
    </w:p>
    <w:p>
      <w:pPr>
        <w:spacing w:line="360" w:lineRule="auto"/>
        <w:ind w:firstLine="480" w:firstLineChars="200"/>
        <w:rPr>
          <w:rFonts w:ascii="宋体" w:hAnsi="宋体" w:cs="宋体"/>
          <w:sz w:val="24"/>
          <w:szCs w:val="24"/>
        </w:rPr>
      </w:pPr>
      <w:r>
        <w:rPr>
          <w:rFonts w:hint="eastAsia" w:ascii="宋体" w:hAnsi="宋体" w:cs="宋体"/>
          <w:sz w:val="24"/>
          <w:szCs w:val="24"/>
        </w:rPr>
        <w:t>中标公告期限详见供应商须知前附表。</w:t>
      </w:r>
    </w:p>
    <w:p>
      <w:pPr>
        <w:spacing w:line="360" w:lineRule="auto"/>
        <w:rPr>
          <w:rFonts w:ascii="宋体" w:hAnsi="宋体" w:cs="宋体"/>
          <w:b/>
          <w:sz w:val="24"/>
          <w:szCs w:val="24"/>
        </w:rPr>
      </w:pPr>
      <w:bookmarkStart w:id="238" w:name="_Toc16495"/>
      <w:bookmarkEnd w:id="238"/>
      <w:bookmarkStart w:id="239" w:name="_Toc8411"/>
      <w:bookmarkEnd w:id="239"/>
      <w:bookmarkStart w:id="240" w:name="_Toc3833"/>
      <w:r>
        <w:rPr>
          <w:rFonts w:hint="eastAsia" w:ascii="宋体" w:hAnsi="宋体" w:cs="宋体"/>
          <w:b/>
          <w:sz w:val="24"/>
          <w:szCs w:val="24"/>
        </w:rPr>
        <w:t>8.3中标通知</w:t>
      </w:r>
      <w:bookmarkEnd w:id="240"/>
    </w:p>
    <w:p>
      <w:pPr>
        <w:spacing w:line="360" w:lineRule="auto"/>
        <w:ind w:firstLine="480" w:firstLineChars="200"/>
        <w:rPr>
          <w:rFonts w:ascii="宋体" w:hAnsi="宋体" w:cs="宋体"/>
          <w:sz w:val="24"/>
          <w:szCs w:val="24"/>
        </w:rPr>
      </w:pPr>
      <w:r>
        <w:rPr>
          <w:rFonts w:hint="eastAsia" w:ascii="宋体" w:hAnsi="宋体" w:cs="宋体"/>
          <w:sz w:val="24"/>
          <w:szCs w:val="24"/>
        </w:rPr>
        <w:t>在本章第3.3 款规定的投标有效期内，在公告中标结果的同时，采购人或者采购代理机构应当向中标人发出中标通知书。</w:t>
      </w:r>
    </w:p>
    <w:p>
      <w:pPr>
        <w:spacing w:line="360" w:lineRule="auto"/>
        <w:rPr>
          <w:rFonts w:ascii="宋体" w:hAnsi="宋体" w:cs="宋体"/>
          <w:b/>
          <w:sz w:val="24"/>
          <w:szCs w:val="24"/>
        </w:rPr>
      </w:pPr>
      <w:bookmarkStart w:id="241" w:name="_Toc13042"/>
      <w:bookmarkEnd w:id="241"/>
      <w:bookmarkStart w:id="242" w:name="_Toc7193"/>
      <w:r>
        <w:rPr>
          <w:rFonts w:hint="eastAsia" w:ascii="宋体" w:hAnsi="宋体" w:cs="宋体"/>
          <w:b/>
          <w:sz w:val="24"/>
          <w:szCs w:val="24"/>
        </w:rPr>
        <w:t>8.4 履约保证金</w:t>
      </w:r>
      <w:bookmarkEnd w:id="242"/>
    </w:p>
    <w:p>
      <w:pPr>
        <w:spacing w:line="360" w:lineRule="auto"/>
        <w:ind w:firstLine="480" w:firstLineChars="200"/>
        <w:rPr>
          <w:rFonts w:ascii="宋体" w:hAnsi="宋体" w:cs="宋体"/>
          <w:sz w:val="24"/>
          <w:szCs w:val="24"/>
        </w:rPr>
      </w:pPr>
      <w:r>
        <w:rPr>
          <w:rFonts w:hint="eastAsia" w:ascii="宋体" w:hAnsi="宋体" w:cs="宋体"/>
          <w:sz w:val="24"/>
          <w:szCs w:val="24"/>
        </w:rPr>
        <w:t>8.4.1 在签订合同前，中标人应按供应商须知前附表规定的形式、金额向采购人提交履约保证金。联合体中标的，其履约保证金以联合体各方或者联合体中牵头人的名义提交。</w:t>
      </w:r>
    </w:p>
    <w:p>
      <w:pPr>
        <w:spacing w:line="360" w:lineRule="auto"/>
        <w:ind w:firstLine="480" w:firstLineChars="200"/>
        <w:rPr>
          <w:rFonts w:ascii="宋体" w:hAnsi="宋体" w:cs="宋体"/>
          <w:sz w:val="24"/>
          <w:szCs w:val="24"/>
        </w:rPr>
      </w:pPr>
      <w:r>
        <w:rPr>
          <w:rFonts w:hint="eastAsia" w:ascii="宋体" w:hAnsi="宋体" w:cs="宋体"/>
          <w:sz w:val="24"/>
          <w:szCs w:val="24"/>
        </w:rPr>
        <w:t>8.4.2 中标人不能按本章第8.4.1项要求提交履约保证金的，视为放弃中标，给采购人造成项目延期损失的，中标人应当对损失部分予以赔偿。</w:t>
      </w:r>
    </w:p>
    <w:p>
      <w:pPr>
        <w:spacing w:line="360" w:lineRule="auto"/>
        <w:rPr>
          <w:rFonts w:ascii="宋体" w:hAnsi="宋体" w:cs="宋体"/>
          <w:b/>
          <w:sz w:val="24"/>
          <w:szCs w:val="24"/>
        </w:rPr>
      </w:pPr>
      <w:bookmarkStart w:id="243" w:name="_Toc6413"/>
      <w:bookmarkEnd w:id="243"/>
      <w:bookmarkStart w:id="244" w:name="_Toc18519"/>
      <w:r>
        <w:rPr>
          <w:rFonts w:hint="eastAsia" w:ascii="宋体" w:hAnsi="宋体" w:cs="宋体"/>
          <w:b/>
          <w:sz w:val="24"/>
          <w:szCs w:val="24"/>
        </w:rPr>
        <w:t>8.5 签订合同</w:t>
      </w:r>
      <w:bookmarkEnd w:id="244"/>
    </w:p>
    <w:p>
      <w:pPr>
        <w:spacing w:line="360" w:lineRule="auto"/>
        <w:ind w:firstLine="480" w:firstLineChars="200"/>
        <w:rPr>
          <w:rFonts w:ascii="宋体" w:hAnsi="宋体" w:cs="宋体"/>
          <w:sz w:val="24"/>
          <w:szCs w:val="24"/>
        </w:rPr>
      </w:pPr>
      <w:r>
        <w:rPr>
          <w:rFonts w:hint="eastAsia" w:ascii="宋体" w:hAnsi="宋体" w:cs="宋体"/>
          <w:sz w:val="24"/>
          <w:szCs w:val="24"/>
        </w:rPr>
        <w:t>8.5.1 采购人应当自中标通知书发出之日起30日内，按照采购文件和中标人投标文件的规定，与中标人签订书面合同。所签订的合同不得对采购文件确定的事项和中标人投标文件作实质性修改。采购人不得向中标人提出任何不合理的要求作为签订合同的条件。</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8.5.2 中标通知书发出后，采购人不得违法改变中标结果，中标人无正当理由不得放弃中标。中标供应商无正当理由不与采购人签订合同的，应支付相应的补偿金；情节严重的，由财政部门将其列入不良行为记录名单，在一至三年内禁止参加政府采购活动，并予以通报。 </w:t>
      </w:r>
    </w:p>
    <w:p>
      <w:pPr>
        <w:spacing w:line="360" w:lineRule="auto"/>
        <w:ind w:firstLine="480" w:firstLineChars="200"/>
        <w:rPr>
          <w:rFonts w:ascii="宋体" w:hAnsi="宋体" w:cs="宋体"/>
          <w:sz w:val="24"/>
          <w:szCs w:val="24"/>
        </w:rPr>
      </w:pPr>
      <w:r>
        <w:rPr>
          <w:rFonts w:hint="eastAsia" w:ascii="宋体" w:hAnsi="宋体" w:cs="宋体"/>
          <w:sz w:val="24"/>
          <w:szCs w:val="24"/>
        </w:rPr>
        <w:t>8.5.3联合体中标的，联合体各方应当共同与采购人签订合同，就中标项目向采购人承担连带责任。</w:t>
      </w:r>
    </w:p>
    <w:p>
      <w:pPr>
        <w:pStyle w:val="4"/>
        <w:spacing w:before="0" w:after="0" w:line="360" w:lineRule="auto"/>
        <w:rPr>
          <w:rFonts w:ascii="宋体" w:hAnsi="宋体" w:eastAsia="宋体" w:cs="宋体"/>
          <w:sz w:val="28"/>
          <w:szCs w:val="28"/>
        </w:rPr>
      </w:pPr>
      <w:bookmarkStart w:id="245" w:name="_Toc19550"/>
      <w:bookmarkStart w:id="246" w:name="_Toc25826"/>
      <w:bookmarkStart w:id="247" w:name="_Toc2494"/>
      <w:bookmarkStart w:id="248" w:name="_Toc9453"/>
      <w:r>
        <w:rPr>
          <w:rFonts w:hint="eastAsia" w:ascii="宋体" w:hAnsi="宋体" w:eastAsia="宋体" w:cs="宋体"/>
          <w:sz w:val="28"/>
          <w:szCs w:val="28"/>
        </w:rPr>
        <w:t>9. 询问与答复</w:t>
      </w:r>
      <w:bookmarkEnd w:id="245"/>
      <w:bookmarkEnd w:id="246"/>
      <w:bookmarkEnd w:id="247"/>
      <w:bookmarkEnd w:id="248"/>
    </w:p>
    <w:p>
      <w:pPr>
        <w:pStyle w:val="19"/>
        <w:ind w:firstLine="480" w:firstLineChars="200"/>
        <w:rPr>
          <w:rFonts w:ascii="宋体" w:hAnsi="宋体" w:cs="宋体"/>
          <w:kern w:val="0"/>
          <w:sz w:val="24"/>
        </w:rPr>
      </w:pPr>
      <w:r>
        <w:rPr>
          <w:rFonts w:hint="eastAsia" w:ascii="宋体" w:hAnsi="宋体" w:cs="宋体"/>
          <w:kern w:val="0"/>
          <w:sz w:val="24"/>
        </w:rPr>
        <w:t>凡对本次采购采购活动事项有疑问的，可以向采购人或采购代理机构提出询问，</w:t>
      </w:r>
      <w:r>
        <w:rPr>
          <w:rFonts w:ascii="宋体" w:hAnsi="宋体" w:cs="宋体"/>
          <w:sz w:val="24"/>
        </w:rPr>
        <w:t>采购人或采购代理机构将在3个工作日内作出答复</w:t>
      </w:r>
      <w:r>
        <w:rPr>
          <w:rFonts w:hint="eastAsia" w:ascii="宋体" w:hAnsi="宋体" w:cs="宋体"/>
          <w:kern w:val="0"/>
          <w:sz w:val="24"/>
        </w:rPr>
        <w:t>，但答复的内容不得涉及商业秘密。</w:t>
      </w:r>
    </w:p>
    <w:p>
      <w:pPr>
        <w:pStyle w:val="4"/>
        <w:spacing w:before="0" w:after="0" w:line="360" w:lineRule="auto"/>
        <w:rPr>
          <w:rFonts w:ascii="宋体" w:hAnsi="宋体" w:eastAsia="宋体" w:cs="宋体"/>
          <w:sz w:val="28"/>
          <w:szCs w:val="28"/>
        </w:rPr>
      </w:pPr>
      <w:bookmarkStart w:id="249" w:name="_Toc20692"/>
      <w:bookmarkEnd w:id="249"/>
      <w:bookmarkStart w:id="250" w:name="_Toc11854"/>
      <w:bookmarkEnd w:id="250"/>
      <w:bookmarkStart w:id="251" w:name="_Toc26210"/>
      <w:bookmarkStart w:id="252" w:name="_Toc25249"/>
      <w:bookmarkStart w:id="253" w:name="_Toc32401"/>
      <w:bookmarkStart w:id="254" w:name="_Toc31823"/>
      <w:bookmarkStart w:id="255" w:name="_Toc20594"/>
      <w:r>
        <w:rPr>
          <w:rFonts w:hint="eastAsia" w:ascii="宋体" w:hAnsi="宋体" w:eastAsia="宋体" w:cs="宋体"/>
          <w:sz w:val="28"/>
          <w:szCs w:val="28"/>
        </w:rPr>
        <w:t>10. 质疑、</w:t>
      </w:r>
      <w:bookmarkEnd w:id="251"/>
      <w:bookmarkEnd w:id="252"/>
      <w:bookmarkEnd w:id="253"/>
      <w:r>
        <w:rPr>
          <w:rFonts w:hint="eastAsia" w:ascii="宋体" w:hAnsi="宋体" w:eastAsia="宋体" w:cs="宋体"/>
          <w:sz w:val="28"/>
          <w:szCs w:val="28"/>
        </w:rPr>
        <w:t>投诉</w:t>
      </w:r>
      <w:bookmarkEnd w:id="254"/>
    </w:p>
    <w:p>
      <w:pPr>
        <w:spacing w:line="360" w:lineRule="auto"/>
        <w:rPr>
          <w:rFonts w:ascii="宋体" w:hAnsi="宋体" w:cs="宋体"/>
          <w:b/>
          <w:sz w:val="24"/>
          <w:szCs w:val="24"/>
        </w:rPr>
      </w:pPr>
      <w:r>
        <w:rPr>
          <w:rFonts w:hint="eastAsia" w:ascii="宋体" w:hAnsi="宋体" w:cs="宋体"/>
          <w:b/>
          <w:sz w:val="24"/>
          <w:szCs w:val="24"/>
        </w:rPr>
        <w:t xml:space="preserve">   10.1质疑接收</w:t>
      </w:r>
    </w:p>
    <w:p>
      <w:pPr>
        <w:widowControl w:val="0"/>
        <w:spacing w:line="360" w:lineRule="auto"/>
        <w:ind w:firstLine="480" w:firstLineChars="200"/>
        <w:rPr>
          <w:rFonts w:ascii="宋体" w:hAnsi="宋体" w:cs="宋体"/>
          <w:sz w:val="24"/>
          <w:szCs w:val="24"/>
        </w:rPr>
      </w:pPr>
      <w:r>
        <w:rPr>
          <w:rFonts w:hint="eastAsia" w:ascii="宋体" w:hAnsi="宋体" w:cs="宋体"/>
          <w:sz w:val="24"/>
          <w:szCs w:val="24"/>
        </w:rPr>
        <w:t>10.1.1供应商认为采购文件、采购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10.1.2 提出质疑的供应商应当是参与所质疑项目采购活动的供应商。潜在供应商已依法获取其可质疑的采购文件的，可以对该文件提出质疑。 </w:t>
      </w:r>
    </w:p>
    <w:p>
      <w:pPr>
        <w:spacing w:line="360" w:lineRule="auto"/>
        <w:ind w:firstLine="480" w:firstLineChars="200"/>
        <w:rPr>
          <w:rFonts w:ascii="宋体" w:hAnsi="宋体" w:cs="宋体"/>
          <w:sz w:val="24"/>
          <w:szCs w:val="24"/>
        </w:rPr>
      </w:pPr>
      <w:r>
        <w:rPr>
          <w:rFonts w:hint="eastAsia" w:ascii="宋体" w:hAnsi="宋体" w:cs="宋体"/>
          <w:sz w:val="24"/>
          <w:szCs w:val="24"/>
        </w:rPr>
        <w:t>10.1.3</w:t>
      </w:r>
      <w:r>
        <w:rPr>
          <w:rFonts w:ascii="宋体" w:hAnsi="宋体" w:cs="宋体"/>
          <w:sz w:val="24"/>
          <w:szCs w:val="24"/>
        </w:rPr>
        <w:t>2 供应商认为</w:t>
      </w:r>
      <w:r>
        <w:rPr>
          <w:rFonts w:hint="eastAsia" w:ascii="宋体" w:hAnsi="宋体" w:cs="宋体"/>
          <w:sz w:val="24"/>
          <w:szCs w:val="24"/>
        </w:rPr>
        <w:t>采购</w:t>
      </w:r>
      <w:r>
        <w:rPr>
          <w:rFonts w:ascii="宋体" w:hAnsi="宋体" w:cs="宋体"/>
          <w:sz w:val="24"/>
          <w:szCs w:val="24"/>
        </w:rPr>
        <w:t>文件、采购过程和中标结果使自己的权益受到损害的，可以在知道或者应知其权益受到损害之日起 7 个工作日内，以书面形式向采购人一次性提出质疑</w:t>
      </w:r>
      <w:r>
        <w:rPr>
          <w:rFonts w:hint="eastAsia" w:ascii="宋体" w:hAnsi="宋体" w:cs="宋体"/>
          <w:sz w:val="24"/>
          <w:szCs w:val="24"/>
        </w:rPr>
        <w:t>。</w:t>
      </w:r>
      <w:r>
        <w:rPr>
          <w:rFonts w:ascii="宋体" w:hAnsi="宋体" w:cs="宋体"/>
          <w:sz w:val="24"/>
          <w:szCs w:val="24"/>
        </w:rPr>
        <w:t>供应商应知其权益受到损害之日</w:t>
      </w:r>
      <w:r>
        <w:rPr>
          <w:rFonts w:hint="eastAsia" w:ascii="宋体" w:hAnsi="宋体" w:cs="宋体"/>
          <w:sz w:val="24"/>
          <w:szCs w:val="24"/>
        </w:rPr>
        <w:t xml:space="preserve">是指：对采购文件提出质疑的，应当在获取采购文件或者采购文件公告期限届满之日；对采购过程提出质疑的，为各采购程序环节结束之日；对中标结果提出质疑的，为中标结果公告期限届满之日。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10.1.4供应商必须在法定质疑期内一次性提出针对同一采购程序环节的质疑。 </w:t>
      </w:r>
    </w:p>
    <w:p>
      <w:pPr>
        <w:spacing w:line="360" w:lineRule="auto"/>
        <w:ind w:firstLine="480" w:firstLineChars="200"/>
        <w:rPr>
          <w:rFonts w:ascii="宋体" w:hAnsi="宋体" w:cs="宋体"/>
          <w:sz w:val="24"/>
          <w:szCs w:val="24"/>
        </w:rPr>
      </w:pPr>
      <w:r>
        <w:rPr>
          <w:rFonts w:hint="eastAsia" w:ascii="宋体" w:hAnsi="宋体" w:cs="宋体"/>
          <w:sz w:val="24"/>
          <w:szCs w:val="24"/>
        </w:rPr>
        <w:t>10.1.5质疑供应商应按照财政部制定的《政府采购质疑函范本》格式和《政府采购质疑和投诉办法》的要求，在法定质疑期内书面形式提出质疑。</w:t>
      </w:r>
    </w:p>
    <w:p>
      <w:pPr>
        <w:spacing w:line="360" w:lineRule="auto"/>
        <w:ind w:firstLine="480" w:firstLineChars="200"/>
        <w:rPr>
          <w:rFonts w:ascii="宋体" w:hAnsi="宋体" w:cs="宋体"/>
          <w:sz w:val="24"/>
          <w:szCs w:val="24"/>
        </w:rPr>
      </w:pPr>
      <w:r>
        <w:rPr>
          <w:rFonts w:hint="eastAsia" w:ascii="宋体" w:hAnsi="宋体" w:cs="宋体"/>
          <w:sz w:val="24"/>
          <w:szCs w:val="24"/>
        </w:rPr>
        <w:t>10.1.6超出法定质疑期的、重复提出的、分次提出的或内容、形式不符合《政府采购质疑和投诉办法》的，否则，采购代理机构或采购人不予受理。</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10.1.7质疑文件应包括以下主要内容，并按照“谁主张、谁举证”的原则，附上相关证明材料。否则，采购代理机构或采购人不予受理：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（1）供应商的姓名或者名称、地址、邮编、联系人及联系电话；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（2）质疑项目的名称、编号；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（3）具体、明确的质疑事项和与质疑事项相关的请求（具体条款）；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（4）事实依据（具体条款）；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（5）必要的法律依据（具体条款）； </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（6）提出质疑的日期。 </w:t>
      </w:r>
    </w:p>
    <w:p>
      <w:pPr>
        <w:spacing w:line="360" w:lineRule="auto"/>
        <w:ind w:firstLine="480" w:firstLineChars="200"/>
        <w:rPr>
          <w:rFonts w:ascii="宋体" w:hAnsi="宋体" w:cs="宋体"/>
          <w:sz w:val="24"/>
          <w:szCs w:val="24"/>
        </w:rPr>
      </w:pPr>
      <w:r>
        <w:rPr>
          <w:rFonts w:hint="eastAsia" w:ascii="宋体" w:hAnsi="宋体" w:cs="宋体"/>
          <w:sz w:val="24"/>
          <w:szCs w:val="24"/>
        </w:rPr>
        <w:t>10.1.8采购代理机构接收质疑函的方式、联系部门、联系电话和通讯地址。</w:t>
      </w:r>
    </w:p>
    <w:p>
      <w:pPr>
        <w:spacing w:line="360" w:lineRule="auto"/>
        <w:ind w:firstLine="480" w:firstLineChars="200"/>
        <w:rPr>
          <w:rFonts w:ascii="宋体" w:hAnsi="宋体" w:cs="宋体"/>
          <w:sz w:val="24"/>
          <w:szCs w:val="24"/>
        </w:rPr>
      </w:pPr>
      <w:r>
        <w:rPr>
          <w:rFonts w:hint="eastAsia" w:ascii="宋体" w:hAnsi="宋体" w:cs="宋体"/>
          <w:sz w:val="24"/>
          <w:szCs w:val="24"/>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w:t>
      </w:r>
    </w:p>
    <w:p>
      <w:pPr>
        <w:spacing w:line="360" w:lineRule="auto"/>
        <w:ind w:firstLine="480" w:firstLineChars="200"/>
        <w:rPr>
          <w:rFonts w:ascii="宋体" w:hAnsi="宋体" w:cs="宋体"/>
          <w:sz w:val="24"/>
          <w:szCs w:val="24"/>
        </w:rPr>
      </w:pPr>
      <w:r>
        <w:rPr>
          <w:rFonts w:hint="eastAsia" w:ascii="宋体" w:hAnsi="宋体" w:cs="宋体"/>
          <w:sz w:val="24"/>
          <w:szCs w:val="24"/>
        </w:rPr>
        <w:t>联系部门：云南捷通工程咨询有限公司</w:t>
      </w:r>
      <w:r>
        <w:rPr>
          <w:rFonts w:ascii="宋体" w:hAnsi="宋体" w:cs="宋体"/>
          <w:sz w:val="24"/>
          <w:szCs w:val="24"/>
        </w:rPr>
        <w:t xml:space="preserve"> </w:t>
      </w:r>
    </w:p>
    <w:p>
      <w:pPr>
        <w:spacing w:line="360" w:lineRule="auto"/>
        <w:ind w:firstLine="480" w:firstLineChars="200"/>
        <w:rPr>
          <w:rFonts w:ascii="宋体" w:hAnsi="宋体" w:cs="宋体"/>
          <w:sz w:val="24"/>
          <w:szCs w:val="24"/>
        </w:rPr>
      </w:pPr>
      <w:r>
        <w:rPr>
          <w:rFonts w:hint="eastAsia" w:ascii="宋体" w:hAnsi="宋体" w:cs="宋体"/>
          <w:sz w:val="24"/>
          <w:szCs w:val="24"/>
        </w:rPr>
        <w:t>联系电话：15925158869</w:t>
      </w:r>
    </w:p>
    <w:p>
      <w:pPr>
        <w:pStyle w:val="19"/>
        <w:ind w:firstLine="480" w:firstLineChars="200"/>
        <w:rPr>
          <w:rFonts w:ascii="宋体" w:hAnsi="宋体" w:cs="宋体"/>
          <w:sz w:val="24"/>
        </w:rPr>
      </w:pPr>
      <w:r>
        <w:rPr>
          <w:rFonts w:hint="eastAsia" w:ascii="宋体" w:hAnsi="宋体" w:cs="宋体"/>
          <w:sz w:val="24"/>
        </w:rPr>
        <w:t>通讯地址：</w:t>
      </w:r>
      <w:r>
        <w:rPr>
          <w:rFonts w:ascii="宋体" w:hAnsi="宋体" w:cs="宋体"/>
          <w:sz w:val="24"/>
        </w:rPr>
        <w:t xml:space="preserve"> </w:t>
      </w:r>
      <w:r>
        <w:rPr>
          <w:rFonts w:hint="eastAsia" w:ascii="宋体" w:hAnsi="宋体" w:cs="宋体"/>
          <w:sz w:val="24"/>
        </w:rPr>
        <w:t>昆明市西山区西园路718号大观天下广电文化家园西区办公楼B座1501室</w:t>
      </w:r>
    </w:p>
    <w:p>
      <w:pPr>
        <w:pStyle w:val="19"/>
        <w:ind w:firstLine="482" w:firstLineChars="200"/>
        <w:rPr>
          <w:rFonts w:ascii="宋体" w:hAnsi="宋体" w:cs="宋体"/>
          <w:b/>
          <w:kern w:val="0"/>
          <w:sz w:val="24"/>
        </w:rPr>
      </w:pPr>
      <w:r>
        <w:rPr>
          <w:rFonts w:hint="eastAsia" w:ascii="宋体" w:hAnsi="宋体" w:cs="宋体"/>
          <w:b/>
          <w:kern w:val="0"/>
          <w:sz w:val="24"/>
        </w:rPr>
        <w:t>10.1.9不按上述要求提出的，采购人和采购代理机构将不予受理。</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10.1.10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 </w:t>
      </w:r>
    </w:p>
    <w:p>
      <w:pPr>
        <w:spacing w:line="360" w:lineRule="auto"/>
        <w:ind w:firstLine="482" w:firstLineChars="200"/>
        <w:rPr>
          <w:rFonts w:ascii="宋体" w:hAnsi="宋体" w:cs="宋体"/>
          <w:b/>
          <w:sz w:val="24"/>
          <w:szCs w:val="24"/>
        </w:rPr>
      </w:pPr>
      <w:r>
        <w:rPr>
          <w:rFonts w:hint="eastAsia" w:ascii="宋体" w:hAnsi="宋体" w:cs="宋体"/>
          <w:b/>
          <w:sz w:val="24"/>
          <w:szCs w:val="24"/>
        </w:rPr>
        <w:t>10.2质疑回复</w:t>
      </w:r>
    </w:p>
    <w:p>
      <w:pPr>
        <w:spacing w:line="360" w:lineRule="auto"/>
        <w:ind w:firstLine="480" w:firstLineChars="200"/>
        <w:rPr>
          <w:rFonts w:ascii="宋体" w:hAnsi="宋体" w:cs="宋体"/>
          <w:sz w:val="24"/>
          <w:szCs w:val="24"/>
        </w:rPr>
      </w:pPr>
      <w:r>
        <w:rPr>
          <w:rFonts w:hint="eastAsia" w:ascii="宋体" w:hAnsi="宋体" w:cs="宋体"/>
          <w:sz w:val="24"/>
          <w:szCs w:val="24"/>
        </w:rPr>
        <w:t>采购人或者采购代理机构应在收到质疑函后</w:t>
      </w:r>
      <w:r>
        <w:rPr>
          <w:rFonts w:hint="eastAsia" w:ascii="宋体" w:hAnsi="宋体" w:cs="宋体"/>
          <w:b/>
          <w:bCs/>
          <w:sz w:val="24"/>
          <w:szCs w:val="24"/>
        </w:rPr>
        <w:t>7个工作日</w:t>
      </w:r>
      <w:r>
        <w:rPr>
          <w:rFonts w:hint="eastAsia" w:ascii="宋体" w:hAnsi="宋体" w:cs="宋体"/>
          <w:sz w:val="24"/>
          <w:szCs w:val="24"/>
        </w:rPr>
        <w:t xml:space="preserve">内作出答复，并以书面形式通知质疑供应商和其他有关供应商，质疑答复的内容不得涉及商业秘密。采购人或采购代理机构遵循“谁过错谁负担”的原则，有过错的一方承担调查论证费用。 </w:t>
      </w:r>
    </w:p>
    <w:p>
      <w:pPr>
        <w:spacing w:line="360" w:lineRule="auto"/>
        <w:ind w:firstLine="482" w:firstLineChars="200"/>
        <w:rPr>
          <w:rFonts w:ascii="宋体" w:hAnsi="宋体" w:cs="宋体"/>
          <w:sz w:val="24"/>
          <w:szCs w:val="24"/>
        </w:rPr>
      </w:pPr>
      <w:r>
        <w:rPr>
          <w:rFonts w:hint="eastAsia" w:ascii="宋体" w:hAnsi="宋体" w:cs="宋体"/>
          <w:b/>
          <w:bCs/>
          <w:sz w:val="24"/>
          <w:szCs w:val="24"/>
        </w:rPr>
        <w:t>10.3投诉</w:t>
      </w:r>
      <w:r>
        <w:rPr>
          <w:rFonts w:hint="eastAsia" w:ascii="宋体" w:hAnsi="宋体" w:cs="宋体"/>
          <w:sz w:val="24"/>
          <w:szCs w:val="24"/>
        </w:rPr>
        <w:t xml:space="preserve"> </w:t>
      </w:r>
    </w:p>
    <w:p>
      <w:pPr>
        <w:spacing w:line="360" w:lineRule="auto"/>
        <w:ind w:firstLine="480" w:firstLineChars="200"/>
        <w:rPr>
          <w:rFonts w:ascii="宋体" w:hAnsi="宋体" w:cs="宋体"/>
          <w:sz w:val="24"/>
          <w:szCs w:val="24"/>
        </w:rPr>
      </w:pPr>
      <w:r>
        <w:rPr>
          <w:rFonts w:hint="eastAsia" w:ascii="宋体" w:hAnsi="宋体" w:cs="宋体"/>
          <w:sz w:val="24"/>
          <w:szCs w:val="24"/>
        </w:rPr>
        <w:t>10.3.1 质疑供应商对采购人或采购代理机构的答复不满意，或采购人/采购代理机构未在规定的时间内作出答复的，可以在答复期满后十五个工作日内按照采购人所属预算级次，向本级财政部门投诉。</w:t>
      </w:r>
    </w:p>
    <w:p>
      <w:pPr>
        <w:pStyle w:val="4"/>
        <w:spacing w:before="0" w:after="0" w:line="360" w:lineRule="auto"/>
        <w:rPr>
          <w:rFonts w:ascii="宋体" w:hAnsi="宋体" w:eastAsia="宋体" w:cs="宋体"/>
          <w:sz w:val="28"/>
          <w:szCs w:val="28"/>
        </w:rPr>
      </w:pPr>
      <w:bookmarkStart w:id="256" w:name="_Toc8172"/>
      <w:bookmarkStart w:id="257" w:name="_Toc2192"/>
      <w:bookmarkStart w:id="258" w:name="_Toc1799"/>
      <w:bookmarkStart w:id="259" w:name="_Toc13659"/>
      <w:r>
        <w:rPr>
          <w:rFonts w:hint="eastAsia" w:ascii="宋体" w:hAnsi="宋体" w:eastAsia="宋体" w:cs="宋体"/>
          <w:sz w:val="28"/>
          <w:szCs w:val="28"/>
        </w:rPr>
        <w:t>11. 纪律和监督</w:t>
      </w:r>
      <w:bookmarkEnd w:id="255"/>
      <w:bookmarkEnd w:id="256"/>
      <w:bookmarkEnd w:id="257"/>
      <w:bookmarkEnd w:id="258"/>
      <w:bookmarkEnd w:id="259"/>
    </w:p>
    <w:p>
      <w:pPr>
        <w:spacing w:line="360" w:lineRule="auto"/>
        <w:rPr>
          <w:rFonts w:ascii="宋体" w:hAnsi="宋体" w:cs="宋体"/>
          <w:b/>
          <w:sz w:val="24"/>
          <w:szCs w:val="24"/>
        </w:rPr>
      </w:pPr>
      <w:bookmarkStart w:id="260" w:name="_Toc453"/>
      <w:bookmarkEnd w:id="260"/>
      <w:bookmarkStart w:id="261" w:name="_Toc14990"/>
      <w:r>
        <w:rPr>
          <w:rFonts w:hint="eastAsia" w:ascii="宋体" w:hAnsi="宋体" w:cs="宋体"/>
          <w:b/>
          <w:sz w:val="24"/>
          <w:szCs w:val="24"/>
        </w:rPr>
        <w:t>11.1 对采购人的纪律要求</w:t>
      </w:r>
      <w:bookmarkEnd w:id="261"/>
    </w:p>
    <w:p>
      <w:pPr>
        <w:spacing w:line="360" w:lineRule="auto"/>
        <w:ind w:firstLine="480" w:firstLineChars="200"/>
        <w:rPr>
          <w:rFonts w:ascii="宋体" w:hAnsi="宋体" w:cs="宋体"/>
          <w:sz w:val="24"/>
          <w:szCs w:val="24"/>
        </w:rPr>
      </w:pPr>
      <w:r>
        <w:rPr>
          <w:rFonts w:hint="eastAsia" w:ascii="宋体" w:hAnsi="宋体" w:cs="宋体"/>
          <w:sz w:val="24"/>
          <w:szCs w:val="24"/>
        </w:rPr>
        <w:t>(1)按照《政府采购货物和服务采购投标管理办法》(财政部令第87号)的规定编制采购需求；</w:t>
      </w:r>
    </w:p>
    <w:p>
      <w:pPr>
        <w:spacing w:line="360" w:lineRule="auto"/>
        <w:ind w:firstLine="480" w:firstLineChars="200"/>
        <w:rPr>
          <w:rFonts w:ascii="宋体" w:hAnsi="宋体" w:cs="宋体"/>
          <w:sz w:val="24"/>
          <w:szCs w:val="24"/>
        </w:rPr>
      </w:pPr>
      <w:r>
        <w:rPr>
          <w:rFonts w:hint="eastAsia" w:ascii="宋体" w:hAnsi="宋体" w:cs="宋体"/>
          <w:sz w:val="24"/>
          <w:szCs w:val="24"/>
        </w:rPr>
        <w:t>(2)采购人不得向供应商索要或者接受其给予的赠品、回扣或者与采购无关的其他商品、服务；</w:t>
      </w:r>
    </w:p>
    <w:p>
      <w:pPr>
        <w:spacing w:line="360" w:lineRule="auto"/>
        <w:ind w:firstLine="480" w:firstLineChars="200"/>
        <w:rPr>
          <w:rFonts w:ascii="宋体" w:hAnsi="宋体" w:cs="宋体"/>
          <w:sz w:val="24"/>
          <w:szCs w:val="24"/>
        </w:rPr>
      </w:pPr>
      <w:r>
        <w:rPr>
          <w:rFonts w:hint="eastAsia" w:ascii="宋体" w:hAnsi="宋体" w:cs="宋体"/>
          <w:sz w:val="24"/>
          <w:szCs w:val="24"/>
        </w:rPr>
        <w:t>(3)在规定时间内确定中标人；</w:t>
      </w:r>
    </w:p>
    <w:p>
      <w:pPr>
        <w:spacing w:line="360" w:lineRule="auto"/>
        <w:ind w:firstLine="480" w:firstLineChars="200"/>
        <w:rPr>
          <w:rFonts w:ascii="宋体" w:hAnsi="宋体" w:cs="宋体"/>
          <w:sz w:val="24"/>
          <w:szCs w:val="24"/>
        </w:rPr>
      </w:pPr>
      <w:r>
        <w:rPr>
          <w:rFonts w:hint="eastAsia" w:ascii="宋体" w:hAnsi="宋体" w:cs="宋体"/>
          <w:sz w:val="24"/>
          <w:szCs w:val="24"/>
        </w:rPr>
        <w:t>(4)不得向中标人提出不合理要求作为签订合同条件。</w:t>
      </w:r>
    </w:p>
    <w:p>
      <w:pPr>
        <w:spacing w:line="360" w:lineRule="auto"/>
        <w:rPr>
          <w:rFonts w:ascii="宋体" w:hAnsi="宋体" w:cs="宋体"/>
          <w:b/>
          <w:sz w:val="24"/>
          <w:szCs w:val="24"/>
        </w:rPr>
      </w:pPr>
      <w:bookmarkStart w:id="262" w:name="_Toc20446"/>
      <w:bookmarkEnd w:id="262"/>
      <w:bookmarkStart w:id="263" w:name="_Toc14876"/>
      <w:r>
        <w:rPr>
          <w:rFonts w:hint="eastAsia" w:ascii="宋体" w:hAnsi="宋体" w:cs="宋体"/>
          <w:b/>
          <w:sz w:val="24"/>
          <w:szCs w:val="24"/>
        </w:rPr>
        <w:t>11.2 对供应商的纪律要求</w:t>
      </w:r>
      <w:bookmarkEnd w:id="263"/>
    </w:p>
    <w:p>
      <w:pPr>
        <w:spacing w:line="360" w:lineRule="auto"/>
        <w:ind w:firstLine="480" w:firstLineChars="200"/>
        <w:rPr>
          <w:rFonts w:ascii="宋体" w:hAnsi="宋体" w:cs="宋体"/>
          <w:sz w:val="24"/>
          <w:szCs w:val="24"/>
        </w:rPr>
      </w:pPr>
      <w:r>
        <w:rPr>
          <w:rFonts w:hint="eastAsia" w:ascii="宋体" w:hAnsi="宋体" w:cs="宋体"/>
          <w:sz w:val="24"/>
          <w:szCs w:val="24"/>
        </w:rPr>
        <w:t>供应商不得相互串通投标或者与采购人串通投标，不得向采购人或者评标委员会成员行贿谋取中标，不得以他人名义投标或者以其他方式弄虚作假骗取中标；供应商不得以任何方式干扰、影响评标工作。</w:t>
      </w:r>
    </w:p>
    <w:p>
      <w:pPr>
        <w:spacing w:line="360" w:lineRule="auto"/>
        <w:rPr>
          <w:rFonts w:ascii="宋体" w:hAnsi="宋体" w:cs="宋体"/>
          <w:b/>
          <w:sz w:val="24"/>
          <w:szCs w:val="24"/>
        </w:rPr>
      </w:pPr>
      <w:bookmarkStart w:id="264" w:name="_Toc17796"/>
      <w:bookmarkEnd w:id="264"/>
      <w:bookmarkStart w:id="265" w:name="_Toc29247"/>
      <w:r>
        <w:rPr>
          <w:rFonts w:hint="eastAsia" w:ascii="宋体" w:hAnsi="宋体" w:cs="宋体"/>
          <w:b/>
          <w:sz w:val="24"/>
          <w:szCs w:val="24"/>
        </w:rPr>
        <w:t>11.3 对评标委员会成员的纪律要求</w:t>
      </w:r>
      <w:bookmarkEnd w:id="265"/>
    </w:p>
    <w:p>
      <w:pPr>
        <w:spacing w:line="360" w:lineRule="auto"/>
        <w:ind w:firstLine="480" w:firstLineChars="200"/>
        <w:rPr>
          <w:rFonts w:ascii="宋体" w:hAnsi="宋体" w:cs="宋体"/>
          <w:sz w:val="24"/>
          <w:szCs w:val="24"/>
        </w:rPr>
      </w:pPr>
      <w:r>
        <w:rPr>
          <w:rFonts w:hint="eastAsia" w:ascii="宋体" w:hAnsi="宋体" w:cs="宋体"/>
          <w:sz w:val="24"/>
          <w:szCs w:val="24"/>
        </w:rPr>
        <w:t>评标委员会及其成员不得有下列行为：</w:t>
      </w:r>
    </w:p>
    <w:p>
      <w:pPr>
        <w:spacing w:line="360" w:lineRule="auto"/>
        <w:ind w:firstLine="480" w:firstLineChars="200"/>
        <w:rPr>
          <w:rFonts w:ascii="宋体" w:hAnsi="宋体" w:cs="宋体"/>
          <w:sz w:val="24"/>
          <w:szCs w:val="24"/>
        </w:rPr>
      </w:pPr>
      <w:r>
        <w:rPr>
          <w:rFonts w:hint="eastAsia" w:ascii="宋体" w:hAnsi="宋体" w:cs="宋体"/>
          <w:sz w:val="24"/>
          <w:szCs w:val="24"/>
        </w:rPr>
        <w:t>(1)确定参与评标至评标结束前私自接触供应商；</w:t>
      </w:r>
    </w:p>
    <w:p>
      <w:pPr>
        <w:spacing w:line="360" w:lineRule="auto"/>
        <w:ind w:firstLine="480" w:firstLineChars="200"/>
        <w:rPr>
          <w:rFonts w:ascii="宋体" w:hAnsi="宋体" w:cs="宋体"/>
          <w:sz w:val="24"/>
          <w:szCs w:val="24"/>
        </w:rPr>
      </w:pPr>
      <w:r>
        <w:rPr>
          <w:rFonts w:hint="eastAsia" w:ascii="宋体" w:hAnsi="宋体" w:cs="宋体"/>
          <w:sz w:val="24"/>
          <w:szCs w:val="24"/>
        </w:rPr>
        <w:t>(2)接受供应商提出的与投标文件不一致的澄清或者说明；</w:t>
      </w:r>
    </w:p>
    <w:p>
      <w:pPr>
        <w:spacing w:line="360" w:lineRule="auto"/>
        <w:ind w:firstLine="480" w:firstLineChars="200"/>
        <w:rPr>
          <w:rFonts w:ascii="宋体" w:hAnsi="宋体" w:cs="宋体"/>
          <w:sz w:val="24"/>
          <w:szCs w:val="24"/>
        </w:rPr>
      </w:pPr>
      <w:r>
        <w:rPr>
          <w:rFonts w:hint="eastAsia" w:ascii="宋体" w:hAnsi="宋体" w:cs="宋体"/>
          <w:sz w:val="24"/>
          <w:szCs w:val="24"/>
        </w:rPr>
        <w:t>(3)违反评标纪律发表倾向性意见或者征询采购人的倾向性意见；</w:t>
      </w:r>
    </w:p>
    <w:p>
      <w:pPr>
        <w:spacing w:line="360" w:lineRule="auto"/>
        <w:ind w:firstLine="480" w:firstLineChars="200"/>
        <w:rPr>
          <w:rFonts w:ascii="宋体" w:hAnsi="宋体" w:cs="宋体"/>
          <w:sz w:val="24"/>
          <w:szCs w:val="24"/>
        </w:rPr>
      </w:pPr>
      <w:r>
        <w:rPr>
          <w:rFonts w:hint="eastAsia" w:ascii="宋体" w:hAnsi="宋体" w:cs="宋体"/>
          <w:sz w:val="24"/>
          <w:szCs w:val="24"/>
        </w:rPr>
        <w:t>(4)对需要专业判断的主观评审因素协商评分；</w:t>
      </w:r>
    </w:p>
    <w:p>
      <w:pPr>
        <w:spacing w:line="360" w:lineRule="auto"/>
        <w:ind w:firstLine="480" w:firstLineChars="200"/>
        <w:rPr>
          <w:rFonts w:ascii="宋体" w:hAnsi="宋体" w:cs="宋体"/>
          <w:sz w:val="24"/>
          <w:szCs w:val="24"/>
        </w:rPr>
      </w:pPr>
      <w:r>
        <w:rPr>
          <w:rFonts w:hint="eastAsia" w:ascii="宋体" w:hAnsi="宋体" w:cs="宋体"/>
          <w:sz w:val="24"/>
          <w:szCs w:val="24"/>
        </w:rPr>
        <w:t>(5)在评标过程中擅离职守，影响评标程序正常进行的；</w:t>
      </w:r>
    </w:p>
    <w:p>
      <w:pPr>
        <w:spacing w:line="360" w:lineRule="auto"/>
        <w:ind w:firstLine="480" w:firstLineChars="200"/>
        <w:rPr>
          <w:rFonts w:ascii="宋体" w:hAnsi="宋体" w:cs="宋体"/>
          <w:sz w:val="24"/>
          <w:szCs w:val="24"/>
        </w:rPr>
      </w:pPr>
      <w:r>
        <w:rPr>
          <w:rFonts w:hint="eastAsia" w:ascii="宋体" w:hAnsi="宋体" w:cs="宋体"/>
          <w:sz w:val="24"/>
          <w:szCs w:val="24"/>
        </w:rPr>
        <w:t>(6)记录、复制或者带走任何评标资料；</w:t>
      </w:r>
    </w:p>
    <w:p>
      <w:pPr>
        <w:spacing w:line="360" w:lineRule="auto"/>
        <w:ind w:firstLine="480" w:firstLineChars="200"/>
        <w:rPr>
          <w:rFonts w:ascii="宋体" w:hAnsi="宋体" w:cs="宋体"/>
          <w:sz w:val="24"/>
          <w:szCs w:val="24"/>
        </w:rPr>
      </w:pPr>
      <w:r>
        <w:rPr>
          <w:rFonts w:hint="eastAsia" w:ascii="宋体" w:hAnsi="宋体" w:cs="宋体"/>
          <w:sz w:val="24"/>
          <w:szCs w:val="24"/>
        </w:rPr>
        <w:t>(7)其他不遵守评标纪律的行为。</w:t>
      </w:r>
    </w:p>
    <w:p>
      <w:pPr>
        <w:spacing w:line="360" w:lineRule="auto"/>
        <w:ind w:firstLine="480" w:firstLineChars="200"/>
        <w:rPr>
          <w:rFonts w:ascii="宋体" w:hAnsi="宋体" w:cs="宋体"/>
          <w:sz w:val="24"/>
          <w:szCs w:val="24"/>
        </w:rPr>
      </w:pPr>
      <w:r>
        <w:rPr>
          <w:rFonts w:hint="eastAsia" w:ascii="宋体" w:hAnsi="宋体" w:cs="宋体"/>
          <w:sz w:val="24"/>
          <w:szCs w:val="24"/>
        </w:rPr>
        <w:t>评标委员会成员有前款第(1)至(7)项行为之一的，其评审意见无效，并不得获取评审劳务报酬和报销异地评审差旅费。</w:t>
      </w:r>
    </w:p>
    <w:p>
      <w:pPr>
        <w:spacing w:line="360" w:lineRule="auto"/>
        <w:rPr>
          <w:rFonts w:ascii="宋体" w:hAnsi="宋体" w:cs="宋体"/>
          <w:b/>
          <w:sz w:val="24"/>
          <w:szCs w:val="24"/>
        </w:rPr>
      </w:pPr>
      <w:bookmarkStart w:id="266" w:name="_Toc22639"/>
      <w:bookmarkEnd w:id="266"/>
      <w:bookmarkStart w:id="267" w:name="_Toc5153"/>
      <w:r>
        <w:rPr>
          <w:rFonts w:hint="eastAsia" w:ascii="宋体" w:hAnsi="宋体" w:cs="宋体"/>
          <w:b/>
          <w:sz w:val="24"/>
          <w:szCs w:val="24"/>
        </w:rPr>
        <w:t>11.4 对与评标活动有关的工作人员的纪律要求</w:t>
      </w:r>
      <w:bookmarkEnd w:id="267"/>
    </w:p>
    <w:p>
      <w:pPr>
        <w:spacing w:line="360" w:lineRule="auto"/>
        <w:ind w:firstLine="480" w:firstLineChars="200"/>
        <w:rPr>
          <w:rFonts w:ascii="宋体" w:hAnsi="宋体" w:cs="宋体"/>
          <w:sz w:val="24"/>
          <w:szCs w:val="24"/>
        </w:rPr>
      </w:pPr>
      <w:r>
        <w:rPr>
          <w:rFonts w:hint="eastAsia" w:ascii="宋体" w:hAnsi="宋体" w:cs="宋体"/>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spacing w:line="360" w:lineRule="auto"/>
        <w:rPr>
          <w:rFonts w:ascii="宋体" w:hAnsi="宋体" w:cs="宋体"/>
          <w:b/>
          <w:sz w:val="24"/>
          <w:szCs w:val="24"/>
        </w:rPr>
      </w:pPr>
      <w:r>
        <w:rPr>
          <w:rFonts w:hint="eastAsia" w:ascii="宋体" w:hAnsi="宋体" w:cs="宋体"/>
          <w:b/>
          <w:sz w:val="24"/>
          <w:szCs w:val="24"/>
        </w:rPr>
        <w:t>11.5廉洁自律规定</w:t>
      </w:r>
    </w:p>
    <w:p>
      <w:pPr>
        <w:spacing w:line="360" w:lineRule="auto"/>
        <w:ind w:firstLine="480" w:firstLineChars="200"/>
        <w:rPr>
          <w:rFonts w:ascii="宋体" w:hAnsi="宋体" w:cs="宋体"/>
          <w:sz w:val="24"/>
          <w:szCs w:val="24"/>
        </w:rPr>
      </w:pPr>
      <w:r>
        <w:rPr>
          <w:rFonts w:hint="eastAsia" w:ascii="宋体" w:hAnsi="宋体" w:cs="宋体"/>
          <w:sz w:val="24"/>
          <w:szCs w:val="24"/>
        </w:rPr>
        <w:t>（1）采购代理机构工作人员不得以不正当手段获取政府采购代理业务，不得与采购人、供应商恶意串通操纵政府采购活动。</w:t>
      </w:r>
    </w:p>
    <w:p>
      <w:pPr>
        <w:spacing w:line="360" w:lineRule="auto"/>
        <w:ind w:firstLine="480" w:firstLineChars="200"/>
        <w:rPr>
          <w:rFonts w:ascii="宋体" w:hAnsi="宋体" w:cs="宋体"/>
          <w:sz w:val="24"/>
          <w:szCs w:val="24"/>
        </w:rPr>
      </w:pPr>
      <w:r>
        <w:rPr>
          <w:rFonts w:hint="eastAsia" w:ascii="宋体" w:hAnsi="宋体" w:cs="宋体"/>
          <w:sz w:val="24"/>
          <w:szCs w:val="24"/>
        </w:rPr>
        <w:t>（2）采购代理机构工作人员不得接受采购人或者供应商组织的宴请、旅游、娱乐，不得收受礼品、现金、有价证券等，不得向采购人或者供应商报销应当由个人承担的费用。</w:t>
      </w:r>
    </w:p>
    <w:p>
      <w:pPr>
        <w:pStyle w:val="4"/>
        <w:spacing w:before="0" w:after="0" w:line="360" w:lineRule="auto"/>
        <w:rPr>
          <w:rFonts w:ascii="宋体" w:hAnsi="宋体" w:eastAsia="宋体" w:cs="宋体"/>
          <w:sz w:val="28"/>
          <w:szCs w:val="28"/>
        </w:rPr>
      </w:pPr>
      <w:bookmarkStart w:id="268" w:name="_Toc11291"/>
      <w:bookmarkEnd w:id="268"/>
      <w:bookmarkStart w:id="269" w:name="_Toc18697"/>
      <w:bookmarkEnd w:id="269"/>
      <w:bookmarkStart w:id="270" w:name="_Toc19873"/>
      <w:bookmarkEnd w:id="270"/>
      <w:bookmarkStart w:id="271" w:name="_Toc11354"/>
      <w:bookmarkEnd w:id="271"/>
      <w:bookmarkStart w:id="272" w:name="_Toc3960"/>
      <w:bookmarkEnd w:id="272"/>
      <w:bookmarkStart w:id="273" w:name="_Toc6195"/>
      <w:bookmarkStart w:id="274" w:name="_Toc22237"/>
      <w:bookmarkStart w:id="275" w:name="_Toc12795"/>
      <w:bookmarkStart w:id="276" w:name="_Toc26039"/>
      <w:bookmarkStart w:id="277" w:name="_Toc14857"/>
      <w:r>
        <w:rPr>
          <w:rFonts w:hint="eastAsia" w:ascii="宋体" w:hAnsi="宋体" w:eastAsia="宋体" w:cs="宋体"/>
          <w:sz w:val="28"/>
          <w:szCs w:val="28"/>
        </w:rPr>
        <w:t>12.需要补充的其他内容</w:t>
      </w:r>
      <w:bookmarkEnd w:id="273"/>
      <w:bookmarkEnd w:id="274"/>
      <w:bookmarkEnd w:id="275"/>
      <w:bookmarkEnd w:id="276"/>
      <w:bookmarkEnd w:id="277"/>
    </w:p>
    <w:p>
      <w:pPr>
        <w:spacing w:line="360" w:lineRule="auto"/>
        <w:ind w:firstLine="480" w:firstLineChars="200"/>
        <w:rPr>
          <w:rFonts w:ascii="宋体" w:hAnsi="宋体" w:cs="宋体"/>
          <w:sz w:val="24"/>
          <w:szCs w:val="24"/>
        </w:rPr>
      </w:pPr>
      <w:r>
        <w:rPr>
          <w:rFonts w:hint="eastAsia" w:ascii="宋体" w:hAnsi="宋体" w:cs="宋体"/>
          <w:sz w:val="24"/>
          <w:szCs w:val="24"/>
        </w:rPr>
        <w:t>需要补充的其他内容：见供应商须知前附表。</w:t>
      </w:r>
    </w:p>
    <w:p>
      <w:pPr>
        <w:pStyle w:val="3"/>
        <w:spacing w:before="0" w:after="0" w:line="360" w:lineRule="auto"/>
        <w:jc w:val="center"/>
        <w:rPr>
          <w:rFonts w:ascii="宋体" w:hAnsi="宋体" w:cs="宋体"/>
          <w:sz w:val="32"/>
          <w:szCs w:val="32"/>
        </w:rPr>
      </w:pPr>
      <w:bookmarkStart w:id="278" w:name="_Toc5266"/>
      <w:r>
        <w:rPr>
          <w:rFonts w:hint="eastAsia" w:ascii="宋体" w:hAnsi="宋体" w:cs="宋体"/>
        </w:rPr>
        <w:br w:type="page"/>
      </w:r>
      <w:bookmarkStart w:id="279" w:name="_Toc28242"/>
      <w:bookmarkStart w:id="280" w:name="_Toc9208"/>
      <w:bookmarkStart w:id="281" w:name="_Toc30928"/>
      <w:r>
        <w:rPr>
          <w:rFonts w:hint="eastAsia" w:ascii="宋体" w:hAnsi="宋体" w:cs="宋体"/>
          <w:sz w:val="32"/>
          <w:szCs w:val="32"/>
        </w:rPr>
        <w:t>第三章 评标办法(综合评分法)</w:t>
      </w:r>
      <w:bookmarkEnd w:id="278"/>
      <w:bookmarkEnd w:id="279"/>
      <w:bookmarkEnd w:id="280"/>
      <w:bookmarkEnd w:id="281"/>
    </w:p>
    <w:p>
      <w:pPr>
        <w:spacing w:line="500" w:lineRule="exact"/>
        <w:ind w:firstLine="482" w:firstLineChars="200"/>
        <w:jc w:val="both"/>
        <w:rPr>
          <w:rFonts w:ascii="宋体" w:hAnsi="宋体" w:cs="宋体"/>
          <w:b/>
          <w:bCs/>
          <w:sz w:val="24"/>
          <w:szCs w:val="24"/>
        </w:rPr>
      </w:pPr>
      <w:r>
        <w:rPr>
          <w:rFonts w:hint="eastAsia" w:ascii="宋体" w:hAnsi="宋体" w:cs="宋体"/>
          <w:b/>
          <w:bCs/>
          <w:sz w:val="24"/>
          <w:szCs w:val="24"/>
        </w:rPr>
        <w:t>一、评标机构</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评标机构为评标委员会，评标委员会的组成见供应商须知前附表7.1.1。</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二、采购人或者采购代理机构职责</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采购人或者采购代理机构负责组织评标工作，并履行下列职责：</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(一)核对评审专家身份和采购人代表授权函，对评审专家在政府采购活动中的职责履行情况予以记录，并及时将有关违法违规行为向财政部门报告。</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(二)宣布评标纪律。</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(三)公布供应商名单，告知评审专家应当回避的情形。</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(四)组织评标委员会推选评标组长，采购人代表不得担任组长。</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(五)在评标期间采取必要的通讯管理措施，保证评标活动不受外界干扰。</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(六)根据评标委员会的要求介绍政府采购相关政策法规、采购文件。</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(七)维护评标秩序，监督评标委员会依照采购文件规定的评标程序、方法和标准进行独立评审，及时制止和纠正采购人代表、评审专家的倾向性言论或者违法违规行为。</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(八)核对评标结果，有《政府采购货物和服务采购投标管理办法》（财政部第87号令）第六十四条规定情形的，要求评标委员会复核或者书面说明理由，评标委员会拒绝的，应予记录并向本级财政部门报告。</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(九)评审工作完成后，按照规定向评审专家支付劳务报酬和异地评审差旅费，不得向评审专家以外的其他人员支付评审劳务报酬。</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(十)处理与评标有关的其他事项。</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采购人可以在评标前说明项目背景和采购需求，说明内容不得含有歧视性、倾向性意见，不得超出采购文件所述范围。说明应当提交书面材料，并随采购文件一并存档。</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三、评标委员会职责</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评标委员会负责具体评标事务，并独立履行下列职责：</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(一)审查、评价投标文件是否符合采购文件的商务、技术等实质性要求。</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(二)要求供应商对投标文件有关事项作出澄清或者说明。</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(三)对投标文件进行比较和评价。</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(四)确定中标候选人名单，以及根据采购人委托直接确定中标人。</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(五)向采购人、采购代理机构或者有关部门报告评标中发现的违法行为。</w:t>
      </w:r>
    </w:p>
    <w:p>
      <w:pPr>
        <w:pStyle w:val="21"/>
        <w:spacing w:line="500" w:lineRule="exact"/>
        <w:ind w:firstLine="482" w:firstLineChars="200"/>
        <w:rPr>
          <w:rFonts w:ascii="宋体" w:hAnsi="宋体" w:cs="宋体"/>
          <w:b/>
          <w:bCs/>
          <w:sz w:val="24"/>
          <w:szCs w:val="24"/>
        </w:rPr>
      </w:pPr>
      <w:r>
        <w:rPr>
          <w:rFonts w:hint="eastAsia" w:ascii="宋体" w:hAnsi="宋体" w:cs="宋体"/>
          <w:b/>
          <w:bCs/>
          <w:sz w:val="24"/>
          <w:szCs w:val="24"/>
        </w:rPr>
        <w:t>四、评标纪律</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(一)对评标内容和评标过程要严格保密，不得向供应商或与该过程无关的其它人员泄露。</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(二)评标期间的一切资料，包括评标意见、评标记录和评标结论，一律不得向外传和泄露。</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(三)任何属于投标文件审查、澄清、评价和比较的资料，不得向供应商或与该过程无关的其它人员泄露。</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(四)所有资料(包括采购文件、投标文件、评标表格及各种文字记录)在评标结束后均应分别整理、存档备查，任何人不得复制和保留。</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(五)评标期间，未经允许评标委员会以外的任何单位或部门不得参加评标和采访评标工作。</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(六)评标期间，评标人员不得外出，确需外出时应事先请假。</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(七)评标期间，所有与会人员均不得私自以任何方式和供应商进行联系，需询问、澄清的问题由评委会统一组织办理。</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(八)评标结束后，与会人员不得向外界透露评标人员的评标意见，如因此造成的后果由责任者承担。</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五、评标原则</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评标将遵循下列原则：</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(一)坚持公平、公正、科学、择优的原则，本着实事求是的精神，不带有任何主观意愿和偏见，认真负责地做好评标工作，公平、公正地对待每一个供应商。</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(二)全面分析，综合评审。</w:t>
      </w:r>
    </w:p>
    <w:p>
      <w:pPr>
        <w:pStyle w:val="21"/>
        <w:spacing w:line="500" w:lineRule="exact"/>
        <w:ind w:firstLine="480" w:firstLineChars="200"/>
        <w:rPr>
          <w:rFonts w:ascii="宋体" w:hAnsi="宋体" w:cs="宋体"/>
          <w:sz w:val="24"/>
          <w:szCs w:val="24"/>
        </w:rPr>
      </w:pPr>
      <w:r>
        <w:rPr>
          <w:rFonts w:hint="eastAsia" w:ascii="宋体" w:hAnsi="宋体" w:cs="宋体"/>
          <w:sz w:val="24"/>
          <w:szCs w:val="24"/>
        </w:rPr>
        <w:t>(三)评标只对供应商的投标文件进行评审，投标文件以外的资料、信息不应作为评标的依据。</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六、评标程序</w:t>
      </w:r>
    </w:p>
    <w:p>
      <w:pPr>
        <w:pStyle w:val="21"/>
        <w:ind w:firstLine="480" w:firstLineChars="200"/>
        <w:rPr>
          <w:rFonts w:ascii="宋体" w:hAnsi="宋体" w:cs="宋体"/>
          <w:sz w:val="24"/>
          <w:szCs w:val="24"/>
        </w:rPr>
      </w:pPr>
      <w:r>
        <w:rPr>
          <w:rFonts w:hint="eastAsia" w:ascii="宋体" w:hAnsi="宋体" w:cs="宋体"/>
          <w:sz w:val="24"/>
          <w:szCs w:val="24"/>
        </w:rPr>
        <w:t>本次采购所采用的评标方法为《政府采购货物和服务采购投标管理办法》(财政部令第87号)第五十五条规定的“综合评分法”，即：投标文件满足采购文件全部实质性要求，且按照评审因素的量化指标评审得分最高的供应商为中标候选人的评标方法。</w:t>
      </w:r>
    </w:p>
    <w:p>
      <w:pP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评标步骤：</w:t>
      </w:r>
    </w:p>
    <w:p>
      <w:pPr>
        <w:spacing w:line="460" w:lineRule="exact"/>
        <w:ind w:firstLine="480" w:firstLineChars="200"/>
        <w:rPr>
          <w:rFonts w:ascii="宋体" w:hAnsi="宋体" w:cs="宋体"/>
          <w:color w:val="000000"/>
          <w:sz w:val="24"/>
          <w:szCs w:val="24"/>
        </w:rPr>
      </w:pPr>
      <w:r>
        <w:rPr>
          <w:rFonts w:ascii="宋体" w:hAnsi="宋体" w:cs="宋体"/>
          <w:color w:val="000000"/>
          <w:sz w:val="24"/>
          <w:szCs w:val="24"/>
        </w:rPr>
        <w:pict>
          <v:line id="_x0000_s1040" o:spid="_x0000_s1040" o:spt="20" style="position:absolute;left:0pt;flip:y;margin-left:194.5pt;margin-top:20.1pt;height:0pt;width:14.6pt;z-index:251664384;mso-width-relative:page;mso-height-relative:page;" stroked="f" coordsize="21600,21600">
            <v:path arrowok="t"/>
            <v:fill focussize="0,0"/>
            <v:stroke on="f"/>
            <v:imagedata o:title=""/>
            <o:lock v:ext="edit"/>
          </v:line>
        </w:pict>
      </w:r>
      <w:r>
        <w:rPr>
          <w:rFonts w:ascii="宋体" w:hAnsi="宋体" w:cs="宋体"/>
          <w:color w:val="000000"/>
          <w:sz w:val="24"/>
          <w:szCs w:val="24"/>
        </w:rPr>
        <w:pict>
          <v:line id="_x0000_s1041" o:spid="_x0000_s1041" o:spt="20" style="position:absolute;left:0pt;margin-left:333.2pt;margin-top:-11pt;height:0pt;width:51.1pt;z-index:251663360;mso-width-relative:page;mso-height-relative:page;" stroked="f" coordsize="21600,21600">
            <v:path arrowok="t"/>
            <v:fill focussize="0,0"/>
            <v:stroke on="f"/>
            <v:imagedata o:title=""/>
            <o:lock v:ext="edit"/>
          </v:line>
        </w:pict>
      </w:r>
      <w:r>
        <w:rPr>
          <w:rFonts w:ascii="宋体" w:hAnsi="宋体" w:cs="宋体"/>
          <w:color w:val="000000"/>
          <w:sz w:val="24"/>
          <w:szCs w:val="24"/>
        </w:rPr>
        <w:pict>
          <v:line id="_x0000_s1042" o:spid="_x0000_s1042" o:spt="20" style="position:absolute;left:0pt;margin-left:479.2pt;margin-top:35.4pt;height:0pt;width:29.2pt;z-index:251662336;mso-width-relative:page;mso-height-relative:page;" stroked="f" coordsize="21600,21600">
            <v:path arrowok="t"/>
            <v:fill focussize="0,0"/>
            <v:stroke on="f"/>
            <v:imagedata o:title=""/>
            <o:lock v:ext="edit"/>
          </v:line>
        </w:pict>
      </w:r>
      <w:r>
        <w:rPr>
          <w:rFonts w:hint="eastAsia" w:ascii="宋体" w:hAnsi="宋体" w:cs="宋体"/>
          <w:color w:val="000000"/>
          <w:sz w:val="24"/>
          <w:szCs w:val="24"/>
        </w:rPr>
        <w:t>资格性审查→电子清标→</w:t>
      </w:r>
      <w:r>
        <w:rPr>
          <w:rFonts w:ascii="宋体" w:hAnsi="宋体" w:cs="宋体"/>
          <w:color w:val="000000"/>
          <w:sz w:val="24"/>
          <w:szCs w:val="24"/>
        </w:rPr>
        <w:pict>
          <v:line id="Line 49" o:spid="_x0000_s1043" o:spt="20" style="position:absolute;left:0pt;flip:y;margin-left:182.5pt;margin-top:8.1pt;height:0pt;width:14.6pt;z-index:251661312;mso-width-relative:page;mso-height-relative:page;" stroked="f" coordsize="21600,21600">
            <v:path arrowok="t"/>
            <v:fill focussize="0,0"/>
            <v:stroke on="f"/>
            <v:imagedata o:title=""/>
            <o:lock v:ext="edit"/>
          </v:line>
        </w:pict>
      </w:r>
      <w:r>
        <w:rPr>
          <w:rFonts w:ascii="宋体" w:hAnsi="宋体" w:cs="宋体"/>
          <w:color w:val="000000"/>
          <w:sz w:val="24"/>
          <w:szCs w:val="24"/>
        </w:rPr>
        <w:pict>
          <v:line id="Line 46" o:spid="_x0000_s1044" o:spt="20" style="position:absolute;left:0pt;margin-left:321.2pt;margin-top:-23pt;height:0pt;width:51.1pt;z-index:251660288;mso-width-relative:page;mso-height-relative:page;" stroked="f" coordsize="21600,21600">
            <v:path arrowok="t"/>
            <v:fill focussize="0,0"/>
            <v:stroke on="f"/>
            <v:imagedata o:title=""/>
            <o:lock v:ext="edit"/>
          </v:line>
        </w:pict>
      </w:r>
      <w:r>
        <w:rPr>
          <w:rFonts w:ascii="宋体" w:hAnsi="宋体" w:cs="宋体"/>
          <w:color w:val="000000"/>
          <w:sz w:val="24"/>
          <w:szCs w:val="24"/>
        </w:rPr>
        <w:pict>
          <v:line id="Line 43" o:spid="_x0000_s1045" o:spt="20" style="position:absolute;left:0pt;margin-left:467.2pt;margin-top:23.4pt;height:0pt;width:29.2pt;z-index:251659264;mso-width-relative:page;mso-height-relative:page;" stroked="f" coordsize="21600,21600">
            <v:path arrowok="t"/>
            <v:fill focussize="0,0"/>
            <v:stroke on="f"/>
            <v:imagedata o:title=""/>
            <o:lock v:ext="edit"/>
          </v:line>
        </w:pict>
      </w:r>
      <w:r>
        <w:rPr>
          <w:rFonts w:hint="eastAsia" w:ascii="宋体" w:hAnsi="宋体" w:cs="宋体"/>
          <w:color w:val="000000"/>
          <w:sz w:val="24"/>
          <w:szCs w:val="24"/>
        </w:rPr>
        <w:t>符合性审查→详细评审</w:t>
      </w:r>
    </w:p>
    <w:p>
      <w:pP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供应商的投标文件通过电子清标、资格性审查后，才能进行初步审查，通过初步审查后才能进行详细评审、比较。</w:t>
      </w:r>
    </w:p>
    <w:p>
      <w:pP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（一）资格性审查</w:t>
      </w:r>
    </w:p>
    <w:p>
      <w:pP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采购代理机构按下列条件对供应商提交的资格审查资料进行审查：</w:t>
      </w:r>
    </w:p>
    <w:tbl>
      <w:tblPr>
        <w:tblStyle w:val="41"/>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5894"/>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blHeader/>
          <w:jc w:val="center"/>
        </w:trPr>
        <w:tc>
          <w:tcPr>
            <w:tcW w:w="153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
              </w:rPr>
            </w:pPr>
            <w:r>
              <w:rPr>
                <w:rFonts w:hint="eastAsia" w:ascii="宋体" w:hAnsi="宋体" w:cs="宋体"/>
                <w:b/>
              </w:rPr>
              <w:t>评 审 因 素</w:t>
            </w:r>
          </w:p>
        </w:tc>
        <w:tc>
          <w:tcPr>
            <w:tcW w:w="811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b/>
              </w:rPr>
            </w:pPr>
            <w:r>
              <w:rPr>
                <w:rFonts w:hint="eastAsia" w:ascii="宋体" w:hAnsi="宋体" w:cs="宋体"/>
                <w:b/>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3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r>
              <w:rPr>
                <w:rFonts w:hint="eastAsia" w:ascii="宋体" w:hAnsi="宋体" w:cs="宋体"/>
              </w:rPr>
              <w:t>营业执照</w:t>
            </w:r>
          </w:p>
        </w:tc>
        <w:tc>
          <w:tcPr>
            <w:tcW w:w="5894" w:type="dxa"/>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在中国境内注册，营业执照在有效期内；</w:t>
            </w:r>
          </w:p>
        </w:tc>
        <w:tc>
          <w:tcPr>
            <w:tcW w:w="2222" w:type="dxa"/>
            <w:vMerge w:val="restart"/>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b/>
                <w:bCs/>
              </w:rPr>
            </w:pPr>
            <w:r>
              <w:rPr>
                <w:rFonts w:hint="eastAsia" w:ascii="宋体" w:hAnsi="宋体" w:cs="宋体"/>
                <w:b/>
                <w:bCs/>
              </w:rPr>
              <w:t>供应商采取自愿原则选取下列两种方式中的任意一种方式提交资格投标文件即可：</w:t>
            </w:r>
          </w:p>
          <w:p>
            <w:pPr>
              <w:autoSpaceDE w:val="0"/>
              <w:autoSpaceDN w:val="0"/>
              <w:snapToGrid w:val="0"/>
              <w:spacing w:line="400" w:lineRule="exact"/>
              <w:textAlignment w:val="bottom"/>
              <w:rPr>
                <w:rFonts w:ascii="宋体" w:hAnsi="宋体" w:cs="宋体"/>
                <w:b/>
                <w:bCs/>
              </w:rPr>
            </w:pPr>
            <w:r>
              <w:rPr>
                <w:rFonts w:hint="eastAsia" w:ascii="宋体" w:hAnsi="宋体" w:cs="宋体"/>
                <w:b/>
                <w:bCs/>
              </w:rPr>
              <w:t xml:space="preserve">1. 资格条件承诺函（盖公章）； </w:t>
            </w:r>
          </w:p>
          <w:p>
            <w:pPr>
              <w:pStyle w:val="351"/>
              <w:ind w:firstLine="0"/>
              <w:rPr>
                <w:rFonts w:ascii="宋体" w:hAnsi="宋体" w:cs="宋体"/>
                <w:sz w:val="21"/>
                <w:szCs w:val="21"/>
              </w:rPr>
            </w:pPr>
            <w:r>
              <w:rPr>
                <w:rFonts w:hint="eastAsia" w:ascii="宋体" w:hAnsi="宋体" w:cs="宋体"/>
                <w:b/>
                <w:bCs/>
                <w:sz w:val="21"/>
                <w:szCs w:val="21"/>
              </w:rPr>
              <w:t>2.符合《中华人民共和国政府采购法》条二十二条规定条件的相关资格证明材料。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1533" w:type="dxa"/>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r>
              <w:rPr>
                <w:rFonts w:hint="eastAsia" w:ascii="宋体" w:hAnsi="宋体" w:cs="宋体"/>
              </w:rPr>
              <w:t>财务要求</w:t>
            </w:r>
          </w:p>
        </w:tc>
        <w:tc>
          <w:tcPr>
            <w:tcW w:w="5894" w:type="dxa"/>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提供2022年经审计的财务报表或公司财务报表，成立不满1年的提供财务报表或相关情况说明。</w:t>
            </w:r>
          </w:p>
        </w:tc>
        <w:tc>
          <w:tcPr>
            <w:tcW w:w="222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53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r>
              <w:rPr>
                <w:rFonts w:hint="eastAsia" w:ascii="宋体" w:hAnsi="宋体" w:cs="宋体"/>
              </w:rPr>
              <w:t>纳税社保要求</w:t>
            </w:r>
          </w:p>
        </w:tc>
        <w:tc>
          <w:tcPr>
            <w:tcW w:w="5894" w:type="dxa"/>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提供在投标文件提交截止日期前12个月内任意1个月依法纳税和依法缴纳社保的证明文件（税务局税收通用缴款书或银行电子缴税（费）凭证或税务局出具纳税情况证明），依法免缴的，应提供依法免税的相关证明文件。</w:t>
            </w:r>
          </w:p>
        </w:tc>
        <w:tc>
          <w:tcPr>
            <w:tcW w:w="222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53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r>
              <w:rPr>
                <w:rFonts w:hint="eastAsia" w:ascii="宋体" w:hAnsi="宋体" w:cs="宋体"/>
              </w:rPr>
              <w:t>其他要求</w:t>
            </w:r>
          </w:p>
        </w:tc>
        <w:tc>
          <w:tcPr>
            <w:tcW w:w="58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①具有履行合同所必须的设备和专业技术能力，提供承诺函；</w:t>
            </w:r>
          </w:p>
          <w:p>
            <w:pPr>
              <w:autoSpaceDE w:val="0"/>
              <w:autoSpaceDN w:val="0"/>
              <w:adjustRightInd w:val="0"/>
              <w:snapToGrid w:val="0"/>
              <w:spacing w:line="360" w:lineRule="auto"/>
              <w:rPr>
                <w:rFonts w:ascii="宋体" w:hAnsi="宋体" w:cs="宋体"/>
              </w:rPr>
            </w:pPr>
            <w:r>
              <w:rPr>
                <w:rFonts w:hint="eastAsia" w:ascii="宋体" w:hAnsi="宋体" w:cs="宋体"/>
              </w:rPr>
              <w:t>②出具投标单位在近三年经营活动中没有重大违法记录声明。</w:t>
            </w:r>
          </w:p>
        </w:tc>
        <w:tc>
          <w:tcPr>
            <w:tcW w:w="2222"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jc w:val="center"/>
        </w:trPr>
        <w:tc>
          <w:tcPr>
            <w:tcW w:w="1533" w:type="dxa"/>
            <w:vMerge w:val="restart"/>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r>
              <w:rPr>
                <w:rFonts w:hint="eastAsia" w:ascii="宋体" w:hAnsi="宋体" w:cs="宋体"/>
              </w:rPr>
              <w:t>特定资格要求</w:t>
            </w:r>
          </w:p>
        </w:tc>
        <w:tc>
          <w:tcPr>
            <w:tcW w:w="58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提供未被列入“信用中国”网站（www.creditchina.gov.cn）失信被执行人、重大税收违法失信主体、政府采购严重违法失信行为记录名单及中国政府采购网（www.ccgp.gov.cn）“政府采购严重违法失信行为信息记录”名单截图。（查询时间应为公告发布时间之后）</w:t>
            </w:r>
          </w:p>
        </w:tc>
        <w:tc>
          <w:tcPr>
            <w:tcW w:w="2222" w:type="dxa"/>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供应商将上述网站截图附在投标文件内，开标时采购代理机构将通过以上网站查询核对。</w:t>
            </w:r>
          </w:p>
          <w:p>
            <w:pPr>
              <w:autoSpaceDE w:val="0"/>
              <w:autoSpaceDN w:val="0"/>
              <w:adjustRightInd w:val="0"/>
              <w:snapToGrid w:val="0"/>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533" w:type="dxa"/>
            <w:vMerge w:val="continue"/>
            <w:tcBorders>
              <w:left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cs="宋体"/>
              </w:rPr>
            </w:pPr>
          </w:p>
        </w:tc>
        <w:tc>
          <w:tcPr>
            <w:tcW w:w="58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单位负责人为同一人或者存在直接控股、管理关系的不同供应商，不得参加同一包或未分包的同一项目下的政府采购活动。</w:t>
            </w:r>
          </w:p>
        </w:tc>
        <w:tc>
          <w:tcPr>
            <w:tcW w:w="2222" w:type="dxa"/>
            <w:tcBorders>
              <w:left w:val="single" w:color="auto" w:sz="4" w:space="0"/>
              <w:right w:val="single" w:color="auto" w:sz="4" w:space="0"/>
            </w:tcBorders>
            <w:vAlign w:val="center"/>
          </w:tcPr>
          <w:p>
            <w:pPr>
              <w:autoSpaceDE w:val="0"/>
              <w:autoSpaceDN w:val="0"/>
              <w:adjustRightInd w:val="0"/>
              <w:snapToGrid w:val="0"/>
              <w:spacing w:line="360" w:lineRule="auto"/>
              <w:rPr>
                <w:rFonts w:ascii="宋体" w:hAnsi="宋体" w:cs="宋体"/>
              </w:rPr>
            </w:pPr>
            <w:r>
              <w:rPr>
                <w:rFonts w:hint="eastAsia" w:ascii="宋体" w:hAnsi="宋体" w:cs="宋体"/>
              </w:rPr>
              <w:t>提供承诺函</w:t>
            </w:r>
          </w:p>
        </w:tc>
      </w:tr>
    </w:tbl>
    <w:p>
      <w:pPr>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（二）电子清标</w:t>
      </w:r>
    </w:p>
    <w:p>
      <w:pPr>
        <w:pStyle w:val="21"/>
        <w:ind w:firstLine="480" w:firstLineChars="200"/>
        <w:rPr>
          <w:rFonts w:ascii="宋体" w:hAnsi="宋体" w:cs="宋体"/>
          <w:color w:val="000000"/>
          <w:sz w:val="24"/>
          <w:szCs w:val="24"/>
        </w:rPr>
      </w:pPr>
      <w:r>
        <w:rPr>
          <w:rFonts w:hint="eastAsia" w:ascii="宋体" w:hAnsi="宋体" w:cs="宋体"/>
          <w:color w:val="000000"/>
          <w:sz w:val="24"/>
          <w:szCs w:val="24"/>
        </w:rPr>
        <w:t>进入评审阶段时，首先进行电子清标，如供应商上传的电子投标文件清标未通过（包括不同供应商用同一台电脑设备制作、同一IP地址上传电子投标文件），则视为无效的投标文件，不得进入下一步评审。</w:t>
      </w:r>
    </w:p>
    <w:p>
      <w:pPr>
        <w:spacing w:line="460" w:lineRule="exact"/>
        <w:ind w:firstLine="482" w:firstLineChars="200"/>
        <w:rPr>
          <w:rFonts w:ascii="宋体" w:hAnsi="宋体" w:cs="宋体"/>
          <w:b/>
          <w:bCs/>
          <w:sz w:val="24"/>
          <w:szCs w:val="24"/>
        </w:rPr>
      </w:pPr>
      <w:r>
        <w:rPr>
          <w:rFonts w:hint="eastAsia" w:ascii="宋体" w:hAnsi="宋体" w:cs="宋体"/>
          <w:b/>
          <w:bCs/>
          <w:sz w:val="24"/>
          <w:szCs w:val="24"/>
        </w:rPr>
        <w:t xml:space="preserve"> (三)符合性审查</w:t>
      </w:r>
    </w:p>
    <w:p>
      <w:pPr>
        <w:pStyle w:val="21"/>
        <w:ind w:firstLine="480" w:firstLineChars="200"/>
        <w:rPr>
          <w:rFonts w:ascii="宋体" w:hAnsi="宋体" w:cs="宋体"/>
          <w:sz w:val="24"/>
          <w:szCs w:val="24"/>
        </w:rPr>
      </w:pPr>
      <w:r>
        <w:rPr>
          <w:rFonts w:hint="eastAsia" w:ascii="宋体" w:hAnsi="宋体" w:cs="宋体"/>
          <w:sz w:val="24"/>
          <w:szCs w:val="24"/>
        </w:rPr>
        <w:t>评标委员会依据符合性评审标准对符合资格的供应商的投标文件进行符合性审查，有一项不符合评审标准的，评标委员会应当否决其投标。</w:t>
      </w:r>
    </w:p>
    <w:p>
      <w:pPr>
        <w:pStyle w:val="21"/>
        <w:ind w:firstLine="482" w:firstLineChars="200"/>
        <w:rPr>
          <w:rFonts w:ascii="宋体" w:hAnsi="宋体" w:cs="宋体"/>
          <w:sz w:val="24"/>
          <w:szCs w:val="24"/>
        </w:rPr>
      </w:pPr>
      <w:r>
        <w:rPr>
          <w:rFonts w:hint="eastAsia" w:ascii="宋体" w:hAnsi="宋体" w:cs="宋体"/>
          <w:b/>
          <w:sz w:val="24"/>
          <w:szCs w:val="24"/>
        </w:rPr>
        <w:t>1、符合性审查表</w:t>
      </w:r>
    </w:p>
    <w:tbl>
      <w:tblPr>
        <w:tblStyle w:val="41"/>
        <w:tblW w:w="9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1"/>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3" w:hRule="atLeast"/>
        </w:trPr>
        <w:tc>
          <w:tcPr>
            <w:tcW w:w="2861" w:type="dxa"/>
          </w:tcPr>
          <w:p>
            <w:pPr>
              <w:pStyle w:val="21"/>
              <w:widowControl w:val="0"/>
              <w:ind w:firstLine="0"/>
              <w:jc w:val="center"/>
              <w:rPr>
                <w:rFonts w:ascii="宋体" w:hAnsi="宋体" w:cs="宋体"/>
                <w:b/>
                <w:bCs/>
                <w:sz w:val="24"/>
                <w:szCs w:val="24"/>
              </w:rPr>
            </w:pPr>
            <w:r>
              <w:rPr>
                <w:rFonts w:hint="eastAsia" w:ascii="宋体" w:hAnsi="宋体" w:cs="宋体"/>
                <w:b/>
                <w:bCs/>
                <w:sz w:val="24"/>
                <w:szCs w:val="24"/>
              </w:rPr>
              <w:t>评审因素</w:t>
            </w:r>
          </w:p>
        </w:tc>
        <w:tc>
          <w:tcPr>
            <w:tcW w:w="6960" w:type="dxa"/>
          </w:tcPr>
          <w:p>
            <w:pPr>
              <w:pStyle w:val="21"/>
              <w:widowControl w:val="0"/>
              <w:ind w:firstLine="0"/>
              <w:jc w:val="center"/>
              <w:rPr>
                <w:rFonts w:ascii="宋体" w:hAnsi="宋体" w:cs="宋体"/>
                <w:b/>
                <w:bCs/>
                <w:sz w:val="24"/>
                <w:szCs w:val="24"/>
              </w:rPr>
            </w:pPr>
            <w:r>
              <w:rPr>
                <w:rFonts w:hint="eastAsia" w:ascii="宋体" w:hAnsi="宋体" w:cs="宋体"/>
                <w:b/>
                <w:bCs/>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pStyle w:val="21"/>
              <w:widowControl w:val="0"/>
              <w:ind w:firstLine="0"/>
              <w:jc w:val="center"/>
              <w:rPr>
                <w:rFonts w:ascii="宋体" w:hAnsi="宋体" w:cs="宋体"/>
                <w:sz w:val="24"/>
                <w:szCs w:val="24"/>
              </w:rPr>
            </w:pPr>
            <w:r>
              <w:rPr>
                <w:rFonts w:hint="eastAsia" w:ascii="宋体" w:hAnsi="宋体" w:cs="宋体"/>
                <w:sz w:val="24"/>
                <w:szCs w:val="24"/>
              </w:rPr>
              <w:t>投标文件格式</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rPr>
              <w:t>投标文件按</w:t>
            </w:r>
            <w:r>
              <w:rPr>
                <w:rFonts w:hint="eastAsia" w:ascii="宋体" w:hAnsi="宋体" w:cs="宋体"/>
                <w:sz w:val="24"/>
                <w:szCs w:val="24"/>
              </w:rPr>
              <w:t>第六章“投标文件格式”</w:t>
            </w:r>
            <w:r>
              <w:rPr>
                <w:rFonts w:hint="eastAsia" w:ascii="宋体" w:hAnsi="宋体" w:cs="宋体"/>
                <w:sz w:val="24"/>
              </w:rPr>
              <w:t>要求填写，内容完整且关键字迹清晰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pStyle w:val="21"/>
              <w:widowControl w:val="0"/>
              <w:ind w:firstLine="0"/>
              <w:jc w:val="center"/>
              <w:rPr>
                <w:rFonts w:ascii="宋体" w:hAnsi="宋体" w:cs="宋体"/>
                <w:sz w:val="24"/>
                <w:szCs w:val="24"/>
              </w:rPr>
            </w:pPr>
            <w:r>
              <w:rPr>
                <w:rFonts w:hint="eastAsia" w:ascii="宋体" w:hAnsi="宋体" w:cs="宋体"/>
                <w:sz w:val="24"/>
                <w:szCs w:val="24"/>
              </w:rPr>
              <w:t>投标文件签署、盖章</w:t>
            </w:r>
          </w:p>
        </w:tc>
        <w:tc>
          <w:tcPr>
            <w:tcW w:w="6960" w:type="dxa"/>
          </w:tcPr>
          <w:p>
            <w:pPr>
              <w:tabs>
                <w:tab w:val="left" w:pos="840"/>
              </w:tabs>
              <w:spacing w:line="288" w:lineRule="auto"/>
              <w:rPr>
                <w:rFonts w:ascii="宋体" w:hAnsi="宋体" w:cs="宋体"/>
                <w:sz w:val="24"/>
              </w:rPr>
            </w:pPr>
            <w:r>
              <w:rPr>
                <w:rFonts w:ascii="宋体" w:hAnsi="宋体" w:cs="宋体"/>
                <w:sz w:val="24"/>
              </w:rPr>
              <w:t>签字：法定代表人或授权委托人应按</w:t>
            </w:r>
            <w:r>
              <w:rPr>
                <w:rFonts w:hint="eastAsia" w:ascii="宋体" w:hAnsi="宋体" w:cs="宋体"/>
                <w:sz w:val="24"/>
              </w:rPr>
              <w:t>“投标文件格式”</w:t>
            </w:r>
            <w:r>
              <w:rPr>
                <w:rFonts w:ascii="宋体" w:hAnsi="宋体" w:cs="宋体"/>
                <w:sz w:val="24"/>
              </w:rPr>
              <w:t>要求进行签字或电子签章（由授权</w:t>
            </w:r>
            <w:r>
              <w:rPr>
                <w:rFonts w:hint="eastAsia" w:ascii="宋体" w:hAnsi="宋体" w:cs="宋体"/>
                <w:sz w:val="24"/>
              </w:rPr>
              <w:t>代理</w:t>
            </w:r>
            <w:r>
              <w:rPr>
                <w:rFonts w:ascii="宋体" w:hAnsi="宋体" w:cs="宋体"/>
                <w:sz w:val="24"/>
              </w:rPr>
              <w:t>人签字的</w:t>
            </w:r>
            <w:r>
              <w:rPr>
                <w:rFonts w:hint="eastAsia" w:ascii="宋体" w:hAnsi="宋体" w:cs="宋体"/>
                <w:sz w:val="24"/>
              </w:rPr>
              <w:t>投标文件</w:t>
            </w:r>
            <w:r>
              <w:rPr>
                <w:rFonts w:ascii="宋体" w:hAnsi="宋体" w:cs="宋体"/>
                <w:sz w:val="24"/>
              </w:rPr>
              <w:t>须附授权委托书）；</w:t>
            </w:r>
          </w:p>
          <w:p>
            <w:pPr>
              <w:pStyle w:val="21"/>
              <w:widowControl w:val="0"/>
              <w:ind w:firstLine="0"/>
              <w:jc w:val="both"/>
              <w:rPr>
                <w:rFonts w:ascii="宋体" w:hAnsi="宋体" w:cs="宋体"/>
                <w:sz w:val="24"/>
                <w:szCs w:val="24"/>
              </w:rPr>
            </w:pPr>
            <w:r>
              <w:rPr>
                <w:rFonts w:ascii="宋体" w:hAnsi="宋体" w:cs="宋体"/>
                <w:sz w:val="24"/>
              </w:rPr>
              <w:t>盖章：</w:t>
            </w:r>
            <w:r>
              <w:rPr>
                <w:rFonts w:hint="eastAsia" w:ascii="宋体" w:hAnsi="宋体" w:cs="宋体"/>
                <w:sz w:val="24"/>
              </w:rPr>
              <w:t>按“投标文件格式”要求进行</w:t>
            </w:r>
            <w:r>
              <w:rPr>
                <w:rFonts w:ascii="宋体" w:hAnsi="宋体" w:cs="宋体"/>
                <w:sz w:val="24"/>
              </w:rPr>
              <w:t>电子签章</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pStyle w:val="21"/>
              <w:widowControl w:val="0"/>
              <w:ind w:firstLine="0"/>
              <w:jc w:val="center"/>
              <w:rPr>
                <w:rFonts w:ascii="宋体" w:hAnsi="宋体" w:cs="宋体"/>
                <w:sz w:val="24"/>
                <w:szCs w:val="24"/>
              </w:rPr>
            </w:pPr>
            <w:r>
              <w:rPr>
                <w:rFonts w:hint="eastAsia" w:ascii="宋体" w:hAnsi="宋体" w:cs="宋体"/>
                <w:sz w:val="24"/>
                <w:szCs w:val="24"/>
              </w:rPr>
              <w:t>投标报价</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szCs w:val="24"/>
              </w:rPr>
              <w:t>符合第二章“供应商须知”第3.2项规定和第二章“供应商须知前附表”第3.2.4款规定。</w:t>
            </w:r>
          </w:p>
          <w:p>
            <w:pPr>
              <w:pStyle w:val="21"/>
              <w:widowControl w:val="0"/>
              <w:ind w:firstLine="0"/>
              <w:jc w:val="both"/>
              <w:rPr>
                <w:rFonts w:ascii="宋体" w:hAnsi="宋体" w:cs="宋体"/>
                <w:sz w:val="24"/>
                <w:szCs w:val="24"/>
              </w:rPr>
            </w:pPr>
            <w:r>
              <w:rPr>
                <w:rFonts w:hint="eastAsia" w:ascii="宋体" w:hAnsi="宋体" w:cs="宋体"/>
                <w:b/>
                <w:bCs/>
                <w:sz w:val="21"/>
              </w:rPr>
              <w:t>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861" w:type="dxa"/>
            <w:vAlign w:val="center"/>
          </w:tcPr>
          <w:p>
            <w:pPr>
              <w:pStyle w:val="21"/>
              <w:widowControl w:val="0"/>
              <w:ind w:firstLine="0"/>
              <w:jc w:val="center"/>
              <w:rPr>
                <w:rFonts w:ascii="宋体" w:hAnsi="宋体" w:cs="宋体"/>
                <w:sz w:val="24"/>
                <w:szCs w:val="24"/>
              </w:rPr>
            </w:pPr>
            <w:r>
              <w:rPr>
                <w:rFonts w:hint="eastAsia" w:ascii="宋体" w:hAnsi="宋体" w:cs="宋体"/>
                <w:sz w:val="24"/>
                <w:szCs w:val="24"/>
              </w:rPr>
              <w:t>投标有效期</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szCs w:val="24"/>
              </w:rPr>
              <w:t>符合第二章“供应商须知前附表”第3.3.1款规定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61" w:type="dxa"/>
          </w:tcPr>
          <w:p>
            <w:pPr>
              <w:pStyle w:val="21"/>
              <w:widowControl w:val="0"/>
              <w:ind w:firstLine="0"/>
              <w:jc w:val="center"/>
              <w:rPr>
                <w:rFonts w:ascii="宋体" w:hAnsi="宋体" w:cs="宋体"/>
                <w:sz w:val="24"/>
                <w:szCs w:val="24"/>
              </w:rPr>
            </w:pPr>
            <w:r>
              <w:rPr>
                <w:rFonts w:hint="eastAsia" w:ascii="宋体" w:hAnsi="宋体" w:cs="宋体"/>
                <w:sz w:val="24"/>
                <w:szCs w:val="24"/>
              </w:rPr>
              <w:t>交货期、质保期</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szCs w:val="24"/>
              </w:rPr>
              <w:t>符合或优于第二章“供应商须知前附表”第1.3.2款规定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861" w:type="dxa"/>
          </w:tcPr>
          <w:p>
            <w:pPr>
              <w:pStyle w:val="21"/>
              <w:widowControl w:val="0"/>
              <w:ind w:firstLine="0"/>
              <w:jc w:val="center"/>
              <w:rPr>
                <w:rFonts w:ascii="宋体" w:hAnsi="宋体" w:cs="宋体"/>
                <w:sz w:val="24"/>
                <w:szCs w:val="24"/>
              </w:rPr>
            </w:pPr>
            <w:r>
              <w:rPr>
                <w:rFonts w:hint="eastAsia" w:ascii="宋体" w:hAnsi="宋体" w:cs="宋体"/>
                <w:sz w:val="24"/>
                <w:szCs w:val="24"/>
              </w:rPr>
              <w:t>交货地点、交货方式</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szCs w:val="24"/>
              </w:rPr>
              <w:t>符合第二章“供应商须知前附表”第1.3.3款规定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2861" w:type="dxa"/>
            <w:vAlign w:val="center"/>
          </w:tcPr>
          <w:p>
            <w:pPr>
              <w:pStyle w:val="21"/>
              <w:widowControl w:val="0"/>
              <w:ind w:firstLine="0"/>
              <w:jc w:val="center"/>
              <w:rPr>
                <w:rFonts w:ascii="宋体" w:hAnsi="宋体" w:cs="宋体"/>
                <w:b/>
                <w:color w:val="000000"/>
                <w:sz w:val="24"/>
                <w:szCs w:val="24"/>
              </w:rPr>
            </w:pPr>
            <w:r>
              <w:rPr>
                <w:rFonts w:hint="eastAsia" w:ascii="宋体" w:hAnsi="宋体" w:cs="宋体"/>
                <w:b/>
                <w:color w:val="000000"/>
                <w:sz w:val="24"/>
              </w:rPr>
              <w:t>投标内容</w:t>
            </w:r>
          </w:p>
        </w:tc>
        <w:tc>
          <w:tcPr>
            <w:tcW w:w="6960" w:type="dxa"/>
            <w:vAlign w:val="center"/>
          </w:tcPr>
          <w:p>
            <w:pPr>
              <w:pStyle w:val="21"/>
              <w:widowControl w:val="0"/>
              <w:ind w:firstLine="0"/>
              <w:rPr>
                <w:rFonts w:ascii="宋体" w:hAnsi="宋体" w:cs="宋体"/>
                <w:b/>
                <w:color w:val="000000"/>
                <w:sz w:val="24"/>
                <w:szCs w:val="24"/>
              </w:rPr>
            </w:pPr>
            <w:r>
              <w:rPr>
                <w:rFonts w:hint="eastAsia" w:ascii="宋体" w:hAnsi="宋体" w:cs="宋体"/>
                <w:b/>
                <w:color w:val="000000"/>
                <w:sz w:val="24"/>
              </w:rPr>
              <w:t>供应商提供的货物无实质性遗漏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2861" w:type="dxa"/>
            <w:vAlign w:val="center"/>
          </w:tcPr>
          <w:p>
            <w:pPr>
              <w:rPr>
                <w:rFonts w:ascii="宋体" w:hAnsi="宋体" w:cs="宋体"/>
                <w:b/>
                <w:color w:val="000000"/>
                <w:sz w:val="24"/>
              </w:rPr>
            </w:pPr>
            <w:r>
              <w:rPr>
                <w:rFonts w:hint="eastAsia" w:ascii="宋体" w:hAnsi="宋体" w:cs="宋体"/>
                <w:b/>
                <w:color w:val="000000"/>
                <w:sz w:val="24"/>
              </w:rPr>
              <w:t>实质性响应“★”内容</w:t>
            </w:r>
          </w:p>
        </w:tc>
        <w:tc>
          <w:tcPr>
            <w:tcW w:w="6960" w:type="dxa"/>
            <w:vAlign w:val="center"/>
          </w:tcPr>
          <w:p>
            <w:pPr>
              <w:pStyle w:val="21"/>
              <w:widowControl w:val="0"/>
              <w:ind w:firstLine="0"/>
              <w:rPr>
                <w:rFonts w:ascii="宋体" w:hAnsi="宋体" w:cs="宋体"/>
                <w:b/>
                <w:color w:val="000000"/>
                <w:sz w:val="24"/>
              </w:rPr>
            </w:pPr>
            <w:r>
              <w:rPr>
                <w:rFonts w:hint="eastAsia" w:ascii="宋体" w:hAnsi="宋体" w:cs="宋体"/>
                <w:b/>
                <w:color w:val="000000"/>
                <w:sz w:val="24"/>
              </w:rPr>
              <w:t xml:space="preserve">带星号（“★”）的商务和技术要求为实质性条款，供应商对标“★”内容不得有负偏离，否则做无效处理。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pStyle w:val="21"/>
              <w:widowControl w:val="0"/>
              <w:ind w:firstLine="0"/>
              <w:jc w:val="center"/>
              <w:rPr>
                <w:rFonts w:ascii="宋体" w:hAnsi="宋体" w:cs="宋体"/>
                <w:sz w:val="24"/>
              </w:rPr>
            </w:pPr>
            <w:r>
              <w:rPr>
                <w:rFonts w:hint="eastAsia" w:ascii="宋体" w:hAnsi="宋体" w:cs="宋体"/>
                <w:sz w:val="24"/>
              </w:rPr>
              <w:t>不允许偏离的实质性要求和条件</w:t>
            </w:r>
          </w:p>
        </w:tc>
        <w:tc>
          <w:tcPr>
            <w:tcW w:w="6960" w:type="dxa"/>
            <w:vAlign w:val="center"/>
          </w:tcPr>
          <w:p>
            <w:pPr>
              <w:widowControl w:val="0"/>
              <w:spacing w:line="380" w:lineRule="exact"/>
              <w:rPr>
                <w:rFonts w:ascii="宋体" w:hAnsi="宋体" w:cs="宋体"/>
                <w:sz w:val="24"/>
              </w:rPr>
            </w:pPr>
            <w:r>
              <w:rPr>
                <w:rFonts w:hint="eastAsia" w:ascii="宋体" w:hAnsi="宋体" w:cs="宋体"/>
                <w:sz w:val="24"/>
                <w:szCs w:val="24"/>
              </w:rPr>
              <w:t>符合第二章“供应商须知前附表”第</w:t>
            </w:r>
            <w:r>
              <w:rPr>
                <w:rFonts w:hint="eastAsia" w:ascii="宋体" w:hAnsi="宋体" w:cs="宋体"/>
                <w:kern w:val="2"/>
                <w:sz w:val="24"/>
                <w:szCs w:val="24"/>
              </w:rPr>
              <w:t>1.10和3.5.7条款规定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pStyle w:val="21"/>
              <w:widowControl w:val="0"/>
              <w:ind w:firstLine="0"/>
              <w:jc w:val="center"/>
              <w:rPr>
                <w:rFonts w:ascii="宋体" w:hAnsi="宋体" w:cs="宋体"/>
                <w:sz w:val="24"/>
                <w:szCs w:val="24"/>
              </w:rPr>
            </w:pPr>
            <w:r>
              <w:rPr>
                <w:rFonts w:hint="eastAsia" w:ascii="宋体" w:hAnsi="宋体" w:cs="宋体"/>
                <w:sz w:val="24"/>
                <w:szCs w:val="24"/>
              </w:rPr>
              <w:t>法定代表人授权委托书</w:t>
            </w:r>
          </w:p>
        </w:tc>
        <w:tc>
          <w:tcPr>
            <w:tcW w:w="6960" w:type="dxa"/>
            <w:vAlign w:val="center"/>
          </w:tcPr>
          <w:p>
            <w:pPr>
              <w:pStyle w:val="21"/>
              <w:widowControl w:val="0"/>
              <w:ind w:firstLine="0"/>
              <w:rPr>
                <w:rFonts w:ascii="宋体" w:hAnsi="宋体" w:cs="宋体"/>
                <w:sz w:val="24"/>
                <w:szCs w:val="24"/>
              </w:rPr>
            </w:pPr>
            <w:r>
              <w:rPr>
                <w:rFonts w:hint="eastAsia" w:ascii="宋体" w:hAnsi="宋体" w:cs="宋体"/>
                <w:sz w:val="24"/>
                <w:szCs w:val="24"/>
              </w:rPr>
              <w:t>法定代表人委托代理人投标的，应附法定代表人授权委托书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1" w:type="dxa"/>
            <w:vAlign w:val="center"/>
          </w:tcPr>
          <w:p>
            <w:pPr>
              <w:widowControl w:val="0"/>
              <w:tabs>
                <w:tab w:val="left" w:pos="1260"/>
                <w:tab w:val="left" w:pos="1620"/>
              </w:tabs>
              <w:adjustRightInd w:val="0"/>
              <w:snapToGrid w:val="0"/>
              <w:jc w:val="center"/>
              <w:textAlignment w:val="baseline"/>
              <w:rPr>
                <w:rFonts w:ascii="宋体" w:hAnsi="宋体" w:cs="宋体"/>
                <w:sz w:val="24"/>
                <w:szCs w:val="24"/>
              </w:rPr>
            </w:pPr>
            <w:r>
              <w:rPr>
                <w:rFonts w:hint="eastAsia" w:ascii="宋体" w:hAnsi="宋体" w:cs="宋体"/>
                <w:sz w:val="24"/>
              </w:rPr>
              <w:t>其他无效情形</w:t>
            </w:r>
          </w:p>
        </w:tc>
        <w:tc>
          <w:tcPr>
            <w:tcW w:w="6960" w:type="dxa"/>
            <w:vAlign w:val="center"/>
          </w:tcPr>
          <w:p>
            <w:pPr>
              <w:pStyle w:val="21"/>
              <w:widowControl w:val="0"/>
              <w:autoSpaceDE w:val="0"/>
              <w:ind w:firstLine="0"/>
              <w:jc w:val="both"/>
              <w:rPr>
                <w:rFonts w:ascii="宋体" w:hAnsi="宋体" w:cs="宋体"/>
                <w:sz w:val="24"/>
                <w:szCs w:val="24"/>
              </w:rPr>
            </w:pPr>
            <w:r>
              <w:rPr>
                <w:rFonts w:hint="eastAsia" w:ascii="宋体" w:hAnsi="宋体" w:cs="宋体"/>
                <w:sz w:val="24"/>
                <w:szCs w:val="24"/>
              </w:rPr>
              <w:t>(1)不同供应商的投标文件由同一单位或者个人编制；</w:t>
            </w:r>
          </w:p>
          <w:p>
            <w:pPr>
              <w:pStyle w:val="21"/>
              <w:widowControl w:val="0"/>
              <w:autoSpaceDE w:val="0"/>
              <w:ind w:firstLine="0"/>
              <w:jc w:val="both"/>
              <w:rPr>
                <w:rFonts w:ascii="宋体" w:hAnsi="宋体" w:cs="宋体"/>
                <w:sz w:val="24"/>
                <w:szCs w:val="24"/>
              </w:rPr>
            </w:pPr>
            <w:r>
              <w:rPr>
                <w:rFonts w:hint="eastAsia" w:ascii="宋体" w:hAnsi="宋体" w:cs="宋体"/>
                <w:sz w:val="24"/>
                <w:szCs w:val="24"/>
              </w:rPr>
              <w:t>(2)不同供应商委托同一单位或者个人办理投标事宜；</w:t>
            </w:r>
          </w:p>
          <w:p>
            <w:pPr>
              <w:pStyle w:val="21"/>
              <w:widowControl w:val="0"/>
              <w:autoSpaceDE w:val="0"/>
              <w:ind w:firstLine="0"/>
              <w:jc w:val="both"/>
              <w:rPr>
                <w:rFonts w:ascii="宋体" w:hAnsi="宋体" w:cs="宋体"/>
                <w:sz w:val="24"/>
                <w:szCs w:val="24"/>
              </w:rPr>
            </w:pPr>
            <w:r>
              <w:rPr>
                <w:rFonts w:hint="eastAsia" w:ascii="宋体" w:hAnsi="宋体" w:cs="宋体"/>
                <w:sz w:val="24"/>
                <w:szCs w:val="24"/>
              </w:rPr>
              <w:t>(3)不同供应商的投标文件载明的项目管理成员或者联系人员为同一人；</w:t>
            </w:r>
          </w:p>
          <w:p>
            <w:pPr>
              <w:pStyle w:val="21"/>
              <w:widowControl w:val="0"/>
              <w:autoSpaceDE w:val="0"/>
              <w:ind w:firstLine="0"/>
              <w:jc w:val="both"/>
              <w:rPr>
                <w:rFonts w:ascii="宋体" w:hAnsi="宋体" w:cs="宋体"/>
                <w:sz w:val="24"/>
                <w:szCs w:val="24"/>
              </w:rPr>
            </w:pPr>
            <w:r>
              <w:rPr>
                <w:rFonts w:hint="eastAsia" w:ascii="宋体" w:hAnsi="宋体" w:cs="宋体"/>
                <w:sz w:val="24"/>
                <w:szCs w:val="24"/>
              </w:rPr>
              <w:t>(4)不同供应商的投标文件异常一致或者投标报价呈规律性差异；</w:t>
            </w:r>
          </w:p>
          <w:p>
            <w:pPr>
              <w:pStyle w:val="21"/>
              <w:widowControl w:val="0"/>
              <w:autoSpaceDE w:val="0"/>
              <w:ind w:firstLine="0"/>
              <w:jc w:val="both"/>
              <w:rPr>
                <w:rFonts w:ascii="宋体" w:hAnsi="宋体" w:cs="宋体"/>
                <w:sz w:val="24"/>
                <w:szCs w:val="24"/>
              </w:rPr>
            </w:pPr>
            <w:r>
              <w:rPr>
                <w:rFonts w:hint="eastAsia" w:ascii="宋体" w:hAnsi="宋体" w:cs="宋体"/>
                <w:sz w:val="24"/>
                <w:szCs w:val="24"/>
              </w:rPr>
              <w:t>(5)不同供应商的投标文件相互混装；</w:t>
            </w:r>
          </w:p>
          <w:p>
            <w:pPr>
              <w:pStyle w:val="21"/>
              <w:widowControl w:val="0"/>
              <w:autoSpaceDE w:val="0"/>
              <w:ind w:firstLine="0"/>
              <w:jc w:val="both"/>
              <w:rPr>
                <w:rFonts w:ascii="宋体" w:hAnsi="宋体" w:cs="宋体"/>
                <w:sz w:val="24"/>
                <w:szCs w:val="24"/>
              </w:rPr>
            </w:pPr>
            <w:r>
              <w:rPr>
                <w:rFonts w:hint="eastAsia" w:ascii="宋体" w:hAnsi="宋体" w:cs="宋体"/>
                <w:sz w:val="24"/>
                <w:szCs w:val="24"/>
              </w:rPr>
              <w:t>(6)法律、法规和采购文件规定的其他无效情形。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861" w:type="dxa"/>
          </w:tcPr>
          <w:p>
            <w:pPr>
              <w:pStyle w:val="21"/>
              <w:widowControl w:val="0"/>
              <w:ind w:firstLine="0"/>
              <w:jc w:val="center"/>
              <w:rPr>
                <w:rFonts w:ascii="宋体" w:hAnsi="宋体" w:cs="宋体"/>
                <w:sz w:val="24"/>
                <w:szCs w:val="24"/>
              </w:rPr>
            </w:pPr>
            <w:r>
              <w:rPr>
                <w:rFonts w:hint="eastAsia" w:ascii="宋体" w:hAnsi="宋体" w:cs="宋体"/>
                <w:sz w:val="24"/>
                <w:szCs w:val="24"/>
              </w:rPr>
              <w:t>附加条件</w:t>
            </w:r>
          </w:p>
        </w:tc>
        <w:tc>
          <w:tcPr>
            <w:tcW w:w="6960" w:type="dxa"/>
          </w:tcPr>
          <w:p>
            <w:pPr>
              <w:pStyle w:val="21"/>
              <w:widowControl w:val="0"/>
              <w:ind w:firstLine="0"/>
              <w:jc w:val="both"/>
              <w:rPr>
                <w:rFonts w:ascii="宋体" w:hAnsi="宋体" w:cs="宋体"/>
                <w:sz w:val="24"/>
                <w:szCs w:val="24"/>
              </w:rPr>
            </w:pPr>
            <w:r>
              <w:rPr>
                <w:rFonts w:hint="eastAsia" w:ascii="宋体" w:hAnsi="宋体" w:cs="宋体"/>
                <w:sz w:val="24"/>
                <w:szCs w:val="24"/>
              </w:rPr>
              <w:t>投标文件未含有采购人不能接受的附加条件</w:t>
            </w:r>
          </w:p>
        </w:tc>
      </w:tr>
    </w:tbl>
    <w:p>
      <w:pPr>
        <w:pStyle w:val="21"/>
        <w:ind w:firstLine="482" w:firstLineChars="200"/>
        <w:rPr>
          <w:rFonts w:ascii="宋体" w:hAnsi="宋体" w:cs="宋体"/>
          <w:b/>
          <w:bCs/>
          <w:sz w:val="24"/>
          <w:szCs w:val="24"/>
        </w:rPr>
      </w:pPr>
      <w:r>
        <w:rPr>
          <w:rFonts w:hint="eastAsia" w:ascii="宋体" w:hAnsi="宋体" w:cs="宋体"/>
          <w:b/>
          <w:bCs/>
          <w:sz w:val="24"/>
          <w:szCs w:val="24"/>
        </w:rPr>
        <w:t>(四)澄清有关问题</w:t>
      </w:r>
    </w:p>
    <w:p>
      <w:pPr>
        <w:pStyle w:val="21"/>
        <w:ind w:firstLine="482" w:firstLineChars="200"/>
        <w:rPr>
          <w:rFonts w:ascii="宋体" w:hAnsi="宋体" w:cs="宋体"/>
          <w:b/>
          <w:bCs/>
          <w:sz w:val="24"/>
          <w:szCs w:val="24"/>
        </w:rPr>
      </w:pPr>
      <w:r>
        <w:rPr>
          <w:rFonts w:hint="eastAsia" w:ascii="宋体" w:hAnsi="宋体" w:cs="宋体"/>
          <w:b/>
          <w:bCs/>
          <w:sz w:val="24"/>
          <w:szCs w:val="24"/>
        </w:rPr>
        <w:t>1.投标文件内容澄清</w:t>
      </w:r>
    </w:p>
    <w:p>
      <w:pPr>
        <w:pStyle w:val="21"/>
        <w:ind w:firstLine="480" w:firstLineChars="200"/>
        <w:rPr>
          <w:rFonts w:ascii="宋体" w:hAnsi="宋体" w:cs="宋体"/>
          <w:sz w:val="24"/>
          <w:szCs w:val="24"/>
        </w:rPr>
      </w:pPr>
      <w:r>
        <w:rPr>
          <w:rFonts w:hint="eastAsia" w:ascii="宋体" w:hAnsi="宋体" w:cs="宋体"/>
          <w:sz w:val="24"/>
          <w:szCs w:val="24"/>
        </w:rPr>
        <w:t>对于投标文件中含义不明确、同类问题表述不一致或者有明显文字和计算错误的内容，评标委员会应当以书面形式要求供应商作出必要的澄清、说明或者补正。供应商的澄清、说明或者补正应当采用书面形式，并加盖单位公章，或者由法定代表人或其授权的代表签字。供应商的澄清、说明或者补正不得超出投标文件的范围或者改变投标文件的实质性内容。</w:t>
      </w:r>
    </w:p>
    <w:p>
      <w:pPr>
        <w:pStyle w:val="21"/>
        <w:ind w:firstLine="482" w:firstLineChars="200"/>
        <w:rPr>
          <w:rFonts w:ascii="宋体" w:hAnsi="宋体" w:cs="宋体"/>
          <w:b/>
          <w:bCs/>
          <w:sz w:val="24"/>
          <w:szCs w:val="24"/>
        </w:rPr>
      </w:pPr>
      <w:r>
        <w:rPr>
          <w:rFonts w:hint="eastAsia" w:ascii="宋体" w:hAnsi="宋体" w:cs="宋体"/>
          <w:b/>
          <w:bCs/>
          <w:sz w:val="24"/>
          <w:szCs w:val="24"/>
        </w:rPr>
        <w:t>2.报价不一致情形澄清</w:t>
      </w:r>
    </w:p>
    <w:p>
      <w:pPr>
        <w:spacing w:line="360" w:lineRule="auto"/>
        <w:ind w:firstLine="480" w:firstLineChars="200"/>
        <w:rPr>
          <w:rFonts w:ascii="宋体" w:hAnsi="宋体" w:cs="宋体"/>
          <w:sz w:val="24"/>
          <w:szCs w:val="24"/>
        </w:rPr>
      </w:pPr>
      <w:r>
        <w:rPr>
          <w:rFonts w:hint="eastAsia" w:ascii="宋体" w:hAnsi="宋体" w:cs="宋体"/>
          <w:sz w:val="24"/>
          <w:szCs w:val="24"/>
        </w:rPr>
        <w:t>投标文件报价出现前后不一致的，除采购文件另有规定外，按照下列规定修正：</w:t>
      </w:r>
    </w:p>
    <w:p>
      <w:pPr>
        <w:spacing w:line="360" w:lineRule="auto"/>
        <w:ind w:firstLine="480" w:firstLineChars="200"/>
        <w:rPr>
          <w:rFonts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pPr>
        <w:spacing w:line="360" w:lineRule="auto"/>
        <w:ind w:firstLine="480" w:firstLineChars="200"/>
        <w:rPr>
          <w:rFonts w:ascii="宋体" w:hAnsi="宋体" w:cs="宋体"/>
          <w:sz w:val="24"/>
          <w:szCs w:val="24"/>
        </w:rPr>
      </w:pPr>
      <w:r>
        <w:rPr>
          <w:rFonts w:hint="eastAsia" w:ascii="宋体" w:hAnsi="宋体" w:cs="宋体"/>
          <w:sz w:val="24"/>
          <w:szCs w:val="24"/>
        </w:rPr>
        <w:t>(2)大写金额和小写金额不一致的，以大写金额为准；</w:t>
      </w:r>
    </w:p>
    <w:p>
      <w:pPr>
        <w:spacing w:line="360" w:lineRule="auto"/>
        <w:ind w:firstLine="480" w:firstLineChars="200"/>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pPr>
        <w:spacing w:line="360" w:lineRule="auto"/>
        <w:ind w:firstLine="480" w:firstLineChars="200"/>
        <w:rPr>
          <w:rFonts w:ascii="宋体" w:hAnsi="宋体" w:cs="宋体"/>
          <w:sz w:val="24"/>
          <w:szCs w:val="24"/>
        </w:rPr>
      </w:pPr>
      <w:r>
        <w:rPr>
          <w:rFonts w:hint="eastAsia" w:ascii="宋体" w:hAnsi="宋体" w:cs="宋体"/>
          <w:sz w:val="24"/>
          <w:szCs w:val="24"/>
        </w:rPr>
        <w:t>(4)总价金额与按单价汇总金额不一致的，以单价金额计算结果为准。</w:t>
      </w:r>
    </w:p>
    <w:p>
      <w:pPr>
        <w:pStyle w:val="21"/>
        <w:ind w:firstLine="480" w:firstLineChars="200"/>
        <w:rPr>
          <w:rFonts w:ascii="宋体" w:hAnsi="宋体" w:cs="宋体"/>
          <w:sz w:val="24"/>
          <w:szCs w:val="24"/>
        </w:rPr>
      </w:pPr>
      <w:r>
        <w:rPr>
          <w:rFonts w:hint="eastAsia" w:ascii="宋体" w:hAnsi="宋体" w:cs="宋体"/>
          <w:sz w:val="24"/>
          <w:szCs w:val="24"/>
        </w:rPr>
        <w:t>同时出现两种以上不一致的，按照前款规定的顺序修正。修正后的报价经供应商确认后产生约束力，供应商不确认的，其投标无效。</w:t>
      </w:r>
    </w:p>
    <w:p>
      <w:pPr>
        <w:pStyle w:val="21"/>
        <w:ind w:firstLine="482" w:firstLineChars="200"/>
        <w:rPr>
          <w:rFonts w:ascii="宋体" w:hAnsi="宋体" w:cs="宋体"/>
          <w:b/>
          <w:bCs/>
          <w:sz w:val="24"/>
          <w:szCs w:val="24"/>
        </w:rPr>
      </w:pPr>
      <w:r>
        <w:rPr>
          <w:rFonts w:hint="eastAsia" w:ascii="宋体" w:hAnsi="宋体" w:cs="宋体"/>
          <w:b/>
          <w:bCs/>
          <w:sz w:val="24"/>
          <w:szCs w:val="24"/>
        </w:rPr>
        <w:t>3.报价过低情形澄清</w:t>
      </w:r>
    </w:p>
    <w:p>
      <w:pPr>
        <w:pStyle w:val="21"/>
        <w:widowControl w:val="0"/>
        <w:ind w:firstLine="480" w:firstLineChars="200"/>
        <w:rPr>
          <w:rFonts w:ascii="宋体" w:hAnsi="宋体" w:cs="宋体"/>
          <w:sz w:val="24"/>
          <w:szCs w:val="24"/>
        </w:rPr>
      </w:pPr>
      <w:r>
        <w:rPr>
          <w:rFonts w:hint="eastAsia" w:ascii="宋体" w:hAnsi="宋体" w:cs="宋体"/>
          <w:sz w:val="24"/>
          <w:szCs w:val="24"/>
        </w:rPr>
        <w:t>评标委员会认为供应商的报价(总价或单价)明显低于其他通过符合性审查供应商的报价(总价或单价)，有可能影响产品质量或者不能诚信履约的，应当要求其在评标现场合理的时间内提供书面说明，必要时提交相关证明材料；供应商不能证明其报价合理性的，评标委员会应当将其作为无效投标处理。</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(五)商务和技术评估、综合比较与评价</w:t>
      </w:r>
    </w:p>
    <w:p>
      <w:pPr>
        <w:widowControl w:val="0"/>
        <w:autoSpaceDE w:val="0"/>
        <w:autoSpaceDN w:val="0"/>
        <w:spacing w:line="460" w:lineRule="exact"/>
        <w:ind w:firstLine="472" w:firstLineChars="196"/>
        <w:jc w:val="both"/>
        <w:rPr>
          <w:rFonts w:ascii="宋体" w:hAnsi="宋体" w:cs="宋体"/>
          <w:b/>
          <w:bCs/>
          <w:color w:val="000000"/>
          <w:sz w:val="24"/>
          <w:szCs w:val="24"/>
        </w:rPr>
      </w:pPr>
      <w:r>
        <w:rPr>
          <w:rFonts w:hint="eastAsia" w:ascii="宋体" w:hAnsi="宋体" w:cs="宋体"/>
          <w:b/>
          <w:bCs/>
          <w:color w:val="000000"/>
          <w:sz w:val="24"/>
          <w:szCs w:val="24"/>
        </w:rPr>
        <w:t>1.同品牌核心产品不同供应商的处理方式</w:t>
      </w:r>
    </w:p>
    <w:p>
      <w:pPr>
        <w:widowControl w:val="0"/>
        <w:autoSpaceDE w:val="0"/>
        <w:autoSpaceDN w:val="0"/>
        <w:spacing w:line="460" w:lineRule="exact"/>
        <w:ind w:firstLine="480" w:firstLineChars="200"/>
        <w:jc w:val="both"/>
        <w:rPr>
          <w:rFonts w:ascii="宋体" w:hAnsi="宋体" w:cs="宋体"/>
          <w:sz w:val="24"/>
          <w:szCs w:val="24"/>
        </w:rPr>
      </w:pPr>
      <w:r>
        <w:rPr>
          <w:rFonts w:hint="eastAsia" w:ascii="宋体" w:hAnsi="宋体" w:cs="宋体"/>
          <w:sz w:val="24"/>
          <w:szCs w:val="24"/>
        </w:rPr>
        <w:t>相同品牌产品且通过资格审查、符合性审查的不同供应商参加同一合同项下投标的，按一家供应商计算，评审后得分最高的同品牌供应商获得中标人推荐资格；评审得分相同的，由采购人或者采购人委托评标委员会按照采购文件规定的方式确定一个供应商获得中标人推荐资格，采购文件未规定的采取随机抽取方式确定，其他同品牌供应商不作为中标候选人。</w:t>
      </w:r>
    </w:p>
    <w:p>
      <w:pPr>
        <w:widowControl w:val="0"/>
        <w:autoSpaceDE w:val="0"/>
        <w:autoSpaceDN w:val="0"/>
        <w:spacing w:line="460" w:lineRule="exact"/>
        <w:ind w:firstLine="480" w:firstLineChars="200"/>
        <w:jc w:val="both"/>
        <w:rPr>
          <w:rFonts w:ascii="宋体" w:hAnsi="宋体" w:cs="宋体"/>
          <w:sz w:val="24"/>
          <w:szCs w:val="24"/>
        </w:rPr>
      </w:pPr>
      <w:r>
        <w:rPr>
          <w:rFonts w:hint="eastAsia" w:ascii="宋体" w:hAnsi="宋体" w:cs="宋体"/>
          <w:sz w:val="24"/>
          <w:szCs w:val="24"/>
        </w:rPr>
        <w:t>非单一产品采购项目，采购人应当根据采购项目技术构成、产品价格比重等合理确定核心产品，并在采购文件中载明。多家供应商提供的核心产品品牌相同的，按前款规定处理。</w:t>
      </w:r>
    </w:p>
    <w:p>
      <w:pPr>
        <w:widowControl w:val="0"/>
        <w:spacing w:line="360" w:lineRule="auto"/>
        <w:ind w:firstLine="472" w:firstLineChars="196"/>
        <w:jc w:val="both"/>
        <w:rPr>
          <w:rFonts w:ascii="宋体" w:hAnsi="宋体" w:cs="宋体"/>
          <w:b/>
          <w:bCs/>
          <w:sz w:val="24"/>
          <w:szCs w:val="24"/>
        </w:rPr>
      </w:pPr>
      <w:r>
        <w:rPr>
          <w:rFonts w:hint="eastAsia" w:ascii="宋体" w:hAnsi="宋体" w:cs="宋体"/>
          <w:b/>
          <w:bCs/>
          <w:sz w:val="24"/>
          <w:szCs w:val="24"/>
        </w:rPr>
        <w:t>2.小微企业价格评审优惠政策</w:t>
      </w:r>
    </w:p>
    <w:p>
      <w:pPr>
        <w:pStyle w:val="19"/>
        <w:widowControl w:val="0"/>
        <w:ind w:firstLine="480" w:firstLineChars="200"/>
        <w:rPr>
          <w:rFonts w:ascii="宋体" w:hAnsi="宋体" w:cs="宋体"/>
          <w:sz w:val="24"/>
        </w:rPr>
      </w:pPr>
      <w:r>
        <w:rPr>
          <w:rFonts w:hint="eastAsia" w:ascii="宋体" w:hAnsi="宋体" w:cs="宋体"/>
          <w:sz w:val="24"/>
        </w:rPr>
        <w:t>根据《政府采购促进中小企业发展管理办法》（财库〔2020〕46号)、关于进一步加大政府采购支持中小企业力度的通知（财库〔2022〕19号）的规定，对符合国家统计局《统计上大中小微型企业划分办法（2017）》规定条件</w:t>
      </w:r>
      <w:r>
        <w:rPr>
          <w:rFonts w:hint="eastAsia" w:ascii="宋体" w:hAnsi="宋体" w:cs="宋体"/>
          <w:b/>
          <w:bCs/>
          <w:sz w:val="24"/>
          <w:u w:val="single"/>
        </w:rPr>
        <w:t>工业</w:t>
      </w:r>
      <w:r>
        <w:rPr>
          <w:rFonts w:hint="eastAsia" w:ascii="宋体" w:hAnsi="宋体" w:cs="宋体"/>
          <w:sz w:val="24"/>
        </w:rPr>
        <w:t>行业的小微企业报价给予</w:t>
      </w:r>
      <w:r>
        <w:rPr>
          <w:rFonts w:hint="eastAsia" w:ascii="宋体" w:hAnsi="宋体" w:cs="宋体"/>
          <w:b/>
          <w:bCs/>
          <w:sz w:val="24"/>
        </w:rPr>
        <w:t>10%</w:t>
      </w:r>
      <w:r>
        <w:rPr>
          <w:rFonts w:hint="eastAsia" w:ascii="宋体" w:hAnsi="宋体" w:cs="宋体"/>
          <w:sz w:val="24"/>
        </w:rPr>
        <w:t>的扣除，大中企业与小微企业组成联合体评审优惠比例为4%、大中企业向小微企业合同分包评审优惠比例为4%，用扣除后的价格参加评审。</w:t>
      </w:r>
    </w:p>
    <w:p>
      <w:pPr>
        <w:pStyle w:val="19"/>
        <w:widowControl w:val="0"/>
        <w:ind w:firstLine="480" w:firstLineChars="200"/>
        <w:rPr>
          <w:rFonts w:ascii="宋体" w:hAnsi="宋体" w:cs="宋体"/>
          <w:kern w:val="0"/>
          <w:sz w:val="24"/>
        </w:rPr>
      </w:pPr>
      <w:r>
        <w:rPr>
          <w:rFonts w:hint="eastAsia" w:ascii="宋体" w:hAnsi="宋体" w:cs="宋体"/>
          <w:kern w:val="0"/>
          <w:sz w:val="24"/>
        </w:rPr>
        <w:t>请供应商根据《政府采购促进中小企业发展管理办法》（财库〔2020〕46号)的规定，提供《中小企业声明函》，未提供的小微企业不享受价格评审优惠政策。供应商对《中小企业声明函》的真实性负责，如有虚假，采购人将向监管部门反映，供应商依法承担相应责任。</w:t>
      </w:r>
    </w:p>
    <w:p>
      <w:pPr>
        <w:pStyle w:val="19"/>
        <w:widowControl w:val="0"/>
        <w:ind w:firstLine="480" w:firstLineChars="200"/>
        <w:rPr>
          <w:rFonts w:ascii="宋体" w:hAnsi="宋体" w:cs="宋体"/>
          <w:kern w:val="0"/>
          <w:sz w:val="24"/>
        </w:rPr>
      </w:pPr>
      <w:r>
        <w:rPr>
          <w:rFonts w:hint="eastAsia" w:ascii="宋体" w:hAnsi="宋体" w:cs="宋体"/>
          <w:kern w:val="0"/>
          <w:sz w:val="24"/>
        </w:rPr>
        <w:t>其他未尽事宜，按照《政府采购促进中小企业发展管理办法》（财库〔2020〕46号)规定执行。</w:t>
      </w:r>
    </w:p>
    <w:p>
      <w:pPr>
        <w:autoSpaceDE w:val="0"/>
        <w:autoSpaceDN w:val="0"/>
        <w:spacing w:line="480" w:lineRule="exact"/>
        <w:ind w:firstLine="470" w:firstLineChars="196"/>
        <w:rPr>
          <w:rFonts w:ascii="宋体" w:hAnsi="宋体" w:cs="宋体"/>
          <w:b/>
          <w:bCs/>
          <w:sz w:val="24"/>
          <w:szCs w:val="24"/>
        </w:rPr>
      </w:pPr>
      <w:r>
        <w:rPr>
          <w:rFonts w:hint="eastAsia" w:ascii="宋体" w:hAnsi="宋体" w:cs="宋体"/>
          <w:sz w:val="24"/>
          <w:szCs w:val="24"/>
        </w:rPr>
        <w:t>3.监狱企</w:t>
      </w:r>
      <w:r>
        <w:rPr>
          <w:rFonts w:hint="eastAsia" w:ascii="宋体" w:hAnsi="宋体" w:cs="宋体"/>
          <w:b/>
          <w:bCs/>
          <w:sz w:val="24"/>
          <w:szCs w:val="24"/>
        </w:rPr>
        <w:t>业评分优惠政策</w:t>
      </w:r>
    </w:p>
    <w:p>
      <w:pPr>
        <w:autoSpaceDE w:val="0"/>
        <w:autoSpaceDN w:val="0"/>
        <w:spacing w:line="480" w:lineRule="exact"/>
        <w:ind w:left="-15" w:leftChars="-7" w:firstLine="480" w:firstLineChars="200"/>
        <w:rPr>
          <w:rFonts w:ascii="宋体" w:hAnsi="宋体" w:cs="宋体"/>
          <w:sz w:val="24"/>
          <w:szCs w:val="24"/>
        </w:rPr>
      </w:pPr>
      <w:r>
        <w:rPr>
          <w:rFonts w:hint="eastAsia" w:ascii="宋体" w:hAnsi="宋体" w:cs="宋体"/>
          <w:sz w:val="24"/>
          <w:szCs w:val="24"/>
        </w:rPr>
        <w:t>根据《关于政府采购支持监狱企业发展有关问题的通知》(财库[2014]68号)的规定，监狱企业</w:t>
      </w:r>
      <w:r>
        <w:rPr>
          <w:rFonts w:hint="eastAsia" w:ascii="宋体" w:hAnsi="宋体" w:cs="宋体"/>
          <w:kern w:val="2"/>
          <w:sz w:val="24"/>
          <w:szCs w:val="24"/>
        </w:rPr>
        <w:t>优惠政策</w:t>
      </w:r>
      <w:r>
        <w:rPr>
          <w:rFonts w:hint="eastAsia" w:ascii="宋体" w:hAnsi="宋体" w:cs="宋体"/>
          <w:sz w:val="24"/>
          <w:szCs w:val="24"/>
        </w:rPr>
        <w:t>，监狱企业参与本项目投标时，提供由省级以上监狱管理局、戒毒管理局(含新疆生产建设兵团)出具的属于监狱企业的证明文件的，视同小型、微型企业享受价格扣除等优惠政策。</w:t>
      </w:r>
    </w:p>
    <w:p>
      <w:pPr>
        <w:autoSpaceDE w:val="0"/>
        <w:autoSpaceDN w:val="0"/>
        <w:spacing w:line="480" w:lineRule="exact"/>
        <w:ind w:firstLine="472" w:firstLineChars="196"/>
        <w:rPr>
          <w:rFonts w:ascii="宋体" w:hAnsi="宋体" w:cs="宋体"/>
          <w:b/>
          <w:bCs/>
          <w:sz w:val="24"/>
          <w:szCs w:val="24"/>
        </w:rPr>
      </w:pPr>
      <w:r>
        <w:rPr>
          <w:rFonts w:hint="eastAsia" w:ascii="宋体" w:hAnsi="宋体" w:cs="宋体"/>
          <w:b/>
          <w:bCs/>
          <w:sz w:val="24"/>
          <w:szCs w:val="24"/>
        </w:rPr>
        <w:t>4.残疾人福利性单位优惠政策</w:t>
      </w:r>
    </w:p>
    <w:p>
      <w:pPr>
        <w:autoSpaceDE w:val="0"/>
        <w:spacing w:line="360" w:lineRule="auto"/>
        <w:ind w:firstLine="480" w:firstLineChars="200"/>
        <w:rPr>
          <w:rFonts w:ascii="宋体" w:hAnsi="宋体" w:cs="宋体"/>
          <w:b/>
          <w:sz w:val="24"/>
          <w:szCs w:val="24"/>
        </w:rPr>
      </w:pPr>
      <w:r>
        <w:rPr>
          <w:rFonts w:hint="eastAsia" w:ascii="宋体" w:hAnsi="宋体" w:cs="宋体"/>
          <w:sz w:val="24"/>
          <w:szCs w:val="24"/>
        </w:rPr>
        <w:t>根据《关于促进残疾人就业政府采购政策的通知》(财库[2017]141号)的规定，残疾人福利性单位</w:t>
      </w:r>
      <w:r>
        <w:rPr>
          <w:rFonts w:hint="eastAsia" w:ascii="宋体" w:hAnsi="宋体" w:cs="宋体"/>
          <w:kern w:val="2"/>
          <w:sz w:val="24"/>
          <w:szCs w:val="24"/>
        </w:rPr>
        <w:t>优惠政策</w:t>
      </w:r>
      <w:r>
        <w:rPr>
          <w:rFonts w:hint="eastAsia" w:ascii="宋体" w:hAnsi="宋体" w:cs="宋体"/>
          <w:sz w:val="24"/>
          <w:szCs w:val="24"/>
        </w:rPr>
        <w:t>，残疾人福利性单位参与本项目投标时，提供《残疾人福利性单位声明函》并对声明的真实性负责，视同小型、微型企业享受价格扣除等优惠政策。</w:t>
      </w:r>
      <w:r>
        <w:rPr>
          <w:rFonts w:hint="eastAsia" w:ascii="宋体" w:hAnsi="宋体" w:cs="宋体"/>
          <w:b/>
          <w:sz w:val="24"/>
          <w:szCs w:val="24"/>
        </w:rPr>
        <w:t>供应商对《残疾人福利性单位声明函》的真实性负责，如有虚假，自行承担相应责任。</w:t>
      </w:r>
    </w:p>
    <w:p>
      <w:pPr>
        <w:autoSpaceDE w:val="0"/>
        <w:autoSpaceDN w:val="0"/>
        <w:spacing w:line="480" w:lineRule="exact"/>
        <w:ind w:firstLine="472" w:firstLineChars="196"/>
        <w:rPr>
          <w:rFonts w:ascii="宋体" w:hAnsi="宋体" w:cs="宋体"/>
          <w:b/>
          <w:bCs/>
          <w:sz w:val="24"/>
          <w:szCs w:val="24"/>
        </w:rPr>
      </w:pPr>
      <w:r>
        <w:rPr>
          <w:rFonts w:hint="eastAsia" w:ascii="宋体" w:hAnsi="宋体" w:cs="宋体"/>
          <w:b/>
          <w:bCs/>
          <w:sz w:val="24"/>
          <w:szCs w:val="24"/>
        </w:rPr>
        <w:t>5.节能产品及环境标志产品的优惠政策</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按照“财政部 发展改革委 生态环境部 市场监管总局 关于调整优化节能产品、环境标志产品政府采购执行机制的通知”财库〔2019〕9号的规定执行。</w:t>
      </w:r>
    </w:p>
    <w:p>
      <w:pPr>
        <w:autoSpaceDE w:val="0"/>
        <w:autoSpaceDN w:val="0"/>
        <w:spacing w:line="480" w:lineRule="exact"/>
        <w:ind w:firstLine="472" w:firstLineChars="196"/>
        <w:rPr>
          <w:rFonts w:ascii="宋体" w:hAnsi="宋体" w:cs="宋体"/>
          <w:b/>
          <w:bCs/>
          <w:sz w:val="24"/>
          <w:szCs w:val="24"/>
        </w:rPr>
      </w:pPr>
      <w:r>
        <w:rPr>
          <w:rFonts w:hint="eastAsia" w:ascii="宋体" w:hAnsi="宋体" w:cs="宋体"/>
          <w:b/>
          <w:bCs/>
          <w:sz w:val="24"/>
          <w:szCs w:val="24"/>
        </w:rPr>
        <w:t xml:space="preserve">6. 进口产品政策 </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 《财政部关于政府采购进口产品管理有关问题的通知》（财办库〔2008〕248 号）的规定。 </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 xml:space="preserve">（2）允许进口产品参加的，满足需求的国内产品可以参加。 </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 </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 xml:space="preserve">（4）未按要求提供相关材料的，不享受相关政策。 </w:t>
      </w:r>
    </w:p>
    <w:p>
      <w:pPr>
        <w:autoSpaceDE w:val="0"/>
        <w:autoSpaceDN w:val="0"/>
        <w:spacing w:line="480" w:lineRule="exact"/>
        <w:ind w:firstLine="472" w:firstLineChars="196"/>
        <w:rPr>
          <w:rFonts w:ascii="宋体" w:hAnsi="宋体" w:cs="宋体"/>
          <w:b/>
          <w:bCs/>
          <w:sz w:val="24"/>
          <w:szCs w:val="24"/>
        </w:rPr>
      </w:pPr>
      <w:r>
        <w:rPr>
          <w:rFonts w:hint="eastAsia" w:ascii="宋体" w:hAnsi="宋体" w:cs="宋体"/>
          <w:b/>
          <w:bCs/>
          <w:sz w:val="24"/>
          <w:szCs w:val="24"/>
        </w:rPr>
        <w:br w:type="page"/>
      </w:r>
      <w:r>
        <w:rPr>
          <w:rFonts w:hint="eastAsia" w:ascii="宋体" w:hAnsi="宋体" w:cs="宋体"/>
          <w:b/>
          <w:bCs/>
          <w:sz w:val="24"/>
          <w:szCs w:val="24"/>
        </w:rPr>
        <w:t>7.综合评分方式</w:t>
      </w:r>
    </w:p>
    <w:tbl>
      <w:tblPr>
        <w:tblStyle w:val="41"/>
        <w:tblW w:w="10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60"/>
        <w:gridCol w:w="1134"/>
        <w:gridCol w:w="6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vAlign w:val="center"/>
          </w:tcPr>
          <w:p>
            <w:pPr>
              <w:pStyle w:val="36"/>
              <w:spacing w:before="0" w:beforeAutospacing="0" w:after="0" w:afterAutospacing="0" w:line="360" w:lineRule="auto"/>
              <w:jc w:val="center"/>
              <w:rPr>
                <w:rFonts w:ascii="宋体" w:hAnsi="宋体" w:cs="宋体"/>
                <w:bCs/>
                <w:color w:val="000000"/>
                <w:sz w:val="21"/>
                <w:szCs w:val="21"/>
                <w:lang w:val="zh-CN"/>
              </w:rPr>
            </w:pPr>
            <w:r>
              <w:rPr>
                <w:rFonts w:hint="eastAsia" w:ascii="宋体" w:hAnsi="宋体" w:cs="宋体"/>
                <w:bCs/>
                <w:color w:val="000000"/>
                <w:sz w:val="21"/>
                <w:szCs w:val="21"/>
                <w:lang w:val="zh-CN"/>
              </w:rPr>
              <w:t>序号</w:t>
            </w:r>
          </w:p>
        </w:tc>
        <w:tc>
          <w:tcPr>
            <w:tcW w:w="1560" w:type="dxa"/>
            <w:vAlign w:val="center"/>
          </w:tcPr>
          <w:p>
            <w:pPr>
              <w:pStyle w:val="36"/>
              <w:spacing w:before="0" w:beforeAutospacing="0" w:after="0" w:afterAutospacing="0" w:line="360" w:lineRule="auto"/>
              <w:jc w:val="center"/>
              <w:rPr>
                <w:rFonts w:ascii="宋体" w:hAnsi="宋体" w:cs="宋体"/>
                <w:bCs/>
                <w:color w:val="000000"/>
                <w:sz w:val="21"/>
                <w:szCs w:val="21"/>
                <w:lang w:val="zh-CN"/>
              </w:rPr>
            </w:pPr>
            <w:r>
              <w:rPr>
                <w:rFonts w:hint="eastAsia" w:ascii="宋体" w:hAnsi="宋体" w:cs="宋体"/>
                <w:bCs/>
                <w:color w:val="000000"/>
                <w:sz w:val="21"/>
                <w:szCs w:val="21"/>
                <w:lang w:val="zh-CN"/>
              </w:rPr>
              <w:t>评审</w:t>
            </w:r>
            <w:r>
              <w:rPr>
                <w:rFonts w:hint="eastAsia" w:ascii="宋体" w:hAnsi="宋体" w:cs="宋体"/>
                <w:bCs/>
                <w:color w:val="000000"/>
                <w:sz w:val="21"/>
                <w:szCs w:val="21"/>
              </w:rPr>
              <w:t>类别</w:t>
            </w:r>
          </w:p>
        </w:tc>
        <w:tc>
          <w:tcPr>
            <w:tcW w:w="1134" w:type="dxa"/>
            <w:vAlign w:val="center"/>
          </w:tcPr>
          <w:p>
            <w:pPr>
              <w:pStyle w:val="36"/>
              <w:spacing w:before="0" w:beforeAutospacing="0" w:after="0" w:afterAutospacing="0" w:line="360" w:lineRule="auto"/>
              <w:jc w:val="center"/>
              <w:rPr>
                <w:rFonts w:ascii="宋体" w:hAnsi="宋体" w:cs="宋体"/>
                <w:bCs/>
                <w:color w:val="000000"/>
                <w:sz w:val="21"/>
                <w:szCs w:val="21"/>
                <w:lang w:val="zh-CN"/>
              </w:rPr>
            </w:pPr>
            <w:r>
              <w:rPr>
                <w:rFonts w:hint="eastAsia" w:ascii="宋体" w:hAnsi="宋体" w:cs="宋体"/>
                <w:bCs/>
                <w:color w:val="000000"/>
                <w:sz w:val="21"/>
                <w:szCs w:val="21"/>
                <w:lang w:val="zh-CN"/>
              </w:rPr>
              <w:t>评审因素</w:t>
            </w:r>
          </w:p>
        </w:tc>
        <w:tc>
          <w:tcPr>
            <w:tcW w:w="6885" w:type="dxa"/>
            <w:vAlign w:val="center"/>
          </w:tcPr>
          <w:p>
            <w:pPr>
              <w:pStyle w:val="36"/>
              <w:spacing w:before="0" w:beforeAutospacing="0" w:after="0" w:afterAutospacing="0" w:line="360" w:lineRule="auto"/>
              <w:jc w:val="center"/>
              <w:rPr>
                <w:rFonts w:ascii="宋体" w:hAnsi="宋体" w:cs="宋体"/>
                <w:bCs/>
                <w:color w:val="000000"/>
                <w:sz w:val="21"/>
                <w:szCs w:val="21"/>
              </w:rPr>
            </w:pPr>
            <w:r>
              <w:rPr>
                <w:rFonts w:hint="eastAsia" w:ascii="宋体" w:hAnsi="宋体" w:cs="宋体"/>
                <w:bCs/>
                <w:color w:val="00000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lang w:val="zh-CN"/>
              </w:rPr>
            </w:pPr>
            <w:r>
              <w:rPr>
                <w:rFonts w:hint="eastAsia" w:ascii="宋体" w:hAnsi="宋体" w:cs="宋体"/>
                <w:b/>
                <w:color w:val="000000"/>
                <w:sz w:val="21"/>
                <w:szCs w:val="21"/>
                <w:lang w:val="zh-CN"/>
              </w:rPr>
              <w:t>1</w:t>
            </w:r>
          </w:p>
        </w:tc>
        <w:tc>
          <w:tcPr>
            <w:tcW w:w="1560" w:type="dxa"/>
            <w:vAlign w:val="center"/>
          </w:tcPr>
          <w:p>
            <w:pPr>
              <w:pStyle w:val="36"/>
              <w:spacing w:before="0" w:beforeAutospacing="0" w:after="0" w:afterAutospacing="0" w:line="360" w:lineRule="exact"/>
              <w:jc w:val="center"/>
              <w:rPr>
                <w:rFonts w:ascii="宋体" w:hAnsi="宋体" w:cs="宋体"/>
                <w:bCs/>
                <w:color w:val="000000"/>
              </w:rPr>
            </w:pPr>
            <w:r>
              <w:rPr>
                <w:rFonts w:hint="eastAsia" w:ascii="宋体" w:hAnsi="宋体" w:cs="宋体"/>
                <w:bCs/>
                <w:color w:val="000000"/>
              </w:rPr>
              <w:t>价格部分</w:t>
            </w:r>
          </w:p>
          <w:p>
            <w:pPr>
              <w:pStyle w:val="36"/>
              <w:spacing w:before="0" w:beforeAutospacing="0" w:after="0" w:afterAutospacing="0" w:line="360" w:lineRule="exact"/>
              <w:jc w:val="center"/>
              <w:rPr>
                <w:rFonts w:ascii="宋体" w:hAnsi="宋体" w:cs="宋体"/>
                <w:bCs/>
                <w:color w:val="000000"/>
                <w:sz w:val="21"/>
                <w:szCs w:val="21"/>
              </w:rPr>
            </w:pPr>
            <w:r>
              <w:rPr>
                <w:rFonts w:hint="eastAsia" w:ascii="宋体" w:hAnsi="宋体" w:cs="宋体"/>
                <w:bCs/>
                <w:color w:val="000000"/>
              </w:rPr>
              <w:t>（30分）</w:t>
            </w:r>
          </w:p>
        </w:tc>
        <w:tc>
          <w:tcPr>
            <w:tcW w:w="1134" w:type="dxa"/>
            <w:vAlign w:val="center"/>
          </w:tcPr>
          <w:p>
            <w:pPr>
              <w:pStyle w:val="36"/>
              <w:spacing w:before="0" w:beforeAutospacing="0" w:after="0" w:afterAutospacing="0" w:line="360" w:lineRule="exact"/>
              <w:jc w:val="center"/>
              <w:rPr>
                <w:rFonts w:ascii="宋体" w:hAnsi="宋体" w:cs="宋体"/>
                <w:bCs/>
                <w:color w:val="000000"/>
                <w:sz w:val="21"/>
                <w:szCs w:val="21"/>
              </w:rPr>
            </w:pPr>
            <w:r>
              <w:rPr>
                <w:rFonts w:hint="eastAsia" w:ascii="宋体" w:hAnsi="宋体" w:cs="宋体"/>
                <w:bCs/>
                <w:color w:val="000000"/>
                <w:sz w:val="21"/>
                <w:szCs w:val="21"/>
              </w:rPr>
              <w:t>报价得分（30分）</w:t>
            </w:r>
          </w:p>
        </w:tc>
        <w:tc>
          <w:tcPr>
            <w:tcW w:w="6885" w:type="dxa"/>
            <w:vAlign w:val="center"/>
          </w:tcPr>
          <w:p>
            <w:pPr>
              <w:spacing w:line="360" w:lineRule="exact"/>
              <w:rPr>
                <w:rFonts w:ascii="宋体" w:hAnsi="宋体" w:cs="宋体"/>
                <w:color w:val="000000"/>
                <w:spacing w:val="-5"/>
                <w:lang w:bidi="zh-CN"/>
              </w:rPr>
            </w:pPr>
            <w:r>
              <w:rPr>
                <w:rFonts w:hint="eastAsia" w:ascii="宋体" w:hAnsi="宋体" w:cs="宋体"/>
                <w:color w:val="000000"/>
                <w:spacing w:val="-5"/>
                <w:lang w:bidi="zh-CN"/>
              </w:rPr>
              <w:t>在所有的有效投标报价中，以最低投标报价为基准价，其价格分为满分。其他供应商报价分统一按下列公式计算：</w:t>
            </w:r>
          </w:p>
          <w:p>
            <w:pPr>
              <w:pStyle w:val="36"/>
              <w:spacing w:before="0" w:beforeAutospacing="0" w:after="0" w:afterAutospacing="0" w:line="360" w:lineRule="exact"/>
              <w:rPr>
                <w:rFonts w:ascii="宋体" w:hAnsi="宋体" w:cs="宋体"/>
                <w:color w:val="000000"/>
                <w:sz w:val="21"/>
                <w:szCs w:val="21"/>
              </w:rPr>
            </w:pPr>
            <w:r>
              <w:rPr>
                <w:rFonts w:hint="eastAsia" w:ascii="宋体" w:hAnsi="宋体" w:cs="宋体"/>
                <w:color w:val="000000"/>
                <w:sz w:val="21"/>
                <w:szCs w:val="21"/>
              </w:rPr>
              <w:t>报价得分=（投标基准价/投标报价）×30（四舍五入后保留小数点后两位）。</w:t>
            </w:r>
          </w:p>
          <w:p>
            <w:pPr>
              <w:spacing w:line="360" w:lineRule="exact"/>
              <w:ind w:firstLine="400" w:firstLineChars="200"/>
              <w:rPr>
                <w:rFonts w:ascii="宋体" w:hAnsi="宋体" w:cs="宋体"/>
                <w:color w:val="000000"/>
                <w:spacing w:val="-5"/>
                <w:lang w:bidi="zh-CN"/>
              </w:rPr>
            </w:pPr>
            <w:r>
              <w:rPr>
                <w:rFonts w:hint="eastAsia" w:ascii="宋体" w:hAnsi="宋体" w:cs="宋体"/>
                <w:color w:val="000000"/>
                <w:spacing w:val="-5"/>
                <w:lang w:bidi="zh-CN"/>
              </w:rPr>
              <w:t>1.根据</w:t>
            </w:r>
            <w:r>
              <w:rPr>
                <w:rFonts w:hint="eastAsia" w:ascii="宋体" w:hAnsi="宋体" w:cs="宋体"/>
                <w:color w:val="000000"/>
                <w:spacing w:val="-5"/>
                <w:lang w:val="zh-CN" w:bidi="zh-CN"/>
              </w:rPr>
              <w:t>《关于进一步加大政府采购支持中小企业力度的通知》（财库〔2022〕19号）</w:t>
            </w:r>
            <w:r>
              <w:rPr>
                <w:rFonts w:hint="eastAsia" w:ascii="宋体" w:hAnsi="宋体" w:cs="宋体"/>
                <w:color w:val="000000"/>
                <w:spacing w:val="-5"/>
                <w:lang w:bidi="zh-CN"/>
              </w:rPr>
              <w:t>的相关规定，对小型和微型企业制造（生产）产品的价格给予</w:t>
            </w:r>
            <w:r>
              <w:rPr>
                <w:rFonts w:hint="eastAsia" w:ascii="宋体" w:hAnsi="宋体" w:cs="宋体"/>
                <w:b/>
                <w:bCs/>
                <w:color w:val="000000"/>
                <w:spacing w:val="-5"/>
                <w:lang w:bidi="zh-CN"/>
              </w:rPr>
              <w:t>10%</w:t>
            </w:r>
            <w:r>
              <w:rPr>
                <w:rFonts w:hint="eastAsia" w:ascii="宋体" w:hAnsi="宋体" w:cs="宋体"/>
                <w:color w:val="000000"/>
                <w:spacing w:val="-5"/>
                <w:lang w:bidi="zh-CN"/>
              </w:rPr>
              <w:t>的扣除，用扣除后的价格参与评审。</w:t>
            </w:r>
          </w:p>
          <w:p>
            <w:pPr>
              <w:spacing w:line="360" w:lineRule="exact"/>
              <w:ind w:firstLine="400" w:firstLineChars="200"/>
              <w:rPr>
                <w:rFonts w:ascii="宋体" w:hAnsi="宋体" w:cs="宋体"/>
                <w:color w:val="000000"/>
                <w:spacing w:val="-5"/>
                <w:lang w:bidi="zh-CN"/>
              </w:rPr>
            </w:pPr>
            <w:r>
              <w:rPr>
                <w:rFonts w:hint="eastAsia" w:ascii="宋体" w:hAnsi="宋体" w:cs="宋体"/>
                <w:color w:val="000000"/>
                <w:spacing w:val="-5"/>
                <w:lang w:bidi="zh-CN"/>
              </w:rPr>
              <w:t>2.残疾人福利性单位属于小型、微型企业的，不重复享受政策。</w:t>
            </w:r>
          </w:p>
          <w:p>
            <w:pPr>
              <w:pStyle w:val="36"/>
              <w:spacing w:before="0" w:beforeAutospacing="0" w:after="0" w:afterAutospacing="0" w:line="360" w:lineRule="exact"/>
              <w:ind w:firstLine="400" w:firstLineChars="200"/>
              <w:rPr>
                <w:rFonts w:ascii="宋体" w:hAnsi="宋体" w:cs="宋体"/>
                <w:color w:val="000000"/>
                <w:spacing w:val="-5"/>
                <w:sz w:val="21"/>
                <w:szCs w:val="21"/>
                <w:lang w:bidi="zh-CN"/>
              </w:rPr>
            </w:pPr>
            <w:r>
              <w:rPr>
                <w:rFonts w:hint="eastAsia" w:ascii="宋体" w:hAnsi="宋体" w:cs="宋体"/>
                <w:color w:val="000000"/>
                <w:spacing w:val="-5"/>
                <w:sz w:val="21"/>
                <w:szCs w:val="21"/>
                <w:lang w:bidi="zh-CN"/>
              </w:rPr>
              <w:t>3.根据《关于促进残疾人就业政府采购政策的通知》（财库[2017]141号），残疾人福利性单位视同小型、微型企业。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2</w:t>
            </w:r>
          </w:p>
        </w:tc>
        <w:tc>
          <w:tcPr>
            <w:tcW w:w="1560" w:type="dxa"/>
            <w:vMerge w:val="restart"/>
            <w:vAlign w:val="center"/>
          </w:tcPr>
          <w:p>
            <w:pPr>
              <w:spacing w:line="360" w:lineRule="exact"/>
              <w:jc w:val="center"/>
              <w:rPr>
                <w:rFonts w:ascii="宋体" w:hAnsi="宋体" w:cs="宋体"/>
                <w:bCs/>
                <w:color w:val="000000"/>
                <w:sz w:val="24"/>
                <w:szCs w:val="24"/>
              </w:rPr>
            </w:pPr>
            <w:r>
              <w:rPr>
                <w:rFonts w:hint="eastAsia" w:ascii="宋体" w:hAnsi="宋体" w:cs="宋体"/>
                <w:bCs/>
                <w:color w:val="000000"/>
                <w:sz w:val="24"/>
                <w:szCs w:val="24"/>
                <w:lang w:val="zh-CN"/>
              </w:rPr>
              <w:t>技术</w:t>
            </w:r>
            <w:r>
              <w:rPr>
                <w:rFonts w:hint="eastAsia" w:ascii="宋体" w:hAnsi="宋体" w:cs="宋体"/>
                <w:bCs/>
                <w:color w:val="000000"/>
                <w:sz w:val="24"/>
                <w:szCs w:val="24"/>
              </w:rPr>
              <w:t>部分</w:t>
            </w:r>
          </w:p>
          <w:p>
            <w:pPr>
              <w:spacing w:line="360" w:lineRule="exact"/>
              <w:jc w:val="center"/>
              <w:rPr>
                <w:rFonts w:ascii="宋体" w:hAnsi="宋体" w:cs="宋体"/>
                <w:b/>
                <w:bCs/>
                <w:color w:val="000000"/>
                <w:sz w:val="24"/>
                <w:szCs w:val="24"/>
              </w:rPr>
            </w:pPr>
            <w:r>
              <w:rPr>
                <w:rFonts w:hint="eastAsia" w:ascii="宋体" w:hAnsi="宋体" w:cs="宋体"/>
                <w:bCs/>
                <w:color w:val="000000"/>
                <w:sz w:val="24"/>
                <w:szCs w:val="24"/>
              </w:rPr>
              <w:t>（50分）</w:t>
            </w:r>
          </w:p>
        </w:tc>
        <w:tc>
          <w:tcPr>
            <w:tcW w:w="1134" w:type="dxa"/>
            <w:vAlign w:val="center"/>
          </w:tcPr>
          <w:p>
            <w:pPr>
              <w:pStyle w:val="36"/>
              <w:spacing w:before="0" w:beforeAutospacing="0" w:after="0" w:afterAutospacing="0" w:line="360" w:lineRule="exact"/>
              <w:jc w:val="center"/>
              <w:rPr>
                <w:rFonts w:ascii="宋体" w:hAnsi="宋体" w:cs="宋体"/>
                <w:bCs/>
                <w:sz w:val="21"/>
                <w:szCs w:val="21"/>
                <w:lang w:val="zh-CN"/>
              </w:rPr>
            </w:pPr>
            <w:r>
              <w:rPr>
                <w:rFonts w:hint="eastAsia" w:ascii="宋体" w:hAnsi="宋体" w:cs="宋体"/>
                <w:bCs/>
                <w:sz w:val="21"/>
                <w:szCs w:val="21"/>
                <w:lang w:val="zh-CN"/>
              </w:rPr>
              <w:t>技术参数</w:t>
            </w:r>
          </w:p>
          <w:p>
            <w:pPr>
              <w:pStyle w:val="36"/>
              <w:spacing w:before="0" w:beforeAutospacing="0" w:after="0" w:afterAutospacing="0" w:line="360" w:lineRule="exact"/>
              <w:jc w:val="center"/>
              <w:rPr>
                <w:rFonts w:ascii="宋体" w:hAnsi="宋体" w:cs="宋体"/>
                <w:bCs/>
                <w:sz w:val="21"/>
                <w:szCs w:val="21"/>
                <w:lang w:val="zh-CN"/>
              </w:rPr>
            </w:pPr>
            <w:r>
              <w:rPr>
                <w:rFonts w:hint="eastAsia" w:ascii="宋体" w:hAnsi="宋体" w:cs="宋体"/>
                <w:bCs/>
                <w:sz w:val="21"/>
                <w:szCs w:val="21"/>
                <w:lang w:val="zh-CN"/>
              </w:rPr>
              <w:t>（</w:t>
            </w:r>
            <w:r>
              <w:rPr>
                <w:rFonts w:hint="eastAsia" w:ascii="宋体" w:hAnsi="宋体" w:cs="宋体"/>
                <w:bCs/>
                <w:sz w:val="21"/>
                <w:szCs w:val="21"/>
              </w:rPr>
              <w:t>20分</w:t>
            </w:r>
            <w:r>
              <w:rPr>
                <w:rFonts w:hint="eastAsia" w:ascii="宋体" w:hAnsi="宋体" w:cs="宋体"/>
                <w:bCs/>
                <w:sz w:val="21"/>
                <w:szCs w:val="21"/>
                <w:lang w:val="zh-CN"/>
              </w:rPr>
              <w:t>）</w:t>
            </w:r>
          </w:p>
        </w:tc>
        <w:tc>
          <w:tcPr>
            <w:tcW w:w="6885" w:type="dxa"/>
            <w:vAlign w:val="center"/>
          </w:tcPr>
          <w:p>
            <w:pPr>
              <w:spacing w:line="360" w:lineRule="auto"/>
              <w:textAlignment w:val="center"/>
              <w:rPr>
                <w:rFonts w:ascii="宋体" w:hAnsi="宋体" w:cs="宋体"/>
              </w:rPr>
            </w:pPr>
            <w:r>
              <w:rPr>
                <w:rFonts w:hint="eastAsia" w:ascii="宋体" w:hAnsi="宋体" w:cs="宋体"/>
              </w:rPr>
              <w:t>对照第五章“采购内容及要求”的需求清单技术参数（标注“▲”的为主要技术参数，未标注的为一般参数），根据投标人提供的产品配置及技术性能指标的响应情况进行评审。</w:t>
            </w:r>
          </w:p>
          <w:p>
            <w:pPr>
              <w:spacing w:line="360" w:lineRule="auto"/>
              <w:ind w:firstLine="420" w:firstLineChars="200"/>
              <w:textAlignment w:val="center"/>
              <w:rPr>
                <w:rFonts w:ascii="宋体" w:hAnsi="宋体" w:cs="宋体"/>
                <w:kern w:val="2"/>
              </w:rPr>
            </w:pPr>
            <w:r>
              <w:rPr>
                <w:rFonts w:hint="eastAsia" w:ascii="宋体" w:hAnsi="宋体" w:cs="宋体"/>
                <w:kern w:val="2"/>
              </w:rPr>
              <w:t>1.投标人所投产品技术参数完全响应采购文件要求的，得20分；</w:t>
            </w:r>
          </w:p>
          <w:p>
            <w:pPr>
              <w:spacing w:line="360" w:lineRule="auto"/>
              <w:ind w:firstLine="420" w:firstLineChars="200"/>
              <w:textAlignment w:val="center"/>
              <w:rPr>
                <w:rFonts w:ascii="宋体" w:hAnsi="宋体" w:cs="宋体"/>
                <w:kern w:val="2"/>
              </w:rPr>
            </w:pPr>
            <w:r>
              <w:rPr>
                <w:rFonts w:hint="eastAsia" w:ascii="宋体" w:hAnsi="宋体" w:cs="宋体"/>
                <w:kern w:val="2"/>
              </w:rPr>
              <w:t>2.主要技术参数存在负偏离的，每一条扣</w:t>
            </w:r>
            <w:r>
              <w:rPr>
                <w:rFonts w:hint="eastAsia" w:ascii="宋体" w:hAnsi="宋体" w:cs="宋体"/>
                <w:kern w:val="2"/>
                <w:lang w:val="en-US" w:eastAsia="zh-CN"/>
              </w:rPr>
              <w:t>0.6</w:t>
            </w:r>
            <w:r>
              <w:rPr>
                <w:rFonts w:hint="eastAsia" w:ascii="宋体" w:hAnsi="宋体" w:cs="宋体"/>
                <w:kern w:val="2"/>
              </w:rPr>
              <w:t>分，最多扣</w:t>
            </w:r>
            <w:r>
              <w:rPr>
                <w:rFonts w:hint="eastAsia" w:ascii="宋体" w:hAnsi="宋体" w:cs="宋体"/>
                <w:kern w:val="2"/>
                <w:lang w:val="en-US" w:eastAsia="zh-CN"/>
              </w:rPr>
              <w:t>5</w:t>
            </w:r>
            <w:r>
              <w:rPr>
                <w:rFonts w:hint="eastAsia" w:ascii="宋体" w:hAnsi="宋体" w:cs="宋体"/>
                <w:kern w:val="2"/>
              </w:rPr>
              <w:t>分；</w:t>
            </w:r>
          </w:p>
          <w:p>
            <w:pPr>
              <w:pStyle w:val="32"/>
              <w:spacing w:line="360" w:lineRule="auto"/>
              <w:ind w:firstLine="420" w:firstLineChars="200"/>
              <w:rPr>
                <w:rFonts w:ascii="宋体" w:hAnsi="宋体" w:cs="宋体"/>
                <w:kern w:val="2"/>
                <w:sz w:val="21"/>
                <w:szCs w:val="21"/>
              </w:rPr>
            </w:pPr>
            <w:r>
              <w:rPr>
                <w:rFonts w:hint="eastAsia" w:ascii="宋体" w:hAnsi="宋体" w:cs="宋体"/>
                <w:kern w:val="2"/>
                <w:sz w:val="21"/>
                <w:szCs w:val="21"/>
              </w:rPr>
              <w:t>4.</w:t>
            </w:r>
            <w:r>
              <w:rPr>
                <w:rFonts w:hint="eastAsia" w:ascii="宋体" w:hAnsi="宋体" w:cs="宋体"/>
                <w:sz w:val="21"/>
                <w:szCs w:val="21"/>
              </w:rPr>
              <w:t>一般技术参数存在负偏离的，</w:t>
            </w:r>
            <w:r>
              <w:rPr>
                <w:rFonts w:hint="eastAsia" w:ascii="宋体" w:hAnsi="宋体" w:cs="宋体"/>
                <w:kern w:val="2"/>
                <w:sz w:val="21"/>
                <w:szCs w:val="21"/>
              </w:rPr>
              <w:t>每一条扣0.</w:t>
            </w:r>
            <w:r>
              <w:rPr>
                <w:rFonts w:hint="eastAsia" w:ascii="宋体" w:hAnsi="宋体" w:cs="宋体"/>
                <w:kern w:val="2"/>
                <w:sz w:val="21"/>
                <w:szCs w:val="21"/>
                <w:lang w:val="en-US" w:eastAsia="zh-CN"/>
              </w:rPr>
              <w:t>02</w:t>
            </w:r>
            <w:r>
              <w:rPr>
                <w:rFonts w:hint="eastAsia" w:ascii="宋体" w:hAnsi="宋体" w:cs="宋体"/>
                <w:kern w:val="2"/>
                <w:sz w:val="21"/>
                <w:szCs w:val="21"/>
              </w:rPr>
              <w:t>分，最多扣</w:t>
            </w:r>
            <w:r>
              <w:rPr>
                <w:rFonts w:hint="eastAsia" w:ascii="宋体" w:hAnsi="宋体" w:cs="宋体"/>
                <w:kern w:val="2"/>
                <w:sz w:val="21"/>
                <w:szCs w:val="21"/>
                <w:lang w:val="en-US" w:eastAsia="zh-CN"/>
              </w:rPr>
              <w:t>5</w:t>
            </w:r>
            <w:r>
              <w:rPr>
                <w:rFonts w:hint="eastAsia" w:ascii="宋体" w:hAnsi="宋体" w:cs="宋体"/>
                <w:kern w:val="2"/>
                <w:sz w:val="21"/>
                <w:szCs w:val="21"/>
              </w:rPr>
              <w:t>分。</w:t>
            </w:r>
          </w:p>
          <w:p>
            <w:pPr>
              <w:spacing w:line="360" w:lineRule="auto"/>
              <w:textAlignment w:val="center"/>
              <w:rPr>
                <w:rFonts w:hint="eastAsia"/>
                <w:b/>
                <w:bCs/>
              </w:rPr>
            </w:pPr>
            <w:r>
              <w:rPr>
                <w:b/>
                <w:bCs/>
              </w:rPr>
              <w:t>注：负偏离评审依据：</w:t>
            </w:r>
            <w:r>
              <w:rPr>
                <w:rFonts w:hint="eastAsia"/>
                <w:b/>
                <w:bCs/>
              </w:rPr>
              <w:t>①</w:t>
            </w:r>
            <w:r>
              <w:rPr>
                <w:b/>
                <w:bCs/>
              </w:rPr>
              <w:t>所</w:t>
            </w:r>
            <w:r>
              <w:rPr>
                <w:rFonts w:hint="eastAsia"/>
                <w:b/>
                <w:bCs/>
              </w:rPr>
              <w:t>提供</w:t>
            </w:r>
            <w:r>
              <w:rPr>
                <w:b/>
                <w:bCs/>
              </w:rPr>
              <w:t>产品技术参数低于</w:t>
            </w:r>
            <w:r>
              <w:rPr>
                <w:rFonts w:hint="eastAsia"/>
                <w:b/>
                <w:bCs/>
              </w:rPr>
              <w:t>采购文件</w:t>
            </w:r>
            <w:r>
              <w:rPr>
                <w:b/>
                <w:bCs/>
              </w:rPr>
              <w:t>要求的，视为负偏离；</w:t>
            </w:r>
            <w:r>
              <w:rPr>
                <w:rFonts w:hint="eastAsia"/>
                <w:b/>
                <w:bCs/>
              </w:rPr>
              <w:t>②</w:t>
            </w:r>
            <w:r>
              <w:rPr>
                <w:b/>
                <w:bCs/>
              </w:rPr>
              <w:t>技术参数响应条款</w:t>
            </w:r>
            <w:r>
              <w:rPr>
                <w:rFonts w:hint="eastAsia"/>
                <w:b/>
                <w:bCs/>
              </w:rPr>
              <w:t>（以投标文件内技术偏离表为准）</w:t>
            </w:r>
            <w:r>
              <w:rPr>
                <w:b/>
                <w:bCs/>
              </w:rPr>
              <w:t>与</w:t>
            </w:r>
            <w:r>
              <w:rPr>
                <w:rFonts w:hint="eastAsia"/>
                <w:b/>
                <w:bCs/>
              </w:rPr>
              <w:t>采购文件</w:t>
            </w:r>
            <w:r>
              <w:rPr>
                <w:b/>
                <w:bCs/>
              </w:rPr>
              <w:t>对比有缺项、漏项的，视为负偏离；</w:t>
            </w:r>
            <w:r>
              <w:rPr>
                <w:rFonts w:hint="eastAsia"/>
                <w:b/>
                <w:bCs/>
              </w:rPr>
              <w:t>③投标文件内技术偏离表完全复制采购文件技术参数的（不涉及具体参数指标的描述性技术要求除外），视为负偏离；④投标人</w:t>
            </w:r>
            <w:r>
              <w:rPr>
                <w:b/>
                <w:bCs/>
              </w:rPr>
              <w:t>提供的</w:t>
            </w:r>
            <w:r>
              <w:rPr>
                <w:rFonts w:hint="eastAsia"/>
                <w:b/>
                <w:bCs/>
              </w:rPr>
              <w:t>投标</w:t>
            </w:r>
            <w:r>
              <w:rPr>
                <w:b/>
                <w:bCs/>
              </w:rPr>
              <w:t>文件中产品技术偏离表、产品技术规格书和产品公告、检验报告、产品技术规格书（或使用说明书）内描述的同一产品技术参数响应值不一致的，视为负偏离</w:t>
            </w:r>
            <w:r>
              <w:rPr>
                <w:rFonts w:hint="eastAsia"/>
                <w:b/>
                <w:bCs/>
              </w:rPr>
              <w:t>。</w:t>
            </w:r>
          </w:p>
          <w:p>
            <w:pPr>
              <w:pStyle w:val="2"/>
              <w:rPr>
                <w:rFonts w:hint="default"/>
              </w:rPr>
            </w:pPr>
            <w:r>
              <w:rPr>
                <w:rFonts w:hint="default"/>
                <w:lang w:val="en-US" w:eastAsia="zh-CN"/>
              </w:rPr>
              <w:t>依据《招标文件》第五章技术要求，带★重要技术参数共计</w:t>
            </w:r>
            <w:r>
              <w:rPr>
                <w:rFonts w:hint="eastAsia"/>
                <w:lang w:val="en-US" w:eastAsia="zh-CN"/>
              </w:rPr>
              <w:t>6</w:t>
            </w:r>
            <w:r>
              <w:rPr>
                <w:rFonts w:hint="default"/>
                <w:lang w:val="en-US" w:eastAsia="zh-CN"/>
              </w:rPr>
              <w:t>条，其他一般技术参数条。</w:t>
            </w:r>
          </w:p>
          <w:p>
            <w:pPr>
              <w:pStyle w:val="2"/>
              <w:rPr>
                <w:rFonts w:hint="default"/>
              </w:rPr>
            </w:pPr>
            <w:r>
              <w:rPr>
                <w:rFonts w:hint="default"/>
                <w:lang w:val="en-US" w:eastAsia="zh-CN"/>
              </w:rPr>
              <w:t>1、带★重要技术参数，满足采购要求的每条得</w:t>
            </w:r>
            <w:r>
              <w:rPr>
                <w:rFonts w:hint="eastAsia"/>
                <w:lang w:val="en-US" w:eastAsia="zh-CN"/>
              </w:rPr>
              <w:t>2</w:t>
            </w:r>
            <w:r>
              <w:rPr>
                <w:rFonts w:hint="default"/>
                <w:lang w:val="en-US" w:eastAsia="zh-CN"/>
              </w:rPr>
              <w:t>分，不满足采购要求的不得分，加至10分为止；</w:t>
            </w:r>
          </w:p>
          <w:p>
            <w:pPr>
              <w:pStyle w:val="2"/>
            </w:pPr>
            <w:r>
              <w:rPr>
                <w:rFonts w:hint="default"/>
                <w:lang w:val="en-US" w:eastAsia="zh-CN"/>
              </w:rPr>
              <w:t>2、一般技术参数满足采购需求的每条得0.02分，加至14分为止。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3</w:t>
            </w:r>
          </w:p>
        </w:tc>
        <w:tc>
          <w:tcPr>
            <w:tcW w:w="1560" w:type="dxa"/>
            <w:vMerge w:val="continue"/>
            <w:vAlign w:val="center"/>
          </w:tcPr>
          <w:p>
            <w:pPr>
              <w:pStyle w:val="36"/>
              <w:spacing w:before="0" w:beforeAutospacing="0" w:after="0" w:afterAutospacing="0" w:line="360" w:lineRule="exact"/>
              <w:jc w:val="center"/>
              <w:rPr>
                <w:rFonts w:ascii="宋体" w:hAnsi="宋体" w:cs="宋体"/>
                <w:b/>
                <w:bCs/>
                <w:color w:val="000000"/>
                <w:lang w:val="zh-CN"/>
              </w:rPr>
            </w:pPr>
          </w:p>
        </w:tc>
        <w:tc>
          <w:tcPr>
            <w:tcW w:w="1134" w:type="dxa"/>
            <w:vAlign w:val="center"/>
          </w:tcPr>
          <w:p>
            <w:pPr>
              <w:spacing w:line="360" w:lineRule="exact"/>
              <w:jc w:val="center"/>
              <w:rPr>
                <w:rFonts w:ascii="宋体" w:hAnsi="宋体" w:cs="宋体"/>
                <w:bCs/>
                <w:color w:val="000000"/>
              </w:rPr>
            </w:pPr>
            <w:r>
              <w:rPr>
                <w:rFonts w:hint="eastAsia" w:ascii="宋体" w:hAnsi="宋体" w:cs="宋体"/>
                <w:bCs/>
                <w:color w:val="000000"/>
              </w:rPr>
              <w:t>项目实施方案</w:t>
            </w:r>
          </w:p>
          <w:p>
            <w:pPr>
              <w:spacing w:line="360" w:lineRule="exact"/>
              <w:jc w:val="center"/>
              <w:rPr>
                <w:rFonts w:ascii="宋体" w:hAnsi="宋体" w:cs="宋体"/>
                <w:b/>
                <w:bCs/>
                <w:color w:val="000000"/>
                <w:lang w:val="zh-CN"/>
              </w:rPr>
            </w:pPr>
            <w:r>
              <w:rPr>
                <w:rFonts w:hint="eastAsia" w:ascii="宋体" w:hAnsi="宋体" w:cs="宋体"/>
                <w:bCs/>
                <w:color w:val="000000"/>
                <w:lang w:val="zh-CN"/>
              </w:rPr>
              <w:t>（</w:t>
            </w:r>
            <w:r>
              <w:rPr>
                <w:rFonts w:hint="eastAsia" w:ascii="宋体" w:hAnsi="宋体" w:cs="宋体"/>
                <w:bCs/>
                <w:color w:val="000000"/>
              </w:rPr>
              <w:t>10分</w:t>
            </w:r>
            <w:r>
              <w:rPr>
                <w:rFonts w:hint="eastAsia" w:ascii="宋体" w:hAnsi="宋体" w:cs="宋体"/>
                <w:bCs/>
                <w:color w:val="000000"/>
                <w:lang w:val="zh-CN"/>
              </w:rPr>
              <w:t>）</w:t>
            </w:r>
          </w:p>
        </w:tc>
        <w:tc>
          <w:tcPr>
            <w:tcW w:w="6885" w:type="dxa"/>
            <w:vAlign w:val="center"/>
          </w:tcPr>
          <w:p>
            <w:pPr>
              <w:pStyle w:val="36"/>
              <w:spacing w:before="0" w:beforeAutospacing="0" w:after="0" w:afterAutospacing="0" w:line="288" w:lineRule="auto"/>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项目实施方案包括但不限于：①项目人员安排（包含但不限于主要人员名单及基本情况介绍、在本项目中承担的职责等）、②供货方案（包含但不限于产品来源、供货计划、供货时间、包装和运输方式等）、</w:t>
            </w:r>
            <w:r>
              <w:rPr>
                <w:rFonts w:hint="eastAsia" w:ascii="宋体" w:hAnsi="宋体" w:cs="宋体"/>
                <w:color w:val="000000"/>
                <w:spacing w:val="-5"/>
                <w:sz w:val="21"/>
                <w:szCs w:val="21"/>
                <w:lang w:bidi="zh-CN"/>
              </w:rPr>
              <w:t>③</w:t>
            </w:r>
            <w:r>
              <w:rPr>
                <w:rFonts w:hint="eastAsia" w:ascii="宋体" w:hAnsi="宋体" w:cs="宋体"/>
                <w:color w:val="000000"/>
                <w:spacing w:val="-5"/>
                <w:sz w:val="21"/>
                <w:szCs w:val="21"/>
                <w:lang w:val="zh-CN" w:bidi="zh-CN"/>
              </w:rPr>
              <w:t>测试（调试）方案（包含但不限于人员安排、测试步骤、测试标准等）等</w:t>
            </w:r>
            <w:r>
              <w:rPr>
                <w:rFonts w:hint="eastAsia" w:ascii="宋体" w:hAnsi="宋体" w:cs="宋体"/>
                <w:color w:val="000000"/>
                <w:spacing w:val="-5"/>
                <w:sz w:val="21"/>
                <w:szCs w:val="21"/>
                <w:lang w:bidi="zh-CN"/>
              </w:rPr>
              <w:t>3</w:t>
            </w:r>
            <w:r>
              <w:rPr>
                <w:rFonts w:hint="eastAsia" w:ascii="宋体" w:hAnsi="宋体" w:cs="宋体"/>
                <w:color w:val="000000"/>
                <w:spacing w:val="-5"/>
                <w:sz w:val="21"/>
                <w:szCs w:val="21"/>
                <w:lang w:val="zh-CN" w:bidi="zh-CN"/>
              </w:rPr>
              <w:t xml:space="preserve">项内容：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1、方案内容要素齐全、方案科学合理、操作性强、贴近用户需求，</w:t>
            </w:r>
            <w:r>
              <w:rPr>
                <w:rFonts w:hint="eastAsia" w:ascii="宋体" w:hAnsi="宋体" w:cs="宋体"/>
                <w:color w:val="000000"/>
                <w:spacing w:val="-5"/>
                <w:sz w:val="21"/>
                <w:szCs w:val="21"/>
                <w:lang w:bidi="zh-CN"/>
              </w:rPr>
              <w:t>供货时间较短的</w:t>
            </w:r>
            <w:r>
              <w:rPr>
                <w:rFonts w:hint="eastAsia" w:ascii="宋体" w:hAnsi="宋体" w:cs="宋体"/>
                <w:color w:val="000000"/>
                <w:spacing w:val="-5"/>
                <w:sz w:val="21"/>
                <w:szCs w:val="21"/>
                <w:lang w:val="zh-CN" w:bidi="zh-CN"/>
              </w:rPr>
              <w:t>得</w:t>
            </w:r>
            <w:r>
              <w:rPr>
                <w:rFonts w:hint="eastAsia" w:ascii="宋体" w:hAnsi="宋体" w:cs="宋体"/>
                <w:color w:val="000000"/>
                <w:spacing w:val="-5"/>
                <w:sz w:val="21"/>
                <w:szCs w:val="21"/>
                <w:lang w:bidi="zh-CN"/>
              </w:rPr>
              <w:t>10</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2、方案内容要素较齐全、方案科学较合理、操作性较强，</w:t>
            </w:r>
            <w:r>
              <w:rPr>
                <w:rFonts w:hint="eastAsia" w:ascii="宋体" w:hAnsi="宋体" w:cs="宋体"/>
                <w:color w:val="000000"/>
                <w:spacing w:val="-5"/>
                <w:sz w:val="21"/>
                <w:szCs w:val="21"/>
                <w:lang w:bidi="zh-CN"/>
              </w:rPr>
              <w:t>供货时间满足采购文件要求的</w:t>
            </w:r>
            <w:r>
              <w:rPr>
                <w:rFonts w:hint="eastAsia" w:ascii="宋体" w:hAnsi="宋体" w:cs="宋体"/>
                <w:color w:val="000000"/>
                <w:spacing w:val="-5"/>
                <w:sz w:val="21"/>
                <w:szCs w:val="21"/>
                <w:lang w:val="zh-CN" w:bidi="zh-CN"/>
              </w:rPr>
              <w:t>得</w:t>
            </w:r>
            <w:r>
              <w:rPr>
                <w:rFonts w:hint="eastAsia" w:ascii="宋体" w:hAnsi="宋体" w:cs="宋体"/>
                <w:color w:val="000000"/>
                <w:spacing w:val="-5"/>
                <w:sz w:val="21"/>
                <w:szCs w:val="21"/>
                <w:lang w:bidi="zh-CN"/>
              </w:rPr>
              <w:t>6</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3、方案内容要素较齐全、方案科学性一般、操作性一般，</w:t>
            </w:r>
            <w:r>
              <w:rPr>
                <w:rFonts w:hint="eastAsia" w:ascii="宋体" w:hAnsi="宋体" w:cs="宋体"/>
                <w:color w:val="000000"/>
                <w:spacing w:val="-5"/>
                <w:sz w:val="21"/>
                <w:szCs w:val="21"/>
                <w:lang w:bidi="zh-CN"/>
              </w:rPr>
              <w:t>供货时间基本满足采购文件要求的</w:t>
            </w:r>
            <w:r>
              <w:rPr>
                <w:rFonts w:hint="eastAsia" w:ascii="宋体" w:hAnsi="宋体" w:cs="宋体"/>
                <w:color w:val="000000"/>
                <w:spacing w:val="-5"/>
                <w:sz w:val="21"/>
                <w:szCs w:val="21"/>
                <w:lang w:val="zh-CN" w:bidi="zh-CN"/>
              </w:rPr>
              <w:t>得</w:t>
            </w:r>
            <w:r>
              <w:rPr>
                <w:rFonts w:hint="eastAsia" w:ascii="宋体" w:hAnsi="宋体" w:cs="宋体"/>
                <w:color w:val="000000"/>
                <w:spacing w:val="-5"/>
                <w:sz w:val="21"/>
                <w:szCs w:val="21"/>
                <w:lang w:bidi="zh-CN"/>
              </w:rPr>
              <w:t>4</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4、方案内容要素有缺漏、方案科学性较差、操作性较差，</w:t>
            </w:r>
            <w:r>
              <w:rPr>
                <w:rFonts w:hint="eastAsia" w:ascii="宋体" w:hAnsi="宋体" w:cs="宋体"/>
                <w:color w:val="000000"/>
                <w:spacing w:val="-5"/>
                <w:sz w:val="21"/>
                <w:szCs w:val="21"/>
                <w:lang w:bidi="zh-CN"/>
              </w:rPr>
              <w:t>供货时间基本满足采购文件要求的</w:t>
            </w:r>
            <w:r>
              <w:rPr>
                <w:rFonts w:hint="eastAsia" w:ascii="宋体" w:hAnsi="宋体" w:cs="宋体"/>
                <w:color w:val="000000"/>
                <w:spacing w:val="-5"/>
                <w:sz w:val="21"/>
                <w:szCs w:val="21"/>
                <w:lang w:val="zh-CN" w:bidi="zh-CN"/>
              </w:rPr>
              <w:t>得</w:t>
            </w:r>
            <w:r>
              <w:rPr>
                <w:rFonts w:hint="eastAsia" w:ascii="宋体" w:hAnsi="宋体" w:cs="宋体"/>
                <w:color w:val="000000"/>
                <w:spacing w:val="-5"/>
                <w:sz w:val="21"/>
                <w:szCs w:val="21"/>
                <w:lang w:bidi="zh-CN"/>
              </w:rPr>
              <w:t>2</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 xml:space="preserve">5、未提供此项方案的，得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4</w:t>
            </w:r>
          </w:p>
        </w:tc>
        <w:tc>
          <w:tcPr>
            <w:tcW w:w="1560" w:type="dxa"/>
            <w:vMerge w:val="continue"/>
            <w:vAlign w:val="center"/>
          </w:tcPr>
          <w:p>
            <w:pPr>
              <w:pStyle w:val="36"/>
              <w:spacing w:before="0" w:beforeAutospacing="0" w:after="0" w:afterAutospacing="0" w:line="360" w:lineRule="exact"/>
              <w:jc w:val="center"/>
              <w:rPr>
                <w:rFonts w:ascii="宋体" w:hAnsi="宋体" w:cs="宋体"/>
                <w:b/>
                <w:bCs/>
                <w:color w:val="000000"/>
                <w:lang w:val="zh-CN"/>
              </w:rPr>
            </w:pPr>
          </w:p>
        </w:tc>
        <w:tc>
          <w:tcPr>
            <w:tcW w:w="1134" w:type="dxa"/>
            <w:vAlign w:val="center"/>
          </w:tcPr>
          <w:p>
            <w:pPr>
              <w:spacing w:line="360" w:lineRule="exact"/>
              <w:jc w:val="center"/>
              <w:rPr>
                <w:rFonts w:ascii="宋体" w:hAnsi="宋体" w:cs="宋体"/>
                <w:bCs/>
                <w:color w:val="000000"/>
                <w:lang w:val="zh-CN"/>
              </w:rPr>
            </w:pPr>
            <w:r>
              <w:rPr>
                <w:rFonts w:hint="eastAsia" w:ascii="宋体" w:hAnsi="宋体" w:cs="宋体"/>
                <w:bCs/>
                <w:color w:val="000000"/>
                <w:lang w:val="zh-CN"/>
              </w:rPr>
              <w:t>产品质量</w:t>
            </w:r>
          </w:p>
          <w:p>
            <w:pPr>
              <w:spacing w:line="360" w:lineRule="exact"/>
              <w:jc w:val="center"/>
              <w:rPr>
                <w:rFonts w:ascii="宋体" w:hAnsi="宋体" w:cs="宋体"/>
                <w:bCs/>
                <w:color w:val="000000"/>
                <w:lang w:val="zh-CN"/>
              </w:rPr>
            </w:pPr>
            <w:r>
              <w:rPr>
                <w:rFonts w:hint="eastAsia" w:ascii="宋体" w:hAnsi="宋体" w:cs="宋体"/>
                <w:bCs/>
                <w:color w:val="000000"/>
                <w:lang w:val="zh-CN"/>
              </w:rPr>
              <w:t>保证措施</w:t>
            </w:r>
          </w:p>
          <w:p>
            <w:pPr>
              <w:pStyle w:val="40"/>
              <w:ind w:firstLine="0" w:firstLineChars="0"/>
              <w:rPr>
                <w:lang w:val="zh-CN"/>
              </w:rPr>
            </w:pPr>
            <w:r>
              <w:rPr>
                <w:rFonts w:hint="eastAsia" w:ascii="宋体" w:hAnsi="宋体" w:cs="宋体"/>
                <w:bCs/>
                <w:color w:val="000000"/>
                <w:lang w:val="zh-CN"/>
              </w:rPr>
              <w:t>（</w:t>
            </w:r>
            <w:r>
              <w:rPr>
                <w:rFonts w:hint="eastAsia" w:ascii="宋体" w:hAnsi="宋体" w:cs="宋体"/>
                <w:bCs/>
                <w:color w:val="000000"/>
              </w:rPr>
              <w:t>5分</w:t>
            </w:r>
            <w:r>
              <w:rPr>
                <w:rFonts w:hint="eastAsia" w:ascii="宋体" w:hAnsi="宋体" w:cs="宋体"/>
                <w:bCs/>
                <w:color w:val="000000"/>
                <w:lang w:val="zh-CN"/>
              </w:rPr>
              <w:t>）</w:t>
            </w:r>
          </w:p>
        </w:tc>
        <w:tc>
          <w:tcPr>
            <w:tcW w:w="6885" w:type="dxa"/>
            <w:vAlign w:val="center"/>
          </w:tcPr>
          <w:p>
            <w:pPr>
              <w:spacing w:line="288" w:lineRule="auto"/>
              <w:jc w:val="both"/>
              <w:rPr>
                <w:rFonts w:ascii="宋体" w:hAnsi="宋体" w:cs="宋体"/>
                <w:kern w:val="2"/>
                <w:szCs w:val="24"/>
              </w:rPr>
            </w:pPr>
            <w:r>
              <w:rPr>
                <w:rFonts w:hint="eastAsia" w:ascii="宋体" w:hAnsi="宋体" w:cs="宋体"/>
                <w:kern w:val="2"/>
                <w:szCs w:val="24"/>
              </w:rPr>
              <w:t>根据产品的生产工艺流程，质量控制措施，供应商的违约承诺等进行综合评审：</w:t>
            </w:r>
          </w:p>
          <w:p>
            <w:pPr>
              <w:pStyle w:val="36"/>
              <w:numPr>
                <w:ilvl w:val="0"/>
                <w:numId w:val="5"/>
              </w:numPr>
              <w:spacing w:before="0" w:beforeAutospacing="0" w:after="0" w:afterAutospacing="0" w:line="288" w:lineRule="auto"/>
              <w:ind w:firstLine="420" w:firstLineChars="200"/>
              <w:rPr>
                <w:rFonts w:ascii="宋体" w:hAnsi="宋体" w:cs="宋体"/>
                <w:kern w:val="2"/>
                <w:sz w:val="21"/>
              </w:rPr>
            </w:pPr>
            <w:r>
              <w:rPr>
                <w:rFonts w:hint="eastAsia" w:ascii="宋体" w:hAnsi="宋体" w:cs="宋体"/>
                <w:kern w:val="2"/>
                <w:sz w:val="21"/>
              </w:rPr>
              <w:t>产品生产工艺先进、可操作性强、质量控制措施可行且质量违约承诺具体全面的得5分；</w:t>
            </w:r>
          </w:p>
          <w:p>
            <w:pPr>
              <w:pStyle w:val="36"/>
              <w:numPr>
                <w:ilvl w:val="0"/>
                <w:numId w:val="5"/>
              </w:numPr>
              <w:spacing w:before="0" w:beforeAutospacing="0" w:after="0" w:afterAutospacing="0" w:line="288" w:lineRule="auto"/>
              <w:ind w:firstLine="420" w:firstLineChars="200"/>
              <w:rPr>
                <w:rFonts w:ascii="宋体" w:hAnsi="宋体" w:cs="宋体"/>
                <w:color w:val="000000"/>
                <w:spacing w:val="-5"/>
                <w:sz w:val="21"/>
                <w:szCs w:val="21"/>
                <w:lang w:val="zh-CN" w:bidi="zh-CN"/>
              </w:rPr>
            </w:pPr>
            <w:r>
              <w:rPr>
                <w:rFonts w:hint="eastAsia" w:ascii="宋体" w:hAnsi="宋体" w:cs="宋体"/>
                <w:kern w:val="2"/>
                <w:sz w:val="21"/>
              </w:rPr>
              <w:t>产品生产工艺一般，质量控制措施可行且质量违约承诺简单的得3分；</w:t>
            </w:r>
          </w:p>
          <w:p>
            <w:pPr>
              <w:pStyle w:val="36"/>
              <w:numPr>
                <w:ilvl w:val="0"/>
                <w:numId w:val="5"/>
              </w:numPr>
              <w:spacing w:before="0" w:beforeAutospacing="0" w:after="0" w:afterAutospacing="0" w:line="288" w:lineRule="auto"/>
              <w:ind w:firstLine="420" w:firstLineChars="200"/>
              <w:rPr>
                <w:rFonts w:ascii="宋体" w:hAnsi="宋体" w:cs="宋体"/>
                <w:color w:val="000000"/>
                <w:spacing w:val="-5"/>
                <w:sz w:val="21"/>
                <w:szCs w:val="21"/>
                <w:lang w:val="zh-CN" w:bidi="zh-CN"/>
              </w:rPr>
            </w:pPr>
            <w:r>
              <w:rPr>
                <w:rFonts w:hint="eastAsia" w:ascii="宋体" w:hAnsi="宋体" w:cs="宋体"/>
                <w:kern w:val="2"/>
                <w:sz w:val="21"/>
              </w:rPr>
              <w:t>内容缺少或内容简要或内容非专门针对本项目或内容不能满足本项目实际需要的每有1项扣1分，扣完为止。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8"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5</w:t>
            </w:r>
          </w:p>
        </w:tc>
        <w:tc>
          <w:tcPr>
            <w:tcW w:w="1560" w:type="dxa"/>
            <w:vMerge w:val="continue"/>
            <w:vAlign w:val="center"/>
          </w:tcPr>
          <w:p>
            <w:pPr>
              <w:pStyle w:val="36"/>
              <w:spacing w:before="0" w:beforeAutospacing="0" w:after="0" w:afterAutospacing="0" w:line="360" w:lineRule="exact"/>
              <w:jc w:val="center"/>
              <w:rPr>
                <w:rFonts w:ascii="宋体" w:hAnsi="宋体" w:cs="宋体"/>
                <w:b/>
                <w:bCs/>
                <w:color w:val="000000"/>
                <w:lang w:val="zh-CN"/>
              </w:rPr>
            </w:pPr>
          </w:p>
        </w:tc>
        <w:tc>
          <w:tcPr>
            <w:tcW w:w="1134" w:type="dxa"/>
            <w:vAlign w:val="center"/>
          </w:tcPr>
          <w:p>
            <w:pPr>
              <w:spacing w:line="360" w:lineRule="exact"/>
              <w:jc w:val="center"/>
              <w:rPr>
                <w:rFonts w:ascii="宋体" w:hAnsi="宋体" w:cs="宋体"/>
                <w:bCs/>
                <w:color w:val="000000"/>
                <w:lang w:val="zh-CN"/>
              </w:rPr>
            </w:pPr>
            <w:r>
              <w:rPr>
                <w:rFonts w:hint="eastAsia" w:ascii="宋体" w:hAnsi="宋体" w:cs="宋体"/>
                <w:bCs/>
                <w:color w:val="000000"/>
                <w:lang w:val="zh-CN"/>
              </w:rPr>
              <w:t xml:space="preserve">应急事 </w:t>
            </w:r>
          </w:p>
          <w:p>
            <w:pPr>
              <w:spacing w:line="360" w:lineRule="exact"/>
              <w:jc w:val="center"/>
              <w:rPr>
                <w:rFonts w:ascii="宋体" w:hAnsi="宋体" w:cs="宋体"/>
                <w:bCs/>
                <w:color w:val="000000"/>
                <w:lang w:val="zh-CN"/>
              </w:rPr>
            </w:pPr>
            <w:r>
              <w:rPr>
                <w:rFonts w:hint="eastAsia" w:ascii="宋体" w:hAnsi="宋体" w:cs="宋体"/>
                <w:bCs/>
                <w:color w:val="000000"/>
                <w:lang w:val="zh-CN"/>
              </w:rPr>
              <w:t xml:space="preserve">故响应 </w:t>
            </w:r>
          </w:p>
          <w:p>
            <w:pPr>
              <w:spacing w:line="360" w:lineRule="exact"/>
              <w:jc w:val="center"/>
              <w:rPr>
                <w:rFonts w:ascii="宋体" w:hAnsi="宋体" w:cs="宋体"/>
                <w:bCs/>
                <w:color w:val="000000"/>
                <w:lang w:val="zh-CN"/>
              </w:rPr>
            </w:pPr>
            <w:r>
              <w:rPr>
                <w:rFonts w:hint="eastAsia" w:ascii="宋体" w:hAnsi="宋体" w:cs="宋体"/>
                <w:bCs/>
                <w:color w:val="000000"/>
                <w:lang w:val="zh-CN"/>
              </w:rPr>
              <w:t xml:space="preserve">及处理 </w:t>
            </w:r>
          </w:p>
          <w:p>
            <w:pPr>
              <w:spacing w:line="360" w:lineRule="exact"/>
              <w:jc w:val="center"/>
              <w:rPr>
                <w:rFonts w:ascii="宋体" w:hAnsi="宋体" w:cs="宋体"/>
                <w:bCs/>
                <w:color w:val="000000"/>
                <w:lang w:val="zh-CN"/>
              </w:rPr>
            </w:pPr>
            <w:r>
              <w:rPr>
                <w:rFonts w:hint="eastAsia" w:ascii="宋体" w:hAnsi="宋体" w:cs="宋体"/>
                <w:bCs/>
                <w:color w:val="000000"/>
                <w:lang w:val="zh-CN"/>
              </w:rPr>
              <w:t>方案</w:t>
            </w:r>
          </w:p>
          <w:p>
            <w:pPr>
              <w:spacing w:line="360" w:lineRule="exact"/>
              <w:jc w:val="center"/>
              <w:rPr>
                <w:rFonts w:ascii="宋体" w:hAnsi="宋体" w:cs="宋体"/>
                <w:bCs/>
                <w:color w:val="000000"/>
                <w:lang w:val="zh-CN"/>
              </w:rPr>
            </w:pPr>
            <w:r>
              <w:rPr>
                <w:rFonts w:hint="eastAsia" w:ascii="宋体" w:hAnsi="宋体" w:cs="宋体"/>
                <w:bCs/>
                <w:color w:val="000000"/>
                <w:lang w:val="zh-CN"/>
              </w:rPr>
              <w:t>（</w:t>
            </w:r>
            <w:r>
              <w:rPr>
                <w:rFonts w:hint="eastAsia" w:ascii="宋体" w:hAnsi="宋体" w:cs="宋体"/>
                <w:bCs/>
                <w:color w:val="000000"/>
              </w:rPr>
              <w:t>5分</w:t>
            </w:r>
            <w:r>
              <w:rPr>
                <w:rFonts w:hint="eastAsia" w:ascii="宋体" w:hAnsi="宋体" w:cs="宋体"/>
                <w:bCs/>
                <w:color w:val="000000"/>
                <w:lang w:val="zh-CN"/>
              </w:rPr>
              <w:t>）</w:t>
            </w:r>
          </w:p>
        </w:tc>
        <w:tc>
          <w:tcPr>
            <w:tcW w:w="6885" w:type="dxa"/>
            <w:vAlign w:val="center"/>
          </w:tcPr>
          <w:p>
            <w:pPr>
              <w:pStyle w:val="36"/>
              <w:spacing w:before="0" w:beforeAutospacing="0" w:after="0" w:afterAutospacing="0" w:line="288" w:lineRule="auto"/>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 xml:space="preserve">结合消防类项目实际应用、环境等情况，对投标人的应急事故响应及处理方案等进行综合评审：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1、</w:t>
            </w:r>
            <w:r>
              <w:rPr>
                <w:rFonts w:hint="eastAsia" w:ascii="宋体" w:hAnsi="宋体" w:cs="宋体"/>
                <w:color w:val="000000"/>
                <w:spacing w:val="-5"/>
                <w:sz w:val="21"/>
                <w:szCs w:val="21"/>
                <w:lang w:bidi="zh-CN"/>
              </w:rPr>
              <w:t>包含</w:t>
            </w:r>
            <w:r>
              <w:rPr>
                <w:rFonts w:hint="eastAsia" w:ascii="宋体" w:hAnsi="宋体" w:cs="宋体"/>
                <w:color w:val="000000"/>
                <w:spacing w:val="-5"/>
                <w:sz w:val="21"/>
                <w:szCs w:val="21"/>
                <w:lang w:val="zh-CN" w:bidi="zh-CN"/>
              </w:rPr>
              <w:t xml:space="preserve">完整应急事故方案内容，应急响应时间短、能完全满足消防类项目实际需求，得 </w:t>
            </w:r>
            <w:r>
              <w:rPr>
                <w:rFonts w:hint="eastAsia" w:ascii="宋体" w:hAnsi="宋体" w:cs="宋体"/>
                <w:color w:val="000000"/>
                <w:spacing w:val="-5"/>
                <w:sz w:val="21"/>
                <w:szCs w:val="21"/>
                <w:lang w:bidi="zh-CN"/>
              </w:rPr>
              <w:t>5</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2、</w:t>
            </w:r>
            <w:r>
              <w:rPr>
                <w:rFonts w:hint="eastAsia" w:ascii="宋体" w:hAnsi="宋体" w:cs="宋体"/>
                <w:color w:val="000000"/>
                <w:spacing w:val="-5"/>
                <w:sz w:val="21"/>
                <w:szCs w:val="21"/>
                <w:lang w:bidi="zh-CN"/>
              </w:rPr>
              <w:t>包含</w:t>
            </w:r>
            <w:r>
              <w:rPr>
                <w:rFonts w:hint="eastAsia" w:ascii="宋体" w:hAnsi="宋体" w:cs="宋体"/>
                <w:color w:val="000000"/>
                <w:spacing w:val="-5"/>
                <w:sz w:val="21"/>
                <w:szCs w:val="21"/>
                <w:lang w:val="zh-CN" w:bidi="zh-CN"/>
              </w:rPr>
              <w:t xml:space="preserve">较完整应急事故方案内容，应急响应时间较短、能基本满足消防类项目实际需求，得 </w:t>
            </w:r>
            <w:r>
              <w:rPr>
                <w:rFonts w:hint="eastAsia" w:ascii="宋体" w:hAnsi="宋体" w:cs="宋体"/>
                <w:color w:val="000000"/>
                <w:spacing w:val="-5"/>
                <w:sz w:val="21"/>
                <w:szCs w:val="21"/>
                <w:lang w:bidi="zh-CN"/>
              </w:rPr>
              <w:t>3</w:t>
            </w:r>
            <w:r>
              <w:rPr>
                <w:rFonts w:hint="eastAsia" w:ascii="宋体" w:hAnsi="宋体" w:cs="宋体"/>
                <w:color w:val="000000"/>
                <w:spacing w:val="-5"/>
                <w:sz w:val="21"/>
                <w:szCs w:val="21"/>
                <w:lang w:val="zh-CN" w:bidi="zh-CN"/>
              </w:rPr>
              <w:t xml:space="preserve"> 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4、</w:t>
            </w:r>
            <w:r>
              <w:rPr>
                <w:rFonts w:hint="eastAsia" w:ascii="宋体" w:hAnsi="宋体" w:cs="宋体"/>
                <w:color w:val="000000"/>
                <w:spacing w:val="-5"/>
                <w:sz w:val="21"/>
                <w:szCs w:val="21"/>
                <w:lang w:bidi="zh-CN"/>
              </w:rPr>
              <w:t>包含</w:t>
            </w:r>
            <w:r>
              <w:rPr>
                <w:rFonts w:hint="eastAsia" w:ascii="宋体" w:hAnsi="宋体" w:cs="宋体"/>
                <w:color w:val="000000"/>
                <w:spacing w:val="-5"/>
                <w:sz w:val="21"/>
                <w:szCs w:val="21"/>
                <w:lang w:val="zh-CN" w:bidi="zh-CN"/>
              </w:rPr>
              <w:t xml:space="preserve">应急事故内容缺少，应急响应时间较长、不能基本满足消防类项目实际需求，得 </w:t>
            </w:r>
            <w:r>
              <w:rPr>
                <w:rFonts w:hint="eastAsia" w:ascii="宋体" w:hAnsi="宋体" w:cs="宋体"/>
                <w:color w:val="000000"/>
                <w:spacing w:val="-5"/>
                <w:sz w:val="21"/>
                <w:szCs w:val="21"/>
                <w:lang w:bidi="zh-CN"/>
              </w:rPr>
              <w:t>1</w:t>
            </w:r>
            <w:r>
              <w:rPr>
                <w:rFonts w:hint="eastAsia" w:ascii="宋体" w:hAnsi="宋体" w:cs="宋体"/>
                <w:color w:val="000000"/>
                <w:spacing w:val="-5"/>
                <w:sz w:val="21"/>
                <w:szCs w:val="21"/>
                <w:lang w:val="zh-CN" w:bidi="zh-CN"/>
              </w:rPr>
              <w:t xml:space="preserve"> 分；</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 xml:space="preserve">5、未提供此项方案的，得 0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8"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6</w:t>
            </w:r>
          </w:p>
        </w:tc>
        <w:tc>
          <w:tcPr>
            <w:tcW w:w="1560" w:type="dxa"/>
            <w:vMerge w:val="continue"/>
            <w:vAlign w:val="center"/>
          </w:tcPr>
          <w:p>
            <w:pPr>
              <w:pStyle w:val="36"/>
              <w:spacing w:before="0" w:beforeAutospacing="0" w:after="0" w:afterAutospacing="0" w:line="360" w:lineRule="exact"/>
              <w:jc w:val="center"/>
              <w:rPr>
                <w:rFonts w:ascii="宋体" w:hAnsi="宋体" w:cs="宋体"/>
                <w:b/>
                <w:bCs/>
                <w:color w:val="000000"/>
                <w:lang w:val="zh-CN"/>
              </w:rPr>
            </w:pPr>
          </w:p>
        </w:tc>
        <w:tc>
          <w:tcPr>
            <w:tcW w:w="1134" w:type="dxa"/>
            <w:vAlign w:val="center"/>
          </w:tcPr>
          <w:p>
            <w:pPr>
              <w:spacing w:line="360" w:lineRule="exact"/>
              <w:jc w:val="center"/>
              <w:rPr>
                <w:rFonts w:ascii="宋体" w:hAnsi="宋体" w:cs="宋体"/>
                <w:bCs/>
                <w:color w:val="000000"/>
              </w:rPr>
            </w:pPr>
            <w:r>
              <w:rPr>
                <w:rFonts w:hint="eastAsia" w:ascii="宋体" w:hAnsi="宋体" w:cs="宋体"/>
                <w:bCs/>
                <w:color w:val="000000"/>
                <w:lang w:val="zh-CN"/>
              </w:rPr>
              <w:t>供货方案（</w:t>
            </w:r>
            <w:r>
              <w:rPr>
                <w:rFonts w:hint="eastAsia" w:ascii="宋体" w:hAnsi="宋体" w:cs="宋体"/>
                <w:bCs/>
                <w:color w:val="000000"/>
              </w:rPr>
              <w:t>5分）</w:t>
            </w:r>
          </w:p>
        </w:tc>
        <w:tc>
          <w:tcPr>
            <w:tcW w:w="6885" w:type="dxa"/>
            <w:vAlign w:val="center"/>
          </w:tcPr>
          <w:p>
            <w:pPr>
              <w:pStyle w:val="36"/>
              <w:spacing w:before="0" w:beforeAutospacing="0" w:after="0" w:afterAutospacing="0" w:line="288" w:lineRule="auto"/>
              <w:ind w:firstLine="400" w:firstLineChars="200"/>
              <w:rPr>
                <w:rFonts w:ascii="宋体" w:hAnsi="宋体" w:cs="宋体"/>
                <w:color w:val="000000"/>
                <w:spacing w:val="-5"/>
                <w:sz w:val="21"/>
                <w:szCs w:val="21"/>
                <w:lang w:bidi="zh-CN"/>
              </w:rPr>
            </w:pPr>
            <w:r>
              <w:rPr>
                <w:rFonts w:hint="eastAsia" w:ascii="宋体" w:hAnsi="宋体" w:cs="宋体"/>
                <w:color w:val="000000"/>
                <w:spacing w:val="-5"/>
                <w:sz w:val="21"/>
                <w:szCs w:val="21"/>
                <w:lang w:bidi="zh-CN"/>
              </w:rPr>
              <w:t>根据投标人提供的供货方案，至少包括：①供货计划及时间安排；②交货期的保证措施；③违约承诺；④培训内容；⑤培训时间安排等方面综合评审。</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bidi="zh-CN"/>
              </w:rPr>
              <w:t>其方案内容完整、阐述详细、合理、针对性强的得5分；每缺少一项扣1分；每有一项描述不完整，阐述不明确、不合理、操作性及针对性不强的扣1分，分数扣完为止。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7</w:t>
            </w:r>
          </w:p>
        </w:tc>
        <w:tc>
          <w:tcPr>
            <w:tcW w:w="1560" w:type="dxa"/>
            <w:vMerge w:val="continue"/>
            <w:vAlign w:val="center"/>
          </w:tcPr>
          <w:p>
            <w:pPr>
              <w:pStyle w:val="36"/>
              <w:spacing w:before="0" w:beforeAutospacing="0" w:after="0" w:afterAutospacing="0" w:line="360" w:lineRule="exact"/>
              <w:jc w:val="center"/>
              <w:rPr>
                <w:rFonts w:ascii="宋体" w:hAnsi="宋体" w:cs="宋体"/>
                <w:b/>
                <w:bCs/>
                <w:color w:val="000000"/>
                <w:lang w:val="zh-CN"/>
              </w:rPr>
            </w:pPr>
          </w:p>
        </w:tc>
        <w:tc>
          <w:tcPr>
            <w:tcW w:w="1134" w:type="dxa"/>
            <w:vAlign w:val="center"/>
          </w:tcPr>
          <w:p>
            <w:pPr>
              <w:spacing w:line="360" w:lineRule="exact"/>
              <w:jc w:val="center"/>
              <w:rPr>
                <w:rFonts w:ascii="宋体" w:hAnsi="宋体" w:cs="宋体"/>
                <w:bCs/>
                <w:color w:val="000000"/>
              </w:rPr>
            </w:pPr>
            <w:r>
              <w:rPr>
                <w:rFonts w:hint="eastAsia" w:ascii="宋体" w:hAnsi="宋体" w:cs="宋体"/>
                <w:bCs/>
                <w:color w:val="000000"/>
              </w:rPr>
              <w:t>培训方案（5分）</w:t>
            </w:r>
          </w:p>
        </w:tc>
        <w:tc>
          <w:tcPr>
            <w:tcW w:w="6885" w:type="dxa"/>
            <w:vAlign w:val="center"/>
          </w:tcPr>
          <w:p>
            <w:pPr>
              <w:pStyle w:val="36"/>
              <w:spacing w:before="0" w:beforeAutospacing="0" w:after="0" w:afterAutospacing="0" w:line="288" w:lineRule="auto"/>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针对本项目特点，结合采购人的需求，制定包括但不限于培训内容、培训方式、培训计划、培训对象、培训团队配备等技术培训方案</w:t>
            </w:r>
            <w:r>
              <w:rPr>
                <w:rFonts w:hint="eastAsia" w:ascii="宋体" w:hAnsi="宋体" w:cs="宋体"/>
                <w:color w:val="000000"/>
                <w:spacing w:val="-5"/>
                <w:sz w:val="21"/>
                <w:szCs w:val="21"/>
                <w:lang w:bidi="zh-CN"/>
              </w:rPr>
              <w:t>进行综合评审</w:t>
            </w:r>
            <w:r>
              <w:rPr>
                <w:rFonts w:hint="eastAsia" w:ascii="宋体" w:hAnsi="宋体" w:cs="宋体"/>
                <w:color w:val="000000"/>
                <w:spacing w:val="-5"/>
                <w:sz w:val="21"/>
                <w:szCs w:val="21"/>
                <w:lang w:val="zh-CN" w:bidi="zh-CN"/>
              </w:rPr>
              <w:t xml:space="preserve">：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1、方案合理、详尽，能贴合消防类项目用户使用需求，得</w:t>
            </w:r>
            <w:r>
              <w:rPr>
                <w:rFonts w:hint="eastAsia" w:ascii="宋体" w:hAnsi="宋体" w:cs="宋体"/>
                <w:color w:val="000000"/>
                <w:spacing w:val="-5"/>
                <w:sz w:val="21"/>
                <w:szCs w:val="21"/>
                <w:lang w:bidi="zh-CN"/>
              </w:rPr>
              <w:t>5</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2、方案较完整、较为详尽，满足消防类项目用户使用需求，得</w:t>
            </w:r>
            <w:r>
              <w:rPr>
                <w:rFonts w:hint="eastAsia" w:ascii="宋体" w:hAnsi="宋体" w:cs="宋体"/>
                <w:color w:val="000000"/>
                <w:spacing w:val="-5"/>
                <w:sz w:val="21"/>
                <w:szCs w:val="21"/>
                <w:lang w:bidi="zh-CN"/>
              </w:rPr>
              <w:t>3</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 xml:space="preserve">3、方案详尽程度一般，有缺漏，基本满足消防类项目用户使用需求，得 </w:t>
            </w:r>
            <w:r>
              <w:rPr>
                <w:rFonts w:hint="eastAsia" w:ascii="宋体" w:hAnsi="宋体" w:cs="宋体"/>
                <w:color w:val="000000"/>
                <w:spacing w:val="-5"/>
                <w:sz w:val="21"/>
                <w:szCs w:val="21"/>
                <w:lang w:bidi="zh-CN"/>
              </w:rPr>
              <w:t>1</w:t>
            </w:r>
            <w:r>
              <w:rPr>
                <w:rFonts w:hint="eastAsia" w:ascii="宋体" w:hAnsi="宋体" w:cs="宋体"/>
                <w:color w:val="000000"/>
                <w:spacing w:val="-5"/>
                <w:sz w:val="21"/>
                <w:szCs w:val="21"/>
                <w:lang w:val="zh-CN" w:bidi="zh-CN"/>
              </w:rPr>
              <w:t xml:space="preserve">分； </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4、未提供此项方案的，得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lang w:val="zh-CN"/>
              </w:rPr>
            </w:pPr>
            <w:r>
              <w:rPr>
                <w:rFonts w:hint="eastAsia" w:ascii="宋体" w:hAnsi="宋体" w:cs="宋体"/>
                <w:b/>
                <w:color w:val="000000"/>
                <w:sz w:val="21"/>
                <w:szCs w:val="21"/>
              </w:rPr>
              <w:t>8</w:t>
            </w:r>
          </w:p>
        </w:tc>
        <w:tc>
          <w:tcPr>
            <w:tcW w:w="1560" w:type="dxa"/>
            <w:vMerge w:val="restart"/>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商务部分</w:t>
            </w:r>
          </w:p>
          <w:p>
            <w:pPr>
              <w:spacing w:line="360" w:lineRule="exact"/>
              <w:jc w:val="center"/>
              <w:rPr>
                <w:rFonts w:ascii="宋体" w:hAnsi="宋体" w:cs="宋体"/>
                <w:color w:val="000000"/>
                <w:sz w:val="24"/>
                <w:szCs w:val="24"/>
              </w:rPr>
            </w:pPr>
            <w:r>
              <w:rPr>
                <w:rFonts w:hint="eastAsia" w:ascii="宋体" w:hAnsi="宋体" w:cs="宋体"/>
                <w:color w:val="000000"/>
                <w:sz w:val="24"/>
                <w:szCs w:val="24"/>
              </w:rPr>
              <w:t>（20分）</w:t>
            </w:r>
          </w:p>
        </w:tc>
        <w:tc>
          <w:tcPr>
            <w:tcW w:w="1134" w:type="dxa"/>
            <w:vAlign w:val="center"/>
          </w:tcPr>
          <w:p>
            <w:pPr>
              <w:spacing w:line="360" w:lineRule="exact"/>
              <w:jc w:val="center"/>
              <w:rPr>
                <w:rFonts w:ascii="宋体" w:hAnsi="宋体" w:cs="宋体"/>
                <w:bCs/>
                <w:color w:val="000000"/>
                <w:lang w:val="zh-CN"/>
              </w:rPr>
            </w:pPr>
            <w:r>
              <w:rPr>
                <w:rFonts w:hint="eastAsia" w:ascii="宋体" w:hAnsi="宋体" w:cs="宋体"/>
                <w:bCs/>
                <w:color w:val="000000"/>
                <w:lang w:val="zh-CN"/>
              </w:rPr>
              <w:t>售后服务</w:t>
            </w:r>
          </w:p>
          <w:p>
            <w:pPr>
              <w:spacing w:line="360" w:lineRule="exact"/>
              <w:jc w:val="center"/>
              <w:rPr>
                <w:rFonts w:ascii="宋体" w:hAnsi="宋体" w:cs="宋体"/>
                <w:b/>
                <w:bCs/>
                <w:color w:val="000000"/>
                <w:lang w:val="zh-CN"/>
              </w:rPr>
            </w:pPr>
            <w:r>
              <w:rPr>
                <w:rFonts w:hint="eastAsia" w:ascii="宋体" w:hAnsi="宋体" w:cs="宋体"/>
                <w:bCs/>
                <w:color w:val="000000"/>
              </w:rPr>
              <w:t>（</w:t>
            </w:r>
            <w:r>
              <w:rPr>
                <w:rFonts w:hint="eastAsia" w:ascii="宋体" w:hAnsi="宋体" w:cs="宋体"/>
                <w:bCs/>
                <w:color w:val="000000"/>
                <w:lang w:val="en-US" w:eastAsia="zh-CN"/>
              </w:rPr>
              <w:t>5</w:t>
            </w:r>
            <w:r>
              <w:rPr>
                <w:rFonts w:hint="eastAsia" w:ascii="宋体" w:hAnsi="宋体" w:cs="宋体"/>
                <w:bCs/>
                <w:color w:val="000000"/>
                <w:lang w:val="zh-CN"/>
              </w:rPr>
              <w:t>分</w:t>
            </w:r>
            <w:r>
              <w:rPr>
                <w:rFonts w:hint="eastAsia" w:ascii="宋体" w:hAnsi="宋体" w:cs="宋体"/>
                <w:bCs/>
                <w:color w:val="000000"/>
              </w:rPr>
              <w:t>）</w:t>
            </w:r>
          </w:p>
        </w:tc>
        <w:tc>
          <w:tcPr>
            <w:tcW w:w="6885" w:type="dxa"/>
            <w:vAlign w:val="center"/>
          </w:tcPr>
          <w:p>
            <w:pPr>
              <w:pStyle w:val="36"/>
              <w:spacing w:before="0" w:beforeAutospacing="0" w:after="0" w:afterAutospacing="0" w:line="288" w:lineRule="auto"/>
              <w:rPr>
                <w:rFonts w:ascii="宋体" w:hAnsi="宋体" w:cs="宋体"/>
                <w:color w:val="000000"/>
                <w:spacing w:val="-5"/>
                <w:sz w:val="21"/>
                <w:szCs w:val="21"/>
                <w:lang w:val="zh-CN" w:bidi="zh-CN"/>
              </w:rPr>
            </w:pPr>
            <w:r>
              <w:rPr>
                <w:rFonts w:ascii="宋体" w:hAnsi="宋体" w:cs="宋体"/>
                <w:color w:val="000000"/>
                <w:spacing w:val="-5"/>
                <w:sz w:val="21"/>
                <w:szCs w:val="21"/>
                <w:lang w:val="zh-CN" w:bidi="zh-CN"/>
              </w:rPr>
              <w:t>根据投标人售后服务方案（内容包含但不限于：①售后服务机构和人员配备、售后服务内容和流程、售后服务响应时间和质量；</w:t>
            </w:r>
            <w:r>
              <w:rPr>
                <w:rFonts w:hint="eastAsia" w:ascii="宋体" w:hAnsi="宋体" w:cs="宋体"/>
                <w:color w:val="000000"/>
                <w:spacing w:val="-5"/>
                <w:sz w:val="21"/>
                <w:szCs w:val="21"/>
                <w:lang w:bidi="zh-CN"/>
              </w:rPr>
              <w:t>②产品</w:t>
            </w:r>
            <w:r>
              <w:rPr>
                <w:rFonts w:ascii="宋体" w:hAnsi="宋体" w:cs="宋体"/>
                <w:color w:val="000000"/>
                <w:spacing w:val="-5"/>
                <w:sz w:val="21"/>
                <w:szCs w:val="21"/>
                <w:lang w:val="zh-CN" w:bidi="zh-CN"/>
              </w:rPr>
              <w:t>储备和供应）</w:t>
            </w:r>
            <w:r>
              <w:rPr>
                <w:rFonts w:hint="eastAsia" w:ascii="宋体" w:hAnsi="宋体" w:cs="宋体"/>
                <w:color w:val="000000"/>
                <w:spacing w:val="-5"/>
                <w:sz w:val="21"/>
                <w:szCs w:val="21"/>
                <w:lang w:bidi="zh-CN"/>
              </w:rPr>
              <w:t>等内容进行综合评审</w:t>
            </w:r>
            <w:r>
              <w:rPr>
                <w:rFonts w:hint="eastAsia" w:ascii="宋体" w:hAnsi="宋体" w:cs="宋体"/>
                <w:color w:val="000000"/>
                <w:spacing w:val="-5"/>
                <w:sz w:val="21"/>
                <w:szCs w:val="21"/>
                <w:lang w:val="zh-CN" w:bidi="zh-CN"/>
              </w:rPr>
              <w:t>：</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ascii="宋体" w:hAnsi="宋体" w:cs="宋体"/>
                <w:color w:val="000000"/>
                <w:spacing w:val="-5"/>
                <w:sz w:val="21"/>
                <w:szCs w:val="21"/>
                <w:lang w:val="zh-CN" w:bidi="zh-CN"/>
              </w:rPr>
              <w:t>1、售后服务方案内容要素完整、售后服务机构和人员配备针对性强、售后服务内容和流程清晰明了、</w:t>
            </w:r>
            <w:r>
              <w:rPr>
                <w:rFonts w:hint="eastAsia" w:ascii="宋体" w:hAnsi="宋体" w:cs="宋体"/>
                <w:color w:val="000000"/>
                <w:spacing w:val="-5"/>
                <w:sz w:val="21"/>
                <w:szCs w:val="21"/>
                <w:lang w:bidi="zh-CN"/>
              </w:rPr>
              <w:t>产品零配件</w:t>
            </w:r>
            <w:r>
              <w:rPr>
                <w:rFonts w:ascii="宋体" w:hAnsi="宋体" w:cs="宋体"/>
                <w:color w:val="000000"/>
                <w:spacing w:val="-5"/>
                <w:sz w:val="21"/>
                <w:szCs w:val="21"/>
                <w:lang w:val="zh-CN" w:bidi="zh-CN"/>
              </w:rPr>
              <w:t>种类齐全且价格合理的，计</w:t>
            </w:r>
            <w:r>
              <w:rPr>
                <w:rFonts w:hint="eastAsia" w:ascii="宋体" w:hAnsi="宋体" w:cs="宋体"/>
                <w:color w:val="000000"/>
                <w:spacing w:val="-5"/>
                <w:sz w:val="21"/>
                <w:szCs w:val="21"/>
                <w:lang w:val="en-US" w:bidi="zh-CN"/>
              </w:rPr>
              <w:t>5</w:t>
            </w:r>
            <w:r>
              <w:rPr>
                <w:rFonts w:ascii="宋体" w:hAnsi="宋体" w:cs="宋体"/>
                <w:color w:val="000000"/>
                <w:spacing w:val="-5"/>
                <w:sz w:val="21"/>
                <w:szCs w:val="21"/>
                <w:lang w:val="zh-CN" w:bidi="zh-CN"/>
              </w:rPr>
              <w:t>分</w:t>
            </w:r>
            <w:r>
              <w:rPr>
                <w:rFonts w:hint="eastAsia" w:ascii="宋体" w:hAnsi="宋体" w:cs="宋体"/>
                <w:color w:val="000000"/>
                <w:spacing w:val="-5"/>
                <w:sz w:val="21"/>
                <w:szCs w:val="21"/>
                <w:lang w:val="zh-CN" w:bidi="zh-CN"/>
              </w:rPr>
              <w:t>；</w:t>
            </w:r>
          </w:p>
          <w:p>
            <w:pPr>
              <w:pStyle w:val="36"/>
              <w:spacing w:before="0" w:beforeAutospacing="0" w:after="0" w:afterAutospacing="0" w:line="288" w:lineRule="auto"/>
              <w:ind w:firstLine="400" w:firstLineChars="200"/>
              <w:rPr>
                <w:rFonts w:ascii="宋体" w:hAnsi="宋体" w:cs="宋体"/>
                <w:color w:val="000000"/>
                <w:spacing w:val="-5"/>
                <w:sz w:val="21"/>
                <w:szCs w:val="21"/>
                <w:lang w:val="zh-CN" w:bidi="zh-CN"/>
              </w:rPr>
            </w:pPr>
            <w:r>
              <w:rPr>
                <w:rFonts w:ascii="宋体" w:hAnsi="宋体" w:cs="宋体"/>
                <w:color w:val="000000"/>
                <w:spacing w:val="-5"/>
                <w:sz w:val="21"/>
                <w:szCs w:val="21"/>
                <w:lang w:val="zh-CN" w:bidi="zh-CN"/>
              </w:rPr>
              <w:t>2、未提供主要</w:t>
            </w:r>
            <w:r>
              <w:rPr>
                <w:rFonts w:hint="eastAsia" w:ascii="宋体" w:hAnsi="宋体" w:cs="宋体"/>
                <w:color w:val="000000"/>
                <w:spacing w:val="-5"/>
                <w:sz w:val="21"/>
                <w:szCs w:val="21"/>
                <w:lang w:bidi="zh-CN"/>
              </w:rPr>
              <w:t>产品</w:t>
            </w:r>
            <w:r>
              <w:rPr>
                <w:rFonts w:ascii="宋体" w:hAnsi="宋体" w:cs="宋体"/>
                <w:color w:val="000000"/>
                <w:spacing w:val="-5"/>
                <w:sz w:val="21"/>
                <w:szCs w:val="21"/>
                <w:lang w:val="zh-CN" w:bidi="zh-CN"/>
              </w:rPr>
              <w:t xml:space="preserve">零配件供应表扣 </w:t>
            </w:r>
            <w:r>
              <w:rPr>
                <w:rFonts w:hint="eastAsia" w:ascii="宋体" w:hAnsi="宋体" w:cs="宋体"/>
                <w:color w:val="000000"/>
                <w:spacing w:val="-5"/>
                <w:sz w:val="21"/>
                <w:szCs w:val="21"/>
                <w:lang w:bidi="zh-CN"/>
              </w:rPr>
              <w:t>1</w:t>
            </w:r>
            <w:r>
              <w:rPr>
                <w:rFonts w:ascii="宋体" w:hAnsi="宋体" w:cs="宋体"/>
                <w:color w:val="000000"/>
                <w:spacing w:val="-5"/>
                <w:sz w:val="21"/>
                <w:szCs w:val="21"/>
                <w:lang w:val="zh-CN" w:bidi="zh-CN"/>
              </w:rPr>
              <w:t xml:space="preserve"> 分，其他每有一处不满足或不合理的扣 </w:t>
            </w:r>
            <w:r>
              <w:rPr>
                <w:rFonts w:hint="eastAsia" w:ascii="宋体" w:hAnsi="宋体" w:cs="宋体"/>
                <w:color w:val="000000"/>
                <w:spacing w:val="-5"/>
                <w:sz w:val="21"/>
                <w:szCs w:val="21"/>
                <w:lang w:bidi="zh-CN"/>
              </w:rPr>
              <w:t>0.5</w:t>
            </w:r>
            <w:r>
              <w:rPr>
                <w:rFonts w:ascii="宋体" w:hAnsi="宋体" w:cs="宋体"/>
                <w:color w:val="000000"/>
                <w:spacing w:val="-5"/>
                <w:sz w:val="21"/>
                <w:szCs w:val="21"/>
                <w:lang w:val="zh-CN" w:bidi="zh-CN"/>
              </w:rPr>
              <w:t xml:space="preserve"> 分， 扣完</w:t>
            </w:r>
            <w:r>
              <w:rPr>
                <w:rFonts w:hint="eastAsia" w:ascii="宋体" w:hAnsi="宋体" w:cs="宋体"/>
                <w:color w:val="000000"/>
                <w:spacing w:val="-5"/>
                <w:sz w:val="21"/>
                <w:szCs w:val="21"/>
                <w:lang w:bidi="zh-CN"/>
              </w:rPr>
              <w:t>5</w:t>
            </w:r>
            <w:r>
              <w:rPr>
                <w:rFonts w:ascii="宋体" w:hAnsi="宋体" w:cs="宋体"/>
                <w:color w:val="000000"/>
                <w:spacing w:val="-5"/>
                <w:sz w:val="21"/>
                <w:szCs w:val="21"/>
                <w:lang w:val="zh-CN" w:bidi="zh-CN"/>
              </w:rPr>
              <w:t>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9</w:t>
            </w:r>
          </w:p>
        </w:tc>
        <w:tc>
          <w:tcPr>
            <w:tcW w:w="1560" w:type="dxa"/>
            <w:vMerge w:val="continue"/>
            <w:vAlign w:val="center"/>
          </w:tcPr>
          <w:p>
            <w:pPr>
              <w:spacing w:line="360" w:lineRule="exact"/>
              <w:jc w:val="center"/>
              <w:rPr>
                <w:rFonts w:ascii="宋体" w:hAnsi="宋体" w:cs="宋体"/>
                <w:color w:val="000000"/>
                <w:sz w:val="24"/>
                <w:szCs w:val="24"/>
              </w:rPr>
            </w:pPr>
          </w:p>
        </w:tc>
        <w:tc>
          <w:tcPr>
            <w:tcW w:w="1134" w:type="dxa"/>
            <w:vAlign w:val="center"/>
          </w:tcPr>
          <w:p>
            <w:pPr>
              <w:spacing w:line="360" w:lineRule="exact"/>
              <w:jc w:val="center"/>
              <w:rPr>
                <w:rFonts w:ascii="宋体" w:hAnsi="宋体" w:cs="宋体"/>
                <w:bCs/>
                <w:color w:val="000000"/>
              </w:rPr>
            </w:pPr>
            <w:r>
              <w:rPr>
                <w:rFonts w:hint="eastAsia" w:ascii="宋体" w:hAnsi="宋体" w:cs="宋体"/>
                <w:bCs/>
                <w:color w:val="000000"/>
              </w:rPr>
              <w:t>质量承诺及保证措施</w:t>
            </w:r>
          </w:p>
          <w:p>
            <w:pPr>
              <w:spacing w:line="360" w:lineRule="exact"/>
              <w:jc w:val="center"/>
              <w:rPr>
                <w:rFonts w:ascii="宋体" w:hAnsi="宋体" w:cs="宋体"/>
                <w:bCs/>
                <w:color w:val="000000"/>
              </w:rPr>
            </w:pPr>
            <w:r>
              <w:rPr>
                <w:rFonts w:hint="eastAsia" w:ascii="宋体" w:hAnsi="宋体" w:cs="宋体"/>
                <w:bCs/>
                <w:color w:val="000000"/>
              </w:rPr>
              <w:t>（5分）</w:t>
            </w:r>
          </w:p>
        </w:tc>
        <w:tc>
          <w:tcPr>
            <w:tcW w:w="6885" w:type="dxa"/>
            <w:vAlign w:val="center"/>
          </w:tcPr>
          <w:p>
            <w:pPr>
              <w:pStyle w:val="36"/>
              <w:spacing w:before="0" w:beforeAutospacing="0" w:after="0" w:afterAutospacing="0" w:line="288" w:lineRule="auto"/>
              <w:rPr>
                <w:rFonts w:ascii="宋体" w:hAnsi="宋体" w:cs="宋体"/>
                <w:color w:val="000000"/>
                <w:spacing w:val="-5"/>
                <w:sz w:val="21"/>
                <w:szCs w:val="21"/>
                <w:lang w:val="zh-CN" w:bidi="zh-CN"/>
              </w:rPr>
            </w:pPr>
            <w:r>
              <w:rPr>
                <w:rFonts w:hint="eastAsia" w:ascii="宋体" w:hAnsi="宋体" w:cs="宋体"/>
                <w:color w:val="000000"/>
                <w:spacing w:val="-5"/>
                <w:sz w:val="21"/>
                <w:szCs w:val="21"/>
                <w:lang w:val="zh-CN" w:bidi="zh-CN"/>
              </w:rPr>
              <w:t>根据投标人提供的质量承诺及保证措施进行评审，其中包含质量保证措施、质量保证措施承诺、质量管理及监督方案、履约能力、服务质量违约责任承诺，共</w:t>
            </w:r>
            <w:r>
              <w:rPr>
                <w:rFonts w:hint="eastAsia" w:ascii="宋体" w:hAnsi="宋体" w:cs="宋体"/>
                <w:color w:val="000000"/>
                <w:spacing w:val="-5"/>
                <w:sz w:val="21"/>
                <w:szCs w:val="21"/>
                <w:lang w:bidi="zh-CN"/>
              </w:rPr>
              <w:t>五</w:t>
            </w:r>
            <w:r>
              <w:rPr>
                <w:rFonts w:hint="eastAsia" w:ascii="宋体" w:hAnsi="宋体" w:cs="宋体"/>
                <w:color w:val="000000"/>
                <w:spacing w:val="-5"/>
                <w:sz w:val="21"/>
                <w:szCs w:val="21"/>
                <w:lang w:val="zh-CN" w:bidi="zh-CN"/>
              </w:rPr>
              <w:t>项内容，内容完整、详细，承诺响应及时、措施完善的得</w:t>
            </w:r>
            <w:r>
              <w:rPr>
                <w:rFonts w:hint="eastAsia" w:ascii="宋体" w:hAnsi="宋体" w:cs="宋体"/>
                <w:color w:val="000000"/>
                <w:spacing w:val="-5"/>
                <w:sz w:val="21"/>
                <w:szCs w:val="21"/>
                <w:lang w:bidi="zh-CN"/>
              </w:rPr>
              <w:t>5</w:t>
            </w:r>
            <w:r>
              <w:rPr>
                <w:rFonts w:hint="eastAsia" w:ascii="宋体" w:hAnsi="宋体" w:cs="宋体"/>
                <w:color w:val="000000"/>
                <w:spacing w:val="-5"/>
                <w:sz w:val="21"/>
                <w:szCs w:val="21"/>
                <w:lang w:val="zh-CN" w:bidi="zh-CN"/>
              </w:rPr>
              <w:t>分；方案中以上内容存在缺项漏项或内容存在不全面或不合理的每处扣1分。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705" w:type="dxa"/>
            <w:vAlign w:val="center"/>
          </w:tcPr>
          <w:p>
            <w:pPr>
              <w:pStyle w:val="36"/>
              <w:spacing w:before="0" w:beforeAutospacing="0" w:after="0" w:afterAutospacing="0" w:line="360" w:lineRule="exact"/>
              <w:jc w:val="center"/>
              <w:rPr>
                <w:rFonts w:ascii="宋体" w:hAnsi="宋体" w:cs="宋体"/>
                <w:b/>
                <w:color w:val="000000"/>
                <w:sz w:val="21"/>
                <w:szCs w:val="21"/>
              </w:rPr>
            </w:pPr>
            <w:r>
              <w:rPr>
                <w:rFonts w:hint="eastAsia" w:ascii="宋体" w:hAnsi="宋体" w:cs="宋体"/>
                <w:b/>
                <w:color w:val="000000"/>
                <w:sz w:val="21"/>
                <w:szCs w:val="21"/>
              </w:rPr>
              <w:t>10</w:t>
            </w:r>
          </w:p>
        </w:tc>
        <w:tc>
          <w:tcPr>
            <w:tcW w:w="1560" w:type="dxa"/>
            <w:vMerge w:val="continue"/>
            <w:vAlign w:val="center"/>
          </w:tcPr>
          <w:p>
            <w:pPr>
              <w:spacing w:line="360" w:lineRule="exact"/>
              <w:jc w:val="center"/>
              <w:rPr>
                <w:rFonts w:ascii="宋体" w:hAnsi="宋体" w:cs="宋体"/>
                <w:color w:val="000000"/>
              </w:rPr>
            </w:pPr>
          </w:p>
        </w:tc>
        <w:tc>
          <w:tcPr>
            <w:tcW w:w="1134" w:type="dxa"/>
            <w:vAlign w:val="center"/>
          </w:tcPr>
          <w:p>
            <w:pPr>
              <w:spacing w:line="360" w:lineRule="exact"/>
              <w:jc w:val="center"/>
              <w:rPr>
                <w:rFonts w:ascii="宋体" w:hAnsi="宋体" w:cs="宋体"/>
                <w:bCs/>
                <w:color w:val="000000"/>
              </w:rPr>
            </w:pPr>
            <w:r>
              <w:rPr>
                <w:rFonts w:hint="eastAsia" w:ascii="宋体" w:hAnsi="宋体" w:cs="宋体"/>
                <w:bCs/>
                <w:color w:val="000000"/>
              </w:rPr>
              <w:t>类似业绩（10分）</w:t>
            </w:r>
          </w:p>
        </w:tc>
        <w:tc>
          <w:tcPr>
            <w:tcW w:w="6885" w:type="dxa"/>
            <w:vAlign w:val="center"/>
          </w:tcPr>
          <w:p>
            <w:pPr>
              <w:pStyle w:val="36"/>
              <w:spacing w:before="0" w:beforeAutospacing="0" w:after="0" w:afterAutospacing="0" w:line="288" w:lineRule="auto"/>
              <w:ind w:firstLine="400" w:firstLineChars="200"/>
              <w:rPr>
                <w:rFonts w:ascii="宋体" w:hAnsi="宋体" w:cs="宋体"/>
                <w:color w:val="000000"/>
                <w:spacing w:val="-5"/>
                <w:sz w:val="21"/>
                <w:szCs w:val="21"/>
                <w:lang w:bidi="zh-CN"/>
              </w:rPr>
            </w:pPr>
            <w:r>
              <w:rPr>
                <w:rFonts w:ascii="宋体" w:hAnsi="宋体" w:cs="宋体"/>
                <w:color w:val="000000"/>
                <w:spacing w:val="-5"/>
                <w:sz w:val="21"/>
                <w:szCs w:val="21"/>
                <w:lang w:bidi="zh-CN"/>
              </w:rPr>
              <w:t>投标人 202</w:t>
            </w:r>
            <w:r>
              <w:rPr>
                <w:rFonts w:hint="eastAsia" w:ascii="宋体" w:hAnsi="宋体" w:cs="宋体"/>
                <w:color w:val="000000"/>
                <w:spacing w:val="-5"/>
                <w:sz w:val="21"/>
                <w:szCs w:val="21"/>
                <w:lang w:bidi="zh-CN"/>
              </w:rPr>
              <w:t>1</w:t>
            </w:r>
            <w:r>
              <w:rPr>
                <w:rFonts w:ascii="宋体" w:hAnsi="宋体" w:cs="宋体"/>
                <w:color w:val="000000"/>
                <w:spacing w:val="-5"/>
                <w:sz w:val="21"/>
                <w:szCs w:val="21"/>
                <w:lang w:bidi="zh-CN"/>
              </w:rPr>
              <w:t xml:space="preserve"> 年 1 月 1 日以来（以合同签订时间为准）完成过</w:t>
            </w:r>
            <w:r>
              <w:rPr>
                <w:rFonts w:hint="eastAsia" w:ascii="宋体" w:hAnsi="宋体" w:cs="宋体"/>
                <w:color w:val="000000"/>
                <w:spacing w:val="-5"/>
                <w:sz w:val="21"/>
                <w:szCs w:val="21"/>
                <w:lang w:bidi="zh-CN"/>
              </w:rPr>
              <w:t>类似特种设备产品</w:t>
            </w:r>
            <w:r>
              <w:rPr>
                <w:rFonts w:ascii="宋体" w:hAnsi="宋体" w:cs="宋体"/>
                <w:color w:val="000000"/>
                <w:spacing w:val="-5"/>
                <w:sz w:val="21"/>
                <w:szCs w:val="21"/>
                <w:lang w:bidi="zh-CN"/>
              </w:rPr>
              <w:t>的经营业绩，每个计</w:t>
            </w:r>
            <w:r>
              <w:rPr>
                <w:rFonts w:hint="eastAsia" w:ascii="宋体" w:hAnsi="宋体" w:cs="宋体"/>
                <w:color w:val="000000"/>
                <w:spacing w:val="-5"/>
                <w:sz w:val="21"/>
                <w:szCs w:val="21"/>
                <w:lang w:bidi="zh-CN"/>
              </w:rPr>
              <w:t>2</w:t>
            </w:r>
            <w:r>
              <w:rPr>
                <w:rFonts w:ascii="宋体" w:hAnsi="宋体" w:cs="宋体"/>
                <w:color w:val="000000"/>
                <w:spacing w:val="-5"/>
                <w:sz w:val="21"/>
                <w:szCs w:val="21"/>
                <w:lang w:bidi="zh-CN"/>
              </w:rPr>
              <w:t xml:space="preserve"> 分，最多计 </w:t>
            </w:r>
            <w:r>
              <w:rPr>
                <w:rFonts w:hint="eastAsia" w:ascii="宋体" w:hAnsi="宋体" w:cs="宋体"/>
                <w:color w:val="000000"/>
                <w:spacing w:val="-5"/>
                <w:sz w:val="21"/>
                <w:szCs w:val="21"/>
                <w:lang w:bidi="zh-CN"/>
              </w:rPr>
              <w:t>10</w:t>
            </w:r>
            <w:r>
              <w:rPr>
                <w:rFonts w:ascii="宋体" w:hAnsi="宋体" w:cs="宋体"/>
                <w:color w:val="000000"/>
                <w:spacing w:val="-5"/>
                <w:sz w:val="21"/>
                <w:szCs w:val="21"/>
                <w:lang w:bidi="zh-CN"/>
              </w:rPr>
              <w:t>分。</w:t>
            </w:r>
          </w:p>
          <w:p>
            <w:pPr>
              <w:pStyle w:val="36"/>
              <w:spacing w:before="0" w:beforeAutospacing="0" w:after="0" w:afterAutospacing="0" w:line="288" w:lineRule="auto"/>
              <w:ind w:firstLine="400" w:firstLineChars="200"/>
              <w:rPr>
                <w:rFonts w:ascii="宋体" w:hAnsi="宋体" w:cs="宋体"/>
                <w:color w:val="000000"/>
                <w:spacing w:val="-5"/>
                <w:sz w:val="21"/>
                <w:szCs w:val="21"/>
                <w:lang w:bidi="zh-CN"/>
              </w:rPr>
            </w:pPr>
            <w:r>
              <w:rPr>
                <w:rFonts w:ascii="宋体" w:hAnsi="宋体" w:cs="宋体"/>
                <w:color w:val="000000"/>
                <w:spacing w:val="-5"/>
                <w:sz w:val="21"/>
                <w:szCs w:val="21"/>
                <w:lang w:bidi="zh-CN"/>
              </w:rPr>
              <w:t>1.提供投标人</w:t>
            </w:r>
            <w:r>
              <w:rPr>
                <w:rFonts w:hint="eastAsia" w:ascii="宋体" w:hAnsi="宋体" w:cs="宋体"/>
                <w:color w:val="000000"/>
                <w:spacing w:val="-5"/>
                <w:sz w:val="21"/>
                <w:szCs w:val="21"/>
                <w:lang w:bidi="zh-CN"/>
              </w:rPr>
              <w:t>类似产品</w:t>
            </w:r>
            <w:r>
              <w:rPr>
                <w:rFonts w:ascii="宋体" w:hAnsi="宋体" w:cs="宋体"/>
                <w:color w:val="000000"/>
                <w:spacing w:val="-5"/>
                <w:sz w:val="21"/>
                <w:szCs w:val="21"/>
                <w:lang w:bidi="zh-CN"/>
              </w:rPr>
              <w:t>销售合同扫描件</w:t>
            </w:r>
            <w:r>
              <w:rPr>
                <w:rFonts w:hint="eastAsia" w:ascii="宋体" w:hAnsi="宋体" w:cs="宋体"/>
                <w:color w:val="000000"/>
                <w:spacing w:val="-5"/>
                <w:sz w:val="21"/>
                <w:szCs w:val="21"/>
                <w:lang w:bidi="zh-CN"/>
              </w:rPr>
              <w:t>或复印件</w:t>
            </w:r>
            <w:r>
              <w:rPr>
                <w:rFonts w:ascii="宋体" w:hAnsi="宋体" w:cs="宋体"/>
                <w:color w:val="000000"/>
                <w:spacing w:val="-5"/>
                <w:sz w:val="21"/>
                <w:szCs w:val="21"/>
                <w:lang w:bidi="zh-CN"/>
              </w:rPr>
              <w:t>，未提供的不计分，合同未加盖公章的不计分，资料内容模糊无法辨认的不计分</w:t>
            </w:r>
            <w:r>
              <w:rPr>
                <w:rFonts w:hint="eastAsia" w:ascii="宋体" w:hAnsi="宋体" w:cs="宋体"/>
                <w:color w:val="000000"/>
                <w:spacing w:val="-5"/>
                <w:sz w:val="21"/>
                <w:szCs w:val="21"/>
                <w:lang w:bidi="zh-CN"/>
              </w:rPr>
              <w:t>。</w:t>
            </w:r>
          </w:p>
        </w:tc>
      </w:tr>
    </w:tbl>
    <w:p>
      <w:pPr>
        <w:spacing w:line="360" w:lineRule="auto"/>
        <w:ind w:firstLine="482" w:firstLineChars="200"/>
        <w:rPr>
          <w:rFonts w:ascii="宋体" w:hAnsi="宋体"/>
          <w:b/>
          <w:sz w:val="24"/>
        </w:rPr>
      </w:pPr>
      <w:r>
        <w:rPr>
          <w:rFonts w:hint="eastAsia" w:ascii="宋体" w:hAnsi="宋体"/>
          <w:b/>
          <w:sz w:val="24"/>
        </w:rPr>
        <w:t xml:space="preserve">                      </w:t>
      </w:r>
    </w:p>
    <w:p>
      <w:pPr>
        <w:spacing w:line="500" w:lineRule="exact"/>
        <w:ind w:firstLine="482" w:firstLineChars="200"/>
        <w:rPr>
          <w:rFonts w:ascii="宋体" w:hAnsi="宋体" w:cs="宋体"/>
          <w:b/>
          <w:bCs/>
          <w:sz w:val="24"/>
          <w:szCs w:val="24"/>
        </w:rPr>
      </w:pPr>
      <w:r>
        <w:rPr>
          <w:rFonts w:hint="eastAsia" w:ascii="宋体" w:hAnsi="宋体" w:cs="宋体"/>
          <w:b/>
          <w:bCs/>
          <w:sz w:val="24"/>
          <w:szCs w:val="24"/>
        </w:rPr>
        <w:t>六、得分汇总</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1.评委应首先对各供应商投标文件进行评审，写出书面意见并按采购文件规定分值评分，各分档评分中间不得用插入法评分。</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2.除投标价格得分外，其余部分由各评委自主评分并签字确认。</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3.统分原则：计算评委打分的算术平均值为供应商的该项评分因素的得分，投标报价得分除外(保留小数点后两位)。</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4.得分汇总：各项评分因素得分的总和即为供应商最后得分。</w:t>
      </w:r>
    </w:p>
    <w:p>
      <w:pPr>
        <w:pStyle w:val="21"/>
        <w:spacing w:line="480" w:lineRule="exact"/>
        <w:ind w:firstLine="480" w:firstLineChars="200"/>
        <w:rPr>
          <w:rFonts w:ascii="宋体" w:hAnsi="宋体" w:cs="宋体"/>
          <w:sz w:val="24"/>
          <w:szCs w:val="24"/>
        </w:rPr>
      </w:pPr>
      <w:r>
        <w:rPr>
          <w:rFonts w:hint="eastAsia" w:ascii="宋体" w:hAnsi="宋体" w:cs="宋体"/>
          <w:sz w:val="24"/>
          <w:szCs w:val="24"/>
        </w:rPr>
        <w:t>5.经评标委员会认定评分畸高、畸低的，评标委员会应当当场修改评标结果，并在评标报告中记载。</w:t>
      </w:r>
    </w:p>
    <w:p>
      <w:pPr>
        <w:spacing w:before="99" w:beforeLines="30" w:after="99" w:afterLines="30" w:line="500" w:lineRule="exact"/>
        <w:ind w:firstLine="482" w:firstLineChars="200"/>
        <w:rPr>
          <w:rFonts w:ascii="宋体" w:hAnsi="宋体" w:cs="宋体"/>
          <w:b/>
          <w:bCs/>
          <w:sz w:val="24"/>
          <w:szCs w:val="24"/>
        </w:rPr>
      </w:pPr>
      <w:r>
        <w:rPr>
          <w:rFonts w:hint="eastAsia" w:ascii="宋体" w:hAnsi="宋体" w:cs="宋体"/>
          <w:b/>
          <w:bCs/>
          <w:sz w:val="24"/>
          <w:szCs w:val="24"/>
        </w:rPr>
        <w:t>七、推荐</w:t>
      </w:r>
    </w:p>
    <w:p>
      <w:pPr>
        <w:autoSpaceDE w:val="0"/>
        <w:autoSpaceDN w:val="0"/>
        <w:spacing w:line="460" w:lineRule="exact"/>
        <w:ind w:firstLine="480" w:firstLineChars="200"/>
        <w:rPr>
          <w:rFonts w:ascii="宋体" w:hAnsi="宋体" w:cs="宋体"/>
          <w:color w:val="000000"/>
          <w:sz w:val="24"/>
          <w:szCs w:val="24"/>
        </w:rPr>
      </w:pPr>
      <w:r>
        <w:rPr>
          <w:rFonts w:hint="eastAsia" w:ascii="宋体" w:hAnsi="宋体" w:cs="宋体"/>
          <w:sz w:val="24"/>
          <w:szCs w:val="24"/>
        </w:rPr>
        <w:t>评标委员会按得分汇总计算出各供应商的总得分，评标结果按评审后总得分由高到低顺序排列。投标文件满足采购文件全部实质性要求，且按照评审因素的量化指标评审总得分最高的</w:t>
      </w:r>
      <w:r>
        <w:rPr>
          <w:rFonts w:hint="eastAsia" w:ascii="宋体" w:hAnsi="宋体" w:cs="宋体"/>
          <w:color w:val="000000"/>
          <w:sz w:val="24"/>
          <w:szCs w:val="24"/>
        </w:rPr>
        <w:t>供应商为排名第一的中标候选人。总得分相同的，按投标报价由低到高顺序排列。得分且投标报价相同的，若存在节能环保产品参与投标，根据《中华人民共和国政府采购法》、《中华人民共和国政府采购法实施条例》、《政府采购货物和服务采购投标管理办法》(财政部令第87号)的规定，优先采购节能环保产品。</w:t>
      </w:r>
    </w:p>
    <w:p>
      <w:pPr>
        <w:autoSpaceDE w:val="0"/>
        <w:autoSpaceDN w:val="0"/>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若不存在节能环保产品参与投标，按技术部分得分由高到低的顺序排列，依次类推。</w:t>
      </w:r>
    </w:p>
    <w:p>
      <w:pPr>
        <w:pStyle w:val="21"/>
        <w:spacing w:line="480" w:lineRule="exact"/>
        <w:ind w:firstLine="480" w:firstLineChars="200"/>
        <w:rPr>
          <w:rFonts w:ascii="宋体" w:hAnsi="宋体" w:cs="宋体"/>
          <w:b/>
          <w:bCs/>
          <w:color w:val="000000"/>
          <w:sz w:val="24"/>
          <w:szCs w:val="24"/>
        </w:rPr>
      </w:pPr>
      <w:r>
        <w:rPr>
          <w:rFonts w:hint="eastAsia" w:ascii="宋体" w:hAnsi="宋体" w:cs="宋体"/>
          <w:sz w:val="24"/>
          <w:szCs w:val="24"/>
        </w:rPr>
        <w:t xml:space="preserve">评审后得分由高到低顺序排列，投标文件满足采购文件全部实质性要求，且按照评审因素的量化指标评审得分最高的供应商为中标候选人。得分相同的，按投标报价由低到高顺序排列，得分且投标报价相同的，按技术指标优劣顺序排列， 由评标委员会确定中标供应商。 </w:t>
      </w:r>
    </w:p>
    <w:p>
      <w:pPr>
        <w:autoSpaceDE w:val="0"/>
        <w:autoSpaceDN w:val="0"/>
        <w:spacing w:line="460" w:lineRule="exact"/>
        <w:ind w:firstLine="482" w:firstLineChars="200"/>
        <w:rPr>
          <w:rFonts w:ascii="宋体" w:hAnsi="宋体" w:cs="宋体"/>
          <w:b/>
          <w:bCs/>
          <w:color w:val="000000"/>
          <w:sz w:val="24"/>
          <w:szCs w:val="24"/>
        </w:rPr>
      </w:pPr>
      <w:r>
        <w:rPr>
          <w:rFonts w:hint="eastAsia" w:ascii="宋体" w:hAnsi="宋体" w:cs="宋体"/>
          <w:b/>
          <w:bCs/>
          <w:color w:val="000000"/>
          <w:sz w:val="24"/>
          <w:szCs w:val="24"/>
        </w:rPr>
        <w:t>八、评标报告编写</w:t>
      </w:r>
    </w:p>
    <w:p>
      <w:pPr>
        <w:autoSpaceDE w:val="0"/>
        <w:autoSpaceDN w:val="0"/>
        <w:spacing w:line="460" w:lineRule="exact"/>
        <w:ind w:firstLine="480" w:firstLineChars="200"/>
        <w:rPr>
          <w:rFonts w:ascii="宋体" w:hAnsi="宋体" w:cs="宋体"/>
          <w:color w:val="000000"/>
          <w:sz w:val="24"/>
          <w:szCs w:val="24"/>
        </w:rPr>
      </w:pPr>
      <w:r>
        <w:rPr>
          <w:rFonts w:hint="eastAsia" w:ascii="宋体" w:hAnsi="宋体" w:cs="宋体"/>
          <w:color w:val="000000"/>
          <w:sz w:val="24"/>
          <w:szCs w:val="24"/>
        </w:rPr>
        <w:t>评标委员会根据全体评标成员签字的原始评标记录和评标结果编写评标报告。</w:t>
      </w:r>
    </w:p>
    <w:p>
      <w:pPr>
        <w:pStyle w:val="19"/>
        <w:ind w:firstLine="640" w:firstLineChars="200"/>
        <w:jc w:val="center"/>
        <w:outlineLvl w:val="0"/>
        <w:rPr>
          <w:rFonts w:ascii="宋体" w:hAnsi="宋体" w:cs="宋体"/>
          <w:b/>
          <w:bCs/>
          <w:kern w:val="44"/>
          <w:sz w:val="32"/>
          <w:szCs w:val="32"/>
        </w:rPr>
      </w:pPr>
      <w:bookmarkStart w:id="282" w:name="_Toc8239"/>
      <w:bookmarkEnd w:id="282"/>
      <w:bookmarkStart w:id="283" w:name="_Toc21476"/>
      <w:bookmarkEnd w:id="283"/>
      <w:bookmarkStart w:id="284" w:name="_Toc21906"/>
      <w:r>
        <w:rPr>
          <w:rFonts w:hint="eastAsia" w:ascii="宋体" w:hAnsi="宋体" w:cs="宋体"/>
          <w:sz w:val="32"/>
          <w:szCs w:val="32"/>
        </w:rPr>
        <w:br w:type="page"/>
      </w:r>
      <w:bookmarkEnd w:id="284"/>
      <w:bookmarkStart w:id="285" w:name="_Toc18440"/>
      <w:bookmarkEnd w:id="285"/>
      <w:bookmarkStart w:id="286" w:name="_Toc31137"/>
      <w:bookmarkEnd w:id="286"/>
      <w:bookmarkStart w:id="287" w:name="_Toc26828"/>
      <w:bookmarkEnd w:id="287"/>
      <w:bookmarkStart w:id="288" w:name="_Toc27092"/>
      <w:bookmarkStart w:id="289" w:name="_Toc16315"/>
      <w:bookmarkStart w:id="290" w:name="_Toc28662"/>
      <w:bookmarkStart w:id="291" w:name="_Toc28405"/>
      <w:bookmarkStart w:id="292" w:name="_Toc30727"/>
      <w:bookmarkStart w:id="293" w:name="_Toc15431"/>
      <w:r>
        <w:rPr>
          <w:rFonts w:hint="eastAsia" w:ascii="宋体" w:hAnsi="宋体" w:cs="宋体"/>
          <w:b/>
          <w:bCs/>
          <w:kern w:val="44"/>
          <w:sz w:val="32"/>
          <w:szCs w:val="32"/>
        </w:rPr>
        <w:t>第四章 合同条款及格式</w:t>
      </w:r>
      <w:bookmarkEnd w:id="288"/>
      <w:bookmarkEnd w:id="289"/>
      <w:bookmarkEnd w:id="290"/>
      <w:bookmarkEnd w:id="291"/>
      <w:bookmarkEnd w:id="292"/>
    </w:p>
    <w:bookmarkEnd w:id="293"/>
    <w:p>
      <w:pPr>
        <w:jc w:val="center"/>
        <w:rPr>
          <w:rFonts w:ascii="宋体" w:hAnsi="宋体" w:cs="宋体"/>
          <w:sz w:val="24"/>
          <w:szCs w:val="24"/>
        </w:rPr>
      </w:pPr>
      <w:bookmarkStart w:id="294" w:name="_Toc331685784"/>
      <w:r>
        <w:rPr>
          <w:rFonts w:hint="eastAsia" w:ascii="宋体" w:hAnsi="宋体" w:cs="宋体"/>
          <w:sz w:val="24"/>
          <w:szCs w:val="24"/>
        </w:rPr>
        <w:t>(以下合同内容仅供参考，具体合同内容以签订合同时甲乙双方商定为准)</w:t>
      </w:r>
    </w:p>
    <w:p>
      <w:pPr>
        <w:pStyle w:val="3"/>
        <w:tabs>
          <w:tab w:val="left" w:pos="360"/>
        </w:tabs>
        <w:jc w:val="center"/>
        <w:rPr>
          <w:rFonts w:ascii="宋体" w:hAnsi="宋体" w:cs="宋体"/>
          <w:b w:val="0"/>
          <w:color w:val="000000" w:themeColor="text1"/>
          <w:sz w:val="36"/>
        </w:rPr>
      </w:pPr>
      <w:bookmarkStart w:id="295" w:name="_Toc213141091"/>
      <w:bookmarkStart w:id="296" w:name="_Toc23581"/>
      <w:bookmarkStart w:id="297" w:name="_Toc3341"/>
      <w:bookmarkStart w:id="298" w:name="_Toc1956"/>
      <w:bookmarkStart w:id="299" w:name="_Toc30055"/>
      <w:bookmarkStart w:id="300" w:name="_Toc20557"/>
      <w:r>
        <w:rPr>
          <w:rFonts w:hint="eastAsia" w:ascii="宋体" w:hAnsi="宋体" w:cs="宋体"/>
          <w:b w:val="0"/>
          <w:color w:val="000000" w:themeColor="text1"/>
          <w:sz w:val="36"/>
        </w:rPr>
        <w:t>合同条款前附表</w:t>
      </w:r>
      <w:bookmarkEnd w:id="295"/>
      <w:bookmarkEnd w:id="296"/>
      <w:bookmarkEnd w:id="297"/>
      <w:bookmarkEnd w:id="298"/>
      <w:bookmarkEnd w:id="299"/>
      <w:bookmarkEnd w:id="300"/>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pPr>
              <w:pStyle w:val="24"/>
              <w:spacing w:line="400" w:lineRule="exact"/>
              <w:ind w:firstLine="241" w:firstLineChars="100"/>
              <w:rPr>
                <w:rFonts w:hAnsi="宋体" w:cs="宋体"/>
                <w:b/>
                <w:bCs/>
                <w:color w:val="000000" w:themeColor="text1"/>
                <w:sz w:val="24"/>
                <w:szCs w:val="24"/>
              </w:rPr>
            </w:pPr>
            <w:r>
              <w:rPr>
                <w:rFonts w:hint="eastAsia" w:hAnsi="宋体" w:cs="宋体"/>
                <w:b/>
                <w:bCs/>
                <w:color w:val="000000" w:themeColor="text1"/>
                <w:sz w:val="24"/>
                <w:szCs w:val="24"/>
              </w:rPr>
              <w:t>序号</w:t>
            </w:r>
          </w:p>
        </w:tc>
        <w:tc>
          <w:tcPr>
            <w:tcW w:w="7819" w:type="dxa"/>
            <w:vAlign w:val="center"/>
          </w:tcPr>
          <w:p>
            <w:pPr>
              <w:pStyle w:val="24"/>
              <w:spacing w:line="400" w:lineRule="exact"/>
              <w:ind w:firstLine="241" w:firstLineChars="100"/>
              <w:jc w:val="center"/>
              <w:rPr>
                <w:rFonts w:hAnsi="宋体" w:cs="宋体"/>
                <w:b/>
                <w:bCs/>
                <w:color w:val="000000" w:themeColor="text1"/>
                <w:sz w:val="24"/>
                <w:szCs w:val="24"/>
              </w:rPr>
            </w:pPr>
            <w:r>
              <w:rPr>
                <w:rFonts w:hint="eastAsia" w:hAnsi="宋体" w:cs="宋体"/>
                <w:b/>
                <w:bCs/>
                <w:color w:val="000000" w:themeColor="text1"/>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pPr>
              <w:pStyle w:val="24"/>
              <w:spacing w:line="400" w:lineRule="exact"/>
              <w:ind w:firstLine="240" w:firstLineChars="100"/>
              <w:jc w:val="center"/>
              <w:rPr>
                <w:rFonts w:hAnsi="宋体" w:cs="宋体"/>
                <w:color w:val="000000" w:themeColor="text1"/>
                <w:sz w:val="24"/>
                <w:szCs w:val="24"/>
              </w:rPr>
            </w:pPr>
            <w:r>
              <w:rPr>
                <w:rFonts w:hint="eastAsia" w:hAnsi="宋体" w:cs="宋体"/>
                <w:color w:val="000000" w:themeColor="text1"/>
                <w:sz w:val="24"/>
                <w:szCs w:val="24"/>
              </w:rPr>
              <w:t>1</w:t>
            </w:r>
          </w:p>
        </w:tc>
        <w:tc>
          <w:tcPr>
            <w:tcW w:w="7819" w:type="dxa"/>
            <w:vAlign w:val="center"/>
          </w:tcPr>
          <w:p>
            <w:pPr>
              <w:pStyle w:val="24"/>
              <w:spacing w:line="400" w:lineRule="exact"/>
              <w:rPr>
                <w:rFonts w:hAnsi="宋体" w:cs="宋体"/>
                <w:color w:val="000000" w:themeColor="text1"/>
                <w:sz w:val="24"/>
                <w:szCs w:val="24"/>
              </w:rPr>
            </w:pPr>
            <w:r>
              <w:rPr>
                <w:rFonts w:hint="eastAsia" w:hAnsi="宋体" w:cs="宋体"/>
                <w:color w:val="000000" w:themeColor="text1"/>
                <w:sz w:val="24"/>
                <w:szCs w:val="24"/>
              </w:rPr>
              <w:t>交货期、交货方式及交货地点</w:t>
            </w:r>
          </w:p>
          <w:p>
            <w:pPr>
              <w:pStyle w:val="24"/>
              <w:spacing w:line="400" w:lineRule="exact"/>
              <w:ind w:firstLine="240" w:firstLineChars="100"/>
              <w:rPr>
                <w:rFonts w:hAnsi="宋体" w:cs="宋体"/>
                <w:color w:val="000000" w:themeColor="text1"/>
                <w:sz w:val="24"/>
              </w:rPr>
            </w:pPr>
            <w:r>
              <w:rPr>
                <w:rFonts w:hint="eastAsia" w:hAnsi="宋体" w:cs="宋体"/>
                <w:color w:val="000000" w:themeColor="text1"/>
                <w:sz w:val="24"/>
              </w:rPr>
              <w:t>1）交货期：合同签订完毕日起3个月内完成供货，交采购人验收。质保期不少于2年，时间自采购人验收合格之日起（若参数中质保期大于2年的，以参数中明确的为准）（自验收合格之日起开始计算）。</w:t>
            </w:r>
          </w:p>
          <w:p>
            <w:pPr>
              <w:pStyle w:val="24"/>
              <w:spacing w:line="400" w:lineRule="exact"/>
              <w:ind w:firstLine="240" w:firstLineChars="100"/>
              <w:rPr>
                <w:rFonts w:hAnsi="宋体" w:cs="宋体"/>
                <w:color w:val="000000" w:themeColor="text1"/>
                <w:sz w:val="24"/>
              </w:rPr>
            </w:pPr>
            <w:r>
              <w:rPr>
                <w:rFonts w:hint="eastAsia" w:hAnsi="宋体" w:cs="宋体"/>
                <w:color w:val="000000" w:themeColor="text1"/>
                <w:sz w:val="24"/>
              </w:rPr>
              <w:t>2）交货地点：昆明市西山区人民政府海口街道办事处指定地点。</w:t>
            </w:r>
          </w:p>
          <w:p>
            <w:pPr>
              <w:pStyle w:val="24"/>
              <w:spacing w:line="400" w:lineRule="exact"/>
              <w:ind w:firstLine="240" w:firstLineChars="100"/>
              <w:rPr>
                <w:rFonts w:hAnsi="宋体" w:cs="宋体"/>
                <w:color w:val="000000" w:themeColor="text1"/>
                <w:sz w:val="24"/>
                <w:szCs w:val="24"/>
              </w:rPr>
            </w:pPr>
            <w:r>
              <w:rPr>
                <w:rFonts w:hint="eastAsia" w:hAnsi="宋体" w:cs="宋体"/>
                <w:color w:val="000000" w:themeColor="text1"/>
                <w:sz w:val="24"/>
              </w:rPr>
              <w:t>3）交货方式：货物送至采购人指定地点并完成设备就位、组装、调试及验收。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pPr>
              <w:pStyle w:val="24"/>
              <w:spacing w:line="400" w:lineRule="exact"/>
              <w:ind w:firstLine="240" w:firstLineChars="100"/>
              <w:jc w:val="center"/>
              <w:rPr>
                <w:rFonts w:hAnsi="宋体" w:cs="宋体"/>
                <w:color w:val="000000" w:themeColor="text1"/>
                <w:sz w:val="24"/>
                <w:szCs w:val="24"/>
              </w:rPr>
            </w:pPr>
            <w:r>
              <w:rPr>
                <w:rFonts w:hint="eastAsia" w:hAnsi="宋体" w:cs="宋体"/>
                <w:color w:val="000000" w:themeColor="text1"/>
                <w:sz w:val="24"/>
                <w:szCs w:val="24"/>
              </w:rPr>
              <w:t>2</w:t>
            </w:r>
          </w:p>
        </w:tc>
        <w:tc>
          <w:tcPr>
            <w:tcW w:w="7819" w:type="dxa"/>
            <w:vAlign w:val="center"/>
          </w:tcPr>
          <w:p>
            <w:pPr>
              <w:pStyle w:val="24"/>
              <w:spacing w:line="400" w:lineRule="exact"/>
              <w:rPr>
                <w:rFonts w:hAnsi="宋体" w:cs="宋体"/>
                <w:color w:val="000000" w:themeColor="text1"/>
                <w:sz w:val="24"/>
                <w:szCs w:val="24"/>
              </w:rPr>
            </w:pPr>
            <w:r>
              <w:rPr>
                <w:rFonts w:hint="eastAsia" w:hAnsi="宋体" w:cs="宋体"/>
                <w:color w:val="000000" w:themeColor="text1"/>
                <w:sz w:val="24"/>
                <w:szCs w:val="24"/>
              </w:rPr>
              <w:t>付款方式：</w:t>
            </w:r>
          </w:p>
          <w:p>
            <w:pPr>
              <w:pStyle w:val="24"/>
              <w:spacing w:line="400" w:lineRule="exact"/>
              <w:ind w:firstLine="480" w:firstLineChars="200"/>
              <w:rPr>
                <w:rFonts w:hAnsi="宋体" w:cs="宋体"/>
                <w:color w:val="000000" w:themeColor="text1"/>
                <w:sz w:val="24"/>
                <w:szCs w:val="24"/>
              </w:rPr>
            </w:pPr>
            <w:r>
              <w:rPr>
                <w:rFonts w:hint="eastAsia" w:hAnsi="宋体" w:cs="宋体"/>
                <w:color w:val="000000" w:themeColor="text1"/>
                <w:sz w:val="24"/>
                <w:szCs w:val="24"/>
              </w:rPr>
              <w:t>设备到货、安装调试完成，且能正常运行，经甲方使用部门初验合格、并经最终验收合格，签订</w:t>
            </w:r>
            <w:r>
              <w:rPr>
                <w:rFonts w:hint="eastAsia" w:hAnsi="宋体" w:cs="宋体"/>
                <w:sz w:val="24"/>
              </w:rPr>
              <w:t>合同签订生效后，支付预付款，剩余款项分三次支付，三年内支付完成</w:t>
            </w:r>
            <w:r>
              <w:rPr>
                <w:rFonts w:hint="eastAsia" w:hAnsi="宋体" w:cs="宋体"/>
                <w:color w:val="000000" w:themeColor="text1"/>
                <w:sz w:val="24"/>
                <w:szCs w:val="24"/>
              </w:rPr>
              <w:t>。付款以转账形式支付。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pPr>
              <w:pStyle w:val="24"/>
              <w:spacing w:line="400" w:lineRule="exact"/>
              <w:ind w:firstLine="240" w:firstLineChars="100"/>
              <w:jc w:val="center"/>
              <w:rPr>
                <w:rFonts w:hAnsi="宋体" w:cs="宋体"/>
                <w:color w:val="000000" w:themeColor="text1"/>
                <w:sz w:val="24"/>
                <w:szCs w:val="24"/>
              </w:rPr>
            </w:pPr>
            <w:r>
              <w:rPr>
                <w:rFonts w:hint="eastAsia" w:hAnsi="宋体" w:cs="宋体"/>
                <w:color w:val="000000" w:themeColor="text1"/>
                <w:sz w:val="24"/>
                <w:szCs w:val="24"/>
              </w:rPr>
              <w:t>3</w:t>
            </w:r>
          </w:p>
        </w:tc>
        <w:tc>
          <w:tcPr>
            <w:tcW w:w="7819" w:type="dxa"/>
            <w:vAlign w:val="center"/>
          </w:tcPr>
          <w:p>
            <w:pPr>
              <w:spacing w:line="400" w:lineRule="exact"/>
              <w:ind w:firstLine="480" w:firstLineChars="200"/>
              <w:rPr>
                <w:rFonts w:hAnsi="宋体" w:cs="宋体"/>
                <w:color w:val="000000" w:themeColor="text1"/>
                <w:sz w:val="24"/>
                <w:szCs w:val="24"/>
              </w:rPr>
            </w:pPr>
            <w:r>
              <w:rPr>
                <w:rFonts w:hint="eastAsia" w:hAnsi="宋体" w:cs="宋体"/>
                <w:color w:val="000000" w:themeColor="text1"/>
                <w:sz w:val="24"/>
                <w:szCs w:val="24"/>
              </w:rPr>
              <w:t xml:space="preserve">验收及验收标准： </w:t>
            </w:r>
          </w:p>
          <w:p>
            <w:pPr>
              <w:spacing w:line="400" w:lineRule="exact"/>
              <w:ind w:firstLine="480" w:firstLineChars="200"/>
              <w:rPr>
                <w:rFonts w:ascii="宋体" w:hAnsi="宋体" w:cs="宋体"/>
                <w:color w:val="000000" w:themeColor="text1"/>
                <w:sz w:val="24"/>
              </w:rPr>
            </w:pPr>
            <w:r>
              <w:rPr>
                <w:rFonts w:hint="eastAsia" w:ascii="宋体" w:hAnsi="宋体" w:cs="宋体"/>
                <w:color w:val="000000" w:themeColor="text1"/>
                <w:sz w:val="24"/>
              </w:rPr>
              <w:t>1、设备验收：设备到达采购人指定地点后采购人统一初验是否符合合同要求；</w:t>
            </w:r>
          </w:p>
          <w:p>
            <w:pPr>
              <w:spacing w:line="400" w:lineRule="exact"/>
              <w:ind w:firstLine="480" w:firstLineChars="200"/>
              <w:rPr>
                <w:rFonts w:hint="eastAsia" w:hAnsi="宋体" w:eastAsia="宋体" w:cs="宋体"/>
                <w:color w:val="000000" w:themeColor="text1"/>
                <w:sz w:val="24"/>
                <w:szCs w:val="24"/>
                <w:lang w:eastAsia="zh-CN"/>
              </w:rPr>
            </w:pPr>
            <w:r>
              <w:rPr>
                <w:rFonts w:hint="eastAsia" w:ascii="宋体" w:hAnsi="宋体" w:cs="宋体"/>
                <w:color w:val="000000" w:themeColor="text1"/>
                <w:sz w:val="24"/>
              </w:rPr>
              <w:t>2、项目验收：投标人负责设备安装和调试，完工后，采购人测试是否合格并满足技术要求</w:t>
            </w:r>
            <w:r>
              <w:rPr>
                <w:rFonts w:hint="eastAsia" w:ascii="宋体" w:hAnsi="宋体" w:cs="宋体"/>
                <w:color w:val="000000" w:themeColor="text1"/>
                <w:sz w:val="24"/>
                <w:lang w:eastAsia="zh-CN"/>
              </w:rPr>
              <w:t>。</w:t>
            </w:r>
          </w:p>
        </w:tc>
      </w:tr>
    </w:tbl>
    <w:p>
      <w:pPr>
        <w:pStyle w:val="2"/>
      </w:pPr>
    </w:p>
    <w:p>
      <w:pPr>
        <w:autoSpaceDE w:val="0"/>
        <w:autoSpaceDN w:val="0"/>
        <w:adjustRightInd w:val="0"/>
        <w:spacing w:line="600" w:lineRule="exact"/>
        <w:ind w:firstLine="640"/>
        <w:jc w:val="cente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rPr>
          <w:rFonts w:ascii="宋体" w:hAnsi="宋体" w:cs="宋体"/>
          <w:sz w:val="24"/>
        </w:rPr>
      </w:pPr>
    </w:p>
    <w:p>
      <w:pPr>
        <w:rPr>
          <w:rFonts w:ascii="宋体" w:hAnsi="宋体" w:cs="宋体"/>
          <w:sz w:val="24"/>
        </w:rPr>
      </w:pPr>
    </w:p>
    <w:p>
      <w:pPr>
        <w:pStyle w:val="2"/>
        <w:rPr>
          <w:rFonts w:ascii="宋体" w:hAnsi="宋体" w:cs="宋体"/>
          <w:sz w:val="24"/>
        </w:rPr>
      </w:pPr>
    </w:p>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pPr>
    </w:p>
    <w:tbl>
      <w:tblPr>
        <w:tblStyle w:val="41"/>
        <w:tblW w:w="9750" w:type="dxa"/>
        <w:jc w:val="center"/>
        <w:tblCellSpacing w:w="0" w:type="dxa"/>
        <w:tblLayout w:type="autofit"/>
        <w:tblCellMar>
          <w:top w:w="0" w:type="dxa"/>
          <w:left w:w="0" w:type="dxa"/>
          <w:bottom w:w="0" w:type="dxa"/>
          <w:right w:w="0" w:type="dxa"/>
        </w:tblCellMar>
      </w:tblPr>
      <w:tblGrid>
        <w:gridCol w:w="9750"/>
      </w:tblGrid>
      <w:tr>
        <w:tblPrEx>
          <w:tblCellMar>
            <w:top w:w="0" w:type="dxa"/>
            <w:left w:w="0" w:type="dxa"/>
            <w:bottom w:w="0" w:type="dxa"/>
            <w:right w:w="0" w:type="dxa"/>
          </w:tblCellMar>
        </w:tblPrEx>
        <w:trPr>
          <w:tblCellSpacing w:w="0" w:type="dxa"/>
          <w:jc w:val="center"/>
        </w:trPr>
        <w:tc>
          <w:tcPr>
            <w:tcW w:w="0" w:type="auto"/>
            <w:vAlign w:val="center"/>
          </w:tcPr>
          <w:tbl>
            <w:tblPr>
              <w:tblStyle w:val="41"/>
              <w:tblW w:w="9750" w:type="dxa"/>
              <w:tblCellSpacing w:w="0" w:type="dxa"/>
              <w:tblInd w:w="0" w:type="dxa"/>
              <w:tblLayout w:type="autofit"/>
              <w:tblCellMar>
                <w:top w:w="0" w:type="dxa"/>
                <w:left w:w="0" w:type="dxa"/>
                <w:bottom w:w="0" w:type="dxa"/>
                <w:right w:w="0" w:type="dxa"/>
              </w:tblCellMar>
            </w:tblPr>
            <w:tblGrid>
              <w:gridCol w:w="1305"/>
              <w:gridCol w:w="1281"/>
              <w:gridCol w:w="1590"/>
              <w:gridCol w:w="996"/>
              <w:gridCol w:w="1138"/>
              <w:gridCol w:w="1305"/>
              <w:gridCol w:w="2135"/>
            </w:tblGrid>
            <w:tr>
              <w:tblPrEx>
                <w:tblCellMar>
                  <w:top w:w="0" w:type="dxa"/>
                  <w:left w:w="0" w:type="dxa"/>
                  <w:bottom w:w="0" w:type="dxa"/>
                  <w:right w:w="0" w:type="dxa"/>
                </w:tblCellMar>
              </w:tblPrEx>
              <w:trPr>
                <w:tblCellSpacing w:w="0" w:type="dxa"/>
              </w:trPr>
              <w:tc>
                <w:tcPr>
                  <w:tcW w:w="1350" w:type="dxa"/>
                  <w:vAlign w:val="center"/>
                </w:tcPr>
                <w:p>
                  <w:pPr>
                    <w:jc w:val="right"/>
                  </w:pPr>
                  <w:r>
                    <w:rPr>
                      <w:rFonts w:ascii="仿宋_GB2312" w:hAnsi="宋体" w:eastAsia="仿宋_GB2312" w:cs="Arial"/>
                      <w:sz w:val="24"/>
                      <w:lang w:bidi="ar"/>
                    </w:rPr>
                    <w:t>合同编号：</w:t>
                  </w:r>
                </w:p>
              </w:tc>
              <w:tc>
                <w:tcPr>
                  <w:tcW w:w="1350" w:type="dxa"/>
                  <w:vAlign w:val="center"/>
                </w:tcPr>
                <w:p>
                  <w:r>
                    <w:rPr>
                      <w:rFonts w:ascii="宋体" w:hAnsi="宋体" w:cs="宋体"/>
                      <w:sz w:val="24"/>
                      <w:lang w:bidi="ar"/>
                    </w:rPr>
                    <w:t xml:space="preserve"> </w:t>
                  </w:r>
                  <w:r>
                    <w:rPr>
                      <w:rFonts w:hint="eastAsia" w:ascii="宋体" w:hAnsi="宋体" w:cs="宋体"/>
                      <w:sz w:val="24"/>
                      <w:lang w:bidi="ar"/>
                    </w:rPr>
                    <w:t xml:space="preserve">               </w:t>
                  </w:r>
                </w:p>
              </w:tc>
              <w:tc>
                <w:tcPr>
                  <w:tcW w:w="1650" w:type="dxa"/>
                  <w:vAlign w:val="center"/>
                </w:tcPr>
                <w:p>
                  <w:pPr>
                    <w:jc w:val="right"/>
                  </w:pPr>
                  <w:r>
                    <w:rPr>
                      <w:rFonts w:ascii="仿宋_GB2312" w:hAnsi="宋体" w:eastAsia="仿宋_GB2312" w:cs="Arial"/>
                      <w:sz w:val="24"/>
                      <w:lang w:bidi="ar"/>
                    </w:rPr>
                    <w:t>合同自编号</w:t>
                  </w:r>
                  <w:r>
                    <w:rPr>
                      <w:rFonts w:ascii="宋体" w:hAnsi="宋体" w:cs="宋体"/>
                      <w:sz w:val="24"/>
                      <w:lang w:bidi="ar"/>
                    </w:rPr>
                    <w:t>：</w:t>
                  </w:r>
                </w:p>
              </w:tc>
              <w:tc>
                <w:tcPr>
                  <w:tcW w:w="1050" w:type="dxa"/>
                  <w:vAlign w:val="center"/>
                </w:tcPr>
                <w:p>
                  <w:pPr>
                    <w:rPr>
                      <w:rFonts w:ascii="宋体"/>
                      <w:sz w:val="24"/>
                    </w:rPr>
                  </w:pPr>
                </w:p>
              </w:tc>
              <w:tc>
                <w:tcPr>
                  <w:tcW w:w="1200" w:type="dxa"/>
                  <w:vAlign w:val="center"/>
                </w:tcPr>
                <w:p>
                  <w:pPr>
                    <w:rPr>
                      <w:rFonts w:ascii="宋体"/>
                      <w:sz w:val="24"/>
                    </w:rPr>
                  </w:pPr>
                </w:p>
              </w:tc>
              <w:tc>
                <w:tcPr>
                  <w:tcW w:w="1350" w:type="dxa"/>
                  <w:vAlign w:val="center"/>
                </w:tcPr>
                <w:p>
                  <w:pPr>
                    <w:pStyle w:val="36"/>
                  </w:pPr>
                  <w:r>
                    <w:rPr>
                      <w:rFonts w:hint="eastAsia" w:ascii="仿宋_GB2312" w:eastAsia="仿宋_GB2312" w:cs="Arial"/>
                      <w:lang w:bidi="ar"/>
                    </w:rPr>
                    <w:t>项目编号</w:t>
                  </w:r>
                  <w:r>
                    <w:t xml:space="preserve">： </w:t>
                  </w:r>
                </w:p>
              </w:tc>
              <w:tc>
                <w:tcPr>
                  <w:tcW w:w="2250" w:type="dxa"/>
                  <w:vAlign w:val="center"/>
                </w:tcPr>
                <w:p>
                  <w:pPr>
                    <w:rPr>
                      <w:rFonts w:ascii="宋体"/>
                      <w:sz w:val="24"/>
                    </w:rPr>
                  </w:pPr>
                </w:p>
              </w:tc>
            </w:tr>
          </w:tbl>
          <w:p>
            <w:pPr>
              <w:spacing w:after="240"/>
            </w:pPr>
          </w:p>
        </w:tc>
      </w:tr>
      <w:tr>
        <w:tblPrEx>
          <w:tblCellMar>
            <w:top w:w="0" w:type="dxa"/>
            <w:left w:w="0" w:type="dxa"/>
            <w:bottom w:w="0" w:type="dxa"/>
            <w:right w:w="0" w:type="dxa"/>
          </w:tblCellMar>
        </w:tblPrEx>
        <w:trPr>
          <w:tblCellSpacing w:w="0" w:type="dxa"/>
          <w:jc w:val="center"/>
        </w:trPr>
        <w:tc>
          <w:tcPr>
            <w:tcW w:w="0" w:type="auto"/>
            <w:vAlign w:val="center"/>
          </w:tcPr>
          <w:p>
            <w:pPr>
              <w:spacing w:after="240"/>
            </w:pPr>
            <w:r>
              <w:rPr>
                <w:rFonts w:ascii="仿宋_GB2312" w:hAnsi="宋体" w:eastAsia="仿宋_GB2312" w:cs="Arial"/>
                <w:sz w:val="24"/>
                <w:lang w:bidi="ar"/>
              </w:rPr>
              <w:t>●本合同须加盖甲乙双方骑缝章有效</w:t>
            </w: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pPr>
            <w:r>
              <w:rPr>
                <w:rFonts w:ascii="黑体" w:hAnsi="宋体" w:eastAsia="黑体" w:cs="黑体"/>
                <w:sz w:val="39"/>
                <w:szCs w:val="39"/>
                <w:lang w:bidi="ar"/>
              </w:rPr>
              <w:t>云南省政府采购</w:t>
            </w: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rPr>
                <w:rFonts w:ascii="宋体" w:hAnsi="宋体" w:cs="宋体"/>
                <w:sz w:val="24"/>
                <w:lang w:bidi="ar"/>
              </w:rPr>
            </w:pPr>
            <w:r>
              <w:rPr>
                <w:rFonts w:ascii="宋体" w:hAnsi="宋体" w:cs="宋体"/>
                <w:sz w:val="24"/>
                <w:lang w:bidi="ar"/>
              </w:rPr>
              <w:t xml:space="preserve">（委托采购） </w:t>
            </w:r>
          </w:p>
          <w:p>
            <w:pPr>
              <w:pStyle w:val="39"/>
              <w:ind w:firstLine="210"/>
            </w:pP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pPr>
            <w:r>
              <w:rPr>
                <w:rFonts w:hint="eastAsia" w:ascii="黑体" w:hAnsi="宋体" w:eastAsia="黑体" w:cs="Arial"/>
                <w:sz w:val="63"/>
                <w:szCs w:val="63"/>
                <w:lang w:bidi="ar"/>
              </w:rPr>
              <w:t>合</w:t>
            </w:r>
            <w:r>
              <w:rPr>
                <w:rFonts w:ascii="宋体" w:hAnsi="宋体" w:cs="宋体"/>
                <w:sz w:val="24"/>
                <w:lang w:bidi="ar"/>
              </w:rPr>
              <w:t xml:space="preserve"> </w:t>
            </w: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pPr>
            <w:r>
              <w:rPr>
                <w:rFonts w:hint="eastAsia" w:ascii="黑体" w:hAnsi="宋体" w:eastAsia="黑体" w:cs="Arial"/>
                <w:sz w:val="63"/>
                <w:szCs w:val="63"/>
                <w:lang w:bidi="ar"/>
              </w:rPr>
              <w:t>同</w:t>
            </w:r>
            <w:r>
              <w:rPr>
                <w:rFonts w:ascii="宋体" w:hAnsi="宋体" w:cs="宋体"/>
                <w:sz w:val="24"/>
                <w:lang w:bidi="ar"/>
              </w:rPr>
              <w:t xml:space="preserve"> </w:t>
            </w: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pPr>
            <w:r>
              <w:rPr>
                <w:rFonts w:hint="eastAsia" w:ascii="黑体" w:hAnsi="宋体" w:eastAsia="黑体" w:cs="Arial"/>
                <w:sz w:val="63"/>
                <w:szCs w:val="63"/>
                <w:lang w:bidi="ar"/>
              </w:rPr>
              <w:t>书</w:t>
            </w:r>
            <w:r>
              <w:rPr>
                <w:rFonts w:ascii="宋体" w:hAnsi="宋体" w:cs="宋体"/>
                <w:sz w:val="24"/>
                <w:lang w:bidi="ar"/>
              </w:rPr>
              <w:t xml:space="preserve"> </w:t>
            </w:r>
          </w:p>
        </w:tc>
      </w:tr>
      <w:tr>
        <w:tblPrEx>
          <w:tblCellMar>
            <w:top w:w="0" w:type="dxa"/>
            <w:left w:w="0" w:type="dxa"/>
            <w:bottom w:w="0" w:type="dxa"/>
            <w:right w:w="0" w:type="dxa"/>
          </w:tblCellMar>
        </w:tblPrEx>
        <w:trPr>
          <w:tblCellSpacing w:w="0" w:type="dxa"/>
          <w:jc w:val="center"/>
        </w:trPr>
        <w:tc>
          <w:tcPr>
            <w:tcW w:w="0" w:type="auto"/>
            <w:vAlign w:val="center"/>
          </w:tcPr>
          <w:p>
            <w:pPr>
              <w:spacing w:after="240"/>
              <w:jc w:val="center"/>
              <w:rPr>
                <w:rStyle w:val="44"/>
                <w:rFonts w:ascii="楷体_GB2312" w:hAnsi="宋体" w:eastAsia="楷体_GB2312" w:cs="楷体_GB2312"/>
                <w:sz w:val="27"/>
                <w:szCs w:val="27"/>
                <w:lang w:bidi="ar"/>
              </w:rPr>
            </w:pPr>
          </w:p>
          <w:p>
            <w:pPr>
              <w:spacing w:after="240"/>
              <w:jc w:val="center"/>
              <w:rPr>
                <w:rStyle w:val="44"/>
                <w:rFonts w:ascii="楷体_GB2312" w:hAnsi="宋体" w:eastAsia="楷体_GB2312" w:cs="楷体_GB2312"/>
                <w:sz w:val="27"/>
                <w:szCs w:val="27"/>
                <w:lang w:bidi="ar"/>
              </w:rPr>
            </w:pPr>
          </w:p>
          <w:p>
            <w:pPr>
              <w:spacing w:after="240"/>
              <w:jc w:val="center"/>
              <w:rPr>
                <w:rStyle w:val="44"/>
                <w:rFonts w:ascii="楷体_GB2312" w:hAnsi="宋体" w:eastAsia="楷体_GB2312" w:cs="楷体_GB2312"/>
                <w:sz w:val="27"/>
                <w:szCs w:val="27"/>
                <w:lang w:bidi="ar"/>
              </w:rPr>
            </w:pPr>
            <w:r>
              <w:rPr>
                <w:rStyle w:val="44"/>
                <w:rFonts w:ascii="楷体_GB2312" w:hAnsi="宋体" w:eastAsia="楷体_GB2312" w:cs="楷体_GB2312"/>
                <w:sz w:val="27"/>
                <w:szCs w:val="27"/>
                <w:lang w:bidi="ar"/>
              </w:rPr>
              <w:t xml:space="preserve">签订地点:                             </w:t>
            </w:r>
          </w:p>
          <w:p>
            <w:pPr>
              <w:pStyle w:val="39"/>
              <w:ind w:firstLine="210"/>
            </w:pPr>
          </w:p>
        </w:tc>
      </w:tr>
      <w:tr>
        <w:tblPrEx>
          <w:tblCellMar>
            <w:top w:w="0" w:type="dxa"/>
            <w:left w:w="0" w:type="dxa"/>
            <w:bottom w:w="0" w:type="dxa"/>
            <w:right w:w="0" w:type="dxa"/>
          </w:tblCellMar>
        </w:tblPrEx>
        <w:trPr>
          <w:tblCellSpacing w:w="0" w:type="dxa"/>
          <w:jc w:val="center"/>
        </w:trPr>
        <w:tc>
          <w:tcPr>
            <w:tcW w:w="0" w:type="auto"/>
            <w:vAlign w:val="center"/>
          </w:tcPr>
          <w:p>
            <w:pPr>
              <w:spacing w:after="240"/>
            </w:pPr>
          </w:p>
          <w:p>
            <w:pPr>
              <w:pStyle w:val="39"/>
              <w:ind w:firstLine="210"/>
            </w:pPr>
          </w:p>
        </w:tc>
      </w:tr>
      <w:tr>
        <w:tblPrEx>
          <w:tblCellMar>
            <w:top w:w="0" w:type="dxa"/>
            <w:left w:w="0" w:type="dxa"/>
            <w:bottom w:w="0" w:type="dxa"/>
            <w:right w:w="0" w:type="dxa"/>
          </w:tblCellMar>
        </w:tblPrEx>
        <w:trPr>
          <w:tblCellSpacing w:w="0" w:type="dxa"/>
          <w:jc w:val="center"/>
        </w:trPr>
        <w:tc>
          <w:tcPr>
            <w:tcW w:w="0" w:type="auto"/>
            <w:vAlign w:val="center"/>
          </w:tcPr>
          <w:p>
            <w:pPr>
              <w:pStyle w:val="36"/>
              <w:jc w:val="center"/>
              <w:rPr>
                <w:rStyle w:val="44"/>
                <w:rFonts w:ascii="楷体_GB2312" w:eastAsia="楷体_GB2312" w:cs="Arial"/>
                <w:sz w:val="27"/>
                <w:szCs w:val="27"/>
              </w:rPr>
            </w:pPr>
            <w:r>
              <w:rPr>
                <w:rStyle w:val="44"/>
                <w:rFonts w:ascii="楷体_GB2312" w:eastAsia="楷体_GB2312" w:cs="Arial"/>
                <w:sz w:val="27"/>
                <w:szCs w:val="27"/>
                <w:lang w:bidi="ar"/>
              </w:rPr>
              <w:t>云南省财政厅　制</w:t>
            </w:r>
            <w:r>
              <w:t xml:space="preserve"> </w:t>
            </w:r>
          </w:p>
          <w:p>
            <w:pPr>
              <w:jc w:val="center"/>
            </w:pPr>
          </w:p>
        </w:tc>
      </w:tr>
    </w:tbl>
    <w:p>
      <w:pPr>
        <w:spacing w:after="240"/>
        <w:rPr>
          <w:rFonts w:ascii="宋体" w:hAnsi="宋体" w:cs="宋体"/>
          <w:sz w:val="24"/>
          <w:lang w:bidi="ar"/>
        </w:rPr>
      </w:pPr>
      <w:r>
        <w:rPr>
          <w:rFonts w:ascii="宋体" w:hAnsi="宋体" w:cs="宋体"/>
          <w:sz w:val="24"/>
          <w:lang w:bidi="ar"/>
        </w:rPr>
        <w:br w:type="page"/>
      </w:r>
    </w:p>
    <w:tbl>
      <w:tblPr>
        <w:tblStyle w:val="41"/>
        <w:tblW w:w="9750" w:type="dxa"/>
        <w:jc w:val="center"/>
        <w:tblCellSpacing w:w="0" w:type="dxa"/>
        <w:tblLayout w:type="autofit"/>
        <w:tblCellMar>
          <w:top w:w="0" w:type="dxa"/>
          <w:left w:w="0" w:type="dxa"/>
          <w:bottom w:w="0" w:type="dxa"/>
          <w:right w:w="0" w:type="dxa"/>
        </w:tblCellMar>
      </w:tblPr>
      <w:tblGrid>
        <w:gridCol w:w="9750"/>
      </w:tblGrid>
      <w:tr>
        <w:tblPrEx>
          <w:tblCellMar>
            <w:top w:w="0" w:type="dxa"/>
            <w:left w:w="0" w:type="dxa"/>
            <w:bottom w:w="0" w:type="dxa"/>
            <w:right w:w="0" w:type="dxa"/>
          </w:tblCellMar>
        </w:tblPrEx>
        <w:trPr>
          <w:tblCellSpacing w:w="0" w:type="dxa"/>
          <w:jc w:val="center"/>
        </w:trPr>
        <w:tc>
          <w:tcPr>
            <w:tcW w:w="0" w:type="auto"/>
            <w:vAlign w:val="center"/>
          </w:tcPr>
          <w:tbl>
            <w:tblPr>
              <w:tblStyle w:val="41"/>
              <w:tblW w:w="5000" w:type="pct"/>
              <w:jc w:val="center"/>
              <w:tblCellSpacing w:w="0" w:type="dxa"/>
              <w:tblLayout w:type="autofit"/>
              <w:tblCellMar>
                <w:top w:w="0" w:type="dxa"/>
                <w:left w:w="0" w:type="dxa"/>
                <w:bottom w:w="0" w:type="dxa"/>
                <w:right w:w="0" w:type="dxa"/>
              </w:tblCellMar>
            </w:tblPr>
            <w:tblGrid>
              <w:gridCol w:w="1657"/>
              <w:gridCol w:w="8093"/>
            </w:tblGrid>
            <w:tr>
              <w:tblPrEx>
                <w:tblCellMar>
                  <w:top w:w="0" w:type="dxa"/>
                  <w:left w:w="0" w:type="dxa"/>
                  <w:bottom w:w="0" w:type="dxa"/>
                  <w:right w:w="0" w:type="dxa"/>
                </w:tblCellMar>
              </w:tblPrEx>
              <w:trPr>
                <w:tblCellSpacing w:w="0" w:type="dxa"/>
                <w:jc w:val="center"/>
              </w:trPr>
              <w:tc>
                <w:tcPr>
                  <w:tcW w:w="0" w:type="auto"/>
                  <w:gridSpan w:val="2"/>
                  <w:vAlign w:val="center"/>
                </w:tcPr>
                <w:p>
                  <w:pPr>
                    <w:spacing w:after="240"/>
                  </w:pPr>
                  <w:r>
                    <w:rPr>
                      <w:rFonts w:ascii="宋体" w:hAnsi="宋体" w:cs="宋体"/>
                      <w:sz w:val="24"/>
                      <w:lang w:bidi="ar"/>
                    </w:rPr>
                    <w:t>甲方（采购人公章）名 称：</w:t>
                  </w:r>
                </w:p>
              </w:tc>
            </w:tr>
            <w:tr>
              <w:tblPrEx>
                <w:tblCellMar>
                  <w:top w:w="0" w:type="dxa"/>
                  <w:left w:w="0" w:type="dxa"/>
                  <w:bottom w:w="0" w:type="dxa"/>
                  <w:right w:w="0" w:type="dxa"/>
                </w:tblCellMar>
              </w:tblPrEx>
              <w:trPr>
                <w:tblCellSpacing w:w="0" w:type="dxa"/>
                <w:jc w:val="center"/>
              </w:trPr>
              <w:tc>
                <w:tcPr>
                  <w:tcW w:w="850" w:type="pct"/>
                  <w:vAlign w:val="center"/>
                </w:tcPr>
                <w:p>
                  <w:pPr>
                    <w:rPr>
                      <w:rFonts w:ascii="宋体"/>
                      <w:sz w:val="24"/>
                    </w:rPr>
                  </w:pPr>
                </w:p>
              </w:tc>
              <w:tc>
                <w:tcPr>
                  <w:tcW w:w="4150" w:type="pct"/>
                  <w:vAlign w:val="center"/>
                </w:tcPr>
                <w:p>
                  <w:pPr>
                    <w:spacing w:after="240"/>
                  </w:pPr>
                  <w:r>
                    <w:rPr>
                      <w:rFonts w:ascii="宋体" w:hAnsi="宋体" w:cs="宋体"/>
                      <w:sz w:val="24"/>
                      <w:lang w:bidi="ar"/>
                    </w:rPr>
                    <w:t>地 址：</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邮 编：</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法定代表人</w:t>
                  </w:r>
                  <w:r>
                    <w:rPr>
                      <w:rFonts w:hint="eastAsia" w:ascii="宋体" w:hAnsi="宋体" w:cs="宋体"/>
                      <w:sz w:val="24"/>
                      <w:lang w:bidi="ar"/>
                    </w:rPr>
                    <w:t>或授权代理人</w:t>
                  </w:r>
                  <w:r>
                    <w:rPr>
                      <w:rFonts w:ascii="宋体" w:hAnsi="宋体" w:cs="宋体"/>
                      <w:sz w:val="24"/>
                      <w:lang w:bidi="ar"/>
                    </w:rPr>
                    <w:t>：</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项目（技术）负责人：</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电 话：</w:t>
                  </w:r>
                </w:p>
              </w:tc>
            </w:tr>
            <w:tr>
              <w:tblPrEx>
                <w:tblCellMar>
                  <w:top w:w="0" w:type="dxa"/>
                  <w:left w:w="0" w:type="dxa"/>
                  <w:bottom w:w="0" w:type="dxa"/>
                  <w:right w:w="0" w:type="dxa"/>
                </w:tblCellMar>
              </w:tblPrEx>
              <w:trPr>
                <w:trHeight w:val="444" w:hRule="atLeast"/>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签订日期：</w:t>
                  </w:r>
                </w:p>
              </w:tc>
            </w:tr>
            <w:tr>
              <w:tblPrEx>
                <w:tblCellMar>
                  <w:top w:w="0" w:type="dxa"/>
                  <w:left w:w="0" w:type="dxa"/>
                  <w:bottom w:w="0" w:type="dxa"/>
                  <w:right w:w="0" w:type="dxa"/>
                </w:tblCellMar>
              </w:tblPrEx>
              <w:trPr>
                <w:tblCellSpacing w:w="0" w:type="dxa"/>
                <w:jc w:val="center"/>
              </w:trPr>
              <w:tc>
                <w:tcPr>
                  <w:tcW w:w="0" w:type="auto"/>
                  <w:gridSpan w:val="2"/>
                  <w:vAlign w:val="center"/>
                </w:tcPr>
                <w:p>
                  <w:pPr>
                    <w:spacing w:after="240"/>
                  </w:pPr>
                  <w:r>
                    <w:rPr>
                      <w:rFonts w:ascii="宋体" w:hAnsi="宋体" w:cs="宋体"/>
                      <w:sz w:val="24"/>
                      <w:lang w:bidi="ar"/>
                    </w:rPr>
                    <w:t>乙方（供应商公章）名 称：</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地 址：</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邮 编：</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法定代表人</w:t>
                  </w:r>
                  <w:r>
                    <w:rPr>
                      <w:rFonts w:hint="eastAsia" w:ascii="宋体" w:hAnsi="宋体" w:cs="宋体"/>
                      <w:sz w:val="24"/>
                      <w:lang w:bidi="ar"/>
                    </w:rPr>
                    <w:t>或授权代理人</w:t>
                  </w:r>
                  <w:r>
                    <w:rPr>
                      <w:rFonts w:ascii="宋体" w:hAnsi="宋体" w:cs="宋体"/>
                      <w:sz w:val="24"/>
                      <w:lang w:bidi="ar"/>
                    </w:rPr>
                    <w:t>：</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经办人：</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电 话：</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签订日期：</w:t>
                  </w:r>
                </w:p>
              </w:tc>
            </w:tr>
          </w:tbl>
          <w:p>
            <w:pPr>
              <w:rPr>
                <w:vanish/>
                <w:sz w:val="24"/>
              </w:rPr>
            </w:pPr>
          </w:p>
          <w:tbl>
            <w:tblPr>
              <w:tblStyle w:val="41"/>
              <w:tblW w:w="5000" w:type="pct"/>
              <w:jc w:val="center"/>
              <w:tblCellSpacing w:w="0" w:type="dxa"/>
              <w:tblLayout w:type="autofit"/>
              <w:tblCellMar>
                <w:top w:w="0" w:type="dxa"/>
                <w:left w:w="0" w:type="dxa"/>
                <w:bottom w:w="0" w:type="dxa"/>
                <w:right w:w="0" w:type="dxa"/>
              </w:tblCellMar>
            </w:tblPr>
            <w:tblGrid>
              <w:gridCol w:w="1656"/>
              <w:gridCol w:w="8094"/>
            </w:tblGrid>
            <w:tr>
              <w:tblPrEx>
                <w:tblCellMar>
                  <w:top w:w="0" w:type="dxa"/>
                  <w:left w:w="0" w:type="dxa"/>
                  <w:bottom w:w="0" w:type="dxa"/>
                  <w:right w:w="0" w:type="dxa"/>
                </w:tblCellMar>
              </w:tblPrEx>
              <w:trPr>
                <w:tblCellSpacing w:w="0" w:type="dxa"/>
                <w:jc w:val="center"/>
              </w:trPr>
              <w:tc>
                <w:tcPr>
                  <w:tcW w:w="0" w:type="auto"/>
                  <w:gridSpan w:val="2"/>
                  <w:vAlign w:val="center"/>
                </w:tcPr>
                <w:p>
                  <w:pPr>
                    <w:spacing w:after="240"/>
                  </w:pPr>
                  <w:r>
                    <w:rPr>
                      <w:rFonts w:hint="eastAsia" w:ascii="宋体" w:hAnsi="宋体" w:cs="宋体"/>
                      <w:sz w:val="24"/>
                      <w:lang w:bidi="ar"/>
                    </w:rPr>
                    <w:t>丙</w:t>
                  </w:r>
                  <w:r>
                    <w:rPr>
                      <w:rFonts w:ascii="宋体" w:hAnsi="宋体" w:cs="宋体"/>
                      <w:sz w:val="24"/>
                      <w:lang w:bidi="ar"/>
                    </w:rPr>
                    <w:t>方（</w:t>
                  </w:r>
                  <w:r>
                    <w:rPr>
                      <w:rFonts w:hint="eastAsia" w:ascii="宋体" w:hAnsi="宋体" w:cs="宋体"/>
                      <w:sz w:val="24"/>
                      <w:lang w:bidi="ar"/>
                    </w:rPr>
                    <w:t>代理机构</w:t>
                  </w:r>
                  <w:r>
                    <w:rPr>
                      <w:rFonts w:ascii="宋体" w:hAnsi="宋体" w:cs="宋体"/>
                      <w:sz w:val="24"/>
                      <w:lang w:bidi="ar"/>
                    </w:rPr>
                    <w:t>公章）名 称：</w:t>
                  </w:r>
                </w:p>
              </w:tc>
            </w:tr>
            <w:tr>
              <w:tblPrEx>
                <w:tblCellMar>
                  <w:top w:w="0" w:type="dxa"/>
                  <w:left w:w="0" w:type="dxa"/>
                  <w:bottom w:w="0" w:type="dxa"/>
                  <w:right w:w="0" w:type="dxa"/>
                </w:tblCellMar>
              </w:tblPrEx>
              <w:trPr>
                <w:tblCellSpacing w:w="0" w:type="dxa"/>
                <w:jc w:val="center"/>
              </w:trPr>
              <w:tc>
                <w:tcPr>
                  <w:tcW w:w="849" w:type="pct"/>
                  <w:vAlign w:val="center"/>
                </w:tcPr>
                <w:p>
                  <w:pPr>
                    <w:rPr>
                      <w:rFonts w:ascii="宋体"/>
                      <w:sz w:val="24"/>
                    </w:rPr>
                  </w:pPr>
                </w:p>
              </w:tc>
              <w:tc>
                <w:tcPr>
                  <w:tcW w:w="4150" w:type="pct"/>
                  <w:vAlign w:val="center"/>
                </w:tcPr>
                <w:p>
                  <w:pPr>
                    <w:spacing w:after="240"/>
                  </w:pPr>
                  <w:r>
                    <w:rPr>
                      <w:rFonts w:ascii="宋体" w:hAnsi="宋体" w:cs="宋体"/>
                      <w:sz w:val="24"/>
                      <w:lang w:bidi="ar"/>
                    </w:rPr>
                    <w:t>地 址：</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邮 编：</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法定代表人</w:t>
                  </w:r>
                  <w:r>
                    <w:rPr>
                      <w:rFonts w:hint="eastAsia" w:ascii="宋体" w:hAnsi="宋体" w:cs="宋体"/>
                      <w:sz w:val="24"/>
                      <w:lang w:bidi="ar"/>
                    </w:rPr>
                    <w:t>或授权代理人</w:t>
                  </w:r>
                  <w:r>
                    <w:rPr>
                      <w:rFonts w:ascii="宋体" w:hAnsi="宋体" w:cs="宋体"/>
                      <w:sz w:val="24"/>
                      <w:lang w:bidi="ar"/>
                    </w:rPr>
                    <w:t>：</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经办人：</w:t>
                  </w:r>
                </w:p>
              </w:tc>
            </w:tr>
            <w:tr>
              <w:tblPrEx>
                <w:tblCellMar>
                  <w:top w:w="0" w:type="dxa"/>
                  <w:left w:w="0" w:type="dxa"/>
                  <w:bottom w:w="0" w:type="dxa"/>
                  <w:right w:w="0" w:type="dxa"/>
                </w:tblCellMar>
              </w:tblPrEx>
              <w:trPr>
                <w:tblCellSpacing w:w="0" w:type="dxa"/>
                <w:jc w:val="center"/>
              </w:trPr>
              <w:tc>
                <w:tcPr>
                  <w:tcW w:w="0" w:type="auto"/>
                  <w:vAlign w:val="center"/>
                </w:tcPr>
                <w:p>
                  <w:pPr>
                    <w:rPr>
                      <w:rFonts w:ascii="宋体"/>
                      <w:sz w:val="24"/>
                    </w:rPr>
                  </w:pPr>
                </w:p>
              </w:tc>
              <w:tc>
                <w:tcPr>
                  <w:tcW w:w="0" w:type="auto"/>
                  <w:vAlign w:val="center"/>
                </w:tcPr>
                <w:p>
                  <w:pPr>
                    <w:spacing w:after="240"/>
                  </w:pPr>
                  <w:r>
                    <w:rPr>
                      <w:rFonts w:ascii="宋体" w:hAnsi="宋体" w:cs="宋体"/>
                      <w:sz w:val="24"/>
                      <w:lang w:bidi="ar"/>
                    </w:rPr>
                    <w:t>电 话：</w:t>
                  </w:r>
                </w:p>
              </w:tc>
            </w:tr>
            <w:tr>
              <w:tblPrEx>
                <w:tblCellMar>
                  <w:top w:w="0" w:type="dxa"/>
                  <w:left w:w="0" w:type="dxa"/>
                  <w:bottom w:w="0" w:type="dxa"/>
                  <w:right w:w="0" w:type="dxa"/>
                </w:tblCellMar>
              </w:tblPrEx>
              <w:trPr>
                <w:tblCellSpacing w:w="0" w:type="dxa"/>
                <w:jc w:val="center"/>
              </w:trPr>
              <w:tc>
                <w:tcPr>
                  <w:tcW w:w="0" w:type="auto"/>
                </w:tcPr>
                <w:p>
                  <w:pPr>
                    <w:rPr>
                      <w:rFonts w:ascii="宋体"/>
                      <w:sz w:val="24"/>
                    </w:rPr>
                  </w:pPr>
                </w:p>
              </w:tc>
              <w:tc>
                <w:tcPr>
                  <w:tcW w:w="0" w:type="auto"/>
                  <w:vAlign w:val="center"/>
                </w:tcPr>
                <w:p>
                  <w:pPr>
                    <w:spacing w:after="240"/>
                  </w:pPr>
                  <w:r>
                    <w:rPr>
                      <w:rFonts w:ascii="宋体" w:hAnsi="宋体" w:cs="宋体"/>
                      <w:sz w:val="24"/>
                      <w:lang w:bidi="ar"/>
                    </w:rPr>
                    <w:t>签订日期：</w:t>
                  </w:r>
                </w:p>
              </w:tc>
            </w:tr>
          </w:tbl>
          <w:p/>
        </w:tc>
      </w:tr>
    </w:tbl>
    <w:p>
      <w:pPr>
        <w:autoSpaceDE w:val="0"/>
        <w:autoSpaceDN w:val="0"/>
        <w:adjustRightInd w:val="0"/>
        <w:spacing w:line="600" w:lineRule="exact"/>
        <w:ind w:firstLine="640"/>
        <w:jc w:val="center"/>
        <w:rPr>
          <w:rFonts w:ascii="宋体" w:hAnsi="宋体" w:cs="宋体"/>
          <w:sz w:val="24"/>
        </w:rPr>
        <w:sectPr>
          <w:headerReference r:id="rId5" w:type="default"/>
          <w:footerReference r:id="rId6" w:type="default"/>
          <w:pgSz w:w="11905" w:h="16838"/>
          <w:pgMar w:top="1134" w:right="1134" w:bottom="1134" w:left="1134" w:header="720" w:footer="720" w:gutter="0"/>
          <w:pgNumType w:start="1"/>
          <w:cols w:space="0" w:num="1"/>
          <w:docGrid w:type="lines" w:linePitch="331" w:charSpace="0"/>
        </w:sectPr>
      </w:pPr>
    </w:p>
    <w:p>
      <w:pPr>
        <w:spacing w:line="560" w:lineRule="exact"/>
        <w:ind w:firstLine="480" w:firstLineChars="200"/>
        <w:rPr>
          <w:rFonts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r>
        <w:rPr>
          <w:rFonts w:hint="eastAsia" w:ascii="宋体" w:hAnsi="宋体" w:cs="宋体"/>
          <w:sz w:val="24"/>
          <w:u w:val="single"/>
        </w:rPr>
        <w:t xml:space="preserve">   （采购人名称）   </w:t>
      </w:r>
      <w:r>
        <w:rPr>
          <w:rFonts w:hint="eastAsia" w:ascii="宋体" w:hAnsi="宋体" w:cs="宋体"/>
          <w:sz w:val="24"/>
        </w:rPr>
        <w:t>以</w:t>
      </w:r>
      <w:r>
        <w:rPr>
          <w:rFonts w:hint="eastAsia" w:ascii="宋体" w:hAnsi="宋体" w:cs="宋体"/>
          <w:sz w:val="24"/>
          <w:u w:val="single"/>
        </w:rPr>
        <w:t xml:space="preserve">   （政府采购方式）  </w:t>
      </w:r>
      <w:r>
        <w:rPr>
          <w:rFonts w:hint="eastAsia" w:ascii="宋体" w:hAnsi="宋体" w:cs="宋体"/>
          <w:sz w:val="24"/>
        </w:rPr>
        <w:t>对</w:t>
      </w:r>
      <w:r>
        <w:rPr>
          <w:rFonts w:hint="eastAsia" w:ascii="宋体" w:hAnsi="宋体" w:cs="宋体"/>
          <w:sz w:val="24"/>
          <w:u w:val="single"/>
        </w:rPr>
        <w:t xml:space="preserve">   （同前页项目名称）   </w:t>
      </w:r>
      <w:r>
        <w:rPr>
          <w:rFonts w:hint="eastAsia" w:ascii="宋体" w:hAnsi="宋体" w:cs="宋体"/>
          <w:sz w:val="24"/>
        </w:rPr>
        <w:t>项目进行了采购。经</w:t>
      </w:r>
      <w:r>
        <w:rPr>
          <w:rFonts w:hint="eastAsia" w:ascii="宋体" w:hAnsi="宋体" w:cs="宋体"/>
          <w:sz w:val="24"/>
          <w:u w:val="single"/>
        </w:rPr>
        <w:t xml:space="preserve">   （相关评定主体名称）   </w:t>
      </w:r>
      <w:r>
        <w:rPr>
          <w:rFonts w:hint="eastAsia" w:ascii="宋体" w:hAnsi="宋体" w:cs="宋体"/>
          <w:sz w:val="24"/>
        </w:rPr>
        <w:t>评定，</w:t>
      </w:r>
      <w:r>
        <w:rPr>
          <w:rFonts w:hint="eastAsia" w:ascii="宋体" w:hAnsi="宋体" w:cs="宋体"/>
          <w:sz w:val="24"/>
          <w:u w:val="single"/>
        </w:rPr>
        <w:t xml:space="preserve">   （中标供应商名称）</w:t>
      </w:r>
      <w:r>
        <w:rPr>
          <w:rFonts w:hint="eastAsia" w:ascii="宋体" w:hAnsi="宋体" w:cs="宋体"/>
          <w:sz w:val="24"/>
        </w:rPr>
        <w:t>为该项目中标供应商。现于中标通知书发出之日起三十日内，按照采购文件确定的事项签订本合同。</w:t>
      </w:r>
    </w:p>
    <w:p>
      <w:pPr>
        <w:spacing w:line="560" w:lineRule="exact"/>
        <w:ind w:firstLine="480" w:firstLineChars="20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lang w:val="zh-CN"/>
        </w:rPr>
        <w:t>(以下简称：甲方)和</w:t>
      </w:r>
      <w:r>
        <w:rPr>
          <w:rFonts w:hint="eastAsia" w:ascii="宋体" w:hAnsi="宋体" w:cs="宋体"/>
          <w:sz w:val="24"/>
          <w:u w:val="single"/>
        </w:rPr>
        <w:t xml:space="preserve">   （中标供应商名称）   </w:t>
      </w:r>
      <w:r>
        <w:rPr>
          <w:rFonts w:hint="eastAsia" w:ascii="宋体" w:hAnsi="宋体" w:cs="宋体"/>
          <w:sz w:val="24"/>
          <w:lang w:val="zh-CN"/>
        </w:rPr>
        <w:t>(以下简称：乙方)协商一致，约定以下合同</w:t>
      </w:r>
      <w:r>
        <w:rPr>
          <w:rFonts w:hint="eastAsia" w:ascii="宋体" w:hAnsi="宋体" w:cs="宋体"/>
          <w:sz w:val="24"/>
        </w:rPr>
        <w:t>条款，以兹共同遵守、全面履行。</w:t>
      </w:r>
    </w:p>
    <w:p>
      <w:pPr>
        <w:spacing w:line="560" w:lineRule="exact"/>
        <w:ind w:firstLine="482" w:firstLineChars="200"/>
        <w:rPr>
          <w:rFonts w:ascii="宋体" w:hAnsi="宋体" w:cs="宋体"/>
          <w:b/>
          <w:sz w:val="24"/>
          <w:szCs w:val="24"/>
        </w:rPr>
      </w:pPr>
      <w:bookmarkStart w:id="301" w:name="_Toc3029"/>
      <w:bookmarkStart w:id="302" w:name="_Toc2232"/>
      <w:bookmarkStart w:id="303" w:name="_Toc24059"/>
      <w:r>
        <w:rPr>
          <w:rFonts w:hint="eastAsia" w:ascii="宋体" w:hAnsi="宋体" w:cs="宋体"/>
          <w:b/>
          <w:sz w:val="24"/>
          <w:szCs w:val="24"/>
        </w:rPr>
        <w:t>1.1 合同组成部分</w:t>
      </w:r>
      <w:bookmarkEnd w:id="301"/>
      <w:bookmarkEnd w:id="302"/>
      <w:bookmarkEnd w:id="303"/>
    </w:p>
    <w:p>
      <w:pPr>
        <w:spacing w:line="560" w:lineRule="exact"/>
        <w:ind w:firstLine="480" w:firstLineChars="200"/>
        <w:rPr>
          <w:rFonts w:ascii="宋体" w:hAnsi="宋体" w:cs="宋体"/>
          <w:sz w:val="24"/>
        </w:rPr>
      </w:pPr>
      <w:r>
        <w:rPr>
          <w:rFonts w:hint="eastAsia" w:ascii="宋体" w:hAnsi="宋体" w:cs="宋体"/>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560" w:lineRule="exact"/>
        <w:ind w:firstLine="480" w:firstLineChars="200"/>
        <w:rPr>
          <w:rFonts w:ascii="宋体" w:hAnsi="宋体" w:cs="宋体"/>
          <w:sz w:val="24"/>
        </w:rPr>
      </w:pPr>
      <w:r>
        <w:rPr>
          <w:rFonts w:hint="eastAsia" w:ascii="宋体" w:hAnsi="宋体" w:cs="宋体"/>
          <w:sz w:val="24"/>
        </w:rPr>
        <w:t>1.1.1 本合同及其补充合同、变更协议；</w:t>
      </w:r>
    </w:p>
    <w:p>
      <w:pPr>
        <w:spacing w:line="560" w:lineRule="exact"/>
        <w:ind w:firstLine="480" w:firstLineChars="200"/>
        <w:rPr>
          <w:rFonts w:ascii="宋体" w:hAnsi="宋体" w:cs="宋体"/>
          <w:sz w:val="24"/>
        </w:rPr>
      </w:pPr>
      <w:r>
        <w:rPr>
          <w:rFonts w:hint="eastAsia" w:ascii="宋体" w:hAnsi="宋体" w:cs="宋体"/>
          <w:sz w:val="24"/>
        </w:rPr>
        <w:t>1.1.2 中标通知书；</w:t>
      </w:r>
    </w:p>
    <w:p>
      <w:pPr>
        <w:spacing w:line="560" w:lineRule="exact"/>
        <w:ind w:firstLine="480" w:firstLineChars="200"/>
        <w:rPr>
          <w:rFonts w:ascii="宋体" w:hAnsi="宋体" w:cs="宋体"/>
          <w:sz w:val="24"/>
        </w:rPr>
      </w:pPr>
      <w:r>
        <w:rPr>
          <w:rFonts w:hint="eastAsia" w:ascii="宋体" w:hAnsi="宋体" w:cs="宋体"/>
          <w:sz w:val="24"/>
        </w:rPr>
        <w:t>1.1.3 投标文件（含澄清或者说明文件）；</w:t>
      </w:r>
    </w:p>
    <w:p>
      <w:pPr>
        <w:spacing w:line="560" w:lineRule="exact"/>
        <w:ind w:firstLine="480" w:firstLineChars="200"/>
        <w:rPr>
          <w:rFonts w:ascii="宋体" w:hAnsi="宋体" w:cs="宋体"/>
          <w:sz w:val="24"/>
        </w:rPr>
      </w:pPr>
      <w:r>
        <w:rPr>
          <w:rFonts w:hint="eastAsia" w:ascii="宋体" w:hAnsi="宋体" w:cs="宋体"/>
          <w:sz w:val="24"/>
        </w:rPr>
        <w:t>1.1.4 采购文件（含澄清或者修改文件）；</w:t>
      </w:r>
    </w:p>
    <w:p>
      <w:pPr>
        <w:spacing w:line="560" w:lineRule="exact"/>
        <w:ind w:firstLine="480" w:firstLineChars="200"/>
        <w:rPr>
          <w:rFonts w:ascii="宋体" w:hAnsi="宋体" w:cs="宋体"/>
          <w:sz w:val="24"/>
        </w:rPr>
      </w:pPr>
      <w:r>
        <w:rPr>
          <w:rFonts w:hint="eastAsia" w:ascii="宋体" w:hAnsi="宋体" w:cs="宋体"/>
          <w:sz w:val="24"/>
        </w:rPr>
        <w:t>1.1.5 其他相关采购文件。</w:t>
      </w:r>
    </w:p>
    <w:p>
      <w:pPr>
        <w:spacing w:line="560" w:lineRule="exact"/>
        <w:ind w:firstLine="482" w:firstLineChars="200"/>
        <w:rPr>
          <w:rFonts w:ascii="宋体" w:hAnsi="宋体" w:cs="宋体"/>
          <w:b/>
          <w:sz w:val="24"/>
          <w:szCs w:val="24"/>
        </w:rPr>
      </w:pPr>
      <w:bookmarkStart w:id="304" w:name="_Toc21295"/>
      <w:bookmarkStart w:id="305" w:name="_Toc24300"/>
      <w:bookmarkStart w:id="306" w:name="_Toc27126"/>
      <w:r>
        <w:rPr>
          <w:rFonts w:hint="eastAsia" w:ascii="宋体" w:hAnsi="宋体" w:cs="宋体"/>
          <w:b/>
          <w:sz w:val="24"/>
          <w:szCs w:val="24"/>
        </w:rPr>
        <w:t>1.2 货物</w:t>
      </w:r>
      <w:bookmarkEnd w:id="304"/>
      <w:bookmarkEnd w:id="305"/>
      <w:bookmarkEnd w:id="306"/>
    </w:p>
    <w:p>
      <w:pPr>
        <w:spacing w:line="560" w:lineRule="exact"/>
        <w:ind w:firstLine="480" w:firstLineChars="200"/>
        <w:rPr>
          <w:rFonts w:ascii="宋体" w:hAnsi="宋体" w:cs="宋体"/>
          <w:sz w:val="24"/>
        </w:rPr>
      </w:pPr>
      <w:r>
        <w:rPr>
          <w:rFonts w:hint="eastAsia" w:ascii="宋体" w:hAnsi="宋体" w:cs="宋体"/>
          <w:sz w:val="24"/>
        </w:rPr>
        <w:t>1.2.1 货物名称：</w:t>
      </w:r>
    </w:p>
    <w:p>
      <w:pPr>
        <w:spacing w:line="560" w:lineRule="exact"/>
        <w:ind w:firstLine="480" w:firstLineChars="200"/>
        <w:rPr>
          <w:rFonts w:ascii="宋体" w:hAnsi="宋体" w:cs="宋体"/>
          <w:sz w:val="24"/>
          <w:u w:val="single"/>
        </w:rPr>
      </w:pPr>
      <w:r>
        <w:rPr>
          <w:rFonts w:hint="eastAsia" w:ascii="宋体" w:hAnsi="宋体" w:cs="宋体"/>
          <w:sz w:val="24"/>
        </w:rPr>
        <w:t xml:space="preserve"> 1.2.2 货物数量：</w:t>
      </w:r>
      <w:r>
        <w:rPr>
          <w:rFonts w:hint="eastAsia" w:ascii="宋体" w:hAnsi="宋体" w:cs="宋体"/>
          <w:sz w:val="24"/>
          <w:u w:val="single"/>
        </w:rPr>
        <w:t xml:space="preserve">                                                </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1.2.3 货物质量：</w:t>
      </w:r>
      <w:r>
        <w:rPr>
          <w:rFonts w:hint="eastAsia" w:ascii="宋体" w:hAnsi="宋体" w:cs="宋体"/>
          <w:sz w:val="24"/>
          <w:u w:val="single"/>
        </w:rPr>
        <w:t xml:space="preserve">　　　　　　　　　                      　      </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07" w:name="_Toc21631"/>
      <w:bookmarkStart w:id="308" w:name="_Toc21551"/>
      <w:bookmarkStart w:id="309" w:name="_Toc23292"/>
      <w:r>
        <w:rPr>
          <w:rFonts w:hint="eastAsia" w:ascii="宋体" w:hAnsi="宋体" w:cs="宋体"/>
          <w:b/>
          <w:sz w:val="24"/>
          <w:szCs w:val="24"/>
        </w:rPr>
        <w:t>1.3 价款</w:t>
      </w:r>
      <w:bookmarkEnd w:id="307"/>
      <w:bookmarkEnd w:id="308"/>
      <w:bookmarkEnd w:id="309"/>
    </w:p>
    <w:p>
      <w:pPr>
        <w:spacing w:line="560" w:lineRule="exact"/>
        <w:ind w:firstLine="480" w:firstLineChars="200"/>
        <w:rPr>
          <w:rFonts w:ascii="宋体" w:hAnsi="宋体" w:cs="宋体"/>
          <w:sz w:val="24"/>
        </w:rPr>
      </w:pPr>
      <w:r>
        <w:rPr>
          <w:rFonts w:hint="eastAsia" w:ascii="宋体" w:hAnsi="宋体" w:cs="宋体"/>
          <w:sz w:val="24"/>
        </w:rPr>
        <w:t>本合同总价为：¥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元人民币）。</w:t>
      </w:r>
    </w:p>
    <w:p>
      <w:pPr>
        <w:spacing w:line="560" w:lineRule="exact"/>
        <w:ind w:firstLine="480" w:firstLineChars="200"/>
        <w:rPr>
          <w:rFonts w:ascii="宋体" w:hAnsi="宋体" w:cs="宋体"/>
          <w:sz w:val="24"/>
        </w:rPr>
      </w:pPr>
      <w:r>
        <w:rPr>
          <w:rFonts w:hint="eastAsia" w:ascii="宋体" w:hAnsi="宋体" w:cs="宋体"/>
          <w:sz w:val="24"/>
        </w:rPr>
        <w:t>分项价格：</w:t>
      </w:r>
    </w:p>
    <w:p>
      <w:pPr>
        <w:spacing w:line="560" w:lineRule="exact"/>
        <w:ind w:firstLine="480" w:firstLineChars="200"/>
        <w:rPr>
          <w:rFonts w:ascii="宋体" w:hAnsi="宋体" w:cs="宋体"/>
          <w:sz w:val="24"/>
        </w:rPr>
      </w:pPr>
    </w:p>
    <w:p>
      <w:pPr>
        <w:spacing w:line="560" w:lineRule="exact"/>
        <w:ind w:firstLine="480" w:firstLineChars="200"/>
        <w:rPr>
          <w:rFonts w:ascii="宋体" w:hAnsi="宋体" w:cs="宋体"/>
          <w:sz w:val="24"/>
        </w:rPr>
      </w:pPr>
    </w:p>
    <w:tbl>
      <w:tblPr>
        <w:tblStyle w:val="4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3"/>
        <w:gridCol w:w="4684"/>
        <w:gridCol w:w="3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39" w:type="pct"/>
            <w:vAlign w:val="center"/>
          </w:tcPr>
          <w:p>
            <w:pPr>
              <w:pStyle w:val="157"/>
              <w:spacing w:line="560" w:lineRule="exact"/>
              <w:jc w:val="center"/>
              <w:rPr>
                <w:rFonts w:hAnsi="宋体" w:cs="宋体"/>
                <w:sz w:val="24"/>
                <w:szCs w:val="24"/>
              </w:rPr>
            </w:pPr>
            <w:r>
              <w:rPr>
                <w:rFonts w:hint="eastAsia" w:hAnsi="宋体" w:cs="宋体"/>
                <w:sz w:val="24"/>
                <w:szCs w:val="24"/>
              </w:rPr>
              <w:t>序号</w:t>
            </w:r>
          </w:p>
        </w:tc>
        <w:tc>
          <w:tcPr>
            <w:tcW w:w="2377" w:type="pct"/>
            <w:vAlign w:val="center"/>
          </w:tcPr>
          <w:p>
            <w:pPr>
              <w:pStyle w:val="157"/>
              <w:spacing w:line="560" w:lineRule="exact"/>
              <w:ind w:firstLine="200"/>
              <w:jc w:val="center"/>
              <w:rPr>
                <w:rFonts w:hAnsi="宋体" w:cs="宋体"/>
                <w:sz w:val="24"/>
                <w:szCs w:val="24"/>
              </w:rPr>
            </w:pPr>
            <w:r>
              <w:rPr>
                <w:rFonts w:hint="eastAsia" w:hAnsi="宋体" w:cs="宋体"/>
                <w:sz w:val="24"/>
                <w:szCs w:val="24"/>
              </w:rPr>
              <w:t>分项名称</w:t>
            </w:r>
          </w:p>
        </w:tc>
        <w:tc>
          <w:tcPr>
            <w:tcW w:w="1783" w:type="pct"/>
            <w:vAlign w:val="center"/>
          </w:tcPr>
          <w:p>
            <w:pPr>
              <w:pStyle w:val="157"/>
              <w:spacing w:line="560" w:lineRule="exact"/>
              <w:jc w:val="center"/>
              <w:rPr>
                <w:rFonts w:hAnsi="宋体" w:cs="宋体"/>
                <w:sz w:val="24"/>
                <w:szCs w:val="24"/>
              </w:rPr>
            </w:pPr>
            <w:r>
              <w:rPr>
                <w:rFonts w:hint="eastAsia" w:hAnsi="宋体" w:cs="宋体"/>
                <w:sz w:val="24"/>
                <w:szCs w:val="24"/>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39" w:type="pct"/>
            <w:vAlign w:val="center"/>
          </w:tcPr>
          <w:p>
            <w:pPr>
              <w:pStyle w:val="157"/>
              <w:spacing w:line="560" w:lineRule="exact"/>
              <w:ind w:firstLine="200"/>
              <w:jc w:val="center"/>
              <w:rPr>
                <w:rFonts w:hAnsi="宋体" w:cs="宋体"/>
                <w:sz w:val="24"/>
                <w:szCs w:val="24"/>
              </w:rPr>
            </w:pPr>
          </w:p>
        </w:tc>
        <w:tc>
          <w:tcPr>
            <w:tcW w:w="2377" w:type="pct"/>
            <w:vAlign w:val="center"/>
          </w:tcPr>
          <w:p>
            <w:pPr>
              <w:pStyle w:val="157"/>
              <w:spacing w:line="560" w:lineRule="exact"/>
              <w:ind w:firstLine="200"/>
              <w:jc w:val="center"/>
              <w:rPr>
                <w:rFonts w:hAnsi="宋体" w:cs="宋体"/>
                <w:sz w:val="24"/>
                <w:szCs w:val="24"/>
              </w:rPr>
            </w:pPr>
          </w:p>
        </w:tc>
        <w:tc>
          <w:tcPr>
            <w:tcW w:w="1783" w:type="pct"/>
            <w:vAlign w:val="center"/>
          </w:tcPr>
          <w:p>
            <w:pPr>
              <w:pStyle w:val="157"/>
              <w:spacing w:line="560" w:lineRule="exact"/>
              <w:ind w:firstLine="20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39" w:type="pct"/>
            <w:vAlign w:val="center"/>
          </w:tcPr>
          <w:p>
            <w:pPr>
              <w:pStyle w:val="157"/>
              <w:spacing w:line="560" w:lineRule="exact"/>
              <w:ind w:firstLine="200"/>
              <w:jc w:val="center"/>
              <w:rPr>
                <w:rFonts w:hAnsi="宋体" w:cs="宋体"/>
                <w:sz w:val="24"/>
                <w:szCs w:val="24"/>
              </w:rPr>
            </w:pPr>
          </w:p>
        </w:tc>
        <w:tc>
          <w:tcPr>
            <w:tcW w:w="2377" w:type="pct"/>
            <w:vAlign w:val="center"/>
          </w:tcPr>
          <w:p>
            <w:pPr>
              <w:pStyle w:val="157"/>
              <w:spacing w:line="560" w:lineRule="exact"/>
              <w:ind w:firstLine="200"/>
              <w:jc w:val="center"/>
              <w:rPr>
                <w:rFonts w:hAnsi="宋体" w:cs="宋体"/>
                <w:sz w:val="24"/>
                <w:szCs w:val="24"/>
              </w:rPr>
            </w:pPr>
          </w:p>
        </w:tc>
        <w:tc>
          <w:tcPr>
            <w:tcW w:w="1783" w:type="pct"/>
            <w:vAlign w:val="center"/>
          </w:tcPr>
          <w:p>
            <w:pPr>
              <w:pStyle w:val="157"/>
              <w:spacing w:line="560" w:lineRule="exact"/>
              <w:ind w:firstLine="20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39" w:type="pct"/>
            <w:vAlign w:val="center"/>
          </w:tcPr>
          <w:p>
            <w:pPr>
              <w:pStyle w:val="157"/>
              <w:spacing w:line="560" w:lineRule="exact"/>
              <w:ind w:firstLine="200"/>
              <w:jc w:val="center"/>
              <w:rPr>
                <w:rFonts w:hAnsi="宋体" w:cs="宋体"/>
                <w:sz w:val="24"/>
                <w:szCs w:val="24"/>
              </w:rPr>
            </w:pPr>
          </w:p>
        </w:tc>
        <w:tc>
          <w:tcPr>
            <w:tcW w:w="2377" w:type="pct"/>
            <w:vAlign w:val="center"/>
          </w:tcPr>
          <w:p>
            <w:pPr>
              <w:pStyle w:val="157"/>
              <w:spacing w:line="560" w:lineRule="exact"/>
              <w:ind w:firstLine="200"/>
              <w:jc w:val="center"/>
              <w:rPr>
                <w:rFonts w:hAnsi="宋体" w:cs="宋体"/>
                <w:sz w:val="24"/>
                <w:szCs w:val="24"/>
              </w:rPr>
            </w:pPr>
          </w:p>
        </w:tc>
        <w:tc>
          <w:tcPr>
            <w:tcW w:w="1783" w:type="pct"/>
            <w:vAlign w:val="center"/>
          </w:tcPr>
          <w:p>
            <w:pPr>
              <w:pStyle w:val="157"/>
              <w:spacing w:line="560" w:lineRule="exact"/>
              <w:ind w:firstLine="20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39" w:type="pct"/>
            <w:vAlign w:val="center"/>
          </w:tcPr>
          <w:p>
            <w:pPr>
              <w:pStyle w:val="157"/>
              <w:spacing w:line="560" w:lineRule="exact"/>
              <w:ind w:firstLine="200"/>
              <w:jc w:val="center"/>
              <w:rPr>
                <w:rFonts w:hAnsi="宋体" w:cs="宋体"/>
                <w:sz w:val="24"/>
                <w:szCs w:val="24"/>
              </w:rPr>
            </w:pPr>
          </w:p>
        </w:tc>
        <w:tc>
          <w:tcPr>
            <w:tcW w:w="2377" w:type="pct"/>
            <w:vAlign w:val="center"/>
          </w:tcPr>
          <w:p>
            <w:pPr>
              <w:pStyle w:val="157"/>
              <w:spacing w:line="560" w:lineRule="exact"/>
              <w:ind w:firstLine="200"/>
              <w:jc w:val="center"/>
              <w:rPr>
                <w:rFonts w:hAnsi="宋体" w:cs="宋体"/>
                <w:sz w:val="24"/>
                <w:szCs w:val="24"/>
              </w:rPr>
            </w:pPr>
          </w:p>
        </w:tc>
        <w:tc>
          <w:tcPr>
            <w:tcW w:w="1783" w:type="pct"/>
            <w:vAlign w:val="center"/>
          </w:tcPr>
          <w:p>
            <w:pPr>
              <w:pStyle w:val="157"/>
              <w:spacing w:line="560" w:lineRule="exact"/>
              <w:ind w:firstLine="20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216" w:type="pct"/>
            <w:gridSpan w:val="2"/>
            <w:vAlign w:val="center"/>
          </w:tcPr>
          <w:p>
            <w:pPr>
              <w:pStyle w:val="157"/>
              <w:spacing w:line="560" w:lineRule="exact"/>
              <w:ind w:firstLine="200"/>
              <w:jc w:val="center"/>
              <w:rPr>
                <w:rFonts w:hAnsi="宋体" w:cs="宋体"/>
                <w:sz w:val="24"/>
                <w:szCs w:val="24"/>
              </w:rPr>
            </w:pPr>
            <w:r>
              <w:rPr>
                <w:rFonts w:hint="eastAsia" w:hAnsi="宋体" w:cs="宋体"/>
                <w:sz w:val="24"/>
                <w:szCs w:val="24"/>
              </w:rPr>
              <w:t>总价</w:t>
            </w:r>
          </w:p>
        </w:tc>
        <w:tc>
          <w:tcPr>
            <w:tcW w:w="1783" w:type="pct"/>
            <w:vAlign w:val="center"/>
          </w:tcPr>
          <w:p>
            <w:pPr>
              <w:pStyle w:val="157"/>
              <w:spacing w:line="560" w:lineRule="exact"/>
              <w:ind w:firstLine="200"/>
              <w:jc w:val="center"/>
              <w:rPr>
                <w:rFonts w:hAnsi="宋体" w:cs="宋体"/>
                <w:sz w:val="24"/>
                <w:szCs w:val="24"/>
              </w:rPr>
            </w:pPr>
          </w:p>
        </w:tc>
      </w:tr>
    </w:tbl>
    <w:p>
      <w:pPr>
        <w:spacing w:line="560" w:lineRule="exact"/>
        <w:ind w:firstLine="482" w:firstLineChars="200"/>
        <w:rPr>
          <w:rFonts w:ascii="宋体" w:hAnsi="宋体" w:cs="宋体"/>
          <w:b/>
          <w:sz w:val="24"/>
          <w:szCs w:val="24"/>
        </w:rPr>
      </w:pPr>
      <w:bookmarkStart w:id="310" w:name="_Toc10340"/>
      <w:bookmarkStart w:id="311" w:name="_Toc22618"/>
      <w:bookmarkStart w:id="312" w:name="_Toc1814"/>
      <w:r>
        <w:rPr>
          <w:rFonts w:hint="eastAsia" w:ascii="宋体" w:hAnsi="宋体" w:cs="宋体"/>
          <w:b/>
          <w:sz w:val="24"/>
          <w:szCs w:val="24"/>
        </w:rPr>
        <w:t>1.4 付款方式和发票开具方式</w:t>
      </w:r>
      <w:bookmarkEnd w:id="310"/>
      <w:bookmarkEnd w:id="311"/>
      <w:bookmarkEnd w:id="312"/>
    </w:p>
    <w:p>
      <w:pPr>
        <w:spacing w:line="560" w:lineRule="exact"/>
        <w:ind w:firstLine="480" w:firstLineChars="200"/>
        <w:rPr>
          <w:rFonts w:ascii="宋体" w:hAnsi="宋体" w:cs="宋体"/>
          <w:sz w:val="24"/>
        </w:rPr>
      </w:pPr>
      <w:r>
        <w:rPr>
          <w:rFonts w:hint="eastAsia" w:ascii="宋体" w:hAnsi="宋体" w:cs="宋体"/>
          <w:sz w:val="24"/>
        </w:rPr>
        <w:t xml:space="preserve">1.4.1 </w:t>
      </w:r>
      <w:r>
        <w:rPr>
          <w:rFonts w:hint="eastAsia" w:ascii="宋体" w:hAnsi="宋体" w:cs="宋体"/>
          <w:b/>
          <w:bCs/>
          <w:sz w:val="24"/>
        </w:rPr>
        <w:t>付款方式：</w:t>
      </w:r>
      <w:r>
        <w:rPr>
          <w:rFonts w:hint="eastAsia" w:ascii="宋体" w:hAnsi="宋体" w:cs="宋体"/>
          <w:sz w:val="24"/>
        </w:rPr>
        <w:t>合同签订生效后，支付预付款，剩余款项分三次支付，三年内支付完成（设备到货安装验收后三个月内支付</w:t>
      </w:r>
      <w:r>
        <w:rPr>
          <w:rFonts w:hint="eastAsia" w:ascii="宋体" w:hAnsi="宋体" w:cs="宋体"/>
          <w:sz w:val="24"/>
          <w:lang w:val="en-US" w:eastAsia="zh-CN"/>
        </w:rPr>
        <w:t>5</w:t>
      </w:r>
      <w:r>
        <w:rPr>
          <w:rFonts w:hint="eastAsia" w:ascii="宋体" w:hAnsi="宋体" w:cs="宋体"/>
          <w:sz w:val="24"/>
        </w:rPr>
        <w:t>0%即</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元整），八个月内支付</w:t>
      </w:r>
      <w:r>
        <w:rPr>
          <w:rFonts w:hint="eastAsia" w:ascii="宋体" w:hAnsi="宋体" w:cs="宋体"/>
          <w:sz w:val="24"/>
          <w:lang w:val="en-US" w:eastAsia="zh-CN"/>
        </w:rPr>
        <w:t>4</w:t>
      </w:r>
      <w:r>
        <w:rPr>
          <w:rFonts w:hint="eastAsia" w:ascii="宋体" w:hAnsi="宋体" w:cs="宋体"/>
          <w:sz w:val="24"/>
        </w:rPr>
        <w:t>0%即</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元整），质保期结束后支付10%即</w:t>
      </w:r>
      <w:r>
        <w:rPr>
          <w:rFonts w:hint="eastAsia" w:ascii="宋体" w:hAnsi="宋体" w:cs="宋体"/>
          <w:sz w:val="24"/>
          <w:u w:val="single"/>
        </w:rPr>
        <w:t xml:space="preserve">    </w:t>
      </w:r>
      <w:r>
        <w:rPr>
          <w:rFonts w:hint="eastAsia" w:ascii="宋体" w:hAnsi="宋体" w:cs="宋体"/>
          <w:sz w:val="24"/>
        </w:rPr>
        <w:t>元。）。</w:t>
      </w:r>
    </w:p>
    <w:p>
      <w:pPr>
        <w:spacing w:line="560" w:lineRule="exact"/>
        <w:ind w:firstLine="480" w:firstLineChars="200"/>
        <w:rPr>
          <w:rFonts w:ascii="宋体" w:hAnsi="宋体" w:cs="宋体"/>
          <w:sz w:val="24"/>
        </w:rPr>
      </w:pPr>
      <w:r>
        <w:rPr>
          <w:rFonts w:hint="eastAsia" w:ascii="宋体" w:hAnsi="宋体" w:cs="宋体"/>
          <w:sz w:val="24"/>
        </w:rPr>
        <w:t>1.4.2 发票开具方式：</w:t>
      </w:r>
      <w:r>
        <w:rPr>
          <w:rFonts w:hint="eastAsia" w:ascii="宋体" w:hAnsi="宋体" w:cs="宋体"/>
          <w:sz w:val="24"/>
          <w:szCs w:val="24"/>
          <w:u w:val="single"/>
        </w:rPr>
        <w:t>根据甲方要求开具合法有效的发票</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13" w:name="_Toc19304"/>
      <w:bookmarkStart w:id="314" w:name="_Toc32071"/>
      <w:bookmarkStart w:id="315" w:name="_Toc2846"/>
      <w:r>
        <w:rPr>
          <w:rFonts w:hint="eastAsia" w:ascii="宋体" w:hAnsi="宋体" w:cs="宋体"/>
          <w:b/>
          <w:sz w:val="24"/>
          <w:szCs w:val="24"/>
        </w:rPr>
        <w:t>1.5 货物交付期限、地点和方式</w:t>
      </w:r>
      <w:bookmarkEnd w:id="313"/>
      <w:bookmarkEnd w:id="314"/>
      <w:bookmarkEnd w:id="315"/>
    </w:p>
    <w:p>
      <w:pPr>
        <w:spacing w:line="560" w:lineRule="exact"/>
        <w:ind w:firstLine="480" w:firstLineChars="200"/>
        <w:rPr>
          <w:rFonts w:ascii="宋体" w:hAnsi="宋体" w:cs="宋体"/>
          <w:sz w:val="24"/>
          <w:u w:val="single"/>
        </w:rPr>
      </w:pPr>
      <w:r>
        <w:rPr>
          <w:rFonts w:hint="eastAsia" w:ascii="宋体" w:hAnsi="宋体" w:cs="宋体"/>
          <w:sz w:val="24"/>
        </w:rPr>
        <w:t>1.5.1 交付期限：</w:t>
      </w:r>
      <w:r>
        <w:rPr>
          <w:rFonts w:hint="eastAsia" w:ascii="宋体" w:hAnsi="宋体" w:cs="宋体"/>
          <w:sz w:val="24"/>
          <w:u w:val="single"/>
        </w:rPr>
        <w:t xml:space="preserve">                                                </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1.5.2 交付地点：</w:t>
      </w:r>
      <w:r>
        <w:rPr>
          <w:rFonts w:hint="eastAsia" w:ascii="宋体" w:hAnsi="宋体" w:cs="宋体"/>
          <w:sz w:val="24"/>
          <w:u w:val="single"/>
        </w:rPr>
        <w:t xml:space="preserve">                                                </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1.5.3 交付方式：</w:t>
      </w:r>
      <w:r>
        <w:rPr>
          <w:rFonts w:hint="eastAsia" w:ascii="宋体" w:hAnsi="宋体" w:cs="宋体"/>
          <w:sz w:val="24"/>
          <w:u w:val="single"/>
        </w:rPr>
        <w:t xml:space="preserve">　　　　　　　　　                      　      </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16" w:name="_Toc27250"/>
      <w:bookmarkStart w:id="317" w:name="_Toc21423"/>
      <w:bookmarkStart w:id="318" w:name="_Toc19554"/>
      <w:r>
        <w:rPr>
          <w:rFonts w:hint="eastAsia" w:ascii="宋体" w:hAnsi="宋体" w:cs="宋体"/>
          <w:b/>
          <w:sz w:val="24"/>
          <w:szCs w:val="24"/>
        </w:rPr>
        <w:t>1.6 违约责任</w:t>
      </w:r>
      <w:bookmarkEnd w:id="316"/>
      <w:bookmarkEnd w:id="317"/>
      <w:bookmarkEnd w:id="318"/>
    </w:p>
    <w:p>
      <w:pPr>
        <w:spacing w:line="560" w:lineRule="exact"/>
        <w:ind w:firstLine="480" w:firstLineChars="200"/>
        <w:rPr>
          <w:rFonts w:ascii="宋体" w:hAnsi="宋体" w:cs="宋体"/>
          <w:sz w:val="24"/>
        </w:rPr>
      </w:pPr>
      <w:r>
        <w:rPr>
          <w:rFonts w:hint="eastAsia" w:ascii="宋体" w:hAnsi="宋体" w:cs="宋体"/>
          <w:sz w:val="24"/>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1 </w:t>
      </w:r>
      <w:r>
        <w:rPr>
          <w:rFonts w:hint="eastAsia" w:ascii="宋体" w:hAnsi="宋体" w:cs="宋体"/>
          <w:sz w:val="24"/>
        </w:rPr>
        <w:t>%计算，最高限额为本合同总价的</w:t>
      </w:r>
      <w:r>
        <w:rPr>
          <w:rFonts w:hint="eastAsia" w:ascii="宋体" w:hAnsi="宋体" w:cs="宋体"/>
          <w:sz w:val="24"/>
          <w:u w:val="single"/>
        </w:rPr>
        <w:t xml:space="preserve"> 10 </w:t>
      </w:r>
      <w:r>
        <w:rPr>
          <w:rFonts w:hint="eastAsia" w:ascii="宋体" w:hAnsi="宋体" w:cs="宋体"/>
          <w:sz w:val="24"/>
        </w:rPr>
        <w:t>%；迟延交付货物的违约金计算数额达到前述最高限额之日起，甲方有权在要求乙方支付违约金的同时，书面通知乙方解除本合同；</w:t>
      </w:r>
    </w:p>
    <w:p>
      <w:pPr>
        <w:spacing w:line="560" w:lineRule="exact"/>
        <w:ind w:firstLine="480" w:firstLineChars="200"/>
        <w:rPr>
          <w:rFonts w:ascii="宋体" w:hAnsi="宋体" w:cs="宋体"/>
          <w:sz w:val="24"/>
        </w:rPr>
      </w:pPr>
      <w:r>
        <w:rPr>
          <w:rFonts w:hint="eastAsia" w:ascii="宋体" w:hAnsi="宋体" w:cs="宋体"/>
          <w:sz w:val="24"/>
        </w:rPr>
        <w:t>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spacing w:line="560" w:lineRule="exact"/>
        <w:ind w:firstLine="480" w:firstLineChars="200"/>
        <w:rPr>
          <w:rFonts w:ascii="宋体" w:hAnsi="宋体" w:cs="宋体"/>
          <w:sz w:val="24"/>
        </w:rPr>
      </w:pPr>
      <w:r>
        <w:rPr>
          <w:rFonts w:hint="eastAsia" w:ascii="宋体" w:hAnsi="宋体" w:cs="宋体"/>
          <w:sz w:val="24"/>
        </w:rPr>
        <w:t>1.6.3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560" w:lineRule="exact"/>
        <w:ind w:firstLine="480" w:firstLineChars="200"/>
        <w:rPr>
          <w:rFonts w:ascii="宋体" w:hAnsi="宋体" w:cs="宋体"/>
          <w:sz w:val="24"/>
        </w:rPr>
      </w:pPr>
      <w:r>
        <w:rPr>
          <w:rFonts w:hint="eastAsia" w:ascii="宋体" w:hAnsi="宋体" w:cs="宋体"/>
          <w:sz w:val="24"/>
        </w:rPr>
        <w:t>1.6.4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560" w:lineRule="exact"/>
        <w:ind w:firstLine="480" w:firstLineChars="200"/>
        <w:rPr>
          <w:rFonts w:ascii="宋体" w:hAnsi="宋体" w:cs="宋体"/>
          <w:sz w:val="24"/>
        </w:rPr>
      </w:pPr>
      <w:r>
        <w:rPr>
          <w:rFonts w:hint="eastAsia" w:ascii="宋体" w:hAnsi="宋体" w:cs="宋体"/>
          <w:sz w:val="24"/>
        </w:rPr>
        <w:t>1.6.5 如果出现政府采购监督管理部门在处理投诉事项期间，书面通知甲方暂停采购活动的情形，或者询问或质疑事项可能影响中标结果的，导致甲方中止履行合同的情形，均不视为甲方违约。</w:t>
      </w:r>
    </w:p>
    <w:p>
      <w:pPr>
        <w:spacing w:line="560" w:lineRule="exact"/>
        <w:ind w:firstLine="482" w:firstLineChars="200"/>
        <w:rPr>
          <w:rFonts w:ascii="宋体" w:hAnsi="宋体" w:cs="宋体"/>
          <w:b/>
          <w:sz w:val="24"/>
          <w:szCs w:val="24"/>
        </w:rPr>
      </w:pPr>
      <w:bookmarkStart w:id="319" w:name="_Toc15583"/>
      <w:bookmarkStart w:id="320" w:name="_Toc16021"/>
      <w:bookmarkStart w:id="321" w:name="_Toc28375"/>
      <w:r>
        <w:rPr>
          <w:rFonts w:hint="eastAsia" w:ascii="宋体" w:hAnsi="宋体" w:cs="宋体"/>
          <w:b/>
          <w:sz w:val="24"/>
          <w:szCs w:val="24"/>
        </w:rPr>
        <w:t>1.7 合同争议的解决</w:t>
      </w:r>
      <w:bookmarkEnd w:id="319"/>
      <w:bookmarkEnd w:id="320"/>
      <w:bookmarkEnd w:id="321"/>
    </w:p>
    <w:p>
      <w:pPr>
        <w:spacing w:line="560" w:lineRule="exact"/>
        <w:ind w:firstLine="480" w:firstLineChars="200"/>
        <w:rPr>
          <w:rFonts w:ascii="宋体" w:hAnsi="宋体" w:cs="宋体"/>
          <w:sz w:val="24"/>
        </w:rPr>
      </w:pPr>
      <w:r>
        <w:rPr>
          <w:rFonts w:hint="eastAsia" w:ascii="宋体" w:hAnsi="宋体" w:cs="宋体"/>
          <w:sz w:val="24"/>
        </w:rPr>
        <w:t>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种方式解决：</w:t>
      </w:r>
    </w:p>
    <w:p>
      <w:pPr>
        <w:spacing w:line="560" w:lineRule="exact"/>
        <w:ind w:firstLine="480" w:firstLineChars="200"/>
        <w:rPr>
          <w:rFonts w:ascii="宋体" w:hAnsi="宋体" w:cs="宋体"/>
          <w:sz w:val="24"/>
        </w:rPr>
      </w:pPr>
      <w:r>
        <w:rPr>
          <w:rFonts w:hint="eastAsia" w:ascii="宋体" w:hAnsi="宋体" w:cs="宋体"/>
          <w:sz w:val="24"/>
        </w:rPr>
        <w:t>1.7.1 将争议提交</w:t>
      </w:r>
      <w:r>
        <w:rPr>
          <w:rFonts w:hint="eastAsia" w:ascii="宋体" w:hAnsi="宋体" w:cs="宋体"/>
          <w:sz w:val="24"/>
          <w:u w:val="single"/>
        </w:rPr>
        <w:t xml:space="preserve">              </w:t>
      </w:r>
      <w:r>
        <w:rPr>
          <w:rFonts w:hint="eastAsia" w:ascii="宋体" w:hAnsi="宋体" w:cs="宋体"/>
          <w:sz w:val="24"/>
        </w:rPr>
        <w:t>仲裁委员会依申请仲裁时其现行有效的仲裁规则裁决；</w:t>
      </w:r>
    </w:p>
    <w:p>
      <w:pPr>
        <w:spacing w:line="560" w:lineRule="exact"/>
        <w:ind w:firstLine="480" w:firstLineChars="200"/>
        <w:rPr>
          <w:rFonts w:ascii="宋体" w:hAnsi="宋体" w:cs="宋体"/>
          <w:sz w:val="24"/>
        </w:rPr>
      </w:pPr>
      <w:r>
        <w:rPr>
          <w:rFonts w:hint="eastAsia" w:ascii="宋体" w:hAnsi="宋体" w:cs="宋体"/>
          <w:sz w:val="24"/>
        </w:rPr>
        <w:t>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人民法院起诉。</w:t>
      </w:r>
    </w:p>
    <w:p>
      <w:pPr>
        <w:spacing w:line="560" w:lineRule="exact"/>
        <w:ind w:firstLine="482" w:firstLineChars="200"/>
        <w:rPr>
          <w:rFonts w:ascii="宋体" w:hAnsi="宋体" w:cs="宋体"/>
          <w:b/>
          <w:sz w:val="24"/>
          <w:szCs w:val="24"/>
        </w:rPr>
      </w:pPr>
      <w:bookmarkStart w:id="322" w:name="_Toc15322"/>
      <w:bookmarkStart w:id="323" w:name="_Toc11173"/>
      <w:bookmarkStart w:id="324" w:name="_Toc7245"/>
      <w:r>
        <w:rPr>
          <w:rFonts w:hint="eastAsia" w:ascii="宋体" w:hAnsi="宋体" w:cs="宋体"/>
          <w:b/>
          <w:sz w:val="24"/>
          <w:szCs w:val="24"/>
        </w:rPr>
        <w:t>1.8 合同生效</w:t>
      </w:r>
      <w:bookmarkEnd w:id="322"/>
      <w:bookmarkEnd w:id="323"/>
      <w:bookmarkEnd w:id="324"/>
    </w:p>
    <w:p>
      <w:pPr>
        <w:spacing w:line="560" w:lineRule="exact"/>
        <w:ind w:firstLine="480" w:firstLineChars="200"/>
        <w:rPr>
          <w:rFonts w:ascii="宋体" w:hAnsi="宋体" w:cs="宋体"/>
          <w:b/>
          <w:sz w:val="24"/>
        </w:rPr>
      </w:pPr>
      <w:r>
        <w:rPr>
          <w:rFonts w:hint="eastAsia" w:ascii="宋体" w:hAnsi="宋体" w:cs="宋体"/>
          <w:sz w:val="24"/>
        </w:rPr>
        <w:t>本合同自双方当事人盖章或者签字时生效。</w:t>
      </w:r>
    </w:p>
    <w:p>
      <w:pPr>
        <w:autoSpaceDE w:val="0"/>
        <w:autoSpaceDN w:val="0"/>
        <w:adjustRightInd w:val="0"/>
        <w:spacing w:line="560" w:lineRule="exact"/>
        <w:rPr>
          <w:rFonts w:ascii="宋体" w:hAnsi="宋体" w:cs="宋体"/>
          <w:sz w:val="24"/>
          <w:lang w:val="zh-CN"/>
        </w:rPr>
      </w:pPr>
    </w:p>
    <w:p>
      <w:pPr>
        <w:autoSpaceDE w:val="0"/>
        <w:autoSpaceDN w:val="0"/>
        <w:adjustRightInd w:val="0"/>
        <w:spacing w:line="560" w:lineRule="exact"/>
        <w:rPr>
          <w:rFonts w:ascii="宋体" w:hAnsi="宋体" w:cs="宋体"/>
          <w:sz w:val="24"/>
          <w:lang w:val="zh-CN"/>
        </w:rPr>
      </w:pPr>
      <w:r>
        <w:rPr>
          <w:rFonts w:hint="eastAsia" w:ascii="宋体" w:hAnsi="宋体" w:cs="宋体"/>
          <w:b/>
          <w:sz w:val="24"/>
          <w:lang w:val="zh-CN"/>
        </w:rPr>
        <w:t>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统一社会信用代码：                        统一社会信用代码或身份证号码：</w:t>
      </w:r>
    </w:p>
    <w:p>
      <w:pPr>
        <w:autoSpaceDE w:val="0"/>
        <w:autoSpaceDN w:val="0"/>
        <w:adjustRightInd w:val="0"/>
        <w:spacing w:line="560" w:lineRule="exact"/>
        <w:rPr>
          <w:rFonts w:ascii="宋体" w:hAnsi="宋体" w:cs="宋体"/>
          <w:sz w:val="24"/>
          <w:lang w:val="zh-CN"/>
        </w:rPr>
      </w:pP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住所：                                   住所：</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法定代表人或                             法定代表人</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 xml:space="preserve">授权代表（签字）：                        或授权代表（签字）: </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联系人：                                 联系人：</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约定送达地址：                           约定送达地址：</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邮政编码：                               邮政编码：</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 xml:space="preserve">电话:                                    电话: </w:t>
      </w:r>
    </w:p>
    <w:p>
      <w:pPr>
        <w:autoSpaceDE w:val="0"/>
        <w:autoSpaceDN w:val="0"/>
        <w:adjustRightInd w:val="0"/>
        <w:spacing w:line="560" w:lineRule="exact"/>
        <w:rPr>
          <w:rFonts w:ascii="宋体" w:hAnsi="宋体" w:cs="宋体"/>
          <w:sz w:val="24"/>
          <w:lang w:val="zh-CN"/>
        </w:rPr>
      </w:pPr>
      <w:r>
        <w:rPr>
          <w:rFonts w:hint="eastAsia" w:ascii="宋体" w:hAnsi="宋体" w:cs="宋体"/>
          <w:sz w:val="24"/>
          <w:lang w:val="zh-CN"/>
        </w:rPr>
        <w:t>传真:                                    传真:</w:t>
      </w:r>
    </w:p>
    <w:p>
      <w:pPr>
        <w:autoSpaceDE w:val="0"/>
        <w:autoSpaceDN w:val="0"/>
        <w:adjustRightInd w:val="0"/>
        <w:spacing w:line="560" w:lineRule="exact"/>
        <w:rPr>
          <w:rFonts w:ascii="宋体" w:hAnsi="宋体" w:cs="宋体"/>
          <w:sz w:val="24"/>
        </w:rPr>
      </w:pPr>
      <w:r>
        <w:rPr>
          <w:rFonts w:hint="eastAsia" w:ascii="宋体" w:hAnsi="宋体" w:cs="宋体"/>
          <w:sz w:val="24"/>
          <w:lang w:val="zh-CN"/>
        </w:rPr>
        <w:t>电子邮箱：                               电子邮箱：</w:t>
      </w:r>
    </w:p>
    <w:p>
      <w:pPr>
        <w:autoSpaceDE w:val="0"/>
        <w:autoSpaceDN w:val="0"/>
        <w:adjustRightInd w:val="0"/>
        <w:spacing w:line="560" w:lineRule="exact"/>
        <w:rPr>
          <w:rFonts w:ascii="宋体" w:hAnsi="宋体" w:cs="宋体"/>
          <w:sz w:val="24"/>
        </w:rPr>
      </w:pPr>
      <w:r>
        <w:rPr>
          <w:rFonts w:hint="eastAsia" w:ascii="宋体" w:hAnsi="宋体" w:cs="宋体"/>
          <w:sz w:val="24"/>
        </w:rPr>
        <w:t xml:space="preserve">开户银行：                               开户银行： </w:t>
      </w:r>
    </w:p>
    <w:p>
      <w:pPr>
        <w:autoSpaceDE w:val="0"/>
        <w:autoSpaceDN w:val="0"/>
        <w:adjustRightInd w:val="0"/>
        <w:spacing w:line="560" w:lineRule="exact"/>
        <w:rPr>
          <w:rFonts w:ascii="宋体" w:hAnsi="宋体" w:cs="宋体"/>
          <w:sz w:val="24"/>
        </w:rPr>
      </w:pPr>
      <w:r>
        <w:rPr>
          <w:rFonts w:hint="eastAsia" w:ascii="宋体" w:hAnsi="宋体" w:cs="宋体"/>
          <w:sz w:val="24"/>
        </w:rPr>
        <w:t xml:space="preserve">开户名称：                               开户名称： </w:t>
      </w:r>
    </w:p>
    <w:p>
      <w:pPr>
        <w:autoSpaceDE w:val="0"/>
        <w:autoSpaceDN w:val="0"/>
        <w:adjustRightInd w:val="0"/>
        <w:spacing w:line="560" w:lineRule="exact"/>
        <w:rPr>
          <w:rFonts w:ascii="宋体" w:hAnsi="宋体" w:cs="宋体"/>
          <w:sz w:val="24"/>
        </w:rPr>
      </w:pPr>
      <w:r>
        <w:rPr>
          <w:rFonts w:hint="eastAsia" w:ascii="宋体" w:hAnsi="宋体" w:cs="宋体"/>
          <w:sz w:val="24"/>
        </w:rPr>
        <w:t>开户账号：</w:t>
      </w:r>
      <w:r>
        <w:rPr>
          <w:rFonts w:hint="eastAsia" w:ascii="宋体" w:hAnsi="宋体" w:cs="宋体"/>
          <w:sz w:val="24"/>
          <w:lang w:val="zh-CN"/>
        </w:rPr>
        <w:t xml:space="preserve">                               </w:t>
      </w:r>
      <w:r>
        <w:rPr>
          <w:rFonts w:hint="eastAsia" w:ascii="宋体" w:hAnsi="宋体" w:cs="宋体"/>
          <w:sz w:val="24"/>
        </w:rPr>
        <w:t>开户账号：</w:t>
      </w:r>
    </w:p>
    <w:p>
      <w:pPr>
        <w:spacing w:line="560" w:lineRule="exact"/>
        <w:rPr>
          <w:rFonts w:ascii="宋体" w:hAnsi="宋体" w:cs="宋体"/>
          <w:b/>
        </w:rPr>
      </w:pPr>
      <w:bookmarkStart w:id="325" w:name="_Toc331685783"/>
    </w:p>
    <w:p>
      <w:pPr>
        <w:spacing w:line="560" w:lineRule="exact"/>
        <w:rPr>
          <w:rFonts w:ascii="宋体" w:hAnsi="宋体" w:cs="宋体"/>
          <w:b/>
        </w:rPr>
      </w:pPr>
    </w:p>
    <w:p>
      <w:pPr>
        <w:spacing w:line="560" w:lineRule="exact"/>
        <w:rPr>
          <w:rFonts w:ascii="宋体" w:hAnsi="宋体" w:cs="宋体"/>
          <w:b/>
          <w:sz w:val="24"/>
        </w:rPr>
      </w:pPr>
    </w:p>
    <w:p>
      <w:pPr>
        <w:spacing w:line="560" w:lineRule="exact"/>
        <w:rPr>
          <w:rFonts w:ascii="宋体" w:hAnsi="宋体" w:cs="宋体"/>
          <w:b/>
          <w:sz w:val="24"/>
        </w:rPr>
      </w:pPr>
    </w:p>
    <w:p>
      <w:pPr>
        <w:pStyle w:val="181"/>
        <w:spacing w:line="560" w:lineRule="exact"/>
        <w:ind w:firstLine="200"/>
        <w:jc w:val="center"/>
        <w:rPr>
          <w:rFonts w:hAnsi="宋体" w:cs="宋体"/>
          <w:b/>
          <w:szCs w:val="24"/>
        </w:rPr>
      </w:pPr>
      <w:r>
        <w:rPr>
          <w:rFonts w:hint="eastAsia" w:hAnsi="宋体" w:cs="宋体"/>
          <w:b/>
          <w:szCs w:val="24"/>
        </w:rPr>
        <w:br w:type="page"/>
      </w:r>
      <w:r>
        <w:rPr>
          <w:rFonts w:hint="eastAsia" w:hAnsi="宋体" w:cs="宋体"/>
          <w:b/>
          <w:szCs w:val="24"/>
        </w:rPr>
        <w:t>第二部分 合同一般条款</w:t>
      </w:r>
      <w:bookmarkEnd w:id="325"/>
    </w:p>
    <w:p>
      <w:pPr>
        <w:spacing w:line="560" w:lineRule="exact"/>
        <w:ind w:firstLine="482" w:firstLineChars="200"/>
        <w:rPr>
          <w:rFonts w:ascii="宋体" w:hAnsi="宋体" w:cs="宋体"/>
          <w:b/>
          <w:sz w:val="24"/>
          <w:szCs w:val="24"/>
        </w:rPr>
      </w:pPr>
      <w:bookmarkStart w:id="326" w:name="_Toc16917"/>
      <w:bookmarkStart w:id="327" w:name="_Ref467379225"/>
      <w:bookmarkStart w:id="328" w:name="_Ref467378404"/>
      <w:bookmarkStart w:id="329" w:name="_Toc487900349"/>
      <w:bookmarkStart w:id="330" w:name="_Ref467379109"/>
      <w:bookmarkStart w:id="331" w:name="_Toc19614"/>
      <w:bookmarkStart w:id="332" w:name="_Ref467379195"/>
      <w:bookmarkStart w:id="333" w:name="_Toc28763"/>
      <w:bookmarkStart w:id="334" w:name="_Ref467379101"/>
      <w:bookmarkStart w:id="335" w:name="_Ref467378499"/>
      <w:bookmarkStart w:id="336" w:name="_Ref467379205"/>
      <w:bookmarkStart w:id="337" w:name="_Ref467379214"/>
      <w:bookmarkStart w:id="338" w:name="_Ref467378463"/>
      <w:bookmarkStart w:id="339" w:name="_Ref467379094"/>
      <w:bookmarkStart w:id="340" w:name="_Toc279701240"/>
      <w:bookmarkStart w:id="341" w:name="_Toc259093669"/>
      <w:r>
        <w:rPr>
          <w:rFonts w:hint="eastAsia" w:ascii="宋体" w:hAnsi="宋体" w:cs="宋体"/>
          <w:b/>
          <w:sz w:val="24"/>
          <w:szCs w:val="24"/>
        </w:rPr>
        <w:t>2.1 定义</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spacing w:line="560" w:lineRule="exact"/>
        <w:ind w:firstLine="480" w:firstLineChars="200"/>
        <w:rPr>
          <w:rFonts w:ascii="宋体" w:hAnsi="宋体" w:cs="宋体"/>
          <w:sz w:val="24"/>
        </w:rPr>
      </w:pPr>
      <w:r>
        <w:rPr>
          <w:rFonts w:hint="eastAsia" w:ascii="宋体" w:hAnsi="宋体" w:cs="宋体"/>
          <w:sz w:val="24"/>
        </w:rPr>
        <w:t>本合同中的下列词语应按以下内容进行解释：</w:t>
      </w:r>
    </w:p>
    <w:p>
      <w:pPr>
        <w:spacing w:line="560" w:lineRule="exact"/>
        <w:ind w:firstLine="480" w:firstLineChars="200"/>
        <w:rPr>
          <w:rFonts w:ascii="宋体" w:hAnsi="宋体" w:cs="宋体"/>
          <w:sz w:val="24"/>
        </w:rPr>
      </w:pPr>
      <w:r>
        <w:rPr>
          <w:rFonts w:hint="eastAsia" w:ascii="宋体" w:hAnsi="宋体" w:cs="宋体"/>
          <w:sz w:val="24"/>
        </w:rPr>
        <w:t>2.1.1 “合同”系指采购人和中标供应商签订的载明双方当事人所达成的协议，并包括所有的附件、附录和构成合同的其他文件。</w:t>
      </w:r>
    </w:p>
    <w:p>
      <w:pPr>
        <w:spacing w:line="560" w:lineRule="exact"/>
        <w:ind w:firstLine="480" w:firstLineChars="200"/>
        <w:rPr>
          <w:rFonts w:ascii="宋体" w:hAnsi="宋体" w:cs="宋体"/>
          <w:sz w:val="24"/>
        </w:rPr>
      </w:pPr>
      <w:r>
        <w:rPr>
          <w:rFonts w:hint="eastAsia" w:ascii="宋体" w:hAnsi="宋体" w:cs="宋体"/>
          <w:sz w:val="24"/>
        </w:rPr>
        <w:t>2.1.2 “合同价”系指根据合同约定，中标供应商在完全履行合同义务后，采购人应支付给中标供应商的价格。</w:t>
      </w:r>
    </w:p>
    <w:p>
      <w:pPr>
        <w:spacing w:line="560" w:lineRule="exact"/>
        <w:ind w:firstLine="480" w:firstLineChars="200"/>
        <w:rPr>
          <w:rFonts w:ascii="宋体" w:hAnsi="宋体" w:cs="宋体"/>
          <w:sz w:val="24"/>
        </w:rPr>
      </w:pPr>
      <w:r>
        <w:rPr>
          <w:rFonts w:hint="eastAsia" w:ascii="宋体" w:hAnsi="宋体" w:cs="宋体"/>
          <w:sz w:val="24"/>
        </w:rPr>
        <w:t>2.1.3 “货物”系指中标供应商根据合同约定应向采购人交付的一切各种形态和种类的物品，包括原材料、燃料、设备、机械、仪表、备件、计算机软件、产品等，并包括工具、手册等其他相关资料。</w:t>
      </w:r>
    </w:p>
    <w:p>
      <w:pPr>
        <w:spacing w:line="560" w:lineRule="exact"/>
        <w:ind w:firstLine="480" w:firstLineChars="200"/>
        <w:rPr>
          <w:rFonts w:ascii="宋体" w:hAnsi="宋体" w:cs="宋体"/>
          <w:sz w:val="24"/>
        </w:rPr>
      </w:pPr>
      <w:bookmarkStart w:id="342" w:name="_Ref467378840"/>
      <w:r>
        <w:rPr>
          <w:rFonts w:hint="eastAsia" w:ascii="宋体" w:hAnsi="宋体" w:cs="宋体"/>
          <w:sz w:val="24"/>
        </w:rPr>
        <w:t>2.1.4 “甲方”系指与中标供应商签署合同的采购人</w:t>
      </w:r>
      <w:bookmarkEnd w:id="342"/>
      <w:r>
        <w:rPr>
          <w:rFonts w:hint="eastAsia" w:ascii="宋体" w:hAnsi="宋体" w:cs="宋体"/>
          <w:sz w:val="24"/>
        </w:rPr>
        <w:t>；采购人委托采购代理机构代表其与乙方签订合同的，采购人的授权委托书作为合同附件。</w:t>
      </w:r>
    </w:p>
    <w:p>
      <w:pPr>
        <w:spacing w:line="560" w:lineRule="exact"/>
        <w:ind w:firstLine="480" w:firstLineChars="200"/>
        <w:rPr>
          <w:rFonts w:ascii="宋体" w:hAnsi="宋体" w:cs="宋体"/>
          <w:sz w:val="24"/>
        </w:rPr>
      </w:pPr>
      <w:bookmarkStart w:id="343" w:name="_Ref467379400"/>
      <w:r>
        <w:rPr>
          <w:rFonts w:hint="eastAsia" w:ascii="宋体" w:hAnsi="宋体" w:cs="宋体"/>
          <w:sz w:val="24"/>
        </w:rPr>
        <w:t>2.1.5 “乙方”系指根据合同约定交付货物的中标供应商</w:t>
      </w:r>
      <w:bookmarkEnd w:id="343"/>
      <w:r>
        <w:rPr>
          <w:rFonts w:hint="eastAsia" w:ascii="宋体" w:hAnsi="宋体" w:cs="宋体"/>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firstLineChars="200"/>
        <w:rPr>
          <w:rFonts w:ascii="宋体" w:hAnsi="宋体" w:cs="宋体"/>
          <w:sz w:val="24"/>
        </w:rPr>
      </w:pPr>
      <w:bookmarkStart w:id="344" w:name="_Ref467379436"/>
      <w:r>
        <w:rPr>
          <w:rFonts w:hint="eastAsia" w:ascii="宋体" w:hAnsi="宋体" w:cs="宋体"/>
          <w:sz w:val="24"/>
        </w:rPr>
        <w:t>2.1.6 “现场”系指合同约定货物将要运至或者安装的地点。</w:t>
      </w:r>
      <w:bookmarkEnd w:id="344"/>
    </w:p>
    <w:p>
      <w:pPr>
        <w:spacing w:line="560" w:lineRule="exact"/>
        <w:ind w:firstLine="482" w:firstLineChars="200"/>
        <w:rPr>
          <w:rFonts w:ascii="宋体" w:hAnsi="宋体" w:cs="宋体"/>
          <w:b/>
          <w:sz w:val="24"/>
          <w:szCs w:val="24"/>
        </w:rPr>
      </w:pPr>
      <w:bookmarkStart w:id="345" w:name="_Toc27635"/>
      <w:bookmarkStart w:id="346" w:name="_Toc32504"/>
      <w:bookmarkStart w:id="347" w:name="_Toc487900350"/>
      <w:bookmarkStart w:id="348" w:name="_Toc13336"/>
      <w:bookmarkStart w:id="349" w:name="_Toc279701241"/>
      <w:bookmarkStart w:id="350" w:name="_Toc259093670"/>
      <w:r>
        <w:rPr>
          <w:rFonts w:hint="eastAsia" w:ascii="宋体" w:hAnsi="宋体" w:cs="宋体"/>
          <w:b/>
          <w:sz w:val="24"/>
          <w:szCs w:val="24"/>
        </w:rPr>
        <w:t>2.2 技术规范</w:t>
      </w:r>
      <w:bookmarkEnd w:id="345"/>
      <w:bookmarkEnd w:id="346"/>
      <w:bookmarkEnd w:id="347"/>
      <w:bookmarkEnd w:id="348"/>
      <w:bookmarkEnd w:id="349"/>
      <w:bookmarkEnd w:id="350"/>
    </w:p>
    <w:p>
      <w:pPr>
        <w:spacing w:line="560" w:lineRule="exact"/>
        <w:ind w:firstLine="480" w:firstLineChars="200"/>
        <w:rPr>
          <w:rFonts w:ascii="宋体" w:hAnsi="宋体" w:cs="宋体"/>
          <w:sz w:val="24"/>
        </w:rPr>
      </w:pPr>
      <w:r>
        <w:rPr>
          <w:rFonts w:hint="eastAsia" w:ascii="宋体" w:hAnsi="宋体" w:cs="宋体"/>
          <w:sz w:val="24"/>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spacing w:line="560" w:lineRule="exact"/>
        <w:ind w:firstLine="482" w:firstLineChars="200"/>
        <w:rPr>
          <w:rFonts w:ascii="宋体" w:hAnsi="宋体" w:cs="宋体"/>
          <w:b/>
          <w:sz w:val="24"/>
          <w:szCs w:val="24"/>
        </w:rPr>
      </w:pPr>
      <w:bookmarkStart w:id="351" w:name="_Toc487900351"/>
      <w:bookmarkStart w:id="352" w:name="_Toc9829"/>
      <w:bookmarkStart w:id="353" w:name="_Toc279701242"/>
      <w:bookmarkStart w:id="354" w:name="_Toc259093671"/>
      <w:bookmarkStart w:id="355" w:name="_Toc27853"/>
      <w:bookmarkStart w:id="356" w:name="_Toc31634"/>
      <w:r>
        <w:rPr>
          <w:rFonts w:hint="eastAsia" w:ascii="宋体" w:hAnsi="宋体" w:cs="宋体"/>
          <w:b/>
          <w:sz w:val="24"/>
          <w:szCs w:val="24"/>
        </w:rPr>
        <w:t>2.3 知识产权</w:t>
      </w:r>
      <w:bookmarkEnd w:id="351"/>
      <w:bookmarkEnd w:id="352"/>
      <w:bookmarkEnd w:id="353"/>
      <w:bookmarkEnd w:id="354"/>
      <w:bookmarkEnd w:id="355"/>
      <w:bookmarkEnd w:id="356"/>
    </w:p>
    <w:p>
      <w:pPr>
        <w:spacing w:line="560" w:lineRule="exact"/>
        <w:ind w:firstLine="480" w:firstLineChars="200"/>
        <w:rPr>
          <w:rFonts w:ascii="宋体" w:hAnsi="宋体" w:cs="宋体"/>
          <w:sz w:val="24"/>
        </w:rPr>
      </w:pPr>
      <w:r>
        <w:rPr>
          <w:rFonts w:hint="eastAsia" w:ascii="宋体" w:hAnsi="宋体" w:cs="宋体"/>
          <w:sz w:val="24"/>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pPr>
        <w:spacing w:line="560" w:lineRule="exact"/>
        <w:ind w:firstLine="480" w:firstLineChars="200"/>
        <w:rPr>
          <w:rFonts w:ascii="宋体" w:hAnsi="宋体" w:cs="宋体"/>
          <w:sz w:val="24"/>
        </w:rPr>
      </w:pPr>
      <w:r>
        <w:rPr>
          <w:rFonts w:hint="eastAsia" w:ascii="宋体" w:hAnsi="宋体" w:cs="宋体"/>
          <w:sz w:val="24"/>
        </w:rPr>
        <w:t>2.3.2具有知识产权的计算机软件等货物的知识产权归属，详见</w:t>
      </w:r>
      <w:r>
        <w:rPr>
          <w:rFonts w:hint="eastAsia" w:ascii="宋体" w:hAnsi="宋体" w:cs="宋体"/>
          <w:b/>
          <w:sz w:val="24"/>
          <w:u w:val="single"/>
        </w:rPr>
        <w:t>合同专用条款</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57" w:name="_Toc29149"/>
      <w:bookmarkStart w:id="358" w:name="_Toc11932"/>
      <w:bookmarkStart w:id="359" w:name="_Toc4194"/>
      <w:r>
        <w:rPr>
          <w:rFonts w:hint="eastAsia" w:ascii="宋体" w:hAnsi="宋体" w:cs="宋体"/>
          <w:b/>
          <w:sz w:val="24"/>
          <w:szCs w:val="24"/>
        </w:rPr>
        <w:t>2.4 包装和装运</w:t>
      </w:r>
      <w:bookmarkEnd w:id="357"/>
      <w:bookmarkEnd w:id="358"/>
      <w:bookmarkEnd w:id="359"/>
    </w:p>
    <w:p>
      <w:pPr>
        <w:spacing w:line="560" w:lineRule="exact"/>
        <w:ind w:firstLine="480" w:firstLineChars="200"/>
        <w:rPr>
          <w:rFonts w:ascii="宋体" w:hAnsi="宋体" w:cs="宋体"/>
          <w:sz w:val="24"/>
        </w:rPr>
      </w:pPr>
      <w:r>
        <w:rPr>
          <w:rFonts w:hint="eastAsia" w:ascii="宋体" w:hAnsi="宋体" w:cs="宋体"/>
          <w:sz w:val="24"/>
        </w:rPr>
        <w:t>2.4.1除</w:t>
      </w:r>
      <w:r>
        <w:rPr>
          <w:rFonts w:hint="eastAsia" w:ascii="宋体" w:hAnsi="宋体" w:cs="宋体"/>
          <w:b/>
          <w:sz w:val="24"/>
          <w:u w:val="single"/>
        </w:rPr>
        <w:t>合同专用条款</w:t>
      </w:r>
      <w:r>
        <w:rPr>
          <w:rFonts w:hint="eastAsia" w:ascii="宋体" w:hAnsi="宋体" w:cs="宋体"/>
          <w:sz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pPr>
        <w:spacing w:line="560" w:lineRule="exact"/>
        <w:ind w:firstLine="480" w:firstLineChars="200"/>
        <w:rPr>
          <w:rFonts w:ascii="宋体" w:hAnsi="宋体" w:cs="宋体"/>
          <w:sz w:val="24"/>
        </w:rPr>
      </w:pPr>
      <w:r>
        <w:rPr>
          <w:rFonts w:hint="eastAsia" w:ascii="宋体" w:hAnsi="宋体" w:cs="宋体"/>
          <w:sz w:val="24"/>
        </w:rPr>
        <w:t>2.4.2 装运货物的要求和通知，详见</w:t>
      </w:r>
      <w:r>
        <w:rPr>
          <w:rFonts w:hint="eastAsia" w:ascii="宋体" w:hAnsi="宋体" w:cs="宋体"/>
          <w:b/>
          <w:sz w:val="24"/>
          <w:u w:val="single"/>
        </w:rPr>
        <w:t>合同专用条款</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60" w:name="_Ref467378591"/>
      <w:bookmarkStart w:id="361" w:name="_Ref467379536"/>
      <w:bookmarkStart w:id="362" w:name="_Toc487900354"/>
      <w:bookmarkStart w:id="363" w:name="_Toc259093674"/>
      <w:bookmarkStart w:id="364" w:name="_Ref467379542"/>
      <w:bookmarkStart w:id="365" w:name="_Ref467379527"/>
      <w:bookmarkStart w:id="366" w:name="_Ref467378541"/>
      <w:bookmarkStart w:id="367" w:name="_Toc279701245"/>
      <w:bookmarkStart w:id="368" w:name="_Toc26182"/>
      <w:bookmarkStart w:id="369" w:name="_Toc19074"/>
      <w:bookmarkStart w:id="370" w:name="_Toc30272"/>
      <w:r>
        <w:rPr>
          <w:rFonts w:hint="eastAsia" w:ascii="宋体" w:hAnsi="宋体" w:cs="宋体"/>
          <w:b/>
          <w:sz w:val="24"/>
          <w:szCs w:val="24"/>
        </w:rPr>
        <w:t>2.</w:t>
      </w:r>
      <w:bookmarkEnd w:id="360"/>
      <w:bookmarkEnd w:id="361"/>
      <w:bookmarkEnd w:id="362"/>
      <w:bookmarkEnd w:id="363"/>
      <w:bookmarkEnd w:id="364"/>
      <w:bookmarkEnd w:id="365"/>
      <w:bookmarkEnd w:id="366"/>
      <w:bookmarkEnd w:id="367"/>
      <w:r>
        <w:rPr>
          <w:rFonts w:hint="eastAsia" w:ascii="宋体" w:hAnsi="宋体" w:cs="宋体"/>
          <w:b/>
          <w:sz w:val="24"/>
          <w:szCs w:val="24"/>
        </w:rPr>
        <w:t>5 履约检查和问题反馈</w:t>
      </w:r>
      <w:bookmarkEnd w:id="368"/>
      <w:bookmarkEnd w:id="369"/>
      <w:bookmarkEnd w:id="370"/>
    </w:p>
    <w:p>
      <w:pPr>
        <w:spacing w:line="560" w:lineRule="exact"/>
        <w:ind w:firstLine="480" w:firstLineChars="200"/>
        <w:rPr>
          <w:rFonts w:ascii="宋体" w:hAnsi="宋体" w:cs="宋体"/>
          <w:sz w:val="24"/>
        </w:rPr>
      </w:pPr>
      <w:bookmarkStart w:id="371" w:name="_Ref467379657"/>
      <w:r>
        <w:rPr>
          <w:rFonts w:hint="eastAsia" w:ascii="宋体" w:hAnsi="宋体" w:cs="宋体"/>
          <w:sz w:val="24"/>
        </w:rPr>
        <w:t>2.5.1</w:t>
      </w:r>
      <w:bookmarkEnd w:id="371"/>
      <w:bookmarkStart w:id="372" w:name="_Toc186431854"/>
      <w:bookmarkStart w:id="373" w:name="_Ref467379793"/>
      <w:bookmarkStart w:id="374" w:name="_Toc259093676"/>
      <w:bookmarkStart w:id="375" w:name="_Toc279701247"/>
      <w:bookmarkStart w:id="376" w:name="_Ref467379807"/>
      <w:bookmarkStart w:id="377" w:name="_Toc487900357"/>
      <w:r>
        <w:rPr>
          <w:rFonts w:hint="eastAsia" w:ascii="宋体" w:hAnsi="宋体" w:cs="宋体"/>
          <w:sz w:val="24"/>
        </w:rPr>
        <w:t>甲方有权在其认为必要时，对乙方是否能够按照合同约定交付货物进行履约检查，以确保乙方所交付的货物能够依约满足甲方之项目需求，但不得因履约检查妨碍乙方的正常工作，乙方应予积极配合；</w:t>
      </w:r>
    </w:p>
    <w:p>
      <w:pPr>
        <w:spacing w:line="560" w:lineRule="exact"/>
        <w:ind w:firstLine="480" w:firstLineChars="200"/>
        <w:rPr>
          <w:rFonts w:ascii="宋体" w:hAnsi="宋体" w:cs="宋体"/>
          <w:sz w:val="24"/>
        </w:rPr>
      </w:pPr>
      <w:r>
        <w:rPr>
          <w:rFonts w:hint="eastAsia" w:ascii="宋体" w:hAnsi="宋体" w:cs="宋体"/>
          <w:sz w:val="24"/>
        </w:rPr>
        <w:t>2.5.2 合同履行期间，甲方有权将履行过程中出现的问题反馈给乙方，双方当事人应以书面形式约定需要完善和改进的内容</w:t>
      </w:r>
      <w:bookmarkEnd w:id="372"/>
      <w:bookmarkStart w:id="378" w:name="_Toc186431855"/>
      <w:r>
        <w:rPr>
          <w:rFonts w:hint="eastAsia" w:ascii="宋体" w:hAnsi="宋体" w:cs="宋体"/>
          <w:sz w:val="24"/>
        </w:rPr>
        <w:t>。</w:t>
      </w:r>
    </w:p>
    <w:bookmarkEnd w:id="378"/>
    <w:p>
      <w:pPr>
        <w:spacing w:line="560" w:lineRule="exact"/>
        <w:ind w:firstLine="482" w:firstLineChars="200"/>
        <w:rPr>
          <w:rFonts w:ascii="宋体" w:hAnsi="宋体" w:cs="宋体"/>
          <w:b/>
          <w:sz w:val="24"/>
          <w:szCs w:val="24"/>
        </w:rPr>
      </w:pPr>
      <w:bookmarkStart w:id="379" w:name="_Toc28451"/>
      <w:bookmarkStart w:id="380" w:name="_Toc19219"/>
      <w:bookmarkStart w:id="381" w:name="_Toc7836"/>
      <w:r>
        <w:rPr>
          <w:rFonts w:hint="eastAsia" w:ascii="宋体" w:hAnsi="宋体" w:cs="宋体"/>
          <w:b/>
          <w:sz w:val="24"/>
          <w:szCs w:val="24"/>
        </w:rPr>
        <w:t>2.6 结算方式和付款条件</w:t>
      </w:r>
      <w:bookmarkEnd w:id="373"/>
      <w:bookmarkEnd w:id="374"/>
      <w:bookmarkEnd w:id="375"/>
      <w:bookmarkEnd w:id="376"/>
      <w:bookmarkEnd w:id="377"/>
      <w:bookmarkEnd w:id="379"/>
      <w:bookmarkEnd w:id="380"/>
      <w:bookmarkEnd w:id="381"/>
    </w:p>
    <w:p>
      <w:pPr>
        <w:spacing w:line="560" w:lineRule="exact"/>
        <w:ind w:firstLine="480" w:firstLineChars="200"/>
        <w:rPr>
          <w:rFonts w:ascii="宋体" w:hAnsi="宋体" w:cs="宋体"/>
          <w:sz w:val="24"/>
        </w:rPr>
      </w:pPr>
      <w:bookmarkStart w:id="382" w:name="_Toc279701248"/>
      <w:bookmarkStart w:id="383" w:name="_Toc259093677"/>
      <w:bookmarkStart w:id="384" w:name="_Toc487900358"/>
      <w:bookmarkStart w:id="385" w:name="_Ref467379852"/>
      <w:bookmarkStart w:id="386" w:name="_Ref467379863"/>
      <w:bookmarkStart w:id="387" w:name="_Ref467379923"/>
      <w:bookmarkStart w:id="388" w:name="_Toc16110"/>
      <w:bookmarkStart w:id="389" w:name="_Toc774"/>
      <w:bookmarkStart w:id="390" w:name="_Toc3225"/>
      <w:r>
        <w:rPr>
          <w:rFonts w:hint="eastAsia" w:ascii="宋体" w:hAnsi="宋体" w:cs="宋体"/>
          <w:sz w:val="24"/>
        </w:rPr>
        <w:t>结算方式：详见</w:t>
      </w:r>
      <w:r>
        <w:rPr>
          <w:rFonts w:hint="eastAsia" w:ascii="宋体" w:hAnsi="宋体" w:cs="宋体"/>
          <w:sz w:val="24"/>
          <w:u w:val="single"/>
        </w:rPr>
        <w:t>第一部分 合同书 1.4</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付款条件：</w:t>
      </w:r>
      <w:r>
        <w:rPr>
          <w:rFonts w:hint="eastAsia" w:ascii="宋体" w:hAnsi="宋体" w:cs="宋体"/>
          <w:sz w:val="24"/>
          <w:u w:val="single"/>
        </w:rPr>
        <w:t>根据甲方要求提供发票等付款证明材料后，甲方在收到完整的付款材料后  个工作日内完成付款</w:t>
      </w:r>
      <w:r>
        <w:rPr>
          <w:rFonts w:hint="eastAsia" w:ascii="宋体" w:hAnsi="宋体" w:cs="宋体"/>
          <w:sz w:val="24"/>
        </w:rPr>
        <w:t>。</w:t>
      </w:r>
    </w:p>
    <w:p>
      <w:pPr>
        <w:spacing w:line="560" w:lineRule="exact"/>
        <w:ind w:firstLine="482" w:firstLineChars="200"/>
        <w:rPr>
          <w:rFonts w:ascii="宋体" w:hAnsi="宋体" w:cs="宋体"/>
          <w:b/>
          <w:sz w:val="24"/>
          <w:szCs w:val="24"/>
        </w:rPr>
      </w:pPr>
      <w:r>
        <w:rPr>
          <w:rFonts w:hint="eastAsia" w:ascii="宋体" w:hAnsi="宋体" w:cs="宋体"/>
          <w:b/>
          <w:sz w:val="24"/>
          <w:szCs w:val="24"/>
        </w:rPr>
        <w:t>2.7 技术资料</w:t>
      </w:r>
      <w:bookmarkEnd w:id="382"/>
      <w:bookmarkEnd w:id="383"/>
      <w:bookmarkEnd w:id="384"/>
      <w:bookmarkEnd w:id="385"/>
      <w:bookmarkEnd w:id="386"/>
      <w:bookmarkEnd w:id="387"/>
      <w:r>
        <w:rPr>
          <w:rFonts w:hint="eastAsia" w:ascii="宋体" w:hAnsi="宋体" w:cs="宋体"/>
          <w:b/>
          <w:sz w:val="24"/>
          <w:szCs w:val="24"/>
        </w:rPr>
        <w:t>和保密义务</w:t>
      </w:r>
      <w:bookmarkEnd w:id="388"/>
      <w:bookmarkEnd w:id="389"/>
      <w:bookmarkEnd w:id="390"/>
    </w:p>
    <w:p>
      <w:pPr>
        <w:spacing w:line="560" w:lineRule="exact"/>
        <w:ind w:firstLine="480" w:firstLineChars="200"/>
        <w:rPr>
          <w:rFonts w:ascii="宋体" w:hAnsi="宋体" w:cs="宋体"/>
          <w:sz w:val="24"/>
        </w:rPr>
      </w:pPr>
      <w:r>
        <w:rPr>
          <w:rFonts w:hint="eastAsia" w:ascii="宋体" w:hAnsi="宋体" w:cs="宋体"/>
          <w:sz w:val="24"/>
        </w:rPr>
        <w:t>2.7.1 乙方有权依据合同约定和项目需要，向甲方了解有关情况，调阅有关资料等，甲方应予积极配合；</w:t>
      </w:r>
    </w:p>
    <w:p>
      <w:pPr>
        <w:spacing w:line="560" w:lineRule="exact"/>
        <w:ind w:firstLine="480" w:firstLineChars="200"/>
        <w:rPr>
          <w:rFonts w:ascii="宋体" w:hAnsi="宋体" w:cs="宋体"/>
          <w:sz w:val="24"/>
        </w:rPr>
      </w:pPr>
      <w:r>
        <w:rPr>
          <w:rFonts w:hint="eastAsia" w:ascii="宋体" w:hAnsi="宋体" w:cs="宋体"/>
          <w:sz w:val="24"/>
        </w:rPr>
        <w:t>2.7.2 乙方有义务妥善保管和保护由甲方提供的前款信息和资料等；</w:t>
      </w:r>
    </w:p>
    <w:p>
      <w:pPr>
        <w:spacing w:line="560" w:lineRule="exact"/>
        <w:ind w:firstLine="480" w:firstLineChars="200"/>
        <w:rPr>
          <w:rFonts w:ascii="宋体" w:hAnsi="宋体" w:cs="宋体"/>
          <w:sz w:val="24"/>
        </w:rPr>
      </w:pPr>
      <w:r>
        <w:rPr>
          <w:rFonts w:hint="eastAsia" w:ascii="宋体" w:hAnsi="宋体" w:cs="宋体"/>
          <w:sz w:val="24"/>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2" w:firstLineChars="200"/>
        <w:rPr>
          <w:rFonts w:ascii="宋体" w:hAnsi="宋体" w:cs="宋体"/>
          <w:b/>
          <w:sz w:val="24"/>
          <w:szCs w:val="24"/>
        </w:rPr>
      </w:pPr>
      <w:bookmarkStart w:id="391" w:name="_Toc7860"/>
      <w:r>
        <w:rPr>
          <w:rFonts w:hint="eastAsia" w:ascii="宋体" w:hAnsi="宋体" w:cs="宋体"/>
          <w:b/>
          <w:sz w:val="24"/>
          <w:szCs w:val="24"/>
        </w:rPr>
        <w:t>2.8 质量保证</w:t>
      </w:r>
      <w:bookmarkEnd w:id="391"/>
    </w:p>
    <w:p>
      <w:pPr>
        <w:spacing w:line="560" w:lineRule="exact"/>
        <w:ind w:firstLine="480" w:firstLineChars="200"/>
        <w:rPr>
          <w:rFonts w:ascii="宋体" w:hAnsi="宋体" w:cs="宋体"/>
          <w:sz w:val="24"/>
        </w:rPr>
      </w:pPr>
      <w:r>
        <w:rPr>
          <w:rFonts w:hint="eastAsia" w:ascii="宋体" w:hAnsi="宋体" w:cs="宋体"/>
          <w:sz w:val="24"/>
        </w:rPr>
        <w:t>2.8.1 乙方应建立和完善履行合同的内部质量保证体系，并提供相关内部规章制度给甲方，以便甲方进行监督检查；</w:t>
      </w:r>
    </w:p>
    <w:p>
      <w:pPr>
        <w:spacing w:line="560" w:lineRule="exact"/>
        <w:ind w:firstLine="480" w:firstLineChars="200"/>
        <w:rPr>
          <w:rFonts w:ascii="宋体" w:hAnsi="宋体" w:cs="宋体"/>
          <w:sz w:val="24"/>
        </w:rPr>
      </w:pPr>
      <w:r>
        <w:rPr>
          <w:rFonts w:hint="eastAsia" w:ascii="宋体" w:hAnsi="宋体" w:cs="宋体"/>
          <w:sz w:val="24"/>
        </w:rPr>
        <w:t>2.8.2 乙方应保证履行合同的人员数量和素质、软件和硬件设备的配置、场地、环境和设施等满足全面履行合同的要求，并应接受甲方的监督检查。</w:t>
      </w:r>
    </w:p>
    <w:p>
      <w:pPr>
        <w:spacing w:line="560" w:lineRule="exact"/>
        <w:ind w:firstLine="482" w:firstLineChars="200"/>
        <w:rPr>
          <w:rFonts w:ascii="宋体" w:hAnsi="宋体" w:cs="宋体"/>
          <w:b/>
          <w:sz w:val="24"/>
          <w:szCs w:val="24"/>
        </w:rPr>
      </w:pPr>
      <w:bookmarkStart w:id="392" w:name="_Toc17244"/>
      <w:bookmarkStart w:id="393" w:name="_Toc487900362"/>
      <w:bookmarkStart w:id="394" w:name="_Toc259093681"/>
      <w:bookmarkStart w:id="395" w:name="_Toc279701252"/>
      <w:r>
        <w:rPr>
          <w:rFonts w:hint="eastAsia" w:ascii="宋体" w:hAnsi="宋体" w:cs="宋体"/>
          <w:b/>
          <w:sz w:val="24"/>
          <w:szCs w:val="24"/>
        </w:rPr>
        <w:t>2.9 货物的风险负担</w:t>
      </w:r>
      <w:bookmarkEnd w:id="392"/>
    </w:p>
    <w:p>
      <w:pPr>
        <w:spacing w:line="560" w:lineRule="exact"/>
        <w:ind w:firstLine="480" w:firstLineChars="200"/>
        <w:rPr>
          <w:rFonts w:ascii="宋体" w:hAnsi="宋体" w:cs="宋体"/>
          <w:b/>
          <w:sz w:val="24"/>
        </w:rPr>
      </w:pPr>
      <w:r>
        <w:rPr>
          <w:rFonts w:hint="eastAsia" w:ascii="宋体" w:hAnsi="宋体" w:cs="宋体"/>
          <w:sz w:val="24"/>
        </w:rPr>
        <w:t>货物或者在途货物或者交付给第一承运人后的货物毁损、灭失的风险负担详见</w:t>
      </w:r>
      <w:r>
        <w:rPr>
          <w:rFonts w:hint="eastAsia" w:ascii="宋体" w:hAnsi="宋体" w:cs="宋体"/>
          <w:b/>
          <w:sz w:val="24"/>
          <w:u w:val="single"/>
        </w:rPr>
        <w:t>合同专用条款</w:t>
      </w:r>
      <w:r>
        <w:rPr>
          <w:rFonts w:hint="eastAsia" w:ascii="宋体" w:hAnsi="宋体" w:cs="宋体"/>
          <w:sz w:val="24"/>
        </w:rPr>
        <w:t>。</w:t>
      </w:r>
    </w:p>
    <w:p>
      <w:pPr>
        <w:spacing w:line="560" w:lineRule="exact"/>
        <w:ind w:firstLine="482" w:firstLineChars="200"/>
        <w:rPr>
          <w:rFonts w:ascii="宋体" w:hAnsi="宋体" w:cs="宋体"/>
          <w:b/>
          <w:sz w:val="24"/>
          <w:szCs w:val="24"/>
        </w:rPr>
      </w:pPr>
      <w:bookmarkStart w:id="396" w:name="_Toc14055"/>
      <w:r>
        <w:rPr>
          <w:rFonts w:hint="eastAsia" w:ascii="宋体" w:hAnsi="宋体" w:cs="宋体"/>
          <w:b/>
          <w:sz w:val="24"/>
          <w:szCs w:val="24"/>
        </w:rPr>
        <w:t>2.10 延迟交货</w:t>
      </w:r>
      <w:bookmarkEnd w:id="393"/>
      <w:bookmarkEnd w:id="394"/>
      <w:bookmarkEnd w:id="395"/>
      <w:bookmarkEnd w:id="396"/>
    </w:p>
    <w:p>
      <w:pPr>
        <w:spacing w:line="560" w:lineRule="exact"/>
        <w:ind w:firstLine="480" w:firstLineChars="200"/>
        <w:rPr>
          <w:rFonts w:ascii="宋体" w:hAnsi="宋体" w:cs="宋体"/>
          <w:sz w:val="24"/>
        </w:rPr>
      </w:pPr>
      <w:r>
        <w:rPr>
          <w:rFonts w:hint="eastAsia" w:ascii="宋体" w:hAnsi="宋体" w:cs="宋体"/>
          <w:sz w:val="24"/>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pPr>
        <w:spacing w:line="560" w:lineRule="exact"/>
        <w:ind w:firstLine="482" w:firstLineChars="200"/>
        <w:rPr>
          <w:rFonts w:ascii="宋体" w:hAnsi="宋体" w:cs="宋体"/>
          <w:b/>
          <w:sz w:val="24"/>
          <w:szCs w:val="24"/>
        </w:rPr>
      </w:pPr>
      <w:bookmarkStart w:id="397" w:name="_Toc7502"/>
      <w:bookmarkStart w:id="398" w:name="_Toc279701254"/>
      <w:bookmarkStart w:id="399" w:name="_Ref467378121"/>
      <w:bookmarkStart w:id="400" w:name="_Toc487900364"/>
      <w:bookmarkStart w:id="401" w:name="_Toc259093683"/>
      <w:r>
        <w:rPr>
          <w:rFonts w:hint="eastAsia" w:ascii="宋体" w:hAnsi="宋体" w:cs="宋体"/>
          <w:b/>
          <w:sz w:val="24"/>
          <w:szCs w:val="24"/>
        </w:rPr>
        <w:t>2.11 合同变更</w:t>
      </w:r>
      <w:bookmarkEnd w:id="397"/>
    </w:p>
    <w:p>
      <w:pPr>
        <w:spacing w:line="560" w:lineRule="exact"/>
        <w:ind w:firstLine="480" w:firstLineChars="200"/>
        <w:rPr>
          <w:rFonts w:ascii="宋体" w:hAnsi="宋体" w:cs="宋体"/>
          <w:sz w:val="24"/>
        </w:rPr>
      </w:pPr>
      <w:r>
        <w:rPr>
          <w:rFonts w:hint="eastAsia" w:ascii="宋体" w:hAnsi="宋体" w:cs="宋体"/>
          <w:sz w:val="24"/>
        </w:rPr>
        <w:t>2.11.1双方当事人协商一致，可以签订书面补充合同的形式变更合同，但不得违背采购文件确定的事项，且如果系追加与合同标的相同的货物的，那么所有补充合同的采购金额不得超过原合同价的10%；</w:t>
      </w:r>
    </w:p>
    <w:p>
      <w:pPr>
        <w:spacing w:line="560" w:lineRule="exact"/>
        <w:ind w:firstLine="480" w:firstLineChars="200"/>
        <w:rPr>
          <w:rFonts w:ascii="宋体" w:hAnsi="宋体" w:cs="宋体"/>
          <w:sz w:val="24"/>
        </w:rPr>
      </w:pPr>
      <w:r>
        <w:rPr>
          <w:rFonts w:hint="eastAsia" w:ascii="宋体" w:hAnsi="宋体" w:cs="宋体"/>
          <w:sz w:val="24"/>
        </w:rPr>
        <w:t>2.11.2 合同继续履行将损害国家利益和社会公共利益的，双方当事人应当以书面形式变更合同。有过错的一方应当承担赔偿责任，双方当事人都有过错的，各自承担相应的责任。</w:t>
      </w:r>
      <w:bookmarkStart w:id="402" w:name="_Toc487900369"/>
      <w:bookmarkStart w:id="403" w:name="_Toc259093688"/>
      <w:bookmarkStart w:id="404" w:name="_Toc279701259"/>
    </w:p>
    <w:p>
      <w:pPr>
        <w:spacing w:line="560" w:lineRule="exact"/>
        <w:ind w:firstLine="482" w:firstLineChars="200"/>
        <w:rPr>
          <w:rFonts w:ascii="宋体" w:hAnsi="宋体" w:cs="宋体"/>
          <w:b/>
          <w:sz w:val="24"/>
          <w:szCs w:val="24"/>
        </w:rPr>
      </w:pPr>
      <w:bookmarkStart w:id="405" w:name="_Toc22955"/>
      <w:bookmarkStart w:id="406" w:name="_Toc15237"/>
      <w:bookmarkStart w:id="407" w:name="_Toc10366"/>
      <w:r>
        <w:rPr>
          <w:rFonts w:hint="eastAsia" w:ascii="宋体" w:hAnsi="宋体" w:cs="宋体"/>
          <w:b/>
          <w:sz w:val="24"/>
          <w:szCs w:val="24"/>
        </w:rPr>
        <w:t>2.12 合同转让</w:t>
      </w:r>
      <w:bookmarkEnd w:id="402"/>
      <w:bookmarkEnd w:id="403"/>
      <w:bookmarkEnd w:id="404"/>
      <w:r>
        <w:rPr>
          <w:rFonts w:hint="eastAsia" w:ascii="宋体" w:hAnsi="宋体" w:cs="宋体"/>
          <w:b/>
          <w:sz w:val="24"/>
          <w:szCs w:val="24"/>
        </w:rPr>
        <w:t>和分包</w:t>
      </w:r>
      <w:bookmarkEnd w:id="405"/>
      <w:bookmarkEnd w:id="406"/>
      <w:bookmarkEnd w:id="407"/>
    </w:p>
    <w:p>
      <w:pPr>
        <w:spacing w:line="560" w:lineRule="exact"/>
        <w:ind w:firstLine="480" w:firstLineChars="200"/>
        <w:rPr>
          <w:rFonts w:ascii="宋体" w:hAnsi="宋体" w:cs="宋体"/>
          <w:sz w:val="24"/>
        </w:rPr>
      </w:pPr>
      <w:r>
        <w:rPr>
          <w:rFonts w:hint="eastAsia" w:ascii="宋体" w:hAnsi="宋体" w:cs="宋体"/>
          <w:sz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560" w:lineRule="exact"/>
        <w:ind w:firstLine="482" w:firstLineChars="200"/>
        <w:rPr>
          <w:rFonts w:ascii="宋体" w:hAnsi="宋体" w:cs="宋体"/>
          <w:b/>
          <w:sz w:val="24"/>
          <w:szCs w:val="24"/>
        </w:rPr>
      </w:pPr>
      <w:bookmarkStart w:id="408" w:name="_Toc16508"/>
      <w:bookmarkStart w:id="409" w:name="_Toc13566"/>
      <w:bookmarkStart w:id="410" w:name="_Toc14066"/>
      <w:r>
        <w:rPr>
          <w:rFonts w:hint="eastAsia" w:ascii="宋体" w:hAnsi="宋体" w:cs="宋体"/>
          <w:b/>
          <w:sz w:val="24"/>
          <w:szCs w:val="24"/>
        </w:rPr>
        <w:t>2.13 不可抗力</w:t>
      </w:r>
      <w:bookmarkEnd w:id="408"/>
      <w:bookmarkEnd w:id="409"/>
      <w:bookmarkEnd w:id="410"/>
    </w:p>
    <w:p>
      <w:pPr>
        <w:spacing w:line="560" w:lineRule="exact"/>
        <w:ind w:firstLine="480" w:firstLineChars="200"/>
        <w:rPr>
          <w:rFonts w:ascii="宋体" w:hAnsi="宋体" w:cs="宋体"/>
          <w:sz w:val="24"/>
        </w:rPr>
      </w:pPr>
      <w:r>
        <w:rPr>
          <w:rFonts w:hint="eastAsia" w:ascii="宋体" w:hAnsi="宋体" w:cs="宋体"/>
          <w:sz w:val="24"/>
        </w:rPr>
        <w:t>2.13.1如果任何一方遭遇法律规定的不可抗力，致使合同履行受阻时，履行合同的期限应予延长，延长的期限应相当于不可抗力所影响的时间；</w:t>
      </w:r>
    </w:p>
    <w:p>
      <w:pPr>
        <w:spacing w:line="560" w:lineRule="exact"/>
        <w:ind w:firstLine="480" w:firstLineChars="200"/>
        <w:rPr>
          <w:rFonts w:ascii="宋体" w:hAnsi="宋体" w:cs="宋体"/>
          <w:sz w:val="24"/>
        </w:rPr>
      </w:pPr>
      <w:r>
        <w:rPr>
          <w:rFonts w:hint="eastAsia" w:ascii="宋体" w:hAnsi="宋体" w:cs="宋体"/>
          <w:sz w:val="24"/>
        </w:rPr>
        <w:t>2.13.2 因不可抗力致使不能实现合同目的的，当事人可以解除合同；</w:t>
      </w:r>
    </w:p>
    <w:p>
      <w:pPr>
        <w:spacing w:line="560" w:lineRule="exact"/>
        <w:ind w:firstLine="480" w:firstLineChars="200"/>
        <w:rPr>
          <w:rFonts w:ascii="宋体" w:hAnsi="宋体" w:cs="宋体"/>
          <w:sz w:val="24"/>
        </w:rPr>
      </w:pPr>
      <w:r>
        <w:rPr>
          <w:rFonts w:hint="eastAsia" w:ascii="宋体" w:hAnsi="宋体" w:cs="宋体"/>
          <w:sz w:val="24"/>
        </w:rPr>
        <w:t>2.13.3 因不可抗力致使合同有变更必要的，双方当事人应在</w:t>
      </w:r>
      <w:r>
        <w:rPr>
          <w:rFonts w:hint="eastAsia" w:ascii="宋体" w:hAnsi="宋体" w:cs="宋体"/>
          <w:b/>
          <w:sz w:val="24"/>
          <w:u w:val="single"/>
        </w:rPr>
        <w:t>合同专用条款</w:t>
      </w:r>
      <w:r>
        <w:rPr>
          <w:rFonts w:hint="eastAsia" w:ascii="宋体" w:hAnsi="宋体" w:cs="宋体"/>
          <w:sz w:val="24"/>
        </w:rPr>
        <w:t>约定时间内以书面形式变更合同；</w:t>
      </w:r>
    </w:p>
    <w:p>
      <w:pPr>
        <w:spacing w:line="560" w:lineRule="exact"/>
        <w:ind w:firstLine="480" w:firstLineChars="200"/>
        <w:rPr>
          <w:rFonts w:ascii="宋体" w:hAnsi="宋体" w:cs="宋体"/>
          <w:sz w:val="24"/>
        </w:rPr>
      </w:pPr>
      <w:r>
        <w:rPr>
          <w:rFonts w:hint="eastAsia" w:ascii="宋体" w:hAnsi="宋体" w:cs="宋体"/>
          <w:sz w:val="24"/>
        </w:rPr>
        <w:t>2.13.4受不可抗力影响的一方在不可抗力发生后，应在</w:t>
      </w:r>
      <w:r>
        <w:rPr>
          <w:rFonts w:hint="eastAsia" w:ascii="宋体" w:hAnsi="宋体" w:cs="宋体"/>
          <w:b/>
          <w:sz w:val="24"/>
          <w:u w:val="single"/>
        </w:rPr>
        <w:t>合同专用条款</w:t>
      </w:r>
      <w:r>
        <w:rPr>
          <w:rFonts w:hint="eastAsia" w:ascii="宋体" w:hAnsi="宋体" w:cs="宋体"/>
          <w:sz w:val="24"/>
        </w:rPr>
        <w:t>约定时间内以书面形式通知对方当事人，并在</w:t>
      </w:r>
      <w:r>
        <w:rPr>
          <w:rFonts w:hint="eastAsia" w:ascii="宋体" w:hAnsi="宋体" w:cs="宋体"/>
          <w:b/>
          <w:sz w:val="24"/>
          <w:u w:val="single"/>
        </w:rPr>
        <w:t>合同专用条款</w:t>
      </w:r>
      <w:r>
        <w:rPr>
          <w:rFonts w:hint="eastAsia" w:ascii="宋体" w:hAnsi="宋体" w:cs="宋体"/>
          <w:sz w:val="24"/>
        </w:rPr>
        <w:t>约定时间内，将有关部门出具的证明文件送达对方当事人。</w:t>
      </w:r>
    </w:p>
    <w:p>
      <w:pPr>
        <w:spacing w:line="560" w:lineRule="exact"/>
        <w:ind w:firstLine="482" w:firstLineChars="200"/>
        <w:rPr>
          <w:rFonts w:ascii="宋体" w:hAnsi="宋体" w:cs="宋体"/>
          <w:b/>
          <w:sz w:val="24"/>
          <w:szCs w:val="24"/>
        </w:rPr>
      </w:pPr>
      <w:bookmarkStart w:id="411" w:name="_Toc259093684"/>
      <w:bookmarkStart w:id="412" w:name="_Toc279701255"/>
      <w:bookmarkStart w:id="413" w:name="_Toc487900365"/>
      <w:bookmarkStart w:id="414" w:name="_Toc30676"/>
      <w:bookmarkStart w:id="415" w:name="_Toc6969"/>
      <w:bookmarkStart w:id="416" w:name="_Toc689"/>
      <w:r>
        <w:rPr>
          <w:rFonts w:hint="eastAsia" w:ascii="宋体" w:hAnsi="宋体" w:cs="宋体"/>
          <w:b/>
          <w:sz w:val="24"/>
          <w:szCs w:val="24"/>
        </w:rPr>
        <w:t>2.14 税费</w:t>
      </w:r>
      <w:bookmarkEnd w:id="411"/>
      <w:bookmarkEnd w:id="412"/>
      <w:bookmarkEnd w:id="413"/>
      <w:bookmarkEnd w:id="414"/>
      <w:bookmarkEnd w:id="415"/>
      <w:bookmarkEnd w:id="416"/>
    </w:p>
    <w:p>
      <w:pPr>
        <w:spacing w:line="560" w:lineRule="exact"/>
        <w:ind w:firstLine="480" w:firstLineChars="200"/>
        <w:rPr>
          <w:rFonts w:ascii="宋体" w:hAnsi="宋体" w:cs="宋体"/>
          <w:sz w:val="24"/>
        </w:rPr>
      </w:pPr>
      <w:r>
        <w:rPr>
          <w:rFonts w:hint="eastAsia" w:ascii="宋体" w:hAnsi="宋体" w:cs="宋体"/>
          <w:sz w:val="24"/>
        </w:rPr>
        <w:t>与合同有关的一切税费，均按照中华人民共和国法律的相关规定。</w:t>
      </w:r>
    </w:p>
    <w:p>
      <w:pPr>
        <w:spacing w:line="560" w:lineRule="exact"/>
        <w:ind w:firstLine="482" w:firstLineChars="200"/>
        <w:rPr>
          <w:rFonts w:ascii="宋体" w:hAnsi="宋体" w:cs="宋体"/>
          <w:b/>
          <w:sz w:val="24"/>
          <w:szCs w:val="24"/>
        </w:rPr>
      </w:pPr>
      <w:bookmarkStart w:id="417" w:name="_Toc16959"/>
      <w:bookmarkStart w:id="418" w:name="_Toc487900368"/>
      <w:bookmarkStart w:id="419" w:name="_Toc259093687"/>
      <w:bookmarkStart w:id="420" w:name="_Toc7102"/>
      <w:bookmarkStart w:id="421" w:name="_Toc279701258"/>
      <w:bookmarkStart w:id="422" w:name="_Toc8298"/>
      <w:r>
        <w:rPr>
          <w:rFonts w:hint="eastAsia" w:ascii="宋体" w:hAnsi="宋体" w:cs="宋体"/>
          <w:b/>
          <w:sz w:val="24"/>
          <w:szCs w:val="24"/>
        </w:rPr>
        <w:t>2.15 乙方破产</w:t>
      </w:r>
      <w:bookmarkEnd w:id="417"/>
      <w:bookmarkEnd w:id="418"/>
      <w:bookmarkEnd w:id="419"/>
      <w:bookmarkEnd w:id="420"/>
      <w:bookmarkEnd w:id="421"/>
      <w:bookmarkEnd w:id="422"/>
    </w:p>
    <w:p>
      <w:pPr>
        <w:spacing w:line="560" w:lineRule="exact"/>
        <w:ind w:firstLine="480" w:firstLineChars="200"/>
        <w:rPr>
          <w:rFonts w:ascii="宋体" w:hAnsi="宋体" w:cs="宋体"/>
          <w:sz w:val="24"/>
        </w:rPr>
      </w:pPr>
      <w:r>
        <w:rPr>
          <w:rFonts w:hint="eastAsia" w:ascii="宋体" w:hAnsi="宋体" w:cs="宋体"/>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firstLineChars="200"/>
        <w:rPr>
          <w:rFonts w:ascii="宋体" w:hAnsi="宋体" w:cs="宋体"/>
          <w:b/>
          <w:sz w:val="24"/>
          <w:szCs w:val="24"/>
        </w:rPr>
      </w:pPr>
      <w:bookmarkStart w:id="423" w:name="_Toc15387"/>
      <w:bookmarkStart w:id="424" w:name="_Toc6134"/>
      <w:bookmarkStart w:id="425" w:name="_Toc29333"/>
      <w:r>
        <w:rPr>
          <w:rFonts w:hint="eastAsia" w:ascii="宋体" w:hAnsi="宋体" w:cs="宋体"/>
          <w:b/>
          <w:sz w:val="24"/>
          <w:szCs w:val="24"/>
        </w:rPr>
        <w:t>2.16 合同中止、终止</w:t>
      </w:r>
      <w:bookmarkEnd w:id="423"/>
      <w:bookmarkEnd w:id="424"/>
      <w:bookmarkEnd w:id="425"/>
    </w:p>
    <w:p>
      <w:pPr>
        <w:spacing w:line="560" w:lineRule="exact"/>
        <w:ind w:firstLine="480" w:firstLineChars="200"/>
        <w:rPr>
          <w:rFonts w:ascii="宋体" w:hAnsi="宋体" w:cs="宋体"/>
          <w:sz w:val="24"/>
        </w:rPr>
      </w:pPr>
      <w:r>
        <w:rPr>
          <w:rFonts w:hint="eastAsia" w:ascii="宋体" w:hAnsi="宋体" w:cs="宋体"/>
          <w:sz w:val="24"/>
        </w:rPr>
        <w:t>2.16.1 双方当事人不得擅自中止或者终止合同；</w:t>
      </w:r>
    </w:p>
    <w:p>
      <w:pPr>
        <w:spacing w:line="560" w:lineRule="exact"/>
        <w:ind w:firstLine="480" w:firstLineChars="200"/>
        <w:rPr>
          <w:rFonts w:ascii="宋体" w:hAnsi="宋体" w:cs="宋体"/>
          <w:sz w:val="24"/>
        </w:rPr>
      </w:pPr>
      <w:r>
        <w:rPr>
          <w:rFonts w:hint="eastAsia" w:ascii="宋体" w:hAnsi="宋体" w:cs="宋体"/>
          <w:sz w:val="24"/>
        </w:rPr>
        <w:t>2.16.2合同继续履行将损害国家利益和社会公共利益的，双方当事人应当中止或者终止合同。有过错的一方应当承担赔偿责任，双方当事人都有过错的，各自承担相应的责任。</w:t>
      </w:r>
    </w:p>
    <w:p>
      <w:pPr>
        <w:spacing w:line="560" w:lineRule="exact"/>
        <w:ind w:firstLine="482" w:firstLineChars="200"/>
        <w:rPr>
          <w:rFonts w:ascii="宋体" w:hAnsi="宋体" w:cs="宋体"/>
          <w:b/>
          <w:sz w:val="24"/>
          <w:szCs w:val="24"/>
        </w:rPr>
      </w:pPr>
      <w:bookmarkStart w:id="426" w:name="_Toc1125"/>
      <w:bookmarkStart w:id="427" w:name="_Toc14563"/>
      <w:bookmarkStart w:id="428" w:name="_Toc6596"/>
      <w:r>
        <w:rPr>
          <w:rFonts w:hint="eastAsia" w:ascii="宋体" w:hAnsi="宋体" w:cs="宋体"/>
          <w:b/>
          <w:sz w:val="24"/>
          <w:szCs w:val="24"/>
        </w:rPr>
        <w:t>2.17 检验和验收</w:t>
      </w:r>
      <w:bookmarkEnd w:id="426"/>
      <w:bookmarkEnd w:id="427"/>
      <w:bookmarkEnd w:id="428"/>
    </w:p>
    <w:bookmarkEnd w:id="398"/>
    <w:bookmarkEnd w:id="399"/>
    <w:bookmarkEnd w:id="400"/>
    <w:bookmarkEnd w:id="401"/>
    <w:p>
      <w:pPr>
        <w:spacing w:line="480" w:lineRule="exact"/>
        <w:ind w:firstLine="480" w:firstLineChars="200"/>
        <w:rPr>
          <w:rFonts w:ascii="宋体" w:hAnsi="宋体" w:cs="宋体"/>
          <w:sz w:val="24"/>
          <w:szCs w:val="24"/>
        </w:rPr>
      </w:pPr>
      <w:bookmarkStart w:id="429" w:name="_Toc487900371"/>
      <w:bookmarkStart w:id="430" w:name="_Toc259093690"/>
      <w:bookmarkStart w:id="431" w:name="_Toc279701261"/>
      <w:bookmarkStart w:id="432" w:name="_Toc19604"/>
      <w:bookmarkStart w:id="433" w:name="_Toc25182"/>
      <w:bookmarkStart w:id="434" w:name="_Toc11284"/>
      <w:r>
        <w:rPr>
          <w:rFonts w:hint="eastAsia" w:ascii="宋体" w:hAnsi="宋体" w:cs="宋体"/>
          <w:sz w:val="24"/>
          <w:szCs w:val="24"/>
        </w:rPr>
        <w:t>2.17.1项目验收：货物到达甲方指定地点安装调试完毕后，由乙方提出申请，甲、乙双方应共同进行验收是否符合合同约定的要求及标准，并应填写验收单。一般性项目由采购人代表两人以上(应有相关技术人员)组成验收组负责项目验收；大型或复杂的政府采购项目，应当邀请国家认可的有关部门参加验收工作。验收方成员应当在验收书上签字。</w:t>
      </w:r>
    </w:p>
    <w:p>
      <w:pPr>
        <w:spacing w:line="480" w:lineRule="exact"/>
        <w:ind w:firstLine="480" w:firstLineChars="200"/>
        <w:rPr>
          <w:rFonts w:ascii="宋体" w:hAnsi="宋体" w:cs="宋体"/>
          <w:sz w:val="24"/>
          <w:szCs w:val="24"/>
        </w:rPr>
      </w:pPr>
      <w:r>
        <w:rPr>
          <w:rFonts w:hint="eastAsia" w:ascii="宋体" w:hAnsi="宋体" w:cs="宋体"/>
          <w:sz w:val="24"/>
          <w:szCs w:val="24"/>
        </w:rPr>
        <w:t>2.17.2具体的验收程序、标准和要求如下：</w:t>
      </w:r>
    </w:p>
    <w:p>
      <w:pPr>
        <w:spacing w:line="480" w:lineRule="exact"/>
        <w:ind w:firstLine="480" w:firstLineChars="200"/>
        <w:rPr>
          <w:rFonts w:ascii="宋体" w:hAnsi="宋体" w:cs="宋体"/>
          <w:sz w:val="24"/>
          <w:szCs w:val="24"/>
        </w:rPr>
      </w:pPr>
      <w:r>
        <w:rPr>
          <w:rFonts w:hint="eastAsia" w:ascii="宋体" w:hAnsi="宋体" w:cs="宋体"/>
          <w:sz w:val="24"/>
          <w:szCs w:val="24"/>
        </w:rPr>
        <w:t>1.到货验收：合同签订后，供货期内乙方负责按合同及招投标文件约定标准将完整配套的全新货物送到甲方指定的地点，货物到达交货地点后，甲方使用部门、乙方共同开箱检验货物的规格、质量和数量等表面状况,并填写货物交接单。如发现货物的外观、规格、数量等与合同约定不符，甲方有权拒绝接受。乙方向甲方交付货物必需的合格证、保修卡、相关资料并装订成册。</w:t>
      </w:r>
    </w:p>
    <w:p>
      <w:pPr>
        <w:spacing w:line="500" w:lineRule="exact"/>
        <w:ind w:firstLine="480" w:firstLineChars="200"/>
        <w:rPr>
          <w:rFonts w:ascii="宋体" w:hAnsi="宋体" w:cs="宋体"/>
          <w:sz w:val="24"/>
          <w:szCs w:val="24"/>
        </w:rPr>
      </w:pPr>
      <w:r>
        <w:rPr>
          <w:rFonts w:hint="eastAsia" w:ascii="宋体" w:hAnsi="宋体" w:cs="宋体"/>
          <w:sz w:val="24"/>
          <w:szCs w:val="24"/>
        </w:rPr>
        <w:t>2.实作性操作验收：甲乙方按照合同要求共同验收，具体程序由乙方向甲方使用部门提出申请，甲方试用人员签署试用合格意见，甲方使用部门组织初验通过后，向甲方采购管理部门提出实作性操作验收(终验)申请，甲方采购管理部门组织相关部门验收，验收合格后签字确认。在货物验收后被证明存在缺陷(包括但不限于潜在的缺陷)、使用不合适的材料，甲方有权要求乙方改进并承担法律责任和经济责任。</w:t>
      </w:r>
    </w:p>
    <w:p>
      <w:pPr>
        <w:spacing w:line="500" w:lineRule="exact"/>
        <w:ind w:firstLine="480" w:firstLineChars="200"/>
        <w:rPr>
          <w:rFonts w:ascii="宋体" w:hAnsi="宋体" w:cs="宋体"/>
          <w:sz w:val="24"/>
          <w:szCs w:val="24"/>
        </w:rPr>
      </w:pPr>
      <w:r>
        <w:rPr>
          <w:rFonts w:hint="eastAsia" w:ascii="宋体" w:hAnsi="宋体" w:cs="宋体"/>
          <w:sz w:val="24"/>
          <w:szCs w:val="24"/>
        </w:rPr>
        <w:t>3.采购人组织第三方进行项目验收，其验收时间以该项目验收方案确定的验收时间为准，验收结果以该项目验收报告结论为准。在验收过程中发现中标供应商有违约问题，可暂缓资金结算，待违约问题解决后，方可办理资金结算事宜。</w:t>
      </w:r>
    </w:p>
    <w:p>
      <w:pPr>
        <w:spacing w:line="500" w:lineRule="exact"/>
        <w:ind w:firstLine="480" w:firstLineChars="200"/>
        <w:rPr>
          <w:rFonts w:ascii="宋体" w:hAnsi="宋体" w:cs="宋体"/>
          <w:sz w:val="24"/>
          <w:szCs w:val="24"/>
        </w:rPr>
      </w:pPr>
      <w:r>
        <w:rPr>
          <w:rFonts w:hint="eastAsia" w:ascii="宋体" w:hAnsi="宋体" w:cs="宋体"/>
          <w:sz w:val="24"/>
          <w:szCs w:val="24"/>
        </w:rPr>
        <w:t>4.采购人对验收有异议的，在验收后5个工作日内以书面形式向中标供应商提出，中标供应商应自收到甲方书面异议后10日内及时予以解决。</w:t>
      </w:r>
    </w:p>
    <w:p>
      <w:pPr>
        <w:spacing w:line="560" w:lineRule="exact"/>
        <w:ind w:firstLine="482" w:firstLineChars="200"/>
        <w:rPr>
          <w:rFonts w:ascii="宋体" w:hAnsi="宋体" w:cs="宋体"/>
          <w:b/>
          <w:sz w:val="24"/>
          <w:szCs w:val="24"/>
        </w:rPr>
      </w:pPr>
      <w:r>
        <w:rPr>
          <w:rFonts w:hint="eastAsia" w:ascii="宋体" w:hAnsi="宋体" w:cs="宋体"/>
          <w:b/>
          <w:sz w:val="24"/>
          <w:szCs w:val="24"/>
        </w:rPr>
        <w:t>2.18 通知</w:t>
      </w:r>
      <w:bookmarkEnd w:id="429"/>
      <w:bookmarkEnd w:id="430"/>
      <w:bookmarkEnd w:id="431"/>
      <w:r>
        <w:rPr>
          <w:rFonts w:hint="eastAsia" w:ascii="宋体" w:hAnsi="宋体" w:cs="宋体"/>
          <w:b/>
          <w:sz w:val="24"/>
          <w:szCs w:val="24"/>
        </w:rPr>
        <w:t>和送达</w:t>
      </w:r>
      <w:bookmarkEnd w:id="432"/>
      <w:bookmarkEnd w:id="433"/>
      <w:bookmarkEnd w:id="434"/>
    </w:p>
    <w:p>
      <w:pPr>
        <w:spacing w:line="560" w:lineRule="exact"/>
        <w:ind w:firstLine="480" w:firstLineChars="200"/>
        <w:rPr>
          <w:rFonts w:ascii="宋体" w:hAnsi="宋体" w:cs="宋体"/>
          <w:sz w:val="24"/>
        </w:rPr>
      </w:pPr>
      <w:bookmarkStart w:id="435" w:name="_Toc3135"/>
      <w:bookmarkStart w:id="436" w:name="_Toc6698"/>
      <w:bookmarkStart w:id="437" w:name="_Toc259093691"/>
      <w:bookmarkStart w:id="438" w:name="_Toc487900372"/>
      <w:bookmarkStart w:id="439" w:name="_Toc279701262"/>
      <w:r>
        <w:rPr>
          <w:rFonts w:hint="eastAsia" w:ascii="宋体" w:hAnsi="宋体" w:cs="宋体"/>
          <w:sz w:val="24"/>
        </w:rPr>
        <w:t>2.18.1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个工作日内书面通知对方当事人，在对方当事人收到有关变更通知之前，变更前的约定送达方式或者地址仍视为有效。</w:t>
      </w:r>
      <w:bookmarkEnd w:id="435"/>
      <w:bookmarkEnd w:id="436"/>
    </w:p>
    <w:p>
      <w:pPr>
        <w:spacing w:line="560" w:lineRule="exact"/>
        <w:ind w:firstLine="480" w:firstLineChars="200"/>
        <w:rPr>
          <w:rFonts w:ascii="宋体" w:hAnsi="宋体" w:cs="宋体"/>
          <w:sz w:val="24"/>
        </w:rPr>
      </w:pPr>
      <w:bookmarkStart w:id="440" w:name="_Toc23128"/>
      <w:bookmarkStart w:id="441" w:name="_Toc23294"/>
      <w:r>
        <w:rPr>
          <w:rFonts w:hint="eastAsia" w:ascii="宋体" w:hAnsi="宋体" w:cs="宋体"/>
          <w:sz w:val="24"/>
        </w:rPr>
        <w:t>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440"/>
      <w:bookmarkEnd w:id="441"/>
    </w:p>
    <w:p>
      <w:pPr>
        <w:spacing w:line="560" w:lineRule="exact"/>
        <w:ind w:firstLine="482" w:firstLineChars="200"/>
        <w:rPr>
          <w:rFonts w:ascii="宋体" w:hAnsi="宋体" w:cs="宋体"/>
          <w:b/>
          <w:sz w:val="24"/>
          <w:szCs w:val="24"/>
        </w:rPr>
      </w:pPr>
      <w:bookmarkStart w:id="442" w:name="_Toc4355"/>
      <w:bookmarkStart w:id="443" w:name="_Toc18540"/>
      <w:bookmarkStart w:id="444" w:name="_Toc30599"/>
      <w:r>
        <w:rPr>
          <w:rFonts w:hint="eastAsia" w:ascii="宋体" w:hAnsi="宋体" w:cs="宋体"/>
          <w:b/>
          <w:sz w:val="24"/>
          <w:szCs w:val="24"/>
        </w:rPr>
        <w:t>2.19 计量单位</w:t>
      </w:r>
      <w:bookmarkEnd w:id="437"/>
      <w:bookmarkEnd w:id="438"/>
      <w:bookmarkEnd w:id="439"/>
      <w:bookmarkEnd w:id="442"/>
      <w:bookmarkEnd w:id="443"/>
      <w:bookmarkEnd w:id="444"/>
    </w:p>
    <w:p>
      <w:pPr>
        <w:spacing w:line="560" w:lineRule="exact"/>
        <w:ind w:firstLine="480" w:firstLineChars="200"/>
        <w:rPr>
          <w:rFonts w:ascii="宋体" w:hAnsi="宋体" w:cs="宋体"/>
          <w:sz w:val="24"/>
        </w:rPr>
      </w:pPr>
      <w:r>
        <w:rPr>
          <w:rFonts w:hint="eastAsia" w:ascii="宋体" w:hAnsi="宋体" w:cs="宋体"/>
          <w:sz w:val="24"/>
        </w:rPr>
        <w:t>除技术规范中另有规定外,合同的计量单位均使用国家法定计量单位。</w:t>
      </w:r>
    </w:p>
    <w:p>
      <w:pPr>
        <w:spacing w:line="560" w:lineRule="exact"/>
        <w:ind w:firstLine="482" w:firstLineChars="200"/>
        <w:rPr>
          <w:rFonts w:ascii="宋体" w:hAnsi="宋体" w:cs="宋体"/>
          <w:b/>
          <w:sz w:val="24"/>
          <w:szCs w:val="24"/>
        </w:rPr>
      </w:pPr>
      <w:bookmarkStart w:id="445" w:name="_Toc487900373"/>
      <w:bookmarkStart w:id="446" w:name="_Toc279701263"/>
      <w:bookmarkStart w:id="447" w:name="_Toc18567"/>
      <w:bookmarkStart w:id="448" w:name="_Toc259093692"/>
      <w:bookmarkStart w:id="449" w:name="_Toc10330"/>
      <w:bookmarkStart w:id="450" w:name="_Toc12773"/>
      <w:r>
        <w:rPr>
          <w:rFonts w:hint="eastAsia" w:ascii="宋体" w:hAnsi="宋体" w:cs="宋体"/>
          <w:b/>
          <w:sz w:val="24"/>
          <w:szCs w:val="24"/>
        </w:rPr>
        <w:t>2.20 合同使用的文字和适用的法律</w:t>
      </w:r>
      <w:bookmarkEnd w:id="445"/>
      <w:bookmarkEnd w:id="446"/>
      <w:bookmarkEnd w:id="447"/>
      <w:bookmarkEnd w:id="448"/>
      <w:bookmarkEnd w:id="449"/>
      <w:bookmarkEnd w:id="450"/>
    </w:p>
    <w:p>
      <w:pPr>
        <w:spacing w:line="560" w:lineRule="exact"/>
        <w:ind w:firstLine="480" w:firstLineChars="200"/>
        <w:rPr>
          <w:rFonts w:ascii="宋体" w:hAnsi="宋体" w:cs="宋体"/>
          <w:sz w:val="24"/>
        </w:rPr>
      </w:pPr>
      <w:r>
        <w:rPr>
          <w:rFonts w:hint="eastAsia" w:ascii="宋体" w:hAnsi="宋体" w:cs="宋体"/>
          <w:sz w:val="24"/>
        </w:rPr>
        <w:t>2.20.1 合同使用汉语书就、变更和解释；</w:t>
      </w:r>
    </w:p>
    <w:p>
      <w:pPr>
        <w:spacing w:line="560" w:lineRule="exact"/>
        <w:ind w:firstLine="480" w:firstLineChars="200"/>
        <w:rPr>
          <w:rFonts w:ascii="宋体" w:hAnsi="宋体" w:cs="宋体"/>
          <w:sz w:val="24"/>
        </w:rPr>
      </w:pPr>
      <w:r>
        <w:rPr>
          <w:rFonts w:hint="eastAsia" w:ascii="宋体" w:hAnsi="宋体" w:cs="宋体"/>
          <w:sz w:val="24"/>
        </w:rPr>
        <w:t>2.20.2 合同适用中华人民共和国法律。</w:t>
      </w:r>
    </w:p>
    <w:p>
      <w:pPr>
        <w:spacing w:line="560" w:lineRule="exact"/>
        <w:ind w:firstLine="482" w:firstLineChars="200"/>
        <w:rPr>
          <w:rFonts w:ascii="宋体" w:hAnsi="宋体" w:cs="宋体"/>
          <w:b/>
          <w:sz w:val="24"/>
          <w:szCs w:val="24"/>
        </w:rPr>
      </w:pPr>
      <w:bookmarkStart w:id="451" w:name="_Toc12004"/>
      <w:bookmarkStart w:id="452" w:name="_Toc259093693"/>
      <w:bookmarkStart w:id="453" w:name="_Toc279701264"/>
      <w:bookmarkStart w:id="454" w:name="_Toc16673"/>
      <w:bookmarkStart w:id="455" w:name="_Toc3148"/>
      <w:bookmarkStart w:id="456" w:name="_Toc487900374"/>
      <w:r>
        <w:rPr>
          <w:rFonts w:hint="eastAsia" w:ascii="宋体" w:hAnsi="宋体" w:cs="宋体"/>
          <w:b/>
          <w:sz w:val="24"/>
          <w:szCs w:val="24"/>
        </w:rPr>
        <w:t>2.21 履约保证金</w:t>
      </w:r>
      <w:bookmarkEnd w:id="451"/>
      <w:bookmarkEnd w:id="452"/>
      <w:bookmarkEnd w:id="453"/>
      <w:bookmarkEnd w:id="454"/>
      <w:bookmarkEnd w:id="455"/>
    </w:p>
    <w:p>
      <w:pPr>
        <w:spacing w:line="560" w:lineRule="exact"/>
        <w:ind w:firstLine="480" w:firstLineChars="200"/>
        <w:rPr>
          <w:rFonts w:ascii="宋体" w:hAnsi="宋体" w:cs="宋体"/>
          <w:sz w:val="24"/>
        </w:rPr>
      </w:pPr>
      <w:r>
        <w:rPr>
          <w:rFonts w:hint="eastAsia" w:ascii="宋体" w:hAnsi="宋体" w:cs="宋体"/>
          <w:sz w:val="24"/>
        </w:rPr>
        <w:t>2.21.1 采购文件要求乙方提交履约保证金的，乙方应按</w:t>
      </w:r>
      <w:r>
        <w:rPr>
          <w:rFonts w:hint="eastAsia" w:ascii="宋体" w:hAnsi="宋体" w:cs="宋体"/>
          <w:b/>
          <w:sz w:val="24"/>
          <w:u w:val="single"/>
        </w:rPr>
        <w:t xml:space="preserve"> 采购文件 </w:t>
      </w:r>
      <w:r>
        <w:rPr>
          <w:rFonts w:hint="eastAsia" w:ascii="宋体" w:hAnsi="宋体" w:cs="宋体"/>
          <w:sz w:val="24"/>
        </w:rPr>
        <w:t>约定的方式，在中标公示结</w:t>
      </w:r>
      <w:r>
        <w:rPr>
          <w:rFonts w:hint="eastAsia" w:ascii="宋体" w:hAnsi="宋体" w:cs="宋体"/>
          <w:bCs/>
          <w:sz w:val="24"/>
        </w:rPr>
        <w:t>束</w:t>
      </w:r>
      <w:r>
        <w:rPr>
          <w:rFonts w:hint="eastAsia" w:ascii="宋体" w:hAnsi="宋体" w:cs="宋体"/>
          <w:b/>
          <w:sz w:val="24"/>
          <w:u w:val="single"/>
        </w:rPr>
        <w:t xml:space="preserve">7个日历天内 </w:t>
      </w:r>
      <w:r>
        <w:rPr>
          <w:rFonts w:hint="eastAsia" w:ascii="宋体" w:hAnsi="宋体" w:cs="宋体"/>
          <w:sz w:val="24"/>
        </w:rPr>
        <w:t>以支票、汇票、本票或者金融机构、担保机构出具的保函等非现金形式，向采购人提交合同价5%的履约保证金；</w:t>
      </w:r>
    </w:p>
    <w:p>
      <w:pPr>
        <w:spacing w:line="560" w:lineRule="exact"/>
        <w:ind w:firstLine="480" w:firstLineChars="200"/>
        <w:rPr>
          <w:rFonts w:ascii="宋体" w:hAnsi="宋体" w:cs="宋体"/>
          <w:sz w:val="24"/>
        </w:rPr>
      </w:pPr>
      <w:r>
        <w:rPr>
          <w:rFonts w:hint="eastAsia" w:ascii="宋体" w:hAnsi="宋体" w:cs="宋体"/>
          <w:sz w:val="24"/>
        </w:rPr>
        <w:t>2.21.2  履约保证金在</w:t>
      </w:r>
      <w:r>
        <w:rPr>
          <w:rFonts w:hint="eastAsia" w:ascii="宋体" w:hAnsi="宋体" w:cs="宋体"/>
          <w:sz w:val="24"/>
          <w:u w:val="single"/>
        </w:rPr>
        <w:t xml:space="preserve"> </w:t>
      </w:r>
      <w:r>
        <w:rPr>
          <w:rFonts w:hint="eastAsia" w:ascii="宋体" w:hAnsi="宋体" w:cs="宋体"/>
          <w:b/>
          <w:sz w:val="24"/>
          <w:u w:val="single"/>
        </w:rPr>
        <w:t xml:space="preserve">甲乙双方签订合同 </w:t>
      </w:r>
      <w:r>
        <w:rPr>
          <w:rFonts w:hint="eastAsia" w:ascii="宋体" w:hAnsi="宋体" w:cs="宋体"/>
          <w:sz w:val="24"/>
        </w:rPr>
        <w:t>之日起</w:t>
      </w:r>
      <w:r>
        <w:rPr>
          <w:rFonts w:hint="eastAsia" w:ascii="宋体" w:hAnsi="宋体" w:cs="宋体"/>
          <w:b/>
          <w:bCs/>
          <w:sz w:val="24"/>
          <w:u w:val="single"/>
        </w:rPr>
        <w:t xml:space="preserve"> 7 </w:t>
      </w:r>
      <w:r>
        <w:rPr>
          <w:rFonts w:hint="eastAsia" w:ascii="宋体" w:hAnsi="宋体" w:cs="宋体"/>
          <w:sz w:val="24"/>
        </w:rPr>
        <w:t>个工作日内，甲方应将履约保证金退还乙方；</w:t>
      </w:r>
    </w:p>
    <w:p>
      <w:pPr>
        <w:spacing w:line="560" w:lineRule="exact"/>
        <w:ind w:firstLine="480" w:firstLineChars="200"/>
        <w:rPr>
          <w:rFonts w:ascii="宋体" w:hAnsi="宋体" w:cs="宋体"/>
          <w:sz w:val="24"/>
        </w:rPr>
      </w:pPr>
      <w:r>
        <w:rPr>
          <w:rFonts w:hint="eastAsia" w:ascii="宋体" w:hAnsi="宋体" w:cs="宋体"/>
          <w:sz w:val="24"/>
        </w:rPr>
        <w:t>2.21.3 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456"/>
    <w:p>
      <w:pPr>
        <w:spacing w:line="560" w:lineRule="exact"/>
        <w:ind w:firstLine="482" w:firstLineChars="200"/>
        <w:rPr>
          <w:rFonts w:ascii="宋体" w:hAnsi="宋体" w:cs="宋体"/>
          <w:b/>
          <w:sz w:val="24"/>
          <w:szCs w:val="24"/>
        </w:rPr>
      </w:pPr>
      <w:bookmarkStart w:id="457" w:name="_Toc19890"/>
      <w:bookmarkStart w:id="458" w:name="_Toc14001"/>
      <w:bookmarkStart w:id="459" w:name="_Toc6885"/>
      <w:r>
        <w:rPr>
          <w:rFonts w:hint="eastAsia" w:ascii="宋体" w:hAnsi="宋体" w:cs="宋体"/>
          <w:b/>
          <w:sz w:val="24"/>
          <w:szCs w:val="24"/>
        </w:rPr>
        <w:t>2.22 合同份数</w:t>
      </w:r>
      <w:bookmarkEnd w:id="457"/>
      <w:bookmarkEnd w:id="458"/>
      <w:bookmarkEnd w:id="459"/>
    </w:p>
    <w:p>
      <w:pPr>
        <w:spacing w:line="560" w:lineRule="exact"/>
        <w:ind w:firstLine="480" w:firstLineChars="200"/>
        <w:rPr>
          <w:rFonts w:ascii="宋体" w:hAnsi="宋体" w:cs="宋体"/>
          <w:sz w:val="24"/>
        </w:rPr>
      </w:pPr>
      <w:r>
        <w:rPr>
          <w:rFonts w:hint="eastAsia" w:ascii="宋体" w:hAnsi="宋体" w:cs="宋体"/>
          <w:sz w:val="24"/>
        </w:rPr>
        <w:t>合同份数按</w:t>
      </w:r>
      <w:r>
        <w:rPr>
          <w:rFonts w:hint="eastAsia" w:ascii="宋体" w:hAnsi="宋体" w:cs="宋体"/>
          <w:b/>
          <w:sz w:val="24"/>
          <w:u w:val="single"/>
        </w:rPr>
        <w:t>合同专用条款</w:t>
      </w:r>
      <w:r>
        <w:rPr>
          <w:rFonts w:hint="eastAsia" w:ascii="宋体" w:hAnsi="宋体" w:cs="宋体"/>
          <w:sz w:val="24"/>
        </w:rPr>
        <w:t>规定，每份均具有同等法律效力。</w:t>
      </w:r>
    </w:p>
    <w:p>
      <w:pPr>
        <w:pStyle w:val="181"/>
        <w:spacing w:line="560" w:lineRule="exact"/>
        <w:ind w:firstLine="0"/>
        <w:jc w:val="center"/>
        <w:rPr>
          <w:rFonts w:hAnsi="宋体" w:cs="宋体"/>
          <w:b/>
          <w:szCs w:val="24"/>
        </w:rPr>
      </w:pPr>
      <w:r>
        <w:rPr>
          <w:rFonts w:hint="eastAsia" w:hAnsi="宋体" w:cs="宋体"/>
          <w:szCs w:val="24"/>
        </w:rPr>
        <w:br w:type="page"/>
      </w:r>
      <w:r>
        <w:rPr>
          <w:rFonts w:hint="eastAsia" w:hAnsi="宋体" w:cs="宋体"/>
          <w:b/>
          <w:szCs w:val="24"/>
        </w:rPr>
        <w:t>第三部分  合同专用条款</w:t>
      </w:r>
      <w:bookmarkEnd w:id="294"/>
    </w:p>
    <w:p>
      <w:pPr>
        <w:spacing w:line="560" w:lineRule="exact"/>
        <w:ind w:firstLine="480" w:firstLineChars="200"/>
        <w:rPr>
          <w:rFonts w:ascii="宋体" w:hAnsi="宋体" w:cs="宋体"/>
          <w:sz w:val="24"/>
          <w:szCs w:val="24"/>
        </w:rPr>
      </w:pPr>
      <w:r>
        <w:rPr>
          <w:rFonts w:hint="eastAsia" w:ascii="宋体" w:hAnsi="宋体" w:cs="宋体"/>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合同签订时自行约定）</w:t>
      </w:r>
    </w:p>
    <w:p>
      <w:pPr>
        <w:rPr>
          <w:rFonts w:ascii="宋体" w:hAnsi="宋体" w:cs="宋体"/>
        </w:rPr>
      </w:pPr>
    </w:p>
    <w:p>
      <w:pPr>
        <w:rPr>
          <w:rFonts w:ascii="宋体" w:hAnsi="宋体" w:cs="宋体"/>
        </w:rPr>
        <w:sectPr>
          <w:footerReference r:id="rId7" w:type="default"/>
          <w:pgSz w:w="11905" w:h="16838"/>
          <w:pgMar w:top="1134" w:right="1134" w:bottom="1134" w:left="1134" w:header="720" w:footer="720" w:gutter="0"/>
          <w:cols w:space="0" w:num="1"/>
          <w:docGrid w:type="lines" w:linePitch="331" w:charSpace="0"/>
        </w:sectPr>
      </w:pPr>
      <w:r>
        <w:rPr>
          <w:rFonts w:hint="eastAsia" w:ascii="宋体" w:hAnsi="宋体" w:cs="宋体"/>
        </w:rPr>
        <w:t xml:space="preserve"> </w:t>
      </w:r>
    </w:p>
    <w:p>
      <w:pPr>
        <w:spacing w:line="480" w:lineRule="auto"/>
        <w:ind w:firstLine="1560" w:firstLineChars="650"/>
        <w:rPr>
          <w:rFonts w:ascii="宋体" w:hAnsi="宋体" w:cs="宋体"/>
          <w:sz w:val="24"/>
        </w:rPr>
      </w:pPr>
      <w:r>
        <w:rPr>
          <w:rFonts w:hint="eastAsia" w:ascii="宋体" w:hAnsi="宋体" w:cs="宋体"/>
          <w:sz w:val="24"/>
        </w:rPr>
        <w:t xml:space="preserve">甲方(采购人单位章)名称： </w:t>
      </w:r>
    </w:p>
    <w:p>
      <w:pPr>
        <w:spacing w:line="480" w:lineRule="auto"/>
        <w:ind w:left="1619" w:leftChars="771"/>
        <w:rPr>
          <w:rFonts w:ascii="宋体" w:hAnsi="宋体" w:cs="宋体"/>
          <w:sz w:val="24"/>
        </w:rPr>
      </w:pPr>
      <w:r>
        <w:rPr>
          <w:rFonts w:hint="eastAsia" w:ascii="宋体" w:hAnsi="宋体" w:cs="宋体"/>
          <w:sz w:val="24"/>
        </w:rPr>
        <w:t xml:space="preserve">地    址： </w:t>
      </w:r>
    </w:p>
    <w:p>
      <w:pPr>
        <w:spacing w:line="480" w:lineRule="auto"/>
        <w:ind w:left="1619" w:leftChars="771"/>
        <w:rPr>
          <w:rFonts w:ascii="宋体" w:hAnsi="宋体" w:cs="宋体"/>
          <w:sz w:val="24"/>
        </w:rPr>
      </w:pPr>
      <w:r>
        <w:rPr>
          <w:rFonts w:hint="eastAsia" w:ascii="宋体" w:hAnsi="宋体" w:cs="宋体"/>
          <w:sz w:val="24"/>
        </w:rPr>
        <w:t>邮    编：</w:t>
      </w:r>
    </w:p>
    <w:p>
      <w:pPr>
        <w:spacing w:line="480" w:lineRule="auto"/>
        <w:ind w:left="1619" w:leftChars="771"/>
        <w:rPr>
          <w:rFonts w:ascii="宋体" w:hAnsi="宋体" w:cs="宋体"/>
          <w:sz w:val="24"/>
        </w:rPr>
      </w:pPr>
      <w:r>
        <w:rPr>
          <w:rFonts w:hint="eastAsia" w:ascii="宋体" w:hAnsi="宋体" w:cs="宋体"/>
          <w:sz w:val="24"/>
        </w:rPr>
        <w:t>法定代表人或委托代理人：</w:t>
      </w:r>
    </w:p>
    <w:p>
      <w:pPr>
        <w:spacing w:line="480" w:lineRule="auto"/>
        <w:ind w:left="1619" w:leftChars="771"/>
        <w:rPr>
          <w:rFonts w:ascii="宋体" w:hAnsi="宋体" w:cs="宋体"/>
          <w:sz w:val="24"/>
        </w:rPr>
      </w:pPr>
      <w:r>
        <w:rPr>
          <w:rFonts w:hint="eastAsia" w:ascii="宋体" w:hAnsi="宋体" w:cs="宋体"/>
          <w:sz w:val="24"/>
        </w:rPr>
        <w:t>项目(技术)负责人：</w:t>
      </w:r>
    </w:p>
    <w:p>
      <w:pPr>
        <w:spacing w:line="480" w:lineRule="auto"/>
        <w:ind w:left="1619" w:leftChars="771"/>
        <w:rPr>
          <w:rFonts w:ascii="宋体" w:hAnsi="宋体" w:cs="宋体"/>
          <w:sz w:val="24"/>
        </w:rPr>
      </w:pPr>
      <w:r>
        <w:rPr>
          <w:rFonts w:hint="eastAsia" w:ascii="宋体" w:hAnsi="宋体" w:cs="宋体"/>
          <w:sz w:val="24"/>
        </w:rPr>
        <w:t>签订日期：</w:t>
      </w:r>
    </w:p>
    <w:p>
      <w:pPr>
        <w:spacing w:line="480" w:lineRule="auto"/>
        <w:ind w:left="1619" w:leftChars="771"/>
        <w:rPr>
          <w:rFonts w:ascii="宋体" w:hAnsi="宋体" w:cs="宋体"/>
          <w:sz w:val="24"/>
        </w:rPr>
      </w:pPr>
    </w:p>
    <w:p>
      <w:pPr>
        <w:spacing w:line="480" w:lineRule="auto"/>
        <w:ind w:left="1619" w:leftChars="771"/>
        <w:rPr>
          <w:rFonts w:ascii="宋体" w:hAnsi="宋体" w:cs="宋体"/>
          <w:sz w:val="24"/>
        </w:rPr>
      </w:pPr>
      <w:r>
        <w:rPr>
          <w:rFonts w:hint="eastAsia" w:ascii="宋体" w:hAnsi="宋体" w:cs="宋体"/>
          <w:sz w:val="24"/>
        </w:rPr>
        <w:t xml:space="preserve">乙方(供应商单位章)名称： </w:t>
      </w:r>
    </w:p>
    <w:p>
      <w:pPr>
        <w:spacing w:line="480" w:lineRule="auto"/>
        <w:ind w:left="1619" w:leftChars="771"/>
        <w:rPr>
          <w:rFonts w:ascii="宋体" w:hAnsi="宋体" w:cs="宋体"/>
          <w:sz w:val="24"/>
        </w:rPr>
      </w:pPr>
      <w:r>
        <w:rPr>
          <w:rFonts w:hint="eastAsia" w:ascii="宋体" w:hAnsi="宋体" w:cs="宋体"/>
          <w:sz w:val="24"/>
        </w:rPr>
        <w:t>地    址：</w:t>
      </w:r>
    </w:p>
    <w:p>
      <w:pPr>
        <w:spacing w:line="480" w:lineRule="auto"/>
        <w:ind w:left="1619" w:leftChars="771"/>
        <w:rPr>
          <w:rFonts w:ascii="宋体" w:hAnsi="宋体" w:cs="宋体"/>
          <w:sz w:val="24"/>
        </w:rPr>
      </w:pPr>
      <w:r>
        <w:rPr>
          <w:rFonts w:hint="eastAsia" w:ascii="宋体" w:hAnsi="宋体" w:cs="宋体"/>
          <w:sz w:val="24"/>
        </w:rPr>
        <w:t>邮    编：</w:t>
      </w:r>
    </w:p>
    <w:p>
      <w:pPr>
        <w:spacing w:line="480" w:lineRule="auto"/>
        <w:ind w:left="1619" w:leftChars="771"/>
        <w:rPr>
          <w:rFonts w:ascii="宋体" w:hAnsi="宋体" w:cs="宋体"/>
          <w:sz w:val="24"/>
        </w:rPr>
      </w:pPr>
      <w:r>
        <w:rPr>
          <w:rFonts w:hint="eastAsia" w:ascii="宋体" w:hAnsi="宋体" w:cs="宋体"/>
          <w:sz w:val="24"/>
        </w:rPr>
        <w:t>法定代表人或委托代理人：</w:t>
      </w:r>
    </w:p>
    <w:p>
      <w:pPr>
        <w:spacing w:line="480" w:lineRule="auto"/>
        <w:ind w:left="1619" w:leftChars="771"/>
        <w:rPr>
          <w:rFonts w:ascii="宋体" w:hAnsi="宋体" w:cs="宋体"/>
          <w:sz w:val="24"/>
        </w:rPr>
      </w:pPr>
      <w:r>
        <w:rPr>
          <w:rFonts w:hint="eastAsia" w:ascii="宋体" w:hAnsi="宋体" w:cs="宋体"/>
          <w:sz w:val="24"/>
        </w:rPr>
        <w:t>经办人：</w:t>
      </w:r>
    </w:p>
    <w:p>
      <w:pPr>
        <w:spacing w:line="480" w:lineRule="auto"/>
        <w:ind w:left="1619" w:leftChars="771"/>
        <w:rPr>
          <w:rFonts w:ascii="宋体" w:hAnsi="宋体" w:cs="宋体"/>
          <w:sz w:val="24"/>
        </w:rPr>
      </w:pPr>
      <w:r>
        <w:rPr>
          <w:rFonts w:hint="eastAsia" w:ascii="宋体" w:hAnsi="宋体" w:cs="宋体"/>
          <w:sz w:val="24"/>
        </w:rPr>
        <w:t>电话：</w:t>
      </w:r>
    </w:p>
    <w:p>
      <w:pPr>
        <w:spacing w:line="480" w:lineRule="auto"/>
        <w:ind w:left="1619" w:leftChars="771"/>
        <w:rPr>
          <w:rFonts w:ascii="宋体" w:hAnsi="宋体" w:cs="宋体"/>
          <w:sz w:val="24"/>
        </w:rPr>
      </w:pPr>
      <w:r>
        <w:rPr>
          <w:rFonts w:hint="eastAsia" w:ascii="宋体" w:hAnsi="宋体" w:cs="宋体"/>
          <w:sz w:val="24"/>
        </w:rPr>
        <w:t>签订日期：</w:t>
      </w:r>
    </w:p>
    <w:p>
      <w:pPr>
        <w:pStyle w:val="19"/>
        <w:rPr>
          <w:rFonts w:ascii="宋体" w:hAnsi="宋体" w:cs="宋体"/>
        </w:rPr>
      </w:pPr>
    </w:p>
    <w:p>
      <w:pPr>
        <w:pStyle w:val="3"/>
        <w:numPr>
          <w:ilvl w:val="0"/>
          <w:numId w:val="6"/>
        </w:numPr>
        <w:spacing w:before="0" w:after="0" w:line="720" w:lineRule="auto"/>
        <w:jc w:val="center"/>
        <w:rPr>
          <w:rFonts w:ascii="宋体" w:hAnsi="宋体" w:cs="宋体"/>
          <w:sz w:val="32"/>
          <w:szCs w:val="32"/>
        </w:rPr>
      </w:pPr>
      <w:bookmarkStart w:id="460" w:name="_Toc31034"/>
      <w:bookmarkEnd w:id="460"/>
      <w:bookmarkStart w:id="461" w:name="_Toc12847"/>
      <w:bookmarkEnd w:id="461"/>
      <w:bookmarkStart w:id="462" w:name="_Toc8577"/>
      <w:r>
        <w:rPr>
          <w:rFonts w:hint="eastAsia" w:ascii="宋体" w:hAnsi="宋体" w:cs="宋体"/>
        </w:rPr>
        <w:br w:type="page"/>
      </w:r>
      <w:bookmarkEnd w:id="462"/>
      <w:bookmarkStart w:id="463" w:name="_Toc14735"/>
      <w:bookmarkStart w:id="464" w:name="_Toc14885"/>
      <w:bookmarkStart w:id="465" w:name="_Toc17434"/>
      <w:r>
        <w:rPr>
          <w:rFonts w:hint="eastAsia" w:ascii="宋体" w:hAnsi="宋体" w:cs="宋体"/>
          <w:sz w:val="32"/>
          <w:szCs w:val="32"/>
        </w:rPr>
        <w:t xml:space="preserve"> </w:t>
      </w:r>
      <w:bookmarkStart w:id="466" w:name="_Toc1893"/>
      <w:r>
        <w:rPr>
          <w:rFonts w:hint="eastAsia" w:ascii="宋体" w:hAnsi="宋体" w:cs="宋体"/>
          <w:sz w:val="32"/>
          <w:szCs w:val="32"/>
        </w:rPr>
        <w:t>采购内容及要求</w:t>
      </w:r>
      <w:bookmarkEnd w:id="463"/>
      <w:bookmarkEnd w:id="464"/>
      <w:bookmarkEnd w:id="465"/>
      <w:bookmarkEnd w:id="466"/>
    </w:p>
    <w:p>
      <w:pPr>
        <w:spacing w:line="360" w:lineRule="auto"/>
        <w:rPr>
          <w:rFonts w:ascii="宋体" w:hAnsi="宋体" w:cs="宋体"/>
          <w:b/>
          <w:sz w:val="24"/>
          <w:szCs w:val="24"/>
        </w:rPr>
      </w:pPr>
      <w:bookmarkStart w:id="467" w:name="_Toc9186"/>
      <w:bookmarkStart w:id="468" w:name="_Toc30508"/>
      <w:bookmarkStart w:id="469" w:name="_Toc7488"/>
      <w:r>
        <w:rPr>
          <w:rFonts w:hint="eastAsia" w:ascii="宋体" w:hAnsi="宋体" w:cs="宋体"/>
          <w:b/>
          <w:sz w:val="24"/>
          <w:szCs w:val="24"/>
        </w:rPr>
        <w:t>一、供货要求</w:t>
      </w:r>
      <w:bookmarkEnd w:id="467"/>
      <w:bookmarkEnd w:id="468"/>
      <w:bookmarkEnd w:id="469"/>
    </w:p>
    <w:p>
      <w:pPr>
        <w:spacing w:line="360" w:lineRule="auto"/>
        <w:ind w:firstLine="482" w:firstLineChars="200"/>
        <w:rPr>
          <w:rFonts w:ascii="宋体" w:hAnsi="宋体" w:cs="宋体"/>
          <w:spacing w:val="-6"/>
          <w:sz w:val="24"/>
          <w:szCs w:val="24"/>
        </w:rPr>
      </w:pPr>
      <w:r>
        <w:rPr>
          <w:rFonts w:hint="eastAsia" w:ascii="宋体" w:hAnsi="宋体" w:cs="宋体"/>
          <w:b/>
          <w:color w:val="000000"/>
          <w:sz w:val="24"/>
        </w:rPr>
        <w:t>★</w:t>
      </w:r>
      <w:r>
        <w:rPr>
          <w:rFonts w:hint="eastAsia" w:ascii="宋体" w:hAnsi="宋体" w:cs="宋体"/>
          <w:spacing w:val="-6"/>
          <w:sz w:val="24"/>
          <w:szCs w:val="24"/>
        </w:rPr>
        <w:t>1.交货时间：合同签订完毕日起3个月内完成供货，交采购人验收。</w:t>
      </w:r>
    </w:p>
    <w:p>
      <w:pPr>
        <w:spacing w:line="360" w:lineRule="auto"/>
        <w:ind w:firstLine="684" w:firstLineChars="300"/>
        <w:rPr>
          <w:rFonts w:ascii="宋体" w:hAnsi="宋体" w:cs="宋体"/>
          <w:spacing w:val="-6"/>
          <w:sz w:val="24"/>
          <w:szCs w:val="24"/>
        </w:rPr>
      </w:pPr>
      <w:r>
        <w:rPr>
          <w:rFonts w:hint="eastAsia" w:ascii="宋体" w:hAnsi="宋体" w:cs="宋体"/>
          <w:spacing w:val="-6"/>
          <w:sz w:val="24"/>
          <w:szCs w:val="24"/>
        </w:rPr>
        <w:t>2.交货地点：采购人指定地点。</w:t>
      </w:r>
    </w:p>
    <w:p>
      <w:pPr>
        <w:spacing w:line="360" w:lineRule="auto"/>
        <w:rPr>
          <w:rFonts w:ascii="宋体" w:hAnsi="宋体" w:cs="宋体"/>
          <w:b/>
          <w:sz w:val="24"/>
          <w:szCs w:val="24"/>
        </w:rPr>
      </w:pPr>
      <w:bookmarkStart w:id="470" w:name="_Toc7704"/>
      <w:bookmarkStart w:id="471" w:name="_Toc26956"/>
      <w:r>
        <w:rPr>
          <w:rFonts w:hint="eastAsia" w:ascii="宋体" w:hAnsi="宋体" w:cs="宋体"/>
          <w:b/>
          <w:sz w:val="24"/>
          <w:szCs w:val="24"/>
        </w:rPr>
        <w:t>二、验收要求</w:t>
      </w:r>
      <w:bookmarkEnd w:id="470"/>
      <w:bookmarkEnd w:id="471"/>
      <w:bookmarkStart w:id="472" w:name="_Toc25742"/>
      <w:bookmarkStart w:id="473" w:name="_Toc8114"/>
      <w:bookmarkStart w:id="474" w:name="_Toc12632"/>
    </w:p>
    <w:p>
      <w:pPr>
        <w:spacing w:line="360" w:lineRule="auto"/>
        <w:ind w:firstLine="480" w:firstLineChars="200"/>
        <w:rPr>
          <w:rFonts w:ascii="宋体" w:hAnsi="宋体" w:cs="宋体"/>
          <w:sz w:val="24"/>
        </w:rPr>
      </w:pPr>
      <w:r>
        <w:rPr>
          <w:rFonts w:hint="eastAsia" w:ascii="宋体" w:hAnsi="宋体" w:cs="宋体"/>
          <w:sz w:val="24"/>
        </w:rPr>
        <w:t>严格按照政府采购相关法律法规、行业管理规定要求进行验收。</w:t>
      </w:r>
    </w:p>
    <w:bookmarkEnd w:id="472"/>
    <w:bookmarkEnd w:id="473"/>
    <w:bookmarkEnd w:id="474"/>
    <w:p>
      <w:pPr>
        <w:spacing w:line="360" w:lineRule="auto"/>
        <w:rPr>
          <w:rFonts w:ascii="宋体" w:hAnsi="宋体" w:cs="宋体"/>
          <w:spacing w:val="-6"/>
          <w:sz w:val="24"/>
          <w:szCs w:val="24"/>
        </w:rPr>
      </w:pPr>
      <w:bookmarkStart w:id="475" w:name="_Toc29867"/>
      <w:bookmarkStart w:id="476" w:name="_Toc29917"/>
      <w:bookmarkStart w:id="477" w:name="_Toc27784"/>
      <w:r>
        <w:rPr>
          <w:rFonts w:hint="eastAsia" w:ascii="宋体" w:hAnsi="宋体" w:cs="宋体"/>
          <w:spacing w:val="-6"/>
          <w:sz w:val="24"/>
          <w:szCs w:val="24"/>
        </w:rPr>
        <w:t>三、</w:t>
      </w:r>
      <w:r>
        <w:rPr>
          <w:rFonts w:hint="eastAsia" w:ascii="宋体" w:hAnsi="宋体" w:cs="宋体"/>
          <w:b/>
          <w:sz w:val="24"/>
          <w:szCs w:val="24"/>
        </w:rPr>
        <w:t>质量保证及售后服务要求</w:t>
      </w:r>
      <w:bookmarkEnd w:id="475"/>
      <w:bookmarkEnd w:id="476"/>
      <w:bookmarkEnd w:id="477"/>
      <w:bookmarkStart w:id="478" w:name="_Toc24456"/>
      <w:bookmarkStart w:id="479" w:name="_Toc29129"/>
      <w:bookmarkStart w:id="480" w:name="_Toc27057"/>
    </w:p>
    <w:p>
      <w:pPr>
        <w:spacing w:line="360" w:lineRule="auto"/>
        <w:ind w:firstLine="481"/>
        <w:rPr>
          <w:rFonts w:ascii="宋体" w:hAnsi="宋体" w:cs="宋体"/>
          <w:bCs/>
          <w:sz w:val="24"/>
          <w:szCs w:val="24"/>
        </w:rPr>
      </w:pPr>
      <w:r>
        <w:rPr>
          <w:rFonts w:hint="eastAsia" w:ascii="宋体" w:hAnsi="宋体" w:cs="宋体"/>
          <w:b/>
          <w:color w:val="000000"/>
          <w:sz w:val="24"/>
        </w:rPr>
        <w:t>★</w:t>
      </w:r>
      <w:r>
        <w:rPr>
          <w:rFonts w:hint="eastAsia" w:ascii="宋体" w:hAnsi="宋体" w:cs="宋体"/>
          <w:spacing w:val="-6"/>
          <w:sz w:val="24"/>
          <w:szCs w:val="24"/>
        </w:rPr>
        <w:t>1.质量要求：所供产品是符合国家技术规范和质量标准的合格产品，且未曾使用，制造标准、安装标准及技术规范要求必须符合我国相关标准和使用方认可的有关国际标准，并符合采购人的采购要求。</w:t>
      </w:r>
      <w:bookmarkEnd w:id="478"/>
      <w:bookmarkEnd w:id="479"/>
      <w:bookmarkEnd w:id="480"/>
      <w:r>
        <w:rPr>
          <w:rFonts w:hint="eastAsia" w:ascii="宋体" w:hAnsi="宋体" w:cs="宋体"/>
          <w:bCs/>
          <w:sz w:val="24"/>
          <w:szCs w:val="24"/>
        </w:rPr>
        <w:t>所提供的器材装备（包括核心部件）生产日期不得早于合同签订日期6个月以上。</w:t>
      </w:r>
      <w:bookmarkStart w:id="481" w:name="_Toc15659"/>
      <w:bookmarkStart w:id="482" w:name="_Toc26491"/>
      <w:bookmarkStart w:id="483" w:name="_Toc16516"/>
    </w:p>
    <w:p>
      <w:pPr>
        <w:spacing w:line="360" w:lineRule="auto"/>
        <w:ind w:firstLine="456" w:firstLineChars="200"/>
        <w:rPr>
          <w:rFonts w:ascii="宋体" w:hAnsi="宋体" w:cs="宋体"/>
          <w:spacing w:val="-6"/>
          <w:sz w:val="24"/>
          <w:szCs w:val="24"/>
        </w:rPr>
      </w:pPr>
      <w:r>
        <w:rPr>
          <w:rFonts w:hint="eastAsia" w:ascii="宋体" w:hAnsi="宋体" w:cs="宋体"/>
          <w:spacing w:val="-6"/>
          <w:sz w:val="24"/>
          <w:szCs w:val="24"/>
        </w:rPr>
        <w:t>2.包装要求：所有产品货物外包装按相关规定执行，不得有破损和霉烂。</w:t>
      </w:r>
      <w:bookmarkEnd w:id="481"/>
      <w:bookmarkEnd w:id="482"/>
      <w:bookmarkEnd w:id="483"/>
      <w:bookmarkStart w:id="484" w:name="_Toc4992"/>
      <w:bookmarkStart w:id="485" w:name="_Toc14859"/>
      <w:bookmarkStart w:id="486" w:name="_Toc18944"/>
    </w:p>
    <w:p>
      <w:pPr>
        <w:spacing w:line="360" w:lineRule="auto"/>
        <w:ind w:firstLine="456" w:firstLineChars="200"/>
        <w:rPr>
          <w:rFonts w:ascii="宋体" w:hAnsi="宋体" w:cs="宋体"/>
          <w:bCs/>
          <w:sz w:val="24"/>
        </w:rPr>
      </w:pPr>
      <w:r>
        <w:rPr>
          <w:rFonts w:hint="eastAsia" w:ascii="宋体" w:hAnsi="宋体" w:cs="宋体"/>
          <w:spacing w:val="-6"/>
          <w:sz w:val="24"/>
          <w:szCs w:val="24"/>
        </w:rPr>
        <w:t>3.费用：中标人</w:t>
      </w:r>
      <w:bookmarkEnd w:id="484"/>
      <w:bookmarkEnd w:id="485"/>
      <w:bookmarkEnd w:id="486"/>
      <w:r>
        <w:rPr>
          <w:rFonts w:hint="eastAsia" w:ascii="宋体" w:hAnsi="宋体" w:cs="宋体"/>
          <w:bCs/>
          <w:sz w:val="24"/>
        </w:rPr>
        <w:t>负责产品的包装、运输、装卸、安装、调试、验收等工作，产品正式交付采购人使用前进行安装、调试和质保期内设备正常运行所需一切必要耗材及其费用均由中标人负责。</w:t>
      </w:r>
      <w:bookmarkStart w:id="487" w:name="_Toc31927"/>
      <w:bookmarkStart w:id="488" w:name="_Toc5378"/>
      <w:bookmarkStart w:id="489" w:name="_Toc26799"/>
    </w:p>
    <w:p>
      <w:pPr>
        <w:spacing w:line="360" w:lineRule="auto"/>
        <w:ind w:firstLine="482" w:firstLineChars="200"/>
        <w:rPr>
          <w:rFonts w:ascii="宋体" w:hAnsi="宋体" w:cs="宋体"/>
          <w:spacing w:val="-6"/>
          <w:sz w:val="24"/>
          <w:szCs w:val="24"/>
        </w:rPr>
      </w:pPr>
      <w:r>
        <w:rPr>
          <w:rFonts w:hint="eastAsia" w:ascii="宋体" w:hAnsi="宋体" w:cs="宋体"/>
          <w:b/>
          <w:color w:val="000000"/>
          <w:sz w:val="24"/>
        </w:rPr>
        <w:t>★</w:t>
      </w:r>
      <w:r>
        <w:rPr>
          <w:rFonts w:hint="eastAsia" w:ascii="宋体" w:hAnsi="宋体" w:cs="宋体"/>
          <w:spacing w:val="-6"/>
          <w:sz w:val="24"/>
          <w:szCs w:val="24"/>
        </w:rPr>
        <w:t>4.保修要求：产品从采购人验收后合格之日起，保修按厂家规定标准执行。</w:t>
      </w:r>
      <w:bookmarkEnd w:id="487"/>
      <w:bookmarkEnd w:id="488"/>
      <w:bookmarkEnd w:id="489"/>
      <w:bookmarkStart w:id="490" w:name="_Toc19434"/>
      <w:bookmarkStart w:id="491" w:name="_Toc7083"/>
      <w:bookmarkStart w:id="492" w:name="_Toc5766"/>
    </w:p>
    <w:p>
      <w:pPr>
        <w:spacing w:line="360" w:lineRule="auto"/>
        <w:ind w:firstLine="482" w:firstLineChars="200"/>
        <w:rPr>
          <w:rFonts w:ascii="宋体" w:hAnsi="宋体" w:cs="宋体"/>
          <w:spacing w:val="-6"/>
          <w:sz w:val="24"/>
          <w:szCs w:val="24"/>
        </w:rPr>
      </w:pPr>
      <w:r>
        <w:rPr>
          <w:rFonts w:hint="eastAsia" w:ascii="宋体" w:hAnsi="宋体" w:cs="宋体"/>
          <w:b/>
          <w:color w:val="000000"/>
          <w:sz w:val="24"/>
        </w:rPr>
        <w:t>★</w:t>
      </w:r>
      <w:r>
        <w:rPr>
          <w:rFonts w:hint="eastAsia" w:ascii="宋体" w:hAnsi="宋体" w:cs="宋体"/>
          <w:spacing w:val="-6"/>
          <w:sz w:val="24"/>
          <w:szCs w:val="24"/>
        </w:rPr>
        <w:t>5.质保期：</w:t>
      </w:r>
      <w:r>
        <w:rPr>
          <w:rFonts w:hint="eastAsia" w:ascii="宋体" w:hAnsi="宋体" w:cs="宋体"/>
          <w:b/>
          <w:bCs/>
          <w:spacing w:val="-6"/>
          <w:sz w:val="24"/>
          <w:szCs w:val="24"/>
        </w:rPr>
        <w:t>本项目质保期二年，时间自货物验收完毕之日起。（若参数中质保期大于二年的，以参数中明确的为准）</w:t>
      </w:r>
      <w:r>
        <w:rPr>
          <w:rFonts w:hint="eastAsia" w:ascii="宋体" w:hAnsi="宋体" w:cs="宋体"/>
          <w:spacing w:val="-6"/>
          <w:sz w:val="24"/>
          <w:szCs w:val="24"/>
        </w:rPr>
        <w:t>在质保期内如发现质量问题，实行包修、包换、包退，直至产品符合质量要求。</w:t>
      </w:r>
      <w:r>
        <w:rPr>
          <w:rFonts w:hint="eastAsia" w:ascii="宋体" w:hAnsi="宋体" w:cs="宋体"/>
          <w:sz w:val="24"/>
          <w:szCs w:val="24"/>
        </w:rPr>
        <w:t>投标供应商</w:t>
      </w:r>
      <w:r>
        <w:rPr>
          <w:rFonts w:hint="eastAsia" w:ascii="宋体" w:hAnsi="宋体" w:cs="宋体"/>
          <w:spacing w:val="-6"/>
          <w:sz w:val="24"/>
          <w:szCs w:val="24"/>
        </w:rPr>
        <w:t>应保证货物为全新、未使用过的原装正品，保证所提供的货物的外观和内在质量都无任何问题。如质量出现问题，成交方负责“三包”，费用由中标人负责。</w:t>
      </w:r>
      <w:bookmarkEnd w:id="490"/>
      <w:bookmarkEnd w:id="491"/>
      <w:bookmarkEnd w:id="492"/>
      <w:bookmarkStart w:id="493" w:name="_Toc1465"/>
      <w:bookmarkStart w:id="494" w:name="_Toc1329"/>
      <w:bookmarkStart w:id="495" w:name="_Toc21583"/>
    </w:p>
    <w:p>
      <w:pPr>
        <w:spacing w:line="360" w:lineRule="auto"/>
        <w:ind w:firstLine="482" w:firstLineChars="200"/>
        <w:rPr>
          <w:rFonts w:ascii="宋体" w:hAnsi="宋体" w:cs="宋体"/>
          <w:spacing w:val="-6"/>
          <w:sz w:val="24"/>
          <w:szCs w:val="24"/>
        </w:rPr>
      </w:pPr>
      <w:r>
        <w:rPr>
          <w:rFonts w:hint="eastAsia" w:ascii="宋体" w:hAnsi="宋体" w:cs="宋体"/>
          <w:b/>
          <w:color w:val="000000"/>
          <w:sz w:val="24"/>
        </w:rPr>
        <w:t>★</w:t>
      </w:r>
      <w:r>
        <w:rPr>
          <w:rFonts w:hint="eastAsia" w:ascii="宋体" w:hAnsi="宋体" w:cs="宋体"/>
          <w:spacing w:val="-6"/>
          <w:sz w:val="24"/>
          <w:szCs w:val="24"/>
        </w:rPr>
        <w:t>6.中标人在产品保质期内，每年不少于2次定期上门对产品设备进行全面维护保养，保障产品设备正常运行或使用。</w:t>
      </w:r>
      <w:bookmarkEnd w:id="493"/>
      <w:bookmarkEnd w:id="494"/>
      <w:bookmarkEnd w:id="495"/>
    </w:p>
    <w:p>
      <w:pPr>
        <w:spacing w:line="360" w:lineRule="auto"/>
        <w:ind w:firstLine="482" w:firstLineChars="200"/>
        <w:rPr>
          <w:rFonts w:ascii="宋体" w:hAnsi="宋体" w:cs="宋体"/>
          <w:spacing w:val="-6"/>
          <w:sz w:val="24"/>
          <w:szCs w:val="24"/>
        </w:rPr>
      </w:pPr>
      <w:r>
        <w:rPr>
          <w:rFonts w:hint="eastAsia" w:ascii="宋体" w:hAnsi="宋体" w:cs="宋体"/>
          <w:b/>
          <w:color w:val="000000"/>
          <w:sz w:val="24"/>
        </w:rPr>
        <w:t>★</w:t>
      </w:r>
      <w:r>
        <w:rPr>
          <w:rFonts w:hint="eastAsia" w:ascii="宋体" w:hAnsi="宋体" w:cs="宋体"/>
          <w:spacing w:val="-6"/>
          <w:sz w:val="24"/>
          <w:szCs w:val="24"/>
        </w:rPr>
        <w:t>7.维修响应：中标人保证所供产品在质保期内因设备本身缺陷造成各种故障应由中标人免费提供技术服务和维修，若出现产品质量问题应能够在1小时内响应，2小时内提出解决方案，6小时内派维修人员到达现场维修，对于维修期间超过10天的产品应提供备用产品供采购人使用。若中标人未能按时响应并完成维修的，采购人有权自行委托第三方维修或更换，采购人由此产生的费用由中标人全额承担，采购人并有权直接在未付中标人的款项中予以扣除。</w:t>
      </w:r>
    </w:p>
    <w:p>
      <w:pPr>
        <w:numPr>
          <w:ilvl w:val="0"/>
          <w:numId w:val="7"/>
        </w:numPr>
        <w:spacing w:line="360" w:lineRule="auto"/>
        <w:ind w:firstLine="458" w:firstLineChars="200"/>
        <w:rPr>
          <w:rFonts w:ascii="宋体" w:hAnsi="宋体" w:cs="宋体"/>
          <w:b/>
          <w:bCs/>
          <w:spacing w:val="-6"/>
          <w:sz w:val="24"/>
          <w:szCs w:val="24"/>
        </w:rPr>
      </w:pPr>
      <w:r>
        <w:rPr>
          <w:rFonts w:hint="eastAsia" w:ascii="宋体" w:hAnsi="宋体" w:cs="宋体"/>
          <w:b/>
          <w:bCs/>
          <w:spacing w:val="-6"/>
          <w:sz w:val="24"/>
          <w:szCs w:val="24"/>
        </w:rPr>
        <w:t>对列入强制性认证产品目录中的产品须提供强制性认证证书（CCC证书）。</w:t>
      </w:r>
    </w:p>
    <w:p>
      <w:pPr>
        <w:spacing w:line="360" w:lineRule="auto"/>
        <w:rPr>
          <w:rFonts w:ascii="宋体" w:hAnsi="宋体" w:cs="宋体"/>
          <w:b/>
          <w:bCs/>
          <w:spacing w:val="-6"/>
          <w:sz w:val="24"/>
          <w:szCs w:val="24"/>
        </w:rPr>
        <w:sectPr>
          <w:headerReference r:id="rId8" w:type="default"/>
          <w:footerReference r:id="rId9" w:type="default"/>
          <w:pgSz w:w="11905" w:h="16838"/>
          <w:pgMar w:top="1134" w:right="1134" w:bottom="1134" w:left="1134" w:header="720" w:footer="720" w:gutter="0"/>
          <w:cols w:space="0" w:num="1"/>
          <w:docGrid w:type="lines" w:linePitch="331" w:charSpace="0"/>
        </w:sectPr>
      </w:pPr>
      <w:r>
        <w:rPr>
          <w:rFonts w:hint="eastAsia" w:ascii="宋体" w:hAnsi="宋体" w:cs="宋体"/>
          <w:b/>
          <w:bCs/>
          <w:spacing w:val="-6"/>
          <w:sz w:val="24"/>
          <w:szCs w:val="24"/>
        </w:rPr>
        <w:t>四、采购清单：</w:t>
      </w:r>
    </w:p>
    <w:tbl>
      <w:tblPr>
        <w:tblStyle w:val="41"/>
        <w:tblW w:w="14630" w:type="dxa"/>
        <w:tblInd w:w="93" w:type="dxa"/>
        <w:tblLayout w:type="autofit"/>
        <w:tblCellMar>
          <w:top w:w="0" w:type="dxa"/>
          <w:left w:w="108" w:type="dxa"/>
          <w:bottom w:w="0" w:type="dxa"/>
          <w:right w:w="108" w:type="dxa"/>
        </w:tblCellMar>
      </w:tblPr>
      <w:tblGrid>
        <w:gridCol w:w="825"/>
        <w:gridCol w:w="1606"/>
        <w:gridCol w:w="8779"/>
        <w:gridCol w:w="1410"/>
        <w:gridCol w:w="1065"/>
        <w:gridCol w:w="945"/>
      </w:tblGrid>
      <w:tr>
        <w:tblPrEx>
          <w:tblCellMar>
            <w:top w:w="0" w:type="dxa"/>
            <w:left w:w="108" w:type="dxa"/>
            <w:bottom w:w="0" w:type="dxa"/>
            <w:right w:w="108" w:type="dxa"/>
          </w:tblCellMar>
        </w:tblPrEx>
        <w:trPr>
          <w:trHeight w:val="54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序号</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名称</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规格参数</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单价</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小计</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消防安全腰带</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1、总体性能符合《GA494-2004消防用防坠落装备》标准。</w:t>
            </w:r>
            <w:r>
              <w:rPr>
                <w:rFonts w:hint="eastAsia" w:ascii="宋体" w:hAnsi="宋体" w:cs="宋体"/>
              </w:rPr>
              <w:br w:type="textWrapping"/>
            </w:r>
            <w:r>
              <w:rPr>
                <w:rFonts w:hint="eastAsia" w:ascii="宋体" w:hAnsi="宋体" w:cs="宋体"/>
              </w:rPr>
              <w:t>2、由织带、带扣、D形环和移动板组成，主要采用聚酰胺和热锻铝合金材质，采取固定与移动相结合的D形环设计，安全腰带的织带为一整根，无接缝。，可调节尺寸大小以适合不同体型，主体颜色为藏蓝色，带扣：铝本色阳极氧化处理，D形环：铝本色阳极氧化处理。移动板为黑色，收带扣：颜色为黑色。安全腰带的织带为一整根，无接缝。安全腰带有两排圆孔，可调节尺寸大小以适合不同体型。</w:t>
            </w:r>
            <w:r>
              <w:rPr>
                <w:rFonts w:hint="eastAsia" w:ascii="宋体" w:hAnsi="宋体" w:cs="宋体"/>
              </w:rPr>
              <w:br w:type="textWrapping"/>
            </w:r>
            <w:r>
              <w:rPr>
                <w:rFonts w:hint="eastAsia" w:ascii="宋体" w:hAnsi="宋体" w:cs="宋体"/>
              </w:rPr>
              <w:t>3、技术性能：织带：材质采用高强度锦纶丝（尼龙66），织带为整根无接缝。宽度：约70mm，厚度约2mm，末端整烫圆弧形收尾。金属拉环：厚度约10mm，正立方向静拉力≥13kN，重量≤0.5kg。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190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5700</w:t>
            </w:r>
          </w:p>
        </w:tc>
      </w:tr>
      <w:tr>
        <w:tblPrEx>
          <w:tblCellMar>
            <w:top w:w="0" w:type="dxa"/>
            <w:left w:w="108" w:type="dxa"/>
            <w:bottom w:w="0" w:type="dxa"/>
            <w:right w:w="108" w:type="dxa"/>
          </w:tblCellMar>
        </w:tblPrEx>
        <w:trPr>
          <w:trHeight w:val="3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正压式消防空气呼吸器（9L)</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1、符合国家XF124-2013《正压式消防空气呼吸器》标准；</w:t>
            </w:r>
            <w:r>
              <w:rPr>
                <w:rFonts w:hint="eastAsia" w:ascii="宋体" w:hAnsi="宋体" w:cs="宋体"/>
              </w:rPr>
              <w:br w:type="textWrapping"/>
            </w:r>
            <w:r>
              <w:rPr>
                <w:rFonts w:hint="eastAsia" w:ascii="宋体" w:hAnsi="宋体" w:cs="宋体"/>
              </w:rPr>
              <w:t>2、产品由全面罩、供气阀、减压器总成、报警器、HUD压力平视显示装置、背具等组成，且全面罩、供气阀、减压器总成、报警器、HUD压力平视显示装置、背具为同一品牌，同一生产企业；</w:t>
            </w:r>
            <w:r>
              <w:rPr>
                <w:rFonts w:hint="eastAsia" w:ascii="宋体" w:hAnsi="宋体" w:cs="宋体"/>
              </w:rPr>
              <w:br w:type="textWrapping"/>
            </w:r>
            <w:r>
              <w:rPr>
                <w:rFonts w:hint="eastAsia" w:ascii="宋体" w:hAnsi="宋体" w:cs="宋体"/>
              </w:rPr>
              <w:t>2、气瓶：符合 GB28053-2011《呼吸器用复合气瓶瓶》规定碳纤维复合气瓶，气瓶容量9L，每个气瓶配有保护套（阻燃材质），有防误关装置。工作压力：30MPa，出口螺纹：G5/8；</w:t>
            </w:r>
            <w:r>
              <w:rPr>
                <w:rFonts w:hint="eastAsia" w:ascii="宋体" w:hAnsi="宋体" w:cs="宋体"/>
              </w:rPr>
              <w:br w:type="textWrapping"/>
            </w:r>
            <w:r>
              <w:rPr>
                <w:rFonts w:hint="eastAsia" w:ascii="宋体" w:hAnsi="宋体" w:cs="宋体"/>
              </w:rPr>
              <w:t>▲3、面罩：面窗为球型大视野面窗，内外双层防雾防划处理，头网为五点可调节、凯夫拉阻燃材料。全面罩总视野保留率≥83%，双目视野保留率≥73%，下方视野≥35°，镜片的透光率≥92%，吸人气体中的二氧化碳含量(按体积比)不大于1%；，内外双层防雾防划处理（提供生产工艺证明文件）；</w:t>
            </w:r>
            <w:r>
              <w:rPr>
                <w:rFonts w:hint="eastAsia" w:ascii="宋体" w:hAnsi="宋体" w:cs="宋体"/>
              </w:rPr>
              <w:br w:type="textWrapping"/>
            </w:r>
            <w:r>
              <w:rPr>
                <w:rFonts w:hint="eastAsia" w:ascii="宋体" w:hAnsi="宋体" w:cs="宋体"/>
              </w:rPr>
              <w:t>▲4、动态呼吸阻力：在30～2MPa范围内，以呼吸频率40次/min，呼吸流量100 L/min呼吸，呼吸器的全面罩内应始终保持正压，且吸气阻力不应大于180 Pa，呼气阻力不应大于480 Pa；在2～1MPa范围内，以呼吸频率25次/min，呼吸流量50 L/min呼吸，呼吸器的全面罩内应保持正压，且吸气阻力不应大于120 Pa，呼气阻力不应大于290 Pa；</w:t>
            </w:r>
            <w:r>
              <w:rPr>
                <w:rFonts w:hint="eastAsia" w:ascii="宋体" w:hAnsi="宋体" w:cs="宋体"/>
              </w:rPr>
              <w:br w:type="textWrapping"/>
            </w:r>
            <w:r>
              <w:rPr>
                <w:rFonts w:hint="eastAsia" w:ascii="宋体" w:hAnsi="宋体" w:cs="宋体"/>
              </w:rPr>
              <w:t>5、耐高温性能：在高温试验后，各零部件应无异常变形、粘连、脱胶等现象；以呼吸频率40次/min，呼吸流量100 L/min呼吸，呼吸器的全面罩内应保持正压，且呼气阻力不应大于470Pa；</w:t>
            </w:r>
            <w:r>
              <w:rPr>
                <w:rFonts w:hint="eastAsia" w:ascii="宋体" w:hAnsi="宋体" w:cs="宋体"/>
              </w:rPr>
              <w:br w:type="textWrapping"/>
            </w:r>
            <w:r>
              <w:rPr>
                <w:rFonts w:hint="eastAsia" w:ascii="宋体" w:hAnsi="宋体" w:cs="宋体"/>
              </w:rPr>
              <w:t>6、耐低温性能：在低温试验后，各零部件应无开裂、异常收缩、发脆等现象；以呼吸频率25次/min，呼吸流量50 L/min呼吸，呼吸器的全面罩内应保持正压，且呼气阻力不应大于400Pa；</w:t>
            </w:r>
            <w:r>
              <w:rPr>
                <w:rFonts w:hint="eastAsia" w:ascii="宋体" w:hAnsi="宋体" w:cs="宋体"/>
              </w:rPr>
              <w:br w:type="textWrapping"/>
            </w:r>
            <w:r>
              <w:rPr>
                <w:rFonts w:hint="eastAsia" w:ascii="宋体" w:hAnsi="宋体" w:cs="宋体"/>
              </w:rPr>
              <w:t>7、面罩具有气瓶余压力平视显示功能，显示装置不妨碍佩戴者视线。采用LED或其他显示方式，通过红、黄、绿等颜色显示不同压力状态；发射端采用个人单元装置，机械、数字双显示，可智能感知压力，自动启动；</w:t>
            </w:r>
            <w:r>
              <w:rPr>
                <w:rFonts w:hint="eastAsia" w:ascii="宋体" w:hAnsi="宋体" w:cs="宋体"/>
              </w:rPr>
              <w:br w:type="textWrapping"/>
            </w:r>
            <w:r>
              <w:rPr>
                <w:rFonts w:hint="eastAsia" w:ascii="宋体" w:hAnsi="宋体" w:cs="宋体"/>
              </w:rPr>
              <w:t>8、前置压力显示器的连接为活动式，表盘荧光显示，便于在黑暗中读取数据，报警方式采用机械，电子双报警模式，报警哨耗气量≤3L/min；</w:t>
            </w:r>
            <w:r>
              <w:rPr>
                <w:rFonts w:hint="eastAsia" w:ascii="宋体" w:hAnsi="宋体" w:cs="宋体"/>
              </w:rPr>
              <w:br w:type="textWrapping"/>
            </w:r>
            <w:r>
              <w:rPr>
                <w:rFonts w:hint="eastAsia" w:ascii="宋体" w:hAnsi="宋体" w:cs="宋体"/>
              </w:rPr>
              <w:t>▲9、背架：为高强度的复合材料制成，高、中压管隐藏于气瓶与背板之间；整体按人体工程学设计，背衬外层采用芳纶面料，具有防水、防滑、耐磨、阻燃等功能；</w:t>
            </w:r>
            <w:r>
              <w:rPr>
                <w:rFonts w:hint="eastAsia" w:ascii="宋体" w:hAnsi="宋体" w:cs="宋体"/>
              </w:rPr>
              <w:br w:type="textWrapping"/>
            </w:r>
            <w:r>
              <w:rPr>
                <w:rFonts w:hint="eastAsia" w:ascii="宋体" w:hAnsi="宋体" w:cs="宋体"/>
              </w:rPr>
              <w:t>10、配有他救接口；</w:t>
            </w:r>
            <w:r>
              <w:rPr>
                <w:rFonts w:hint="eastAsia" w:ascii="宋体" w:hAnsi="宋体" w:cs="宋体"/>
              </w:rPr>
              <w:br w:type="textWrapping"/>
            </w:r>
            <w:r>
              <w:rPr>
                <w:rFonts w:hint="eastAsia" w:ascii="宋体" w:hAnsi="宋体" w:cs="宋体"/>
              </w:rPr>
              <w:t>11、整体质量：≤13kg。</w:t>
            </w:r>
            <w:r>
              <w:rPr>
                <w:rFonts w:hint="eastAsia" w:ascii="宋体" w:hAnsi="宋体" w:cs="宋体"/>
              </w:rPr>
              <w:br w:type="textWrapping"/>
            </w:r>
            <w:r>
              <w:rPr>
                <w:rFonts w:hint="eastAsia" w:ascii="宋体" w:hAnsi="宋体" w:cs="宋体"/>
              </w:rPr>
              <w:t>12、电子部分需符合Exiall C T4Ga防爆认证。</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157500</w:t>
            </w:r>
          </w:p>
        </w:tc>
      </w:tr>
      <w:tr>
        <w:tblPrEx>
          <w:tblCellMar>
            <w:top w:w="0" w:type="dxa"/>
            <w:left w:w="108" w:type="dxa"/>
            <w:bottom w:w="0" w:type="dxa"/>
            <w:right w:w="108" w:type="dxa"/>
          </w:tblCellMar>
        </w:tblPrEx>
        <w:trPr>
          <w:trHeight w:val="555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佩戴式防爆照明灯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1.*本产品严格执行GB30734-2014消防员照明灯具国家标准要求。</w:t>
            </w:r>
            <w:r>
              <w:rPr>
                <w:rFonts w:hint="eastAsia" w:ascii="宋体" w:hAnsi="宋体" w:cs="宋体"/>
              </w:rPr>
              <w:br w:type="textWrapping"/>
            </w:r>
            <w:r>
              <w:rPr>
                <w:rFonts w:hint="eastAsia" w:ascii="宋体" w:hAnsi="宋体" w:cs="宋体"/>
              </w:rPr>
              <w:t>2.*产品符合GB3836.1-2021 、GB3836.4-2021、国家防爆标准，防爆等级：Ex ib IIC T4 Gb;Exib IIIC T130℃ Db 。</w:t>
            </w:r>
            <w:r>
              <w:rPr>
                <w:rFonts w:hint="eastAsia" w:ascii="宋体" w:hAnsi="宋体" w:cs="宋体"/>
              </w:rPr>
              <w:br w:type="textWrapping"/>
            </w:r>
            <w:r>
              <w:rPr>
                <w:rFonts w:hint="eastAsia" w:ascii="宋体" w:hAnsi="宋体" w:cs="宋体"/>
              </w:rPr>
              <w:t>3.电压3.7V，光源采用LED，额定功率3W，光效高、使用寿命长达10万小时</w:t>
            </w:r>
            <w:r>
              <w:rPr>
                <w:rFonts w:hint="eastAsia" w:ascii="宋体" w:hAnsi="宋体" w:cs="宋体"/>
              </w:rPr>
              <w:br w:type="textWrapping"/>
            </w:r>
            <w:r>
              <w:rPr>
                <w:rFonts w:hint="eastAsia" w:ascii="宋体" w:hAnsi="宋体" w:cs="宋体"/>
              </w:rPr>
              <w:t>4.具有强光、工作光、爆闪三挡功能，通过按压开关可以切换。</w:t>
            </w:r>
            <w:r>
              <w:rPr>
                <w:rFonts w:hint="eastAsia" w:ascii="宋体" w:hAnsi="宋体" w:cs="宋体"/>
              </w:rPr>
              <w:br w:type="textWrapping"/>
            </w:r>
            <w:r>
              <w:rPr>
                <w:rFonts w:hint="eastAsia" w:ascii="宋体" w:hAnsi="宋体" w:cs="宋体"/>
              </w:rPr>
              <w:t>5.锂电池容量电池1.9Ah，强光4小时，工作光8小时。</w:t>
            </w:r>
            <w:r>
              <w:rPr>
                <w:rFonts w:hint="eastAsia" w:ascii="宋体" w:hAnsi="宋体" w:cs="宋体"/>
              </w:rPr>
              <w:br w:type="textWrapping"/>
            </w:r>
            <w:r>
              <w:rPr>
                <w:rFonts w:hint="eastAsia" w:ascii="宋体" w:hAnsi="宋体" w:cs="宋体"/>
              </w:rPr>
              <w:t>6.尾部红色警示方位灯设计。</w:t>
            </w:r>
            <w:r>
              <w:rPr>
                <w:rFonts w:hint="eastAsia" w:ascii="宋体" w:hAnsi="宋体" w:cs="宋体"/>
              </w:rPr>
              <w:br w:type="textWrapping"/>
            </w:r>
            <w:r>
              <w:rPr>
                <w:rFonts w:hint="eastAsia" w:ascii="宋体" w:hAnsi="宋体" w:cs="宋体"/>
              </w:rPr>
              <w:t>7.充电口采用Type-C设计，充电器采用插头交直流转换器分离式结构。</w:t>
            </w:r>
            <w:r>
              <w:rPr>
                <w:rFonts w:hint="eastAsia" w:ascii="宋体" w:hAnsi="宋体" w:cs="宋体"/>
              </w:rPr>
              <w:br w:type="textWrapping"/>
            </w:r>
            <w:r>
              <w:rPr>
                <w:rFonts w:hint="eastAsia" w:ascii="宋体" w:hAnsi="宋体" w:cs="宋体"/>
              </w:rPr>
              <w:t>8.具有的四波段式电量显示，可随时直观查询剩余电量。</w:t>
            </w:r>
            <w:r>
              <w:rPr>
                <w:rFonts w:hint="eastAsia" w:ascii="宋体" w:hAnsi="宋体" w:cs="宋体"/>
              </w:rPr>
              <w:br w:type="textWrapping"/>
            </w:r>
            <w:r>
              <w:rPr>
                <w:rFonts w:hint="eastAsia" w:ascii="宋体" w:hAnsi="宋体" w:cs="宋体"/>
              </w:rPr>
              <w:t>9.配有可方便安装在消防帽盔和安全帽救援头盔上的安装支架，可任意调结照射方向。</w:t>
            </w:r>
            <w:r>
              <w:rPr>
                <w:rFonts w:hint="eastAsia" w:ascii="宋体" w:hAnsi="宋体" w:cs="宋体"/>
              </w:rPr>
              <w:br w:type="textWrapping"/>
            </w:r>
            <w:r>
              <w:rPr>
                <w:rFonts w:hint="eastAsia" w:ascii="宋体" w:hAnsi="宋体" w:cs="宋体"/>
              </w:rPr>
              <w:t>10.外壳防护等级符合GB/T4207-2008的≥IP67标准。</w:t>
            </w:r>
            <w:r>
              <w:rPr>
                <w:rFonts w:hint="eastAsia" w:ascii="宋体" w:hAnsi="宋体" w:cs="宋体"/>
              </w:rPr>
              <w:br w:type="textWrapping"/>
            </w:r>
            <w:r>
              <w:rPr>
                <w:rFonts w:hint="eastAsia" w:ascii="宋体" w:hAnsi="宋体" w:cs="宋体"/>
              </w:rPr>
              <w:t>11.*具有优良在恶劣环境适应能力，能在-25℃-55℃范围内正常工作。</w:t>
            </w:r>
            <w:r>
              <w:rPr>
                <w:rFonts w:hint="eastAsia" w:ascii="宋体" w:hAnsi="宋体" w:cs="宋体"/>
              </w:rPr>
              <w:br w:type="textWrapping"/>
            </w:r>
            <w:r>
              <w:rPr>
                <w:rFonts w:hint="eastAsia" w:ascii="宋体" w:hAnsi="宋体" w:cs="宋体"/>
              </w:rPr>
              <w:t>12.*产品具有优异的绝缘性能及耐电压性能，能承受高达500V的耐电压测试。</w:t>
            </w:r>
            <w:r>
              <w:rPr>
                <w:rFonts w:hint="eastAsia" w:ascii="宋体" w:hAnsi="宋体" w:cs="宋体"/>
              </w:rPr>
              <w:br w:type="textWrapping"/>
            </w:r>
            <w:r>
              <w:rPr>
                <w:rFonts w:hint="eastAsia" w:ascii="宋体" w:hAnsi="宋体" w:cs="宋体"/>
              </w:rPr>
              <w:t>13.*绝缘性能/MΩ 在常温环境下，灯具带电端子与外壳简的绝缘电阻应不小于﹥450 交变湿热试验电阻应不小于﹥5。</w:t>
            </w:r>
            <w:r>
              <w:rPr>
                <w:rFonts w:hint="eastAsia" w:ascii="宋体" w:hAnsi="宋体" w:cs="宋体"/>
              </w:rPr>
              <w:br w:type="textWrapping"/>
            </w:r>
            <w:r>
              <w:rPr>
                <w:rFonts w:hint="eastAsia" w:ascii="宋体" w:hAnsi="宋体" w:cs="宋体"/>
              </w:rPr>
              <w:t>*质量保证：需提供制国家认可机构出具的相关证书。</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520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23400</w:t>
            </w:r>
          </w:p>
        </w:tc>
      </w:tr>
      <w:tr>
        <w:tblPrEx>
          <w:tblCellMar>
            <w:top w:w="0" w:type="dxa"/>
            <w:left w:w="108" w:type="dxa"/>
            <w:bottom w:w="0" w:type="dxa"/>
            <w:right w:w="108" w:type="dxa"/>
          </w:tblCellMar>
        </w:tblPrEx>
        <w:trPr>
          <w:trHeight w:val="48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消防员呼救器(含方位灯）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本产品符合GB27900-2011《消防员呼救器》的标准要求，防爆性能符合GB3836.1-2010，GB3836.4-2010标准要求。</w:t>
            </w:r>
            <w:r>
              <w:rPr>
                <w:rFonts w:hint="eastAsia" w:ascii="宋体" w:hAnsi="宋体" w:cs="宋体"/>
              </w:rPr>
              <w:br w:type="textWrapping"/>
            </w:r>
            <w:r>
              <w:rPr>
                <w:rFonts w:hint="eastAsia" w:ascii="宋体" w:hAnsi="宋体" w:cs="宋体"/>
              </w:rPr>
              <w:t>技术性能：</w:t>
            </w:r>
            <w:r>
              <w:rPr>
                <w:rFonts w:hint="eastAsia" w:ascii="宋体" w:hAnsi="宋体" w:cs="宋体"/>
              </w:rPr>
              <w:br w:type="textWrapping"/>
            </w:r>
            <w:r>
              <w:rPr>
                <w:rFonts w:hint="eastAsia" w:ascii="宋体" w:hAnsi="宋体" w:cs="宋体"/>
              </w:rPr>
              <w:t>1. 允许静止时间约30s</w:t>
            </w:r>
            <w:r>
              <w:rPr>
                <w:rFonts w:hint="eastAsia" w:ascii="宋体" w:hAnsi="宋体" w:cs="宋体"/>
              </w:rPr>
              <w:br w:type="textWrapping"/>
            </w:r>
            <w:r>
              <w:rPr>
                <w:rFonts w:hint="eastAsia" w:ascii="宋体" w:hAnsi="宋体" w:cs="宋体"/>
              </w:rPr>
              <w:t>2. 预报警时间约14s</w:t>
            </w:r>
            <w:r>
              <w:rPr>
                <w:rFonts w:hint="eastAsia" w:ascii="宋体" w:hAnsi="宋体" w:cs="宋体"/>
              </w:rPr>
              <w:br w:type="textWrapping"/>
            </w:r>
            <w:r>
              <w:rPr>
                <w:rFonts w:hint="eastAsia" w:ascii="宋体" w:hAnsi="宋体" w:cs="宋体"/>
              </w:rPr>
              <w:t xml:space="preserve">3. 预报警声强/dB ≥96dB </w:t>
            </w:r>
            <w:r>
              <w:rPr>
                <w:rFonts w:hint="eastAsia" w:ascii="宋体" w:hAnsi="宋体" w:cs="宋体"/>
              </w:rPr>
              <w:br w:type="textWrapping"/>
            </w:r>
            <w:r>
              <w:rPr>
                <w:rFonts w:hint="eastAsia" w:ascii="宋体" w:hAnsi="宋体" w:cs="宋体"/>
              </w:rPr>
              <w:t xml:space="preserve">4. 报警声强/dB ≥100dB </w:t>
            </w:r>
            <w:r>
              <w:rPr>
                <w:rFonts w:hint="eastAsia" w:ascii="宋体" w:hAnsi="宋体" w:cs="宋体"/>
              </w:rPr>
              <w:br w:type="textWrapping"/>
            </w:r>
            <w:r>
              <w:rPr>
                <w:rFonts w:hint="eastAsia" w:ascii="宋体" w:hAnsi="宋体" w:cs="宋体"/>
              </w:rPr>
              <w:t xml:space="preserve">5. 连续开机时间/h ≥24 </w:t>
            </w:r>
            <w:r>
              <w:rPr>
                <w:rFonts w:hint="eastAsia" w:ascii="宋体" w:hAnsi="宋体" w:cs="宋体"/>
              </w:rPr>
              <w:br w:type="textWrapping"/>
            </w:r>
            <w:r>
              <w:rPr>
                <w:rFonts w:hint="eastAsia" w:ascii="宋体" w:hAnsi="宋体" w:cs="宋体"/>
              </w:rPr>
              <w:t xml:space="preserve">6. 连续报警时间/min ≥330 </w:t>
            </w:r>
            <w:r>
              <w:rPr>
                <w:rFonts w:hint="eastAsia" w:ascii="宋体" w:hAnsi="宋体" w:cs="宋体"/>
              </w:rPr>
              <w:br w:type="textWrapping"/>
            </w:r>
            <w:r>
              <w:rPr>
                <w:rFonts w:hint="eastAsia" w:ascii="宋体" w:hAnsi="宋体" w:cs="宋体"/>
              </w:rPr>
              <w:t>7. 质量（包括电池）/ g ≤ 237</w:t>
            </w:r>
            <w:r>
              <w:rPr>
                <w:rFonts w:hint="eastAsia" w:ascii="宋体" w:hAnsi="宋体" w:cs="宋体"/>
              </w:rPr>
              <w:br w:type="textWrapping"/>
            </w:r>
            <w:r>
              <w:rPr>
                <w:rFonts w:hint="eastAsia" w:ascii="宋体" w:hAnsi="宋体" w:cs="宋体"/>
              </w:rPr>
              <w:t>8. 发光亮度/cd/㎡ ≥ 422.0</w:t>
            </w:r>
            <w:r>
              <w:rPr>
                <w:rFonts w:hint="eastAsia" w:ascii="宋体" w:hAnsi="宋体" w:cs="宋体"/>
              </w:rPr>
              <w:br w:type="textWrapping"/>
            </w:r>
            <w:r>
              <w:rPr>
                <w:rFonts w:hint="eastAsia" w:ascii="宋体" w:hAnsi="宋体" w:cs="宋体"/>
              </w:rPr>
              <w:t>9. 欠压警示电压：7.2V（声响报警1次/5S，灯闪报警1次/3S）</w:t>
            </w:r>
            <w:r>
              <w:rPr>
                <w:rFonts w:hint="eastAsia" w:ascii="宋体" w:hAnsi="宋体" w:cs="宋体"/>
              </w:rPr>
              <w:br w:type="textWrapping"/>
            </w:r>
            <w:r>
              <w:rPr>
                <w:rFonts w:hint="eastAsia" w:ascii="宋体" w:hAnsi="宋体" w:cs="宋体"/>
              </w:rPr>
              <w:t>10. 报警频率：800Hz～3.2KHz</w:t>
            </w:r>
            <w:r>
              <w:rPr>
                <w:rFonts w:hint="eastAsia" w:ascii="宋体" w:hAnsi="宋体" w:cs="宋体"/>
              </w:rPr>
              <w:br w:type="textWrapping"/>
            </w:r>
            <w:r>
              <w:rPr>
                <w:rFonts w:hint="eastAsia" w:ascii="宋体" w:hAnsi="宋体" w:cs="宋体"/>
              </w:rPr>
              <w:t>11. 电池性能：电池电压：9.6V（充电后电压）；充电电压：11.6V （空载）  0.8V（带负载充电到绿灯亮）；</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应急逃生自救安全绳</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1、符合《应急逃生自救安全绳（套装）试验大纲》，满足GA494-2004《消防用防坠落装备》标准要求。</w:t>
            </w:r>
            <w:r>
              <w:rPr>
                <w:rFonts w:hint="eastAsia" w:ascii="宋体" w:hAnsi="宋体" w:cs="宋体"/>
              </w:rPr>
              <w:br w:type="textWrapping"/>
            </w:r>
            <w:r>
              <w:rPr>
                <w:rFonts w:hint="eastAsia" w:ascii="宋体" w:hAnsi="宋体" w:cs="宋体"/>
              </w:rPr>
              <w:t>2、组成：多功能绳包、8毫米安全绳、安全钩、下降器、连接扁绳、排绳器等。</w:t>
            </w:r>
            <w:r>
              <w:rPr>
                <w:rFonts w:hint="eastAsia" w:ascii="宋体" w:hAnsi="宋体" w:cs="宋体"/>
              </w:rPr>
              <w:br w:type="textWrapping"/>
            </w:r>
            <w:r>
              <w:rPr>
                <w:rFonts w:hint="eastAsia" w:ascii="宋体" w:hAnsi="宋体" w:cs="宋体"/>
              </w:rPr>
              <w:t>3、整套套装质量≤1.5kg。</w:t>
            </w:r>
            <w:r>
              <w:rPr>
                <w:rFonts w:hint="eastAsia" w:ascii="宋体" w:hAnsi="宋体" w:cs="宋体"/>
              </w:rPr>
              <w:br w:type="textWrapping"/>
            </w:r>
            <w:r>
              <w:rPr>
                <w:rFonts w:hint="eastAsia" w:ascii="宋体" w:hAnsi="宋体" w:cs="宋体"/>
              </w:rPr>
              <w:t>4、安全绳直径约8mm，长度约16m。</w:t>
            </w:r>
            <w:r>
              <w:rPr>
                <w:rFonts w:hint="eastAsia" w:ascii="宋体" w:hAnsi="宋体" w:cs="宋体"/>
              </w:rPr>
              <w:br w:type="textWrapping"/>
            </w:r>
            <w:r>
              <w:rPr>
                <w:rFonts w:hint="eastAsia" w:ascii="宋体" w:hAnsi="宋体" w:cs="宋体"/>
              </w:rPr>
              <w:t>5、破断强度≥23KN  。</w:t>
            </w:r>
            <w:r>
              <w:rPr>
                <w:rFonts w:hint="eastAsia" w:ascii="宋体" w:hAnsi="宋体" w:cs="宋体"/>
              </w:rPr>
              <w:br w:type="textWrapping"/>
            </w:r>
            <w:r>
              <w:rPr>
                <w:rFonts w:hint="eastAsia" w:ascii="宋体" w:hAnsi="宋体" w:cs="宋体"/>
              </w:rPr>
              <w:t>6、延伸率≤6.0%（承重达到最小破断强度的10%时）.</w:t>
            </w:r>
            <w:r>
              <w:rPr>
                <w:rFonts w:hint="eastAsia" w:ascii="宋体" w:hAnsi="宋体" w:cs="宋体"/>
              </w:rPr>
              <w:br w:type="textWrapping"/>
            </w:r>
            <w:r>
              <w:rPr>
                <w:rFonts w:hint="eastAsia" w:ascii="宋体" w:hAnsi="宋体" w:cs="宋体"/>
              </w:rPr>
              <w:t>7、经204（±5）℃的耐高温性能试验后，未出现融熔、焦化现象。</w:t>
            </w:r>
            <w:r>
              <w:rPr>
                <w:rFonts w:hint="eastAsia" w:ascii="宋体" w:hAnsi="宋体" w:cs="宋体"/>
              </w:rPr>
              <w:br w:type="textWrapping"/>
            </w:r>
            <w:r>
              <w:rPr>
                <w:rFonts w:hint="eastAsia" w:ascii="宋体" w:hAnsi="宋体" w:cs="宋体"/>
              </w:rPr>
              <w:t>8、在600（±5）℃、1.33kN负荷环境下的承载45s，在400（±5）℃、1.33kN负荷环境下承载300s，未出现断裂现象。</w:t>
            </w:r>
            <w:r>
              <w:rPr>
                <w:rFonts w:hint="eastAsia" w:ascii="宋体" w:hAnsi="宋体" w:cs="宋体"/>
              </w:rPr>
              <w:br w:type="textWrapping"/>
            </w:r>
            <w:r>
              <w:rPr>
                <w:rFonts w:hint="eastAsia" w:ascii="宋体" w:hAnsi="宋体" w:cs="宋体"/>
              </w:rPr>
              <w:t>9、线密度≤50g/m。</w:t>
            </w:r>
            <w:r>
              <w:rPr>
                <w:rFonts w:hint="eastAsia" w:ascii="宋体" w:hAnsi="宋体" w:cs="宋体"/>
              </w:rPr>
              <w:br w:type="textWrapping"/>
            </w:r>
            <w:r>
              <w:rPr>
                <w:rFonts w:hint="eastAsia" w:ascii="宋体" w:hAnsi="宋体" w:cs="宋体"/>
              </w:rPr>
              <w:t>10、：开口距离约25mm，长轴开口闭合状态破断强度≥34KN，长轴开口打开状态破断强度≥10KN，短轴破断强度≥11KN。</w:t>
            </w:r>
            <w:r>
              <w:rPr>
                <w:rFonts w:hint="eastAsia" w:ascii="宋体" w:hAnsi="宋体" w:cs="宋体"/>
              </w:rPr>
              <w:br w:type="textWrapping"/>
            </w:r>
            <w:r>
              <w:rPr>
                <w:rFonts w:hint="eastAsia" w:ascii="宋体" w:hAnsi="宋体" w:cs="宋体"/>
              </w:rPr>
              <w:t>11、下降器：极限负荷≥13.5KN，适用绳索直径范围约为12 mm。</w:t>
            </w:r>
            <w:r>
              <w:rPr>
                <w:rFonts w:hint="eastAsia" w:ascii="宋体" w:hAnsi="宋体" w:cs="宋体"/>
              </w:rPr>
              <w:br w:type="textWrapping"/>
            </w:r>
            <w:r>
              <w:rPr>
                <w:rFonts w:hint="eastAsia" w:ascii="宋体" w:hAnsi="宋体" w:cs="宋体"/>
              </w:rPr>
              <w:t>12、连接扁绳：横截面的周长为≤32mm，长约1000mm，破断强度≥32KN。</w:t>
            </w:r>
            <w:r>
              <w:rPr>
                <w:rFonts w:hint="eastAsia" w:ascii="宋体" w:hAnsi="宋体" w:cs="宋体"/>
              </w:rPr>
              <w:br w:type="textWrapping"/>
            </w:r>
            <w:r>
              <w:rPr>
                <w:rFonts w:hint="eastAsia" w:ascii="宋体" w:hAnsi="宋体" w:cs="宋体"/>
              </w:rPr>
              <w:t>13、绳包：绳包为阻燃面料，经260℃高温试验后无明显变化；方便快捷佩戴和拆卸功能；绳包两端设计放置安全钩，取出便捷；</w:t>
            </w:r>
            <w:r>
              <w:rPr>
                <w:rFonts w:hint="eastAsia" w:ascii="宋体" w:hAnsi="宋体" w:cs="宋体"/>
              </w:rPr>
              <w:br w:type="textWrapping"/>
            </w:r>
            <w:r>
              <w:rPr>
                <w:rFonts w:hint="eastAsia" w:ascii="宋体" w:hAnsi="宋体" w:cs="宋体"/>
              </w:rPr>
              <w:t>14、排绳器：单人操作，可方便快捷将使用过安全绳环绕排列放入绳包；排绳器的尺寸满足绳子捆绑2-3层，不易脱落且美观。</w:t>
            </w:r>
            <w:r>
              <w:rPr>
                <w:rFonts w:hint="eastAsia" w:ascii="宋体" w:hAnsi="宋体" w:cs="宋体"/>
              </w:rPr>
              <w:br w:type="textWrapping"/>
            </w:r>
            <w:r>
              <w:rPr>
                <w:rFonts w:hint="eastAsia" w:ascii="宋体" w:hAnsi="宋体" w:cs="宋体"/>
              </w:rPr>
              <w:t>15、产品具有清晰耐久标志（执行标准、型号、规格；生产厂的名称或商标）。</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27000</w:t>
            </w:r>
          </w:p>
        </w:tc>
      </w:tr>
      <w:tr>
        <w:tblPrEx>
          <w:tblCellMar>
            <w:top w:w="0" w:type="dxa"/>
            <w:left w:w="108" w:type="dxa"/>
            <w:bottom w:w="0" w:type="dxa"/>
            <w:right w:w="108" w:type="dxa"/>
          </w:tblCellMar>
        </w:tblPrEx>
        <w:trPr>
          <w:trHeight w:val="68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消防腰斧</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破拆和自救，具有锯、砍、砸、剪、撬等多种功能。</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7800</w:t>
            </w:r>
          </w:p>
        </w:tc>
      </w:tr>
      <w:tr>
        <w:tblPrEx>
          <w:tblCellMar>
            <w:top w:w="0" w:type="dxa"/>
            <w:left w:w="108" w:type="dxa"/>
            <w:bottom w:w="0" w:type="dxa"/>
            <w:right w:w="108" w:type="dxa"/>
          </w:tblCellMar>
        </w:tblPrEx>
        <w:trPr>
          <w:trHeight w:val="371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消防员灭火防护头套</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符合GA 869-2010 《消防员灭火防护头套》标准。</w:t>
            </w:r>
            <w:r>
              <w:rPr>
                <w:rFonts w:hint="eastAsia" w:ascii="宋体" w:hAnsi="宋体" w:cs="宋体"/>
              </w:rPr>
              <w:br w:type="textWrapping"/>
            </w:r>
            <w:r>
              <w:rPr>
                <w:rFonts w:hint="eastAsia" w:ascii="宋体" w:hAnsi="宋体" w:cs="宋体"/>
              </w:rPr>
              <w:t>技术性能：</w:t>
            </w:r>
            <w:r>
              <w:rPr>
                <w:rFonts w:hint="eastAsia" w:ascii="宋体" w:hAnsi="宋体" w:cs="宋体"/>
              </w:rPr>
              <w:br w:type="textWrapping"/>
            </w:r>
            <w:r>
              <w:rPr>
                <w:rFonts w:hint="eastAsia" w:ascii="宋体" w:hAnsi="宋体" w:cs="宋体"/>
              </w:rPr>
              <w:t>面料阻燃性能经向续燃时间0s，损毁长度约9mm；纬向阻燃性能续燃时间约0s，损毁长度约17mm；</w:t>
            </w:r>
            <w:r>
              <w:rPr>
                <w:rFonts w:hint="eastAsia" w:ascii="宋体" w:hAnsi="宋体" w:cs="宋体"/>
              </w:rPr>
              <w:br w:type="textWrapping"/>
            </w:r>
            <w:r>
              <w:rPr>
                <w:rFonts w:hint="eastAsia" w:ascii="宋体" w:hAnsi="宋体" w:cs="宋体"/>
              </w:rPr>
              <w:t>热稳定性能尺寸变化率约1.0%，水洗尺寸变化率直向约2%，横向约1%；单位面积质量：约210g/㎡；</w:t>
            </w:r>
            <w:r>
              <w:rPr>
                <w:rFonts w:hint="eastAsia" w:ascii="宋体" w:hAnsi="宋体" w:cs="宋体"/>
              </w:rPr>
              <w:br w:type="textWrapping"/>
            </w:r>
            <w:r>
              <w:rPr>
                <w:rFonts w:hint="eastAsia" w:ascii="宋体" w:hAnsi="宋体" w:cs="宋体"/>
              </w:rPr>
              <w:t>PH值约为：7</w:t>
            </w:r>
            <w:r>
              <w:rPr>
                <w:rFonts w:hint="eastAsia" w:ascii="宋体" w:hAnsi="宋体" w:cs="宋体"/>
              </w:rPr>
              <w:br w:type="textWrapping"/>
            </w:r>
            <w:r>
              <w:rPr>
                <w:rFonts w:hint="eastAsia" w:ascii="宋体" w:hAnsi="宋体" w:cs="宋体"/>
              </w:rPr>
              <w:t>抗起球性能3-4级；</w:t>
            </w:r>
            <w:r>
              <w:rPr>
                <w:rFonts w:hint="eastAsia" w:ascii="宋体" w:hAnsi="宋体" w:cs="宋体"/>
              </w:rPr>
              <w:br w:type="textWrapping"/>
            </w:r>
            <w:r>
              <w:rPr>
                <w:rFonts w:hint="eastAsia" w:ascii="宋体" w:hAnsi="宋体" w:cs="宋体"/>
              </w:rPr>
              <w:t>甲醛含量：无</w:t>
            </w:r>
            <w:r>
              <w:rPr>
                <w:rFonts w:hint="eastAsia" w:ascii="宋体" w:hAnsi="宋体" w:cs="宋体"/>
              </w:rPr>
              <w:br w:type="textWrapping"/>
            </w:r>
            <w:r>
              <w:rPr>
                <w:rFonts w:hint="eastAsia" w:ascii="宋体" w:hAnsi="宋体" w:cs="宋体"/>
              </w:rPr>
              <w:t>接缝断裂强力（N）：约1080N</w:t>
            </w:r>
            <w:r>
              <w:rPr>
                <w:rFonts w:hint="eastAsia" w:ascii="宋体" w:hAnsi="宋体" w:cs="宋体"/>
              </w:rPr>
              <w:br w:type="textWrapping"/>
            </w:r>
            <w:r>
              <w:rPr>
                <w:rFonts w:hint="eastAsia" w:ascii="宋体" w:hAnsi="宋体" w:cs="宋体"/>
              </w:rPr>
              <w:t>3、重量：≤110g。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4800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防静电内衣</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符合GB 12014-2019《防护服装 防静电服》标准。</w:t>
            </w:r>
            <w:r>
              <w:rPr>
                <w:rFonts w:hint="eastAsia" w:ascii="宋体" w:hAnsi="宋体" w:cs="宋体"/>
              </w:rPr>
              <w:br w:type="textWrapping"/>
            </w:r>
            <w:r>
              <w:rPr>
                <w:rFonts w:hint="eastAsia" w:ascii="宋体" w:hAnsi="宋体" w:cs="宋体"/>
              </w:rPr>
              <w:t>技术参数：</w:t>
            </w:r>
            <w:r>
              <w:rPr>
                <w:rFonts w:hint="eastAsia" w:ascii="宋体" w:hAnsi="宋体" w:cs="宋体"/>
              </w:rPr>
              <w:br w:type="textWrapping"/>
            </w:r>
            <w:r>
              <w:rPr>
                <w:rFonts w:hint="eastAsia" w:ascii="宋体" w:hAnsi="宋体" w:cs="宋体"/>
              </w:rPr>
              <w:t>1、阻燃性能：续然时间：径向≤0s，纬向≤0s；损毁长度：径向≤50mm，纬向≤50mm；</w:t>
            </w:r>
            <w:r>
              <w:rPr>
                <w:rFonts w:hint="eastAsia" w:ascii="宋体" w:hAnsi="宋体" w:cs="宋体"/>
              </w:rPr>
              <w:br w:type="textWrapping"/>
            </w:r>
            <w:r>
              <w:rPr>
                <w:rFonts w:hint="eastAsia" w:ascii="宋体" w:hAnsi="宋体" w:cs="宋体"/>
              </w:rPr>
              <w:t>2、PH值：7.4（±0.1）</w:t>
            </w:r>
            <w:r>
              <w:rPr>
                <w:rFonts w:hint="eastAsia" w:ascii="宋体" w:hAnsi="宋体" w:cs="宋体"/>
              </w:rPr>
              <w:br w:type="textWrapping"/>
            </w:r>
            <w:r>
              <w:rPr>
                <w:rFonts w:hint="eastAsia" w:ascii="宋体" w:hAnsi="宋体" w:cs="宋体"/>
              </w:rPr>
              <w:t>3、松弛尺寸变化率：长度方向：≤-2%；宽度方向：≤0%；</w:t>
            </w:r>
            <w:r>
              <w:rPr>
                <w:rFonts w:hint="eastAsia" w:ascii="宋体" w:hAnsi="宋体" w:cs="宋体"/>
              </w:rPr>
              <w:br w:type="textWrapping"/>
            </w:r>
            <w:r>
              <w:rPr>
                <w:rFonts w:hint="eastAsia" w:ascii="宋体" w:hAnsi="宋体" w:cs="宋体"/>
              </w:rPr>
              <w:t>4、胀破强力：≥666kPa；</w:t>
            </w:r>
            <w:r>
              <w:rPr>
                <w:rFonts w:hint="eastAsia" w:ascii="宋体" w:hAnsi="宋体" w:cs="宋体"/>
              </w:rPr>
              <w:br w:type="textWrapping"/>
            </w:r>
            <w:r>
              <w:rPr>
                <w:rFonts w:hint="eastAsia" w:ascii="宋体" w:hAnsi="宋体" w:cs="宋体"/>
              </w:rPr>
              <w:t>5、起球：≥4级；</w:t>
            </w:r>
            <w:r>
              <w:rPr>
                <w:rFonts w:hint="eastAsia" w:ascii="宋体" w:hAnsi="宋体" w:cs="宋体"/>
              </w:rPr>
              <w:br w:type="textWrapping"/>
            </w:r>
            <w:r>
              <w:rPr>
                <w:rFonts w:hint="eastAsia" w:ascii="宋体" w:hAnsi="宋体" w:cs="宋体"/>
              </w:rPr>
              <w:t>6、防静电性能：使用导电纤维实现防静电性能，导电材料的间距＜10mm；带电电荷量：≤0.32μC/套。</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7000</w:t>
            </w:r>
          </w:p>
        </w:tc>
      </w:tr>
      <w:tr>
        <w:tblPrEx>
          <w:tblCellMar>
            <w:top w:w="0" w:type="dxa"/>
            <w:left w:w="108" w:type="dxa"/>
            <w:bottom w:w="0" w:type="dxa"/>
            <w:right w:w="108" w:type="dxa"/>
          </w:tblCellMar>
        </w:tblPrEx>
        <w:trPr>
          <w:trHeight w:val="397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消防护目镜</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1、符合XF 1273-2015《消防员防护辅助装备 消防员护目镜》和GB148662006《个人用眼护具技术要求》的标准要求。</w:t>
            </w:r>
            <w:r>
              <w:rPr>
                <w:rFonts w:hint="eastAsia" w:ascii="宋体" w:hAnsi="宋体" w:cs="宋体"/>
              </w:rPr>
              <w:br w:type="textWrapping"/>
            </w:r>
            <w:r>
              <w:rPr>
                <w:rFonts w:hint="eastAsia" w:ascii="宋体" w:hAnsi="宋体" w:cs="宋体"/>
              </w:rPr>
              <w:t>4、技术参数：</w:t>
            </w:r>
            <w:r>
              <w:rPr>
                <w:rFonts w:hint="eastAsia" w:ascii="宋体" w:hAnsi="宋体" w:cs="宋体"/>
              </w:rPr>
              <w:br w:type="textWrapping"/>
            </w:r>
            <w:r>
              <w:rPr>
                <w:rFonts w:hint="eastAsia" w:ascii="宋体" w:hAnsi="宋体" w:cs="宋体"/>
              </w:rPr>
              <w:t>1、防护区域：约208×82mm</w:t>
            </w:r>
            <w:r>
              <w:rPr>
                <w:rFonts w:hint="eastAsia" w:ascii="宋体" w:hAnsi="宋体" w:cs="宋体"/>
              </w:rPr>
              <w:br w:type="textWrapping"/>
            </w:r>
            <w:r>
              <w:rPr>
                <w:rFonts w:hint="eastAsia" w:ascii="宋体" w:hAnsi="宋体" w:cs="宋体"/>
              </w:rPr>
              <w:t>2、镜片厚度：约3mm</w:t>
            </w:r>
            <w:r>
              <w:rPr>
                <w:rFonts w:hint="eastAsia" w:ascii="宋体" w:hAnsi="宋体" w:cs="宋体"/>
              </w:rPr>
              <w:br w:type="textWrapping"/>
            </w:r>
            <w:r>
              <w:rPr>
                <w:rFonts w:hint="eastAsia" w:ascii="宋体" w:hAnsi="宋体" w:cs="宋体"/>
              </w:rPr>
              <w:t>3、光投射比：约90%</w:t>
            </w:r>
            <w:r>
              <w:rPr>
                <w:rFonts w:hint="eastAsia" w:ascii="宋体" w:hAnsi="宋体" w:cs="宋体"/>
              </w:rPr>
              <w:br w:type="textWrapping"/>
            </w:r>
            <w:r>
              <w:rPr>
                <w:rFonts w:hint="eastAsia" w:ascii="宋体" w:hAnsi="宋体" w:cs="宋体"/>
              </w:rPr>
              <w:t>4、广角散射：约0.1%</w:t>
            </w:r>
            <w:r>
              <w:rPr>
                <w:rFonts w:hint="eastAsia" w:ascii="宋体" w:hAnsi="宋体" w:cs="宋体"/>
              </w:rPr>
              <w:br w:type="textWrapping"/>
            </w:r>
            <w:r>
              <w:rPr>
                <w:rFonts w:hint="eastAsia" w:ascii="宋体" w:hAnsi="宋体" w:cs="宋体"/>
              </w:rPr>
              <w:t>5、耐磨性能：约2%</w:t>
            </w:r>
            <w:r>
              <w:rPr>
                <w:rFonts w:hint="eastAsia" w:ascii="宋体" w:hAnsi="宋体" w:cs="宋体"/>
              </w:rPr>
              <w:br w:type="textWrapping"/>
            </w:r>
            <w:r>
              <w:rPr>
                <w:rFonts w:hint="eastAsia" w:ascii="宋体" w:hAnsi="宋体" w:cs="宋体"/>
              </w:rPr>
              <w:t>6、耐紫外线老化性能：约2%</w:t>
            </w:r>
            <w:r>
              <w:rPr>
                <w:rFonts w:hint="eastAsia" w:ascii="宋体" w:hAnsi="宋体" w:cs="宋体"/>
              </w:rPr>
              <w:br w:type="textWrapping"/>
            </w:r>
            <w:r>
              <w:rPr>
                <w:rFonts w:hint="eastAsia" w:ascii="宋体" w:hAnsi="宋体" w:cs="宋体"/>
              </w:rPr>
              <w:t>7、耐热性能：经55℃试验后，外观无异常，镜片光学性能符合要求。</w:t>
            </w:r>
            <w:r>
              <w:rPr>
                <w:rFonts w:hint="eastAsia" w:ascii="宋体" w:hAnsi="宋体" w:cs="宋体"/>
              </w:rPr>
              <w:br w:type="textWrapping"/>
            </w:r>
            <w:r>
              <w:rPr>
                <w:rFonts w:hint="eastAsia" w:ascii="宋体" w:hAnsi="宋体" w:cs="宋体"/>
              </w:rPr>
              <w:t>8、头带橡筋宽度：约32mm，可调节佩戴松紧度。</w:t>
            </w:r>
            <w:r>
              <w:rPr>
                <w:rFonts w:hint="eastAsia" w:ascii="宋体" w:hAnsi="宋体" w:cs="宋体"/>
              </w:rPr>
              <w:br w:type="textWrapping"/>
            </w:r>
            <w:r>
              <w:rPr>
                <w:rFonts w:hint="eastAsia" w:ascii="宋体" w:hAnsi="宋体" w:cs="宋体"/>
              </w:rPr>
              <w:t>9、质量：≤110g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17</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2040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护膝、护肘</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救援护膝护肘是为抢险救援人员提供用于抢险救援作业时肘部和膝部防护的救援装备。</w:t>
            </w:r>
            <w:r>
              <w:rPr>
                <w:rFonts w:hint="eastAsia" w:ascii="宋体" w:hAnsi="宋体" w:cs="宋体"/>
              </w:rPr>
              <w:br w:type="textWrapping"/>
            </w:r>
            <w:r>
              <w:rPr>
                <w:rFonts w:hint="eastAsia" w:ascii="宋体" w:hAnsi="宋体" w:cs="宋体"/>
              </w:rPr>
              <w:t>1、本产品外层采用强度高、韧性好、耐磨的PVC、TPR（热塑性弹性材料）、TPU（热塑性聚氨酯弹性体材料）等高分子材料制成；</w:t>
            </w:r>
            <w:r>
              <w:rPr>
                <w:rFonts w:hint="eastAsia" w:ascii="宋体" w:hAnsi="宋体" w:cs="宋体"/>
              </w:rPr>
              <w:br w:type="textWrapping"/>
            </w:r>
            <w:r>
              <w:rPr>
                <w:rFonts w:hint="eastAsia" w:ascii="宋体" w:hAnsi="宋体" w:cs="宋体"/>
              </w:rPr>
              <w:t>2、内层采用无毒、防水、抗冲击性好、轻便的缓冲材料；</w:t>
            </w:r>
            <w:r>
              <w:rPr>
                <w:rFonts w:hint="eastAsia" w:ascii="宋体" w:hAnsi="宋体" w:cs="宋体"/>
              </w:rPr>
              <w:br w:type="textWrapping"/>
            </w:r>
            <w:r>
              <w:rPr>
                <w:rFonts w:hint="eastAsia" w:ascii="宋体" w:hAnsi="宋体" w:cs="宋体"/>
              </w:rPr>
              <w:t>3、固定装置可以调节。</w:t>
            </w:r>
            <w:r>
              <w:rPr>
                <w:rFonts w:hint="eastAsia" w:ascii="宋体" w:hAnsi="宋体" w:cs="宋体"/>
              </w:rPr>
              <w:br w:type="textWrapping"/>
            </w:r>
            <w:r>
              <w:rPr>
                <w:rFonts w:hint="eastAsia" w:ascii="宋体" w:hAnsi="宋体" w:cs="宋体"/>
              </w:rPr>
              <w:t>包括护膝1对、护肘1对。</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700</w:t>
            </w:r>
          </w:p>
        </w:tc>
      </w:tr>
      <w:tr>
        <w:tblPrEx>
          <w:tblCellMar>
            <w:top w:w="0" w:type="dxa"/>
            <w:left w:w="108" w:type="dxa"/>
            <w:bottom w:w="0" w:type="dxa"/>
            <w:right w:w="108" w:type="dxa"/>
          </w:tblCellMar>
        </w:tblPrEx>
        <w:trPr>
          <w:trHeight w:val="550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消防员隔热防护服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满足XF634-2015《消防员隔热防护服》标准，分体式，含内置帽子、防护服、裤子、手套和靴/鞋套，外置或内置带背囊；三层面料：外面料为隔热、阻燃织物，衬里为天然阻燃织物；具有阻燃、耐高温、柔软、抗水等特点。</w:t>
            </w:r>
            <w:r>
              <w:rPr>
                <w:rFonts w:hint="eastAsia" w:ascii="宋体" w:hAnsi="宋体" w:cs="宋体"/>
              </w:rPr>
              <w:br w:type="textWrapping"/>
            </w:r>
            <w:r>
              <w:rPr>
                <w:rFonts w:hint="eastAsia" w:ascii="宋体" w:hAnsi="宋体" w:cs="宋体"/>
              </w:rPr>
              <w:t xml:space="preserve">主要技术指标 </w:t>
            </w:r>
            <w:r>
              <w:rPr>
                <w:rFonts w:hint="eastAsia" w:ascii="宋体" w:hAnsi="宋体" w:cs="宋体"/>
              </w:rPr>
              <w:br w:type="textWrapping"/>
            </w:r>
            <w:r>
              <w:rPr>
                <w:rFonts w:hint="eastAsia" w:ascii="宋体" w:hAnsi="宋体" w:cs="宋体"/>
              </w:rPr>
              <w:t>阻燃性能：</w:t>
            </w:r>
            <w:r>
              <w:rPr>
                <w:rFonts w:hint="eastAsia" w:ascii="宋体" w:hAnsi="宋体" w:cs="宋体"/>
              </w:rPr>
              <w:br w:type="textWrapping"/>
            </w:r>
            <w:r>
              <w:rPr>
                <w:rFonts w:hint="eastAsia" w:ascii="宋体" w:hAnsi="宋体" w:cs="宋体"/>
              </w:rPr>
              <w:t xml:space="preserve">该型隔热服耐辐射热温度≥1000℃ </w:t>
            </w:r>
            <w:r>
              <w:rPr>
                <w:rFonts w:hint="eastAsia" w:ascii="宋体" w:hAnsi="宋体" w:cs="宋体"/>
              </w:rPr>
              <w:br w:type="textWrapping"/>
            </w:r>
            <w:r>
              <w:rPr>
                <w:rFonts w:hint="eastAsia" w:ascii="宋体" w:hAnsi="宋体" w:cs="宋体"/>
              </w:rPr>
              <w:t>燃烧时其损毁长度应不大于横向：≈50㎜，径向：≈45mm；</w:t>
            </w:r>
            <w:r>
              <w:rPr>
                <w:rFonts w:hint="eastAsia" w:ascii="宋体" w:hAnsi="宋体" w:cs="宋体"/>
              </w:rPr>
              <w:br w:type="textWrapping"/>
            </w:r>
            <w:r>
              <w:rPr>
                <w:rFonts w:hint="eastAsia" w:ascii="宋体" w:hAnsi="宋体" w:cs="宋体"/>
              </w:rPr>
              <w:t>阻燃时间小于10S，续燃时间为小于10S；</w:t>
            </w:r>
            <w:r>
              <w:rPr>
                <w:rFonts w:hint="eastAsia" w:ascii="宋体" w:hAnsi="宋体" w:cs="宋体"/>
              </w:rPr>
              <w:br w:type="textWrapping"/>
            </w:r>
            <w:r>
              <w:rPr>
                <w:rFonts w:hint="eastAsia" w:ascii="宋体" w:hAnsi="宋体" w:cs="宋体"/>
              </w:rPr>
              <w:t>撕破强度：其经、纬向撕破强力均为径向：约150N和纬向：约120N。</w:t>
            </w:r>
            <w:r>
              <w:rPr>
                <w:rFonts w:hint="eastAsia" w:ascii="宋体" w:hAnsi="宋体" w:cs="宋体"/>
              </w:rPr>
              <w:br w:type="textWrapping"/>
            </w:r>
            <w:r>
              <w:rPr>
                <w:rFonts w:hint="eastAsia" w:ascii="宋体" w:hAnsi="宋体" w:cs="宋体"/>
              </w:rPr>
              <w:t>断裂强力：其经、纬向断裂强力为径向：约1200N，纬向：约600N。</w:t>
            </w:r>
            <w:r>
              <w:rPr>
                <w:rFonts w:hint="eastAsia" w:ascii="宋体" w:hAnsi="宋体" w:cs="宋体"/>
              </w:rPr>
              <w:br w:type="textWrapping"/>
            </w:r>
            <w:r>
              <w:rPr>
                <w:rFonts w:hint="eastAsia" w:ascii="宋体" w:hAnsi="宋体" w:cs="宋体"/>
              </w:rPr>
              <w:t>抗辐射热渗透性能：在10kw/㎡辐射热源下，照射30S后，其内表面温度应不大于25℃；对热辐射的反射率&gt;80%；热流阻断率约&gt;2%。</w:t>
            </w:r>
            <w:r>
              <w:rPr>
                <w:rFonts w:hint="eastAsia" w:ascii="宋体" w:hAnsi="宋体" w:cs="宋体"/>
              </w:rPr>
              <w:br w:type="textWrapping"/>
            </w:r>
            <w:r>
              <w:rPr>
                <w:rFonts w:hint="eastAsia" w:ascii="宋体" w:hAnsi="宋体" w:cs="宋体"/>
              </w:rPr>
              <w:t>热稳定性能：径向纬向尺寸变化率为1%，且无变色、碳化、熔融和滴落。</w:t>
            </w:r>
            <w:r>
              <w:rPr>
                <w:rFonts w:hint="eastAsia" w:ascii="宋体" w:hAnsi="宋体" w:cs="宋体"/>
              </w:rPr>
              <w:br w:type="textWrapping"/>
            </w:r>
            <w:r>
              <w:rPr>
                <w:rFonts w:hint="eastAsia" w:ascii="宋体" w:hAnsi="宋体" w:cs="宋体"/>
              </w:rPr>
              <w:t>隔热服接缝断裂强力：其接缝断裂强力大于500N。</w:t>
            </w:r>
            <w:r>
              <w:rPr>
                <w:rFonts w:hint="eastAsia" w:ascii="宋体" w:hAnsi="宋体" w:cs="宋体"/>
              </w:rPr>
              <w:br w:type="textWrapping"/>
            </w:r>
            <w:r>
              <w:rPr>
                <w:rFonts w:hint="eastAsia" w:ascii="宋体" w:hAnsi="宋体" w:cs="宋体"/>
              </w:rPr>
              <w:t>耐高温性能经180℃高温5min后，隔热服和隔热头罩无碳化、熔融和滴落现象，视窗无明显变形和损坏现象。</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消防员避火防护服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满足XF634-2015《消防员隔热防护服》标准，分体式，含内置帽子、防护服、裤子、手套和靴/鞋套，外置或内置带背囊；三层面料：外面料为隔热、阻燃织物，衬里为天然阻燃织物；具有阻燃、耐高温、柔软、抗水等特点。</w:t>
            </w:r>
            <w:r>
              <w:rPr>
                <w:rFonts w:hint="eastAsia" w:ascii="宋体" w:hAnsi="宋体" w:cs="宋体"/>
              </w:rPr>
              <w:br w:type="textWrapping"/>
            </w:r>
            <w:r>
              <w:rPr>
                <w:rFonts w:hint="eastAsia" w:ascii="宋体" w:hAnsi="宋体" w:cs="宋体"/>
              </w:rPr>
              <w:t xml:space="preserve">主要技术指标 </w:t>
            </w:r>
            <w:r>
              <w:rPr>
                <w:rFonts w:hint="eastAsia" w:ascii="宋体" w:hAnsi="宋体" w:cs="宋体"/>
              </w:rPr>
              <w:br w:type="textWrapping"/>
            </w:r>
            <w:r>
              <w:rPr>
                <w:rFonts w:hint="eastAsia" w:ascii="宋体" w:hAnsi="宋体" w:cs="宋体"/>
              </w:rPr>
              <w:t>阻燃性能：</w:t>
            </w:r>
            <w:r>
              <w:rPr>
                <w:rFonts w:hint="eastAsia" w:ascii="宋体" w:hAnsi="宋体" w:cs="宋体"/>
              </w:rPr>
              <w:br w:type="textWrapping"/>
            </w:r>
            <w:r>
              <w:rPr>
                <w:rFonts w:hint="eastAsia" w:ascii="宋体" w:hAnsi="宋体" w:cs="宋体"/>
              </w:rPr>
              <w:t>该型隔热服耐辐射热温度≥1200℃，可短时间穿越火场</w:t>
            </w:r>
            <w:r>
              <w:rPr>
                <w:rFonts w:hint="eastAsia" w:ascii="宋体" w:hAnsi="宋体" w:cs="宋体"/>
              </w:rPr>
              <w:br w:type="textWrapping"/>
            </w:r>
            <w:r>
              <w:rPr>
                <w:rFonts w:hint="eastAsia" w:ascii="宋体" w:hAnsi="宋体" w:cs="宋体"/>
              </w:rPr>
              <w:t>燃烧时其损毁长度应不大于横向：约47㎜，径向：约43mm；</w:t>
            </w:r>
            <w:r>
              <w:rPr>
                <w:rFonts w:hint="eastAsia" w:ascii="宋体" w:hAnsi="宋体" w:cs="宋体"/>
              </w:rPr>
              <w:br w:type="textWrapping"/>
            </w:r>
            <w:r>
              <w:rPr>
                <w:rFonts w:hint="eastAsia" w:ascii="宋体" w:hAnsi="宋体" w:cs="宋体"/>
              </w:rPr>
              <w:t>阻燃时间小于10S，续燃时间为小于10S；</w:t>
            </w:r>
            <w:r>
              <w:rPr>
                <w:rFonts w:hint="eastAsia" w:ascii="宋体" w:hAnsi="宋体" w:cs="宋体"/>
              </w:rPr>
              <w:br w:type="textWrapping"/>
            </w:r>
            <w:r>
              <w:rPr>
                <w:rFonts w:hint="eastAsia" w:ascii="宋体" w:hAnsi="宋体" w:cs="宋体"/>
              </w:rPr>
              <w:t>撕破强度：其经、纬向撕破强力均为径向：约150N和纬向：约120N。</w:t>
            </w:r>
            <w:r>
              <w:rPr>
                <w:rFonts w:hint="eastAsia" w:ascii="宋体" w:hAnsi="宋体" w:cs="宋体"/>
              </w:rPr>
              <w:br w:type="textWrapping"/>
            </w:r>
            <w:r>
              <w:rPr>
                <w:rFonts w:hint="eastAsia" w:ascii="宋体" w:hAnsi="宋体" w:cs="宋体"/>
              </w:rPr>
              <w:t>断裂强力：其经、纬向断裂强力为径向：约1200N，纬向：约600N。</w:t>
            </w:r>
            <w:r>
              <w:rPr>
                <w:rFonts w:hint="eastAsia" w:ascii="宋体" w:hAnsi="宋体" w:cs="宋体"/>
              </w:rPr>
              <w:br w:type="textWrapping"/>
            </w:r>
            <w:r>
              <w:rPr>
                <w:rFonts w:hint="eastAsia" w:ascii="宋体" w:hAnsi="宋体" w:cs="宋体"/>
              </w:rPr>
              <w:t>抗辐射热渗透性能：在10kw/㎡辐射热源下，照射30S后，其内表面温度应不大于25℃；对热辐射的反射率&gt;80%；热流阻断率约&gt;2%。</w:t>
            </w:r>
            <w:r>
              <w:rPr>
                <w:rFonts w:hint="eastAsia" w:ascii="宋体" w:hAnsi="宋体" w:cs="宋体"/>
              </w:rPr>
              <w:br w:type="textWrapping"/>
            </w:r>
            <w:r>
              <w:rPr>
                <w:rFonts w:hint="eastAsia" w:ascii="宋体" w:hAnsi="宋体" w:cs="宋体"/>
              </w:rPr>
              <w:t>热稳定性能：径向纬向尺寸变化率为1%，且无变色、碳化、熔融和滴落。</w:t>
            </w:r>
            <w:r>
              <w:rPr>
                <w:rFonts w:hint="eastAsia" w:ascii="宋体" w:hAnsi="宋体" w:cs="宋体"/>
              </w:rPr>
              <w:br w:type="textWrapping"/>
            </w:r>
            <w:r>
              <w:rPr>
                <w:rFonts w:hint="eastAsia" w:ascii="宋体" w:hAnsi="宋体" w:cs="宋体"/>
              </w:rPr>
              <w:t>隔热服接缝断裂强力：其接缝断裂强力大于500N。</w:t>
            </w:r>
            <w:r>
              <w:rPr>
                <w:rFonts w:hint="eastAsia" w:ascii="宋体" w:hAnsi="宋体" w:cs="宋体"/>
              </w:rPr>
              <w:br w:type="textWrapping"/>
            </w:r>
            <w:r>
              <w:rPr>
                <w:rFonts w:hint="eastAsia" w:ascii="宋体" w:hAnsi="宋体" w:cs="宋体"/>
              </w:rPr>
              <w:t>耐高温性能经180℃高温5min后，隔热服和隔热头罩无碳化、熔融和滴落现象，视窗无明显变形和损坏现象。</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二级化学防护服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性能参数</w:t>
            </w:r>
            <w:r>
              <w:rPr>
                <w:rFonts w:hint="eastAsia" w:ascii="宋体" w:hAnsi="宋体" w:cs="宋体"/>
              </w:rPr>
              <w:br w:type="textWrapping"/>
            </w:r>
            <w:r>
              <w:rPr>
                <w:rFonts w:hint="eastAsia" w:ascii="宋体" w:hAnsi="宋体" w:cs="宋体"/>
              </w:rPr>
              <w:t>面料性能：厚度（mm）：约0.65mm；撕破强度（N）：≥25、黄色涂层部位：≥18；断裂强力（N）：≥960、黄色涂层部位：≥660；胶靴性能：靴底耐穿刺性能：穿刺力：≥900N；电绝缘性能：击穿电压≥5000V；防酸碱性能：不渗透；防滑性能：始滑角≥15°；全套重量：≤5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一级化学防护服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性能参数</w:t>
            </w:r>
            <w:r>
              <w:rPr>
                <w:rFonts w:hint="eastAsia" w:ascii="宋体" w:hAnsi="宋体" w:cs="宋体"/>
              </w:rPr>
              <w:br w:type="textWrapping"/>
            </w:r>
            <w:r>
              <w:rPr>
                <w:rFonts w:hint="eastAsia" w:ascii="宋体" w:hAnsi="宋体" w:cs="宋体"/>
              </w:rPr>
              <w:t>防护能力：放射性气溶胶、防生物病毒、体液、血液渗透等，</w:t>
            </w:r>
            <w:r>
              <w:rPr>
                <w:rFonts w:hint="eastAsia" w:ascii="宋体" w:hAnsi="宋体" w:cs="宋体"/>
              </w:rPr>
              <w:br w:type="textWrapping"/>
            </w:r>
            <w:r>
              <w:rPr>
                <w:rFonts w:hint="eastAsia" w:ascii="宋体" w:hAnsi="宋体" w:cs="宋体"/>
              </w:rPr>
              <w:t>同时对常见的酸碱工业化学物质具有较强的防护能力。</w:t>
            </w:r>
            <w:r>
              <w:rPr>
                <w:rFonts w:hint="eastAsia" w:ascii="宋体" w:hAnsi="宋体" w:cs="宋体"/>
              </w:rPr>
              <w:br w:type="textWrapping"/>
            </w:r>
            <w:r>
              <w:rPr>
                <w:rFonts w:hint="eastAsia" w:ascii="宋体" w:hAnsi="宋体" w:cs="宋体"/>
              </w:rPr>
              <w:t>服装材质：由高分子改性PVC复合材料的黄色材料</w:t>
            </w:r>
            <w:r>
              <w:rPr>
                <w:rFonts w:hint="eastAsia" w:ascii="宋体" w:hAnsi="宋体" w:cs="宋体"/>
              </w:rPr>
              <w:br w:type="textWrapping"/>
            </w:r>
            <w:r>
              <w:rPr>
                <w:rFonts w:hint="eastAsia" w:ascii="宋体" w:hAnsi="宋体" w:cs="宋体"/>
              </w:rPr>
              <w:t>适用范围：生物化学环境、环境侦测分队、军警反恐、抢险救援、公安消防、泄露应对</w:t>
            </w:r>
            <w:r>
              <w:rPr>
                <w:rFonts w:hint="eastAsia" w:ascii="宋体" w:hAnsi="宋体" w:cs="宋体"/>
              </w:rPr>
              <w:br w:type="textWrapping"/>
            </w:r>
            <w:r>
              <w:rPr>
                <w:rFonts w:hint="eastAsia" w:ascii="宋体" w:hAnsi="宋体" w:cs="宋体"/>
              </w:rPr>
              <w:t xml:space="preserve"> 配置组成：</w:t>
            </w:r>
            <w:r>
              <w:rPr>
                <w:rFonts w:hint="eastAsia" w:ascii="宋体" w:hAnsi="宋体" w:cs="宋体"/>
              </w:rPr>
              <w:br w:type="textWrapping"/>
            </w:r>
            <w:r>
              <w:rPr>
                <w:rFonts w:hint="eastAsia" w:ascii="宋体" w:hAnsi="宋体" w:cs="宋体"/>
              </w:rPr>
              <w:t xml:space="preserve">1)一级化学防护服           </w:t>
            </w:r>
            <w:r>
              <w:rPr>
                <w:rFonts w:hint="eastAsia" w:ascii="宋体" w:hAnsi="宋体" w:cs="宋体"/>
              </w:rPr>
              <w:br w:type="textWrapping"/>
            </w:r>
            <w:r>
              <w:rPr>
                <w:rFonts w:hint="eastAsia" w:ascii="宋体" w:hAnsi="宋体" w:cs="宋体"/>
              </w:rPr>
              <w:t xml:space="preserve">2)安全头盔                      </w:t>
            </w:r>
            <w:r>
              <w:rPr>
                <w:rFonts w:hint="eastAsia" w:ascii="宋体" w:hAnsi="宋体" w:cs="宋体"/>
              </w:rPr>
              <w:br w:type="textWrapping"/>
            </w:r>
            <w:r>
              <w:rPr>
                <w:rFonts w:hint="eastAsia" w:ascii="宋体" w:hAnsi="宋体" w:cs="宋体"/>
              </w:rPr>
              <w:t xml:space="preserve">3)手套环组件      </w:t>
            </w:r>
            <w:r>
              <w:rPr>
                <w:rFonts w:hint="eastAsia" w:ascii="宋体" w:hAnsi="宋体" w:cs="宋体"/>
              </w:rPr>
              <w:br w:type="textWrapping"/>
            </w:r>
            <w:r>
              <w:rPr>
                <w:rFonts w:hint="eastAsia" w:ascii="宋体" w:hAnsi="宋体" w:cs="宋体"/>
              </w:rPr>
              <w:t xml:space="preserve">4)防化靴                          </w:t>
            </w:r>
            <w:r>
              <w:rPr>
                <w:rFonts w:hint="eastAsia" w:ascii="宋体" w:hAnsi="宋体" w:cs="宋体"/>
              </w:rPr>
              <w:br w:type="textWrapping"/>
            </w:r>
            <w:r>
              <w:rPr>
                <w:rFonts w:hint="eastAsia" w:ascii="宋体" w:hAnsi="宋体" w:cs="宋体"/>
              </w:rPr>
              <w:t xml:space="preserve">5)正压式空气呼吸器                </w:t>
            </w:r>
            <w:r>
              <w:rPr>
                <w:rFonts w:hint="eastAsia" w:ascii="宋体" w:hAnsi="宋体" w:cs="宋体"/>
              </w:rPr>
              <w:br w:type="textWrapping"/>
            </w:r>
            <w:r>
              <w:rPr>
                <w:rFonts w:hint="eastAsia" w:ascii="宋体" w:hAnsi="宋体" w:cs="宋体"/>
              </w:rPr>
              <w:t xml:space="preserve">6)防护手套   </w:t>
            </w:r>
            <w:r>
              <w:rPr>
                <w:rFonts w:hint="eastAsia" w:ascii="宋体" w:hAnsi="宋体" w:cs="宋体"/>
              </w:rPr>
              <w:br w:type="textWrapping"/>
            </w:r>
            <w:r>
              <w:rPr>
                <w:rFonts w:hint="eastAsia" w:ascii="宋体" w:hAnsi="宋体" w:cs="宋体"/>
              </w:rPr>
              <w:t xml:space="preserve">7)无线骨传导通讯装置   </w:t>
            </w:r>
            <w:r>
              <w:rPr>
                <w:rFonts w:hint="eastAsia" w:ascii="宋体" w:hAnsi="宋体" w:cs="宋体"/>
              </w:rPr>
              <w:br w:type="textWrapping"/>
            </w:r>
            <w:r>
              <w:rPr>
                <w:rFonts w:hint="eastAsia" w:ascii="宋体" w:hAnsi="宋体" w:cs="宋体"/>
              </w:rPr>
              <w:t xml:space="preserve">8)急救包                        </w:t>
            </w:r>
            <w:r>
              <w:rPr>
                <w:rFonts w:hint="eastAsia" w:ascii="宋体" w:hAnsi="宋体" w:cs="宋体"/>
              </w:rPr>
              <w:br w:type="textWrapping"/>
            </w:r>
            <w:r>
              <w:rPr>
                <w:rFonts w:hint="eastAsia" w:ascii="宋体" w:hAnsi="宋体" w:cs="宋体"/>
              </w:rPr>
              <w:t xml:space="preserve">9)事件报告表                      </w:t>
            </w:r>
            <w:r>
              <w:rPr>
                <w:rFonts w:hint="eastAsia" w:ascii="宋体" w:hAnsi="宋体" w:cs="宋体"/>
              </w:rPr>
              <w:br w:type="textWrapping"/>
            </w:r>
            <w:r>
              <w:rPr>
                <w:rFonts w:hint="eastAsia" w:ascii="宋体" w:hAnsi="宋体" w:cs="宋体"/>
              </w:rPr>
              <w:t xml:space="preserve">10)使用说明书                  </w:t>
            </w:r>
            <w:r>
              <w:rPr>
                <w:rFonts w:hint="eastAsia" w:ascii="宋体" w:hAnsi="宋体" w:cs="宋体"/>
              </w:rPr>
              <w:br w:type="textWrapping"/>
            </w:r>
            <w:r>
              <w:rPr>
                <w:rFonts w:hint="eastAsia" w:ascii="宋体" w:hAnsi="宋体" w:cs="宋体"/>
              </w:rPr>
              <w:t>11)便携箱</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84000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特级化学防护服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适用于: 危险的呼吸危害和皮肤危害同时存在的环境，是化工生产、消防抢险等危险环境不可或缺的应急物资。同时提供普通连体款式防化服满足日常危险化工操作的需求。</w:t>
            </w:r>
            <w:r>
              <w:rPr>
                <w:rFonts w:hint="eastAsia" w:ascii="宋体" w:hAnsi="宋体" w:cs="宋体"/>
              </w:rPr>
              <w:br w:type="textWrapping"/>
            </w:r>
            <w:r>
              <w:rPr>
                <w:rFonts w:hint="eastAsia" w:ascii="宋体" w:hAnsi="宋体" w:cs="宋体"/>
              </w:rPr>
              <w:t>用途：主要用于核生化环境中的抢险救援和环境监察，危险品处理、泄露应对的作业中，各种工业环境，抢险应急救援，酸碱类化学品作业防护、对作业人员的全面保护。</w:t>
            </w:r>
            <w:r>
              <w:rPr>
                <w:rFonts w:hint="eastAsia" w:ascii="宋体" w:hAnsi="宋体" w:cs="宋体"/>
              </w:rPr>
              <w:br w:type="textWrapping"/>
            </w:r>
            <w:r>
              <w:rPr>
                <w:rFonts w:hint="eastAsia" w:ascii="宋体" w:hAnsi="宋体" w:cs="宋体"/>
              </w:rPr>
              <w:t>级别： 特级</w:t>
            </w:r>
            <w:r>
              <w:rPr>
                <w:rFonts w:hint="eastAsia" w:ascii="宋体" w:hAnsi="宋体" w:cs="宋体"/>
              </w:rPr>
              <w:br w:type="textWrapping"/>
            </w:r>
            <w:r>
              <w:rPr>
                <w:rFonts w:hint="eastAsia" w:ascii="宋体" w:hAnsi="宋体" w:cs="宋体"/>
              </w:rPr>
              <w:br w:type="textWrapping"/>
            </w:r>
            <w:r>
              <w:rPr>
                <w:rFonts w:hint="eastAsia" w:ascii="宋体" w:hAnsi="宋体" w:cs="宋体"/>
              </w:rPr>
              <w:t>产品说明：全封闭服装构成，外层服装由玻璃纤维等材料镀铝，超宽面屏，四排气阀，内为全封闭气密服，超宽面屏，前面开口，三层手套，背部凸起，可内置空气呼吸器(空呼器自配)，带袜靴，靴保护盖(化学防护靴自配)</w:t>
            </w:r>
            <w:r>
              <w:rPr>
                <w:rFonts w:hint="eastAsia" w:ascii="宋体" w:hAnsi="宋体" w:cs="宋体"/>
              </w:rPr>
              <w:br w:type="textWrapping"/>
            </w:r>
            <w:r>
              <w:rPr>
                <w:rFonts w:hint="eastAsia" w:ascii="宋体" w:hAnsi="宋体" w:cs="宋体"/>
              </w:rPr>
              <w:br w:type="textWrapping"/>
            </w:r>
            <w:r>
              <w:rPr>
                <w:rFonts w:hint="eastAsia" w:ascii="宋体" w:hAnsi="宋体" w:cs="宋体"/>
              </w:rPr>
              <w:t>材质:由两件服装构成，外层服装有玻璃纤维等材料镀铝，超宽面屏，四排气阀，内衬全封闭防化服</w:t>
            </w:r>
            <w:r>
              <w:rPr>
                <w:rFonts w:hint="eastAsia" w:ascii="宋体" w:hAnsi="宋体" w:cs="宋体"/>
              </w:rPr>
              <w:br w:type="textWrapping"/>
            </w:r>
            <w:r>
              <w:rPr>
                <w:rFonts w:hint="eastAsia" w:ascii="宋体" w:hAnsi="宋体" w:cs="宋体"/>
              </w:rPr>
              <w:t>针对多种化学品的防护性能，包括最常见的工业用化学品级化学事故的常见的化学品；三层手套，背部凸出，可内置呼吸器（呼吸器自配），带靴保护盖（防护靴需自配）</w:t>
            </w:r>
            <w:r>
              <w:rPr>
                <w:rFonts w:hint="eastAsia" w:ascii="宋体" w:hAnsi="宋体" w:cs="宋体"/>
              </w:rPr>
              <w:br w:type="textWrapping"/>
            </w:r>
            <w:r>
              <w:rPr>
                <w:rFonts w:hint="eastAsia" w:ascii="宋体" w:hAnsi="宋体" w:cs="宋体"/>
              </w:rPr>
              <w:t>主要用途：石油、化工厂,广泛的化学品防护性能，可用于化学危险品处理，化学事故应急救援等领域。</w:t>
            </w:r>
            <w:r>
              <w:rPr>
                <w:rFonts w:hint="eastAsia" w:ascii="宋体" w:hAnsi="宋体" w:cs="宋体"/>
              </w:rPr>
              <w:br w:type="textWrapping"/>
            </w:r>
            <w:r>
              <w:rPr>
                <w:rFonts w:hint="eastAsia" w:ascii="宋体" w:hAnsi="宋体" w:cs="宋体"/>
              </w:rPr>
              <w:t>包装：1件/箱；</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60000</w:t>
            </w:r>
          </w:p>
        </w:tc>
      </w:tr>
      <w:tr>
        <w:tblPrEx>
          <w:tblCellMar>
            <w:top w:w="0" w:type="dxa"/>
            <w:left w:w="108" w:type="dxa"/>
            <w:bottom w:w="0" w:type="dxa"/>
            <w:right w:w="108" w:type="dxa"/>
          </w:tblCellMar>
        </w:tblPrEx>
        <w:trPr>
          <w:trHeight w:val="30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化学防护手套</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产品说明：</w:t>
            </w:r>
            <w:r>
              <w:rPr>
                <w:rFonts w:hint="eastAsia" w:ascii="宋体" w:hAnsi="宋体" w:cs="宋体"/>
              </w:rPr>
              <w:br w:type="textWrapping"/>
            </w:r>
            <w:r>
              <w:rPr>
                <w:rFonts w:hint="eastAsia" w:ascii="宋体" w:hAnsi="宋体" w:cs="宋体"/>
              </w:rPr>
              <w:t>1：耐刺穿力≥22N</w:t>
            </w:r>
            <w:r>
              <w:rPr>
                <w:rFonts w:hint="eastAsia" w:ascii="宋体" w:hAnsi="宋体" w:cs="宋体"/>
              </w:rPr>
              <w:br w:type="textWrapping"/>
            </w:r>
            <w:r>
              <w:rPr>
                <w:rFonts w:hint="eastAsia" w:ascii="宋体" w:hAnsi="宋体" w:cs="宋体"/>
              </w:rPr>
              <w:t>2：符合XF770-2008《消防员化学防护服装》标准</w:t>
            </w:r>
            <w:r>
              <w:rPr>
                <w:rFonts w:hint="eastAsia" w:ascii="宋体" w:hAnsi="宋体" w:cs="宋体"/>
              </w:rPr>
              <w:br w:type="textWrapping"/>
            </w:r>
            <w:r>
              <w:rPr>
                <w:rFonts w:hint="eastAsia" w:ascii="宋体" w:hAnsi="宋体" w:cs="宋体"/>
              </w:rPr>
              <w:t>3：面料经耐老化性能（125℃×24h）试验后不粘、不脆</w:t>
            </w:r>
            <w:r>
              <w:rPr>
                <w:rFonts w:hint="eastAsia" w:ascii="宋体" w:hAnsi="宋体" w:cs="宋体"/>
              </w:rPr>
              <w:br w:type="textWrapping"/>
            </w:r>
            <w:r>
              <w:rPr>
                <w:rFonts w:hint="eastAsia" w:ascii="宋体" w:hAnsi="宋体" w:cs="宋体"/>
              </w:rPr>
              <w:t>4：面料抗化学品平均渗透时间≥60min</w:t>
            </w:r>
            <w:r>
              <w:rPr>
                <w:rFonts w:hint="eastAsia" w:ascii="宋体" w:hAnsi="宋体" w:cs="宋体"/>
              </w:rPr>
              <w:br w:type="textWrapping"/>
            </w:r>
            <w:r>
              <w:rPr>
                <w:rFonts w:hint="eastAsia" w:ascii="宋体" w:hAnsi="宋体" w:cs="宋体"/>
              </w:rPr>
              <w:t>5：面料经耐寒性能试验后无裂纹</w:t>
            </w:r>
            <w:r>
              <w:rPr>
                <w:rFonts w:hint="eastAsia" w:ascii="宋体" w:hAnsi="宋体" w:cs="宋体"/>
              </w:rPr>
              <w:br w:type="textWrapping"/>
            </w:r>
            <w:r>
              <w:rPr>
                <w:rFonts w:hint="eastAsia" w:ascii="宋体" w:hAnsi="宋体" w:cs="宋体"/>
              </w:rPr>
              <w:t>6：灵巧性能≥1级</w:t>
            </w:r>
            <w:r>
              <w:rPr>
                <w:rFonts w:hint="eastAsia" w:ascii="宋体" w:hAnsi="宋体" w:cs="宋体"/>
              </w:rPr>
              <w:br w:type="textWrapping"/>
            </w:r>
            <w:r>
              <w:rPr>
                <w:rFonts w:hint="eastAsia" w:ascii="宋体" w:hAnsi="宋体" w:cs="宋体"/>
              </w:rPr>
              <w:t>7：具有永久性标志及产品信息数据标识，具有尺寸标识尺寸可选</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18</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w:t>
            </w:r>
          </w:p>
        </w:tc>
      </w:tr>
      <w:tr>
        <w:tblPrEx>
          <w:tblCellMar>
            <w:top w:w="0" w:type="dxa"/>
            <w:left w:w="108" w:type="dxa"/>
            <w:bottom w:w="0" w:type="dxa"/>
            <w:right w:w="108" w:type="dxa"/>
          </w:tblCellMar>
        </w:tblPrEx>
        <w:trPr>
          <w:trHeight w:val="22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防高温手套</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材料：凯夫拉毡、手腕和手背优质复合铝箔</w:t>
            </w:r>
            <w:r>
              <w:rPr>
                <w:rFonts w:hint="eastAsia" w:ascii="宋体" w:hAnsi="宋体" w:cs="宋体"/>
              </w:rPr>
              <w:br w:type="textWrapping"/>
            </w:r>
            <w:r>
              <w:rPr>
                <w:rFonts w:hint="eastAsia" w:ascii="宋体" w:hAnsi="宋体" w:cs="宋体"/>
              </w:rPr>
              <w:t>特性：五指设计。</w:t>
            </w:r>
            <w:r>
              <w:rPr>
                <w:rFonts w:hint="eastAsia" w:ascii="宋体" w:hAnsi="宋体" w:cs="宋体"/>
              </w:rPr>
              <w:br w:type="textWrapping"/>
            </w:r>
            <w:r>
              <w:rPr>
                <w:rFonts w:hint="eastAsia" w:ascii="宋体" w:hAnsi="宋体" w:cs="宋体"/>
              </w:rPr>
              <w:t>功能：手掌耐高温约500度，手腕及手背防辐射500-800度</w:t>
            </w:r>
            <w:r>
              <w:rPr>
                <w:rFonts w:hint="eastAsia" w:ascii="宋体" w:hAnsi="宋体" w:cs="宋体"/>
              </w:rPr>
              <w:br w:type="textWrapping"/>
            </w:r>
            <w:r>
              <w:rPr>
                <w:rFonts w:hint="eastAsia" w:ascii="宋体" w:hAnsi="宋体" w:cs="宋体"/>
              </w:rPr>
              <w:t>推荐用途：高温操作、高温件搬运、转移金属铸造、冶炼、玻璃、陶瓷、光伏等大多数极高温作业环境</w:t>
            </w:r>
            <w:r>
              <w:rPr>
                <w:rFonts w:hint="eastAsia" w:ascii="宋体" w:hAnsi="宋体" w:cs="宋体"/>
              </w:rPr>
              <w:br w:type="textWrapping"/>
            </w:r>
            <w:r>
              <w:rPr>
                <w:rFonts w:hint="eastAsia" w:ascii="宋体" w:hAnsi="宋体" w:cs="宋体"/>
              </w:rPr>
              <w:t>长度：≈38CM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r>
      <w:tr>
        <w:tblPrEx>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电绝缘装具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1.由绝缘服装、绝缘靴、绝缘手套组成，均符合国家相关标准要求，提供相关检验报告复印件并加盖投标人公章。</w:t>
            </w:r>
            <w:r>
              <w:rPr>
                <w:rFonts w:hint="eastAsia" w:ascii="宋体" w:hAnsi="宋体" w:cs="宋体"/>
              </w:rPr>
              <w:br w:type="textWrapping"/>
            </w:r>
            <w:r>
              <w:rPr>
                <w:rFonts w:hint="eastAsia" w:ascii="宋体" w:hAnsi="宋体" w:cs="宋体"/>
              </w:rPr>
              <w:t>2.缘靴服装由多层绝缘树脂制成，具备阻燃、绝缘性能，可防7000V以下高压电；最大使用电压不小于17000V。</w:t>
            </w:r>
            <w:r>
              <w:rPr>
                <w:rFonts w:hint="eastAsia" w:ascii="宋体" w:hAnsi="宋体" w:cs="宋体"/>
              </w:rPr>
              <w:br w:type="textWrapping"/>
            </w:r>
            <w:r>
              <w:rPr>
                <w:rFonts w:hint="eastAsia" w:ascii="宋体" w:hAnsi="宋体" w:cs="宋体"/>
              </w:rPr>
              <w:t>3.电绝缘手套经特殊处理天然橡胶制成，质地柔软，采用五指设计，测试电压：20KV/3MIN，最大使用电压不小于17000V。</w:t>
            </w:r>
            <w:r>
              <w:rPr>
                <w:rFonts w:hint="eastAsia" w:ascii="宋体" w:hAnsi="宋体" w:cs="宋体"/>
              </w:rPr>
              <w:br w:type="textWrapping"/>
            </w:r>
            <w:r>
              <w:rPr>
                <w:rFonts w:hint="eastAsia" w:ascii="宋体" w:hAnsi="宋体" w:cs="宋体"/>
              </w:rPr>
              <w:t>4.电绝缘靴由高压橡胶制成，测试电压：20KV/3MIN，最大使用电压不小于17000V。</w:t>
            </w:r>
            <w:r>
              <w:rPr>
                <w:rFonts w:hint="eastAsia" w:ascii="宋体" w:hAnsi="宋体" w:cs="宋体"/>
              </w:rPr>
              <w:br w:type="textWrapping"/>
            </w:r>
            <w:r>
              <w:rPr>
                <w:rFonts w:hint="eastAsia" w:ascii="宋体" w:hAnsi="宋体" w:cs="宋体"/>
              </w:rPr>
              <w:t>5.服装规格、尺寸根据合同签署单位需求提供。</w:t>
            </w:r>
            <w:r>
              <w:rPr>
                <w:rFonts w:hint="eastAsia" w:ascii="宋体" w:hAnsi="宋体" w:cs="宋体"/>
              </w:rPr>
              <w:br w:type="textWrapping"/>
            </w:r>
            <w:r>
              <w:rPr>
                <w:rFonts w:hint="eastAsia" w:ascii="宋体" w:hAnsi="宋体" w:cs="宋体"/>
              </w:rPr>
              <w:t>6.每套衣服应有中文的说明书，包装采用单独塑料硬质包装箱包装，标明产品、生产厂商、生产日期、型号大小。</w:t>
            </w:r>
            <w:r>
              <w:rPr>
                <w:rFonts w:hint="eastAsia" w:ascii="宋体" w:hAnsi="宋体" w:cs="宋体"/>
              </w:rPr>
              <w:br w:type="textWrapping"/>
            </w:r>
            <w:r>
              <w:rPr>
                <w:rFonts w:hint="eastAsia" w:ascii="宋体" w:hAnsi="宋体" w:cs="宋体"/>
              </w:rPr>
              <w:t>7.衣服合适位置设置标注生产厂商、联系方式、生产日期的永久性标识，印制二维码，扫码后显示产品用途、原理、结构、使用注意事项、储存保养和操作使用视频等信息。</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r>
      <w:tr>
        <w:tblPrEx>
          <w:tblCellMar>
            <w:top w:w="0" w:type="dxa"/>
            <w:left w:w="108" w:type="dxa"/>
            <w:bottom w:w="0" w:type="dxa"/>
            <w:right w:w="108" w:type="dxa"/>
          </w:tblCellMar>
        </w:tblPrEx>
        <w:trPr>
          <w:trHeight w:val="81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防静电服</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1.用途：用于轻度核生化事件后的污染环境下市民人员防护。</w:t>
            </w:r>
            <w:r>
              <w:rPr>
                <w:rFonts w:hint="eastAsia" w:ascii="宋体" w:hAnsi="宋体" w:cs="宋体"/>
              </w:rPr>
              <w:br w:type="textWrapping"/>
            </w:r>
            <w:r>
              <w:rPr>
                <w:rFonts w:hint="eastAsia" w:ascii="宋体" w:hAnsi="宋体" w:cs="宋体"/>
              </w:rPr>
              <w:t>2.系统配置：服装</w:t>
            </w:r>
            <w:r>
              <w:rPr>
                <w:rFonts w:hint="eastAsia" w:ascii="宋体" w:hAnsi="宋体" w:cs="宋体"/>
              </w:rPr>
              <w:br w:type="textWrapping"/>
            </w:r>
            <w:r>
              <w:rPr>
                <w:rFonts w:hint="eastAsia" w:ascii="宋体" w:hAnsi="宋体" w:cs="宋体"/>
              </w:rPr>
              <w:t>3.技术指标</w:t>
            </w:r>
            <w:r>
              <w:rPr>
                <w:rFonts w:hint="eastAsia" w:ascii="宋体" w:hAnsi="宋体" w:cs="宋体"/>
              </w:rPr>
              <w:br w:type="textWrapping"/>
            </w:r>
            <w:r>
              <w:rPr>
                <w:rFonts w:hint="eastAsia" w:ascii="宋体" w:hAnsi="宋体" w:cs="宋体"/>
              </w:rPr>
              <w:t>3.1防护服</w:t>
            </w:r>
            <w:r>
              <w:rPr>
                <w:rFonts w:hint="eastAsia" w:ascii="宋体" w:hAnsi="宋体" w:cs="宋体"/>
              </w:rPr>
              <w:br w:type="textWrapping"/>
            </w:r>
            <w:r>
              <w:rPr>
                <w:rFonts w:hint="eastAsia" w:ascii="宋体" w:hAnsi="宋体" w:cs="宋体"/>
              </w:rPr>
              <w:t>3.1.1 由三层结构的SMS材料制成，其面料内层和外层为防粘聚丙烯无纺布，中间层为熔喷层，该系列产品透气性优良，对欧标TYPE5干燥颗粒物，TYPE6低度液体喷溅提供有效防护</w:t>
            </w:r>
            <w:r>
              <w:rPr>
                <w:rFonts w:hint="eastAsia" w:ascii="宋体" w:hAnsi="宋体" w:cs="宋体"/>
              </w:rPr>
              <w:br w:type="textWrapping"/>
            </w:r>
            <w:r>
              <w:rPr>
                <w:rFonts w:hint="eastAsia" w:ascii="宋体" w:hAnsi="宋体" w:cs="宋体"/>
              </w:rPr>
              <w:t>3.1.2 达到EN-1149防静电标准；</w:t>
            </w:r>
            <w:r>
              <w:rPr>
                <w:rFonts w:hint="eastAsia" w:ascii="宋体" w:hAnsi="宋体" w:cs="宋体"/>
              </w:rPr>
              <w:br w:type="textWrapping"/>
            </w:r>
            <w:r>
              <w:rPr>
                <w:rFonts w:hint="eastAsia" w:ascii="宋体" w:hAnsi="宋体" w:cs="宋体"/>
              </w:rPr>
              <w:t>3.1.3 能满足放射性微粒穿透；适用于TYPE5和TYPE6类，满足TYPE4类防护需求</w:t>
            </w:r>
            <w:r>
              <w:rPr>
                <w:rFonts w:hint="eastAsia" w:ascii="宋体" w:hAnsi="宋体" w:cs="宋体"/>
              </w:rPr>
              <w:br w:type="textWrapping"/>
            </w:r>
            <w:r>
              <w:rPr>
                <w:rFonts w:hint="eastAsia" w:ascii="宋体" w:hAnsi="宋体" w:cs="宋体"/>
              </w:rPr>
              <w:t>3.1.4 面料通过防细菌微生物介质穿透测试（EN14126以及ASTM测试）；</w:t>
            </w:r>
            <w:r>
              <w:rPr>
                <w:rFonts w:hint="eastAsia" w:ascii="宋体" w:hAnsi="宋体" w:cs="宋体"/>
              </w:rPr>
              <w:br w:type="textWrapping"/>
            </w:r>
            <w:r>
              <w:rPr>
                <w:rFonts w:hint="eastAsia" w:ascii="宋体" w:hAnsi="宋体" w:cs="宋体"/>
              </w:rPr>
              <w:t>3.1.5 满足固体颗粒物化学要求。</w:t>
            </w:r>
            <w:r>
              <w:rPr>
                <w:rFonts w:hint="eastAsia" w:ascii="宋体" w:hAnsi="宋体" w:cs="宋体"/>
              </w:rPr>
              <w:br w:type="textWrapping"/>
            </w:r>
            <w:r>
              <w:rPr>
                <w:rFonts w:hint="eastAsia" w:ascii="宋体" w:hAnsi="宋体" w:cs="宋体"/>
              </w:rPr>
              <w:t>4.产品特点</w:t>
            </w:r>
            <w:r>
              <w:rPr>
                <w:rFonts w:hint="eastAsia" w:ascii="宋体" w:hAnsi="宋体" w:cs="宋体"/>
              </w:rPr>
              <w:br w:type="textWrapping"/>
            </w:r>
            <w:r>
              <w:rPr>
                <w:rFonts w:hint="eastAsia" w:ascii="宋体" w:hAnsi="宋体" w:cs="宋体"/>
              </w:rPr>
              <w:t>4.1产品符合欧盟PPE指令相关标准的要求</w:t>
            </w:r>
            <w:r>
              <w:rPr>
                <w:rFonts w:hint="eastAsia" w:ascii="宋体" w:hAnsi="宋体" w:cs="宋体"/>
              </w:rPr>
              <w:br w:type="textWrapping"/>
            </w:r>
            <w:r>
              <w:rPr>
                <w:rFonts w:hint="eastAsia" w:ascii="宋体" w:hAnsi="宋体" w:cs="宋体"/>
              </w:rPr>
              <w:t>4.2选择适合应用的产品，正确选择，培训，使用和维护该产品对有效发挥产品防护性能很重要</w:t>
            </w:r>
            <w:r>
              <w:rPr>
                <w:rFonts w:hint="eastAsia" w:ascii="宋体" w:hAnsi="宋体" w:cs="宋体"/>
              </w:rPr>
              <w:br w:type="textWrapping"/>
            </w:r>
            <w:r>
              <w:rPr>
                <w:rFonts w:hint="eastAsia" w:ascii="宋体" w:hAnsi="宋体" w:cs="宋体"/>
              </w:rPr>
              <w:t>4.3使用前,穿着者必须根据适用的职业健康安全标准/指南，接受完整的培训使用前请检查防护服完好，有破损和污染的防护服不能使用</w:t>
            </w:r>
            <w:r>
              <w:rPr>
                <w:rFonts w:hint="eastAsia" w:ascii="宋体" w:hAnsi="宋体" w:cs="宋体"/>
              </w:rPr>
              <w:br w:type="textWrapping"/>
            </w:r>
            <w:r>
              <w:rPr>
                <w:rFonts w:hint="eastAsia" w:ascii="宋体" w:hAnsi="宋体" w:cs="宋体"/>
              </w:rPr>
              <w:t>4.4正确穿戴，确保达到有效防护，产品只对覆盖身体的部分具有防护作用</w:t>
            </w:r>
            <w:r>
              <w:rPr>
                <w:rFonts w:hint="eastAsia" w:ascii="宋体" w:hAnsi="宋体" w:cs="宋体"/>
              </w:rPr>
              <w:br w:type="textWrapping"/>
            </w:r>
            <w:r>
              <w:rPr>
                <w:rFonts w:hint="eastAsia" w:ascii="宋体" w:hAnsi="宋体" w:cs="宋体"/>
              </w:rPr>
              <w:t>4.5暴露过程中一直穿着，必要时更换</w:t>
            </w:r>
            <w:r>
              <w:rPr>
                <w:rFonts w:hint="eastAsia" w:ascii="宋体" w:hAnsi="宋体" w:cs="宋体"/>
              </w:rPr>
              <w:br w:type="textWrapping"/>
            </w:r>
            <w:r>
              <w:rPr>
                <w:rFonts w:hint="eastAsia" w:ascii="宋体" w:hAnsi="宋体" w:cs="宋体"/>
              </w:rPr>
              <w:t>4.6某些场合，防护服需要与手套，口罩，防化靴等其他防护装备配合使用，防护服应与这些配件适当的密合链接</w:t>
            </w:r>
            <w:r>
              <w:rPr>
                <w:rFonts w:hint="eastAsia" w:ascii="宋体" w:hAnsi="宋体" w:cs="宋体"/>
              </w:rPr>
              <w:br w:type="textWrapping"/>
            </w:r>
            <w:r>
              <w:rPr>
                <w:rFonts w:hint="eastAsia" w:ascii="宋体" w:hAnsi="宋体" w:cs="宋体"/>
              </w:rPr>
              <w:t>4.7任何时候不要试图变更，修改或修补本产品</w:t>
            </w:r>
            <w:r>
              <w:rPr>
                <w:rFonts w:hint="eastAsia" w:ascii="宋体" w:hAnsi="宋体" w:cs="宋体"/>
              </w:rPr>
              <w:br w:type="textWrapping"/>
            </w:r>
            <w:r>
              <w:rPr>
                <w:rFonts w:hint="eastAsia" w:ascii="宋体" w:hAnsi="宋体" w:cs="宋体"/>
              </w:rPr>
              <w:t>4.8不要在易燃易爆环境中使用</w:t>
            </w:r>
            <w:r>
              <w:rPr>
                <w:rFonts w:hint="eastAsia" w:ascii="宋体" w:hAnsi="宋体" w:cs="宋体"/>
              </w:rPr>
              <w:br w:type="textWrapping"/>
            </w:r>
            <w:r>
              <w:rPr>
                <w:rFonts w:hint="eastAsia" w:ascii="宋体" w:hAnsi="宋体" w:cs="宋体"/>
              </w:rPr>
              <w:t>4.9再次使用防护服，确保完整性和无污染.若已污染，则应按照污染物处理的有关规定正确处理</w:t>
            </w:r>
            <w:r>
              <w:rPr>
                <w:rFonts w:hint="eastAsia" w:ascii="宋体" w:hAnsi="宋体" w:cs="宋体"/>
              </w:rPr>
              <w:br w:type="textWrapping"/>
            </w:r>
            <w:r>
              <w:rPr>
                <w:rFonts w:hint="eastAsia" w:ascii="宋体" w:hAnsi="宋体" w:cs="宋体"/>
              </w:rPr>
              <w:t>4.10防护服不合适清洗，被污染的防护服应当弃用,存储在干燥，阴凉的环境（-20c&lt;温度&lt;25c，湿度&lt;80%）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2400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消防阻燃毛衣</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技术性能：面料阻燃性能经向续燃时间0s，损毁长度约9mm；纬向阻燃性能续燃时间0s，损毁长度约17mm；热稳定性能尺寸变化率约1%，水洗尺寸变化率直向约2%，横向约1%；单位面积质量：210g/㎡；PH值：约7抗起球性能3-4级；甲醛含量≤75mg/kg(未检出)；接缝断裂强力（N）：约10803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r>
      <w:tr>
        <w:tblPrEx>
          <w:tblCellMar>
            <w:top w:w="0" w:type="dxa"/>
            <w:left w:w="108" w:type="dxa"/>
            <w:bottom w:w="0" w:type="dxa"/>
            <w:right w:w="108" w:type="dxa"/>
          </w:tblCellMar>
        </w:tblPrEx>
        <w:trPr>
          <w:trHeight w:val="309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消防员降温背心</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性能参数</w:t>
            </w:r>
            <w:r>
              <w:rPr>
                <w:rFonts w:hint="eastAsia" w:ascii="宋体" w:hAnsi="宋体" w:cs="宋体"/>
              </w:rPr>
              <w:br w:type="textWrapping"/>
            </w:r>
            <w:r>
              <w:rPr>
                <w:rFonts w:hint="eastAsia" w:ascii="宋体" w:hAnsi="宋体" w:cs="宋体"/>
              </w:rPr>
              <w:t>冷却背心适用于高温环境抵御热辐射</w:t>
            </w:r>
            <w:r>
              <w:rPr>
                <w:rFonts w:hint="eastAsia" w:ascii="宋体" w:hAnsi="宋体" w:cs="宋体"/>
              </w:rPr>
              <w:br w:type="textWrapping"/>
            </w:r>
            <w:r>
              <w:rPr>
                <w:rFonts w:hint="eastAsia" w:ascii="宋体" w:hAnsi="宋体" w:cs="宋体"/>
              </w:rPr>
              <w:t>降低人体温度，防止人体高温伤害的产品</w:t>
            </w:r>
            <w:r>
              <w:rPr>
                <w:rFonts w:hint="eastAsia" w:ascii="宋体" w:hAnsi="宋体" w:cs="宋体"/>
              </w:rPr>
              <w:br w:type="textWrapping"/>
            </w:r>
            <w:r>
              <w:rPr>
                <w:rFonts w:hint="eastAsia" w:ascii="宋体" w:hAnsi="宋体" w:cs="宋体"/>
              </w:rPr>
              <w:t>冷却效果评估，在38度的环境中，可以持续释放冷量大于3小时</w:t>
            </w:r>
            <w:r>
              <w:rPr>
                <w:rFonts w:hint="eastAsia" w:ascii="宋体" w:hAnsi="宋体" w:cs="宋体"/>
              </w:rPr>
              <w:br w:type="textWrapping"/>
            </w:r>
            <w:r>
              <w:rPr>
                <w:rFonts w:hint="eastAsia" w:ascii="宋体" w:hAnsi="宋体" w:cs="宋体"/>
              </w:rPr>
              <w:t>由前后2片组成背心，和4袋蓄能冰袋构成。穿着舒适，易于穿脱</w:t>
            </w:r>
            <w:r>
              <w:rPr>
                <w:rFonts w:hint="eastAsia" w:ascii="宋体" w:hAnsi="宋体" w:cs="宋体"/>
              </w:rPr>
              <w:br w:type="textWrapping"/>
            </w:r>
            <w:r>
              <w:rPr>
                <w:rFonts w:hint="eastAsia" w:ascii="宋体" w:hAnsi="宋体" w:cs="宋体"/>
              </w:rPr>
              <w:t>蓄能冰袋储存冷源,吸取人体热量,降低体温,延长人在高温环境的工作时间.</w:t>
            </w:r>
            <w:r>
              <w:rPr>
                <w:rFonts w:hint="eastAsia" w:ascii="宋体" w:hAnsi="宋体" w:cs="宋体"/>
              </w:rPr>
              <w:br w:type="textWrapping"/>
            </w:r>
            <w:r>
              <w:rPr>
                <w:rFonts w:hint="eastAsia" w:ascii="宋体" w:hAnsi="宋体" w:cs="宋体"/>
              </w:rPr>
              <w:t>蓄能冰袋内混合物溶化后，可以经过冷冻反复使用。物理制冷，无污染。</w:t>
            </w:r>
            <w:r>
              <w:rPr>
                <w:rFonts w:hint="eastAsia" w:ascii="宋体" w:hAnsi="宋体" w:cs="宋体"/>
              </w:rPr>
              <w:br w:type="textWrapping"/>
            </w:r>
            <w:r>
              <w:rPr>
                <w:rFonts w:hint="eastAsia" w:ascii="宋体" w:hAnsi="宋体" w:cs="宋体"/>
              </w:rPr>
              <w:t>背心面料材质选用阻燃全棉贡缎，具有防火阻燃功能，可洗、可刷，长期穿用贴身面采用隔热絮片，防止蓄能冰袋低温冻伤</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r>
      <w:tr>
        <w:tblPrEx>
          <w:tblCellMar>
            <w:top w:w="0" w:type="dxa"/>
            <w:left w:w="108" w:type="dxa"/>
            <w:bottom w:w="0" w:type="dxa"/>
            <w:right w:w="108" w:type="dxa"/>
          </w:tblCellMar>
        </w:tblPrEx>
        <w:trPr>
          <w:trHeight w:val="38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正压式消防氧气呼吸器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1、符合XF632-2006《正压式消防氧气呼吸器》标准，并经过该标准和规则的全部检验项目，且所检项目均符合标准的要求。*质量保证：需提供制国家认可机构出具的相关证书。</w:t>
            </w:r>
            <w:r>
              <w:rPr>
                <w:rFonts w:hint="eastAsia" w:ascii="宋体" w:hAnsi="宋体" w:cs="宋体"/>
              </w:rPr>
              <w:br w:type="textWrapping"/>
            </w:r>
            <w:r>
              <w:rPr>
                <w:rFonts w:hint="eastAsia" w:ascii="宋体" w:hAnsi="宋体" w:cs="宋体"/>
              </w:rPr>
              <w:t>2、产品采用闭路式呼吸器供气系统，由全封闭式面罩、供/排气软管、高压氧气炭纤维气瓶、降温装置，减压装置、气体反应室等组成。</w:t>
            </w:r>
            <w:r>
              <w:rPr>
                <w:rFonts w:hint="eastAsia" w:ascii="宋体" w:hAnsi="宋体" w:cs="宋体"/>
              </w:rPr>
              <w:br w:type="textWrapping"/>
            </w:r>
            <w:r>
              <w:rPr>
                <w:rFonts w:hint="eastAsia" w:ascii="宋体" w:hAnsi="宋体" w:cs="宋体"/>
              </w:rPr>
              <w:t>3、佩戴质量&lt;15kg;使用时间≥4 h；</w:t>
            </w:r>
            <w:r>
              <w:rPr>
                <w:rFonts w:hint="eastAsia" w:ascii="宋体" w:hAnsi="宋体" w:cs="宋体"/>
              </w:rPr>
              <w:br w:type="textWrapping"/>
            </w:r>
            <w:r>
              <w:rPr>
                <w:rFonts w:hint="eastAsia" w:ascii="宋体" w:hAnsi="宋体" w:cs="宋体"/>
              </w:rPr>
              <w:t>4、产品着装带、带扣、外壳、面罩、呼吸软管阻燃性能试验后， 不出现熔融现象，续燃时间&lt;5S；</w:t>
            </w:r>
            <w:r>
              <w:rPr>
                <w:rFonts w:hint="eastAsia" w:ascii="宋体" w:hAnsi="宋体" w:cs="宋体"/>
              </w:rPr>
              <w:br w:type="textWrapping"/>
            </w:r>
            <w:r>
              <w:rPr>
                <w:rFonts w:hint="eastAsia" w:ascii="宋体" w:hAnsi="宋体" w:cs="宋体"/>
              </w:rPr>
              <w:t>5、高压系统气密性在 30分钟内不漏气。低压系统气密性在1分钟内其压力值≤10Pa；</w:t>
            </w:r>
            <w:r>
              <w:rPr>
                <w:rFonts w:hint="eastAsia" w:ascii="宋体" w:hAnsi="宋体" w:cs="宋体"/>
              </w:rPr>
              <w:br w:type="textWrapping"/>
            </w:r>
            <w:r>
              <w:rPr>
                <w:rFonts w:hint="eastAsia" w:ascii="宋体" w:hAnsi="宋体" w:cs="宋体"/>
              </w:rPr>
              <w:t>6、额定防护时间内的防护性能∶ 吸气中氧气浓度&gt;21%; 吸气中二氧化碳浓度≤1.30%;吸气温度∶&lt;31℃;呼气阻力&lt;500Pa;吸气阻力&lt;230Pa;</w:t>
            </w:r>
            <w:r>
              <w:rPr>
                <w:rFonts w:hint="eastAsia" w:ascii="宋体" w:hAnsi="宋体" w:cs="宋体"/>
              </w:rPr>
              <w:br w:type="textWrapping"/>
            </w:r>
            <w:r>
              <w:rPr>
                <w:rFonts w:hint="eastAsia" w:ascii="宋体" w:hAnsi="宋体" w:cs="宋体"/>
              </w:rPr>
              <w:t>7、定量供氧量∶≥1.60L/min; 自动补给供氧量∶≥105L/min;手动补给供氧量∶ ≥95L/min;</w:t>
            </w:r>
            <w:r>
              <w:rPr>
                <w:rFonts w:hint="eastAsia" w:ascii="宋体" w:hAnsi="宋体" w:cs="宋体"/>
              </w:rPr>
              <w:br w:type="textWrapping"/>
            </w:r>
            <w:r>
              <w:rPr>
                <w:rFonts w:hint="eastAsia" w:ascii="宋体" w:hAnsi="宋体" w:cs="宋体"/>
              </w:rPr>
              <w:t>8、自动补给阀开启压力∶100~150Pa; 排气阀开启压力∶ 500~600Pa;</w:t>
            </w:r>
            <w:r>
              <w:rPr>
                <w:rFonts w:hint="eastAsia" w:ascii="宋体" w:hAnsi="宋体" w:cs="宋体"/>
              </w:rPr>
              <w:br w:type="textWrapping"/>
            </w:r>
            <w:r>
              <w:rPr>
                <w:rFonts w:hint="eastAsia" w:ascii="宋体" w:hAnsi="宋体" w:cs="宋体"/>
              </w:rPr>
              <w:t>9、经耐温性能试验∶ 高压系统气密性在 30分钟内不漏气。低压系统气密性在1分钟内其压力值&lt;20Pa；</w:t>
            </w:r>
            <w:r>
              <w:rPr>
                <w:rFonts w:hint="eastAsia" w:ascii="宋体" w:hAnsi="宋体" w:cs="宋体"/>
              </w:rPr>
              <w:br w:type="textWrapping"/>
            </w:r>
            <w:r>
              <w:rPr>
                <w:rFonts w:hint="eastAsia" w:ascii="宋体" w:hAnsi="宋体" w:cs="宋体"/>
              </w:rPr>
              <w:t>10、额定防护时间内的防护性能；吸气中氧气浓度≥21%，吸气中二氧化碳浓度≤1%，吸气温度≤32℃；呼气阻力≤600pa；吸气阻力≤330pa；</w:t>
            </w:r>
            <w:r>
              <w:rPr>
                <w:rFonts w:hint="eastAsia" w:ascii="宋体" w:hAnsi="宋体" w:cs="宋体"/>
              </w:rPr>
              <w:br w:type="textWrapping"/>
            </w:r>
            <w:r>
              <w:rPr>
                <w:rFonts w:hint="eastAsia" w:ascii="宋体" w:hAnsi="宋体" w:cs="宋体"/>
              </w:rPr>
              <w:t>11、经耐温性能试验：定量供氧量∶≥1.6L/min; 自动补给供氧量∶≥105L/min;手动补 给供氧量∶ &gt;95L/min；</w:t>
            </w:r>
            <w:r>
              <w:rPr>
                <w:rFonts w:hint="eastAsia" w:ascii="宋体" w:hAnsi="宋体" w:cs="宋体"/>
              </w:rPr>
              <w:br w:type="textWrapping"/>
            </w:r>
            <w:r>
              <w:rPr>
                <w:rFonts w:hint="eastAsia" w:ascii="宋体" w:hAnsi="宋体" w:cs="宋体"/>
              </w:rPr>
              <w:t xml:space="preserve">12、压力表漏气量&lt;20L/min； </w:t>
            </w:r>
            <w:r>
              <w:rPr>
                <w:rFonts w:hint="eastAsia" w:ascii="宋体" w:hAnsi="宋体" w:cs="宋体"/>
              </w:rPr>
              <w:br w:type="textWrapping"/>
            </w:r>
            <w:r>
              <w:rPr>
                <w:rFonts w:hint="eastAsia" w:ascii="宋体" w:hAnsi="宋体" w:cs="宋体"/>
              </w:rPr>
              <w:t>13、面罩采用球型全面罩，镜片内外防雾防划伤，总视野&gt;83%，双目视野≥70%，下方视野≥35°；</w:t>
            </w:r>
            <w:r>
              <w:rPr>
                <w:rFonts w:hint="eastAsia" w:ascii="宋体" w:hAnsi="宋体" w:cs="宋体"/>
              </w:rPr>
              <w:br w:type="textWrapping"/>
            </w:r>
            <w:r>
              <w:rPr>
                <w:rFonts w:hint="eastAsia" w:ascii="宋体" w:hAnsi="宋体" w:cs="宋体"/>
              </w:rPr>
              <w:t>14、气囊或呼吸舱有效容积&gt;5L; 呼吸软管应柔软气密，弯曲时能保持气路畅通，伸长率&gt;20%；</w:t>
            </w:r>
            <w:r>
              <w:rPr>
                <w:rFonts w:hint="eastAsia" w:ascii="宋体" w:hAnsi="宋体" w:cs="宋体"/>
              </w:rPr>
              <w:br w:type="textWrapping"/>
            </w:r>
            <w:r>
              <w:rPr>
                <w:rFonts w:hint="eastAsia" w:ascii="宋体" w:hAnsi="宋体" w:cs="宋体"/>
              </w:rPr>
              <w:t>15、压力表漏气量＜16L/min，报警器报警时声级强度&gt;95dB（A）; 声响时间∶≥50S;最大耗气量&lt;5L/min；</w:t>
            </w:r>
            <w:r>
              <w:rPr>
                <w:rFonts w:hint="eastAsia" w:ascii="宋体" w:hAnsi="宋体" w:cs="宋体"/>
              </w:rPr>
              <w:br w:type="textWrapping"/>
            </w:r>
            <w:r>
              <w:rPr>
                <w:rFonts w:hint="eastAsia" w:ascii="宋体" w:hAnsi="宋体" w:cs="宋体"/>
              </w:rPr>
              <w:t>16、呼气阀∶逆向漏气量&lt;0.30L/min; 通气阻力≤15Pa;吸气阀∶逆向漏气量≤0.30L/ min;通气阻力≤15Pa；</w:t>
            </w:r>
            <w:r>
              <w:rPr>
                <w:rFonts w:hint="eastAsia" w:ascii="宋体" w:hAnsi="宋体" w:cs="宋体"/>
              </w:rPr>
              <w:br w:type="textWrapping"/>
            </w:r>
            <w:r>
              <w:rPr>
                <w:rFonts w:hint="eastAsia" w:ascii="宋体" w:hAnsi="宋体" w:cs="宋体"/>
              </w:rPr>
              <w:t>17、气瓶容积＞2.4L，工作压力≥20Mpa。</w:t>
            </w:r>
            <w:r>
              <w:rPr>
                <w:rFonts w:hint="eastAsia" w:ascii="宋体" w:hAnsi="宋体" w:cs="宋体"/>
              </w:rPr>
              <w:br w:type="textWrapping"/>
            </w:r>
            <w:r>
              <w:rPr>
                <w:rFonts w:hint="eastAsia" w:ascii="宋体" w:hAnsi="宋体" w:cs="宋体"/>
              </w:rPr>
              <w:t>18、二氧化碳吸收装置应采用一体化装填，可随用随取，无须提前装药；</w:t>
            </w:r>
            <w:r>
              <w:rPr>
                <w:rFonts w:hint="eastAsia" w:ascii="宋体" w:hAnsi="宋体" w:cs="宋体"/>
              </w:rPr>
              <w:br w:type="textWrapping"/>
            </w:r>
            <w:r>
              <w:rPr>
                <w:rFonts w:hint="eastAsia" w:ascii="宋体" w:hAnsi="宋体" w:cs="宋体"/>
              </w:rPr>
              <w:t>19、降温装置采用冰水降温器及蓝冰降温两种模式，配置的蓝冰降温器由三个模块组成，使用灵活，冷冻时间短；</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r>
      <w:tr>
        <w:tblPrEx>
          <w:tblCellMar>
            <w:top w:w="0" w:type="dxa"/>
            <w:left w:w="108" w:type="dxa"/>
            <w:bottom w:w="0" w:type="dxa"/>
            <w:right w:w="108" w:type="dxa"/>
          </w:tblCellMar>
        </w:tblPrEx>
        <w:trPr>
          <w:trHeight w:val="5822"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强制送风呼吸器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1、用途：主要用来防御吸入有害气体、粉尘、烟雾等污染物质危害。对矿山开采、石油化工、制药工业、煤气厂、城建地下施工、呼吸性传染病预防等环境，用作个人呼吸保护，保护作业人员身体健康。</w:t>
            </w:r>
            <w:r>
              <w:rPr>
                <w:rFonts w:hint="eastAsia" w:ascii="宋体" w:hAnsi="宋体" w:cs="宋体"/>
              </w:rPr>
              <w:br w:type="textWrapping"/>
            </w:r>
            <w:r>
              <w:rPr>
                <w:rFonts w:hint="eastAsia" w:ascii="宋体" w:hAnsi="宋体" w:cs="宋体"/>
              </w:rPr>
              <w:t>2、构 造</w:t>
            </w:r>
            <w:r>
              <w:rPr>
                <w:rFonts w:hint="eastAsia" w:ascii="宋体" w:hAnsi="宋体" w:cs="宋体"/>
              </w:rPr>
              <w:br w:type="textWrapping"/>
            </w:r>
            <w:r>
              <w:rPr>
                <w:rFonts w:hint="eastAsia" w:ascii="宋体" w:hAnsi="宋体" w:cs="宋体"/>
              </w:rPr>
              <w:t>强制送风呼吸器大致由全面罩、腰带、导气软管、送风机、锂电池、稳压电源组成的；</w:t>
            </w:r>
            <w:r>
              <w:rPr>
                <w:rFonts w:hint="eastAsia" w:ascii="宋体" w:hAnsi="宋体" w:cs="宋体"/>
              </w:rPr>
              <w:br w:type="textWrapping"/>
            </w:r>
            <w:r>
              <w:rPr>
                <w:rFonts w:hint="eastAsia" w:ascii="宋体" w:hAnsi="宋体" w:cs="宋体"/>
              </w:rPr>
              <w:t>3、技术参数：</w:t>
            </w:r>
            <w:r>
              <w:rPr>
                <w:rFonts w:hint="eastAsia" w:ascii="宋体" w:hAnsi="宋体" w:cs="宋体"/>
              </w:rPr>
              <w:br w:type="textWrapping"/>
            </w:r>
            <w:r>
              <w:rPr>
                <w:rFonts w:hint="eastAsia" w:ascii="宋体" w:hAnsi="宋体" w:cs="宋体"/>
              </w:rPr>
              <w:t xml:space="preserve">风机送风压力：  ≥170L/min </w:t>
            </w:r>
            <w:r>
              <w:rPr>
                <w:rFonts w:hint="eastAsia" w:ascii="宋体" w:hAnsi="宋体" w:cs="宋体"/>
              </w:rPr>
              <w:br w:type="textWrapping"/>
            </w:r>
            <w:r>
              <w:rPr>
                <w:rFonts w:hint="eastAsia" w:ascii="宋体" w:hAnsi="宋体" w:cs="宋体"/>
              </w:rPr>
              <w:t>风机使用时间：   约60-240min</w:t>
            </w:r>
            <w:r>
              <w:rPr>
                <w:rFonts w:hint="eastAsia" w:ascii="宋体" w:hAnsi="宋体" w:cs="宋体"/>
              </w:rPr>
              <w:br w:type="textWrapping"/>
            </w:r>
            <w:r>
              <w:rPr>
                <w:rFonts w:hint="eastAsia" w:ascii="宋体" w:hAnsi="宋体" w:cs="宋体"/>
              </w:rPr>
              <w:t>滤 毒 罐 参 数：透过滤≤ 0.0003%</w:t>
            </w:r>
            <w:r>
              <w:rPr>
                <w:rFonts w:hint="eastAsia" w:ascii="宋体" w:hAnsi="宋体" w:cs="宋体"/>
              </w:rPr>
              <w:br w:type="textWrapping"/>
            </w:r>
            <w:r>
              <w:rPr>
                <w:rFonts w:hint="eastAsia" w:ascii="宋体" w:hAnsi="宋体" w:cs="宋体"/>
              </w:rPr>
              <w:t xml:space="preserve">                漏气指数≤ 0.0001%</w:t>
            </w:r>
            <w:r>
              <w:rPr>
                <w:rFonts w:hint="eastAsia" w:ascii="宋体" w:hAnsi="宋体" w:cs="宋体"/>
              </w:rPr>
              <w:br w:type="textWrapping"/>
            </w:r>
            <w:r>
              <w:rPr>
                <w:rFonts w:hint="eastAsia" w:ascii="宋体" w:hAnsi="宋体" w:cs="宋体"/>
              </w:rPr>
              <w:t xml:space="preserve">                吸气阻力-3.6～-6.5dapa</w:t>
            </w:r>
            <w:r>
              <w:rPr>
                <w:rFonts w:hint="eastAsia" w:ascii="宋体" w:hAnsi="宋体" w:cs="宋体"/>
              </w:rPr>
              <w:br w:type="textWrapping"/>
            </w:r>
            <w:r>
              <w:rPr>
                <w:rFonts w:hint="eastAsia" w:ascii="宋体" w:hAnsi="宋体" w:cs="宋体"/>
              </w:rPr>
              <w:t>滤罐防毒时间：   ＞ 43min</w:t>
            </w:r>
            <w:r>
              <w:rPr>
                <w:rFonts w:hint="eastAsia" w:ascii="宋体" w:hAnsi="宋体" w:cs="宋体"/>
              </w:rPr>
              <w:br w:type="textWrapping"/>
            </w:r>
            <w:r>
              <w:rPr>
                <w:rFonts w:hint="eastAsia" w:ascii="宋体" w:hAnsi="宋体" w:cs="宋体"/>
              </w:rPr>
              <w:t>滤 毒 罐 材 质：   铝</w:t>
            </w:r>
            <w:r>
              <w:rPr>
                <w:rFonts w:hint="eastAsia" w:ascii="宋体" w:hAnsi="宋体" w:cs="宋体"/>
              </w:rPr>
              <w:br w:type="textWrapping"/>
            </w:r>
            <w:r>
              <w:rPr>
                <w:rFonts w:hint="eastAsia" w:ascii="宋体" w:hAnsi="宋体" w:cs="宋体"/>
              </w:rPr>
              <w:t>全 面 罩 材 质：   硅胶增强聚碳酸酯镜片，球形大视野</w:t>
            </w:r>
            <w:r>
              <w:rPr>
                <w:rFonts w:hint="eastAsia" w:ascii="宋体" w:hAnsi="宋体" w:cs="宋体"/>
              </w:rPr>
              <w:br w:type="textWrapping"/>
            </w:r>
            <w:r>
              <w:rPr>
                <w:rFonts w:hint="eastAsia" w:ascii="宋体" w:hAnsi="宋体" w:cs="宋体"/>
              </w:rPr>
              <w:t>全 面 罩 重 量：   ≤500g（不含滤毒件）</w:t>
            </w:r>
            <w:r>
              <w:rPr>
                <w:rFonts w:hint="eastAsia" w:ascii="宋体" w:hAnsi="宋体" w:cs="宋体"/>
              </w:rPr>
              <w:br w:type="textWrapping"/>
            </w:r>
            <w:r>
              <w:rPr>
                <w:rFonts w:hint="eastAsia" w:ascii="宋体" w:hAnsi="宋体" w:cs="宋体"/>
              </w:rPr>
              <w:t>面罩视野范围：  总视野：≥75%；双目视野≥60%；下方视野:：≥40度；</w:t>
            </w:r>
            <w:r>
              <w:rPr>
                <w:rFonts w:hint="eastAsia" w:ascii="宋体" w:hAnsi="宋体" w:cs="宋体"/>
              </w:rPr>
              <w:br w:type="textWrapping"/>
            </w:r>
            <w:r>
              <w:rPr>
                <w:rFonts w:hint="eastAsia" w:ascii="宋体" w:hAnsi="宋体" w:cs="宋体"/>
              </w:rPr>
              <w:t xml:space="preserve">               面罩镜片透光率：≥85 %</w:t>
            </w:r>
            <w:r>
              <w:rPr>
                <w:rFonts w:hint="eastAsia" w:ascii="宋体" w:hAnsi="宋体" w:cs="宋体"/>
              </w:rPr>
              <w:br w:type="textWrapping"/>
            </w:r>
            <w:r>
              <w:rPr>
                <w:rFonts w:hint="eastAsia" w:ascii="宋体" w:hAnsi="宋体" w:cs="宋体"/>
              </w:rPr>
              <w:t>面 罩 呼 气 阻：  ≤98Pa(30L/min)。</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12000</w:t>
            </w:r>
          </w:p>
        </w:tc>
      </w:tr>
      <w:tr>
        <w:tblPrEx>
          <w:tblCellMar>
            <w:top w:w="0" w:type="dxa"/>
            <w:left w:w="108" w:type="dxa"/>
            <w:bottom w:w="0" w:type="dxa"/>
            <w:right w:w="108" w:type="dxa"/>
          </w:tblCellMar>
        </w:tblPrEx>
        <w:trPr>
          <w:trHeight w:val="81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消防过滤式综合防毒面具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适用于发生火灾和化学危险品泄漏，生物和放射性物质污染的场所，能对人员的呼吸器官、眼睛和面部皮肤提供有效的保护。可供消防特殊作业人员和民防使用，也可用于工业、农业、仓库、电力系统和科研等不同领域，是防止有毒气体侵入呼吸道的个体防护用品。</w:t>
            </w:r>
            <w:r>
              <w:rPr>
                <w:rFonts w:hint="eastAsia" w:ascii="宋体" w:hAnsi="宋体" w:cs="宋体"/>
              </w:rPr>
              <w:br w:type="textWrapping"/>
            </w:r>
            <w:r>
              <w:rPr>
                <w:rFonts w:hint="eastAsia" w:ascii="宋体" w:hAnsi="宋体" w:cs="宋体"/>
              </w:rPr>
              <w:t>主要技术参数：</w:t>
            </w:r>
            <w:r>
              <w:rPr>
                <w:rFonts w:hint="eastAsia" w:ascii="宋体" w:hAnsi="宋体" w:cs="宋体"/>
              </w:rPr>
              <w:br w:type="textWrapping"/>
            </w:r>
            <w:r>
              <w:rPr>
                <w:rFonts w:hint="eastAsia" w:ascii="宋体" w:hAnsi="宋体" w:cs="宋体"/>
              </w:rPr>
              <w:t>1. 滤毒罐</w:t>
            </w:r>
            <w:r>
              <w:rPr>
                <w:rFonts w:hint="eastAsia" w:ascii="宋体" w:hAnsi="宋体" w:cs="宋体"/>
              </w:rPr>
              <w:br w:type="textWrapping"/>
            </w:r>
            <w:r>
              <w:rPr>
                <w:rFonts w:hint="eastAsia" w:ascii="宋体" w:hAnsi="宋体" w:cs="宋体"/>
              </w:rPr>
              <w:t>（1）防护时间：约30分钟</w:t>
            </w:r>
            <w:r>
              <w:rPr>
                <w:rFonts w:hint="eastAsia" w:ascii="宋体" w:hAnsi="宋体" w:cs="宋体"/>
              </w:rPr>
              <w:br w:type="textWrapping"/>
            </w:r>
            <w:r>
              <w:rPr>
                <w:rFonts w:hint="eastAsia" w:ascii="宋体" w:hAnsi="宋体" w:cs="宋体"/>
              </w:rPr>
              <w:t>（2）防毒对象：军用毒剂：沙林、氰氢酸、砷化氢、光气、双光气、氯化苦、苯、溴甲烷、二氯甲烷、路易氏气，芥子气，氯化氰等。常见有毒有害气体：有机气体与蒸气，苯、氯气，丙酮，醇类，苯胺等；二硫化碳、四氯化碳、三氯甲烷、溴甲烷、氯甲烷、硝基烷、氯化苦等。氨气，酸性气体和蒸气：二氧化硫、氯气、硫化氢、氮的氧化物、光气、磷和含氯有机农药等，以及一氧化碳，放射性气溶胶，细菌气溶胶，毒烟、毒雾，尘埃。</w:t>
            </w:r>
            <w:r>
              <w:rPr>
                <w:rFonts w:hint="eastAsia" w:ascii="宋体" w:hAnsi="宋体" w:cs="宋体"/>
              </w:rPr>
              <w:br w:type="textWrapping"/>
            </w:r>
            <w:r>
              <w:rPr>
                <w:rFonts w:hint="eastAsia" w:ascii="宋体" w:hAnsi="宋体" w:cs="宋体"/>
              </w:rPr>
              <w:t>（3）油雾透过系数＜0.01%</w:t>
            </w:r>
            <w:r>
              <w:rPr>
                <w:rFonts w:hint="eastAsia" w:ascii="宋体" w:hAnsi="宋体" w:cs="宋体"/>
              </w:rPr>
              <w:br w:type="textWrapping"/>
            </w:r>
            <w:r>
              <w:rPr>
                <w:rFonts w:hint="eastAsia" w:ascii="宋体" w:hAnsi="宋体" w:cs="宋体"/>
              </w:rPr>
              <w:t>（4）质量＜500g</w:t>
            </w:r>
            <w:r>
              <w:rPr>
                <w:rFonts w:hint="eastAsia" w:ascii="宋体" w:hAnsi="宋体" w:cs="宋体"/>
              </w:rPr>
              <w:br w:type="textWrapping"/>
            </w:r>
            <w:r>
              <w:rPr>
                <w:rFonts w:hint="eastAsia" w:ascii="宋体" w:hAnsi="宋体" w:cs="宋体"/>
              </w:rPr>
              <w:t>（5）阻力：在95L/m时＜900Pa</w:t>
            </w:r>
            <w:r>
              <w:rPr>
                <w:rFonts w:hint="eastAsia" w:ascii="宋体" w:hAnsi="宋体" w:cs="宋体"/>
              </w:rPr>
              <w:br w:type="textWrapping"/>
            </w:r>
            <w:r>
              <w:rPr>
                <w:rFonts w:hint="eastAsia" w:ascii="宋体" w:hAnsi="宋体" w:cs="宋体"/>
              </w:rPr>
              <w:t>（6）排尘量＜0.12mg</w:t>
            </w:r>
            <w:r>
              <w:rPr>
                <w:rFonts w:hint="eastAsia" w:ascii="宋体" w:hAnsi="宋体" w:cs="宋体"/>
              </w:rPr>
              <w:br w:type="textWrapping"/>
            </w:r>
            <w:r>
              <w:rPr>
                <w:rFonts w:hint="eastAsia" w:ascii="宋体" w:hAnsi="宋体" w:cs="宋体"/>
              </w:rPr>
              <w:t>2．全面罩</w:t>
            </w:r>
            <w:r>
              <w:rPr>
                <w:rFonts w:hint="eastAsia" w:ascii="宋体" w:hAnsi="宋体" w:cs="宋体"/>
              </w:rPr>
              <w:br w:type="textWrapping"/>
            </w:r>
            <w:r>
              <w:rPr>
                <w:rFonts w:hint="eastAsia" w:ascii="宋体" w:hAnsi="宋体" w:cs="宋体"/>
              </w:rPr>
              <w:t>（1）漏气系数＜0.005%</w:t>
            </w:r>
            <w:r>
              <w:rPr>
                <w:rFonts w:hint="eastAsia" w:ascii="宋体" w:hAnsi="宋体" w:cs="宋体"/>
              </w:rPr>
              <w:br w:type="textWrapping"/>
            </w:r>
            <w:r>
              <w:rPr>
                <w:rFonts w:hint="eastAsia" w:ascii="宋体" w:hAnsi="宋体" w:cs="宋体"/>
              </w:rPr>
              <w:t>（2）视野：总视野＞70%；双目视野＞55%；下方视野＞35°</w:t>
            </w:r>
            <w:r>
              <w:rPr>
                <w:rFonts w:hint="eastAsia" w:ascii="宋体" w:hAnsi="宋体" w:cs="宋体"/>
              </w:rPr>
              <w:br w:type="textWrapping"/>
            </w:r>
            <w:r>
              <w:rPr>
                <w:rFonts w:hint="eastAsia" w:ascii="宋体" w:hAnsi="宋体" w:cs="宋体"/>
              </w:rPr>
              <w:t>（3）实际死腔＜180mL</w:t>
            </w:r>
            <w:r>
              <w:rPr>
                <w:rFonts w:hint="eastAsia" w:ascii="宋体" w:hAnsi="宋体" w:cs="宋体"/>
              </w:rPr>
              <w:br w:type="textWrapping"/>
            </w:r>
            <w:r>
              <w:rPr>
                <w:rFonts w:hint="eastAsia" w:ascii="宋体" w:hAnsi="宋体" w:cs="宋体"/>
              </w:rPr>
              <w:t>（4）质量＜600g</w:t>
            </w:r>
            <w:r>
              <w:rPr>
                <w:rFonts w:hint="eastAsia" w:ascii="宋体" w:hAnsi="宋体" w:cs="宋体"/>
              </w:rPr>
              <w:br w:type="textWrapping"/>
            </w:r>
            <w:r>
              <w:rPr>
                <w:rFonts w:hint="eastAsia" w:ascii="宋体" w:hAnsi="宋体" w:cs="宋体"/>
              </w:rPr>
              <w:t>（5）吸气阻力＜40Pa</w:t>
            </w:r>
            <w:r>
              <w:rPr>
                <w:rFonts w:hint="eastAsia" w:ascii="宋体" w:hAnsi="宋体" w:cs="宋体"/>
              </w:rPr>
              <w:br w:type="textWrapping"/>
            </w:r>
            <w:r>
              <w:rPr>
                <w:rFonts w:hint="eastAsia" w:ascii="宋体" w:hAnsi="宋体" w:cs="宋体"/>
              </w:rPr>
              <w:t>（6）呼气阻力＜100Pa</w:t>
            </w:r>
            <w:r>
              <w:rPr>
                <w:rFonts w:hint="eastAsia" w:ascii="宋体" w:hAnsi="宋体" w:cs="宋体"/>
              </w:rPr>
              <w:br w:type="textWrapping"/>
            </w:r>
            <w:r>
              <w:rPr>
                <w:rFonts w:hint="eastAsia" w:ascii="宋体" w:hAnsi="宋体" w:cs="宋体"/>
              </w:rPr>
              <w:t>3．毒气防护浓度：沙林1mg/L，氰化氢（HCN）0.3%，苯（C6H6）0.3%，氯气（CL2）0.3%，氨气（NH3）0.3%，二氧化硫（SO2）0.3%，一氧化碳（CO）0.25% 。</w:t>
            </w:r>
            <w:r>
              <w:rPr>
                <w:rFonts w:hint="eastAsia" w:ascii="宋体" w:hAnsi="宋体" w:cs="宋体"/>
              </w:rPr>
              <w:br w:type="textWrapping"/>
            </w:r>
            <w:r>
              <w:rPr>
                <w:rFonts w:hint="eastAsia" w:ascii="宋体" w:hAnsi="宋体" w:cs="宋体"/>
              </w:rPr>
              <w:t>4.有效贮存时间：约4年。</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49500</w:t>
            </w:r>
          </w:p>
        </w:tc>
      </w:tr>
      <w:tr>
        <w:tblPrEx>
          <w:tblCellMar>
            <w:top w:w="0" w:type="dxa"/>
            <w:left w:w="108" w:type="dxa"/>
            <w:bottom w:w="0" w:type="dxa"/>
            <w:right w:w="108" w:type="dxa"/>
          </w:tblCellMar>
        </w:tblPrEx>
        <w:trPr>
          <w:trHeight w:val="635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消防全身式安全吊带</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1.符合GA494-2004《消防用防坠落装备》标准要求并需提供制国家认可机构出具的相关证书。</w:t>
            </w:r>
            <w:r>
              <w:rPr>
                <w:rFonts w:hint="eastAsia" w:ascii="宋体" w:hAnsi="宋体" w:cs="宋体"/>
              </w:rPr>
              <w:br w:type="textWrapping"/>
            </w:r>
            <w:r>
              <w:rPr>
                <w:rFonts w:hint="eastAsia" w:ascii="宋体" w:hAnsi="宋体" w:cs="宋体"/>
              </w:rPr>
              <w:t>2.安全吊带的腰部前方或胸剑骨部位至少有一个承载连接部件。</w:t>
            </w:r>
            <w:r>
              <w:rPr>
                <w:rFonts w:hint="eastAsia" w:ascii="宋体" w:hAnsi="宋体" w:cs="宋体"/>
              </w:rPr>
              <w:br w:type="textWrapping"/>
            </w:r>
            <w:r>
              <w:rPr>
                <w:rFonts w:hint="eastAsia" w:ascii="宋体" w:hAnsi="宋体" w:cs="宋体"/>
              </w:rPr>
              <w:t>3.安全吊带的承重织带宽度不应小于40mm且不大于70mm，厚度约2mm。</w:t>
            </w:r>
            <w:r>
              <w:rPr>
                <w:rFonts w:hint="eastAsia" w:ascii="宋体" w:hAnsi="宋体" w:cs="宋体"/>
              </w:rPr>
              <w:br w:type="textWrapping"/>
            </w:r>
            <w:r>
              <w:rPr>
                <w:rFonts w:hint="eastAsia" w:ascii="宋体" w:hAnsi="宋体" w:cs="宋体"/>
              </w:rPr>
              <w:t>4.安全吊带为可倒置安全吊带，全身可调适合不同尺寸人群。</w:t>
            </w:r>
            <w:r>
              <w:rPr>
                <w:rFonts w:hint="eastAsia" w:ascii="宋体" w:hAnsi="宋体" w:cs="宋体"/>
              </w:rPr>
              <w:br w:type="textWrapping"/>
            </w:r>
            <w:r>
              <w:rPr>
                <w:rFonts w:hint="eastAsia" w:ascii="宋体" w:hAnsi="宋体" w:cs="宋体"/>
              </w:rPr>
              <w:t>5.安全吊带的织带边缘应通过热封或其它措施来防止织线松脱。</w:t>
            </w:r>
            <w:r>
              <w:rPr>
                <w:rFonts w:hint="eastAsia" w:ascii="宋体" w:hAnsi="宋体" w:cs="宋体"/>
              </w:rPr>
              <w:br w:type="textWrapping"/>
            </w:r>
            <w:r>
              <w:rPr>
                <w:rFonts w:hint="eastAsia" w:ascii="宋体" w:hAnsi="宋体" w:cs="宋体"/>
              </w:rPr>
              <w:t>6.安全吊带织带边缘通过热封来防止织线松脱。缝线与织带相匹配，用肉眼易于检查，缝合接口及缝合末端不少于13㎜；线路、针迹应顺直、整齐，无明显弯曲或堆砌，无跳针、开线、断线。</w:t>
            </w:r>
            <w:r>
              <w:rPr>
                <w:rFonts w:hint="eastAsia" w:ascii="宋体" w:hAnsi="宋体" w:cs="宋体"/>
              </w:rPr>
              <w:br w:type="textWrapping"/>
            </w:r>
            <w:r>
              <w:rPr>
                <w:rFonts w:hint="eastAsia" w:ascii="宋体" w:hAnsi="宋体" w:cs="宋体"/>
              </w:rPr>
              <w:t>7.安全吊带的拉环不允许焊接。</w:t>
            </w:r>
            <w:r>
              <w:rPr>
                <w:rFonts w:hint="eastAsia" w:ascii="宋体" w:hAnsi="宋体" w:cs="宋体"/>
              </w:rPr>
              <w:br w:type="textWrapping"/>
            </w:r>
            <w:r>
              <w:rPr>
                <w:rFonts w:hint="eastAsia" w:ascii="宋体" w:hAnsi="宋体" w:cs="宋体"/>
              </w:rPr>
              <w:t>8.安全吊带的带扣应使安全带长度调节方便、佩戴快速且无松脱、滑落现象。</w:t>
            </w:r>
            <w:r>
              <w:rPr>
                <w:rFonts w:hint="eastAsia" w:ascii="宋体" w:hAnsi="宋体" w:cs="宋体"/>
              </w:rPr>
              <w:br w:type="textWrapping"/>
            </w:r>
            <w:r>
              <w:rPr>
                <w:rFonts w:hint="eastAsia" w:ascii="宋体" w:hAnsi="宋体" w:cs="宋体"/>
              </w:rPr>
              <w:t>9.安全吊带的带扣的边角半径不小于6㎜。</w:t>
            </w:r>
            <w:r>
              <w:rPr>
                <w:rFonts w:hint="eastAsia" w:ascii="宋体" w:hAnsi="宋体" w:cs="宋体"/>
              </w:rPr>
              <w:br w:type="textWrapping"/>
            </w:r>
            <w:r>
              <w:rPr>
                <w:rFonts w:hint="eastAsia" w:ascii="宋体" w:hAnsi="宋体" w:cs="宋体"/>
              </w:rPr>
              <w:t>10.静负荷性能：安全吊带不应从人体模型上松脱，安全腰带上的带扣和调节装置滑移距离不应超过10mm，而且安全腰带不应出现影响其安全性能的明显损伤。</w:t>
            </w:r>
            <w:r>
              <w:rPr>
                <w:rFonts w:hint="eastAsia" w:ascii="宋体" w:hAnsi="宋体" w:cs="宋体"/>
              </w:rPr>
              <w:br w:type="textWrapping"/>
            </w:r>
            <w:r>
              <w:rPr>
                <w:rFonts w:hint="eastAsia" w:ascii="宋体" w:hAnsi="宋体" w:cs="宋体"/>
              </w:rPr>
              <w:t>11.抗冲击性能：安全腰带不应从人体模型上松脱，而且安全腰带不应出现影响其安全性能的明显损伤。</w:t>
            </w:r>
            <w:r>
              <w:rPr>
                <w:rFonts w:hint="eastAsia" w:ascii="宋体" w:hAnsi="宋体" w:cs="宋体"/>
              </w:rPr>
              <w:br w:type="textWrapping"/>
            </w:r>
            <w:r>
              <w:rPr>
                <w:rFonts w:hint="eastAsia" w:ascii="宋体" w:hAnsi="宋体" w:cs="宋体"/>
              </w:rPr>
              <w:t>12.耐高温性能：安全腰带的织带和缝线不应出现熔融、焦化现象。</w:t>
            </w:r>
            <w:r>
              <w:rPr>
                <w:rFonts w:hint="eastAsia" w:ascii="宋体" w:hAnsi="宋体" w:cs="宋体"/>
              </w:rPr>
              <w:br w:type="textWrapping"/>
            </w:r>
            <w:r>
              <w:rPr>
                <w:rFonts w:hint="eastAsia" w:ascii="宋体" w:hAnsi="宋体" w:cs="宋体"/>
              </w:rPr>
              <w:t>13.金属零件的耐腐蚀性能：盐雾试验后，外观应符合GB/T 6461-2002外观等级评定轻微级的要求。</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28800</w:t>
            </w:r>
          </w:p>
        </w:tc>
      </w:tr>
      <w:tr>
        <w:tblPrEx>
          <w:tblCellMar>
            <w:top w:w="0" w:type="dxa"/>
            <w:left w:w="108" w:type="dxa"/>
            <w:bottom w:w="0" w:type="dxa"/>
            <w:right w:w="108" w:type="dxa"/>
          </w:tblCellMar>
        </w:tblPrEx>
        <w:trPr>
          <w:trHeight w:val="2854"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消防轻型安全绳</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产品符合GA494-2004《消防用防坠落装备》标准。</w:t>
            </w:r>
            <w:r>
              <w:rPr>
                <w:rFonts w:hint="eastAsia" w:ascii="宋体" w:hAnsi="宋体" w:cs="宋体"/>
              </w:rPr>
              <w:br w:type="textWrapping"/>
            </w:r>
            <w:r>
              <w:rPr>
                <w:rFonts w:hint="eastAsia" w:ascii="宋体" w:hAnsi="宋体" w:cs="宋体"/>
              </w:rPr>
              <w:t>安全绳采用包芯绳结构，主承重部分由连续纤维制成。</w:t>
            </w:r>
            <w:r>
              <w:rPr>
                <w:rFonts w:hint="eastAsia" w:ascii="宋体" w:hAnsi="宋体" w:cs="宋体"/>
              </w:rPr>
              <w:br w:type="textWrapping"/>
            </w:r>
            <w:r>
              <w:rPr>
                <w:rFonts w:hint="eastAsia" w:ascii="宋体" w:hAnsi="宋体" w:cs="宋体"/>
              </w:rPr>
              <w:t>技术性能：</w:t>
            </w:r>
            <w:r>
              <w:rPr>
                <w:rFonts w:hint="eastAsia" w:ascii="宋体" w:hAnsi="宋体" w:cs="宋体"/>
              </w:rPr>
              <w:br w:type="textWrapping"/>
            </w:r>
            <w:r>
              <w:rPr>
                <w:rFonts w:hint="eastAsia" w:ascii="宋体" w:hAnsi="宋体" w:cs="宋体"/>
              </w:rPr>
              <w:t>安全绳的最小破断强度为≈25KN；</w:t>
            </w:r>
            <w:r>
              <w:rPr>
                <w:rFonts w:hint="eastAsia" w:ascii="宋体" w:hAnsi="宋体" w:cs="宋体"/>
              </w:rPr>
              <w:br w:type="textWrapping"/>
            </w:r>
            <w:r>
              <w:rPr>
                <w:rFonts w:hint="eastAsia" w:ascii="宋体" w:hAnsi="宋体" w:cs="宋体"/>
              </w:rPr>
              <w:t>当承重达到最小破断强度的10%时，安全绳的延伸率约为6.1%；</w:t>
            </w:r>
            <w:r>
              <w:rPr>
                <w:rFonts w:hint="eastAsia" w:ascii="宋体" w:hAnsi="宋体" w:cs="宋体"/>
              </w:rPr>
              <w:br w:type="textWrapping"/>
            </w:r>
            <w:r>
              <w:rPr>
                <w:rFonts w:hint="eastAsia" w:ascii="宋体" w:hAnsi="宋体" w:cs="宋体"/>
              </w:rPr>
              <w:t>安全绳的直径约为9.5 mm，长度约20米，绳的两端应妥善收尾，宜采用绳环结构，并用同种材料的细绳扎缝约50mm，在扎缝处热封，扎缝处包以裹紧的橡胶或塑料套管。</w:t>
            </w:r>
            <w:r>
              <w:rPr>
                <w:rFonts w:hint="eastAsia" w:ascii="宋体" w:hAnsi="宋体" w:cs="宋体"/>
              </w:rPr>
              <w:br w:type="textWrapping"/>
            </w:r>
            <w:r>
              <w:rPr>
                <w:rFonts w:hint="eastAsia" w:ascii="宋体" w:hAnsi="宋体" w:cs="宋体"/>
              </w:rPr>
              <w:t>经204℃±5℃的耐高温性能时，安全绳不会出现融熔、焦化现象。</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1120</w:t>
            </w:r>
          </w:p>
        </w:tc>
      </w:tr>
      <w:tr>
        <w:tblPrEx>
          <w:tblCellMar>
            <w:top w:w="0" w:type="dxa"/>
            <w:left w:w="108" w:type="dxa"/>
            <w:bottom w:w="0" w:type="dxa"/>
            <w:right w:w="108" w:type="dxa"/>
          </w:tblCellMar>
        </w:tblPrEx>
        <w:trPr>
          <w:trHeight w:val="331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手提式强光照明灯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*1、产品符合GB 3836.1-2021、GB3836.2-2021、GB3836.4-2021、GB3836.31-2021防爆检测，防爆标志Ex db ib IIC T6 Gb;Ex ib tb IIIC T80℃ Db。</w:t>
            </w:r>
            <w:r>
              <w:rPr>
                <w:rFonts w:hint="eastAsia" w:ascii="宋体" w:hAnsi="宋体" w:cs="宋体"/>
              </w:rPr>
              <w:br w:type="textWrapping"/>
            </w:r>
            <w:r>
              <w:rPr>
                <w:rFonts w:hint="eastAsia" w:ascii="宋体" w:hAnsi="宋体" w:cs="宋体"/>
              </w:rPr>
              <w:t>2、额定电压≥11V,光源采用 LED灯珠，额定功率3X3W(9W),光通量1350Lm,光源使用寿命≥100000h额定容量≥4400mAh。</w:t>
            </w:r>
            <w:r>
              <w:rPr>
                <w:rFonts w:hint="eastAsia" w:ascii="宋体" w:hAnsi="宋体" w:cs="宋体"/>
              </w:rPr>
              <w:br w:type="textWrapping"/>
            </w:r>
            <w:r>
              <w:rPr>
                <w:rFonts w:hint="eastAsia" w:ascii="宋体" w:hAnsi="宋体" w:cs="宋体"/>
              </w:rPr>
              <w:t>*3、连续工作时间≥8h(强光)≥16h (弱光)。</w:t>
            </w:r>
            <w:r>
              <w:rPr>
                <w:rFonts w:hint="eastAsia" w:ascii="宋体" w:hAnsi="宋体" w:cs="宋体"/>
              </w:rPr>
              <w:br w:type="textWrapping"/>
            </w:r>
            <w:r>
              <w:rPr>
                <w:rFonts w:hint="eastAsia" w:ascii="宋体" w:hAnsi="宋体" w:cs="宋体"/>
              </w:rPr>
              <w:t>4、具有工作光、强光、频闪三种光设计，按动按钮可进行自由转换。</w:t>
            </w:r>
            <w:r>
              <w:rPr>
                <w:rFonts w:hint="eastAsia" w:ascii="宋体" w:hAnsi="宋体" w:cs="宋体"/>
              </w:rPr>
              <w:br w:type="textWrapping"/>
            </w:r>
            <w:r>
              <w:rPr>
                <w:rFonts w:hint="eastAsia" w:ascii="宋体" w:hAnsi="宋体" w:cs="宋体"/>
              </w:rPr>
              <w:t>5、产品方便携带，配置背带，可斜挎于肩背身上，带有防护套，充电器采用分离式。</w:t>
            </w:r>
            <w:r>
              <w:rPr>
                <w:rFonts w:hint="eastAsia" w:ascii="宋体" w:hAnsi="宋体" w:cs="宋体"/>
              </w:rPr>
              <w:br w:type="textWrapping"/>
            </w:r>
            <w:r>
              <w:rPr>
                <w:rFonts w:hint="eastAsia" w:ascii="宋体" w:hAnsi="宋体" w:cs="宋体"/>
              </w:rPr>
              <w:t>*6、灯具的外壳防护等级应为GB/T4208- -2008中的IP68要求。</w:t>
            </w:r>
            <w:r>
              <w:rPr>
                <w:rFonts w:hint="eastAsia" w:ascii="宋体" w:hAnsi="宋体" w:cs="宋体"/>
              </w:rPr>
              <w:br w:type="textWrapping"/>
            </w:r>
            <w:r>
              <w:rPr>
                <w:rFonts w:hint="eastAsia" w:ascii="宋体" w:hAnsi="宋体" w:cs="宋体"/>
              </w:rPr>
              <w:t>7、重量≤1kg</w:t>
            </w:r>
            <w:r>
              <w:rPr>
                <w:rFonts w:hint="eastAsia" w:ascii="宋体" w:hAnsi="宋体" w:cs="宋体"/>
              </w:rPr>
              <w:br w:type="textWrapping"/>
            </w:r>
            <w:r>
              <w:rPr>
                <w:rFonts w:hint="eastAsia" w:ascii="宋体" w:hAnsi="宋体" w:cs="宋体"/>
              </w:rPr>
              <w:t>*质量保证：需提供制国家认可机构出具的相关证书。</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消防用荧光棒</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适用于各种场合：户外救援、探险信号标识等等；一次性使用；</w:t>
            </w:r>
            <w:r>
              <w:rPr>
                <w:rFonts w:hint="eastAsia" w:ascii="宋体" w:hAnsi="宋体" w:cs="宋体"/>
              </w:rPr>
              <w:br w:type="textWrapping"/>
            </w:r>
            <w:r>
              <w:rPr>
                <w:rFonts w:hint="eastAsia" w:ascii="宋体" w:hAnsi="宋体" w:cs="宋体"/>
              </w:rPr>
              <w:t>特点：小巧轻便 使用简单</w:t>
            </w:r>
            <w:r>
              <w:rPr>
                <w:rFonts w:hint="eastAsia" w:ascii="宋体" w:hAnsi="宋体" w:cs="宋体"/>
              </w:rPr>
              <w:br w:type="textWrapping"/>
            </w:r>
            <w:r>
              <w:rPr>
                <w:rFonts w:hint="eastAsia" w:ascii="宋体" w:hAnsi="宋体" w:cs="宋体"/>
              </w:rPr>
              <w:t>尺寸：约300mm*15mm</w:t>
            </w:r>
            <w:r>
              <w:rPr>
                <w:rFonts w:hint="eastAsia" w:ascii="宋体" w:hAnsi="宋体" w:cs="宋体"/>
              </w:rPr>
              <w:br w:type="textWrapping"/>
            </w:r>
            <w:r>
              <w:rPr>
                <w:rFonts w:hint="eastAsia" w:ascii="宋体" w:hAnsi="宋体" w:cs="宋体"/>
              </w:rPr>
              <w:t>发光时间≥5小时</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290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5800</w:t>
            </w:r>
          </w:p>
        </w:tc>
      </w:tr>
      <w:tr>
        <w:tblPrEx>
          <w:tblCellMar>
            <w:top w:w="0" w:type="dxa"/>
            <w:left w:w="108" w:type="dxa"/>
            <w:bottom w:w="0" w:type="dxa"/>
            <w:right w:w="108" w:type="dxa"/>
          </w:tblCellMar>
        </w:tblPrEx>
        <w:trPr>
          <w:trHeight w:val="5227"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躯体固定气囊</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躯体固定气囊采用真空成型原理，将气垫内空气抽出，形成硬性固定成型体，该产品轻巧简便、特别有利于群体伤者的转移、运送。</w:t>
            </w:r>
            <w:r>
              <w:rPr>
                <w:rFonts w:hint="eastAsia" w:ascii="宋体" w:hAnsi="宋体" w:cs="宋体"/>
              </w:rPr>
              <w:br w:type="textWrapping"/>
            </w:r>
            <w:r>
              <w:rPr>
                <w:rFonts w:hint="eastAsia" w:ascii="宋体" w:hAnsi="宋体" w:cs="宋体"/>
              </w:rPr>
              <w:t>主要技术指标</w:t>
            </w:r>
            <w:r>
              <w:rPr>
                <w:rFonts w:hint="eastAsia" w:ascii="宋体" w:hAnsi="宋体" w:cs="宋体"/>
              </w:rPr>
              <w:br w:type="textWrapping"/>
            </w:r>
            <w:r>
              <w:rPr>
                <w:rFonts w:hint="eastAsia" w:ascii="宋体" w:hAnsi="宋体" w:cs="宋体"/>
              </w:rPr>
              <w:t xml:space="preserve">产品特点       </w:t>
            </w:r>
            <w:r>
              <w:rPr>
                <w:rFonts w:hint="eastAsia" w:ascii="宋体" w:hAnsi="宋体" w:cs="宋体"/>
              </w:rPr>
              <w:br w:type="textWrapping"/>
            </w:r>
            <w:r>
              <w:rPr>
                <w:rFonts w:hint="eastAsia" w:ascii="宋体" w:hAnsi="宋体" w:cs="宋体"/>
              </w:rPr>
              <w:t>1、体积小、质量轻、携带方便，保护性强，坚固耐用；</w:t>
            </w:r>
            <w:r>
              <w:rPr>
                <w:rFonts w:hint="eastAsia" w:ascii="宋体" w:hAnsi="宋体" w:cs="宋体"/>
              </w:rPr>
              <w:br w:type="textWrapping"/>
            </w:r>
            <w:r>
              <w:rPr>
                <w:rFonts w:hint="eastAsia" w:ascii="宋体" w:hAnsi="宋体" w:cs="宋体"/>
              </w:rPr>
              <w:t>2、在对人体需要固定部位裹上躯体固定气囊后，利用专用抽气筒抽去躯体固定气囊内的空气，使得躯体固定气囊与人体形状相符并紧贴在一起，对受伤部位起保护作用，避免二次伤害；</w:t>
            </w:r>
            <w:r>
              <w:rPr>
                <w:rFonts w:hint="eastAsia" w:ascii="宋体" w:hAnsi="宋体" w:cs="宋体"/>
              </w:rPr>
              <w:br w:type="textWrapping"/>
            </w:r>
            <w:r>
              <w:rPr>
                <w:rFonts w:hint="eastAsia" w:ascii="宋体" w:hAnsi="宋体" w:cs="宋体"/>
              </w:rPr>
              <w:t>3、躯体固定气囊外层材料采用防寒荧光面料，内充高分子颗粒，配有专用真空泵、头垫和脚垫。</w:t>
            </w:r>
            <w:r>
              <w:rPr>
                <w:rFonts w:hint="eastAsia" w:ascii="宋体" w:hAnsi="宋体" w:cs="宋体"/>
              </w:rPr>
              <w:br w:type="textWrapping"/>
            </w:r>
            <w:r>
              <w:rPr>
                <w:rFonts w:hint="eastAsia" w:ascii="宋体" w:hAnsi="宋体" w:cs="宋体"/>
              </w:rPr>
              <w:t xml:space="preserve">产品参数        </w:t>
            </w:r>
            <w:r>
              <w:rPr>
                <w:rFonts w:hint="eastAsia" w:ascii="宋体" w:hAnsi="宋体" w:cs="宋体"/>
              </w:rPr>
              <w:br w:type="textWrapping"/>
            </w:r>
            <w:r>
              <w:rPr>
                <w:rFonts w:hint="eastAsia" w:ascii="宋体" w:hAnsi="宋体" w:cs="宋体"/>
              </w:rPr>
              <w:t>1、保持时间大于70h；</w:t>
            </w:r>
            <w:r>
              <w:rPr>
                <w:rFonts w:hint="eastAsia" w:ascii="宋体" w:hAnsi="宋体" w:cs="宋体"/>
              </w:rPr>
              <w:br w:type="textWrapping"/>
            </w:r>
            <w:r>
              <w:rPr>
                <w:rFonts w:hint="eastAsia" w:ascii="宋体" w:hAnsi="宋体" w:cs="宋体"/>
              </w:rPr>
              <w:t>2、使用时快速简便，非专业人员也可操作；</w:t>
            </w:r>
            <w:r>
              <w:rPr>
                <w:rFonts w:hint="eastAsia" w:ascii="宋体" w:hAnsi="宋体" w:cs="宋体"/>
              </w:rPr>
              <w:br w:type="textWrapping"/>
            </w:r>
            <w:r>
              <w:rPr>
                <w:rFonts w:hint="eastAsia" w:ascii="宋体" w:hAnsi="宋体" w:cs="宋体"/>
              </w:rPr>
              <w:t>3、可进行X光成像及磁共振检查 ；</w:t>
            </w:r>
            <w:r>
              <w:rPr>
                <w:rFonts w:hint="eastAsia" w:ascii="宋体" w:hAnsi="宋体" w:cs="宋体"/>
              </w:rPr>
              <w:br w:type="textWrapping"/>
            </w:r>
            <w:r>
              <w:rPr>
                <w:rFonts w:hint="eastAsia" w:ascii="宋体" w:hAnsi="宋体" w:cs="宋体"/>
              </w:rPr>
              <w:t>4、展开尺寸：约198*106cm。</w:t>
            </w:r>
            <w:r>
              <w:rPr>
                <w:rFonts w:hint="eastAsia" w:ascii="宋体" w:hAnsi="宋体" w:cs="宋体"/>
              </w:rPr>
              <w:br w:type="textWrapping"/>
            </w:r>
            <w:r>
              <w:rPr>
                <w:rFonts w:hint="eastAsia" w:ascii="宋体" w:hAnsi="宋体" w:cs="宋体"/>
              </w:rPr>
              <w:t>5、重量：≈6kg；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5600</w:t>
            </w:r>
          </w:p>
        </w:tc>
      </w:tr>
      <w:tr>
        <w:tblPrEx>
          <w:tblCellMar>
            <w:top w:w="0" w:type="dxa"/>
            <w:left w:w="108" w:type="dxa"/>
            <w:bottom w:w="0" w:type="dxa"/>
            <w:right w:w="108" w:type="dxa"/>
          </w:tblCellMar>
        </w:tblPrEx>
        <w:trPr>
          <w:trHeight w:val="27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肢体固定气囊</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真空夹板采用真空成型原理，将夹板内空气抽出，真空夹板快速形成硬性固定成型体。本产品分躯体、肢干和颈椎固定，能对不同体位骨折、骨伤患者提供固定支撑保护作用，能有效防止因现场处理不当及送医过程造成二次损失。</w:t>
            </w:r>
            <w:r>
              <w:rPr>
                <w:rFonts w:hint="eastAsia" w:ascii="宋体" w:hAnsi="宋体" w:cs="宋体"/>
              </w:rPr>
              <w:br w:type="textWrapping"/>
            </w:r>
            <w:r>
              <w:rPr>
                <w:rFonts w:hint="eastAsia" w:ascii="宋体" w:hAnsi="宋体" w:cs="宋体"/>
              </w:rPr>
              <w:t xml:space="preserve">适用范围     </w:t>
            </w:r>
            <w:r>
              <w:rPr>
                <w:rFonts w:hint="eastAsia" w:ascii="宋体" w:hAnsi="宋体" w:cs="宋体"/>
              </w:rPr>
              <w:br w:type="textWrapping"/>
            </w:r>
            <w:r>
              <w:rPr>
                <w:rFonts w:hint="eastAsia" w:ascii="宋体" w:hAnsi="宋体" w:cs="宋体"/>
              </w:rPr>
              <w:t>本品特别适用于突发事故现场、群体骨伤骨折，是医疗急救机构、抢险机构、军队、地震拯救、消防救灾、工矿企业、海事拯救、运动队、交通及建设行业必备的急救器材。</w:t>
            </w:r>
            <w:r>
              <w:rPr>
                <w:rFonts w:hint="eastAsia" w:ascii="宋体" w:hAnsi="宋体" w:cs="宋体"/>
              </w:rPr>
              <w:br w:type="textWrapping"/>
            </w:r>
            <w:r>
              <w:rPr>
                <w:rFonts w:hint="eastAsia" w:ascii="宋体" w:hAnsi="宋体" w:cs="宋体"/>
              </w:rPr>
              <w:t xml:space="preserve">产品组成         </w:t>
            </w:r>
            <w:r>
              <w:rPr>
                <w:rFonts w:hint="eastAsia" w:ascii="宋体" w:hAnsi="宋体" w:cs="宋体"/>
              </w:rPr>
              <w:br w:type="textWrapping"/>
            </w:r>
            <w:r>
              <w:rPr>
                <w:rFonts w:hint="eastAsia" w:ascii="宋体" w:hAnsi="宋体" w:cs="宋体"/>
              </w:rPr>
              <w:t>上肢夹板、下肢夹板、躯干夹板、专用气泵、便携包组成。</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5600</w:t>
            </w:r>
          </w:p>
        </w:tc>
      </w:tr>
      <w:tr>
        <w:tblPrEx>
          <w:tblCellMar>
            <w:top w:w="0" w:type="dxa"/>
            <w:left w:w="108" w:type="dxa"/>
            <w:bottom w:w="0" w:type="dxa"/>
            <w:right w:w="108" w:type="dxa"/>
          </w:tblCellMar>
        </w:tblPrEx>
        <w:trPr>
          <w:trHeight w:val="3701"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消防过滤式自救呼吸器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符合产品标准：GB21976.7-2012《建筑火灾逃生避难器材第7部分：过滤式消防自救呼吸器》规定。</w:t>
            </w:r>
            <w:r>
              <w:rPr>
                <w:rFonts w:hint="eastAsia" w:ascii="宋体" w:hAnsi="宋体" w:cs="宋体"/>
              </w:rPr>
              <w:br w:type="textWrapping"/>
            </w:r>
            <w:r>
              <w:rPr>
                <w:rFonts w:hint="eastAsia" w:ascii="宋体" w:hAnsi="宋体" w:cs="宋体"/>
              </w:rPr>
              <w:t>1、防毒、防火、防热辐射、防烟多种保护，密封性好，适用于各种面型。</w:t>
            </w:r>
            <w:r>
              <w:rPr>
                <w:rFonts w:hint="eastAsia" w:ascii="宋体" w:hAnsi="宋体" w:cs="宋体"/>
              </w:rPr>
              <w:br w:type="textWrapping"/>
            </w:r>
            <w:r>
              <w:rPr>
                <w:rFonts w:hint="eastAsia" w:ascii="宋体" w:hAnsi="宋体" w:cs="宋体"/>
              </w:rPr>
              <w:t>2、防护对象：一氧化碳（CO）、氰化氢（HCN）、毒烟、毒雾。</w:t>
            </w:r>
            <w:r>
              <w:rPr>
                <w:rFonts w:hint="eastAsia" w:ascii="宋体" w:hAnsi="宋体" w:cs="宋体"/>
              </w:rPr>
              <w:br w:type="textWrapping"/>
            </w:r>
            <w:r>
              <w:rPr>
                <w:rFonts w:hint="eastAsia" w:ascii="宋体" w:hAnsi="宋体" w:cs="宋体"/>
              </w:rPr>
              <w:t>技术参数：</w:t>
            </w:r>
            <w:r>
              <w:rPr>
                <w:rFonts w:hint="eastAsia" w:ascii="宋体" w:hAnsi="宋体" w:cs="宋体"/>
              </w:rPr>
              <w:br w:type="textWrapping"/>
            </w:r>
            <w:r>
              <w:rPr>
                <w:rFonts w:hint="eastAsia" w:ascii="宋体" w:hAnsi="宋体" w:cs="宋体"/>
              </w:rPr>
              <w:t>1.防护性能：CO透过浓度109（mL/m³）；吸气温度约36.8℃，吸气阻力约398pa，呼气阻力约245pa，滤烟性能约98.5%.</w:t>
            </w:r>
            <w:r>
              <w:rPr>
                <w:rFonts w:hint="eastAsia" w:ascii="宋体" w:hAnsi="宋体" w:cs="宋体"/>
              </w:rPr>
              <w:br w:type="textWrapping"/>
            </w:r>
            <w:r>
              <w:rPr>
                <w:rFonts w:hint="eastAsia" w:ascii="宋体" w:hAnsi="宋体" w:cs="宋体"/>
              </w:rPr>
              <w:t>2.防护头罩：眼区漏气系数约18.6%，呼吸区漏气系数约3.7%，总视野约73.1%，双目视野约61%，吸入气体中的CO2含量约1.88%，透光率约85.7%.</w:t>
            </w:r>
            <w:r>
              <w:rPr>
                <w:rFonts w:hint="eastAsia" w:ascii="宋体" w:hAnsi="宋体" w:cs="宋体"/>
              </w:rPr>
              <w:br w:type="textWrapping"/>
            </w:r>
            <w:r>
              <w:rPr>
                <w:rFonts w:hint="eastAsia" w:ascii="宋体" w:hAnsi="宋体" w:cs="宋体"/>
              </w:rPr>
              <w:t>3.重量；≈481g</w:t>
            </w:r>
            <w:r>
              <w:rPr>
                <w:rFonts w:hint="eastAsia" w:ascii="宋体" w:hAnsi="宋体" w:cs="宋体"/>
              </w:rPr>
              <w:br w:type="textWrapping"/>
            </w:r>
            <w:r>
              <w:rPr>
                <w:rFonts w:hint="eastAsia" w:ascii="宋体" w:hAnsi="宋体" w:cs="宋体"/>
              </w:rPr>
              <w:t>*质量保证：需提供制国家认可机构出具的相关证书。</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1350</w:t>
            </w:r>
          </w:p>
        </w:tc>
      </w:tr>
      <w:tr>
        <w:tblPrEx>
          <w:tblCellMar>
            <w:top w:w="0" w:type="dxa"/>
            <w:left w:w="108" w:type="dxa"/>
            <w:bottom w:w="0" w:type="dxa"/>
            <w:right w:w="108" w:type="dxa"/>
          </w:tblCellMar>
        </w:tblPrEx>
        <w:trPr>
          <w:trHeight w:val="496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救生照明线</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本产品符合GB 26783-2011《消防救生照明线》标准要求。</w:t>
            </w:r>
            <w:r>
              <w:rPr>
                <w:rFonts w:hint="eastAsia" w:ascii="宋体" w:hAnsi="宋体" w:cs="宋体"/>
              </w:rPr>
              <w:br w:type="textWrapping"/>
            </w:r>
            <w:r>
              <w:rPr>
                <w:rFonts w:hint="eastAsia" w:ascii="宋体" w:hAnsi="宋体" w:cs="宋体"/>
              </w:rPr>
              <w:t>消防救生照明线，其线体，绕线盘，电池，驱动器，采用一体化绝缘结构设计，不需要携带专用电池箱体，方便于救援现场的逃生指示和移动使用；线体使用EL冷光电致发光线，表面加导向指示标记。</w:t>
            </w:r>
            <w:r>
              <w:rPr>
                <w:rFonts w:hint="eastAsia" w:ascii="宋体" w:hAnsi="宋体" w:cs="宋体"/>
              </w:rPr>
              <w:br w:type="textWrapping"/>
            </w:r>
            <w:r>
              <w:rPr>
                <w:rFonts w:hint="eastAsia" w:ascii="宋体" w:hAnsi="宋体" w:cs="宋体"/>
              </w:rPr>
              <w:t>消防救生照明线广泛应用于临时户外危险场地警示，地铁、隧道、人防工程、大型客轮、地下核电站、高层建筑、大型地下商场的救援逃生指示、照明和现场勘查标志指示。</w:t>
            </w:r>
            <w:r>
              <w:rPr>
                <w:rFonts w:hint="eastAsia" w:ascii="宋体" w:hAnsi="宋体" w:cs="宋体"/>
              </w:rPr>
              <w:br w:type="textWrapping"/>
            </w:r>
            <w:r>
              <w:rPr>
                <w:rFonts w:hint="eastAsia" w:ascii="宋体" w:hAnsi="宋体" w:cs="宋体"/>
              </w:rPr>
              <w:t>照明线具有导向功能，线体每间隔（2±0.1）m有一个清晰可见方向标志；</w:t>
            </w:r>
            <w:r>
              <w:rPr>
                <w:rFonts w:hint="eastAsia" w:ascii="宋体" w:hAnsi="宋体" w:cs="宋体"/>
              </w:rPr>
              <w:br w:type="textWrapping"/>
            </w:r>
            <w:r>
              <w:rPr>
                <w:rFonts w:hint="eastAsia" w:ascii="宋体" w:hAnsi="宋体" w:cs="宋体"/>
              </w:rPr>
              <w:t>技术性能：</w:t>
            </w:r>
            <w:r>
              <w:rPr>
                <w:rFonts w:hint="eastAsia" w:ascii="宋体" w:hAnsi="宋体" w:cs="宋体"/>
              </w:rPr>
              <w:br w:type="textWrapping"/>
            </w:r>
            <w:r>
              <w:rPr>
                <w:rFonts w:hint="eastAsia" w:ascii="宋体" w:hAnsi="宋体" w:cs="宋体"/>
              </w:rPr>
              <w:t>线体长度：约100米</w:t>
            </w:r>
            <w:r>
              <w:rPr>
                <w:rFonts w:hint="eastAsia" w:ascii="宋体" w:hAnsi="宋体" w:cs="宋体"/>
              </w:rPr>
              <w:br w:type="textWrapping"/>
            </w:r>
            <w:r>
              <w:rPr>
                <w:rFonts w:hint="eastAsia" w:ascii="宋体" w:hAnsi="宋体" w:cs="宋体"/>
              </w:rPr>
              <w:t>发光亮度（cd/㎡）：约11</w:t>
            </w:r>
            <w:r>
              <w:rPr>
                <w:rFonts w:hint="eastAsia" w:ascii="宋体" w:hAnsi="宋体" w:cs="宋体"/>
              </w:rPr>
              <w:br w:type="textWrapping"/>
            </w:r>
            <w:r>
              <w:rPr>
                <w:rFonts w:hint="eastAsia" w:ascii="宋体" w:hAnsi="宋体" w:cs="宋体"/>
              </w:rPr>
              <w:t>闪烁频率（Hz）：约1</w:t>
            </w:r>
            <w:r>
              <w:rPr>
                <w:rFonts w:hint="eastAsia" w:ascii="宋体" w:hAnsi="宋体" w:cs="宋体"/>
              </w:rPr>
              <w:br w:type="textWrapping"/>
            </w:r>
            <w:r>
              <w:rPr>
                <w:rFonts w:hint="eastAsia" w:ascii="宋体" w:hAnsi="宋体" w:cs="宋体"/>
              </w:rPr>
              <w:t>绝缘电阻（MΩ）:＞50</w:t>
            </w:r>
            <w:r>
              <w:rPr>
                <w:rFonts w:hint="eastAsia" w:ascii="宋体" w:hAnsi="宋体" w:cs="宋体"/>
              </w:rPr>
              <w:br w:type="textWrapping"/>
            </w:r>
            <w:r>
              <w:rPr>
                <w:rFonts w:hint="eastAsia" w:ascii="宋体" w:hAnsi="宋体" w:cs="宋体"/>
              </w:rPr>
              <w:t>最高表面温度：约23℃</w:t>
            </w:r>
            <w:r>
              <w:rPr>
                <w:rFonts w:hint="eastAsia" w:ascii="宋体" w:hAnsi="宋体" w:cs="宋体"/>
              </w:rPr>
              <w:br w:type="textWrapping"/>
            </w:r>
            <w:r>
              <w:rPr>
                <w:rFonts w:hint="eastAsia" w:ascii="宋体" w:hAnsi="宋体" w:cs="宋体"/>
              </w:rPr>
              <w:t>连续工作时间（h）：常亮型＞8h，闪烁型＞16h</w:t>
            </w:r>
            <w:r>
              <w:rPr>
                <w:rFonts w:hint="eastAsia" w:ascii="宋体" w:hAnsi="宋体" w:cs="宋体"/>
              </w:rPr>
              <w:br w:type="textWrapping"/>
            </w:r>
            <w:r>
              <w:rPr>
                <w:rFonts w:hint="eastAsia" w:ascii="宋体" w:hAnsi="宋体" w:cs="宋体"/>
              </w:rPr>
              <w:t>重量：约6kg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8500</w:t>
            </w:r>
          </w:p>
        </w:tc>
      </w:tr>
      <w:tr>
        <w:tblPrEx>
          <w:tblCellMar>
            <w:top w:w="0" w:type="dxa"/>
            <w:left w:w="108" w:type="dxa"/>
            <w:bottom w:w="0" w:type="dxa"/>
            <w:right w:w="108" w:type="dxa"/>
          </w:tblCellMar>
        </w:tblPrEx>
        <w:trPr>
          <w:trHeight w:val="196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折叠式担架</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1、符合国家现行有关标准、规范，*质量保证：需提供制国家认可机构出具的相关证书。</w:t>
            </w:r>
            <w:r>
              <w:rPr>
                <w:rFonts w:hint="eastAsia" w:ascii="宋体" w:hAnsi="宋体" w:cs="宋体"/>
              </w:rPr>
              <w:br w:type="textWrapping"/>
            </w:r>
            <w:r>
              <w:rPr>
                <w:rFonts w:hint="eastAsia" w:ascii="宋体" w:hAnsi="宋体" w:cs="宋体"/>
              </w:rPr>
              <w:t>2、采用高强度金属材料和蓝色牛津革面制成，便于携带易清洗。</w:t>
            </w:r>
            <w:r>
              <w:rPr>
                <w:rFonts w:hint="eastAsia" w:ascii="宋体" w:hAnsi="宋体" w:cs="宋体"/>
              </w:rPr>
              <w:br w:type="textWrapping"/>
            </w:r>
            <w:r>
              <w:rPr>
                <w:rFonts w:hint="eastAsia" w:ascii="宋体" w:hAnsi="宋体" w:cs="宋体"/>
              </w:rPr>
              <w:t>3、主要用于运送事故现场受伤人员。</w:t>
            </w:r>
            <w:r>
              <w:rPr>
                <w:rFonts w:hint="eastAsia" w:ascii="宋体" w:hAnsi="宋体" w:cs="宋体"/>
              </w:rPr>
              <w:br w:type="textWrapping"/>
            </w:r>
            <w:r>
              <w:rPr>
                <w:rFonts w:hint="eastAsia" w:ascii="宋体" w:hAnsi="宋体" w:cs="宋体"/>
              </w:rPr>
              <w:t>4、担架带支腿、可折叠，前方设置万向轮，后方设置定向橡胶脚轮，使用灵活，安全可靠。</w:t>
            </w:r>
            <w:r>
              <w:rPr>
                <w:rFonts w:hint="eastAsia" w:ascii="宋体" w:hAnsi="宋体" w:cs="宋体"/>
              </w:rPr>
              <w:br w:type="textWrapping"/>
            </w:r>
            <w:r>
              <w:rPr>
                <w:rFonts w:hint="eastAsia" w:ascii="宋体" w:hAnsi="宋体" w:cs="宋体"/>
              </w:rPr>
              <w:t>5、为≥150kg，能够满足救援需求。</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w:t>
            </w:r>
          </w:p>
        </w:tc>
      </w:tr>
      <w:tr>
        <w:tblPrEx>
          <w:tblCellMar>
            <w:top w:w="0" w:type="dxa"/>
            <w:left w:w="108" w:type="dxa"/>
            <w:bottom w:w="0" w:type="dxa"/>
            <w:right w:w="108" w:type="dxa"/>
          </w:tblCellMar>
        </w:tblPrEx>
        <w:trPr>
          <w:trHeight w:val="353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伤员固定抬板</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1、产品用途：适合山地、水域、楼梯及狭小地带等各种恶劣环境抢救。</w:t>
            </w:r>
            <w:r>
              <w:rPr>
                <w:rFonts w:hint="eastAsia" w:ascii="宋体" w:hAnsi="宋体" w:cs="宋体"/>
              </w:rPr>
              <w:br w:type="textWrapping"/>
            </w:r>
            <w:r>
              <w:rPr>
                <w:rFonts w:hint="eastAsia" w:ascii="宋体" w:hAnsi="宋体" w:cs="宋体"/>
              </w:rPr>
              <w:t>2、技术参数：</w:t>
            </w:r>
            <w:r>
              <w:rPr>
                <w:rFonts w:hint="eastAsia" w:ascii="宋体" w:hAnsi="宋体" w:cs="宋体"/>
              </w:rPr>
              <w:br w:type="textWrapping"/>
            </w:r>
            <w:r>
              <w:rPr>
                <w:rFonts w:hint="eastAsia" w:ascii="宋体" w:hAnsi="宋体" w:cs="宋体"/>
              </w:rPr>
              <w:t>本产品是用高强度塑料压注成型的，用于事故现场运送受伤人员。为避免伤员颈椎、胸椎及腰椎再次受伤。</w:t>
            </w:r>
            <w:r>
              <w:rPr>
                <w:rFonts w:hint="eastAsia" w:ascii="宋体" w:hAnsi="宋体" w:cs="宋体"/>
              </w:rPr>
              <w:br w:type="textWrapping"/>
            </w:r>
            <w:r>
              <w:rPr>
                <w:rFonts w:hint="eastAsia" w:ascii="宋体" w:hAnsi="宋体" w:cs="宋体"/>
              </w:rPr>
              <w:t>重量：约7kg</w:t>
            </w:r>
            <w:r>
              <w:rPr>
                <w:rFonts w:hint="eastAsia" w:ascii="宋体" w:hAnsi="宋体" w:cs="宋体"/>
              </w:rPr>
              <w:br w:type="textWrapping"/>
            </w:r>
            <w:r>
              <w:rPr>
                <w:rFonts w:hint="eastAsia" w:ascii="宋体" w:hAnsi="宋体" w:cs="宋体"/>
              </w:rPr>
              <w:t>尺寸：约1850×450×20mm</w:t>
            </w:r>
            <w:r>
              <w:rPr>
                <w:rFonts w:hint="eastAsia" w:ascii="宋体" w:hAnsi="宋体" w:cs="宋体"/>
              </w:rPr>
              <w:br w:type="textWrapping"/>
            </w:r>
            <w:r>
              <w:rPr>
                <w:rFonts w:hint="eastAsia" w:ascii="宋体" w:hAnsi="宋体" w:cs="宋体"/>
              </w:rPr>
              <w:t>承重：≧450KG</w:t>
            </w:r>
            <w:r>
              <w:rPr>
                <w:rFonts w:hint="eastAsia" w:ascii="宋体" w:hAnsi="宋体" w:cs="宋体"/>
              </w:rPr>
              <w:br w:type="textWrapping"/>
            </w:r>
            <w:r>
              <w:rPr>
                <w:rFonts w:hint="eastAsia" w:ascii="宋体" w:hAnsi="宋体" w:cs="宋体"/>
              </w:rPr>
              <w:t>材质：高强度ABS塑料</w:t>
            </w:r>
            <w:r>
              <w:rPr>
                <w:rFonts w:hint="eastAsia" w:ascii="宋体" w:hAnsi="宋体" w:cs="宋体"/>
              </w:rPr>
              <w:br w:type="textWrapping"/>
            </w:r>
            <w:r>
              <w:rPr>
                <w:rFonts w:hint="eastAsia" w:ascii="宋体" w:hAnsi="宋体" w:cs="宋体"/>
              </w:rPr>
              <w:t>特性：担架周边有提手口，可供三人以上同时提、扛、抬，水中不下沉，配4个绳索固定点。</w:t>
            </w:r>
            <w:r>
              <w:rPr>
                <w:rFonts w:hint="eastAsia" w:ascii="宋体" w:hAnsi="宋体" w:cs="宋体"/>
              </w:rPr>
              <w:br w:type="textWrapping"/>
            </w:r>
            <w:r>
              <w:rPr>
                <w:rFonts w:hint="eastAsia" w:ascii="宋体" w:hAnsi="宋体" w:cs="宋体"/>
              </w:rPr>
              <w:t>从4米高度自由落体不破裂。</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2400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多功能担架</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由高强度复合材料制成，可用于消防紧急救援、深井及狭窄空间救护、地面一般救援、高平面下放救护、化学事故现场救护等；</w:t>
            </w:r>
            <w:r>
              <w:rPr>
                <w:rFonts w:hint="eastAsia" w:ascii="宋体" w:hAnsi="宋体" w:cs="宋体"/>
              </w:rPr>
              <w:br w:type="textWrapping"/>
            </w:r>
            <w:r>
              <w:rPr>
                <w:rFonts w:hint="eastAsia" w:ascii="宋体" w:hAnsi="宋体" w:cs="宋体"/>
              </w:rPr>
              <w:t>规格：约2400*850mm</w:t>
            </w:r>
            <w:r>
              <w:rPr>
                <w:rFonts w:hint="eastAsia" w:ascii="宋体" w:hAnsi="宋体" w:cs="宋体"/>
              </w:rPr>
              <w:br w:type="textWrapping"/>
            </w:r>
            <w:r>
              <w:rPr>
                <w:rFonts w:hint="eastAsia" w:ascii="宋体" w:hAnsi="宋体" w:cs="宋体"/>
              </w:rPr>
              <w:t>重量：≤10kg</w:t>
            </w:r>
            <w:r>
              <w:rPr>
                <w:rFonts w:hint="eastAsia" w:ascii="宋体" w:hAnsi="宋体" w:cs="宋体"/>
              </w:rPr>
              <w:br w:type="textWrapping"/>
            </w:r>
            <w:r>
              <w:rPr>
                <w:rFonts w:hint="eastAsia" w:ascii="宋体" w:hAnsi="宋体" w:cs="宋体"/>
              </w:rPr>
              <w:t>颜色：橙色</w:t>
            </w:r>
            <w:r>
              <w:rPr>
                <w:rFonts w:hint="eastAsia" w:ascii="宋体" w:hAnsi="宋体" w:cs="宋体"/>
              </w:rPr>
              <w:br w:type="textWrapping"/>
            </w:r>
            <w:r>
              <w:rPr>
                <w:rFonts w:hint="eastAsia" w:ascii="宋体" w:hAnsi="宋体" w:cs="宋体"/>
              </w:rPr>
              <w:t>耐温：高温+45℃，低温-20℃</w:t>
            </w:r>
            <w:r>
              <w:rPr>
                <w:rFonts w:hint="eastAsia" w:ascii="宋体" w:hAnsi="宋体" w:cs="宋体"/>
              </w:rPr>
              <w:br w:type="textWrapping"/>
            </w:r>
            <w:r>
              <w:rPr>
                <w:rFonts w:hint="eastAsia" w:ascii="宋体" w:hAnsi="宋体" w:cs="宋体"/>
              </w:rPr>
              <w:t>最大载重：≥150kg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1300</w:t>
            </w:r>
          </w:p>
        </w:tc>
      </w:tr>
      <w:tr>
        <w:tblPrEx>
          <w:tblCellMar>
            <w:top w:w="0" w:type="dxa"/>
            <w:left w:w="108" w:type="dxa"/>
            <w:bottom w:w="0" w:type="dxa"/>
            <w:right w:w="108" w:type="dxa"/>
          </w:tblCellMar>
        </w:tblPrEx>
        <w:trPr>
          <w:trHeight w:val="58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消防救生气垫</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符合《消防救生气垫》（XF631-2006）标准要求</w:t>
            </w:r>
            <w:r>
              <w:rPr>
                <w:rFonts w:hint="eastAsia" w:ascii="宋体" w:hAnsi="宋体" w:cs="宋体"/>
              </w:rPr>
              <w:br w:type="textWrapping"/>
            </w:r>
            <w:r>
              <w:rPr>
                <w:rFonts w:hint="eastAsia" w:ascii="宋体" w:hAnsi="宋体" w:cs="宋体"/>
              </w:rPr>
              <w:t>消防救生气垫采用具有阻燃性能的双层涂覆 PU 材料，具有阻燃、耐磨、耐老化、可折叠性能。气垫主要由缓冲气囊、安全风门、充气内垫、充气风机组成。</w:t>
            </w:r>
            <w:r>
              <w:rPr>
                <w:rFonts w:hint="eastAsia" w:ascii="宋体" w:hAnsi="宋体" w:cs="宋体"/>
              </w:rPr>
              <w:br w:type="textWrapping"/>
            </w:r>
            <w:r>
              <w:rPr>
                <w:rFonts w:hint="eastAsia" w:ascii="宋体" w:hAnsi="宋体" w:cs="宋体"/>
              </w:rPr>
              <w:t>消防救生气垫尺寸（长×宽×高）：≥8×6×2（m）。</w:t>
            </w:r>
            <w:r>
              <w:rPr>
                <w:rFonts w:hint="eastAsia" w:ascii="宋体" w:hAnsi="宋体" w:cs="宋体"/>
              </w:rPr>
              <w:br w:type="textWrapping"/>
            </w:r>
            <w:r>
              <w:rPr>
                <w:rFonts w:hint="eastAsia" w:ascii="宋体" w:hAnsi="宋体" w:cs="宋体"/>
              </w:rPr>
              <w:t>消防救生气垫最大救援高度：≥16m。</w:t>
            </w:r>
            <w:r>
              <w:rPr>
                <w:rFonts w:hint="eastAsia" w:ascii="宋体" w:hAnsi="宋体" w:cs="宋体"/>
              </w:rPr>
              <w:br w:type="textWrapping"/>
            </w:r>
            <w:r>
              <w:rPr>
                <w:rFonts w:hint="eastAsia" w:ascii="宋体" w:hAnsi="宋体" w:cs="宋体"/>
              </w:rPr>
              <w:t>消防救生气垫折叠后尺寸（长×宽×高）：≤1.5×1×0.7（m）。</w:t>
            </w:r>
            <w:r>
              <w:rPr>
                <w:rFonts w:hint="eastAsia" w:ascii="宋体" w:hAnsi="宋体" w:cs="宋体"/>
              </w:rPr>
              <w:br w:type="textWrapping"/>
            </w:r>
            <w:r>
              <w:rPr>
                <w:rFonts w:hint="eastAsia" w:ascii="宋体" w:hAnsi="宋体" w:cs="宋体"/>
              </w:rPr>
              <w:t>消防救生气垫质量≤100kg。</w:t>
            </w:r>
            <w:r>
              <w:rPr>
                <w:rFonts w:hint="eastAsia" w:ascii="宋体" w:hAnsi="宋体" w:cs="宋体"/>
              </w:rPr>
              <w:br w:type="textWrapping"/>
            </w:r>
            <w:r>
              <w:rPr>
                <w:rFonts w:hint="eastAsia" w:ascii="宋体" w:hAnsi="宋体" w:cs="宋体"/>
              </w:rPr>
              <w:t>充气风机 1 个，采用离心式风机、动力为汽油发动机，充气风机质量≤30kg。</w:t>
            </w:r>
            <w:r>
              <w:rPr>
                <w:rFonts w:hint="eastAsia" w:ascii="宋体" w:hAnsi="宋体" w:cs="宋体"/>
              </w:rPr>
              <w:br w:type="textWrapping"/>
            </w:r>
            <w:r>
              <w:rPr>
                <w:rFonts w:hint="eastAsia" w:ascii="宋体" w:hAnsi="宋体" w:cs="宋体"/>
              </w:rPr>
              <w:t>充气风机发动机功率≥2kw。</w:t>
            </w:r>
            <w:r>
              <w:rPr>
                <w:rFonts w:hint="eastAsia" w:ascii="宋体" w:hAnsi="宋体" w:cs="宋体"/>
              </w:rPr>
              <w:br w:type="textWrapping"/>
            </w:r>
            <w:r>
              <w:rPr>
                <w:rFonts w:hint="eastAsia" w:ascii="宋体" w:hAnsi="宋体" w:cs="宋体"/>
              </w:rPr>
              <w:t>充气风机额定排风量≥9000m³/h。</w:t>
            </w:r>
            <w:r>
              <w:rPr>
                <w:rFonts w:hint="eastAsia" w:ascii="宋体" w:hAnsi="宋体" w:cs="宋体"/>
              </w:rPr>
              <w:br w:type="textWrapping"/>
            </w:r>
            <w:r>
              <w:rPr>
                <w:rFonts w:hint="eastAsia" w:ascii="宋体" w:hAnsi="宋体" w:cs="宋体"/>
              </w:rPr>
              <w:t>消防救生气垫表面所有面料的经、纬向拉伸强度≥20kN/m。</w:t>
            </w:r>
            <w:r>
              <w:rPr>
                <w:rFonts w:hint="eastAsia" w:ascii="宋体" w:hAnsi="宋体" w:cs="宋体"/>
              </w:rPr>
              <w:br w:type="textWrapping"/>
            </w:r>
            <w:r>
              <w:rPr>
                <w:rFonts w:hint="eastAsia" w:ascii="宋体" w:hAnsi="宋体" w:cs="宋体"/>
              </w:rPr>
              <w:t>消防救生气垫承接面面料的氧指数≥26。</w:t>
            </w:r>
            <w:r>
              <w:rPr>
                <w:rFonts w:hint="eastAsia" w:ascii="宋体" w:hAnsi="宋体" w:cs="宋体"/>
              </w:rPr>
              <w:br w:type="textWrapping"/>
            </w:r>
            <w:r>
              <w:rPr>
                <w:rFonts w:hint="eastAsia" w:ascii="宋体" w:hAnsi="宋体" w:cs="宋体"/>
              </w:rPr>
              <w:t>消防救生气垫承接面的中心点用与气垫颜色反差色明确标出，安全工作范围明确标出。</w:t>
            </w:r>
            <w:r>
              <w:rPr>
                <w:rFonts w:hint="eastAsia" w:ascii="宋体" w:hAnsi="宋体" w:cs="宋体"/>
              </w:rPr>
              <w:br w:type="textWrapping"/>
            </w:r>
            <w:r>
              <w:rPr>
                <w:rFonts w:hint="eastAsia" w:ascii="宋体" w:hAnsi="宋体" w:cs="宋体"/>
              </w:rPr>
              <w:t>消防救生气垫的充气时间≤60s，补齐时间≤30s。</w:t>
            </w:r>
            <w:r>
              <w:rPr>
                <w:rFonts w:hint="eastAsia" w:ascii="宋体" w:hAnsi="宋体" w:cs="宋体"/>
              </w:rPr>
              <w:br w:type="textWrapping"/>
            </w:r>
            <w:r>
              <w:rPr>
                <w:rFonts w:hint="eastAsia" w:ascii="宋体" w:hAnsi="宋体" w:cs="宋体"/>
              </w:rPr>
              <w:t>#消防救生气垫最大减速度值（g）：头部≤80，胸部≤60，骨盆≤60。</w:t>
            </w:r>
            <w:r>
              <w:rPr>
                <w:rFonts w:hint="eastAsia" w:ascii="宋体" w:hAnsi="宋体" w:cs="宋体"/>
              </w:rPr>
              <w:br w:type="textWrapping"/>
            </w:r>
            <w:r>
              <w:rPr>
                <w:rFonts w:hint="eastAsia" w:ascii="宋体" w:hAnsi="宋体" w:cs="宋体"/>
              </w:rPr>
              <w:t>消防救生气垫周边要设置手提拉环，便于气垫撑起后调整位置；消防救生气垫底部应加强处理，提高耐磨性能或单独配备面积大于气垫底部面积的防磨垫。</w:t>
            </w:r>
            <w:r>
              <w:rPr>
                <w:rFonts w:hint="eastAsia" w:ascii="宋体" w:hAnsi="宋体" w:cs="宋体"/>
              </w:rPr>
              <w:br w:type="textWrapping"/>
            </w:r>
            <w:r>
              <w:rPr>
                <w:rFonts w:hint="eastAsia" w:ascii="宋体" w:hAnsi="宋体" w:cs="宋体"/>
              </w:rPr>
              <w:t>消防救生气垫四角设置牵拉装置，每根牵拉绳长度≥5m。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r>
      <w:tr>
        <w:tblPrEx>
          <w:tblCellMar>
            <w:top w:w="0" w:type="dxa"/>
            <w:left w:w="108" w:type="dxa"/>
            <w:bottom w:w="0" w:type="dxa"/>
            <w:right w:w="108" w:type="dxa"/>
          </w:tblCellMar>
        </w:tblPrEx>
        <w:trPr>
          <w:trHeight w:val="121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敛尸袋</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产品介绍：敛尸袋，用于对遇难人员尸体的包裹和搬运，PVC材料，符合有关技术要求。</w:t>
            </w:r>
            <w:r>
              <w:rPr>
                <w:rFonts w:hint="eastAsia" w:ascii="宋体" w:hAnsi="宋体" w:cs="宋体"/>
              </w:rPr>
              <w:br w:type="textWrapping"/>
            </w:r>
            <w:r>
              <w:rPr>
                <w:rFonts w:hint="eastAsia" w:ascii="宋体" w:hAnsi="宋体" w:cs="宋体"/>
              </w:rPr>
              <w:t>产品主要参数</w:t>
            </w:r>
            <w:r>
              <w:rPr>
                <w:rFonts w:hint="eastAsia" w:ascii="宋体" w:hAnsi="宋体" w:cs="宋体"/>
              </w:rPr>
              <w:br w:type="textWrapping"/>
            </w:r>
            <w:r>
              <w:rPr>
                <w:rFonts w:hint="eastAsia" w:ascii="宋体" w:hAnsi="宋体" w:cs="宋体"/>
              </w:rPr>
              <w:t>尺寸：约200*80*21 cm</w:t>
            </w:r>
            <w:r>
              <w:rPr>
                <w:rFonts w:hint="eastAsia" w:ascii="宋体" w:hAnsi="宋体" w:cs="宋体"/>
              </w:rPr>
              <w:br w:type="textWrapping"/>
            </w:r>
            <w:r>
              <w:rPr>
                <w:rFonts w:hint="eastAsia" w:ascii="宋体" w:hAnsi="宋体" w:cs="宋体"/>
              </w:rPr>
              <w:t>重量：约1.5KG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1600</w:t>
            </w:r>
          </w:p>
        </w:tc>
      </w:tr>
      <w:tr>
        <w:tblPrEx>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救生软梯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1.救生软梯适用于高空作业、垂直上下替代脚手架登高工具；救生软梯采用尼龙绳制式，使踏板和墙体保持一定距离，增加软梯的可操作性，并在收梯时减少了收藏体积空间。</w:t>
            </w:r>
            <w:r>
              <w:rPr>
                <w:rFonts w:hint="eastAsia" w:ascii="宋体" w:hAnsi="宋体" w:cs="宋体"/>
              </w:rPr>
              <w:br w:type="textWrapping"/>
            </w:r>
            <w:r>
              <w:rPr>
                <w:rFonts w:hint="eastAsia" w:ascii="宋体" w:hAnsi="宋体" w:cs="宋体"/>
              </w:rPr>
              <w:t>2.横档：圆型树脂管，直径约为20mm，长约为300mm；</w:t>
            </w:r>
            <w:r>
              <w:rPr>
                <w:rFonts w:hint="eastAsia" w:ascii="宋体" w:hAnsi="宋体" w:cs="宋体"/>
              </w:rPr>
              <w:br w:type="textWrapping"/>
            </w:r>
            <w:r>
              <w:rPr>
                <w:rFonts w:hint="eastAsia" w:ascii="宋体" w:hAnsi="宋体" w:cs="宋体"/>
              </w:rPr>
              <w:t>3.档距约为370mm；</w:t>
            </w:r>
            <w:r>
              <w:rPr>
                <w:rFonts w:hint="eastAsia" w:ascii="宋体" w:hAnsi="宋体" w:cs="宋体"/>
              </w:rPr>
              <w:br w:type="textWrapping"/>
            </w:r>
            <w:r>
              <w:rPr>
                <w:rFonts w:hint="eastAsia" w:ascii="宋体" w:hAnsi="宋体" w:cs="宋体"/>
              </w:rPr>
              <w:t>4.边绳直径约20mm</w:t>
            </w:r>
            <w:r>
              <w:rPr>
                <w:rFonts w:hint="eastAsia" w:ascii="宋体" w:hAnsi="宋体" w:cs="宋体"/>
              </w:rPr>
              <w:br w:type="textWrapping"/>
            </w:r>
            <w:r>
              <w:rPr>
                <w:rFonts w:hint="eastAsia" w:ascii="宋体" w:hAnsi="宋体" w:cs="宋体"/>
              </w:rPr>
              <w:t>5.破断拉力＞18KN；：</w:t>
            </w:r>
            <w:r>
              <w:rPr>
                <w:rFonts w:hint="eastAsia" w:ascii="宋体" w:hAnsi="宋体" w:cs="宋体"/>
              </w:rPr>
              <w:br w:type="textWrapping"/>
            </w:r>
            <w:r>
              <w:rPr>
                <w:rFonts w:hint="eastAsia" w:ascii="宋体" w:hAnsi="宋体" w:cs="宋体"/>
              </w:rPr>
              <w:t>6.长度约为15米；重量：约 0.71kg/m</w:t>
            </w:r>
            <w:r>
              <w:rPr>
                <w:rFonts w:hint="eastAsia" w:ascii="宋体" w:hAnsi="宋体" w:cs="宋体"/>
              </w:rPr>
              <w:br w:type="textWrapping"/>
            </w:r>
            <w:r>
              <w:rPr>
                <w:rFonts w:hint="eastAsia" w:ascii="宋体" w:hAnsi="宋体" w:cs="宋体"/>
              </w:rPr>
              <w:t>7.软梯当头可以借助建筑窗口牢靠的固定；</w:t>
            </w:r>
            <w:r>
              <w:rPr>
                <w:rFonts w:hint="eastAsia" w:ascii="宋体" w:hAnsi="宋体" w:cs="宋体"/>
              </w:rPr>
              <w:br w:type="textWrapping"/>
            </w:r>
            <w:r>
              <w:rPr>
                <w:rFonts w:hint="eastAsia" w:ascii="宋体" w:hAnsi="宋体" w:cs="宋体"/>
              </w:rPr>
              <w:t>8.软梯当头有铁环保护、防磨损保护，防止坠落、磨损；</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自喷荧光漆</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主要用于标记救人位置、搜索范围、集结区域等,瓶装结构，属白日荧光漆，综合物性优，漆膜具有特殊的荧光效果，在光源的照射下颜色非常醒目，装饰效果优良并具极好的保护功能。，每瓶容量≥200ml。</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电源逆变器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本产品用于野外救援现场为多种装备供电或充电。采用独特的控制方式实现高效率、高纯度设计。具有高可靠、高效率、外形简洁、体积轻巧、保护功能齐全、易安装、易操作等特点。适合各种需要逆变电源场所的应用。</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r>
      <w:tr>
        <w:tblPrEx>
          <w:tblCellMar>
            <w:top w:w="0" w:type="dxa"/>
            <w:left w:w="108" w:type="dxa"/>
            <w:bottom w:w="0" w:type="dxa"/>
            <w:right w:w="108" w:type="dxa"/>
          </w:tblCellMar>
        </w:tblPrEx>
        <w:trPr>
          <w:trHeight w:val="54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稳固保护附件</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垫块：</w:t>
            </w:r>
            <w:r>
              <w:rPr>
                <w:rFonts w:hint="eastAsia" w:ascii="宋体" w:hAnsi="宋体" w:cs="宋体"/>
              </w:rPr>
              <w:br w:type="textWrapping"/>
            </w:r>
            <w:r>
              <w:rPr>
                <w:rFonts w:hint="eastAsia" w:ascii="宋体" w:hAnsi="宋体" w:cs="宋体"/>
              </w:rPr>
              <w:t>主要配合起重气垫及重型支撑套具使用。</w:t>
            </w:r>
            <w:r>
              <w:rPr>
                <w:rFonts w:hint="eastAsia" w:ascii="宋体" w:hAnsi="宋体" w:cs="宋体"/>
              </w:rPr>
              <w:br w:type="textWrapping"/>
            </w:r>
            <w:r>
              <w:rPr>
                <w:rFonts w:hint="eastAsia" w:ascii="宋体" w:hAnsi="宋体" w:cs="宋体"/>
              </w:rPr>
              <w:t>在救援过程中能保护支撑点，使基安全牢固，不易侧翻或侧滑。</w:t>
            </w:r>
            <w:r>
              <w:rPr>
                <w:rFonts w:hint="eastAsia" w:ascii="宋体" w:hAnsi="宋体" w:cs="宋体"/>
              </w:rPr>
              <w:br w:type="textWrapping"/>
            </w:r>
            <w:r>
              <w:rPr>
                <w:rFonts w:hint="eastAsia" w:ascii="宋体" w:hAnsi="宋体" w:cs="宋体"/>
              </w:rPr>
              <w:t>含2垫块（约230*230*25mm）、2垫块（约230*230*50mm）、2垫块（约230*230*75mm）、2楔块（约230*75*80mm）、2楔块（约230*150*80mm），重量约12.5kg</w:t>
            </w:r>
            <w:r>
              <w:rPr>
                <w:rFonts w:hint="eastAsia" w:ascii="宋体" w:hAnsi="宋体" w:cs="宋体"/>
              </w:rPr>
              <w:br w:type="textWrapping"/>
            </w:r>
            <w:r>
              <w:rPr>
                <w:rFonts w:hint="eastAsia" w:ascii="宋体" w:hAnsi="宋体" w:cs="宋体"/>
              </w:rPr>
              <w:t>止滑器：</w:t>
            </w:r>
            <w:r>
              <w:rPr>
                <w:rFonts w:hint="eastAsia" w:ascii="宋体" w:hAnsi="宋体" w:cs="宋体"/>
              </w:rPr>
              <w:br w:type="textWrapping"/>
            </w:r>
            <w:r>
              <w:rPr>
                <w:rFonts w:hint="eastAsia" w:ascii="宋体" w:hAnsi="宋体" w:cs="宋体"/>
              </w:rPr>
              <w:t xml:space="preserve">规格：约290*160*190      </w:t>
            </w:r>
            <w:r>
              <w:rPr>
                <w:rFonts w:hint="eastAsia" w:ascii="宋体" w:hAnsi="宋体" w:cs="宋体"/>
              </w:rPr>
              <w:br w:type="textWrapping"/>
            </w:r>
            <w:r>
              <w:rPr>
                <w:rFonts w:hint="eastAsia" w:ascii="宋体" w:hAnsi="宋体" w:cs="宋体"/>
              </w:rPr>
              <w:t>材料：优质橡胶</w:t>
            </w:r>
            <w:r>
              <w:rPr>
                <w:rFonts w:hint="eastAsia" w:ascii="宋体" w:hAnsi="宋体" w:cs="宋体"/>
              </w:rPr>
              <w:br w:type="textWrapping"/>
            </w:r>
            <w:r>
              <w:rPr>
                <w:rFonts w:hint="eastAsia" w:ascii="宋体" w:hAnsi="宋体" w:cs="宋体"/>
              </w:rPr>
              <w:t>适用：救援、物流、检测站等</w:t>
            </w:r>
            <w:r>
              <w:rPr>
                <w:rFonts w:hint="eastAsia" w:ascii="宋体" w:hAnsi="宋体" w:cs="宋体"/>
              </w:rPr>
              <w:br w:type="textWrapping"/>
            </w:r>
            <w:r>
              <w:rPr>
                <w:rFonts w:hint="eastAsia" w:ascii="宋体" w:hAnsi="宋体" w:cs="宋体"/>
              </w:rPr>
              <w:t>重量：3kg/左右</w:t>
            </w:r>
            <w:r>
              <w:rPr>
                <w:rFonts w:hint="eastAsia" w:ascii="宋体" w:hAnsi="宋体" w:cs="宋体"/>
              </w:rPr>
              <w:br w:type="textWrapping"/>
            </w:r>
            <w:r>
              <w:rPr>
                <w:rFonts w:hint="eastAsia" w:ascii="宋体" w:hAnsi="宋体" w:cs="宋体"/>
              </w:rPr>
              <w:t>坚固带：</w:t>
            </w:r>
            <w:r>
              <w:rPr>
                <w:rFonts w:hint="eastAsia" w:ascii="宋体" w:hAnsi="宋体" w:cs="宋体"/>
              </w:rPr>
              <w:br w:type="textWrapping"/>
            </w:r>
            <w:r>
              <w:rPr>
                <w:rFonts w:hint="eastAsia" w:ascii="宋体" w:hAnsi="宋体" w:cs="宋体"/>
              </w:rPr>
              <w:t>牵引力：约5吨，牵引带长10米，宽5cm。</w:t>
            </w:r>
            <w:r>
              <w:rPr>
                <w:rFonts w:hint="eastAsia" w:ascii="宋体" w:hAnsi="宋体" w:cs="宋体"/>
              </w:rPr>
              <w:br w:type="textWrapping"/>
            </w:r>
            <w:r>
              <w:rPr>
                <w:rFonts w:hint="eastAsia" w:ascii="宋体" w:hAnsi="宋体" w:cs="宋体"/>
              </w:rPr>
              <w:t>牵引链条：</w:t>
            </w:r>
            <w:r>
              <w:rPr>
                <w:rFonts w:hint="eastAsia" w:ascii="宋体" w:hAnsi="宋体" w:cs="宋体"/>
              </w:rPr>
              <w:br w:type="textWrapping"/>
            </w:r>
            <w:r>
              <w:rPr>
                <w:rFonts w:hint="eastAsia" w:ascii="宋体" w:hAnsi="宋体" w:cs="宋体"/>
              </w:rPr>
              <w:t>承重：约3吨</w:t>
            </w:r>
            <w:r>
              <w:rPr>
                <w:rFonts w:hint="eastAsia" w:ascii="宋体" w:hAnsi="宋体" w:cs="宋体"/>
              </w:rPr>
              <w:br w:type="textWrapping"/>
            </w:r>
            <w:r>
              <w:rPr>
                <w:rFonts w:hint="eastAsia" w:ascii="宋体" w:hAnsi="宋体" w:cs="宋体"/>
              </w:rPr>
              <w:t>长度：约1米</w:t>
            </w:r>
            <w:r>
              <w:rPr>
                <w:rFonts w:hint="eastAsia" w:ascii="宋体" w:hAnsi="宋体" w:cs="宋体"/>
              </w:rPr>
              <w:br w:type="textWrapping"/>
            </w:r>
            <w:r>
              <w:rPr>
                <w:rFonts w:hint="eastAsia" w:ascii="宋体" w:hAnsi="宋体" w:cs="宋体"/>
              </w:rPr>
              <w:t>链条直径：约6mm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9000</w:t>
            </w:r>
          </w:p>
        </w:tc>
      </w:tr>
      <w:tr>
        <w:tblPrEx>
          <w:tblCellMar>
            <w:top w:w="0" w:type="dxa"/>
            <w:left w:w="108" w:type="dxa"/>
            <w:bottom w:w="0" w:type="dxa"/>
            <w:right w:w="108" w:type="dxa"/>
          </w:tblCellMar>
        </w:tblPrEx>
        <w:trPr>
          <w:trHeight w:val="60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气垫船(橡皮艇)</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 xml:space="preserve">1.尺寸：外长≥380cm，外宽≥178cm，气囊直径≥43cm； </w:t>
            </w:r>
            <w:r>
              <w:rPr>
                <w:rFonts w:hint="eastAsia" w:ascii="宋体" w:hAnsi="宋体" w:cs="宋体"/>
              </w:rPr>
              <w:br w:type="textWrapping"/>
            </w:r>
            <w:r>
              <w:rPr>
                <w:rFonts w:hint="eastAsia" w:ascii="宋体" w:hAnsi="宋体" w:cs="宋体"/>
              </w:rPr>
              <w:t>2.颜色：红色；</w:t>
            </w:r>
            <w:r>
              <w:rPr>
                <w:rFonts w:hint="eastAsia" w:ascii="宋体" w:hAnsi="宋体" w:cs="宋体"/>
              </w:rPr>
              <w:br w:type="textWrapping"/>
            </w:r>
            <w:r>
              <w:rPr>
                <w:rFonts w:hint="eastAsia" w:ascii="宋体" w:hAnsi="宋体" w:cs="宋体"/>
              </w:rPr>
              <w:t xml:space="preserve">3.独立气室：≥3+1个； </w:t>
            </w:r>
            <w:r>
              <w:rPr>
                <w:rFonts w:hint="eastAsia" w:ascii="宋体" w:hAnsi="宋体" w:cs="宋体"/>
              </w:rPr>
              <w:br w:type="textWrapping"/>
            </w:r>
            <w:r>
              <w:rPr>
                <w:rFonts w:hint="eastAsia" w:ascii="宋体" w:hAnsi="宋体" w:cs="宋体"/>
              </w:rPr>
              <w:t xml:space="preserve">4.承员：8人； </w:t>
            </w:r>
            <w:r>
              <w:rPr>
                <w:rFonts w:hint="eastAsia" w:ascii="宋体" w:hAnsi="宋体" w:cs="宋体"/>
              </w:rPr>
              <w:br w:type="textWrapping"/>
            </w:r>
            <w:r>
              <w:rPr>
                <w:rFonts w:hint="eastAsia" w:ascii="宋体" w:hAnsi="宋体" w:cs="宋体"/>
              </w:rPr>
              <w:t xml:space="preserve">5.总重：≤78kg； </w:t>
            </w:r>
            <w:r>
              <w:rPr>
                <w:rFonts w:hint="eastAsia" w:ascii="宋体" w:hAnsi="宋体" w:cs="宋体"/>
              </w:rPr>
              <w:br w:type="textWrapping"/>
            </w:r>
            <w:r>
              <w:rPr>
                <w:rFonts w:hint="eastAsia" w:ascii="宋体" w:hAnsi="宋体" w:cs="宋体"/>
              </w:rPr>
              <w:t>6.安全载重：≥800kg；</w:t>
            </w:r>
            <w:r>
              <w:rPr>
                <w:rFonts w:hint="eastAsia" w:ascii="宋体" w:hAnsi="宋体" w:cs="宋体"/>
              </w:rPr>
              <w:br w:type="textWrapping"/>
            </w:r>
            <w:r>
              <w:rPr>
                <w:rFonts w:hint="eastAsia" w:ascii="宋体" w:hAnsi="宋体" w:cs="宋体"/>
              </w:rPr>
              <w:t xml:space="preserve">7.全体周围有安全拉绳； </w:t>
            </w:r>
            <w:r>
              <w:rPr>
                <w:rFonts w:hint="eastAsia" w:ascii="宋体" w:hAnsi="宋体" w:cs="宋体"/>
              </w:rPr>
              <w:br w:type="textWrapping"/>
            </w:r>
            <w:r>
              <w:rPr>
                <w:rFonts w:hint="eastAsia" w:ascii="宋体" w:hAnsi="宋体" w:cs="宋体"/>
              </w:rPr>
              <w:t>8.艇身材质：夹网汽艇专用布料，厚度≥0.9mm，橡胶涂覆织物、</w:t>
            </w:r>
            <w:r>
              <w:rPr>
                <w:rFonts w:hint="eastAsia" w:ascii="宋体" w:hAnsi="宋体" w:cs="宋体"/>
              </w:rPr>
              <w:br w:type="textWrapping"/>
            </w:r>
            <w:r>
              <w:rPr>
                <w:rFonts w:hint="eastAsia" w:ascii="宋体" w:hAnsi="宋体" w:cs="宋体"/>
              </w:rPr>
              <w:t xml:space="preserve">9.底板材质：防滑铝合金材质，并由阳极氧化的铝合金纵梁加固。 </w:t>
            </w:r>
            <w:r>
              <w:rPr>
                <w:rFonts w:hint="eastAsia" w:ascii="宋体" w:hAnsi="宋体" w:cs="宋体"/>
              </w:rPr>
              <w:br w:type="textWrapping"/>
            </w:r>
            <w:r>
              <w:rPr>
                <w:rFonts w:hint="eastAsia" w:ascii="宋体" w:hAnsi="宋体" w:cs="宋体"/>
              </w:rPr>
              <w:t>艇底和艇头结构：艇头平头设计，船底M型装甲底，水阻小，转向稳定。</w:t>
            </w:r>
            <w:r>
              <w:rPr>
                <w:rFonts w:hint="eastAsia" w:ascii="宋体" w:hAnsi="宋体" w:cs="宋体"/>
              </w:rPr>
              <w:br w:type="textWrapping"/>
            </w:r>
            <w:r>
              <w:rPr>
                <w:rFonts w:hint="eastAsia" w:ascii="宋体" w:hAnsi="宋体" w:cs="宋体"/>
              </w:rPr>
              <w:t>10.▲气密性浮筒额定压力0.025MPa，剩余压力空载状态，静置 60min 后剩余压力为0.025MPa。</w:t>
            </w:r>
            <w:r>
              <w:rPr>
                <w:rFonts w:hint="eastAsia" w:ascii="宋体" w:hAnsi="宋体" w:cs="宋体"/>
              </w:rPr>
              <w:br w:type="textWrapping"/>
            </w:r>
            <w:r>
              <w:rPr>
                <w:rFonts w:hint="eastAsia" w:ascii="宋体" w:hAnsi="宋体" w:cs="宋体"/>
              </w:rPr>
              <w:t>11.▲气密性龙骨额定压力0.020MPa，剩余压力空载状态，静置 60min 后剩余压力为0.020MPa。</w:t>
            </w:r>
            <w:r>
              <w:rPr>
                <w:rFonts w:hint="eastAsia" w:ascii="宋体" w:hAnsi="宋体" w:cs="宋体"/>
              </w:rPr>
              <w:br w:type="textWrapping"/>
            </w:r>
            <w:r>
              <w:rPr>
                <w:rFonts w:hint="eastAsia" w:ascii="宋体" w:hAnsi="宋体" w:cs="宋体"/>
              </w:rPr>
              <w:t>12.▲耐压性满载状态，船艇各气囊加压至 1.1倍额定压力后静置 30min，无异样</w:t>
            </w:r>
            <w:r>
              <w:rPr>
                <w:rFonts w:hint="eastAsia" w:ascii="宋体" w:hAnsi="宋体" w:cs="宋体"/>
              </w:rPr>
              <w:br w:type="textWrapping"/>
            </w:r>
            <w:r>
              <w:rPr>
                <w:rFonts w:hint="eastAsia" w:ascii="宋体" w:hAnsi="宋体" w:cs="宋体"/>
              </w:rPr>
              <w:t>13.▲空载最大航速≥36km/h</w:t>
            </w:r>
            <w:r>
              <w:rPr>
                <w:rFonts w:hint="eastAsia" w:ascii="宋体" w:hAnsi="宋体" w:cs="宋体"/>
              </w:rPr>
              <w:br w:type="textWrapping"/>
            </w:r>
            <w:r>
              <w:rPr>
                <w:rFonts w:hint="eastAsia" w:ascii="宋体" w:hAnsi="宋体" w:cs="宋体"/>
              </w:rPr>
              <w:t>14.回转直径：空载状态，航速 15km/h 时，左转:5.2m;右转:6.0m。</w:t>
            </w:r>
            <w:r>
              <w:rPr>
                <w:rFonts w:hint="eastAsia" w:ascii="宋体" w:hAnsi="宋体" w:cs="宋体"/>
              </w:rPr>
              <w:br w:type="textWrapping"/>
            </w:r>
            <w:r>
              <w:rPr>
                <w:rFonts w:hint="eastAsia" w:ascii="宋体" w:hAnsi="宋体" w:cs="宋体"/>
              </w:rPr>
              <w:t>15.配备铝制奖 2 支、坐板 2 块、维修包 1 个、脚踏式充气泵 1 个。16.配40P动力源</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r>
      <w:tr>
        <w:tblPrEx>
          <w:tblCellMar>
            <w:top w:w="0" w:type="dxa"/>
            <w:left w:w="108" w:type="dxa"/>
            <w:bottom w:w="0" w:type="dxa"/>
            <w:right w:w="108" w:type="dxa"/>
          </w:tblCellMar>
        </w:tblPrEx>
        <w:trPr>
          <w:trHeight w:val="509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射绳枪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本产品符合GB/T27906-2011《救生抛投器》的标准要求。</w:t>
            </w:r>
            <w:r>
              <w:rPr>
                <w:rFonts w:hint="eastAsia" w:ascii="宋体" w:hAnsi="宋体" w:cs="宋体"/>
              </w:rPr>
              <w:br w:type="textWrapping"/>
            </w:r>
            <w:r>
              <w:rPr>
                <w:rFonts w:hint="eastAsia" w:ascii="宋体" w:hAnsi="宋体" w:cs="宋体"/>
              </w:rPr>
              <w:t>总成重量: ≤5 kg (陆地救援发射状态下，不含高压充气总成重量)</w:t>
            </w:r>
            <w:r>
              <w:rPr>
                <w:rFonts w:hint="eastAsia" w:ascii="宋体" w:hAnsi="宋体" w:cs="宋体"/>
              </w:rPr>
              <w:br w:type="textWrapping"/>
            </w:r>
            <w:r>
              <w:rPr>
                <w:rFonts w:hint="eastAsia" w:ascii="宋体" w:hAnsi="宋体" w:cs="宋体"/>
              </w:rPr>
              <w:t>最大工作压力: 约6MPa</w:t>
            </w:r>
            <w:r>
              <w:rPr>
                <w:rFonts w:hint="eastAsia" w:ascii="宋体" w:hAnsi="宋体" w:cs="宋体"/>
              </w:rPr>
              <w:br w:type="textWrapping"/>
            </w:r>
            <w:r>
              <w:rPr>
                <w:rFonts w:hint="eastAsia" w:ascii="宋体" w:hAnsi="宋体" w:cs="宋体"/>
              </w:rPr>
              <w:t>最大发射初速: 约20-40 m/s（不同发射气压下）</w:t>
            </w:r>
            <w:r>
              <w:rPr>
                <w:rFonts w:hint="eastAsia" w:ascii="宋体" w:hAnsi="宋体" w:cs="宋体"/>
              </w:rPr>
              <w:br w:type="textWrapping"/>
            </w:r>
            <w:r>
              <w:rPr>
                <w:rFonts w:hint="eastAsia" w:ascii="宋体" w:hAnsi="宋体" w:cs="宋体"/>
              </w:rPr>
              <w:t>最大后座力: 约1000 N</w:t>
            </w:r>
            <w:r>
              <w:rPr>
                <w:rFonts w:hint="eastAsia" w:ascii="宋体" w:hAnsi="宋体" w:cs="宋体"/>
              </w:rPr>
              <w:br w:type="textWrapping"/>
            </w:r>
            <w:r>
              <w:rPr>
                <w:rFonts w:hint="eastAsia" w:ascii="宋体" w:hAnsi="宋体" w:cs="宋体"/>
              </w:rPr>
              <w:t>快速充气总成：配置减压阀，与空呼气瓶（30MPa）连接，可带压插拔，调整气缸内压力。</w:t>
            </w:r>
            <w:r>
              <w:rPr>
                <w:rFonts w:hint="eastAsia" w:ascii="宋体" w:hAnsi="宋体" w:cs="宋体"/>
              </w:rPr>
              <w:br w:type="textWrapping"/>
            </w:r>
            <w:r>
              <w:rPr>
                <w:rFonts w:hint="eastAsia" w:ascii="宋体" w:hAnsi="宋体" w:cs="宋体"/>
              </w:rPr>
              <w:t>连接螺牙: 标准 DIN 477  G5/8"</w:t>
            </w:r>
            <w:r>
              <w:rPr>
                <w:rFonts w:hint="eastAsia" w:ascii="宋体" w:hAnsi="宋体" w:cs="宋体"/>
              </w:rPr>
              <w:br w:type="textWrapping"/>
            </w:r>
            <w:r>
              <w:rPr>
                <w:rFonts w:hint="eastAsia" w:ascii="宋体" w:hAnsi="宋体" w:cs="宋体"/>
              </w:rPr>
              <w:t>可用救援弹内灌装的抛绳尺寸：∅2mm x 185m（陆抛）</w:t>
            </w:r>
            <w:r>
              <w:rPr>
                <w:rFonts w:hint="eastAsia" w:ascii="宋体" w:hAnsi="宋体" w:cs="宋体"/>
              </w:rPr>
              <w:br w:type="textWrapping"/>
            </w:r>
            <w:r>
              <w:rPr>
                <w:rFonts w:hint="eastAsia" w:ascii="宋体" w:hAnsi="宋体" w:cs="宋体"/>
              </w:rPr>
              <w:t xml:space="preserve">                            ∅2.8mm x 70m（水抛  漂浮绳）（注：水域救援进行60米以上距离抛射时需要外接抛绳）</w:t>
            </w:r>
            <w:r>
              <w:rPr>
                <w:rFonts w:hint="eastAsia" w:ascii="宋体" w:hAnsi="宋体" w:cs="宋体"/>
              </w:rPr>
              <w:br w:type="textWrapping"/>
            </w:r>
            <w:r>
              <w:rPr>
                <w:rFonts w:hint="eastAsia" w:ascii="宋体" w:hAnsi="宋体" w:cs="宋体"/>
              </w:rPr>
              <w:t>陆抛绳拉力：≥2000N</w:t>
            </w:r>
            <w:r>
              <w:rPr>
                <w:rFonts w:hint="eastAsia" w:ascii="宋体" w:hAnsi="宋体" w:cs="宋体"/>
              </w:rPr>
              <w:br w:type="textWrapping"/>
            </w:r>
            <w:r>
              <w:rPr>
                <w:rFonts w:hint="eastAsia" w:ascii="宋体" w:hAnsi="宋体" w:cs="宋体"/>
              </w:rPr>
              <w:t>水抛绳拉力：≥6000N</w:t>
            </w:r>
            <w:r>
              <w:rPr>
                <w:rFonts w:hint="eastAsia" w:ascii="宋体" w:hAnsi="宋体" w:cs="宋体"/>
              </w:rPr>
              <w:br w:type="textWrapping"/>
            </w:r>
            <w:r>
              <w:rPr>
                <w:rFonts w:hint="eastAsia" w:ascii="宋体" w:hAnsi="宋体" w:cs="宋体"/>
              </w:rPr>
              <w:t>抛投距离：陆地使用时抛射陆用救援弹的距离可达160m以上；</w:t>
            </w:r>
            <w:r>
              <w:rPr>
                <w:rFonts w:hint="eastAsia" w:ascii="宋体" w:hAnsi="宋体" w:cs="宋体"/>
              </w:rPr>
              <w:br w:type="textWrapping"/>
            </w:r>
            <w:r>
              <w:rPr>
                <w:rFonts w:hint="eastAsia" w:ascii="宋体" w:hAnsi="宋体" w:cs="宋体"/>
              </w:rPr>
              <w:t>水面上使用时抛射水用救援弹（带自动充气救生圈）的距离可达110m以上；</w:t>
            </w:r>
            <w:r>
              <w:rPr>
                <w:rFonts w:hint="eastAsia" w:ascii="宋体" w:hAnsi="宋体" w:cs="宋体"/>
              </w:rPr>
              <w:br w:type="textWrapping"/>
            </w:r>
            <w:r>
              <w:rPr>
                <w:rFonts w:hint="eastAsia" w:ascii="宋体" w:hAnsi="宋体" w:cs="宋体"/>
              </w:rPr>
              <w:t>水用救援弹入水5秒内自动充气成为救生圈，产生8Kg以上浮力。</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绳索保护垫</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⽤于救援时，铺垫于地⾯，有效保护器材与地⾯的直接磨擦。</w:t>
            </w:r>
            <w:r>
              <w:rPr>
                <w:rFonts w:hint="eastAsia" w:ascii="宋体" w:hAnsi="宋体" w:cs="宋体"/>
              </w:rPr>
              <w:br w:type="textWrapping"/>
            </w:r>
            <w:r>
              <w:rPr>
                <w:rFonts w:hint="eastAsia" w:ascii="宋体" w:hAnsi="宋体" w:cs="宋体"/>
              </w:rPr>
              <w:t>材质：100%棉</w:t>
            </w:r>
            <w:r>
              <w:rPr>
                <w:rFonts w:hint="eastAsia" w:ascii="宋体" w:hAnsi="宋体" w:cs="宋体"/>
              </w:rPr>
              <w:br w:type="textWrapping"/>
            </w:r>
            <w:r>
              <w:rPr>
                <w:rFonts w:hint="eastAsia" w:ascii="宋体" w:hAnsi="宋体" w:cs="宋体"/>
              </w:rPr>
              <w:t>尺⼨：约69×83cm</w:t>
            </w:r>
            <w:r>
              <w:rPr>
                <w:rFonts w:hint="eastAsia" w:ascii="宋体" w:hAnsi="宋体" w:cs="宋体"/>
              </w:rPr>
              <w:br w:type="textWrapping"/>
            </w:r>
            <w:r>
              <w:rPr>
                <w:rFonts w:hint="eastAsia" w:ascii="宋体" w:hAnsi="宋体" w:cs="宋体"/>
              </w:rPr>
              <w:t>重量：约540g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r>
      <w:tr>
        <w:tblPrEx>
          <w:tblCellMar>
            <w:top w:w="0" w:type="dxa"/>
            <w:left w:w="108" w:type="dxa"/>
            <w:bottom w:w="0" w:type="dxa"/>
            <w:right w:w="108" w:type="dxa"/>
          </w:tblCellMar>
        </w:tblPrEx>
        <w:trPr>
          <w:trHeight w:val="23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绳索保护器滑轮组</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⽤于保护绳索，避免建筑物的棱⻆、墙⻆、岩⽯等粗糙尖锐突起部份预防磨损绳索。</w:t>
            </w:r>
            <w:r>
              <w:rPr>
                <w:rFonts w:hint="eastAsia" w:ascii="宋体" w:hAnsi="宋体" w:cs="宋体"/>
              </w:rPr>
              <w:br w:type="textWrapping"/>
            </w:r>
            <w:r>
              <w:rPr>
                <w:rFonts w:hint="eastAsia" w:ascii="宋体" w:hAnsi="宋体" w:cs="宋体"/>
              </w:rPr>
              <w:t>滚轮/侧板⽀架2024航空铝，装有4条滚动轴承，减少摩擦，担架拖拉操作⾼效省⼒。</w:t>
            </w:r>
            <w:r>
              <w:rPr>
                <w:rFonts w:hint="eastAsia" w:ascii="宋体" w:hAnsi="宋体" w:cs="宋体"/>
              </w:rPr>
              <w:br w:type="textWrapping"/>
            </w:r>
            <w:r>
              <w:rPr>
                <w:rFonts w:hint="eastAsia" w:ascii="宋体" w:hAnsi="宋体" w:cs="宋体"/>
              </w:rPr>
              <w:t>链条式设计（可级联），4⻆设置有系辅绳固定⽤挂点。收纳体积⼩，展开保护⾯积⼤；可组合不同⻓度，围柱，直⻆，斜坡等环境均适合使⽤。</w:t>
            </w:r>
            <w:r>
              <w:rPr>
                <w:rFonts w:hint="eastAsia" w:ascii="宋体" w:hAnsi="宋体" w:cs="宋体"/>
              </w:rPr>
              <w:br w:type="textWrapping"/>
            </w:r>
            <w:r>
              <w:rPr>
                <w:rFonts w:hint="eastAsia" w:ascii="宋体" w:hAnsi="宋体" w:cs="宋体"/>
              </w:rPr>
              <w:t>材质：铝合⾦、304不锈钢</w:t>
            </w:r>
            <w:r>
              <w:rPr>
                <w:rFonts w:hint="eastAsia" w:ascii="宋体" w:hAnsi="宋体" w:cs="宋体"/>
              </w:rPr>
              <w:br w:type="textWrapping"/>
            </w:r>
            <w:r>
              <w:rPr>
                <w:rFonts w:hint="eastAsia" w:ascii="宋体" w:hAnsi="宋体" w:cs="宋体"/>
              </w:rPr>
              <w:t>尺⼨：约39.5×12.6×5cm（四轴）</w:t>
            </w:r>
            <w:r>
              <w:rPr>
                <w:rFonts w:hint="eastAsia" w:ascii="宋体" w:hAnsi="宋体" w:cs="宋体"/>
              </w:rPr>
              <w:br w:type="textWrapping"/>
            </w:r>
            <w:r>
              <w:rPr>
                <w:rFonts w:hint="eastAsia" w:ascii="宋体" w:hAnsi="宋体" w:cs="宋体"/>
              </w:rPr>
              <w:t>重量：约935g（四轴）</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r>
      <w:tr>
        <w:tblPrEx>
          <w:tblCellMar>
            <w:top w:w="0" w:type="dxa"/>
            <w:left w:w="108" w:type="dxa"/>
            <w:bottom w:w="0" w:type="dxa"/>
            <w:right w:w="108" w:type="dxa"/>
          </w:tblCellMar>
        </w:tblPrEx>
        <w:trPr>
          <w:trHeight w:val="394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有毒气体探测仪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有毒气体探测仪换这个：</w:t>
            </w:r>
            <w:r>
              <w:rPr>
                <w:rFonts w:hint="eastAsia" w:ascii="宋体" w:hAnsi="宋体" w:cs="宋体"/>
              </w:rPr>
              <w:br w:type="textWrapping"/>
            </w:r>
            <w:r>
              <w:rPr>
                <w:rFonts w:hint="eastAsia" w:ascii="宋体" w:hAnsi="宋体" w:cs="宋体"/>
              </w:rPr>
              <w:t>1、测量气体及量程：（1）可燃气（EX）0-100%LEL、（2）一氧化碳(CO)0-999.99PPM、（3）硫化氢(H2S)0-99.99PPM、（4）氧气(O2)0-30%VOL</w:t>
            </w:r>
            <w:r>
              <w:rPr>
                <w:rFonts w:hint="eastAsia" w:ascii="宋体" w:hAnsi="宋体" w:cs="宋体"/>
              </w:rPr>
              <w:br w:type="textWrapping"/>
            </w:r>
            <w:r>
              <w:rPr>
                <w:rFonts w:hint="eastAsia" w:ascii="宋体" w:hAnsi="宋体" w:cs="宋体"/>
              </w:rPr>
              <w:t>2、≥2.3寸全彩色显示屏；支持PPM和mg/m3，%VOL和mg/L浓度单位自由切换；</w:t>
            </w:r>
            <w:r>
              <w:rPr>
                <w:rFonts w:hint="eastAsia" w:ascii="宋体" w:hAnsi="宋体" w:cs="宋体"/>
              </w:rPr>
              <w:br w:type="textWrapping"/>
            </w:r>
            <w:r>
              <w:rPr>
                <w:rFonts w:hint="eastAsia" w:ascii="宋体" w:hAnsi="宋体" w:cs="宋体"/>
              </w:rPr>
              <w:t>3、自动存储数据，存储间隔可自定义，可存储≥30万组带日期时间标识的数据；</w:t>
            </w:r>
            <w:r>
              <w:rPr>
                <w:rFonts w:hint="eastAsia" w:ascii="宋体" w:hAnsi="宋体" w:cs="宋体"/>
              </w:rPr>
              <w:br w:type="textWrapping"/>
            </w:r>
            <w:r>
              <w:rPr>
                <w:rFonts w:hint="eastAsia" w:ascii="宋体" w:hAnsi="宋体" w:cs="宋体"/>
              </w:rPr>
              <w:t>4、主动泵吸式，内置气泵可独立打开或关闭；</w:t>
            </w:r>
            <w:r>
              <w:rPr>
                <w:rFonts w:hint="eastAsia" w:ascii="宋体" w:hAnsi="宋体" w:cs="宋体"/>
              </w:rPr>
              <w:br w:type="textWrapping"/>
            </w:r>
            <w:r>
              <w:rPr>
                <w:rFonts w:hint="eastAsia" w:ascii="宋体" w:hAnsi="宋体" w:cs="宋体"/>
              </w:rPr>
              <w:t>5、报警方式 ：声音报警95 dB@30cm、振动报警、红色LED 报警灯、人员跌倒报警；报警点设置：A1报警值、A2报警值；可单独设置TWA报警值、STEL报警值；</w:t>
            </w:r>
            <w:r>
              <w:rPr>
                <w:rFonts w:hint="eastAsia" w:ascii="宋体" w:hAnsi="宋体" w:cs="宋体"/>
              </w:rPr>
              <w:br w:type="textWrapping"/>
            </w:r>
            <w:r>
              <w:rPr>
                <w:rFonts w:hint="eastAsia" w:ascii="宋体" w:hAnsi="宋体" w:cs="宋体"/>
              </w:rPr>
              <w:t>6、工作温度：-20℃至60℃；</w:t>
            </w:r>
            <w:r>
              <w:rPr>
                <w:rFonts w:hint="eastAsia" w:ascii="宋体" w:hAnsi="宋体" w:cs="宋体"/>
              </w:rPr>
              <w:br w:type="textWrapping"/>
            </w:r>
            <w:r>
              <w:rPr>
                <w:rFonts w:hint="eastAsia" w:ascii="宋体" w:hAnsi="宋体" w:cs="宋体"/>
              </w:rPr>
              <w:t>7、配备可充电电池，工作时长≥12h；</w:t>
            </w:r>
            <w:r>
              <w:rPr>
                <w:rFonts w:hint="eastAsia" w:ascii="宋体" w:hAnsi="宋体" w:cs="宋体"/>
              </w:rPr>
              <w:br w:type="textWrapping"/>
            </w:r>
            <w:r>
              <w:rPr>
                <w:rFonts w:hint="eastAsia" w:ascii="宋体" w:hAnsi="宋体" w:cs="宋体"/>
              </w:rPr>
              <w:t>8、防护等级：≥IP65；</w:t>
            </w:r>
            <w:r>
              <w:rPr>
                <w:rFonts w:hint="eastAsia" w:ascii="宋体" w:hAnsi="宋体" w:cs="宋体"/>
              </w:rPr>
              <w:br w:type="textWrapping"/>
            </w:r>
            <w:r>
              <w:rPr>
                <w:rFonts w:hint="eastAsia" w:ascii="宋体" w:hAnsi="宋体" w:cs="宋体"/>
              </w:rPr>
              <w:t>9、防爆等级不低于IIC T4，提供防爆认证。</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w:t>
            </w:r>
          </w:p>
        </w:tc>
      </w:tr>
      <w:tr>
        <w:tblPrEx>
          <w:tblCellMar>
            <w:top w:w="0" w:type="dxa"/>
            <w:left w:w="108" w:type="dxa"/>
            <w:bottom w:w="0" w:type="dxa"/>
            <w:right w:w="108" w:type="dxa"/>
          </w:tblCellMar>
        </w:tblPrEx>
        <w:trPr>
          <w:trHeight w:val="33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可燃气体检测仪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1、扩散式采样，可检测气体氢气、乙炔、甲烷、可燃等其他爆炸下限气体；</w:t>
            </w:r>
            <w:r>
              <w:rPr>
                <w:rFonts w:hint="eastAsia" w:ascii="宋体" w:hAnsi="宋体" w:cs="宋体"/>
              </w:rPr>
              <w:br w:type="textWrapping"/>
            </w:r>
            <w:r>
              <w:rPr>
                <w:rFonts w:hint="eastAsia" w:ascii="宋体" w:hAnsi="宋体" w:cs="宋体"/>
              </w:rPr>
              <w:t>2、测量范围：0-100%LEL，分辨率：0.1%LEL；</w:t>
            </w:r>
            <w:r>
              <w:rPr>
                <w:rFonts w:hint="eastAsia" w:ascii="宋体" w:hAnsi="宋体" w:cs="宋体"/>
              </w:rPr>
              <w:br w:type="textWrapping"/>
            </w:r>
            <w:r>
              <w:rPr>
                <w:rFonts w:hint="eastAsia" w:ascii="宋体" w:hAnsi="宋体" w:cs="宋体"/>
              </w:rPr>
              <w:t>3、响应时间：≤30秒，精度：≤±3%F.S</w:t>
            </w:r>
            <w:r>
              <w:rPr>
                <w:rFonts w:hint="eastAsia" w:ascii="宋体" w:hAnsi="宋体" w:cs="宋体"/>
              </w:rPr>
              <w:br w:type="textWrapping"/>
            </w:r>
            <w:r>
              <w:rPr>
                <w:rFonts w:hint="eastAsia" w:ascii="宋体" w:hAnsi="宋体" w:cs="宋体"/>
              </w:rPr>
              <w:t>4、数据记录：测量数据自动记录功能，可存储≥30万组探测数据；</w:t>
            </w:r>
            <w:r>
              <w:rPr>
                <w:rFonts w:hint="eastAsia" w:ascii="宋体" w:hAnsi="宋体" w:cs="宋体"/>
              </w:rPr>
              <w:br w:type="textWrapping"/>
            </w:r>
            <w:r>
              <w:rPr>
                <w:rFonts w:hint="eastAsia" w:ascii="宋体" w:hAnsi="宋体" w:cs="宋体"/>
              </w:rPr>
              <w:t>5、电池容量：待机时间不小于12小时；</w:t>
            </w:r>
            <w:r>
              <w:rPr>
                <w:rFonts w:hint="eastAsia" w:ascii="宋体" w:hAnsi="宋体" w:cs="宋体"/>
              </w:rPr>
              <w:br w:type="textWrapping"/>
            </w:r>
            <w:r>
              <w:rPr>
                <w:rFonts w:hint="eastAsia" w:ascii="宋体" w:hAnsi="宋体" w:cs="宋体"/>
              </w:rPr>
              <w:t>6、报警方式：声音报警95 dB@30cm、振动报警、红色LED 报警灯；</w:t>
            </w:r>
            <w:r>
              <w:rPr>
                <w:rFonts w:hint="eastAsia" w:ascii="宋体" w:hAnsi="宋体" w:cs="宋体"/>
              </w:rPr>
              <w:br w:type="textWrapping"/>
            </w:r>
            <w:r>
              <w:rPr>
                <w:rFonts w:hint="eastAsia" w:ascii="宋体" w:hAnsi="宋体" w:cs="宋体"/>
              </w:rPr>
              <w:t>7、外观尺寸：≤70*120*30mm；</w:t>
            </w:r>
            <w:r>
              <w:rPr>
                <w:rFonts w:hint="eastAsia" w:ascii="宋体" w:hAnsi="宋体" w:cs="宋体"/>
              </w:rPr>
              <w:br w:type="textWrapping"/>
            </w:r>
            <w:r>
              <w:rPr>
                <w:rFonts w:hint="eastAsia" w:ascii="宋体" w:hAnsi="宋体" w:cs="宋体"/>
              </w:rPr>
              <w:t>8、重量：≤200g；</w:t>
            </w:r>
            <w:r>
              <w:rPr>
                <w:rFonts w:hint="eastAsia" w:ascii="宋体" w:hAnsi="宋体" w:cs="宋体"/>
              </w:rPr>
              <w:br w:type="textWrapping"/>
            </w:r>
            <w:r>
              <w:rPr>
                <w:rFonts w:hint="eastAsia" w:ascii="宋体" w:hAnsi="宋体" w:cs="宋体"/>
              </w:rPr>
              <w:t>★9、提供防爆认证，防爆标志：不低于IIC T4。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r>
      <w:tr>
        <w:tblPrEx>
          <w:tblCellMar>
            <w:top w:w="0" w:type="dxa"/>
            <w:left w:w="108" w:type="dxa"/>
            <w:bottom w:w="0" w:type="dxa"/>
            <w:right w:w="108" w:type="dxa"/>
          </w:tblCellMar>
        </w:tblPrEx>
        <w:trPr>
          <w:trHeight w:val="4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电子气象仪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1.可测量风速、温度、湿度、风寒指数、气压、热度指数、高度等气象信息；可显示大气压力历史长条图；具备自动关机功能。</w:t>
            </w:r>
            <w:r>
              <w:rPr>
                <w:rFonts w:hint="eastAsia" w:ascii="宋体" w:hAnsi="宋体" w:cs="宋体"/>
              </w:rPr>
              <w:br w:type="textWrapping"/>
            </w:r>
            <w:r>
              <w:rPr>
                <w:rFonts w:hint="eastAsia" w:ascii="宋体" w:hAnsi="宋体" w:cs="宋体"/>
              </w:rPr>
              <w:t>3.量程：风速：1.1～20m/s，准确率≤±4%。</w:t>
            </w:r>
            <w:r>
              <w:rPr>
                <w:rFonts w:hint="eastAsia" w:ascii="宋体" w:hAnsi="宋体" w:cs="宋体"/>
              </w:rPr>
              <w:br w:type="textWrapping"/>
            </w:r>
            <w:r>
              <w:rPr>
                <w:rFonts w:hint="eastAsia" w:ascii="宋体" w:hAnsi="宋体" w:cs="宋体"/>
              </w:rPr>
              <w:t>温度范围：-15℃～+50℃，温度分辨率≤0.1℃/℉，温度误差≤±1℃。</w:t>
            </w:r>
            <w:r>
              <w:rPr>
                <w:rFonts w:hint="eastAsia" w:ascii="宋体" w:hAnsi="宋体" w:cs="宋体"/>
              </w:rPr>
              <w:br w:type="textWrapping"/>
            </w:r>
            <w:r>
              <w:rPr>
                <w:rFonts w:hint="eastAsia" w:ascii="宋体" w:hAnsi="宋体" w:cs="宋体"/>
              </w:rPr>
              <w:t>湿度范围：5～95%RH，湿度分辨率≤0.1%RH，湿度准确率≤±3%RH。</w:t>
            </w:r>
            <w:r>
              <w:rPr>
                <w:rFonts w:hint="eastAsia" w:ascii="宋体" w:hAnsi="宋体" w:cs="宋体"/>
              </w:rPr>
              <w:br w:type="textWrapping"/>
            </w:r>
            <w:r>
              <w:rPr>
                <w:rFonts w:hint="eastAsia" w:ascii="宋体" w:hAnsi="宋体" w:cs="宋体"/>
              </w:rPr>
              <w:t>压力范围：400～1100hpa，压力准确度≤±3hpa。</w:t>
            </w:r>
            <w:r>
              <w:rPr>
                <w:rFonts w:hint="eastAsia" w:ascii="宋体" w:hAnsi="宋体" w:cs="宋体"/>
              </w:rPr>
              <w:br w:type="textWrapping"/>
            </w:r>
            <w:r>
              <w:rPr>
                <w:rFonts w:hint="eastAsia" w:ascii="宋体" w:hAnsi="宋体" w:cs="宋体"/>
              </w:rPr>
              <w:t>高度范围：-600～+7000m。</w:t>
            </w:r>
            <w:r>
              <w:rPr>
                <w:rFonts w:hint="eastAsia" w:ascii="宋体" w:hAnsi="宋体" w:cs="宋体"/>
              </w:rPr>
              <w:br w:type="textWrapping"/>
            </w:r>
            <w:r>
              <w:rPr>
                <w:rFonts w:hint="eastAsia" w:ascii="宋体" w:hAnsi="宋体" w:cs="宋体"/>
              </w:rPr>
              <w:t>4.工作温度：-10℃至+50℃。</w:t>
            </w:r>
            <w:r>
              <w:rPr>
                <w:rFonts w:hint="eastAsia" w:ascii="宋体" w:hAnsi="宋体" w:cs="宋体"/>
              </w:rPr>
              <w:br w:type="textWrapping"/>
            </w:r>
            <w:r>
              <w:rPr>
                <w:rFonts w:hint="eastAsia" w:ascii="宋体" w:hAnsi="宋体" w:cs="宋体"/>
              </w:rPr>
              <w:t>5.当滑盖打开至90°时，电子气象仪尺寸≤150×60×30mm；当滑盖180°全开时，电子气象仪尺寸≤240×60×30mm。</w:t>
            </w:r>
            <w:r>
              <w:rPr>
                <w:rFonts w:hint="eastAsia" w:ascii="宋体" w:hAnsi="宋体" w:cs="宋体"/>
              </w:rPr>
              <w:br w:type="textWrapping"/>
            </w:r>
            <w:r>
              <w:rPr>
                <w:rFonts w:hint="eastAsia" w:ascii="宋体" w:hAnsi="宋体" w:cs="宋体"/>
              </w:rPr>
              <w:t>6.主机重量（含电池）≤150g。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r>
      <w:tr>
        <w:tblPrEx>
          <w:tblCellMar>
            <w:top w:w="0" w:type="dxa"/>
            <w:left w:w="108" w:type="dxa"/>
            <w:bottom w:w="0" w:type="dxa"/>
            <w:right w:w="108" w:type="dxa"/>
          </w:tblCellMar>
        </w:tblPrEx>
        <w:trPr>
          <w:trHeight w:val="816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无线复合气体探测仪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1、设备应具备彩色液晶屏，屏幕尺寸≥2.8英寸；</w:t>
            </w:r>
            <w:r>
              <w:rPr>
                <w:rFonts w:hint="eastAsia" w:ascii="宋体" w:hAnsi="宋体" w:cs="宋体"/>
              </w:rPr>
              <w:br w:type="textWrapping"/>
            </w:r>
            <w:r>
              <w:rPr>
                <w:rFonts w:hint="eastAsia" w:ascii="宋体" w:hAnsi="宋体" w:cs="宋体"/>
              </w:rPr>
              <w:t>2、可实时显示环境中的化学气体浓度变化。支持检测毒气氟化氢、氨气、磷化氢、塔崩、间二甲苯、丙酮、甲醇、乙醇、乙醚、甲胺、芥子气、甲苯、甲酰胺、丙烯醛、胂、苯、硫化氢、异丁烯等 VOC气体和磷硫氮砷氯氟类工业毒气有毒工业物质等毒物同时也可检测可燃气（LEL），如甲烷、乙烷、丙烷、乙炔、丙炔、氢气等多种气体，同时内置CsI探测器，可对环境中X、γ射线进行探测；内置超过≥260 种 VOC 气体数据库；</w:t>
            </w:r>
            <w:r>
              <w:rPr>
                <w:rFonts w:hint="eastAsia" w:ascii="宋体" w:hAnsi="宋体" w:cs="宋体"/>
              </w:rPr>
              <w:br w:type="textWrapping"/>
            </w:r>
            <w:r>
              <w:rPr>
                <w:rFonts w:hint="eastAsia" w:ascii="宋体" w:hAnsi="宋体" w:cs="宋体"/>
              </w:rPr>
              <w:t>3、直接计数功能：实时气体浓度，人员跌倒报警是否开启，电池状态，无线开启或关闭状态以及信号强度，TWA报警值、STEL报警值等；</w:t>
            </w:r>
            <w:r>
              <w:rPr>
                <w:rFonts w:hint="eastAsia" w:ascii="宋体" w:hAnsi="宋体" w:cs="宋体"/>
              </w:rPr>
              <w:br w:type="textWrapping"/>
            </w:r>
            <w:r>
              <w:rPr>
                <w:rFonts w:hint="eastAsia" w:ascii="宋体" w:hAnsi="宋体" w:cs="宋体"/>
              </w:rPr>
              <w:t>4、可检测氧气、可燃气、一氧化碳、硫化氢、VOC气体及环境中X、γ射线；</w:t>
            </w:r>
            <w:r>
              <w:rPr>
                <w:rFonts w:hint="eastAsia" w:ascii="宋体" w:hAnsi="宋体" w:cs="宋体"/>
              </w:rPr>
              <w:br w:type="textWrapping"/>
            </w:r>
            <w:r>
              <w:rPr>
                <w:rFonts w:hint="eastAsia" w:ascii="宋体" w:hAnsi="宋体" w:cs="宋体"/>
              </w:rPr>
              <w:t>5、具备4G传输功能，探测数据可通过4G传输到现场终端，可实时获取数据及报警状态；</w:t>
            </w:r>
            <w:r>
              <w:rPr>
                <w:rFonts w:hint="eastAsia" w:ascii="宋体" w:hAnsi="宋体" w:cs="宋体"/>
              </w:rPr>
              <w:br w:type="textWrapping"/>
            </w:r>
            <w:r>
              <w:rPr>
                <w:rFonts w:hint="eastAsia" w:ascii="宋体" w:hAnsi="宋体" w:cs="宋体"/>
              </w:rPr>
              <w:t>6、报警方式 ：声、光、振动及跌倒报警，并可实现远程无线报警；</w:t>
            </w:r>
            <w:r>
              <w:rPr>
                <w:rFonts w:hint="eastAsia" w:ascii="宋体" w:hAnsi="宋体" w:cs="宋体"/>
              </w:rPr>
              <w:br w:type="textWrapping"/>
            </w:r>
            <w:r>
              <w:rPr>
                <w:rFonts w:hint="eastAsia" w:ascii="宋体" w:hAnsi="宋体" w:cs="宋体"/>
              </w:rPr>
              <w:t>7、设备具有数据实时存储、检索、导出等功能，并能够用USB接口、无线网络等接口将数据导出；</w:t>
            </w:r>
            <w:r>
              <w:rPr>
                <w:rFonts w:hint="eastAsia" w:ascii="宋体" w:hAnsi="宋体" w:cs="宋体"/>
              </w:rPr>
              <w:br w:type="textWrapping"/>
            </w:r>
            <w:r>
              <w:rPr>
                <w:rFonts w:hint="eastAsia" w:ascii="宋体" w:hAnsi="宋体" w:cs="宋体"/>
              </w:rPr>
              <w:t>8、防护等级：≥IP68，设备放置在≥1米水深、30分钟及以上，不应出现渗水，提供防护等级证书；</w:t>
            </w:r>
            <w:r>
              <w:rPr>
                <w:rFonts w:hint="eastAsia" w:ascii="宋体" w:hAnsi="宋体" w:cs="宋体"/>
              </w:rPr>
              <w:br w:type="textWrapping"/>
            </w:r>
            <w:r>
              <w:rPr>
                <w:rFonts w:hint="eastAsia" w:ascii="宋体" w:hAnsi="宋体" w:cs="宋体"/>
              </w:rPr>
              <w:t>9、防爆等级：不低于Ex ib IIB T4 Gb，提供防爆合格证书；</w:t>
            </w:r>
            <w:r>
              <w:rPr>
                <w:rFonts w:hint="eastAsia" w:ascii="宋体" w:hAnsi="宋体" w:cs="宋体"/>
              </w:rPr>
              <w:br w:type="textWrapping"/>
            </w:r>
            <w:r>
              <w:rPr>
                <w:rFonts w:hint="eastAsia" w:ascii="宋体" w:hAnsi="宋体" w:cs="宋体"/>
              </w:rPr>
              <w:t>10、工作温度:-20℃至50℃；</w:t>
            </w:r>
            <w:r>
              <w:rPr>
                <w:rFonts w:hint="eastAsia" w:ascii="宋体" w:hAnsi="宋体" w:cs="宋体"/>
              </w:rPr>
              <w:br w:type="textWrapping"/>
            </w:r>
            <w:r>
              <w:rPr>
                <w:rFonts w:hint="eastAsia" w:ascii="宋体" w:hAnsi="宋体" w:cs="宋体"/>
              </w:rPr>
              <w:t>11、配置智能管理云平台，可将设备信息接入智能管理云平台，在平台界面查看设备的接入状态、监测信息、工作状态、电量信息，便于快速调配及掌握设备的实时性能情况；可通过平台对设备进行维保提示，并生成维保记录，并能够对下一次维保倒计时，提醒使用者及时进行维保，完成设备生命周期管理；同时通过平台可实时查询距离救援现场由近及远的所有可调动的设备及其归属单位；</w:t>
            </w:r>
            <w:r>
              <w:rPr>
                <w:rFonts w:hint="eastAsia" w:ascii="宋体" w:hAnsi="宋体" w:cs="宋体"/>
              </w:rPr>
              <w:br w:type="textWrapping"/>
            </w:r>
            <w:r>
              <w:rPr>
                <w:rFonts w:hint="eastAsia" w:ascii="宋体" w:hAnsi="宋体" w:cs="宋体"/>
              </w:rPr>
              <w:t>▲12、验收现场提供样品，并对以上功能进行演示。</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65000</w:t>
            </w:r>
          </w:p>
        </w:tc>
      </w:tr>
      <w:tr>
        <w:tblPrEx>
          <w:tblCellMar>
            <w:top w:w="0" w:type="dxa"/>
            <w:left w:w="108" w:type="dxa"/>
            <w:bottom w:w="0" w:type="dxa"/>
            <w:right w:w="108" w:type="dxa"/>
          </w:tblCellMar>
        </w:tblPrEx>
        <w:trPr>
          <w:trHeight w:val="18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消防用红外热像仪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1、≥3.5英寸显示屏，支持屏幕亮度调节，采样帧速率不低于60帧/秒。</w:t>
            </w:r>
            <w:r>
              <w:rPr>
                <w:rFonts w:hint="eastAsia" w:ascii="宋体" w:hAnsi="宋体" w:cs="宋体"/>
              </w:rPr>
              <w:br w:type="textWrapping"/>
            </w:r>
            <w:r>
              <w:rPr>
                <w:rFonts w:hint="eastAsia" w:ascii="宋体" w:hAnsi="宋体" w:cs="宋体"/>
              </w:rPr>
              <w:t>2、探测器像素：≥384×288。</w:t>
            </w:r>
            <w:r>
              <w:rPr>
                <w:rFonts w:hint="eastAsia" w:ascii="宋体" w:hAnsi="宋体" w:cs="宋体"/>
              </w:rPr>
              <w:br w:type="textWrapping"/>
            </w:r>
            <w:r>
              <w:rPr>
                <w:rFonts w:hint="eastAsia" w:ascii="宋体" w:hAnsi="宋体" w:cs="宋体"/>
              </w:rPr>
              <w:t>3、测温范围：-40℃～1200℃。</w:t>
            </w:r>
            <w:r>
              <w:rPr>
                <w:rFonts w:hint="eastAsia" w:ascii="宋体" w:hAnsi="宋体" w:cs="宋体"/>
              </w:rPr>
              <w:br w:type="textWrapping"/>
            </w:r>
            <w:r>
              <w:rPr>
                <w:rFonts w:hint="eastAsia" w:ascii="宋体" w:hAnsi="宋体" w:cs="宋体"/>
              </w:rPr>
              <w:t>4、噪声等效温差（NETD）：≤50mK。</w:t>
            </w:r>
            <w:r>
              <w:rPr>
                <w:rFonts w:hint="eastAsia" w:ascii="宋体" w:hAnsi="宋体" w:cs="宋体"/>
              </w:rPr>
              <w:br w:type="textWrapping"/>
            </w:r>
            <w:r>
              <w:rPr>
                <w:rFonts w:hint="eastAsia" w:ascii="宋体" w:hAnsi="宋体" w:cs="宋体"/>
              </w:rPr>
              <w:t>5、工作波段：8～14μm。</w:t>
            </w:r>
            <w:r>
              <w:rPr>
                <w:rFonts w:hint="eastAsia" w:ascii="宋体" w:hAnsi="宋体" w:cs="宋体"/>
              </w:rPr>
              <w:br w:type="textWrapping"/>
            </w:r>
            <w:r>
              <w:rPr>
                <w:rFonts w:hint="eastAsia" w:ascii="宋体" w:hAnsi="宋体" w:cs="宋体"/>
              </w:rPr>
              <w:t>6、图像模式：≥8种，支持白热、黑热、消防、火灾、搜救、画中画、可见光和融合等模式，具备温度测量值、电池耗量、温度标尺、拍照或摄像状态显示功能。</w:t>
            </w:r>
            <w:r>
              <w:rPr>
                <w:rFonts w:hint="eastAsia" w:ascii="宋体" w:hAnsi="宋体" w:cs="宋体"/>
              </w:rPr>
              <w:br w:type="textWrapping"/>
            </w:r>
            <w:r>
              <w:rPr>
                <w:rFonts w:hint="eastAsia" w:ascii="宋体" w:hAnsi="宋体" w:cs="宋体"/>
              </w:rPr>
              <w:t>7、变焦功能：支持2倍、4倍数字变焦。</w:t>
            </w:r>
            <w:r>
              <w:rPr>
                <w:rFonts w:hint="eastAsia" w:ascii="宋体" w:hAnsi="宋体" w:cs="宋体"/>
              </w:rPr>
              <w:br w:type="textWrapping"/>
            </w:r>
            <w:r>
              <w:rPr>
                <w:rFonts w:hint="eastAsia" w:ascii="宋体" w:hAnsi="宋体" w:cs="宋体"/>
              </w:rPr>
              <w:t>8、具备红外模式和可见光模式，支持2种模式切换，可见光图像分辨率≥500万像素。</w:t>
            </w:r>
            <w:r>
              <w:rPr>
                <w:rFonts w:hint="eastAsia" w:ascii="宋体" w:hAnsi="宋体" w:cs="宋体"/>
              </w:rPr>
              <w:br w:type="textWrapping"/>
            </w:r>
            <w:r>
              <w:rPr>
                <w:rFonts w:hint="eastAsia" w:ascii="宋体" w:hAnsi="宋体" w:cs="宋体"/>
              </w:rPr>
              <w:t>9、支持本机实时查看拍摄保存的图片和视频，支持本机删除视频图片，无须连接电脑。</w:t>
            </w:r>
            <w:r>
              <w:rPr>
                <w:rFonts w:hint="eastAsia" w:ascii="宋体" w:hAnsi="宋体" w:cs="宋体"/>
              </w:rPr>
              <w:br w:type="textWrapping"/>
            </w:r>
            <w:r>
              <w:rPr>
                <w:rFonts w:hint="eastAsia" w:ascii="宋体" w:hAnsi="宋体" w:cs="宋体"/>
              </w:rPr>
              <w:t>10、具备激光指示功能、电子罗盘定向功能、全屏最高温及最低温自动追踪功能，可同时显示最高温、最低温和中心点温度测量功能。</w:t>
            </w:r>
            <w:r>
              <w:rPr>
                <w:rFonts w:hint="eastAsia" w:ascii="宋体" w:hAnsi="宋体" w:cs="宋体"/>
              </w:rPr>
              <w:br w:type="textWrapping"/>
            </w:r>
            <w:r>
              <w:rPr>
                <w:rFonts w:hint="eastAsia" w:ascii="宋体" w:hAnsi="宋体" w:cs="宋体"/>
              </w:rPr>
              <w:t>11、具备激光测距功能，支持测量显示被测物体与主机间的直线距离；</w:t>
            </w:r>
            <w:r>
              <w:rPr>
                <w:rFonts w:hint="eastAsia" w:ascii="宋体" w:hAnsi="宋体" w:cs="宋体"/>
              </w:rPr>
              <w:br w:type="textWrapping"/>
            </w:r>
            <w:r>
              <w:rPr>
                <w:rFonts w:hint="eastAsia" w:ascii="宋体" w:hAnsi="宋体" w:cs="宋体"/>
              </w:rPr>
              <w:t>12、特定环境高温环境工作时长：80℃时，≥30min；120℃时，≥10min；260℃时，≥5min；</w:t>
            </w:r>
            <w:r>
              <w:rPr>
                <w:rFonts w:hint="eastAsia" w:ascii="宋体" w:hAnsi="宋体" w:cs="宋体"/>
              </w:rPr>
              <w:br w:type="textWrapping"/>
            </w:r>
            <w:r>
              <w:rPr>
                <w:rFonts w:hint="eastAsia" w:ascii="宋体" w:hAnsi="宋体" w:cs="宋体"/>
              </w:rPr>
              <w:t>13、防护等级不低于IP67，水下2m，40min防水试验后工作应正常。</w:t>
            </w:r>
            <w:r>
              <w:rPr>
                <w:rFonts w:hint="eastAsia" w:ascii="宋体" w:hAnsi="宋体" w:cs="宋体"/>
              </w:rPr>
              <w:br w:type="textWrapping"/>
            </w:r>
            <w:r>
              <w:rPr>
                <w:rFonts w:hint="eastAsia" w:ascii="宋体" w:hAnsi="宋体" w:cs="宋体"/>
              </w:rPr>
              <w:t>14、主机顶部配有金属挂钩，配备伸缩扣，可将热像仪挂于胸前。</w:t>
            </w:r>
            <w:r>
              <w:rPr>
                <w:rFonts w:hint="eastAsia" w:ascii="宋体" w:hAnsi="宋体" w:cs="宋体"/>
              </w:rPr>
              <w:br w:type="textWrapping"/>
            </w:r>
            <w:r>
              <w:rPr>
                <w:rFonts w:hint="eastAsia" w:ascii="宋体" w:hAnsi="宋体" w:cs="宋体"/>
              </w:rPr>
              <w:t>15、伸缩扣垂直负载能力≥20Kg，回缩力≥1.5Kg，伸缩长度≥50cm。</w:t>
            </w:r>
            <w:r>
              <w:rPr>
                <w:rFonts w:hint="eastAsia" w:ascii="宋体" w:hAnsi="宋体" w:cs="宋体"/>
              </w:rPr>
              <w:br w:type="textWrapping"/>
            </w:r>
            <w:r>
              <w:rPr>
                <w:rFonts w:hint="eastAsia" w:ascii="宋体" w:hAnsi="宋体" w:cs="宋体"/>
              </w:rPr>
              <w:t>15、主机（含电池）质量：≤670g，主机尺寸：≤210*110*70mm。</w:t>
            </w:r>
            <w:r>
              <w:rPr>
                <w:rFonts w:hint="eastAsia" w:ascii="宋体" w:hAnsi="宋体" w:cs="宋体"/>
              </w:rPr>
              <w:br w:type="textWrapping"/>
            </w:r>
            <w:r>
              <w:rPr>
                <w:rFonts w:hint="eastAsia" w:ascii="宋体" w:hAnsi="宋体" w:cs="宋体"/>
              </w:rPr>
              <w:t>16、供电方式：采用可拆卸锂电池供电，续航时间≥4h/块，电池和主机带Type-C接口，支持本机充电和电池直接充电。</w:t>
            </w:r>
            <w:r>
              <w:rPr>
                <w:rFonts w:hint="eastAsia" w:ascii="宋体" w:hAnsi="宋体" w:cs="宋体"/>
              </w:rPr>
              <w:br w:type="textWrapping"/>
            </w:r>
            <w:r>
              <w:rPr>
                <w:rFonts w:hint="eastAsia" w:ascii="宋体" w:hAnsi="宋体" w:cs="宋体"/>
              </w:rPr>
              <w:t>17、工作温度：-20℃~+60℃。</w:t>
            </w:r>
            <w:r>
              <w:rPr>
                <w:rFonts w:hint="eastAsia" w:ascii="宋体" w:hAnsi="宋体" w:cs="宋体"/>
              </w:rPr>
              <w:br w:type="textWrapping"/>
            </w:r>
            <w:r>
              <w:rPr>
                <w:rFonts w:hint="eastAsia" w:ascii="宋体" w:hAnsi="宋体" w:cs="宋体"/>
              </w:rPr>
              <w:t>18、配备智能管理云平台，在平台界面可查看设备的接入状态、实时探测信息、设备工作状态、电量信息等。平台内置操作视频及使用方法讲解，通过平台可直接搜索查询设备使用说明书及操作视频。</w:t>
            </w:r>
            <w:r>
              <w:rPr>
                <w:rFonts w:hint="eastAsia" w:ascii="宋体" w:hAnsi="宋体" w:cs="宋体"/>
              </w:rPr>
              <w:br w:type="textWrapping"/>
            </w:r>
            <w:r>
              <w:rPr>
                <w:rFonts w:hint="eastAsia" w:ascii="宋体" w:hAnsi="宋体" w:cs="宋体"/>
              </w:rPr>
              <w:t>19、具备一张图显示功能，可显示产品位置，在线状态，归属权限；可对设备进行编组，实现多种类多设备同屏实显，可对设备历史数据进行查阅，提供设备管理系统计算机软件著作权登记证书和制造商软件界面截图。</w:t>
            </w:r>
            <w:r>
              <w:rPr>
                <w:rFonts w:hint="eastAsia" w:ascii="宋体" w:hAnsi="宋体" w:cs="宋体"/>
              </w:rPr>
              <w:br w:type="textWrapping"/>
            </w:r>
            <w:r>
              <w:rPr>
                <w:rFonts w:hint="eastAsia" w:ascii="宋体" w:hAnsi="宋体" w:cs="宋体"/>
              </w:rPr>
              <w:t>★20、符合XF/T 635-2023 《消防用红外热像仪》标准要求，提供国家级权威机构出具的检测报告完整版（报告须具有CNAS和CMA认证标识），★条款须在检测报告里体现，且须经过该机构实际检测。提供检测报告复印件时须附页检验（测）机构在全国认证认可信息公共服务平台“国家级资质认定获证机构”或“国家质检中心”名录查询结果。</w:t>
            </w:r>
            <w:r>
              <w:rPr>
                <w:rFonts w:hint="eastAsia" w:ascii="宋体" w:hAnsi="宋体" w:cs="宋体"/>
              </w:rPr>
              <w:br w:type="textWrapping"/>
            </w:r>
            <w:r>
              <w:rPr>
                <w:rFonts w:hint="eastAsia" w:ascii="宋体" w:hAnsi="宋体" w:cs="宋体"/>
              </w:rPr>
              <w:t>▲21、验收现场提供样品并对以上功能进行演示。</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110000</w:t>
            </w:r>
          </w:p>
        </w:tc>
      </w:tr>
      <w:tr>
        <w:tblPrEx>
          <w:tblCellMar>
            <w:top w:w="0" w:type="dxa"/>
            <w:left w:w="108" w:type="dxa"/>
            <w:bottom w:w="0" w:type="dxa"/>
            <w:right w:w="108" w:type="dxa"/>
          </w:tblCellMar>
        </w:tblPrEx>
        <w:trPr>
          <w:trHeight w:val="33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电子酸碱测试仪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1、同时显示PH值或MV值及温度，电极具有温度补偿功能；</w:t>
            </w:r>
            <w:r>
              <w:rPr>
                <w:rFonts w:hint="eastAsia" w:ascii="宋体" w:hAnsi="宋体" w:cs="宋体"/>
              </w:rPr>
              <w:br w:type="textWrapping"/>
            </w:r>
            <w:r>
              <w:rPr>
                <w:rFonts w:hint="eastAsia" w:ascii="宋体" w:hAnsi="宋体" w:cs="宋体"/>
              </w:rPr>
              <w:t>2、最大最小值查看功能；</w:t>
            </w:r>
            <w:r>
              <w:rPr>
                <w:rFonts w:hint="eastAsia" w:ascii="宋体" w:hAnsi="宋体" w:cs="宋体"/>
              </w:rPr>
              <w:br w:type="textWrapping"/>
            </w:r>
            <w:r>
              <w:rPr>
                <w:rFonts w:hint="eastAsia" w:ascii="宋体" w:hAnsi="宋体" w:cs="宋体"/>
              </w:rPr>
              <w:t>3、自动温度补偿功能；</w:t>
            </w:r>
            <w:r>
              <w:rPr>
                <w:rFonts w:hint="eastAsia" w:ascii="宋体" w:hAnsi="宋体" w:cs="宋体"/>
              </w:rPr>
              <w:br w:type="textWrapping"/>
            </w:r>
            <w:r>
              <w:rPr>
                <w:rFonts w:hint="eastAsia" w:ascii="宋体" w:hAnsi="宋体" w:cs="宋体"/>
              </w:rPr>
              <w:t>4、pH测试范围：0.00―14.00pH，解析度：0.01pH，精确度：≤±0.02pH；mV测试范围：-499～+499mV，解析度：±1mV，精确度：±2mV或±0.2mV；温度修正：0℃―50℃,准确度：≤±0.3℃；</w:t>
            </w:r>
            <w:r>
              <w:rPr>
                <w:rFonts w:hint="eastAsia" w:ascii="宋体" w:hAnsi="宋体" w:cs="宋体"/>
              </w:rPr>
              <w:br w:type="textWrapping"/>
            </w:r>
            <w:r>
              <w:rPr>
                <w:rFonts w:hint="eastAsia" w:ascii="宋体" w:hAnsi="宋体" w:cs="宋体"/>
              </w:rPr>
              <w:t>5、具备自动关机功能；</w:t>
            </w:r>
            <w:r>
              <w:rPr>
                <w:rFonts w:hint="eastAsia" w:ascii="宋体" w:hAnsi="宋体" w:cs="宋体"/>
              </w:rPr>
              <w:br w:type="textWrapping"/>
            </w:r>
            <w:r>
              <w:rPr>
                <w:rFonts w:hint="eastAsia" w:ascii="宋体" w:hAnsi="宋体" w:cs="宋体"/>
              </w:rPr>
              <w:t>6、主机重量：≤200g；</w:t>
            </w:r>
            <w:r>
              <w:rPr>
                <w:rFonts w:hint="eastAsia" w:ascii="宋体" w:hAnsi="宋体" w:cs="宋体"/>
              </w:rPr>
              <w:br w:type="textWrapping"/>
            </w:r>
            <w:r>
              <w:rPr>
                <w:rFonts w:hint="eastAsia" w:ascii="宋体" w:hAnsi="宋体" w:cs="宋体"/>
              </w:rPr>
              <w:t>*质量保证：需提供制国家认可机构出具的相关证书。</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r>
      <w:tr>
        <w:tblPrEx>
          <w:tblCellMar>
            <w:top w:w="0" w:type="dxa"/>
            <w:left w:w="108" w:type="dxa"/>
            <w:bottom w:w="0" w:type="dxa"/>
            <w:right w:w="108" w:type="dxa"/>
          </w:tblCellMar>
        </w:tblPrEx>
        <w:trPr>
          <w:trHeight w:val="4051"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玻璃破碎器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性能参数</w:t>
            </w:r>
            <w:r>
              <w:rPr>
                <w:rFonts w:hint="eastAsia" w:ascii="宋体" w:hAnsi="宋体" w:cs="宋体"/>
              </w:rPr>
              <w:br w:type="textWrapping"/>
            </w:r>
            <w:r>
              <w:rPr>
                <w:rFonts w:hint="eastAsia" w:ascii="宋体" w:hAnsi="宋体" w:cs="宋体"/>
              </w:rPr>
              <w:t>1、 玻璃切割机：1台</w:t>
            </w:r>
            <w:r>
              <w:rPr>
                <w:rFonts w:hint="eastAsia" w:ascii="宋体" w:hAnsi="宋体" w:cs="宋体"/>
              </w:rPr>
              <w:br w:type="textWrapping"/>
            </w:r>
            <w:r>
              <w:rPr>
                <w:rFonts w:hint="eastAsia" w:ascii="宋体" w:hAnsi="宋体" w:cs="宋体"/>
              </w:rPr>
              <w:t>2、 玻璃切割片：3片</w:t>
            </w:r>
            <w:r>
              <w:rPr>
                <w:rFonts w:hint="eastAsia" w:ascii="宋体" w:hAnsi="宋体" w:cs="宋体"/>
              </w:rPr>
              <w:br w:type="textWrapping"/>
            </w:r>
            <w:r>
              <w:rPr>
                <w:rFonts w:hint="eastAsia" w:ascii="宋体" w:hAnsi="宋体" w:cs="宋体"/>
              </w:rPr>
              <w:t>3、 充电式电钻：1台</w:t>
            </w:r>
            <w:r>
              <w:rPr>
                <w:rFonts w:hint="eastAsia" w:ascii="宋体" w:hAnsi="宋体" w:cs="宋体"/>
              </w:rPr>
              <w:br w:type="textWrapping"/>
            </w:r>
            <w:r>
              <w:rPr>
                <w:rFonts w:hint="eastAsia" w:ascii="宋体" w:hAnsi="宋体" w:cs="宋体"/>
              </w:rPr>
              <w:t>4、 大理石玻璃钻头：Ф100mm1个、Ф50mm3个、Ф25mm3个）</w:t>
            </w:r>
            <w:r>
              <w:rPr>
                <w:rFonts w:hint="eastAsia" w:ascii="宋体" w:hAnsi="宋体" w:cs="宋体"/>
              </w:rPr>
              <w:br w:type="textWrapping"/>
            </w:r>
            <w:r>
              <w:rPr>
                <w:rFonts w:hint="eastAsia" w:ascii="宋体" w:hAnsi="宋体" w:cs="宋体"/>
              </w:rPr>
              <w:t>5、 玻璃强力钳：1把</w:t>
            </w:r>
            <w:r>
              <w:rPr>
                <w:rFonts w:hint="eastAsia" w:ascii="宋体" w:hAnsi="宋体" w:cs="宋体"/>
              </w:rPr>
              <w:br w:type="textWrapping"/>
            </w:r>
            <w:r>
              <w:rPr>
                <w:rFonts w:hint="eastAsia" w:ascii="宋体" w:hAnsi="宋体" w:cs="宋体"/>
              </w:rPr>
              <w:t>6、 单爪玻璃吸盘：1个</w:t>
            </w:r>
            <w:r>
              <w:rPr>
                <w:rFonts w:hint="eastAsia" w:ascii="宋体" w:hAnsi="宋体" w:cs="宋体"/>
              </w:rPr>
              <w:br w:type="textWrapping"/>
            </w:r>
            <w:r>
              <w:rPr>
                <w:rFonts w:hint="eastAsia" w:ascii="宋体" w:hAnsi="宋体" w:cs="宋体"/>
              </w:rPr>
              <w:t>7、 自控注油玻璃刀：1个</w:t>
            </w:r>
            <w:r>
              <w:rPr>
                <w:rFonts w:hint="eastAsia" w:ascii="宋体" w:hAnsi="宋体" w:cs="宋体"/>
              </w:rPr>
              <w:br w:type="textWrapping"/>
            </w:r>
            <w:r>
              <w:rPr>
                <w:rFonts w:hint="eastAsia" w:ascii="宋体" w:hAnsi="宋体" w:cs="宋体"/>
              </w:rPr>
              <w:t>8、 金刚石玻璃圆锉：1把（8×200mm）</w:t>
            </w:r>
            <w:r>
              <w:rPr>
                <w:rFonts w:hint="eastAsia" w:ascii="宋体" w:hAnsi="宋体" w:cs="宋体"/>
              </w:rPr>
              <w:br w:type="textWrapping"/>
            </w:r>
            <w:r>
              <w:rPr>
                <w:rFonts w:hint="eastAsia" w:ascii="宋体" w:hAnsi="宋体" w:cs="宋体"/>
              </w:rPr>
              <w:t>9、 金刚石玻璃平锉：1把（8×200mm）</w:t>
            </w:r>
            <w:r>
              <w:rPr>
                <w:rFonts w:hint="eastAsia" w:ascii="宋体" w:hAnsi="宋体" w:cs="宋体"/>
              </w:rPr>
              <w:br w:type="textWrapping"/>
            </w:r>
            <w:r>
              <w:rPr>
                <w:rFonts w:hint="eastAsia" w:ascii="宋体" w:hAnsi="宋体" w:cs="宋体"/>
              </w:rPr>
              <w:t>10、 玻璃破碎锤：1把</w:t>
            </w:r>
            <w:r>
              <w:rPr>
                <w:rFonts w:hint="eastAsia" w:ascii="宋体" w:hAnsi="宋体" w:cs="宋体"/>
              </w:rPr>
              <w:br w:type="textWrapping"/>
            </w:r>
            <w:r>
              <w:rPr>
                <w:rFonts w:hint="eastAsia" w:ascii="宋体" w:hAnsi="宋体" w:cs="宋体"/>
              </w:rPr>
              <w:t>11、 充电电池：2块</w:t>
            </w:r>
            <w:r>
              <w:rPr>
                <w:rFonts w:hint="eastAsia" w:ascii="宋体" w:hAnsi="宋体" w:cs="宋体"/>
              </w:rPr>
              <w:br w:type="textWrapping"/>
            </w:r>
            <w:r>
              <w:rPr>
                <w:rFonts w:hint="eastAsia" w:ascii="宋体" w:hAnsi="宋体" w:cs="宋体"/>
              </w:rPr>
              <w:t>12、 充电器：1个</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机动链锯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1.二冲程汽油发动机，汽缸排量：≥50cc。</w:t>
            </w:r>
            <w:r>
              <w:rPr>
                <w:rFonts w:hint="eastAsia" w:ascii="宋体" w:hAnsi="宋体" w:cs="宋体"/>
              </w:rPr>
              <w:br w:type="textWrapping"/>
            </w:r>
            <w:r>
              <w:rPr>
                <w:rFonts w:hint="eastAsia" w:ascii="宋体" w:hAnsi="宋体" w:cs="宋体"/>
              </w:rPr>
              <w:t>2.功率：≥2.5kW。</w:t>
            </w:r>
            <w:r>
              <w:rPr>
                <w:rFonts w:hint="eastAsia" w:ascii="宋体" w:hAnsi="宋体" w:cs="宋体"/>
              </w:rPr>
              <w:br w:type="textWrapping"/>
            </w:r>
            <w:r>
              <w:rPr>
                <w:rFonts w:hint="eastAsia" w:ascii="宋体" w:hAnsi="宋体" w:cs="宋体"/>
              </w:rPr>
              <w:t>3.怠速：≥2700rpm。</w:t>
            </w:r>
            <w:r>
              <w:rPr>
                <w:rFonts w:hint="eastAsia" w:ascii="宋体" w:hAnsi="宋体" w:cs="宋体"/>
              </w:rPr>
              <w:br w:type="textWrapping"/>
            </w:r>
            <w:r>
              <w:rPr>
                <w:rFonts w:hint="eastAsia" w:ascii="宋体" w:hAnsi="宋体" w:cs="宋体"/>
              </w:rPr>
              <w:t>4.最高功率转速：≥9000rpm。</w:t>
            </w:r>
            <w:r>
              <w:rPr>
                <w:rFonts w:hint="eastAsia" w:ascii="宋体" w:hAnsi="宋体" w:cs="宋体"/>
              </w:rPr>
              <w:br w:type="textWrapping"/>
            </w:r>
            <w:r>
              <w:rPr>
                <w:rFonts w:hint="eastAsia" w:ascii="宋体" w:hAnsi="宋体" w:cs="宋体"/>
              </w:rPr>
              <w:t>5.导板长度：约33—50cm。</w:t>
            </w:r>
            <w:r>
              <w:rPr>
                <w:rFonts w:hint="eastAsia" w:ascii="宋体" w:hAnsi="宋体" w:cs="宋体"/>
              </w:rPr>
              <w:br w:type="textWrapping"/>
            </w:r>
            <w:r>
              <w:rPr>
                <w:rFonts w:hint="eastAsia" w:ascii="宋体" w:hAnsi="宋体" w:cs="宋体"/>
              </w:rPr>
              <w:t>6.最大功率时链条速度：≥17m/s。</w:t>
            </w:r>
            <w:r>
              <w:rPr>
                <w:rFonts w:hint="eastAsia" w:ascii="宋体" w:hAnsi="宋体" w:cs="宋体"/>
              </w:rPr>
              <w:br w:type="textWrapping"/>
            </w:r>
            <w:r>
              <w:rPr>
                <w:rFonts w:hint="eastAsia" w:ascii="宋体" w:hAnsi="宋体" w:cs="宋体"/>
              </w:rPr>
              <w:t>7.重量：≤5kg。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r>
      <w:tr>
        <w:tblPrEx>
          <w:tblCellMar>
            <w:top w:w="0" w:type="dxa"/>
            <w:left w:w="108" w:type="dxa"/>
            <w:bottom w:w="0" w:type="dxa"/>
            <w:right w:w="108" w:type="dxa"/>
          </w:tblCellMar>
        </w:tblPrEx>
        <w:trPr>
          <w:trHeight w:val="137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液压破拆工具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符合国家相关标准，*质量保证：需提供制国家认可机构出具的相关证书。</w:t>
            </w:r>
            <w:r>
              <w:rPr>
                <w:rFonts w:hint="eastAsia" w:ascii="宋体" w:hAnsi="宋体" w:cs="宋体"/>
              </w:rPr>
              <w:br w:type="textWrapping"/>
            </w:r>
            <w:r>
              <w:rPr>
                <w:rFonts w:hint="eastAsia" w:ascii="宋体" w:hAnsi="宋体" w:cs="宋体"/>
              </w:rPr>
              <w:t>1.用于消防员抢险救援破拆场景使用。工具全部为优质单油管单接口。整套应包括液压机动泵1台，液压油管1根，液压剪扩器1台、多功能液压破拆撬棍1台。液压顶杆1台。</w:t>
            </w:r>
            <w:r>
              <w:rPr>
                <w:rFonts w:hint="eastAsia" w:ascii="宋体" w:hAnsi="宋体" w:cs="宋体"/>
              </w:rPr>
              <w:br w:type="textWrapping"/>
            </w:r>
            <w:r>
              <w:rPr>
                <w:rFonts w:hint="eastAsia" w:ascii="宋体" w:hAnsi="宋体" w:cs="宋体"/>
              </w:rPr>
              <w:t>1.1破拆工具的外表面应光滑平整，无毛刺及加工缺陷，金属件表面应进行防腐蚀处理。</w:t>
            </w:r>
            <w:r>
              <w:rPr>
                <w:rFonts w:hint="eastAsia" w:ascii="宋体" w:hAnsi="宋体" w:cs="宋体"/>
              </w:rPr>
              <w:br w:type="textWrapping"/>
            </w:r>
            <w:r>
              <w:rPr>
                <w:rFonts w:hint="eastAsia" w:ascii="宋体" w:hAnsi="宋体" w:cs="宋体"/>
              </w:rPr>
              <w:t>1.2高低温性能：经高温约55℃ 和低温约-30℃的试验后，应能正常工作，无泄漏和异常现象。</w:t>
            </w:r>
            <w:r>
              <w:rPr>
                <w:rFonts w:hint="eastAsia" w:ascii="宋体" w:hAnsi="宋体" w:cs="宋体"/>
              </w:rPr>
              <w:br w:type="textWrapping"/>
            </w:r>
            <w:r>
              <w:rPr>
                <w:rFonts w:hint="eastAsia" w:ascii="宋体" w:hAnsi="宋体" w:cs="宋体"/>
              </w:rPr>
              <w:t>2.液压机动泵：</w:t>
            </w:r>
            <w:r>
              <w:rPr>
                <w:rFonts w:hint="eastAsia" w:ascii="宋体" w:hAnsi="宋体" w:cs="宋体"/>
              </w:rPr>
              <w:br w:type="textWrapping"/>
            </w:r>
            <w:r>
              <w:rPr>
                <w:rFonts w:hint="eastAsia" w:ascii="宋体" w:hAnsi="宋体" w:cs="宋体"/>
              </w:rPr>
              <w:t>2.1发动机及泵体由钢质框架完全保护，符合人体工程学的软握便携把手。液压油箱、燃油箱应有油位指示措施。</w:t>
            </w:r>
            <w:r>
              <w:rPr>
                <w:rFonts w:hint="eastAsia" w:ascii="宋体" w:hAnsi="宋体" w:cs="宋体"/>
              </w:rPr>
              <w:br w:type="textWrapping"/>
            </w:r>
            <w:r>
              <w:rPr>
                <w:rFonts w:hint="eastAsia" w:ascii="宋体" w:hAnsi="宋体" w:cs="宋体"/>
              </w:rPr>
              <w:t>★2.2额定工作压力≥72MPa时，输出流量均≥0.55L/min，低压工作压力≥5MPa时，输出流量均≥2.90L/min，重量≤15公斤</w:t>
            </w:r>
            <w:r>
              <w:rPr>
                <w:rFonts w:hint="eastAsia" w:ascii="宋体" w:hAnsi="宋体" w:cs="宋体"/>
              </w:rPr>
              <w:br w:type="textWrapping"/>
            </w:r>
            <w:r>
              <w:rPr>
                <w:rFonts w:hint="eastAsia" w:ascii="宋体" w:hAnsi="宋体" w:cs="宋体"/>
              </w:rPr>
              <w:t>2.3采用三级四冲程汽油发电机，功率≥1.5千瓦，燃油箱容量≥0.6升，液压油箱容量≥2.5升。</w:t>
            </w:r>
            <w:r>
              <w:rPr>
                <w:rFonts w:hint="eastAsia" w:ascii="宋体" w:hAnsi="宋体" w:cs="宋体"/>
              </w:rPr>
              <w:br w:type="textWrapping"/>
            </w:r>
            <w:r>
              <w:rPr>
                <w:rFonts w:hint="eastAsia" w:ascii="宋体" w:hAnsi="宋体" w:cs="宋体"/>
              </w:rPr>
              <w:t>3.液压油管：凯芙拉纤维材质，可在工作状态下带压任意快速插拔，液压油管可以360度自由旋转而不扭曲、打结、漏油，液压管长度≥5米、重量≤3.0公斤</w:t>
            </w:r>
            <w:r>
              <w:rPr>
                <w:rFonts w:hint="eastAsia" w:ascii="宋体" w:hAnsi="宋体" w:cs="宋体"/>
              </w:rPr>
              <w:br w:type="textWrapping"/>
            </w:r>
            <w:r>
              <w:rPr>
                <w:rFonts w:hint="eastAsia" w:ascii="宋体" w:hAnsi="宋体" w:cs="宋体"/>
              </w:rPr>
              <w:t>4.液压剪扩器：</w:t>
            </w:r>
            <w:r>
              <w:rPr>
                <w:rFonts w:hint="eastAsia" w:ascii="宋体" w:hAnsi="宋体" w:cs="宋体"/>
              </w:rPr>
              <w:br w:type="textWrapping"/>
            </w:r>
            <w:r>
              <w:rPr>
                <w:rFonts w:hint="eastAsia" w:ascii="宋体" w:hAnsi="宋体" w:cs="宋体"/>
              </w:rPr>
              <w:t>4.1采用可拆卸扩张头，可单手移除，带有反光标记，可在黑暗的环境方便使用召回。</w:t>
            </w:r>
            <w:r>
              <w:rPr>
                <w:rFonts w:hint="eastAsia" w:ascii="宋体" w:hAnsi="宋体" w:cs="宋体"/>
              </w:rPr>
              <w:br w:type="textWrapping"/>
            </w:r>
            <w:r>
              <w:rPr>
                <w:rFonts w:hint="eastAsia" w:ascii="宋体" w:hAnsi="宋体" w:cs="宋体"/>
              </w:rPr>
              <w:t>4.2把手带有照明系统，刀头为高级工具钢加工非锻造，带有自动归位把手。</w:t>
            </w:r>
            <w:r>
              <w:rPr>
                <w:rFonts w:hint="eastAsia" w:ascii="宋体" w:hAnsi="宋体" w:cs="宋体"/>
              </w:rPr>
              <w:br w:type="textWrapping"/>
            </w:r>
            <w:r>
              <w:rPr>
                <w:rFonts w:hint="eastAsia" w:ascii="宋体" w:hAnsi="宋体" w:cs="宋体"/>
              </w:rPr>
              <w:t>★4.3测力点距扩张臂顶端的垂直距离约为25毫米时最小扩张力≥43千牛，最大扩张力≥70千牛。</w:t>
            </w:r>
            <w:r>
              <w:rPr>
                <w:rFonts w:hint="eastAsia" w:ascii="宋体" w:hAnsi="宋体" w:cs="宋体"/>
              </w:rPr>
              <w:br w:type="textWrapping"/>
            </w:r>
            <w:r>
              <w:rPr>
                <w:rFonts w:hint="eastAsia" w:ascii="宋体" w:hAnsi="宋体" w:cs="宋体"/>
              </w:rPr>
              <w:t>4.4额定工作压力≥72Mpa，扩张距离≥380毫米，剪切开口≥320毫米</w:t>
            </w:r>
            <w:r>
              <w:rPr>
                <w:rFonts w:hint="eastAsia" w:ascii="宋体" w:hAnsi="宋体" w:cs="宋体"/>
              </w:rPr>
              <w:br w:type="textWrapping"/>
            </w:r>
            <w:r>
              <w:rPr>
                <w:rFonts w:hint="eastAsia" w:ascii="宋体" w:hAnsi="宋体" w:cs="宋体"/>
              </w:rPr>
              <w:t>4.5最大扩张力≥1600千牛，最大剪切力≥670千牛，最大挤压力≥80千牛，最大牵引力≥100千牛，牵引距离≥250毫米.</w:t>
            </w:r>
            <w:r>
              <w:rPr>
                <w:rFonts w:hint="eastAsia" w:ascii="宋体" w:hAnsi="宋体" w:cs="宋体"/>
              </w:rPr>
              <w:br w:type="textWrapping"/>
            </w:r>
            <w:r>
              <w:rPr>
                <w:rFonts w:hint="eastAsia" w:ascii="宋体" w:hAnsi="宋体" w:cs="宋体"/>
              </w:rPr>
              <w:t>★4.6能一次剪断直径≥36毫米的Q235A圆钢，宽度≥50毫米厚度≥16毫米的Q235A板材，重量≤15公斤</w:t>
            </w:r>
            <w:r>
              <w:rPr>
                <w:rFonts w:hint="eastAsia" w:ascii="宋体" w:hAnsi="宋体" w:cs="宋体"/>
              </w:rPr>
              <w:br w:type="textWrapping"/>
            </w:r>
            <w:r>
              <w:rPr>
                <w:rFonts w:hint="eastAsia" w:ascii="宋体" w:hAnsi="宋体" w:cs="宋体"/>
              </w:rPr>
              <w:t>5.多功能液压破拆撬棍：</w:t>
            </w:r>
            <w:r>
              <w:rPr>
                <w:rFonts w:hint="eastAsia" w:ascii="宋体" w:hAnsi="宋体" w:cs="宋体"/>
              </w:rPr>
              <w:br w:type="textWrapping"/>
            </w:r>
            <w:r>
              <w:rPr>
                <w:rFonts w:hint="eastAsia" w:ascii="宋体" w:hAnsi="宋体" w:cs="宋体"/>
              </w:rPr>
              <w:t>★5.1应具备剪切、开缝、楔入、扩张、撞击、锤击和顶升功能。该工具集成手动泵功能并装有不可拆卸的加压手柄能直接驱动扩张臂和剪切刃，无须外接其他动力源。。</w:t>
            </w:r>
            <w:r>
              <w:rPr>
                <w:rFonts w:hint="eastAsia" w:ascii="宋体" w:hAnsi="宋体" w:cs="宋体"/>
              </w:rPr>
              <w:br w:type="textWrapping"/>
            </w:r>
            <w:r>
              <w:rPr>
                <w:rFonts w:hint="eastAsia" w:ascii="宋体" w:hAnsi="宋体" w:cs="宋体"/>
              </w:rPr>
              <w:t>5.2额定工作压力≥72Mpa，剪切开口≥25毫米，能一次剪断直径≥18毫米的Q235A圆钢，扩张距离≥126毫米。</w:t>
            </w:r>
            <w:r>
              <w:rPr>
                <w:rFonts w:hint="eastAsia" w:ascii="宋体" w:hAnsi="宋体" w:cs="宋体"/>
              </w:rPr>
              <w:br w:type="textWrapping"/>
            </w:r>
            <w:r>
              <w:rPr>
                <w:rFonts w:hint="eastAsia" w:ascii="宋体" w:hAnsi="宋体" w:cs="宋体"/>
              </w:rPr>
              <w:t>5.3测力点距扩张臂顶端的垂直距离为25毫米时最小扩张力≥30千牛，重量≤8.0公斤</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280000</w:t>
            </w:r>
          </w:p>
        </w:tc>
      </w:tr>
      <w:tr>
        <w:tblPrEx>
          <w:tblCellMar>
            <w:top w:w="0" w:type="dxa"/>
            <w:left w:w="108" w:type="dxa"/>
            <w:bottom w:w="0" w:type="dxa"/>
            <w:right w:w="108" w:type="dxa"/>
          </w:tblCellMar>
        </w:tblPrEx>
        <w:trPr>
          <w:trHeight w:val="4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无齿锯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＃1、总体要求符合国家现行有关标准、规范，提供国家消防装备重量监督检验中心或其他国家级权威检验机构出具的检验检测报告复印件或扫描件。</w:t>
            </w:r>
            <w:r>
              <w:rPr>
                <w:rFonts w:hint="eastAsia" w:ascii="宋体" w:hAnsi="宋体" w:cs="宋体"/>
              </w:rPr>
              <w:br w:type="textWrapping"/>
            </w:r>
            <w:r>
              <w:rPr>
                <w:rFonts w:hint="eastAsia" w:ascii="宋体" w:hAnsi="宋体" w:cs="宋体"/>
              </w:rPr>
              <w:t>2、整套装备由机体、发动机（包括开关，启动拉绳，风门，油门，油门锁，减压阀)、锯片、燃油箱等组成，主要用于切割金属和混凝土材料。</w:t>
            </w:r>
            <w:r>
              <w:rPr>
                <w:rFonts w:hint="eastAsia" w:ascii="宋体" w:hAnsi="宋体" w:cs="宋体"/>
              </w:rPr>
              <w:br w:type="textWrapping"/>
            </w:r>
            <w:r>
              <w:rPr>
                <w:rFonts w:hint="eastAsia" w:ascii="宋体" w:hAnsi="宋体" w:cs="宋体"/>
              </w:rPr>
              <w:t>＃3、3.7kW＜汽油发动机功率＜4.8kW，转速≥5400rpm。</w:t>
            </w:r>
            <w:r>
              <w:rPr>
                <w:rFonts w:hint="eastAsia" w:ascii="宋体" w:hAnsi="宋体" w:cs="宋体"/>
              </w:rPr>
              <w:br w:type="textWrapping"/>
            </w:r>
            <w:r>
              <w:rPr>
                <w:rFonts w:hint="eastAsia" w:ascii="宋体" w:hAnsi="宋体" w:cs="宋体"/>
              </w:rPr>
              <w:t>＃4、切割深度：≥145mm。</w:t>
            </w:r>
            <w:r>
              <w:rPr>
                <w:rFonts w:hint="eastAsia" w:ascii="宋体" w:hAnsi="宋体" w:cs="宋体"/>
              </w:rPr>
              <w:br w:type="textWrapping"/>
            </w:r>
            <w:r>
              <w:rPr>
                <w:rFonts w:hint="eastAsia" w:ascii="宋体" w:hAnsi="宋体" w:cs="宋体"/>
              </w:rPr>
              <w:t>＃5、锯片最大外径≥400mm，锯片中心孔尺寸：≥20/25.4mm。</w:t>
            </w:r>
            <w:r>
              <w:rPr>
                <w:rFonts w:hint="eastAsia" w:ascii="宋体" w:hAnsi="宋体" w:cs="宋体"/>
              </w:rPr>
              <w:br w:type="textWrapping"/>
            </w:r>
            <w:r>
              <w:rPr>
                <w:rFonts w:hint="eastAsia" w:ascii="宋体" w:hAnsi="宋体" w:cs="宋体"/>
              </w:rPr>
              <w:t>6、重量≤12㎏。</w:t>
            </w:r>
            <w:r>
              <w:rPr>
                <w:rFonts w:hint="eastAsia" w:ascii="宋体" w:hAnsi="宋体" w:cs="宋体"/>
              </w:rPr>
              <w:br w:type="textWrapping"/>
            </w:r>
            <w:r>
              <w:rPr>
                <w:rFonts w:hint="eastAsia" w:ascii="宋体" w:hAnsi="宋体" w:cs="宋体"/>
              </w:rPr>
              <w:t>7、专用仪器储运箱，防水、防尘、防撞击。</w:t>
            </w:r>
            <w:r>
              <w:rPr>
                <w:rFonts w:hint="eastAsia" w:ascii="宋体" w:hAnsi="宋体" w:cs="宋体"/>
              </w:rPr>
              <w:br w:type="textWrapping"/>
            </w:r>
            <w:r>
              <w:rPr>
                <w:rFonts w:hint="eastAsia" w:ascii="宋体" w:hAnsi="宋体" w:cs="宋体"/>
              </w:rPr>
              <w:t>8、单缸二冲程风冷式发动机，燃油为（25：1)比例的汽油：机油。</w:t>
            </w:r>
            <w:r>
              <w:rPr>
                <w:rFonts w:hint="eastAsia" w:ascii="宋体" w:hAnsi="宋体" w:cs="宋体"/>
              </w:rPr>
              <w:br w:type="textWrapping"/>
            </w:r>
            <w:r>
              <w:rPr>
                <w:rFonts w:hint="eastAsia" w:ascii="宋体" w:hAnsi="宋体" w:cs="宋体"/>
              </w:rPr>
              <w:t>9、配件要求：金属和多功能锯片各2片。</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11000</w:t>
            </w:r>
          </w:p>
        </w:tc>
      </w:tr>
      <w:tr>
        <w:tblPrEx>
          <w:tblCellMar>
            <w:top w:w="0" w:type="dxa"/>
            <w:left w:w="108" w:type="dxa"/>
            <w:bottom w:w="0" w:type="dxa"/>
            <w:right w:w="108" w:type="dxa"/>
          </w:tblCellMar>
        </w:tblPrEx>
        <w:trPr>
          <w:trHeight w:val="520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手持式钢筋速断器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手持式钢筋速断器自带电池液压泵，简单易用，重量约8公斤</w:t>
            </w:r>
            <w:r>
              <w:rPr>
                <w:rFonts w:hint="eastAsia" w:ascii="宋体" w:hAnsi="宋体" w:cs="宋体"/>
              </w:rPr>
              <w:br w:type="textWrapping"/>
            </w:r>
            <w:r>
              <w:rPr>
                <w:rFonts w:hint="eastAsia" w:ascii="宋体" w:hAnsi="宋体" w:cs="宋体"/>
              </w:rPr>
              <w:t>可连续剪切20mm钢筋150次，两块锂电池配置</w:t>
            </w:r>
            <w:r>
              <w:rPr>
                <w:rFonts w:hint="eastAsia" w:ascii="宋体" w:hAnsi="宋体" w:cs="宋体"/>
              </w:rPr>
              <w:br w:type="textWrapping"/>
            </w:r>
            <w:r>
              <w:rPr>
                <w:rFonts w:hint="eastAsia" w:ascii="宋体" w:hAnsi="宋体" w:cs="宋体"/>
              </w:rPr>
              <w:t>配有夜间照明LED灯，方便光线暗的场所使用</w:t>
            </w:r>
            <w:r>
              <w:rPr>
                <w:rFonts w:hint="eastAsia" w:ascii="宋体" w:hAnsi="宋体" w:cs="宋体"/>
              </w:rPr>
              <w:br w:type="textWrapping"/>
            </w:r>
            <w:r>
              <w:rPr>
                <w:rFonts w:hint="eastAsia" w:ascii="宋体" w:hAnsi="宋体" w:cs="宋体"/>
              </w:rPr>
              <w:t>切割范围：钢筋、钢管、电缆；应用领域：消防，交通、海事、矿山</w:t>
            </w:r>
            <w:r>
              <w:rPr>
                <w:rFonts w:hint="eastAsia" w:ascii="宋体" w:hAnsi="宋体" w:cs="宋体"/>
              </w:rPr>
              <w:br w:type="textWrapping"/>
            </w:r>
            <w:r>
              <w:rPr>
                <w:rFonts w:hint="eastAsia" w:ascii="宋体" w:hAnsi="宋体" w:cs="宋体"/>
              </w:rPr>
              <w:t>机身部份360°可自由旋转；充电型钢筋切断机。可随身携带</w:t>
            </w:r>
            <w:r>
              <w:rPr>
                <w:rFonts w:hint="eastAsia" w:ascii="宋体" w:hAnsi="宋体" w:cs="宋体"/>
              </w:rPr>
              <w:br w:type="textWrapping"/>
            </w:r>
            <w:r>
              <w:rPr>
                <w:rFonts w:hint="eastAsia" w:ascii="宋体" w:hAnsi="宋体" w:cs="宋体"/>
              </w:rPr>
              <w:t>重    量：约8KG</w:t>
            </w:r>
            <w:r>
              <w:rPr>
                <w:rFonts w:hint="eastAsia" w:ascii="宋体" w:hAnsi="宋体" w:cs="宋体"/>
              </w:rPr>
              <w:br w:type="textWrapping"/>
            </w:r>
            <w:r>
              <w:rPr>
                <w:rFonts w:hint="eastAsia" w:ascii="宋体" w:hAnsi="宋体" w:cs="宋体"/>
              </w:rPr>
              <w:t>剪切力：约16T</w:t>
            </w:r>
            <w:r>
              <w:rPr>
                <w:rFonts w:hint="eastAsia" w:ascii="宋体" w:hAnsi="宋体" w:cs="宋体"/>
              </w:rPr>
              <w:br w:type="textWrapping"/>
            </w:r>
            <w:r>
              <w:rPr>
                <w:rFonts w:hint="eastAsia" w:ascii="宋体" w:hAnsi="宋体" w:cs="宋体"/>
              </w:rPr>
              <w:t>行  程：约22mm</w:t>
            </w:r>
            <w:r>
              <w:rPr>
                <w:rFonts w:hint="eastAsia" w:ascii="宋体" w:hAnsi="宋体" w:cs="宋体"/>
              </w:rPr>
              <w:br w:type="textWrapping"/>
            </w:r>
            <w:r>
              <w:rPr>
                <w:rFonts w:hint="eastAsia" w:ascii="宋体" w:hAnsi="宋体" w:cs="宋体"/>
              </w:rPr>
              <w:t>马    达：DC18V</w:t>
            </w:r>
            <w:r>
              <w:rPr>
                <w:rFonts w:hint="eastAsia" w:ascii="宋体" w:hAnsi="宋体" w:cs="宋体"/>
              </w:rPr>
              <w:br w:type="textWrapping"/>
            </w:r>
            <w:r>
              <w:rPr>
                <w:rFonts w:hint="eastAsia" w:ascii="宋体" w:hAnsi="宋体" w:cs="宋体"/>
              </w:rPr>
              <w:t>液 压 油：ISO VG46</w:t>
            </w:r>
            <w:r>
              <w:rPr>
                <w:rFonts w:hint="eastAsia" w:ascii="宋体" w:hAnsi="宋体" w:cs="宋体"/>
              </w:rPr>
              <w:br w:type="textWrapping"/>
            </w:r>
            <w:r>
              <w:rPr>
                <w:rFonts w:hint="eastAsia" w:ascii="宋体" w:hAnsi="宋体" w:cs="宋体"/>
              </w:rPr>
              <w:t>电    池：Li-ion battery锂电电池  直流电18V4.0Ah</w:t>
            </w:r>
            <w:r>
              <w:rPr>
                <w:rFonts w:hint="eastAsia" w:ascii="宋体" w:hAnsi="宋体" w:cs="宋体"/>
              </w:rPr>
              <w:br w:type="textWrapping"/>
            </w:r>
            <w:r>
              <w:rPr>
                <w:rFonts w:hint="eastAsia" w:ascii="宋体" w:hAnsi="宋体" w:cs="宋体"/>
              </w:rPr>
              <w:t>充 电 器：CGN1921G-0-20</w:t>
            </w:r>
            <w:r>
              <w:rPr>
                <w:rFonts w:hint="eastAsia" w:ascii="宋体" w:hAnsi="宋体" w:cs="宋体"/>
              </w:rPr>
              <w:br w:type="textWrapping"/>
            </w:r>
            <w:r>
              <w:rPr>
                <w:rFonts w:hint="eastAsia" w:ascii="宋体" w:hAnsi="宋体" w:cs="宋体"/>
              </w:rPr>
              <w:t>输    入：AC110V-230V 50/60Hz</w:t>
            </w:r>
            <w:r>
              <w:rPr>
                <w:rFonts w:hint="eastAsia" w:ascii="宋体" w:hAnsi="宋体" w:cs="宋体"/>
              </w:rPr>
              <w:br w:type="textWrapping"/>
            </w:r>
            <w:r>
              <w:rPr>
                <w:rFonts w:hint="eastAsia" w:ascii="宋体" w:hAnsi="宋体" w:cs="宋体"/>
              </w:rPr>
              <w:t>输    出：DC18V 2.6A 46.08VA</w:t>
            </w:r>
            <w:r>
              <w:rPr>
                <w:rFonts w:hint="eastAsia" w:ascii="宋体" w:hAnsi="宋体" w:cs="宋体"/>
              </w:rPr>
              <w:br w:type="textWrapping"/>
            </w:r>
            <w:r>
              <w:rPr>
                <w:rFonts w:hint="eastAsia" w:ascii="宋体" w:hAnsi="宋体" w:cs="宋体"/>
              </w:rPr>
              <w:t>充电时间：约45分钟</w:t>
            </w:r>
            <w:r>
              <w:rPr>
                <w:rFonts w:hint="eastAsia" w:ascii="宋体" w:hAnsi="宋体" w:cs="宋体"/>
              </w:rPr>
              <w:br w:type="textWrapping"/>
            </w:r>
            <w:r>
              <w:rPr>
                <w:rFonts w:hint="eastAsia" w:ascii="宋体" w:hAnsi="宋体" w:cs="宋体"/>
              </w:rPr>
              <w:t>最大割切：约21mm（圆钢）</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液压开门器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1、开离距离约230mm(含螺纹增段长度，液压油缸行程为130mm)</w:t>
            </w:r>
            <w:r>
              <w:rPr>
                <w:rFonts w:hint="eastAsia" w:ascii="宋体" w:hAnsi="宋体" w:cs="宋体"/>
              </w:rPr>
              <w:br w:type="textWrapping"/>
            </w:r>
            <w:r>
              <w:rPr>
                <w:rFonts w:hint="eastAsia" w:ascii="宋体" w:hAnsi="宋体" w:cs="宋体"/>
              </w:rPr>
              <w:t>2、闭合长度约220mm，开启距离275mm(含螺纹增段长度，液压油缸行程为130mm)</w:t>
            </w:r>
            <w:r>
              <w:rPr>
                <w:rFonts w:hint="eastAsia" w:ascii="宋体" w:hAnsi="宋体" w:cs="宋体"/>
              </w:rPr>
              <w:br w:type="textWrapping"/>
            </w:r>
            <w:r>
              <w:rPr>
                <w:rFonts w:hint="eastAsia" w:ascii="宋体" w:hAnsi="宋体" w:cs="宋体"/>
              </w:rPr>
              <w:t>3、撑顶距离约350mm，分离力约50kn，最大开启力:约66kn</w:t>
            </w:r>
            <w:r>
              <w:rPr>
                <w:rFonts w:hint="eastAsia" w:ascii="宋体" w:hAnsi="宋体" w:cs="宋体"/>
              </w:rPr>
              <w:br w:type="textWrapping"/>
            </w:r>
            <w:r>
              <w:rPr>
                <w:rFonts w:hint="eastAsia" w:ascii="宋体" w:hAnsi="宋体" w:cs="宋体"/>
              </w:rPr>
              <w:t>4、质量约4kg</w:t>
            </w:r>
            <w:r>
              <w:rPr>
                <w:rFonts w:hint="eastAsia" w:ascii="宋体" w:hAnsi="宋体" w:cs="宋体"/>
              </w:rPr>
              <w:br w:type="textWrapping"/>
            </w:r>
            <w:r>
              <w:rPr>
                <w:rFonts w:hint="eastAsia" w:ascii="宋体" w:hAnsi="宋体" w:cs="宋体"/>
              </w:rPr>
              <w:t>5、额度输出流量约0.83ml/次，低压输出流量约7.5ml/次，液压油箱容量约0.7L，最大手柄李约260KN，油管长度约3M，质量约3.2kg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25000</w:t>
            </w:r>
          </w:p>
        </w:tc>
      </w:tr>
      <w:tr>
        <w:tblPrEx>
          <w:tblCellMar>
            <w:top w:w="0" w:type="dxa"/>
            <w:left w:w="108" w:type="dxa"/>
            <w:bottom w:w="0" w:type="dxa"/>
            <w:right w:w="108" w:type="dxa"/>
          </w:tblCellMar>
        </w:tblPrEx>
        <w:trPr>
          <w:trHeight w:val="2227"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毁锁器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充电式电钻速度一级齿轮约0-450转/分、二级齿轮约0-1400转/分、三级齿轮约0-1800转/分，冲击一级齿轮约0-7650转/分、二级齿轮约0-23800转/分、三级齿轮约0-30600转/分，最大钻距47牛顿/米，钻夹头13毫米，钢材/木材/混凝土最大钻孔能力分别为13/45/14毫米，重量（不含电池组）1.7千克；镍镉电池组电压14.4V，容量2.4安时，重量0.7千克；充电器充电电池14.4VDC，电网电压230VAC 50Hz，充电时间大约60分钟，重量约0.4千克；外包装尺寸约660*500*210mm，毛重约10Kg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7500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多功能挠钩</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1、应符合国家现行有关标准、规范；</w:t>
            </w:r>
            <w:r>
              <w:rPr>
                <w:rFonts w:hint="eastAsia" w:ascii="宋体" w:hAnsi="宋体" w:cs="宋体"/>
              </w:rPr>
              <w:br w:type="textWrapping"/>
            </w:r>
            <w:r>
              <w:rPr>
                <w:rFonts w:hint="eastAsia" w:ascii="宋体" w:hAnsi="宋体" w:cs="宋体"/>
              </w:rPr>
              <w:t>2、可实现挠钩、爪耙、撑顶器（丫叉头）、消防锯、消防剪、消防斧、水平和标高仪、登高钩、探路棒、担架撑杆的功能；</w:t>
            </w:r>
            <w:r>
              <w:rPr>
                <w:rFonts w:hint="eastAsia" w:ascii="宋体" w:hAnsi="宋体" w:cs="宋体"/>
              </w:rPr>
              <w:br w:type="textWrapping"/>
            </w:r>
            <w:r>
              <w:rPr>
                <w:rFonts w:hint="eastAsia" w:ascii="宋体" w:hAnsi="宋体" w:cs="宋体"/>
              </w:rPr>
              <w:t>3、各组件之间的搭配设 计合理耐用，手柄绝缘。</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w:t>
            </w:r>
          </w:p>
        </w:tc>
      </w:tr>
      <w:tr>
        <w:tblPrEx>
          <w:tblCellMar>
            <w:top w:w="0" w:type="dxa"/>
            <w:left w:w="108" w:type="dxa"/>
            <w:bottom w:w="0" w:type="dxa"/>
            <w:right w:w="108" w:type="dxa"/>
          </w:tblCellMar>
        </w:tblPrEx>
        <w:trPr>
          <w:trHeight w:val="7709"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外封式堵漏袋</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由高强度橡胶和增强材料符合制成，厚度小于15毫米。适用于封堵罐状类点状、线状类泄漏。其具有耐化学腐蚀、耐油性好，耐热性能稳定、抗老化等显著特点。可封堵泄漏介质的最大压力应不小于0.15MPa，是消防抢险救援必备堵漏工具。用于在地形复杂的狭窄空间内，密封直径大于500毫米的管道、容器、油罐车或油槽车、桶与储存罐的裂缝堵漏。</w:t>
            </w:r>
            <w:r>
              <w:rPr>
                <w:rFonts w:hint="eastAsia" w:ascii="宋体" w:hAnsi="宋体" w:cs="宋体"/>
              </w:rPr>
              <w:br w:type="textWrapping"/>
            </w:r>
            <w:r>
              <w:rPr>
                <w:rFonts w:hint="eastAsia" w:ascii="宋体" w:hAnsi="宋体" w:cs="宋体"/>
              </w:rPr>
              <w:t>2.属于抢险堵漏方法的一种常用方法，正常生产运行设备装置上的管道或细罐体部位，因各种原因造成泄漏，泄漏介质处于带温、带压向外喷射流动状态时，可以在泄漏部位合理地选择KJ-20外封式堵漏袋压制在泄漏管道或罐体外部，将泄漏部位压紧、充气，从而起到堵漏的效果。</w:t>
            </w:r>
            <w:r>
              <w:rPr>
                <w:rFonts w:hint="eastAsia" w:ascii="宋体" w:hAnsi="宋体" w:cs="宋体"/>
              </w:rPr>
              <w:br w:type="textWrapping"/>
            </w:r>
            <w:r>
              <w:rPr>
                <w:rFonts w:hint="eastAsia" w:ascii="宋体" w:hAnsi="宋体" w:cs="宋体"/>
              </w:rPr>
              <w:t>3.适用封堵范围直径不大于2.5m的罐状容器，裂缝长度小于240mm的容器。</w:t>
            </w:r>
            <w:r>
              <w:rPr>
                <w:rFonts w:hint="eastAsia" w:ascii="宋体" w:hAnsi="宋体" w:cs="宋体"/>
              </w:rPr>
              <w:br w:type="textWrapping"/>
            </w:r>
            <w:r>
              <w:rPr>
                <w:rFonts w:hint="eastAsia" w:ascii="宋体" w:hAnsi="宋体" w:cs="宋体"/>
              </w:rPr>
              <w:t>4.由芳族聚酰胺增强（凯夫拉纤维增强）软橡胶制成，合理的绳芯结构确保了堵漏袋的高适应性和最优性能，配有快速充气、泄气切换接口，一个带安全压力表的脚踏高压气泵。</w:t>
            </w:r>
            <w:r>
              <w:rPr>
                <w:rFonts w:hint="eastAsia" w:ascii="宋体" w:hAnsi="宋体" w:cs="宋体"/>
              </w:rPr>
              <w:br w:type="textWrapping"/>
            </w:r>
            <w:r>
              <w:rPr>
                <w:rFonts w:hint="eastAsia" w:ascii="宋体" w:hAnsi="宋体" w:cs="宋体"/>
              </w:rPr>
              <w:t>5.2种规格组成，密封面积约50×30厘米，最大充气压力≥0.22MPa；密封压力1.4巴 ；容积20升；</w:t>
            </w:r>
            <w:r>
              <w:rPr>
                <w:rFonts w:hint="eastAsia" w:ascii="宋体" w:hAnsi="宋体" w:cs="宋体"/>
              </w:rPr>
              <w:br w:type="textWrapping"/>
            </w:r>
            <w:r>
              <w:rPr>
                <w:rFonts w:hint="eastAsia" w:ascii="宋体" w:hAnsi="宋体" w:cs="宋体"/>
              </w:rPr>
              <w:t>6.参数：</w:t>
            </w:r>
            <w:r>
              <w:rPr>
                <w:rFonts w:hint="eastAsia" w:ascii="宋体" w:hAnsi="宋体" w:cs="宋体"/>
              </w:rPr>
              <w:br w:type="textWrapping"/>
            </w:r>
            <w:r>
              <w:rPr>
                <w:rFonts w:hint="eastAsia" w:ascii="宋体" w:hAnsi="宋体" w:cs="宋体"/>
              </w:rPr>
              <w:t>（1）工作压力约0.17—0.4MPa，</w:t>
            </w:r>
            <w:r>
              <w:rPr>
                <w:rFonts w:hint="eastAsia" w:ascii="宋体" w:hAnsi="宋体" w:cs="宋体"/>
              </w:rPr>
              <w:br w:type="textWrapping"/>
            </w:r>
            <w:r>
              <w:rPr>
                <w:rFonts w:hint="eastAsia" w:ascii="宋体" w:hAnsi="宋体" w:cs="宋体"/>
              </w:rPr>
              <w:t>（2）系统压力约0.3MPa，</w:t>
            </w:r>
            <w:r>
              <w:rPr>
                <w:rFonts w:hint="eastAsia" w:ascii="宋体" w:hAnsi="宋体" w:cs="宋体"/>
              </w:rPr>
              <w:br w:type="textWrapping"/>
            </w:r>
            <w:r>
              <w:rPr>
                <w:rFonts w:hint="eastAsia" w:ascii="宋体" w:hAnsi="宋体" w:cs="宋体"/>
              </w:rPr>
              <w:t>（3）环境温度约-30℃—+60℃，</w:t>
            </w:r>
            <w:r>
              <w:rPr>
                <w:rFonts w:hint="eastAsia" w:ascii="宋体" w:hAnsi="宋体" w:cs="宋体"/>
              </w:rPr>
              <w:br w:type="textWrapping"/>
            </w:r>
            <w:r>
              <w:rPr>
                <w:rFonts w:hint="eastAsia" w:ascii="宋体" w:hAnsi="宋体" w:cs="宋体"/>
              </w:rPr>
              <w:t>（4）充气时间≤60s，</w:t>
            </w:r>
            <w:r>
              <w:rPr>
                <w:rFonts w:hint="eastAsia" w:ascii="宋体" w:hAnsi="宋体" w:cs="宋体"/>
              </w:rPr>
              <w:br w:type="textWrapping"/>
            </w:r>
            <w:r>
              <w:rPr>
                <w:rFonts w:hint="eastAsia" w:ascii="宋体" w:hAnsi="宋体" w:cs="宋体"/>
              </w:rPr>
              <w:t>（5）背压≤0.2MPa，</w:t>
            </w:r>
            <w:r>
              <w:rPr>
                <w:rFonts w:hint="eastAsia" w:ascii="宋体" w:hAnsi="宋体" w:cs="宋体"/>
              </w:rPr>
              <w:br w:type="textWrapping"/>
            </w:r>
            <w:r>
              <w:rPr>
                <w:rFonts w:hint="eastAsia" w:ascii="宋体" w:hAnsi="宋体" w:cs="宋体"/>
              </w:rPr>
              <w:t>（6）堵漏包最大工作压力≤0.4MPa，</w:t>
            </w:r>
            <w:r>
              <w:rPr>
                <w:rFonts w:hint="eastAsia" w:ascii="宋体" w:hAnsi="宋体" w:cs="宋体"/>
              </w:rPr>
              <w:br w:type="textWrapping"/>
            </w:r>
            <w:r>
              <w:rPr>
                <w:rFonts w:hint="eastAsia" w:ascii="宋体" w:hAnsi="宋体" w:cs="宋体"/>
              </w:rPr>
              <w:t>（7）脚踏气泵最大工作压力约0.5Mpa。</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3800</w:t>
            </w:r>
          </w:p>
        </w:tc>
      </w:tr>
      <w:tr>
        <w:tblPrEx>
          <w:tblCellMar>
            <w:top w:w="0" w:type="dxa"/>
            <w:left w:w="108" w:type="dxa"/>
            <w:bottom w:w="0" w:type="dxa"/>
            <w:right w:w="108" w:type="dxa"/>
          </w:tblCellMar>
        </w:tblPrEx>
        <w:trPr>
          <w:trHeight w:val="81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捆绑式堵漏袋</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适用于管道堵漏、封堵管道裂缝。其具有耐化学腐蚀、耐油性好（能耐受酸、碱、盐、水、油、气等多种有机溶剂），耐热性能稳定、抗老化等特点，适用于油罐车、液罐车及储存罐裂缝的堵漏。捆绑式堵漏袋由芳族聚酰胺增强（凯夫拉纤维增强）软橡胶制成，厚度小于15毫米，适用于封堵罐状类容器窄缝状裂口及孔洞。</w:t>
            </w:r>
            <w:r>
              <w:rPr>
                <w:rFonts w:hint="eastAsia" w:ascii="宋体" w:hAnsi="宋体" w:cs="宋体"/>
              </w:rPr>
              <w:br w:type="textWrapping"/>
            </w:r>
            <w:r>
              <w:rPr>
                <w:rFonts w:hint="eastAsia" w:ascii="宋体" w:hAnsi="宋体" w:cs="宋体"/>
              </w:rPr>
              <w:t>2.可迅速有效的将忽然破裂管道裂缝密封，防止泄漏毒性液体对人类与环境造成污染。用于密封地形复杂，空间狭窄的 5 至 48cm 直径管道以及圆形容器的裂缝。不要用在目标物体的负载能力小于8 kg/cm²堵漏袋应用范围。</w:t>
            </w:r>
            <w:r>
              <w:rPr>
                <w:rFonts w:hint="eastAsia" w:ascii="宋体" w:hAnsi="宋体" w:cs="宋体"/>
              </w:rPr>
              <w:br w:type="textWrapping"/>
            </w:r>
            <w:r>
              <w:rPr>
                <w:rFonts w:hint="eastAsia" w:ascii="宋体" w:hAnsi="宋体" w:cs="宋体"/>
              </w:rPr>
              <w:t>3.是专为管道、容器、圆桶和各种椭圆型容器发生窄缝状裂口泄漏流体时的堵漏设计的。本产品广泛应用于消防抢险救援的专用堵漏器材。用于蒸汽管道、汽油管道、容器、圆桶和各种椭圆型容器的堵漏作业，目标容器的直径大于50毫米～2.2米以下。芳族聚酰胺增强（凯夫拉纤维增强）材料,使用寿命长达15年，充气连接头为实心黄铜。所有的堵漏袋都配了快速接口，充气放气的时间非常短。适用封堵范围：（a）Ф50mm～Ф200mm的管道；（b）裂缝长度小于120mm的容器；（3）面积小于270㎜×370㎜的泄漏孔洞。</w:t>
            </w:r>
            <w:r>
              <w:rPr>
                <w:rFonts w:hint="eastAsia" w:ascii="宋体" w:hAnsi="宋体" w:cs="宋体"/>
              </w:rPr>
              <w:br w:type="textWrapping"/>
            </w:r>
            <w:r>
              <w:rPr>
                <w:rFonts w:hint="eastAsia" w:ascii="宋体" w:hAnsi="宋体" w:cs="宋体"/>
              </w:rPr>
              <w:t>4.采用芳族聚酰胺增强（凯夫拉纤维增强）材料极为柔韧，耐腐蚀性强；抗静电、抗油、抗臭氧，化学与油耐抗性良好。捆绑堵漏带具有很强的弹性，质量好。</w:t>
            </w:r>
            <w:r>
              <w:rPr>
                <w:rFonts w:hint="eastAsia" w:ascii="宋体" w:hAnsi="宋体" w:cs="宋体"/>
              </w:rPr>
              <w:br w:type="textWrapping"/>
            </w:r>
            <w:r>
              <w:rPr>
                <w:rFonts w:hint="eastAsia" w:ascii="宋体" w:hAnsi="宋体" w:cs="宋体"/>
              </w:rPr>
              <w:t>5.耐热性达≥200℃（短期），或 95℃（长期），拉伸负荷至 500kg。可堵压力≤ 1.2MPa，耐受压力（修复后可承受介质的压力）≤10MPa。</w:t>
            </w:r>
            <w:r>
              <w:rPr>
                <w:rFonts w:hint="eastAsia" w:ascii="宋体" w:hAnsi="宋体" w:cs="宋体"/>
              </w:rPr>
              <w:br w:type="textWrapping"/>
            </w:r>
            <w:r>
              <w:rPr>
                <w:rFonts w:hint="eastAsia" w:ascii="宋体" w:hAnsi="宋体" w:cs="宋体"/>
              </w:rPr>
              <w:t>6.参数：</w:t>
            </w:r>
            <w:r>
              <w:rPr>
                <w:rFonts w:hint="eastAsia" w:ascii="宋体" w:hAnsi="宋体" w:cs="宋体"/>
              </w:rPr>
              <w:br w:type="textWrapping"/>
            </w:r>
            <w:r>
              <w:rPr>
                <w:rFonts w:hint="eastAsia" w:ascii="宋体" w:hAnsi="宋体" w:cs="宋体"/>
              </w:rPr>
              <w:t>（1）工作压力约0.17—0.4Mpa，</w:t>
            </w:r>
            <w:r>
              <w:rPr>
                <w:rFonts w:hint="eastAsia" w:ascii="宋体" w:hAnsi="宋体" w:cs="宋体"/>
              </w:rPr>
              <w:br w:type="textWrapping"/>
            </w:r>
            <w:r>
              <w:rPr>
                <w:rFonts w:hint="eastAsia" w:ascii="宋体" w:hAnsi="宋体" w:cs="宋体"/>
              </w:rPr>
              <w:t>（2）系统压力约0.15Mpa，</w:t>
            </w:r>
            <w:r>
              <w:rPr>
                <w:rFonts w:hint="eastAsia" w:ascii="宋体" w:hAnsi="宋体" w:cs="宋体"/>
              </w:rPr>
              <w:br w:type="textWrapping"/>
            </w:r>
            <w:r>
              <w:rPr>
                <w:rFonts w:hint="eastAsia" w:ascii="宋体" w:hAnsi="宋体" w:cs="宋体"/>
              </w:rPr>
              <w:t>（3）环境温度-约30℃～+60℃，</w:t>
            </w:r>
            <w:r>
              <w:rPr>
                <w:rFonts w:hint="eastAsia" w:ascii="宋体" w:hAnsi="宋体" w:cs="宋体"/>
              </w:rPr>
              <w:br w:type="textWrapping"/>
            </w:r>
            <w:r>
              <w:rPr>
                <w:rFonts w:hint="eastAsia" w:ascii="宋体" w:hAnsi="宋体" w:cs="宋体"/>
              </w:rPr>
              <w:t>（4）充气时间≤0.15S，</w:t>
            </w:r>
            <w:r>
              <w:rPr>
                <w:rFonts w:hint="eastAsia" w:ascii="宋体" w:hAnsi="宋体" w:cs="宋体"/>
              </w:rPr>
              <w:br w:type="textWrapping"/>
            </w:r>
            <w:r>
              <w:rPr>
                <w:rFonts w:hint="eastAsia" w:ascii="宋体" w:hAnsi="宋体" w:cs="宋体"/>
              </w:rPr>
              <w:t>（5）背压：≤0.15Mpa，</w:t>
            </w:r>
            <w:r>
              <w:rPr>
                <w:rFonts w:hint="eastAsia" w:ascii="宋体" w:hAnsi="宋体" w:cs="宋体"/>
              </w:rPr>
              <w:br w:type="textWrapping"/>
            </w:r>
            <w:r>
              <w:rPr>
                <w:rFonts w:hint="eastAsia" w:ascii="宋体" w:hAnsi="宋体" w:cs="宋体"/>
              </w:rPr>
              <w:t>（6）堵漏袋最大工作压力约0.2Mpa，</w:t>
            </w:r>
            <w:r>
              <w:rPr>
                <w:rFonts w:hint="eastAsia" w:ascii="宋体" w:hAnsi="宋体" w:cs="宋体"/>
              </w:rPr>
              <w:br w:type="textWrapping"/>
            </w:r>
            <w:r>
              <w:rPr>
                <w:rFonts w:hint="eastAsia" w:ascii="宋体" w:hAnsi="宋体" w:cs="宋体"/>
              </w:rPr>
              <w:t>（7）脚踏气泵最大工作压力约0.5Mpa</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r>
      <w:tr>
        <w:tblPrEx>
          <w:tblCellMar>
            <w:top w:w="0" w:type="dxa"/>
            <w:left w:w="108" w:type="dxa"/>
            <w:bottom w:w="0" w:type="dxa"/>
            <w:right w:w="108" w:type="dxa"/>
          </w:tblCellMar>
        </w:tblPrEx>
        <w:trPr>
          <w:trHeight w:val="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下水道阻流袋</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用于阻断有毒有害液体沿沟渠或探井流动，扩散，将气囊塞入沟渠、探 井充入气体即可。最大工作压力 约0.17MPa，紧急封闭直径 300-500mm。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7200</w:t>
            </w:r>
          </w:p>
        </w:tc>
      </w:tr>
      <w:tr>
        <w:tblPrEx>
          <w:tblCellMar>
            <w:top w:w="0" w:type="dxa"/>
            <w:left w:w="108" w:type="dxa"/>
            <w:bottom w:w="0" w:type="dxa"/>
            <w:right w:w="108" w:type="dxa"/>
          </w:tblCellMar>
        </w:tblPrEx>
        <w:trPr>
          <w:trHeight w:val="599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金属堵漏套管</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1.由不锈钢材料制成，与内衬特殊结构的耐腐蚀橡胶密封板复合而成。配合快速堵漏胶迅速修复各种水、油、气、酸、碱、盐和各类有机溶剂的泄漏，可以对管道上孔、洞、缝进行直接封堵。</w:t>
            </w:r>
            <w:r>
              <w:rPr>
                <w:rFonts w:hint="eastAsia" w:ascii="宋体" w:hAnsi="宋体" w:cs="宋体"/>
              </w:rPr>
              <w:br w:type="textWrapping"/>
            </w:r>
            <w:r>
              <w:rPr>
                <w:rFonts w:hint="eastAsia" w:ascii="宋体" w:hAnsi="宋体" w:cs="宋体"/>
              </w:rPr>
              <w:t>2.是抢险堵漏器材配套专用工具，操作简易迅速、使用方便。金属堵漏套管具有管径适应范围广、堵漏面积大、安装便捷、重复使用、密封性能优良、耐震动等特点。</w:t>
            </w:r>
            <w:r>
              <w:rPr>
                <w:rFonts w:hint="eastAsia" w:ascii="宋体" w:hAnsi="宋体" w:cs="宋体"/>
              </w:rPr>
              <w:br w:type="textWrapping"/>
            </w:r>
            <w:r>
              <w:rPr>
                <w:rFonts w:hint="eastAsia" w:ascii="宋体" w:hAnsi="宋体" w:cs="宋体"/>
              </w:rPr>
              <w:t>3.适用范围：水管、煤气管、空气管、输油管、化学材料传输管和排污管等低压管道。</w:t>
            </w:r>
            <w:r>
              <w:rPr>
                <w:rFonts w:hint="eastAsia" w:ascii="宋体" w:hAnsi="宋体" w:cs="宋体"/>
              </w:rPr>
              <w:br w:type="textWrapping"/>
            </w:r>
            <w:r>
              <w:rPr>
                <w:rFonts w:hint="eastAsia" w:ascii="宋体" w:hAnsi="宋体" w:cs="宋体"/>
              </w:rPr>
              <w:t>4.范围说明：适用管道直径：约12～102mm ，工作压力：约16巴的机械密封 ，可适用于介质温度约在-70至150℃，可堵压力≤2Mpa，可承受约2.0MPa的反压。耐内压力（修复后能承受的介质压力）：≤25Mpa。</w:t>
            </w:r>
            <w:r>
              <w:rPr>
                <w:rFonts w:hint="eastAsia" w:ascii="宋体" w:hAnsi="宋体" w:cs="宋体"/>
              </w:rPr>
              <w:br w:type="textWrapping"/>
            </w:r>
            <w:r>
              <w:rPr>
                <w:rFonts w:hint="eastAsia" w:ascii="宋体" w:hAnsi="宋体" w:cs="宋体"/>
              </w:rPr>
              <w:t>5.内部采用丁腈橡胶制成，耐热性达到约115℃（短期）、或80℃（长期），能封堵直径不大于125mm的管道上直径不大于5mm的孔洞状泄漏口或长×宽不大于30×5mm的线状泄漏口，封堵压力≤2MPa。</w:t>
            </w:r>
            <w:r>
              <w:rPr>
                <w:rFonts w:hint="eastAsia" w:ascii="宋体" w:hAnsi="宋体" w:cs="宋体"/>
              </w:rPr>
              <w:br w:type="textWrapping"/>
            </w:r>
            <w:r>
              <w:rPr>
                <w:rFonts w:hint="eastAsia" w:ascii="宋体" w:hAnsi="宋体" w:cs="宋体"/>
              </w:rPr>
              <w:t>6.能密封直径（0.5寸、0.75寸、1寸、1.25寸、1.5寸、2寸、2.5寸、3寸、3.5寸、4寸）10种管道的裂缝与小孔，无需压缩空气，使用专业螺钉固定。</w:t>
            </w:r>
            <w:r>
              <w:rPr>
                <w:rFonts w:hint="eastAsia" w:ascii="宋体" w:hAnsi="宋体" w:cs="宋体"/>
              </w:rPr>
              <w:br w:type="textWrapping"/>
            </w:r>
            <w:r>
              <w:rPr>
                <w:rFonts w:hint="eastAsia" w:ascii="宋体" w:hAnsi="宋体" w:cs="宋体"/>
              </w:rPr>
              <w:t>7.具有耐老化、耐油、耐弱酸弱碱等特性，产品用于：油 、水、天然气、化学介质管线等。</w:t>
            </w:r>
            <w:r>
              <w:rPr>
                <w:rFonts w:hint="eastAsia" w:ascii="宋体" w:hAnsi="宋体" w:cs="宋体"/>
              </w:rPr>
              <w:br w:type="textWrapping"/>
            </w:r>
            <w:r>
              <w:rPr>
                <w:rFonts w:hint="eastAsia" w:ascii="宋体" w:hAnsi="宋体" w:cs="宋体"/>
              </w:rPr>
              <w:t>8.材料：韧性铸件、丁腈橡胶密封，长期耐热性达80℃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r>
      <w:tr>
        <w:tblPrEx>
          <w:tblCellMar>
            <w:top w:w="0" w:type="dxa"/>
            <w:left w:w="108" w:type="dxa"/>
            <w:bottom w:w="0" w:type="dxa"/>
            <w:right w:w="108" w:type="dxa"/>
          </w:tblCellMar>
        </w:tblPrEx>
        <w:trPr>
          <w:trHeight w:val="502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注入式堵漏工具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 xml:space="preserve">1、符合Q/12QT-4055-2012《注入式堵漏工具》标准。 </w:t>
            </w:r>
            <w:r>
              <w:rPr>
                <w:rFonts w:hint="eastAsia" w:ascii="宋体" w:hAnsi="宋体" w:cs="宋体"/>
              </w:rPr>
              <w:br w:type="textWrapping"/>
            </w:r>
            <w:r>
              <w:rPr>
                <w:rFonts w:hint="eastAsia" w:ascii="宋体" w:hAnsi="宋体" w:cs="宋体"/>
              </w:rPr>
              <w:t>2、主要参数及配置：</w:t>
            </w:r>
            <w:r>
              <w:rPr>
                <w:rFonts w:hint="eastAsia" w:ascii="宋体" w:hAnsi="宋体" w:cs="宋体"/>
              </w:rPr>
              <w:br w:type="textWrapping"/>
            </w:r>
            <w:r>
              <w:rPr>
                <w:rFonts w:hint="eastAsia" w:ascii="宋体" w:hAnsi="宋体" w:cs="宋体"/>
              </w:rPr>
              <w:t xml:space="preserve">（1）高压注胶枪1把，材质：合金钢； </w:t>
            </w:r>
            <w:r>
              <w:rPr>
                <w:rFonts w:hint="eastAsia" w:ascii="宋体" w:hAnsi="宋体" w:cs="宋体"/>
              </w:rPr>
              <w:br w:type="textWrapping"/>
            </w:r>
            <w:r>
              <w:rPr>
                <w:rFonts w:hint="eastAsia" w:ascii="宋体" w:hAnsi="宋体" w:cs="宋体"/>
              </w:rPr>
              <w:t xml:space="preserve">（2）堵漏胶（10支/盒）3盒，（红盒胶一盒、白盒胶一盒、兰盒胶一盒）； </w:t>
            </w:r>
            <w:r>
              <w:rPr>
                <w:rFonts w:hint="eastAsia" w:ascii="宋体" w:hAnsi="宋体" w:cs="宋体"/>
              </w:rPr>
              <w:br w:type="textWrapping"/>
            </w:r>
            <w:r>
              <w:rPr>
                <w:rFonts w:hint="eastAsia" w:ascii="宋体" w:hAnsi="宋体" w:cs="宋体"/>
              </w:rPr>
              <w:t xml:space="preserve">（3）手动高压油泵（附快速接头、60MPa压力表、表座接头）1台； </w:t>
            </w:r>
            <w:r>
              <w:rPr>
                <w:rFonts w:hint="eastAsia" w:ascii="宋体" w:hAnsi="宋体" w:cs="宋体"/>
              </w:rPr>
              <w:br w:type="textWrapping"/>
            </w:r>
            <w:r>
              <w:rPr>
                <w:rFonts w:hint="eastAsia" w:ascii="宋体" w:hAnsi="宋体" w:cs="宋体"/>
              </w:rPr>
              <w:t xml:space="preserve">（4）专用高压油管（附快速接头）1根； </w:t>
            </w:r>
            <w:r>
              <w:rPr>
                <w:rFonts w:hint="eastAsia" w:ascii="宋体" w:hAnsi="宋体" w:cs="宋体"/>
              </w:rPr>
              <w:br w:type="textWrapping"/>
            </w:r>
            <w:r>
              <w:rPr>
                <w:rFonts w:hint="eastAsia" w:ascii="宋体" w:hAnsi="宋体" w:cs="宋体"/>
              </w:rPr>
              <w:t xml:space="preserve">（5）旋塞阀（M12）4只，材质：合金钢； </w:t>
            </w:r>
            <w:r>
              <w:rPr>
                <w:rFonts w:hint="eastAsia" w:ascii="宋体" w:hAnsi="宋体" w:cs="宋体"/>
              </w:rPr>
              <w:br w:type="textWrapping"/>
            </w:r>
            <w:r>
              <w:rPr>
                <w:rFonts w:hint="eastAsia" w:ascii="宋体" w:hAnsi="宋体" w:cs="宋体"/>
              </w:rPr>
              <w:t xml:space="preserve">（6）角向接头（45°、90°）各1只，材质：合金钢； </w:t>
            </w:r>
            <w:r>
              <w:rPr>
                <w:rFonts w:hint="eastAsia" w:ascii="宋体" w:hAnsi="宋体" w:cs="宋体"/>
              </w:rPr>
              <w:br w:type="textWrapping"/>
            </w:r>
            <w:r>
              <w:rPr>
                <w:rFonts w:hint="eastAsia" w:ascii="宋体" w:hAnsi="宋体" w:cs="宋体"/>
              </w:rPr>
              <w:t xml:space="preserve">（7）注射弯头（M12）1只，材质：合金钢； </w:t>
            </w:r>
            <w:r>
              <w:rPr>
                <w:rFonts w:hint="eastAsia" w:ascii="宋体" w:hAnsi="宋体" w:cs="宋体"/>
              </w:rPr>
              <w:br w:type="textWrapping"/>
            </w:r>
            <w:r>
              <w:rPr>
                <w:rFonts w:hint="eastAsia" w:ascii="宋体" w:hAnsi="宋体" w:cs="宋体"/>
              </w:rPr>
              <w:t xml:space="preserve">（8）注胶螺母（M12、M14、M16、M18、M20、M22、M24各1只），材质：合金钢； </w:t>
            </w:r>
            <w:r>
              <w:rPr>
                <w:rFonts w:hint="eastAsia" w:ascii="宋体" w:hAnsi="宋体" w:cs="宋体"/>
              </w:rPr>
              <w:br w:type="textWrapping"/>
            </w:r>
            <w:r>
              <w:rPr>
                <w:rFonts w:hint="eastAsia" w:ascii="宋体" w:hAnsi="宋体" w:cs="宋体"/>
              </w:rPr>
              <w:t xml:space="preserve">（9）注胶螺杆（M12、M14、M16、M18、M20、M22、M24各1只），材质：不锈钢材质； </w:t>
            </w:r>
            <w:r>
              <w:rPr>
                <w:rFonts w:hint="eastAsia" w:ascii="宋体" w:hAnsi="宋体" w:cs="宋体"/>
              </w:rPr>
              <w:br w:type="textWrapping"/>
            </w:r>
            <w:r>
              <w:rPr>
                <w:rFonts w:hint="eastAsia" w:ascii="宋体" w:hAnsi="宋体" w:cs="宋体"/>
              </w:rPr>
              <w:t xml:space="preserve">（10）专用润滑松动喷剂一罐； </w:t>
            </w:r>
            <w:r>
              <w:rPr>
                <w:rFonts w:hint="eastAsia" w:ascii="宋体" w:hAnsi="宋体" w:cs="宋体"/>
              </w:rPr>
              <w:br w:type="textWrapping"/>
            </w:r>
            <w:r>
              <w:rPr>
                <w:rFonts w:hint="eastAsia" w:ascii="宋体" w:hAnsi="宋体" w:cs="宋体"/>
              </w:rPr>
              <w:t xml:space="preserve">（11）专用扳手1把； </w:t>
            </w:r>
            <w:r>
              <w:rPr>
                <w:rFonts w:hint="eastAsia" w:ascii="宋体" w:hAnsi="宋体" w:cs="宋体"/>
              </w:rPr>
              <w:br w:type="textWrapping"/>
            </w:r>
            <w:r>
              <w:rPr>
                <w:rFonts w:hint="eastAsia" w:ascii="宋体" w:hAnsi="宋体" w:cs="宋体"/>
              </w:rPr>
              <w:t>（12）便携式铝合金工具箱1只。</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2600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2600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磁压式堵漏工具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 xml:space="preserve">★1、本套工具最大吸附力≥300公斤，适用于各种大型管道、槽车、立卧罐等储运设备的堵漏，使用方便快捷。 </w:t>
            </w:r>
            <w:r>
              <w:rPr>
                <w:rFonts w:hint="eastAsia" w:ascii="宋体" w:hAnsi="宋体" w:cs="宋体"/>
              </w:rPr>
              <w:br w:type="textWrapping"/>
            </w:r>
            <w:r>
              <w:rPr>
                <w:rFonts w:hint="eastAsia" w:ascii="宋体" w:hAnsi="宋体" w:cs="宋体"/>
              </w:rPr>
              <w:t>2、适用于对介质温度≤80℃，压力≤1.8Mpa漏点的堵漏。外加铝合金包装箱。</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6800</w:t>
            </w:r>
          </w:p>
        </w:tc>
      </w:tr>
      <w:tr>
        <w:tblPrEx>
          <w:tblCellMar>
            <w:top w:w="0" w:type="dxa"/>
            <w:left w:w="108" w:type="dxa"/>
            <w:bottom w:w="0" w:type="dxa"/>
            <w:right w:w="108" w:type="dxa"/>
          </w:tblCellMar>
        </w:tblPrEx>
        <w:trPr>
          <w:trHeight w:val="274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木制堵漏楔</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由28件/套堵漏木楔+1把木棰组成，经由软化处理的进口红松精制而成，经专门蒸馏、防腐、干燥、绝缘等处理，具有防裂、不变形、阻燃、防水、防油功能，经多次浸泡阻燃剂后晾干。可在不同的环境下使用，它是消防和应急救援单位最常用的基本装备。</w:t>
            </w:r>
            <w:r>
              <w:rPr>
                <w:rFonts w:hint="eastAsia" w:ascii="宋体" w:hAnsi="宋体" w:cs="宋体"/>
              </w:rPr>
              <w:br w:type="textWrapping"/>
            </w:r>
            <w:r>
              <w:rPr>
                <w:rFonts w:hint="eastAsia" w:ascii="宋体" w:hAnsi="宋体" w:cs="宋体"/>
              </w:rPr>
              <w:t>2.特点是质地较软，尺寸齐全，形状多样。可根据需要选择适当尺寸木楔，对泄漏进行快速封堵。用于各类孔洞状、裂缝等较低压、低腐蚀介质的堵漏作业。</w:t>
            </w:r>
            <w:r>
              <w:rPr>
                <w:rFonts w:hint="eastAsia" w:ascii="宋体" w:hAnsi="宋体" w:cs="宋体"/>
              </w:rPr>
              <w:br w:type="textWrapping"/>
            </w:r>
            <w:r>
              <w:rPr>
                <w:rFonts w:hint="eastAsia" w:ascii="宋体" w:hAnsi="宋体" w:cs="宋体"/>
              </w:rPr>
              <w:t>3.可封堵泄漏介质温度范围≤-100～150℃，承受泄漏介质压力≤-1.0Mpa～0.8Mpa。</w:t>
            </w:r>
            <w:r>
              <w:rPr>
                <w:rFonts w:hint="eastAsia" w:ascii="宋体" w:hAnsi="宋体" w:cs="宋体"/>
              </w:rPr>
              <w:br w:type="textWrapping"/>
            </w:r>
            <w:r>
              <w:rPr>
                <w:rFonts w:hint="eastAsia" w:ascii="宋体" w:hAnsi="宋体" w:cs="宋体"/>
              </w:rPr>
              <w:t>4.适用圆孔尺寸：约Ø5- Ø100mm ，适用缝隙尺寸：约5-100mm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6400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无火花工具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1、在易燃、易爆环境现场完成救援工作。</w:t>
            </w:r>
            <w:r>
              <w:rPr>
                <w:rFonts w:hint="eastAsia" w:ascii="宋体" w:hAnsi="宋体" w:cs="宋体"/>
              </w:rPr>
              <w:br w:type="textWrapping"/>
            </w:r>
            <w:r>
              <w:rPr>
                <w:rFonts w:hint="eastAsia" w:ascii="宋体" w:hAnsi="宋体" w:cs="宋体"/>
              </w:rPr>
              <w:t>★2、成套设备不少于 21 件，并配有管钳、锤、断线剪、起子、 扳手等相关设备。</w:t>
            </w:r>
            <w:r>
              <w:rPr>
                <w:rFonts w:hint="eastAsia" w:ascii="宋体" w:hAnsi="宋体" w:cs="宋体"/>
              </w:rPr>
              <w:br w:type="textWrapping"/>
            </w:r>
            <w:r>
              <w:rPr>
                <w:rFonts w:hint="eastAsia" w:ascii="宋体" w:hAnsi="宋体" w:cs="宋体"/>
              </w:rPr>
              <w:t>3、产品符合 GB/T10686 防爆工具标准要求</w:t>
            </w:r>
            <w:r>
              <w:rPr>
                <w:rFonts w:hint="eastAsia" w:ascii="宋体" w:hAnsi="宋体" w:cs="宋体"/>
              </w:rPr>
              <w:br w:type="textWrapping"/>
            </w:r>
            <w:r>
              <w:rPr>
                <w:rFonts w:hint="eastAsia" w:ascii="宋体" w:hAnsi="宋体" w:cs="宋体"/>
              </w:rPr>
              <w:t>4、铜质材料、硬度为洛氏 25 度以上。</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手动隔膜抽吸泵</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全手动操作，两端连接PVC软管，带橘黄色耐腐蚀安装固定板及橘黄色整理箱,该泵尤适于泵送剪切敏感性或含微小固体颗粒的流体，经久耐用、便携、可任何位置安装，两端带有阴螺纹快速接头；配备泵身固定板。用于灾害及泄漏现场输转有毒、有害液体。采用耐腐蚀材料制成．可以对危险及非危险液体进行排污：全手动操作．携带方便，安装快捷</w:t>
            </w:r>
            <w:r>
              <w:rPr>
                <w:rFonts w:hint="eastAsia" w:ascii="宋体" w:hAnsi="宋体" w:cs="宋体"/>
              </w:rPr>
              <w:br w:type="textWrapping"/>
            </w:r>
            <w:r>
              <w:rPr>
                <w:rFonts w:hint="eastAsia" w:ascii="宋体" w:hAnsi="宋体" w:cs="宋体"/>
              </w:rPr>
              <w:t>流量：约56L/min</w:t>
            </w:r>
            <w:r>
              <w:rPr>
                <w:rFonts w:hint="eastAsia" w:ascii="宋体" w:hAnsi="宋体" w:cs="宋体"/>
              </w:rPr>
              <w:br w:type="textWrapping"/>
            </w:r>
            <w:r>
              <w:rPr>
                <w:rFonts w:hint="eastAsia" w:ascii="宋体" w:hAnsi="宋体" w:cs="宋体"/>
              </w:rPr>
              <w:t xml:space="preserve">可通过最大颗粒：直径约12mm   </w:t>
            </w:r>
            <w:r>
              <w:rPr>
                <w:rFonts w:hint="eastAsia" w:ascii="宋体" w:hAnsi="宋体" w:cs="宋体"/>
              </w:rPr>
              <w:br w:type="textWrapping"/>
            </w:r>
            <w:r>
              <w:rPr>
                <w:rFonts w:hint="eastAsia" w:ascii="宋体" w:hAnsi="宋体" w:cs="宋体"/>
              </w:rPr>
              <w:t>进出口尺寸：：约DN25</w:t>
            </w:r>
            <w:r>
              <w:rPr>
                <w:rFonts w:hint="eastAsia" w:ascii="宋体" w:hAnsi="宋体" w:cs="宋体"/>
              </w:rPr>
              <w:br w:type="textWrapping"/>
            </w:r>
            <w:r>
              <w:rPr>
                <w:rFonts w:hint="eastAsia" w:ascii="宋体" w:hAnsi="宋体" w:cs="宋体"/>
              </w:rPr>
              <w:t>自吸高度：Max 5m</w:t>
            </w:r>
            <w:r>
              <w:rPr>
                <w:rFonts w:hint="eastAsia" w:ascii="宋体" w:hAnsi="宋体" w:cs="宋体"/>
              </w:rPr>
              <w:br w:type="textWrapping"/>
            </w:r>
            <w:r>
              <w:rPr>
                <w:rFonts w:hint="eastAsia" w:ascii="宋体" w:hAnsi="宋体" w:cs="宋体"/>
              </w:rPr>
              <w:t xml:space="preserve">进水管：约3m             </w:t>
            </w:r>
            <w:r>
              <w:rPr>
                <w:rFonts w:hint="eastAsia" w:ascii="宋体" w:hAnsi="宋体" w:cs="宋体"/>
              </w:rPr>
              <w:br w:type="textWrapping"/>
            </w:r>
            <w:r>
              <w:rPr>
                <w:rFonts w:hint="eastAsia" w:ascii="宋体" w:hAnsi="宋体" w:cs="宋体"/>
              </w:rPr>
              <w:t>出水管：约6m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粘稠液体抽吸泵</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1.电压:≥220V150H</w:t>
            </w:r>
            <w:r>
              <w:rPr>
                <w:rFonts w:hint="eastAsia" w:ascii="宋体" w:hAnsi="宋体" w:cs="宋体"/>
              </w:rPr>
              <w:br w:type="textWrapping"/>
            </w:r>
            <w:r>
              <w:rPr>
                <w:rFonts w:hint="eastAsia" w:ascii="宋体" w:hAnsi="宋体" w:cs="宋体"/>
              </w:rPr>
              <w:t>2.空气流量:≥56 LS</w:t>
            </w:r>
            <w:r>
              <w:rPr>
                <w:rFonts w:hint="eastAsia" w:ascii="宋体" w:hAnsi="宋体" w:cs="宋体"/>
              </w:rPr>
              <w:br w:type="textWrapping"/>
            </w:r>
            <w:r>
              <w:rPr>
                <w:rFonts w:hint="eastAsia" w:ascii="宋体" w:hAnsi="宋体" w:cs="宋体"/>
              </w:rPr>
              <w:t>3.真空度:≥220mbar</w:t>
            </w:r>
            <w:r>
              <w:rPr>
                <w:rFonts w:hint="eastAsia" w:ascii="宋体" w:hAnsi="宋体" w:cs="宋体"/>
              </w:rPr>
              <w:br w:type="textWrapping"/>
            </w:r>
            <w:r>
              <w:rPr>
                <w:rFonts w:hint="eastAsia" w:ascii="宋体" w:hAnsi="宋体" w:cs="宋体"/>
              </w:rPr>
              <w:t>4.容积:≥80L</w:t>
            </w:r>
            <w:r>
              <w:rPr>
                <w:rFonts w:hint="eastAsia" w:ascii="宋体" w:hAnsi="宋体" w:cs="宋体"/>
              </w:rPr>
              <w:br w:type="textWrapping"/>
            </w:r>
            <w:r>
              <w:rPr>
                <w:rFonts w:hint="eastAsia" w:ascii="宋体" w:hAnsi="宋体" w:cs="宋体"/>
              </w:rPr>
              <w:t>5.额走功率:≥1200W</w:t>
            </w:r>
            <w:r>
              <w:rPr>
                <w:rFonts w:hint="eastAsia" w:ascii="宋体" w:hAnsi="宋体" w:cs="宋体"/>
              </w:rPr>
              <w:br w:type="textWrapping"/>
            </w:r>
            <w:r>
              <w:rPr>
                <w:rFonts w:hint="eastAsia" w:ascii="宋体" w:hAnsi="宋体" w:cs="宋体"/>
              </w:rPr>
              <w:t>6.重量:≤30kg</w:t>
            </w:r>
            <w:r>
              <w:rPr>
                <w:rFonts w:hint="eastAsia" w:ascii="宋体" w:hAnsi="宋体" w:cs="宋体"/>
              </w:rPr>
              <w:br w:type="textWrapping"/>
            </w:r>
            <w:r>
              <w:rPr>
                <w:rFonts w:hint="eastAsia" w:ascii="宋体" w:hAnsi="宋体" w:cs="宋体"/>
              </w:rPr>
              <w:t>7.外型尺寸:≤660*520*1100mm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排污泵</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用于罐体，水井或水池的快速排水，采用耐腐蚀材料，可以对危险和非 危险液体进行排污，全手动操作，携带方便，安装快捷，两端带快速卡箍； 流量： ≥55L/min； 内径： ≥3cm； 吸升高度： ≥350cm； 质量： ≤12kg。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有毒物质密封桶</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由高密度聚乙烯材质制成，有较强的抗化学性能，主要用于收集并转运有毒物质和污染严重的土壤，包括酸性和腐蚀性等物质。</w:t>
            </w:r>
            <w:r>
              <w:rPr>
                <w:rFonts w:hint="eastAsia" w:ascii="宋体" w:hAnsi="宋体" w:cs="宋体"/>
              </w:rPr>
              <w:br w:type="textWrapping"/>
            </w:r>
            <w:r>
              <w:rPr>
                <w:rFonts w:hint="eastAsia" w:ascii="宋体" w:hAnsi="宋体" w:cs="宋体"/>
              </w:rPr>
              <w:t>材质：高强度聚乙烯</w:t>
            </w:r>
            <w:r>
              <w:rPr>
                <w:rFonts w:hint="eastAsia" w:ascii="宋体" w:hAnsi="宋体" w:cs="宋体"/>
              </w:rPr>
              <w:br w:type="textWrapping"/>
            </w:r>
            <w:r>
              <w:rPr>
                <w:rFonts w:hint="eastAsia" w:ascii="宋体" w:hAnsi="宋体" w:cs="宋体"/>
              </w:rPr>
              <w:t>容量：约80L</w:t>
            </w:r>
            <w:r>
              <w:rPr>
                <w:rFonts w:hint="eastAsia" w:ascii="宋体" w:hAnsi="宋体" w:cs="宋体"/>
              </w:rPr>
              <w:br w:type="textWrapping"/>
            </w:r>
            <w:r>
              <w:rPr>
                <w:rFonts w:hint="eastAsia" w:ascii="宋体" w:hAnsi="宋体" w:cs="宋体"/>
              </w:rPr>
              <w:t>尺寸：顶盖直径：外部约 59cm，内部约 57cm。 底部直径：外部约46cm，内部约45cm。高 度：约50cm</w:t>
            </w:r>
            <w:r>
              <w:rPr>
                <w:rFonts w:hint="eastAsia" w:ascii="宋体" w:hAnsi="宋体" w:cs="宋体"/>
              </w:rPr>
              <w:br w:type="textWrapping"/>
            </w:r>
            <w:r>
              <w:rPr>
                <w:rFonts w:hint="eastAsia" w:ascii="宋体" w:hAnsi="宋体" w:cs="宋体"/>
              </w:rPr>
              <w:t>承载重量：约80kg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6000</w:t>
            </w:r>
          </w:p>
        </w:tc>
      </w:tr>
      <w:tr>
        <w:tblPrEx>
          <w:tblCellMar>
            <w:top w:w="0" w:type="dxa"/>
            <w:left w:w="108" w:type="dxa"/>
            <w:bottom w:w="0" w:type="dxa"/>
            <w:right w:w="108" w:type="dxa"/>
          </w:tblCellMar>
        </w:tblPrEx>
        <w:trPr>
          <w:trHeight w:val="3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围油栏</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应用场合：</w:t>
            </w:r>
            <w:r>
              <w:rPr>
                <w:rFonts w:hint="eastAsia" w:ascii="宋体" w:hAnsi="宋体" w:cs="宋体"/>
              </w:rPr>
              <w:br w:type="textWrapping"/>
            </w:r>
            <w:r>
              <w:rPr>
                <w:rFonts w:hint="eastAsia" w:ascii="宋体" w:hAnsi="宋体" w:cs="宋体"/>
              </w:rPr>
              <w:t>在泄露事故中，有效阻止有害液体或化学液体在地表面及水面的蔓延。带可折叠手柄与卷盘，可以方便快速的展开与整理，长度约50米，每端配有注水接口和充气接口各一个，可分别用于地表面和水面。</w:t>
            </w:r>
            <w:r>
              <w:rPr>
                <w:rFonts w:hint="eastAsia" w:ascii="宋体" w:hAnsi="宋体" w:cs="宋体"/>
              </w:rPr>
              <w:br w:type="textWrapping"/>
            </w:r>
            <w:r>
              <w:rPr>
                <w:rFonts w:hint="eastAsia" w:ascii="宋体" w:hAnsi="宋体" w:cs="宋体"/>
              </w:rPr>
              <w:t>技术参数：</w:t>
            </w:r>
            <w:r>
              <w:rPr>
                <w:rFonts w:hint="eastAsia" w:ascii="宋体" w:hAnsi="宋体" w:cs="宋体"/>
              </w:rPr>
              <w:br w:type="textWrapping"/>
            </w:r>
            <w:r>
              <w:rPr>
                <w:rFonts w:hint="eastAsia" w:ascii="宋体" w:hAnsi="宋体" w:cs="宋体"/>
              </w:rPr>
              <w:t>容积：大于25000L</w:t>
            </w:r>
            <w:r>
              <w:rPr>
                <w:rFonts w:hint="eastAsia" w:ascii="宋体" w:hAnsi="宋体" w:cs="宋体"/>
              </w:rPr>
              <w:br w:type="textWrapping"/>
            </w:r>
            <w:r>
              <w:rPr>
                <w:rFonts w:hint="eastAsia" w:ascii="宋体" w:hAnsi="宋体" w:cs="宋体"/>
              </w:rPr>
              <w:t>尺寸：长度约50米，填充高度约30cm</w:t>
            </w:r>
            <w:r>
              <w:rPr>
                <w:rFonts w:hint="eastAsia" w:ascii="宋体" w:hAnsi="宋体" w:cs="宋体"/>
              </w:rPr>
              <w:br w:type="textWrapping"/>
            </w:r>
            <w:r>
              <w:rPr>
                <w:rFonts w:hint="eastAsia" w:ascii="宋体" w:hAnsi="宋体" w:cs="宋体"/>
              </w:rPr>
              <w:t>使用方法：</w:t>
            </w:r>
            <w:r>
              <w:rPr>
                <w:rFonts w:hint="eastAsia" w:ascii="宋体" w:hAnsi="宋体" w:cs="宋体"/>
              </w:rPr>
              <w:br w:type="textWrapping"/>
            </w:r>
            <w:r>
              <w:rPr>
                <w:rFonts w:hint="eastAsia" w:ascii="宋体" w:hAnsi="宋体" w:cs="宋体"/>
              </w:rPr>
              <w:t>水面用时，将上部充上空气，以便漂浮在水面。</w:t>
            </w:r>
            <w:r>
              <w:rPr>
                <w:rFonts w:hint="eastAsia" w:ascii="宋体" w:hAnsi="宋体" w:cs="宋体"/>
              </w:rPr>
              <w:br w:type="textWrapping"/>
            </w:r>
            <w:r>
              <w:rPr>
                <w:rFonts w:hint="eastAsia" w:ascii="宋体" w:hAnsi="宋体" w:cs="宋体"/>
              </w:rPr>
              <w:t>陆地用时，将下部注入水，可取到密封墙的作用。</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吸附垫</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 xml:space="preserve">运用场合：  </w:t>
            </w:r>
            <w:r>
              <w:rPr>
                <w:rFonts w:hint="eastAsia" w:ascii="宋体" w:hAnsi="宋体" w:cs="宋体"/>
              </w:rPr>
              <w:br w:type="textWrapping"/>
            </w:r>
            <w:r>
              <w:rPr>
                <w:rFonts w:hint="eastAsia" w:ascii="宋体" w:hAnsi="宋体" w:cs="宋体"/>
              </w:rPr>
              <w:t>适用于清理、围堵、预防任何可能出现的油液和化学品泄漏的区域，包括生产制造业、运输业、石油化工业、海上紧急救援、港口、航空、公安消防、医疗业、能源电力业、环保局、军队、食品加工业等任何需要清除泄漏液体的场所。</w:t>
            </w:r>
            <w:r>
              <w:rPr>
                <w:rFonts w:hint="eastAsia" w:ascii="宋体" w:hAnsi="宋体" w:cs="宋体"/>
              </w:rPr>
              <w:br w:type="textWrapping"/>
            </w:r>
            <w:r>
              <w:rPr>
                <w:rFonts w:hint="eastAsia" w:ascii="宋体" w:hAnsi="宋体" w:cs="宋体"/>
              </w:rPr>
              <w:t xml:space="preserve">产品参数：                                      </w:t>
            </w:r>
            <w:r>
              <w:rPr>
                <w:rFonts w:hint="eastAsia" w:ascii="宋体" w:hAnsi="宋体" w:cs="宋体"/>
              </w:rPr>
              <w:br w:type="textWrapping"/>
            </w:r>
            <w:r>
              <w:rPr>
                <w:rFonts w:hint="eastAsia" w:ascii="宋体" w:hAnsi="宋体" w:cs="宋体"/>
              </w:rPr>
              <w:t>材质：内层100%表面活化处理的聚丙烯，外层聚丙烯无纺布</w:t>
            </w:r>
            <w:r>
              <w:rPr>
                <w:rFonts w:hint="eastAsia" w:ascii="宋体" w:hAnsi="宋体" w:cs="宋体"/>
              </w:rPr>
              <w:br w:type="textWrapping"/>
            </w:r>
            <w:r>
              <w:rPr>
                <w:rFonts w:hint="eastAsia" w:ascii="宋体" w:hAnsi="宋体" w:cs="宋体"/>
              </w:rPr>
              <w:t>尺寸：约40cmX50cmX2mm厚</w:t>
            </w:r>
            <w:r>
              <w:rPr>
                <w:rFonts w:hint="eastAsia" w:ascii="宋体" w:hAnsi="宋体" w:cs="宋体"/>
              </w:rPr>
              <w:br w:type="textWrapping"/>
            </w:r>
            <w:r>
              <w:rPr>
                <w:rFonts w:hint="eastAsia" w:ascii="宋体" w:hAnsi="宋体" w:cs="宋体"/>
              </w:rPr>
              <w:t>规格：100片/箱</w:t>
            </w:r>
            <w:r>
              <w:rPr>
                <w:rFonts w:hint="eastAsia" w:ascii="宋体" w:hAnsi="宋体" w:cs="宋体"/>
              </w:rPr>
              <w:br w:type="textWrapping"/>
            </w:r>
            <w:r>
              <w:rPr>
                <w:rFonts w:hint="eastAsia" w:ascii="宋体" w:hAnsi="宋体" w:cs="宋体"/>
              </w:rPr>
              <w:t>吸附量：约为自重的12倍</w:t>
            </w:r>
            <w:r>
              <w:rPr>
                <w:rFonts w:hint="eastAsia" w:ascii="宋体" w:hAnsi="宋体" w:cs="宋体"/>
              </w:rPr>
              <w:br w:type="textWrapping"/>
            </w:r>
            <w:r>
              <w:rPr>
                <w:rFonts w:hint="eastAsia" w:ascii="宋体" w:hAnsi="宋体" w:cs="宋体"/>
              </w:rPr>
              <w:t>使用方法：</w:t>
            </w:r>
            <w:r>
              <w:rPr>
                <w:rFonts w:hint="eastAsia" w:ascii="宋体" w:hAnsi="宋体" w:cs="宋体"/>
              </w:rPr>
              <w:br w:type="textWrapping"/>
            </w:r>
            <w:r>
              <w:rPr>
                <w:rFonts w:hint="eastAsia" w:ascii="宋体" w:hAnsi="宋体" w:cs="宋体"/>
              </w:rPr>
              <w:t>直接将吸附垫置于需要吸附的地面或物体表面，拧干后可重复使用。</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1600</w:t>
            </w:r>
          </w:p>
        </w:tc>
      </w:tr>
      <w:tr>
        <w:tblPrEx>
          <w:tblCellMar>
            <w:top w:w="0" w:type="dxa"/>
            <w:left w:w="108" w:type="dxa"/>
            <w:bottom w:w="0" w:type="dxa"/>
            <w:right w:w="108" w:type="dxa"/>
          </w:tblCellMar>
        </w:tblPrEx>
        <w:trPr>
          <w:trHeight w:val="4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集污袋</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应用场合：</w:t>
            </w:r>
            <w:r>
              <w:rPr>
                <w:rFonts w:hint="eastAsia" w:ascii="宋体" w:hAnsi="宋体" w:cs="宋体"/>
              </w:rPr>
              <w:br w:type="textWrapping"/>
            </w:r>
            <w:r>
              <w:rPr>
                <w:rFonts w:hint="eastAsia" w:ascii="宋体" w:hAnsi="宋体" w:cs="宋体"/>
              </w:rPr>
              <w:t>量轻，可折叠，使用寿命长，维护简单，耐腐蚀 。用于收集不同的污染液体，污水袋上配有一个进水阀，一个出水阀， 用于救援时密封盛装污水。</w:t>
            </w:r>
            <w:r>
              <w:rPr>
                <w:rFonts w:hint="eastAsia" w:ascii="宋体" w:hAnsi="宋体" w:cs="宋体"/>
              </w:rPr>
              <w:br w:type="textWrapping"/>
            </w:r>
            <w:r>
              <w:rPr>
                <w:rFonts w:hint="eastAsia" w:ascii="宋体" w:hAnsi="宋体" w:cs="宋体"/>
              </w:rPr>
              <w:t>技术参数：</w:t>
            </w:r>
            <w:r>
              <w:rPr>
                <w:rFonts w:hint="eastAsia" w:ascii="宋体" w:hAnsi="宋体" w:cs="宋体"/>
              </w:rPr>
              <w:br w:type="textWrapping"/>
            </w:r>
            <w:r>
              <w:rPr>
                <w:rFonts w:hint="eastAsia" w:ascii="宋体" w:hAnsi="宋体" w:cs="宋体"/>
              </w:rPr>
              <w:t>材质：耐腐蚀PVC</w:t>
            </w:r>
            <w:r>
              <w:rPr>
                <w:rFonts w:hint="eastAsia" w:ascii="宋体" w:hAnsi="宋体" w:cs="宋体"/>
              </w:rPr>
              <w:br w:type="textWrapping"/>
            </w:r>
            <w:r>
              <w:rPr>
                <w:rFonts w:hint="eastAsia" w:ascii="宋体" w:hAnsi="宋体" w:cs="宋体"/>
              </w:rPr>
              <w:t>厚度：约1mm</w:t>
            </w:r>
            <w:r>
              <w:rPr>
                <w:rFonts w:hint="eastAsia" w:ascii="宋体" w:hAnsi="宋体" w:cs="宋体"/>
              </w:rPr>
              <w:br w:type="textWrapping"/>
            </w:r>
            <w:r>
              <w:rPr>
                <w:rFonts w:hint="eastAsia" w:ascii="宋体" w:hAnsi="宋体" w:cs="宋体"/>
              </w:rPr>
              <w:t>重量：约4kg</w:t>
            </w:r>
            <w:r>
              <w:rPr>
                <w:rFonts w:hint="eastAsia" w:ascii="宋体" w:hAnsi="宋体" w:cs="宋体"/>
              </w:rPr>
              <w:br w:type="textWrapping"/>
            </w:r>
            <w:r>
              <w:rPr>
                <w:rFonts w:hint="eastAsia" w:ascii="宋体" w:hAnsi="宋体" w:cs="宋体"/>
              </w:rPr>
              <w:t>撕裂强度：径向≥384N，伟向≥298.3N</w:t>
            </w:r>
            <w:r>
              <w:rPr>
                <w:rFonts w:hint="eastAsia" w:ascii="宋体" w:hAnsi="宋体" w:cs="宋体"/>
              </w:rPr>
              <w:br w:type="textWrapping"/>
            </w:r>
            <w:r>
              <w:rPr>
                <w:rFonts w:hint="eastAsia" w:ascii="宋体" w:hAnsi="宋体" w:cs="宋体"/>
              </w:rPr>
              <w:t>耐温性能：约-40℃~60℃</w:t>
            </w:r>
            <w:r>
              <w:rPr>
                <w:rFonts w:hint="eastAsia" w:ascii="宋体" w:hAnsi="宋体" w:cs="宋体"/>
              </w:rPr>
              <w:br w:type="textWrapping"/>
            </w:r>
            <w:r>
              <w:rPr>
                <w:rFonts w:hint="eastAsia" w:ascii="宋体" w:hAnsi="宋体" w:cs="宋体"/>
              </w:rPr>
              <w:t>规格：约500L</w:t>
            </w:r>
            <w:r>
              <w:rPr>
                <w:rFonts w:hint="eastAsia" w:ascii="宋体" w:hAnsi="宋体" w:cs="宋体"/>
              </w:rPr>
              <w:br w:type="textWrapping"/>
            </w:r>
            <w:r>
              <w:rPr>
                <w:rFonts w:hint="eastAsia" w:ascii="宋体" w:hAnsi="宋体" w:cs="宋体"/>
              </w:rPr>
              <w:t>使用方法：</w:t>
            </w:r>
            <w:r>
              <w:rPr>
                <w:rFonts w:hint="eastAsia" w:ascii="宋体" w:hAnsi="宋体" w:cs="宋体"/>
              </w:rPr>
              <w:br w:type="textWrapping"/>
            </w:r>
            <w:r>
              <w:rPr>
                <w:rFonts w:hint="eastAsia" w:ascii="宋体" w:hAnsi="宋体" w:cs="宋体"/>
              </w:rPr>
              <w:t>打开进液阀，通过软管将所需要的液体输入袋内，装满后关上阀门即可转运到指定地点。底部带泄水阀，可轻松卸料。</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r>
      <w:tr>
        <w:tblPrEx>
          <w:tblCellMar>
            <w:top w:w="0" w:type="dxa"/>
            <w:left w:w="108" w:type="dxa"/>
            <w:bottom w:w="0" w:type="dxa"/>
            <w:right w:w="108" w:type="dxa"/>
          </w:tblCellMar>
        </w:tblPrEx>
        <w:trPr>
          <w:trHeight w:val="52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单人洗消帐篷</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1.产品洗消淋浴间对外封闭性良好，帐篷和洗消间可折叠打包；</w:t>
            </w:r>
            <w:r>
              <w:rPr>
                <w:rFonts w:hint="eastAsia" w:ascii="宋体" w:hAnsi="宋体" w:cs="宋体"/>
              </w:rPr>
              <w:br w:type="textWrapping"/>
            </w:r>
            <w:r>
              <w:rPr>
                <w:rFonts w:hint="eastAsia" w:ascii="宋体" w:hAnsi="宋体" w:cs="宋体"/>
              </w:rPr>
              <w:t>2.气柱的橡胶布厚度为 0.60mm～0.65mm；</w:t>
            </w:r>
            <w:r>
              <w:rPr>
                <w:rFonts w:hint="eastAsia" w:ascii="宋体" w:hAnsi="宋体" w:cs="宋体"/>
              </w:rPr>
              <w:br w:type="textWrapping"/>
            </w:r>
            <w:r>
              <w:rPr>
                <w:rFonts w:hint="eastAsia" w:ascii="宋体" w:hAnsi="宋体" w:cs="宋体"/>
              </w:rPr>
              <w:t>3.气柱的橡胶布经、纬向拉升强度≧2255N；</w:t>
            </w:r>
            <w:r>
              <w:rPr>
                <w:rFonts w:hint="eastAsia" w:ascii="宋体" w:hAnsi="宋体" w:cs="宋体"/>
              </w:rPr>
              <w:br w:type="textWrapping"/>
            </w:r>
            <w:r>
              <w:rPr>
                <w:rFonts w:hint="eastAsia" w:ascii="宋体" w:hAnsi="宋体" w:cs="宋体"/>
              </w:rPr>
              <w:t>4.气柱的橡胶布防弱酸、碱性能。橡胶布在浓度40%H2SO4，30%HNO3，15%HCL和3.1MOL/LNaOH、高度为10mm的液柱下各1h不渗漏；</w:t>
            </w:r>
            <w:r>
              <w:rPr>
                <w:rFonts w:hint="eastAsia" w:ascii="宋体" w:hAnsi="宋体" w:cs="宋体"/>
              </w:rPr>
              <w:br w:type="textWrapping"/>
            </w:r>
            <w:r>
              <w:rPr>
                <w:rFonts w:hint="eastAsia" w:ascii="宋体" w:hAnsi="宋体" w:cs="宋体"/>
              </w:rPr>
              <w:t>5.橡胶布耐老化性能：橡胶布经 70℃ 、24h 老化试验后的强度≧老化前 强度的 90%。老化后的尺寸变化率≤20%；</w:t>
            </w:r>
            <w:r>
              <w:rPr>
                <w:rFonts w:hint="eastAsia" w:ascii="宋体" w:hAnsi="宋体" w:cs="宋体"/>
              </w:rPr>
              <w:br w:type="textWrapping"/>
            </w:r>
            <w:r>
              <w:rPr>
                <w:rFonts w:hint="eastAsia" w:ascii="宋体" w:hAnsi="宋体" w:cs="宋体"/>
              </w:rPr>
              <w:t>6.气柱的橡胶布耐寒性能：橡胶布在-25℃温度下保持 5min，经折叠 180° 无裂缝；</w:t>
            </w:r>
            <w:r>
              <w:rPr>
                <w:rFonts w:hint="eastAsia" w:ascii="宋体" w:hAnsi="宋体" w:cs="宋体"/>
              </w:rPr>
              <w:br w:type="textWrapping"/>
            </w:r>
            <w:r>
              <w:rPr>
                <w:rFonts w:hint="eastAsia" w:ascii="宋体" w:hAnsi="宋体" w:cs="宋体"/>
              </w:rPr>
              <w:t>7.气柱的橡胶布耐汽油性能：在 120 ﹟汽油中浸 30s，无裂纹、不发粘；</w:t>
            </w:r>
            <w:r>
              <w:rPr>
                <w:rFonts w:hint="eastAsia" w:ascii="宋体" w:hAnsi="宋体" w:cs="宋体"/>
              </w:rPr>
              <w:br w:type="textWrapping"/>
            </w:r>
            <w:r>
              <w:rPr>
                <w:rFonts w:hint="eastAsia" w:ascii="宋体" w:hAnsi="宋体" w:cs="宋体"/>
              </w:rPr>
              <w:t>8.气柱气密要求： 在工作压力下持续 1h 后，压力下降≤工作压力的 5%；</w:t>
            </w:r>
            <w:r>
              <w:rPr>
                <w:rFonts w:hint="eastAsia" w:ascii="宋体" w:hAnsi="宋体" w:cs="宋体"/>
              </w:rPr>
              <w:br w:type="textWrapping"/>
            </w:r>
            <w:r>
              <w:rPr>
                <w:rFonts w:hint="eastAsia" w:ascii="宋体" w:hAnsi="宋体" w:cs="宋体"/>
              </w:rPr>
              <w:t>9.帐篷四周的风浪绳的拉伸强度≧1000N；</w:t>
            </w:r>
            <w:r>
              <w:rPr>
                <w:rFonts w:hint="eastAsia" w:ascii="宋体" w:hAnsi="宋体" w:cs="宋体"/>
              </w:rPr>
              <w:br w:type="textWrapping"/>
            </w:r>
            <w:r>
              <w:rPr>
                <w:rFonts w:hint="eastAsia" w:ascii="宋体" w:hAnsi="宋体" w:cs="宋体"/>
              </w:rPr>
              <w:t>10.篷布胶布的厚度约为 0.22mm；</w:t>
            </w:r>
            <w:r>
              <w:rPr>
                <w:rFonts w:hint="eastAsia" w:ascii="宋体" w:hAnsi="宋体" w:cs="宋体"/>
              </w:rPr>
              <w:br w:type="textWrapping"/>
            </w:r>
            <w:r>
              <w:rPr>
                <w:rFonts w:hint="eastAsia" w:ascii="宋体" w:hAnsi="宋体" w:cs="宋体"/>
              </w:rPr>
              <w:t>11.洗消帐篷外形尺寸长*宽*高≥2*2*2m。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简易洗消喷淋器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可为污染人员或物体进行全方位清洗，四面喷头，多喷嘴，易携带，重 量轻，功效强大，配有不易破损软管支脚，遇压呈刚性。工作压力： 约3-7bar， 流量： 不小于 20 升/分钟，重量： ≤ 25kg，材质： 不锈钢支架。</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w:t>
            </w:r>
          </w:p>
        </w:tc>
      </w:tr>
      <w:tr>
        <w:tblPrEx>
          <w:tblCellMar>
            <w:top w:w="0" w:type="dxa"/>
            <w:left w:w="108" w:type="dxa"/>
            <w:bottom w:w="0" w:type="dxa"/>
            <w:right w:w="108" w:type="dxa"/>
          </w:tblCellMar>
        </w:tblPrEx>
        <w:trPr>
          <w:trHeight w:val="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强酸、碱洗消器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利用压缩空气为动力和便携式压力喷洒装置，将特殊的净化药业形成雾 状喷射，可直接对人体表面进行清洗。</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强酸、碱清洗剂（100ml)</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技术性能要求：可用于应急清洗手部及小面积皮肤表面因受酸碱腐蚀导致的伤害。专用的清洗药液体可同时清洗酸性或碱性物质，药液无失效期。容量：≥500毫升。</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79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三合一强氧化洗消粉(kg)</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与水溶解后可对酸、碱物质进行表面洗消。适用于城市水处理和公共场所防止霉菌，特别是洪涝灾害大面积消毒和饮用水使用，杀灭细菌、真菌、大肠杆菌等各种微生物和病毒。消毒时间：约30-60min；每袋净重：≥500g；混合比：一般传染病源消毒(1:500)重度污染(1:200)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三合二洗消剂(kg)</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用做对地面、装备进行洗消，不能对精密仪器、电子设备及不耐腐蚀的物体表面洗消。主要成分为次氯酸钙。稳定性强，在常温下，可保存较长时间，有效氯含量损失较少，溶解度高，极易溶于水形成高浓度漂白，不溶物少。消毒时间大于：约30min；每袋净重：≥500g；含量：60%-70%；混合比：一般传染病源消毒(1:2000)重度污染(1:1000)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w:t>
            </w:r>
          </w:p>
        </w:tc>
      </w:tr>
      <w:tr>
        <w:tblPrEx>
          <w:tblCellMar>
            <w:top w:w="0" w:type="dxa"/>
            <w:left w:w="108" w:type="dxa"/>
            <w:bottom w:w="0" w:type="dxa"/>
            <w:right w:w="108" w:type="dxa"/>
          </w:tblCellMar>
        </w:tblPrEx>
        <w:trPr>
          <w:trHeight w:val="2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有机磷降解酶(kg)</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国家现行有关标准、规范。可直接用于洗消被有机磷、液氯等有毒化学品污染的身体、装备、设施，修复被有毒化学品污染的空气、水源和土壤，特别适用于处理农药厂、化工厂、炼油厂爆炸、泄漏等突发事故。性状：颗粒。总酶活：不少于7.6×108IU/kg；每盒的包装规格：≥1000g/盒。洗消剂本身无毒、无腐蚀、无刺激，降解后产物无毒害，无二次污染。按照1：10000的配比浓度与水均匀混合，根据灾害范围及严重程度分别装入不同容积的消防车内形成水溶液洗消剂，可直接进行喷洒洗消作业。</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消毒粉(kg)</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符合国家现行有关标准、规范。用于皮肤、服装、装备的局部消毒。可吸附各种液态化学品。主要成分为蒙脱土，不溶于水和有机溶剂，无腐蚀性。不少于500g/包。</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w:t>
            </w:r>
          </w:p>
        </w:tc>
      </w:tr>
      <w:tr>
        <w:tblPrEx>
          <w:tblCellMar>
            <w:top w:w="0" w:type="dxa"/>
            <w:left w:w="108" w:type="dxa"/>
            <w:bottom w:w="0" w:type="dxa"/>
            <w:right w:w="108" w:type="dxa"/>
          </w:tblCellMar>
        </w:tblPrEx>
        <w:trPr>
          <w:trHeight w:val="33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移动式排烟机</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1.符合国家相关标准要求，提供能证明符合国家标准(具有MA或CNAS认证)的第三方检测机构出具的检验报告。</w:t>
            </w:r>
            <w:r>
              <w:rPr>
                <w:rFonts w:hint="eastAsia" w:ascii="宋体" w:hAnsi="宋体" w:cs="宋体"/>
              </w:rPr>
              <w:br w:type="textWrapping"/>
            </w:r>
            <w:r>
              <w:rPr>
                <w:rFonts w:hint="eastAsia" w:ascii="宋体" w:hAnsi="宋体" w:cs="宋体"/>
              </w:rPr>
              <w:t>2、▲流量≥65000m3/h；</w:t>
            </w:r>
            <w:r>
              <w:rPr>
                <w:rFonts w:hint="eastAsia" w:ascii="宋体" w:hAnsi="宋体" w:cs="宋体"/>
              </w:rPr>
              <w:br w:type="textWrapping"/>
            </w:r>
            <w:r>
              <w:rPr>
                <w:rFonts w:hint="eastAsia" w:ascii="宋体" w:hAnsi="宋体" w:cs="宋体"/>
              </w:rPr>
              <w:t>3、▲额定功率≥4.1KW，搭载本田Honda GX200发动机。</w:t>
            </w:r>
            <w:r>
              <w:rPr>
                <w:rFonts w:hint="eastAsia" w:ascii="宋体" w:hAnsi="宋体" w:cs="宋体"/>
              </w:rPr>
              <w:br w:type="textWrapping"/>
            </w:r>
            <w:r>
              <w:rPr>
                <w:rFonts w:hint="eastAsia" w:ascii="宋体" w:hAnsi="宋体" w:cs="宋体"/>
              </w:rPr>
              <w:t>4、▲额定转速≥3600rpm</w:t>
            </w:r>
            <w:r>
              <w:rPr>
                <w:rFonts w:hint="eastAsia" w:ascii="宋体" w:hAnsi="宋体" w:cs="宋体"/>
              </w:rPr>
              <w:br w:type="textWrapping"/>
            </w:r>
            <w:r>
              <w:rPr>
                <w:rFonts w:hint="eastAsia" w:ascii="宋体" w:hAnsi="宋体" w:cs="宋体"/>
              </w:rPr>
              <w:t>5、▲叶轮直径约460mm左右</w:t>
            </w:r>
            <w:r>
              <w:rPr>
                <w:rFonts w:hint="eastAsia" w:ascii="宋体" w:hAnsi="宋体" w:cs="宋体"/>
              </w:rPr>
              <w:br w:type="textWrapping"/>
            </w:r>
            <w:r>
              <w:rPr>
                <w:rFonts w:hint="eastAsia" w:ascii="宋体" w:hAnsi="宋体" w:cs="宋体"/>
              </w:rPr>
              <w:t>6、▲重量≤38kg；</w:t>
            </w:r>
            <w:r>
              <w:rPr>
                <w:rFonts w:hint="eastAsia" w:ascii="宋体" w:hAnsi="宋体" w:cs="宋体"/>
              </w:rPr>
              <w:br w:type="textWrapping"/>
            </w:r>
            <w:r>
              <w:rPr>
                <w:rFonts w:hint="eastAsia" w:ascii="宋体" w:hAnsi="宋体" w:cs="宋体"/>
              </w:rPr>
              <w:t>7、噪声≤87db@3m</w:t>
            </w:r>
            <w:r>
              <w:rPr>
                <w:rFonts w:hint="eastAsia" w:ascii="宋体" w:hAnsi="宋体" w:cs="宋体"/>
              </w:rPr>
              <w:br w:type="textWrapping"/>
            </w:r>
            <w:r>
              <w:rPr>
                <w:rFonts w:hint="eastAsia" w:ascii="宋体" w:hAnsi="宋体" w:cs="宋体"/>
              </w:rPr>
              <w:t>8、▲持续运行时间≥2.5小时</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35000</w:t>
            </w:r>
          </w:p>
        </w:tc>
      </w:tr>
      <w:tr>
        <w:tblPrEx>
          <w:tblCellMar>
            <w:top w:w="0" w:type="dxa"/>
            <w:left w:w="108" w:type="dxa"/>
            <w:bottom w:w="0" w:type="dxa"/>
            <w:right w:w="108" w:type="dxa"/>
          </w:tblCellMar>
        </w:tblPrEx>
        <w:trPr>
          <w:trHeight w:val="4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移动发电机</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1.发动机型式：四冲程 风冷 双缸；</w:t>
            </w:r>
            <w:r>
              <w:rPr>
                <w:rFonts w:hint="eastAsia" w:ascii="宋体" w:hAnsi="宋体" w:cs="宋体"/>
              </w:rPr>
              <w:br w:type="textWrapping"/>
            </w:r>
            <w:r>
              <w:rPr>
                <w:rFonts w:hint="eastAsia" w:ascii="宋体" w:hAnsi="宋体" w:cs="宋体"/>
              </w:rPr>
              <w:t>2.排气量（cm³）：≥ 990 ；</w:t>
            </w:r>
            <w:r>
              <w:rPr>
                <w:rFonts w:hint="eastAsia" w:ascii="宋体" w:hAnsi="宋体" w:cs="宋体"/>
              </w:rPr>
              <w:br w:type="textWrapping"/>
            </w:r>
            <w:r>
              <w:rPr>
                <w:rFonts w:hint="eastAsia" w:ascii="宋体" w:hAnsi="宋体" w:cs="宋体"/>
              </w:rPr>
              <w:t>3.最大输出功率(kw/rpm)：约16/3600 ；</w:t>
            </w:r>
            <w:r>
              <w:rPr>
                <w:rFonts w:hint="eastAsia" w:ascii="宋体" w:hAnsi="宋体" w:cs="宋体"/>
              </w:rPr>
              <w:br w:type="textWrapping"/>
            </w:r>
            <w:r>
              <w:rPr>
                <w:rFonts w:hint="eastAsia" w:ascii="宋体" w:hAnsi="宋体" w:cs="宋体"/>
              </w:rPr>
              <w:t>4.燃烧系统 ：直喷式；</w:t>
            </w:r>
            <w:r>
              <w:rPr>
                <w:rFonts w:hint="eastAsia" w:ascii="宋体" w:hAnsi="宋体" w:cs="宋体"/>
              </w:rPr>
              <w:br w:type="textWrapping"/>
            </w:r>
            <w:r>
              <w:rPr>
                <w:rFonts w:hint="eastAsia" w:ascii="宋体" w:hAnsi="宋体" w:cs="宋体"/>
              </w:rPr>
              <w:t>5.起动系统：电启动 ；</w:t>
            </w:r>
            <w:r>
              <w:rPr>
                <w:rFonts w:hint="eastAsia" w:ascii="宋体" w:hAnsi="宋体" w:cs="宋体"/>
              </w:rPr>
              <w:br w:type="textWrapping"/>
            </w:r>
            <w:r>
              <w:rPr>
                <w:rFonts w:hint="eastAsia" w:ascii="宋体" w:hAnsi="宋体" w:cs="宋体"/>
              </w:rPr>
              <w:t>6.燃油箱容量(L)：≥45 ；</w:t>
            </w:r>
            <w:r>
              <w:rPr>
                <w:rFonts w:hint="eastAsia" w:ascii="宋体" w:hAnsi="宋体" w:cs="宋体"/>
              </w:rPr>
              <w:br w:type="textWrapping"/>
            </w:r>
            <w:r>
              <w:rPr>
                <w:rFonts w:hint="eastAsia" w:ascii="宋体" w:hAnsi="宋体" w:cs="宋体"/>
              </w:rPr>
              <w:t>7.连续工作时间（Hr）：≥17 ；</w:t>
            </w:r>
            <w:r>
              <w:rPr>
                <w:rFonts w:hint="eastAsia" w:ascii="宋体" w:hAnsi="宋体" w:cs="宋体"/>
              </w:rPr>
              <w:br w:type="textWrapping"/>
            </w:r>
            <w:r>
              <w:rPr>
                <w:rFonts w:hint="eastAsia" w:ascii="宋体" w:hAnsi="宋体" w:cs="宋体"/>
              </w:rPr>
              <w:t>8.噪音（距7米处）（db）： ≤100；</w:t>
            </w:r>
            <w:r>
              <w:rPr>
                <w:rFonts w:hint="eastAsia" w:ascii="宋体" w:hAnsi="宋体" w:cs="宋体"/>
              </w:rPr>
              <w:br w:type="textWrapping"/>
            </w:r>
            <w:r>
              <w:rPr>
                <w:rFonts w:hint="eastAsia" w:ascii="宋体" w:hAnsi="宋体" w:cs="宋体"/>
              </w:rPr>
              <w:t>9.单相额定功率≥10.0kw，三相额定功率≥10.0kw；</w:t>
            </w:r>
            <w:r>
              <w:rPr>
                <w:rFonts w:hint="eastAsia" w:ascii="宋体" w:hAnsi="宋体" w:cs="宋体"/>
              </w:rPr>
              <w:br w:type="textWrapping"/>
            </w:r>
            <w:r>
              <w:rPr>
                <w:rFonts w:hint="eastAsia" w:ascii="宋体" w:hAnsi="宋体" w:cs="宋体"/>
              </w:rPr>
              <w:t>10.单相额定电压(V) :220v，三相额定电压(V)：380v；</w:t>
            </w:r>
            <w:r>
              <w:rPr>
                <w:rFonts w:hint="eastAsia" w:ascii="宋体" w:hAnsi="宋体" w:cs="宋体"/>
              </w:rPr>
              <w:br w:type="textWrapping"/>
            </w:r>
            <w:r>
              <w:rPr>
                <w:rFonts w:hint="eastAsia" w:ascii="宋体" w:hAnsi="宋体" w:cs="宋体"/>
              </w:rPr>
              <w:t>11.单相额定电流(A) :43.5A，三相额定电流(A)：18.5A；</w:t>
            </w:r>
            <w:r>
              <w:rPr>
                <w:rFonts w:hint="eastAsia" w:ascii="宋体" w:hAnsi="宋体" w:cs="宋体"/>
              </w:rPr>
              <w:br w:type="textWrapping"/>
            </w:r>
            <w:r>
              <w:rPr>
                <w:rFonts w:hint="eastAsia" w:ascii="宋体" w:hAnsi="宋体" w:cs="宋体"/>
              </w:rPr>
              <w:t>12.毛重/净重(kg): ≦260/240kg ；</w:t>
            </w:r>
            <w:r>
              <w:rPr>
                <w:rFonts w:hint="eastAsia" w:ascii="宋体" w:hAnsi="宋体" w:cs="宋体"/>
              </w:rPr>
              <w:br w:type="textWrapping"/>
            </w:r>
            <w:r>
              <w:rPr>
                <w:rFonts w:hint="eastAsia" w:ascii="宋体" w:hAnsi="宋体" w:cs="宋体"/>
              </w:rPr>
              <w:t>13.机器配有4个移动轮和手推杆</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20000</w:t>
            </w:r>
          </w:p>
        </w:tc>
      </w:tr>
      <w:tr>
        <w:tblPrEx>
          <w:tblCellMar>
            <w:top w:w="0" w:type="dxa"/>
            <w:left w:w="108" w:type="dxa"/>
            <w:bottom w:w="0" w:type="dxa"/>
            <w:right w:w="108" w:type="dxa"/>
          </w:tblCellMar>
        </w:tblPrEx>
        <w:trPr>
          <w:trHeight w:val="22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A类泡沫灭火剂（吨）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剂凝固点：≤-24℃；抗冻结、融化性：无可见分层和非均相；流动性：泡沫液流量不小于标准参比液的流量或泡沫液的粘度值不大于标准参比液的粘度值；PH值：6.0～9.5；腐蚀率/［mg/(d.dm2)］：Q235钢片：≤3.0  LF21铝片：≤0.5；发泡倍数：在混合比为0.5%条件下，发泡倍数≥27倍；25%析水时间/min：温度处理前：≥10.0min；隔热防护性能：在混合比为 3%的条件下，25%析液时间≥20.0min,且发泡倍数≥30.0倍。</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44000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水成膜泡沫灭火剂（吨）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凝固点：≤-12℃；抗冻结、融化性：无可见分层和非均相；比流动性：泡沫液流量不小于标准参比液的流量或泡沫液的粘度值不大于标准参比液的粘度值；PH值：6.0～9.5；腐蚀率/［mg/(d.dm2)］：Q235钢片：≤10.0  LF21铝片：≤1.0；6、发泡倍数：（温度处理前）≥6.0倍；25%析液时间/min：（温度处理前）≥3.0min；灭火性能：灭火时间：≤3min，抗烧时间：≥15min。</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11000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66000</w:t>
            </w:r>
          </w:p>
        </w:tc>
      </w:tr>
      <w:tr>
        <w:tblPrEx>
          <w:tblCellMar>
            <w:top w:w="0" w:type="dxa"/>
            <w:left w:w="108" w:type="dxa"/>
            <w:bottom w:w="0" w:type="dxa"/>
            <w:right w:w="108" w:type="dxa"/>
          </w:tblCellMar>
        </w:tblPrEx>
        <w:trPr>
          <w:trHeight w:val="4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大流量移动消防炮</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 xml:space="preserve">总体要求：符合GB 19156-2003《消防炮通用技术条件》规范，提供产品检测报告，产品使用说明书。 大流量移动消防炮由炮座、炮体、炮头、遥控器、信号接收机等组成。 （三） 炮体材料：防腐蚀铝合金材料。 （四） 性能参数要求： </w:t>
            </w:r>
            <w:r>
              <w:rPr>
                <w:rFonts w:hint="eastAsia" w:ascii="宋体" w:hAnsi="宋体" w:cs="宋体"/>
              </w:rPr>
              <w:br w:type="textWrapping"/>
            </w:r>
            <w:r>
              <w:rPr>
                <w:rFonts w:hint="eastAsia" w:ascii="宋体" w:hAnsi="宋体" w:cs="宋体"/>
              </w:rPr>
              <w:t xml:space="preserve">1、流量：≥80L/s，流量自动调节，水、泡沫两用炮头； </w:t>
            </w:r>
            <w:r>
              <w:rPr>
                <w:rFonts w:hint="eastAsia" w:ascii="宋体" w:hAnsi="宋体" w:cs="宋体"/>
              </w:rPr>
              <w:br w:type="textWrapping"/>
            </w:r>
            <w:r>
              <w:rPr>
                <w:rFonts w:hint="eastAsia" w:ascii="宋体" w:hAnsi="宋体" w:cs="宋体"/>
              </w:rPr>
              <w:t xml:space="preserve">2、压力：约1.2Mpa， </w:t>
            </w:r>
            <w:r>
              <w:rPr>
                <w:rFonts w:hint="eastAsia" w:ascii="宋体" w:hAnsi="宋体" w:cs="宋体"/>
              </w:rPr>
              <w:br w:type="textWrapping"/>
            </w:r>
            <w:r>
              <w:rPr>
                <w:rFonts w:hint="eastAsia" w:ascii="宋体" w:hAnsi="宋体" w:cs="宋体"/>
              </w:rPr>
              <w:t xml:space="preserve">3、射程：水≥80m，泡沫混合液≥60m； </w:t>
            </w:r>
            <w:r>
              <w:rPr>
                <w:rFonts w:hint="eastAsia" w:ascii="宋体" w:hAnsi="宋体" w:cs="宋体"/>
              </w:rPr>
              <w:br w:type="textWrapping"/>
            </w:r>
            <w:r>
              <w:rPr>
                <w:rFonts w:hint="eastAsia" w:ascii="宋体" w:hAnsi="宋体" w:cs="宋体"/>
              </w:rPr>
              <w:t xml:space="preserve">4、遥控距离：≥150m～≦300m； </w:t>
            </w:r>
            <w:r>
              <w:rPr>
                <w:rFonts w:hint="eastAsia" w:ascii="宋体" w:hAnsi="宋体" w:cs="宋体"/>
              </w:rPr>
              <w:br w:type="textWrapping"/>
            </w:r>
            <w:r>
              <w:rPr>
                <w:rFonts w:hint="eastAsia" w:ascii="宋体" w:hAnsi="宋体" w:cs="宋体"/>
              </w:rPr>
              <w:t xml:space="preserve">5、喷雾角：≥100°； </w:t>
            </w:r>
            <w:r>
              <w:rPr>
                <w:rFonts w:hint="eastAsia" w:ascii="宋体" w:hAnsi="宋体" w:cs="宋体"/>
              </w:rPr>
              <w:br w:type="textWrapping"/>
            </w:r>
            <w:r>
              <w:rPr>
                <w:rFonts w:hint="eastAsia" w:ascii="宋体" w:hAnsi="宋体" w:cs="宋体"/>
              </w:rPr>
              <w:t xml:space="preserve">6、仰俯角：+30°～+70°； </w:t>
            </w:r>
            <w:r>
              <w:rPr>
                <w:rFonts w:hint="eastAsia" w:ascii="宋体" w:hAnsi="宋体" w:cs="宋体"/>
              </w:rPr>
              <w:br w:type="textWrapping"/>
            </w:r>
            <w:r>
              <w:rPr>
                <w:rFonts w:hint="eastAsia" w:ascii="宋体" w:hAnsi="宋体" w:cs="宋体"/>
              </w:rPr>
              <w:t xml:space="preserve">7、水平回转角：≥90°； </w:t>
            </w:r>
            <w:r>
              <w:rPr>
                <w:rFonts w:hint="eastAsia" w:ascii="宋体" w:hAnsi="宋体" w:cs="宋体"/>
              </w:rPr>
              <w:br w:type="textWrapping"/>
            </w:r>
            <w:r>
              <w:rPr>
                <w:rFonts w:hint="eastAsia" w:ascii="宋体" w:hAnsi="宋体" w:cs="宋体"/>
              </w:rPr>
              <w:t xml:space="preserve">8、进水口径：快插式接口4*65mm ，可 360°旋转； </w:t>
            </w:r>
            <w:r>
              <w:rPr>
                <w:rFonts w:hint="eastAsia" w:ascii="宋体" w:hAnsi="宋体" w:cs="宋体"/>
              </w:rPr>
              <w:br w:type="textWrapping"/>
            </w:r>
            <w:r>
              <w:rPr>
                <w:rFonts w:hint="eastAsia" w:ascii="宋体" w:hAnsi="宋体" w:cs="宋体"/>
              </w:rPr>
              <w:t>9、质量：≤53kg。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r>
      <w:tr>
        <w:tblPrEx>
          <w:tblCellMar>
            <w:top w:w="0" w:type="dxa"/>
            <w:left w:w="108" w:type="dxa"/>
            <w:bottom w:w="0" w:type="dxa"/>
            <w:right w:w="108" w:type="dxa"/>
          </w:tblCellMar>
        </w:tblPrEx>
        <w:trPr>
          <w:trHeight w:val="52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空气充填泵</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排量：约330L/min</w:t>
            </w:r>
            <w:r>
              <w:rPr>
                <w:rFonts w:hint="eastAsia" w:ascii="宋体" w:hAnsi="宋体" w:cs="宋体"/>
              </w:rPr>
              <w:br w:type="textWrapping"/>
            </w:r>
            <w:r>
              <w:rPr>
                <w:rFonts w:hint="eastAsia" w:ascii="宋体" w:hAnsi="宋体" w:cs="宋体"/>
              </w:rPr>
              <w:t>最大工作压力：约330bar</w:t>
            </w:r>
            <w:r>
              <w:rPr>
                <w:rFonts w:hint="eastAsia" w:ascii="宋体" w:hAnsi="宋体" w:cs="宋体"/>
              </w:rPr>
              <w:br w:type="textWrapping"/>
            </w:r>
            <w:r>
              <w:rPr>
                <w:rFonts w:hint="eastAsia" w:ascii="宋体" w:hAnsi="宋体" w:cs="宋体"/>
              </w:rPr>
              <w:t>转速：约1660rpm</w:t>
            </w:r>
            <w:r>
              <w:rPr>
                <w:rFonts w:hint="eastAsia" w:ascii="宋体" w:hAnsi="宋体" w:cs="宋体"/>
              </w:rPr>
              <w:br w:type="textWrapping"/>
            </w:r>
            <w:r>
              <w:rPr>
                <w:rFonts w:hint="eastAsia" w:ascii="宋体" w:hAnsi="宋体" w:cs="宋体"/>
              </w:rPr>
              <w:t>气缸数/压缩级数：3/3 ，机油润滑</w:t>
            </w:r>
            <w:r>
              <w:rPr>
                <w:rFonts w:hint="eastAsia" w:ascii="宋体" w:hAnsi="宋体" w:cs="宋体"/>
              </w:rPr>
              <w:br w:type="textWrapping"/>
            </w:r>
            <w:r>
              <w:rPr>
                <w:rFonts w:hint="eastAsia" w:ascii="宋体" w:hAnsi="宋体" w:cs="宋体"/>
              </w:rPr>
              <w:t>驱动方式：三相电机380V/50Hz</w:t>
            </w:r>
            <w:r>
              <w:rPr>
                <w:rFonts w:hint="eastAsia" w:ascii="宋体" w:hAnsi="宋体" w:cs="宋体"/>
              </w:rPr>
              <w:br w:type="textWrapping"/>
            </w:r>
            <w:r>
              <w:rPr>
                <w:rFonts w:hint="eastAsia" w:ascii="宋体" w:hAnsi="宋体" w:cs="宋体"/>
              </w:rPr>
              <w:t>功率：约7.5kW</w:t>
            </w:r>
            <w:r>
              <w:rPr>
                <w:rFonts w:hint="eastAsia" w:ascii="宋体" w:hAnsi="宋体" w:cs="宋体"/>
              </w:rPr>
              <w:br w:type="textWrapping"/>
            </w:r>
            <w:r>
              <w:rPr>
                <w:rFonts w:hint="eastAsia" w:ascii="宋体" w:hAnsi="宋体" w:cs="宋体"/>
              </w:rPr>
              <w:t>冷却系统：风冷</w:t>
            </w:r>
            <w:r>
              <w:rPr>
                <w:rFonts w:hint="eastAsia" w:ascii="宋体" w:hAnsi="宋体" w:cs="宋体"/>
              </w:rPr>
              <w:br w:type="textWrapping"/>
            </w:r>
            <w:r>
              <w:rPr>
                <w:rFonts w:hint="eastAsia" w:ascii="宋体" w:hAnsi="宋体" w:cs="宋体"/>
              </w:rPr>
              <w:t>润滑方式：油泵润滑</w:t>
            </w:r>
            <w:r>
              <w:rPr>
                <w:rFonts w:hint="eastAsia" w:ascii="宋体" w:hAnsi="宋体" w:cs="宋体"/>
              </w:rPr>
              <w:br w:type="textWrapping"/>
            </w:r>
            <w:r>
              <w:rPr>
                <w:rFonts w:hint="eastAsia" w:ascii="宋体" w:hAnsi="宋体" w:cs="宋体"/>
              </w:rPr>
              <w:t>环境温度：+5℃~+45℃</w:t>
            </w:r>
            <w:r>
              <w:rPr>
                <w:rFonts w:hint="eastAsia" w:ascii="宋体" w:hAnsi="宋体" w:cs="宋体"/>
              </w:rPr>
              <w:br w:type="textWrapping"/>
            </w:r>
            <w:r>
              <w:rPr>
                <w:rFonts w:hint="eastAsia" w:ascii="宋体" w:hAnsi="宋体" w:cs="宋体"/>
              </w:rPr>
              <w:t>最大倾斜角度：约15°</w:t>
            </w:r>
            <w:r>
              <w:rPr>
                <w:rFonts w:hint="eastAsia" w:ascii="宋体" w:hAnsi="宋体" w:cs="宋体"/>
              </w:rPr>
              <w:br w:type="textWrapping"/>
            </w:r>
            <w:r>
              <w:rPr>
                <w:rFonts w:hint="eastAsia" w:ascii="宋体" w:hAnsi="宋体" w:cs="宋体"/>
              </w:rPr>
              <w:t>压缩气体经过冷却器后的温度大约高于环境温度10℃-15℃</w:t>
            </w:r>
            <w:r>
              <w:rPr>
                <w:rFonts w:hint="eastAsia" w:ascii="宋体" w:hAnsi="宋体" w:cs="宋体"/>
              </w:rPr>
              <w:br w:type="textWrapping"/>
            </w:r>
            <w:r>
              <w:rPr>
                <w:rFonts w:hint="eastAsia" w:ascii="宋体" w:hAnsi="宋体" w:cs="宋体"/>
              </w:rPr>
              <w:t>尺寸：约970mm×580mm×690mm</w:t>
            </w:r>
            <w:r>
              <w:rPr>
                <w:rFonts w:hint="eastAsia" w:ascii="宋体" w:hAnsi="宋体" w:cs="宋体"/>
              </w:rPr>
              <w:br w:type="textWrapping"/>
            </w:r>
            <w:r>
              <w:rPr>
                <w:rFonts w:hint="eastAsia" w:ascii="宋体" w:hAnsi="宋体" w:cs="宋体"/>
              </w:rPr>
              <w:t>重量：约170kg</w:t>
            </w:r>
            <w:r>
              <w:rPr>
                <w:rFonts w:hint="eastAsia" w:ascii="宋体" w:hAnsi="宋体" w:cs="宋体"/>
              </w:rPr>
              <w:br w:type="textWrapping"/>
            </w:r>
            <w:r>
              <w:rPr>
                <w:rFonts w:hint="eastAsia" w:ascii="宋体" w:hAnsi="宋体" w:cs="宋体"/>
              </w:rPr>
              <w:t>噪音等级：≥70分贝</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75000</w:t>
            </w:r>
          </w:p>
        </w:tc>
      </w:tr>
      <w:tr>
        <w:tblPrEx>
          <w:tblCellMar>
            <w:top w:w="0" w:type="dxa"/>
            <w:left w:w="108" w:type="dxa"/>
            <w:bottom w:w="0" w:type="dxa"/>
            <w:right w:w="108" w:type="dxa"/>
          </w:tblCellMar>
        </w:tblPrEx>
        <w:trPr>
          <w:trHeight w:val="4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消防移动储水装置</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1、总体要求：符合国家现行有关标准、规范。</w:t>
            </w:r>
            <w:r>
              <w:rPr>
                <w:rFonts w:hint="eastAsia" w:ascii="宋体" w:hAnsi="宋体" w:cs="宋体"/>
              </w:rPr>
              <w:br w:type="textWrapping"/>
            </w:r>
            <w:r>
              <w:rPr>
                <w:rFonts w:hint="eastAsia" w:ascii="宋体" w:hAnsi="宋体" w:cs="宋体"/>
              </w:rPr>
              <w:t>2、主要用途：贮水容器，可解决水资源应急。</w:t>
            </w:r>
            <w:r>
              <w:rPr>
                <w:rFonts w:hint="eastAsia" w:ascii="宋体" w:hAnsi="宋体" w:cs="宋体"/>
              </w:rPr>
              <w:br w:type="textWrapping"/>
            </w:r>
            <w:r>
              <w:rPr>
                <w:rFonts w:hint="eastAsia" w:ascii="宋体" w:hAnsi="宋体" w:cs="宋体"/>
              </w:rPr>
              <w:t>3、主要技术要求：</w:t>
            </w:r>
            <w:r>
              <w:rPr>
                <w:rFonts w:hint="eastAsia" w:ascii="宋体" w:hAnsi="宋体" w:cs="宋体"/>
              </w:rPr>
              <w:br w:type="textWrapping"/>
            </w:r>
            <w:r>
              <w:rPr>
                <w:rFonts w:hint="eastAsia" w:ascii="宋体" w:hAnsi="宋体" w:cs="宋体"/>
              </w:rPr>
              <w:t>3.1软体、折叠式，圆台形或圆葱形水罐。</w:t>
            </w:r>
            <w:r>
              <w:rPr>
                <w:rFonts w:hint="eastAsia" w:ascii="宋体" w:hAnsi="宋体" w:cs="宋体"/>
              </w:rPr>
              <w:br w:type="textWrapping"/>
            </w:r>
            <w:r>
              <w:rPr>
                <w:rFonts w:hint="eastAsia" w:ascii="宋体" w:hAnsi="宋体" w:cs="宋体"/>
              </w:rPr>
              <w:t>3.2由罐体及防尘盖组成，罐口为环形浮圈，注水时浮圈随水位上升而自动浮起，放水时浮圈随水位下降而自行落下。</w:t>
            </w:r>
            <w:r>
              <w:rPr>
                <w:rFonts w:hint="eastAsia" w:ascii="宋体" w:hAnsi="宋体" w:cs="宋体"/>
              </w:rPr>
              <w:br w:type="textWrapping"/>
            </w:r>
            <w:r>
              <w:rPr>
                <w:rFonts w:hint="eastAsia" w:ascii="宋体" w:hAnsi="宋体" w:cs="宋体"/>
              </w:rPr>
              <w:t>3.3强度高，重量轻，无毒，无味，不污染水质，耐老化、耐水性良好。</w:t>
            </w:r>
            <w:r>
              <w:rPr>
                <w:rFonts w:hint="eastAsia" w:ascii="宋体" w:hAnsi="宋体" w:cs="宋体"/>
              </w:rPr>
              <w:br w:type="textWrapping"/>
            </w:r>
            <w:r>
              <w:rPr>
                <w:rFonts w:hint="eastAsia" w:ascii="宋体" w:hAnsi="宋体" w:cs="宋体"/>
              </w:rPr>
              <w:t>3.4气密性：保压2h无泄漏，浮圈仍能保持形状。</w:t>
            </w:r>
            <w:r>
              <w:rPr>
                <w:rFonts w:hint="eastAsia" w:ascii="宋体" w:hAnsi="宋体" w:cs="宋体"/>
              </w:rPr>
              <w:br w:type="textWrapping"/>
            </w:r>
            <w:r>
              <w:rPr>
                <w:rFonts w:hint="eastAsia" w:ascii="宋体" w:hAnsi="宋体" w:cs="宋体"/>
              </w:rPr>
              <w:t>3.5空罐质量≤10kg。</w:t>
            </w:r>
            <w:r>
              <w:rPr>
                <w:rFonts w:hint="eastAsia" w:ascii="宋体" w:hAnsi="宋体" w:cs="宋体"/>
              </w:rPr>
              <w:br w:type="textWrapping"/>
            </w:r>
            <w:r>
              <w:rPr>
                <w:rFonts w:hint="eastAsia" w:ascii="宋体" w:hAnsi="宋体" w:cs="宋体"/>
              </w:rPr>
              <w:t>3.6参考容积：约1m³。</w:t>
            </w:r>
            <w:r>
              <w:rPr>
                <w:rFonts w:hint="eastAsia" w:ascii="宋体" w:hAnsi="宋体" w:cs="宋体"/>
              </w:rPr>
              <w:br w:type="textWrapping"/>
            </w:r>
            <w:r>
              <w:rPr>
                <w:rFonts w:hint="eastAsia" w:ascii="宋体" w:hAnsi="宋体" w:cs="宋体"/>
              </w:rPr>
              <w:t>4、备品、备件配件要求：无。</w:t>
            </w:r>
            <w:r>
              <w:rPr>
                <w:rFonts w:hint="eastAsia" w:ascii="宋体" w:hAnsi="宋体" w:cs="宋体"/>
              </w:rPr>
              <w:br w:type="textWrapping"/>
            </w:r>
            <w:r>
              <w:rPr>
                <w:rFonts w:hint="eastAsia" w:ascii="宋体" w:hAnsi="宋体" w:cs="宋体"/>
              </w:rPr>
              <w:t>5、永久性标签要求：标签包括如下内容:制造厂名称、地址和注册商标；产品名称及型号；生产日期和批号；产品执行标准的代号。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r>
      <w:tr>
        <w:tblPrEx>
          <w:tblCellMar>
            <w:top w:w="0" w:type="dxa"/>
            <w:left w:w="108" w:type="dxa"/>
            <w:bottom w:w="0" w:type="dxa"/>
            <w:right w:w="108" w:type="dxa"/>
          </w:tblCellMar>
        </w:tblPrEx>
        <w:trPr>
          <w:trHeight w:val="5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多功能消防水枪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1.流量范围:约6.5L/S-13.5L/S，</w:t>
            </w:r>
            <w:r>
              <w:rPr>
                <w:rFonts w:hint="eastAsia" w:ascii="宋体" w:hAnsi="宋体" w:cs="宋体"/>
              </w:rPr>
              <w:br w:type="textWrapping"/>
            </w:r>
            <w:r>
              <w:rPr>
                <w:rFonts w:hint="eastAsia" w:ascii="宋体" w:hAnsi="宋体" w:cs="宋体"/>
              </w:rPr>
              <w:t>2.额定工作压力约0.7Mpa，</w:t>
            </w:r>
            <w:r>
              <w:rPr>
                <w:rFonts w:hint="eastAsia" w:ascii="宋体" w:hAnsi="宋体" w:cs="宋体"/>
              </w:rPr>
              <w:br w:type="textWrapping"/>
            </w:r>
            <w:r>
              <w:rPr>
                <w:rFonts w:hint="eastAsia" w:ascii="宋体" w:hAnsi="宋体" w:cs="宋体"/>
              </w:rPr>
              <w:t>3.最大工作压力约 1.6Mpa，</w:t>
            </w:r>
            <w:r>
              <w:rPr>
                <w:rFonts w:hint="eastAsia" w:ascii="宋体" w:hAnsi="宋体" w:cs="宋体"/>
              </w:rPr>
              <w:br w:type="textWrapping"/>
            </w:r>
            <w:r>
              <w:rPr>
                <w:rFonts w:hint="eastAsia" w:ascii="宋体" w:hAnsi="宋体" w:cs="宋体"/>
              </w:rPr>
              <w:t>4.额定工作压力:约7L/s@0.5Mpa,12L/S@ 0.7Mpa;</w:t>
            </w:r>
            <w:r>
              <w:rPr>
                <w:rFonts w:hint="eastAsia" w:ascii="宋体" w:hAnsi="宋体" w:cs="宋体"/>
              </w:rPr>
              <w:br w:type="textWrapping"/>
            </w:r>
            <w:r>
              <w:rPr>
                <w:rFonts w:hint="eastAsia" w:ascii="宋体" w:hAnsi="宋体" w:cs="宋体"/>
              </w:rPr>
              <w:t>5.最大喷雾角度约110 度;</w:t>
            </w:r>
            <w:r>
              <w:rPr>
                <w:rFonts w:hint="eastAsia" w:ascii="宋体" w:hAnsi="宋体" w:cs="宋体"/>
              </w:rPr>
              <w:br w:type="textWrapping"/>
            </w:r>
            <w:r>
              <w:rPr>
                <w:rFonts w:hint="eastAsia" w:ascii="宋体" w:hAnsi="宋体" w:cs="宋体"/>
              </w:rPr>
              <w:t>6.自动调压枪头;</w:t>
            </w:r>
            <w:r>
              <w:rPr>
                <w:rFonts w:hint="eastAsia" w:ascii="宋体" w:hAnsi="宋体" w:cs="宋体"/>
              </w:rPr>
              <w:br w:type="textWrapping"/>
            </w:r>
            <w:r>
              <w:rPr>
                <w:rFonts w:hint="eastAsia" w:ascii="宋体" w:hAnsi="宋体" w:cs="宋体"/>
              </w:rPr>
              <w:t>7.射程≥34 米@0.6Mpa;</w:t>
            </w:r>
            <w:r>
              <w:rPr>
                <w:rFonts w:hint="eastAsia" w:ascii="宋体" w:hAnsi="宋体" w:cs="宋体"/>
              </w:rPr>
              <w:br w:type="textWrapping"/>
            </w:r>
            <w:r>
              <w:rPr>
                <w:rFonts w:hint="eastAsia" w:ascii="宋体" w:hAnsi="宋体" w:cs="宋体"/>
              </w:rPr>
              <w:t>8.由新型铝合金AGS 制成，表面 T5 热处理</w:t>
            </w:r>
            <w:r>
              <w:rPr>
                <w:rFonts w:hint="eastAsia" w:ascii="宋体" w:hAnsi="宋体" w:cs="宋体"/>
              </w:rPr>
              <w:br w:type="textWrapping"/>
            </w:r>
            <w:r>
              <w:rPr>
                <w:rFonts w:hint="eastAsia" w:ascii="宋体" w:hAnsi="宋体" w:cs="宋体"/>
              </w:rPr>
              <w:t>9.铝合金L型开关手柄，使用中开启关闭简单;</w:t>
            </w:r>
            <w:r>
              <w:rPr>
                <w:rFonts w:hint="eastAsia" w:ascii="宋体" w:hAnsi="宋体" w:cs="宋体"/>
              </w:rPr>
              <w:br w:type="textWrapping"/>
            </w:r>
            <w:r>
              <w:rPr>
                <w:rFonts w:hint="eastAsia" w:ascii="宋体" w:hAnsi="宋体" w:cs="宋体"/>
              </w:rPr>
              <w:t>10.开关采用球阀;</w:t>
            </w:r>
            <w:r>
              <w:rPr>
                <w:rFonts w:hint="eastAsia" w:ascii="宋体" w:hAnsi="宋体" w:cs="宋体"/>
              </w:rPr>
              <w:br w:type="textWrapping"/>
            </w:r>
            <w:r>
              <w:rPr>
                <w:rFonts w:hint="eastAsia" w:ascii="宋体" w:hAnsi="宋体" w:cs="宋体"/>
              </w:rPr>
              <w:t>11.枪头双层排列铸模齿，喷雾时产生极细小的水珠;</w:t>
            </w:r>
            <w:r>
              <w:rPr>
                <w:rFonts w:hint="eastAsia" w:ascii="宋体" w:hAnsi="宋体" w:cs="宋体"/>
              </w:rPr>
              <w:br w:type="textWrapping"/>
            </w:r>
            <w:r>
              <w:rPr>
                <w:rFonts w:hint="eastAsia" w:ascii="宋体" w:hAnsi="宋体" w:cs="宋体"/>
              </w:rPr>
              <w:t>12.枪头喷射模式可通过旋转枪头调节直流，开花，喷雾:</w:t>
            </w:r>
            <w:r>
              <w:rPr>
                <w:rFonts w:hint="eastAsia" w:ascii="宋体" w:hAnsi="宋体" w:cs="宋体"/>
              </w:rPr>
              <w:br w:type="textWrapping"/>
            </w:r>
            <w:r>
              <w:rPr>
                <w:rFonts w:hint="eastAsia" w:ascii="宋体" w:hAnsi="宋体" w:cs="宋体"/>
              </w:rPr>
              <w:t>13.旋转枪头开启高压清洗档位， 便于清洗枪膛内杂物;</w:t>
            </w:r>
            <w:r>
              <w:rPr>
                <w:rFonts w:hint="eastAsia" w:ascii="宋体" w:hAnsi="宋体" w:cs="宋体"/>
              </w:rPr>
              <w:br w:type="textWrapping"/>
            </w:r>
            <w:r>
              <w:rPr>
                <w:rFonts w:hint="eastAsia" w:ascii="宋体" w:hAnsi="宋体" w:cs="宋体"/>
              </w:rPr>
              <w:t>14.枪头配有夜间(浓烟)三种不同形状触摸调节喷射模式;</w:t>
            </w:r>
            <w:r>
              <w:rPr>
                <w:rFonts w:hint="eastAsia" w:ascii="宋体" w:hAnsi="宋体" w:cs="宋体"/>
              </w:rPr>
              <w:br w:type="textWrapping"/>
            </w:r>
            <w:r>
              <w:rPr>
                <w:rFonts w:hint="eastAsia" w:ascii="宋体" w:hAnsi="宋体" w:cs="宋体"/>
              </w:rPr>
              <w:t>15.铝合金手枪式握柄加装橡胶保护套。</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直流水枪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 GB 8181-2005《消防水枪》,GB 12514.3-2006消防接口 第3部分:《卡式消防接口型式和基本参数》标准要求，接口形式提供卡式直流开关水枪。适用于由单人或多人携带和操作的以水作为灭火剂、能喷射充实水流并具有开启和关闭功能的喷射管枪。</w:t>
            </w:r>
            <w:r>
              <w:rPr>
                <w:rFonts w:hint="eastAsia" w:ascii="宋体" w:hAnsi="宋体" w:cs="宋体"/>
              </w:rPr>
              <w:br w:type="textWrapping"/>
            </w:r>
            <w:r>
              <w:rPr>
                <w:rFonts w:hint="eastAsia" w:ascii="宋体" w:hAnsi="宋体" w:cs="宋体"/>
              </w:rPr>
              <w:t>2、产品特性:</w:t>
            </w:r>
            <w:r>
              <w:rPr>
                <w:rFonts w:hint="eastAsia" w:ascii="宋体" w:hAnsi="宋体" w:cs="宋体"/>
              </w:rPr>
              <w:br w:type="textWrapping"/>
            </w:r>
            <w:r>
              <w:rPr>
                <w:rFonts w:hint="eastAsia" w:ascii="宋体" w:hAnsi="宋体" w:cs="宋体"/>
              </w:rPr>
              <w:t>接口:采用锻造工艺，选用铝镁合金A6061材质，表面金色阳氧化防腐处理;</w:t>
            </w:r>
            <w:r>
              <w:rPr>
                <w:rFonts w:hint="eastAsia" w:ascii="宋体" w:hAnsi="宋体" w:cs="宋体"/>
              </w:rPr>
              <w:br w:type="textWrapping"/>
            </w:r>
            <w:r>
              <w:rPr>
                <w:rFonts w:hint="eastAsia" w:ascii="宋体" w:hAnsi="宋体" w:cs="宋体"/>
              </w:rPr>
              <w:t>阀体:采用压铸工艺，选用A380材质，表面红色喷塑防腐处理;球体:选用铝镁合金 A6061 材质，表面黑色阳氧化防腐处理。</w:t>
            </w:r>
            <w:r>
              <w:rPr>
                <w:rFonts w:hint="eastAsia" w:ascii="宋体" w:hAnsi="宋体" w:cs="宋体"/>
              </w:rPr>
              <w:br w:type="textWrapping"/>
            </w:r>
            <w:r>
              <w:rPr>
                <w:rFonts w:hint="eastAsia" w:ascii="宋体" w:hAnsi="宋体" w:cs="宋体"/>
              </w:rPr>
              <w:t>3、技术参数:</w:t>
            </w:r>
            <w:r>
              <w:rPr>
                <w:rFonts w:hint="eastAsia" w:ascii="宋体" w:hAnsi="宋体" w:cs="宋体"/>
              </w:rPr>
              <w:br w:type="textWrapping"/>
            </w:r>
            <w:r>
              <w:rPr>
                <w:rFonts w:hint="eastAsia" w:ascii="宋体" w:hAnsi="宋体" w:cs="宋体"/>
              </w:rPr>
              <w:t>进水口公称通径:65mm;出水口公称通径:19mm;公称压力&gt;2.5MPa;强度压力≥3.75MPa:阀门通孔直径&gt;45mm;额定喷射压力&gt;0.35MPa:额定直流流量&gt;7.5L/s;射程距离&gt;28m。</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1250</w:t>
            </w:r>
          </w:p>
        </w:tc>
      </w:tr>
      <w:tr>
        <w:tblPrEx>
          <w:tblCellMar>
            <w:top w:w="0" w:type="dxa"/>
            <w:left w:w="108" w:type="dxa"/>
            <w:bottom w:w="0" w:type="dxa"/>
            <w:right w:w="108" w:type="dxa"/>
          </w:tblCellMar>
        </w:tblPrEx>
        <w:trPr>
          <w:trHeight w:val="30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异型异径接口（套，含8个）</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1.符合国家现行有关标准、规范。</w:t>
            </w:r>
            <w:r>
              <w:rPr>
                <w:rFonts w:hint="eastAsia" w:ascii="宋体" w:hAnsi="宋体" w:cs="宋体"/>
              </w:rPr>
              <w:br w:type="textWrapping"/>
            </w:r>
            <w:r>
              <w:rPr>
                <w:rFonts w:hint="eastAsia" w:ascii="宋体" w:hAnsi="宋体" w:cs="宋体"/>
              </w:rPr>
              <w:t>2.工作压力≥2.5Mpa。</w:t>
            </w:r>
            <w:r>
              <w:rPr>
                <w:rFonts w:hint="eastAsia" w:ascii="宋体" w:hAnsi="宋体" w:cs="宋体"/>
              </w:rPr>
              <w:br w:type="textWrapping"/>
            </w:r>
            <w:r>
              <w:rPr>
                <w:rFonts w:hint="eastAsia" w:ascii="宋体" w:hAnsi="宋体" w:cs="宋体"/>
              </w:rPr>
              <w:t>3.在公称压力1.5倍保压2min不出现断裂或可见裂缝。</w:t>
            </w:r>
            <w:r>
              <w:rPr>
                <w:rFonts w:hint="eastAsia" w:ascii="宋体" w:hAnsi="宋体" w:cs="宋体"/>
              </w:rPr>
              <w:br w:type="textWrapping"/>
            </w:r>
            <w:r>
              <w:rPr>
                <w:rFonts w:hint="eastAsia" w:ascii="宋体" w:hAnsi="宋体" w:cs="宋体"/>
              </w:rPr>
              <w:t>4.中标商和需求支队协商供应具体型号。</w:t>
            </w:r>
            <w:r>
              <w:rPr>
                <w:rFonts w:hint="eastAsia" w:ascii="宋体" w:hAnsi="宋体" w:cs="宋体"/>
              </w:rPr>
              <w:br w:type="textWrapping"/>
            </w:r>
            <w:r>
              <w:rPr>
                <w:rFonts w:hint="eastAsia" w:ascii="宋体" w:hAnsi="宋体" w:cs="宋体"/>
              </w:rPr>
              <w:t>5.表面阳极氧化防腐处理。</w:t>
            </w:r>
            <w:r>
              <w:rPr>
                <w:rFonts w:hint="eastAsia" w:ascii="宋体" w:hAnsi="宋体" w:cs="宋体"/>
              </w:rPr>
              <w:br w:type="textWrapping"/>
            </w:r>
            <w:r>
              <w:rPr>
                <w:rFonts w:hint="eastAsia" w:ascii="宋体" w:hAnsi="宋体" w:cs="宋体"/>
              </w:rPr>
              <w:t>6.铸造工艺：压铸。</w:t>
            </w:r>
            <w:r>
              <w:rPr>
                <w:rFonts w:hint="eastAsia" w:ascii="宋体" w:hAnsi="宋体" w:cs="宋体"/>
              </w:rPr>
              <w:br w:type="textWrapping"/>
            </w:r>
            <w:r>
              <w:rPr>
                <w:rFonts w:hint="eastAsia" w:ascii="宋体" w:hAnsi="宋体" w:cs="宋体"/>
              </w:rPr>
              <w:t>7.采用或优于镁铝合金材质。</w:t>
            </w:r>
            <w:r>
              <w:rPr>
                <w:rFonts w:hint="eastAsia" w:ascii="宋体" w:hAnsi="宋体" w:cs="宋体"/>
              </w:rPr>
              <w:br w:type="textWrapping"/>
            </w:r>
            <w:r>
              <w:rPr>
                <w:rFonts w:hint="eastAsia" w:ascii="宋体" w:hAnsi="宋体" w:cs="宋体"/>
              </w:rPr>
              <w:t>8.在接口表面醒目处清晰标出型号、规格、注册商标或厂名。</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2400</w:t>
            </w:r>
          </w:p>
        </w:tc>
      </w:tr>
      <w:tr>
        <w:tblPrEx>
          <w:tblCellMar>
            <w:top w:w="0" w:type="dxa"/>
            <w:left w:w="108" w:type="dxa"/>
            <w:bottom w:w="0" w:type="dxa"/>
            <w:right w:w="108" w:type="dxa"/>
          </w:tblCellMar>
        </w:tblPrEx>
        <w:trPr>
          <w:trHeight w:val="33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消防水带带压堵漏装置</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1.总体要求：符合国家现行有关标准、规范。</w:t>
            </w:r>
            <w:r>
              <w:rPr>
                <w:rFonts w:hint="eastAsia" w:ascii="宋体" w:hAnsi="宋体" w:cs="宋体"/>
              </w:rPr>
              <w:br w:type="textWrapping"/>
            </w:r>
            <w:r>
              <w:rPr>
                <w:rFonts w:hint="eastAsia" w:ascii="宋体" w:hAnsi="宋体" w:cs="宋体"/>
              </w:rPr>
              <w:t>2.主要用途：用于火场供水水带泄漏情况下的带压快速封堵。</w:t>
            </w:r>
            <w:r>
              <w:rPr>
                <w:rFonts w:hint="eastAsia" w:ascii="宋体" w:hAnsi="宋体" w:cs="宋体"/>
              </w:rPr>
              <w:br w:type="textWrapping"/>
            </w:r>
            <w:r>
              <w:rPr>
                <w:rFonts w:hint="eastAsia" w:ascii="宋体" w:hAnsi="宋体" w:cs="宋体"/>
              </w:rPr>
              <w:t>3.主要技术要求：</w:t>
            </w:r>
            <w:r>
              <w:rPr>
                <w:rFonts w:hint="eastAsia" w:ascii="宋体" w:hAnsi="宋体" w:cs="宋体"/>
              </w:rPr>
              <w:br w:type="textWrapping"/>
            </w:r>
            <w:r>
              <w:rPr>
                <w:rFonts w:hint="eastAsia" w:ascii="宋体" w:hAnsi="宋体" w:cs="宋体"/>
              </w:rPr>
              <w:t>3.1包1套括抽芯铆钉式和1套捆绑式堵漏装置。</w:t>
            </w:r>
            <w:r>
              <w:rPr>
                <w:rFonts w:hint="eastAsia" w:ascii="宋体" w:hAnsi="宋体" w:cs="宋体"/>
              </w:rPr>
              <w:br w:type="textWrapping"/>
            </w:r>
            <w:r>
              <w:rPr>
                <w:rFonts w:hint="eastAsia" w:ascii="宋体" w:hAnsi="宋体" w:cs="宋体"/>
              </w:rPr>
              <w:t>3.2配备标准金属锥20个、工具箱1个。</w:t>
            </w:r>
            <w:r>
              <w:rPr>
                <w:rFonts w:hint="eastAsia" w:ascii="宋体" w:hAnsi="宋体" w:cs="宋体"/>
              </w:rPr>
              <w:br w:type="textWrapping"/>
            </w:r>
            <w:r>
              <w:rPr>
                <w:rFonts w:hint="eastAsia" w:ascii="宋体" w:hAnsi="宋体" w:cs="宋体"/>
              </w:rPr>
              <w:t>3.3可针对不同尺寸的泄露口进行封堵。</w:t>
            </w:r>
            <w:r>
              <w:rPr>
                <w:rFonts w:hint="eastAsia" w:ascii="宋体" w:hAnsi="宋体" w:cs="宋体"/>
              </w:rPr>
              <w:br w:type="textWrapping"/>
            </w:r>
            <w:r>
              <w:rPr>
                <w:rFonts w:hint="eastAsia" w:ascii="宋体" w:hAnsi="宋体" w:cs="宋体"/>
              </w:rPr>
              <w:t>4、备品、备件配件要求：无。</w:t>
            </w:r>
            <w:r>
              <w:rPr>
                <w:rFonts w:hint="eastAsia" w:ascii="宋体" w:hAnsi="宋体" w:cs="宋体"/>
              </w:rPr>
              <w:br w:type="textWrapping"/>
            </w:r>
            <w:r>
              <w:rPr>
                <w:rFonts w:hint="eastAsia" w:ascii="宋体" w:hAnsi="宋体" w:cs="宋体"/>
              </w:rPr>
              <w:t>5、永久性标签要求：标签包括如下内容:制造厂名称、地址和注册商标；产品名称及型号；生产日期和批号；产品执行标准的代号。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双波长大功率手提式照明灯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*1、产品符合GB 3836.1-2021、GB3836.2-2021、GB3836.4-2021、GB3836.31-2021防爆检测，防爆标志Ex db ib IIC T6 Gb;Ex ib tb IIIC T80℃ Db。</w:t>
            </w:r>
            <w:r>
              <w:rPr>
                <w:rFonts w:hint="eastAsia" w:ascii="宋体" w:hAnsi="宋体" w:cs="宋体"/>
              </w:rPr>
              <w:br w:type="textWrapping"/>
            </w:r>
            <w:r>
              <w:rPr>
                <w:rFonts w:hint="eastAsia" w:ascii="宋体" w:hAnsi="宋体" w:cs="宋体"/>
              </w:rPr>
              <w:t>2、额定电压≥11V,光源采用 LED灯珠，额定功率3X3W(9W),光通量1350Lm,光源使用寿命≥100000h额定容量≥4400mAh。</w:t>
            </w:r>
            <w:r>
              <w:rPr>
                <w:rFonts w:hint="eastAsia" w:ascii="宋体" w:hAnsi="宋体" w:cs="宋体"/>
              </w:rPr>
              <w:br w:type="textWrapping"/>
            </w:r>
            <w:r>
              <w:rPr>
                <w:rFonts w:hint="eastAsia" w:ascii="宋体" w:hAnsi="宋体" w:cs="宋体"/>
              </w:rPr>
              <w:t>*3、连续工作时间≥8h(强光)≥16h (弱光)。</w:t>
            </w:r>
            <w:r>
              <w:rPr>
                <w:rFonts w:hint="eastAsia" w:ascii="宋体" w:hAnsi="宋体" w:cs="宋体"/>
              </w:rPr>
              <w:br w:type="textWrapping"/>
            </w:r>
            <w:r>
              <w:rPr>
                <w:rFonts w:hint="eastAsia" w:ascii="宋体" w:hAnsi="宋体" w:cs="宋体"/>
              </w:rPr>
              <w:t>4、具有工作光、强光、频闪三种光设计，按动按钮可进行自由转换。</w:t>
            </w:r>
            <w:r>
              <w:rPr>
                <w:rFonts w:hint="eastAsia" w:ascii="宋体" w:hAnsi="宋体" w:cs="宋体"/>
              </w:rPr>
              <w:br w:type="textWrapping"/>
            </w:r>
            <w:r>
              <w:rPr>
                <w:rFonts w:hint="eastAsia" w:ascii="宋体" w:hAnsi="宋体" w:cs="宋体"/>
              </w:rPr>
              <w:t>5、产品方便携带，配置背带，可斜挎于肩背身上，带有防护套，充电器采用分离式。</w:t>
            </w:r>
            <w:r>
              <w:rPr>
                <w:rFonts w:hint="eastAsia" w:ascii="宋体" w:hAnsi="宋体" w:cs="宋体"/>
              </w:rPr>
              <w:br w:type="textWrapping"/>
            </w:r>
            <w:r>
              <w:rPr>
                <w:rFonts w:hint="eastAsia" w:ascii="宋体" w:hAnsi="宋体" w:cs="宋体"/>
              </w:rPr>
              <w:t>*6、灯具的外壳防护等级应为GB/T4208- -2008中的IP68要求。</w:t>
            </w:r>
            <w:r>
              <w:rPr>
                <w:rFonts w:hint="eastAsia" w:ascii="宋体" w:hAnsi="宋体" w:cs="宋体"/>
              </w:rPr>
              <w:br w:type="textWrapping"/>
            </w:r>
            <w:r>
              <w:rPr>
                <w:rFonts w:hint="eastAsia" w:ascii="宋体" w:hAnsi="宋体" w:cs="宋体"/>
              </w:rPr>
              <w:t>7、重量≤1kg</w:t>
            </w:r>
            <w:r>
              <w:rPr>
                <w:rFonts w:hint="eastAsia" w:ascii="宋体" w:hAnsi="宋体" w:cs="宋体"/>
              </w:rPr>
              <w:br w:type="textWrapping"/>
            </w:r>
            <w:r>
              <w:rPr>
                <w:rFonts w:hint="eastAsia" w:ascii="宋体" w:hAnsi="宋体" w:cs="宋体"/>
              </w:rPr>
              <w:t>*质量保证：需提供制国家认可机构出具的相关证书。</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9000</w:t>
            </w:r>
          </w:p>
        </w:tc>
      </w:tr>
      <w:tr>
        <w:tblPrEx>
          <w:tblCellMar>
            <w:top w:w="0" w:type="dxa"/>
            <w:left w:w="108" w:type="dxa"/>
            <w:bottom w:w="0" w:type="dxa"/>
            <w:right w:w="108" w:type="dxa"/>
          </w:tblCellMar>
        </w:tblPrEx>
        <w:trPr>
          <w:trHeight w:val="30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储罐（瓶）内置重力式防护应急自封堵装置</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1.耐压测试，耐压≥2.5MPa</w:t>
            </w:r>
            <w:r>
              <w:rPr>
                <w:rFonts w:hint="eastAsia" w:ascii="宋体" w:hAnsi="宋体" w:cs="宋体"/>
              </w:rPr>
              <w:br w:type="textWrapping"/>
            </w:r>
            <w:r>
              <w:rPr>
                <w:rFonts w:hint="eastAsia" w:ascii="宋体" w:hAnsi="宋体" w:cs="宋体"/>
              </w:rPr>
              <w:t>2.耐腐蚀性测试，根据储罐介质不同，耐腐蚀性V＜0.001</w:t>
            </w:r>
            <w:r>
              <w:rPr>
                <w:rFonts w:hint="eastAsia" w:ascii="宋体" w:hAnsi="宋体" w:cs="宋体"/>
              </w:rPr>
              <w:br w:type="textWrapping"/>
            </w:r>
            <w:r>
              <w:rPr>
                <w:rFonts w:hint="eastAsia" w:ascii="宋体" w:hAnsi="宋体" w:cs="宋体"/>
              </w:rPr>
              <w:t>3.密封性能动态试验、低温动态试验等，密封性能B级</w:t>
            </w:r>
            <w:r>
              <w:rPr>
                <w:rFonts w:hint="eastAsia" w:ascii="宋体" w:hAnsi="宋体" w:cs="宋体"/>
              </w:rPr>
              <w:br w:type="textWrapping"/>
            </w:r>
            <w:r>
              <w:rPr>
                <w:rFonts w:hint="eastAsia" w:ascii="宋体" w:hAnsi="宋体" w:cs="宋体"/>
              </w:rPr>
              <w:t>4.防爆等级可达 ExdII CT4</w:t>
            </w:r>
            <w:r>
              <w:rPr>
                <w:rFonts w:hint="eastAsia" w:ascii="宋体" w:hAnsi="宋体" w:cs="宋体"/>
              </w:rPr>
              <w:br w:type="textWrapping"/>
            </w:r>
            <w:r>
              <w:rPr>
                <w:rFonts w:hint="eastAsia" w:ascii="宋体" w:hAnsi="宋体" w:cs="宋体"/>
              </w:rPr>
              <w:t>5.安装在储罐（瓶）进出料、放空阀等内部介质通道处，采用无源重力自封堵技术</w:t>
            </w:r>
            <w:r>
              <w:rPr>
                <w:rFonts w:hint="eastAsia" w:ascii="宋体" w:hAnsi="宋体" w:cs="宋体"/>
              </w:rPr>
              <w:br w:type="textWrapping"/>
            </w:r>
            <w:r>
              <w:rPr>
                <w:rFonts w:hint="eastAsia" w:ascii="宋体" w:hAnsi="宋体" w:cs="宋体"/>
              </w:rPr>
              <w:t>6.阀体动态翻转，阀芯封闭性能测试，翻转角度≤45度</w:t>
            </w:r>
            <w:r>
              <w:rPr>
                <w:rFonts w:hint="eastAsia" w:ascii="宋体" w:hAnsi="宋体" w:cs="宋体"/>
              </w:rPr>
              <w:br w:type="textWrapping"/>
            </w:r>
            <w:r>
              <w:rPr>
                <w:rFonts w:hint="eastAsia" w:ascii="宋体" w:hAnsi="宋体" w:cs="宋体"/>
              </w:rPr>
              <w:t>7.气动控制阀芯封闭性能测试，封闭动作时间≤5s</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50000</w:t>
            </w:r>
          </w:p>
        </w:tc>
      </w:tr>
      <w:tr>
        <w:tblPrEx>
          <w:tblCellMar>
            <w:top w:w="0" w:type="dxa"/>
            <w:left w:w="108" w:type="dxa"/>
            <w:bottom w:w="0" w:type="dxa"/>
            <w:right w:w="108" w:type="dxa"/>
          </w:tblCellMar>
        </w:tblPrEx>
        <w:trPr>
          <w:trHeight w:val="401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5G布控球图传设备</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w:t>
            </w:r>
            <w:r>
              <w:rPr>
                <w:rFonts w:hint="eastAsia" w:ascii="宋体" w:hAnsi="宋体" w:cs="宋体"/>
              </w:rPr>
              <w:br w:type="textWrapping"/>
            </w:r>
            <w:r>
              <w:rPr>
                <w:rFonts w:hint="eastAsia" w:ascii="宋体" w:hAnsi="宋体" w:cs="宋体"/>
              </w:rPr>
              <w:t>整体结构：一体化结构设计，集成高清云台摄像机、无线编码器、大容量电池、卫星定位、阵列红外灯组等模块。有手提把手；</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兼容性要求：支持GB/T 28181协议，可接入消防图像综合管理平台，指挥中心可实时调度视频、云台控制、发起语音对讲、获取定位信息等（彩页）；</w:t>
            </w:r>
            <w:r>
              <w:rPr>
                <w:rFonts w:hint="eastAsia" w:ascii="宋体" w:hAnsi="宋体" w:cs="宋体"/>
              </w:rPr>
              <w:br w:type="textWrapping"/>
            </w:r>
            <w:r>
              <w:rPr>
                <w:rFonts w:hint="eastAsia" w:ascii="宋体" w:hAnsi="宋体" w:cs="宋体"/>
              </w:rPr>
              <w:t>编码协议：支持H.264、H.265，支持G711A、AMR、AAC；</w:t>
            </w:r>
            <w:r>
              <w:rPr>
                <w:rFonts w:hint="eastAsia" w:ascii="宋体" w:hAnsi="宋体" w:cs="宋体"/>
              </w:rPr>
              <w:br w:type="textWrapping"/>
            </w:r>
            <w:r>
              <w:rPr>
                <w:rFonts w:hint="eastAsia" w:ascii="宋体" w:hAnsi="宋体" w:cs="宋体"/>
              </w:rPr>
              <w:t>视频码流：支持双码流，分辨率支持1080P、720P、VGA、CIF，帧率≥25帧/秒；</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摄像机机芯：高清机芯有效像素≥200万，CMOS≥1/2.8″；光学变倍≥30倍，数字变倍≥12倍（彩页）</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最低照度：彩色≤ 0.0007Lux（F1.2 AGC ON） ，黑白≤0.0003Lux(F1.2 AGC ON)（彩页）</w:t>
            </w:r>
            <w:r>
              <w:rPr>
                <w:rFonts w:hint="eastAsia" w:ascii="宋体" w:hAnsi="宋体" w:cs="宋体"/>
              </w:rPr>
              <w:br w:type="textWrapping"/>
            </w:r>
            <w:r>
              <w:rPr>
                <w:rFonts w:hint="eastAsia" w:ascii="宋体" w:hAnsi="宋体" w:cs="宋体"/>
              </w:rPr>
              <w:t>摄像机功能：除雾、自动聚焦、自动白平衡、数字宽动态等功能；</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夜视功能：夜视距离≥100米（彩页）；</w:t>
            </w:r>
            <w:r>
              <w:rPr>
                <w:rFonts w:hint="eastAsia" w:ascii="宋体" w:hAnsi="宋体" w:cs="宋体"/>
              </w:rPr>
              <w:br w:type="textWrapping"/>
            </w:r>
            <w:r>
              <w:rPr>
                <w:rFonts w:hint="eastAsia" w:ascii="宋体" w:hAnsi="宋体" w:cs="宋体"/>
              </w:rPr>
              <w:t>摄像机云台：水平旋转范围360°，垂直旋转范围-15°~90°</w:t>
            </w:r>
            <w:r>
              <w:rPr>
                <w:rFonts w:hint="eastAsia" w:ascii="宋体" w:hAnsi="宋体" w:cs="宋体"/>
              </w:rPr>
              <w:br w:type="textWrapping"/>
            </w:r>
            <w:r>
              <w:rPr>
                <w:rFonts w:hint="eastAsia" w:ascii="宋体" w:hAnsi="宋体" w:cs="宋体"/>
              </w:rPr>
              <w:t>网络接口：1×4G全网通，1×5G全网通，1×WIFI，1×10/100M以太网口（航空插头转出）</w:t>
            </w:r>
            <w:r>
              <w:rPr>
                <w:rFonts w:hint="eastAsia" w:ascii="宋体" w:hAnsi="宋体" w:cs="宋体"/>
              </w:rPr>
              <w:br w:type="textWrapping"/>
            </w:r>
            <w:r>
              <w:rPr>
                <w:rFonts w:hint="eastAsia" w:ascii="宋体" w:hAnsi="宋体" w:cs="宋体"/>
              </w:rPr>
              <w:t>其他接口：2×SIM卡插槽，2×TF卡插槽；内置蓝牙，支持蓝牙对讲，支持蓝牙锁定一个布控球；</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卫星定位：内置北斗&amp;GPS定位模块，支持基站定位技术；</w:t>
            </w:r>
            <w:r>
              <w:rPr>
                <w:rFonts w:hint="eastAsia" w:ascii="宋体" w:hAnsi="宋体" w:cs="宋体"/>
              </w:rPr>
              <w:br w:type="textWrapping"/>
            </w:r>
            <w:r>
              <w:rPr>
                <w:rFonts w:hint="eastAsia" w:ascii="宋体" w:hAnsi="宋体" w:cs="宋体"/>
              </w:rPr>
              <w:t>录像存储：支持MP4格式，分辨率≥1080P；支持双TF卡，单卡最大支持256G，支持循环覆盖。</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状态显示：内置OLCD屏显示5G信号强弱、GPS信号、内外置电池容量、服务器网址；OSD可调取显示，设备名称、时间、GPS、蓝牙、4G网络、电量字符叠加；</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防护等级≥IP66（彩页）;</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供电电源：内置锂电池,工作续航时间≥8小时（彩页）</w:t>
            </w:r>
            <w:r>
              <w:rPr>
                <w:rFonts w:hint="eastAsia" w:ascii="宋体" w:hAnsi="宋体" w:cs="宋体"/>
              </w:rPr>
              <w:br w:type="textWrapping"/>
            </w:r>
            <w:r>
              <w:rPr>
                <w:rFonts w:hint="eastAsia" w:ascii="宋体" w:hAnsi="宋体" w:cs="宋体"/>
              </w:rPr>
              <w:t xml:space="preserve">安装部署：磁力吸盘，支架支持壁装、吊装、杆装 </w:t>
            </w:r>
            <w:r>
              <w:rPr>
                <w:rFonts w:hint="eastAsia" w:ascii="宋体" w:hAnsi="宋体" w:cs="宋体"/>
              </w:rPr>
              <w:br w:type="textWrapping"/>
            </w:r>
            <w:r>
              <w:rPr>
                <w:rFonts w:hint="eastAsia" w:ascii="宋体" w:hAnsi="宋体" w:cs="宋体"/>
              </w:rPr>
              <w:t>尺寸：≤Φ160*220mm</w:t>
            </w:r>
            <w:r>
              <w:rPr>
                <w:rFonts w:hint="eastAsia" w:ascii="宋体" w:hAnsi="宋体" w:cs="宋体"/>
              </w:rPr>
              <w:br w:type="textWrapping"/>
            </w:r>
            <w:r>
              <w:rPr>
                <w:rFonts w:hint="eastAsia" w:ascii="宋体" w:hAnsi="宋体" w:cs="宋体"/>
              </w:rPr>
              <w:t>工作温度：-20℃~+55℃；</w:t>
            </w:r>
            <w:r>
              <w:rPr>
                <w:rFonts w:hint="eastAsia" w:ascii="宋体" w:hAnsi="宋体" w:cs="宋体"/>
              </w:rPr>
              <w:br w:type="textWrapping"/>
            </w:r>
            <w:r>
              <w:rPr>
                <w:rFonts w:hint="eastAsia" w:ascii="宋体" w:hAnsi="宋体" w:cs="宋体"/>
              </w:rPr>
              <w:t>设备重量：≤2.5kg</w:t>
            </w:r>
            <w:r>
              <w:rPr>
                <w:rFonts w:hint="eastAsia" w:ascii="宋体" w:hAnsi="宋体" w:cs="宋体"/>
              </w:rPr>
              <w:br w:type="textWrapping"/>
            </w:r>
            <w:r>
              <w:rPr>
                <w:rFonts w:hint="eastAsia" w:ascii="宋体" w:hAnsi="宋体" w:cs="宋体"/>
              </w:rPr>
              <w:t>配件要求：安全箱×1，接口线×1，三脚架固定圆盘×1，蓝牙耳机×1，手咪×1，车载充电器×1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40000</w:t>
            </w:r>
          </w:p>
        </w:tc>
      </w:tr>
      <w:tr>
        <w:tblPrEx>
          <w:tblCellMar>
            <w:top w:w="0" w:type="dxa"/>
            <w:left w:w="108" w:type="dxa"/>
            <w:bottom w:w="0" w:type="dxa"/>
            <w:right w:w="108" w:type="dxa"/>
          </w:tblCellMar>
        </w:tblPrEx>
        <w:trPr>
          <w:trHeight w:val="806"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5G单兵图传设备</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w:t>
            </w:r>
            <w:r>
              <w:rPr>
                <w:rFonts w:hint="eastAsia" w:ascii="宋体" w:hAnsi="宋体" w:cs="宋体"/>
              </w:rPr>
              <w:br w:type="textWrapping"/>
            </w:r>
            <w:r>
              <w:rPr>
                <w:rFonts w:hint="eastAsia" w:ascii="宋体" w:hAnsi="宋体" w:cs="宋体"/>
              </w:rPr>
              <w:t>整体结构：一体化设计，集成音视频硬件编码、4G/5G网络、GPS&amp;北斗、存储、锂电池等模块。专业的视频编码设备，非Android手机类产品，支持摄像机的热靴安装，可与DV摄像机完美组合使用（产品图片）。</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兼容性要求：可接入省级消防图像管理平台和应急管理部消防救援局图像综合管理平台，可被管理平台实时调取，并支持双向语音对讲（嵌入式无线单兵HDS1400检测报告）；</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支持GB/T 28181-2016标准协议（嵌入式无线单兵HDS1400检测报告）；</w:t>
            </w:r>
            <w:r>
              <w:rPr>
                <w:rFonts w:hint="eastAsia" w:ascii="宋体" w:hAnsi="宋体" w:cs="宋体"/>
              </w:rPr>
              <w:br w:type="textWrapping"/>
            </w:r>
            <w:r>
              <w:rPr>
                <w:rFonts w:hint="eastAsia" w:ascii="宋体" w:hAnsi="宋体" w:cs="宋体"/>
              </w:rPr>
              <w:t>编码协议：视频编码支持H.264、H.265，音频编码支持G.711、G.722.1（嵌入式无线单兵HDS1400检测报告）；</w:t>
            </w:r>
            <w:r>
              <w:rPr>
                <w:rFonts w:hint="eastAsia" w:ascii="宋体" w:hAnsi="宋体" w:cs="宋体"/>
              </w:rPr>
              <w:br w:type="textWrapping"/>
            </w:r>
            <w:r>
              <w:rPr>
                <w:rFonts w:hint="eastAsia" w:ascii="宋体" w:hAnsi="宋体" w:cs="宋体"/>
              </w:rPr>
              <w:t>视频特性：支持1080P、720P、D1、VGA、CIF，帧率1~60帧可选，码率384kbps-6Mbps可调（嵌入式无线单兵HDS1400检测报告）；</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具有OLED显示屏，屏幕≥0.9英寸，可显示系统运行状态，包括网络状态、定位信息、电量信息、蓝牙状态、TF卡状态、麦克风状态、网络连接状态等（嵌入式无线单兵HDS1400检测报告）；</w:t>
            </w:r>
            <w:r>
              <w:rPr>
                <w:rFonts w:hint="eastAsia" w:ascii="宋体" w:hAnsi="宋体" w:cs="宋体"/>
              </w:rPr>
              <w:br w:type="textWrapping"/>
            </w:r>
            <w:r>
              <w:rPr>
                <w:rFonts w:hint="eastAsia" w:ascii="宋体" w:hAnsi="宋体" w:cs="宋体"/>
              </w:rPr>
              <w:t>视频接口：1×HDMI输入，可外接DV摄像机、无人机遥控器等高清视频源接入（彩页）；</w:t>
            </w:r>
            <w:r>
              <w:rPr>
                <w:rFonts w:hint="eastAsia" w:ascii="宋体" w:hAnsi="宋体" w:cs="宋体"/>
              </w:rPr>
              <w:br w:type="textWrapping"/>
            </w:r>
            <w:r>
              <w:rPr>
                <w:rFonts w:hint="eastAsia" w:ascii="宋体" w:hAnsi="宋体" w:cs="宋体"/>
              </w:rPr>
              <w:t>音频接口：1×3.5mm耳麦一体接口，1×HDMI输入，内置蓝牙，支持蓝牙耳机连接（彩页）；</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网络接口：1×4G全网通，1×5G全网通，1×WIFI，支持1×10/100M以太网口；支持4G/5G、WIFI、有线网络切换（嵌入式无线单兵HDS1400检测报告）；</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其他接口：1×TF卡卡槽，1×SIM卡双卡槽，1×USB Type-C接口；1×热靴接口，支持摄像机热靴安装；</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卫星定位：内置北斗&amp;GPS模块，支持GPS和北斗双模定位，定位信息以OSD方式上报（嵌入式无线单兵HDS1400检测报告）；</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安全性：支持VPN传输，IPSec(支持CA数字证书），PPTP/L2TP,GRE/IP，帐户权限确认（彩页）；</w:t>
            </w:r>
            <w:r>
              <w:rPr>
                <w:rFonts w:hint="eastAsia" w:ascii="宋体" w:hAnsi="宋体" w:cs="宋体"/>
              </w:rPr>
              <w:br w:type="textWrapping"/>
            </w:r>
            <w:r>
              <w:rPr>
                <w:rFonts w:hint="eastAsia" w:ascii="宋体" w:hAnsi="宋体" w:cs="宋体"/>
              </w:rPr>
              <w:t>录像存储：支持MicroSD卡存储，单卡最大存储容量≥128G（彩页）；</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字符叠加：支持设置字符叠加，可在输入图像中叠加中文和符号信息，包含：时间、日期、定位信息、电量、设备位置信息和可编辑中文字符（嵌入式无线单兵HDS1400检测报告）；</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供电电源：内置锂电池，续航时间≥8小时（嵌入式无线单兵HDS1400检测报告）；</w:t>
            </w:r>
            <w:r>
              <w:rPr>
                <w:rFonts w:hint="eastAsia" w:ascii="宋体" w:hAnsi="宋体" w:cs="宋体"/>
              </w:rPr>
              <w:br w:type="textWrapping"/>
            </w:r>
            <w:r>
              <w:rPr>
                <w:rFonts w:hint="eastAsia" w:ascii="宋体" w:hAnsi="宋体" w:cs="宋体"/>
              </w:rPr>
              <w:t>尺寸：≤150×90×50mm（W×H×D）（彩页）；</w:t>
            </w:r>
            <w:r>
              <w:rPr>
                <w:rFonts w:hint="eastAsia" w:ascii="宋体" w:hAnsi="宋体" w:cs="宋体"/>
              </w:rPr>
              <w:br w:type="textWrapping"/>
            </w:r>
            <w:r>
              <w:rPr>
                <w:rFonts w:hint="eastAsia" w:ascii="宋体" w:hAnsi="宋体" w:cs="宋体"/>
              </w:rPr>
              <w:t>△</w:t>
            </w:r>
            <w:r>
              <w:rPr>
                <w:rFonts w:hint="eastAsia" w:ascii="宋体" w:hAnsi="宋体" w:cs="宋体"/>
              </w:rPr>
              <w:br w:type="textWrapping"/>
            </w:r>
            <w:r>
              <w:rPr>
                <w:rFonts w:hint="eastAsia" w:ascii="宋体" w:hAnsi="宋体" w:cs="宋体"/>
              </w:rPr>
              <w:t>工作温度：-10℃~+50℃（嵌入式无线单兵HDS1400检测报告）；</w:t>
            </w:r>
            <w:r>
              <w:rPr>
                <w:rFonts w:hint="eastAsia" w:ascii="宋体" w:hAnsi="宋体" w:cs="宋体"/>
              </w:rPr>
              <w:br w:type="textWrapping"/>
            </w:r>
            <w:r>
              <w:rPr>
                <w:rFonts w:hint="eastAsia" w:ascii="宋体" w:hAnsi="宋体" w:cs="宋体"/>
              </w:rPr>
              <w:t>重量：≤0.65Kg（彩页）；</w:t>
            </w:r>
            <w:r>
              <w:rPr>
                <w:rFonts w:hint="eastAsia" w:ascii="宋体" w:hAnsi="宋体" w:cs="宋体"/>
              </w:rPr>
              <w:br w:type="textWrapping"/>
            </w:r>
            <w:r>
              <w:rPr>
                <w:rFonts w:hint="eastAsia" w:ascii="宋体" w:hAnsi="宋体" w:cs="宋体"/>
              </w:rPr>
              <w:t>配件要求：安全箱×1，单兵背包×1，电源适配器和USB线×1，带PPT功能按键的耳机×1，蓝牙耳机×1，HDMI视频线×1，热靴支架×1，天线×2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42000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小型建模无人机</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1.动力：电动；尺寸：机身长度≤25cm，重量：≤1000g。续航时间：≥20min；图传分辨率：≥640X360。</w:t>
            </w:r>
            <w:r>
              <w:rPr>
                <w:rFonts w:hint="eastAsia" w:ascii="宋体" w:hAnsi="宋体" w:cs="宋体"/>
              </w:rPr>
              <w:br w:type="textWrapping"/>
            </w:r>
            <w:r>
              <w:rPr>
                <w:rFonts w:hint="eastAsia" w:ascii="宋体" w:hAnsi="宋体" w:cs="宋体"/>
              </w:rPr>
              <w:t>2.具备避障功能和自主巡航功能；起降精度：≤2米，高温存贮：≥30℃；低温存贮：≤-5℃。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65000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99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移动式水带卷盘或水带槽</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移动式水带卷盘机是专用于消防救火水带盘卷之用。以往水带是靠人工盘卷既费力又费时，使用该装置后提高功效数倍，广泛用于水带生产厂家、以及消防部队的水带盘卷。</w:t>
            </w:r>
            <w:r>
              <w:rPr>
                <w:rFonts w:hint="eastAsia" w:ascii="宋体" w:hAnsi="宋体" w:cs="宋体"/>
              </w:rPr>
              <w:br w:type="textWrapping"/>
            </w:r>
            <w:r>
              <w:rPr>
                <w:rFonts w:hint="eastAsia" w:ascii="宋体" w:hAnsi="宋体" w:cs="宋体"/>
              </w:rPr>
              <w:t>该装置结构紧凑、小巧玲珑、操作安全简便，使用场所局限性小。采用方管材料制成，内部采用链条连杆机构，节省卷水带的时间和力量。</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6600</w:t>
            </w:r>
          </w:p>
        </w:tc>
      </w:tr>
      <w:tr>
        <w:tblPrEx>
          <w:tblCellMar>
            <w:top w:w="0" w:type="dxa"/>
            <w:left w:w="108" w:type="dxa"/>
            <w:bottom w:w="0" w:type="dxa"/>
            <w:right w:w="108" w:type="dxa"/>
          </w:tblCellMar>
        </w:tblPrEx>
        <w:trPr>
          <w:trHeight w:val="5623"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移动式消防炮（手动炮、遥控炮、自摆炮等）</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符合国家GB 19156－2019《消防炮》规范，提供检测报告复印件或扫描件。</w:t>
            </w:r>
            <w:r>
              <w:rPr>
                <w:rFonts w:hint="eastAsia" w:ascii="宋体" w:hAnsi="宋体" w:cs="宋体"/>
              </w:rPr>
              <w:br w:type="textWrapping"/>
            </w:r>
            <w:r>
              <w:rPr>
                <w:rFonts w:hint="eastAsia" w:ascii="宋体" w:hAnsi="宋体" w:cs="宋体"/>
              </w:rPr>
              <w:t>消防炮由炮座、炮体、炮头、遥控器、信号接收机等组成，用于扑救火灾的喷射水器具。</w:t>
            </w:r>
            <w:r>
              <w:rPr>
                <w:rFonts w:hint="eastAsia" w:ascii="宋体" w:hAnsi="宋体" w:cs="宋体"/>
              </w:rPr>
              <w:br w:type="textWrapping"/>
            </w:r>
            <w:r>
              <w:rPr>
                <w:rFonts w:hint="eastAsia" w:ascii="宋体" w:hAnsi="宋体" w:cs="宋体"/>
              </w:rPr>
              <w:t>炮身采用铝合金或更优轻质耐腐蚀材质。</w:t>
            </w:r>
            <w:r>
              <w:rPr>
                <w:rFonts w:hint="eastAsia" w:ascii="宋体" w:hAnsi="宋体" w:cs="宋体"/>
              </w:rPr>
              <w:br w:type="textWrapping"/>
            </w:r>
            <w:r>
              <w:rPr>
                <w:rFonts w:hint="eastAsia" w:ascii="宋体" w:hAnsi="宋体" w:cs="宋体"/>
              </w:rPr>
              <w:t>射流形式：直流、开花、喷雾。</w:t>
            </w:r>
            <w:r>
              <w:rPr>
                <w:rFonts w:hint="eastAsia" w:ascii="宋体" w:hAnsi="宋体" w:cs="宋体"/>
              </w:rPr>
              <w:br w:type="textWrapping"/>
            </w:r>
            <w:r>
              <w:rPr>
                <w:rFonts w:hint="eastAsia" w:ascii="宋体" w:hAnsi="宋体" w:cs="宋体"/>
              </w:rPr>
              <w:t>水炮控制形式：手动、电动，无线遥控；采用抗干扰技术。</w:t>
            </w:r>
            <w:r>
              <w:rPr>
                <w:rFonts w:hint="eastAsia" w:ascii="宋体" w:hAnsi="宋体" w:cs="宋体"/>
              </w:rPr>
              <w:br w:type="textWrapping"/>
            </w:r>
            <w:r>
              <w:rPr>
                <w:rFonts w:hint="eastAsia" w:ascii="宋体" w:hAnsi="宋体" w:cs="宋体"/>
              </w:rPr>
              <w:t>无障碍遥控距离：≥150m。</w:t>
            </w:r>
            <w:r>
              <w:rPr>
                <w:rFonts w:hint="eastAsia" w:ascii="宋体" w:hAnsi="宋体" w:cs="宋体"/>
              </w:rPr>
              <w:br w:type="textWrapping"/>
            </w:r>
            <w:r>
              <w:rPr>
                <w:rFonts w:hint="eastAsia" w:ascii="宋体" w:hAnsi="宋体" w:cs="宋体"/>
              </w:rPr>
              <w:t>通过手轮进行水平俯仰回转手动操作的，操作力矩：≤15N·m；通过操作杆进行水平俯仰回转手动操作的，操作力矩：≤20N·m。</w:t>
            </w:r>
            <w:r>
              <w:rPr>
                <w:rFonts w:hint="eastAsia" w:ascii="宋体" w:hAnsi="宋体" w:cs="宋体"/>
              </w:rPr>
              <w:br w:type="textWrapping"/>
            </w:r>
            <w:r>
              <w:rPr>
                <w:rFonts w:hint="eastAsia" w:ascii="宋体" w:hAnsi="宋体" w:cs="宋体"/>
              </w:rPr>
              <w:t>接收机锂电池组，连续工作时间：≥3h；遥控线路及控制盒具备防水性能。</w:t>
            </w:r>
            <w:r>
              <w:rPr>
                <w:rFonts w:hint="eastAsia" w:ascii="宋体" w:hAnsi="宋体" w:cs="宋体"/>
              </w:rPr>
              <w:br w:type="textWrapping"/>
            </w:r>
            <w:r>
              <w:rPr>
                <w:rFonts w:hint="eastAsia" w:ascii="宋体" w:hAnsi="宋体" w:cs="宋体"/>
              </w:rPr>
              <w:t>使用环境温度：-35℃～+80℃。</w:t>
            </w:r>
            <w:r>
              <w:rPr>
                <w:rFonts w:hint="eastAsia" w:ascii="宋体" w:hAnsi="宋体" w:cs="宋体"/>
              </w:rPr>
              <w:br w:type="textWrapping"/>
            </w:r>
            <w:r>
              <w:rPr>
                <w:rFonts w:hint="eastAsia" w:ascii="宋体" w:hAnsi="宋体" w:cs="宋体"/>
              </w:rPr>
              <w:t>进水接口及压力表：内扣式接口，数量≥2个，管径：80mm，压力表为抗震压力表。配备专用泡沫筒。</w:t>
            </w:r>
            <w:r>
              <w:rPr>
                <w:rFonts w:hint="eastAsia" w:ascii="宋体" w:hAnsi="宋体" w:cs="宋体"/>
              </w:rPr>
              <w:br w:type="textWrapping"/>
            </w:r>
            <w:r>
              <w:rPr>
                <w:rFonts w:hint="eastAsia" w:ascii="宋体" w:hAnsi="宋体" w:cs="宋体"/>
              </w:rPr>
              <w:t>配备纸质版和电子版中文使用维护保养说明书。</w:t>
            </w:r>
            <w:r>
              <w:rPr>
                <w:rFonts w:hint="eastAsia" w:ascii="宋体" w:hAnsi="宋体" w:cs="宋体"/>
              </w:rPr>
              <w:br w:type="textWrapping"/>
            </w:r>
            <w:r>
              <w:rPr>
                <w:rFonts w:hint="eastAsia" w:ascii="宋体" w:hAnsi="宋体" w:cs="宋体"/>
              </w:rPr>
              <w:t>产品具有清晰耐久的永久性标签，标签包括制造厂名称、地址、联系方式和注册商标；产品名称及型号；生产日期和批号；产品执行标准的代号和RFID芯片（芯片内容可根据采购人需要填写）。</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30000</w:t>
            </w:r>
          </w:p>
        </w:tc>
      </w:tr>
      <w:tr>
        <w:tblPrEx>
          <w:tblCellMar>
            <w:top w:w="0" w:type="dxa"/>
            <w:left w:w="108" w:type="dxa"/>
            <w:bottom w:w="0" w:type="dxa"/>
            <w:right w:w="108" w:type="dxa"/>
          </w:tblCellMar>
        </w:tblPrEx>
        <w:trPr>
          <w:trHeight w:val="3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泡沫管枪（16L/S）</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1、总体要求：符合国家现行GB25202《泡沫枪》标准。</w:t>
            </w:r>
            <w:r>
              <w:rPr>
                <w:rFonts w:hint="eastAsia" w:ascii="宋体" w:hAnsi="宋体" w:cs="宋体"/>
              </w:rPr>
              <w:br w:type="textWrapping"/>
            </w:r>
            <w:r>
              <w:rPr>
                <w:rFonts w:hint="eastAsia" w:ascii="宋体" w:hAnsi="宋体" w:cs="宋体"/>
              </w:rPr>
              <w:t xml:space="preserve">2、主要用途：用于喷射泡沫的灭火器具。 </w:t>
            </w:r>
            <w:r>
              <w:rPr>
                <w:rFonts w:hint="eastAsia" w:ascii="宋体" w:hAnsi="宋体" w:cs="宋体"/>
              </w:rPr>
              <w:br w:type="textWrapping"/>
            </w:r>
            <w:r>
              <w:rPr>
                <w:rFonts w:hint="eastAsia" w:ascii="宋体" w:hAnsi="宋体" w:cs="宋体"/>
              </w:rPr>
              <w:t>3、主要技术要求：</w:t>
            </w:r>
            <w:r>
              <w:rPr>
                <w:rFonts w:hint="eastAsia" w:ascii="宋体" w:hAnsi="宋体" w:cs="宋体"/>
              </w:rPr>
              <w:br w:type="textWrapping"/>
            </w:r>
            <w:r>
              <w:rPr>
                <w:rFonts w:hint="eastAsia" w:ascii="宋体" w:hAnsi="宋体" w:cs="宋体"/>
              </w:rPr>
              <w:t>3.1空气泡沫枪是主要由枪筒、手轮、枪体、球阀、吸液管和KY65管牙接口构成.</w:t>
            </w:r>
            <w:r>
              <w:rPr>
                <w:rFonts w:hint="eastAsia" w:ascii="宋体" w:hAnsi="宋体" w:cs="宋体"/>
              </w:rPr>
              <w:br w:type="textWrapping"/>
            </w:r>
            <w:r>
              <w:rPr>
                <w:rFonts w:hint="eastAsia" w:ascii="宋体" w:hAnsi="宋体" w:cs="宋体"/>
              </w:rPr>
              <w:t>3.2接口：65mm，快速接口。</w:t>
            </w:r>
            <w:r>
              <w:rPr>
                <w:rFonts w:hint="eastAsia" w:ascii="宋体" w:hAnsi="宋体" w:cs="宋体"/>
              </w:rPr>
              <w:br w:type="textWrapping"/>
            </w:r>
            <w:r>
              <w:rPr>
                <w:rFonts w:hint="eastAsia" w:ascii="宋体" w:hAnsi="宋体" w:cs="宋体"/>
              </w:rPr>
              <w:t>3.3型号：PQ8\PQ16\PQ24\PQ32等。</w:t>
            </w:r>
            <w:r>
              <w:rPr>
                <w:rFonts w:hint="eastAsia" w:ascii="宋体" w:hAnsi="宋体" w:cs="宋体"/>
              </w:rPr>
              <w:br w:type="textWrapping"/>
            </w:r>
            <w:r>
              <w:rPr>
                <w:rFonts w:hint="eastAsia" w:ascii="宋体" w:hAnsi="宋体" w:cs="宋体"/>
              </w:rPr>
              <w:t>4、备品、备件配件要求：无。</w:t>
            </w:r>
            <w:r>
              <w:rPr>
                <w:rFonts w:hint="eastAsia" w:ascii="宋体" w:hAnsi="宋体" w:cs="宋体"/>
              </w:rPr>
              <w:br w:type="textWrapping"/>
            </w:r>
            <w:r>
              <w:rPr>
                <w:rFonts w:hint="eastAsia" w:ascii="宋体" w:hAnsi="宋体" w:cs="宋体"/>
              </w:rPr>
              <w:t>5、永久性标签要求：标签包括如下内容:制造厂名称、地址和注册商标；产品名称及型号；生产日期和批号；产品执行标准的代号。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泡沫钩管（16L/S至少5节变径）</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1、总体要求：符合国家现行有关标准、规范。</w:t>
            </w:r>
            <w:r>
              <w:rPr>
                <w:rFonts w:hint="eastAsia" w:ascii="宋体" w:hAnsi="宋体" w:cs="宋体"/>
              </w:rPr>
              <w:br w:type="textWrapping"/>
            </w:r>
            <w:r>
              <w:rPr>
                <w:rFonts w:hint="eastAsia" w:ascii="宋体" w:hAnsi="宋体" w:cs="宋体"/>
              </w:rPr>
              <w:t>2、主要用途：一种移动式泡沫灭火设备，用于产生和喷射空气泡沫，扑救没有固定泡沫灭火装置的地下，半地下和小型油罐的油类和汽油火灾。</w:t>
            </w:r>
            <w:r>
              <w:rPr>
                <w:rFonts w:hint="eastAsia" w:ascii="宋体" w:hAnsi="宋体" w:cs="宋体"/>
              </w:rPr>
              <w:br w:type="textWrapping"/>
            </w:r>
            <w:r>
              <w:rPr>
                <w:rFonts w:hint="eastAsia" w:ascii="宋体" w:hAnsi="宋体" w:cs="宋体"/>
              </w:rPr>
              <w:t>3、主要技术要求：</w:t>
            </w:r>
            <w:r>
              <w:rPr>
                <w:rFonts w:hint="eastAsia" w:ascii="宋体" w:hAnsi="宋体" w:cs="宋体"/>
              </w:rPr>
              <w:br w:type="textWrapping"/>
            </w:r>
            <w:r>
              <w:rPr>
                <w:rFonts w:hint="eastAsia" w:ascii="宋体" w:hAnsi="宋体" w:cs="宋体"/>
              </w:rPr>
              <w:t>3.1组成是由钩管和空气泡沫产生器两部分构成。</w:t>
            </w:r>
            <w:r>
              <w:rPr>
                <w:rFonts w:hint="eastAsia" w:ascii="宋体" w:hAnsi="宋体" w:cs="宋体"/>
              </w:rPr>
              <w:br w:type="textWrapping"/>
            </w:r>
            <w:r>
              <w:rPr>
                <w:rFonts w:hint="eastAsia" w:ascii="宋体" w:hAnsi="宋体" w:cs="宋体"/>
              </w:rPr>
              <w:t>3.2标定工作压力：约0.5Mpa。</w:t>
            </w:r>
            <w:r>
              <w:rPr>
                <w:rFonts w:hint="eastAsia" w:ascii="宋体" w:hAnsi="宋体" w:cs="宋体"/>
              </w:rPr>
              <w:br w:type="textWrapping"/>
            </w:r>
            <w:r>
              <w:rPr>
                <w:rFonts w:hint="eastAsia" w:ascii="宋体" w:hAnsi="宋体" w:cs="宋体"/>
              </w:rPr>
              <w:t>3.3混合液流量：约16L/s，发泡倍数：≥6。</w:t>
            </w:r>
            <w:r>
              <w:rPr>
                <w:rFonts w:hint="eastAsia" w:ascii="宋体" w:hAnsi="宋体" w:cs="宋体"/>
              </w:rPr>
              <w:br w:type="textWrapping"/>
            </w:r>
            <w:r>
              <w:rPr>
                <w:rFonts w:hint="eastAsia" w:ascii="宋体" w:hAnsi="宋体" w:cs="宋体"/>
              </w:rPr>
              <w:t>3.4进口管牙接口规格：65mm。</w:t>
            </w:r>
            <w:r>
              <w:rPr>
                <w:rFonts w:hint="eastAsia" w:ascii="宋体" w:hAnsi="宋体" w:cs="宋体"/>
              </w:rPr>
              <w:br w:type="textWrapping"/>
            </w:r>
            <w:r>
              <w:rPr>
                <w:rFonts w:hint="eastAsia" w:ascii="宋体" w:hAnsi="宋体" w:cs="宋体"/>
              </w:rPr>
              <w:t>3.5质量：≤15kg。</w:t>
            </w:r>
            <w:r>
              <w:rPr>
                <w:rFonts w:hint="eastAsia" w:ascii="宋体" w:hAnsi="宋体" w:cs="宋体"/>
              </w:rPr>
              <w:br w:type="textWrapping"/>
            </w:r>
            <w:r>
              <w:rPr>
                <w:rFonts w:hint="eastAsia" w:ascii="宋体" w:hAnsi="宋体" w:cs="宋体"/>
              </w:rPr>
              <w:t>4、备品、备件配件要求：无。</w:t>
            </w:r>
            <w:r>
              <w:rPr>
                <w:rFonts w:hint="eastAsia" w:ascii="宋体" w:hAnsi="宋体" w:cs="宋体"/>
              </w:rPr>
              <w:br w:type="textWrapping"/>
            </w:r>
            <w:r>
              <w:rPr>
                <w:rFonts w:hint="eastAsia" w:ascii="宋体" w:hAnsi="宋体" w:cs="宋体"/>
              </w:rPr>
              <w:t>5、永久性标签要求：标签包括如下内容:制造厂名称、地址和注册商标；产品名称及型号；生产日期和批号；产品执行标准的代号。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12000</w:t>
            </w:r>
          </w:p>
        </w:tc>
      </w:tr>
      <w:tr>
        <w:tblPrEx>
          <w:tblCellMar>
            <w:top w:w="0" w:type="dxa"/>
            <w:left w:w="108" w:type="dxa"/>
            <w:bottom w:w="0" w:type="dxa"/>
            <w:right w:w="108" w:type="dxa"/>
          </w:tblCellMar>
        </w:tblPrEx>
        <w:trPr>
          <w:trHeight w:val="56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手持中倍泡沫发生器</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中倍泡沫产生器是一种能产生和喷射空气泡沫，用以扑救中型油类火灾的比较轻便的消防器材。</w:t>
            </w:r>
            <w:r>
              <w:rPr>
                <w:rFonts w:hint="eastAsia" w:ascii="宋体" w:hAnsi="宋体" w:cs="宋体"/>
              </w:rPr>
              <w:br w:type="textWrapping"/>
            </w:r>
            <w:r>
              <w:rPr>
                <w:rFonts w:hint="eastAsia" w:ascii="宋体" w:hAnsi="宋体" w:cs="宋体"/>
              </w:rPr>
              <w:t>中倍泡沫产生器由喷嘴、手轮，枪筒、枪头、快速接口等组成。发泡网用来产生泡沫，手轮用来控制泡沫枪喷射方向，炮筒用以调节空气泡沫膨化的动态平衡，内扣式接口用以与消防水带连接。</w:t>
            </w:r>
            <w:r>
              <w:rPr>
                <w:rFonts w:hint="eastAsia" w:ascii="宋体" w:hAnsi="宋体" w:cs="宋体"/>
              </w:rPr>
              <w:br w:type="textWrapping"/>
            </w:r>
            <w:r>
              <w:rPr>
                <w:rFonts w:hint="eastAsia" w:ascii="宋体" w:hAnsi="宋体" w:cs="宋体"/>
              </w:rPr>
              <w:t>材质：材料采用铝合金AGS制成，T5热处理，表面硬质氧化处理</w:t>
            </w:r>
            <w:r>
              <w:rPr>
                <w:rFonts w:hint="eastAsia" w:ascii="宋体" w:hAnsi="宋体" w:cs="宋体"/>
              </w:rPr>
              <w:br w:type="textWrapping"/>
            </w:r>
            <w:r>
              <w:rPr>
                <w:rFonts w:hint="eastAsia" w:ascii="宋体" w:hAnsi="宋体" w:cs="宋体"/>
              </w:rPr>
              <w:t>特点：喷射低倍数和zhong倍数泡沫并可自由转换、射程远</w:t>
            </w:r>
            <w:r>
              <w:rPr>
                <w:rFonts w:hint="eastAsia" w:ascii="宋体" w:hAnsi="宋体" w:cs="宋体"/>
              </w:rPr>
              <w:br w:type="textWrapping"/>
            </w:r>
            <w:r>
              <w:rPr>
                <w:rFonts w:hint="eastAsia" w:ascii="宋体" w:hAnsi="宋体" w:cs="宋体"/>
              </w:rPr>
              <w:t>流量：低倍数约8升/秒@ 0.6Mpa；中倍数7.6升/秒@ 0.6Mpa</w:t>
            </w:r>
            <w:r>
              <w:rPr>
                <w:rFonts w:hint="eastAsia" w:ascii="宋体" w:hAnsi="宋体" w:cs="宋体"/>
              </w:rPr>
              <w:br w:type="textWrapping"/>
            </w:r>
            <w:r>
              <w:rPr>
                <w:rFonts w:hint="eastAsia" w:ascii="宋体" w:hAnsi="宋体" w:cs="宋体"/>
              </w:rPr>
              <w:t>射程：低倍约30米；中倍8米</w:t>
            </w:r>
            <w:r>
              <w:rPr>
                <w:rFonts w:hint="eastAsia" w:ascii="宋体" w:hAnsi="宋体" w:cs="宋体"/>
              </w:rPr>
              <w:br w:type="textWrapping"/>
            </w:r>
            <w:r>
              <w:rPr>
                <w:rFonts w:hint="eastAsia" w:ascii="宋体" w:hAnsi="宋体" w:cs="宋体"/>
              </w:rPr>
              <w:t>发泡倍数：低倍约8.5；中倍37</w:t>
            </w:r>
            <w:r>
              <w:rPr>
                <w:rFonts w:hint="eastAsia" w:ascii="宋体" w:hAnsi="宋体" w:cs="宋体"/>
              </w:rPr>
              <w:br w:type="textWrapping"/>
            </w:r>
            <w:r>
              <w:rPr>
                <w:rFonts w:hint="eastAsia" w:ascii="宋体" w:hAnsi="宋体" w:cs="宋体"/>
              </w:rPr>
              <w:t>开关阀门：球阀铝合金式</w:t>
            </w:r>
            <w:r>
              <w:rPr>
                <w:rFonts w:hint="eastAsia" w:ascii="宋体" w:hAnsi="宋体" w:cs="宋体"/>
              </w:rPr>
              <w:br w:type="textWrapping"/>
            </w:r>
            <w:r>
              <w:rPr>
                <w:rFonts w:hint="eastAsia" w:ascii="宋体" w:hAnsi="宋体" w:cs="宋体"/>
              </w:rPr>
              <w:t>把手：手提式</w:t>
            </w:r>
            <w:r>
              <w:rPr>
                <w:rFonts w:hint="eastAsia" w:ascii="宋体" w:hAnsi="宋体" w:cs="宋体"/>
              </w:rPr>
              <w:br w:type="textWrapping"/>
            </w:r>
            <w:r>
              <w:rPr>
                <w:rFonts w:hint="eastAsia" w:ascii="宋体" w:hAnsi="宋体" w:cs="宋体"/>
              </w:rPr>
              <w:t>喷射泡沫：混合液</w:t>
            </w:r>
            <w:r>
              <w:rPr>
                <w:rFonts w:hint="eastAsia" w:ascii="宋体" w:hAnsi="宋体" w:cs="宋体"/>
              </w:rPr>
              <w:br w:type="textWrapping"/>
            </w:r>
            <w:r>
              <w:rPr>
                <w:rFonts w:hint="eastAsia" w:ascii="宋体" w:hAnsi="宋体" w:cs="宋体"/>
              </w:rPr>
              <w:t>喷射模式：共两种，低中倍自由转换</w:t>
            </w:r>
            <w:r>
              <w:rPr>
                <w:rFonts w:hint="eastAsia" w:ascii="宋体" w:hAnsi="宋体" w:cs="宋体"/>
              </w:rPr>
              <w:br w:type="textWrapping"/>
            </w:r>
            <w:r>
              <w:rPr>
                <w:rFonts w:hint="eastAsia" w:ascii="宋体" w:hAnsi="宋体" w:cs="宋体"/>
              </w:rPr>
              <w:t>入水接口：360°水带防缠绕</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15000</w:t>
            </w:r>
          </w:p>
        </w:tc>
      </w:tr>
      <w:tr>
        <w:tblPrEx>
          <w:tblCellMar>
            <w:top w:w="0" w:type="dxa"/>
            <w:left w:w="108" w:type="dxa"/>
            <w:bottom w:w="0" w:type="dxa"/>
            <w:right w:w="108" w:type="dxa"/>
          </w:tblCellMar>
        </w:tblPrEx>
        <w:trPr>
          <w:trHeight w:val="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屏障水枪（10L/S3支、10L/S3支）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由铝合金和不锈钢材料制成，阀轴为铜质，流量500升/分，水幕宽度≥26米、高度≥7米。输入接口为ND65快速接口。</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7800</w:t>
            </w:r>
          </w:p>
        </w:tc>
      </w:tr>
      <w:tr>
        <w:tblPrEx>
          <w:tblCellMar>
            <w:top w:w="0" w:type="dxa"/>
            <w:left w:w="108" w:type="dxa"/>
            <w:bottom w:w="0" w:type="dxa"/>
            <w:right w:w="108" w:type="dxa"/>
          </w:tblCellMar>
        </w:tblPrEx>
        <w:trPr>
          <w:trHeight w:val="30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105</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挂钩梯</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※1．技术性能符合《消防梯》GA137-2007的要求。</w:t>
            </w:r>
            <w:r>
              <w:rPr>
                <w:rFonts w:hint="eastAsia" w:ascii="宋体" w:hAnsi="宋体" w:cs="宋体"/>
              </w:rPr>
              <w:br w:type="textWrapping"/>
            </w:r>
            <w:r>
              <w:rPr>
                <w:rFonts w:hint="eastAsia" w:ascii="宋体" w:hAnsi="宋体" w:cs="宋体"/>
              </w:rPr>
              <w:t>2．主体用优质坚韧毛竹经特殊工艺处理，多层压合而成，侧板与梯登采用铆钉连接，可供消防队员登高、跨越高墙及作临时担架使用，亦可作一般登高及民用。梯子表面光洁，表面涂不导电涂料保护，金属零件镀锌（铬）或黑色磁漆。挂钩可折叠。</w:t>
            </w:r>
            <w:r>
              <w:rPr>
                <w:rFonts w:hint="eastAsia" w:ascii="宋体" w:hAnsi="宋体" w:cs="宋体"/>
              </w:rPr>
              <w:br w:type="textWrapping"/>
            </w:r>
            <w:r>
              <w:rPr>
                <w:rFonts w:hint="eastAsia" w:ascii="宋体" w:hAnsi="宋体" w:cs="宋体"/>
              </w:rPr>
              <w:t>3．工作长度：约4±0.1 m，宽度：约250±2mm，梯蹬间距：约340±2mm</w:t>
            </w:r>
            <w:r>
              <w:rPr>
                <w:rFonts w:hint="eastAsia" w:ascii="宋体" w:hAnsi="宋体" w:cs="宋体"/>
              </w:rPr>
              <w:br w:type="textWrapping"/>
            </w:r>
            <w:r>
              <w:rPr>
                <w:rFonts w:hint="eastAsia" w:ascii="宋体" w:hAnsi="宋体" w:cs="宋体"/>
              </w:rPr>
              <w:t>4．水平弯曲残余变形比值:≤0.2%，梯蹬弯曲残余变形比值:≤0.5%。</w:t>
            </w:r>
            <w:r>
              <w:rPr>
                <w:rFonts w:hint="eastAsia" w:ascii="宋体" w:hAnsi="宋体" w:cs="宋体"/>
              </w:rPr>
              <w:br w:type="textWrapping"/>
            </w:r>
            <w:r>
              <w:rPr>
                <w:rFonts w:hint="eastAsia" w:ascii="宋体" w:hAnsi="宋体" w:cs="宋体"/>
              </w:rPr>
              <w:t>5.重量：≤12kg。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106</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警戒标志杆</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1.反光型标志杆、警戒标志杆、事故警戒杆、反光警戒标志杆；用于事故现场警戒，有反光功能；可多个连接使用；抗风能力强；整体防腐处理；</w:t>
            </w:r>
            <w:r>
              <w:rPr>
                <w:rFonts w:hint="eastAsia" w:ascii="宋体" w:hAnsi="宋体" w:cs="宋体"/>
              </w:rPr>
              <w:br w:type="textWrapping"/>
            </w:r>
            <w:r>
              <w:rPr>
                <w:rFonts w:hint="eastAsia" w:ascii="宋体" w:hAnsi="宋体" w:cs="宋体"/>
              </w:rPr>
              <w:t>2.高度：约110cm材质：PVC管底盘：橡胶聚氨酯头与警示牌配套使用</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1800</w:t>
            </w:r>
          </w:p>
        </w:tc>
      </w:tr>
      <w:tr>
        <w:tblPrEx>
          <w:tblCellMar>
            <w:top w:w="0" w:type="dxa"/>
            <w:left w:w="108" w:type="dxa"/>
            <w:bottom w:w="0" w:type="dxa"/>
            <w:right w:w="108" w:type="dxa"/>
          </w:tblCellMar>
        </w:tblPrEx>
        <w:trPr>
          <w:trHeight w:val="1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107</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锥型事故标志柱</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1.用于事故现场的道路警戒、阻拦或分割车流和引导交通。</w:t>
            </w:r>
            <w:r>
              <w:rPr>
                <w:rFonts w:hint="eastAsia" w:ascii="宋体" w:hAnsi="宋体" w:cs="宋体"/>
              </w:rPr>
              <w:br w:type="textWrapping"/>
            </w:r>
            <w:r>
              <w:rPr>
                <w:rFonts w:hint="eastAsia" w:ascii="宋体" w:hAnsi="宋体" w:cs="宋体"/>
              </w:rPr>
              <w:t>2.有反光部分，塑料或橡胶制品，不怕撞击，耐轧压，能迅速回弹，不伤车伤人</w:t>
            </w:r>
            <w:r>
              <w:rPr>
                <w:rFonts w:hint="eastAsia" w:ascii="宋体" w:hAnsi="宋体" w:cs="宋体"/>
              </w:rPr>
              <w:br w:type="textWrapping"/>
            </w:r>
            <w:r>
              <w:rPr>
                <w:rFonts w:hint="eastAsia" w:ascii="宋体" w:hAnsi="宋体" w:cs="宋体"/>
              </w:rPr>
              <w:t>3.重量不大于1.5kg。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80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1200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108</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出入口标志牌</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1.用于救援现场出入口标志</w:t>
            </w:r>
            <w:r>
              <w:rPr>
                <w:rFonts w:hint="eastAsia" w:ascii="宋体" w:hAnsi="宋体" w:cs="宋体"/>
              </w:rPr>
              <w:br w:type="textWrapping"/>
            </w:r>
            <w:r>
              <w:rPr>
                <w:rFonts w:hint="eastAsia" w:ascii="宋体" w:hAnsi="宋体" w:cs="宋体"/>
              </w:rPr>
              <w:t>2.高度约1米</w:t>
            </w:r>
            <w:r>
              <w:rPr>
                <w:rFonts w:hint="eastAsia" w:ascii="宋体" w:hAnsi="宋体" w:cs="宋体"/>
              </w:rPr>
              <w:br w:type="textWrapping"/>
            </w:r>
            <w:r>
              <w:rPr>
                <w:rFonts w:hint="eastAsia" w:ascii="宋体" w:hAnsi="宋体" w:cs="宋体"/>
              </w:rPr>
              <w:t>3.标识牌内容根据采购人需求印制。</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200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109</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危险警示牌</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1.用于救援现场安全警示。</w:t>
            </w:r>
            <w:r>
              <w:rPr>
                <w:rFonts w:hint="eastAsia" w:ascii="宋体" w:hAnsi="宋体" w:cs="宋体"/>
              </w:rPr>
              <w:br w:type="textWrapping"/>
            </w:r>
            <w:r>
              <w:rPr>
                <w:rFonts w:hint="eastAsia" w:ascii="宋体" w:hAnsi="宋体" w:cs="宋体"/>
              </w:rPr>
              <w:t>2.高度约1米</w:t>
            </w:r>
            <w:r>
              <w:rPr>
                <w:rFonts w:hint="eastAsia" w:ascii="宋体" w:hAnsi="宋体" w:cs="宋体"/>
              </w:rPr>
              <w:br w:type="textWrapping"/>
            </w:r>
            <w:r>
              <w:rPr>
                <w:rFonts w:hint="eastAsia" w:ascii="宋体" w:hAnsi="宋体" w:cs="宋体"/>
              </w:rPr>
              <w:t>3.标识牌内容根据采购人需求印制。</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550</w:t>
            </w:r>
          </w:p>
        </w:tc>
      </w:tr>
      <w:tr>
        <w:tblPrEx>
          <w:tblCellMar>
            <w:top w:w="0" w:type="dxa"/>
            <w:left w:w="108" w:type="dxa"/>
            <w:bottom w:w="0" w:type="dxa"/>
            <w:right w:w="108" w:type="dxa"/>
          </w:tblCellMar>
        </w:tblPrEx>
        <w:trPr>
          <w:trHeight w:val="375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110</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水幕水带</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1.在一定水压作用下能均匀地喷出雾状水幕形成水墙，对火焰及热辐射起阻隔作用，主要用于隔离或稀释有毒和易燃、易爆气体或液体蒸汽，抑制火势蔓延。</w:t>
            </w:r>
            <w:r>
              <w:rPr>
                <w:rFonts w:hint="eastAsia" w:ascii="宋体" w:hAnsi="宋体" w:cs="宋体"/>
              </w:rPr>
              <w:br w:type="textWrapping"/>
            </w:r>
            <w:r>
              <w:rPr>
                <w:rFonts w:hint="eastAsia" w:ascii="宋体" w:hAnsi="宋体" w:cs="宋体"/>
              </w:rPr>
              <w:t>2.工作压力约为1.6 MPa，水带内径：约78.0mm，水带表面规律排列喷射孔。</w:t>
            </w:r>
            <w:r>
              <w:rPr>
                <w:rFonts w:hint="eastAsia" w:ascii="宋体" w:hAnsi="宋体" w:cs="宋体"/>
              </w:rPr>
              <w:br w:type="textWrapping"/>
            </w:r>
            <w:r>
              <w:rPr>
                <w:rFonts w:hint="eastAsia" w:ascii="宋体" w:hAnsi="宋体" w:cs="宋体"/>
              </w:rPr>
              <w:t>3.最大喷射高度不小于10m。</w:t>
            </w:r>
            <w:r>
              <w:rPr>
                <w:rFonts w:hint="eastAsia" w:ascii="宋体" w:hAnsi="宋体" w:cs="宋体"/>
              </w:rPr>
              <w:br w:type="textWrapping"/>
            </w:r>
            <w:r>
              <w:rPr>
                <w:rFonts w:hint="eastAsia" w:ascii="宋体" w:hAnsi="宋体" w:cs="宋体"/>
              </w:rPr>
              <w:t>4.水带应注明：厂名、编号、原料、公称内径、长度、生产日期、设计工作压力。</w:t>
            </w:r>
            <w:r>
              <w:rPr>
                <w:rFonts w:hint="eastAsia" w:ascii="宋体" w:hAnsi="宋体" w:cs="宋体"/>
              </w:rPr>
              <w:br w:type="textWrapping"/>
            </w:r>
            <w:r>
              <w:rPr>
                <w:rFonts w:hint="eastAsia" w:ascii="宋体" w:hAnsi="宋体" w:cs="宋体"/>
              </w:rPr>
              <w:t>5.投标人须按采购人要求喷涂标识。</w:t>
            </w:r>
            <w:r>
              <w:rPr>
                <w:rFonts w:hint="eastAsia" w:ascii="宋体" w:hAnsi="宋体" w:cs="宋体"/>
              </w:rPr>
              <w:br w:type="textWrapping"/>
            </w:r>
            <w:r>
              <w:rPr>
                <w:rFonts w:hint="eastAsia" w:ascii="宋体" w:hAnsi="宋体" w:cs="宋体"/>
              </w:rPr>
              <w:t>6.水带长度颜色（白、红、黄、蓝等）由采购人签订合同时自行确定。</w:t>
            </w:r>
            <w:r>
              <w:rPr>
                <w:rFonts w:hint="eastAsia" w:ascii="宋体" w:hAnsi="宋体" w:cs="宋体"/>
              </w:rPr>
              <w:br w:type="textWrapping"/>
            </w:r>
            <w:r>
              <w:rPr>
                <w:rFonts w:hint="eastAsia" w:ascii="宋体" w:hAnsi="宋体" w:cs="宋体"/>
              </w:rPr>
              <w:t>7、按20米/盘填报。</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450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8</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3600</w:t>
            </w:r>
          </w:p>
        </w:tc>
      </w:tr>
      <w:tr>
        <w:tblPrEx>
          <w:tblCellMar>
            <w:top w:w="0" w:type="dxa"/>
            <w:left w:w="108" w:type="dxa"/>
            <w:bottom w:w="0" w:type="dxa"/>
            <w:right w:w="108" w:type="dxa"/>
          </w:tblCellMar>
        </w:tblPrEx>
        <w:trPr>
          <w:trHeight w:val="18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111</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船型担架</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适用于抢险救援时从救援现场抬出受伤人员。黄色高密度聚乙烯外壳，不锈钢外导轨支撑，附有不锈钢半管状铆钉。配有完全暴露的外轨道，固定在担架上的泡沫垫和四条伤员约束带。分体式结构，可以从中间分成两部分，可以携带到救援点并在几秒钟内完成组装。使用强制锁定快速释放销将两个部分固定在一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13500</w:t>
            </w:r>
          </w:p>
        </w:tc>
      </w:tr>
      <w:tr>
        <w:tblPrEx>
          <w:tblCellMar>
            <w:top w:w="0" w:type="dxa"/>
            <w:left w:w="108" w:type="dxa"/>
            <w:bottom w:w="0" w:type="dxa"/>
            <w:right w:w="108" w:type="dxa"/>
          </w:tblCellMar>
        </w:tblPrEx>
        <w:trPr>
          <w:trHeight w:val="45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112</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中压水带（65)</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1、符合GB6246-2011《消防水带》标准。</w:t>
            </w:r>
            <w:r>
              <w:rPr>
                <w:rFonts w:hint="eastAsia" w:ascii="宋体" w:hAnsi="宋体" w:cs="宋体"/>
              </w:rPr>
              <w:br w:type="textWrapping"/>
            </w:r>
            <w:r>
              <w:rPr>
                <w:rFonts w:hint="eastAsia" w:ascii="宋体" w:hAnsi="宋体" w:cs="宋体"/>
              </w:rPr>
              <w:t>2、供消防员铺设供水线路使用。</w:t>
            </w:r>
            <w:r>
              <w:rPr>
                <w:rFonts w:hint="eastAsia" w:ascii="宋体" w:hAnsi="宋体" w:cs="宋体"/>
              </w:rPr>
              <w:br w:type="textWrapping"/>
            </w:r>
            <w:r>
              <w:rPr>
                <w:rFonts w:hint="eastAsia" w:ascii="宋体" w:hAnsi="宋体" w:cs="宋体"/>
              </w:rPr>
              <w:t>3、直径65mm，水带内径：63.5＋2mm，爆破压力：≥6MPa，长度≥20m。</w:t>
            </w:r>
            <w:r>
              <w:rPr>
                <w:rFonts w:hint="eastAsia" w:ascii="宋体" w:hAnsi="宋体" w:cs="宋体"/>
              </w:rPr>
              <w:br w:type="textWrapping"/>
            </w:r>
            <w:r>
              <w:rPr>
                <w:rFonts w:hint="eastAsia" w:ascii="宋体" w:hAnsi="宋体" w:cs="宋体"/>
              </w:rPr>
              <w:t>4、聚氨酯衬里消防水带，外编织层经线纬线均采用高强度涤纶长丝斜纹紧密编织。</w:t>
            </w:r>
            <w:r>
              <w:rPr>
                <w:rFonts w:hint="eastAsia" w:ascii="宋体" w:hAnsi="宋体" w:cs="宋体"/>
              </w:rPr>
              <w:br w:type="textWrapping"/>
            </w:r>
            <w:r>
              <w:rPr>
                <w:rFonts w:hint="eastAsia" w:ascii="宋体" w:hAnsi="宋体" w:cs="宋体"/>
              </w:rPr>
              <w:t>5、水带编织层与衬里之间的附着强度：≥20N/25mm，轴向延伸率：≤5%，直径膨胀率：≤5%。</w:t>
            </w:r>
            <w:r>
              <w:rPr>
                <w:rFonts w:hint="eastAsia" w:ascii="宋体" w:hAnsi="宋体" w:cs="宋体"/>
              </w:rPr>
              <w:br w:type="textWrapping"/>
            </w:r>
            <w:r>
              <w:rPr>
                <w:rFonts w:hint="eastAsia" w:ascii="宋体" w:hAnsi="宋体" w:cs="宋体"/>
              </w:rPr>
              <w:t>6、水带和水带扎口在≥3.0Mpa水压下无渗漏。</w:t>
            </w:r>
            <w:r>
              <w:rPr>
                <w:rFonts w:hint="eastAsia" w:ascii="宋体" w:hAnsi="宋体" w:cs="宋体"/>
              </w:rPr>
              <w:br w:type="textWrapping"/>
            </w:r>
            <w:r>
              <w:rPr>
                <w:rFonts w:hint="eastAsia" w:ascii="宋体" w:hAnsi="宋体" w:cs="宋体"/>
              </w:rPr>
              <w:t>7、水带和水带接口在3.0Mpa水压下，不出现裂纹或断裂。</w:t>
            </w:r>
            <w:r>
              <w:rPr>
                <w:rFonts w:hint="eastAsia" w:ascii="宋体" w:hAnsi="宋体" w:cs="宋体"/>
              </w:rPr>
              <w:br w:type="textWrapping"/>
            </w:r>
            <w:r>
              <w:rPr>
                <w:rFonts w:hint="eastAsia" w:ascii="宋体" w:hAnsi="宋体" w:cs="宋体"/>
              </w:rPr>
              <w:t>8、水带和水带接口紧固连接，采用65mm卡式水带接口。</w:t>
            </w:r>
            <w:r>
              <w:rPr>
                <w:rFonts w:hint="eastAsia" w:ascii="宋体" w:hAnsi="宋体" w:cs="宋体"/>
              </w:rPr>
              <w:br w:type="textWrapping"/>
            </w:r>
            <w:r>
              <w:rPr>
                <w:rFonts w:hint="eastAsia" w:ascii="宋体" w:hAnsi="宋体" w:cs="宋体"/>
              </w:rPr>
              <w:t>9、水带两端应注明：厂名、编号、原料、公称内径、长度、生产日期、设计工作压力。</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500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20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10000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113</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轻型安全钩</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轻型安全钩：开口距离约21mm，长轴破断强度≥27KN，短轴破断强度≥7KN，自动保护三锁装置（即提起、转动和开锁），参考尺寸约145mm×67mm，净重≤110g。</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180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40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7200</w:t>
            </w:r>
          </w:p>
        </w:tc>
      </w:tr>
      <w:tr>
        <w:tblPrEx>
          <w:tblCellMar>
            <w:top w:w="0" w:type="dxa"/>
            <w:left w:w="108" w:type="dxa"/>
            <w:bottom w:w="0" w:type="dxa"/>
            <w:right w:w="108" w:type="dxa"/>
          </w:tblCellMar>
        </w:tblPrEx>
        <w:trPr>
          <w:trHeight w:val="1125" w:hRule="atLeast"/>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114</w:t>
            </w:r>
          </w:p>
        </w:tc>
        <w:tc>
          <w:tcPr>
            <w:tcW w:w="16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水带包布</w:t>
            </w:r>
          </w:p>
        </w:tc>
        <w:tc>
          <w:tcPr>
            <w:tcW w:w="8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rPr>
                <w:rFonts w:ascii="宋体" w:hAnsi="宋体" w:cs="宋体"/>
              </w:rPr>
            </w:pPr>
            <w:r>
              <w:rPr>
                <w:rFonts w:hint="eastAsia" w:ascii="宋体" w:hAnsi="宋体" w:cs="宋体"/>
              </w:rPr>
              <w:t>1.整体要求 1.1用于水带堵漏。 2.技术要求 2.1采用抗严寒尼龙材质，可重复使用设计； 2.2可对50，65，80，90毫米口径水带进行临时补漏，承受中、低、高压水带压力；</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60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rPr>
            </w:pPr>
            <w:r>
              <w:rPr>
                <w:rFonts w:hint="eastAsia" w:ascii="宋体" w:hAnsi="宋体" w:cs="宋体"/>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rPr>
            </w:pPr>
            <w:r>
              <w:rPr>
                <w:rFonts w:hint="eastAsia" w:ascii="宋体" w:hAnsi="宋体" w:cs="宋体"/>
              </w:rPr>
              <w:t>1800</w:t>
            </w:r>
          </w:p>
        </w:tc>
      </w:tr>
      <w:tr>
        <w:tblPrEx>
          <w:tblCellMar>
            <w:top w:w="0" w:type="dxa"/>
            <w:left w:w="108" w:type="dxa"/>
            <w:bottom w:w="0" w:type="dxa"/>
            <w:right w:w="108" w:type="dxa"/>
          </w:tblCellMar>
        </w:tblPrEx>
        <w:trPr>
          <w:trHeight w:val="1125" w:hRule="atLeast"/>
        </w:trPr>
        <w:tc>
          <w:tcPr>
            <w:tcW w:w="1121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ind w:firstLine="0" w:firstLineChars="0"/>
              <w:jc w:val="center"/>
              <w:rPr>
                <w:rFonts w:ascii="宋体" w:hAnsi="宋体" w:cs="宋体"/>
                <w:b/>
                <w:bCs/>
              </w:rPr>
            </w:pPr>
            <w:r>
              <w:rPr>
                <w:rFonts w:hint="eastAsia" w:ascii="宋体" w:hAnsi="宋体" w:cs="宋体"/>
                <w:b/>
                <w:bCs/>
              </w:rPr>
              <w:t>合计</w:t>
            </w:r>
          </w:p>
        </w:tc>
        <w:tc>
          <w:tcPr>
            <w:tcW w:w="342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firstLine="0" w:firstLineChars="0"/>
              <w:jc w:val="center"/>
              <w:rPr>
                <w:rFonts w:ascii="宋体" w:hAnsi="宋体" w:cs="宋体"/>
                <w:b/>
                <w:bCs/>
              </w:rPr>
            </w:pPr>
            <w:r>
              <w:rPr>
                <w:rFonts w:hint="eastAsia" w:ascii="宋体" w:hAnsi="宋体" w:cs="宋体"/>
                <w:b/>
                <w:bCs/>
              </w:rPr>
              <w:t>2086670.00元</w:t>
            </w:r>
          </w:p>
        </w:tc>
      </w:tr>
    </w:tbl>
    <w:p>
      <w:pPr>
        <w:pStyle w:val="2"/>
        <w:ind w:firstLine="0" w:firstLineChars="0"/>
      </w:pPr>
    </w:p>
    <w:p>
      <w:pPr>
        <w:pStyle w:val="19"/>
        <w:spacing w:line="288" w:lineRule="auto"/>
        <w:rPr>
          <w:rFonts w:ascii="宋体" w:hAnsi="宋体" w:cs="宋体"/>
          <w:b/>
          <w:sz w:val="24"/>
        </w:rPr>
        <w:sectPr>
          <w:pgSz w:w="16838" w:h="11905" w:orient="landscape"/>
          <w:pgMar w:top="1134" w:right="1134" w:bottom="1134" w:left="1134" w:header="720" w:footer="720" w:gutter="0"/>
          <w:cols w:space="0" w:num="1"/>
          <w:docGrid w:type="lines" w:linePitch="332" w:charSpace="0"/>
        </w:sectPr>
      </w:pPr>
    </w:p>
    <w:p>
      <w:pPr>
        <w:jc w:val="center"/>
        <w:outlineLvl w:val="0"/>
        <w:rPr>
          <w:rFonts w:ascii="宋体" w:hAnsi="宋体" w:cs="宋体"/>
          <w:b/>
          <w:sz w:val="44"/>
          <w:szCs w:val="44"/>
        </w:rPr>
      </w:pPr>
      <w:bookmarkStart w:id="496" w:name="_Toc29164"/>
      <w:bookmarkStart w:id="497" w:name="_Toc27595"/>
      <w:bookmarkStart w:id="498" w:name="_Toc24075"/>
      <w:bookmarkStart w:id="499" w:name="_Toc18354"/>
      <w:bookmarkStart w:id="500" w:name="_Toc18582"/>
      <w:r>
        <w:rPr>
          <w:rFonts w:hint="eastAsia" w:ascii="宋体" w:hAnsi="宋体" w:cs="宋体"/>
          <w:b/>
          <w:sz w:val="44"/>
          <w:szCs w:val="44"/>
        </w:rPr>
        <w:t>第六章 投标文件格式</w:t>
      </w:r>
      <w:bookmarkEnd w:id="496"/>
      <w:bookmarkEnd w:id="497"/>
      <w:bookmarkEnd w:id="498"/>
      <w:bookmarkEnd w:id="499"/>
      <w:bookmarkEnd w:id="500"/>
    </w:p>
    <w:p>
      <w:pPr>
        <w:rPr>
          <w:rFonts w:ascii="宋体" w:hAnsi="宋体" w:cs="宋体"/>
        </w:rPr>
      </w:pPr>
      <w:bookmarkStart w:id="501" w:name="_Toc19163"/>
      <w:bookmarkEnd w:id="501"/>
      <w:bookmarkStart w:id="502" w:name="_Toc17654"/>
      <w:bookmarkEnd w:id="502"/>
      <w:r>
        <w:rPr>
          <w:rFonts w:hint="eastAsia" w:ascii="宋体" w:hAnsi="宋体" w:cs="宋体"/>
        </w:rPr>
        <w:t xml:space="preserve">  </w:t>
      </w:r>
    </w:p>
    <w:p>
      <w:pPr>
        <w:jc w:val="center"/>
        <w:outlineLvl w:val="1"/>
        <w:rPr>
          <w:rFonts w:ascii="宋体" w:hAnsi="宋体" w:cs="宋体"/>
          <w:b/>
          <w:sz w:val="44"/>
          <w:szCs w:val="44"/>
        </w:rPr>
      </w:pPr>
      <w:bookmarkStart w:id="503" w:name="_Toc27015"/>
      <w:r>
        <w:rPr>
          <w:rFonts w:hint="eastAsia" w:ascii="宋体" w:hAnsi="宋体" w:cs="宋体"/>
          <w:b/>
          <w:sz w:val="44"/>
          <w:szCs w:val="44"/>
        </w:rPr>
        <w:t>资格审查部分</w:t>
      </w:r>
      <w:bookmarkEnd w:id="503"/>
    </w:p>
    <w:p>
      <w:pPr>
        <w:rPr>
          <w:rFonts w:ascii="宋体" w:hAnsi="宋体" w:cs="宋体"/>
        </w:rPr>
      </w:pPr>
    </w:p>
    <w:p>
      <w:pPr>
        <w:rPr>
          <w:rFonts w:ascii="宋体" w:hAnsi="宋体" w:cs="宋体"/>
        </w:rPr>
      </w:pPr>
      <w:r>
        <w:rPr>
          <w:rFonts w:hint="eastAsia" w:ascii="宋体" w:hAnsi="宋体" w:cs="宋体"/>
        </w:rPr>
        <w:t xml:space="preserve"> </w:t>
      </w:r>
    </w:p>
    <w:p>
      <w:pPr>
        <w:jc w:val="center"/>
        <w:rPr>
          <w:rFonts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(项目名称)</w:t>
      </w:r>
    </w:p>
    <w:p>
      <w:pPr>
        <w:jc w:val="center"/>
        <w:rPr>
          <w:rFonts w:ascii="宋体" w:hAnsi="宋体" w:cs="宋体"/>
          <w:b/>
          <w:bCs/>
          <w:sz w:val="28"/>
          <w:szCs w:val="28"/>
        </w:rPr>
      </w:pP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p>
    <w:p>
      <w:pPr>
        <w:rPr>
          <w:rFonts w:ascii="宋体" w:hAnsi="宋体" w:cs="宋体"/>
          <w:b/>
          <w:bCs/>
          <w:sz w:val="44"/>
          <w:szCs w:val="44"/>
        </w:rPr>
      </w:pPr>
    </w:p>
    <w:p>
      <w:pP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b/>
          <w:bCs/>
          <w:sz w:val="52"/>
          <w:szCs w:val="52"/>
        </w:rPr>
      </w:pPr>
      <w:r>
        <w:rPr>
          <w:rFonts w:hint="eastAsia" w:ascii="宋体" w:hAnsi="宋体" w:cs="宋体"/>
          <w:b/>
          <w:bCs/>
          <w:sz w:val="52"/>
          <w:szCs w:val="52"/>
        </w:rPr>
        <w:t>投 标 文 件</w:t>
      </w:r>
    </w:p>
    <w:p>
      <w:pPr>
        <w:jc w:val="center"/>
        <w:rPr>
          <w:rFonts w:ascii="宋体" w:hAnsi="宋体" w:cs="宋体"/>
          <w:b/>
          <w:bCs/>
          <w:sz w:val="28"/>
          <w:szCs w:val="28"/>
        </w:rPr>
      </w:pPr>
      <w:r>
        <w:rPr>
          <w:rFonts w:hint="eastAsia" w:ascii="宋体" w:hAnsi="宋体" w:cs="宋体"/>
          <w:b/>
          <w:bCs/>
          <w:sz w:val="28"/>
          <w:szCs w:val="28"/>
        </w:rPr>
        <w:t>项目编号：KMZC2024-G1-01163-YNJT-0001</w:t>
      </w:r>
    </w:p>
    <w:p>
      <w:pPr>
        <w:jc w:val="center"/>
        <w:rPr>
          <w:rFonts w:ascii="宋体" w:hAnsi="宋体" w:cs="宋体"/>
          <w:b/>
          <w:bCs/>
          <w:sz w:val="44"/>
          <w:szCs w:val="44"/>
        </w:rPr>
      </w:pPr>
      <w:r>
        <w:rPr>
          <w:rFonts w:hint="eastAsia" w:ascii="宋体" w:hAnsi="宋体" w:cs="宋体"/>
          <w:b/>
          <w:bCs/>
          <w:sz w:val="28"/>
          <w:szCs w:val="28"/>
        </w:rPr>
        <w:t>招标编号：</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p>
    <w:p>
      <w:pPr>
        <w:rPr>
          <w:rFonts w:ascii="宋体" w:hAnsi="宋体" w:cs="宋体"/>
          <w:b/>
          <w:bCs/>
          <w:sz w:val="44"/>
          <w:szCs w:val="44"/>
        </w:rPr>
      </w:pPr>
    </w:p>
    <w:p>
      <w:pP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b/>
          <w:sz w:val="28"/>
          <w:szCs w:val="28"/>
        </w:rPr>
      </w:pPr>
      <w:bookmarkStart w:id="504" w:name="_Toc24434"/>
      <w:bookmarkEnd w:id="504"/>
      <w:r>
        <w:rPr>
          <w:rFonts w:hint="eastAsia" w:ascii="宋体" w:hAnsi="宋体" w:cs="宋体"/>
          <w:b/>
          <w:sz w:val="28"/>
          <w:szCs w:val="28"/>
        </w:rPr>
        <w:t>供应商：</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(电子签章)</w:t>
      </w:r>
    </w:p>
    <w:p>
      <w:pPr>
        <w:jc w:val="center"/>
        <w:rPr>
          <w:rFonts w:ascii="宋体" w:hAnsi="宋体" w:cs="宋体"/>
          <w:b/>
          <w:sz w:val="28"/>
          <w:szCs w:val="28"/>
        </w:rPr>
      </w:pPr>
      <w:r>
        <w:rPr>
          <w:rFonts w:hint="eastAsia" w:ascii="宋体" w:hAnsi="宋体" w:cs="宋体"/>
          <w:b/>
          <w:sz w:val="28"/>
          <w:szCs w:val="28"/>
        </w:rPr>
        <w:t>法定代表人(单位负责人)或其委托代理人：</w:t>
      </w:r>
      <w:r>
        <w:rPr>
          <w:rFonts w:hint="eastAsia" w:ascii="宋体" w:hAnsi="宋体" w:cs="宋体"/>
          <w:b/>
          <w:sz w:val="28"/>
          <w:szCs w:val="28"/>
          <w:u w:val="single"/>
        </w:rPr>
        <w:t xml:space="preserve">     </w:t>
      </w:r>
      <w:r>
        <w:rPr>
          <w:rFonts w:hint="eastAsia" w:ascii="宋体" w:hAnsi="宋体" w:cs="宋体"/>
          <w:b/>
          <w:sz w:val="28"/>
          <w:szCs w:val="28"/>
        </w:rPr>
        <w:t>(电子签章或签名)</w:t>
      </w:r>
    </w:p>
    <w:p>
      <w:pPr>
        <w:ind w:firstLine="2811" w:firstLineChars="1000"/>
        <w:rPr>
          <w:rFonts w:ascii="宋体" w:hAnsi="宋体" w:cs="宋体"/>
          <w:sz w:val="28"/>
          <w:szCs w:val="28"/>
        </w:rPr>
        <w:sectPr>
          <w:pgSz w:w="11905" w:h="16838"/>
          <w:pgMar w:top="1134" w:right="1134" w:bottom="1134" w:left="1134" w:header="720" w:footer="720" w:gutter="0"/>
          <w:cols w:space="0" w:num="1"/>
          <w:docGrid w:type="lines" w:linePitch="332" w:charSpace="0"/>
        </w:sectPr>
      </w:pPr>
      <w:r>
        <w:rPr>
          <w:rFonts w:hint="eastAsia" w:ascii="宋体" w:hAnsi="宋体" w:cs="宋体"/>
          <w:b/>
          <w:sz w:val="28"/>
          <w:szCs w:val="28"/>
        </w:rPr>
        <w:t>日期：</w:t>
      </w:r>
      <w:r>
        <w:rPr>
          <w:rFonts w:hint="eastAsia" w:ascii="宋体" w:hAnsi="宋体" w:cs="宋体"/>
          <w:bCs/>
          <w:sz w:val="28"/>
          <w:szCs w:val="28"/>
          <w:u w:val="single"/>
        </w:rPr>
        <w:t xml:space="preserve">      </w:t>
      </w:r>
      <w:r>
        <w:rPr>
          <w:rFonts w:hint="eastAsia" w:ascii="宋体" w:hAnsi="宋体" w:cs="宋体"/>
          <w:b/>
          <w:sz w:val="28"/>
          <w:szCs w:val="28"/>
        </w:rPr>
        <w:t>年</w:t>
      </w:r>
      <w:r>
        <w:rPr>
          <w:rFonts w:hint="eastAsia" w:ascii="宋体" w:hAnsi="宋体" w:cs="宋体"/>
          <w:bCs/>
          <w:sz w:val="28"/>
          <w:szCs w:val="28"/>
          <w:u w:val="single"/>
        </w:rPr>
        <w:t xml:space="preserve">     </w:t>
      </w:r>
      <w:r>
        <w:rPr>
          <w:rFonts w:hint="eastAsia" w:ascii="宋体" w:hAnsi="宋体" w:cs="宋体"/>
          <w:b/>
          <w:sz w:val="28"/>
          <w:szCs w:val="28"/>
        </w:rPr>
        <w:t>月</w:t>
      </w:r>
      <w:r>
        <w:rPr>
          <w:rFonts w:hint="eastAsia" w:ascii="宋体" w:hAnsi="宋体" w:cs="宋体"/>
          <w:bCs/>
          <w:sz w:val="28"/>
          <w:szCs w:val="28"/>
          <w:u w:val="single"/>
        </w:rPr>
        <w:t xml:space="preserve">     </w:t>
      </w:r>
      <w:r>
        <w:rPr>
          <w:rFonts w:hint="eastAsia" w:ascii="宋体" w:hAnsi="宋体" w:cs="宋体"/>
          <w:b/>
          <w:sz w:val="28"/>
          <w:szCs w:val="28"/>
        </w:rPr>
        <w:t>日</w:t>
      </w:r>
    </w:p>
    <w:p>
      <w:pPr>
        <w:autoSpaceDE w:val="0"/>
        <w:autoSpaceDN w:val="0"/>
        <w:snapToGrid w:val="0"/>
        <w:spacing w:line="400" w:lineRule="exact"/>
        <w:textAlignment w:val="bottom"/>
        <w:rPr>
          <w:rFonts w:ascii="宋体"/>
          <w:b/>
          <w:bCs/>
        </w:rPr>
      </w:pPr>
      <w:bookmarkStart w:id="505" w:name="_Toc14689"/>
      <w:bookmarkStart w:id="506" w:name="_Toc11665"/>
      <w:bookmarkStart w:id="507" w:name="_Toc24801"/>
      <w:bookmarkStart w:id="508" w:name="_Toc11747"/>
      <w:r>
        <w:rPr>
          <w:rFonts w:hint="eastAsia" w:ascii="宋体"/>
          <w:b/>
          <w:bCs/>
        </w:rPr>
        <w:t>注：供应商采取自愿原则选取下列两种方式中的任意一种方式提交资格证明文件即可：1. 资格条件承诺函（格式1）；2.符合《中华人民共和国政府采购法》条二十二条规定条件的相关资格证明材料（格式2、格式3、格式4、格式5、格式6）</w:t>
      </w:r>
    </w:p>
    <w:p>
      <w:pPr>
        <w:pStyle w:val="39"/>
        <w:tabs>
          <w:tab w:val="center" w:pos="2185"/>
        </w:tabs>
        <w:ind w:firstLine="210"/>
      </w:pPr>
    </w:p>
    <w:p>
      <w:pPr>
        <w:spacing w:line="360" w:lineRule="auto"/>
        <w:ind w:firstLine="562" w:firstLineChars="200"/>
        <w:jc w:val="center"/>
        <w:rPr>
          <w:rFonts w:ascii="宋体"/>
          <w:b/>
          <w:color w:val="000000"/>
          <w:sz w:val="28"/>
          <w:szCs w:val="28"/>
        </w:rPr>
      </w:pPr>
      <w:r>
        <w:rPr>
          <w:rFonts w:hint="eastAsia" w:hAnsi="宋体"/>
          <w:b/>
          <w:sz w:val="28"/>
          <w:szCs w:val="28"/>
        </w:rPr>
        <w:t>格式1：</w:t>
      </w:r>
      <w:r>
        <w:rPr>
          <w:rFonts w:hint="eastAsia" w:ascii="宋体"/>
          <w:b/>
          <w:color w:val="000000"/>
          <w:sz w:val="28"/>
          <w:szCs w:val="28"/>
        </w:rPr>
        <w:t>资格条件承诺函</w:t>
      </w:r>
    </w:p>
    <w:p>
      <w:pPr>
        <w:pStyle w:val="39"/>
        <w:tabs>
          <w:tab w:val="center" w:pos="2185"/>
        </w:tabs>
        <w:ind w:firstLine="210"/>
      </w:pPr>
    </w:p>
    <w:p>
      <w:pPr>
        <w:spacing w:line="360" w:lineRule="auto"/>
        <w:ind w:firstLine="480" w:firstLineChars="200"/>
        <w:rPr>
          <w:rFonts w:ascii="宋体" w:hAnsi="宋体"/>
          <w:color w:val="000000"/>
          <w:sz w:val="24"/>
        </w:rPr>
      </w:pPr>
      <w:r>
        <w:rPr>
          <w:rFonts w:hint="eastAsia" w:ascii="宋体" w:hAnsi="宋体"/>
          <w:color w:val="000000"/>
          <w:sz w:val="24"/>
        </w:rPr>
        <w:t>我方（供应商名称）符合《中华人民共和国政府采购法》第二十二条规定条件，具体包括：</w:t>
      </w:r>
    </w:p>
    <w:p>
      <w:pPr>
        <w:spacing w:line="360" w:lineRule="auto"/>
        <w:ind w:firstLine="480" w:firstLineChars="200"/>
        <w:rPr>
          <w:rFonts w:ascii="宋体" w:hAnsi="宋体"/>
          <w:color w:val="000000"/>
          <w:sz w:val="24"/>
        </w:rPr>
      </w:pPr>
      <w:r>
        <w:rPr>
          <w:rFonts w:hint="eastAsia" w:ascii="宋体" w:hAnsi="宋体"/>
          <w:color w:val="000000"/>
          <w:sz w:val="24"/>
        </w:rPr>
        <w:t>1.具有独立承担民事责任的能力；</w:t>
      </w:r>
    </w:p>
    <w:p>
      <w:pPr>
        <w:spacing w:line="360" w:lineRule="auto"/>
        <w:ind w:firstLine="480" w:firstLineChars="200"/>
        <w:rPr>
          <w:rFonts w:ascii="宋体" w:hAnsi="宋体"/>
          <w:color w:val="000000"/>
          <w:sz w:val="24"/>
        </w:rPr>
      </w:pPr>
      <w:r>
        <w:rPr>
          <w:rFonts w:hint="eastAsia" w:ascii="宋体" w:hAnsi="宋体"/>
          <w:color w:val="000000"/>
          <w:sz w:val="24"/>
        </w:rPr>
        <w:t>2.具有良好的商业信誉和健全的财务会计制度；</w:t>
      </w:r>
    </w:p>
    <w:p>
      <w:pPr>
        <w:spacing w:line="360" w:lineRule="auto"/>
        <w:ind w:firstLine="480" w:firstLineChars="200"/>
        <w:rPr>
          <w:rFonts w:ascii="宋体" w:hAnsi="宋体"/>
          <w:color w:val="000000"/>
          <w:sz w:val="24"/>
        </w:rPr>
      </w:pPr>
      <w:r>
        <w:rPr>
          <w:rFonts w:hint="eastAsia" w:ascii="宋体" w:hAnsi="宋体"/>
          <w:color w:val="000000"/>
          <w:sz w:val="24"/>
        </w:rPr>
        <w:t>3.有依法缴纳税收和社会保障资金的良好记录；</w:t>
      </w:r>
    </w:p>
    <w:p>
      <w:pPr>
        <w:spacing w:line="360" w:lineRule="auto"/>
        <w:ind w:firstLine="480" w:firstLineChars="200"/>
        <w:rPr>
          <w:rFonts w:ascii="宋体" w:hAnsi="宋体"/>
          <w:color w:val="000000"/>
          <w:sz w:val="24"/>
        </w:rPr>
      </w:pPr>
      <w:r>
        <w:rPr>
          <w:rFonts w:hint="eastAsia" w:ascii="宋体" w:hAnsi="宋体"/>
          <w:color w:val="000000"/>
          <w:sz w:val="24"/>
        </w:rPr>
        <w:t>4.具有履行合同所必需的设备和专业技术能力；</w:t>
      </w:r>
    </w:p>
    <w:p>
      <w:pPr>
        <w:spacing w:line="360" w:lineRule="auto"/>
        <w:ind w:firstLine="480" w:firstLineChars="200"/>
        <w:rPr>
          <w:rFonts w:ascii="宋体" w:hAnsi="宋体"/>
          <w:color w:val="000000"/>
          <w:sz w:val="24"/>
        </w:rPr>
      </w:pPr>
      <w:r>
        <w:rPr>
          <w:rFonts w:hint="eastAsia" w:ascii="宋体" w:hAnsi="宋体"/>
          <w:color w:val="000000"/>
          <w:sz w:val="24"/>
        </w:rPr>
        <w:t>5.参加本次政府采购活动前三年内，在经营活动中没有重大违法记录。</w:t>
      </w:r>
    </w:p>
    <w:p>
      <w:pPr>
        <w:spacing w:line="360" w:lineRule="auto"/>
        <w:ind w:firstLine="480" w:firstLineChars="200"/>
        <w:rPr>
          <w:rFonts w:ascii="宋体" w:hAnsi="宋体"/>
          <w:color w:val="000000"/>
          <w:sz w:val="24"/>
        </w:rPr>
      </w:pPr>
      <w:r>
        <w:rPr>
          <w:rFonts w:hint="eastAsia" w:ascii="宋体" w:hAnsi="宋体"/>
          <w:color w:val="000000"/>
          <w:sz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pPr>
        <w:spacing w:line="360" w:lineRule="auto"/>
        <w:ind w:firstLine="480" w:firstLineChars="200"/>
        <w:rPr>
          <w:rFonts w:ascii="宋体" w:hAnsi="宋体"/>
          <w:color w:val="000000"/>
          <w:sz w:val="24"/>
        </w:rPr>
      </w:pPr>
      <w:r>
        <w:rPr>
          <w:rFonts w:hint="eastAsia" w:ascii="宋体" w:hAnsi="宋体"/>
          <w:color w:val="000000"/>
          <w:sz w:val="24"/>
        </w:rPr>
        <w:t>特此承诺。</w:t>
      </w:r>
    </w:p>
    <w:p>
      <w:pPr>
        <w:spacing w:line="360" w:lineRule="auto"/>
        <w:ind w:firstLine="4800" w:firstLineChars="2000"/>
        <w:rPr>
          <w:rFonts w:ascii="宋体" w:hAnsi="宋体"/>
          <w:color w:val="000000"/>
          <w:sz w:val="24"/>
        </w:rPr>
      </w:pPr>
    </w:p>
    <w:p>
      <w:pPr>
        <w:spacing w:line="360" w:lineRule="auto"/>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rPr>
          <w:rFonts w:ascii="宋体" w:hAnsi="宋体" w:cs="宋体"/>
          <w:sz w:val="24"/>
          <w:szCs w:val="24"/>
        </w:rPr>
        <w:sectPr>
          <w:footerReference r:id="rId10"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spacing w:line="720" w:lineRule="auto"/>
        <w:jc w:val="both"/>
        <w:rPr>
          <w:rFonts w:ascii="宋体" w:hAnsi="宋体" w:cs="宋体"/>
          <w:b/>
          <w:bCs/>
          <w:sz w:val="24"/>
          <w:szCs w:val="24"/>
        </w:rPr>
      </w:pPr>
      <w:r>
        <w:rPr>
          <w:rFonts w:hint="eastAsia" w:ascii="宋体" w:hAnsi="宋体" w:cs="宋体"/>
          <w:b/>
          <w:bCs/>
          <w:sz w:val="24"/>
          <w:szCs w:val="24"/>
        </w:rPr>
        <w:t>格式2、具有独立承担民事责任的能力</w:t>
      </w:r>
    </w:p>
    <w:p>
      <w:pPr>
        <w:pStyle w:val="24"/>
        <w:tabs>
          <w:tab w:val="left" w:pos="5580"/>
        </w:tabs>
        <w:spacing w:line="360" w:lineRule="auto"/>
        <w:ind w:firstLine="480" w:firstLineChars="200"/>
        <w:jc w:val="both"/>
        <w:rPr>
          <w:rFonts w:hAnsi="宋体" w:cs="宋体"/>
          <w:sz w:val="24"/>
          <w:szCs w:val="24"/>
        </w:rPr>
      </w:pPr>
      <w:r>
        <w:rPr>
          <w:rFonts w:hint="eastAsia" w:hAnsi="宋体" w:cs="宋体"/>
          <w:sz w:val="24"/>
          <w:szCs w:val="24"/>
        </w:rPr>
        <w:t>提供法人或者其他组织的营业执照等证明文件。</w:t>
      </w:r>
    </w:p>
    <w:p>
      <w:pPr>
        <w:spacing w:line="720" w:lineRule="auto"/>
        <w:jc w:val="both"/>
        <w:rPr>
          <w:rFonts w:ascii="宋体" w:hAnsi="宋体" w:cs="宋体"/>
          <w:sz w:val="24"/>
          <w:szCs w:val="24"/>
        </w:rPr>
      </w:pPr>
    </w:p>
    <w:p>
      <w:pPr>
        <w:spacing w:line="720" w:lineRule="auto"/>
        <w:jc w:val="both"/>
        <w:rPr>
          <w:rFonts w:ascii="宋体" w:hAnsi="宋体" w:cs="宋体"/>
          <w:b/>
          <w:bCs/>
          <w:sz w:val="24"/>
          <w:szCs w:val="24"/>
        </w:rPr>
      </w:pPr>
      <w:r>
        <w:rPr>
          <w:rFonts w:hint="eastAsia" w:ascii="宋体" w:hAnsi="宋体" w:cs="宋体"/>
          <w:b/>
          <w:bCs/>
          <w:sz w:val="24"/>
          <w:szCs w:val="24"/>
        </w:rPr>
        <w:t>格式3、具有良好的商业信誉和健全的财务会计制度</w:t>
      </w:r>
      <w:bookmarkEnd w:id="505"/>
      <w:bookmarkEnd w:id="506"/>
      <w:bookmarkEnd w:id="507"/>
      <w:bookmarkEnd w:id="508"/>
    </w:p>
    <w:p>
      <w:pPr>
        <w:pStyle w:val="127"/>
        <w:ind w:firstLine="480" w:firstLineChars="200"/>
        <w:rPr>
          <w:rFonts w:ascii="宋体" w:hAnsi="宋体" w:eastAsia="宋体"/>
          <w:sz w:val="24"/>
          <w:szCs w:val="24"/>
        </w:rPr>
      </w:pPr>
      <w:r>
        <w:rPr>
          <w:rFonts w:hint="eastAsia" w:ascii="宋体" w:hAnsi="宋体" w:eastAsia="宋体"/>
          <w:sz w:val="24"/>
          <w:szCs w:val="24"/>
        </w:rPr>
        <w:t>具有良好的商业信誉和健全的财务会计制度。提供年2022年经审计的财务报告(包括资产负债表、利润表、现金流量表、所有者权益变动表及其附注)或公司财务报表，成立不满 1 年的供应商提供财务报告或相关情况说明。</w:t>
      </w:r>
      <w:bookmarkStart w:id="509" w:name="_Toc25770"/>
      <w:bookmarkStart w:id="510" w:name="_Toc27285"/>
    </w:p>
    <w:p>
      <w:pPr>
        <w:rPr>
          <w:rFonts w:ascii="宋体" w:hAnsi="宋体" w:cs="宋体"/>
          <w:sz w:val="24"/>
          <w:szCs w:val="24"/>
        </w:rPr>
      </w:pPr>
    </w:p>
    <w:p>
      <w:pPr>
        <w:spacing w:line="720" w:lineRule="auto"/>
        <w:jc w:val="both"/>
        <w:rPr>
          <w:rFonts w:ascii="宋体" w:hAnsi="宋体" w:cs="宋体"/>
          <w:sz w:val="24"/>
          <w:szCs w:val="24"/>
        </w:rPr>
      </w:pPr>
      <w:bookmarkStart w:id="511" w:name="_Toc30614"/>
      <w:bookmarkStart w:id="512" w:name="_Toc1824"/>
    </w:p>
    <w:p>
      <w:pPr>
        <w:spacing w:line="720" w:lineRule="auto"/>
        <w:jc w:val="both"/>
        <w:rPr>
          <w:rFonts w:ascii="宋体" w:hAnsi="宋体" w:cs="宋体"/>
          <w:b/>
          <w:bCs/>
          <w:sz w:val="24"/>
          <w:szCs w:val="24"/>
        </w:rPr>
      </w:pPr>
      <w:r>
        <w:rPr>
          <w:rFonts w:hint="eastAsia" w:ascii="宋体" w:hAnsi="宋体" w:cs="宋体"/>
          <w:b/>
          <w:bCs/>
          <w:sz w:val="24"/>
          <w:szCs w:val="24"/>
        </w:rPr>
        <w:t>格式4、</w:t>
      </w:r>
      <w:bookmarkEnd w:id="509"/>
      <w:bookmarkEnd w:id="510"/>
      <w:r>
        <w:rPr>
          <w:rFonts w:hint="eastAsia" w:ascii="宋体" w:hAnsi="宋体" w:cs="宋体"/>
          <w:b/>
          <w:bCs/>
          <w:sz w:val="24"/>
          <w:szCs w:val="24"/>
        </w:rPr>
        <w:t>具有履行合同所必需的设备和专业技术能力</w:t>
      </w:r>
      <w:bookmarkEnd w:id="511"/>
      <w:bookmarkEnd w:id="512"/>
    </w:p>
    <w:p>
      <w:pPr>
        <w:pStyle w:val="127"/>
        <w:ind w:firstLine="480" w:firstLineChars="200"/>
        <w:jc w:val="both"/>
        <w:rPr>
          <w:rFonts w:ascii="宋体" w:hAnsi="宋体" w:eastAsia="宋体"/>
          <w:sz w:val="24"/>
          <w:szCs w:val="24"/>
        </w:rPr>
      </w:pPr>
      <w:bookmarkStart w:id="513" w:name="_Toc14504"/>
      <w:bookmarkEnd w:id="513"/>
      <w:bookmarkStart w:id="514" w:name="_Toc20341"/>
      <w:r>
        <w:rPr>
          <w:rFonts w:hint="eastAsia" w:ascii="宋体" w:hAnsi="宋体" w:eastAsia="宋体"/>
          <w:sz w:val="24"/>
          <w:szCs w:val="24"/>
        </w:rPr>
        <w:t>提供具备履行合同所必需的设备和专业技术能力的证明材料。</w:t>
      </w:r>
    </w:p>
    <w:bookmarkEnd w:id="514"/>
    <w:p>
      <w:pPr>
        <w:rPr>
          <w:rFonts w:ascii="宋体" w:hAnsi="宋体" w:cs="宋体"/>
          <w:sz w:val="24"/>
          <w:szCs w:val="24"/>
        </w:rPr>
      </w:pPr>
      <w:bookmarkStart w:id="515" w:name="_Toc23521"/>
      <w:bookmarkStart w:id="516" w:name="_Toc1209"/>
    </w:p>
    <w:p>
      <w:pPr>
        <w:spacing w:line="720" w:lineRule="auto"/>
        <w:jc w:val="both"/>
        <w:rPr>
          <w:rFonts w:ascii="宋体" w:hAnsi="宋体" w:cs="宋体"/>
          <w:sz w:val="24"/>
          <w:szCs w:val="24"/>
        </w:rPr>
      </w:pPr>
      <w:bookmarkStart w:id="517" w:name="_Toc10672"/>
      <w:bookmarkStart w:id="518" w:name="_Toc16812"/>
    </w:p>
    <w:p>
      <w:pPr>
        <w:spacing w:line="720" w:lineRule="auto"/>
        <w:jc w:val="both"/>
        <w:rPr>
          <w:rFonts w:ascii="宋体" w:hAnsi="宋体" w:cs="宋体"/>
          <w:b/>
          <w:bCs/>
          <w:sz w:val="24"/>
          <w:szCs w:val="24"/>
        </w:rPr>
      </w:pPr>
      <w:r>
        <w:rPr>
          <w:rFonts w:hint="eastAsia" w:ascii="宋体" w:hAnsi="宋体" w:cs="宋体"/>
          <w:b/>
          <w:bCs/>
          <w:sz w:val="24"/>
          <w:szCs w:val="24"/>
        </w:rPr>
        <w:t>格式5、</w:t>
      </w:r>
      <w:bookmarkEnd w:id="515"/>
      <w:bookmarkEnd w:id="516"/>
      <w:r>
        <w:rPr>
          <w:rFonts w:hint="eastAsia" w:ascii="宋体" w:hAnsi="宋体" w:cs="宋体"/>
          <w:b/>
          <w:bCs/>
          <w:sz w:val="24"/>
          <w:szCs w:val="24"/>
        </w:rPr>
        <w:t>有依法缴纳税收和社会保障资金的良好记录</w:t>
      </w:r>
      <w:bookmarkEnd w:id="517"/>
      <w:bookmarkEnd w:id="518"/>
    </w:p>
    <w:p>
      <w:pPr>
        <w:spacing w:line="360" w:lineRule="auto"/>
        <w:ind w:firstLine="480" w:firstLineChars="200"/>
        <w:jc w:val="both"/>
        <w:rPr>
          <w:rFonts w:ascii="宋体" w:hAnsi="宋体" w:cs="宋体"/>
          <w:sz w:val="24"/>
          <w:szCs w:val="24"/>
        </w:rPr>
      </w:pPr>
      <w:r>
        <w:rPr>
          <w:rFonts w:hint="eastAsia" w:ascii="宋体" w:hAnsi="宋体" w:cs="宋体"/>
          <w:sz w:val="24"/>
          <w:szCs w:val="24"/>
        </w:rPr>
        <w:t>提供近12个月内任意1个月依法缴纳税收和缴纳社会保障资金的证明(成立未满1个月的提供成立以来的税收和社会保障资金缴纳凭据；依法免税或不需要缴纳社会保障资金的供应商，应提供相应文件证明其依法免税或不需要缴纳社会保障资金)。</w:t>
      </w:r>
    </w:p>
    <w:p>
      <w:pPr>
        <w:autoSpaceDE w:val="0"/>
        <w:spacing w:line="480" w:lineRule="auto"/>
        <w:rPr>
          <w:rFonts w:ascii="宋体" w:hAnsi="宋体" w:cs="宋体"/>
          <w:sz w:val="24"/>
          <w:szCs w:val="24"/>
        </w:rPr>
      </w:pPr>
    </w:p>
    <w:p>
      <w:pPr>
        <w:spacing w:line="720" w:lineRule="auto"/>
        <w:rPr>
          <w:rFonts w:ascii="宋体" w:hAnsi="宋体" w:cs="宋体"/>
          <w:sz w:val="24"/>
          <w:szCs w:val="24"/>
        </w:rPr>
      </w:pPr>
      <w:bookmarkStart w:id="519" w:name="_Toc8069"/>
      <w:bookmarkEnd w:id="519"/>
      <w:r>
        <w:rPr>
          <w:rFonts w:hint="eastAsia" w:ascii="宋体" w:hAnsi="宋体" w:cs="宋体"/>
          <w:sz w:val="24"/>
          <w:szCs w:val="24"/>
        </w:rPr>
        <w:br w:type="page"/>
      </w:r>
      <w:bookmarkStart w:id="520" w:name="_Toc24697"/>
      <w:bookmarkStart w:id="521" w:name="_Toc11577"/>
      <w:r>
        <w:rPr>
          <w:rFonts w:hint="eastAsia" w:ascii="宋体" w:hAnsi="宋体" w:cs="宋体"/>
          <w:b/>
          <w:bCs/>
          <w:sz w:val="24"/>
          <w:szCs w:val="24"/>
        </w:rPr>
        <w:t>格式6、</w:t>
      </w:r>
      <w:bookmarkStart w:id="522" w:name="_Toc4022"/>
      <w:bookmarkEnd w:id="522"/>
      <w:bookmarkStart w:id="523" w:name="_Toc30512"/>
      <w:r>
        <w:rPr>
          <w:rFonts w:hint="eastAsia" w:ascii="宋体" w:hAnsi="宋体" w:cs="宋体"/>
          <w:b/>
          <w:bCs/>
          <w:sz w:val="24"/>
          <w:szCs w:val="24"/>
        </w:rPr>
        <w:t>参加政府采购活动前三年内，在经营活动中没有重大违法记录</w:t>
      </w:r>
      <w:bookmarkEnd w:id="520"/>
      <w:bookmarkEnd w:id="521"/>
    </w:p>
    <w:p>
      <w:pPr>
        <w:spacing w:line="360" w:lineRule="auto"/>
        <w:rPr>
          <w:rFonts w:ascii="宋体" w:hAnsi="宋体" w:cs="宋体"/>
          <w:sz w:val="24"/>
          <w:szCs w:val="24"/>
        </w:rPr>
      </w:pPr>
      <w:r>
        <w:rPr>
          <w:rFonts w:hint="eastAsia" w:ascii="宋体" w:hAnsi="宋体" w:cs="宋体"/>
          <w:sz w:val="24"/>
          <w:szCs w:val="24"/>
        </w:rPr>
        <w:t>致：        （采购人）</w:t>
      </w:r>
    </w:p>
    <w:p>
      <w:pPr>
        <w:spacing w:line="360" w:lineRule="auto"/>
        <w:ind w:firstLine="480" w:firstLineChars="200"/>
        <w:jc w:val="center"/>
        <w:rPr>
          <w:rFonts w:ascii="宋体" w:hAnsi="宋体" w:cs="宋体"/>
          <w:sz w:val="24"/>
          <w:szCs w:val="24"/>
        </w:rPr>
      </w:pPr>
      <w:r>
        <w:rPr>
          <w:rFonts w:hint="eastAsia" w:ascii="宋体" w:hAnsi="宋体" w:cs="宋体"/>
          <w:sz w:val="24"/>
          <w:szCs w:val="24"/>
        </w:rPr>
        <w:t>（供应商自行承诺及说明，内容自拟）</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p>
    <w:p>
      <w:pPr>
        <w:ind w:firstLine="1200" w:firstLineChars="500"/>
        <w:rPr>
          <w:rFonts w:ascii="宋体" w:hAnsi="宋体" w:cs="宋体"/>
          <w:sz w:val="24"/>
          <w:szCs w:val="24"/>
        </w:rPr>
      </w:pPr>
    </w:p>
    <w:p>
      <w:pPr>
        <w:ind w:firstLine="1200" w:firstLineChars="500"/>
        <w:rPr>
          <w:rFonts w:ascii="宋体" w:hAnsi="宋体" w:cs="宋体"/>
          <w:sz w:val="24"/>
          <w:szCs w:val="24"/>
        </w:rPr>
      </w:pPr>
    </w:p>
    <w:p>
      <w:pPr>
        <w:ind w:firstLine="1200" w:firstLineChars="500"/>
        <w:rPr>
          <w:rFonts w:ascii="宋体" w:hAnsi="宋体" w:cs="宋体"/>
          <w:sz w:val="24"/>
          <w:szCs w:val="24"/>
        </w:rPr>
      </w:pPr>
    </w:p>
    <w:p>
      <w:pPr>
        <w:pStyle w:val="19"/>
        <w:rPr>
          <w:rFonts w:ascii="宋体" w:hAnsi="宋体" w:cs="宋体"/>
          <w:sz w:val="24"/>
        </w:rPr>
      </w:pPr>
    </w:p>
    <w:p>
      <w:pPr>
        <w:ind w:firstLine="1200" w:firstLineChars="500"/>
        <w:rPr>
          <w:rFonts w:ascii="宋体" w:hAnsi="宋体" w:cs="宋体"/>
          <w:sz w:val="24"/>
          <w:szCs w:val="24"/>
        </w:rPr>
      </w:pPr>
    </w:p>
    <w:p>
      <w:pPr>
        <w:spacing w:line="360" w:lineRule="auto"/>
        <w:ind w:firstLine="1680" w:firstLineChars="700"/>
        <w:jc w:val="right"/>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(电子签章)</w:t>
      </w:r>
    </w:p>
    <w:p>
      <w:pPr>
        <w:spacing w:line="360" w:lineRule="auto"/>
        <w:ind w:firstLine="1680" w:firstLineChars="700"/>
        <w:jc w:val="right"/>
        <w:rPr>
          <w:rFonts w:ascii="宋体" w:hAnsi="宋体" w:cs="宋体"/>
          <w:sz w:val="24"/>
          <w:szCs w:val="24"/>
        </w:rPr>
      </w:pPr>
      <w:r>
        <w:rPr>
          <w:rFonts w:hint="eastAsia" w:ascii="宋体" w:hAnsi="宋体" w:cs="宋体"/>
          <w:sz w:val="24"/>
          <w:szCs w:val="24"/>
        </w:rPr>
        <w:t>法定代表人(单位负责人)或其委托代理人：</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(电子签章或签名)</w:t>
      </w:r>
    </w:p>
    <w:p>
      <w:pPr>
        <w:spacing w:line="360" w:lineRule="auto"/>
        <w:ind w:firstLine="1680" w:firstLineChars="700"/>
        <w:jc w:val="right"/>
        <w:rPr>
          <w:rFonts w:ascii="宋体" w:hAnsi="宋体" w:cs="宋体"/>
          <w:sz w:val="24"/>
          <w:szCs w:val="24"/>
        </w:rPr>
      </w:pPr>
      <w:r>
        <w:rPr>
          <w:rFonts w:hint="eastAsia" w:ascii="宋体" w:hAnsi="宋体" w:cs="宋体"/>
          <w:sz w:val="24"/>
          <w:szCs w:val="24"/>
        </w:rPr>
        <w:t xml:space="preserve">日期：      年     月    日 </w:t>
      </w:r>
      <w:r>
        <w:rPr>
          <w:rFonts w:hint="eastAsia" w:ascii="宋体" w:hAnsi="宋体" w:cs="宋体"/>
          <w:sz w:val="24"/>
          <w:szCs w:val="24"/>
          <w:u w:val="single"/>
        </w:rPr>
        <w:t xml:space="preserve">  </w:t>
      </w:r>
      <w:r>
        <w:rPr>
          <w:rFonts w:hint="eastAsia" w:ascii="宋体" w:hAnsi="宋体" w:cs="宋体"/>
          <w:sz w:val="24"/>
          <w:szCs w:val="24"/>
        </w:rPr>
        <w:t xml:space="preserve">  </w:t>
      </w:r>
    </w:p>
    <w:p>
      <w:pPr>
        <w:pStyle w:val="19"/>
        <w:rPr>
          <w:rFonts w:ascii="宋体" w:hAnsi="宋体" w:cs="宋体"/>
          <w:sz w:val="24"/>
        </w:rPr>
      </w:pPr>
    </w:p>
    <w:p>
      <w:pPr>
        <w:spacing w:line="360" w:lineRule="auto"/>
        <w:ind w:firstLine="480" w:firstLineChars="200"/>
        <w:rPr>
          <w:rFonts w:ascii="宋体" w:hAnsi="宋体" w:cs="宋体"/>
          <w:sz w:val="24"/>
          <w:szCs w:val="24"/>
        </w:rPr>
      </w:pPr>
      <w:r>
        <w:rPr>
          <w:rFonts w:hint="eastAsia" w:ascii="宋体" w:hAnsi="宋体" w:cs="宋体"/>
          <w:sz w:val="24"/>
          <w:szCs w:val="24"/>
        </w:rPr>
        <w:t>注：重大违法记录，是指供应商因违法经营受到刑事处罚或者责令停产停业、吊销许可证或者执照、较大数额罚款等行政处罚。</w:t>
      </w:r>
    </w:p>
    <w:bookmarkEnd w:id="523"/>
    <w:p>
      <w:pPr>
        <w:widowControl w:val="0"/>
        <w:spacing w:line="360" w:lineRule="auto"/>
        <w:rPr>
          <w:rFonts w:ascii="宋体" w:hAnsi="宋体" w:cs="宋体"/>
          <w:sz w:val="24"/>
          <w:szCs w:val="24"/>
        </w:rPr>
      </w:pPr>
      <w:bookmarkStart w:id="524" w:name="_Toc15638"/>
      <w:bookmarkEnd w:id="524"/>
      <w:bookmarkStart w:id="525" w:name="_Toc16296"/>
      <w:bookmarkEnd w:id="525"/>
      <w:bookmarkStart w:id="526" w:name="_Toc15765"/>
    </w:p>
    <w:bookmarkEnd w:id="526"/>
    <w:p>
      <w:pPr>
        <w:spacing w:line="440" w:lineRule="exact"/>
        <w:rPr>
          <w:rFonts w:ascii="宋体" w:hAnsi="宋体" w:cs="宋体"/>
          <w:sz w:val="24"/>
          <w:szCs w:val="24"/>
        </w:rPr>
      </w:pPr>
      <w:bookmarkStart w:id="527" w:name="_Toc29133"/>
      <w:bookmarkEnd w:id="527"/>
    </w:p>
    <w:p>
      <w:pPr>
        <w:rPr>
          <w:rFonts w:ascii="宋体" w:hAnsi="宋体" w:cs="宋体"/>
          <w:b/>
          <w:bCs/>
          <w:sz w:val="24"/>
          <w:szCs w:val="24"/>
        </w:rPr>
      </w:pPr>
      <w:bookmarkStart w:id="528" w:name="_Toc17748"/>
      <w:bookmarkStart w:id="529" w:name="_Toc7205"/>
      <w:r>
        <w:rPr>
          <w:rFonts w:hint="eastAsia" w:ascii="宋体" w:hAnsi="宋体" w:cs="宋体"/>
          <w:b/>
          <w:bCs/>
          <w:sz w:val="24"/>
          <w:szCs w:val="24"/>
        </w:rPr>
        <w:br w:type="page"/>
      </w:r>
      <w:r>
        <w:rPr>
          <w:rFonts w:hint="eastAsia" w:ascii="宋体" w:hAnsi="宋体" w:cs="宋体"/>
          <w:b/>
          <w:bCs/>
          <w:sz w:val="24"/>
          <w:szCs w:val="24"/>
        </w:rPr>
        <w:t>格式7、其他</w:t>
      </w:r>
      <w:bookmarkEnd w:id="528"/>
      <w:bookmarkEnd w:id="529"/>
    </w:p>
    <w:p>
      <w:pPr>
        <w:spacing w:line="360" w:lineRule="auto"/>
        <w:ind w:firstLine="480" w:firstLineChars="200"/>
        <w:jc w:val="center"/>
        <w:rPr>
          <w:rFonts w:ascii="宋体" w:hAnsi="宋体" w:cs="宋体"/>
          <w:sz w:val="24"/>
          <w:szCs w:val="24"/>
        </w:rPr>
      </w:pPr>
      <w:r>
        <w:rPr>
          <w:rFonts w:hint="eastAsia" w:ascii="宋体" w:hAnsi="宋体" w:cs="宋体"/>
          <w:sz w:val="24"/>
          <w:szCs w:val="24"/>
        </w:rPr>
        <w:t>采购文件要求及供应商认为需要提交的其他资格证明材料。</w:t>
      </w:r>
    </w:p>
    <w:p>
      <w:pPr>
        <w:rPr>
          <w:rFonts w:ascii="宋体" w:hAnsi="宋体" w:cs="宋体"/>
          <w:sz w:val="24"/>
          <w:szCs w:val="24"/>
        </w:rPr>
      </w:pPr>
    </w:p>
    <w:p>
      <w:pPr>
        <w:jc w:val="center"/>
        <w:rPr>
          <w:rFonts w:ascii="宋体" w:hAnsi="宋体" w:cs="宋体"/>
          <w:b/>
          <w:bCs/>
          <w:sz w:val="44"/>
          <w:szCs w:val="44"/>
          <w:u w:val="single"/>
        </w:rPr>
      </w:pPr>
    </w:p>
    <w:p>
      <w:pPr>
        <w:jc w:val="center"/>
        <w:rPr>
          <w:rFonts w:ascii="宋体" w:hAnsi="宋体" w:cs="宋体"/>
          <w:b/>
          <w:bCs/>
          <w:sz w:val="44"/>
          <w:szCs w:val="44"/>
          <w:u w:val="single"/>
        </w:rPr>
      </w:pPr>
      <w:r>
        <w:rPr>
          <w:rFonts w:hint="eastAsia" w:ascii="宋体" w:hAnsi="宋体" w:cs="宋体"/>
          <w:b/>
          <w:bCs/>
          <w:sz w:val="44"/>
          <w:szCs w:val="44"/>
          <w:u w:val="single"/>
        </w:rPr>
        <w:br w:type="page"/>
      </w:r>
    </w:p>
    <w:p>
      <w:pPr>
        <w:jc w:val="center"/>
        <w:rPr>
          <w:rFonts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(项目名称)</w:t>
      </w:r>
    </w:p>
    <w:p>
      <w:pPr>
        <w:jc w:val="center"/>
        <w:rPr>
          <w:rFonts w:ascii="宋体" w:hAnsi="宋体" w:cs="宋体"/>
          <w:b/>
          <w:bCs/>
          <w:sz w:val="28"/>
          <w:szCs w:val="28"/>
        </w:rPr>
      </w:pPr>
      <w:r>
        <w:rPr>
          <w:rFonts w:hint="eastAsia" w:ascii="宋体" w:hAnsi="宋体" w:cs="宋体"/>
          <w:b/>
          <w:bCs/>
          <w:sz w:val="28"/>
          <w:szCs w:val="28"/>
        </w:rPr>
        <w:t xml:space="preserve"> 项目编号：KMZC2024-G1-01163-YNJT-0001</w:t>
      </w:r>
    </w:p>
    <w:p>
      <w:pPr>
        <w:jc w:val="center"/>
        <w:rPr>
          <w:rFonts w:ascii="宋体" w:hAnsi="宋体" w:cs="宋体"/>
          <w:b/>
          <w:bCs/>
          <w:sz w:val="28"/>
          <w:szCs w:val="28"/>
        </w:rPr>
      </w:pPr>
      <w:r>
        <w:rPr>
          <w:rFonts w:hint="eastAsia" w:ascii="宋体" w:hAnsi="宋体" w:cs="宋体"/>
          <w:b/>
          <w:bCs/>
          <w:sz w:val="28"/>
          <w:szCs w:val="28"/>
        </w:rPr>
        <w:t>招标编号：</w:t>
      </w:r>
    </w:p>
    <w:p>
      <w:pPr>
        <w:rPr>
          <w:rFonts w:ascii="宋体" w:hAnsi="宋体" w:cs="宋体"/>
          <w:b/>
          <w:bCs/>
          <w:sz w:val="44"/>
          <w:szCs w:val="44"/>
        </w:rPr>
      </w:pPr>
    </w:p>
    <w:p>
      <w:pPr>
        <w:rPr>
          <w:rFonts w:ascii="宋体" w:hAnsi="宋体" w:cs="宋体"/>
        </w:rPr>
      </w:pPr>
    </w:p>
    <w:p>
      <w:pPr>
        <w:pStyle w:val="19"/>
        <w:rPr>
          <w:rFonts w:ascii="宋体" w:hAnsi="宋体" w:cs="宋体"/>
        </w:rPr>
      </w:pPr>
    </w:p>
    <w:p>
      <w:pPr>
        <w:jc w:val="center"/>
        <w:outlineLvl w:val="1"/>
        <w:rPr>
          <w:rFonts w:ascii="宋体" w:hAnsi="宋体" w:cs="宋体"/>
          <w:b/>
          <w:sz w:val="44"/>
          <w:szCs w:val="44"/>
        </w:rPr>
      </w:pPr>
      <w:bookmarkStart w:id="530" w:name="_Toc9489"/>
      <w:r>
        <w:rPr>
          <w:rFonts w:hint="eastAsia" w:ascii="宋体" w:hAnsi="宋体" w:cs="宋体"/>
          <w:b/>
          <w:sz w:val="44"/>
          <w:szCs w:val="44"/>
        </w:rPr>
        <w:t>商务技术部分</w:t>
      </w:r>
      <w:bookmarkEnd w:id="530"/>
    </w:p>
    <w:p>
      <w:pPr>
        <w:rPr>
          <w:rFonts w:ascii="宋体" w:hAnsi="宋体" w:cs="宋体"/>
          <w:b/>
          <w:bCs/>
          <w:sz w:val="44"/>
          <w:szCs w:val="44"/>
        </w:rPr>
      </w:pP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b/>
          <w:bCs/>
          <w:sz w:val="32"/>
          <w:szCs w:val="32"/>
        </w:rPr>
      </w:pPr>
      <w:r>
        <w:rPr>
          <w:rFonts w:hint="eastAsia" w:ascii="宋体" w:hAnsi="宋体" w:cs="宋体"/>
          <w:b/>
          <w:bCs/>
          <w:sz w:val="52"/>
          <w:szCs w:val="52"/>
        </w:rPr>
        <w:t>投 标 文 件</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b/>
          <w:sz w:val="28"/>
          <w:szCs w:val="28"/>
        </w:rPr>
      </w:pPr>
      <w:r>
        <w:rPr>
          <w:rFonts w:hint="eastAsia" w:ascii="宋体" w:hAnsi="宋体" w:cs="宋体"/>
          <w:b/>
          <w:sz w:val="28"/>
          <w:szCs w:val="28"/>
        </w:rPr>
        <w:t>供应商：</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(电子签章)</w:t>
      </w:r>
    </w:p>
    <w:p>
      <w:pPr>
        <w:jc w:val="center"/>
        <w:rPr>
          <w:rFonts w:ascii="宋体" w:hAnsi="宋体" w:cs="宋体"/>
          <w:b/>
          <w:sz w:val="28"/>
          <w:szCs w:val="28"/>
        </w:rPr>
      </w:pPr>
      <w:r>
        <w:rPr>
          <w:rFonts w:hint="eastAsia" w:ascii="宋体" w:hAnsi="宋体" w:cs="宋体"/>
          <w:b/>
          <w:sz w:val="28"/>
          <w:szCs w:val="28"/>
        </w:rPr>
        <w:t>法定代表人(单位负责人)或其委托代理人：</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(电子签章或签名)</w:t>
      </w:r>
    </w:p>
    <w:p>
      <w:pPr>
        <w:jc w:val="center"/>
        <w:rPr>
          <w:rFonts w:ascii="宋体" w:hAnsi="宋体" w:cs="宋体"/>
          <w:sz w:val="28"/>
          <w:szCs w:val="28"/>
        </w:rPr>
        <w:sectPr>
          <w:footerReference r:id="rId11" w:type="default"/>
          <w:pgSz w:w="11905" w:h="16838"/>
          <w:pgMar w:top="1134" w:right="1134" w:bottom="1134" w:left="1134" w:header="720" w:footer="720" w:gutter="0"/>
          <w:cols w:space="0" w:num="1"/>
          <w:docGrid w:type="lines" w:linePitch="332" w:charSpace="0"/>
        </w:sectPr>
      </w:pPr>
      <w:r>
        <w:rPr>
          <w:rFonts w:hint="eastAsia" w:ascii="宋体" w:hAnsi="宋体" w:cs="宋体"/>
          <w:b/>
          <w:sz w:val="28"/>
          <w:szCs w:val="28"/>
        </w:rPr>
        <w:t>日期：</w:t>
      </w:r>
      <w:r>
        <w:rPr>
          <w:rFonts w:hint="eastAsia" w:ascii="宋体" w:hAnsi="宋体" w:cs="宋体"/>
          <w:bCs/>
          <w:sz w:val="28"/>
          <w:szCs w:val="28"/>
          <w:u w:val="single"/>
        </w:rPr>
        <w:t xml:space="preserve">      </w:t>
      </w:r>
      <w:r>
        <w:rPr>
          <w:rFonts w:hint="eastAsia" w:ascii="宋体" w:hAnsi="宋体" w:cs="宋体"/>
          <w:b/>
          <w:sz w:val="28"/>
          <w:szCs w:val="28"/>
        </w:rPr>
        <w:t>年</w:t>
      </w:r>
      <w:r>
        <w:rPr>
          <w:rFonts w:hint="eastAsia" w:ascii="宋体" w:hAnsi="宋体" w:cs="宋体"/>
          <w:bCs/>
          <w:sz w:val="28"/>
          <w:szCs w:val="28"/>
          <w:u w:val="single"/>
        </w:rPr>
        <w:t xml:space="preserve">     </w:t>
      </w:r>
      <w:r>
        <w:rPr>
          <w:rFonts w:hint="eastAsia" w:ascii="宋体" w:hAnsi="宋体" w:cs="宋体"/>
          <w:b/>
          <w:sz w:val="28"/>
          <w:szCs w:val="28"/>
        </w:rPr>
        <w:t>月</w:t>
      </w:r>
      <w:r>
        <w:rPr>
          <w:rFonts w:hint="eastAsia" w:ascii="宋体" w:hAnsi="宋体" w:cs="宋体"/>
          <w:bCs/>
          <w:sz w:val="28"/>
          <w:szCs w:val="28"/>
          <w:u w:val="single"/>
        </w:rPr>
        <w:t xml:space="preserve">     </w:t>
      </w:r>
      <w:r>
        <w:rPr>
          <w:rFonts w:hint="eastAsia" w:ascii="宋体" w:hAnsi="宋体" w:cs="宋体"/>
          <w:b/>
          <w:sz w:val="28"/>
          <w:szCs w:val="28"/>
        </w:rPr>
        <w:t>日</w:t>
      </w:r>
    </w:p>
    <w:p>
      <w:pPr>
        <w:spacing w:line="240" w:lineRule="exact"/>
        <w:rPr>
          <w:rFonts w:ascii="宋体" w:hAnsi="宋体" w:cs="宋体"/>
          <w:sz w:val="28"/>
          <w:szCs w:val="28"/>
        </w:rPr>
      </w:pPr>
      <w:bookmarkStart w:id="531" w:name="_Toc28459"/>
      <w:bookmarkEnd w:id="531"/>
      <w:bookmarkStart w:id="532" w:name="_Toc10984"/>
      <w:bookmarkEnd w:id="532"/>
      <w:bookmarkStart w:id="533" w:name="_Toc15981"/>
      <w:bookmarkEnd w:id="533"/>
      <w:bookmarkStart w:id="534" w:name="_Toc31298"/>
      <w:bookmarkEnd w:id="534"/>
      <w:bookmarkStart w:id="535" w:name="_Toc29456"/>
    </w:p>
    <w:p>
      <w:pPr>
        <w:pStyle w:val="5"/>
        <w:widowControl/>
        <w:numPr>
          <w:ilvl w:val="0"/>
          <w:numId w:val="8"/>
        </w:numPr>
        <w:autoSpaceDE w:val="0"/>
        <w:spacing w:before="0" w:after="0" w:line="240" w:lineRule="auto"/>
        <w:rPr>
          <w:rFonts w:ascii="宋体" w:hAnsi="宋体" w:cs="宋体"/>
          <w:szCs w:val="28"/>
        </w:rPr>
      </w:pPr>
      <w:bookmarkStart w:id="536" w:name="_Toc29986"/>
      <w:bookmarkStart w:id="537" w:name="_Toc29582"/>
      <w:bookmarkStart w:id="538" w:name="_Toc1077"/>
      <w:r>
        <w:rPr>
          <w:rFonts w:hint="eastAsia" w:ascii="宋体" w:hAnsi="宋体" w:cs="宋体"/>
          <w:szCs w:val="28"/>
        </w:rPr>
        <w:t>开标一览表</w:t>
      </w:r>
      <w:bookmarkEnd w:id="535"/>
      <w:bookmarkEnd w:id="536"/>
      <w:bookmarkEnd w:id="537"/>
      <w:bookmarkEnd w:id="538"/>
    </w:p>
    <w:p>
      <w:pPr>
        <w:spacing w:line="200" w:lineRule="exact"/>
        <w:rPr>
          <w:rFonts w:ascii="宋体" w:hAnsi="宋体" w:cs="宋体"/>
          <w:sz w:val="28"/>
          <w:szCs w:val="28"/>
        </w:rPr>
      </w:pPr>
      <w:r>
        <w:rPr>
          <w:rFonts w:hint="eastAsia" w:ascii="宋体" w:hAnsi="宋体" w:cs="宋体"/>
        </w:rPr>
        <w:t xml:space="preserve"> </w:t>
      </w:r>
      <w:r>
        <w:rPr>
          <w:rFonts w:hint="eastAsia" w:ascii="宋体" w:hAnsi="宋体" w:cs="宋体"/>
          <w:sz w:val="28"/>
          <w:szCs w:val="28"/>
        </w:rPr>
        <w:t xml:space="preserve"> </w:t>
      </w:r>
    </w:p>
    <w:p>
      <w:pPr>
        <w:spacing w:line="480" w:lineRule="exact"/>
        <w:ind w:left="1200" w:hanging="1200" w:hangingChars="500"/>
        <w:rPr>
          <w:rFonts w:ascii="宋体" w:hAnsi="宋体" w:cs="宋体"/>
          <w:sz w:val="24"/>
          <w:szCs w:val="24"/>
          <w:u w:val="single"/>
        </w:rPr>
      </w:pPr>
      <w:r>
        <w:rPr>
          <w:rFonts w:hint="eastAsia" w:ascii="宋体" w:hAnsi="宋体" w:cs="宋体"/>
          <w:sz w:val="24"/>
          <w:szCs w:val="24"/>
        </w:rPr>
        <w:t>项目名称：</w:t>
      </w:r>
      <w:r>
        <w:rPr>
          <w:rFonts w:hint="eastAsia" w:ascii="宋体" w:hAnsi="宋体" w:cs="宋体"/>
          <w:sz w:val="24"/>
          <w:szCs w:val="24"/>
          <w:u w:val="single"/>
        </w:rPr>
        <w:t xml:space="preserve">                 </w:t>
      </w:r>
    </w:p>
    <w:p>
      <w:pPr>
        <w:spacing w:line="480" w:lineRule="exact"/>
        <w:rPr>
          <w:rFonts w:ascii="宋体" w:hAnsi="宋体" w:cs="宋体"/>
          <w:sz w:val="24"/>
          <w:szCs w:val="24"/>
        </w:rPr>
      </w:pPr>
      <w:r>
        <w:rPr>
          <w:rFonts w:hint="eastAsia" w:ascii="宋体" w:hAnsi="宋体" w:cs="宋体"/>
          <w:sz w:val="24"/>
          <w:szCs w:val="24"/>
        </w:rPr>
        <w:t>采购编号：</w:t>
      </w:r>
      <w:r>
        <w:rPr>
          <w:rFonts w:hint="eastAsia" w:ascii="宋体" w:hAnsi="宋体" w:cs="宋体"/>
          <w:sz w:val="24"/>
          <w:szCs w:val="24"/>
          <w:u w:val="single"/>
        </w:rPr>
        <w:t xml:space="preserve">                 </w:t>
      </w:r>
      <w:r>
        <w:rPr>
          <w:rFonts w:hint="eastAsia" w:ascii="宋体" w:hAnsi="宋体" w:cs="宋体"/>
          <w:sz w:val="24"/>
          <w:szCs w:val="24"/>
        </w:rPr>
        <w:t xml:space="preserve"> </w:t>
      </w:r>
    </w:p>
    <w:tbl>
      <w:tblPr>
        <w:tblStyle w:val="41"/>
        <w:tblW w:w="0" w:type="auto"/>
        <w:tblInd w:w="0" w:type="dxa"/>
        <w:tblLayout w:type="fixed"/>
        <w:tblCellMar>
          <w:top w:w="0" w:type="dxa"/>
          <w:left w:w="108" w:type="dxa"/>
          <w:bottom w:w="0" w:type="dxa"/>
          <w:right w:w="108" w:type="dxa"/>
        </w:tblCellMar>
      </w:tblPr>
      <w:tblGrid>
        <w:gridCol w:w="3253"/>
        <w:gridCol w:w="2880"/>
        <w:gridCol w:w="3198"/>
      </w:tblGrid>
      <w:tr>
        <w:tblPrEx>
          <w:tblCellMar>
            <w:top w:w="0" w:type="dxa"/>
            <w:left w:w="108" w:type="dxa"/>
            <w:bottom w:w="0" w:type="dxa"/>
            <w:right w:w="108" w:type="dxa"/>
          </w:tblCellMar>
        </w:tblPrEx>
        <w:trPr>
          <w:cantSplit/>
          <w:trHeight w:val="440" w:hRule="atLeast"/>
        </w:trPr>
        <w:tc>
          <w:tcPr>
            <w:tcW w:w="325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ascii="宋体" w:hAnsi="宋体" w:cs="宋体"/>
                <w:b/>
                <w:bCs/>
                <w:kern w:val="2"/>
                <w:sz w:val="24"/>
                <w:szCs w:val="24"/>
              </w:rPr>
            </w:pPr>
            <w:r>
              <w:rPr>
                <w:rFonts w:hint="eastAsia" w:ascii="宋体" w:hAnsi="宋体" w:cs="宋体"/>
                <w:b/>
                <w:bCs/>
                <w:kern w:val="2"/>
                <w:sz w:val="24"/>
                <w:szCs w:val="24"/>
              </w:rPr>
              <w:t>投标总价(元)</w:t>
            </w:r>
          </w:p>
        </w:tc>
        <w:tc>
          <w:tcPr>
            <w:tcW w:w="2880" w:type="dxa"/>
            <w:vMerge w:val="restart"/>
            <w:tcBorders>
              <w:top w:val="single" w:color="auto" w:sz="4" w:space="0"/>
              <w:left w:val="nil"/>
              <w:bottom w:val="single" w:color="auto" w:sz="4" w:space="0"/>
              <w:right w:val="single" w:color="auto" w:sz="4" w:space="0"/>
            </w:tcBorders>
            <w:vAlign w:val="center"/>
          </w:tcPr>
          <w:p>
            <w:pPr>
              <w:adjustRightInd w:val="0"/>
              <w:snapToGrid w:val="0"/>
              <w:spacing w:line="440" w:lineRule="exact"/>
              <w:jc w:val="center"/>
              <w:rPr>
                <w:rFonts w:ascii="宋体" w:hAnsi="宋体" w:cs="宋体"/>
                <w:b/>
                <w:bCs/>
                <w:kern w:val="2"/>
                <w:sz w:val="24"/>
                <w:szCs w:val="24"/>
              </w:rPr>
            </w:pPr>
            <w:r>
              <w:rPr>
                <w:rFonts w:hint="eastAsia" w:ascii="宋体" w:hAnsi="宋体" w:cs="宋体"/>
                <w:b/>
                <w:bCs/>
                <w:kern w:val="2"/>
                <w:sz w:val="24"/>
                <w:szCs w:val="24"/>
              </w:rPr>
              <w:t>合同履行期限</w:t>
            </w:r>
          </w:p>
        </w:tc>
        <w:tc>
          <w:tcPr>
            <w:tcW w:w="3198" w:type="dxa"/>
            <w:vMerge w:val="restart"/>
            <w:tcBorders>
              <w:top w:val="single" w:color="auto" w:sz="4" w:space="0"/>
              <w:left w:val="nil"/>
              <w:bottom w:val="single" w:color="auto" w:sz="4" w:space="0"/>
              <w:right w:val="single" w:color="auto" w:sz="4" w:space="0"/>
            </w:tcBorders>
            <w:vAlign w:val="center"/>
          </w:tcPr>
          <w:p>
            <w:pPr>
              <w:adjustRightInd w:val="0"/>
              <w:snapToGrid w:val="0"/>
              <w:spacing w:line="440" w:lineRule="exact"/>
              <w:jc w:val="center"/>
              <w:rPr>
                <w:rFonts w:ascii="宋体" w:hAnsi="宋体" w:cs="宋体"/>
                <w:b/>
                <w:bCs/>
                <w:kern w:val="2"/>
                <w:sz w:val="24"/>
                <w:szCs w:val="24"/>
              </w:rPr>
            </w:pPr>
            <w:r>
              <w:rPr>
                <w:rFonts w:hint="eastAsia" w:ascii="宋体" w:hAnsi="宋体" w:cs="宋体"/>
                <w:b/>
                <w:bCs/>
                <w:kern w:val="2"/>
                <w:sz w:val="24"/>
                <w:szCs w:val="24"/>
              </w:rPr>
              <w:t>质保期承诺</w:t>
            </w:r>
          </w:p>
        </w:tc>
      </w:tr>
      <w:tr>
        <w:tblPrEx>
          <w:tblCellMar>
            <w:top w:w="0" w:type="dxa"/>
            <w:left w:w="108" w:type="dxa"/>
            <w:bottom w:w="0" w:type="dxa"/>
            <w:right w:w="108" w:type="dxa"/>
          </w:tblCellMar>
        </w:tblPrEx>
        <w:trPr>
          <w:cantSplit/>
          <w:trHeight w:val="332" w:hRule="atLeast"/>
        </w:trPr>
        <w:tc>
          <w:tcPr>
            <w:tcW w:w="3253"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b/>
                <w:bCs/>
                <w:kern w:val="2"/>
                <w:sz w:val="24"/>
                <w:szCs w:val="24"/>
              </w:rPr>
            </w:pPr>
          </w:p>
        </w:tc>
        <w:tc>
          <w:tcPr>
            <w:tcW w:w="2880" w:type="dxa"/>
            <w:vMerge w:val="continue"/>
            <w:tcBorders>
              <w:top w:val="single" w:color="auto" w:sz="4" w:space="0"/>
              <w:left w:val="nil"/>
              <w:bottom w:val="single" w:color="auto" w:sz="4" w:space="0"/>
              <w:right w:val="single" w:color="auto" w:sz="4" w:space="0"/>
            </w:tcBorders>
            <w:vAlign w:val="center"/>
          </w:tcPr>
          <w:p>
            <w:pPr>
              <w:rPr>
                <w:rFonts w:ascii="宋体" w:hAnsi="宋体" w:cs="宋体"/>
                <w:b/>
                <w:bCs/>
                <w:kern w:val="2"/>
                <w:sz w:val="24"/>
                <w:szCs w:val="24"/>
              </w:rPr>
            </w:pPr>
          </w:p>
        </w:tc>
        <w:tc>
          <w:tcPr>
            <w:tcW w:w="3198" w:type="dxa"/>
            <w:vMerge w:val="continue"/>
            <w:tcBorders>
              <w:top w:val="single" w:color="auto" w:sz="4" w:space="0"/>
              <w:left w:val="nil"/>
              <w:bottom w:val="single" w:color="auto" w:sz="4" w:space="0"/>
              <w:right w:val="single" w:color="auto" w:sz="4" w:space="0"/>
            </w:tcBorders>
            <w:vAlign w:val="center"/>
          </w:tcPr>
          <w:p>
            <w:pPr>
              <w:rPr>
                <w:rFonts w:ascii="宋体" w:hAnsi="宋体" w:cs="宋体"/>
                <w:b/>
                <w:bCs/>
                <w:kern w:val="2"/>
                <w:sz w:val="24"/>
                <w:szCs w:val="24"/>
              </w:rPr>
            </w:pPr>
          </w:p>
        </w:tc>
      </w:tr>
      <w:tr>
        <w:tblPrEx>
          <w:tblCellMar>
            <w:top w:w="0" w:type="dxa"/>
            <w:left w:w="108" w:type="dxa"/>
            <w:bottom w:w="0" w:type="dxa"/>
            <w:right w:w="108" w:type="dxa"/>
          </w:tblCellMar>
        </w:tblPrEx>
        <w:trPr>
          <w:cantSplit/>
          <w:trHeight w:val="1212" w:hRule="atLeast"/>
        </w:trPr>
        <w:tc>
          <w:tcPr>
            <w:tcW w:w="3253" w:type="dxa"/>
            <w:tcBorders>
              <w:top w:val="single" w:color="auto" w:sz="4" w:space="0"/>
              <w:left w:val="single" w:color="auto" w:sz="4" w:space="0"/>
              <w:bottom w:val="single" w:color="auto" w:sz="4" w:space="0"/>
              <w:right w:val="single" w:color="auto" w:sz="4" w:space="0"/>
            </w:tcBorders>
            <w:vAlign w:val="center"/>
          </w:tcPr>
          <w:p>
            <w:pPr>
              <w:spacing w:line="460" w:lineRule="exact"/>
            </w:pPr>
            <w:r>
              <w:rPr>
                <w:rFonts w:hint="eastAsia"/>
              </w:rPr>
              <w:t>小写：</w:t>
            </w:r>
          </w:p>
          <w:p>
            <w:pPr>
              <w:pStyle w:val="3"/>
              <w:jc w:val="both"/>
            </w:pPr>
            <w:bookmarkStart w:id="539" w:name="_Toc3125"/>
            <w:r>
              <w:rPr>
                <w:rFonts w:hint="eastAsia" w:ascii="Times New Roman" w:hAnsi="Times New Roman"/>
                <w:kern w:val="0"/>
                <w:sz w:val="21"/>
                <w:szCs w:val="21"/>
              </w:rPr>
              <w:t>大写：</w:t>
            </w:r>
            <w:bookmarkEnd w:id="539"/>
          </w:p>
        </w:tc>
        <w:tc>
          <w:tcPr>
            <w:tcW w:w="2880" w:type="dxa"/>
            <w:tcBorders>
              <w:top w:val="single" w:color="auto" w:sz="4" w:space="0"/>
              <w:left w:val="nil"/>
              <w:bottom w:val="single" w:color="auto" w:sz="4" w:space="0"/>
              <w:right w:val="single" w:color="auto" w:sz="4" w:space="0"/>
            </w:tcBorders>
            <w:vAlign w:val="center"/>
          </w:tcPr>
          <w:p>
            <w:pPr>
              <w:spacing w:line="460" w:lineRule="exact"/>
              <w:jc w:val="center"/>
              <w:rPr>
                <w:rFonts w:ascii="宋体" w:hAnsi="宋体" w:cs="宋体"/>
                <w:b/>
                <w:bCs/>
                <w:kern w:val="2"/>
                <w:sz w:val="24"/>
                <w:szCs w:val="24"/>
              </w:rPr>
            </w:pPr>
          </w:p>
        </w:tc>
        <w:tc>
          <w:tcPr>
            <w:tcW w:w="3198" w:type="dxa"/>
            <w:tcBorders>
              <w:top w:val="single" w:color="auto" w:sz="4" w:space="0"/>
              <w:left w:val="nil"/>
              <w:bottom w:val="single" w:color="auto" w:sz="4" w:space="0"/>
              <w:right w:val="single" w:color="auto" w:sz="4" w:space="0"/>
            </w:tcBorders>
            <w:vAlign w:val="center"/>
          </w:tcPr>
          <w:p>
            <w:pPr>
              <w:spacing w:line="460" w:lineRule="exact"/>
              <w:jc w:val="center"/>
              <w:rPr>
                <w:rFonts w:ascii="宋体" w:hAnsi="宋体" w:cs="宋体"/>
                <w:b/>
                <w:bCs/>
                <w:kern w:val="2"/>
                <w:sz w:val="24"/>
                <w:szCs w:val="24"/>
              </w:rPr>
            </w:pPr>
          </w:p>
        </w:tc>
      </w:tr>
      <w:tr>
        <w:tblPrEx>
          <w:tblCellMar>
            <w:top w:w="0" w:type="dxa"/>
            <w:left w:w="108" w:type="dxa"/>
            <w:bottom w:w="0" w:type="dxa"/>
            <w:right w:w="108" w:type="dxa"/>
          </w:tblCellMar>
        </w:tblPrEx>
        <w:trPr>
          <w:cantSplit/>
          <w:trHeight w:val="687" w:hRule="atLeast"/>
        </w:trPr>
        <w:tc>
          <w:tcPr>
            <w:tcW w:w="9331"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rPr>
                <w:rFonts w:ascii="宋体" w:hAnsi="宋体" w:cs="宋体"/>
                <w:b/>
                <w:bCs/>
                <w:kern w:val="2"/>
                <w:sz w:val="24"/>
                <w:szCs w:val="24"/>
              </w:rPr>
            </w:pPr>
            <w:r>
              <w:rPr>
                <w:rFonts w:hint="eastAsia" w:ascii="宋体" w:hAnsi="宋体" w:cs="宋体"/>
                <w:b/>
                <w:bCs/>
                <w:kern w:val="2"/>
                <w:sz w:val="24"/>
                <w:szCs w:val="24"/>
              </w:rPr>
              <w:t>备注：</w:t>
            </w:r>
          </w:p>
        </w:tc>
      </w:tr>
    </w:tbl>
    <w:p>
      <w:pPr>
        <w:spacing w:line="420" w:lineRule="exact"/>
        <w:ind w:right="-309" w:rightChars="-147"/>
        <w:rPr>
          <w:rFonts w:ascii="宋体" w:hAnsi="宋体" w:cs="宋体"/>
          <w:bCs/>
          <w:sz w:val="18"/>
          <w:szCs w:val="18"/>
        </w:rPr>
      </w:pPr>
      <w:r>
        <w:rPr>
          <w:rFonts w:hint="eastAsia" w:ascii="宋体" w:hAnsi="宋体" w:cs="宋体"/>
          <w:sz w:val="28"/>
          <w:szCs w:val="28"/>
        </w:rPr>
        <w:t xml:space="preserve"> </w:t>
      </w:r>
      <w:r>
        <w:rPr>
          <w:rFonts w:hint="eastAsia" w:ascii="宋体" w:hAnsi="宋体" w:cs="宋体"/>
          <w:bCs/>
          <w:sz w:val="18"/>
          <w:szCs w:val="18"/>
        </w:rPr>
        <w:t>注：此表中的投标总价即为最终报价，若享受小微企业价格评审优惠政策的供应商需在备注里注明企业类型。</w:t>
      </w:r>
    </w:p>
    <w:p>
      <w:pPr>
        <w:spacing w:line="600" w:lineRule="atLeast"/>
        <w:rPr>
          <w:rFonts w:ascii="宋体" w:hAnsi="宋体" w:cs="宋体"/>
          <w:sz w:val="28"/>
          <w:szCs w:val="28"/>
        </w:rPr>
      </w:pPr>
      <w:r>
        <w:rPr>
          <w:rFonts w:hint="eastAsia" w:ascii="宋体" w:hAnsi="宋体" w:cs="宋体"/>
          <w:sz w:val="28"/>
          <w:szCs w:val="28"/>
        </w:rPr>
        <w:t xml:space="preserve"> </w:t>
      </w:r>
    </w:p>
    <w:p>
      <w:pPr>
        <w:spacing w:line="600" w:lineRule="atLeast"/>
        <w:rPr>
          <w:rFonts w:ascii="宋体" w:hAnsi="宋体" w:cs="宋体"/>
          <w:sz w:val="28"/>
          <w:szCs w:val="28"/>
        </w:rPr>
      </w:pPr>
      <w:r>
        <w:rPr>
          <w:rFonts w:hint="eastAsia" w:ascii="宋体" w:hAnsi="宋体" w:cs="宋体"/>
          <w:sz w:val="28"/>
          <w:szCs w:val="28"/>
        </w:rPr>
        <w:t xml:space="preserve">  </w:t>
      </w:r>
    </w:p>
    <w:p>
      <w:pPr>
        <w:pStyle w:val="19"/>
        <w:rPr>
          <w:rFonts w:ascii="宋体" w:hAnsi="宋体" w:cs="宋体"/>
        </w:rPr>
      </w:pPr>
    </w:p>
    <w:p>
      <w:pPr>
        <w:spacing w:line="360" w:lineRule="auto"/>
        <w:ind w:firstLine="1687" w:firstLineChars="700"/>
        <w:jc w:val="right"/>
        <w:rPr>
          <w:rFonts w:ascii="宋体" w:hAnsi="宋体" w:cs="宋体"/>
          <w:b/>
          <w:sz w:val="24"/>
          <w:szCs w:val="24"/>
        </w:rPr>
      </w:pPr>
      <w:bookmarkStart w:id="540" w:name="_Toc17435"/>
      <w:bookmarkEnd w:id="540"/>
      <w:bookmarkStart w:id="541" w:name="_Toc2521"/>
      <w:bookmarkStart w:id="542" w:name="_Toc10922"/>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2"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pStyle w:val="5"/>
        <w:widowControl/>
        <w:numPr>
          <w:ilvl w:val="0"/>
          <w:numId w:val="8"/>
        </w:numPr>
        <w:autoSpaceDE w:val="0"/>
        <w:spacing w:before="0" w:after="0" w:line="240" w:lineRule="auto"/>
        <w:rPr>
          <w:rFonts w:ascii="宋体" w:hAnsi="宋体" w:cs="宋体"/>
          <w:szCs w:val="28"/>
        </w:rPr>
      </w:pPr>
      <w:bookmarkStart w:id="543" w:name="_Toc24469"/>
      <w:bookmarkStart w:id="544" w:name="_Toc11176"/>
      <w:r>
        <w:rPr>
          <w:rFonts w:hint="eastAsia" w:ascii="宋体" w:hAnsi="宋体" w:cs="宋体"/>
          <w:szCs w:val="28"/>
        </w:rPr>
        <w:t>投标函</w:t>
      </w:r>
      <w:bookmarkEnd w:id="541"/>
      <w:bookmarkEnd w:id="542"/>
      <w:bookmarkEnd w:id="543"/>
      <w:bookmarkEnd w:id="544"/>
    </w:p>
    <w:p>
      <w:pPr>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(采购人名称)：</w:t>
      </w:r>
    </w:p>
    <w:p>
      <w:pPr>
        <w:autoSpaceDE w:val="0"/>
        <w:autoSpaceDN w:val="0"/>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我方已仔细研究了</w:t>
      </w:r>
      <w:r>
        <w:rPr>
          <w:rFonts w:hint="eastAsia" w:ascii="宋体" w:hAnsi="宋体" w:cs="宋体"/>
          <w:sz w:val="24"/>
          <w:szCs w:val="24"/>
          <w:u w:val="single"/>
        </w:rPr>
        <w:t xml:space="preserve">              </w:t>
      </w:r>
      <w:r>
        <w:rPr>
          <w:rFonts w:hint="eastAsia" w:ascii="宋体" w:hAnsi="宋体" w:cs="宋体"/>
          <w:sz w:val="24"/>
          <w:szCs w:val="24"/>
        </w:rPr>
        <w:t>(项目名称)采购文件的全部内容，</w:t>
      </w:r>
      <w:r>
        <w:rPr>
          <w:rFonts w:hint="eastAsia" w:ascii="宋体" w:hAnsi="宋体" w:cs="宋体"/>
          <w:sz w:val="24"/>
        </w:rPr>
        <w:t>且对采购文件无任何异议，并愿意以“开标一览表”所填写的投标总价，向你方提供采购文件要求的货物/服务。</w:t>
      </w:r>
      <w:r>
        <w:rPr>
          <w:rFonts w:hint="eastAsia" w:ascii="宋体" w:hAnsi="宋体" w:cs="宋体"/>
          <w:sz w:val="24"/>
          <w:szCs w:val="24"/>
        </w:rPr>
        <w:t xml:space="preserve">    </w:t>
      </w:r>
    </w:p>
    <w:p>
      <w:pPr>
        <w:numPr>
          <w:ilvl w:val="0"/>
          <w:numId w:val="9"/>
        </w:num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我方承诺在投标有效期内不修改或撤销投标文件。</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2.本投标的投标有效期为自投标截止之日起</w:t>
      </w:r>
      <w:r>
        <w:rPr>
          <w:rFonts w:hint="eastAsia" w:ascii="宋体" w:hAnsi="宋体" w:cs="宋体"/>
          <w:sz w:val="24"/>
          <w:u w:val="single"/>
        </w:rPr>
        <w:t xml:space="preserve"> 90 </w:t>
      </w:r>
      <w:r>
        <w:rPr>
          <w:rFonts w:hint="eastAsia" w:ascii="宋体" w:hAnsi="宋体" w:cs="宋体"/>
          <w:sz w:val="24"/>
        </w:rPr>
        <w:t>个日历天。</w:t>
      </w:r>
    </w:p>
    <w:p>
      <w:pPr>
        <w:pStyle w:val="19"/>
        <w:ind w:firstLine="480" w:firstLineChars="200"/>
        <w:rPr>
          <w:rFonts w:ascii="宋体" w:hAnsi="宋体" w:cs="宋体"/>
          <w:kern w:val="0"/>
          <w:sz w:val="24"/>
        </w:rPr>
      </w:pPr>
      <w:r>
        <w:rPr>
          <w:rFonts w:hint="eastAsia" w:ascii="宋体" w:hAnsi="宋体" w:cs="宋体"/>
          <w:kern w:val="0"/>
          <w:sz w:val="24"/>
        </w:rPr>
        <w:t>3.我方承诺所提交的投标文件及有关资料是完整的、真实的、准确的和有效的，否则，我方承担由此造成的任何损失及引起的任何后果。</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4．如我方中标：</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（1）我方承诺在收到中标通知书后，在中标通知书规定的期限内与你方签订合同。</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（2）我方承诺按照采购文件规定向你方递交履约保证金。</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（3）我方承诺按合同约定的期限和地点，提供符合采购文件要求的全部的采购货物/服务。</w:t>
      </w:r>
    </w:p>
    <w:p>
      <w:pPr>
        <w:autoSpaceDE w:val="0"/>
        <w:autoSpaceDN w:val="0"/>
        <w:adjustRightInd w:val="0"/>
        <w:snapToGrid w:val="0"/>
        <w:spacing w:line="360" w:lineRule="auto"/>
        <w:ind w:firstLine="480" w:firstLineChars="200"/>
        <w:rPr>
          <w:rFonts w:ascii="宋体" w:hAnsi="宋体" w:cs="宋体"/>
        </w:rPr>
      </w:pPr>
      <w:r>
        <w:rPr>
          <w:rFonts w:hint="eastAsia" w:ascii="宋体" w:hAnsi="宋体" w:cs="宋体"/>
          <w:sz w:val="24"/>
        </w:rPr>
        <w:t>（4）除商务条款偏离表和技术规格偏离表列出的偏差外，我方满足采购文件的全部要求。</w:t>
      </w:r>
    </w:p>
    <w:p>
      <w:pPr>
        <w:autoSpaceDE w:val="0"/>
        <w:autoSpaceDN w:val="0"/>
        <w:adjustRightInd w:val="0"/>
        <w:snapToGrid w:val="0"/>
        <w:spacing w:line="360" w:lineRule="auto"/>
        <w:ind w:firstLine="480" w:firstLineChars="200"/>
        <w:rPr>
          <w:rFonts w:ascii="宋体" w:hAnsi="宋体" w:cs="宋体"/>
          <w:sz w:val="24"/>
        </w:rPr>
      </w:pPr>
      <w:r>
        <w:rPr>
          <w:rFonts w:hint="eastAsia" w:ascii="宋体" w:hAnsi="宋体" w:cs="宋体"/>
          <w:sz w:val="24"/>
        </w:rPr>
        <w:t>5．</w:t>
      </w:r>
      <w:r>
        <w:rPr>
          <w:rFonts w:hint="eastAsia" w:ascii="宋体" w:hAnsi="宋体" w:cs="宋体"/>
          <w:sz w:val="24"/>
          <w:u w:val="single"/>
        </w:rPr>
        <w:t xml:space="preserve">                </w:t>
      </w:r>
      <w:r>
        <w:rPr>
          <w:rFonts w:hint="eastAsia" w:ascii="宋体" w:hAnsi="宋体" w:cs="宋体"/>
          <w:sz w:val="24"/>
        </w:rPr>
        <w:t>（其他补充说明）。</w:t>
      </w:r>
    </w:p>
    <w:p>
      <w:pPr>
        <w:pStyle w:val="19"/>
        <w:ind w:firstLine="480" w:firstLineChars="200"/>
        <w:rPr>
          <w:rFonts w:ascii="宋体" w:hAnsi="宋体" w:cs="宋体"/>
          <w:kern w:val="0"/>
          <w:sz w:val="24"/>
        </w:rPr>
      </w:pPr>
    </w:p>
    <w:p>
      <w:pPr>
        <w:spacing w:line="360" w:lineRule="auto"/>
        <w:ind w:firstLine="2891" w:firstLineChars="1200"/>
        <w:rPr>
          <w:rFonts w:ascii="宋体" w:hAnsi="宋体" w:cs="宋体"/>
          <w:b/>
          <w:bCs/>
          <w:sz w:val="24"/>
          <w:szCs w:val="24"/>
        </w:rPr>
      </w:pPr>
      <w:r>
        <w:rPr>
          <w:rFonts w:hint="eastAsia" w:ascii="宋体" w:hAnsi="宋体" w:cs="宋体"/>
          <w:b/>
          <w:bCs/>
          <w:sz w:val="24"/>
          <w:szCs w:val="24"/>
        </w:rPr>
        <w:t>投 标 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pPr>
        <w:spacing w:line="360" w:lineRule="auto"/>
        <w:ind w:left="2880"/>
        <w:rPr>
          <w:rFonts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r>
        <w:rPr>
          <w:rFonts w:hint="eastAsia" w:ascii="宋体" w:hAnsi="宋体" w:cs="宋体"/>
          <w:b/>
          <w:sz w:val="24"/>
          <w:szCs w:val="24"/>
        </w:rPr>
        <w:t>或签名</w:t>
      </w:r>
      <w:r>
        <w:rPr>
          <w:rFonts w:hint="eastAsia" w:ascii="宋体" w:hAnsi="宋体" w:cs="宋体"/>
          <w:b/>
          <w:bCs/>
          <w:sz w:val="24"/>
          <w:szCs w:val="24"/>
        </w:rPr>
        <w:t>)</w:t>
      </w:r>
    </w:p>
    <w:p>
      <w:pPr>
        <w:spacing w:line="360" w:lineRule="auto"/>
        <w:ind w:left="2880"/>
        <w:rPr>
          <w:rFonts w:ascii="宋体" w:hAnsi="宋体" w:cs="宋体"/>
          <w:b/>
          <w:bCs/>
          <w:sz w:val="24"/>
          <w:szCs w:val="24"/>
          <w:u w:val="single"/>
        </w:rPr>
      </w:pPr>
      <w:r>
        <w:rPr>
          <w:rFonts w:hint="eastAsia" w:ascii="宋体" w:hAnsi="宋体" w:cs="宋体"/>
          <w:b/>
          <w:bCs/>
          <w:sz w:val="24"/>
          <w:szCs w:val="24"/>
        </w:rPr>
        <w:t>地</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pPr>
        <w:spacing w:line="360" w:lineRule="auto"/>
        <w:ind w:left="2880"/>
        <w:rPr>
          <w:rFonts w:ascii="宋体" w:hAnsi="宋体" w:cs="宋体"/>
          <w:b/>
          <w:bCs/>
          <w:sz w:val="24"/>
          <w:szCs w:val="24"/>
        </w:rPr>
      </w:pPr>
      <w:r>
        <w:rPr>
          <w:rFonts w:hint="eastAsia" w:ascii="宋体" w:hAnsi="宋体" w:cs="宋体"/>
          <w:b/>
          <w:bCs/>
          <w:sz w:val="24"/>
          <w:szCs w:val="24"/>
        </w:rPr>
        <w:t>网</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pPr>
        <w:spacing w:line="360" w:lineRule="auto"/>
        <w:ind w:left="2880"/>
        <w:rPr>
          <w:rFonts w:ascii="宋体" w:hAnsi="宋体" w:cs="宋体"/>
          <w:b/>
          <w:bCs/>
          <w:sz w:val="24"/>
          <w:szCs w:val="24"/>
        </w:rPr>
      </w:pPr>
      <w:r>
        <w:rPr>
          <w:rFonts w:hint="eastAsia" w:ascii="宋体" w:hAnsi="宋体" w:cs="宋体"/>
          <w:b/>
          <w:bCs/>
          <w:sz w:val="24"/>
          <w:szCs w:val="24"/>
        </w:rPr>
        <w:t>电</w:t>
      </w:r>
      <w:r>
        <w:rPr>
          <w:rFonts w:hint="eastAsia" w:ascii="宋体" w:hAnsi="宋体" w:cs="宋体"/>
          <w:b/>
          <w:bCs/>
          <w:sz w:val="24"/>
          <w:szCs w:val="24"/>
        </w:rPr>
        <w:tab/>
      </w:r>
      <w:r>
        <w:rPr>
          <w:rFonts w:hint="eastAsia" w:ascii="宋体" w:hAnsi="宋体" w:cs="宋体"/>
          <w:b/>
          <w:bCs/>
          <w:sz w:val="24"/>
          <w:szCs w:val="24"/>
        </w:rPr>
        <w:t>话：</w:t>
      </w:r>
      <w:r>
        <w:rPr>
          <w:rFonts w:hint="eastAsia" w:ascii="宋体" w:hAnsi="宋体" w:cs="宋体"/>
          <w:b/>
          <w:bCs/>
          <w:sz w:val="24"/>
          <w:szCs w:val="24"/>
          <w:u w:val="single"/>
        </w:rPr>
        <w:t xml:space="preserve">                                           </w:t>
      </w:r>
    </w:p>
    <w:p>
      <w:pPr>
        <w:spacing w:line="360" w:lineRule="auto"/>
        <w:ind w:left="2880"/>
        <w:rPr>
          <w:rFonts w:ascii="宋体" w:hAnsi="宋体" w:cs="宋体"/>
          <w:b/>
          <w:bCs/>
          <w:sz w:val="24"/>
          <w:szCs w:val="24"/>
        </w:rPr>
      </w:pPr>
      <w:r>
        <w:rPr>
          <w:rFonts w:hint="eastAsia" w:ascii="宋体" w:hAnsi="宋体" w:cs="宋体"/>
          <w:b/>
          <w:bCs/>
          <w:sz w:val="24"/>
          <w:szCs w:val="24"/>
        </w:rPr>
        <w:t>传</w:t>
      </w:r>
      <w:r>
        <w:rPr>
          <w:rFonts w:hint="eastAsia" w:ascii="宋体" w:hAnsi="宋体" w:cs="宋体"/>
          <w:b/>
          <w:bCs/>
          <w:sz w:val="24"/>
          <w:szCs w:val="24"/>
        </w:rPr>
        <w:tab/>
      </w:r>
      <w:r>
        <w:rPr>
          <w:rFonts w:hint="eastAsia" w:ascii="宋体" w:hAnsi="宋体" w:cs="宋体"/>
          <w:b/>
          <w:bCs/>
          <w:sz w:val="24"/>
          <w:szCs w:val="24"/>
        </w:rPr>
        <w:t>真：</w:t>
      </w:r>
      <w:r>
        <w:rPr>
          <w:rFonts w:hint="eastAsia" w:ascii="宋体" w:hAnsi="宋体" w:cs="宋体"/>
          <w:b/>
          <w:bCs/>
          <w:sz w:val="24"/>
          <w:szCs w:val="24"/>
          <w:u w:val="single"/>
        </w:rPr>
        <w:t xml:space="preserve">                                           </w:t>
      </w:r>
    </w:p>
    <w:p>
      <w:pPr>
        <w:spacing w:line="360" w:lineRule="auto"/>
        <w:ind w:left="2880"/>
        <w:rPr>
          <w:rFonts w:ascii="宋体" w:hAnsi="宋体" w:cs="宋体"/>
          <w:b/>
          <w:bCs/>
          <w:sz w:val="24"/>
          <w:szCs w:val="24"/>
        </w:rPr>
      </w:pPr>
      <w:r>
        <w:rPr>
          <w:rFonts w:hint="eastAsia" w:ascii="宋体" w:hAnsi="宋体" w:cs="宋体"/>
          <w:b/>
          <w:bCs/>
          <w:sz w:val="24"/>
          <w:szCs w:val="24"/>
        </w:rPr>
        <w:t>邮政编码：</w:t>
      </w:r>
      <w:r>
        <w:rPr>
          <w:rFonts w:hint="eastAsia" w:ascii="宋体" w:hAnsi="宋体" w:cs="宋体"/>
          <w:b/>
          <w:bCs/>
          <w:sz w:val="24"/>
          <w:szCs w:val="24"/>
          <w:u w:val="single"/>
        </w:rPr>
        <w:t xml:space="preserve">                                         </w:t>
      </w:r>
    </w:p>
    <w:p>
      <w:pPr>
        <w:spacing w:line="360" w:lineRule="auto"/>
        <w:ind w:left="2880"/>
        <w:rPr>
          <w:rFonts w:ascii="宋体" w:hAnsi="宋体" w:cs="宋体"/>
          <w:b/>
          <w:bCs/>
          <w:sz w:val="24"/>
          <w:szCs w:val="24"/>
        </w:rPr>
      </w:pPr>
      <w:r>
        <w:rPr>
          <w:rFonts w:hint="eastAsia" w:ascii="宋体" w:hAnsi="宋体" w:cs="宋体"/>
          <w:b/>
          <w:bCs/>
          <w:sz w:val="24"/>
          <w:szCs w:val="24"/>
        </w:rPr>
        <w:t>日  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pPr>
        <w:spacing w:line="360" w:lineRule="auto"/>
        <w:rPr>
          <w:rFonts w:ascii="宋体" w:hAnsi="宋体" w:cs="宋体"/>
          <w:b/>
          <w:bCs/>
          <w:sz w:val="24"/>
          <w:szCs w:val="24"/>
        </w:rPr>
      </w:pPr>
      <w:r>
        <w:rPr>
          <w:rFonts w:hint="eastAsia" w:ascii="宋体" w:hAnsi="宋体" w:cs="宋体"/>
          <w:b/>
          <w:bCs/>
          <w:sz w:val="24"/>
          <w:szCs w:val="24"/>
        </w:rPr>
        <w:t xml:space="preserve"> </w:t>
      </w:r>
    </w:p>
    <w:p>
      <w:pPr>
        <w:spacing w:line="240" w:lineRule="exact"/>
        <w:rPr>
          <w:rFonts w:ascii="宋体" w:hAnsi="宋体" w:cs="宋体"/>
          <w:b/>
          <w:bCs/>
          <w:sz w:val="44"/>
          <w:szCs w:val="44"/>
        </w:rPr>
      </w:pPr>
    </w:p>
    <w:p>
      <w:pPr>
        <w:pStyle w:val="5"/>
        <w:widowControl/>
        <w:numPr>
          <w:ilvl w:val="0"/>
          <w:numId w:val="8"/>
        </w:numPr>
        <w:autoSpaceDE w:val="0"/>
        <w:spacing w:before="0" w:after="0" w:line="240" w:lineRule="auto"/>
        <w:rPr>
          <w:rFonts w:ascii="宋体" w:hAnsi="宋体" w:cs="宋体"/>
          <w:szCs w:val="28"/>
        </w:rPr>
      </w:pPr>
      <w:bookmarkStart w:id="545" w:name="_Toc17119"/>
      <w:bookmarkEnd w:id="545"/>
      <w:bookmarkStart w:id="546" w:name="_Toc13197"/>
      <w:r>
        <w:rPr>
          <w:rFonts w:hint="eastAsia" w:ascii="宋体" w:hAnsi="宋体" w:cs="宋体"/>
          <w:szCs w:val="28"/>
        </w:rPr>
        <w:br w:type="page"/>
      </w:r>
      <w:bookmarkStart w:id="547" w:name="_Toc9790"/>
      <w:bookmarkStart w:id="548" w:name="_Toc20587"/>
      <w:bookmarkStart w:id="549" w:name="_Toc23544"/>
      <w:r>
        <w:rPr>
          <w:rFonts w:hint="eastAsia" w:ascii="宋体" w:hAnsi="宋体" w:cs="宋体"/>
          <w:szCs w:val="28"/>
        </w:rPr>
        <w:t>法定代表人(单位负责人)身份证明</w:t>
      </w:r>
      <w:bookmarkEnd w:id="546"/>
      <w:r>
        <w:rPr>
          <w:rFonts w:hint="eastAsia" w:ascii="宋体" w:hAnsi="宋体" w:cs="宋体"/>
          <w:szCs w:val="28"/>
        </w:rPr>
        <w:t>书</w:t>
      </w:r>
      <w:bookmarkEnd w:id="547"/>
      <w:bookmarkEnd w:id="548"/>
      <w:bookmarkEnd w:id="549"/>
    </w:p>
    <w:p>
      <w:pPr>
        <w:spacing w:line="200" w:lineRule="exact"/>
        <w:rPr>
          <w:rFonts w:ascii="宋体" w:hAnsi="宋体" w:cs="宋体"/>
        </w:rPr>
      </w:pPr>
      <w:r>
        <w:rPr>
          <w:rFonts w:hint="eastAsia" w:ascii="宋体" w:hAnsi="宋体" w:cs="宋体"/>
        </w:rPr>
        <w:t xml:space="preserve"> </w:t>
      </w:r>
    </w:p>
    <w:p>
      <w:pPr>
        <w:spacing w:line="200" w:lineRule="exact"/>
        <w:rPr>
          <w:rFonts w:ascii="宋体" w:hAnsi="宋体" w:cs="宋体"/>
        </w:rPr>
      </w:pPr>
      <w:r>
        <w:rPr>
          <w:rFonts w:hint="eastAsia" w:ascii="宋体" w:hAnsi="宋体" w:cs="宋体"/>
        </w:rPr>
        <w:t xml:space="preserve"> </w:t>
      </w:r>
    </w:p>
    <w:p>
      <w:pPr>
        <w:spacing w:line="200" w:lineRule="exact"/>
        <w:rPr>
          <w:rFonts w:ascii="宋体" w:hAnsi="宋体" w:cs="宋体"/>
        </w:rPr>
      </w:pPr>
      <w:r>
        <w:rPr>
          <w:rFonts w:hint="eastAsia" w:ascii="宋体" w:hAnsi="宋体" w:cs="宋体"/>
        </w:rPr>
        <w:t xml:space="preserve"> </w:t>
      </w:r>
    </w:p>
    <w:p>
      <w:pPr>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 </w:t>
      </w:r>
    </w:p>
    <w:p>
      <w:pPr>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pPr>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pPr>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autoSpaceDE w:val="0"/>
        <w:autoSpaceDN w:val="0"/>
        <w:adjustRightInd w:val="0"/>
        <w:spacing w:line="360" w:lineRule="auto"/>
        <w:ind w:firstLine="480" w:firstLineChars="20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pPr>
        <w:spacing w:line="360" w:lineRule="auto"/>
        <w:ind w:firstLine="480" w:firstLineChars="200"/>
        <w:rPr>
          <w:rFonts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(供应商名称)的法定代表人(单位负责人)。</w:t>
      </w:r>
    </w:p>
    <w:p>
      <w:pPr>
        <w:spacing w:line="360" w:lineRule="auto"/>
        <w:ind w:firstLine="480" w:firstLineChars="200"/>
        <w:rPr>
          <w:rFonts w:ascii="宋体" w:hAnsi="宋体" w:cs="宋体"/>
          <w:sz w:val="24"/>
          <w:szCs w:val="24"/>
        </w:rPr>
      </w:pPr>
      <w:r>
        <w:rPr>
          <w:rFonts w:hint="eastAsia" w:ascii="宋体" w:hAnsi="宋体" w:cs="宋体"/>
          <w:sz w:val="24"/>
          <w:szCs w:val="24"/>
        </w:rPr>
        <w:t>特此证明。</w:t>
      </w:r>
    </w:p>
    <w:p>
      <w:pPr>
        <w:spacing w:line="480" w:lineRule="auto"/>
        <w:rPr>
          <w:rFonts w:ascii="宋体" w:hAnsi="宋体" w:cs="宋体"/>
          <w:sz w:val="24"/>
          <w:szCs w:val="24"/>
        </w:rPr>
      </w:pPr>
      <w:r>
        <w:rPr>
          <w:rFonts w:hint="eastAsia" w:ascii="宋体" w:hAnsi="宋体" w:cs="宋体"/>
          <w:sz w:val="24"/>
          <w:szCs w:val="24"/>
        </w:rPr>
        <w:t xml:space="preserve"> </w:t>
      </w:r>
    </w:p>
    <w:p>
      <w:pPr>
        <w:spacing w:line="480" w:lineRule="auto"/>
        <w:ind w:firstLine="480" w:firstLineChars="200"/>
        <w:rPr>
          <w:rFonts w:ascii="宋体" w:hAnsi="宋体" w:cs="宋体"/>
          <w:sz w:val="24"/>
          <w:szCs w:val="24"/>
        </w:rPr>
      </w:pPr>
      <w:r>
        <w:rPr>
          <w:rFonts w:hint="eastAsia" w:ascii="宋体" w:hAnsi="宋体" w:cs="宋体"/>
          <w:sz w:val="24"/>
          <w:szCs w:val="24"/>
        </w:rPr>
        <w:t>附：法定代表人(单位负责人)身份证扫描件。</w:t>
      </w:r>
    </w:p>
    <w:p>
      <w:pPr>
        <w:spacing w:line="360" w:lineRule="auto"/>
        <w:ind w:left="4480"/>
        <w:jc w:val="both"/>
        <w:rPr>
          <w:rFonts w:ascii="宋体" w:hAnsi="宋体" w:cs="宋体"/>
          <w:b/>
          <w:sz w:val="24"/>
          <w:szCs w:val="24"/>
        </w:rPr>
      </w:pPr>
      <w:r>
        <w:rPr>
          <w:rFonts w:hint="eastAsia" w:ascii="宋体" w:hAnsi="宋体" w:cs="宋体"/>
          <w:b/>
          <w:sz w:val="24"/>
          <w:szCs w:val="24"/>
        </w:rPr>
        <w:t xml:space="preserve">  </w:t>
      </w:r>
    </w:p>
    <w:p>
      <w:pPr>
        <w:spacing w:line="360" w:lineRule="auto"/>
        <w:ind w:left="4480"/>
        <w:jc w:val="both"/>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20" w:lineRule="exact"/>
        <w:rPr>
          <w:rFonts w:ascii="宋体" w:hAnsi="宋体" w:cs="宋体"/>
          <w:b/>
          <w:sz w:val="24"/>
          <w:szCs w:val="24"/>
        </w:rPr>
      </w:pPr>
      <w:r>
        <w:rPr>
          <w:rFonts w:hint="eastAsia" w:ascii="宋体" w:hAnsi="宋体" w:cs="宋体"/>
          <w:b/>
          <w:sz w:val="24"/>
          <w:szCs w:val="24"/>
        </w:rPr>
        <w:t xml:space="preserve"> </w:t>
      </w:r>
    </w:p>
    <w:p>
      <w:pPr>
        <w:spacing w:line="200" w:lineRule="exact"/>
        <w:rPr>
          <w:rFonts w:ascii="宋体" w:hAnsi="宋体" w:cs="宋体"/>
          <w:b/>
          <w:sz w:val="24"/>
          <w:szCs w:val="24"/>
        </w:rPr>
      </w:pPr>
      <w:r>
        <w:rPr>
          <w:rFonts w:hint="eastAsia" w:ascii="宋体" w:hAnsi="宋体" w:cs="宋体"/>
          <w:b/>
          <w:sz w:val="24"/>
          <w:szCs w:val="24"/>
        </w:rPr>
        <w:t xml:space="preserve"> </w:t>
      </w:r>
    </w:p>
    <w:p>
      <w:pPr>
        <w:spacing w:line="200" w:lineRule="exact"/>
        <w:rPr>
          <w:rFonts w:ascii="宋体" w:hAnsi="宋体" w:cs="宋体"/>
          <w:b/>
          <w:sz w:val="24"/>
          <w:szCs w:val="24"/>
        </w:rPr>
      </w:pPr>
      <w:r>
        <w:rPr>
          <w:rFonts w:hint="eastAsia" w:ascii="宋体" w:hAnsi="宋体" w:cs="宋体"/>
          <w:b/>
          <w:sz w:val="24"/>
          <w:szCs w:val="24"/>
        </w:rPr>
        <w:t xml:space="preserve"> </w:t>
      </w:r>
    </w:p>
    <w:p>
      <w:pPr>
        <w:wordWrap w:val="0"/>
        <w:ind w:right="480"/>
        <w:jc w:val="center"/>
        <w:rPr>
          <w:rFonts w:ascii="宋体" w:hAnsi="宋体" w:cs="宋体"/>
          <w:b/>
          <w:sz w:val="24"/>
          <w:szCs w:val="24"/>
        </w:rPr>
      </w:pPr>
      <w:r>
        <w:rPr>
          <w:rFonts w:hint="eastAsia" w:ascii="宋体" w:hAnsi="宋体" w:cs="宋体"/>
          <w:b/>
          <w:sz w:val="24"/>
          <w:szCs w:val="24"/>
        </w:rPr>
        <w:t xml:space="preserve">                         </w:t>
      </w:r>
    </w:p>
    <w:p>
      <w:pPr>
        <w:wordWrap w:val="0"/>
        <w:ind w:right="480"/>
        <w:jc w:val="center"/>
        <w:rPr>
          <w:rFonts w:ascii="宋体" w:hAnsi="宋体" w:cs="宋体"/>
          <w:b/>
          <w:sz w:val="24"/>
          <w:szCs w:val="24"/>
        </w:rPr>
      </w:pPr>
      <w:r>
        <w:rPr>
          <w:rFonts w:hint="eastAsia" w:ascii="宋体" w:hAnsi="宋体" w:cs="宋体"/>
          <w:b/>
          <w:sz w:val="24"/>
          <w:szCs w:val="24"/>
        </w:rPr>
        <w:t xml:space="preserve">                       日  期：</w:t>
      </w:r>
      <w:r>
        <w:rPr>
          <w:rFonts w:hint="eastAsia" w:ascii="宋体" w:hAnsi="宋体" w:cs="宋体"/>
          <w:b/>
          <w:sz w:val="24"/>
          <w:szCs w:val="24"/>
          <w:u w:val="single"/>
        </w:rPr>
        <w:t xml:space="preserve">     </w:t>
      </w:r>
      <w:r>
        <w:rPr>
          <w:rFonts w:hint="eastAsia" w:ascii="宋体" w:hAnsi="宋体" w:cs="宋体"/>
          <w:b/>
          <w:sz w:val="24"/>
          <w:szCs w:val="24"/>
        </w:rPr>
        <w:t>年</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w:t>
      </w:r>
    </w:p>
    <w:p>
      <w:pPr>
        <w:spacing w:line="360" w:lineRule="auto"/>
        <w:ind w:firstLine="5760" w:firstLineChars="2400"/>
        <w:jc w:val="both"/>
        <w:rPr>
          <w:rFonts w:ascii="宋体" w:hAnsi="宋体" w:cs="宋体"/>
          <w:sz w:val="24"/>
          <w:szCs w:val="24"/>
        </w:rPr>
      </w:pPr>
      <w:r>
        <w:rPr>
          <w:rFonts w:hint="eastAsia" w:ascii="宋体" w:hAnsi="宋体" w:cs="宋体"/>
          <w:sz w:val="24"/>
          <w:szCs w:val="24"/>
        </w:rPr>
        <w:t xml:space="preserve"> </w:t>
      </w:r>
    </w:p>
    <w:p>
      <w:pPr>
        <w:spacing w:line="20" w:lineRule="exact"/>
        <w:rPr>
          <w:rFonts w:ascii="宋体" w:hAnsi="宋体" w:cs="宋体"/>
          <w:b/>
          <w:bCs/>
          <w:sz w:val="44"/>
          <w:szCs w:val="44"/>
        </w:rPr>
      </w:pPr>
      <w:r>
        <w:rPr>
          <w:rFonts w:hint="eastAsia" w:ascii="宋体" w:hAnsi="宋体" w:cs="宋体"/>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pPr>
              <w:widowControl w:val="0"/>
              <w:spacing w:before="332" w:beforeLines="100" w:after="332" w:afterLines="100" w:line="600" w:lineRule="exact"/>
              <w:jc w:val="center"/>
              <w:rPr>
                <w:rFonts w:ascii="宋体" w:hAnsi="宋体" w:cs="宋体"/>
              </w:rPr>
            </w:pPr>
            <w:bookmarkStart w:id="550" w:name="_Toc15398"/>
            <w:bookmarkEnd w:id="550"/>
            <w:bookmarkStart w:id="551" w:name="_Toc31847"/>
            <w:bookmarkEnd w:id="551"/>
            <w:bookmarkStart w:id="552" w:name="_Toc23744"/>
            <w:r>
              <w:rPr>
                <w:rFonts w:hint="eastAsia" w:ascii="宋体" w:hAnsi="宋体" w:cs="宋体"/>
                <w:sz w:val="24"/>
                <w:szCs w:val="24"/>
              </w:rPr>
              <w:t>法定代表人(单位负责人)身份证正面</w:t>
            </w:r>
          </w:p>
        </w:tc>
        <w:tc>
          <w:tcPr>
            <w:tcW w:w="4814" w:type="dxa"/>
            <w:vAlign w:val="center"/>
          </w:tcPr>
          <w:p>
            <w:pPr>
              <w:widowControl w:val="0"/>
              <w:spacing w:before="332" w:beforeLines="100" w:after="332" w:afterLines="100" w:line="600" w:lineRule="exact"/>
              <w:jc w:val="center"/>
              <w:rPr>
                <w:rFonts w:ascii="宋体" w:hAnsi="宋体" w:cs="宋体"/>
              </w:rPr>
            </w:pPr>
            <w:r>
              <w:rPr>
                <w:rFonts w:hint="eastAsia" w:ascii="宋体" w:hAnsi="宋体" w:cs="宋体"/>
                <w:sz w:val="24"/>
                <w:szCs w:val="24"/>
              </w:rPr>
              <w:t>法定代表人(单位负责人)身份证反面</w:t>
            </w:r>
          </w:p>
        </w:tc>
      </w:tr>
    </w:tbl>
    <w:p>
      <w:pPr>
        <w:pStyle w:val="5"/>
        <w:widowControl/>
        <w:numPr>
          <w:ilvl w:val="0"/>
          <w:numId w:val="8"/>
        </w:numPr>
        <w:autoSpaceDE w:val="0"/>
        <w:spacing w:before="0" w:after="0" w:line="240" w:lineRule="auto"/>
        <w:rPr>
          <w:rFonts w:ascii="宋体" w:hAnsi="宋体" w:cs="宋体"/>
          <w:szCs w:val="28"/>
        </w:rPr>
      </w:pPr>
      <w:r>
        <w:rPr>
          <w:rFonts w:hint="eastAsia" w:ascii="宋体" w:hAnsi="宋体" w:cs="宋体"/>
          <w:szCs w:val="28"/>
        </w:rPr>
        <w:br w:type="page"/>
      </w:r>
      <w:bookmarkStart w:id="553" w:name="_Toc13226"/>
      <w:bookmarkStart w:id="554" w:name="_Toc7743"/>
      <w:bookmarkStart w:id="555" w:name="_Toc13372"/>
      <w:r>
        <w:rPr>
          <w:rFonts w:hint="eastAsia" w:ascii="宋体" w:hAnsi="宋体" w:cs="宋体"/>
          <w:szCs w:val="28"/>
        </w:rPr>
        <w:t>授权委托书</w:t>
      </w:r>
      <w:bookmarkEnd w:id="552"/>
      <w:bookmarkEnd w:id="553"/>
      <w:bookmarkEnd w:id="554"/>
      <w:bookmarkEnd w:id="555"/>
    </w:p>
    <w:p>
      <w:pPr>
        <w:spacing w:line="200" w:lineRule="exact"/>
        <w:rPr>
          <w:rFonts w:ascii="宋体" w:hAnsi="宋体" w:cs="宋体"/>
        </w:rPr>
      </w:pPr>
      <w:r>
        <w:rPr>
          <w:rFonts w:hint="eastAsia" w:ascii="宋体" w:hAnsi="宋体" w:cs="宋体"/>
        </w:rPr>
        <w:t xml:space="preserve"> </w:t>
      </w:r>
    </w:p>
    <w:p>
      <w:pPr>
        <w:spacing w:line="200" w:lineRule="exact"/>
        <w:rPr>
          <w:rFonts w:ascii="宋体" w:hAnsi="宋体" w:cs="宋体"/>
        </w:rPr>
      </w:pPr>
      <w:r>
        <w:rPr>
          <w:rFonts w:hint="eastAsia" w:ascii="宋体" w:hAnsi="宋体" w:cs="宋体"/>
        </w:rPr>
        <w:t xml:space="preserve"> </w:t>
      </w:r>
    </w:p>
    <w:p>
      <w:pPr>
        <w:spacing w:line="360" w:lineRule="auto"/>
        <w:ind w:firstLine="480" w:firstLineChars="200"/>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(供应商名称)的法定代表人(单位负责人)，现委托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(姓名)为我方代理人。代理人根据授权，以我方名义签署、澄清、说明、补正、递交、撤回、修改</w:t>
      </w:r>
      <w:r>
        <w:rPr>
          <w:rFonts w:hint="eastAsia" w:ascii="宋体" w:hAnsi="宋体" w:cs="宋体"/>
          <w:sz w:val="24"/>
          <w:szCs w:val="24"/>
          <w:u w:val="single"/>
        </w:rPr>
        <w:t xml:space="preserve">              </w:t>
      </w:r>
      <w:r>
        <w:rPr>
          <w:rFonts w:hint="eastAsia" w:ascii="宋体" w:hAnsi="宋体" w:cs="宋体"/>
          <w:sz w:val="24"/>
          <w:szCs w:val="24"/>
        </w:rPr>
        <w:t>(项目名称)投标文件、签订合同和处理有关事宜，其法律后果由我方承担。</w:t>
      </w:r>
    </w:p>
    <w:p>
      <w:pPr>
        <w:spacing w:line="360" w:lineRule="auto"/>
        <w:ind w:firstLine="480" w:firstLineChars="200"/>
        <w:rPr>
          <w:rFonts w:ascii="宋体" w:hAnsi="宋体" w:cs="宋体"/>
          <w:sz w:val="24"/>
          <w:szCs w:val="24"/>
        </w:rPr>
      </w:pPr>
      <w:r>
        <w:rPr>
          <w:rFonts w:hint="eastAsia" w:ascii="宋体" w:hAnsi="宋体" w:cs="宋体"/>
          <w:sz w:val="24"/>
          <w:szCs w:val="24"/>
        </w:rPr>
        <w:t>代理人无转委托权。</w:t>
      </w:r>
    </w:p>
    <w:p>
      <w:pPr>
        <w:spacing w:line="360" w:lineRule="auto"/>
        <w:ind w:firstLine="480" w:firstLineChars="200"/>
        <w:rPr>
          <w:rFonts w:ascii="宋体" w:hAnsi="宋体" w:cs="宋体"/>
          <w:sz w:val="24"/>
          <w:szCs w:val="24"/>
        </w:rPr>
      </w:pPr>
    </w:p>
    <w:p>
      <w:pPr>
        <w:spacing w:line="360" w:lineRule="auto"/>
        <w:ind w:firstLine="480" w:firstLineChars="200"/>
        <w:rPr>
          <w:rFonts w:ascii="宋体" w:hAnsi="宋体" w:cs="宋体"/>
          <w:sz w:val="24"/>
          <w:szCs w:val="24"/>
        </w:rPr>
      </w:pPr>
      <w:r>
        <w:rPr>
          <w:rFonts w:hint="eastAsia" w:ascii="宋体" w:hAnsi="宋体" w:cs="宋体"/>
          <w:sz w:val="24"/>
          <w:szCs w:val="24"/>
        </w:rPr>
        <w:t>附：委托代理人身份证扫描件</w:t>
      </w:r>
    </w:p>
    <w:p>
      <w:pPr>
        <w:spacing w:before="468" w:line="360" w:lineRule="auto"/>
        <w:ind w:firstLine="3373" w:firstLineChars="1400"/>
        <w:rPr>
          <w:rFonts w:ascii="宋体" w:hAnsi="宋体" w:cs="宋体"/>
          <w:b/>
          <w:sz w:val="24"/>
          <w:szCs w:val="24"/>
        </w:rPr>
      </w:pPr>
      <w:r>
        <w:rPr>
          <w:rFonts w:hint="eastAsia" w:ascii="宋体" w:hAnsi="宋体" w:cs="宋体"/>
          <w:b/>
          <w:sz w:val="24"/>
          <w:szCs w:val="24"/>
        </w:rPr>
        <w:t>投 标 人：</w:t>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before="468" w:line="360" w:lineRule="auto"/>
        <w:ind w:firstLine="3373" w:firstLineChars="1400"/>
        <w:rPr>
          <w:rFonts w:ascii="宋体" w:hAnsi="宋体" w:cs="宋体"/>
          <w:b/>
          <w:sz w:val="24"/>
          <w:szCs w:val="24"/>
        </w:rPr>
      </w:pPr>
      <w:r>
        <w:rPr>
          <w:rFonts w:hint="eastAsia" w:ascii="宋体" w:hAnsi="宋体" w:cs="宋体"/>
          <w:b/>
          <w:sz w:val="24"/>
          <w:szCs w:val="24"/>
        </w:rPr>
        <w:t>法定代表人(单位负责人)：</w:t>
      </w:r>
      <w:r>
        <w:rPr>
          <w:rFonts w:hint="eastAsia" w:ascii="宋体" w:hAnsi="宋体" w:cs="宋体"/>
          <w:b/>
          <w:sz w:val="24"/>
          <w:szCs w:val="24"/>
          <w:u w:val="single"/>
        </w:rPr>
        <w:t xml:space="preserve">           </w:t>
      </w:r>
      <w:r>
        <w:rPr>
          <w:rFonts w:hint="eastAsia" w:ascii="宋体" w:hAnsi="宋体" w:cs="宋体"/>
          <w:b/>
          <w:sz w:val="24"/>
          <w:szCs w:val="24"/>
        </w:rPr>
        <w:t>(电子签章)</w:t>
      </w:r>
    </w:p>
    <w:p>
      <w:pPr>
        <w:autoSpaceDE w:val="0"/>
        <w:autoSpaceDN w:val="0"/>
        <w:adjustRightInd w:val="0"/>
        <w:spacing w:line="360" w:lineRule="auto"/>
        <w:ind w:firstLine="3373" w:firstLineChars="1400"/>
        <w:rPr>
          <w:rFonts w:ascii="宋体" w:hAnsi="宋体" w:cs="宋体"/>
          <w:b/>
          <w:bCs/>
          <w:sz w:val="24"/>
          <w:szCs w:val="24"/>
          <w:u w:val="single"/>
        </w:rPr>
      </w:pPr>
      <w:r>
        <w:rPr>
          <w:rFonts w:hint="eastAsia" w:ascii="宋体" w:hAnsi="宋体" w:cs="宋体"/>
          <w:b/>
          <w:bCs/>
          <w:sz w:val="24"/>
          <w:szCs w:val="24"/>
        </w:rPr>
        <w:t>身份证号码：</w:t>
      </w:r>
      <w:r>
        <w:rPr>
          <w:rFonts w:hint="eastAsia" w:ascii="宋体" w:hAnsi="宋体" w:cs="宋体"/>
          <w:b/>
          <w:bCs/>
          <w:sz w:val="24"/>
          <w:szCs w:val="24"/>
          <w:u w:val="single"/>
        </w:rPr>
        <w:t xml:space="preserve">                            </w:t>
      </w:r>
    </w:p>
    <w:p>
      <w:pPr>
        <w:spacing w:before="468" w:line="360" w:lineRule="auto"/>
        <w:ind w:firstLine="3373" w:firstLineChars="1400"/>
        <w:rPr>
          <w:rFonts w:ascii="宋体" w:hAnsi="宋体" w:cs="宋体"/>
          <w:b/>
          <w:sz w:val="24"/>
          <w:szCs w:val="24"/>
        </w:rPr>
      </w:pPr>
      <w:r>
        <w:rPr>
          <w:rFonts w:hint="eastAsia" w:ascii="宋体" w:hAnsi="宋体" w:cs="宋体"/>
          <w:b/>
          <w:sz w:val="24"/>
          <w:szCs w:val="24"/>
        </w:rPr>
        <w:t>委托代理人：</w:t>
      </w:r>
      <w:r>
        <w:rPr>
          <w:rFonts w:hint="eastAsia" w:ascii="宋体" w:hAnsi="宋体" w:cs="宋体"/>
          <w:b/>
          <w:sz w:val="24"/>
          <w:szCs w:val="24"/>
          <w:u w:val="single"/>
        </w:rPr>
        <w:t xml:space="preserve">       （签名）</w:t>
      </w:r>
    </w:p>
    <w:p>
      <w:pPr>
        <w:autoSpaceDE w:val="0"/>
        <w:autoSpaceDN w:val="0"/>
        <w:adjustRightInd w:val="0"/>
        <w:spacing w:line="360" w:lineRule="auto"/>
        <w:ind w:firstLine="3373" w:firstLineChars="1400"/>
        <w:rPr>
          <w:rFonts w:ascii="宋体" w:hAnsi="宋体" w:cs="宋体"/>
        </w:rPr>
      </w:pPr>
      <w:r>
        <w:rPr>
          <w:rFonts w:hint="eastAsia" w:ascii="宋体" w:hAnsi="宋体" w:cs="宋体"/>
          <w:b/>
          <w:bCs/>
          <w:sz w:val="24"/>
        </w:rPr>
        <w:t>身份证号码：</w:t>
      </w:r>
      <w:r>
        <w:rPr>
          <w:rFonts w:hint="eastAsia" w:ascii="宋体" w:hAnsi="宋体" w:cs="宋体"/>
          <w:b/>
          <w:bCs/>
          <w:sz w:val="24"/>
          <w:u w:val="single"/>
        </w:rPr>
        <w:t xml:space="preserve">                            </w:t>
      </w:r>
    </w:p>
    <w:p>
      <w:pPr>
        <w:spacing w:before="468" w:line="360" w:lineRule="auto"/>
        <w:ind w:firstLine="3373" w:firstLineChars="1400"/>
        <w:rPr>
          <w:rFonts w:ascii="宋体" w:hAnsi="宋体" w:cs="宋体"/>
          <w:b/>
          <w:sz w:val="24"/>
          <w:szCs w:val="24"/>
        </w:rPr>
      </w:pPr>
      <w:r>
        <w:rPr>
          <w:rFonts w:hint="eastAsia" w:ascii="宋体" w:hAnsi="宋体" w:cs="宋体"/>
          <w:b/>
          <w:sz w:val="24"/>
          <w:szCs w:val="24"/>
        </w:rPr>
        <w:t>日期：</w:t>
      </w:r>
      <w:r>
        <w:rPr>
          <w:rFonts w:hint="eastAsia" w:ascii="宋体" w:hAnsi="宋体" w:cs="宋体"/>
          <w:b/>
          <w:sz w:val="24"/>
          <w:szCs w:val="24"/>
          <w:u w:val="single"/>
        </w:rPr>
        <w:t xml:space="preserve">       </w:t>
      </w:r>
      <w:r>
        <w:rPr>
          <w:rFonts w:hint="eastAsia" w:ascii="宋体" w:hAnsi="宋体" w:cs="宋体"/>
          <w:b/>
          <w:sz w:val="24"/>
          <w:szCs w:val="24"/>
        </w:rPr>
        <w:t>年</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w:t>
      </w:r>
    </w:p>
    <w:p>
      <w:pPr>
        <w:ind w:right="480"/>
        <w:rPr>
          <w:rFonts w:ascii="宋体" w:hAnsi="宋体" w:cs="宋体"/>
          <w:sz w:val="24"/>
          <w:szCs w:val="24"/>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pPr>
              <w:widowControl w:val="0"/>
              <w:spacing w:before="332" w:beforeLines="100" w:after="332" w:afterLines="100" w:line="600" w:lineRule="exact"/>
              <w:jc w:val="center"/>
              <w:rPr>
                <w:rFonts w:ascii="宋体" w:hAnsi="宋体" w:cs="宋体"/>
              </w:rPr>
            </w:pPr>
            <w:r>
              <w:rPr>
                <w:rFonts w:hint="eastAsia" w:ascii="宋体" w:hAnsi="宋体" w:cs="宋体"/>
                <w:sz w:val="24"/>
                <w:szCs w:val="24"/>
              </w:rPr>
              <w:t>代理人身份证正面</w:t>
            </w:r>
          </w:p>
        </w:tc>
        <w:tc>
          <w:tcPr>
            <w:tcW w:w="4814" w:type="dxa"/>
            <w:vAlign w:val="center"/>
          </w:tcPr>
          <w:p>
            <w:pPr>
              <w:widowControl w:val="0"/>
              <w:spacing w:before="332" w:beforeLines="100" w:after="332" w:afterLines="100" w:line="600" w:lineRule="exact"/>
              <w:jc w:val="center"/>
              <w:rPr>
                <w:rFonts w:ascii="宋体" w:hAnsi="宋体" w:cs="宋体"/>
              </w:rPr>
            </w:pPr>
            <w:r>
              <w:rPr>
                <w:rFonts w:hint="eastAsia" w:ascii="宋体" w:hAnsi="宋体" w:cs="宋体"/>
                <w:sz w:val="24"/>
                <w:szCs w:val="24"/>
              </w:rPr>
              <w:t>代理人身份证反面</w:t>
            </w:r>
          </w:p>
        </w:tc>
      </w:tr>
    </w:tbl>
    <w:p>
      <w:pPr>
        <w:spacing w:line="240" w:lineRule="exact"/>
        <w:rPr>
          <w:rFonts w:ascii="宋体" w:hAnsi="宋体" w:cs="宋体"/>
          <w:b/>
          <w:bCs/>
          <w:sz w:val="44"/>
          <w:szCs w:val="44"/>
        </w:rPr>
      </w:pPr>
    </w:p>
    <w:p>
      <w:pPr>
        <w:pStyle w:val="5"/>
        <w:widowControl/>
        <w:numPr>
          <w:ilvl w:val="0"/>
          <w:numId w:val="8"/>
        </w:numPr>
        <w:autoSpaceDE w:val="0"/>
        <w:spacing w:before="0" w:after="0" w:line="240" w:lineRule="auto"/>
        <w:rPr>
          <w:rFonts w:ascii="宋体" w:hAnsi="宋体" w:cs="宋体"/>
          <w:szCs w:val="28"/>
        </w:rPr>
      </w:pPr>
      <w:bookmarkStart w:id="556" w:name="_Toc25271"/>
      <w:bookmarkEnd w:id="556"/>
      <w:bookmarkStart w:id="557" w:name="_Toc26620"/>
      <w:bookmarkEnd w:id="557"/>
      <w:bookmarkStart w:id="558" w:name="_Toc28613"/>
      <w:r>
        <w:rPr>
          <w:rFonts w:hint="eastAsia" w:ascii="宋体" w:hAnsi="宋体" w:cs="宋体"/>
          <w:szCs w:val="28"/>
        </w:rPr>
        <w:br w:type="page"/>
      </w:r>
      <w:bookmarkStart w:id="559" w:name="_Toc30543"/>
      <w:bookmarkStart w:id="560" w:name="_Toc16446"/>
      <w:bookmarkStart w:id="561" w:name="_Toc19680"/>
      <w:bookmarkStart w:id="562" w:name="_Toc18483"/>
      <w:r>
        <w:rPr>
          <w:rFonts w:hint="eastAsia" w:ascii="宋体" w:hAnsi="宋体" w:cs="宋体"/>
          <w:szCs w:val="28"/>
        </w:rPr>
        <w:t>供应商基本情况表</w:t>
      </w:r>
      <w:bookmarkEnd w:id="559"/>
      <w:bookmarkEnd w:id="560"/>
      <w:bookmarkEnd w:id="561"/>
      <w:bookmarkEnd w:id="562"/>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供应商名称</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注册资金</w:t>
            </w:r>
          </w:p>
        </w:tc>
        <w:tc>
          <w:tcPr>
            <w:tcW w:w="4071" w:type="dxa"/>
            <w:gridSpan w:val="2"/>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成立时间</w:t>
            </w:r>
          </w:p>
        </w:tc>
        <w:tc>
          <w:tcPr>
            <w:tcW w:w="1982"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注册地址</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邮政编码</w:t>
            </w:r>
          </w:p>
        </w:tc>
        <w:tc>
          <w:tcPr>
            <w:tcW w:w="4071" w:type="dxa"/>
            <w:gridSpan w:val="2"/>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员工总数</w:t>
            </w:r>
          </w:p>
        </w:tc>
        <w:tc>
          <w:tcPr>
            <w:tcW w:w="1982"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联系方式</w:t>
            </w:r>
          </w:p>
        </w:tc>
        <w:tc>
          <w:tcPr>
            <w:tcW w:w="1350"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联系人</w:t>
            </w:r>
          </w:p>
        </w:tc>
        <w:tc>
          <w:tcPr>
            <w:tcW w:w="2721"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电话</w:t>
            </w:r>
          </w:p>
        </w:tc>
        <w:tc>
          <w:tcPr>
            <w:tcW w:w="1982"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vAlign w:val="center"/>
          </w:tcPr>
          <w:p>
            <w:pPr>
              <w:widowControl w:val="0"/>
              <w:jc w:val="both"/>
              <w:rPr>
                <w:rFonts w:ascii="宋体" w:hAnsi="宋体" w:cs="宋体"/>
                <w:kern w:val="2"/>
                <w:sz w:val="24"/>
                <w:szCs w:val="24"/>
              </w:rPr>
            </w:pPr>
          </w:p>
        </w:tc>
        <w:tc>
          <w:tcPr>
            <w:tcW w:w="1350"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网址</w:t>
            </w:r>
          </w:p>
        </w:tc>
        <w:tc>
          <w:tcPr>
            <w:tcW w:w="2721"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传真</w:t>
            </w:r>
          </w:p>
        </w:tc>
        <w:tc>
          <w:tcPr>
            <w:tcW w:w="1982"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法定代表人</w:t>
            </w:r>
          </w:p>
          <w:p>
            <w:pPr>
              <w:spacing w:line="440" w:lineRule="exact"/>
              <w:jc w:val="center"/>
              <w:rPr>
                <w:rFonts w:ascii="宋体" w:hAnsi="宋体" w:cs="宋体"/>
                <w:sz w:val="24"/>
                <w:szCs w:val="24"/>
              </w:rPr>
            </w:pPr>
            <w:r>
              <w:rPr>
                <w:rFonts w:hint="eastAsia" w:ascii="宋体" w:hAnsi="宋体" w:cs="宋体"/>
                <w:sz w:val="24"/>
                <w:szCs w:val="24"/>
              </w:rPr>
              <w:t>(单位负责人)</w:t>
            </w:r>
          </w:p>
        </w:tc>
        <w:tc>
          <w:tcPr>
            <w:tcW w:w="1350"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姓名</w:t>
            </w:r>
          </w:p>
        </w:tc>
        <w:tc>
          <w:tcPr>
            <w:tcW w:w="2721"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电话</w:t>
            </w:r>
          </w:p>
        </w:tc>
        <w:tc>
          <w:tcPr>
            <w:tcW w:w="1982" w:type="dxa"/>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供应商须知要求供应商需具有的各类资质证书(若有)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rPr>
                <w:rFonts w:ascii="宋体" w:hAnsi="宋体" w:cs="宋体"/>
                <w:sz w:val="24"/>
                <w:szCs w:val="24"/>
              </w:rPr>
            </w:pPr>
            <w:r>
              <w:rPr>
                <w:rFonts w:hint="eastAsia" w:ascii="宋体" w:hAnsi="宋体" w:cs="宋体"/>
                <w:sz w:val="24"/>
                <w:szCs w:val="24"/>
              </w:rPr>
              <w:t>类型：                等级：                 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供应商关联企业情况(包括但不限于与供应商法定代表人(单位负责人)为同一人或者存在控股、管理关系的不同单位)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经营范围</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szCs w:val="24"/>
              </w:rPr>
            </w:pPr>
            <w:r>
              <w:rPr>
                <w:rFonts w:hint="eastAsia" w:ascii="宋体" w:hAnsi="宋体" w:cs="宋体"/>
                <w:sz w:val="24"/>
                <w:szCs w:val="24"/>
              </w:rPr>
              <w:t>备注</w:t>
            </w:r>
          </w:p>
        </w:tc>
        <w:tc>
          <w:tcPr>
            <w:tcW w:w="7457"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ascii="宋体" w:hAnsi="宋体" w:cs="宋体"/>
                <w:sz w:val="24"/>
                <w:szCs w:val="24"/>
              </w:rPr>
            </w:pPr>
          </w:p>
        </w:tc>
      </w:tr>
    </w:tbl>
    <w:p>
      <w:pPr>
        <w:rPr>
          <w:rFonts w:ascii="宋体" w:hAnsi="宋体" w:cs="宋体"/>
          <w:sz w:val="22"/>
          <w:szCs w:val="22"/>
        </w:rPr>
      </w:pPr>
      <w:r>
        <w:rPr>
          <w:rFonts w:hint="eastAsia" w:ascii="宋体" w:hAnsi="宋体" w:cs="宋体"/>
          <w:sz w:val="22"/>
          <w:szCs w:val="22"/>
        </w:rPr>
        <w:t>注：供应商须在本表后附相关证明材料，如营业执照、资质证书(若有)、开户许可证或基本存款账户信息等。</w:t>
      </w:r>
    </w:p>
    <w:bookmarkEnd w:id="558"/>
    <w:p>
      <w:pPr>
        <w:autoSpaceDE w:val="0"/>
        <w:spacing w:line="360" w:lineRule="auto"/>
        <w:rPr>
          <w:rFonts w:ascii="宋体" w:hAnsi="宋体" w:cs="宋体"/>
          <w:sz w:val="24"/>
          <w:szCs w:val="24"/>
        </w:rPr>
      </w:pPr>
    </w:p>
    <w:p>
      <w:pPr>
        <w:autoSpaceDE w:val="0"/>
        <w:spacing w:line="360" w:lineRule="auto"/>
        <w:ind w:firstLine="960" w:firstLineChars="400"/>
        <w:rPr>
          <w:rFonts w:ascii="宋体" w:hAnsi="宋体" w:cs="宋体"/>
          <w:sz w:val="24"/>
          <w:szCs w:val="24"/>
        </w:rPr>
      </w:pPr>
      <w:r>
        <w:rPr>
          <w:rFonts w:hint="eastAsia" w:ascii="宋体" w:hAnsi="宋体" w:cs="宋体"/>
          <w:sz w:val="24"/>
          <w:szCs w:val="24"/>
        </w:rPr>
        <w:t xml:space="preserve"> </w:t>
      </w:r>
    </w:p>
    <w:p>
      <w:pPr>
        <w:pStyle w:val="5"/>
        <w:widowControl/>
        <w:numPr>
          <w:ilvl w:val="0"/>
          <w:numId w:val="8"/>
        </w:numPr>
        <w:autoSpaceDE w:val="0"/>
        <w:spacing w:before="0" w:after="0" w:line="240" w:lineRule="auto"/>
        <w:rPr>
          <w:rFonts w:ascii="宋体" w:hAnsi="宋体" w:cs="宋体"/>
          <w:sz w:val="24"/>
          <w:szCs w:val="24"/>
        </w:rPr>
      </w:pPr>
      <w:bookmarkStart w:id="563" w:name="_Toc23543"/>
      <w:bookmarkEnd w:id="563"/>
      <w:bookmarkStart w:id="564" w:name="_Toc25087"/>
      <w:bookmarkStart w:id="565" w:name="_Toc8999"/>
      <w:bookmarkStart w:id="566" w:name="_Toc29437"/>
      <w:bookmarkStart w:id="567" w:name="_Toc3819"/>
      <w:r>
        <w:rPr>
          <w:rFonts w:hint="eastAsia" w:ascii="宋体" w:hAnsi="宋体" w:cs="宋体"/>
          <w:szCs w:val="28"/>
        </w:rPr>
        <w:br w:type="page"/>
      </w:r>
      <w:bookmarkStart w:id="568" w:name="_Toc10424"/>
      <w:bookmarkStart w:id="569" w:name="_Toc6696"/>
      <w:bookmarkStart w:id="570" w:name="_Toc9865"/>
      <w:r>
        <w:rPr>
          <w:rFonts w:hint="eastAsia" w:ascii="宋体" w:hAnsi="宋体" w:cs="宋体"/>
          <w:szCs w:val="28"/>
        </w:rPr>
        <w:t>商务条款偏离表、技术要求偏离表及</w:t>
      </w:r>
      <w:bookmarkEnd w:id="564"/>
      <w:r>
        <w:rPr>
          <w:rFonts w:hint="eastAsia" w:ascii="宋体" w:hAnsi="宋体" w:cs="宋体"/>
          <w:szCs w:val="28"/>
        </w:rPr>
        <w:t>技术规格偏离表</w:t>
      </w:r>
      <w:bookmarkEnd w:id="568"/>
      <w:bookmarkEnd w:id="569"/>
      <w:bookmarkEnd w:id="570"/>
    </w:p>
    <w:p>
      <w:pPr>
        <w:autoSpaceDE w:val="0"/>
        <w:spacing w:line="360" w:lineRule="auto"/>
        <w:ind w:firstLine="241" w:firstLineChars="100"/>
        <w:jc w:val="center"/>
        <w:rPr>
          <w:rFonts w:ascii="宋体" w:hAnsi="宋体" w:cs="宋体"/>
          <w:b/>
          <w:bCs/>
          <w:sz w:val="24"/>
          <w:szCs w:val="24"/>
        </w:rPr>
      </w:pPr>
      <w:r>
        <w:rPr>
          <w:rFonts w:hint="eastAsia" w:ascii="宋体" w:hAnsi="宋体" w:cs="宋体"/>
          <w:b/>
          <w:bCs/>
          <w:sz w:val="24"/>
          <w:szCs w:val="24"/>
        </w:rPr>
        <w:t>(一)商务条款偏离表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090"/>
        <w:gridCol w:w="1460"/>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序号</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采购文件条款号</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采购文件的商务条款内容</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投标文件的商务条款响应情况</w:t>
            </w: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偏离情况</w:t>
            </w: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b/>
                <w:bCs/>
                <w:sz w:val="24"/>
                <w:szCs w:val="24"/>
              </w:rPr>
            </w:pPr>
            <w:r>
              <w:rPr>
                <w:rFonts w:hint="eastAsia" w:ascii="宋体" w:hAnsi="宋体" w:cs="宋体"/>
                <w:b/>
                <w:bCs/>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1</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“供应商须知前附表”第1.3.2款及“第五章采购内容及要求”</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合同履行期限</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2</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“供应商须知前附表”第1.3.2款及“第五章采购内容及要求”</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质保期</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3</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“供应商须知前附表”第1.3.</w:t>
            </w:r>
            <w:r>
              <w:rPr>
                <w:rFonts w:ascii="宋体" w:hAnsi="宋体" w:cs="宋体"/>
                <w:sz w:val="24"/>
                <w:szCs w:val="24"/>
              </w:rPr>
              <w:t>3</w:t>
            </w:r>
            <w:r>
              <w:rPr>
                <w:rFonts w:hint="eastAsia" w:ascii="宋体" w:hAnsi="宋体" w:cs="宋体"/>
                <w:sz w:val="24"/>
                <w:szCs w:val="24"/>
              </w:rPr>
              <w:t>款及“第五章采购内容及要求”</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交货地点</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4</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“供应商须知前附表”第1.3.</w:t>
            </w:r>
            <w:r>
              <w:rPr>
                <w:rFonts w:ascii="宋体" w:hAnsi="宋体" w:cs="宋体"/>
                <w:sz w:val="24"/>
                <w:szCs w:val="24"/>
              </w:rPr>
              <w:t>3</w:t>
            </w:r>
            <w:r>
              <w:rPr>
                <w:rFonts w:hint="eastAsia" w:ascii="宋体" w:hAnsi="宋体" w:cs="宋体"/>
                <w:sz w:val="24"/>
                <w:szCs w:val="24"/>
              </w:rPr>
              <w:t>款及“第五章采购内容及要求”</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交货方式</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5</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“供应商须知前附表”第</w:t>
            </w:r>
            <w:r>
              <w:rPr>
                <w:rFonts w:ascii="宋体" w:hAnsi="宋体" w:cs="宋体"/>
                <w:sz w:val="24"/>
                <w:szCs w:val="24"/>
              </w:rPr>
              <w:t>3</w:t>
            </w: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款及“第五章采购内容及要求”</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投标有效期</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6</w:t>
            </w:r>
          </w:p>
        </w:tc>
        <w:tc>
          <w:tcPr>
            <w:tcW w:w="213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ascii="宋体" w:hAnsi="宋体" w:cs="宋体"/>
                <w:sz w:val="24"/>
                <w:szCs w:val="24"/>
              </w:rPr>
              <w:t>“合同条款及格式”第1.4.1款</w:t>
            </w:r>
          </w:p>
        </w:tc>
        <w:tc>
          <w:tcPr>
            <w:tcW w:w="2236"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付款方式</w:t>
            </w:r>
          </w:p>
        </w:tc>
        <w:tc>
          <w:tcPr>
            <w:tcW w:w="209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14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c>
          <w:tcPr>
            <w:tcW w:w="753"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p>
        </w:tc>
      </w:tr>
    </w:tbl>
    <w:p>
      <w:pPr>
        <w:ind w:firstLine="1687" w:firstLineChars="700"/>
        <w:jc w:val="right"/>
        <w:rPr>
          <w:rFonts w:ascii="宋体" w:hAnsi="宋体" w:cs="宋体"/>
          <w:b/>
          <w:sz w:val="24"/>
          <w:szCs w:val="24"/>
        </w:rPr>
      </w:pPr>
    </w:p>
    <w:p>
      <w:pPr>
        <w:ind w:firstLine="1687" w:firstLineChars="700"/>
        <w:jc w:val="right"/>
        <w:rPr>
          <w:rFonts w:ascii="宋体" w:hAnsi="宋体" w:cs="宋体"/>
          <w:b/>
          <w:sz w:val="24"/>
          <w:szCs w:val="24"/>
        </w:rPr>
      </w:pPr>
    </w:p>
    <w:p>
      <w:pPr>
        <w:ind w:firstLine="1687" w:firstLineChars="700"/>
        <w:jc w:val="right"/>
        <w:rPr>
          <w:rFonts w:ascii="宋体" w:hAnsi="宋体" w:cs="宋体"/>
          <w:b/>
          <w:sz w:val="24"/>
          <w:szCs w:val="24"/>
        </w:rPr>
      </w:pP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3"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spacing w:before="166" w:beforeLines="50" w:line="360" w:lineRule="auto"/>
        <w:jc w:val="center"/>
        <w:rPr>
          <w:rFonts w:ascii="宋体" w:hAnsi="宋体" w:cs="宋体"/>
          <w:b/>
          <w:bCs/>
          <w:sz w:val="24"/>
          <w:szCs w:val="24"/>
        </w:rPr>
      </w:pPr>
      <w:r>
        <w:rPr>
          <w:rFonts w:hint="eastAsia" w:ascii="宋体" w:hAnsi="宋体" w:cs="宋体"/>
          <w:b/>
          <w:bCs/>
          <w:sz w:val="24"/>
          <w:szCs w:val="24"/>
        </w:rPr>
        <w:t>（二）技术要求偏离表</w:t>
      </w:r>
    </w:p>
    <w:tbl>
      <w:tblPr>
        <w:tblStyle w:val="4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21"/>
        <w:gridCol w:w="2946"/>
        <w:gridCol w:w="1715"/>
        <w:gridCol w:w="1469"/>
        <w:gridCol w:w="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65" w:type="pct"/>
            <w:vAlign w:val="center"/>
          </w:tcPr>
          <w:p>
            <w:pPr>
              <w:spacing w:line="400" w:lineRule="exact"/>
              <w:jc w:val="center"/>
              <w:rPr>
                <w:rFonts w:ascii="宋体" w:hAnsi="宋体" w:cs="宋体"/>
                <w:b/>
                <w:sz w:val="24"/>
                <w:szCs w:val="24"/>
              </w:rPr>
            </w:pPr>
            <w:r>
              <w:rPr>
                <w:rFonts w:hint="eastAsia" w:ascii="宋体" w:hAnsi="宋体" w:cs="宋体"/>
                <w:b/>
                <w:sz w:val="24"/>
                <w:szCs w:val="24"/>
              </w:rPr>
              <w:t>序号</w:t>
            </w:r>
          </w:p>
        </w:tc>
        <w:tc>
          <w:tcPr>
            <w:tcW w:w="925" w:type="pct"/>
            <w:vAlign w:val="center"/>
          </w:tcPr>
          <w:p>
            <w:pPr>
              <w:spacing w:line="400" w:lineRule="exact"/>
              <w:jc w:val="center"/>
              <w:rPr>
                <w:rFonts w:ascii="宋体" w:hAnsi="宋体" w:cs="宋体"/>
                <w:b/>
                <w:sz w:val="24"/>
                <w:szCs w:val="24"/>
              </w:rPr>
            </w:pPr>
            <w:r>
              <w:rPr>
                <w:rFonts w:hint="eastAsia" w:ascii="宋体" w:hAnsi="宋体" w:cs="宋体"/>
                <w:b/>
                <w:sz w:val="24"/>
                <w:szCs w:val="24"/>
              </w:rPr>
              <w:t>采购文件</w:t>
            </w:r>
          </w:p>
          <w:p>
            <w:pPr>
              <w:spacing w:line="400" w:lineRule="exact"/>
              <w:jc w:val="center"/>
              <w:rPr>
                <w:rFonts w:ascii="宋体" w:hAnsi="宋体" w:cs="宋体"/>
                <w:b/>
                <w:sz w:val="24"/>
                <w:szCs w:val="24"/>
              </w:rPr>
            </w:pPr>
            <w:r>
              <w:rPr>
                <w:rFonts w:hint="eastAsia" w:ascii="宋体" w:hAnsi="宋体" w:cs="宋体"/>
                <w:b/>
                <w:sz w:val="24"/>
                <w:szCs w:val="24"/>
              </w:rPr>
              <w:t>条款号</w:t>
            </w:r>
          </w:p>
        </w:tc>
        <w:tc>
          <w:tcPr>
            <w:tcW w:w="1496" w:type="pct"/>
            <w:vAlign w:val="center"/>
          </w:tcPr>
          <w:p>
            <w:pPr>
              <w:spacing w:line="400" w:lineRule="exact"/>
              <w:jc w:val="center"/>
              <w:rPr>
                <w:rFonts w:ascii="宋体" w:hAnsi="宋体" w:cs="宋体"/>
                <w:b/>
                <w:sz w:val="24"/>
                <w:szCs w:val="24"/>
              </w:rPr>
            </w:pPr>
            <w:r>
              <w:rPr>
                <w:rFonts w:hint="eastAsia" w:ascii="宋体" w:hAnsi="宋体" w:cs="宋体"/>
                <w:b/>
                <w:sz w:val="24"/>
                <w:szCs w:val="24"/>
              </w:rPr>
              <w:t>采购技术需求及要求</w:t>
            </w:r>
          </w:p>
        </w:tc>
        <w:tc>
          <w:tcPr>
            <w:tcW w:w="871" w:type="pct"/>
            <w:vAlign w:val="center"/>
          </w:tcPr>
          <w:p>
            <w:pPr>
              <w:spacing w:line="400" w:lineRule="exact"/>
              <w:jc w:val="center"/>
              <w:rPr>
                <w:rFonts w:ascii="宋体" w:hAnsi="宋体" w:cs="宋体"/>
                <w:b/>
                <w:sz w:val="24"/>
                <w:szCs w:val="24"/>
              </w:rPr>
            </w:pPr>
            <w:r>
              <w:rPr>
                <w:rFonts w:hint="eastAsia" w:ascii="宋体" w:hAnsi="宋体" w:cs="宋体"/>
                <w:b/>
                <w:sz w:val="24"/>
                <w:szCs w:val="24"/>
              </w:rPr>
              <w:t>投标技术</w:t>
            </w:r>
          </w:p>
          <w:p>
            <w:pPr>
              <w:spacing w:line="400" w:lineRule="exact"/>
              <w:jc w:val="center"/>
              <w:rPr>
                <w:rFonts w:ascii="宋体" w:hAnsi="宋体" w:cs="宋体"/>
                <w:b/>
                <w:sz w:val="24"/>
                <w:szCs w:val="24"/>
              </w:rPr>
            </w:pPr>
            <w:r>
              <w:rPr>
                <w:rFonts w:hint="eastAsia" w:ascii="宋体" w:hAnsi="宋体" w:cs="宋体"/>
                <w:b/>
                <w:sz w:val="24"/>
                <w:szCs w:val="24"/>
              </w:rPr>
              <w:t>需求及要求</w:t>
            </w:r>
          </w:p>
        </w:tc>
        <w:tc>
          <w:tcPr>
            <w:tcW w:w="746" w:type="pct"/>
            <w:vAlign w:val="center"/>
          </w:tcPr>
          <w:p>
            <w:pPr>
              <w:spacing w:line="400" w:lineRule="exact"/>
              <w:jc w:val="center"/>
              <w:rPr>
                <w:rFonts w:ascii="宋体" w:hAnsi="宋体" w:cs="宋体"/>
                <w:b/>
                <w:sz w:val="24"/>
                <w:szCs w:val="24"/>
              </w:rPr>
            </w:pPr>
            <w:r>
              <w:rPr>
                <w:rFonts w:hint="eastAsia" w:ascii="宋体" w:hAnsi="宋体" w:cs="宋体"/>
                <w:b/>
                <w:sz w:val="24"/>
                <w:szCs w:val="24"/>
              </w:rPr>
              <w:t>偏离情况</w:t>
            </w:r>
          </w:p>
        </w:tc>
        <w:tc>
          <w:tcPr>
            <w:tcW w:w="494" w:type="pct"/>
            <w:vAlign w:val="center"/>
          </w:tcPr>
          <w:p>
            <w:pPr>
              <w:spacing w:line="400" w:lineRule="exact"/>
              <w:jc w:val="center"/>
              <w:rPr>
                <w:rFonts w:ascii="宋体" w:hAnsi="宋体" w:cs="宋体"/>
                <w:b/>
                <w:sz w:val="24"/>
                <w:szCs w:val="24"/>
              </w:rPr>
            </w:pPr>
            <w:r>
              <w:rPr>
                <w:rFonts w:hint="eastAsia" w:ascii="宋体" w:hAnsi="宋体" w:cs="宋体"/>
                <w:b/>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65" w:type="pct"/>
            <w:vAlign w:val="center"/>
          </w:tcPr>
          <w:p>
            <w:pPr>
              <w:spacing w:line="480" w:lineRule="exact"/>
              <w:jc w:val="center"/>
              <w:rPr>
                <w:rFonts w:ascii="宋体" w:hAnsi="宋体" w:cs="宋体"/>
                <w:sz w:val="24"/>
                <w:szCs w:val="24"/>
              </w:rPr>
            </w:pPr>
          </w:p>
        </w:tc>
        <w:tc>
          <w:tcPr>
            <w:tcW w:w="925" w:type="pct"/>
          </w:tcPr>
          <w:p>
            <w:pPr>
              <w:spacing w:line="480" w:lineRule="exact"/>
              <w:rPr>
                <w:rFonts w:ascii="宋体" w:hAnsi="宋体" w:cs="宋体"/>
                <w:sz w:val="24"/>
                <w:szCs w:val="24"/>
              </w:rPr>
            </w:pPr>
          </w:p>
        </w:tc>
        <w:tc>
          <w:tcPr>
            <w:tcW w:w="1496" w:type="pct"/>
          </w:tcPr>
          <w:p>
            <w:pPr>
              <w:spacing w:line="480" w:lineRule="exact"/>
              <w:rPr>
                <w:rFonts w:ascii="宋体" w:hAnsi="宋体" w:cs="宋体"/>
                <w:sz w:val="24"/>
                <w:szCs w:val="24"/>
              </w:rPr>
            </w:pPr>
          </w:p>
        </w:tc>
        <w:tc>
          <w:tcPr>
            <w:tcW w:w="871" w:type="pct"/>
          </w:tcPr>
          <w:p>
            <w:pPr>
              <w:spacing w:line="480" w:lineRule="exact"/>
              <w:rPr>
                <w:rFonts w:ascii="宋体" w:hAnsi="宋体" w:cs="宋体"/>
                <w:sz w:val="24"/>
                <w:szCs w:val="24"/>
              </w:rPr>
            </w:pPr>
          </w:p>
        </w:tc>
        <w:tc>
          <w:tcPr>
            <w:tcW w:w="746" w:type="pct"/>
          </w:tcPr>
          <w:p>
            <w:pPr>
              <w:spacing w:line="480" w:lineRule="exact"/>
              <w:rPr>
                <w:rFonts w:ascii="宋体" w:hAnsi="宋体" w:cs="宋体"/>
                <w:sz w:val="24"/>
                <w:szCs w:val="24"/>
              </w:rPr>
            </w:pPr>
          </w:p>
        </w:tc>
        <w:tc>
          <w:tcPr>
            <w:tcW w:w="494" w:type="pct"/>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465" w:type="pct"/>
            <w:vAlign w:val="center"/>
          </w:tcPr>
          <w:p>
            <w:pPr>
              <w:spacing w:line="480" w:lineRule="exact"/>
              <w:jc w:val="center"/>
              <w:rPr>
                <w:rFonts w:ascii="宋体" w:hAnsi="宋体" w:cs="宋体"/>
                <w:sz w:val="24"/>
                <w:szCs w:val="24"/>
              </w:rPr>
            </w:pPr>
          </w:p>
        </w:tc>
        <w:tc>
          <w:tcPr>
            <w:tcW w:w="925" w:type="pct"/>
          </w:tcPr>
          <w:p>
            <w:pPr>
              <w:spacing w:line="480" w:lineRule="exact"/>
              <w:rPr>
                <w:rFonts w:ascii="宋体" w:hAnsi="宋体" w:cs="宋体"/>
                <w:sz w:val="24"/>
                <w:szCs w:val="24"/>
              </w:rPr>
            </w:pPr>
          </w:p>
        </w:tc>
        <w:tc>
          <w:tcPr>
            <w:tcW w:w="1496" w:type="pct"/>
          </w:tcPr>
          <w:p>
            <w:pPr>
              <w:spacing w:line="480" w:lineRule="exact"/>
              <w:rPr>
                <w:rFonts w:ascii="宋体" w:hAnsi="宋体" w:cs="宋体"/>
                <w:sz w:val="24"/>
                <w:szCs w:val="24"/>
              </w:rPr>
            </w:pPr>
          </w:p>
        </w:tc>
        <w:tc>
          <w:tcPr>
            <w:tcW w:w="871" w:type="pct"/>
          </w:tcPr>
          <w:p>
            <w:pPr>
              <w:spacing w:line="480" w:lineRule="exact"/>
              <w:rPr>
                <w:rFonts w:ascii="宋体" w:hAnsi="宋体" w:cs="宋体"/>
                <w:sz w:val="24"/>
                <w:szCs w:val="24"/>
              </w:rPr>
            </w:pPr>
          </w:p>
        </w:tc>
        <w:tc>
          <w:tcPr>
            <w:tcW w:w="746" w:type="pct"/>
          </w:tcPr>
          <w:p>
            <w:pPr>
              <w:spacing w:line="480" w:lineRule="exact"/>
              <w:rPr>
                <w:rFonts w:ascii="宋体" w:hAnsi="宋体" w:cs="宋体"/>
                <w:sz w:val="24"/>
                <w:szCs w:val="24"/>
              </w:rPr>
            </w:pPr>
          </w:p>
        </w:tc>
        <w:tc>
          <w:tcPr>
            <w:tcW w:w="494" w:type="pct"/>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65" w:type="pct"/>
            <w:vAlign w:val="center"/>
          </w:tcPr>
          <w:p>
            <w:pPr>
              <w:spacing w:line="480" w:lineRule="exact"/>
              <w:jc w:val="center"/>
              <w:rPr>
                <w:rFonts w:ascii="宋体" w:hAnsi="宋体" w:cs="宋体"/>
                <w:sz w:val="24"/>
                <w:szCs w:val="24"/>
              </w:rPr>
            </w:pPr>
          </w:p>
        </w:tc>
        <w:tc>
          <w:tcPr>
            <w:tcW w:w="925" w:type="pct"/>
          </w:tcPr>
          <w:p>
            <w:pPr>
              <w:spacing w:line="480" w:lineRule="exact"/>
              <w:rPr>
                <w:rFonts w:ascii="宋体" w:hAnsi="宋体" w:cs="宋体"/>
                <w:sz w:val="24"/>
                <w:szCs w:val="24"/>
              </w:rPr>
            </w:pPr>
          </w:p>
        </w:tc>
        <w:tc>
          <w:tcPr>
            <w:tcW w:w="1496" w:type="pct"/>
          </w:tcPr>
          <w:p>
            <w:pPr>
              <w:spacing w:line="480" w:lineRule="exact"/>
              <w:rPr>
                <w:rFonts w:ascii="宋体" w:hAnsi="宋体" w:cs="宋体"/>
                <w:sz w:val="24"/>
                <w:szCs w:val="24"/>
              </w:rPr>
            </w:pPr>
          </w:p>
        </w:tc>
        <w:tc>
          <w:tcPr>
            <w:tcW w:w="871" w:type="pct"/>
          </w:tcPr>
          <w:p>
            <w:pPr>
              <w:spacing w:line="480" w:lineRule="exact"/>
              <w:rPr>
                <w:rFonts w:ascii="宋体" w:hAnsi="宋体" w:cs="宋体"/>
                <w:sz w:val="24"/>
                <w:szCs w:val="24"/>
              </w:rPr>
            </w:pPr>
          </w:p>
        </w:tc>
        <w:tc>
          <w:tcPr>
            <w:tcW w:w="746" w:type="pct"/>
          </w:tcPr>
          <w:p>
            <w:pPr>
              <w:spacing w:line="480" w:lineRule="exact"/>
              <w:rPr>
                <w:rFonts w:ascii="宋体" w:hAnsi="宋体" w:cs="宋体"/>
                <w:sz w:val="24"/>
                <w:szCs w:val="24"/>
              </w:rPr>
            </w:pPr>
          </w:p>
        </w:tc>
        <w:tc>
          <w:tcPr>
            <w:tcW w:w="494" w:type="pct"/>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65" w:type="pct"/>
            <w:vAlign w:val="center"/>
          </w:tcPr>
          <w:p>
            <w:pPr>
              <w:spacing w:line="480" w:lineRule="exact"/>
              <w:jc w:val="center"/>
              <w:rPr>
                <w:rFonts w:ascii="宋体" w:hAnsi="宋体" w:cs="宋体"/>
                <w:sz w:val="24"/>
                <w:szCs w:val="24"/>
              </w:rPr>
            </w:pPr>
          </w:p>
        </w:tc>
        <w:tc>
          <w:tcPr>
            <w:tcW w:w="925" w:type="pct"/>
          </w:tcPr>
          <w:p>
            <w:pPr>
              <w:spacing w:line="480" w:lineRule="exact"/>
              <w:rPr>
                <w:rFonts w:ascii="宋体" w:hAnsi="宋体" w:cs="宋体"/>
                <w:sz w:val="24"/>
                <w:szCs w:val="24"/>
              </w:rPr>
            </w:pPr>
          </w:p>
        </w:tc>
        <w:tc>
          <w:tcPr>
            <w:tcW w:w="1496" w:type="pct"/>
          </w:tcPr>
          <w:p>
            <w:pPr>
              <w:spacing w:line="480" w:lineRule="exact"/>
              <w:rPr>
                <w:rFonts w:ascii="宋体" w:hAnsi="宋体" w:cs="宋体"/>
                <w:sz w:val="24"/>
                <w:szCs w:val="24"/>
              </w:rPr>
            </w:pPr>
          </w:p>
        </w:tc>
        <w:tc>
          <w:tcPr>
            <w:tcW w:w="871" w:type="pct"/>
          </w:tcPr>
          <w:p>
            <w:pPr>
              <w:spacing w:line="480" w:lineRule="exact"/>
              <w:rPr>
                <w:rFonts w:ascii="宋体" w:hAnsi="宋体" w:cs="宋体"/>
                <w:sz w:val="24"/>
                <w:szCs w:val="24"/>
              </w:rPr>
            </w:pPr>
          </w:p>
        </w:tc>
        <w:tc>
          <w:tcPr>
            <w:tcW w:w="746" w:type="pct"/>
          </w:tcPr>
          <w:p>
            <w:pPr>
              <w:spacing w:line="480" w:lineRule="exact"/>
              <w:rPr>
                <w:rFonts w:ascii="宋体" w:hAnsi="宋体" w:cs="宋体"/>
                <w:sz w:val="24"/>
                <w:szCs w:val="24"/>
              </w:rPr>
            </w:pPr>
          </w:p>
        </w:tc>
        <w:tc>
          <w:tcPr>
            <w:tcW w:w="494" w:type="pct"/>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65" w:type="pct"/>
            <w:vAlign w:val="center"/>
          </w:tcPr>
          <w:p>
            <w:pPr>
              <w:spacing w:line="480" w:lineRule="exact"/>
              <w:jc w:val="center"/>
              <w:rPr>
                <w:rFonts w:ascii="宋体" w:hAnsi="宋体" w:cs="宋体"/>
                <w:sz w:val="24"/>
                <w:szCs w:val="24"/>
              </w:rPr>
            </w:pPr>
          </w:p>
        </w:tc>
        <w:tc>
          <w:tcPr>
            <w:tcW w:w="925" w:type="pct"/>
          </w:tcPr>
          <w:p>
            <w:pPr>
              <w:spacing w:line="480" w:lineRule="exact"/>
              <w:rPr>
                <w:rFonts w:ascii="宋体" w:hAnsi="宋体" w:cs="宋体"/>
                <w:sz w:val="24"/>
                <w:szCs w:val="24"/>
              </w:rPr>
            </w:pPr>
          </w:p>
        </w:tc>
        <w:tc>
          <w:tcPr>
            <w:tcW w:w="1496" w:type="pct"/>
          </w:tcPr>
          <w:p>
            <w:pPr>
              <w:spacing w:line="480" w:lineRule="exact"/>
              <w:rPr>
                <w:rFonts w:ascii="宋体" w:hAnsi="宋体" w:cs="宋体"/>
                <w:sz w:val="24"/>
                <w:szCs w:val="24"/>
              </w:rPr>
            </w:pPr>
          </w:p>
        </w:tc>
        <w:tc>
          <w:tcPr>
            <w:tcW w:w="871" w:type="pct"/>
          </w:tcPr>
          <w:p>
            <w:pPr>
              <w:spacing w:line="480" w:lineRule="exact"/>
              <w:rPr>
                <w:rFonts w:ascii="宋体" w:hAnsi="宋体" w:cs="宋体"/>
                <w:sz w:val="24"/>
                <w:szCs w:val="24"/>
              </w:rPr>
            </w:pPr>
          </w:p>
        </w:tc>
        <w:tc>
          <w:tcPr>
            <w:tcW w:w="746" w:type="pct"/>
          </w:tcPr>
          <w:p>
            <w:pPr>
              <w:spacing w:line="480" w:lineRule="exact"/>
              <w:rPr>
                <w:rFonts w:ascii="宋体" w:hAnsi="宋体" w:cs="宋体"/>
                <w:sz w:val="24"/>
                <w:szCs w:val="24"/>
              </w:rPr>
            </w:pPr>
          </w:p>
        </w:tc>
        <w:tc>
          <w:tcPr>
            <w:tcW w:w="494" w:type="pct"/>
          </w:tcPr>
          <w:p>
            <w:pPr>
              <w:spacing w:line="480" w:lineRule="exact"/>
              <w:rPr>
                <w:rFonts w:ascii="宋体" w:hAnsi="宋体" w:cs="宋体"/>
                <w:sz w:val="24"/>
                <w:szCs w:val="24"/>
              </w:rPr>
            </w:pPr>
          </w:p>
        </w:tc>
      </w:tr>
    </w:tbl>
    <w:p>
      <w:pPr>
        <w:autoSpaceDE w:val="0"/>
        <w:spacing w:line="360" w:lineRule="auto"/>
        <w:rPr>
          <w:rFonts w:ascii="宋体" w:hAnsi="宋体" w:cs="宋体"/>
          <w:sz w:val="24"/>
          <w:szCs w:val="24"/>
        </w:rPr>
      </w:pPr>
      <w:r>
        <w:rPr>
          <w:rFonts w:hint="eastAsia" w:ascii="宋体" w:hAnsi="宋体" w:cs="宋体"/>
          <w:sz w:val="24"/>
          <w:szCs w:val="24"/>
        </w:rPr>
        <w:t>注：各供应商必须对采购文件“第五章 采购内容及要求中</w:t>
      </w:r>
      <w:r>
        <w:rPr>
          <w:rFonts w:ascii="宋体" w:hAnsi="宋体" w:cs="宋体"/>
          <w:sz w:val="24"/>
          <w:szCs w:val="24"/>
        </w:rPr>
        <w:t>”</w:t>
      </w:r>
      <w:r>
        <w:rPr>
          <w:rFonts w:hint="eastAsia" w:ascii="宋体" w:hAnsi="宋体" w:cs="宋体"/>
          <w:sz w:val="24"/>
          <w:szCs w:val="24"/>
        </w:rPr>
        <w:t>的“</w:t>
      </w:r>
      <w:r>
        <w:rPr>
          <w:rFonts w:hint="eastAsia" w:ascii="宋体" w:hAnsi="宋体" w:cs="宋体"/>
          <w:b/>
          <w:color w:val="000000"/>
          <w:sz w:val="24"/>
        </w:rPr>
        <w:t>★</w:t>
      </w:r>
      <w:r>
        <w:rPr>
          <w:rFonts w:hint="eastAsia" w:ascii="宋体" w:hAnsi="宋体" w:cs="宋体"/>
          <w:sz w:val="24"/>
          <w:szCs w:val="24"/>
        </w:rPr>
        <w:t xml:space="preserve">”要求作出全面、真实的反映。 </w:t>
      </w:r>
    </w:p>
    <w:p>
      <w:pPr>
        <w:ind w:firstLine="1687" w:firstLineChars="700"/>
        <w:jc w:val="right"/>
        <w:rPr>
          <w:rFonts w:ascii="宋体" w:hAnsi="宋体" w:cs="宋体"/>
          <w:b/>
          <w:sz w:val="24"/>
          <w:szCs w:val="24"/>
        </w:rPr>
      </w:pPr>
    </w:p>
    <w:p>
      <w:pPr>
        <w:ind w:firstLine="1687" w:firstLineChars="700"/>
        <w:jc w:val="right"/>
        <w:rPr>
          <w:rFonts w:ascii="宋体" w:hAnsi="宋体" w:cs="宋体"/>
          <w:b/>
          <w:sz w:val="24"/>
          <w:szCs w:val="24"/>
        </w:rPr>
      </w:pPr>
    </w:p>
    <w:p>
      <w:pPr>
        <w:ind w:firstLine="1687" w:firstLineChars="700"/>
        <w:jc w:val="right"/>
        <w:rPr>
          <w:rFonts w:ascii="宋体" w:hAnsi="宋体" w:cs="宋体"/>
          <w:b/>
          <w:sz w:val="24"/>
          <w:szCs w:val="24"/>
        </w:rPr>
      </w:pPr>
    </w:p>
    <w:p>
      <w:pPr>
        <w:ind w:firstLine="1687" w:firstLineChars="700"/>
        <w:jc w:val="right"/>
        <w:rPr>
          <w:rFonts w:ascii="宋体" w:hAnsi="宋体" w:cs="宋体"/>
          <w:b/>
          <w:sz w:val="24"/>
          <w:szCs w:val="24"/>
        </w:rPr>
      </w:pP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4"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spacing w:before="166" w:beforeLines="50" w:line="360" w:lineRule="auto"/>
        <w:jc w:val="center"/>
        <w:rPr>
          <w:rFonts w:ascii="宋体" w:hAnsi="宋体" w:cs="宋体"/>
          <w:b/>
          <w:bCs/>
          <w:sz w:val="24"/>
          <w:szCs w:val="24"/>
        </w:rPr>
      </w:pPr>
      <w:r>
        <w:rPr>
          <w:rFonts w:hint="eastAsia" w:ascii="宋体" w:hAnsi="宋体" w:cs="宋体"/>
          <w:b/>
          <w:bCs/>
          <w:sz w:val="24"/>
          <w:szCs w:val="24"/>
        </w:rPr>
        <w:t>(三)技术规格偏离表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vAlign w:val="center"/>
          </w:tcPr>
          <w:p>
            <w:pPr>
              <w:spacing w:line="400" w:lineRule="exact"/>
              <w:jc w:val="center"/>
              <w:rPr>
                <w:rFonts w:ascii="宋体" w:hAnsi="宋体" w:cs="宋体"/>
                <w:b/>
                <w:sz w:val="24"/>
                <w:szCs w:val="24"/>
              </w:rPr>
            </w:pPr>
            <w:r>
              <w:rPr>
                <w:rFonts w:hint="eastAsia" w:ascii="宋体" w:hAnsi="宋体" w:cs="宋体"/>
                <w:b/>
                <w:sz w:val="24"/>
                <w:szCs w:val="24"/>
              </w:rPr>
              <w:t>序号</w:t>
            </w:r>
          </w:p>
        </w:tc>
        <w:tc>
          <w:tcPr>
            <w:tcW w:w="1912" w:type="dxa"/>
            <w:vAlign w:val="center"/>
          </w:tcPr>
          <w:p>
            <w:pPr>
              <w:spacing w:line="400" w:lineRule="exact"/>
              <w:jc w:val="center"/>
              <w:rPr>
                <w:rFonts w:ascii="宋体" w:hAnsi="宋体" w:cs="宋体"/>
                <w:b/>
                <w:sz w:val="24"/>
                <w:szCs w:val="24"/>
              </w:rPr>
            </w:pPr>
            <w:r>
              <w:rPr>
                <w:rFonts w:hint="eastAsia" w:ascii="宋体" w:hAnsi="宋体" w:cs="宋体"/>
                <w:b/>
                <w:sz w:val="24"/>
                <w:szCs w:val="24"/>
              </w:rPr>
              <w:t>货物名称</w:t>
            </w:r>
          </w:p>
        </w:tc>
        <w:tc>
          <w:tcPr>
            <w:tcW w:w="1839" w:type="dxa"/>
            <w:vAlign w:val="center"/>
          </w:tcPr>
          <w:p>
            <w:pPr>
              <w:spacing w:line="400" w:lineRule="exact"/>
              <w:jc w:val="center"/>
              <w:rPr>
                <w:rFonts w:ascii="宋体" w:hAnsi="宋体" w:cs="宋体"/>
                <w:b/>
                <w:sz w:val="24"/>
                <w:szCs w:val="24"/>
              </w:rPr>
            </w:pPr>
            <w:r>
              <w:rPr>
                <w:rFonts w:hint="eastAsia" w:ascii="宋体" w:hAnsi="宋体" w:cs="宋体"/>
                <w:b/>
                <w:sz w:val="24"/>
                <w:szCs w:val="24"/>
              </w:rPr>
              <w:t>采购文件</w:t>
            </w:r>
          </w:p>
          <w:p>
            <w:pPr>
              <w:spacing w:line="400" w:lineRule="exact"/>
              <w:jc w:val="center"/>
              <w:rPr>
                <w:rFonts w:ascii="宋体" w:hAnsi="宋体" w:cs="宋体"/>
                <w:b/>
                <w:sz w:val="24"/>
                <w:szCs w:val="24"/>
              </w:rPr>
            </w:pPr>
            <w:r>
              <w:rPr>
                <w:rFonts w:hint="eastAsia" w:ascii="宋体" w:hAnsi="宋体" w:cs="宋体"/>
                <w:b/>
                <w:sz w:val="24"/>
                <w:szCs w:val="24"/>
              </w:rPr>
              <w:t>条款号</w:t>
            </w:r>
          </w:p>
        </w:tc>
        <w:tc>
          <w:tcPr>
            <w:tcW w:w="1593" w:type="dxa"/>
            <w:vAlign w:val="center"/>
          </w:tcPr>
          <w:p>
            <w:pPr>
              <w:spacing w:line="400" w:lineRule="exact"/>
              <w:jc w:val="center"/>
              <w:rPr>
                <w:rFonts w:ascii="宋体" w:hAnsi="宋体" w:cs="宋体"/>
                <w:b/>
                <w:sz w:val="24"/>
                <w:szCs w:val="24"/>
              </w:rPr>
            </w:pPr>
            <w:r>
              <w:rPr>
                <w:rFonts w:hint="eastAsia" w:ascii="宋体" w:hAnsi="宋体" w:cs="宋体"/>
                <w:b/>
                <w:sz w:val="24"/>
                <w:szCs w:val="24"/>
              </w:rPr>
              <w:t>采购技术规格及要求</w:t>
            </w:r>
          </w:p>
        </w:tc>
        <w:tc>
          <w:tcPr>
            <w:tcW w:w="1500" w:type="dxa"/>
            <w:vAlign w:val="center"/>
          </w:tcPr>
          <w:p>
            <w:pPr>
              <w:spacing w:line="400" w:lineRule="exact"/>
              <w:jc w:val="center"/>
              <w:rPr>
                <w:rFonts w:ascii="宋体" w:hAnsi="宋体" w:cs="宋体"/>
                <w:b/>
                <w:sz w:val="24"/>
                <w:szCs w:val="24"/>
              </w:rPr>
            </w:pPr>
            <w:r>
              <w:rPr>
                <w:rFonts w:hint="eastAsia" w:ascii="宋体" w:hAnsi="宋体" w:cs="宋体"/>
                <w:b/>
                <w:sz w:val="24"/>
                <w:szCs w:val="24"/>
              </w:rPr>
              <w:t>投标技术</w:t>
            </w:r>
          </w:p>
          <w:p>
            <w:pPr>
              <w:spacing w:line="400" w:lineRule="exact"/>
              <w:jc w:val="center"/>
              <w:rPr>
                <w:rFonts w:ascii="宋体" w:hAnsi="宋体" w:cs="宋体"/>
                <w:b/>
                <w:sz w:val="24"/>
                <w:szCs w:val="24"/>
              </w:rPr>
            </w:pPr>
            <w:r>
              <w:rPr>
                <w:rFonts w:hint="eastAsia" w:ascii="宋体" w:hAnsi="宋体" w:cs="宋体"/>
                <w:b/>
                <w:sz w:val="24"/>
                <w:szCs w:val="24"/>
              </w:rPr>
              <w:t>规格及要求</w:t>
            </w:r>
          </w:p>
        </w:tc>
        <w:tc>
          <w:tcPr>
            <w:tcW w:w="750" w:type="dxa"/>
            <w:vAlign w:val="center"/>
          </w:tcPr>
          <w:p>
            <w:pPr>
              <w:spacing w:line="400" w:lineRule="exact"/>
              <w:jc w:val="center"/>
              <w:rPr>
                <w:rFonts w:ascii="宋体" w:hAnsi="宋体" w:cs="宋体"/>
                <w:b/>
                <w:sz w:val="24"/>
                <w:szCs w:val="24"/>
              </w:rPr>
            </w:pPr>
            <w:r>
              <w:rPr>
                <w:rFonts w:hint="eastAsia" w:ascii="宋体" w:hAnsi="宋体" w:cs="宋体"/>
                <w:b/>
                <w:sz w:val="24"/>
                <w:szCs w:val="24"/>
              </w:rPr>
              <w:t>偏离情况</w:t>
            </w:r>
          </w:p>
        </w:tc>
        <w:tc>
          <w:tcPr>
            <w:tcW w:w="975" w:type="dxa"/>
            <w:vAlign w:val="center"/>
          </w:tcPr>
          <w:p>
            <w:pPr>
              <w:spacing w:line="400" w:lineRule="exact"/>
              <w:jc w:val="center"/>
              <w:rPr>
                <w:rFonts w:ascii="宋体" w:hAnsi="宋体" w:cs="宋体"/>
                <w:b/>
                <w:sz w:val="24"/>
                <w:szCs w:val="24"/>
              </w:rPr>
            </w:pPr>
            <w:r>
              <w:rPr>
                <w:rFonts w:hint="eastAsia" w:ascii="宋体" w:hAnsi="宋体" w:cs="宋体"/>
                <w:b/>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vAlign w:val="center"/>
          </w:tcPr>
          <w:p>
            <w:pPr>
              <w:spacing w:line="480" w:lineRule="exact"/>
              <w:jc w:val="center"/>
              <w:rPr>
                <w:rFonts w:ascii="宋体" w:hAnsi="宋体" w:cs="宋体"/>
                <w:sz w:val="24"/>
                <w:szCs w:val="24"/>
              </w:rPr>
            </w:pPr>
          </w:p>
        </w:tc>
        <w:tc>
          <w:tcPr>
            <w:tcW w:w="1912" w:type="dxa"/>
          </w:tcPr>
          <w:p>
            <w:pPr>
              <w:spacing w:line="480" w:lineRule="exact"/>
              <w:rPr>
                <w:rFonts w:ascii="宋体" w:hAnsi="宋体" w:cs="宋体"/>
                <w:sz w:val="24"/>
                <w:szCs w:val="24"/>
              </w:rPr>
            </w:pPr>
          </w:p>
        </w:tc>
        <w:tc>
          <w:tcPr>
            <w:tcW w:w="1839" w:type="dxa"/>
          </w:tcPr>
          <w:p>
            <w:pPr>
              <w:spacing w:line="480" w:lineRule="exact"/>
              <w:rPr>
                <w:rFonts w:ascii="宋体" w:hAnsi="宋体" w:cs="宋体"/>
                <w:sz w:val="24"/>
                <w:szCs w:val="24"/>
              </w:rPr>
            </w:pPr>
          </w:p>
        </w:tc>
        <w:tc>
          <w:tcPr>
            <w:tcW w:w="1593" w:type="dxa"/>
          </w:tcPr>
          <w:p>
            <w:pPr>
              <w:spacing w:line="480" w:lineRule="exact"/>
              <w:rPr>
                <w:rFonts w:ascii="宋体" w:hAnsi="宋体" w:cs="宋体"/>
                <w:sz w:val="24"/>
                <w:szCs w:val="24"/>
              </w:rPr>
            </w:pPr>
          </w:p>
        </w:tc>
        <w:tc>
          <w:tcPr>
            <w:tcW w:w="1500" w:type="dxa"/>
          </w:tcPr>
          <w:p>
            <w:pPr>
              <w:spacing w:line="480" w:lineRule="exact"/>
              <w:rPr>
                <w:rFonts w:ascii="宋体" w:hAnsi="宋体" w:cs="宋体"/>
                <w:sz w:val="24"/>
                <w:szCs w:val="24"/>
              </w:rPr>
            </w:pPr>
          </w:p>
        </w:tc>
        <w:tc>
          <w:tcPr>
            <w:tcW w:w="750" w:type="dxa"/>
          </w:tcPr>
          <w:p>
            <w:pPr>
              <w:spacing w:line="480" w:lineRule="exact"/>
              <w:rPr>
                <w:rFonts w:ascii="宋体" w:hAnsi="宋体" w:cs="宋体"/>
                <w:sz w:val="24"/>
                <w:szCs w:val="24"/>
              </w:rPr>
            </w:pPr>
          </w:p>
        </w:tc>
        <w:tc>
          <w:tcPr>
            <w:tcW w:w="975" w:type="dxa"/>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vAlign w:val="center"/>
          </w:tcPr>
          <w:p>
            <w:pPr>
              <w:spacing w:line="480" w:lineRule="exact"/>
              <w:jc w:val="center"/>
              <w:rPr>
                <w:rFonts w:ascii="宋体" w:hAnsi="宋体" w:cs="宋体"/>
                <w:sz w:val="24"/>
                <w:szCs w:val="24"/>
              </w:rPr>
            </w:pPr>
          </w:p>
        </w:tc>
        <w:tc>
          <w:tcPr>
            <w:tcW w:w="1912" w:type="dxa"/>
          </w:tcPr>
          <w:p>
            <w:pPr>
              <w:spacing w:line="480" w:lineRule="exact"/>
              <w:rPr>
                <w:rFonts w:ascii="宋体" w:hAnsi="宋体" w:cs="宋体"/>
                <w:sz w:val="24"/>
                <w:szCs w:val="24"/>
              </w:rPr>
            </w:pPr>
          </w:p>
        </w:tc>
        <w:tc>
          <w:tcPr>
            <w:tcW w:w="1839" w:type="dxa"/>
          </w:tcPr>
          <w:p>
            <w:pPr>
              <w:spacing w:line="480" w:lineRule="exact"/>
              <w:rPr>
                <w:rFonts w:ascii="宋体" w:hAnsi="宋体" w:cs="宋体"/>
                <w:sz w:val="24"/>
                <w:szCs w:val="24"/>
              </w:rPr>
            </w:pPr>
          </w:p>
        </w:tc>
        <w:tc>
          <w:tcPr>
            <w:tcW w:w="1593" w:type="dxa"/>
          </w:tcPr>
          <w:p>
            <w:pPr>
              <w:spacing w:line="480" w:lineRule="exact"/>
              <w:rPr>
                <w:rFonts w:ascii="宋体" w:hAnsi="宋体" w:cs="宋体"/>
                <w:sz w:val="24"/>
                <w:szCs w:val="24"/>
              </w:rPr>
            </w:pPr>
          </w:p>
        </w:tc>
        <w:tc>
          <w:tcPr>
            <w:tcW w:w="1500" w:type="dxa"/>
          </w:tcPr>
          <w:p>
            <w:pPr>
              <w:spacing w:line="480" w:lineRule="exact"/>
              <w:rPr>
                <w:rFonts w:ascii="宋体" w:hAnsi="宋体" w:cs="宋体"/>
                <w:sz w:val="24"/>
                <w:szCs w:val="24"/>
              </w:rPr>
            </w:pPr>
          </w:p>
        </w:tc>
        <w:tc>
          <w:tcPr>
            <w:tcW w:w="750" w:type="dxa"/>
          </w:tcPr>
          <w:p>
            <w:pPr>
              <w:spacing w:line="480" w:lineRule="exact"/>
              <w:rPr>
                <w:rFonts w:ascii="宋体" w:hAnsi="宋体" w:cs="宋体"/>
                <w:sz w:val="24"/>
                <w:szCs w:val="24"/>
              </w:rPr>
            </w:pPr>
          </w:p>
        </w:tc>
        <w:tc>
          <w:tcPr>
            <w:tcW w:w="975" w:type="dxa"/>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vAlign w:val="center"/>
          </w:tcPr>
          <w:p>
            <w:pPr>
              <w:spacing w:line="480" w:lineRule="exact"/>
              <w:jc w:val="center"/>
              <w:rPr>
                <w:rFonts w:ascii="宋体" w:hAnsi="宋体" w:cs="宋体"/>
                <w:sz w:val="24"/>
                <w:szCs w:val="24"/>
              </w:rPr>
            </w:pPr>
          </w:p>
        </w:tc>
        <w:tc>
          <w:tcPr>
            <w:tcW w:w="1912" w:type="dxa"/>
          </w:tcPr>
          <w:p>
            <w:pPr>
              <w:spacing w:line="480" w:lineRule="exact"/>
              <w:rPr>
                <w:rFonts w:ascii="宋体" w:hAnsi="宋体" w:cs="宋体"/>
                <w:sz w:val="24"/>
                <w:szCs w:val="24"/>
              </w:rPr>
            </w:pPr>
          </w:p>
        </w:tc>
        <w:tc>
          <w:tcPr>
            <w:tcW w:w="1839" w:type="dxa"/>
          </w:tcPr>
          <w:p>
            <w:pPr>
              <w:spacing w:line="480" w:lineRule="exact"/>
              <w:rPr>
                <w:rFonts w:ascii="宋体" w:hAnsi="宋体" w:cs="宋体"/>
                <w:sz w:val="24"/>
                <w:szCs w:val="24"/>
              </w:rPr>
            </w:pPr>
          </w:p>
        </w:tc>
        <w:tc>
          <w:tcPr>
            <w:tcW w:w="1593" w:type="dxa"/>
          </w:tcPr>
          <w:p>
            <w:pPr>
              <w:spacing w:line="480" w:lineRule="exact"/>
              <w:rPr>
                <w:rFonts w:ascii="宋体" w:hAnsi="宋体" w:cs="宋体"/>
                <w:sz w:val="24"/>
                <w:szCs w:val="24"/>
              </w:rPr>
            </w:pPr>
          </w:p>
        </w:tc>
        <w:tc>
          <w:tcPr>
            <w:tcW w:w="1500" w:type="dxa"/>
          </w:tcPr>
          <w:p>
            <w:pPr>
              <w:spacing w:line="480" w:lineRule="exact"/>
              <w:rPr>
                <w:rFonts w:ascii="宋体" w:hAnsi="宋体" w:cs="宋体"/>
                <w:sz w:val="24"/>
                <w:szCs w:val="24"/>
              </w:rPr>
            </w:pPr>
          </w:p>
        </w:tc>
        <w:tc>
          <w:tcPr>
            <w:tcW w:w="750" w:type="dxa"/>
          </w:tcPr>
          <w:p>
            <w:pPr>
              <w:spacing w:line="480" w:lineRule="exact"/>
              <w:rPr>
                <w:rFonts w:ascii="宋体" w:hAnsi="宋体" w:cs="宋体"/>
                <w:sz w:val="24"/>
                <w:szCs w:val="24"/>
              </w:rPr>
            </w:pPr>
          </w:p>
        </w:tc>
        <w:tc>
          <w:tcPr>
            <w:tcW w:w="975" w:type="dxa"/>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67" w:type="dxa"/>
            <w:vAlign w:val="center"/>
          </w:tcPr>
          <w:p>
            <w:pPr>
              <w:spacing w:line="480" w:lineRule="exact"/>
              <w:jc w:val="center"/>
              <w:rPr>
                <w:rFonts w:ascii="宋体" w:hAnsi="宋体" w:cs="宋体"/>
                <w:sz w:val="24"/>
                <w:szCs w:val="24"/>
              </w:rPr>
            </w:pPr>
          </w:p>
        </w:tc>
        <w:tc>
          <w:tcPr>
            <w:tcW w:w="1912" w:type="dxa"/>
          </w:tcPr>
          <w:p>
            <w:pPr>
              <w:spacing w:line="480" w:lineRule="exact"/>
              <w:rPr>
                <w:rFonts w:ascii="宋体" w:hAnsi="宋体" w:cs="宋体"/>
                <w:sz w:val="24"/>
                <w:szCs w:val="24"/>
              </w:rPr>
            </w:pPr>
          </w:p>
        </w:tc>
        <w:tc>
          <w:tcPr>
            <w:tcW w:w="1839" w:type="dxa"/>
          </w:tcPr>
          <w:p>
            <w:pPr>
              <w:spacing w:line="480" w:lineRule="exact"/>
              <w:rPr>
                <w:rFonts w:ascii="宋体" w:hAnsi="宋体" w:cs="宋体"/>
                <w:sz w:val="24"/>
                <w:szCs w:val="24"/>
              </w:rPr>
            </w:pPr>
          </w:p>
        </w:tc>
        <w:tc>
          <w:tcPr>
            <w:tcW w:w="1593" w:type="dxa"/>
          </w:tcPr>
          <w:p>
            <w:pPr>
              <w:spacing w:line="480" w:lineRule="exact"/>
              <w:rPr>
                <w:rFonts w:ascii="宋体" w:hAnsi="宋体" w:cs="宋体"/>
                <w:sz w:val="24"/>
                <w:szCs w:val="24"/>
              </w:rPr>
            </w:pPr>
          </w:p>
        </w:tc>
        <w:tc>
          <w:tcPr>
            <w:tcW w:w="1500" w:type="dxa"/>
          </w:tcPr>
          <w:p>
            <w:pPr>
              <w:spacing w:line="480" w:lineRule="exact"/>
              <w:rPr>
                <w:rFonts w:ascii="宋体" w:hAnsi="宋体" w:cs="宋体"/>
                <w:sz w:val="24"/>
                <w:szCs w:val="24"/>
              </w:rPr>
            </w:pPr>
          </w:p>
        </w:tc>
        <w:tc>
          <w:tcPr>
            <w:tcW w:w="750" w:type="dxa"/>
          </w:tcPr>
          <w:p>
            <w:pPr>
              <w:spacing w:line="480" w:lineRule="exact"/>
              <w:rPr>
                <w:rFonts w:ascii="宋体" w:hAnsi="宋体" w:cs="宋体"/>
                <w:sz w:val="24"/>
                <w:szCs w:val="24"/>
              </w:rPr>
            </w:pPr>
          </w:p>
        </w:tc>
        <w:tc>
          <w:tcPr>
            <w:tcW w:w="975" w:type="dxa"/>
          </w:tcPr>
          <w:p>
            <w:pPr>
              <w:spacing w:line="48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7" w:type="dxa"/>
            <w:vAlign w:val="center"/>
          </w:tcPr>
          <w:p>
            <w:pPr>
              <w:spacing w:line="480" w:lineRule="exact"/>
              <w:jc w:val="center"/>
              <w:rPr>
                <w:rFonts w:ascii="宋体" w:hAnsi="宋体" w:cs="宋体"/>
                <w:sz w:val="24"/>
                <w:szCs w:val="24"/>
              </w:rPr>
            </w:pPr>
          </w:p>
        </w:tc>
        <w:tc>
          <w:tcPr>
            <w:tcW w:w="1912" w:type="dxa"/>
          </w:tcPr>
          <w:p>
            <w:pPr>
              <w:spacing w:line="480" w:lineRule="exact"/>
              <w:rPr>
                <w:rFonts w:ascii="宋体" w:hAnsi="宋体" w:cs="宋体"/>
                <w:sz w:val="24"/>
                <w:szCs w:val="24"/>
              </w:rPr>
            </w:pPr>
          </w:p>
        </w:tc>
        <w:tc>
          <w:tcPr>
            <w:tcW w:w="1839" w:type="dxa"/>
          </w:tcPr>
          <w:p>
            <w:pPr>
              <w:spacing w:line="480" w:lineRule="exact"/>
              <w:rPr>
                <w:rFonts w:ascii="宋体" w:hAnsi="宋体" w:cs="宋体"/>
                <w:sz w:val="24"/>
                <w:szCs w:val="24"/>
              </w:rPr>
            </w:pPr>
          </w:p>
        </w:tc>
        <w:tc>
          <w:tcPr>
            <w:tcW w:w="1593" w:type="dxa"/>
          </w:tcPr>
          <w:p>
            <w:pPr>
              <w:spacing w:line="480" w:lineRule="exact"/>
              <w:rPr>
                <w:rFonts w:ascii="宋体" w:hAnsi="宋体" w:cs="宋体"/>
                <w:sz w:val="24"/>
                <w:szCs w:val="24"/>
              </w:rPr>
            </w:pPr>
          </w:p>
        </w:tc>
        <w:tc>
          <w:tcPr>
            <w:tcW w:w="1500" w:type="dxa"/>
          </w:tcPr>
          <w:p>
            <w:pPr>
              <w:spacing w:line="480" w:lineRule="exact"/>
              <w:rPr>
                <w:rFonts w:ascii="宋体" w:hAnsi="宋体" w:cs="宋体"/>
                <w:sz w:val="24"/>
                <w:szCs w:val="24"/>
              </w:rPr>
            </w:pPr>
          </w:p>
        </w:tc>
        <w:tc>
          <w:tcPr>
            <w:tcW w:w="750" w:type="dxa"/>
          </w:tcPr>
          <w:p>
            <w:pPr>
              <w:spacing w:line="480" w:lineRule="exact"/>
              <w:rPr>
                <w:rFonts w:ascii="宋体" w:hAnsi="宋体" w:cs="宋体"/>
                <w:sz w:val="24"/>
                <w:szCs w:val="24"/>
              </w:rPr>
            </w:pPr>
          </w:p>
        </w:tc>
        <w:tc>
          <w:tcPr>
            <w:tcW w:w="975" w:type="dxa"/>
          </w:tcPr>
          <w:p>
            <w:pPr>
              <w:spacing w:line="480" w:lineRule="exact"/>
              <w:rPr>
                <w:rFonts w:ascii="宋体" w:hAnsi="宋体" w:cs="宋体"/>
                <w:sz w:val="24"/>
                <w:szCs w:val="24"/>
              </w:rPr>
            </w:pPr>
          </w:p>
        </w:tc>
      </w:tr>
    </w:tbl>
    <w:p>
      <w:pPr>
        <w:autoSpaceDE w:val="0"/>
        <w:spacing w:line="360" w:lineRule="auto"/>
        <w:rPr>
          <w:rFonts w:ascii="宋体" w:hAnsi="宋体" w:cs="宋体"/>
          <w:sz w:val="24"/>
          <w:szCs w:val="24"/>
        </w:rPr>
      </w:pPr>
      <w:r>
        <w:rPr>
          <w:rFonts w:hint="eastAsia" w:ascii="宋体" w:hAnsi="宋体" w:cs="宋体"/>
          <w:sz w:val="24"/>
          <w:szCs w:val="24"/>
        </w:rPr>
        <w:t>注：各供应商必须对采购文件“第五章 采购内容及要求”中的</w:t>
      </w:r>
      <w:r>
        <w:rPr>
          <w:rFonts w:hint="eastAsia" w:ascii="宋体" w:hAnsi="宋体" w:cs="宋体"/>
          <w:b/>
          <w:bCs/>
          <w:sz w:val="24"/>
          <w:szCs w:val="24"/>
        </w:rPr>
        <w:t>需求清单</w:t>
      </w:r>
      <w:r>
        <w:rPr>
          <w:rFonts w:hint="eastAsia" w:ascii="宋体" w:hAnsi="宋体" w:cs="宋体"/>
          <w:sz w:val="24"/>
          <w:szCs w:val="24"/>
        </w:rPr>
        <w:t xml:space="preserve">要求作出全面、真实的反映，供应商除如实填写技术规格偏离表外，投标文件中必须提供制造厂商出具的满足产品需求的技术证明材料(包括但不限于产品彩页或白皮书)、说明书以及配置清单等资料（加盖厂家公章）、检测报告等以证明其产品的技术指标参数和具体配置情况的真实性，采购人也可根据设备制造厂商官方网站资料以证明供应商产品的技术指标参数和具体配置情况的真实性。若投标文件中最新技术支持资料参数与技术规格偏离表应答不符或无技术资料应答，而供应商又未在投标文件中作出说明和解释的，视为不响应该条技术参数要求。 </w:t>
      </w:r>
    </w:p>
    <w:p>
      <w:pPr>
        <w:autoSpaceDE w:val="0"/>
        <w:spacing w:line="360" w:lineRule="auto"/>
        <w:ind w:firstLine="960" w:firstLineChars="400"/>
        <w:rPr>
          <w:rFonts w:ascii="宋体" w:hAnsi="宋体" w:cs="宋体"/>
          <w:sz w:val="24"/>
          <w:szCs w:val="24"/>
        </w:rPr>
      </w:pPr>
      <w:r>
        <w:rPr>
          <w:rFonts w:hint="eastAsia" w:ascii="宋体" w:hAnsi="宋体" w:cs="宋体"/>
          <w:sz w:val="24"/>
          <w:szCs w:val="24"/>
        </w:rPr>
        <w:t xml:space="preserve"> </w:t>
      </w:r>
    </w:p>
    <w:p>
      <w:pPr>
        <w:ind w:firstLine="1687" w:firstLineChars="700"/>
        <w:jc w:val="right"/>
        <w:rPr>
          <w:rFonts w:ascii="宋体" w:hAnsi="宋体" w:cs="宋体"/>
          <w:b/>
          <w:sz w:val="24"/>
          <w:szCs w:val="24"/>
        </w:rPr>
      </w:pPr>
      <w:bookmarkStart w:id="571" w:name="_Toc14236"/>
      <w:bookmarkEnd w:id="571"/>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5"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bookmarkEnd w:id="565"/>
    <w:bookmarkEnd w:id="566"/>
    <w:bookmarkEnd w:id="567"/>
    <w:p>
      <w:pPr>
        <w:pStyle w:val="5"/>
        <w:widowControl/>
        <w:numPr>
          <w:ilvl w:val="0"/>
          <w:numId w:val="8"/>
        </w:numPr>
        <w:autoSpaceDE w:val="0"/>
        <w:spacing w:before="0" w:after="0" w:line="240" w:lineRule="auto"/>
        <w:rPr>
          <w:rFonts w:ascii="宋体" w:hAnsi="宋体" w:cs="宋体"/>
          <w:szCs w:val="28"/>
        </w:rPr>
      </w:pPr>
      <w:bookmarkStart w:id="572" w:name="_Toc672"/>
      <w:bookmarkStart w:id="573" w:name="_Toc27660"/>
      <w:bookmarkStart w:id="574" w:name="_Toc27988"/>
      <w:bookmarkStart w:id="575" w:name="_Toc1868"/>
      <w:r>
        <w:rPr>
          <w:rFonts w:hint="eastAsia" w:ascii="宋体" w:hAnsi="宋体" w:cs="宋体"/>
          <w:szCs w:val="28"/>
        </w:rPr>
        <w:t>分项报价表</w:t>
      </w:r>
      <w:bookmarkEnd w:id="572"/>
    </w:p>
    <w:tbl>
      <w:tblPr>
        <w:tblStyle w:val="41"/>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391"/>
        <w:gridCol w:w="2115"/>
        <w:gridCol w:w="855"/>
        <w:gridCol w:w="777"/>
        <w:gridCol w:w="1130"/>
        <w:gridCol w:w="131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02" w:type="dxa"/>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序号</w:t>
            </w:r>
          </w:p>
        </w:tc>
        <w:tc>
          <w:tcPr>
            <w:tcW w:w="1391" w:type="dxa"/>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产品名称</w:t>
            </w:r>
          </w:p>
        </w:tc>
        <w:tc>
          <w:tcPr>
            <w:tcW w:w="2115" w:type="dxa"/>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品牌、型号</w:t>
            </w:r>
          </w:p>
        </w:tc>
        <w:tc>
          <w:tcPr>
            <w:tcW w:w="855" w:type="dxa"/>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单位</w:t>
            </w:r>
          </w:p>
        </w:tc>
        <w:tc>
          <w:tcPr>
            <w:tcW w:w="777" w:type="dxa"/>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数量</w:t>
            </w:r>
          </w:p>
        </w:tc>
        <w:tc>
          <w:tcPr>
            <w:tcW w:w="1130" w:type="dxa"/>
            <w:vAlign w:val="center"/>
          </w:tcPr>
          <w:p>
            <w:pPr>
              <w:jc w:val="center"/>
              <w:textAlignment w:val="center"/>
              <w:rPr>
                <w:rFonts w:ascii="宋体" w:hAnsi="宋体" w:cs="宋体"/>
                <w:b/>
                <w:bCs/>
                <w:color w:val="000000"/>
                <w:sz w:val="24"/>
                <w:szCs w:val="24"/>
                <w:lang w:bidi="ar"/>
              </w:rPr>
            </w:pPr>
            <w:r>
              <w:rPr>
                <w:rFonts w:hint="eastAsia" w:ascii="宋体" w:hAnsi="宋体" w:cs="宋体"/>
                <w:b/>
                <w:bCs/>
                <w:color w:val="000000"/>
                <w:sz w:val="24"/>
                <w:szCs w:val="24"/>
                <w:lang w:bidi="ar"/>
              </w:rPr>
              <w:t>单价</w:t>
            </w:r>
          </w:p>
        </w:tc>
        <w:tc>
          <w:tcPr>
            <w:tcW w:w="1318" w:type="dxa"/>
            <w:vAlign w:val="center"/>
          </w:tcPr>
          <w:p>
            <w:pPr>
              <w:jc w:val="center"/>
              <w:textAlignment w:val="center"/>
              <w:rPr>
                <w:rFonts w:ascii="宋体" w:hAnsi="宋体" w:cs="宋体"/>
                <w:b/>
                <w:bCs/>
                <w:color w:val="000000"/>
                <w:sz w:val="24"/>
                <w:szCs w:val="24"/>
                <w:lang w:bidi="ar"/>
              </w:rPr>
            </w:pPr>
            <w:r>
              <w:rPr>
                <w:rFonts w:hint="eastAsia" w:ascii="宋体" w:hAnsi="宋体" w:cs="宋体"/>
                <w:b/>
                <w:bCs/>
                <w:color w:val="000000"/>
                <w:sz w:val="24"/>
                <w:szCs w:val="24"/>
                <w:lang w:bidi="ar"/>
              </w:rPr>
              <w:t>总价</w:t>
            </w:r>
          </w:p>
        </w:tc>
        <w:tc>
          <w:tcPr>
            <w:tcW w:w="1173" w:type="dxa"/>
            <w:vAlign w:val="center"/>
          </w:tcPr>
          <w:p>
            <w:pPr>
              <w:jc w:val="center"/>
              <w:textAlignment w:val="center"/>
              <w:rPr>
                <w:rFonts w:ascii="宋体" w:hAnsi="宋体" w:cs="宋体"/>
                <w:b/>
                <w:bCs/>
                <w:color w:val="000000"/>
                <w:sz w:val="24"/>
                <w:szCs w:val="24"/>
                <w:lang w:bidi="ar"/>
              </w:rPr>
            </w:pPr>
            <w:r>
              <w:rPr>
                <w:rFonts w:hint="eastAsia" w:ascii="宋体" w:hAnsi="宋体" w:cs="宋体"/>
                <w:b/>
                <w:bCs/>
                <w:color w:val="00000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1</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eastAsia="仿宋"/>
                <w:color w:val="000000"/>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2</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cs="宋体"/>
                <w:szCs w:val="21"/>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3</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cs="宋体"/>
                <w:szCs w:val="21"/>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4</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cs="宋体"/>
                <w:szCs w:val="21"/>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5</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cs="宋体"/>
                <w:szCs w:val="21"/>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02" w:type="dxa"/>
            <w:noWrap/>
            <w:vAlign w:val="center"/>
          </w:tcPr>
          <w:p>
            <w:pPr>
              <w:jc w:val="center"/>
              <w:rPr>
                <w:rFonts w:ascii="宋体" w:hAnsi="宋体"/>
                <w:color w:val="000000"/>
                <w:lang w:bidi="ar"/>
              </w:rPr>
            </w:pPr>
            <w:r>
              <w:rPr>
                <w:rFonts w:hint="eastAsia" w:ascii="宋体" w:hAnsi="宋体"/>
                <w:color w:val="000000"/>
                <w:lang w:bidi="ar"/>
              </w:rPr>
              <w:t>....</w:t>
            </w:r>
          </w:p>
        </w:tc>
        <w:tc>
          <w:tcPr>
            <w:tcW w:w="1391" w:type="dxa"/>
            <w:vAlign w:val="center"/>
          </w:tcPr>
          <w:p>
            <w:pPr>
              <w:jc w:val="center"/>
              <w:rPr>
                <w:rFonts w:ascii="宋体" w:hAnsi="宋体"/>
                <w:color w:val="000000"/>
                <w:lang w:bidi="ar"/>
              </w:rPr>
            </w:pPr>
          </w:p>
        </w:tc>
        <w:tc>
          <w:tcPr>
            <w:tcW w:w="2115" w:type="dxa"/>
            <w:vAlign w:val="center"/>
          </w:tcPr>
          <w:p>
            <w:pPr>
              <w:pStyle w:val="39"/>
              <w:spacing w:line="288" w:lineRule="auto"/>
              <w:ind w:firstLine="0" w:firstLineChars="0"/>
              <w:jc w:val="center"/>
              <w:rPr>
                <w:rFonts w:ascii="宋体" w:hAnsi="宋体" w:cs="宋体"/>
                <w:szCs w:val="21"/>
              </w:rPr>
            </w:pPr>
          </w:p>
        </w:tc>
        <w:tc>
          <w:tcPr>
            <w:tcW w:w="855" w:type="dxa"/>
            <w:vAlign w:val="center"/>
          </w:tcPr>
          <w:p>
            <w:pPr>
              <w:jc w:val="center"/>
              <w:rPr>
                <w:rFonts w:ascii="宋体" w:hAnsi="宋体"/>
                <w:color w:val="000000"/>
                <w:lang w:bidi="ar"/>
              </w:rPr>
            </w:pPr>
          </w:p>
        </w:tc>
        <w:tc>
          <w:tcPr>
            <w:tcW w:w="777" w:type="dxa"/>
            <w:vAlign w:val="center"/>
          </w:tcPr>
          <w:p>
            <w:pPr>
              <w:jc w:val="center"/>
              <w:rPr>
                <w:rFonts w:ascii="宋体" w:hAnsi="宋体"/>
                <w:color w:val="000000"/>
                <w:lang w:bidi="ar"/>
              </w:rPr>
            </w:pPr>
          </w:p>
        </w:tc>
        <w:tc>
          <w:tcPr>
            <w:tcW w:w="1130" w:type="dxa"/>
            <w:vAlign w:val="center"/>
          </w:tcPr>
          <w:p>
            <w:pPr>
              <w:jc w:val="center"/>
              <w:rPr>
                <w:rFonts w:ascii="宋体" w:hAnsi="宋体"/>
                <w:color w:val="000000"/>
                <w:lang w:bidi="ar"/>
              </w:rPr>
            </w:pPr>
          </w:p>
        </w:tc>
        <w:tc>
          <w:tcPr>
            <w:tcW w:w="1318" w:type="dxa"/>
            <w:vAlign w:val="center"/>
          </w:tcPr>
          <w:p>
            <w:pPr>
              <w:jc w:val="center"/>
              <w:rPr>
                <w:rFonts w:ascii="宋体" w:hAnsi="宋体"/>
                <w:color w:val="000000"/>
                <w:lang w:bidi="ar"/>
              </w:rPr>
            </w:pPr>
          </w:p>
        </w:tc>
        <w:tc>
          <w:tcPr>
            <w:tcW w:w="1173" w:type="dxa"/>
            <w:vAlign w:val="center"/>
          </w:tcPr>
          <w:p>
            <w:pPr>
              <w:jc w:val="center"/>
              <w:rPr>
                <w:rFonts w:ascii="宋体" w:hAnsi="宋体"/>
                <w:color w:val="00000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308" w:type="dxa"/>
            <w:gridSpan w:val="3"/>
            <w:noWrap/>
            <w:vAlign w:val="center"/>
          </w:tcPr>
          <w:p>
            <w:pPr>
              <w:jc w:val="center"/>
              <w:rPr>
                <w:rFonts w:ascii="宋体" w:hAnsi="宋体" w:cs="宋体"/>
                <w:b/>
                <w:bCs/>
                <w:color w:val="000000"/>
                <w:sz w:val="24"/>
                <w:szCs w:val="24"/>
                <w:lang w:bidi="ar"/>
              </w:rPr>
            </w:pPr>
            <w:r>
              <w:rPr>
                <w:rFonts w:hint="eastAsia" w:ascii="宋体" w:hAnsi="宋体" w:cs="宋体"/>
                <w:b/>
                <w:bCs/>
                <w:color w:val="000000"/>
                <w:sz w:val="24"/>
                <w:szCs w:val="24"/>
                <w:lang w:bidi="ar"/>
              </w:rPr>
              <w:t>总   计（元）</w:t>
            </w:r>
          </w:p>
        </w:tc>
        <w:tc>
          <w:tcPr>
            <w:tcW w:w="4080" w:type="dxa"/>
            <w:gridSpan w:val="4"/>
          </w:tcPr>
          <w:p>
            <w:pPr>
              <w:jc w:val="both"/>
              <w:rPr>
                <w:rFonts w:ascii="宋体" w:hAnsi="宋体" w:cs="宋体"/>
                <w:b/>
                <w:bCs/>
                <w:color w:val="000000"/>
                <w:sz w:val="24"/>
                <w:szCs w:val="24"/>
                <w:lang w:bidi="ar"/>
              </w:rPr>
            </w:pPr>
            <w:r>
              <w:rPr>
                <w:rFonts w:hint="eastAsia" w:ascii="宋体" w:hAnsi="宋体" w:cs="宋体"/>
                <w:b/>
                <w:bCs/>
                <w:color w:val="000000"/>
                <w:sz w:val="24"/>
                <w:szCs w:val="24"/>
                <w:lang w:bidi="ar"/>
              </w:rPr>
              <w:t>小写：</w:t>
            </w:r>
          </w:p>
          <w:p>
            <w:pPr>
              <w:jc w:val="center"/>
              <w:rPr>
                <w:rFonts w:ascii="宋体" w:hAnsi="宋体" w:cs="宋体"/>
                <w:b/>
                <w:bCs/>
                <w:color w:val="000000"/>
                <w:sz w:val="24"/>
                <w:szCs w:val="24"/>
                <w:lang w:bidi="ar"/>
              </w:rPr>
            </w:pPr>
          </w:p>
          <w:p>
            <w:pPr>
              <w:jc w:val="both"/>
              <w:rPr>
                <w:rFonts w:ascii="宋体" w:hAnsi="宋体" w:cs="宋体"/>
                <w:b/>
                <w:bCs/>
                <w:color w:val="000000"/>
                <w:sz w:val="24"/>
                <w:szCs w:val="24"/>
                <w:lang w:bidi="ar"/>
              </w:rPr>
            </w:pPr>
            <w:r>
              <w:rPr>
                <w:rFonts w:hint="eastAsia" w:ascii="宋体" w:hAnsi="宋体" w:cs="宋体"/>
                <w:b/>
                <w:bCs/>
                <w:color w:val="000000"/>
                <w:sz w:val="24"/>
                <w:szCs w:val="24"/>
                <w:lang w:bidi="ar"/>
              </w:rPr>
              <w:t>大写：</w:t>
            </w:r>
          </w:p>
        </w:tc>
        <w:tc>
          <w:tcPr>
            <w:tcW w:w="1173" w:type="dxa"/>
          </w:tcPr>
          <w:p>
            <w:pPr>
              <w:jc w:val="both"/>
              <w:rPr>
                <w:rFonts w:ascii="宋体" w:hAnsi="宋体" w:cs="宋体"/>
                <w:b/>
                <w:bCs/>
                <w:color w:val="000000"/>
                <w:sz w:val="24"/>
                <w:szCs w:val="24"/>
                <w:lang w:bidi="ar"/>
              </w:rPr>
            </w:pPr>
          </w:p>
        </w:tc>
      </w:tr>
    </w:tbl>
    <w:p>
      <w:pPr>
        <w:pStyle w:val="24"/>
        <w:spacing w:line="240" w:lineRule="atLeast"/>
        <w:ind w:firstLine="480" w:firstLineChars="200"/>
        <w:rPr>
          <w:rFonts w:hAnsi="宋体" w:cs="宋体"/>
          <w:sz w:val="24"/>
          <w:szCs w:val="24"/>
        </w:rPr>
      </w:pP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6"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pStyle w:val="5"/>
        <w:widowControl/>
        <w:numPr>
          <w:ilvl w:val="0"/>
          <w:numId w:val="8"/>
        </w:numPr>
        <w:autoSpaceDE w:val="0"/>
        <w:spacing w:before="0" w:after="0" w:line="240" w:lineRule="auto"/>
        <w:rPr>
          <w:rFonts w:ascii="宋体" w:hAnsi="宋体" w:cs="宋体"/>
          <w:szCs w:val="28"/>
        </w:rPr>
      </w:pPr>
      <w:bookmarkStart w:id="576" w:name="_Toc30627"/>
      <w:r>
        <w:rPr>
          <w:rFonts w:hint="eastAsia" w:ascii="宋体" w:hAnsi="宋体" w:cs="宋体"/>
          <w:szCs w:val="28"/>
        </w:rPr>
        <w:t>项目组织机构力量配备</w:t>
      </w:r>
      <w:bookmarkEnd w:id="573"/>
      <w:bookmarkEnd w:id="574"/>
      <w:bookmarkEnd w:id="575"/>
      <w:bookmarkEnd w:id="576"/>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961"/>
        <w:gridCol w:w="1069"/>
        <w:gridCol w:w="1065"/>
        <w:gridCol w:w="1601"/>
        <w:gridCol w:w="1065"/>
        <w:gridCol w:w="1069"/>
        <w:gridCol w:w="1169"/>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vMerge w:val="restart"/>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序号</w:t>
            </w:r>
          </w:p>
        </w:tc>
        <w:tc>
          <w:tcPr>
            <w:tcW w:w="961" w:type="dxa"/>
            <w:vMerge w:val="restart"/>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职务</w:t>
            </w:r>
          </w:p>
        </w:tc>
        <w:tc>
          <w:tcPr>
            <w:tcW w:w="1069" w:type="dxa"/>
            <w:vMerge w:val="restart"/>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姓名</w:t>
            </w:r>
          </w:p>
        </w:tc>
        <w:tc>
          <w:tcPr>
            <w:tcW w:w="1065" w:type="dxa"/>
            <w:vMerge w:val="restart"/>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职称</w:t>
            </w:r>
          </w:p>
        </w:tc>
        <w:tc>
          <w:tcPr>
            <w:tcW w:w="4904" w:type="dxa"/>
            <w:gridSpan w:val="4"/>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执业或职业资格证明</w:t>
            </w:r>
          </w:p>
        </w:tc>
        <w:tc>
          <w:tcPr>
            <w:tcW w:w="996" w:type="dxa"/>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vMerge w:val="continue"/>
          </w:tcPr>
          <w:p>
            <w:pPr>
              <w:adjustRightInd w:val="0"/>
              <w:spacing w:line="440" w:lineRule="exact"/>
              <w:jc w:val="center"/>
              <w:textAlignment w:val="baseline"/>
              <w:rPr>
                <w:rFonts w:ascii="宋体" w:hAnsi="宋体" w:cs="宋体"/>
                <w:sz w:val="24"/>
                <w:szCs w:val="24"/>
              </w:rPr>
            </w:pPr>
          </w:p>
        </w:tc>
        <w:tc>
          <w:tcPr>
            <w:tcW w:w="961" w:type="dxa"/>
            <w:vMerge w:val="continue"/>
            <w:vAlign w:val="center"/>
          </w:tcPr>
          <w:p>
            <w:pPr>
              <w:adjustRightInd w:val="0"/>
              <w:spacing w:line="440" w:lineRule="exact"/>
              <w:jc w:val="center"/>
              <w:textAlignment w:val="baseline"/>
              <w:rPr>
                <w:rFonts w:ascii="宋体" w:hAnsi="宋体" w:cs="宋体"/>
                <w:sz w:val="24"/>
                <w:szCs w:val="24"/>
              </w:rPr>
            </w:pPr>
          </w:p>
        </w:tc>
        <w:tc>
          <w:tcPr>
            <w:tcW w:w="1069" w:type="dxa"/>
            <w:vMerge w:val="continue"/>
            <w:vAlign w:val="center"/>
          </w:tcPr>
          <w:p>
            <w:pPr>
              <w:adjustRightInd w:val="0"/>
              <w:spacing w:line="440" w:lineRule="exact"/>
              <w:jc w:val="center"/>
              <w:textAlignment w:val="baseline"/>
              <w:rPr>
                <w:rFonts w:ascii="宋体" w:hAnsi="宋体" w:cs="宋体"/>
                <w:sz w:val="24"/>
                <w:szCs w:val="24"/>
              </w:rPr>
            </w:pPr>
          </w:p>
        </w:tc>
        <w:tc>
          <w:tcPr>
            <w:tcW w:w="1065" w:type="dxa"/>
            <w:vMerge w:val="continue"/>
            <w:vAlign w:val="center"/>
          </w:tcPr>
          <w:p>
            <w:pPr>
              <w:adjustRightInd w:val="0"/>
              <w:spacing w:line="440" w:lineRule="exact"/>
              <w:jc w:val="center"/>
              <w:textAlignment w:val="baseline"/>
              <w:rPr>
                <w:rFonts w:ascii="宋体" w:hAnsi="宋体" w:cs="宋体"/>
                <w:sz w:val="24"/>
                <w:szCs w:val="24"/>
              </w:rPr>
            </w:pPr>
          </w:p>
        </w:tc>
        <w:tc>
          <w:tcPr>
            <w:tcW w:w="1601" w:type="dxa"/>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证书名称</w:t>
            </w:r>
          </w:p>
        </w:tc>
        <w:tc>
          <w:tcPr>
            <w:tcW w:w="1065" w:type="dxa"/>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级别</w:t>
            </w:r>
          </w:p>
        </w:tc>
        <w:tc>
          <w:tcPr>
            <w:tcW w:w="1069" w:type="dxa"/>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证号</w:t>
            </w:r>
          </w:p>
        </w:tc>
        <w:tc>
          <w:tcPr>
            <w:tcW w:w="1169" w:type="dxa"/>
            <w:vAlign w:val="center"/>
          </w:tcPr>
          <w:p>
            <w:pPr>
              <w:adjustRightInd w:val="0"/>
              <w:spacing w:line="440" w:lineRule="exact"/>
              <w:jc w:val="center"/>
              <w:textAlignment w:val="baseline"/>
              <w:rPr>
                <w:rFonts w:ascii="宋体" w:hAnsi="宋体" w:cs="宋体"/>
                <w:sz w:val="24"/>
                <w:szCs w:val="24"/>
              </w:rPr>
            </w:pPr>
            <w:r>
              <w:rPr>
                <w:rFonts w:hint="eastAsia" w:ascii="宋体" w:hAnsi="宋体" w:cs="宋体"/>
                <w:sz w:val="24"/>
                <w:szCs w:val="24"/>
              </w:rPr>
              <w:t>专业</w:t>
            </w:r>
          </w:p>
        </w:tc>
        <w:tc>
          <w:tcPr>
            <w:tcW w:w="996" w:type="dxa"/>
            <w:vAlign w:val="center"/>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vAlign w:val="center"/>
          </w:tcPr>
          <w:p>
            <w:pPr>
              <w:adjustRightInd w:val="0"/>
              <w:spacing w:line="440" w:lineRule="exact"/>
              <w:jc w:val="center"/>
              <w:textAlignment w:val="baseline"/>
              <w:rPr>
                <w:rFonts w:ascii="宋体" w:hAnsi="宋体" w:cs="宋体"/>
                <w:sz w:val="24"/>
                <w:szCs w:val="24"/>
              </w:rPr>
            </w:pPr>
          </w:p>
        </w:tc>
        <w:tc>
          <w:tcPr>
            <w:tcW w:w="1069" w:type="dxa"/>
            <w:vAlign w:val="center"/>
          </w:tcPr>
          <w:p>
            <w:pPr>
              <w:adjustRightInd w:val="0"/>
              <w:spacing w:line="440" w:lineRule="exact"/>
              <w:jc w:val="center"/>
              <w:textAlignment w:val="baseline"/>
              <w:rPr>
                <w:rFonts w:ascii="宋体" w:hAnsi="宋体" w:cs="宋体"/>
                <w:sz w:val="24"/>
                <w:szCs w:val="24"/>
              </w:rPr>
            </w:pPr>
          </w:p>
        </w:tc>
        <w:tc>
          <w:tcPr>
            <w:tcW w:w="1065" w:type="dxa"/>
            <w:vAlign w:val="center"/>
          </w:tcPr>
          <w:p>
            <w:pPr>
              <w:adjustRightInd w:val="0"/>
              <w:spacing w:line="440" w:lineRule="exact"/>
              <w:jc w:val="center"/>
              <w:textAlignment w:val="baseline"/>
              <w:rPr>
                <w:rFonts w:ascii="宋体" w:hAnsi="宋体" w:cs="宋体"/>
                <w:sz w:val="24"/>
                <w:szCs w:val="24"/>
              </w:rPr>
            </w:pPr>
          </w:p>
        </w:tc>
        <w:tc>
          <w:tcPr>
            <w:tcW w:w="1601" w:type="dxa"/>
            <w:vAlign w:val="center"/>
          </w:tcPr>
          <w:p>
            <w:pPr>
              <w:adjustRightInd w:val="0"/>
              <w:spacing w:line="440" w:lineRule="exact"/>
              <w:jc w:val="center"/>
              <w:textAlignment w:val="baseline"/>
              <w:rPr>
                <w:rFonts w:ascii="宋体" w:hAnsi="宋体" w:cs="宋体"/>
                <w:sz w:val="24"/>
                <w:szCs w:val="24"/>
              </w:rPr>
            </w:pPr>
          </w:p>
        </w:tc>
        <w:tc>
          <w:tcPr>
            <w:tcW w:w="1065" w:type="dxa"/>
            <w:vAlign w:val="center"/>
          </w:tcPr>
          <w:p>
            <w:pPr>
              <w:adjustRightInd w:val="0"/>
              <w:spacing w:line="440" w:lineRule="exact"/>
              <w:jc w:val="center"/>
              <w:textAlignment w:val="baseline"/>
              <w:rPr>
                <w:rFonts w:ascii="宋体" w:hAnsi="宋体" w:cs="宋体"/>
                <w:sz w:val="24"/>
                <w:szCs w:val="24"/>
              </w:rPr>
            </w:pPr>
          </w:p>
        </w:tc>
        <w:tc>
          <w:tcPr>
            <w:tcW w:w="1069" w:type="dxa"/>
            <w:vAlign w:val="center"/>
          </w:tcPr>
          <w:p>
            <w:pPr>
              <w:adjustRightInd w:val="0"/>
              <w:spacing w:line="440" w:lineRule="exact"/>
              <w:jc w:val="center"/>
              <w:textAlignment w:val="baseline"/>
              <w:rPr>
                <w:rFonts w:ascii="宋体" w:hAnsi="宋体" w:cs="宋体"/>
                <w:sz w:val="24"/>
                <w:szCs w:val="24"/>
              </w:rPr>
            </w:pPr>
          </w:p>
        </w:tc>
        <w:tc>
          <w:tcPr>
            <w:tcW w:w="1169" w:type="dxa"/>
            <w:vAlign w:val="center"/>
          </w:tcPr>
          <w:p>
            <w:pPr>
              <w:adjustRightInd w:val="0"/>
              <w:spacing w:line="440" w:lineRule="exact"/>
              <w:jc w:val="center"/>
              <w:textAlignment w:val="baseline"/>
              <w:rPr>
                <w:rFonts w:ascii="宋体" w:hAnsi="宋体" w:cs="宋体"/>
                <w:sz w:val="24"/>
                <w:szCs w:val="24"/>
              </w:rPr>
            </w:pPr>
          </w:p>
        </w:tc>
        <w:tc>
          <w:tcPr>
            <w:tcW w:w="996" w:type="dxa"/>
            <w:vAlign w:val="center"/>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Pr>
          <w:p>
            <w:pPr>
              <w:adjustRightInd w:val="0"/>
              <w:spacing w:line="440" w:lineRule="exact"/>
              <w:jc w:val="center"/>
              <w:textAlignment w:val="baseline"/>
              <w:rPr>
                <w:rFonts w:ascii="宋体" w:hAnsi="宋体" w:cs="宋体"/>
                <w:sz w:val="24"/>
                <w:szCs w:val="24"/>
              </w:rPr>
            </w:pPr>
          </w:p>
        </w:tc>
        <w:tc>
          <w:tcPr>
            <w:tcW w:w="961"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601" w:type="dxa"/>
          </w:tcPr>
          <w:p>
            <w:pPr>
              <w:adjustRightInd w:val="0"/>
              <w:spacing w:line="440" w:lineRule="exact"/>
              <w:jc w:val="center"/>
              <w:textAlignment w:val="baseline"/>
              <w:rPr>
                <w:rFonts w:ascii="宋体" w:hAnsi="宋体" w:cs="宋体"/>
                <w:sz w:val="24"/>
                <w:szCs w:val="24"/>
              </w:rPr>
            </w:pPr>
          </w:p>
        </w:tc>
        <w:tc>
          <w:tcPr>
            <w:tcW w:w="1065" w:type="dxa"/>
          </w:tcPr>
          <w:p>
            <w:pPr>
              <w:adjustRightInd w:val="0"/>
              <w:spacing w:line="440" w:lineRule="exact"/>
              <w:jc w:val="center"/>
              <w:textAlignment w:val="baseline"/>
              <w:rPr>
                <w:rFonts w:ascii="宋体" w:hAnsi="宋体" w:cs="宋体"/>
                <w:sz w:val="24"/>
                <w:szCs w:val="24"/>
              </w:rPr>
            </w:pPr>
          </w:p>
        </w:tc>
        <w:tc>
          <w:tcPr>
            <w:tcW w:w="1069" w:type="dxa"/>
          </w:tcPr>
          <w:p>
            <w:pPr>
              <w:adjustRightInd w:val="0"/>
              <w:spacing w:line="440" w:lineRule="exact"/>
              <w:jc w:val="center"/>
              <w:textAlignment w:val="baseline"/>
              <w:rPr>
                <w:rFonts w:ascii="宋体" w:hAnsi="宋体" w:cs="宋体"/>
                <w:sz w:val="24"/>
                <w:szCs w:val="24"/>
              </w:rPr>
            </w:pPr>
          </w:p>
        </w:tc>
        <w:tc>
          <w:tcPr>
            <w:tcW w:w="1169" w:type="dxa"/>
          </w:tcPr>
          <w:p>
            <w:pPr>
              <w:adjustRightInd w:val="0"/>
              <w:spacing w:line="440" w:lineRule="exact"/>
              <w:jc w:val="center"/>
              <w:textAlignment w:val="baseline"/>
              <w:rPr>
                <w:rFonts w:ascii="宋体" w:hAnsi="宋体" w:cs="宋体"/>
                <w:sz w:val="24"/>
                <w:szCs w:val="24"/>
              </w:rPr>
            </w:pPr>
          </w:p>
        </w:tc>
        <w:tc>
          <w:tcPr>
            <w:tcW w:w="996" w:type="dxa"/>
          </w:tcPr>
          <w:p>
            <w:pPr>
              <w:adjustRightInd w:val="0"/>
              <w:spacing w:line="440" w:lineRule="exact"/>
              <w:jc w:val="center"/>
              <w:textAlignment w:val="baseline"/>
              <w:rPr>
                <w:rFonts w:ascii="宋体" w:hAnsi="宋体" w:cs="宋体"/>
                <w:sz w:val="24"/>
                <w:szCs w:val="24"/>
              </w:rPr>
            </w:pPr>
          </w:p>
        </w:tc>
      </w:tr>
    </w:tbl>
    <w:p>
      <w:pPr>
        <w:spacing w:line="360" w:lineRule="auto"/>
        <w:rPr>
          <w:rFonts w:ascii="宋体" w:hAnsi="宋体" w:cs="宋体"/>
          <w:sz w:val="24"/>
          <w:szCs w:val="24"/>
        </w:rPr>
      </w:pPr>
      <w:r>
        <w:rPr>
          <w:rFonts w:hint="eastAsia" w:ascii="宋体" w:hAnsi="宋体" w:cs="宋体"/>
          <w:sz w:val="24"/>
          <w:szCs w:val="24"/>
        </w:rPr>
        <w:t>注：以上人员应附身份证、资格证书（如有）、学历证等相关证明材料。</w:t>
      </w:r>
    </w:p>
    <w:p>
      <w:pPr>
        <w:ind w:firstLine="1680" w:firstLineChars="600"/>
        <w:rPr>
          <w:rFonts w:ascii="宋体" w:hAnsi="宋体" w:cs="宋体"/>
          <w:sz w:val="28"/>
          <w:szCs w:val="28"/>
        </w:rPr>
        <w:sectPr>
          <w:headerReference r:id="rId17" w:type="default"/>
          <w:footerReference r:id="rId18" w:type="default"/>
          <w:pgSz w:w="11905" w:h="16838"/>
          <w:pgMar w:top="1134" w:right="1134" w:bottom="1134" w:left="1134" w:header="720" w:footer="720" w:gutter="0"/>
          <w:cols w:space="0" w:num="1"/>
          <w:docGrid w:type="lines" w:linePitch="332" w:charSpace="0"/>
        </w:sectPr>
      </w:pPr>
    </w:p>
    <w:p>
      <w:pPr>
        <w:pStyle w:val="5"/>
        <w:widowControl/>
        <w:numPr>
          <w:ilvl w:val="0"/>
          <w:numId w:val="8"/>
        </w:numPr>
        <w:autoSpaceDE w:val="0"/>
        <w:spacing w:before="0" w:after="0" w:line="240" w:lineRule="auto"/>
        <w:rPr>
          <w:rFonts w:ascii="宋体" w:hAnsi="宋体" w:cs="宋体"/>
          <w:szCs w:val="28"/>
        </w:rPr>
      </w:pPr>
      <w:bookmarkStart w:id="577" w:name="_Toc15277"/>
      <w:bookmarkEnd w:id="577"/>
      <w:bookmarkStart w:id="578" w:name="_Toc10610"/>
      <w:bookmarkEnd w:id="578"/>
      <w:bookmarkStart w:id="579" w:name="_Toc6704"/>
      <w:r>
        <w:rPr>
          <w:rFonts w:hint="eastAsia" w:ascii="宋体" w:hAnsi="宋体" w:cs="宋体"/>
          <w:szCs w:val="28"/>
        </w:rPr>
        <w:t>技术内容</w:t>
      </w:r>
      <w:bookmarkEnd w:id="579"/>
    </w:p>
    <w:p>
      <w:pPr>
        <w:jc w:val="center"/>
        <w:rPr>
          <w:rFonts w:ascii="宋体" w:hAnsi="宋体" w:cs="宋体"/>
        </w:rPr>
      </w:pPr>
      <w:r>
        <w:rPr>
          <w:rFonts w:hint="eastAsia" w:ascii="宋体" w:hAnsi="宋体" w:cs="宋体"/>
          <w:sz w:val="24"/>
          <w:szCs w:val="24"/>
        </w:rPr>
        <w:t>(按照评分细则自行编制，包含技术部分及商务部分内容，已提供格式的除外，格式自拟)</w:t>
      </w:r>
    </w:p>
    <w:p>
      <w:pPr>
        <w:pStyle w:val="39"/>
        <w:ind w:firstLine="210"/>
        <w:rPr>
          <w:rFonts w:ascii="宋体" w:hAnsi="宋体" w:cs="宋体"/>
        </w:rPr>
      </w:pPr>
    </w:p>
    <w:p>
      <w:pPr>
        <w:pStyle w:val="5"/>
        <w:widowControl/>
        <w:numPr>
          <w:ilvl w:val="0"/>
          <w:numId w:val="8"/>
        </w:numPr>
        <w:autoSpaceDE w:val="0"/>
        <w:spacing w:before="0" w:after="0" w:line="240" w:lineRule="auto"/>
        <w:rPr>
          <w:rFonts w:ascii="宋体" w:hAnsi="宋体" w:cs="宋体"/>
          <w:szCs w:val="28"/>
        </w:rPr>
      </w:pPr>
      <w:r>
        <w:rPr>
          <w:rFonts w:hint="eastAsia" w:ascii="宋体" w:hAnsi="宋体" w:cs="宋体"/>
          <w:szCs w:val="28"/>
        </w:rPr>
        <w:br w:type="page"/>
      </w:r>
      <w:bookmarkStart w:id="580" w:name="_Toc5496"/>
      <w:bookmarkStart w:id="581" w:name="_Toc14907"/>
      <w:bookmarkStart w:id="582" w:name="_Toc16884"/>
      <w:r>
        <w:rPr>
          <w:rFonts w:hint="eastAsia" w:ascii="宋体" w:hAnsi="宋体" w:cs="宋体"/>
          <w:szCs w:val="28"/>
        </w:rPr>
        <w:t>类似项目业绩表</w:t>
      </w:r>
      <w:bookmarkEnd w:id="580"/>
      <w:bookmarkEnd w:id="581"/>
      <w:bookmarkEnd w:id="582"/>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381"/>
        <w:gridCol w:w="1254"/>
        <w:gridCol w:w="1685"/>
        <w:gridCol w:w="1442"/>
        <w:gridCol w:w="1442"/>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03" w:type="dxa"/>
            <w:vAlign w:val="center"/>
          </w:tcPr>
          <w:p>
            <w:pPr>
              <w:jc w:val="center"/>
              <w:rPr>
                <w:rFonts w:ascii="宋体" w:hAnsi="宋体" w:cs="宋体"/>
                <w:sz w:val="24"/>
              </w:rPr>
            </w:pPr>
            <w:r>
              <w:rPr>
                <w:rFonts w:hint="eastAsia" w:ascii="宋体" w:hAnsi="宋体" w:cs="宋体"/>
                <w:sz w:val="24"/>
              </w:rPr>
              <w:t>序号</w:t>
            </w:r>
          </w:p>
        </w:tc>
        <w:tc>
          <w:tcPr>
            <w:tcW w:w="2381" w:type="dxa"/>
            <w:vAlign w:val="center"/>
          </w:tcPr>
          <w:p>
            <w:pPr>
              <w:jc w:val="center"/>
              <w:rPr>
                <w:rFonts w:ascii="宋体" w:hAnsi="宋体" w:cs="宋体"/>
                <w:sz w:val="24"/>
              </w:rPr>
            </w:pPr>
            <w:r>
              <w:rPr>
                <w:rFonts w:hint="eastAsia" w:ascii="宋体" w:hAnsi="宋体" w:cs="宋体"/>
                <w:sz w:val="24"/>
              </w:rPr>
              <w:t>合同名称</w:t>
            </w:r>
          </w:p>
        </w:tc>
        <w:tc>
          <w:tcPr>
            <w:tcW w:w="1254" w:type="dxa"/>
            <w:vAlign w:val="center"/>
          </w:tcPr>
          <w:p>
            <w:pPr>
              <w:jc w:val="center"/>
              <w:rPr>
                <w:rFonts w:ascii="宋体" w:hAnsi="宋体" w:cs="宋体"/>
                <w:sz w:val="24"/>
              </w:rPr>
            </w:pPr>
            <w:r>
              <w:rPr>
                <w:rFonts w:hint="eastAsia" w:ascii="宋体" w:hAnsi="宋体" w:cs="宋体"/>
                <w:sz w:val="24"/>
              </w:rPr>
              <w:t>合同总价</w:t>
            </w:r>
          </w:p>
        </w:tc>
        <w:tc>
          <w:tcPr>
            <w:tcW w:w="1685" w:type="dxa"/>
            <w:vAlign w:val="center"/>
          </w:tcPr>
          <w:p>
            <w:pPr>
              <w:jc w:val="center"/>
              <w:rPr>
                <w:rFonts w:ascii="宋体" w:hAnsi="宋体" w:cs="宋体"/>
                <w:sz w:val="24"/>
              </w:rPr>
            </w:pPr>
            <w:r>
              <w:rPr>
                <w:rFonts w:hint="eastAsia" w:ascii="宋体" w:hAnsi="宋体" w:cs="宋体"/>
                <w:sz w:val="24"/>
              </w:rPr>
              <w:t>业主单位名称</w:t>
            </w:r>
          </w:p>
        </w:tc>
        <w:tc>
          <w:tcPr>
            <w:tcW w:w="1442" w:type="dxa"/>
          </w:tcPr>
          <w:p>
            <w:pPr>
              <w:jc w:val="center"/>
              <w:rPr>
                <w:rFonts w:ascii="宋体" w:hAnsi="宋体" w:cs="宋体"/>
                <w:sz w:val="24"/>
              </w:rPr>
            </w:pPr>
            <w:r>
              <w:rPr>
                <w:rFonts w:hint="eastAsia" w:ascii="宋体" w:hAnsi="宋体" w:cs="宋体"/>
                <w:sz w:val="24"/>
              </w:rPr>
              <w:t>使用单位联系人及联系电话</w:t>
            </w:r>
          </w:p>
        </w:tc>
        <w:tc>
          <w:tcPr>
            <w:tcW w:w="1442" w:type="dxa"/>
            <w:vAlign w:val="center"/>
          </w:tcPr>
          <w:p>
            <w:pPr>
              <w:jc w:val="center"/>
              <w:rPr>
                <w:rFonts w:ascii="宋体" w:hAnsi="宋体" w:cs="宋体"/>
                <w:sz w:val="24"/>
              </w:rPr>
            </w:pPr>
            <w:r>
              <w:rPr>
                <w:rFonts w:hint="eastAsia" w:ascii="宋体" w:hAnsi="宋体" w:cs="宋体"/>
                <w:sz w:val="24"/>
              </w:rPr>
              <w:t>签订合同</w:t>
            </w:r>
          </w:p>
          <w:p>
            <w:pPr>
              <w:jc w:val="center"/>
              <w:rPr>
                <w:rFonts w:ascii="宋体" w:hAnsi="宋体" w:cs="宋体"/>
                <w:sz w:val="24"/>
              </w:rPr>
            </w:pPr>
            <w:r>
              <w:rPr>
                <w:rFonts w:hint="eastAsia" w:ascii="宋体" w:hAnsi="宋体" w:cs="宋体"/>
                <w:sz w:val="24"/>
              </w:rPr>
              <w:t>时间</w:t>
            </w:r>
          </w:p>
        </w:tc>
        <w:tc>
          <w:tcPr>
            <w:tcW w:w="1049" w:type="dxa"/>
            <w:vAlign w:val="center"/>
          </w:tcPr>
          <w:p>
            <w:pPr>
              <w:jc w:val="center"/>
              <w:rPr>
                <w:rFonts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1</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jc w:val="center"/>
              <w:rPr>
                <w:rFonts w:ascii="宋体" w:hAnsi="宋体" w:cs="宋体"/>
                <w:sz w:val="24"/>
              </w:rPr>
            </w:pP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2</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rPr>
                <w:rFonts w:ascii="宋体" w:hAnsi="宋体" w:cs="宋体"/>
                <w:sz w:val="24"/>
              </w:rPr>
            </w:pPr>
            <w:r>
              <w:rPr>
                <w:rFonts w:hint="eastAsia" w:ascii="宋体" w:hAnsi="宋体" w:cs="宋体"/>
                <w:sz w:val="24"/>
              </w:rPr>
              <w:t xml:space="preserve">      </w:t>
            </w: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3</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jc w:val="center"/>
              <w:rPr>
                <w:rFonts w:ascii="宋体" w:hAnsi="宋体" w:cs="宋体"/>
                <w:sz w:val="24"/>
              </w:rPr>
            </w:pP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4</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jc w:val="center"/>
              <w:rPr>
                <w:rFonts w:ascii="宋体" w:hAnsi="宋体" w:cs="宋体"/>
                <w:sz w:val="24"/>
              </w:rPr>
            </w:pP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5</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jc w:val="center"/>
              <w:rPr>
                <w:rFonts w:ascii="宋体" w:hAnsi="宋体" w:cs="宋体"/>
                <w:sz w:val="24"/>
              </w:rPr>
            </w:pP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dxa"/>
            <w:vAlign w:val="center"/>
          </w:tcPr>
          <w:p>
            <w:pPr>
              <w:jc w:val="center"/>
              <w:rPr>
                <w:rFonts w:ascii="宋体" w:hAnsi="宋体" w:cs="宋体"/>
                <w:sz w:val="24"/>
              </w:rPr>
            </w:pPr>
            <w:r>
              <w:rPr>
                <w:rFonts w:hint="eastAsia" w:ascii="宋体" w:hAnsi="宋体" w:cs="宋体"/>
                <w:sz w:val="24"/>
              </w:rPr>
              <w:t>…</w:t>
            </w:r>
          </w:p>
        </w:tc>
        <w:tc>
          <w:tcPr>
            <w:tcW w:w="2381" w:type="dxa"/>
            <w:vAlign w:val="center"/>
          </w:tcPr>
          <w:p>
            <w:pPr>
              <w:jc w:val="center"/>
              <w:rPr>
                <w:rFonts w:ascii="宋体" w:hAnsi="宋体" w:cs="宋体"/>
                <w:sz w:val="24"/>
              </w:rPr>
            </w:pPr>
          </w:p>
        </w:tc>
        <w:tc>
          <w:tcPr>
            <w:tcW w:w="1254" w:type="dxa"/>
            <w:vAlign w:val="center"/>
          </w:tcPr>
          <w:p>
            <w:pPr>
              <w:jc w:val="center"/>
              <w:rPr>
                <w:rFonts w:ascii="宋体" w:hAnsi="宋体" w:cs="宋体"/>
                <w:sz w:val="24"/>
              </w:rPr>
            </w:pPr>
          </w:p>
        </w:tc>
        <w:tc>
          <w:tcPr>
            <w:tcW w:w="1685" w:type="dxa"/>
            <w:vAlign w:val="center"/>
          </w:tcPr>
          <w:p>
            <w:pPr>
              <w:jc w:val="center"/>
              <w:rPr>
                <w:rFonts w:ascii="宋体" w:hAnsi="宋体" w:cs="宋体"/>
                <w:sz w:val="24"/>
              </w:rPr>
            </w:pPr>
          </w:p>
        </w:tc>
        <w:tc>
          <w:tcPr>
            <w:tcW w:w="1442" w:type="dxa"/>
          </w:tcPr>
          <w:p>
            <w:pPr>
              <w:jc w:val="center"/>
              <w:rPr>
                <w:rFonts w:ascii="宋体" w:hAnsi="宋体" w:cs="宋体"/>
                <w:sz w:val="24"/>
              </w:rPr>
            </w:pPr>
          </w:p>
        </w:tc>
        <w:tc>
          <w:tcPr>
            <w:tcW w:w="1442" w:type="dxa"/>
            <w:vAlign w:val="center"/>
          </w:tcPr>
          <w:p>
            <w:pPr>
              <w:jc w:val="center"/>
              <w:rPr>
                <w:rFonts w:ascii="宋体" w:hAnsi="宋体" w:cs="宋体"/>
                <w:sz w:val="24"/>
              </w:rPr>
            </w:pPr>
          </w:p>
        </w:tc>
        <w:tc>
          <w:tcPr>
            <w:tcW w:w="1049" w:type="dxa"/>
            <w:vAlign w:val="center"/>
          </w:tcPr>
          <w:p>
            <w:pPr>
              <w:jc w:val="center"/>
              <w:rPr>
                <w:rFonts w:ascii="宋体" w:hAnsi="宋体" w:cs="宋体"/>
                <w:sz w:val="24"/>
              </w:rPr>
            </w:pPr>
          </w:p>
        </w:tc>
      </w:tr>
    </w:tbl>
    <w:p>
      <w:pPr>
        <w:ind w:firstLine="482" w:firstLineChars="200"/>
        <w:rPr>
          <w:rFonts w:ascii="宋体" w:hAnsi="宋体" w:cs="宋体"/>
          <w:b/>
          <w:sz w:val="24"/>
          <w:szCs w:val="24"/>
        </w:rPr>
      </w:pPr>
      <w:r>
        <w:rPr>
          <w:rFonts w:hint="eastAsia" w:ascii="宋体" w:hAnsi="宋体" w:cs="宋体"/>
          <w:b/>
          <w:bCs/>
          <w:sz w:val="24"/>
          <w:szCs w:val="24"/>
        </w:rPr>
        <w:t>注：</w:t>
      </w:r>
      <w:r>
        <w:rPr>
          <w:rFonts w:hint="eastAsia" w:ascii="宋体" w:hAnsi="宋体" w:cs="宋体"/>
          <w:b/>
          <w:bCs/>
          <w:sz w:val="24"/>
        </w:rPr>
        <w:t>类似项目业绩证明材料需提供合同扫描件或复印件，以合同生效时间为准。</w:t>
      </w:r>
    </w:p>
    <w:p>
      <w:pPr>
        <w:ind w:firstLine="1687" w:firstLineChars="600"/>
        <w:rPr>
          <w:rFonts w:ascii="宋体" w:hAnsi="宋体" w:cs="宋体"/>
          <w:b/>
          <w:sz w:val="28"/>
          <w:szCs w:val="28"/>
        </w:rPr>
      </w:pPr>
    </w:p>
    <w:p>
      <w:pPr>
        <w:spacing w:line="360" w:lineRule="auto"/>
        <w:ind w:firstLine="1687" w:firstLineChars="700"/>
        <w:jc w:val="right"/>
        <w:rPr>
          <w:rFonts w:ascii="宋体" w:hAnsi="宋体" w:cs="宋体"/>
          <w:b/>
          <w:sz w:val="24"/>
          <w:szCs w:val="24"/>
        </w:rPr>
      </w:pPr>
      <w:bookmarkStart w:id="583" w:name="_Toc14556"/>
      <w:r>
        <w:rPr>
          <w:rFonts w:hint="eastAsia" w:ascii="宋体" w:hAnsi="宋体" w:cs="宋体"/>
          <w:b/>
          <w:sz w:val="24"/>
          <w:szCs w:val="24"/>
        </w:rPr>
        <w:t>供应商：</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pPr>
        <w:spacing w:line="360" w:lineRule="auto"/>
        <w:ind w:firstLine="1687" w:firstLineChars="700"/>
        <w:jc w:val="right"/>
        <w:rPr>
          <w:rFonts w:ascii="宋体" w:hAnsi="宋体" w:cs="宋体"/>
          <w:b/>
          <w:sz w:val="24"/>
          <w:szCs w:val="24"/>
        </w:rPr>
      </w:pPr>
      <w:r>
        <w:rPr>
          <w:rFonts w:hint="eastAsia" w:ascii="宋体" w:hAnsi="宋体" w:cs="宋体"/>
          <w:b/>
          <w:sz w:val="24"/>
          <w:szCs w:val="24"/>
        </w:rPr>
        <w:t>法定代表人(单位负责人)或其委托代理人：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(电子签章或签名)</w:t>
      </w:r>
    </w:p>
    <w:p>
      <w:pPr>
        <w:spacing w:line="360" w:lineRule="auto"/>
        <w:ind w:firstLine="1687" w:firstLineChars="700"/>
        <w:jc w:val="right"/>
        <w:rPr>
          <w:rFonts w:ascii="宋体" w:hAnsi="宋体" w:cs="宋体"/>
          <w:sz w:val="24"/>
          <w:szCs w:val="24"/>
        </w:rPr>
        <w:sectPr>
          <w:footerReference r:id="rId19" w:type="default"/>
          <w:pgSz w:w="11905" w:h="16838"/>
          <w:pgMar w:top="1134" w:right="1134" w:bottom="1134" w:left="1134" w:header="720" w:footer="720" w:gutter="0"/>
          <w:cols w:space="0" w:num="1"/>
          <w:docGrid w:type="lines" w:linePitch="332" w:charSpace="0"/>
        </w:sectPr>
      </w:pPr>
      <w:r>
        <w:rPr>
          <w:rFonts w:hint="eastAsia" w:ascii="宋体" w:hAnsi="宋体" w:cs="宋体"/>
          <w:b/>
          <w:sz w:val="24"/>
          <w:szCs w:val="24"/>
        </w:rPr>
        <w:t>日期：</w:t>
      </w:r>
      <w:r>
        <w:rPr>
          <w:rFonts w:hint="eastAsia" w:ascii="宋体" w:hAnsi="宋体" w:cs="宋体"/>
          <w:bCs/>
          <w:sz w:val="24"/>
          <w:szCs w:val="24"/>
          <w:u w:val="single"/>
        </w:rPr>
        <w:t xml:space="preserve">      </w:t>
      </w:r>
      <w:r>
        <w:rPr>
          <w:rFonts w:hint="eastAsia" w:ascii="宋体" w:hAnsi="宋体" w:cs="宋体"/>
          <w:b/>
          <w:sz w:val="24"/>
          <w:szCs w:val="24"/>
        </w:rPr>
        <w:t>年</w:t>
      </w:r>
      <w:r>
        <w:rPr>
          <w:rFonts w:hint="eastAsia" w:ascii="宋体" w:hAnsi="宋体" w:cs="宋体"/>
          <w:bCs/>
          <w:sz w:val="24"/>
          <w:szCs w:val="24"/>
          <w:u w:val="single"/>
        </w:rPr>
        <w:t xml:space="preserve">     </w:t>
      </w:r>
      <w:r>
        <w:rPr>
          <w:rFonts w:hint="eastAsia" w:ascii="宋体" w:hAnsi="宋体" w:cs="宋体"/>
          <w:b/>
          <w:sz w:val="24"/>
          <w:szCs w:val="24"/>
        </w:rPr>
        <w:t>月</w:t>
      </w:r>
      <w:r>
        <w:rPr>
          <w:rFonts w:hint="eastAsia" w:ascii="宋体" w:hAnsi="宋体" w:cs="宋体"/>
          <w:bCs/>
          <w:sz w:val="24"/>
          <w:szCs w:val="24"/>
          <w:u w:val="single"/>
        </w:rPr>
        <w:t xml:space="preserve">     </w:t>
      </w:r>
      <w:r>
        <w:rPr>
          <w:rFonts w:hint="eastAsia" w:ascii="宋体" w:hAnsi="宋体" w:cs="宋体"/>
          <w:b/>
          <w:sz w:val="24"/>
          <w:szCs w:val="24"/>
        </w:rPr>
        <w:t>日</w:t>
      </w:r>
    </w:p>
    <w:p>
      <w:pPr>
        <w:pStyle w:val="5"/>
        <w:widowControl/>
        <w:numPr>
          <w:ilvl w:val="0"/>
          <w:numId w:val="8"/>
        </w:numPr>
        <w:autoSpaceDE w:val="0"/>
        <w:spacing w:before="0" w:after="0" w:line="240" w:lineRule="auto"/>
        <w:rPr>
          <w:rFonts w:ascii="宋体" w:hAnsi="宋体" w:cs="宋体"/>
          <w:sz w:val="24"/>
          <w:szCs w:val="24"/>
        </w:rPr>
      </w:pPr>
      <w:bookmarkStart w:id="584" w:name="_Toc14380"/>
      <w:bookmarkStart w:id="585" w:name="_Toc968"/>
      <w:r>
        <w:rPr>
          <w:rFonts w:hint="eastAsia" w:ascii="宋体" w:hAnsi="宋体" w:cs="宋体"/>
          <w:szCs w:val="28"/>
        </w:rPr>
        <w:t>其他资料</w:t>
      </w:r>
      <w:bookmarkEnd w:id="583"/>
      <w:bookmarkEnd w:id="584"/>
      <w:bookmarkEnd w:id="585"/>
    </w:p>
    <w:p>
      <w:pPr>
        <w:spacing w:before="166" w:beforeLines="50" w:line="360" w:lineRule="auto"/>
        <w:rPr>
          <w:rFonts w:ascii="宋体" w:hAnsi="宋体" w:cs="宋体"/>
          <w:sz w:val="24"/>
          <w:szCs w:val="24"/>
        </w:rPr>
      </w:pPr>
      <w:r>
        <w:rPr>
          <w:rFonts w:hint="eastAsia" w:ascii="宋体" w:hAnsi="宋体" w:cs="宋体"/>
          <w:sz w:val="24"/>
          <w:szCs w:val="24"/>
        </w:rPr>
        <w:t>(一)供应商能享受政策优惠的证明材料</w:t>
      </w:r>
    </w:p>
    <w:p>
      <w:pPr>
        <w:spacing w:before="166" w:beforeLines="50" w:line="360" w:lineRule="auto"/>
        <w:rPr>
          <w:rFonts w:ascii="宋体" w:hAnsi="宋体" w:cs="宋体"/>
          <w:sz w:val="24"/>
          <w:szCs w:val="24"/>
        </w:rPr>
      </w:pPr>
      <w:r>
        <w:rPr>
          <w:rFonts w:hint="eastAsia" w:ascii="宋体" w:hAnsi="宋体" w:cs="宋体"/>
          <w:sz w:val="24"/>
          <w:szCs w:val="24"/>
        </w:rPr>
        <w:t>(二)采购文件要求提交的其他资料</w:t>
      </w:r>
    </w:p>
    <w:p>
      <w:pPr>
        <w:spacing w:before="166" w:beforeLines="50" w:line="360" w:lineRule="auto"/>
        <w:rPr>
          <w:rFonts w:ascii="宋体" w:hAnsi="宋体" w:cs="宋体"/>
          <w:sz w:val="24"/>
          <w:szCs w:val="24"/>
        </w:rPr>
      </w:pPr>
      <w:r>
        <w:rPr>
          <w:rFonts w:hint="eastAsia" w:ascii="宋体" w:hAnsi="宋体" w:cs="宋体"/>
          <w:sz w:val="24"/>
          <w:szCs w:val="24"/>
        </w:rPr>
        <w:t>(三)供应商认为需要提交的其他资料</w:t>
      </w:r>
    </w:p>
    <w:p>
      <w:pPr>
        <w:spacing w:line="480" w:lineRule="auto"/>
        <w:jc w:val="center"/>
        <w:rPr>
          <w:rFonts w:ascii="宋体" w:hAnsi="宋体" w:cs="宋体"/>
          <w:b/>
          <w:bCs/>
          <w:sz w:val="24"/>
          <w:szCs w:val="24"/>
          <w:shd w:val="clear" w:color="auto" w:fill="FFFFFF"/>
        </w:rPr>
      </w:pPr>
      <w:r>
        <w:rPr>
          <w:rFonts w:hint="eastAsia" w:ascii="宋体" w:hAnsi="宋体" w:cs="宋体"/>
          <w:sz w:val="24"/>
          <w:szCs w:val="24"/>
        </w:rPr>
        <w:br w:type="page"/>
      </w:r>
      <w:r>
        <w:rPr>
          <w:rFonts w:hint="eastAsia" w:ascii="宋体" w:hAnsi="宋体" w:cs="宋体"/>
          <w:b/>
          <w:bCs/>
          <w:sz w:val="24"/>
          <w:szCs w:val="24"/>
          <w:shd w:val="clear" w:color="auto" w:fill="FFFFFF"/>
        </w:rPr>
        <w:t>中小企业声明函(货物)</w:t>
      </w:r>
    </w:p>
    <w:p>
      <w:pPr>
        <w:widowControl w:val="0"/>
        <w:spacing w:line="480" w:lineRule="auto"/>
        <w:ind w:firstLine="480" w:firstLineChars="200"/>
        <w:rPr>
          <w:rFonts w:ascii="宋体" w:hAnsi="宋体" w:cs="宋体"/>
          <w:sz w:val="24"/>
          <w:szCs w:val="24"/>
          <w:shd w:val="clear" w:color="auto" w:fill="FFFFFF"/>
        </w:rPr>
      </w:pPr>
      <w:r>
        <w:rPr>
          <w:rFonts w:hint="eastAsia" w:ascii="宋体" w:hAnsi="宋体" w:cs="宋体"/>
          <w:sz w:val="24"/>
          <w:szCs w:val="24"/>
          <w:shd w:val="clear" w:color="auto" w:fill="FFFFFF"/>
        </w:rPr>
        <w:t xml:space="preserve"> 本公司（联合体)郑重声明，根据《政府采购促进中小企业发展管理办法》(财库( 2020 )46号)的规定，本公司(联合体)参加</w:t>
      </w:r>
      <w:r>
        <w:rPr>
          <w:rFonts w:hint="eastAsia" w:ascii="宋体" w:hAnsi="宋体" w:cs="宋体"/>
          <w:sz w:val="24"/>
          <w:szCs w:val="24"/>
          <w:u w:val="single"/>
          <w:shd w:val="clear" w:color="auto" w:fill="FFFFFF"/>
        </w:rPr>
        <w:t xml:space="preserve">       (单位名称) </w:t>
      </w:r>
      <w:r>
        <w:rPr>
          <w:rFonts w:hint="eastAsia" w:ascii="宋体" w:hAnsi="宋体" w:cs="宋体"/>
          <w:sz w:val="24"/>
          <w:szCs w:val="24"/>
          <w:shd w:val="clear" w:color="auto" w:fill="FFFFFF"/>
        </w:rPr>
        <w:t>的</w:t>
      </w:r>
      <w:r>
        <w:rPr>
          <w:rFonts w:hint="eastAsia" w:ascii="宋体" w:hAnsi="宋体" w:cs="宋体"/>
          <w:sz w:val="24"/>
          <w:szCs w:val="24"/>
          <w:u w:val="single"/>
          <w:shd w:val="clear" w:color="auto" w:fill="FFFFFF"/>
        </w:rPr>
        <w:t xml:space="preserve">    (项目名称)</w:t>
      </w:r>
      <w:r>
        <w:rPr>
          <w:rFonts w:hint="eastAsia" w:ascii="宋体" w:hAnsi="宋体" w:cs="宋体"/>
          <w:sz w:val="24"/>
          <w:szCs w:val="24"/>
          <w:shd w:val="clear" w:color="auto" w:fill="FFFFFF"/>
        </w:rPr>
        <w:t>采购活动，提供的货物全部由符合政策要求的中小企业制造。相关企业(含联合体中的中小企业、签订分包意向协议的中小企业)的具体情况如下:</w:t>
      </w:r>
    </w:p>
    <w:p>
      <w:pPr>
        <w:widowControl w:val="0"/>
        <w:spacing w:line="480" w:lineRule="auto"/>
        <w:ind w:firstLine="480" w:firstLineChars="200"/>
        <w:jc w:val="both"/>
        <w:rPr>
          <w:rFonts w:ascii="宋体" w:hAnsi="宋体" w:cs="宋体"/>
          <w:sz w:val="24"/>
          <w:szCs w:val="24"/>
          <w:shd w:val="clear" w:color="auto" w:fill="FFFFFF"/>
        </w:rPr>
      </w:pPr>
      <w:r>
        <w:rPr>
          <w:rFonts w:hint="eastAsia" w:ascii="宋体" w:hAnsi="宋体" w:cs="宋体"/>
          <w:sz w:val="24"/>
          <w:szCs w:val="24"/>
          <w:shd w:val="clear" w:color="auto" w:fill="FFFFFF"/>
        </w:rPr>
        <w:t xml:space="preserve">1. </w:t>
      </w:r>
      <w:r>
        <w:rPr>
          <w:rFonts w:hint="eastAsia" w:ascii="宋体" w:hAnsi="宋体" w:cs="宋体"/>
          <w:sz w:val="24"/>
          <w:szCs w:val="24"/>
          <w:u w:val="single"/>
          <w:shd w:val="clear" w:color="auto" w:fill="FFFFFF"/>
        </w:rPr>
        <w:t xml:space="preserve">       (标的名称)</w:t>
      </w:r>
      <w:r>
        <w:rPr>
          <w:rFonts w:hint="eastAsia" w:ascii="宋体" w:hAnsi="宋体" w:cs="宋体"/>
          <w:sz w:val="24"/>
          <w:szCs w:val="24"/>
          <w:shd w:val="clear" w:color="auto" w:fill="FFFFFF"/>
        </w:rPr>
        <w:t>，属于</w:t>
      </w:r>
      <w:r>
        <w:rPr>
          <w:rFonts w:hint="eastAsia" w:ascii="宋体" w:hAnsi="宋体" w:cs="宋体"/>
          <w:sz w:val="24"/>
          <w:szCs w:val="24"/>
          <w:u w:val="single"/>
          <w:shd w:val="clear" w:color="auto" w:fill="FFFFFF"/>
        </w:rPr>
        <w:t xml:space="preserve">      (采购文件中明确的所属行业)</w:t>
      </w:r>
      <w:r>
        <w:rPr>
          <w:rFonts w:hint="eastAsia" w:ascii="宋体" w:hAnsi="宋体" w:cs="宋体"/>
          <w:sz w:val="24"/>
          <w:szCs w:val="24"/>
          <w:shd w:val="clear" w:color="auto" w:fill="FFFFFF"/>
        </w:rPr>
        <w:t>行业；制造商为</w:t>
      </w:r>
      <w:r>
        <w:rPr>
          <w:rFonts w:hint="eastAsia" w:ascii="宋体" w:hAnsi="宋体" w:cs="宋体"/>
          <w:sz w:val="24"/>
          <w:szCs w:val="24"/>
          <w:u w:val="single"/>
          <w:shd w:val="clear" w:color="auto" w:fill="FFFFFF"/>
        </w:rPr>
        <w:t xml:space="preserve">    (企业名称)</w:t>
      </w:r>
      <w:r>
        <w:rPr>
          <w:rFonts w:hint="eastAsia" w:ascii="宋体" w:hAnsi="宋体" w:cs="宋体"/>
          <w:sz w:val="24"/>
          <w:szCs w:val="24"/>
          <w:shd w:val="clear" w:color="auto" w:fill="FFFFFF"/>
        </w:rPr>
        <w:t>，从业人员</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人， 营业收入为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万元，资产总额为___ 万元</w:t>
      </w:r>
      <w:r>
        <w:rPr>
          <w:rFonts w:hint="eastAsia" w:ascii="宋体" w:hAnsi="宋体" w:cs="宋体"/>
          <w:sz w:val="24"/>
          <w:szCs w:val="24"/>
          <w:shd w:val="clear" w:color="auto" w:fill="FFFFFF"/>
          <w:vertAlign w:val="superscript"/>
        </w:rPr>
        <w:t>1</w:t>
      </w:r>
      <w:r>
        <w:rPr>
          <w:rFonts w:hint="eastAsia" w:ascii="宋体" w:hAnsi="宋体" w:cs="宋体"/>
          <w:sz w:val="24"/>
          <w:szCs w:val="24"/>
          <w:shd w:val="clear" w:color="auto" w:fill="FFFFFF"/>
        </w:rPr>
        <w:t>，属于</w:t>
      </w:r>
      <w:r>
        <w:rPr>
          <w:rFonts w:hint="eastAsia" w:ascii="宋体" w:hAnsi="宋体" w:cs="宋体"/>
          <w:sz w:val="24"/>
          <w:szCs w:val="24"/>
          <w:u w:val="single"/>
          <w:shd w:val="clear" w:color="auto" w:fill="FFFFFF"/>
        </w:rPr>
        <w:t xml:space="preserve">     （中型企业、小型企业、微型企业）</w:t>
      </w:r>
      <w:r>
        <w:rPr>
          <w:rFonts w:hint="eastAsia" w:ascii="宋体" w:hAnsi="宋体" w:cs="宋体"/>
          <w:sz w:val="24"/>
          <w:szCs w:val="24"/>
          <w:shd w:val="clear" w:color="auto" w:fill="FFFFFF"/>
        </w:rPr>
        <w:t>；</w:t>
      </w:r>
    </w:p>
    <w:p>
      <w:pPr>
        <w:widowControl w:val="0"/>
        <w:spacing w:line="360" w:lineRule="auto"/>
        <w:ind w:firstLine="480" w:firstLineChars="200"/>
        <w:rPr>
          <w:rFonts w:ascii="宋体" w:hAnsi="宋体" w:cs="宋体"/>
          <w:sz w:val="24"/>
          <w:szCs w:val="24"/>
          <w:shd w:val="clear" w:color="auto" w:fill="FFFFFF"/>
        </w:rPr>
      </w:pPr>
      <w:r>
        <w:rPr>
          <w:rFonts w:hint="eastAsia" w:ascii="宋体" w:hAnsi="宋体" w:cs="宋体"/>
          <w:sz w:val="24"/>
          <w:szCs w:val="24"/>
          <w:shd w:val="clear" w:color="auto" w:fill="FFFFFF"/>
        </w:rPr>
        <w:t>2.</w:t>
      </w:r>
      <w:r>
        <w:rPr>
          <w:rFonts w:hint="eastAsia" w:ascii="宋体" w:hAnsi="宋体" w:cs="宋体"/>
          <w:sz w:val="24"/>
          <w:szCs w:val="24"/>
          <w:u w:val="single"/>
          <w:shd w:val="clear" w:color="auto" w:fill="FFFFFF"/>
        </w:rPr>
        <w:t xml:space="preserve">      （标的名称)</w:t>
      </w:r>
      <w:r>
        <w:rPr>
          <w:rFonts w:hint="eastAsia" w:ascii="宋体" w:hAnsi="宋体" w:cs="宋体"/>
          <w:sz w:val="24"/>
          <w:szCs w:val="24"/>
          <w:shd w:val="clear" w:color="auto" w:fill="FFFFFF"/>
        </w:rPr>
        <w:t>， 属于</w:t>
      </w:r>
      <w:r>
        <w:rPr>
          <w:rFonts w:hint="eastAsia" w:ascii="宋体" w:hAnsi="宋体" w:cs="宋体"/>
          <w:sz w:val="24"/>
          <w:szCs w:val="24"/>
          <w:u w:val="single"/>
          <w:shd w:val="clear" w:color="auto" w:fill="FFFFFF"/>
        </w:rPr>
        <w:t xml:space="preserve">     （采购文件中明确的所属行业)</w:t>
      </w:r>
      <w:r>
        <w:rPr>
          <w:rFonts w:hint="eastAsia" w:ascii="宋体" w:hAnsi="宋体" w:cs="宋体"/>
          <w:sz w:val="24"/>
          <w:szCs w:val="24"/>
          <w:shd w:val="clear" w:color="auto" w:fill="FFFFFF"/>
        </w:rPr>
        <w:t>行业；制造商为</w:t>
      </w:r>
      <w:r>
        <w:rPr>
          <w:rFonts w:hint="eastAsia" w:ascii="宋体" w:hAnsi="宋体" w:cs="宋体"/>
          <w:sz w:val="24"/>
          <w:szCs w:val="24"/>
          <w:u w:val="single"/>
          <w:shd w:val="clear" w:color="auto" w:fill="FFFFFF"/>
        </w:rPr>
        <w:t xml:space="preserve">       (企业名称)</w:t>
      </w:r>
      <w:r>
        <w:rPr>
          <w:rFonts w:hint="eastAsia" w:ascii="宋体" w:hAnsi="宋体" w:cs="宋体"/>
          <w:sz w:val="24"/>
          <w:szCs w:val="24"/>
          <w:shd w:val="clear" w:color="auto" w:fill="FFFFFF"/>
        </w:rPr>
        <w:t>，从业人员</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人， 营业收入为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 资产总额为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万元，属于</w:t>
      </w:r>
      <w:r>
        <w:rPr>
          <w:rFonts w:hint="eastAsia" w:ascii="宋体" w:hAnsi="宋体" w:cs="宋体"/>
          <w:sz w:val="24"/>
          <w:szCs w:val="24"/>
          <w:u w:val="single"/>
          <w:shd w:val="clear" w:color="auto" w:fill="FFFFFF"/>
        </w:rPr>
        <w:t xml:space="preserve">   （中型企业、 小型企业、微型企业)</w:t>
      </w:r>
      <w:r>
        <w:rPr>
          <w:rFonts w:hint="eastAsia" w:ascii="宋体" w:hAnsi="宋体" w:cs="宋体"/>
          <w:sz w:val="24"/>
          <w:szCs w:val="24"/>
          <w:shd w:val="clear" w:color="auto" w:fill="FFFFFF"/>
        </w:rPr>
        <w:t>；</w:t>
      </w:r>
    </w:p>
    <w:p>
      <w:pPr>
        <w:widowControl w:val="0"/>
        <w:spacing w:line="480" w:lineRule="auto"/>
        <w:ind w:firstLine="480" w:firstLineChars="200"/>
        <w:rPr>
          <w:rFonts w:ascii="宋体" w:hAnsi="宋体" w:cs="宋体"/>
          <w:sz w:val="24"/>
          <w:szCs w:val="24"/>
          <w:shd w:val="clear" w:color="auto" w:fill="FFFFFF"/>
        </w:rPr>
      </w:pPr>
      <w:r>
        <w:rPr>
          <w:rFonts w:hint="eastAsia" w:ascii="宋体" w:hAnsi="宋体" w:cs="宋体"/>
          <w:sz w:val="24"/>
          <w:szCs w:val="24"/>
          <w:shd w:val="clear" w:color="auto" w:fill="FFFFFF"/>
        </w:rPr>
        <w:t>......</w:t>
      </w:r>
    </w:p>
    <w:p>
      <w:pPr>
        <w:widowControl w:val="0"/>
        <w:spacing w:line="480" w:lineRule="auto"/>
        <w:ind w:firstLine="480" w:firstLineChars="200"/>
        <w:rPr>
          <w:rFonts w:ascii="宋体" w:hAnsi="宋体" w:cs="宋体"/>
          <w:sz w:val="24"/>
          <w:szCs w:val="24"/>
          <w:shd w:val="clear" w:color="auto" w:fill="FFFFFF"/>
        </w:rPr>
      </w:pPr>
      <w:r>
        <w:rPr>
          <w:rFonts w:hint="eastAsia" w:ascii="宋体" w:hAnsi="宋体" w:cs="宋体"/>
          <w:sz w:val="24"/>
          <w:szCs w:val="24"/>
          <w:shd w:val="clear" w:color="auto" w:fill="FFFFFF"/>
        </w:rPr>
        <w:t>以上企业，不属于大企业的分支机构，不存在控股股东为大企业的情形，也不存在与大企业的负责人为同一人的情形。</w:t>
      </w:r>
    </w:p>
    <w:p>
      <w:pPr>
        <w:widowControl w:val="0"/>
        <w:spacing w:line="480" w:lineRule="auto"/>
        <w:ind w:firstLine="480" w:firstLineChars="200"/>
        <w:jc w:val="both"/>
        <w:rPr>
          <w:rFonts w:ascii="宋体" w:hAnsi="宋体" w:cs="宋体"/>
          <w:sz w:val="24"/>
          <w:szCs w:val="24"/>
          <w:shd w:val="clear" w:color="auto" w:fill="FFFFFF"/>
        </w:rPr>
      </w:pPr>
      <w:r>
        <w:rPr>
          <w:rFonts w:hint="eastAsia" w:ascii="宋体" w:hAnsi="宋体" w:cs="宋体"/>
          <w:sz w:val="24"/>
          <w:szCs w:val="24"/>
          <w:shd w:val="clear" w:color="auto" w:fill="FFFFFF"/>
        </w:rPr>
        <w:t>本企业对上述声明内容的真实性负责。如有虛假，将依法承担相应责任。</w:t>
      </w:r>
    </w:p>
    <w:p>
      <w:pPr>
        <w:spacing w:line="480" w:lineRule="auto"/>
        <w:ind w:left="3360" w:hanging="3360" w:hangingChars="1400"/>
        <w:jc w:val="center"/>
        <w:rPr>
          <w:rFonts w:ascii="宋体" w:hAnsi="宋体" w:cs="宋体"/>
          <w:sz w:val="24"/>
          <w:szCs w:val="24"/>
          <w:shd w:val="clear" w:color="auto" w:fill="FFFFFF"/>
        </w:rPr>
      </w:pPr>
      <w:r>
        <w:rPr>
          <w:rFonts w:hint="eastAsia" w:ascii="宋体" w:hAnsi="宋体" w:cs="宋体"/>
          <w:sz w:val="24"/>
          <w:szCs w:val="24"/>
          <w:shd w:val="clear" w:color="auto" w:fill="FFFFFF"/>
        </w:rPr>
        <w:t>企业名称(盖章):</w:t>
      </w:r>
    </w:p>
    <w:p>
      <w:pPr>
        <w:spacing w:line="480" w:lineRule="auto"/>
        <w:ind w:firstLine="4080" w:firstLineChars="1700"/>
        <w:jc w:val="both"/>
        <w:rPr>
          <w:rFonts w:ascii="宋体" w:hAnsi="宋体" w:cs="宋体"/>
          <w:sz w:val="24"/>
          <w:szCs w:val="24"/>
          <w:shd w:val="clear" w:color="auto" w:fill="FFFFFF"/>
        </w:rPr>
      </w:pPr>
      <w:r>
        <w:rPr>
          <w:rFonts w:hint="eastAsia" w:ascii="宋体" w:hAnsi="宋体" w:cs="宋体"/>
          <w:sz w:val="24"/>
          <w:szCs w:val="24"/>
          <w:shd w:val="clear" w:color="auto" w:fill="FFFFFF"/>
        </w:rPr>
        <w:t>日 期:</w:t>
      </w:r>
    </w:p>
    <w:p>
      <w:pPr>
        <w:spacing w:line="480" w:lineRule="auto"/>
        <w:jc w:val="both"/>
        <w:rPr>
          <w:rFonts w:ascii="宋体" w:hAnsi="宋体" w:cs="宋体"/>
          <w:sz w:val="24"/>
          <w:szCs w:val="24"/>
          <w:u w:val="single"/>
          <w:shd w:val="clear" w:color="auto" w:fill="FFFFFF"/>
        </w:rPr>
      </w:pPr>
      <w:r>
        <w:rPr>
          <w:rFonts w:hint="eastAsia" w:ascii="宋体" w:hAnsi="宋体" w:cs="宋体"/>
          <w:sz w:val="24"/>
          <w:szCs w:val="24"/>
          <w:u w:val="single"/>
          <w:shd w:val="clear" w:color="auto" w:fill="FFFFFF"/>
        </w:rPr>
        <w:t xml:space="preserve">                   </w:t>
      </w:r>
    </w:p>
    <w:p>
      <w:pPr>
        <w:spacing w:line="480" w:lineRule="auto"/>
        <w:rPr>
          <w:rFonts w:ascii="宋体" w:hAnsi="宋体" w:cs="宋体"/>
          <w:sz w:val="18"/>
          <w:szCs w:val="18"/>
          <w:shd w:val="clear" w:color="auto" w:fill="FFFFFF"/>
        </w:rPr>
      </w:pPr>
      <w:r>
        <w:rPr>
          <w:rFonts w:hint="eastAsia" w:ascii="宋体" w:hAnsi="宋体" w:cs="宋体"/>
          <w:sz w:val="18"/>
          <w:szCs w:val="18"/>
          <w:shd w:val="clear" w:color="auto" w:fill="FFFFFF"/>
        </w:rPr>
        <w:t>注：从业人员、营业收入、资产总额填报上一年度数据，无上一年度数据的新成立企业可不填报。</w:t>
      </w:r>
      <w:bookmarkStart w:id="586" w:name="_Toc12254"/>
      <w:bookmarkEnd w:id="586"/>
      <w:bookmarkStart w:id="587" w:name="_Toc468"/>
      <w:bookmarkEnd w:id="587"/>
    </w:p>
    <w:sectPr>
      <w:headerReference r:id="rId20" w:type="default"/>
      <w:footerReference r:id="rId21" w:type="default"/>
      <w:pgSz w:w="11905" w:h="16838"/>
      <w:pgMar w:top="1134" w:right="1134" w:bottom="1134" w:left="1134" w:header="720" w:footer="720" w:gutter="0"/>
      <w:cols w:space="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modern"/>
    <w:pitch w:val="default"/>
    <w:sig w:usb0="00000000" w:usb1="00000000" w:usb2="00000010" w:usb3="00000000" w:csb0="00040000" w:csb1="00000000"/>
  </w:font>
  <w:font w:name="长城仿宋">
    <w:altName w:val="微软雅黑"/>
    <w:panose1 w:val="00000000000000000000"/>
    <w:charset w:val="86"/>
    <w:family w:val="modern"/>
    <w:pitch w:val="default"/>
    <w:sig w:usb0="00000000" w:usb1="00000000" w:usb2="0000001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方正楷体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4002009F" w:csb1="DFD7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54" o:spid="_x0000_s206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32</w:t>
                </w:r>
                <w:r>
                  <w:fldChar w:fldCharType="end"/>
                </w:r>
              </w:p>
            </w:txbxContent>
          </v:textbox>
        </v:shape>
      </w:pict>
    </w:r>
  </w:p>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55" o:spid="_x0000_s206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43</w:t>
                </w:r>
                <w:r>
                  <w:fldChar w:fldCharType="end"/>
                </w:r>
              </w:p>
            </w:txbxContent>
          </v:textbox>
        </v:shape>
      </w:pict>
    </w:r>
  </w:p>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r>
      <w:pict>
        <v:shape id="文本框 57" o:spid="_x0000_s206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75</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_x0000_s2068" o:spid="_x0000_s2068" o:spt="202" type="#_x0000_t202" style="position:absolute;left:0pt;margin-top:0pt;height:144pt;width:144pt;mso-position-horizontal:center;mso-position-horizontal-relative:margin;mso-wrap-style:none;z-index:251671552;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77</w:t>
                </w:r>
                <w:r>
                  <w:fldChar w:fldCharType="end"/>
                </w:r>
              </w:p>
            </w:txbxContent>
          </v:textbox>
        </v:shape>
      </w:pict>
    </w:r>
  </w:p>
  <w:p>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58" o:spid="_x0000_s206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80</w:t>
                </w:r>
                <w:r>
                  <w:fldChar w:fldCharType="end"/>
                </w:r>
              </w:p>
            </w:txbxContent>
          </v:textbox>
        </v:shape>
      </w:pict>
    </w:r>
  </w:p>
  <w:p>
    <w:pPr>
      <w:pStyle w:val="28"/>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_x0000_s2070" o:spid="_x0000_s2070"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81</w:t>
                </w:r>
                <w:r>
                  <w:fldChar w:fldCharType="end"/>
                </w:r>
              </w:p>
            </w:txbxContent>
          </v:textbox>
        </v:shape>
      </w:pict>
    </w:r>
  </w:p>
  <w:p>
    <w:pPr>
      <w:pStyle w:val="28"/>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_x0000_s2071" o:spid="_x0000_s2071"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83</w:t>
                </w:r>
                <w:r>
                  <w:fldChar w:fldCharType="end"/>
                </w:r>
              </w:p>
            </w:txbxContent>
          </v:textbox>
        </v:shape>
      </w:pict>
    </w:r>
  </w:p>
  <w:p>
    <w:pPr>
      <w:pStyle w:val="2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56" o:spid="_x0000_s2072"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87</w:t>
                </w:r>
                <w:r>
                  <w:fldChar w:fldCharType="end"/>
                </w:r>
              </w:p>
            </w:txbxContent>
          </v:textbox>
        </v:shape>
      </w:pict>
    </w:r>
  </w:p>
  <w:p>
    <w:pPr>
      <w:pStyle w:val="28"/>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_x0000_s2073" o:spid="_x0000_s2073"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88</w:t>
                </w:r>
                <w:r>
                  <w:fldChar w:fldCharType="end"/>
                </w:r>
              </w:p>
            </w:txbxContent>
          </v:textbox>
        </v:shape>
      </w:pict>
    </w:r>
  </w:p>
  <w:p>
    <w:pPr>
      <w:pStyle w:val="28"/>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_x0000_s2074" o:spid="_x0000_s2074"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98</w:t>
                </w:r>
                <w:r>
                  <w:fldChar w:fldCharType="end"/>
                </w:r>
              </w:p>
            </w:txbxContent>
          </v:textbox>
        </v:shape>
      </w:pict>
    </w:r>
  </w:p>
  <w:p>
    <w:pPr>
      <w:pStyle w:val="28"/>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61" o:spid="_x0000_s2079"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99</w:t>
                </w:r>
                <w:r>
                  <w:fldChar w:fldCharType="end"/>
                </w:r>
              </w:p>
            </w:txbxContent>
          </v:textbox>
        </v:shape>
      </w:pict>
    </w:r>
  </w:p>
  <w:p>
    <w:pPr>
      <w:pStyle w:val="28"/>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60" o:spid="_x0000_s2080"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101</w:t>
                </w:r>
                <w:r>
                  <w:fldChar w:fldCharType="end"/>
                </w:r>
              </w:p>
            </w:txbxContent>
          </v:textbox>
        </v:shape>
      </w:pict>
    </w:r>
  </w:p>
  <w:p>
    <w:pPr>
      <w:pStyle w:val="28"/>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pict>
        <v:shape id="文本框 62" o:spid="_x0000_s2085"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joinstyle="miter"/>
          <v:imagedata o:title=""/>
          <o:lock v:ext="edit"/>
          <v:textbox inset="0mm,0mm,0mm,0mm" style="mso-fit-shape-to-text:t;">
            <w:txbxContent>
              <w:p>
                <w:pPr>
                  <w:pStyle w:val="28"/>
                </w:pPr>
                <w:r>
                  <w:fldChar w:fldCharType="begin"/>
                </w:r>
                <w:r>
                  <w:instrText xml:space="preserve"> PAGE  \* MERGEFORMAT </w:instrText>
                </w:r>
                <w:r>
                  <w:fldChar w:fldCharType="separate"/>
                </w:r>
                <w:r>
                  <w:t>103</w:t>
                </w:r>
                <w:r>
                  <w:fldChar w:fldCharType="end"/>
                </w:r>
              </w:p>
            </w:txbxContent>
          </v:textbox>
        </v:shape>
      </w:pict>
    </w:r>
  </w:p>
  <w:p>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r>
      <w:rPr>
        <w:rFonts w:hint="eastAsia" w:ascii="楷体" w:hAnsi="楷体" w:eastAsia="楷体" w:cs="楷体"/>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right="180"/>
      <w:jc w:val="right"/>
    </w:pPr>
    <w:r>
      <w:rPr>
        <w:rFonts w:hint="eastAsia"/>
        <w:b/>
        <w:bCs/>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right="360"/>
      <w:jc w:val="right"/>
    </w:pPr>
    <w:r>
      <w:rPr>
        <w:rFonts w:hint="eastAsia"/>
        <w:b/>
        <w:bCs/>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C4EC02"/>
    <w:multiLevelType w:val="singleLevel"/>
    <w:tmpl w:val="D4C4EC02"/>
    <w:lvl w:ilvl="0" w:tentative="0">
      <w:start w:val="8"/>
      <w:numFmt w:val="decimal"/>
      <w:lvlText w:val="%1."/>
      <w:lvlJc w:val="left"/>
      <w:pPr>
        <w:tabs>
          <w:tab w:val="left" w:pos="312"/>
        </w:tabs>
      </w:pPr>
    </w:lvl>
  </w:abstractNum>
  <w:abstractNum w:abstractNumId="1">
    <w:nsid w:val="19D11AFA"/>
    <w:multiLevelType w:val="multilevel"/>
    <w:tmpl w:val="19D11AFA"/>
    <w:lvl w:ilvl="0" w:tentative="0">
      <w:start w:val="1"/>
      <w:numFmt w:val="bullet"/>
      <w:pStyle w:val="171"/>
      <w:lvlText w:val=""/>
      <w:lvlJc w:val="left"/>
      <w:pPr>
        <w:tabs>
          <w:tab w:val="left" w:pos="3660"/>
        </w:tabs>
        <w:ind w:left="3660" w:hanging="420"/>
      </w:pPr>
      <w:rPr>
        <w:rFonts w:hint="default" w:ascii="Wingdings" w:hAnsi="Wingdings"/>
      </w:rPr>
    </w:lvl>
    <w:lvl w:ilvl="1" w:tentative="0">
      <w:start w:val="1"/>
      <w:numFmt w:val="bullet"/>
      <w:lvlText w:val=""/>
      <w:lvlJc w:val="left"/>
      <w:pPr>
        <w:tabs>
          <w:tab w:val="left" w:pos="-360"/>
        </w:tabs>
        <w:ind w:left="-360" w:hanging="420"/>
      </w:pPr>
      <w:rPr>
        <w:rFonts w:hint="default" w:ascii="Wingdings" w:hAnsi="Wingdings"/>
      </w:rPr>
    </w:lvl>
    <w:lvl w:ilvl="2" w:tentative="0">
      <w:start w:val="1"/>
      <w:numFmt w:val="bullet"/>
      <w:lvlText w:val=""/>
      <w:lvlJc w:val="left"/>
      <w:pPr>
        <w:tabs>
          <w:tab w:val="left" w:pos="60"/>
        </w:tabs>
        <w:ind w:left="60" w:hanging="420"/>
      </w:pPr>
      <w:rPr>
        <w:rFonts w:hint="default" w:ascii="Wingdings" w:hAnsi="Wingdings"/>
      </w:rPr>
    </w:lvl>
    <w:lvl w:ilvl="3" w:tentative="0">
      <w:start w:val="1"/>
      <w:numFmt w:val="bullet"/>
      <w:lvlText w:val=""/>
      <w:lvlJc w:val="left"/>
      <w:pPr>
        <w:tabs>
          <w:tab w:val="left" w:pos="480"/>
        </w:tabs>
        <w:ind w:left="480" w:hanging="420"/>
      </w:pPr>
      <w:rPr>
        <w:rFonts w:hint="default" w:ascii="Wingdings" w:hAnsi="Wingdings"/>
      </w:rPr>
    </w:lvl>
    <w:lvl w:ilvl="4" w:tentative="0">
      <w:start w:val="1"/>
      <w:numFmt w:val="bullet"/>
      <w:lvlText w:val=""/>
      <w:lvlJc w:val="left"/>
      <w:pPr>
        <w:tabs>
          <w:tab w:val="left" w:pos="900"/>
        </w:tabs>
        <w:ind w:left="900" w:hanging="420"/>
      </w:pPr>
      <w:rPr>
        <w:rFonts w:hint="default" w:ascii="Wingdings" w:hAnsi="Wingdings"/>
      </w:rPr>
    </w:lvl>
    <w:lvl w:ilvl="5" w:tentative="0">
      <w:start w:val="1"/>
      <w:numFmt w:val="bullet"/>
      <w:lvlText w:val=""/>
      <w:lvlJc w:val="left"/>
      <w:pPr>
        <w:tabs>
          <w:tab w:val="left" w:pos="1320"/>
        </w:tabs>
        <w:ind w:left="1320" w:hanging="420"/>
      </w:pPr>
      <w:rPr>
        <w:rFonts w:hint="default" w:ascii="Wingdings" w:hAnsi="Wingdings"/>
      </w:rPr>
    </w:lvl>
    <w:lvl w:ilvl="6" w:tentative="0">
      <w:start w:val="1"/>
      <w:numFmt w:val="bullet"/>
      <w:lvlText w:val=""/>
      <w:lvlJc w:val="left"/>
      <w:pPr>
        <w:tabs>
          <w:tab w:val="left" w:pos="1740"/>
        </w:tabs>
        <w:ind w:left="1740" w:hanging="420"/>
      </w:pPr>
      <w:rPr>
        <w:rFonts w:hint="default" w:ascii="Wingdings" w:hAnsi="Wingdings"/>
      </w:rPr>
    </w:lvl>
    <w:lvl w:ilvl="7" w:tentative="0">
      <w:start w:val="1"/>
      <w:numFmt w:val="bullet"/>
      <w:lvlText w:val=""/>
      <w:lvlJc w:val="left"/>
      <w:pPr>
        <w:tabs>
          <w:tab w:val="left" w:pos="2160"/>
        </w:tabs>
        <w:ind w:left="2160" w:hanging="420"/>
      </w:pPr>
      <w:rPr>
        <w:rFonts w:hint="default" w:ascii="Wingdings" w:hAnsi="Wingdings"/>
      </w:rPr>
    </w:lvl>
    <w:lvl w:ilvl="8" w:tentative="0">
      <w:start w:val="1"/>
      <w:numFmt w:val="bullet"/>
      <w:lvlText w:val=""/>
      <w:lvlJc w:val="left"/>
      <w:pPr>
        <w:tabs>
          <w:tab w:val="left" w:pos="2580"/>
        </w:tabs>
        <w:ind w:left="2580" w:hanging="420"/>
      </w:pPr>
      <w:rPr>
        <w:rFonts w:hint="default" w:ascii="Wingdings" w:hAnsi="Wingdings"/>
      </w:rPr>
    </w:lvl>
  </w:abstractNum>
  <w:abstractNum w:abstractNumId="2">
    <w:nsid w:val="216BE14E"/>
    <w:multiLevelType w:val="singleLevel"/>
    <w:tmpl w:val="216BE14E"/>
    <w:lvl w:ilvl="0" w:tentative="0">
      <w:start w:val="1"/>
      <w:numFmt w:val="decimal"/>
      <w:lvlText w:val="%1."/>
      <w:lvlJc w:val="left"/>
      <w:pPr>
        <w:tabs>
          <w:tab w:val="left" w:pos="312"/>
        </w:tabs>
      </w:pPr>
    </w:lvl>
  </w:abstractNum>
  <w:abstractNum w:abstractNumId="3">
    <w:nsid w:val="27215942"/>
    <w:multiLevelType w:val="multilevel"/>
    <w:tmpl w:val="27215942"/>
    <w:lvl w:ilvl="0" w:tentative="0">
      <w:start w:val="1"/>
      <w:numFmt w:val="decimal"/>
      <w:lvlText w:val="%1."/>
      <w:lvlJc w:val="left"/>
      <w:pPr>
        <w:ind w:left="425" w:hanging="425"/>
      </w:pPr>
      <w:rPr>
        <w:rFonts w:cs="Times New Roman"/>
      </w:rPr>
    </w:lvl>
    <w:lvl w:ilvl="1" w:tentative="0">
      <w:start w:val="1"/>
      <w:numFmt w:val="decimal"/>
      <w:pStyle w:val="222"/>
      <w:lvlText w:val="%1.%2."/>
      <w:lvlJc w:val="left"/>
      <w:pPr>
        <w:ind w:left="567" w:hanging="567"/>
      </w:pPr>
      <w:rPr>
        <w:rFonts w:cs="Times New Roman"/>
      </w:rPr>
    </w:lvl>
    <w:lvl w:ilvl="2" w:tentative="0">
      <w:start w:val="1"/>
      <w:numFmt w:val="decimal"/>
      <w:lvlText w:val="%1.%2.%3."/>
      <w:lvlJc w:val="left"/>
      <w:pPr>
        <w:ind w:left="709" w:hanging="709"/>
      </w:pPr>
      <w:rPr>
        <w:rFonts w:cs="Times New Roman"/>
      </w:rPr>
    </w:lvl>
    <w:lvl w:ilvl="3" w:tentative="0">
      <w:start w:val="1"/>
      <w:numFmt w:val="decimal"/>
      <w:lvlText w:val="%1.%2.%3.%4."/>
      <w:lvlJc w:val="left"/>
      <w:pPr>
        <w:ind w:left="851" w:hanging="851"/>
      </w:pPr>
      <w:rPr>
        <w:rFonts w:cs="Times New Roman"/>
      </w:rPr>
    </w:lvl>
    <w:lvl w:ilvl="4" w:tentative="0">
      <w:start w:val="1"/>
      <w:numFmt w:val="decimal"/>
      <w:lvlText w:val="%1.%2.%3.%4.%5."/>
      <w:lvlJc w:val="left"/>
      <w:pPr>
        <w:ind w:left="992" w:hanging="992"/>
      </w:pPr>
      <w:rPr>
        <w:rFonts w:cs="Times New Roman"/>
      </w:rPr>
    </w:lvl>
    <w:lvl w:ilvl="5" w:tentative="0">
      <w:start w:val="1"/>
      <w:numFmt w:val="decimal"/>
      <w:lvlText w:val="%1.%2.%3.%4.%5.%6."/>
      <w:lvlJc w:val="left"/>
      <w:pPr>
        <w:ind w:left="1134" w:hanging="1134"/>
      </w:pPr>
      <w:rPr>
        <w:rFonts w:cs="Times New Roman"/>
      </w:rPr>
    </w:lvl>
    <w:lvl w:ilvl="6" w:tentative="0">
      <w:start w:val="1"/>
      <w:numFmt w:val="decimal"/>
      <w:lvlText w:val="%1.%2.%3.%4.%5.%6.%7."/>
      <w:lvlJc w:val="left"/>
      <w:pPr>
        <w:ind w:left="1276" w:hanging="1276"/>
      </w:pPr>
      <w:rPr>
        <w:rFonts w:cs="Times New Roman"/>
      </w:rPr>
    </w:lvl>
    <w:lvl w:ilvl="7" w:tentative="0">
      <w:start w:val="1"/>
      <w:numFmt w:val="decimal"/>
      <w:lvlText w:val="%1.%2.%3.%4.%5.%6.%7.%8."/>
      <w:lvlJc w:val="left"/>
      <w:pPr>
        <w:ind w:left="1418" w:hanging="1418"/>
      </w:pPr>
      <w:rPr>
        <w:rFonts w:cs="Times New Roman"/>
      </w:rPr>
    </w:lvl>
    <w:lvl w:ilvl="8" w:tentative="0">
      <w:start w:val="1"/>
      <w:numFmt w:val="decimal"/>
      <w:lvlText w:val="%1.%2.%3.%4.%5.%6.%7.%8.%9."/>
      <w:lvlJc w:val="left"/>
      <w:pPr>
        <w:ind w:left="1559" w:hanging="1559"/>
      </w:pPr>
      <w:rPr>
        <w:rFonts w:cs="Times New Roman"/>
      </w:rPr>
    </w:lvl>
  </w:abstractNum>
  <w:abstractNum w:abstractNumId="4">
    <w:nsid w:val="36AD47A7"/>
    <w:multiLevelType w:val="multilevel"/>
    <w:tmpl w:val="36AD47A7"/>
    <w:lvl w:ilvl="0" w:tentative="0">
      <w:start w:val="1"/>
      <w:numFmt w:val="chineseCountingThousand"/>
      <w:lvlText w:val="第%1章"/>
      <w:lvlJc w:val="left"/>
      <w:pPr>
        <w:ind w:left="0" w:firstLine="0"/>
      </w:pPr>
      <w:rPr>
        <w:rFonts w:hint="default" w:ascii="Times New Roman" w:hAnsi="Times New Roman" w:eastAsia="宋体"/>
        <w:b/>
        <w:i w:val="0"/>
        <w:sz w:val="30"/>
      </w:rPr>
    </w:lvl>
    <w:lvl w:ilvl="1" w:tentative="0">
      <w:start w:val="1"/>
      <w:numFmt w:val="decimal"/>
      <w:isLgl/>
      <w:lvlText w:val="%1.%2"/>
      <w:lvlJc w:val="left"/>
      <w:pPr>
        <w:ind w:left="0" w:firstLine="0"/>
      </w:pPr>
      <w:rPr>
        <w:rFonts w:hint="default" w:ascii="Times New Roman" w:hAnsi="Times New Roman" w:eastAsia="宋体"/>
        <w:b/>
        <w:i w:val="0"/>
        <w:color w:val="auto"/>
        <w:sz w:val="30"/>
      </w:rPr>
    </w:lvl>
    <w:lvl w:ilvl="2" w:tentative="0">
      <w:start w:val="1"/>
      <w:numFmt w:val="decimal"/>
      <w:isLgl/>
      <w:lvlText w:val="%1.%2.%3"/>
      <w:lvlJc w:val="left"/>
      <w:pPr>
        <w:ind w:left="0" w:firstLine="0"/>
      </w:pPr>
      <w:rPr>
        <w:rFonts w:hint="default" w:ascii="Times New Roman" w:hAnsi="Times New Roman" w:eastAsia="宋体"/>
        <w:b/>
        <w:i w:val="0"/>
        <w:sz w:val="28"/>
      </w:rPr>
    </w:lvl>
    <w:lvl w:ilvl="3" w:tentative="0">
      <w:start w:val="1"/>
      <w:numFmt w:val="decimal"/>
      <w:pStyle w:val="6"/>
      <w:isLgl/>
      <w:lvlText w:val="%1.%2.%3.%4"/>
      <w:lvlJc w:val="left"/>
      <w:pPr>
        <w:ind w:left="0" w:firstLine="0"/>
      </w:pPr>
      <w:rPr>
        <w:rFonts w:hint="default" w:ascii="Times New Roman" w:hAnsi="Times New Roman" w:eastAsia="宋体"/>
        <w:b/>
        <w:i w:val="0"/>
        <w:sz w:val="28"/>
      </w:rPr>
    </w:lvl>
    <w:lvl w:ilvl="4" w:tentative="0">
      <w:start w:val="1"/>
      <w:numFmt w:val="decimal"/>
      <w:isLgl/>
      <w:lvlText w:val="%1.%2.%3.%4.%5"/>
      <w:lvlJc w:val="left"/>
      <w:pPr>
        <w:ind w:left="0" w:firstLine="0"/>
      </w:pPr>
      <w:rPr>
        <w:rFonts w:hint="default" w:ascii="Times New Roman" w:hAnsi="Times New Roman" w:eastAsia="宋体"/>
        <w:b/>
        <w:i w:val="0"/>
        <w:sz w:val="24"/>
      </w:rPr>
    </w:lvl>
    <w:lvl w:ilvl="5" w:tentative="0">
      <w:start w:val="1"/>
      <w:numFmt w:val="decimal"/>
      <w:isLgl/>
      <w:lvlText w:val="%1.%2.%3.%4.%5.%6"/>
      <w:lvlJc w:val="left"/>
      <w:pPr>
        <w:ind w:left="0" w:firstLine="0"/>
      </w:pPr>
      <w:rPr>
        <w:rFonts w:hint="default" w:ascii="Times New Roman" w:hAnsi="Times New Roman" w:eastAsia="宋体"/>
        <w:b/>
        <w:i w:val="0"/>
        <w:sz w:val="24"/>
      </w:rPr>
    </w:lvl>
    <w:lvl w:ilvl="6" w:tentative="0">
      <w:start w:val="1"/>
      <w:numFmt w:val="decimal"/>
      <w:isLgl/>
      <w:lvlText w:val="%1.%2.%3.%4.%5.%6.%7"/>
      <w:lvlJc w:val="left"/>
      <w:pPr>
        <w:ind w:left="0" w:firstLine="0"/>
      </w:pPr>
      <w:rPr>
        <w:rFonts w:hint="default" w:ascii="Times New Roman" w:hAnsi="Times New Roman" w:eastAsia="宋体"/>
        <w:b/>
        <w:i w:val="0"/>
        <w:sz w:val="24"/>
      </w:rPr>
    </w:lvl>
    <w:lvl w:ilvl="7" w:tentative="0">
      <w:start w:val="1"/>
      <w:numFmt w:val="decimal"/>
      <w:isLgl/>
      <w:lvlText w:val="%1.%2.%3.%4.%5.%6.%7.%8"/>
      <w:lvlJc w:val="left"/>
      <w:pPr>
        <w:ind w:left="0" w:firstLine="0"/>
      </w:pPr>
      <w:rPr>
        <w:rFonts w:hint="default" w:ascii="Times New Roman" w:hAnsi="Times New Roman" w:eastAsia="宋体"/>
        <w:b/>
        <w:i w:val="0"/>
        <w:sz w:val="24"/>
      </w:rPr>
    </w:lvl>
    <w:lvl w:ilvl="8" w:tentative="0">
      <w:start w:val="1"/>
      <w:numFmt w:val="decimal"/>
      <w:isLgl/>
      <w:lvlText w:val="%1.%2.%3.%4.%5.%6.%7.%8.%9"/>
      <w:lvlJc w:val="left"/>
      <w:pPr>
        <w:ind w:left="0" w:firstLine="0"/>
      </w:pPr>
      <w:rPr>
        <w:rFonts w:hint="default" w:ascii="Times New Roman" w:hAnsi="Times New Roman" w:eastAsia="宋体"/>
        <w:b/>
        <w:i w:val="0"/>
        <w:sz w:val="24"/>
      </w:rPr>
    </w:lvl>
  </w:abstractNum>
  <w:abstractNum w:abstractNumId="5">
    <w:nsid w:val="40C51ACC"/>
    <w:multiLevelType w:val="singleLevel"/>
    <w:tmpl w:val="40C51ACC"/>
    <w:lvl w:ilvl="0" w:tentative="0">
      <w:start w:val="1"/>
      <w:numFmt w:val="chineseCounting"/>
      <w:suff w:val="nothing"/>
      <w:lvlText w:val="%1、"/>
      <w:lvlJc w:val="left"/>
      <w:pPr>
        <w:ind w:left="-420" w:firstLine="420"/>
      </w:pPr>
      <w:rPr>
        <w:rFonts w:hint="eastAsia"/>
      </w:rPr>
    </w:lvl>
  </w:abstractNum>
  <w:abstractNum w:abstractNumId="6">
    <w:nsid w:val="5334462C"/>
    <w:multiLevelType w:val="singleLevel"/>
    <w:tmpl w:val="5334462C"/>
    <w:lvl w:ilvl="0" w:tentative="0">
      <w:start w:val="5"/>
      <w:numFmt w:val="chineseCounting"/>
      <w:suff w:val="space"/>
      <w:lvlText w:val="第%1章"/>
      <w:lvlJc w:val="left"/>
      <w:rPr>
        <w:rFonts w:hint="eastAsia"/>
      </w:rPr>
    </w:lvl>
  </w:abstractNum>
  <w:abstractNum w:abstractNumId="7">
    <w:nsid w:val="67ED3140"/>
    <w:multiLevelType w:val="multilevel"/>
    <w:tmpl w:val="67ED3140"/>
    <w:lvl w:ilvl="0" w:tentative="0">
      <w:start w:val="1"/>
      <w:numFmt w:val="decimal"/>
      <w:isLgl/>
      <w:suff w:val="space"/>
      <w:lvlText w:val="第%1章"/>
      <w:lvlJc w:val="left"/>
      <w:pPr>
        <w:ind w:left="0" w:firstLine="0"/>
      </w:pPr>
      <w:rPr>
        <w:rFonts w:hint="default" w:ascii="黑体" w:hAnsi="黑体" w:eastAsia="黑体"/>
        <w:b/>
        <w:i w:val="0"/>
        <w:color w:val="auto"/>
        <w:spacing w:val="20"/>
        <w:w w:val="100"/>
        <w:position w:val="0"/>
        <w:sz w:val="32"/>
        <w:szCs w:val="32"/>
      </w:rPr>
    </w:lvl>
    <w:lvl w:ilvl="1" w:tentative="0">
      <w:start w:val="1"/>
      <w:numFmt w:val="decimal"/>
      <w:pStyle w:val="195"/>
      <w:suff w:val="space"/>
      <w:lvlText w:val="第%2节"/>
      <w:lvlJc w:val="left"/>
      <w:pPr>
        <w:ind w:left="142" w:firstLine="0"/>
      </w:pPr>
      <w:rPr>
        <w:rFonts w:hint="eastAsia" w:eastAsia="宋体"/>
        <w:b/>
        <w:i w:val="0"/>
        <w:caps w:val="0"/>
        <w:strike w:val="0"/>
        <w:vanish w:val="0"/>
        <w:color w:val="auto"/>
        <w:spacing w:val="20"/>
        <w:sz w:val="32"/>
        <w:szCs w:val="32"/>
        <w:u w:val="none"/>
        <w:lang w:val="en-US"/>
      </w:rPr>
    </w:lvl>
    <w:lvl w:ilvl="2" w:tentative="0">
      <w:start w:val="1"/>
      <w:numFmt w:val="decimal"/>
      <w:suff w:val="space"/>
      <w:lvlText w:val="%1.%2.%3"/>
      <w:lvlJc w:val="left"/>
      <w:pPr>
        <w:ind w:left="0" w:firstLine="0"/>
      </w:pPr>
      <w:rPr>
        <w:rFonts w:hint="default" w:ascii="Times New Roman" w:hAnsi="Times New Roman" w:eastAsia="宋体" w:cs="Times New Roman"/>
        <w:b/>
        <w:i w:val="0"/>
        <w:spacing w:val="20"/>
        <w:w w:val="100"/>
        <w:position w:val="0"/>
        <w:sz w:val="24"/>
        <w:szCs w:val="32"/>
      </w:rPr>
    </w:lvl>
    <w:lvl w:ilvl="3" w:tentative="0">
      <w:start w:val="1"/>
      <w:numFmt w:val="decimal"/>
      <w:isLgl/>
      <w:suff w:val="space"/>
      <w:lvlText w:val="%1.%2.%3.%4"/>
      <w:lvlJc w:val="left"/>
      <w:pPr>
        <w:ind w:left="284" w:hanging="284"/>
      </w:pPr>
      <w:rPr>
        <w:rFonts w:hint="default" w:ascii="Times New Roman" w:hAnsi="Times New Roman" w:eastAsia="宋体" w:cs="Times New Roman"/>
        <w:b/>
        <w:i w:val="0"/>
        <w:iCs w:val="0"/>
        <w:caps w:val="0"/>
        <w:strike w:val="0"/>
        <w:dstrike w:val="0"/>
        <w:vanish w:val="0"/>
        <w:color w:val="000000"/>
        <w:spacing w:val="20"/>
        <w:w w:val="100"/>
        <w:kern w:val="24"/>
        <w:position w:val="0"/>
        <w:sz w:val="28"/>
        <w:szCs w:val="28"/>
        <w:u w:val="none"/>
        <w:vertAlign w:val="baseline"/>
      </w:rPr>
    </w:lvl>
    <w:lvl w:ilvl="4" w:tentative="0">
      <w:start w:val="1"/>
      <w:numFmt w:val="decimal"/>
      <w:lvlRestart w:val="0"/>
      <w:suff w:val="space"/>
      <w:lvlText w:val="图%1-%5"/>
      <w:lvlJc w:val="left"/>
      <w:pPr>
        <w:ind w:left="0" w:firstLine="0"/>
      </w:pPr>
      <w:rPr>
        <w:rFonts w:hint="default" w:ascii="Times New Roman" w:hAnsi="Times New Roman" w:eastAsia="宋体"/>
        <w:b/>
        <w:i w:val="0"/>
        <w:color w:val="auto"/>
        <w:spacing w:val="20"/>
        <w:w w:val="100"/>
        <w:position w:val="0"/>
        <w:sz w:val="21"/>
        <w:szCs w:val="21"/>
        <w:lang w:val="en-US"/>
      </w:rPr>
    </w:lvl>
    <w:lvl w:ilvl="5" w:tentative="0">
      <w:start w:val="1"/>
      <w:numFmt w:val="decimal"/>
      <w:suff w:val="nothing"/>
      <w:lvlText w:val="图%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78D736FA"/>
    <w:multiLevelType w:val="singleLevel"/>
    <w:tmpl w:val="78D736FA"/>
    <w:lvl w:ilvl="0" w:tentative="0">
      <w:start w:val="1"/>
      <w:numFmt w:val="decimal"/>
      <w:suff w:val="nothing"/>
      <w:lvlText w:val="%1、"/>
      <w:lvlJc w:val="left"/>
    </w:lvl>
  </w:abstractNum>
  <w:num w:numId="1">
    <w:abstractNumId w:val="4"/>
  </w:num>
  <w:num w:numId="2">
    <w:abstractNumId w:val="1"/>
  </w:num>
  <w:num w:numId="3">
    <w:abstractNumId w:val="7"/>
  </w:num>
  <w:num w:numId="4">
    <w:abstractNumId w:val="3"/>
  </w:num>
  <w:num w:numId="5">
    <w:abstractNumId w:val="8"/>
  </w:num>
  <w:num w:numId="6">
    <w:abstractNumId w:val="6"/>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6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mVjZjdlNzM3ODI4OTk2M2MzNjA0MWU0OWJiMDJmMTQifQ=="/>
  </w:docVars>
  <w:rsids>
    <w:rsidRoot w:val="001A07FD"/>
    <w:rsid w:val="00001038"/>
    <w:rsid w:val="00004843"/>
    <w:rsid w:val="00005504"/>
    <w:rsid w:val="00006115"/>
    <w:rsid w:val="00030F55"/>
    <w:rsid w:val="00047E90"/>
    <w:rsid w:val="00053C41"/>
    <w:rsid w:val="00057215"/>
    <w:rsid w:val="000636B3"/>
    <w:rsid w:val="000815F4"/>
    <w:rsid w:val="0008236C"/>
    <w:rsid w:val="0009057F"/>
    <w:rsid w:val="0009440E"/>
    <w:rsid w:val="00097A88"/>
    <w:rsid w:val="000A3744"/>
    <w:rsid w:val="000A4686"/>
    <w:rsid w:val="000A56E2"/>
    <w:rsid w:val="000B608D"/>
    <w:rsid w:val="000B736F"/>
    <w:rsid w:val="000B747C"/>
    <w:rsid w:val="000C2A58"/>
    <w:rsid w:val="000C7273"/>
    <w:rsid w:val="000D0527"/>
    <w:rsid w:val="000E35D4"/>
    <w:rsid w:val="000F4007"/>
    <w:rsid w:val="00101716"/>
    <w:rsid w:val="001120EA"/>
    <w:rsid w:val="001125BA"/>
    <w:rsid w:val="0011327B"/>
    <w:rsid w:val="00116F18"/>
    <w:rsid w:val="00125E21"/>
    <w:rsid w:val="0013374D"/>
    <w:rsid w:val="00146907"/>
    <w:rsid w:val="0016301C"/>
    <w:rsid w:val="00172ADD"/>
    <w:rsid w:val="00180065"/>
    <w:rsid w:val="00182CB0"/>
    <w:rsid w:val="00187556"/>
    <w:rsid w:val="001A07FD"/>
    <w:rsid w:val="001A3FD7"/>
    <w:rsid w:val="001B13DB"/>
    <w:rsid w:val="001B41FE"/>
    <w:rsid w:val="001B5466"/>
    <w:rsid w:val="001B6573"/>
    <w:rsid w:val="001B6722"/>
    <w:rsid w:val="001B7434"/>
    <w:rsid w:val="001C69D6"/>
    <w:rsid w:val="001D71CE"/>
    <w:rsid w:val="001F4AE6"/>
    <w:rsid w:val="001F623D"/>
    <w:rsid w:val="00200607"/>
    <w:rsid w:val="00204378"/>
    <w:rsid w:val="00204BCC"/>
    <w:rsid w:val="00211CFE"/>
    <w:rsid w:val="002235B9"/>
    <w:rsid w:val="00237053"/>
    <w:rsid w:val="00240A26"/>
    <w:rsid w:val="00257C11"/>
    <w:rsid w:val="00261C14"/>
    <w:rsid w:val="00285E29"/>
    <w:rsid w:val="00286AE7"/>
    <w:rsid w:val="002932BF"/>
    <w:rsid w:val="00296807"/>
    <w:rsid w:val="002B33A9"/>
    <w:rsid w:val="002C2E61"/>
    <w:rsid w:val="002C4B13"/>
    <w:rsid w:val="002C567E"/>
    <w:rsid w:val="002E268C"/>
    <w:rsid w:val="002E2DDA"/>
    <w:rsid w:val="002E361A"/>
    <w:rsid w:val="002F70DA"/>
    <w:rsid w:val="00300F4C"/>
    <w:rsid w:val="003037B0"/>
    <w:rsid w:val="0030759A"/>
    <w:rsid w:val="003103A0"/>
    <w:rsid w:val="003144A6"/>
    <w:rsid w:val="00316150"/>
    <w:rsid w:val="00321463"/>
    <w:rsid w:val="00324338"/>
    <w:rsid w:val="00325EBF"/>
    <w:rsid w:val="003347CA"/>
    <w:rsid w:val="0034035A"/>
    <w:rsid w:val="00345CB4"/>
    <w:rsid w:val="00346AC4"/>
    <w:rsid w:val="003518DC"/>
    <w:rsid w:val="003521A8"/>
    <w:rsid w:val="0036146A"/>
    <w:rsid w:val="00363B3B"/>
    <w:rsid w:val="00372B1D"/>
    <w:rsid w:val="0037646C"/>
    <w:rsid w:val="003815C9"/>
    <w:rsid w:val="00381BBB"/>
    <w:rsid w:val="003839D9"/>
    <w:rsid w:val="00390E93"/>
    <w:rsid w:val="00394171"/>
    <w:rsid w:val="003A249C"/>
    <w:rsid w:val="003A2A9B"/>
    <w:rsid w:val="003A4B38"/>
    <w:rsid w:val="003B4871"/>
    <w:rsid w:val="003B59D8"/>
    <w:rsid w:val="003C0E6D"/>
    <w:rsid w:val="003C22C3"/>
    <w:rsid w:val="003C2AD1"/>
    <w:rsid w:val="003C360A"/>
    <w:rsid w:val="003C4CCE"/>
    <w:rsid w:val="003D43C6"/>
    <w:rsid w:val="003E46C2"/>
    <w:rsid w:val="003F40C4"/>
    <w:rsid w:val="003F78E5"/>
    <w:rsid w:val="0040037D"/>
    <w:rsid w:val="00401AB2"/>
    <w:rsid w:val="00403F20"/>
    <w:rsid w:val="0040799E"/>
    <w:rsid w:val="00410AC5"/>
    <w:rsid w:val="00410DB4"/>
    <w:rsid w:val="0041481A"/>
    <w:rsid w:val="00463559"/>
    <w:rsid w:val="00464071"/>
    <w:rsid w:val="004775B2"/>
    <w:rsid w:val="004779C8"/>
    <w:rsid w:val="00481D6F"/>
    <w:rsid w:val="0048339E"/>
    <w:rsid w:val="00483E43"/>
    <w:rsid w:val="0048674E"/>
    <w:rsid w:val="004A08E4"/>
    <w:rsid w:val="004A1C7F"/>
    <w:rsid w:val="004A1EB8"/>
    <w:rsid w:val="004A4847"/>
    <w:rsid w:val="004A624B"/>
    <w:rsid w:val="004A6CCD"/>
    <w:rsid w:val="004A73E2"/>
    <w:rsid w:val="004B3C7F"/>
    <w:rsid w:val="004B48CF"/>
    <w:rsid w:val="004B5B31"/>
    <w:rsid w:val="004D56C7"/>
    <w:rsid w:val="004D6F78"/>
    <w:rsid w:val="004E0AFE"/>
    <w:rsid w:val="004E5B32"/>
    <w:rsid w:val="004F0444"/>
    <w:rsid w:val="004F24AF"/>
    <w:rsid w:val="004F4040"/>
    <w:rsid w:val="004F67DB"/>
    <w:rsid w:val="005000B2"/>
    <w:rsid w:val="00504493"/>
    <w:rsid w:val="005045E6"/>
    <w:rsid w:val="005065F5"/>
    <w:rsid w:val="0051658E"/>
    <w:rsid w:val="00520AF5"/>
    <w:rsid w:val="00525850"/>
    <w:rsid w:val="0053198B"/>
    <w:rsid w:val="005337EC"/>
    <w:rsid w:val="005451A9"/>
    <w:rsid w:val="0054654D"/>
    <w:rsid w:val="00550651"/>
    <w:rsid w:val="005645B1"/>
    <w:rsid w:val="00572B7B"/>
    <w:rsid w:val="00573201"/>
    <w:rsid w:val="00576C9F"/>
    <w:rsid w:val="00577E88"/>
    <w:rsid w:val="00583614"/>
    <w:rsid w:val="00583D45"/>
    <w:rsid w:val="00585A6A"/>
    <w:rsid w:val="00585E76"/>
    <w:rsid w:val="005872F4"/>
    <w:rsid w:val="005A6763"/>
    <w:rsid w:val="005D1FF7"/>
    <w:rsid w:val="005D24D4"/>
    <w:rsid w:val="005D4D72"/>
    <w:rsid w:val="005E09E8"/>
    <w:rsid w:val="005E1CE5"/>
    <w:rsid w:val="005F0B1B"/>
    <w:rsid w:val="005F467F"/>
    <w:rsid w:val="00603E36"/>
    <w:rsid w:val="0061332D"/>
    <w:rsid w:val="006177D8"/>
    <w:rsid w:val="00621A45"/>
    <w:rsid w:val="00623E81"/>
    <w:rsid w:val="00630F0A"/>
    <w:rsid w:val="00631113"/>
    <w:rsid w:val="00637306"/>
    <w:rsid w:val="00640445"/>
    <w:rsid w:val="0065072B"/>
    <w:rsid w:val="006611CA"/>
    <w:rsid w:val="006657F8"/>
    <w:rsid w:val="00670B46"/>
    <w:rsid w:val="00687017"/>
    <w:rsid w:val="00687647"/>
    <w:rsid w:val="006A5253"/>
    <w:rsid w:val="006A6C89"/>
    <w:rsid w:val="006B33F8"/>
    <w:rsid w:val="006C1FEC"/>
    <w:rsid w:val="006C5501"/>
    <w:rsid w:val="006D1DC3"/>
    <w:rsid w:val="006D45D9"/>
    <w:rsid w:val="006E6023"/>
    <w:rsid w:val="006F1831"/>
    <w:rsid w:val="007115E2"/>
    <w:rsid w:val="00724AAB"/>
    <w:rsid w:val="007332C6"/>
    <w:rsid w:val="0074247B"/>
    <w:rsid w:val="0074300F"/>
    <w:rsid w:val="007513CC"/>
    <w:rsid w:val="00752401"/>
    <w:rsid w:val="00754D31"/>
    <w:rsid w:val="00761E55"/>
    <w:rsid w:val="00771FAE"/>
    <w:rsid w:val="00777DDD"/>
    <w:rsid w:val="00781B81"/>
    <w:rsid w:val="007A1100"/>
    <w:rsid w:val="007B60B1"/>
    <w:rsid w:val="007C024B"/>
    <w:rsid w:val="007C49FC"/>
    <w:rsid w:val="007E4B61"/>
    <w:rsid w:val="007E7069"/>
    <w:rsid w:val="007F5E04"/>
    <w:rsid w:val="00802276"/>
    <w:rsid w:val="00805004"/>
    <w:rsid w:val="0081699A"/>
    <w:rsid w:val="00816F9A"/>
    <w:rsid w:val="0084344E"/>
    <w:rsid w:val="00843E1C"/>
    <w:rsid w:val="008540B1"/>
    <w:rsid w:val="008663C1"/>
    <w:rsid w:val="008B5C8D"/>
    <w:rsid w:val="008C7286"/>
    <w:rsid w:val="008F3887"/>
    <w:rsid w:val="00902BE8"/>
    <w:rsid w:val="00905380"/>
    <w:rsid w:val="009106E7"/>
    <w:rsid w:val="00911354"/>
    <w:rsid w:val="00916252"/>
    <w:rsid w:val="009330A4"/>
    <w:rsid w:val="00935350"/>
    <w:rsid w:val="00936943"/>
    <w:rsid w:val="00940EB2"/>
    <w:rsid w:val="00955A1A"/>
    <w:rsid w:val="0096429A"/>
    <w:rsid w:val="009657FA"/>
    <w:rsid w:val="00971663"/>
    <w:rsid w:val="009823DF"/>
    <w:rsid w:val="009843C8"/>
    <w:rsid w:val="00984769"/>
    <w:rsid w:val="009904E0"/>
    <w:rsid w:val="00995F04"/>
    <w:rsid w:val="009B37D9"/>
    <w:rsid w:val="009B3FA7"/>
    <w:rsid w:val="009B3FC3"/>
    <w:rsid w:val="009C1CE3"/>
    <w:rsid w:val="009C2173"/>
    <w:rsid w:val="009C4F69"/>
    <w:rsid w:val="009C6BDD"/>
    <w:rsid w:val="009D1421"/>
    <w:rsid w:val="009E740B"/>
    <w:rsid w:val="00A066DE"/>
    <w:rsid w:val="00A12ACE"/>
    <w:rsid w:val="00A241FF"/>
    <w:rsid w:val="00A26FFE"/>
    <w:rsid w:val="00A36387"/>
    <w:rsid w:val="00A43385"/>
    <w:rsid w:val="00A571BC"/>
    <w:rsid w:val="00A60A93"/>
    <w:rsid w:val="00A6583A"/>
    <w:rsid w:val="00A73EA0"/>
    <w:rsid w:val="00A775E6"/>
    <w:rsid w:val="00A83368"/>
    <w:rsid w:val="00A95B6C"/>
    <w:rsid w:val="00AB1D85"/>
    <w:rsid w:val="00AB7D32"/>
    <w:rsid w:val="00AC15EF"/>
    <w:rsid w:val="00AC3822"/>
    <w:rsid w:val="00AD68F9"/>
    <w:rsid w:val="00AE56F3"/>
    <w:rsid w:val="00AF1CC0"/>
    <w:rsid w:val="00AF4536"/>
    <w:rsid w:val="00AF7581"/>
    <w:rsid w:val="00B06C3B"/>
    <w:rsid w:val="00B17541"/>
    <w:rsid w:val="00B2684A"/>
    <w:rsid w:val="00B34228"/>
    <w:rsid w:val="00B46918"/>
    <w:rsid w:val="00B6039E"/>
    <w:rsid w:val="00B603D4"/>
    <w:rsid w:val="00B7266A"/>
    <w:rsid w:val="00B866E2"/>
    <w:rsid w:val="00B93614"/>
    <w:rsid w:val="00B94A9A"/>
    <w:rsid w:val="00B95AF1"/>
    <w:rsid w:val="00BB67C4"/>
    <w:rsid w:val="00BD4E12"/>
    <w:rsid w:val="00BD550D"/>
    <w:rsid w:val="00BD5D96"/>
    <w:rsid w:val="00BD79AC"/>
    <w:rsid w:val="00BF168C"/>
    <w:rsid w:val="00BF7374"/>
    <w:rsid w:val="00C106B4"/>
    <w:rsid w:val="00C13FE8"/>
    <w:rsid w:val="00C22632"/>
    <w:rsid w:val="00C23E7C"/>
    <w:rsid w:val="00C32331"/>
    <w:rsid w:val="00C37B73"/>
    <w:rsid w:val="00C50A69"/>
    <w:rsid w:val="00C528F3"/>
    <w:rsid w:val="00C537A4"/>
    <w:rsid w:val="00C57E14"/>
    <w:rsid w:val="00C61887"/>
    <w:rsid w:val="00C73E1E"/>
    <w:rsid w:val="00C95011"/>
    <w:rsid w:val="00C9575A"/>
    <w:rsid w:val="00C97D98"/>
    <w:rsid w:val="00CA4BFF"/>
    <w:rsid w:val="00CB2995"/>
    <w:rsid w:val="00CB2DB9"/>
    <w:rsid w:val="00CB7A78"/>
    <w:rsid w:val="00CD0579"/>
    <w:rsid w:val="00CD0B23"/>
    <w:rsid w:val="00CD3EE7"/>
    <w:rsid w:val="00CD45A2"/>
    <w:rsid w:val="00CD6FAF"/>
    <w:rsid w:val="00CE10DB"/>
    <w:rsid w:val="00CE112A"/>
    <w:rsid w:val="00CE3A70"/>
    <w:rsid w:val="00CF4113"/>
    <w:rsid w:val="00D0774B"/>
    <w:rsid w:val="00D14B99"/>
    <w:rsid w:val="00D21177"/>
    <w:rsid w:val="00D23BD3"/>
    <w:rsid w:val="00D27436"/>
    <w:rsid w:val="00D305A9"/>
    <w:rsid w:val="00D4070C"/>
    <w:rsid w:val="00D47387"/>
    <w:rsid w:val="00D65F26"/>
    <w:rsid w:val="00D71F18"/>
    <w:rsid w:val="00D77D03"/>
    <w:rsid w:val="00D8741D"/>
    <w:rsid w:val="00D8789E"/>
    <w:rsid w:val="00D90051"/>
    <w:rsid w:val="00D9745C"/>
    <w:rsid w:val="00DD7094"/>
    <w:rsid w:val="00DE0969"/>
    <w:rsid w:val="00DE4940"/>
    <w:rsid w:val="00DE555F"/>
    <w:rsid w:val="00DF5B6C"/>
    <w:rsid w:val="00DF686D"/>
    <w:rsid w:val="00E04CED"/>
    <w:rsid w:val="00E05EEA"/>
    <w:rsid w:val="00E153EB"/>
    <w:rsid w:val="00E1713D"/>
    <w:rsid w:val="00E24872"/>
    <w:rsid w:val="00E26A5B"/>
    <w:rsid w:val="00E30703"/>
    <w:rsid w:val="00E41A8D"/>
    <w:rsid w:val="00E44912"/>
    <w:rsid w:val="00E451D4"/>
    <w:rsid w:val="00E53633"/>
    <w:rsid w:val="00E6646C"/>
    <w:rsid w:val="00E664C0"/>
    <w:rsid w:val="00E7102A"/>
    <w:rsid w:val="00E72790"/>
    <w:rsid w:val="00E750F7"/>
    <w:rsid w:val="00E7699A"/>
    <w:rsid w:val="00E824FD"/>
    <w:rsid w:val="00E87FBA"/>
    <w:rsid w:val="00E93FBB"/>
    <w:rsid w:val="00E964D4"/>
    <w:rsid w:val="00EA04F9"/>
    <w:rsid w:val="00EC2E56"/>
    <w:rsid w:val="00EC7F0D"/>
    <w:rsid w:val="00ED26E7"/>
    <w:rsid w:val="00ED48F4"/>
    <w:rsid w:val="00ED73D1"/>
    <w:rsid w:val="00EE6316"/>
    <w:rsid w:val="00EF1E98"/>
    <w:rsid w:val="00EF417A"/>
    <w:rsid w:val="00EF48E0"/>
    <w:rsid w:val="00F04FBF"/>
    <w:rsid w:val="00F16B34"/>
    <w:rsid w:val="00F17DD6"/>
    <w:rsid w:val="00F251F0"/>
    <w:rsid w:val="00F3467B"/>
    <w:rsid w:val="00F44ADB"/>
    <w:rsid w:val="00F51D67"/>
    <w:rsid w:val="00F52F32"/>
    <w:rsid w:val="00F65597"/>
    <w:rsid w:val="00F655E1"/>
    <w:rsid w:val="00F774D7"/>
    <w:rsid w:val="00F80595"/>
    <w:rsid w:val="00F808DB"/>
    <w:rsid w:val="00F871EB"/>
    <w:rsid w:val="00FB007A"/>
    <w:rsid w:val="00FC4483"/>
    <w:rsid w:val="00FE66FE"/>
    <w:rsid w:val="00FF021B"/>
    <w:rsid w:val="00FF07D7"/>
    <w:rsid w:val="010974DF"/>
    <w:rsid w:val="010F4B69"/>
    <w:rsid w:val="0130676A"/>
    <w:rsid w:val="01375E41"/>
    <w:rsid w:val="013B7A72"/>
    <w:rsid w:val="013E24BF"/>
    <w:rsid w:val="01416D8C"/>
    <w:rsid w:val="01453A14"/>
    <w:rsid w:val="01542E3B"/>
    <w:rsid w:val="01585BB8"/>
    <w:rsid w:val="015A204F"/>
    <w:rsid w:val="015F686F"/>
    <w:rsid w:val="01666F1F"/>
    <w:rsid w:val="016A0CC6"/>
    <w:rsid w:val="016D7475"/>
    <w:rsid w:val="01735F4B"/>
    <w:rsid w:val="017D3325"/>
    <w:rsid w:val="018569B4"/>
    <w:rsid w:val="018C6445"/>
    <w:rsid w:val="01B871C0"/>
    <w:rsid w:val="01CC4933"/>
    <w:rsid w:val="01CC654C"/>
    <w:rsid w:val="01DC58DF"/>
    <w:rsid w:val="01E054EB"/>
    <w:rsid w:val="01E26AB1"/>
    <w:rsid w:val="01E71F06"/>
    <w:rsid w:val="01EF5D98"/>
    <w:rsid w:val="01F46458"/>
    <w:rsid w:val="01FE0A2C"/>
    <w:rsid w:val="0201658D"/>
    <w:rsid w:val="02072DF4"/>
    <w:rsid w:val="021F4076"/>
    <w:rsid w:val="02215E17"/>
    <w:rsid w:val="02217A18"/>
    <w:rsid w:val="02247C30"/>
    <w:rsid w:val="02251F8E"/>
    <w:rsid w:val="02261066"/>
    <w:rsid w:val="022B7034"/>
    <w:rsid w:val="02345DAF"/>
    <w:rsid w:val="02483A5D"/>
    <w:rsid w:val="025E3B16"/>
    <w:rsid w:val="02693BD4"/>
    <w:rsid w:val="02793C5B"/>
    <w:rsid w:val="027B63D7"/>
    <w:rsid w:val="02832BC7"/>
    <w:rsid w:val="02836DE2"/>
    <w:rsid w:val="02895B83"/>
    <w:rsid w:val="028E4F47"/>
    <w:rsid w:val="028F5707"/>
    <w:rsid w:val="029B6E90"/>
    <w:rsid w:val="02A26030"/>
    <w:rsid w:val="02A3377A"/>
    <w:rsid w:val="02A33D47"/>
    <w:rsid w:val="02AA6756"/>
    <w:rsid w:val="02AD3D3A"/>
    <w:rsid w:val="02AD3D85"/>
    <w:rsid w:val="02AE6FF2"/>
    <w:rsid w:val="02AF70BF"/>
    <w:rsid w:val="02B05949"/>
    <w:rsid w:val="02B07F0A"/>
    <w:rsid w:val="02B40E10"/>
    <w:rsid w:val="02B67502"/>
    <w:rsid w:val="02B964A5"/>
    <w:rsid w:val="02C37979"/>
    <w:rsid w:val="02C52D11"/>
    <w:rsid w:val="02CA6F70"/>
    <w:rsid w:val="02D15CAB"/>
    <w:rsid w:val="02D57887"/>
    <w:rsid w:val="02DC556E"/>
    <w:rsid w:val="02EE68FF"/>
    <w:rsid w:val="02F46B94"/>
    <w:rsid w:val="03016A60"/>
    <w:rsid w:val="03093A07"/>
    <w:rsid w:val="03120381"/>
    <w:rsid w:val="03132436"/>
    <w:rsid w:val="03153165"/>
    <w:rsid w:val="031846AA"/>
    <w:rsid w:val="031C07A5"/>
    <w:rsid w:val="031C7ACD"/>
    <w:rsid w:val="03221ABE"/>
    <w:rsid w:val="03257081"/>
    <w:rsid w:val="03305546"/>
    <w:rsid w:val="03337D3C"/>
    <w:rsid w:val="03347BA5"/>
    <w:rsid w:val="03465DA8"/>
    <w:rsid w:val="034F0A40"/>
    <w:rsid w:val="034F62E8"/>
    <w:rsid w:val="035241DD"/>
    <w:rsid w:val="035962AC"/>
    <w:rsid w:val="0360752C"/>
    <w:rsid w:val="03630548"/>
    <w:rsid w:val="0366170B"/>
    <w:rsid w:val="036E4DF2"/>
    <w:rsid w:val="036F73CC"/>
    <w:rsid w:val="0375678B"/>
    <w:rsid w:val="037B422A"/>
    <w:rsid w:val="038D0696"/>
    <w:rsid w:val="038E5359"/>
    <w:rsid w:val="03930F87"/>
    <w:rsid w:val="039D36DA"/>
    <w:rsid w:val="03A861F3"/>
    <w:rsid w:val="03AC50CD"/>
    <w:rsid w:val="03B20756"/>
    <w:rsid w:val="03B23C58"/>
    <w:rsid w:val="03B35A38"/>
    <w:rsid w:val="03B45169"/>
    <w:rsid w:val="03C05C8F"/>
    <w:rsid w:val="03C15054"/>
    <w:rsid w:val="03C570EA"/>
    <w:rsid w:val="03CF3A69"/>
    <w:rsid w:val="03CF7C42"/>
    <w:rsid w:val="03D97465"/>
    <w:rsid w:val="04003C23"/>
    <w:rsid w:val="040424E9"/>
    <w:rsid w:val="040445FD"/>
    <w:rsid w:val="040719FE"/>
    <w:rsid w:val="04090A66"/>
    <w:rsid w:val="040E4806"/>
    <w:rsid w:val="041812F0"/>
    <w:rsid w:val="041B68E1"/>
    <w:rsid w:val="04254EF7"/>
    <w:rsid w:val="04255BC3"/>
    <w:rsid w:val="04316766"/>
    <w:rsid w:val="04332B08"/>
    <w:rsid w:val="043707EE"/>
    <w:rsid w:val="04474A49"/>
    <w:rsid w:val="04584B2D"/>
    <w:rsid w:val="045E5D63"/>
    <w:rsid w:val="04634D8F"/>
    <w:rsid w:val="046D155D"/>
    <w:rsid w:val="04742E94"/>
    <w:rsid w:val="047F15EC"/>
    <w:rsid w:val="0482591E"/>
    <w:rsid w:val="04874F74"/>
    <w:rsid w:val="04A313BF"/>
    <w:rsid w:val="04A51EC4"/>
    <w:rsid w:val="04AB0032"/>
    <w:rsid w:val="04B11C19"/>
    <w:rsid w:val="04BA08C9"/>
    <w:rsid w:val="04BB3CBA"/>
    <w:rsid w:val="04BF2CB8"/>
    <w:rsid w:val="04C7198E"/>
    <w:rsid w:val="04D94F44"/>
    <w:rsid w:val="04DB4128"/>
    <w:rsid w:val="04DC1BC8"/>
    <w:rsid w:val="04DF3800"/>
    <w:rsid w:val="04E24BE1"/>
    <w:rsid w:val="04E43D0E"/>
    <w:rsid w:val="04F90CBC"/>
    <w:rsid w:val="04F95927"/>
    <w:rsid w:val="04FA3462"/>
    <w:rsid w:val="050354D7"/>
    <w:rsid w:val="051162FA"/>
    <w:rsid w:val="051554AC"/>
    <w:rsid w:val="05321753"/>
    <w:rsid w:val="05391F80"/>
    <w:rsid w:val="053A4ACF"/>
    <w:rsid w:val="053E3845"/>
    <w:rsid w:val="05410997"/>
    <w:rsid w:val="054779AD"/>
    <w:rsid w:val="054E74F8"/>
    <w:rsid w:val="0556011D"/>
    <w:rsid w:val="05584F57"/>
    <w:rsid w:val="05595CE0"/>
    <w:rsid w:val="055C2EC6"/>
    <w:rsid w:val="05615C15"/>
    <w:rsid w:val="056A2976"/>
    <w:rsid w:val="056F38EF"/>
    <w:rsid w:val="057408AF"/>
    <w:rsid w:val="05762528"/>
    <w:rsid w:val="057768BF"/>
    <w:rsid w:val="0580501B"/>
    <w:rsid w:val="058B1B02"/>
    <w:rsid w:val="058F0E70"/>
    <w:rsid w:val="058F67EC"/>
    <w:rsid w:val="05AA7E70"/>
    <w:rsid w:val="05B21DE2"/>
    <w:rsid w:val="05B872DF"/>
    <w:rsid w:val="05BB5A50"/>
    <w:rsid w:val="05C94E2E"/>
    <w:rsid w:val="05C96854"/>
    <w:rsid w:val="05CB2D33"/>
    <w:rsid w:val="05DF622F"/>
    <w:rsid w:val="05EA3BDD"/>
    <w:rsid w:val="05EC0BBF"/>
    <w:rsid w:val="05F159E2"/>
    <w:rsid w:val="05F2506C"/>
    <w:rsid w:val="05F921F6"/>
    <w:rsid w:val="05FF3C1A"/>
    <w:rsid w:val="06020D60"/>
    <w:rsid w:val="06062A3D"/>
    <w:rsid w:val="06075FEC"/>
    <w:rsid w:val="060D49F6"/>
    <w:rsid w:val="06112B3C"/>
    <w:rsid w:val="06215539"/>
    <w:rsid w:val="062D2A4C"/>
    <w:rsid w:val="062F6A41"/>
    <w:rsid w:val="0638780A"/>
    <w:rsid w:val="063E0DE6"/>
    <w:rsid w:val="064176D8"/>
    <w:rsid w:val="06454C97"/>
    <w:rsid w:val="06484DAE"/>
    <w:rsid w:val="06491398"/>
    <w:rsid w:val="064B1E81"/>
    <w:rsid w:val="064D0BCD"/>
    <w:rsid w:val="06514C09"/>
    <w:rsid w:val="065710C2"/>
    <w:rsid w:val="06584D4D"/>
    <w:rsid w:val="067C1522"/>
    <w:rsid w:val="068122F5"/>
    <w:rsid w:val="06837E4F"/>
    <w:rsid w:val="06843D48"/>
    <w:rsid w:val="06927983"/>
    <w:rsid w:val="06975731"/>
    <w:rsid w:val="069B626B"/>
    <w:rsid w:val="069C25C5"/>
    <w:rsid w:val="069C5DA9"/>
    <w:rsid w:val="069C64A8"/>
    <w:rsid w:val="06B95C2A"/>
    <w:rsid w:val="06C15D84"/>
    <w:rsid w:val="06C3703E"/>
    <w:rsid w:val="06C614AC"/>
    <w:rsid w:val="06C673A5"/>
    <w:rsid w:val="06CA3F77"/>
    <w:rsid w:val="06CC61A7"/>
    <w:rsid w:val="06D2524A"/>
    <w:rsid w:val="06D43DFA"/>
    <w:rsid w:val="06E51995"/>
    <w:rsid w:val="06EA3E03"/>
    <w:rsid w:val="06F42009"/>
    <w:rsid w:val="06F85DFF"/>
    <w:rsid w:val="0708351A"/>
    <w:rsid w:val="070B081D"/>
    <w:rsid w:val="070D7104"/>
    <w:rsid w:val="071579E5"/>
    <w:rsid w:val="07165BB5"/>
    <w:rsid w:val="071664CB"/>
    <w:rsid w:val="07195698"/>
    <w:rsid w:val="072C51F4"/>
    <w:rsid w:val="0730654F"/>
    <w:rsid w:val="073D207A"/>
    <w:rsid w:val="074A1497"/>
    <w:rsid w:val="074A49E1"/>
    <w:rsid w:val="074B6B0A"/>
    <w:rsid w:val="074E2E85"/>
    <w:rsid w:val="074F27BB"/>
    <w:rsid w:val="07515BF5"/>
    <w:rsid w:val="075850A0"/>
    <w:rsid w:val="076003DE"/>
    <w:rsid w:val="0760628E"/>
    <w:rsid w:val="076B3425"/>
    <w:rsid w:val="076D5A34"/>
    <w:rsid w:val="076F2D21"/>
    <w:rsid w:val="0776142E"/>
    <w:rsid w:val="07764244"/>
    <w:rsid w:val="077B0190"/>
    <w:rsid w:val="0783049C"/>
    <w:rsid w:val="07870AFB"/>
    <w:rsid w:val="078748AB"/>
    <w:rsid w:val="078B665C"/>
    <w:rsid w:val="079528D4"/>
    <w:rsid w:val="07AC3018"/>
    <w:rsid w:val="07BA0B8A"/>
    <w:rsid w:val="07BE249F"/>
    <w:rsid w:val="07BF409F"/>
    <w:rsid w:val="07CF3C47"/>
    <w:rsid w:val="07D72EEC"/>
    <w:rsid w:val="07D76651"/>
    <w:rsid w:val="07DA2045"/>
    <w:rsid w:val="07DC0946"/>
    <w:rsid w:val="07DD06DB"/>
    <w:rsid w:val="07DD5905"/>
    <w:rsid w:val="07DF26DB"/>
    <w:rsid w:val="07E239CC"/>
    <w:rsid w:val="07E53475"/>
    <w:rsid w:val="07F25F78"/>
    <w:rsid w:val="07FB7869"/>
    <w:rsid w:val="07FC2E74"/>
    <w:rsid w:val="07FE79CD"/>
    <w:rsid w:val="08015504"/>
    <w:rsid w:val="080D4B60"/>
    <w:rsid w:val="080E7859"/>
    <w:rsid w:val="080F1AFD"/>
    <w:rsid w:val="08191757"/>
    <w:rsid w:val="08275E9F"/>
    <w:rsid w:val="083927E4"/>
    <w:rsid w:val="083C4608"/>
    <w:rsid w:val="08436517"/>
    <w:rsid w:val="084C154B"/>
    <w:rsid w:val="084F0A17"/>
    <w:rsid w:val="085A3CC5"/>
    <w:rsid w:val="08627391"/>
    <w:rsid w:val="086A114C"/>
    <w:rsid w:val="086E4FBF"/>
    <w:rsid w:val="08711291"/>
    <w:rsid w:val="087329A6"/>
    <w:rsid w:val="087466EA"/>
    <w:rsid w:val="087E15BA"/>
    <w:rsid w:val="088A6EB5"/>
    <w:rsid w:val="089A6A2E"/>
    <w:rsid w:val="08A676CB"/>
    <w:rsid w:val="08A950EA"/>
    <w:rsid w:val="08AA0C7F"/>
    <w:rsid w:val="08B35527"/>
    <w:rsid w:val="08C62846"/>
    <w:rsid w:val="08C95534"/>
    <w:rsid w:val="08CE1601"/>
    <w:rsid w:val="08DE3382"/>
    <w:rsid w:val="08F6361B"/>
    <w:rsid w:val="08F77308"/>
    <w:rsid w:val="08FF6095"/>
    <w:rsid w:val="09045AED"/>
    <w:rsid w:val="09060B75"/>
    <w:rsid w:val="090653B1"/>
    <w:rsid w:val="09132149"/>
    <w:rsid w:val="09207898"/>
    <w:rsid w:val="09246B7F"/>
    <w:rsid w:val="0926197A"/>
    <w:rsid w:val="092D395B"/>
    <w:rsid w:val="092F19E3"/>
    <w:rsid w:val="09325651"/>
    <w:rsid w:val="09344E19"/>
    <w:rsid w:val="09370A52"/>
    <w:rsid w:val="093D51B4"/>
    <w:rsid w:val="095504DD"/>
    <w:rsid w:val="09647EC4"/>
    <w:rsid w:val="09766ACB"/>
    <w:rsid w:val="09767697"/>
    <w:rsid w:val="0980626C"/>
    <w:rsid w:val="0983157E"/>
    <w:rsid w:val="098621E3"/>
    <w:rsid w:val="098D628F"/>
    <w:rsid w:val="098E7098"/>
    <w:rsid w:val="098F50FF"/>
    <w:rsid w:val="09924AB2"/>
    <w:rsid w:val="0998486F"/>
    <w:rsid w:val="09996199"/>
    <w:rsid w:val="099F1D68"/>
    <w:rsid w:val="09B25C8F"/>
    <w:rsid w:val="09B37AEC"/>
    <w:rsid w:val="09B50186"/>
    <w:rsid w:val="09BC4A90"/>
    <w:rsid w:val="09C51231"/>
    <w:rsid w:val="09C72651"/>
    <w:rsid w:val="09CC05C4"/>
    <w:rsid w:val="09D23279"/>
    <w:rsid w:val="09E23085"/>
    <w:rsid w:val="09E62EBE"/>
    <w:rsid w:val="09EF5595"/>
    <w:rsid w:val="09F1006B"/>
    <w:rsid w:val="09F2400E"/>
    <w:rsid w:val="09F9539C"/>
    <w:rsid w:val="09FE29B2"/>
    <w:rsid w:val="09FE7367"/>
    <w:rsid w:val="0A07135F"/>
    <w:rsid w:val="0A116CF4"/>
    <w:rsid w:val="0A1B5351"/>
    <w:rsid w:val="0A1C7EC9"/>
    <w:rsid w:val="0A2363B0"/>
    <w:rsid w:val="0A26442A"/>
    <w:rsid w:val="0A287FA0"/>
    <w:rsid w:val="0A2A0524"/>
    <w:rsid w:val="0A2C0D3B"/>
    <w:rsid w:val="0A2E5E53"/>
    <w:rsid w:val="0A310F18"/>
    <w:rsid w:val="0A321633"/>
    <w:rsid w:val="0A332E85"/>
    <w:rsid w:val="0A340E0D"/>
    <w:rsid w:val="0A341682"/>
    <w:rsid w:val="0A3838AE"/>
    <w:rsid w:val="0A3F14EC"/>
    <w:rsid w:val="0A4A3E4A"/>
    <w:rsid w:val="0A4B7E76"/>
    <w:rsid w:val="0A522D71"/>
    <w:rsid w:val="0A546A76"/>
    <w:rsid w:val="0A5E482E"/>
    <w:rsid w:val="0A6B6E10"/>
    <w:rsid w:val="0A7B0C26"/>
    <w:rsid w:val="0A7B1AB9"/>
    <w:rsid w:val="0A7F5E19"/>
    <w:rsid w:val="0A810269"/>
    <w:rsid w:val="0A8C6A20"/>
    <w:rsid w:val="0A9713FA"/>
    <w:rsid w:val="0A9A05A9"/>
    <w:rsid w:val="0A9A72F3"/>
    <w:rsid w:val="0A9F3C9B"/>
    <w:rsid w:val="0AB441B1"/>
    <w:rsid w:val="0ABA39F1"/>
    <w:rsid w:val="0ABB708E"/>
    <w:rsid w:val="0AC716EE"/>
    <w:rsid w:val="0ACD1AA9"/>
    <w:rsid w:val="0AE778EA"/>
    <w:rsid w:val="0AE94F91"/>
    <w:rsid w:val="0AEF170F"/>
    <w:rsid w:val="0AF50251"/>
    <w:rsid w:val="0AF92D45"/>
    <w:rsid w:val="0AFC4CD1"/>
    <w:rsid w:val="0AFC55BB"/>
    <w:rsid w:val="0B0005A1"/>
    <w:rsid w:val="0B1526A9"/>
    <w:rsid w:val="0B194C41"/>
    <w:rsid w:val="0B2427D9"/>
    <w:rsid w:val="0B3643CE"/>
    <w:rsid w:val="0B38329D"/>
    <w:rsid w:val="0B396B39"/>
    <w:rsid w:val="0B410063"/>
    <w:rsid w:val="0B4D1563"/>
    <w:rsid w:val="0B586D3B"/>
    <w:rsid w:val="0B5948DD"/>
    <w:rsid w:val="0B5D4231"/>
    <w:rsid w:val="0B5F1DC7"/>
    <w:rsid w:val="0B605F4D"/>
    <w:rsid w:val="0B7B2078"/>
    <w:rsid w:val="0B7F7B23"/>
    <w:rsid w:val="0B8B19A4"/>
    <w:rsid w:val="0BA340B9"/>
    <w:rsid w:val="0BA8074F"/>
    <w:rsid w:val="0BAA2594"/>
    <w:rsid w:val="0BB645A8"/>
    <w:rsid w:val="0BB648EA"/>
    <w:rsid w:val="0BBC0DC9"/>
    <w:rsid w:val="0BBC72FE"/>
    <w:rsid w:val="0BC154BD"/>
    <w:rsid w:val="0BC26AAB"/>
    <w:rsid w:val="0BC8196A"/>
    <w:rsid w:val="0BC93196"/>
    <w:rsid w:val="0BD11F11"/>
    <w:rsid w:val="0BD53BE7"/>
    <w:rsid w:val="0BDC33FE"/>
    <w:rsid w:val="0BDC743A"/>
    <w:rsid w:val="0BE2085D"/>
    <w:rsid w:val="0BE2426F"/>
    <w:rsid w:val="0BE85DDD"/>
    <w:rsid w:val="0BF027CF"/>
    <w:rsid w:val="0BF66F00"/>
    <w:rsid w:val="0BF84DC8"/>
    <w:rsid w:val="0BF977FE"/>
    <w:rsid w:val="0BFC6861"/>
    <w:rsid w:val="0C003A87"/>
    <w:rsid w:val="0C004624"/>
    <w:rsid w:val="0C0C03C9"/>
    <w:rsid w:val="0C123F38"/>
    <w:rsid w:val="0C127856"/>
    <w:rsid w:val="0C190A0A"/>
    <w:rsid w:val="0C1F3477"/>
    <w:rsid w:val="0C215BD8"/>
    <w:rsid w:val="0C2462E1"/>
    <w:rsid w:val="0C27273B"/>
    <w:rsid w:val="0C2D7534"/>
    <w:rsid w:val="0C2F0761"/>
    <w:rsid w:val="0C316782"/>
    <w:rsid w:val="0C3C3CA0"/>
    <w:rsid w:val="0C3F3A46"/>
    <w:rsid w:val="0C4018D0"/>
    <w:rsid w:val="0C405E13"/>
    <w:rsid w:val="0C4D1731"/>
    <w:rsid w:val="0C524FEC"/>
    <w:rsid w:val="0C556C9B"/>
    <w:rsid w:val="0C572BD3"/>
    <w:rsid w:val="0C5730C1"/>
    <w:rsid w:val="0C64251E"/>
    <w:rsid w:val="0C691AB4"/>
    <w:rsid w:val="0C6C4136"/>
    <w:rsid w:val="0C7120BA"/>
    <w:rsid w:val="0C743DEB"/>
    <w:rsid w:val="0C7567F0"/>
    <w:rsid w:val="0C7D57C5"/>
    <w:rsid w:val="0C801498"/>
    <w:rsid w:val="0C82275E"/>
    <w:rsid w:val="0C823D28"/>
    <w:rsid w:val="0C836D6B"/>
    <w:rsid w:val="0C890893"/>
    <w:rsid w:val="0C8D251A"/>
    <w:rsid w:val="0C90777F"/>
    <w:rsid w:val="0C916659"/>
    <w:rsid w:val="0C9B1C08"/>
    <w:rsid w:val="0C9D66F6"/>
    <w:rsid w:val="0CA66214"/>
    <w:rsid w:val="0CBD0903"/>
    <w:rsid w:val="0CBD341E"/>
    <w:rsid w:val="0CC32094"/>
    <w:rsid w:val="0CD143AE"/>
    <w:rsid w:val="0CD61C5E"/>
    <w:rsid w:val="0CDA2B45"/>
    <w:rsid w:val="0CE005BA"/>
    <w:rsid w:val="0CE92E2F"/>
    <w:rsid w:val="0CF238D9"/>
    <w:rsid w:val="0CF3265F"/>
    <w:rsid w:val="0CF54C18"/>
    <w:rsid w:val="0CFB7D5D"/>
    <w:rsid w:val="0D0105C4"/>
    <w:rsid w:val="0D020CCB"/>
    <w:rsid w:val="0D026C5D"/>
    <w:rsid w:val="0D0676A4"/>
    <w:rsid w:val="0D190F81"/>
    <w:rsid w:val="0D1D58C9"/>
    <w:rsid w:val="0D262447"/>
    <w:rsid w:val="0D2B3F36"/>
    <w:rsid w:val="0D3333F8"/>
    <w:rsid w:val="0D361020"/>
    <w:rsid w:val="0D423EAE"/>
    <w:rsid w:val="0D5261BF"/>
    <w:rsid w:val="0D57246E"/>
    <w:rsid w:val="0D585E47"/>
    <w:rsid w:val="0D6734E3"/>
    <w:rsid w:val="0D6E4804"/>
    <w:rsid w:val="0D7D2A79"/>
    <w:rsid w:val="0D7D3E0F"/>
    <w:rsid w:val="0D8200F5"/>
    <w:rsid w:val="0D86133A"/>
    <w:rsid w:val="0D893804"/>
    <w:rsid w:val="0D8D3537"/>
    <w:rsid w:val="0DA2444C"/>
    <w:rsid w:val="0DA44C4F"/>
    <w:rsid w:val="0DA63D3D"/>
    <w:rsid w:val="0DAC0338"/>
    <w:rsid w:val="0DAC7CEF"/>
    <w:rsid w:val="0DAD62D1"/>
    <w:rsid w:val="0DBB4523"/>
    <w:rsid w:val="0DC209AA"/>
    <w:rsid w:val="0DC44BEA"/>
    <w:rsid w:val="0DC906B2"/>
    <w:rsid w:val="0DD265EC"/>
    <w:rsid w:val="0DD43F77"/>
    <w:rsid w:val="0DDF4F23"/>
    <w:rsid w:val="0DE805D5"/>
    <w:rsid w:val="0DFC545B"/>
    <w:rsid w:val="0DFE3130"/>
    <w:rsid w:val="0E052416"/>
    <w:rsid w:val="0E20647A"/>
    <w:rsid w:val="0E2B77B0"/>
    <w:rsid w:val="0E304F48"/>
    <w:rsid w:val="0E33779F"/>
    <w:rsid w:val="0E3E07E5"/>
    <w:rsid w:val="0E44758C"/>
    <w:rsid w:val="0E4504CC"/>
    <w:rsid w:val="0E4D0FC1"/>
    <w:rsid w:val="0E511DEE"/>
    <w:rsid w:val="0E5753B1"/>
    <w:rsid w:val="0E611762"/>
    <w:rsid w:val="0E6370CE"/>
    <w:rsid w:val="0E667D4E"/>
    <w:rsid w:val="0E6B1369"/>
    <w:rsid w:val="0E6C75F4"/>
    <w:rsid w:val="0E72373D"/>
    <w:rsid w:val="0E7C4A82"/>
    <w:rsid w:val="0E8E520D"/>
    <w:rsid w:val="0E8F336A"/>
    <w:rsid w:val="0E8F359F"/>
    <w:rsid w:val="0E917529"/>
    <w:rsid w:val="0EAA3109"/>
    <w:rsid w:val="0EB16245"/>
    <w:rsid w:val="0EB75DD5"/>
    <w:rsid w:val="0EB809A9"/>
    <w:rsid w:val="0EC25A79"/>
    <w:rsid w:val="0EC345DF"/>
    <w:rsid w:val="0ECA7B73"/>
    <w:rsid w:val="0ECD648E"/>
    <w:rsid w:val="0ECF2D08"/>
    <w:rsid w:val="0ED4462A"/>
    <w:rsid w:val="0ED63EFE"/>
    <w:rsid w:val="0EDA7ABD"/>
    <w:rsid w:val="0EE16478"/>
    <w:rsid w:val="0EE9317A"/>
    <w:rsid w:val="0F000C96"/>
    <w:rsid w:val="0F030982"/>
    <w:rsid w:val="0F0C687B"/>
    <w:rsid w:val="0F0F50B1"/>
    <w:rsid w:val="0F266F83"/>
    <w:rsid w:val="0F267BBE"/>
    <w:rsid w:val="0F292A93"/>
    <w:rsid w:val="0F2B39D9"/>
    <w:rsid w:val="0F332828"/>
    <w:rsid w:val="0F383593"/>
    <w:rsid w:val="0F3C7A41"/>
    <w:rsid w:val="0F5346EB"/>
    <w:rsid w:val="0F565E8D"/>
    <w:rsid w:val="0F5C09F5"/>
    <w:rsid w:val="0F5E2F7D"/>
    <w:rsid w:val="0F6B43C5"/>
    <w:rsid w:val="0F7113C1"/>
    <w:rsid w:val="0F76462C"/>
    <w:rsid w:val="0F767D88"/>
    <w:rsid w:val="0F7958FE"/>
    <w:rsid w:val="0F895627"/>
    <w:rsid w:val="0F8B0C31"/>
    <w:rsid w:val="0F8D70E4"/>
    <w:rsid w:val="0F927664"/>
    <w:rsid w:val="0F955B67"/>
    <w:rsid w:val="0FA04150"/>
    <w:rsid w:val="0FA40C23"/>
    <w:rsid w:val="0FA67F27"/>
    <w:rsid w:val="0FB63E70"/>
    <w:rsid w:val="0FB7141D"/>
    <w:rsid w:val="0FB72367"/>
    <w:rsid w:val="0FB73E77"/>
    <w:rsid w:val="0FB9413C"/>
    <w:rsid w:val="0FC06194"/>
    <w:rsid w:val="0FC47664"/>
    <w:rsid w:val="0FD07E85"/>
    <w:rsid w:val="0FED0854"/>
    <w:rsid w:val="0FED3576"/>
    <w:rsid w:val="0FF63E22"/>
    <w:rsid w:val="0FFD41BD"/>
    <w:rsid w:val="0FFD5200"/>
    <w:rsid w:val="10005A8C"/>
    <w:rsid w:val="10092592"/>
    <w:rsid w:val="10211950"/>
    <w:rsid w:val="10213F6E"/>
    <w:rsid w:val="103247B3"/>
    <w:rsid w:val="104071D9"/>
    <w:rsid w:val="1042731E"/>
    <w:rsid w:val="104273D7"/>
    <w:rsid w:val="10445B9A"/>
    <w:rsid w:val="10494F32"/>
    <w:rsid w:val="104F21BA"/>
    <w:rsid w:val="10560D06"/>
    <w:rsid w:val="105B0B5E"/>
    <w:rsid w:val="10613C9B"/>
    <w:rsid w:val="10640B9B"/>
    <w:rsid w:val="10651D23"/>
    <w:rsid w:val="10655C5D"/>
    <w:rsid w:val="10673933"/>
    <w:rsid w:val="10702130"/>
    <w:rsid w:val="107514F4"/>
    <w:rsid w:val="109E5FEF"/>
    <w:rsid w:val="10BA0DCE"/>
    <w:rsid w:val="10C20B10"/>
    <w:rsid w:val="10C3101B"/>
    <w:rsid w:val="10C4482A"/>
    <w:rsid w:val="10C876B1"/>
    <w:rsid w:val="10CA34E1"/>
    <w:rsid w:val="10CE5C82"/>
    <w:rsid w:val="10D25FC1"/>
    <w:rsid w:val="10D26878"/>
    <w:rsid w:val="10DA4B72"/>
    <w:rsid w:val="10DD09CE"/>
    <w:rsid w:val="10ED1D0E"/>
    <w:rsid w:val="10EE684F"/>
    <w:rsid w:val="10F535D3"/>
    <w:rsid w:val="11082CF7"/>
    <w:rsid w:val="11153FC3"/>
    <w:rsid w:val="111D7E38"/>
    <w:rsid w:val="1123195D"/>
    <w:rsid w:val="112B0024"/>
    <w:rsid w:val="113F126E"/>
    <w:rsid w:val="114F1D45"/>
    <w:rsid w:val="115600D4"/>
    <w:rsid w:val="115920CE"/>
    <w:rsid w:val="11647B2C"/>
    <w:rsid w:val="1174468E"/>
    <w:rsid w:val="117C32EA"/>
    <w:rsid w:val="118834E8"/>
    <w:rsid w:val="119908C2"/>
    <w:rsid w:val="119A3ADB"/>
    <w:rsid w:val="119E09B8"/>
    <w:rsid w:val="11B1006A"/>
    <w:rsid w:val="11B62D7E"/>
    <w:rsid w:val="11C02D2E"/>
    <w:rsid w:val="11C605E7"/>
    <w:rsid w:val="11CC464A"/>
    <w:rsid w:val="11D37EA7"/>
    <w:rsid w:val="11D72CBF"/>
    <w:rsid w:val="11E626AA"/>
    <w:rsid w:val="11E90B6B"/>
    <w:rsid w:val="11ED3D2F"/>
    <w:rsid w:val="11F400C8"/>
    <w:rsid w:val="11F538AA"/>
    <w:rsid w:val="11F67003"/>
    <w:rsid w:val="11F81593"/>
    <w:rsid w:val="1203277A"/>
    <w:rsid w:val="1206792D"/>
    <w:rsid w:val="1228182C"/>
    <w:rsid w:val="12312169"/>
    <w:rsid w:val="12411F07"/>
    <w:rsid w:val="124368EB"/>
    <w:rsid w:val="12455342"/>
    <w:rsid w:val="12566960"/>
    <w:rsid w:val="1259358F"/>
    <w:rsid w:val="12594D28"/>
    <w:rsid w:val="125B2172"/>
    <w:rsid w:val="125C0F94"/>
    <w:rsid w:val="12665399"/>
    <w:rsid w:val="126F08F1"/>
    <w:rsid w:val="127220C8"/>
    <w:rsid w:val="12735809"/>
    <w:rsid w:val="1279351E"/>
    <w:rsid w:val="127C1D9A"/>
    <w:rsid w:val="127F6497"/>
    <w:rsid w:val="12823F18"/>
    <w:rsid w:val="12861640"/>
    <w:rsid w:val="128A1CAF"/>
    <w:rsid w:val="129530C6"/>
    <w:rsid w:val="129659CF"/>
    <w:rsid w:val="129F3C34"/>
    <w:rsid w:val="12A1706C"/>
    <w:rsid w:val="12A27DC3"/>
    <w:rsid w:val="12A56C60"/>
    <w:rsid w:val="12AC1D5A"/>
    <w:rsid w:val="12AF17AA"/>
    <w:rsid w:val="12B24C82"/>
    <w:rsid w:val="12B508B1"/>
    <w:rsid w:val="12B65B63"/>
    <w:rsid w:val="12B7019C"/>
    <w:rsid w:val="12B843BB"/>
    <w:rsid w:val="12CB4575"/>
    <w:rsid w:val="12CF5487"/>
    <w:rsid w:val="12D175E2"/>
    <w:rsid w:val="12D4727E"/>
    <w:rsid w:val="12D71F2E"/>
    <w:rsid w:val="12D818DA"/>
    <w:rsid w:val="12E31BDE"/>
    <w:rsid w:val="12E83881"/>
    <w:rsid w:val="12EC7AE9"/>
    <w:rsid w:val="13017E87"/>
    <w:rsid w:val="13063F06"/>
    <w:rsid w:val="13071595"/>
    <w:rsid w:val="130E780C"/>
    <w:rsid w:val="13117D70"/>
    <w:rsid w:val="131A335A"/>
    <w:rsid w:val="131B4590"/>
    <w:rsid w:val="13313BF8"/>
    <w:rsid w:val="13425FE7"/>
    <w:rsid w:val="134A6C68"/>
    <w:rsid w:val="134D5D29"/>
    <w:rsid w:val="135720BE"/>
    <w:rsid w:val="13646528"/>
    <w:rsid w:val="137131BB"/>
    <w:rsid w:val="137A683C"/>
    <w:rsid w:val="1384637C"/>
    <w:rsid w:val="138B328C"/>
    <w:rsid w:val="138C5731"/>
    <w:rsid w:val="13903825"/>
    <w:rsid w:val="139C5FF5"/>
    <w:rsid w:val="139D1015"/>
    <w:rsid w:val="13A37472"/>
    <w:rsid w:val="13A9686B"/>
    <w:rsid w:val="13B04A88"/>
    <w:rsid w:val="13B84F5A"/>
    <w:rsid w:val="13BB1CF9"/>
    <w:rsid w:val="13C46C25"/>
    <w:rsid w:val="13C54FC2"/>
    <w:rsid w:val="13C83C17"/>
    <w:rsid w:val="13CD3FA3"/>
    <w:rsid w:val="13CE33F5"/>
    <w:rsid w:val="13D645AE"/>
    <w:rsid w:val="13DD3F4F"/>
    <w:rsid w:val="13DE2A6A"/>
    <w:rsid w:val="13E2622E"/>
    <w:rsid w:val="13F33280"/>
    <w:rsid w:val="14092680"/>
    <w:rsid w:val="140D6D71"/>
    <w:rsid w:val="141155A6"/>
    <w:rsid w:val="14117786"/>
    <w:rsid w:val="141E0717"/>
    <w:rsid w:val="14297453"/>
    <w:rsid w:val="143907F8"/>
    <w:rsid w:val="143E52C6"/>
    <w:rsid w:val="143E5B17"/>
    <w:rsid w:val="1445537A"/>
    <w:rsid w:val="144B12F1"/>
    <w:rsid w:val="14540C19"/>
    <w:rsid w:val="14592D75"/>
    <w:rsid w:val="145D40F9"/>
    <w:rsid w:val="146101A7"/>
    <w:rsid w:val="146429B0"/>
    <w:rsid w:val="146733DC"/>
    <w:rsid w:val="146F51D9"/>
    <w:rsid w:val="148963AA"/>
    <w:rsid w:val="14961F15"/>
    <w:rsid w:val="14991C4C"/>
    <w:rsid w:val="14B25F3D"/>
    <w:rsid w:val="14B47C73"/>
    <w:rsid w:val="14B74712"/>
    <w:rsid w:val="14BD517C"/>
    <w:rsid w:val="14C72C73"/>
    <w:rsid w:val="14CF2F4A"/>
    <w:rsid w:val="14D07BF1"/>
    <w:rsid w:val="14D12680"/>
    <w:rsid w:val="14D7277E"/>
    <w:rsid w:val="14DF0BA2"/>
    <w:rsid w:val="14E13ABE"/>
    <w:rsid w:val="14EC111C"/>
    <w:rsid w:val="14F2438D"/>
    <w:rsid w:val="14FD260F"/>
    <w:rsid w:val="15060D13"/>
    <w:rsid w:val="1508059A"/>
    <w:rsid w:val="150A0F40"/>
    <w:rsid w:val="150A1CAF"/>
    <w:rsid w:val="150D5EF5"/>
    <w:rsid w:val="15115FBE"/>
    <w:rsid w:val="151E58BF"/>
    <w:rsid w:val="152864F1"/>
    <w:rsid w:val="152A4D86"/>
    <w:rsid w:val="152B4878"/>
    <w:rsid w:val="152D0EAD"/>
    <w:rsid w:val="153426C4"/>
    <w:rsid w:val="15412E70"/>
    <w:rsid w:val="15451518"/>
    <w:rsid w:val="15457C9B"/>
    <w:rsid w:val="15474C21"/>
    <w:rsid w:val="154B3B30"/>
    <w:rsid w:val="154C5769"/>
    <w:rsid w:val="155913E5"/>
    <w:rsid w:val="155B51EC"/>
    <w:rsid w:val="155D63FE"/>
    <w:rsid w:val="1566616E"/>
    <w:rsid w:val="156A4DD9"/>
    <w:rsid w:val="156C1118"/>
    <w:rsid w:val="15796B4E"/>
    <w:rsid w:val="158A0510"/>
    <w:rsid w:val="159E0658"/>
    <w:rsid w:val="15A24385"/>
    <w:rsid w:val="15A31535"/>
    <w:rsid w:val="15A4548C"/>
    <w:rsid w:val="15A75661"/>
    <w:rsid w:val="15A91D18"/>
    <w:rsid w:val="15B11E25"/>
    <w:rsid w:val="15BB6C7B"/>
    <w:rsid w:val="15C87753"/>
    <w:rsid w:val="15D00733"/>
    <w:rsid w:val="15D41C79"/>
    <w:rsid w:val="15D84B69"/>
    <w:rsid w:val="15DB3018"/>
    <w:rsid w:val="15DD706A"/>
    <w:rsid w:val="15E85EA3"/>
    <w:rsid w:val="15FD4136"/>
    <w:rsid w:val="1608552B"/>
    <w:rsid w:val="160F1A18"/>
    <w:rsid w:val="16105D65"/>
    <w:rsid w:val="161B6D47"/>
    <w:rsid w:val="162A45AF"/>
    <w:rsid w:val="16321ADC"/>
    <w:rsid w:val="163663F7"/>
    <w:rsid w:val="163F32EB"/>
    <w:rsid w:val="16523ED5"/>
    <w:rsid w:val="165364C3"/>
    <w:rsid w:val="165A2BDE"/>
    <w:rsid w:val="16636CE1"/>
    <w:rsid w:val="166E0A8A"/>
    <w:rsid w:val="166F1D3D"/>
    <w:rsid w:val="16706B4D"/>
    <w:rsid w:val="16710DF6"/>
    <w:rsid w:val="1673768F"/>
    <w:rsid w:val="1675224E"/>
    <w:rsid w:val="16752821"/>
    <w:rsid w:val="16792576"/>
    <w:rsid w:val="16806552"/>
    <w:rsid w:val="16826733"/>
    <w:rsid w:val="168523D3"/>
    <w:rsid w:val="16886B26"/>
    <w:rsid w:val="168B4CC3"/>
    <w:rsid w:val="1692495E"/>
    <w:rsid w:val="16947717"/>
    <w:rsid w:val="169567B3"/>
    <w:rsid w:val="16A100CA"/>
    <w:rsid w:val="16AA4DAF"/>
    <w:rsid w:val="16AD1756"/>
    <w:rsid w:val="16AE01A6"/>
    <w:rsid w:val="16B23F2C"/>
    <w:rsid w:val="16B943F6"/>
    <w:rsid w:val="16C127DB"/>
    <w:rsid w:val="16D04FC6"/>
    <w:rsid w:val="16D15FD8"/>
    <w:rsid w:val="16D33E72"/>
    <w:rsid w:val="16D7709E"/>
    <w:rsid w:val="16D91158"/>
    <w:rsid w:val="16DA7D18"/>
    <w:rsid w:val="16E97EF9"/>
    <w:rsid w:val="16F07B27"/>
    <w:rsid w:val="16F10E05"/>
    <w:rsid w:val="16F5440C"/>
    <w:rsid w:val="16FE0496"/>
    <w:rsid w:val="17006251"/>
    <w:rsid w:val="170B17C5"/>
    <w:rsid w:val="171038A9"/>
    <w:rsid w:val="17137909"/>
    <w:rsid w:val="1719673E"/>
    <w:rsid w:val="171A0E17"/>
    <w:rsid w:val="171B65B0"/>
    <w:rsid w:val="171D619F"/>
    <w:rsid w:val="171E24D6"/>
    <w:rsid w:val="171E475F"/>
    <w:rsid w:val="17237EFC"/>
    <w:rsid w:val="172E4346"/>
    <w:rsid w:val="17384267"/>
    <w:rsid w:val="173F2DB2"/>
    <w:rsid w:val="17477185"/>
    <w:rsid w:val="1748044E"/>
    <w:rsid w:val="174D23F4"/>
    <w:rsid w:val="17532E5E"/>
    <w:rsid w:val="175937E0"/>
    <w:rsid w:val="176A54AD"/>
    <w:rsid w:val="176F1347"/>
    <w:rsid w:val="1780603B"/>
    <w:rsid w:val="17A032FB"/>
    <w:rsid w:val="17A245DC"/>
    <w:rsid w:val="17A61C6F"/>
    <w:rsid w:val="17B0594D"/>
    <w:rsid w:val="17B15903"/>
    <w:rsid w:val="17B27A9B"/>
    <w:rsid w:val="17B926ED"/>
    <w:rsid w:val="17BA1F9C"/>
    <w:rsid w:val="17BA79E2"/>
    <w:rsid w:val="17BC4772"/>
    <w:rsid w:val="17D12728"/>
    <w:rsid w:val="17D24DD8"/>
    <w:rsid w:val="17E60A7A"/>
    <w:rsid w:val="17EF54C7"/>
    <w:rsid w:val="17F07560"/>
    <w:rsid w:val="17F84D97"/>
    <w:rsid w:val="17FB38A2"/>
    <w:rsid w:val="17FC3E44"/>
    <w:rsid w:val="18030739"/>
    <w:rsid w:val="18090844"/>
    <w:rsid w:val="180C0AFD"/>
    <w:rsid w:val="18117B13"/>
    <w:rsid w:val="181870D4"/>
    <w:rsid w:val="182251D3"/>
    <w:rsid w:val="182E5E4C"/>
    <w:rsid w:val="1833144C"/>
    <w:rsid w:val="183E096C"/>
    <w:rsid w:val="184F2CDA"/>
    <w:rsid w:val="18685DE7"/>
    <w:rsid w:val="186A2283"/>
    <w:rsid w:val="186F5685"/>
    <w:rsid w:val="1876019B"/>
    <w:rsid w:val="187C0DEA"/>
    <w:rsid w:val="188365CF"/>
    <w:rsid w:val="189A244D"/>
    <w:rsid w:val="189F6C54"/>
    <w:rsid w:val="18A73433"/>
    <w:rsid w:val="18A763D9"/>
    <w:rsid w:val="18AB19DB"/>
    <w:rsid w:val="18AD51D7"/>
    <w:rsid w:val="18B307D7"/>
    <w:rsid w:val="18B6058F"/>
    <w:rsid w:val="18D11090"/>
    <w:rsid w:val="18D25C5F"/>
    <w:rsid w:val="18DB65A0"/>
    <w:rsid w:val="18E03DC5"/>
    <w:rsid w:val="18E04B97"/>
    <w:rsid w:val="18EA00FB"/>
    <w:rsid w:val="18F21AE9"/>
    <w:rsid w:val="18F46A0A"/>
    <w:rsid w:val="18FA3995"/>
    <w:rsid w:val="18FB18A2"/>
    <w:rsid w:val="18FB50F2"/>
    <w:rsid w:val="190A14A1"/>
    <w:rsid w:val="19161AC1"/>
    <w:rsid w:val="19197809"/>
    <w:rsid w:val="19234C01"/>
    <w:rsid w:val="19273717"/>
    <w:rsid w:val="192D0E31"/>
    <w:rsid w:val="192E2A29"/>
    <w:rsid w:val="192E7999"/>
    <w:rsid w:val="1933023C"/>
    <w:rsid w:val="19354C84"/>
    <w:rsid w:val="19526877"/>
    <w:rsid w:val="19584C54"/>
    <w:rsid w:val="195949B2"/>
    <w:rsid w:val="19595246"/>
    <w:rsid w:val="19677EDB"/>
    <w:rsid w:val="19681C0E"/>
    <w:rsid w:val="196D1903"/>
    <w:rsid w:val="198A612F"/>
    <w:rsid w:val="19903A06"/>
    <w:rsid w:val="199E7A91"/>
    <w:rsid w:val="19CA2ECA"/>
    <w:rsid w:val="19CB2EF4"/>
    <w:rsid w:val="19D674A8"/>
    <w:rsid w:val="19D723F1"/>
    <w:rsid w:val="19D87405"/>
    <w:rsid w:val="19E055A8"/>
    <w:rsid w:val="19E0599C"/>
    <w:rsid w:val="19F11A9A"/>
    <w:rsid w:val="19FA13E8"/>
    <w:rsid w:val="1A036BA3"/>
    <w:rsid w:val="1A0B43D6"/>
    <w:rsid w:val="1A241336"/>
    <w:rsid w:val="1A2A63F9"/>
    <w:rsid w:val="1A31116E"/>
    <w:rsid w:val="1A311711"/>
    <w:rsid w:val="1A3E158C"/>
    <w:rsid w:val="1A401B3F"/>
    <w:rsid w:val="1A4101E8"/>
    <w:rsid w:val="1A45702C"/>
    <w:rsid w:val="1A477774"/>
    <w:rsid w:val="1A4F3D41"/>
    <w:rsid w:val="1A512FD2"/>
    <w:rsid w:val="1A5E03C2"/>
    <w:rsid w:val="1A5E2B30"/>
    <w:rsid w:val="1A604FC3"/>
    <w:rsid w:val="1A67697A"/>
    <w:rsid w:val="1A6B29D9"/>
    <w:rsid w:val="1A6E5D76"/>
    <w:rsid w:val="1A716BEE"/>
    <w:rsid w:val="1A7421CF"/>
    <w:rsid w:val="1A78230D"/>
    <w:rsid w:val="1A7936B8"/>
    <w:rsid w:val="1A8A0F34"/>
    <w:rsid w:val="1A9857CC"/>
    <w:rsid w:val="1A9D1088"/>
    <w:rsid w:val="1A9E0C15"/>
    <w:rsid w:val="1A9F4369"/>
    <w:rsid w:val="1AA743DD"/>
    <w:rsid w:val="1AA96E85"/>
    <w:rsid w:val="1AAA519D"/>
    <w:rsid w:val="1AB50EE5"/>
    <w:rsid w:val="1AB6087E"/>
    <w:rsid w:val="1AC31C19"/>
    <w:rsid w:val="1ACC4407"/>
    <w:rsid w:val="1AD054F8"/>
    <w:rsid w:val="1AD4046B"/>
    <w:rsid w:val="1AE15EF3"/>
    <w:rsid w:val="1AE16104"/>
    <w:rsid w:val="1AE56801"/>
    <w:rsid w:val="1AE678CE"/>
    <w:rsid w:val="1AE946EE"/>
    <w:rsid w:val="1AEE5D74"/>
    <w:rsid w:val="1AF62694"/>
    <w:rsid w:val="1AFA67BD"/>
    <w:rsid w:val="1AFD7373"/>
    <w:rsid w:val="1B090710"/>
    <w:rsid w:val="1B0A5DC1"/>
    <w:rsid w:val="1B0D0F4D"/>
    <w:rsid w:val="1B0E73B3"/>
    <w:rsid w:val="1B11251A"/>
    <w:rsid w:val="1B14674F"/>
    <w:rsid w:val="1B1D3DDF"/>
    <w:rsid w:val="1B1E5757"/>
    <w:rsid w:val="1B2916E5"/>
    <w:rsid w:val="1B40507B"/>
    <w:rsid w:val="1B506076"/>
    <w:rsid w:val="1B5A5883"/>
    <w:rsid w:val="1B5F7FA7"/>
    <w:rsid w:val="1B63668C"/>
    <w:rsid w:val="1B75252A"/>
    <w:rsid w:val="1B773D4F"/>
    <w:rsid w:val="1B7C14A1"/>
    <w:rsid w:val="1B8076CB"/>
    <w:rsid w:val="1B821D08"/>
    <w:rsid w:val="1B862833"/>
    <w:rsid w:val="1B8F4135"/>
    <w:rsid w:val="1B8F46A0"/>
    <w:rsid w:val="1B96294F"/>
    <w:rsid w:val="1BA0432B"/>
    <w:rsid w:val="1BAB04C0"/>
    <w:rsid w:val="1BB1608A"/>
    <w:rsid w:val="1BB77278"/>
    <w:rsid w:val="1BBA7D60"/>
    <w:rsid w:val="1BBE4EC6"/>
    <w:rsid w:val="1BC83389"/>
    <w:rsid w:val="1BD029B6"/>
    <w:rsid w:val="1BD46CB0"/>
    <w:rsid w:val="1BD5178C"/>
    <w:rsid w:val="1BD97A80"/>
    <w:rsid w:val="1BDB5678"/>
    <w:rsid w:val="1BE55780"/>
    <w:rsid w:val="1BE71058"/>
    <w:rsid w:val="1BEB4C2C"/>
    <w:rsid w:val="1BEB7AB6"/>
    <w:rsid w:val="1BF27CCF"/>
    <w:rsid w:val="1BFA3269"/>
    <w:rsid w:val="1BFC2ACA"/>
    <w:rsid w:val="1C0434B2"/>
    <w:rsid w:val="1C056ECA"/>
    <w:rsid w:val="1C115B48"/>
    <w:rsid w:val="1C1255EA"/>
    <w:rsid w:val="1C157D90"/>
    <w:rsid w:val="1C1F6CF4"/>
    <w:rsid w:val="1C216234"/>
    <w:rsid w:val="1C2B7889"/>
    <w:rsid w:val="1C351CFE"/>
    <w:rsid w:val="1C3B7046"/>
    <w:rsid w:val="1C3D13EB"/>
    <w:rsid w:val="1C4C143F"/>
    <w:rsid w:val="1C617A22"/>
    <w:rsid w:val="1C65129F"/>
    <w:rsid w:val="1C6E2DCC"/>
    <w:rsid w:val="1C7437E0"/>
    <w:rsid w:val="1C7D08AC"/>
    <w:rsid w:val="1C7F13F7"/>
    <w:rsid w:val="1C803DBA"/>
    <w:rsid w:val="1C843076"/>
    <w:rsid w:val="1C8B02A0"/>
    <w:rsid w:val="1C8F2CAC"/>
    <w:rsid w:val="1C945E62"/>
    <w:rsid w:val="1C95113D"/>
    <w:rsid w:val="1C9B54DF"/>
    <w:rsid w:val="1CAB6A99"/>
    <w:rsid w:val="1CAB6E93"/>
    <w:rsid w:val="1CB3587E"/>
    <w:rsid w:val="1CB75B94"/>
    <w:rsid w:val="1CB772D9"/>
    <w:rsid w:val="1CBB5035"/>
    <w:rsid w:val="1CBE5564"/>
    <w:rsid w:val="1CC0422B"/>
    <w:rsid w:val="1CC25AC1"/>
    <w:rsid w:val="1CC7132A"/>
    <w:rsid w:val="1CCA246C"/>
    <w:rsid w:val="1CCC703D"/>
    <w:rsid w:val="1CD63CAB"/>
    <w:rsid w:val="1CD840AA"/>
    <w:rsid w:val="1CE15E79"/>
    <w:rsid w:val="1CE20E79"/>
    <w:rsid w:val="1CE767B2"/>
    <w:rsid w:val="1CF00C1C"/>
    <w:rsid w:val="1CF10230"/>
    <w:rsid w:val="1CF245F9"/>
    <w:rsid w:val="1CFA1714"/>
    <w:rsid w:val="1CFC7D16"/>
    <w:rsid w:val="1D040938"/>
    <w:rsid w:val="1D046798"/>
    <w:rsid w:val="1D065F12"/>
    <w:rsid w:val="1D0E580F"/>
    <w:rsid w:val="1D0F4A6C"/>
    <w:rsid w:val="1D1518E9"/>
    <w:rsid w:val="1D201BEC"/>
    <w:rsid w:val="1D2A5313"/>
    <w:rsid w:val="1D405181"/>
    <w:rsid w:val="1D504FA4"/>
    <w:rsid w:val="1D5507B0"/>
    <w:rsid w:val="1D5C1E36"/>
    <w:rsid w:val="1D5E0613"/>
    <w:rsid w:val="1D7C2114"/>
    <w:rsid w:val="1D7D2E60"/>
    <w:rsid w:val="1D8448B6"/>
    <w:rsid w:val="1D846372"/>
    <w:rsid w:val="1D975171"/>
    <w:rsid w:val="1D9D356A"/>
    <w:rsid w:val="1D9E440E"/>
    <w:rsid w:val="1DAC3AA0"/>
    <w:rsid w:val="1DB37CFA"/>
    <w:rsid w:val="1DB409A2"/>
    <w:rsid w:val="1DB55626"/>
    <w:rsid w:val="1DBD5182"/>
    <w:rsid w:val="1DC82412"/>
    <w:rsid w:val="1DD51824"/>
    <w:rsid w:val="1DDC2C90"/>
    <w:rsid w:val="1DE1781B"/>
    <w:rsid w:val="1DEA0685"/>
    <w:rsid w:val="1DEC327A"/>
    <w:rsid w:val="1DEF076F"/>
    <w:rsid w:val="1DF6297B"/>
    <w:rsid w:val="1DF92447"/>
    <w:rsid w:val="1E036FCE"/>
    <w:rsid w:val="1E0B5246"/>
    <w:rsid w:val="1E0C2701"/>
    <w:rsid w:val="1E0E6AFA"/>
    <w:rsid w:val="1E0F7022"/>
    <w:rsid w:val="1E1C3098"/>
    <w:rsid w:val="1E1D398A"/>
    <w:rsid w:val="1E37321D"/>
    <w:rsid w:val="1E3A3838"/>
    <w:rsid w:val="1E3D2069"/>
    <w:rsid w:val="1E4104FD"/>
    <w:rsid w:val="1E4163FC"/>
    <w:rsid w:val="1E4241EF"/>
    <w:rsid w:val="1E4419FE"/>
    <w:rsid w:val="1E4E1A57"/>
    <w:rsid w:val="1E4E34C7"/>
    <w:rsid w:val="1E4E4A3D"/>
    <w:rsid w:val="1E581686"/>
    <w:rsid w:val="1E5B4AA6"/>
    <w:rsid w:val="1E6500BF"/>
    <w:rsid w:val="1E690A57"/>
    <w:rsid w:val="1E6E0489"/>
    <w:rsid w:val="1E6F7DA5"/>
    <w:rsid w:val="1E74426A"/>
    <w:rsid w:val="1E7B6870"/>
    <w:rsid w:val="1E82066D"/>
    <w:rsid w:val="1E850848"/>
    <w:rsid w:val="1E943E4C"/>
    <w:rsid w:val="1E964446"/>
    <w:rsid w:val="1E987366"/>
    <w:rsid w:val="1EB37DB8"/>
    <w:rsid w:val="1EB82435"/>
    <w:rsid w:val="1EBA2573"/>
    <w:rsid w:val="1EC25CD2"/>
    <w:rsid w:val="1ECA4FED"/>
    <w:rsid w:val="1ED36602"/>
    <w:rsid w:val="1ED3667D"/>
    <w:rsid w:val="1ED460BE"/>
    <w:rsid w:val="1ED918F0"/>
    <w:rsid w:val="1EDF6C2C"/>
    <w:rsid w:val="1EE06C8F"/>
    <w:rsid w:val="1EEB5D4D"/>
    <w:rsid w:val="1EED6ACA"/>
    <w:rsid w:val="1EED77D2"/>
    <w:rsid w:val="1EF24653"/>
    <w:rsid w:val="1EF24C05"/>
    <w:rsid w:val="1EF503D0"/>
    <w:rsid w:val="1EF816D6"/>
    <w:rsid w:val="1EF97345"/>
    <w:rsid w:val="1EFA6C70"/>
    <w:rsid w:val="1F0C0694"/>
    <w:rsid w:val="1F147ED5"/>
    <w:rsid w:val="1F181798"/>
    <w:rsid w:val="1F1D0099"/>
    <w:rsid w:val="1F233E4E"/>
    <w:rsid w:val="1F247CB0"/>
    <w:rsid w:val="1F2A6433"/>
    <w:rsid w:val="1F2C1918"/>
    <w:rsid w:val="1F3472CB"/>
    <w:rsid w:val="1F3B0C11"/>
    <w:rsid w:val="1F3F7B73"/>
    <w:rsid w:val="1F44301F"/>
    <w:rsid w:val="1F467EB2"/>
    <w:rsid w:val="1F4B15BC"/>
    <w:rsid w:val="1F4E188E"/>
    <w:rsid w:val="1F506314"/>
    <w:rsid w:val="1F5533D5"/>
    <w:rsid w:val="1F5B0028"/>
    <w:rsid w:val="1F8E38E1"/>
    <w:rsid w:val="1F903753"/>
    <w:rsid w:val="1F941997"/>
    <w:rsid w:val="1F9610B3"/>
    <w:rsid w:val="1F9772EB"/>
    <w:rsid w:val="1F984562"/>
    <w:rsid w:val="1F9B1D74"/>
    <w:rsid w:val="1F9C068B"/>
    <w:rsid w:val="1FA318D5"/>
    <w:rsid w:val="1FA7646C"/>
    <w:rsid w:val="1FB13D6B"/>
    <w:rsid w:val="1FB4120E"/>
    <w:rsid w:val="1FB47A2F"/>
    <w:rsid w:val="1FB7103A"/>
    <w:rsid w:val="1FBA2CF7"/>
    <w:rsid w:val="1FC8310D"/>
    <w:rsid w:val="1FD2426D"/>
    <w:rsid w:val="1FE52321"/>
    <w:rsid w:val="1FE70D17"/>
    <w:rsid w:val="1FF5147F"/>
    <w:rsid w:val="20014E73"/>
    <w:rsid w:val="20036D5E"/>
    <w:rsid w:val="20076AE7"/>
    <w:rsid w:val="20197940"/>
    <w:rsid w:val="202C530B"/>
    <w:rsid w:val="20410870"/>
    <w:rsid w:val="204B16C3"/>
    <w:rsid w:val="20677BEA"/>
    <w:rsid w:val="206C2809"/>
    <w:rsid w:val="206E7D70"/>
    <w:rsid w:val="206F43D6"/>
    <w:rsid w:val="20791826"/>
    <w:rsid w:val="207E424C"/>
    <w:rsid w:val="207F53D7"/>
    <w:rsid w:val="208828C6"/>
    <w:rsid w:val="20945EC6"/>
    <w:rsid w:val="20A929C8"/>
    <w:rsid w:val="20B36E9E"/>
    <w:rsid w:val="20B53B26"/>
    <w:rsid w:val="20B67DA5"/>
    <w:rsid w:val="20C841BD"/>
    <w:rsid w:val="20D03CA3"/>
    <w:rsid w:val="20D2281D"/>
    <w:rsid w:val="20D95B86"/>
    <w:rsid w:val="20EB0D84"/>
    <w:rsid w:val="20ED6CE8"/>
    <w:rsid w:val="20F30FEF"/>
    <w:rsid w:val="20FE3FDE"/>
    <w:rsid w:val="21083C57"/>
    <w:rsid w:val="21192317"/>
    <w:rsid w:val="212D740B"/>
    <w:rsid w:val="21321A13"/>
    <w:rsid w:val="21345016"/>
    <w:rsid w:val="21390795"/>
    <w:rsid w:val="214404C9"/>
    <w:rsid w:val="2147236C"/>
    <w:rsid w:val="21490C41"/>
    <w:rsid w:val="214E496B"/>
    <w:rsid w:val="215C3726"/>
    <w:rsid w:val="215C78D1"/>
    <w:rsid w:val="21613AFB"/>
    <w:rsid w:val="217A3AD7"/>
    <w:rsid w:val="21802485"/>
    <w:rsid w:val="21813113"/>
    <w:rsid w:val="218615EC"/>
    <w:rsid w:val="21883C8D"/>
    <w:rsid w:val="218C2F9C"/>
    <w:rsid w:val="219A43F9"/>
    <w:rsid w:val="21A56AF5"/>
    <w:rsid w:val="21B05602"/>
    <w:rsid w:val="21B86CA6"/>
    <w:rsid w:val="21C25472"/>
    <w:rsid w:val="21E13C58"/>
    <w:rsid w:val="21E5308A"/>
    <w:rsid w:val="21E761D0"/>
    <w:rsid w:val="21ED57CF"/>
    <w:rsid w:val="220138FF"/>
    <w:rsid w:val="22020F9C"/>
    <w:rsid w:val="22033DA0"/>
    <w:rsid w:val="220F5C44"/>
    <w:rsid w:val="22153CEF"/>
    <w:rsid w:val="222B0537"/>
    <w:rsid w:val="22311C10"/>
    <w:rsid w:val="22420A12"/>
    <w:rsid w:val="224A108D"/>
    <w:rsid w:val="224A76E8"/>
    <w:rsid w:val="224C3665"/>
    <w:rsid w:val="224E530E"/>
    <w:rsid w:val="22576CAC"/>
    <w:rsid w:val="225B310D"/>
    <w:rsid w:val="22673393"/>
    <w:rsid w:val="226D1A73"/>
    <w:rsid w:val="227118C4"/>
    <w:rsid w:val="227A2634"/>
    <w:rsid w:val="227B77CC"/>
    <w:rsid w:val="228D2F50"/>
    <w:rsid w:val="2294211F"/>
    <w:rsid w:val="229A7EDD"/>
    <w:rsid w:val="229C3196"/>
    <w:rsid w:val="22A0444E"/>
    <w:rsid w:val="22A04AF7"/>
    <w:rsid w:val="22AE0860"/>
    <w:rsid w:val="22BC0F4A"/>
    <w:rsid w:val="22C14C18"/>
    <w:rsid w:val="22C2698E"/>
    <w:rsid w:val="22C348E5"/>
    <w:rsid w:val="22CD43A7"/>
    <w:rsid w:val="22CF2FA9"/>
    <w:rsid w:val="22D32D50"/>
    <w:rsid w:val="22D410CC"/>
    <w:rsid w:val="22E267F9"/>
    <w:rsid w:val="22E448F2"/>
    <w:rsid w:val="22EB7249"/>
    <w:rsid w:val="22F2788A"/>
    <w:rsid w:val="22F9367A"/>
    <w:rsid w:val="230A382B"/>
    <w:rsid w:val="230D3B9D"/>
    <w:rsid w:val="23163498"/>
    <w:rsid w:val="231B7AAA"/>
    <w:rsid w:val="232240F6"/>
    <w:rsid w:val="23256DAA"/>
    <w:rsid w:val="23390503"/>
    <w:rsid w:val="233B27C1"/>
    <w:rsid w:val="23505039"/>
    <w:rsid w:val="235D6544"/>
    <w:rsid w:val="235F406A"/>
    <w:rsid w:val="235F5429"/>
    <w:rsid w:val="23623B5A"/>
    <w:rsid w:val="23632BB8"/>
    <w:rsid w:val="23640FB0"/>
    <w:rsid w:val="23642049"/>
    <w:rsid w:val="2368268D"/>
    <w:rsid w:val="23687E83"/>
    <w:rsid w:val="2371139D"/>
    <w:rsid w:val="23797F46"/>
    <w:rsid w:val="23836902"/>
    <w:rsid w:val="23872CE5"/>
    <w:rsid w:val="238C3EED"/>
    <w:rsid w:val="23932D62"/>
    <w:rsid w:val="23995E62"/>
    <w:rsid w:val="239C706C"/>
    <w:rsid w:val="239E5DAB"/>
    <w:rsid w:val="23A04AAE"/>
    <w:rsid w:val="23A67C66"/>
    <w:rsid w:val="23B52D71"/>
    <w:rsid w:val="23BF14A7"/>
    <w:rsid w:val="23C24044"/>
    <w:rsid w:val="23C34253"/>
    <w:rsid w:val="23CD3C1F"/>
    <w:rsid w:val="23D06E28"/>
    <w:rsid w:val="23D108F4"/>
    <w:rsid w:val="23D2373C"/>
    <w:rsid w:val="23D30F57"/>
    <w:rsid w:val="23D427EC"/>
    <w:rsid w:val="23D52455"/>
    <w:rsid w:val="23D5257E"/>
    <w:rsid w:val="23E30FB9"/>
    <w:rsid w:val="23E55BB7"/>
    <w:rsid w:val="23E86947"/>
    <w:rsid w:val="23EB0E0A"/>
    <w:rsid w:val="23F93412"/>
    <w:rsid w:val="24003E36"/>
    <w:rsid w:val="24025F67"/>
    <w:rsid w:val="24026973"/>
    <w:rsid w:val="24082FFD"/>
    <w:rsid w:val="241729C7"/>
    <w:rsid w:val="242C4A12"/>
    <w:rsid w:val="24360D1A"/>
    <w:rsid w:val="243C3A9F"/>
    <w:rsid w:val="243E2796"/>
    <w:rsid w:val="243F33CD"/>
    <w:rsid w:val="24473F3B"/>
    <w:rsid w:val="24540554"/>
    <w:rsid w:val="245A2573"/>
    <w:rsid w:val="245C6C30"/>
    <w:rsid w:val="24612064"/>
    <w:rsid w:val="24626C85"/>
    <w:rsid w:val="246365BB"/>
    <w:rsid w:val="24691C87"/>
    <w:rsid w:val="246B71DD"/>
    <w:rsid w:val="24804C37"/>
    <w:rsid w:val="248165DC"/>
    <w:rsid w:val="24965BCE"/>
    <w:rsid w:val="249D0F40"/>
    <w:rsid w:val="24AE0576"/>
    <w:rsid w:val="24B842AD"/>
    <w:rsid w:val="24BD6B45"/>
    <w:rsid w:val="24CC50D0"/>
    <w:rsid w:val="24CD4D69"/>
    <w:rsid w:val="24D12D46"/>
    <w:rsid w:val="24D25F0F"/>
    <w:rsid w:val="24DB4FFF"/>
    <w:rsid w:val="24DC011C"/>
    <w:rsid w:val="24E4168F"/>
    <w:rsid w:val="24EB5AB1"/>
    <w:rsid w:val="24EE491C"/>
    <w:rsid w:val="24F87B69"/>
    <w:rsid w:val="24FC4ED2"/>
    <w:rsid w:val="25023CB2"/>
    <w:rsid w:val="250A6D88"/>
    <w:rsid w:val="251A608E"/>
    <w:rsid w:val="251D24AE"/>
    <w:rsid w:val="252129F0"/>
    <w:rsid w:val="25223DB4"/>
    <w:rsid w:val="2524462C"/>
    <w:rsid w:val="25244912"/>
    <w:rsid w:val="252657F0"/>
    <w:rsid w:val="252C75B8"/>
    <w:rsid w:val="253359F2"/>
    <w:rsid w:val="25384E31"/>
    <w:rsid w:val="253F67E1"/>
    <w:rsid w:val="254B4B18"/>
    <w:rsid w:val="254C6617"/>
    <w:rsid w:val="254F010E"/>
    <w:rsid w:val="25514417"/>
    <w:rsid w:val="25567657"/>
    <w:rsid w:val="25622A5F"/>
    <w:rsid w:val="2572244F"/>
    <w:rsid w:val="257738AF"/>
    <w:rsid w:val="257C0493"/>
    <w:rsid w:val="257F4A05"/>
    <w:rsid w:val="25861D82"/>
    <w:rsid w:val="258B383C"/>
    <w:rsid w:val="259E71CD"/>
    <w:rsid w:val="25A50B9B"/>
    <w:rsid w:val="25A635D9"/>
    <w:rsid w:val="25A662D7"/>
    <w:rsid w:val="25A86E75"/>
    <w:rsid w:val="25AE2938"/>
    <w:rsid w:val="25B31D75"/>
    <w:rsid w:val="25B62DE4"/>
    <w:rsid w:val="25B85CB3"/>
    <w:rsid w:val="25BB0385"/>
    <w:rsid w:val="25BC2871"/>
    <w:rsid w:val="25CA0921"/>
    <w:rsid w:val="25CB0C18"/>
    <w:rsid w:val="25D13AEB"/>
    <w:rsid w:val="25E2769B"/>
    <w:rsid w:val="25EB34F5"/>
    <w:rsid w:val="25F449E1"/>
    <w:rsid w:val="25FA2770"/>
    <w:rsid w:val="260439C2"/>
    <w:rsid w:val="260E0F02"/>
    <w:rsid w:val="261D13BC"/>
    <w:rsid w:val="262B6CE7"/>
    <w:rsid w:val="26355224"/>
    <w:rsid w:val="26455B3C"/>
    <w:rsid w:val="26481395"/>
    <w:rsid w:val="26491D5B"/>
    <w:rsid w:val="2650545E"/>
    <w:rsid w:val="26564D95"/>
    <w:rsid w:val="265956E8"/>
    <w:rsid w:val="26635755"/>
    <w:rsid w:val="26663282"/>
    <w:rsid w:val="266C407E"/>
    <w:rsid w:val="266D5DB7"/>
    <w:rsid w:val="266F1818"/>
    <w:rsid w:val="26776AED"/>
    <w:rsid w:val="26784417"/>
    <w:rsid w:val="26831E62"/>
    <w:rsid w:val="26873A39"/>
    <w:rsid w:val="26886FB3"/>
    <w:rsid w:val="268C4B6E"/>
    <w:rsid w:val="268F769A"/>
    <w:rsid w:val="26907D50"/>
    <w:rsid w:val="26920BFA"/>
    <w:rsid w:val="269C2A2E"/>
    <w:rsid w:val="269F0E4A"/>
    <w:rsid w:val="26A96406"/>
    <w:rsid w:val="26AC5884"/>
    <w:rsid w:val="26AE3074"/>
    <w:rsid w:val="26B038E9"/>
    <w:rsid w:val="26BC3F33"/>
    <w:rsid w:val="26C61FE4"/>
    <w:rsid w:val="26CA7121"/>
    <w:rsid w:val="26D44D6F"/>
    <w:rsid w:val="26D54139"/>
    <w:rsid w:val="26DB2F48"/>
    <w:rsid w:val="26DE480D"/>
    <w:rsid w:val="26E42734"/>
    <w:rsid w:val="26E44D57"/>
    <w:rsid w:val="26E524AA"/>
    <w:rsid w:val="26EE1993"/>
    <w:rsid w:val="26EE3EA9"/>
    <w:rsid w:val="27020328"/>
    <w:rsid w:val="270D2469"/>
    <w:rsid w:val="271725DF"/>
    <w:rsid w:val="271B7370"/>
    <w:rsid w:val="271C25AF"/>
    <w:rsid w:val="271D191F"/>
    <w:rsid w:val="272969A2"/>
    <w:rsid w:val="272A498F"/>
    <w:rsid w:val="27316337"/>
    <w:rsid w:val="274041B2"/>
    <w:rsid w:val="27494C9F"/>
    <w:rsid w:val="2756711B"/>
    <w:rsid w:val="27571033"/>
    <w:rsid w:val="275C3ED9"/>
    <w:rsid w:val="275D10E9"/>
    <w:rsid w:val="27602319"/>
    <w:rsid w:val="27627383"/>
    <w:rsid w:val="27637EA1"/>
    <w:rsid w:val="276655F9"/>
    <w:rsid w:val="2774770C"/>
    <w:rsid w:val="277664C2"/>
    <w:rsid w:val="277E6196"/>
    <w:rsid w:val="27902370"/>
    <w:rsid w:val="279132F5"/>
    <w:rsid w:val="279273E5"/>
    <w:rsid w:val="279957D8"/>
    <w:rsid w:val="279A5F86"/>
    <w:rsid w:val="27A512B4"/>
    <w:rsid w:val="27AC3F4C"/>
    <w:rsid w:val="27AD77B8"/>
    <w:rsid w:val="27B11BCE"/>
    <w:rsid w:val="27B22C99"/>
    <w:rsid w:val="27B37CFF"/>
    <w:rsid w:val="27C83884"/>
    <w:rsid w:val="27CA312E"/>
    <w:rsid w:val="27CE31C4"/>
    <w:rsid w:val="27D75754"/>
    <w:rsid w:val="27DD44BD"/>
    <w:rsid w:val="27DE44F3"/>
    <w:rsid w:val="27E00E49"/>
    <w:rsid w:val="27E025E3"/>
    <w:rsid w:val="27E31C81"/>
    <w:rsid w:val="27E87EB2"/>
    <w:rsid w:val="27F843F9"/>
    <w:rsid w:val="27FC037A"/>
    <w:rsid w:val="27FC77A0"/>
    <w:rsid w:val="280011EB"/>
    <w:rsid w:val="28060F58"/>
    <w:rsid w:val="28077C52"/>
    <w:rsid w:val="280A77E0"/>
    <w:rsid w:val="28165B2E"/>
    <w:rsid w:val="281E15DD"/>
    <w:rsid w:val="28245882"/>
    <w:rsid w:val="28273885"/>
    <w:rsid w:val="2832361F"/>
    <w:rsid w:val="283D65AE"/>
    <w:rsid w:val="2847022F"/>
    <w:rsid w:val="284C53A3"/>
    <w:rsid w:val="284D6B87"/>
    <w:rsid w:val="28537D18"/>
    <w:rsid w:val="285904B0"/>
    <w:rsid w:val="28633F56"/>
    <w:rsid w:val="286C5825"/>
    <w:rsid w:val="28800D94"/>
    <w:rsid w:val="28804BF2"/>
    <w:rsid w:val="2884790D"/>
    <w:rsid w:val="288904C9"/>
    <w:rsid w:val="2889541F"/>
    <w:rsid w:val="28974527"/>
    <w:rsid w:val="289B7222"/>
    <w:rsid w:val="28A048D2"/>
    <w:rsid w:val="28A33108"/>
    <w:rsid w:val="28A42A77"/>
    <w:rsid w:val="28A51801"/>
    <w:rsid w:val="28AA34FB"/>
    <w:rsid w:val="28B9156D"/>
    <w:rsid w:val="28BA5168"/>
    <w:rsid w:val="28BB4BB3"/>
    <w:rsid w:val="28C6693F"/>
    <w:rsid w:val="28C72AD9"/>
    <w:rsid w:val="28C85178"/>
    <w:rsid w:val="28DC6197"/>
    <w:rsid w:val="28DD22E9"/>
    <w:rsid w:val="28EC45F2"/>
    <w:rsid w:val="28F20CD2"/>
    <w:rsid w:val="28F32944"/>
    <w:rsid w:val="28F63784"/>
    <w:rsid w:val="28F96D0F"/>
    <w:rsid w:val="28FA0810"/>
    <w:rsid w:val="28FD64D7"/>
    <w:rsid w:val="29093A3D"/>
    <w:rsid w:val="290D35E1"/>
    <w:rsid w:val="29121205"/>
    <w:rsid w:val="29153DEE"/>
    <w:rsid w:val="292909F1"/>
    <w:rsid w:val="293107D2"/>
    <w:rsid w:val="29423EF2"/>
    <w:rsid w:val="29464ACE"/>
    <w:rsid w:val="29587DFA"/>
    <w:rsid w:val="29592BB1"/>
    <w:rsid w:val="295E36CF"/>
    <w:rsid w:val="296177A4"/>
    <w:rsid w:val="2965703F"/>
    <w:rsid w:val="296A3063"/>
    <w:rsid w:val="296E3DDF"/>
    <w:rsid w:val="29703302"/>
    <w:rsid w:val="297154B3"/>
    <w:rsid w:val="297A56A8"/>
    <w:rsid w:val="298C5D80"/>
    <w:rsid w:val="298D0FBF"/>
    <w:rsid w:val="2990451B"/>
    <w:rsid w:val="29982084"/>
    <w:rsid w:val="29A205DE"/>
    <w:rsid w:val="29AA5B4C"/>
    <w:rsid w:val="29AE6870"/>
    <w:rsid w:val="29B26810"/>
    <w:rsid w:val="29BA5809"/>
    <w:rsid w:val="29C64E2E"/>
    <w:rsid w:val="29D1351A"/>
    <w:rsid w:val="29D22306"/>
    <w:rsid w:val="29D23DD9"/>
    <w:rsid w:val="29D73B83"/>
    <w:rsid w:val="29E46CE6"/>
    <w:rsid w:val="29EA7835"/>
    <w:rsid w:val="29EE6E5C"/>
    <w:rsid w:val="29F642BA"/>
    <w:rsid w:val="29F925DD"/>
    <w:rsid w:val="29F950BF"/>
    <w:rsid w:val="29FF2DE0"/>
    <w:rsid w:val="2A025CA4"/>
    <w:rsid w:val="2A062EBC"/>
    <w:rsid w:val="2A120A71"/>
    <w:rsid w:val="2A131E21"/>
    <w:rsid w:val="2A17684F"/>
    <w:rsid w:val="2A192D9F"/>
    <w:rsid w:val="2A1A0CA3"/>
    <w:rsid w:val="2A1E360D"/>
    <w:rsid w:val="2A1F7557"/>
    <w:rsid w:val="2A272C3F"/>
    <w:rsid w:val="2A3215FA"/>
    <w:rsid w:val="2A3D1040"/>
    <w:rsid w:val="2A3D200C"/>
    <w:rsid w:val="2A407BE7"/>
    <w:rsid w:val="2A462E4E"/>
    <w:rsid w:val="2A4717DC"/>
    <w:rsid w:val="2A510FFD"/>
    <w:rsid w:val="2A586F2B"/>
    <w:rsid w:val="2A5B1EFD"/>
    <w:rsid w:val="2A6A463C"/>
    <w:rsid w:val="2A6B4CF3"/>
    <w:rsid w:val="2A7409D2"/>
    <w:rsid w:val="2A742098"/>
    <w:rsid w:val="2A7A5C2D"/>
    <w:rsid w:val="2A7E571E"/>
    <w:rsid w:val="2A7F4D44"/>
    <w:rsid w:val="2A7F65E1"/>
    <w:rsid w:val="2A83282A"/>
    <w:rsid w:val="2A8A239A"/>
    <w:rsid w:val="2A8A6BFC"/>
    <w:rsid w:val="2A8B7A34"/>
    <w:rsid w:val="2A94182E"/>
    <w:rsid w:val="2A967FBC"/>
    <w:rsid w:val="2A996835"/>
    <w:rsid w:val="2A9C0585"/>
    <w:rsid w:val="2A9C66BF"/>
    <w:rsid w:val="2A9C76F4"/>
    <w:rsid w:val="2AA5589B"/>
    <w:rsid w:val="2AA6682D"/>
    <w:rsid w:val="2AC22ABA"/>
    <w:rsid w:val="2AD20567"/>
    <w:rsid w:val="2AD40439"/>
    <w:rsid w:val="2AD405B4"/>
    <w:rsid w:val="2AD636E3"/>
    <w:rsid w:val="2ADE501D"/>
    <w:rsid w:val="2AE046A9"/>
    <w:rsid w:val="2AE416EB"/>
    <w:rsid w:val="2AE5634E"/>
    <w:rsid w:val="2AEE3472"/>
    <w:rsid w:val="2AF03F94"/>
    <w:rsid w:val="2AF07D24"/>
    <w:rsid w:val="2AF1578A"/>
    <w:rsid w:val="2AF54800"/>
    <w:rsid w:val="2AF86B63"/>
    <w:rsid w:val="2B124AAA"/>
    <w:rsid w:val="2B165956"/>
    <w:rsid w:val="2B217AF7"/>
    <w:rsid w:val="2B237F61"/>
    <w:rsid w:val="2B256729"/>
    <w:rsid w:val="2B2C7381"/>
    <w:rsid w:val="2B356B66"/>
    <w:rsid w:val="2B4324C3"/>
    <w:rsid w:val="2B4749DA"/>
    <w:rsid w:val="2B485E04"/>
    <w:rsid w:val="2B4A732D"/>
    <w:rsid w:val="2B604AAA"/>
    <w:rsid w:val="2B614186"/>
    <w:rsid w:val="2B6233E8"/>
    <w:rsid w:val="2B7645A4"/>
    <w:rsid w:val="2B78024E"/>
    <w:rsid w:val="2B80401C"/>
    <w:rsid w:val="2B823A00"/>
    <w:rsid w:val="2B852ADC"/>
    <w:rsid w:val="2B920D55"/>
    <w:rsid w:val="2B9569B0"/>
    <w:rsid w:val="2B9C6A40"/>
    <w:rsid w:val="2B9D0D74"/>
    <w:rsid w:val="2BA2070E"/>
    <w:rsid w:val="2BAA5FAA"/>
    <w:rsid w:val="2BB86AF1"/>
    <w:rsid w:val="2BBD1B76"/>
    <w:rsid w:val="2BBF2C8E"/>
    <w:rsid w:val="2BC0427F"/>
    <w:rsid w:val="2BC94187"/>
    <w:rsid w:val="2BCD636C"/>
    <w:rsid w:val="2BD01B21"/>
    <w:rsid w:val="2BDA1365"/>
    <w:rsid w:val="2BDC196B"/>
    <w:rsid w:val="2BE934F0"/>
    <w:rsid w:val="2BE95597"/>
    <w:rsid w:val="2BFB7C24"/>
    <w:rsid w:val="2BFB7E49"/>
    <w:rsid w:val="2C011E18"/>
    <w:rsid w:val="2C030F60"/>
    <w:rsid w:val="2C0559CB"/>
    <w:rsid w:val="2C082A04"/>
    <w:rsid w:val="2C0B3D13"/>
    <w:rsid w:val="2C1048F5"/>
    <w:rsid w:val="2C1051E7"/>
    <w:rsid w:val="2C162F47"/>
    <w:rsid w:val="2C1B2283"/>
    <w:rsid w:val="2C1E7C3A"/>
    <w:rsid w:val="2C24291A"/>
    <w:rsid w:val="2C277DD3"/>
    <w:rsid w:val="2C3144A1"/>
    <w:rsid w:val="2C336E27"/>
    <w:rsid w:val="2C3C1309"/>
    <w:rsid w:val="2C42026C"/>
    <w:rsid w:val="2C464EB8"/>
    <w:rsid w:val="2C49519C"/>
    <w:rsid w:val="2C5A286A"/>
    <w:rsid w:val="2C5B065F"/>
    <w:rsid w:val="2C5B6AE8"/>
    <w:rsid w:val="2C5C6C9B"/>
    <w:rsid w:val="2C633786"/>
    <w:rsid w:val="2C654010"/>
    <w:rsid w:val="2C691C5B"/>
    <w:rsid w:val="2C6E3EE3"/>
    <w:rsid w:val="2C735B15"/>
    <w:rsid w:val="2C740550"/>
    <w:rsid w:val="2C743F88"/>
    <w:rsid w:val="2C7953B4"/>
    <w:rsid w:val="2C8433C2"/>
    <w:rsid w:val="2C8525C3"/>
    <w:rsid w:val="2C8B7151"/>
    <w:rsid w:val="2C970CA7"/>
    <w:rsid w:val="2CA27F24"/>
    <w:rsid w:val="2CA60F5C"/>
    <w:rsid w:val="2CA6175D"/>
    <w:rsid w:val="2CA707FF"/>
    <w:rsid w:val="2CAD2974"/>
    <w:rsid w:val="2CB15D8C"/>
    <w:rsid w:val="2CB66439"/>
    <w:rsid w:val="2CBE1D71"/>
    <w:rsid w:val="2CC04B44"/>
    <w:rsid w:val="2CCC3A8A"/>
    <w:rsid w:val="2CD25FF6"/>
    <w:rsid w:val="2CD6501A"/>
    <w:rsid w:val="2CE8284E"/>
    <w:rsid w:val="2CEA2372"/>
    <w:rsid w:val="2CEB4EE3"/>
    <w:rsid w:val="2CF85B39"/>
    <w:rsid w:val="2D0B213D"/>
    <w:rsid w:val="2D1234FB"/>
    <w:rsid w:val="2D184CBE"/>
    <w:rsid w:val="2D225E32"/>
    <w:rsid w:val="2D2816D8"/>
    <w:rsid w:val="2D2A5CD1"/>
    <w:rsid w:val="2D3270DB"/>
    <w:rsid w:val="2D40787B"/>
    <w:rsid w:val="2D4459A4"/>
    <w:rsid w:val="2D4B565F"/>
    <w:rsid w:val="2D5D3C66"/>
    <w:rsid w:val="2D656C20"/>
    <w:rsid w:val="2D6575EC"/>
    <w:rsid w:val="2D6729DE"/>
    <w:rsid w:val="2D683517"/>
    <w:rsid w:val="2D6B5FF8"/>
    <w:rsid w:val="2D7153BC"/>
    <w:rsid w:val="2D7C6E5F"/>
    <w:rsid w:val="2D8F19F0"/>
    <w:rsid w:val="2DA21756"/>
    <w:rsid w:val="2DAA3BFC"/>
    <w:rsid w:val="2DAA6907"/>
    <w:rsid w:val="2DB23579"/>
    <w:rsid w:val="2DB60A4D"/>
    <w:rsid w:val="2DB63D6A"/>
    <w:rsid w:val="2DBB4593"/>
    <w:rsid w:val="2DD33A33"/>
    <w:rsid w:val="2DD5339A"/>
    <w:rsid w:val="2DD862A4"/>
    <w:rsid w:val="2DD970F1"/>
    <w:rsid w:val="2DDC3D01"/>
    <w:rsid w:val="2DE079CF"/>
    <w:rsid w:val="2DE2461C"/>
    <w:rsid w:val="2DE2701D"/>
    <w:rsid w:val="2DE34026"/>
    <w:rsid w:val="2DEB1013"/>
    <w:rsid w:val="2DED7DFA"/>
    <w:rsid w:val="2DF939FD"/>
    <w:rsid w:val="2E010F22"/>
    <w:rsid w:val="2E014A7A"/>
    <w:rsid w:val="2E0507F6"/>
    <w:rsid w:val="2E0A760D"/>
    <w:rsid w:val="2E0D76F4"/>
    <w:rsid w:val="2E133665"/>
    <w:rsid w:val="2E3D27AA"/>
    <w:rsid w:val="2E430E39"/>
    <w:rsid w:val="2E432091"/>
    <w:rsid w:val="2E4421D0"/>
    <w:rsid w:val="2E48750F"/>
    <w:rsid w:val="2E4B5A0E"/>
    <w:rsid w:val="2E4E2BC8"/>
    <w:rsid w:val="2E534CCE"/>
    <w:rsid w:val="2E5C008E"/>
    <w:rsid w:val="2E5E5D0F"/>
    <w:rsid w:val="2E7F46DA"/>
    <w:rsid w:val="2E80440C"/>
    <w:rsid w:val="2E813902"/>
    <w:rsid w:val="2E861E29"/>
    <w:rsid w:val="2E872E3D"/>
    <w:rsid w:val="2E8F38D6"/>
    <w:rsid w:val="2E91428C"/>
    <w:rsid w:val="2E9345AB"/>
    <w:rsid w:val="2E9921C7"/>
    <w:rsid w:val="2E996742"/>
    <w:rsid w:val="2EA11458"/>
    <w:rsid w:val="2EA40F80"/>
    <w:rsid w:val="2EAE1185"/>
    <w:rsid w:val="2EB406CC"/>
    <w:rsid w:val="2EB51BB6"/>
    <w:rsid w:val="2EB536D8"/>
    <w:rsid w:val="2EC50D4B"/>
    <w:rsid w:val="2EDA3E8E"/>
    <w:rsid w:val="2EDA55A5"/>
    <w:rsid w:val="2EE40C4C"/>
    <w:rsid w:val="2EE63891"/>
    <w:rsid w:val="2EF56EE3"/>
    <w:rsid w:val="2EFA4801"/>
    <w:rsid w:val="2F01313C"/>
    <w:rsid w:val="2F03725B"/>
    <w:rsid w:val="2F042284"/>
    <w:rsid w:val="2F05640D"/>
    <w:rsid w:val="2F066438"/>
    <w:rsid w:val="2F103761"/>
    <w:rsid w:val="2F251F8C"/>
    <w:rsid w:val="2F2D326E"/>
    <w:rsid w:val="2F2D5882"/>
    <w:rsid w:val="2F320664"/>
    <w:rsid w:val="2F344610"/>
    <w:rsid w:val="2F3762E5"/>
    <w:rsid w:val="2F395B2B"/>
    <w:rsid w:val="2F3D3B9C"/>
    <w:rsid w:val="2F405C8F"/>
    <w:rsid w:val="2F4525F6"/>
    <w:rsid w:val="2F4A02C4"/>
    <w:rsid w:val="2F5644FF"/>
    <w:rsid w:val="2F566BAD"/>
    <w:rsid w:val="2F71664E"/>
    <w:rsid w:val="2F924CF6"/>
    <w:rsid w:val="2F9C312F"/>
    <w:rsid w:val="2F9C6B51"/>
    <w:rsid w:val="2FA14E9F"/>
    <w:rsid w:val="2FA855E5"/>
    <w:rsid w:val="2FC34275"/>
    <w:rsid w:val="2FD47B8E"/>
    <w:rsid w:val="2FDB3AD2"/>
    <w:rsid w:val="2FDC2BFB"/>
    <w:rsid w:val="2FDD3AA9"/>
    <w:rsid w:val="2FDE3265"/>
    <w:rsid w:val="2FF93D83"/>
    <w:rsid w:val="2FFA2F0A"/>
    <w:rsid w:val="30111625"/>
    <w:rsid w:val="3018672B"/>
    <w:rsid w:val="301D1CA0"/>
    <w:rsid w:val="302C3041"/>
    <w:rsid w:val="30344AD4"/>
    <w:rsid w:val="3038167C"/>
    <w:rsid w:val="303C2806"/>
    <w:rsid w:val="30402A75"/>
    <w:rsid w:val="3045414B"/>
    <w:rsid w:val="30467B28"/>
    <w:rsid w:val="30481219"/>
    <w:rsid w:val="30593A52"/>
    <w:rsid w:val="305940FD"/>
    <w:rsid w:val="30597822"/>
    <w:rsid w:val="305C3CC8"/>
    <w:rsid w:val="305C5377"/>
    <w:rsid w:val="306B7AE0"/>
    <w:rsid w:val="306E44CE"/>
    <w:rsid w:val="3071032F"/>
    <w:rsid w:val="30711C90"/>
    <w:rsid w:val="307556CD"/>
    <w:rsid w:val="307B5C11"/>
    <w:rsid w:val="30884C0A"/>
    <w:rsid w:val="30901D07"/>
    <w:rsid w:val="30957205"/>
    <w:rsid w:val="30963095"/>
    <w:rsid w:val="30972B8C"/>
    <w:rsid w:val="30981DAD"/>
    <w:rsid w:val="309C445C"/>
    <w:rsid w:val="30A05CC2"/>
    <w:rsid w:val="30BD2FFD"/>
    <w:rsid w:val="30C97165"/>
    <w:rsid w:val="30D36097"/>
    <w:rsid w:val="30E51454"/>
    <w:rsid w:val="30E608E3"/>
    <w:rsid w:val="30EB518F"/>
    <w:rsid w:val="30F77FF5"/>
    <w:rsid w:val="30FE3126"/>
    <w:rsid w:val="3101110A"/>
    <w:rsid w:val="31081F14"/>
    <w:rsid w:val="3110617B"/>
    <w:rsid w:val="311606E0"/>
    <w:rsid w:val="3116221C"/>
    <w:rsid w:val="312A0FB5"/>
    <w:rsid w:val="31322DBE"/>
    <w:rsid w:val="31435E7E"/>
    <w:rsid w:val="31454093"/>
    <w:rsid w:val="314F3F2F"/>
    <w:rsid w:val="31516EE6"/>
    <w:rsid w:val="31540BBC"/>
    <w:rsid w:val="315E1885"/>
    <w:rsid w:val="315E509F"/>
    <w:rsid w:val="31600CAE"/>
    <w:rsid w:val="316767CD"/>
    <w:rsid w:val="316F553D"/>
    <w:rsid w:val="317C6EC4"/>
    <w:rsid w:val="317E0F6C"/>
    <w:rsid w:val="31825163"/>
    <w:rsid w:val="318329F8"/>
    <w:rsid w:val="31884867"/>
    <w:rsid w:val="318C0616"/>
    <w:rsid w:val="319606F5"/>
    <w:rsid w:val="319C5DFB"/>
    <w:rsid w:val="319D7433"/>
    <w:rsid w:val="31A57A34"/>
    <w:rsid w:val="31A81FEB"/>
    <w:rsid w:val="31AC549E"/>
    <w:rsid w:val="31B457D3"/>
    <w:rsid w:val="31B804D9"/>
    <w:rsid w:val="31C40A54"/>
    <w:rsid w:val="31CA592E"/>
    <w:rsid w:val="31CB5B87"/>
    <w:rsid w:val="31D2079F"/>
    <w:rsid w:val="31D2634F"/>
    <w:rsid w:val="31E22F4B"/>
    <w:rsid w:val="31E51A73"/>
    <w:rsid w:val="31E6099A"/>
    <w:rsid w:val="31E92DD9"/>
    <w:rsid w:val="31EC0661"/>
    <w:rsid w:val="31F0704C"/>
    <w:rsid w:val="31F434B3"/>
    <w:rsid w:val="31FA3E15"/>
    <w:rsid w:val="320A693D"/>
    <w:rsid w:val="320F5741"/>
    <w:rsid w:val="3213790C"/>
    <w:rsid w:val="32171DEB"/>
    <w:rsid w:val="32246E76"/>
    <w:rsid w:val="32261397"/>
    <w:rsid w:val="322D5174"/>
    <w:rsid w:val="32323931"/>
    <w:rsid w:val="32356386"/>
    <w:rsid w:val="32356C79"/>
    <w:rsid w:val="323C4918"/>
    <w:rsid w:val="323D419D"/>
    <w:rsid w:val="32531849"/>
    <w:rsid w:val="32671C48"/>
    <w:rsid w:val="326A20D3"/>
    <w:rsid w:val="32701994"/>
    <w:rsid w:val="32781D39"/>
    <w:rsid w:val="327A531D"/>
    <w:rsid w:val="32806122"/>
    <w:rsid w:val="328B290A"/>
    <w:rsid w:val="32901F1E"/>
    <w:rsid w:val="32A13F64"/>
    <w:rsid w:val="32A74F77"/>
    <w:rsid w:val="32AF7663"/>
    <w:rsid w:val="32B0079C"/>
    <w:rsid w:val="32B80FE0"/>
    <w:rsid w:val="32BC6F66"/>
    <w:rsid w:val="32BE5E48"/>
    <w:rsid w:val="32C616AF"/>
    <w:rsid w:val="32C7758B"/>
    <w:rsid w:val="32CD20E1"/>
    <w:rsid w:val="32D778E7"/>
    <w:rsid w:val="32DC6C3D"/>
    <w:rsid w:val="32E620B2"/>
    <w:rsid w:val="32EF4CA4"/>
    <w:rsid w:val="33012173"/>
    <w:rsid w:val="3307027A"/>
    <w:rsid w:val="330D3AE3"/>
    <w:rsid w:val="33121D46"/>
    <w:rsid w:val="33170AD4"/>
    <w:rsid w:val="331C7249"/>
    <w:rsid w:val="331E6519"/>
    <w:rsid w:val="331F1BF8"/>
    <w:rsid w:val="332762C3"/>
    <w:rsid w:val="332A16B7"/>
    <w:rsid w:val="334E278D"/>
    <w:rsid w:val="33501410"/>
    <w:rsid w:val="33703E0D"/>
    <w:rsid w:val="337656C6"/>
    <w:rsid w:val="33780EA1"/>
    <w:rsid w:val="338874CA"/>
    <w:rsid w:val="338B4A07"/>
    <w:rsid w:val="339047DC"/>
    <w:rsid w:val="33916370"/>
    <w:rsid w:val="339174E4"/>
    <w:rsid w:val="33922BA4"/>
    <w:rsid w:val="3395257E"/>
    <w:rsid w:val="33962013"/>
    <w:rsid w:val="33977CCF"/>
    <w:rsid w:val="339877B9"/>
    <w:rsid w:val="339C09C3"/>
    <w:rsid w:val="339C1778"/>
    <w:rsid w:val="339D721B"/>
    <w:rsid w:val="33BB3369"/>
    <w:rsid w:val="33BD487F"/>
    <w:rsid w:val="33BE22DC"/>
    <w:rsid w:val="33BE5883"/>
    <w:rsid w:val="33C1244A"/>
    <w:rsid w:val="33D564A5"/>
    <w:rsid w:val="33DF67D8"/>
    <w:rsid w:val="33E12879"/>
    <w:rsid w:val="33EC331A"/>
    <w:rsid w:val="33EC6FB6"/>
    <w:rsid w:val="33F9172C"/>
    <w:rsid w:val="33FB5FA1"/>
    <w:rsid w:val="340A74A4"/>
    <w:rsid w:val="340B78F6"/>
    <w:rsid w:val="340D6A5E"/>
    <w:rsid w:val="342B004A"/>
    <w:rsid w:val="342F0BF2"/>
    <w:rsid w:val="34347437"/>
    <w:rsid w:val="343A2C67"/>
    <w:rsid w:val="345901E2"/>
    <w:rsid w:val="345B0C87"/>
    <w:rsid w:val="345B612A"/>
    <w:rsid w:val="34610E0E"/>
    <w:rsid w:val="34776B38"/>
    <w:rsid w:val="347D0F19"/>
    <w:rsid w:val="348A53AC"/>
    <w:rsid w:val="348A615B"/>
    <w:rsid w:val="348D5440"/>
    <w:rsid w:val="34960CBE"/>
    <w:rsid w:val="34994DEC"/>
    <w:rsid w:val="34996154"/>
    <w:rsid w:val="349A69EF"/>
    <w:rsid w:val="34AA4679"/>
    <w:rsid w:val="34AE1165"/>
    <w:rsid w:val="34C122EA"/>
    <w:rsid w:val="34C3798A"/>
    <w:rsid w:val="34C41DDC"/>
    <w:rsid w:val="34C52EA2"/>
    <w:rsid w:val="34C60D9C"/>
    <w:rsid w:val="34CF1173"/>
    <w:rsid w:val="34DB32BB"/>
    <w:rsid w:val="34F35D01"/>
    <w:rsid w:val="35002A15"/>
    <w:rsid w:val="35102070"/>
    <w:rsid w:val="351137B9"/>
    <w:rsid w:val="35124A0D"/>
    <w:rsid w:val="351B2D65"/>
    <w:rsid w:val="351B43C7"/>
    <w:rsid w:val="354658AF"/>
    <w:rsid w:val="35497AB7"/>
    <w:rsid w:val="355D6155"/>
    <w:rsid w:val="355F0732"/>
    <w:rsid w:val="356C3F81"/>
    <w:rsid w:val="356D3631"/>
    <w:rsid w:val="356E1072"/>
    <w:rsid w:val="356F6271"/>
    <w:rsid w:val="35703816"/>
    <w:rsid w:val="35764F4A"/>
    <w:rsid w:val="357D172C"/>
    <w:rsid w:val="35812D9B"/>
    <w:rsid w:val="358304AB"/>
    <w:rsid w:val="359C2EFC"/>
    <w:rsid w:val="359F7869"/>
    <w:rsid w:val="35A160DC"/>
    <w:rsid w:val="35A20420"/>
    <w:rsid w:val="35A5058B"/>
    <w:rsid w:val="35B36EFA"/>
    <w:rsid w:val="35B91100"/>
    <w:rsid w:val="35BC4B27"/>
    <w:rsid w:val="35BD2792"/>
    <w:rsid w:val="35C94AEF"/>
    <w:rsid w:val="35CC19E4"/>
    <w:rsid w:val="35E37515"/>
    <w:rsid w:val="35E40A76"/>
    <w:rsid w:val="35E65FA8"/>
    <w:rsid w:val="35F60392"/>
    <w:rsid w:val="35FA51A5"/>
    <w:rsid w:val="35FB502F"/>
    <w:rsid w:val="35FD3490"/>
    <w:rsid w:val="360E16AE"/>
    <w:rsid w:val="36176647"/>
    <w:rsid w:val="363357CB"/>
    <w:rsid w:val="363E58CF"/>
    <w:rsid w:val="364066FB"/>
    <w:rsid w:val="36495C0A"/>
    <w:rsid w:val="364C1908"/>
    <w:rsid w:val="364F5A2A"/>
    <w:rsid w:val="365519F4"/>
    <w:rsid w:val="36595DF6"/>
    <w:rsid w:val="36614384"/>
    <w:rsid w:val="366204B8"/>
    <w:rsid w:val="36631CA0"/>
    <w:rsid w:val="366476CB"/>
    <w:rsid w:val="36717C5A"/>
    <w:rsid w:val="36774942"/>
    <w:rsid w:val="36856E78"/>
    <w:rsid w:val="36881634"/>
    <w:rsid w:val="368C76FA"/>
    <w:rsid w:val="368F76FA"/>
    <w:rsid w:val="36923F9D"/>
    <w:rsid w:val="36981915"/>
    <w:rsid w:val="36B12624"/>
    <w:rsid w:val="36B660E9"/>
    <w:rsid w:val="36B71B89"/>
    <w:rsid w:val="36C57132"/>
    <w:rsid w:val="36CB4D77"/>
    <w:rsid w:val="36D925A0"/>
    <w:rsid w:val="36DA62AB"/>
    <w:rsid w:val="36E52680"/>
    <w:rsid w:val="36E53AF8"/>
    <w:rsid w:val="36F101A1"/>
    <w:rsid w:val="36F32FEF"/>
    <w:rsid w:val="37060463"/>
    <w:rsid w:val="370A5E5F"/>
    <w:rsid w:val="370D0235"/>
    <w:rsid w:val="37143AAA"/>
    <w:rsid w:val="372B669C"/>
    <w:rsid w:val="372E3079"/>
    <w:rsid w:val="373B1EBD"/>
    <w:rsid w:val="373F0AFC"/>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7B5A15"/>
    <w:rsid w:val="37894E57"/>
    <w:rsid w:val="378F792B"/>
    <w:rsid w:val="37921EAB"/>
    <w:rsid w:val="37A21FE2"/>
    <w:rsid w:val="37AF3A9B"/>
    <w:rsid w:val="37C61413"/>
    <w:rsid w:val="37D71B9E"/>
    <w:rsid w:val="37D95BC3"/>
    <w:rsid w:val="37DB1B4A"/>
    <w:rsid w:val="37EA3D1D"/>
    <w:rsid w:val="37F0752F"/>
    <w:rsid w:val="38032ADD"/>
    <w:rsid w:val="38054534"/>
    <w:rsid w:val="380F70A0"/>
    <w:rsid w:val="38124799"/>
    <w:rsid w:val="38181651"/>
    <w:rsid w:val="381A129D"/>
    <w:rsid w:val="381B3AE1"/>
    <w:rsid w:val="3837515E"/>
    <w:rsid w:val="384445D2"/>
    <w:rsid w:val="38466BC9"/>
    <w:rsid w:val="385979C8"/>
    <w:rsid w:val="38621032"/>
    <w:rsid w:val="386C17FE"/>
    <w:rsid w:val="386F71C2"/>
    <w:rsid w:val="38713A82"/>
    <w:rsid w:val="38864EE1"/>
    <w:rsid w:val="388D26FF"/>
    <w:rsid w:val="389007B4"/>
    <w:rsid w:val="389525C6"/>
    <w:rsid w:val="389C3F60"/>
    <w:rsid w:val="389E28DB"/>
    <w:rsid w:val="38A256ED"/>
    <w:rsid w:val="38B0624E"/>
    <w:rsid w:val="38B4706D"/>
    <w:rsid w:val="38B60D7F"/>
    <w:rsid w:val="38B6531C"/>
    <w:rsid w:val="38BA0EE3"/>
    <w:rsid w:val="38BA4416"/>
    <w:rsid w:val="38C10BE9"/>
    <w:rsid w:val="38C4603C"/>
    <w:rsid w:val="38D429AD"/>
    <w:rsid w:val="38D45CEE"/>
    <w:rsid w:val="38D54B8D"/>
    <w:rsid w:val="38E1369C"/>
    <w:rsid w:val="38F02352"/>
    <w:rsid w:val="38F60C3D"/>
    <w:rsid w:val="390078F4"/>
    <w:rsid w:val="391754AA"/>
    <w:rsid w:val="391F67F6"/>
    <w:rsid w:val="39236CE5"/>
    <w:rsid w:val="39251316"/>
    <w:rsid w:val="39273592"/>
    <w:rsid w:val="392B6496"/>
    <w:rsid w:val="39312A65"/>
    <w:rsid w:val="39396CB4"/>
    <w:rsid w:val="39404B30"/>
    <w:rsid w:val="3943543F"/>
    <w:rsid w:val="394C69E7"/>
    <w:rsid w:val="394F4956"/>
    <w:rsid w:val="39585980"/>
    <w:rsid w:val="395B4F36"/>
    <w:rsid w:val="39614E4F"/>
    <w:rsid w:val="39652C73"/>
    <w:rsid w:val="396A50BF"/>
    <w:rsid w:val="39730397"/>
    <w:rsid w:val="397828E0"/>
    <w:rsid w:val="39800ACE"/>
    <w:rsid w:val="39980CE2"/>
    <w:rsid w:val="3998558D"/>
    <w:rsid w:val="39AA339F"/>
    <w:rsid w:val="39AB53AE"/>
    <w:rsid w:val="39B83678"/>
    <w:rsid w:val="39D0586A"/>
    <w:rsid w:val="39D0636E"/>
    <w:rsid w:val="39D17CDD"/>
    <w:rsid w:val="39F44362"/>
    <w:rsid w:val="39F62389"/>
    <w:rsid w:val="39F63B7B"/>
    <w:rsid w:val="39F925EC"/>
    <w:rsid w:val="3A035D99"/>
    <w:rsid w:val="3A0E4679"/>
    <w:rsid w:val="3A185146"/>
    <w:rsid w:val="3A1B7A36"/>
    <w:rsid w:val="3A1F2B4F"/>
    <w:rsid w:val="3A220E5F"/>
    <w:rsid w:val="3A222B60"/>
    <w:rsid w:val="3A2644AB"/>
    <w:rsid w:val="3A30298D"/>
    <w:rsid w:val="3A3C1A7E"/>
    <w:rsid w:val="3A3C7D6C"/>
    <w:rsid w:val="3A3D6E67"/>
    <w:rsid w:val="3A3E5C67"/>
    <w:rsid w:val="3A451DB4"/>
    <w:rsid w:val="3A4936E3"/>
    <w:rsid w:val="3A4D2A17"/>
    <w:rsid w:val="3A4F7A71"/>
    <w:rsid w:val="3A58374B"/>
    <w:rsid w:val="3A5941F6"/>
    <w:rsid w:val="3A596DA8"/>
    <w:rsid w:val="3A5A1D9E"/>
    <w:rsid w:val="3A5A6C2B"/>
    <w:rsid w:val="3A5B22E9"/>
    <w:rsid w:val="3A5C3E46"/>
    <w:rsid w:val="3A5E32F8"/>
    <w:rsid w:val="3A611DF3"/>
    <w:rsid w:val="3A624674"/>
    <w:rsid w:val="3A6D58D7"/>
    <w:rsid w:val="3A6E0425"/>
    <w:rsid w:val="3A714BF8"/>
    <w:rsid w:val="3A7572A8"/>
    <w:rsid w:val="3A7E046D"/>
    <w:rsid w:val="3A7F656F"/>
    <w:rsid w:val="3A825363"/>
    <w:rsid w:val="3A83464D"/>
    <w:rsid w:val="3A841F02"/>
    <w:rsid w:val="3A8A5A19"/>
    <w:rsid w:val="3A9155E6"/>
    <w:rsid w:val="3A954B7A"/>
    <w:rsid w:val="3A9B50DC"/>
    <w:rsid w:val="3A9C4E84"/>
    <w:rsid w:val="3AA11C63"/>
    <w:rsid w:val="3AA35C36"/>
    <w:rsid w:val="3AA9087F"/>
    <w:rsid w:val="3AAA4AD8"/>
    <w:rsid w:val="3AB37C0B"/>
    <w:rsid w:val="3AC07099"/>
    <w:rsid w:val="3AC90541"/>
    <w:rsid w:val="3AD0154B"/>
    <w:rsid w:val="3AD26502"/>
    <w:rsid w:val="3AD32BE2"/>
    <w:rsid w:val="3AD735A4"/>
    <w:rsid w:val="3ADB5B92"/>
    <w:rsid w:val="3AE335C6"/>
    <w:rsid w:val="3AED053C"/>
    <w:rsid w:val="3AED5FA8"/>
    <w:rsid w:val="3AF2204F"/>
    <w:rsid w:val="3AF56227"/>
    <w:rsid w:val="3AF657E1"/>
    <w:rsid w:val="3AF97E01"/>
    <w:rsid w:val="3B0032A7"/>
    <w:rsid w:val="3B03752F"/>
    <w:rsid w:val="3B0F2390"/>
    <w:rsid w:val="3B0F5F1E"/>
    <w:rsid w:val="3B1220C7"/>
    <w:rsid w:val="3B221655"/>
    <w:rsid w:val="3B3360B0"/>
    <w:rsid w:val="3B360092"/>
    <w:rsid w:val="3B3E7FD4"/>
    <w:rsid w:val="3B4278FE"/>
    <w:rsid w:val="3B44637B"/>
    <w:rsid w:val="3B4B0135"/>
    <w:rsid w:val="3B504E40"/>
    <w:rsid w:val="3B5F7815"/>
    <w:rsid w:val="3B620744"/>
    <w:rsid w:val="3B6413E7"/>
    <w:rsid w:val="3B7A783B"/>
    <w:rsid w:val="3B8D6917"/>
    <w:rsid w:val="3B98772E"/>
    <w:rsid w:val="3BA40788"/>
    <w:rsid w:val="3BB02276"/>
    <w:rsid w:val="3BB3643D"/>
    <w:rsid w:val="3BB41E71"/>
    <w:rsid w:val="3BBC1A25"/>
    <w:rsid w:val="3BC56E05"/>
    <w:rsid w:val="3BD938AF"/>
    <w:rsid w:val="3BDF0887"/>
    <w:rsid w:val="3BE12208"/>
    <w:rsid w:val="3BE45065"/>
    <w:rsid w:val="3BF847AA"/>
    <w:rsid w:val="3BFA0259"/>
    <w:rsid w:val="3C0309FF"/>
    <w:rsid w:val="3C042E3E"/>
    <w:rsid w:val="3C050C40"/>
    <w:rsid w:val="3C072663"/>
    <w:rsid w:val="3C0B2E45"/>
    <w:rsid w:val="3C1A4E8D"/>
    <w:rsid w:val="3C1F76F3"/>
    <w:rsid w:val="3C257B71"/>
    <w:rsid w:val="3C2841B0"/>
    <w:rsid w:val="3C2974B3"/>
    <w:rsid w:val="3C3C186F"/>
    <w:rsid w:val="3C3D7E2F"/>
    <w:rsid w:val="3C450BC5"/>
    <w:rsid w:val="3C47574F"/>
    <w:rsid w:val="3C5110CE"/>
    <w:rsid w:val="3C5C5193"/>
    <w:rsid w:val="3C6242D8"/>
    <w:rsid w:val="3C784DBC"/>
    <w:rsid w:val="3C7923FD"/>
    <w:rsid w:val="3C7E21FC"/>
    <w:rsid w:val="3C835139"/>
    <w:rsid w:val="3C8E55CD"/>
    <w:rsid w:val="3C8E5872"/>
    <w:rsid w:val="3C913F59"/>
    <w:rsid w:val="3C943C7F"/>
    <w:rsid w:val="3C9D3203"/>
    <w:rsid w:val="3C9E76A6"/>
    <w:rsid w:val="3C9E7D39"/>
    <w:rsid w:val="3C9F5433"/>
    <w:rsid w:val="3CA05E3F"/>
    <w:rsid w:val="3CA60FF0"/>
    <w:rsid w:val="3CAF5049"/>
    <w:rsid w:val="3CB17B91"/>
    <w:rsid w:val="3CC037D9"/>
    <w:rsid w:val="3CCC3FAB"/>
    <w:rsid w:val="3CD20233"/>
    <w:rsid w:val="3CD23409"/>
    <w:rsid w:val="3CDA5E44"/>
    <w:rsid w:val="3CDF248B"/>
    <w:rsid w:val="3CF77787"/>
    <w:rsid w:val="3CF80F5E"/>
    <w:rsid w:val="3CFA11B8"/>
    <w:rsid w:val="3CFD5614"/>
    <w:rsid w:val="3D061853"/>
    <w:rsid w:val="3D083D85"/>
    <w:rsid w:val="3D094A3E"/>
    <w:rsid w:val="3D107860"/>
    <w:rsid w:val="3D183C46"/>
    <w:rsid w:val="3D2346F2"/>
    <w:rsid w:val="3D2B7651"/>
    <w:rsid w:val="3D2C6DEC"/>
    <w:rsid w:val="3D3F7B7E"/>
    <w:rsid w:val="3D415BFE"/>
    <w:rsid w:val="3D464AD9"/>
    <w:rsid w:val="3D466470"/>
    <w:rsid w:val="3D531698"/>
    <w:rsid w:val="3D5F59D0"/>
    <w:rsid w:val="3D631F45"/>
    <w:rsid w:val="3D6E1622"/>
    <w:rsid w:val="3D7B490A"/>
    <w:rsid w:val="3D9745C5"/>
    <w:rsid w:val="3D980D16"/>
    <w:rsid w:val="3D9831E5"/>
    <w:rsid w:val="3D9B1367"/>
    <w:rsid w:val="3DA638E7"/>
    <w:rsid w:val="3DA71209"/>
    <w:rsid w:val="3DB51AC9"/>
    <w:rsid w:val="3DC945C0"/>
    <w:rsid w:val="3DCE0347"/>
    <w:rsid w:val="3DCF044A"/>
    <w:rsid w:val="3DD82F3F"/>
    <w:rsid w:val="3DED7C84"/>
    <w:rsid w:val="3E012F06"/>
    <w:rsid w:val="3E0254D1"/>
    <w:rsid w:val="3E0516F6"/>
    <w:rsid w:val="3E06185A"/>
    <w:rsid w:val="3E062C93"/>
    <w:rsid w:val="3E1645D3"/>
    <w:rsid w:val="3E1667F0"/>
    <w:rsid w:val="3E1A07C5"/>
    <w:rsid w:val="3E1C3D68"/>
    <w:rsid w:val="3E1D6BA4"/>
    <w:rsid w:val="3E225D40"/>
    <w:rsid w:val="3E25375E"/>
    <w:rsid w:val="3E257108"/>
    <w:rsid w:val="3E29568D"/>
    <w:rsid w:val="3E297DA1"/>
    <w:rsid w:val="3E2A2C0A"/>
    <w:rsid w:val="3E2B13A7"/>
    <w:rsid w:val="3E2E03FF"/>
    <w:rsid w:val="3E307C49"/>
    <w:rsid w:val="3E37784B"/>
    <w:rsid w:val="3E381EA5"/>
    <w:rsid w:val="3E3846AB"/>
    <w:rsid w:val="3E4A4CB2"/>
    <w:rsid w:val="3E4E7D71"/>
    <w:rsid w:val="3E4F147F"/>
    <w:rsid w:val="3E5A3610"/>
    <w:rsid w:val="3E616240"/>
    <w:rsid w:val="3E63157B"/>
    <w:rsid w:val="3E672C02"/>
    <w:rsid w:val="3E702BB8"/>
    <w:rsid w:val="3E807C4C"/>
    <w:rsid w:val="3E810402"/>
    <w:rsid w:val="3E8310AF"/>
    <w:rsid w:val="3EB761D7"/>
    <w:rsid w:val="3EC40C65"/>
    <w:rsid w:val="3ECB1717"/>
    <w:rsid w:val="3ED92DDA"/>
    <w:rsid w:val="3ED96F6F"/>
    <w:rsid w:val="3EE7761A"/>
    <w:rsid w:val="3EF17DA4"/>
    <w:rsid w:val="3EF2332E"/>
    <w:rsid w:val="3EF2654D"/>
    <w:rsid w:val="3EF56437"/>
    <w:rsid w:val="3EFB607B"/>
    <w:rsid w:val="3EFF7197"/>
    <w:rsid w:val="3F035498"/>
    <w:rsid w:val="3F055C54"/>
    <w:rsid w:val="3F0C5BCE"/>
    <w:rsid w:val="3F114F57"/>
    <w:rsid w:val="3F117156"/>
    <w:rsid w:val="3F1D2AEF"/>
    <w:rsid w:val="3F201122"/>
    <w:rsid w:val="3F22062E"/>
    <w:rsid w:val="3F2B0046"/>
    <w:rsid w:val="3F2F40D7"/>
    <w:rsid w:val="3F303FAB"/>
    <w:rsid w:val="3F3222E3"/>
    <w:rsid w:val="3F352F72"/>
    <w:rsid w:val="3F3774CD"/>
    <w:rsid w:val="3F416176"/>
    <w:rsid w:val="3F532102"/>
    <w:rsid w:val="3F576FA1"/>
    <w:rsid w:val="3F580906"/>
    <w:rsid w:val="3F5A3EFB"/>
    <w:rsid w:val="3F5A4D5E"/>
    <w:rsid w:val="3F5E1222"/>
    <w:rsid w:val="3F7006D6"/>
    <w:rsid w:val="3F79679A"/>
    <w:rsid w:val="3F9623E1"/>
    <w:rsid w:val="3F9908B0"/>
    <w:rsid w:val="3FA367A0"/>
    <w:rsid w:val="3FA84EB2"/>
    <w:rsid w:val="3FA85DB5"/>
    <w:rsid w:val="3FAA7193"/>
    <w:rsid w:val="3FAD4B3B"/>
    <w:rsid w:val="3FB34E43"/>
    <w:rsid w:val="3FC0345D"/>
    <w:rsid w:val="3FC0576C"/>
    <w:rsid w:val="3FC24499"/>
    <w:rsid w:val="3FC24F5C"/>
    <w:rsid w:val="3FC96CE0"/>
    <w:rsid w:val="3FD03D01"/>
    <w:rsid w:val="3FD4498A"/>
    <w:rsid w:val="3FD64800"/>
    <w:rsid w:val="3FDA5EAF"/>
    <w:rsid w:val="3FDC701A"/>
    <w:rsid w:val="3FE0065A"/>
    <w:rsid w:val="3FE0553B"/>
    <w:rsid w:val="3FE11A0A"/>
    <w:rsid w:val="3FE135FB"/>
    <w:rsid w:val="3FE221D2"/>
    <w:rsid w:val="3FE2774D"/>
    <w:rsid w:val="3FE87D28"/>
    <w:rsid w:val="3FEA089A"/>
    <w:rsid w:val="3FEE60A4"/>
    <w:rsid w:val="3FEF6D26"/>
    <w:rsid w:val="3FF54F69"/>
    <w:rsid w:val="3FFA44C9"/>
    <w:rsid w:val="3FFA719D"/>
    <w:rsid w:val="400533B5"/>
    <w:rsid w:val="400759D9"/>
    <w:rsid w:val="400969C4"/>
    <w:rsid w:val="400A5241"/>
    <w:rsid w:val="401A368E"/>
    <w:rsid w:val="401E5225"/>
    <w:rsid w:val="40200EC2"/>
    <w:rsid w:val="40376069"/>
    <w:rsid w:val="40387BC5"/>
    <w:rsid w:val="403D4406"/>
    <w:rsid w:val="403E6AA8"/>
    <w:rsid w:val="40400879"/>
    <w:rsid w:val="40402847"/>
    <w:rsid w:val="404C0609"/>
    <w:rsid w:val="40502545"/>
    <w:rsid w:val="405D53FA"/>
    <w:rsid w:val="40612A0F"/>
    <w:rsid w:val="406435E5"/>
    <w:rsid w:val="40657EEF"/>
    <w:rsid w:val="406C7C6F"/>
    <w:rsid w:val="407D753B"/>
    <w:rsid w:val="408019D4"/>
    <w:rsid w:val="40806E1B"/>
    <w:rsid w:val="40906E9B"/>
    <w:rsid w:val="409207A7"/>
    <w:rsid w:val="40940958"/>
    <w:rsid w:val="40980764"/>
    <w:rsid w:val="40A56E0D"/>
    <w:rsid w:val="40AF5A59"/>
    <w:rsid w:val="40B565DA"/>
    <w:rsid w:val="40BA51BE"/>
    <w:rsid w:val="40BC08F6"/>
    <w:rsid w:val="40BD00BB"/>
    <w:rsid w:val="40C177AA"/>
    <w:rsid w:val="40E90A23"/>
    <w:rsid w:val="40EE51A8"/>
    <w:rsid w:val="40F20B1F"/>
    <w:rsid w:val="40F86916"/>
    <w:rsid w:val="40FA321B"/>
    <w:rsid w:val="40FF0DBB"/>
    <w:rsid w:val="4101607F"/>
    <w:rsid w:val="41022D94"/>
    <w:rsid w:val="41082DC3"/>
    <w:rsid w:val="412170B1"/>
    <w:rsid w:val="4123014B"/>
    <w:rsid w:val="41301C9A"/>
    <w:rsid w:val="41341E40"/>
    <w:rsid w:val="4139028D"/>
    <w:rsid w:val="413A53EA"/>
    <w:rsid w:val="413E270C"/>
    <w:rsid w:val="414214F9"/>
    <w:rsid w:val="4149251B"/>
    <w:rsid w:val="414B1ED2"/>
    <w:rsid w:val="415037DD"/>
    <w:rsid w:val="41526D4A"/>
    <w:rsid w:val="415D5C35"/>
    <w:rsid w:val="415F730C"/>
    <w:rsid w:val="41621B71"/>
    <w:rsid w:val="41811A80"/>
    <w:rsid w:val="418C5377"/>
    <w:rsid w:val="418D7C08"/>
    <w:rsid w:val="419165DA"/>
    <w:rsid w:val="41AA0EFE"/>
    <w:rsid w:val="41B31CF9"/>
    <w:rsid w:val="41B3723D"/>
    <w:rsid w:val="41C002C6"/>
    <w:rsid w:val="41C07F72"/>
    <w:rsid w:val="41C32748"/>
    <w:rsid w:val="41C65E0E"/>
    <w:rsid w:val="41C954F1"/>
    <w:rsid w:val="41EE1F6D"/>
    <w:rsid w:val="41FC7345"/>
    <w:rsid w:val="41FD6322"/>
    <w:rsid w:val="41FF7A7E"/>
    <w:rsid w:val="42044D06"/>
    <w:rsid w:val="42055BCF"/>
    <w:rsid w:val="42062C90"/>
    <w:rsid w:val="42073141"/>
    <w:rsid w:val="420D35D1"/>
    <w:rsid w:val="42124FEB"/>
    <w:rsid w:val="421E19DD"/>
    <w:rsid w:val="42201ADB"/>
    <w:rsid w:val="42243ADD"/>
    <w:rsid w:val="4226140E"/>
    <w:rsid w:val="42262641"/>
    <w:rsid w:val="422A6BE5"/>
    <w:rsid w:val="422D7D03"/>
    <w:rsid w:val="42387360"/>
    <w:rsid w:val="423A512B"/>
    <w:rsid w:val="424E09DB"/>
    <w:rsid w:val="424F14CB"/>
    <w:rsid w:val="425830C6"/>
    <w:rsid w:val="425C6098"/>
    <w:rsid w:val="425D21F9"/>
    <w:rsid w:val="42646511"/>
    <w:rsid w:val="4265214F"/>
    <w:rsid w:val="426703CA"/>
    <w:rsid w:val="426724A2"/>
    <w:rsid w:val="426C1EA8"/>
    <w:rsid w:val="427124F7"/>
    <w:rsid w:val="428D023C"/>
    <w:rsid w:val="429007CB"/>
    <w:rsid w:val="429953F0"/>
    <w:rsid w:val="42A826E7"/>
    <w:rsid w:val="42A861D3"/>
    <w:rsid w:val="42AE6807"/>
    <w:rsid w:val="42C30985"/>
    <w:rsid w:val="42C75096"/>
    <w:rsid w:val="42CE5721"/>
    <w:rsid w:val="42D83185"/>
    <w:rsid w:val="42DA1044"/>
    <w:rsid w:val="42E04F76"/>
    <w:rsid w:val="42E27E52"/>
    <w:rsid w:val="42F867E3"/>
    <w:rsid w:val="42F96836"/>
    <w:rsid w:val="42FC1238"/>
    <w:rsid w:val="42FC76D0"/>
    <w:rsid w:val="43081AD9"/>
    <w:rsid w:val="430B16C1"/>
    <w:rsid w:val="43271B07"/>
    <w:rsid w:val="43280811"/>
    <w:rsid w:val="43284A6A"/>
    <w:rsid w:val="432F2506"/>
    <w:rsid w:val="43340E51"/>
    <w:rsid w:val="43381992"/>
    <w:rsid w:val="433F23BF"/>
    <w:rsid w:val="43501147"/>
    <w:rsid w:val="43621575"/>
    <w:rsid w:val="436360F3"/>
    <w:rsid w:val="436624A8"/>
    <w:rsid w:val="43666F3B"/>
    <w:rsid w:val="436C0A55"/>
    <w:rsid w:val="436D064B"/>
    <w:rsid w:val="43726256"/>
    <w:rsid w:val="437460FA"/>
    <w:rsid w:val="437D37BF"/>
    <w:rsid w:val="437D5D97"/>
    <w:rsid w:val="438374A9"/>
    <w:rsid w:val="43837506"/>
    <w:rsid w:val="438B5FFE"/>
    <w:rsid w:val="43AF03C9"/>
    <w:rsid w:val="43B12337"/>
    <w:rsid w:val="43B14470"/>
    <w:rsid w:val="43B43EDE"/>
    <w:rsid w:val="43B47D4C"/>
    <w:rsid w:val="43C471BD"/>
    <w:rsid w:val="43C81360"/>
    <w:rsid w:val="43CB16B2"/>
    <w:rsid w:val="43DF7E96"/>
    <w:rsid w:val="43E04F09"/>
    <w:rsid w:val="43E17880"/>
    <w:rsid w:val="43E30165"/>
    <w:rsid w:val="43E4084E"/>
    <w:rsid w:val="43E800C6"/>
    <w:rsid w:val="43F3462F"/>
    <w:rsid w:val="43F52C05"/>
    <w:rsid w:val="43FB7DF3"/>
    <w:rsid w:val="43FC346C"/>
    <w:rsid w:val="440E5844"/>
    <w:rsid w:val="44117846"/>
    <w:rsid w:val="44250560"/>
    <w:rsid w:val="44257D8E"/>
    <w:rsid w:val="442A5D06"/>
    <w:rsid w:val="442E5908"/>
    <w:rsid w:val="4439400C"/>
    <w:rsid w:val="4439540E"/>
    <w:rsid w:val="44512364"/>
    <w:rsid w:val="44560305"/>
    <w:rsid w:val="446636C5"/>
    <w:rsid w:val="44691E9E"/>
    <w:rsid w:val="447D1640"/>
    <w:rsid w:val="4480296D"/>
    <w:rsid w:val="448166E9"/>
    <w:rsid w:val="448678B2"/>
    <w:rsid w:val="448E51CC"/>
    <w:rsid w:val="4494624E"/>
    <w:rsid w:val="449848C7"/>
    <w:rsid w:val="44AF4BA1"/>
    <w:rsid w:val="44B253BE"/>
    <w:rsid w:val="44B2632E"/>
    <w:rsid w:val="44B2697E"/>
    <w:rsid w:val="44B55895"/>
    <w:rsid w:val="44BC1818"/>
    <w:rsid w:val="44BC1ADC"/>
    <w:rsid w:val="44BC6084"/>
    <w:rsid w:val="44C33C1C"/>
    <w:rsid w:val="44C77FE4"/>
    <w:rsid w:val="44CE7E45"/>
    <w:rsid w:val="44D11736"/>
    <w:rsid w:val="44D55756"/>
    <w:rsid w:val="44DD4355"/>
    <w:rsid w:val="44E00E0F"/>
    <w:rsid w:val="44E132FE"/>
    <w:rsid w:val="44F70F49"/>
    <w:rsid w:val="44FA19ED"/>
    <w:rsid w:val="44FA649B"/>
    <w:rsid w:val="44FB7CD7"/>
    <w:rsid w:val="44FE7B0F"/>
    <w:rsid w:val="450939CD"/>
    <w:rsid w:val="450B3CA0"/>
    <w:rsid w:val="4510454F"/>
    <w:rsid w:val="45185AF4"/>
    <w:rsid w:val="45206383"/>
    <w:rsid w:val="45234637"/>
    <w:rsid w:val="452D38D3"/>
    <w:rsid w:val="453E4193"/>
    <w:rsid w:val="454255CA"/>
    <w:rsid w:val="45577395"/>
    <w:rsid w:val="4561316A"/>
    <w:rsid w:val="45633AE3"/>
    <w:rsid w:val="45644225"/>
    <w:rsid w:val="45774DEB"/>
    <w:rsid w:val="4584775C"/>
    <w:rsid w:val="45916EEF"/>
    <w:rsid w:val="45A20CE2"/>
    <w:rsid w:val="45A81449"/>
    <w:rsid w:val="45A81950"/>
    <w:rsid w:val="45AB2840"/>
    <w:rsid w:val="45AB71DA"/>
    <w:rsid w:val="45B92244"/>
    <w:rsid w:val="45BE4FDB"/>
    <w:rsid w:val="45BE62C2"/>
    <w:rsid w:val="45C0705E"/>
    <w:rsid w:val="45E20792"/>
    <w:rsid w:val="45E27A68"/>
    <w:rsid w:val="45E42F61"/>
    <w:rsid w:val="45E85CE9"/>
    <w:rsid w:val="45F01DCD"/>
    <w:rsid w:val="45F545AD"/>
    <w:rsid w:val="45F62E65"/>
    <w:rsid w:val="45FD74ED"/>
    <w:rsid w:val="46050349"/>
    <w:rsid w:val="460B16A1"/>
    <w:rsid w:val="46206E94"/>
    <w:rsid w:val="46221289"/>
    <w:rsid w:val="4628691C"/>
    <w:rsid w:val="46324558"/>
    <w:rsid w:val="46365564"/>
    <w:rsid w:val="46382CF3"/>
    <w:rsid w:val="463E4B6F"/>
    <w:rsid w:val="464B1905"/>
    <w:rsid w:val="4658217D"/>
    <w:rsid w:val="46610538"/>
    <w:rsid w:val="466C778C"/>
    <w:rsid w:val="4670530F"/>
    <w:rsid w:val="4682613E"/>
    <w:rsid w:val="468676F9"/>
    <w:rsid w:val="46AB4DBE"/>
    <w:rsid w:val="46AF5FB8"/>
    <w:rsid w:val="46B35B9F"/>
    <w:rsid w:val="46BF115D"/>
    <w:rsid w:val="46C44CB7"/>
    <w:rsid w:val="46C5380C"/>
    <w:rsid w:val="46C96A6C"/>
    <w:rsid w:val="46CB603F"/>
    <w:rsid w:val="46D21F34"/>
    <w:rsid w:val="46EE5581"/>
    <w:rsid w:val="46F100B8"/>
    <w:rsid w:val="46FA7FB8"/>
    <w:rsid w:val="47002DEF"/>
    <w:rsid w:val="47037841"/>
    <w:rsid w:val="470B0531"/>
    <w:rsid w:val="471F3210"/>
    <w:rsid w:val="47274D37"/>
    <w:rsid w:val="47336C6F"/>
    <w:rsid w:val="47402DAA"/>
    <w:rsid w:val="47471B82"/>
    <w:rsid w:val="474750DC"/>
    <w:rsid w:val="474C419A"/>
    <w:rsid w:val="474E6907"/>
    <w:rsid w:val="474E7A5D"/>
    <w:rsid w:val="47567017"/>
    <w:rsid w:val="475E0087"/>
    <w:rsid w:val="476140B1"/>
    <w:rsid w:val="476269FC"/>
    <w:rsid w:val="47666D38"/>
    <w:rsid w:val="47763FFA"/>
    <w:rsid w:val="4780263C"/>
    <w:rsid w:val="478104EB"/>
    <w:rsid w:val="47863271"/>
    <w:rsid w:val="478839AE"/>
    <w:rsid w:val="47896D4F"/>
    <w:rsid w:val="47982A36"/>
    <w:rsid w:val="47A21D03"/>
    <w:rsid w:val="47AC4635"/>
    <w:rsid w:val="47AD79A7"/>
    <w:rsid w:val="47B45F77"/>
    <w:rsid w:val="47B601F9"/>
    <w:rsid w:val="47BE2659"/>
    <w:rsid w:val="47C068CA"/>
    <w:rsid w:val="47C65B11"/>
    <w:rsid w:val="47C80021"/>
    <w:rsid w:val="47CC159F"/>
    <w:rsid w:val="47D31B17"/>
    <w:rsid w:val="47D64E19"/>
    <w:rsid w:val="47DD2D70"/>
    <w:rsid w:val="47E335C5"/>
    <w:rsid w:val="47E56984"/>
    <w:rsid w:val="47EA5D49"/>
    <w:rsid w:val="47F00544"/>
    <w:rsid w:val="47FA38B9"/>
    <w:rsid w:val="480712F5"/>
    <w:rsid w:val="480E1EFE"/>
    <w:rsid w:val="481D7ECC"/>
    <w:rsid w:val="482149DA"/>
    <w:rsid w:val="4826335E"/>
    <w:rsid w:val="482A6A56"/>
    <w:rsid w:val="482B534E"/>
    <w:rsid w:val="482D220C"/>
    <w:rsid w:val="482E032B"/>
    <w:rsid w:val="483639D2"/>
    <w:rsid w:val="483C2771"/>
    <w:rsid w:val="4844715C"/>
    <w:rsid w:val="484503C6"/>
    <w:rsid w:val="48492230"/>
    <w:rsid w:val="484D4424"/>
    <w:rsid w:val="48587156"/>
    <w:rsid w:val="485C4105"/>
    <w:rsid w:val="48652AF4"/>
    <w:rsid w:val="48725180"/>
    <w:rsid w:val="487E153D"/>
    <w:rsid w:val="48802857"/>
    <w:rsid w:val="48817770"/>
    <w:rsid w:val="488D31C1"/>
    <w:rsid w:val="48971C07"/>
    <w:rsid w:val="489A3FC2"/>
    <w:rsid w:val="489A5DAA"/>
    <w:rsid w:val="48A27CAA"/>
    <w:rsid w:val="48A31B88"/>
    <w:rsid w:val="48BC04DD"/>
    <w:rsid w:val="48BE2CF0"/>
    <w:rsid w:val="48C15D8D"/>
    <w:rsid w:val="48C25955"/>
    <w:rsid w:val="48C955E5"/>
    <w:rsid w:val="48CA6810"/>
    <w:rsid w:val="48D13B36"/>
    <w:rsid w:val="48D766C0"/>
    <w:rsid w:val="48DA439B"/>
    <w:rsid w:val="48E44E43"/>
    <w:rsid w:val="48E4724D"/>
    <w:rsid w:val="48E53924"/>
    <w:rsid w:val="48E63F8B"/>
    <w:rsid w:val="48E94329"/>
    <w:rsid w:val="48EF0F23"/>
    <w:rsid w:val="48FB4BC3"/>
    <w:rsid w:val="48FB5804"/>
    <w:rsid w:val="49086D1B"/>
    <w:rsid w:val="4915791B"/>
    <w:rsid w:val="491C3076"/>
    <w:rsid w:val="49324DD3"/>
    <w:rsid w:val="49351245"/>
    <w:rsid w:val="4939707B"/>
    <w:rsid w:val="493E5E9C"/>
    <w:rsid w:val="49414B4F"/>
    <w:rsid w:val="494A552B"/>
    <w:rsid w:val="495077AD"/>
    <w:rsid w:val="49532CF3"/>
    <w:rsid w:val="49581E86"/>
    <w:rsid w:val="4958391B"/>
    <w:rsid w:val="495D7302"/>
    <w:rsid w:val="496607B9"/>
    <w:rsid w:val="4968161B"/>
    <w:rsid w:val="496C36CB"/>
    <w:rsid w:val="496D2BF3"/>
    <w:rsid w:val="49825EA3"/>
    <w:rsid w:val="498D72D3"/>
    <w:rsid w:val="499402FE"/>
    <w:rsid w:val="499B6E75"/>
    <w:rsid w:val="49A13026"/>
    <w:rsid w:val="49A81F15"/>
    <w:rsid w:val="49B04D70"/>
    <w:rsid w:val="49B07C49"/>
    <w:rsid w:val="49B24B36"/>
    <w:rsid w:val="49BA3A93"/>
    <w:rsid w:val="49BC5080"/>
    <w:rsid w:val="49BD004C"/>
    <w:rsid w:val="49BD1576"/>
    <w:rsid w:val="49BE7C01"/>
    <w:rsid w:val="49BF6B4D"/>
    <w:rsid w:val="49C97028"/>
    <w:rsid w:val="49CA5515"/>
    <w:rsid w:val="49DA5740"/>
    <w:rsid w:val="49DB093F"/>
    <w:rsid w:val="49DC0B0E"/>
    <w:rsid w:val="49DE64CC"/>
    <w:rsid w:val="49E13015"/>
    <w:rsid w:val="49E4389B"/>
    <w:rsid w:val="49F00F52"/>
    <w:rsid w:val="49FD72CF"/>
    <w:rsid w:val="4A122E59"/>
    <w:rsid w:val="4A1B043B"/>
    <w:rsid w:val="4A235C8A"/>
    <w:rsid w:val="4A292935"/>
    <w:rsid w:val="4A2E6BA5"/>
    <w:rsid w:val="4A33120A"/>
    <w:rsid w:val="4A34774F"/>
    <w:rsid w:val="4A35109E"/>
    <w:rsid w:val="4A360ACF"/>
    <w:rsid w:val="4A377A65"/>
    <w:rsid w:val="4A385EDB"/>
    <w:rsid w:val="4A397CF0"/>
    <w:rsid w:val="4A3E5075"/>
    <w:rsid w:val="4A3E5F17"/>
    <w:rsid w:val="4A471EB8"/>
    <w:rsid w:val="4A49367A"/>
    <w:rsid w:val="4A4A7180"/>
    <w:rsid w:val="4A4D16C6"/>
    <w:rsid w:val="4A657908"/>
    <w:rsid w:val="4A8C7C76"/>
    <w:rsid w:val="4AAB34BB"/>
    <w:rsid w:val="4AAF54B1"/>
    <w:rsid w:val="4AB00AB1"/>
    <w:rsid w:val="4AB26985"/>
    <w:rsid w:val="4AB819C7"/>
    <w:rsid w:val="4AB838E8"/>
    <w:rsid w:val="4ABE4768"/>
    <w:rsid w:val="4AC07A88"/>
    <w:rsid w:val="4AC34B56"/>
    <w:rsid w:val="4AD25834"/>
    <w:rsid w:val="4AD31BF7"/>
    <w:rsid w:val="4AD625B4"/>
    <w:rsid w:val="4AD85CF3"/>
    <w:rsid w:val="4AE12695"/>
    <w:rsid w:val="4AE5063F"/>
    <w:rsid w:val="4AEB4287"/>
    <w:rsid w:val="4AF201D5"/>
    <w:rsid w:val="4AF87CD0"/>
    <w:rsid w:val="4AFD1ED3"/>
    <w:rsid w:val="4B052044"/>
    <w:rsid w:val="4B124BB6"/>
    <w:rsid w:val="4B162370"/>
    <w:rsid w:val="4B1969EA"/>
    <w:rsid w:val="4B1E3E9D"/>
    <w:rsid w:val="4B2373E8"/>
    <w:rsid w:val="4B247B19"/>
    <w:rsid w:val="4B28699B"/>
    <w:rsid w:val="4B30654A"/>
    <w:rsid w:val="4B313770"/>
    <w:rsid w:val="4B337729"/>
    <w:rsid w:val="4B37776E"/>
    <w:rsid w:val="4B415F6D"/>
    <w:rsid w:val="4B53794C"/>
    <w:rsid w:val="4B5847DE"/>
    <w:rsid w:val="4B5F2399"/>
    <w:rsid w:val="4B742639"/>
    <w:rsid w:val="4B8938A4"/>
    <w:rsid w:val="4B8A6570"/>
    <w:rsid w:val="4B947A37"/>
    <w:rsid w:val="4B990B42"/>
    <w:rsid w:val="4BA21CED"/>
    <w:rsid w:val="4BA47014"/>
    <w:rsid w:val="4BA56AD4"/>
    <w:rsid w:val="4BAA137B"/>
    <w:rsid w:val="4BAA58CE"/>
    <w:rsid w:val="4BB23021"/>
    <w:rsid w:val="4BB560F4"/>
    <w:rsid w:val="4BB64CD0"/>
    <w:rsid w:val="4BC12085"/>
    <w:rsid w:val="4BC41A56"/>
    <w:rsid w:val="4BC859C1"/>
    <w:rsid w:val="4BD40AAB"/>
    <w:rsid w:val="4BD87A7D"/>
    <w:rsid w:val="4BE84CBE"/>
    <w:rsid w:val="4BEB2C94"/>
    <w:rsid w:val="4BF1099C"/>
    <w:rsid w:val="4BF623B0"/>
    <w:rsid w:val="4BF86D6D"/>
    <w:rsid w:val="4BFB0607"/>
    <w:rsid w:val="4BFE296B"/>
    <w:rsid w:val="4C0007D3"/>
    <w:rsid w:val="4C00522E"/>
    <w:rsid w:val="4C051F8F"/>
    <w:rsid w:val="4C08466C"/>
    <w:rsid w:val="4C085165"/>
    <w:rsid w:val="4C12207D"/>
    <w:rsid w:val="4C1471C6"/>
    <w:rsid w:val="4C147838"/>
    <w:rsid w:val="4C152CAE"/>
    <w:rsid w:val="4C1604D1"/>
    <w:rsid w:val="4C27778C"/>
    <w:rsid w:val="4C28045F"/>
    <w:rsid w:val="4C2F0A45"/>
    <w:rsid w:val="4C353FDB"/>
    <w:rsid w:val="4C3F1A17"/>
    <w:rsid w:val="4C3F668A"/>
    <w:rsid w:val="4C4125D9"/>
    <w:rsid w:val="4C4135CF"/>
    <w:rsid w:val="4C4437AE"/>
    <w:rsid w:val="4C4E5B23"/>
    <w:rsid w:val="4C50471A"/>
    <w:rsid w:val="4C523EBC"/>
    <w:rsid w:val="4C534C86"/>
    <w:rsid w:val="4C5D11D7"/>
    <w:rsid w:val="4C5E3199"/>
    <w:rsid w:val="4C5E6ACF"/>
    <w:rsid w:val="4C6B2FE2"/>
    <w:rsid w:val="4C787885"/>
    <w:rsid w:val="4C7E409F"/>
    <w:rsid w:val="4C807EFC"/>
    <w:rsid w:val="4C831751"/>
    <w:rsid w:val="4C84008B"/>
    <w:rsid w:val="4C921493"/>
    <w:rsid w:val="4C96075E"/>
    <w:rsid w:val="4C960838"/>
    <w:rsid w:val="4CB210AA"/>
    <w:rsid w:val="4CB4376C"/>
    <w:rsid w:val="4CBD0B1F"/>
    <w:rsid w:val="4CC22A4A"/>
    <w:rsid w:val="4CC64FB8"/>
    <w:rsid w:val="4CCA40FA"/>
    <w:rsid w:val="4CD135A2"/>
    <w:rsid w:val="4CD2789C"/>
    <w:rsid w:val="4CDD12F7"/>
    <w:rsid w:val="4CE27936"/>
    <w:rsid w:val="4CE601DA"/>
    <w:rsid w:val="4CE87889"/>
    <w:rsid w:val="4CED710E"/>
    <w:rsid w:val="4CF17AA4"/>
    <w:rsid w:val="4CF87AFD"/>
    <w:rsid w:val="4D003857"/>
    <w:rsid w:val="4D05521E"/>
    <w:rsid w:val="4D076FF3"/>
    <w:rsid w:val="4D08414A"/>
    <w:rsid w:val="4D092506"/>
    <w:rsid w:val="4D200666"/>
    <w:rsid w:val="4D3A7012"/>
    <w:rsid w:val="4D3D19D7"/>
    <w:rsid w:val="4D4203D5"/>
    <w:rsid w:val="4D451508"/>
    <w:rsid w:val="4D47346B"/>
    <w:rsid w:val="4D495DF4"/>
    <w:rsid w:val="4D553C64"/>
    <w:rsid w:val="4D581CBD"/>
    <w:rsid w:val="4D685EAA"/>
    <w:rsid w:val="4D69316A"/>
    <w:rsid w:val="4D7234EB"/>
    <w:rsid w:val="4D785A58"/>
    <w:rsid w:val="4D853E44"/>
    <w:rsid w:val="4D8744C7"/>
    <w:rsid w:val="4D970124"/>
    <w:rsid w:val="4D992749"/>
    <w:rsid w:val="4DC2477B"/>
    <w:rsid w:val="4DC37AAD"/>
    <w:rsid w:val="4DC4703C"/>
    <w:rsid w:val="4DD03A81"/>
    <w:rsid w:val="4DE1012A"/>
    <w:rsid w:val="4DE56472"/>
    <w:rsid w:val="4DEA16B8"/>
    <w:rsid w:val="4DF17ECD"/>
    <w:rsid w:val="4DF65554"/>
    <w:rsid w:val="4DFA077E"/>
    <w:rsid w:val="4DFC1243"/>
    <w:rsid w:val="4E02229A"/>
    <w:rsid w:val="4E050405"/>
    <w:rsid w:val="4E132BF4"/>
    <w:rsid w:val="4E162BA9"/>
    <w:rsid w:val="4E1E0460"/>
    <w:rsid w:val="4E1F2098"/>
    <w:rsid w:val="4E245FCD"/>
    <w:rsid w:val="4E2A37D7"/>
    <w:rsid w:val="4E2C0F3C"/>
    <w:rsid w:val="4E2F4F0E"/>
    <w:rsid w:val="4E3701F3"/>
    <w:rsid w:val="4E3F0D8B"/>
    <w:rsid w:val="4E452F68"/>
    <w:rsid w:val="4E4D75CC"/>
    <w:rsid w:val="4E4F602D"/>
    <w:rsid w:val="4E521DCC"/>
    <w:rsid w:val="4E563A79"/>
    <w:rsid w:val="4E5D37BF"/>
    <w:rsid w:val="4E5E7854"/>
    <w:rsid w:val="4E60113A"/>
    <w:rsid w:val="4E6F6FA8"/>
    <w:rsid w:val="4E7C40A4"/>
    <w:rsid w:val="4E8267E7"/>
    <w:rsid w:val="4E826B8B"/>
    <w:rsid w:val="4E870437"/>
    <w:rsid w:val="4E915C83"/>
    <w:rsid w:val="4E920755"/>
    <w:rsid w:val="4E980798"/>
    <w:rsid w:val="4E9A5427"/>
    <w:rsid w:val="4E9A7B73"/>
    <w:rsid w:val="4E9E6AA4"/>
    <w:rsid w:val="4EA244DC"/>
    <w:rsid w:val="4EA3784C"/>
    <w:rsid w:val="4EA66EF1"/>
    <w:rsid w:val="4EB951BF"/>
    <w:rsid w:val="4EBB7642"/>
    <w:rsid w:val="4EBF6B54"/>
    <w:rsid w:val="4EC0678A"/>
    <w:rsid w:val="4EC16EB7"/>
    <w:rsid w:val="4EC935CE"/>
    <w:rsid w:val="4ECD2EF2"/>
    <w:rsid w:val="4ED11C95"/>
    <w:rsid w:val="4ED15594"/>
    <w:rsid w:val="4EDC019B"/>
    <w:rsid w:val="4EDD798C"/>
    <w:rsid w:val="4EE27137"/>
    <w:rsid w:val="4EEB6A39"/>
    <w:rsid w:val="4EED611E"/>
    <w:rsid w:val="4EF44D23"/>
    <w:rsid w:val="4EF844EA"/>
    <w:rsid w:val="4EFB744F"/>
    <w:rsid w:val="4EFC3112"/>
    <w:rsid w:val="4EFD1701"/>
    <w:rsid w:val="4EFF66FB"/>
    <w:rsid w:val="4F040683"/>
    <w:rsid w:val="4F130C17"/>
    <w:rsid w:val="4F166D4A"/>
    <w:rsid w:val="4F270D2D"/>
    <w:rsid w:val="4F2737C5"/>
    <w:rsid w:val="4F2A0BFC"/>
    <w:rsid w:val="4F31723C"/>
    <w:rsid w:val="4F340C63"/>
    <w:rsid w:val="4F3E1BA7"/>
    <w:rsid w:val="4F4C1097"/>
    <w:rsid w:val="4F527868"/>
    <w:rsid w:val="4F544DE2"/>
    <w:rsid w:val="4F5C39D0"/>
    <w:rsid w:val="4F5D32A4"/>
    <w:rsid w:val="4F6709AC"/>
    <w:rsid w:val="4F6D642E"/>
    <w:rsid w:val="4F6F762E"/>
    <w:rsid w:val="4F767689"/>
    <w:rsid w:val="4F7B372A"/>
    <w:rsid w:val="4F926827"/>
    <w:rsid w:val="4F98633D"/>
    <w:rsid w:val="4FA2515B"/>
    <w:rsid w:val="4FA4623D"/>
    <w:rsid w:val="4FA86461"/>
    <w:rsid w:val="4FAA16EE"/>
    <w:rsid w:val="4FAB620C"/>
    <w:rsid w:val="4FB25D36"/>
    <w:rsid w:val="4FB55FF8"/>
    <w:rsid w:val="4FCF79B6"/>
    <w:rsid w:val="4FE06869"/>
    <w:rsid w:val="4FE9200A"/>
    <w:rsid w:val="4FF42752"/>
    <w:rsid w:val="4FF67560"/>
    <w:rsid w:val="4FF87BDA"/>
    <w:rsid w:val="4FF97471"/>
    <w:rsid w:val="4FFD4205"/>
    <w:rsid w:val="4FFF5603"/>
    <w:rsid w:val="500035DB"/>
    <w:rsid w:val="500554BB"/>
    <w:rsid w:val="50082791"/>
    <w:rsid w:val="500A21E7"/>
    <w:rsid w:val="5010424F"/>
    <w:rsid w:val="50153705"/>
    <w:rsid w:val="502318E5"/>
    <w:rsid w:val="502456DC"/>
    <w:rsid w:val="502E1C8A"/>
    <w:rsid w:val="502E37C2"/>
    <w:rsid w:val="503E77A0"/>
    <w:rsid w:val="503F6B23"/>
    <w:rsid w:val="504967D4"/>
    <w:rsid w:val="504C56EA"/>
    <w:rsid w:val="50523597"/>
    <w:rsid w:val="50537E95"/>
    <w:rsid w:val="50583896"/>
    <w:rsid w:val="50585CC6"/>
    <w:rsid w:val="5059113E"/>
    <w:rsid w:val="506871A6"/>
    <w:rsid w:val="506B39C8"/>
    <w:rsid w:val="50757758"/>
    <w:rsid w:val="507E4835"/>
    <w:rsid w:val="50807FAC"/>
    <w:rsid w:val="508159F6"/>
    <w:rsid w:val="50841FF1"/>
    <w:rsid w:val="509176A9"/>
    <w:rsid w:val="50984F92"/>
    <w:rsid w:val="509B758A"/>
    <w:rsid w:val="509E1DC6"/>
    <w:rsid w:val="509E4F4D"/>
    <w:rsid w:val="50A07C67"/>
    <w:rsid w:val="50AC4DAF"/>
    <w:rsid w:val="50B568B9"/>
    <w:rsid w:val="50B926E0"/>
    <w:rsid w:val="50BE7D72"/>
    <w:rsid w:val="50C069B4"/>
    <w:rsid w:val="50C479A8"/>
    <w:rsid w:val="50D101AA"/>
    <w:rsid w:val="50D71075"/>
    <w:rsid w:val="50E32A6C"/>
    <w:rsid w:val="50E772C9"/>
    <w:rsid w:val="50E93B81"/>
    <w:rsid w:val="510450AE"/>
    <w:rsid w:val="510530E4"/>
    <w:rsid w:val="510D3CD7"/>
    <w:rsid w:val="51161C4E"/>
    <w:rsid w:val="511848E8"/>
    <w:rsid w:val="51205736"/>
    <w:rsid w:val="51242D1A"/>
    <w:rsid w:val="51275130"/>
    <w:rsid w:val="51332596"/>
    <w:rsid w:val="51360B87"/>
    <w:rsid w:val="513938C9"/>
    <w:rsid w:val="51394095"/>
    <w:rsid w:val="513A2A02"/>
    <w:rsid w:val="513E3F26"/>
    <w:rsid w:val="51401058"/>
    <w:rsid w:val="514C1FED"/>
    <w:rsid w:val="514E5AEA"/>
    <w:rsid w:val="5156081F"/>
    <w:rsid w:val="51600E24"/>
    <w:rsid w:val="51602B30"/>
    <w:rsid w:val="51657342"/>
    <w:rsid w:val="516B2F3B"/>
    <w:rsid w:val="51722A42"/>
    <w:rsid w:val="5173706F"/>
    <w:rsid w:val="51774780"/>
    <w:rsid w:val="51853637"/>
    <w:rsid w:val="518A2050"/>
    <w:rsid w:val="518D1F26"/>
    <w:rsid w:val="519E2B14"/>
    <w:rsid w:val="51A055DC"/>
    <w:rsid w:val="51AA5DE3"/>
    <w:rsid w:val="51AC6764"/>
    <w:rsid w:val="51AD4B3B"/>
    <w:rsid w:val="51B52056"/>
    <w:rsid w:val="51B74F5A"/>
    <w:rsid w:val="51C36CCB"/>
    <w:rsid w:val="51C4585C"/>
    <w:rsid w:val="51C471B1"/>
    <w:rsid w:val="51CA613D"/>
    <w:rsid w:val="51DB1C8D"/>
    <w:rsid w:val="51E82B6A"/>
    <w:rsid w:val="51EA4CB0"/>
    <w:rsid w:val="51EC1D13"/>
    <w:rsid w:val="51EE435D"/>
    <w:rsid w:val="51FD5783"/>
    <w:rsid w:val="52000617"/>
    <w:rsid w:val="520A4783"/>
    <w:rsid w:val="520D4FCD"/>
    <w:rsid w:val="520E4EF5"/>
    <w:rsid w:val="520F69D2"/>
    <w:rsid w:val="52145799"/>
    <w:rsid w:val="521570C5"/>
    <w:rsid w:val="521D24AF"/>
    <w:rsid w:val="52242841"/>
    <w:rsid w:val="52277D53"/>
    <w:rsid w:val="522B352E"/>
    <w:rsid w:val="522F41A9"/>
    <w:rsid w:val="52375027"/>
    <w:rsid w:val="523E6D57"/>
    <w:rsid w:val="52417FCE"/>
    <w:rsid w:val="52474E72"/>
    <w:rsid w:val="52495D62"/>
    <w:rsid w:val="52517014"/>
    <w:rsid w:val="525E1819"/>
    <w:rsid w:val="52656D4B"/>
    <w:rsid w:val="526606C2"/>
    <w:rsid w:val="52690A8A"/>
    <w:rsid w:val="52702CC3"/>
    <w:rsid w:val="527C0553"/>
    <w:rsid w:val="52981851"/>
    <w:rsid w:val="52994479"/>
    <w:rsid w:val="529C787B"/>
    <w:rsid w:val="52A118F2"/>
    <w:rsid w:val="52A62910"/>
    <w:rsid w:val="52AC196F"/>
    <w:rsid w:val="52BB751E"/>
    <w:rsid w:val="52BF0C6B"/>
    <w:rsid w:val="52BF7616"/>
    <w:rsid w:val="52D302DE"/>
    <w:rsid w:val="52DB37D2"/>
    <w:rsid w:val="52E112D6"/>
    <w:rsid w:val="52EF771A"/>
    <w:rsid w:val="52F23609"/>
    <w:rsid w:val="52F725D3"/>
    <w:rsid w:val="53155FA7"/>
    <w:rsid w:val="53243A84"/>
    <w:rsid w:val="532C2893"/>
    <w:rsid w:val="532E7557"/>
    <w:rsid w:val="53315C4B"/>
    <w:rsid w:val="533A00AA"/>
    <w:rsid w:val="533C7D22"/>
    <w:rsid w:val="534529CD"/>
    <w:rsid w:val="53476182"/>
    <w:rsid w:val="534F7E64"/>
    <w:rsid w:val="53575365"/>
    <w:rsid w:val="53582DCC"/>
    <w:rsid w:val="5359399F"/>
    <w:rsid w:val="535B057E"/>
    <w:rsid w:val="536F51A3"/>
    <w:rsid w:val="537321AC"/>
    <w:rsid w:val="53743ED1"/>
    <w:rsid w:val="53752E08"/>
    <w:rsid w:val="537D120F"/>
    <w:rsid w:val="538C05FC"/>
    <w:rsid w:val="53920585"/>
    <w:rsid w:val="5396301E"/>
    <w:rsid w:val="539831F9"/>
    <w:rsid w:val="539A41B3"/>
    <w:rsid w:val="53A87319"/>
    <w:rsid w:val="53AA17A9"/>
    <w:rsid w:val="53B842AC"/>
    <w:rsid w:val="53BB5C95"/>
    <w:rsid w:val="53BE5711"/>
    <w:rsid w:val="53C42C43"/>
    <w:rsid w:val="53CB12B0"/>
    <w:rsid w:val="53D60E94"/>
    <w:rsid w:val="53EA0E7E"/>
    <w:rsid w:val="53EC1ECF"/>
    <w:rsid w:val="53F74AF6"/>
    <w:rsid w:val="53FD311C"/>
    <w:rsid w:val="53FD3B90"/>
    <w:rsid w:val="54084EF7"/>
    <w:rsid w:val="540A305C"/>
    <w:rsid w:val="540B159F"/>
    <w:rsid w:val="5410110C"/>
    <w:rsid w:val="54131912"/>
    <w:rsid w:val="541C1529"/>
    <w:rsid w:val="54222228"/>
    <w:rsid w:val="5422763A"/>
    <w:rsid w:val="542A4CF1"/>
    <w:rsid w:val="54393B83"/>
    <w:rsid w:val="544615CD"/>
    <w:rsid w:val="54510C43"/>
    <w:rsid w:val="54517EF0"/>
    <w:rsid w:val="54521272"/>
    <w:rsid w:val="54521A63"/>
    <w:rsid w:val="5456526D"/>
    <w:rsid w:val="546135C3"/>
    <w:rsid w:val="54640C31"/>
    <w:rsid w:val="546B3A7C"/>
    <w:rsid w:val="546E71A0"/>
    <w:rsid w:val="547145DD"/>
    <w:rsid w:val="547609DD"/>
    <w:rsid w:val="547B5D3D"/>
    <w:rsid w:val="54805EAC"/>
    <w:rsid w:val="5482587D"/>
    <w:rsid w:val="548341C1"/>
    <w:rsid w:val="5484104F"/>
    <w:rsid w:val="54885D45"/>
    <w:rsid w:val="54886400"/>
    <w:rsid w:val="54922940"/>
    <w:rsid w:val="54923C71"/>
    <w:rsid w:val="54A43723"/>
    <w:rsid w:val="54A75B90"/>
    <w:rsid w:val="54AE280E"/>
    <w:rsid w:val="54B3060F"/>
    <w:rsid w:val="54B40DB1"/>
    <w:rsid w:val="54B4518C"/>
    <w:rsid w:val="54B95A1A"/>
    <w:rsid w:val="54C23274"/>
    <w:rsid w:val="54D26341"/>
    <w:rsid w:val="54D45BC4"/>
    <w:rsid w:val="54DB49C4"/>
    <w:rsid w:val="54DC1C2B"/>
    <w:rsid w:val="54DE1184"/>
    <w:rsid w:val="54DE7576"/>
    <w:rsid w:val="54E212F4"/>
    <w:rsid w:val="54E92EA3"/>
    <w:rsid w:val="54F2448F"/>
    <w:rsid w:val="54FB018C"/>
    <w:rsid w:val="54FE4BE1"/>
    <w:rsid w:val="550109C1"/>
    <w:rsid w:val="55054110"/>
    <w:rsid w:val="5508132B"/>
    <w:rsid w:val="55100B6A"/>
    <w:rsid w:val="55122FCC"/>
    <w:rsid w:val="55131049"/>
    <w:rsid w:val="55164C9A"/>
    <w:rsid w:val="551A15C6"/>
    <w:rsid w:val="551F2C7C"/>
    <w:rsid w:val="552F12F5"/>
    <w:rsid w:val="553A18C8"/>
    <w:rsid w:val="553F43DA"/>
    <w:rsid w:val="5543118E"/>
    <w:rsid w:val="5546256D"/>
    <w:rsid w:val="554F7B33"/>
    <w:rsid w:val="555946AB"/>
    <w:rsid w:val="555C3C55"/>
    <w:rsid w:val="555C3E9A"/>
    <w:rsid w:val="556100F8"/>
    <w:rsid w:val="55627866"/>
    <w:rsid w:val="55627B08"/>
    <w:rsid w:val="5565088E"/>
    <w:rsid w:val="556D2C0F"/>
    <w:rsid w:val="556F7375"/>
    <w:rsid w:val="55721481"/>
    <w:rsid w:val="5579157E"/>
    <w:rsid w:val="5580275A"/>
    <w:rsid w:val="55911E19"/>
    <w:rsid w:val="5595179C"/>
    <w:rsid w:val="559601F5"/>
    <w:rsid w:val="559B253D"/>
    <w:rsid w:val="559E2967"/>
    <w:rsid w:val="559F620B"/>
    <w:rsid w:val="55A03621"/>
    <w:rsid w:val="55A17B91"/>
    <w:rsid w:val="55AD5540"/>
    <w:rsid w:val="55B47996"/>
    <w:rsid w:val="55BA1450"/>
    <w:rsid w:val="55BB3061"/>
    <w:rsid w:val="55C37CDE"/>
    <w:rsid w:val="55C7591B"/>
    <w:rsid w:val="55D22539"/>
    <w:rsid w:val="55E34C3E"/>
    <w:rsid w:val="55E53845"/>
    <w:rsid w:val="55E61A70"/>
    <w:rsid w:val="55F720C6"/>
    <w:rsid w:val="5607285D"/>
    <w:rsid w:val="560C76EF"/>
    <w:rsid w:val="560F2F20"/>
    <w:rsid w:val="56120991"/>
    <w:rsid w:val="561D378D"/>
    <w:rsid w:val="562D50DC"/>
    <w:rsid w:val="563D46B2"/>
    <w:rsid w:val="56457704"/>
    <w:rsid w:val="5648287B"/>
    <w:rsid w:val="565638FD"/>
    <w:rsid w:val="565740D6"/>
    <w:rsid w:val="5658153C"/>
    <w:rsid w:val="5667179F"/>
    <w:rsid w:val="5669552B"/>
    <w:rsid w:val="56756FEE"/>
    <w:rsid w:val="567A14B2"/>
    <w:rsid w:val="568B0655"/>
    <w:rsid w:val="568F6105"/>
    <w:rsid w:val="569340BF"/>
    <w:rsid w:val="569D7032"/>
    <w:rsid w:val="56A26CA4"/>
    <w:rsid w:val="56A769A9"/>
    <w:rsid w:val="56A90163"/>
    <w:rsid w:val="56AD22B9"/>
    <w:rsid w:val="56BA554A"/>
    <w:rsid w:val="56C1680E"/>
    <w:rsid w:val="56C500AD"/>
    <w:rsid w:val="56C768C1"/>
    <w:rsid w:val="56CA40F1"/>
    <w:rsid w:val="56CB20C5"/>
    <w:rsid w:val="56CF17A9"/>
    <w:rsid w:val="56DE774E"/>
    <w:rsid w:val="56ED3AE9"/>
    <w:rsid w:val="56EF6AA9"/>
    <w:rsid w:val="56F232A6"/>
    <w:rsid w:val="56FB3DE8"/>
    <w:rsid w:val="56FF2234"/>
    <w:rsid w:val="57016C0B"/>
    <w:rsid w:val="57101D0B"/>
    <w:rsid w:val="57131037"/>
    <w:rsid w:val="571C57F3"/>
    <w:rsid w:val="57263372"/>
    <w:rsid w:val="573556C2"/>
    <w:rsid w:val="57405985"/>
    <w:rsid w:val="574A5379"/>
    <w:rsid w:val="575632CC"/>
    <w:rsid w:val="57595F84"/>
    <w:rsid w:val="575F6AA5"/>
    <w:rsid w:val="57606F87"/>
    <w:rsid w:val="577A6D2E"/>
    <w:rsid w:val="577E0893"/>
    <w:rsid w:val="577F0575"/>
    <w:rsid w:val="57877110"/>
    <w:rsid w:val="578840B1"/>
    <w:rsid w:val="57945726"/>
    <w:rsid w:val="579D34A4"/>
    <w:rsid w:val="57AC7F76"/>
    <w:rsid w:val="57B17ABA"/>
    <w:rsid w:val="57B37249"/>
    <w:rsid w:val="57B528A1"/>
    <w:rsid w:val="57BF6AF8"/>
    <w:rsid w:val="57C969E3"/>
    <w:rsid w:val="57D57D2F"/>
    <w:rsid w:val="57D60714"/>
    <w:rsid w:val="57D94111"/>
    <w:rsid w:val="57DC2BAD"/>
    <w:rsid w:val="57F15865"/>
    <w:rsid w:val="57F67D0A"/>
    <w:rsid w:val="57F91F69"/>
    <w:rsid w:val="57FF2C6E"/>
    <w:rsid w:val="580112DD"/>
    <w:rsid w:val="58057B99"/>
    <w:rsid w:val="58075662"/>
    <w:rsid w:val="580815FA"/>
    <w:rsid w:val="5808676D"/>
    <w:rsid w:val="58164CFD"/>
    <w:rsid w:val="581E112D"/>
    <w:rsid w:val="58201D40"/>
    <w:rsid w:val="582566F0"/>
    <w:rsid w:val="583A3C22"/>
    <w:rsid w:val="58430D07"/>
    <w:rsid w:val="584326B5"/>
    <w:rsid w:val="58611D04"/>
    <w:rsid w:val="586631C9"/>
    <w:rsid w:val="586846EF"/>
    <w:rsid w:val="586D2962"/>
    <w:rsid w:val="5872759C"/>
    <w:rsid w:val="58872F30"/>
    <w:rsid w:val="588B353C"/>
    <w:rsid w:val="588B7142"/>
    <w:rsid w:val="588E2720"/>
    <w:rsid w:val="589B5B49"/>
    <w:rsid w:val="589E3418"/>
    <w:rsid w:val="58AF3175"/>
    <w:rsid w:val="58B67BEB"/>
    <w:rsid w:val="58B92EDA"/>
    <w:rsid w:val="58C00689"/>
    <w:rsid w:val="58C957ED"/>
    <w:rsid w:val="58CA7BFC"/>
    <w:rsid w:val="58CC7366"/>
    <w:rsid w:val="58CF1EE7"/>
    <w:rsid w:val="58DF2335"/>
    <w:rsid w:val="58E3120B"/>
    <w:rsid w:val="58ED24DC"/>
    <w:rsid w:val="58EE7F4C"/>
    <w:rsid w:val="58F46DEA"/>
    <w:rsid w:val="58FB7105"/>
    <w:rsid w:val="59060509"/>
    <w:rsid w:val="590B158E"/>
    <w:rsid w:val="590B5B1F"/>
    <w:rsid w:val="59107FD3"/>
    <w:rsid w:val="591401BA"/>
    <w:rsid w:val="591744C4"/>
    <w:rsid w:val="59283577"/>
    <w:rsid w:val="592C532E"/>
    <w:rsid w:val="592D4E59"/>
    <w:rsid w:val="59495D0A"/>
    <w:rsid w:val="594A0F1E"/>
    <w:rsid w:val="594B2650"/>
    <w:rsid w:val="59550077"/>
    <w:rsid w:val="595D42F7"/>
    <w:rsid w:val="595E0345"/>
    <w:rsid w:val="59633BAD"/>
    <w:rsid w:val="59695B0E"/>
    <w:rsid w:val="597900D1"/>
    <w:rsid w:val="59831B59"/>
    <w:rsid w:val="5984766D"/>
    <w:rsid w:val="598D1CE2"/>
    <w:rsid w:val="59941933"/>
    <w:rsid w:val="59A114F8"/>
    <w:rsid w:val="59A3309B"/>
    <w:rsid w:val="59A44352"/>
    <w:rsid w:val="59A51405"/>
    <w:rsid w:val="59AD0D41"/>
    <w:rsid w:val="59AD460E"/>
    <w:rsid w:val="59B764D9"/>
    <w:rsid w:val="59BA7DD3"/>
    <w:rsid w:val="59BF0470"/>
    <w:rsid w:val="59C12B00"/>
    <w:rsid w:val="59C5315A"/>
    <w:rsid w:val="59C85BBA"/>
    <w:rsid w:val="59DA1A0D"/>
    <w:rsid w:val="59DF73D7"/>
    <w:rsid w:val="59E00D5A"/>
    <w:rsid w:val="59E01997"/>
    <w:rsid w:val="59F112FE"/>
    <w:rsid w:val="59F26158"/>
    <w:rsid w:val="59FA1FEC"/>
    <w:rsid w:val="5A0B62FC"/>
    <w:rsid w:val="5A0C522E"/>
    <w:rsid w:val="5A132EDD"/>
    <w:rsid w:val="5A136829"/>
    <w:rsid w:val="5A143FBA"/>
    <w:rsid w:val="5A2643CB"/>
    <w:rsid w:val="5A360CA3"/>
    <w:rsid w:val="5A397DDF"/>
    <w:rsid w:val="5A425696"/>
    <w:rsid w:val="5A450D3E"/>
    <w:rsid w:val="5A4D708A"/>
    <w:rsid w:val="5A513A05"/>
    <w:rsid w:val="5A663955"/>
    <w:rsid w:val="5A761225"/>
    <w:rsid w:val="5A7B6CD4"/>
    <w:rsid w:val="5A8756C1"/>
    <w:rsid w:val="5A8A4153"/>
    <w:rsid w:val="5A8F4ABF"/>
    <w:rsid w:val="5A9038A8"/>
    <w:rsid w:val="5AAD1584"/>
    <w:rsid w:val="5AB62857"/>
    <w:rsid w:val="5AB67988"/>
    <w:rsid w:val="5AB91724"/>
    <w:rsid w:val="5ABF5901"/>
    <w:rsid w:val="5ABF7D64"/>
    <w:rsid w:val="5AC4067B"/>
    <w:rsid w:val="5ACA5953"/>
    <w:rsid w:val="5ACB3A4A"/>
    <w:rsid w:val="5ACF19E6"/>
    <w:rsid w:val="5AD47477"/>
    <w:rsid w:val="5AE3217B"/>
    <w:rsid w:val="5AE57817"/>
    <w:rsid w:val="5AE60D3F"/>
    <w:rsid w:val="5AE70490"/>
    <w:rsid w:val="5AE83DF8"/>
    <w:rsid w:val="5AEB20AC"/>
    <w:rsid w:val="5AF50BD0"/>
    <w:rsid w:val="5B06430D"/>
    <w:rsid w:val="5B0C1DEE"/>
    <w:rsid w:val="5B173253"/>
    <w:rsid w:val="5B26453F"/>
    <w:rsid w:val="5B2A49AD"/>
    <w:rsid w:val="5B43724B"/>
    <w:rsid w:val="5B476CB1"/>
    <w:rsid w:val="5B500161"/>
    <w:rsid w:val="5B59062D"/>
    <w:rsid w:val="5B6451A6"/>
    <w:rsid w:val="5B75731B"/>
    <w:rsid w:val="5B7E1EB2"/>
    <w:rsid w:val="5B8228C3"/>
    <w:rsid w:val="5B847D3D"/>
    <w:rsid w:val="5B861444"/>
    <w:rsid w:val="5B8A50DE"/>
    <w:rsid w:val="5B912B50"/>
    <w:rsid w:val="5B953ED2"/>
    <w:rsid w:val="5B993928"/>
    <w:rsid w:val="5B9955E8"/>
    <w:rsid w:val="5B9A5925"/>
    <w:rsid w:val="5B9B4306"/>
    <w:rsid w:val="5B9E436E"/>
    <w:rsid w:val="5BA13C73"/>
    <w:rsid w:val="5BA74225"/>
    <w:rsid w:val="5BAA0E05"/>
    <w:rsid w:val="5BB3110B"/>
    <w:rsid w:val="5BB50DF9"/>
    <w:rsid w:val="5BBC76E7"/>
    <w:rsid w:val="5BBE50CA"/>
    <w:rsid w:val="5BC2290D"/>
    <w:rsid w:val="5BC90992"/>
    <w:rsid w:val="5BCB2B90"/>
    <w:rsid w:val="5BD81FA8"/>
    <w:rsid w:val="5BE72873"/>
    <w:rsid w:val="5BED5D88"/>
    <w:rsid w:val="5BF204A7"/>
    <w:rsid w:val="5BF53049"/>
    <w:rsid w:val="5BF53B3D"/>
    <w:rsid w:val="5BFB7164"/>
    <w:rsid w:val="5C0056E3"/>
    <w:rsid w:val="5C0B1C47"/>
    <w:rsid w:val="5C0B2E25"/>
    <w:rsid w:val="5C17648D"/>
    <w:rsid w:val="5C1A310B"/>
    <w:rsid w:val="5C1A753A"/>
    <w:rsid w:val="5C202F01"/>
    <w:rsid w:val="5C236E8E"/>
    <w:rsid w:val="5C312060"/>
    <w:rsid w:val="5C461A91"/>
    <w:rsid w:val="5C4639E1"/>
    <w:rsid w:val="5C497FA1"/>
    <w:rsid w:val="5C4A39F7"/>
    <w:rsid w:val="5C4B3F8B"/>
    <w:rsid w:val="5C583E24"/>
    <w:rsid w:val="5C5D0D87"/>
    <w:rsid w:val="5C60208A"/>
    <w:rsid w:val="5C66535C"/>
    <w:rsid w:val="5C6D424E"/>
    <w:rsid w:val="5C727C32"/>
    <w:rsid w:val="5C774020"/>
    <w:rsid w:val="5C790656"/>
    <w:rsid w:val="5C836D63"/>
    <w:rsid w:val="5C847D9F"/>
    <w:rsid w:val="5C8A0E37"/>
    <w:rsid w:val="5C93198C"/>
    <w:rsid w:val="5C98042B"/>
    <w:rsid w:val="5C9913E2"/>
    <w:rsid w:val="5CA66466"/>
    <w:rsid w:val="5CAD630E"/>
    <w:rsid w:val="5CB33015"/>
    <w:rsid w:val="5CB46F5A"/>
    <w:rsid w:val="5CB7639B"/>
    <w:rsid w:val="5CD5091E"/>
    <w:rsid w:val="5CD91E24"/>
    <w:rsid w:val="5CDE0C87"/>
    <w:rsid w:val="5CDF1DCE"/>
    <w:rsid w:val="5CE33758"/>
    <w:rsid w:val="5CE96194"/>
    <w:rsid w:val="5CF319DE"/>
    <w:rsid w:val="5CF50E0C"/>
    <w:rsid w:val="5CFA2EAA"/>
    <w:rsid w:val="5D034EAB"/>
    <w:rsid w:val="5D041404"/>
    <w:rsid w:val="5D05702F"/>
    <w:rsid w:val="5D0819AF"/>
    <w:rsid w:val="5D0B3DB3"/>
    <w:rsid w:val="5D0C00B7"/>
    <w:rsid w:val="5D131B22"/>
    <w:rsid w:val="5D15609A"/>
    <w:rsid w:val="5D1F0193"/>
    <w:rsid w:val="5D243C94"/>
    <w:rsid w:val="5D246DB0"/>
    <w:rsid w:val="5D253434"/>
    <w:rsid w:val="5D264973"/>
    <w:rsid w:val="5D283218"/>
    <w:rsid w:val="5D2A41F3"/>
    <w:rsid w:val="5D3C3250"/>
    <w:rsid w:val="5D3E70CC"/>
    <w:rsid w:val="5D412E9E"/>
    <w:rsid w:val="5D5018E5"/>
    <w:rsid w:val="5D503C55"/>
    <w:rsid w:val="5D5531B4"/>
    <w:rsid w:val="5D5E4BD3"/>
    <w:rsid w:val="5D610FBA"/>
    <w:rsid w:val="5D73062F"/>
    <w:rsid w:val="5D7519FB"/>
    <w:rsid w:val="5D754359"/>
    <w:rsid w:val="5D7D61FF"/>
    <w:rsid w:val="5D7E072C"/>
    <w:rsid w:val="5D7F5B3F"/>
    <w:rsid w:val="5D8374DA"/>
    <w:rsid w:val="5D9043C5"/>
    <w:rsid w:val="5D917380"/>
    <w:rsid w:val="5D976281"/>
    <w:rsid w:val="5D9F66F5"/>
    <w:rsid w:val="5DBF03EB"/>
    <w:rsid w:val="5DBF5867"/>
    <w:rsid w:val="5DC04997"/>
    <w:rsid w:val="5DC53591"/>
    <w:rsid w:val="5DC85744"/>
    <w:rsid w:val="5DCF2F34"/>
    <w:rsid w:val="5DD2534B"/>
    <w:rsid w:val="5DE80B25"/>
    <w:rsid w:val="5DEB2D6E"/>
    <w:rsid w:val="5DF85FBA"/>
    <w:rsid w:val="5DFC2939"/>
    <w:rsid w:val="5E021BE6"/>
    <w:rsid w:val="5E027BA8"/>
    <w:rsid w:val="5E0A0BB4"/>
    <w:rsid w:val="5E0A3A10"/>
    <w:rsid w:val="5E2860C8"/>
    <w:rsid w:val="5E2A0754"/>
    <w:rsid w:val="5E2B3F5E"/>
    <w:rsid w:val="5E384323"/>
    <w:rsid w:val="5E3B2009"/>
    <w:rsid w:val="5E3B3903"/>
    <w:rsid w:val="5E3C3CAB"/>
    <w:rsid w:val="5E3E2839"/>
    <w:rsid w:val="5E425E09"/>
    <w:rsid w:val="5E445E81"/>
    <w:rsid w:val="5E4E3305"/>
    <w:rsid w:val="5E561E50"/>
    <w:rsid w:val="5E6551CC"/>
    <w:rsid w:val="5E6D2BC6"/>
    <w:rsid w:val="5E7516A9"/>
    <w:rsid w:val="5E754D4A"/>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E4AD3"/>
    <w:rsid w:val="5ED90A4F"/>
    <w:rsid w:val="5EDB5760"/>
    <w:rsid w:val="5EF04834"/>
    <w:rsid w:val="5EF77A28"/>
    <w:rsid w:val="5EFA508F"/>
    <w:rsid w:val="5F1A537B"/>
    <w:rsid w:val="5F1D3DA3"/>
    <w:rsid w:val="5F1E6215"/>
    <w:rsid w:val="5F207D18"/>
    <w:rsid w:val="5F22545D"/>
    <w:rsid w:val="5F24765D"/>
    <w:rsid w:val="5F290D15"/>
    <w:rsid w:val="5F2B466E"/>
    <w:rsid w:val="5F2D4A41"/>
    <w:rsid w:val="5F4209AC"/>
    <w:rsid w:val="5F424C71"/>
    <w:rsid w:val="5F432EAB"/>
    <w:rsid w:val="5F441D8B"/>
    <w:rsid w:val="5F4420C1"/>
    <w:rsid w:val="5F4E1724"/>
    <w:rsid w:val="5F566E8D"/>
    <w:rsid w:val="5F58372D"/>
    <w:rsid w:val="5F5C17A0"/>
    <w:rsid w:val="5F5C28E2"/>
    <w:rsid w:val="5F654B11"/>
    <w:rsid w:val="5F6649D0"/>
    <w:rsid w:val="5F67640E"/>
    <w:rsid w:val="5F684300"/>
    <w:rsid w:val="5F711AC8"/>
    <w:rsid w:val="5F755CC4"/>
    <w:rsid w:val="5F7A430A"/>
    <w:rsid w:val="5F7F18C1"/>
    <w:rsid w:val="5F8124DD"/>
    <w:rsid w:val="5F8B58BB"/>
    <w:rsid w:val="5F94225B"/>
    <w:rsid w:val="5F9840E4"/>
    <w:rsid w:val="5FAB0881"/>
    <w:rsid w:val="5FB872AD"/>
    <w:rsid w:val="5FBA585B"/>
    <w:rsid w:val="5FC111DF"/>
    <w:rsid w:val="5FCB2D38"/>
    <w:rsid w:val="5FD6077A"/>
    <w:rsid w:val="5FD845D7"/>
    <w:rsid w:val="5FD91EC4"/>
    <w:rsid w:val="5FDA00BB"/>
    <w:rsid w:val="5FDC6830"/>
    <w:rsid w:val="5FE13A7D"/>
    <w:rsid w:val="5FE57F90"/>
    <w:rsid w:val="5FF842D2"/>
    <w:rsid w:val="5FF96B92"/>
    <w:rsid w:val="5FFF6B3B"/>
    <w:rsid w:val="60010018"/>
    <w:rsid w:val="60033EF8"/>
    <w:rsid w:val="6008100A"/>
    <w:rsid w:val="60103832"/>
    <w:rsid w:val="6011375B"/>
    <w:rsid w:val="60170FDD"/>
    <w:rsid w:val="601A4CAC"/>
    <w:rsid w:val="602A33E5"/>
    <w:rsid w:val="602D12EB"/>
    <w:rsid w:val="60354303"/>
    <w:rsid w:val="60381E7E"/>
    <w:rsid w:val="603B39E3"/>
    <w:rsid w:val="603D123C"/>
    <w:rsid w:val="60405096"/>
    <w:rsid w:val="60430916"/>
    <w:rsid w:val="60433F1A"/>
    <w:rsid w:val="604638DA"/>
    <w:rsid w:val="604A0111"/>
    <w:rsid w:val="604B2C00"/>
    <w:rsid w:val="60531BBE"/>
    <w:rsid w:val="60593614"/>
    <w:rsid w:val="605A2653"/>
    <w:rsid w:val="605B16EF"/>
    <w:rsid w:val="606030AA"/>
    <w:rsid w:val="606D70BF"/>
    <w:rsid w:val="606F1089"/>
    <w:rsid w:val="607029FA"/>
    <w:rsid w:val="60743486"/>
    <w:rsid w:val="60820079"/>
    <w:rsid w:val="60866FAA"/>
    <w:rsid w:val="608951D9"/>
    <w:rsid w:val="608A3E83"/>
    <w:rsid w:val="60911AB1"/>
    <w:rsid w:val="60912DAE"/>
    <w:rsid w:val="60914E6D"/>
    <w:rsid w:val="609D4A67"/>
    <w:rsid w:val="609E175F"/>
    <w:rsid w:val="60A31E12"/>
    <w:rsid w:val="60AB53BD"/>
    <w:rsid w:val="60AE1332"/>
    <w:rsid w:val="60B06382"/>
    <w:rsid w:val="60B238E8"/>
    <w:rsid w:val="60B8658C"/>
    <w:rsid w:val="60BF3DBF"/>
    <w:rsid w:val="60C56A58"/>
    <w:rsid w:val="60D05951"/>
    <w:rsid w:val="60E40FCB"/>
    <w:rsid w:val="60E727D0"/>
    <w:rsid w:val="60F431B6"/>
    <w:rsid w:val="60F4333C"/>
    <w:rsid w:val="60F80E08"/>
    <w:rsid w:val="60F80F7E"/>
    <w:rsid w:val="61101393"/>
    <w:rsid w:val="6117277E"/>
    <w:rsid w:val="61181721"/>
    <w:rsid w:val="61337ECE"/>
    <w:rsid w:val="613624C4"/>
    <w:rsid w:val="613B28D7"/>
    <w:rsid w:val="613C2142"/>
    <w:rsid w:val="61411BD9"/>
    <w:rsid w:val="6144456B"/>
    <w:rsid w:val="61520F1C"/>
    <w:rsid w:val="615858BA"/>
    <w:rsid w:val="615C2A71"/>
    <w:rsid w:val="61620211"/>
    <w:rsid w:val="616273AE"/>
    <w:rsid w:val="61647FDF"/>
    <w:rsid w:val="616D3F1F"/>
    <w:rsid w:val="616F7D6C"/>
    <w:rsid w:val="617B185C"/>
    <w:rsid w:val="617F354E"/>
    <w:rsid w:val="6182718B"/>
    <w:rsid w:val="618B6600"/>
    <w:rsid w:val="618F3B50"/>
    <w:rsid w:val="619176D1"/>
    <w:rsid w:val="619B1D96"/>
    <w:rsid w:val="619E3328"/>
    <w:rsid w:val="61A31CD2"/>
    <w:rsid w:val="61A84FD3"/>
    <w:rsid w:val="61AD6547"/>
    <w:rsid w:val="61B629E5"/>
    <w:rsid w:val="61BA64FF"/>
    <w:rsid w:val="61BE455F"/>
    <w:rsid w:val="61C16E98"/>
    <w:rsid w:val="61D67110"/>
    <w:rsid w:val="61D758C9"/>
    <w:rsid w:val="61E044C2"/>
    <w:rsid w:val="61E54BC6"/>
    <w:rsid w:val="61E61E86"/>
    <w:rsid w:val="61F14599"/>
    <w:rsid w:val="61FA0D76"/>
    <w:rsid w:val="61FD12D7"/>
    <w:rsid w:val="6202633D"/>
    <w:rsid w:val="62067684"/>
    <w:rsid w:val="62072558"/>
    <w:rsid w:val="620956CC"/>
    <w:rsid w:val="620B0F65"/>
    <w:rsid w:val="620D48D5"/>
    <w:rsid w:val="62125C14"/>
    <w:rsid w:val="621C6FEF"/>
    <w:rsid w:val="622802D4"/>
    <w:rsid w:val="622C60B8"/>
    <w:rsid w:val="622F0784"/>
    <w:rsid w:val="62365A7B"/>
    <w:rsid w:val="62421627"/>
    <w:rsid w:val="62434609"/>
    <w:rsid w:val="624779E5"/>
    <w:rsid w:val="62487455"/>
    <w:rsid w:val="624A7EEB"/>
    <w:rsid w:val="625A4EAE"/>
    <w:rsid w:val="62632E08"/>
    <w:rsid w:val="62713CF9"/>
    <w:rsid w:val="6271733B"/>
    <w:rsid w:val="627358D5"/>
    <w:rsid w:val="6276629E"/>
    <w:rsid w:val="627F535F"/>
    <w:rsid w:val="6287237F"/>
    <w:rsid w:val="628841ED"/>
    <w:rsid w:val="62894017"/>
    <w:rsid w:val="628D497B"/>
    <w:rsid w:val="62915BF9"/>
    <w:rsid w:val="62935911"/>
    <w:rsid w:val="629B2D2F"/>
    <w:rsid w:val="629F4FFC"/>
    <w:rsid w:val="62AE35A5"/>
    <w:rsid w:val="62AF758F"/>
    <w:rsid w:val="62B74707"/>
    <w:rsid w:val="62C4751A"/>
    <w:rsid w:val="62C50258"/>
    <w:rsid w:val="62C70051"/>
    <w:rsid w:val="62CC1A55"/>
    <w:rsid w:val="62D033D7"/>
    <w:rsid w:val="62D24E91"/>
    <w:rsid w:val="62D56E87"/>
    <w:rsid w:val="62D64631"/>
    <w:rsid w:val="62DB42A1"/>
    <w:rsid w:val="62DC7633"/>
    <w:rsid w:val="62E4189E"/>
    <w:rsid w:val="62EA14E5"/>
    <w:rsid w:val="62F35A7A"/>
    <w:rsid w:val="62F615EE"/>
    <w:rsid w:val="6300533B"/>
    <w:rsid w:val="63005D3D"/>
    <w:rsid w:val="630F3E93"/>
    <w:rsid w:val="6310276C"/>
    <w:rsid w:val="631779FB"/>
    <w:rsid w:val="63181EE7"/>
    <w:rsid w:val="631D0BDB"/>
    <w:rsid w:val="632150B7"/>
    <w:rsid w:val="63282367"/>
    <w:rsid w:val="63292FE2"/>
    <w:rsid w:val="633640E0"/>
    <w:rsid w:val="634250D9"/>
    <w:rsid w:val="63436FC8"/>
    <w:rsid w:val="63492CB5"/>
    <w:rsid w:val="634B54BD"/>
    <w:rsid w:val="634B676D"/>
    <w:rsid w:val="634F4786"/>
    <w:rsid w:val="635A7DCF"/>
    <w:rsid w:val="63654F5B"/>
    <w:rsid w:val="6365621B"/>
    <w:rsid w:val="63690152"/>
    <w:rsid w:val="636B401B"/>
    <w:rsid w:val="636D5B47"/>
    <w:rsid w:val="637356EA"/>
    <w:rsid w:val="63743354"/>
    <w:rsid w:val="63774C12"/>
    <w:rsid w:val="63790EBC"/>
    <w:rsid w:val="637A1D49"/>
    <w:rsid w:val="637D4470"/>
    <w:rsid w:val="63822E81"/>
    <w:rsid w:val="638A3FB7"/>
    <w:rsid w:val="639B3033"/>
    <w:rsid w:val="63AB6274"/>
    <w:rsid w:val="63AF4E5C"/>
    <w:rsid w:val="63B252AA"/>
    <w:rsid w:val="63B268A4"/>
    <w:rsid w:val="63BF01CA"/>
    <w:rsid w:val="63C11BFC"/>
    <w:rsid w:val="63C26F97"/>
    <w:rsid w:val="63C72DA4"/>
    <w:rsid w:val="63CD52B1"/>
    <w:rsid w:val="63D346A3"/>
    <w:rsid w:val="63D81139"/>
    <w:rsid w:val="63DA30BD"/>
    <w:rsid w:val="63DE1E1F"/>
    <w:rsid w:val="63DF7591"/>
    <w:rsid w:val="63F47F74"/>
    <w:rsid w:val="640A7E6F"/>
    <w:rsid w:val="640D5592"/>
    <w:rsid w:val="640F111D"/>
    <w:rsid w:val="641070C0"/>
    <w:rsid w:val="6415471B"/>
    <w:rsid w:val="64184A94"/>
    <w:rsid w:val="641A24E2"/>
    <w:rsid w:val="641C62B2"/>
    <w:rsid w:val="641C6342"/>
    <w:rsid w:val="641D5D90"/>
    <w:rsid w:val="64236444"/>
    <w:rsid w:val="642A4A6F"/>
    <w:rsid w:val="642A69E2"/>
    <w:rsid w:val="642E14F0"/>
    <w:rsid w:val="643028DD"/>
    <w:rsid w:val="644106C9"/>
    <w:rsid w:val="64430863"/>
    <w:rsid w:val="64487864"/>
    <w:rsid w:val="6455416E"/>
    <w:rsid w:val="645A2BDF"/>
    <w:rsid w:val="645E43AA"/>
    <w:rsid w:val="64675F8C"/>
    <w:rsid w:val="647E2BEE"/>
    <w:rsid w:val="64821DEA"/>
    <w:rsid w:val="6484560E"/>
    <w:rsid w:val="648834FC"/>
    <w:rsid w:val="64933326"/>
    <w:rsid w:val="649A0BB7"/>
    <w:rsid w:val="649D3EDA"/>
    <w:rsid w:val="649E604B"/>
    <w:rsid w:val="64A20B38"/>
    <w:rsid w:val="64A25691"/>
    <w:rsid w:val="64AB4EC5"/>
    <w:rsid w:val="64B06CAE"/>
    <w:rsid w:val="64B132E4"/>
    <w:rsid w:val="64B47BFE"/>
    <w:rsid w:val="64BF5725"/>
    <w:rsid w:val="64C202A5"/>
    <w:rsid w:val="64C82295"/>
    <w:rsid w:val="64CD091C"/>
    <w:rsid w:val="64D578D7"/>
    <w:rsid w:val="64D72494"/>
    <w:rsid w:val="64D76205"/>
    <w:rsid w:val="64D911C7"/>
    <w:rsid w:val="64D9683E"/>
    <w:rsid w:val="64E2648D"/>
    <w:rsid w:val="64E45FE6"/>
    <w:rsid w:val="64EA01BF"/>
    <w:rsid w:val="64EF2F60"/>
    <w:rsid w:val="64F6737C"/>
    <w:rsid w:val="65040FBB"/>
    <w:rsid w:val="65046A34"/>
    <w:rsid w:val="650A6B91"/>
    <w:rsid w:val="650A7524"/>
    <w:rsid w:val="650C1046"/>
    <w:rsid w:val="650C3283"/>
    <w:rsid w:val="65102E3B"/>
    <w:rsid w:val="65146114"/>
    <w:rsid w:val="651B2C2A"/>
    <w:rsid w:val="652930F2"/>
    <w:rsid w:val="65305B8D"/>
    <w:rsid w:val="653921B1"/>
    <w:rsid w:val="653C59A6"/>
    <w:rsid w:val="653E5583"/>
    <w:rsid w:val="653F64B5"/>
    <w:rsid w:val="65442CBA"/>
    <w:rsid w:val="65513C14"/>
    <w:rsid w:val="65566374"/>
    <w:rsid w:val="65584095"/>
    <w:rsid w:val="656514DA"/>
    <w:rsid w:val="65707C2C"/>
    <w:rsid w:val="65716E00"/>
    <w:rsid w:val="6572029D"/>
    <w:rsid w:val="65741979"/>
    <w:rsid w:val="657F2E63"/>
    <w:rsid w:val="65853AE9"/>
    <w:rsid w:val="658D62E6"/>
    <w:rsid w:val="659805C0"/>
    <w:rsid w:val="659A1697"/>
    <w:rsid w:val="65A5705B"/>
    <w:rsid w:val="65A87423"/>
    <w:rsid w:val="65AA4C86"/>
    <w:rsid w:val="65B363DF"/>
    <w:rsid w:val="65B43AEC"/>
    <w:rsid w:val="65BB400B"/>
    <w:rsid w:val="65CE0C9E"/>
    <w:rsid w:val="65D33E68"/>
    <w:rsid w:val="65D379C4"/>
    <w:rsid w:val="65DB009A"/>
    <w:rsid w:val="65DD32BC"/>
    <w:rsid w:val="65E21CCA"/>
    <w:rsid w:val="65EC32E5"/>
    <w:rsid w:val="65F061C8"/>
    <w:rsid w:val="65F441B3"/>
    <w:rsid w:val="65F65B2A"/>
    <w:rsid w:val="65FD4589"/>
    <w:rsid w:val="65FF7A90"/>
    <w:rsid w:val="66003EE4"/>
    <w:rsid w:val="660600DF"/>
    <w:rsid w:val="66070283"/>
    <w:rsid w:val="660B3E3D"/>
    <w:rsid w:val="660C6E9F"/>
    <w:rsid w:val="66191177"/>
    <w:rsid w:val="6619154B"/>
    <w:rsid w:val="661B3ED8"/>
    <w:rsid w:val="66255BFF"/>
    <w:rsid w:val="662639BA"/>
    <w:rsid w:val="662B77A0"/>
    <w:rsid w:val="662F01E1"/>
    <w:rsid w:val="6630148C"/>
    <w:rsid w:val="663061B2"/>
    <w:rsid w:val="66380F93"/>
    <w:rsid w:val="66447EBD"/>
    <w:rsid w:val="66475647"/>
    <w:rsid w:val="664775F0"/>
    <w:rsid w:val="664B6F71"/>
    <w:rsid w:val="664E23DC"/>
    <w:rsid w:val="664F3D0B"/>
    <w:rsid w:val="6652062B"/>
    <w:rsid w:val="665C1474"/>
    <w:rsid w:val="66615364"/>
    <w:rsid w:val="66731E80"/>
    <w:rsid w:val="667810A9"/>
    <w:rsid w:val="66831332"/>
    <w:rsid w:val="66860FFF"/>
    <w:rsid w:val="668F2D4B"/>
    <w:rsid w:val="6697363C"/>
    <w:rsid w:val="66AD64D9"/>
    <w:rsid w:val="66BE5742"/>
    <w:rsid w:val="66D13795"/>
    <w:rsid w:val="66D734E4"/>
    <w:rsid w:val="66D7487B"/>
    <w:rsid w:val="66E5153A"/>
    <w:rsid w:val="66E71872"/>
    <w:rsid w:val="66E8749F"/>
    <w:rsid w:val="66EC3434"/>
    <w:rsid w:val="66F2311B"/>
    <w:rsid w:val="66F66888"/>
    <w:rsid w:val="66F727EF"/>
    <w:rsid w:val="66F77E3C"/>
    <w:rsid w:val="66F8124E"/>
    <w:rsid w:val="66FD3534"/>
    <w:rsid w:val="66FE3167"/>
    <w:rsid w:val="66FE6CC3"/>
    <w:rsid w:val="66FF280D"/>
    <w:rsid w:val="66FF5A8F"/>
    <w:rsid w:val="67006EDF"/>
    <w:rsid w:val="67094206"/>
    <w:rsid w:val="670D6659"/>
    <w:rsid w:val="671A2E3A"/>
    <w:rsid w:val="671B753A"/>
    <w:rsid w:val="672226B7"/>
    <w:rsid w:val="6724186C"/>
    <w:rsid w:val="67267330"/>
    <w:rsid w:val="672D4731"/>
    <w:rsid w:val="673858C6"/>
    <w:rsid w:val="67392EF7"/>
    <w:rsid w:val="674C7A41"/>
    <w:rsid w:val="674E7649"/>
    <w:rsid w:val="6755619C"/>
    <w:rsid w:val="67582877"/>
    <w:rsid w:val="675B102C"/>
    <w:rsid w:val="675B7579"/>
    <w:rsid w:val="675D55A7"/>
    <w:rsid w:val="675F2192"/>
    <w:rsid w:val="676845C8"/>
    <w:rsid w:val="676B1118"/>
    <w:rsid w:val="676B22CD"/>
    <w:rsid w:val="67746652"/>
    <w:rsid w:val="677B3668"/>
    <w:rsid w:val="677C15A0"/>
    <w:rsid w:val="677F65D8"/>
    <w:rsid w:val="67802EFA"/>
    <w:rsid w:val="678802ED"/>
    <w:rsid w:val="67961046"/>
    <w:rsid w:val="67980139"/>
    <w:rsid w:val="679876DF"/>
    <w:rsid w:val="679B2F2F"/>
    <w:rsid w:val="67A23989"/>
    <w:rsid w:val="67A74E48"/>
    <w:rsid w:val="67B6134C"/>
    <w:rsid w:val="67B877CA"/>
    <w:rsid w:val="67BD0854"/>
    <w:rsid w:val="67CA36CD"/>
    <w:rsid w:val="67CB5AE3"/>
    <w:rsid w:val="67CB7E43"/>
    <w:rsid w:val="67D01EEE"/>
    <w:rsid w:val="67D05F56"/>
    <w:rsid w:val="67D11F53"/>
    <w:rsid w:val="67DF56A4"/>
    <w:rsid w:val="67E01BA5"/>
    <w:rsid w:val="67E03808"/>
    <w:rsid w:val="67E97759"/>
    <w:rsid w:val="67EB0B9E"/>
    <w:rsid w:val="67FA3EA4"/>
    <w:rsid w:val="68006EC8"/>
    <w:rsid w:val="68094711"/>
    <w:rsid w:val="681346F9"/>
    <w:rsid w:val="68160DEC"/>
    <w:rsid w:val="68190258"/>
    <w:rsid w:val="681A5D7E"/>
    <w:rsid w:val="68266375"/>
    <w:rsid w:val="68295146"/>
    <w:rsid w:val="682B0D20"/>
    <w:rsid w:val="68330BEE"/>
    <w:rsid w:val="6836153B"/>
    <w:rsid w:val="683A21CA"/>
    <w:rsid w:val="683D3744"/>
    <w:rsid w:val="683E1810"/>
    <w:rsid w:val="683E47B8"/>
    <w:rsid w:val="683F7AD2"/>
    <w:rsid w:val="68420858"/>
    <w:rsid w:val="684303F4"/>
    <w:rsid w:val="684B55E1"/>
    <w:rsid w:val="6850056F"/>
    <w:rsid w:val="685112E9"/>
    <w:rsid w:val="68514113"/>
    <w:rsid w:val="685A5826"/>
    <w:rsid w:val="685F0A3E"/>
    <w:rsid w:val="68607763"/>
    <w:rsid w:val="686C4C12"/>
    <w:rsid w:val="686F092D"/>
    <w:rsid w:val="6874626F"/>
    <w:rsid w:val="68763507"/>
    <w:rsid w:val="68794E8B"/>
    <w:rsid w:val="687B1AA8"/>
    <w:rsid w:val="687F00C0"/>
    <w:rsid w:val="6890596A"/>
    <w:rsid w:val="68941AA2"/>
    <w:rsid w:val="689533A1"/>
    <w:rsid w:val="6895507A"/>
    <w:rsid w:val="68965998"/>
    <w:rsid w:val="689D2BEF"/>
    <w:rsid w:val="689D5338"/>
    <w:rsid w:val="689F675E"/>
    <w:rsid w:val="68A20A77"/>
    <w:rsid w:val="68CD0A14"/>
    <w:rsid w:val="68D3413B"/>
    <w:rsid w:val="68D75378"/>
    <w:rsid w:val="68EA3C2B"/>
    <w:rsid w:val="68FD6E33"/>
    <w:rsid w:val="6903697B"/>
    <w:rsid w:val="691B586A"/>
    <w:rsid w:val="691E41B2"/>
    <w:rsid w:val="692B6129"/>
    <w:rsid w:val="692F6AA9"/>
    <w:rsid w:val="69332C99"/>
    <w:rsid w:val="6933534A"/>
    <w:rsid w:val="69341180"/>
    <w:rsid w:val="6934737D"/>
    <w:rsid w:val="693518FB"/>
    <w:rsid w:val="693C7BB9"/>
    <w:rsid w:val="693F7551"/>
    <w:rsid w:val="69465531"/>
    <w:rsid w:val="6947220C"/>
    <w:rsid w:val="69560380"/>
    <w:rsid w:val="695738BD"/>
    <w:rsid w:val="695D7D9C"/>
    <w:rsid w:val="697E134C"/>
    <w:rsid w:val="69A52143"/>
    <w:rsid w:val="69B4541D"/>
    <w:rsid w:val="69BA0787"/>
    <w:rsid w:val="69C4397C"/>
    <w:rsid w:val="69CB3757"/>
    <w:rsid w:val="69CF221A"/>
    <w:rsid w:val="69CF257E"/>
    <w:rsid w:val="69D71C14"/>
    <w:rsid w:val="69D80B9B"/>
    <w:rsid w:val="69D96B71"/>
    <w:rsid w:val="69E11ACF"/>
    <w:rsid w:val="69E7283E"/>
    <w:rsid w:val="69E74168"/>
    <w:rsid w:val="69E90419"/>
    <w:rsid w:val="69ED4E05"/>
    <w:rsid w:val="69FD3A97"/>
    <w:rsid w:val="6A034FCE"/>
    <w:rsid w:val="6A061B64"/>
    <w:rsid w:val="6A07144C"/>
    <w:rsid w:val="6A0C65D5"/>
    <w:rsid w:val="6A0E7AE3"/>
    <w:rsid w:val="6A171A02"/>
    <w:rsid w:val="6A1908E3"/>
    <w:rsid w:val="6A1D1985"/>
    <w:rsid w:val="6A1E0C4C"/>
    <w:rsid w:val="6A2076C3"/>
    <w:rsid w:val="6A240F66"/>
    <w:rsid w:val="6A2D1C4E"/>
    <w:rsid w:val="6A3047AA"/>
    <w:rsid w:val="6A3550F2"/>
    <w:rsid w:val="6A381952"/>
    <w:rsid w:val="6A420882"/>
    <w:rsid w:val="6A436049"/>
    <w:rsid w:val="6A4A6A21"/>
    <w:rsid w:val="6A4E7B99"/>
    <w:rsid w:val="6A525926"/>
    <w:rsid w:val="6A5273D1"/>
    <w:rsid w:val="6A543885"/>
    <w:rsid w:val="6A57091D"/>
    <w:rsid w:val="6A6257BB"/>
    <w:rsid w:val="6A6910C1"/>
    <w:rsid w:val="6A7171D7"/>
    <w:rsid w:val="6A750AE2"/>
    <w:rsid w:val="6A782BBF"/>
    <w:rsid w:val="6A7A48B2"/>
    <w:rsid w:val="6A7A6FA8"/>
    <w:rsid w:val="6A7F7B34"/>
    <w:rsid w:val="6A803564"/>
    <w:rsid w:val="6A88614A"/>
    <w:rsid w:val="6A8A5C7F"/>
    <w:rsid w:val="6A8D7B0B"/>
    <w:rsid w:val="6A8F16D0"/>
    <w:rsid w:val="6A903F85"/>
    <w:rsid w:val="6A9D776B"/>
    <w:rsid w:val="6A9F22CE"/>
    <w:rsid w:val="6AA87672"/>
    <w:rsid w:val="6AAD3DCE"/>
    <w:rsid w:val="6AB440A0"/>
    <w:rsid w:val="6ABC585C"/>
    <w:rsid w:val="6ABD0EED"/>
    <w:rsid w:val="6AC133C0"/>
    <w:rsid w:val="6AC974D8"/>
    <w:rsid w:val="6ACF3D34"/>
    <w:rsid w:val="6AD77D3B"/>
    <w:rsid w:val="6AD85FE7"/>
    <w:rsid w:val="6AD87AE0"/>
    <w:rsid w:val="6AD93742"/>
    <w:rsid w:val="6AE875B9"/>
    <w:rsid w:val="6AEB7E41"/>
    <w:rsid w:val="6AED195F"/>
    <w:rsid w:val="6AEE0ED6"/>
    <w:rsid w:val="6AEE38D8"/>
    <w:rsid w:val="6AF200A6"/>
    <w:rsid w:val="6AF512F4"/>
    <w:rsid w:val="6AF9600E"/>
    <w:rsid w:val="6AFB68EC"/>
    <w:rsid w:val="6AFD51CF"/>
    <w:rsid w:val="6AFD5828"/>
    <w:rsid w:val="6B0C4EA8"/>
    <w:rsid w:val="6B1A4248"/>
    <w:rsid w:val="6B1C06F6"/>
    <w:rsid w:val="6B1E7C2F"/>
    <w:rsid w:val="6B2769C2"/>
    <w:rsid w:val="6B2F380D"/>
    <w:rsid w:val="6B370BDA"/>
    <w:rsid w:val="6B451619"/>
    <w:rsid w:val="6B4F2441"/>
    <w:rsid w:val="6B5837AB"/>
    <w:rsid w:val="6B6429DD"/>
    <w:rsid w:val="6B661536"/>
    <w:rsid w:val="6B673E74"/>
    <w:rsid w:val="6B6C6E76"/>
    <w:rsid w:val="6B743A82"/>
    <w:rsid w:val="6B7F1B93"/>
    <w:rsid w:val="6B8D46FD"/>
    <w:rsid w:val="6B8E7A00"/>
    <w:rsid w:val="6B926010"/>
    <w:rsid w:val="6B931943"/>
    <w:rsid w:val="6B970D25"/>
    <w:rsid w:val="6B9C6539"/>
    <w:rsid w:val="6B9F6E02"/>
    <w:rsid w:val="6BA31BB1"/>
    <w:rsid w:val="6BA5131C"/>
    <w:rsid w:val="6BAA7061"/>
    <w:rsid w:val="6BBA1542"/>
    <w:rsid w:val="6BBD6A19"/>
    <w:rsid w:val="6BD565AB"/>
    <w:rsid w:val="6BE52720"/>
    <w:rsid w:val="6BF7464D"/>
    <w:rsid w:val="6BF94813"/>
    <w:rsid w:val="6C2A1CFD"/>
    <w:rsid w:val="6C3111D6"/>
    <w:rsid w:val="6C312507"/>
    <w:rsid w:val="6C3702A4"/>
    <w:rsid w:val="6C394FC3"/>
    <w:rsid w:val="6C3D0992"/>
    <w:rsid w:val="6C441988"/>
    <w:rsid w:val="6C467A32"/>
    <w:rsid w:val="6C481D33"/>
    <w:rsid w:val="6C492842"/>
    <w:rsid w:val="6C4A6009"/>
    <w:rsid w:val="6C4F21FC"/>
    <w:rsid w:val="6C570557"/>
    <w:rsid w:val="6C735652"/>
    <w:rsid w:val="6C7F5660"/>
    <w:rsid w:val="6C851344"/>
    <w:rsid w:val="6C857B97"/>
    <w:rsid w:val="6C891D4F"/>
    <w:rsid w:val="6C8A2C02"/>
    <w:rsid w:val="6C976618"/>
    <w:rsid w:val="6CA21B6A"/>
    <w:rsid w:val="6CAF490C"/>
    <w:rsid w:val="6CBD2908"/>
    <w:rsid w:val="6CC9331B"/>
    <w:rsid w:val="6CD401EC"/>
    <w:rsid w:val="6CE9267E"/>
    <w:rsid w:val="6CED230E"/>
    <w:rsid w:val="6CED2B28"/>
    <w:rsid w:val="6CF03AEE"/>
    <w:rsid w:val="6CF91D8C"/>
    <w:rsid w:val="6CFA6C68"/>
    <w:rsid w:val="6D051620"/>
    <w:rsid w:val="6D0737CE"/>
    <w:rsid w:val="6D075075"/>
    <w:rsid w:val="6D08270F"/>
    <w:rsid w:val="6D0A2952"/>
    <w:rsid w:val="6D0D7C60"/>
    <w:rsid w:val="6D161263"/>
    <w:rsid w:val="6D1652A1"/>
    <w:rsid w:val="6D1A0DA5"/>
    <w:rsid w:val="6D25364D"/>
    <w:rsid w:val="6D2A4F0D"/>
    <w:rsid w:val="6D2C31D6"/>
    <w:rsid w:val="6D330529"/>
    <w:rsid w:val="6D3C511D"/>
    <w:rsid w:val="6D3F766C"/>
    <w:rsid w:val="6D5652DD"/>
    <w:rsid w:val="6D5768B7"/>
    <w:rsid w:val="6D5A3393"/>
    <w:rsid w:val="6D683D05"/>
    <w:rsid w:val="6D6A113B"/>
    <w:rsid w:val="6D6A2C2F"/>
    <w:rsid w:val="6D6B5B7D"/>
    <w:rsid w:val="6D7C77B7"/>
    <w:rsid w:val="6D7E02BC"/>
    <w:rsid w:val="6D897165"/>
    <w:rsid w:val="6D8E4518"/>
    <w:rsid w:val="6D951ED6"/>
    <w:rsid w:val="6D9B1CAE"/>
    <w:rsid w:val="6DA27507"/>
    <w:rsid w:val="6DB207D0"/>
    <w:rsid w:val="6DBC5712"/>
    <w:rsid w:val="6DBE64B8"/>
    <w:rsid w:val="6DCC6136"/>
    <w:rsid w:val="6DD8502D"/>
    <w:rsid w:val="6DDC381E"/>
    <w:rsid w:val="6DDE33AA"/>
    <w:rsid w:val="6DE005A7"/>
    <w:rsid w:val="6DE24784"/>
    <w:rsid w:val="6DE32556"/>
    <w:rsid w:val="6DE42232"/>
    <w:rsid w:val="6DE9770C"/>
    <w:rsid w:val="6E0018F5"/>
    <w:rsid w:val="6E106059"/>
    <w:rsid w:val="6E115DE8"/>
    <w:rsid w:val="6E142D35"/>
    <w:rsid w:val="6E151D5A"/>
    <w:rsid w:val="6E171279"/>
    <w:rsid w:val="6E1F4036"/>
    <w:rsid w:val="6E2128BE"/>
    <w:rsid w:val="6E246E46"/>
    <w:rsid w:val="6E297B9D"/>
    <w:rsid w:val="6E2F1C57"/>
    <w:rsid w:val="6E3418C4"/>
    <w:rsid w:val="6E396833"/>
    <w:rsid w:val="6E533829"/>
    <w:rsid w:val="6E5D013A"/>
    <w:rsid w:val="6E605C81"/>
    <w:rsid w:val="6E614566"/>
    <w:rsid w:val="6E705D7D"/>
    <w:rsid w:val="6E712C93"/>
    <w:rsid w:val="6E7B658E"/>
    <w:rsid w:val="6E855289"/>
    <w:rsid w:val="6E8E2CF2"/>
    <w:rsid w:val="6E94767F"/>
    <w:rsid w:val="6E991824"/>
    <w:rsid w:val="6E9947B3"/>
    <w:rsid w:val="6E9A5523"/>
    <w:rsid w:val="6E9A775F"/>
    <w:rsid w:val="6E9E3FA6"/>
    <w:rsid w:val="6E9F03D8"/>
    <w:rsid w:val="6EBF45C8"/>
    <w:rsid w:val="6EC06586"/>
    <w:rsid w:val="6EC973ED"/>
    <w:rsid w:val="6ED042F3"/>
    <w:rsid w:val="6EDD18B4"/>
    <w:rsid w:val="6EE3488B"/>
    <w:rsid w:val="6EEA2389"/>
    <w:rsid w:val="6EF1606D"/>
    <w:rsid w:val="6EF71452"/>
    <w:rsid w:val="6EF86CF7"/>
    <w:rsid w:val="6EFB1A58"/>
    <w:rsid w:val="6F036E5D"/>
    <w:rsid w:val="6F050BC0"/>
    <w:rsid w:val="6F097FDF"/>
    <w:rsid w:val="6F0D1CD6"/>
    <w:rsid w:val="6F0F4C4D"/>
    <w:rsid w:val="6F1E7E69"/>
    <w:rsid w:val="6F2868C8"/>
    <w:rsid w:val="6F293789"/>
    <w:rsid w:val="6F2A2D4B"/>
    <w:rsid w:val="6F2B0496"/>
    <w:rsid w:val="6F2C5348"/>
    <w:rsid w:val="6F2F090E"/>
    <w:rsid w:val="6F324291"/>
    <w:rsid w:val="6F5615D5"/>
    <w:rsid w:val="6F58548E"/>
    <w:rsid w:val="6F5942E0"/>
    <w:rsid w:val="6F5F2937"/>
    <w:rsid w:val="6F647E89"/>
    <w:rsid w:val="6F6B7A4C"/>
    <w:rsid w:val="6F6D3BF0"/>
    <w:rsid w:val="6F6E46E3"/>
    <w:rsid w:val="6F856A88"/>
    <w:rsid w:val="6F882B72"/>
    <w:rsid w:val="6F8F4E86"/>
    <w:rsid w:val="6FB63D4C"/>
    <w:rsid w:val="6FB64E3E"/>
    <w:rsid w:val="6FBD0418"/>
    <w:rsid w:val="6FC048BC"/>
    <w:rsid w:val="6FC56779"/>
    <w:rsid w:val="6FC70A73"/>
    <w:rsid w:val="6FCB24DF"/>
    <w:rsid w:val="6FD5651B"/>
    <w:rsid w:val="6FD66065"/>
    <w:rsid w:val="6FD67575"/>
    <w:rsid w:val="6FD7411F"/>
    <w:rsid w:val="6FD90542"/>
    <w:rsid w:val="6FDD4897"/>
    <w:rsid w:val="6FE17402"/>
    <w:rsid w:val="6FEA1419"/>
    <w:rsid w:val="6FEF0689"/>
    <w:rsid w:val="6FFD46A9"/>
    <w:rsid w:val="70041191"/>
    <w:rsid w:val="70055A2E"/>
    <w:rsid w:val="70094861"/>
    <w:rsid w:val="70116EF3"/>
    <w:rsid w:val="701A5543"/>
    <w:rsid w:val="701D5921"/>
    <w:rsid w:val="70271646"/>
    <w:rsid w:val="702A3801"/>
    <w:rsid w:val="70445721"/>
    <w:rsid w:val="70495453"/>
    <w:rsid w:val="70532079"/>
    <w:rsid w:val="705423B6"/>
    <w:rsid w:val="70621DE8"/>
    <w:rsid w:val="70651B61"/>
    <w:rsid w:val="706F76FE"/>
    <w:rsid w:val="707137F1"/>
    <w:rsid w:val="70732A2D"/>
    <w:rsid w:val="70766CF4"/>
    <w:rsid w:val="70803921"/>
    <w:rsid w:val="708061C3"/>
    <w:rsid w:val="70881160"/>
    <w:rsid w:val="708D466D"/>
    <w:rsid w:val="70904285"/>
    <w:rsid w:val="7096018B"/>
    <w:rsid w:val="7098290A"/>
    <w:rsid w:val="70983EB2"/>
    <w:rsid w:val="709D2060"/>
    <w:rsid w:val="70AA0F73"/>
    <w:rsid w:val="70B84826"/>
    <w:rsid w:val="70C25F11"/>
    <w:rsid w:val="70C75C1B"/>
    <w:rsid w:val="70CB4C66"/>
    <w:rsid w:val="70D07E34"/>
    <w:rsid w:val="70D1066A"/>
    <w:rsid w:val="70D14DB1"/>
    <w:rsid w:val="70D272D7"/>
    <w:rsid w:val="70DE2209"/>
    <w:rsid w:val="70E06E29"/>
    <w:rsid w:val="70EA2DB6"/>
    <w:rsid w:val="70EC5AB1"/>
    <w:rsid w:val="70F0560F"/>
    <w:rsid w:val="70F72A90"/>
    <w:rsid w:val="70F93503"/>
    <w:rsid w:val="71073280"/>
    <w:rsid w:val="71092F0B"/>
    <w:rsid w:val="711C3351"/>
    <w:rsid w:val="711F364D"/>
    <w:rsid w:val="71257C6E"/>
    <w:rsid w:val="71276BFD"/>
    <w:rsid w:val="712C665B"/>
    <w:rsid w:val="713E37CA"/>
    <w:rsid w:val="71415607"/>
    <w:rsid w:val="71480353"/>
    <w:rsid w:val="71497D42"/>
    <w:rsid w:val="714E0C12"/>
    <w:rsid w:val="71533507"/>
    <w:rsid w:val="716B53BA"/>
    <w:rsid w:val="716C7460"/>
    <w:rsid w:val="71811901"/>
    <w:rsid w:val="71815A56"/>
    <w:rsid w:val="71827C05"/>
    <w:rsid w:val="718657BA"/>
    <w:rsid w:val="718A2D0C"/>
    <w:rsid w:val="718C51B4"/>
    <w:rsid w:val="71914168"/>
    <w:rsid w:val="71940B11"/>
    <w:rsid w:val="71A0206A"/>
    <w:rsid w:val="71A843FB"/>
    <w:rsid w:val="71AD4DCE"/>
    <w:rsid w:val="71B61B68"/>
    <w:rsid w:val="71BC7B23"/>
    <w:rsid w:val="71BE59CD"/>
    <w:rsid w:val="71C254BD"/>
    <w:rsid w:val="71C52870"/>
    <w:rsid w:val="71C652B0"/>
    <w:rsid w:val="71CA2F8E"/>
    <w:rsid w:val="71CB1C7C"/>
    <w:rsid w:val="71D04246"/>
    <w:rsid w:val="71D747B4"/>
    <w:rsid w:val="71D93505"/>
    <w:rsid w:val="71E70440"/>
    <w:rsid w:val="7201728A"/>
    <w:rsid w:val="720965F3"/>
    <w:rsid w:val="72155B21"/>
    <w:rsid w:val="721D249D"/>
    <w:rsid w:val="72203D1C"/>
    <w:rsid w:val="722B2C07"/>
    <w:rsid w:val="72342D06"/>
    <w:rsid w:val="72362B15"/>
    <w:rsid w:val="72394BFF"/>
    <w:rsid w:val="723A1D4B"/>
    <w:rsid w:val="723B0DCB"/>
    <w:rsid w:val="723B526F"/>
    <w:rsid w:val="723C28FC"/>
    <w:rsid w:val="723F0DBE"/>
    <w:rsid w:val="723F67BB"/>
    <w:rsid w:val="7245554A"/>
    <w:rsid w:val="7249173A"/>
    <w:rsid w:val="724C122A"/>
    <w:rsid w:val="725505D3"/>
    <w:rsid w:val="72556D83"/>
    <w:rsid w:val="725839D3"/>
    <w:rsid w:val="72621A7F"/>
    <w:rsid w:val="726D6CAB"/>
    <w:rsid w:val="72700DF5"/>
    <w:rsid w:val="72705CB2"/>
    <w:rsid w:val="72711126"/>
    <w:rsid w:val="72732F9F"/>
    <w:rsid w:val="7273651B"/>
    <w:rsid w:val="727A7C8D"/>
    <w:rsid w:val="727B1F2D"/>
    <w:rsid w:val="727B319C"/>
    <w:rsid w:val="72811CEE"/>
    <w:rsid w:val="72945A53"/>
    <w:rsid w:val="72A93F87"/>
    <w:rsid w:val="72B047B2"/>
    <w:rsid w:val="72C31B2D"/>
    <w:rsid w:val="72C8493B"/>
    <w:rsid w:val="72CB2CD0"/>
    <w:rsid w:val="72CD144E"/>
    <w:rsid w:val="72D134DE"/>
    <w:rsid w:val="72D231ED"/>
    <w:rsid w:val="72D57966"/>
    <w:rsid w:val="72DD01BE"/>
    <w:rsid w:val="72DD1BDE"/>
    <w:rsid w:val="72E316E7"/>
    <w:rsid w:val="72E44DF3"/>
    <w:rsid w:val="72F73362"/>
    <w:rsid w:val="72FA2A34"/>
    <w:rsid w:val="72FA752B"/>
    <w:rsid w:val="72FD6392"/>
    <w:rsid w:val="72FF6B34"/>
    <w:rsid w:val="731A4C2B"/>
    <w:rsid w:val="73213812"/>
    <w:rsid w:val="732B1540"/>
    <w:rsid w:val="732F34C5"/>
    <w:rsid w:val="733C60FD"/>
    <w:rsid w:val="7348540A"/>
    <w:rsid w:val="73495B32"/>
    <w:rsid w:val="734B54A4"/>
    <w:rsid w:val="735517CA"/>
    <w:rsid w:val="73555EBD"/>
    <w:rsid w:val="735A34D3"/>
    <w:rsid w:val="735A3627"/>
    <w:rsid w:val="7364132F"/>
    <w:rsid w:val="73666F58"/>
    <w:rsid w:val="736953A2"/>
    <w:rsid w:val="737B46E9"/>
    <w:rsid w:val="737F118B"/>
    <w:rsid w:val="73892637"/>
    <w:rsid w:val="738A2778"/>
    <w:rsid w:val="738D49B5"/>
    <w:rsid w:val="738E14FD"/>
    <w:rsid w:val="739A7D73"/>
    <w:rsid w:val="73A6581B"/>
    <w:rsid w:val="73AE1BE5"/>
    <w:rsid w:val="73AF37DA"/>
    <w:rsid w:val="73B344B6"/>
    <w:rsid w:val="73BA2F31"/>
    <w:rsid w:val="73BD1EB7"/>
    <w:rsid w:val="73CB1409"/>
    <w:rsid w:val="73CE790A"/>
    <w:rsid w:val="73D23222"/>
    <w:rsid w:val="73E003D1"/>
    <w:rsid w:val="73E23B6D"/>
    <w:rsid w:val="73FB375D"/>
    <w:rsid w:val="740272D5"/>
    <w:rsid w:val="740B3EAE"/>
    <w:rsid w:val="740C0D95"/>
    <w:rsid w:val="740D0733"/>
    <w:rsid w:val="740E228F"/>
    <w:rsid w:val="740E7F30"/>
    <w:rsid w:val="7416389E"/>
    <w:rsid w:val="741C0D36"/>
    <w:rsid w:val="741C619B"/>
    <w:rsid w:val="74221EBD"/>
    <w:rsid w:val="74295BD7"/>
    <w:rsid w:val="742D6863"/>
    <w:rsid w:val="74347BE6"/>
    <w:rsid w:val="743562A5"/>
    <w:rsid w:val="7437463E"/>
    <w:rsid w:val="744B103D"/>
    <w:rsid w:val="74541440"/>
    <w:rsid w:val="74552352"/>
    <w:rsid w:val="745B0F15"/>
    <w:rsid w:val="74632A5E"/>
    <w:rsid w:val="746E7D68"/>
    <w:rsid w:val="7470586B"/>
    <w:rsid w:val="7478139A"/>
    <w:rsid w:val="748162CE"/>
    <w:rsid w:val="748202F8"/>
    <w:rsid w:val="74834279"/>
    <w:rsid w:val="74877914"/>
    <w:rsid w:val="749642FF"/>
    <w:rsid w:val="749811BB"/>
    <w:rsid w:val="749D23FA"/>
    <w:rsid w:val="74A62F57"/>
    <w:rsid w:val="74BC310B"/>
    <w:rsid w:val="74BC781F"/>
    <w:rsid w:val="74BF4B59"/>
    <w:rsid w:val="74C65346"/>
    <w:rsid w:val="74D0590E"/>
    <w:rsid w:val="74D97635"/>
    <w:rsid w:val="74E97B45"/>
    <w:rsid w:val="74EF2AE7"/>
    <w:rsid w:val="74F016BD"/>
    <w:rsid w:val="75066890"/>
    <w:rsid w:val="750E2891"/>
    <w:rsid w:val="750F1CF5"/>
    <w:rsid w:val="751D2A0A"/>
    <w:rsid w:val="752000AC"/>
    <w:rsid w:val="75220300"/>
    <w:rsid w:val="752539F4"/>
    <w:rsid w:val="752C6330"/>
    <w:rsid w:val="75337796"/>
    <w:rsid w:val="75381CB1"/>
    <w:rsid w:val="75385D85"/>
    <w:rsid w:val="753C6ECE"/>
    <w:rsid w:val="754108DA"/>
    <w:rsid w:val="754461E9"/>
    <w:rsid w:val="75453D02"/>
    <w:rsid w:val="754629E6"/>
    <w:rsid w:val="754A0877"/>
    <w:rsid w:val="75521659"/>
    <w:rsid w:val="75533FDA"/>
    <w:rsid w:val="755706DF"/>
    <w:rsid w:val="75581C24"/>
    <w:rsid w:val="755F3954"/>
    <w:rsid w:val="756B7033"/>
    <w:rsid w:val="756C0ECD"/>
    <w:rsid w:val="757728D2"/>
    <w:rsid w:val="758E2AA6"/>
    <w:rsid w:val="759115EC"/>
    <w:rsid w:val="75913ABF"/>
    <w:rsid w:val="759F3282"/>
    <w:rsid w:val="75A212FA"/>
    <w:rsid w:val="75A46D13"/>
    <w:rsid w:val="75A7723F"/>
    <w:rsid w:val="75AB1E72"/>
    <w:rsid w:val="75B60ECF"/>
    <w:rsid w:val="75B64F3F"/>
    <w:rsid w:val="75B908EE"/>
    <w:rsid w:val="75C31803"/>
    <w:rsid w:val="75C87B64"/>
    <w:rsid w:val="75CA2C48"/>
    <w:rsid w:val="75D106D7"/>
    <w:rsid w:val="75D31A63"/>
    <w:rsid w:val="75D66DBB"/>
    <w:rsid w:val="75D73501"/>
    <w:rsid w:val="75D831F0"/>
    <w:rsid w:val="75E1615B"/>
    <w:rsid w:val="75F2380A"/>
    <w:rsid w:val="760D5CD0"/>
    <w:rsid w:val="761806BD"/>
    <w:rsid w:val="76227E09"/>
    <w:rsid w:val="76276092"/>
    <w:rsid w:val="76295220"/>
    <w:rsid w:val="762A60A0"/>
    <w:rsid w:val="762A6A1E"/>
    <w:rsid w:val="762D0EFC"/>
    <w:rsid w:val="7634605A"/>
    <w:rsid w:val="76436971"/>
    <w:rsid w:val="76492863"/>
    <w:rsid w:val="764D2D48"/>
    <w:rsid w:val="76516E0F"/>
    <w:rsid w:val="7652295A"/>
    <w:rsid w:val="765859FE"/>
    <w:rsid w:val="76591F00"/>
    <w:rsid w:val="765B28D5"/>
    <w:rsid w:val="765C6931"/>
    <w:rsid w:val="76641FF3"/>
    <w:rsid w:val="766C76F7"/>
    <w:rsid w:val="76734F12"/>
    <w:rsid w:val="76760B78"/>
    <w:rsid w:val="767D1A60"/>
    <w:rsid w:val="76834910"/>
    <w:rsid w:val="76854545"/>
    <w:rsid w:val="768F064E"/>
    <w:rsid w:val="769E62A4"/>
    <w:rsid w:val="76A62318"/>
    <w:rsid w:val="76A93032"/>
    <w:rsid w:val="76AD22C2"/>
    <w:rsid w:val="76AF3B36"/>
    <w:rsid w:val="76CA2B96"/>
    <w:rsid w:val="76CC46E8"/>
    <w:rsid w:val="76D654E3"/>
    <w:rsid w:val="76E11B21"/>
    <w:rsid w:val="76F4274E"/>
    <w:rsid w:val="76F468C1"/>
    <w:rsid w:val="76F61765"/>
    <w:rsid w:val="77057AC7"/>
    <w:rsid w:val="77091C1D"/>
    <w:rsid w:val="77176176"/>
    <w:rsid w:val="77184DBB"/>
    <w:rsid w:val="77273EF9"/>
    <w:rsid w:val="772810EA"/>
    <w:rsid w:val="772B7C4A"/>
    <w:rsid w:val="77353F3A"/>
    <w:rsid w:val="77355FF8"/>
    <w:rsid w:val="773B3B6C"/>
    <w:rsid w:val="773E690B"/>
    <w:rsid w:val="77400703"/>
    <w:rsid w:val="7756121A"/>
    <w:rsid w:val="7758133C"/>
    <w:rsid w:val="775B68E4"/>
    <w:rsid w:val="77606A50"/>
    <w:rsid w:val="7763584A"/>
    <w:rsid w:val="776963DA"/>
    <w:rsid w:val="777668F5"/>
    <w:rsid w:val="77797E47"/>
    <w:rsid w:val="777B48D8"/>
    <w:rsid w:val="777B6635"/>
    <w:rsid w:val="777E21DF"/>
    <w:rsid w:val="777F7BCB"/>
    <w:rsid w:val="77815231"/>
    <w:rsid w:val="7785679F"/>
    <w:rsid w:val="778F7D27"/>
    <w:rsid w:val="77A00DF4"/>
    <w:rsid w:val="77A15356"/>
    <w:rsid w:val="77A87F21"/>
    <w:rsid w:val="77AE3264"/>
    <w:rsid w:val="77B04009"/>
    <w:rsid w:val="77B935E5"/>
    <w:rsid w:val="77BC6466"/>
    <w:rsid w:val="77D23813"/>
    <w:rsid w:val="77D45F4A"/>
    <w:rsid w:val="77D77B93"/>
    <w:rsid w:val="77DC1C29"/>
    <w:rsid w:val="77EE0CEA"/>
    <w:rsid w:val="77EF091C"/>
    <w:rsid w:val="77F109E8"/>
    <w:rsid w:val="77F56FD2"/>
    <w:rsid w:val="77FE37C0"/>
    <w:rsid w:val="780E2EA0"/>
    <w:rsid w:val="781A6637"/>
    <w:rsid w:val="78213EEA"/>
    <w:rsid w:val="782A457F"/>
    <w:rsid w:val="78335386"/>
    <w:rsid w:val="783B305E"/>
    <w:rsid w:val="783D7A4E"/>
    <w:rsid w:val="783E55CA"/>
    <w:rsid w:val="784758CF"/>
    <w:rsid w:val="78485FF0"/>
    <w:rsid w:val="784937C3"/>
    <w:rsid w:val="784E3B4B"/>
    <w:rsid w:val="7857163D"/>
    <w:rsid w:val="785A41C8"/>
    <w:rsid w:val="785C7C68"/>
    <w:rsid w:val="7861169D"/>
    <w:rsid w:val="786609D2"/>
    <w:rsid w:val="78671B47"/>
    <w:rsid w:val="78675F34"/>
    <w:rsid w:val="78693FFC"/>
    <w:rsid w:val="786F6AC8"/>
    <w:rsid w:val="787F34C3"/>
    <w:rsid w:val="78811BD8"/>
    <w:rsid w:val="78862191"/>
    <w:rsid w:val="78864B66"/>
    <w:rsid w:val="788823C6"/>
    <w:rsid w:val="78920B5A"/>
    <w:rsid w:val="78954C16"/>
    <w:rsid w:val="7898512E"/>
    <w:rsid w:val="78990247"/>
    <w:rsid w:val="789B6C35"/>
    <w:rsid w:val="78A75ED7"/>
    <w:rsid w:val="78A771BA"/>
    <w:rsid w:val="78AA6DDB"/>
    <w:rsid w:val="78B6638E"/>
    <w:rsid w:val="78C347C2"/>
    <w:rsid w:val="78C410EC"/>
    <w:rsid w:val="78C62E83"/>
    <w:rsid w:val="78CE0448"/>
    <w:rsid w:val="78D05AFB"/>
    <w:rsid w:val="78D5211B"/>
    <w:rsid w:val="78E97A5B"/>
    <w:rsid w:val="78EB019C"/>
    <w:rsid w:val="78EC73CE"/>
    <w:rsid w:val="78FD39FA"/>
    <w:rsid w:val="79050385"/>
    <w:rsid w:val="790B0C35"/>
    <w:rsid w:val="7923512F"/>
    <w:rsid w:val="792B1C50"/>
    <w:rsid w:val="792C0101"/>
    <w:rsid w:val="792D0F75"/>
    <w:rsid w:val="79375CA0"/>
    <w:rsid w:val="79435236"/>
    <w:rsid w:val="79437954"/>
    <w:rsid w:val="79443176"/>
    <w:rsid w:val="79447590"/>
    <w:rsid w:val="794637B7"/>
    <w:rsid w:val="794E6EF5"/>
    <w:rsid w:val="79501B57"/>
    <w:rsid w:val="79595B42"/>
    <w:rsid w:val="795F1843"/>
    <w:rsid w:val="7969495B"/>
    <w:rsid w:val="796C3F60"/>
    <w:rsid w:val="796E0E48"/>
    <w:rsid w:val="796E3111"/>
    <w:rsid w:val="797A140D"/>
    <w:rsid w:val="797B0594"/>
    <w:rsid w:val="797D7D49"/>
    <w:rsid w:val="79846BBF"/>
    <w:rsid w:val="79933E56"/>
    <w:rsid w:val="799D3504"/>
    <w:rsid w:val="799F0BFC"/>
    <w:rsid w:val="79A143D1"/>
    <w:rsid w:val="79A872C0"/>
    <w:rsid w:val="79B00387"/>
    <w:rsid w:val="79B13DC0"/>
    <w:rsid w:val="79B17F93"/>
    <w:rsid w:val="79B60840"/>
    <w:rsid w:val="79BE5D52"/>
    <w:rsid w:val="79C8563A"/>
    <w:rsid w:val="79CB4676"/>
    <w:rsid w:val="79CC73D5"/>
    <w:rsid w:val="79CD74FE"/>
    <w:rsid w:val="79D033A0"/>
    <w:rsid w:val="79D5076B"/>
    <w:rsid w:val="79D55C9B"/>
    <w:rsid w:val="79D87769"/>
    <w:rsid w:val="79DA078F"/>
    <w:rsid w:val="79DA31B8"/>
    <w:rsid w:val="79DE28E7"/>
    <w:rsid w:val="79E370AE"/>
    <w:rsid w:val="79E65A0C"/>
    <w:rsid w:val="79E73862"/>
    <w:rsid w:val="79EB1840"/>
    <w:rsid w:val="79EC0EC1"/>
    <w:rsid w:val="79EF70E4"/>
    <w:rsid w:val="79F24465"/>
    <w:rsid w:val="79F3603F"/>
    <w:rsid w:val="79F85620"/>
    <w:rsid w:val="79FB0B3C"/>
    <w:rsid w:val="7A0467B1"/>
    <w:rsid w:val="7A072E33"/>
    <w:rsid w:val="7A0744D1"/>
    <w:rsid w:val="7A0C60E7"/>
    <w:rsid w:val="7A1258C5"/>
    <w:rsid w:val="7A260A8F"/>
    <w:rsid w:val="7A3C369B"/>
    <w:rsid w:val="7A3F2AE4"/>
    <w:rsid w:val="7A436F7C"/>
    <w:rsid w:val="7A437B15"/>
    <w:rsid w:val="7A467EA8"/>
    <w:rsid w:val="7A5A4E87"/>
    <w:rsid w:val="7A670DC1"/>
    <w:rsid w:val="7A6C57E5"/>
    <w:rsid w:val="7A774DAF"/>
    <w:rsid w:val="7A777060"/>
    <w:rsid w:val="7A7F15E3"/>
    <w:rsid w:val="7A83138F"/>
    <w:rsid w:val="7A940F25"/>
    <w:rsid w:val="7A9462B6"/>
    <w:rsid w:val="7A961A4D"/>
    <w:rsid w:val="7AA92120"/>
    <w:rsid w:val="7AB363D7"/>
    <w:rsid w:val="7AB54D14"/>
    <w:rsid w:val="7AB67D8C"/>
    <w:rsid w:val="7AB77180"/>
    <w:rsid w:val="7AC14589"/>
    <w:rsid w:val="7AC83FC8"/>
    <w:rsid w:val="7ACB43A1"/>
    <w:rsid w:val="7ACE310B"/>
    <w:rsid w:val="7ACE6E75"/>
    <w:rsid w:val="7AD41DBD"/>
    <w:rsid w:val="7AD4571F"/>
    <w:rsid w:val="7AE82445"/>
    <w:rsid w:val="7AF0377F"/>
    <w:rsid w:val="7AFD6738"/>
    <w:rsid w:val="7AFF72F6"/>
    <w:rsid w:val="7B106685"/>
    <w:rsid w:val="7B195822"/>
    <w:rsid w:val="7B1E559E"/>
    <w:rsid w:val="7B3F1555"/>
    <w:rsid w:val="7B4600E8"/>
    <w:rsid w:val="7B507E0D"/>
    <w:rsid w:val="7B5764AF"/>
    <w:rsid w:val="7B660E1E"/>
    <w:rsid w:val="7B6A39F0"/>
    <w:rsid w:val="7B714987"/>
    <w:rsid w:val="7B744F90"/>
    <w:rsid w:val="7B821168"/>
    <w:rsid w:val="7B8E1F50"/>
    <w:rsid w:val="7B903451"/>
    <w:rsid w:val="7B97514F"/>
    <w:rsid w:val="7B99368A"/>
    <w:rsid w:val="7B9E07F1"/>
    <w:rsid w:val="7BA040F1"/>
    <w:rsid w:val="7BA14A1C"/>
    <w:rsid w:val="7BA47084"/>
    <w:rsid w:val="7BA54215"/>
    <w:rsid w:val="7BAA1F2C"/>
    <w:rsid w:val="7BB7779F"/>
    <w:rsid w:val="7BBC11CF"/>
    <w:rsid w:val="7BBE732B"/>
    <w:rsid w:val="7BC10593"/>
    <w:rsid w:val="7BCB0D94"/>
    <w:rsid w:val="7BD12079"/>
    <w:rsid w:val="7BD44407"/>
    <w:rsid w:val="7BD90B06"/>
    <w:rsid w:val="7BE026AA"/>
    <w:rsid w:val="7BE342A3"/>
    <w:rsid w:val="7BE36225"/>
    <w:rsid w:val="7BE839B7"/>
    <w:rsid w:val="7BEB4059"/>
    <w:rsid w:val="7BED4CCC"/>
    <w:rsid w:val="7BEE1668"/>
    <w:rsid w:val="7BF04785"/>
    <w:rsid w:val="7BF214C1"/>
    <w:rsid w:val="7C1809D0"/>
    <w:rsid w:val="7C1B4269"/>
    <w:rsid w:val="7C1D1AC9"/>
    <w:rsid w:val="7C232DD9"/>
    <w:rsid w:val="7C2A55A2"/>
    <w:rsid w:val="7C314D89"/>
    <w:rsid w:val="7C3364BB"/>
    <w:rsid w:val="7C446A13"/>
    <w:rsid w:val="7C4934A5"/>
    <w:rsid w:val="7C4A0658"/>
    <w:rsid w:val="7C4B536B"/>
    <w:rsid w:val="7C547659"/>
    <w:rsid w:val="7C58030D"/>
    <w:rsid w:val="7C664EC1"/>
    <w:rsid w:val="7C78742B"/>
    <w:rsid w:val="7C873497"/>
    <w:rsid w:val="7C8768C5"/>
    <w:rsid w:val="7C8A5C27"/>
    <w:rsid w:val="7C8B5447"/>
    <w:rsid w:val="7C8D2B6B"/>
    <w:rsid w:val="7C932453"/>
    <w:rsid w:val="7C934DE7"/>
    <w:rsid w:val="7C953BE3"/>
    <w:rsid w:val="7C9D54D2"/>
    <w:rsid w:val="7CA2449E"/>
    <w:rsid w:val="7CAD45BC"/>
    <w:rsid w:val="7CB116A9"/>
    <w:rsid w:val="7CB127A0"/>
    <w:rsid w:val="7CB2301F"/>
    <w:rsid w:val="7CBE3A51"/>
    <w:rsid w:val="7CC05BC2"/>
    <w:rsid w:val="7CC87BC1"/>
    <w:rsid w:val="7CD132A4"/>
    <w:rsid w:val="7CD92172"/>
    <w:rsid w:val="7CE0772A"/>
    <w:rsid w:val="7CE25338"/>
    <w:rsid w:val="7CEB1193"/>
    <w:rsid w:val="7CF02985"/>
    <w:rsid w:val="7CF55D16"/>
    <w:rsid w:val="7CF84B94"/>
    <w:rsid w:val="7D030A4F"/>
    <w:rsid w:val="7D056582"/>
    <w:rsid w:val="7D0C5E81"/>
    <w:rsid w:val="7D176B5E"/>
    <w:rsid w:val="7D2C0077"/>
    <w:rsid w:val="7D2C0EC1"/>
    <w:rsid w:val="7D2C20B6"/>
    <w:rsid w:val="7D332EF4"/>
    <w:rsid w:val="7D34140C"/>
    <w:rsid w:val="7D393DF7"/>
    <w:rsid w:val="7D4352DB"/>
    <w:rsid w:val="7D4A45B8"/>
    <w:rsid w:val="7D4B0519"/>
    <w:rsid w:val="7D4D2619"/>
    <w:rsid w:val="7D4F5A86"/>
    <w:rsid w:val="7D5250FF"/>
    <w:rsid w:val="7D5721C5"/>
    <w:rsid w:val="7D5D262F"/>
    <w:rsid w:val="7D6513F2"/>
    <w:rsid w:val="7D745287"/>
    <w:rsid w:val="7D7A4997"/>
    <w:rsid w:val="7D7C34F2"/>
    <w:rsid w:val="7D843283"/>
    <w:rsid w:val="7D8B036D"/>
    <w:rsid w:val="7D8E1A04"/>
    <w:rsid w:val="7D91049C"/>
    <w:rsid w:val="7D925CA6"/>
    <w:rsid w:val="7D9D6767"/>
    <w:rsid w:val="7DA737B9"/>
    <w:rsid w:val="7DA76092"/>
    <w:rsid w:val="7DB62A23"/>
    <w:rsid w:val="7DC40AC5"/>
    <w:rsid w:val="7DC55815"/>
    <w:rsid w:val="7DCA7547"/>
    <w:rsid w:val="7DD10836"/>
    <w:rsid w:val="7DD24A07"/>
    <w:rsid w:val="7DD412D2"/>
    <w:rsid w:val="7DD47685"/>
    <w:rsid w:val="7DD6794C"/>
    <w:rsid w:val="7DDC707F"/>
    <w:rsid w:val="7DE11004"/>
    <w:rsid w:val="7DE2584F"/>
    <w:rsid w:val="7DE37E98"/>
    <w:rsid w:val="7DEB5EEA"/>
    <w:rsid w:val="7DF17F81"/>
    <w:rsid w:val="7DFF788D"/>
    <w:rsid w:val="7E01023E"/>
    <w:rsid w:val="7E0263DA"/>
    <w:rsid w:val="7E061337"/>
    <w:rsid w:val="7E0B0110"/>
    <w:rsid w:val="7E0D5661"/>
    <w:rsid w:val="7E105CE8"/>
    <w:rsid w:val="7E340F89"/>
    <w:rsid w:val="7E4048AC"/>
    <w:rsid w:val="7E48758C"/>
    <w:rsid w:val="7E49178E"/>
    <w:rsid w:val="7E4E42BE"/>
    <w:rsid w:val="7E510BDD"/>
    <w:rsid w:val="7E536C69"/>
    <w:rsid w:val="7E5D449D"/>
    <w:rsid w:val="7E5F3432"/>
    <w:rsid w:val="7E602721"/>
    <w:rsid w:val="7E607448"/>
    <w:rsid w:val="7E623997"/>
    <w:rsid w:val="7E6512BF"/>
    <w:rsid w:val="7E675E9D"/>
    <w:rsid w:val="7E6B0C8A"/>
    <w:rsid w:val="7E7136CC"/>
    <w:rsid w:val="7E740F7D"/>
    <w:rsid w:val="7E744041"/>
    <w:rsid w:val="7E76359A"/>
    <w:rsid w:val="7E763966"/>
    <w:rsid w:val="7E8055E4"/>
    <w:rsid w:val="7E815EE3"/>
    <w:rsid w:val="7E837D82"/>
    <w:rsid w:val="7E852C56"/>
    <w:rsid w:val="7E873097"/>
    <w:rsid w:val="7E8A7EF6"/>
    <w:rsid w:val="7EA56B36"/>
    <w:rsid w:val="7EA65DA5"/>
    <w:rsid w:val="7EAD2F22"/>
    <w:rsid w:val="7EAF255B"/>
    <w:rsid w:val="7EAF7397"/>
    <w:rsid w:val="7EB07BF7"/>
    <w:rsid w:val="7EB67F24"/>
    <w:rsid w:val="7EBB57F9"/>
    <w:rsid w:val="7EC07259"/>
    <w:rsid w:val="7EC60FC9"/>
    <w:rsid w:val="7ED05A80"/>
    <w:rsid w:val="7EDA0B2E"/>
    <w:rsid w:val="7EDB7D56"/>
    <w:rsid w:val="7EDD7534"/>
    <w:rsid w:val="7EE44903"/>
    <w:rsid w:val="7EE5644F"/>
    <w:rsid w:val="7EEE656E"/>
    <w:rsid w:val="7EFA764E"/>
    <w:rsid w:val="7F011DF8"/>
    <w:rsid w:val="7F124A5E"/>
    <w:rsid w:val="7F1F284B"/>
    <w:rsid w:val="7F257AF9"/>
    <w:rsid w:val="7F3215EA"/>
    <w:rsid w:val="7F334275"/>
    <w:rsid w:val="7F375567"/>
    <w:rsid w:val="7F4120DD"/>
    <w:rsid w:val="7F437511"/>
    <w:rsid w:val="7F4412FD"/>
    <w:rsid w:val="7F4A32B5"/>
    <w:rsid w:val="7F4A651E"/>
    <w:rsid w:val="7F4A775E"/>
    <w:rsid w:val="7F512408"/>
    <w:rsid w:val="7F5417F6"/>
    <w:rsid w:val="7F654F93"/>
    <w:rsid w:val="7F700B74"/>
    <w:rsid w:val="7F7109D4"/>
    <w:rsid w:val="7F7A0081"/>
    <w:rsid w:val="7F841B51"/>
    <w:rsid w:val="7F8504DC"/>
    <w:rsid w:val="7F8E33B3"/>
    <w:rsid w:val="7F906DA2"/>
    <w:rsid w:val="7F9361AC"/>
    <w:rsid w:val="7F9531C6"/>
    <w:rsid w:val="7F9B62CF"/>
    <w:rsid w:val="7FA0574E"/>
    <w:rsid w:val="7FA2124B"/>
    <w:rsid w:val="7FAC731C"/>
    <w:rsid w:val="7FBE6720"/>
    <w:rsid w:val="7FC134F1"/>
    <w:rsid w:val="7FC66574"/>
    <w:rsid w:val="7FCA5619"/>
    <w:rsid w:val="7FCF1612"/>
    <w:rsid w:val="7FD52433"/>
    <w:rsid w:val="7FDB3C42"/>
    <w:rsid w:val="7FDF1520"/>
    <w:rsid w:val="7FDF3365"/>
    <w:rsid w:val="7FE06151"/>
    <w:rsid w:val="7FE2771A"/>
    <w:rsid w:val="7FE81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Times New Roman" w:hAnsi="Times New Roman" w:eastAsia="宋体" w:cs="Times New Roman"/>
      <w:sz w:val="21"/>
      <w:szCs w:val="21"/>
      <w:lang w:val="en-US" w:eastAsia="zh-CN" w:bidi="ar-SA"/>
    </w:rPr>
  </w:style>
  <w:style w:type="paragraph" w:styleId="3">
    <w:name w:val="heading 1"/>
    <w:basedOn w:val="1"/>
    <w:next w:val="1"/>
    <w:link w:val="49"/>
    <w:autoRedefine/>
    <w:qFormat/>
    <w:uiPriority w:val="0"/>
    <w:pPr>
      <w:keepNext/>
      <w:keepLines/>
      <w:widowControl w:val="0"/>
      <w:spacing w:before="340" w:after="330" w:line="576" w:lineRule="auto"/>
      <w:outlineLvl w:val="0"/>
    </w:pPr>
    <w:rPr>
      <w:rFonts w:ascii="Calibri" w:hAnsi="Calibri"/>
      <w:b/>
      <w:bCs/>
      <w:kern w:val="44"/>
      <w:sz w:val="44"/>
      <w:szCs w:val="44"/>
    </w:rPr>
  </w:style>
  <w:style w:type="paragraph" w:styleId="4">
    <w:name w:val="heading 2"/>
    <w:basedOn w:val="1"/>
    <w:next w:val="1"/>
    <w:link w:val="50"/>
    <w:qFormat/>
    <w:uiPriority w:val="9"/>
    <w:pPr>
      <w:keepNext/>
      <w:keepLines/>
      <w:widowControl w:val="0"/>
      <w:spacing w:before="260" w:after="260" w:line="412" w:lineRule="auto"/>
      <w:outlineLvl w:val="1"/>
    </w:pPr>
    <w:rPr>
      <w:rFonts w:ascii="Arial" w:hAnsi="Arial" w:eastAsia="黑体"/>
      <w:b/>
      <w:bCs/>
      <w:sz w:val="32"/>
      <w:szCs w:val="32"/>
    </w:rPr>
  </w:style>
  <w:style w:type="paragraph" w:styleId="5">
    <w:name w:val="heading 3"/>
    <w:basedOn w:val="1"/>
    <w:next w:val="1"/>
    <w:link w:val="51"/>
    <w:autoRedefine/>
    <w:qFormat/>
    <w:uiPriority w:val="0"/>
    <w:pPr>
      <w:keepNext/>
      <w:keepLines/>
      <w:widowControl w:val="0"/>
      <w:spacing w:before="380" w:after="380" w:line="412" w:lineRule="auto"/>
      <w:jc w:val="center"/>
      <w:outlineLvl w:val="2"/>
    </w:pPr>
    <w:rPr>
      <w:b/>
      <w:bCs/>
      <w:sz w:val="28"/>
      <w:szCs w:val="32"/>
    </w:rPr>
  </w:style>
  <w:style w:type="paragraph" w:styleId="6">
    <w:name w:val="heading 4"/>
    <w:basedOn w:val="1"/>
    <w:next w:val="7"/>
    <w:link w:val="52"/>
    <w:autoRedefine/>
    <w:qFormat/>
    <w:uiPriority w:val="0"/>
    <w:pPr>
      <w:keepNext/>
      <w:keepLines/>
      <w:numPr>
        <w:ilvl w:val="3"/>
        <w:numId w:val="1"/>
      </w:numPr>
      <w:spacing w:before="120" w:after="120"/>
      <w:outlineLvl w:val="3"/>
    </w:pPr>
    <w:rPr>
      <w:b/>
      <w:bCs/>
      <w:sz w:val="28"/>
      <w:szCs w:val="28"/>
    </w:rPr>
  </w:style>
  <w:style w:type="paragraph" w:styleId="8">
    <w:name w:val="heading 5"/>
    <w:basedOn w:val="1"/>
    <w:next w:val="1"/>
    <w:link w:val="54"/>
    <w:autoRedefine/>
    <w:qFormat/>
    <w:uiPriority w:val="9"/>
    <w:pPr>
      <w:keepNext/>
      <w:keepLines/>
      <w:widowControl w:val="0"/>
      <w:spacing w:line="376" w:lineRule="auto"/>
      <w:ind w:left="964"/>
      <w:jc w:val="both"/>
      <w:outlineLvl w:val="4"/>
    </w:pPr>
    <w:rPr>
      <w:bCs/>
      <w:color w:val="000000"/>
      <w:kern w:val="2"/>
      <w:sz w:val="28"/>
      <w:szCs w:val="28"/>
    </w:rPr>
  </w:style>
  <w:style w:type="paragraph" w:styleId="9">
    <w:name w:val="heading 6"/>
    <w:basedOn w:val="1"/>
    <w:next w:val="1"/>
    <w:link w:val="55"/>
    <w:autoRedefine/>
    <w:qFormat/>
    <w:uiPriority w:val="0"/>
    <w:pPr>
      <w:keepNext/>
      <w:keepLines/>
      <w:widowControl w:val="0"/>
      <w:spacing w:before="240" w:after="64" w:line="320" w:lineRule="auto"/>
      <w:ind w:firstLine="200" w:firstLineChars="200"/>
      <w:jc w:val="both"/>
      <w:outlineLvl w:val="5"/>
    </w:pPr>
    <w:rPr>
      <w:rFonts w:ascii="Cambria" w:hAnsi="Cambria"/>
      <w:b/>
      <w:bCs/>
      <w:color w:val="000000"/>
      <w:kern w:val="2"/>
      <w:sz w:val="24"/>
      <w:szCs w:val="24"/>
    </w:rPr>
  </w:style>
  <w:style w:type="paragraph" w:styleId="10">
    <w:name w:val="heading 7"/>
    <w:basedOn w:val="1"/>
    <w:next w:val="1"/>
    <w:link w:val="56"/>
    <w:autoRedefine/>
    <w:qFormat/>
    <w:uiPriority w:val="0"/>
    <w:pPr>
      <w:keepNext/>
      <w:keepLines/>
      <w:widowControl w:val="0"/>
      <w:spacing w:before="240" w:after="64" w:line="320" w:lineRule="auto"/>
      <w:ind w:firstLine="200" w:firstLineChars="200"/>
      <w:jc w:val="both"/>
      <w:outlineLvl w:val="6"/>
    </w:pPr>
    <w:rPr>
      <w:b/>
      <w:bCs/>
      <w:color w:val="000000"/>
      <w:kern w:val="2"/>
      <w:sz w:val="24"/>
      <w:szCs w:val="24"/>
    </w:rPr>
  </w:style>
  <w:style w:type="paragraph" w:styleId="11">
    <w:name w:val="heading 8"/>
    <w:basedOn w:val="1"/>
    <w:next w:val="1"/>
    <w:link w:val="57"/>
    <w:autoRedefine/>
    <w:qFormat/>
    <w:uiPriority w:val="0"/>
    <w:pPr>
      <w:keepNext/>
      <w:keepLines/>
      <w:widowControl w:val="0"/>
      <w:spacing w:before="240" w:after="64" w:line="320" w:lineRule="auto"/>
      <w:ind w:firstLine="200" w:firstLineChars="200"/>
      <w:jc w:val="both"/>
      <w:outlineLvl w:val="7"/>
    </w:pPr>
    <w:rPr>
      <w:rFonts w:ascii="Cambria" w:hAnsi="Cambria"/>
      <w:color w:val="000000"/>
      <w:kern w:val="2"/>
      <w:sz w:val="24"/>
      <w:szCs w:val="24"/>
    </w:rPr>
  </w:style>
  <w:style w:type="paragraph" w:styleId="12">
    <w:name w:val="heading 9"/>
    <w:basedOn w:val="1"/>
    <w:next w:val="1"/>
    <w:link w:val="58"/>
    <w:autoRedefine/>
    <w:qFormat/>
    <w:uiPriority w:val="0"/>
    <w:pPr>
      <w:keepNext/>
      <w:keepLines/>
      <w:widowControl w:val="0"/>
      <w:tabs>
        <w:tab w:val="left" w:pos="198"/>
      </w:tabs>
      <w:spacing w:before="240" w:after="64" w:line="320" w:lineRule="auto"/>
      <w:ind w:left="5102" w:hanging="5102"/>
      <w:jc w:val="both"/>
      <w:outlineLvl w:val="8"/>
    </w:pPr>
    <w:rPr>
      <w:rFonts w:ascii="Cambria" w:hAnsi="Cambria"/>
      <w:kern w:val="2"/>
      <w:sz w:val="24"/>
    </w:rPr>
  </w:style>
  <w:style w:type="character" w:default="1" w:styleId="43">
    <w:name w:val="Default Paragraph Font"/>
    <w:autoRedefine/>
    <w:semiHidden/>
    <w:unhideWhenUsed/>
    <w:qFormat/>
    <w:uiPriority w:val="1"/>
  </w:style>
  <w:style w:type="table" w:default="1" w:styleId="41">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next w:val="1"/>
    <w:link w:val="59"/>
    <w:autoRedefine/>
    <w:unhideWhenUsed/>
    <w:qFormat/>
    <w:uiPriority w:val="0"/>
    <w:pPr>
      <w:ind w:firstLine="420" w:firstLineChars="200"/>
    </w:pPr>
  </w:style>
  <w:style w:type="paragraph" w:customStyle="1" w:styleId="7">
    <w:name w:val="@正文"/>
    <w:link w:val="53"/>
    <w:autoRedefine/>
    <w:qFormat/>
    <w:uiPriority w:val="0"/>
    <w:pPr>
      <w:spacing w:line="360" w:lineRule="auto"/>
      <w:ind w:firstLine="200" w:firstLineChars="200"/>
    </w:pPr>
    <w:rPr>
      <w:rFonts w:ascii="Times New Roman" w:hAnsi="Times New Roman" w:eastAsia="宋体" w:cs="Times New Roman"/>
      <w:kern w:val="2"/>
      <w:sz w:val="24"/>
      <w:lang w:val="en-US" w:eastAsia="zh-CN" w:bidi="ar-SA"/>
    </w:rPr>
  </w:style>
  <w:style w:type="paragraph" w:styleId="13">
    <w:name w:val="toc 7"/>
    <w:basedOn w:val="1"/>
    <w:next w:val="1"/>
    <w:autoRedefine/>
    <w:unhideWhenUsed/>
    <w:qFormat/>
    <w:uiPriority w:val="39"/>
    <w:pPr>
      <w:ind w:left="1260"/>
    </w:pPr>
    <w:rPr>
      <w:rFonts w:ascii="Calibri" w:hAnsi="Calibri" w:cs="Calibri"/>
      <w:sz w:val="18"/>
      <w:szCs w:val="18"/>
    </w:rPr>
  </w:style>
  <w:style w:type="paragraph" w:styleId="14">
    <w:name w:val="caption"/>
    <w:basedOn w:val="1"/>
    <w:next w:val="1"/>
    <w:autoRedefine/>
    <w:qFormat/>
    <w:uiPriority w:val="35"/>
    <w:pPr>
      <w:widowControl w:val="0"/>
      <w:spacing w:line="360" w:lineRule="auto"/>
      <w:ind w:firstLine="200" w:firstLineChars="200"/>
      <w:jc w:val="both"/>
    </w:pPr>
    <w:rPr>
      <w:rFonts w:ascii="Cambria" w:hAnsi="Cambria" w:eastAsia="黑体"/>
      <w:color w:val="000000"/>
      <w:kern w:val="2"/>
      <w:sz w:val="20"/>
      <w:szCs w:val="20"/>
    </w:rPr>
  </w:style>
  <w:style w:type="paragraph" w:styleId="15">
    <w:name w:val="Document Map"/>
    <w:basedOn w:val="1"/>
    <w:link w:val="60"/>
    <w:autoRedefine/>
    <w:unhideWhenUsed/>
    <w:qFormat/>
    <w:uiPriority w:val="99"/>
    <w:rPr>
      <w:rFonts w:ascii="宋体"/>
      <w:sz w:val="18"/>
      <w:szCs w:val="18"/>
    </w:rPr>
  </w:style>
  <w:style w:type="paragraph" w:styleId="16">
    <w:name w:val="toa heading"/>
    <w:basedOn w:val="1"/>
    <w:next w:val="1"/>
    <w:autoRedefine/>
    <w:semiHidden/>
    <w:qFormat/>
    <w:uiPriority w:val="0"/>
    <w:pPr>
      <w:widowControl w:val="0"/>
      <w:spacing w:before="120"/>
      <w:jc w:val="both"/>
    </w:pPr>
    <w:rPr>
      <w:rFonts w:ascii="Arial" w:hAnsi="Arial" w:cs="Arial"/>
      <w:kern w:val="2"/>
      <w:sz w:val="24"/>
      <w:szCs w:val="24"/>
    </w:rPr>
  </w:style>
  <w:style w:type="paragraph" w:styleId="17">
    <w:name w:val="annotation text"/>
    <w:basedOn w:val="1"/>
    <w:link w:val="61"/>
    <w:autoRedefine/>
    <w:unhideWhenUsed/>
    <w:qFormat/>
    <w:uiPriority w:val="99"/>
  </w:style>
  <w:style w:type="paragraph" w:styleId="18">
    <w:name w:val="Body Text 3"/>
    <w:basedOn w:val="1"/>
    <w:link w:val="62"/>
    <w:autoRedefine/>
    <w:unhideWhenUsed/>
    <w:qFormat/>
    <w:uiPriority w:val="99"/>
    <w:rPr>
      <w:rFonts w:ascii="宋体" w:hAnsi="Calibri"/>
      <w:sz w:val="24"/>
      <w:szCs w:val="24"/>
    </w:rPr>
  </w:style>
  <w:style w:type="paragraph" w:styleId="19">
    <w:name w:val="Body Text"/>
    <w:basedOn w:val="1"/>
    <w:next w:val="20"/>
    <w:link w:val="63"/>
    <w:autoRedefine/>
    <w:qFormat/>
    <w:uiPriority w:val="99"/>
    <w:pPr>
      <w:spacing w:line="360" w:lineRule="auto"/>
    </w:pPr>
    <w:rPr>
      <w:kern w:val="2"/>
      <w:szCs w:val="24"/>
    </w:rPr>
  </w:style>
  <w:style w:type="paragraph" w:styleId="20">
    <w:name w:val="Subtitle"/>
    <w:basedOn w:val="1"/>
    <w:next w:val="1"/>
    <w:autoRedefine/>
    <w:qFormat/>
    <w:uiPriority w:val="0"/>
    <w:pPr>
      <w:adjustRightInd w:val="0"/>
      <w:spacing w:after="60" w:line="360" w:lineRule="atLeast"/>
      <w:jc w:val="center"/>
      <w:textAlignment w:val="baseline"/>
    </w:pPr>
    <w:rPr>
      <w:rFonts w:eastAsia="黑体"/>
      <w:i/>
      <w:szCs w:val="20"/>
    </w:rPr>
  </w:style>
  <w:style w:type="paragraph" w:styleId="21">
    <w:name w:val="Body Text Indent"/>
    <w:basedOn w:val="1"/>
    <w:next w:val="2"/>
    <w:link w:val="64"/>
    <w:autoRedefine/>
    <w:unhideWhenUsed/>
    <w:qFormat/>
    <w:uiPriority w:val="99"/>
    <w:pPr>
      <w:spacing w:line="460" w:lineRule="exact"/>
      <w:ind w:firstLine="510"/>
    </w:pPr>
    <w:rPr>
      <w:rFonts w:ascii="Calibri" w:hAnsi="Calibri"/>
      <w:sz w:val="20"/>
    </w:rPr>
  </w:style>
  <w:style w:type="paragraph" w:styleId="22">
    <w:name w:val="toc 5"/>
    <w:basedOn w:val="1"/>
    <w:next w:val="1"/>
    <w:autoRedefine/>
    <w:unhideWhenUsed/>
    <w:qFormat/>
    <w:uiPriority w:val="39"/>
    <w:pPr>
      <w:ind w:left="840"/>
    </w:pPr>
    <w:rPr>
      <w:rFonts w:ascii="Calibri" w:hAnsi="Calibri" w:cs="Calibri"/>
      <w:sz w:val="18"/>
      <w:szCs w:val="18"/>
    </w:rPr>
  </w:style>
  <w:style w:type="paragraph" w:styleId="23">
    <w:name w:val="toc 3"/>
    <w:basedOn w:val="1"/>
    <w:next w:val="1"/>
    <w:autoRedefine/>
    <w:unhideWhenUsed/>
    <w:qFormat/>
    <w:uiPriority w:val="39"/>
    <w:pPr>
      <w:ind w:left="420"/>
    </w:pPr>
    <w:rPr>
      <w:rFonts w:ascii="Calibri" w:hAnsi="Calibri" w:cs="Calibri"/>
      <w:i/>
      <w:iCs/>
      <w:sz w:val="20"/>
      <w:szCs w:val="20"/>
    </w:rPr>
  </w:style>
  <w:style w:type="paragraph" w:styleId="24">
    <w:name w:val="Plain Text"/>
    <w:basedOn w:val="1"/>
    <w:autoRedefine/>
    <w:qFormat/>
    <w:uiPriority w:val="0"/>
    <w:rPr>
      <w:rFonts w:ascii="宋体" w:hAnsi="Courier New"/>
      <w:szCs w:val="20"/>
    </w:rPr>
  </w:style>
  <w:style w:type="paragraph" w:styleId="25">
    <w:name w:val="toc 8"/>
    <w:basedOn w:val="1"/>
    <w:next w:val="1"/>
    <w:autoRedefine/>
    <w:unhideWhenUsed/>
    <w:qFormat/>
    <w:uiPriority w:val="39"/>
    <w:pPr>
      <w:ind w:left="1470"/>
    </w:pPr>
    <w:rPr>
      <w:rFonts w:ascii="Calibri" w:hAnsi="Calibri" w:cs="Calibri"/>
      <w:sz w:val="18"/>
      <w:szCs w:val="18"/>
    </w:rPr>
  </w:style>
  <w:style w:type="paragraph" w:styleId="26">
    <w:name w:val="Date"/>
    <w:basedOn w:val="1"/>
    <w:next w:val="1"/>
    <w:link w:val="65"/>
    <w:autoRedefine/>
    <w:unhideWhenUsed/>
    <w:qFormat/>
    <w:uiPriority w:val="99"/>
    <w:pPr>
      <w:widowControl w:val="0"/>
      <w:spacing w:line="360" w:lineRule="auto"/>
      <w:ind w:left="100" w:leftChars="2500" w:firstLine="200" w:firstLineChars="200"/>
      <w:jc w:val="both"/>
    </w:pPr>
    <w:rPr>
      <w:color w:val="000000"/>
      <w:kern w:val="2"/>
      <w:sz w:val="24"/>
      <w:szCs w:val="24"/>
    </w:rPr>
  </w:style>
  <w:style w:type="paragraph" w:styleId="27">
    <w:name w:val="Balloon Text"/>
    <w:basedOn w:val="1"/>
    <w:link w:val="66"/>
    <w:autoRedefine/>
    <w:unhideWhenUsed/>
    <w:qFormat/>
    <w:uiPriority w:val="99"/>
    <w:rPr>
      <w:sz w:val="18"/>
      <w:szCs w:val="18"/>
    </w:rPr>
  </w:style>
  <w:style w:type="paragraph" w:styleId="28">
    <w:name w:val="footer"/>
    <w:basedOn w:val="1"/>
    <w:link w:val="67"/>
    <w:autoRedefine/>
    <w:unhideWhenUsed/>
    <w:qFormat/>
    <w:uiPriority w:val="99"/>
    <w:pPr>
      <w:tabs>
        <w:tab w:val="center" w:pos="4153"/>
        <w:tab w:val="right" w:pos="8306"/>
      </w:tabs>
      <w:snapToGrid w:val="0"/>
    </w:pPr>
    <w:rPr>
      <w:sz w:val="18"/>
      <w:szCs w:val="18"/>
    </w:rPr>
  </w:style>
  <w:style w:type="paragraph" w:styleId="29">
    <w:name w:val="header"/>
    <w:basedOn w:val="1"/>
    <w:link w:val="6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unhideWhenUsed/>
    <w:qFormat/>
    <w:uiPriority w:val="39"/>
    <w:pPr>
      <w:spacing w:before="120" w:after="120"/>
    </w:pPr>
    <w:rPr>
      <w:rFonts w:ascii="Calibri" w:hAnsi="Calibri" w:cs="Calibri"/>
      <w:b/>
      <w:bCs/>
      <w:caps/>
      <w:sz w:val="20"/>
      <w:szCs w:val="20"/>
    </w:rPr>
  </w:style>
  <w:style w:type="paragraph" w:styleId="31">
    <w:name w:val="toc 4"/>
    <w:basedOn w:val="1"/>
    <w:next w:val="1"/>
    <w:autoRedefine/>
    <w:unhideWhenUsed/>
    <w:qFormat/>
    <w:uiPriority w:val="39"/>
    <w:pPr>
      <w:ind w:left="630"/>
    </w:pPr>
    <w:rPr>
      <w:rFonts w:ascii="Calibri" w:hAnsi="Calibri" w:cs="Calibri"/>
      <w:sz w:val="18"/>
      <w:szCs w:val="18"/>
    </w:rPr>
  </w:style>
  <w:style w:type="paragraph" w:styleId="32">
    <w:name w:val="footnote text"/>
    <w:basedOn w:val="1"/>
    <w:autoRedefine/>
    <w:qFormat/>
    <w:uiPriority w:val="0"/>
    <w:pPr>
      <w:adjustRightInd w:val="0"/>
      <w:spacing w:line="312" w:lineRule="atLeast"/>
      <w:textAlignment w:val="baseline"/>
    </w:pPr>
    <w:rPr>
      <w:sz w:val="18"/>
      <w:szCs w:val="20"/>
    </w:rPr>
  </w:style>
  <w:style w:type="paragraph" w:styleId="33">
    <w:name w:val="toc 6"/>
    <w:basedOn w:val="1"/>
    <w:next w:val="1"/>
    <w:autoRedefine/>
    <w:unhideWhenUsed/>
    <w:qFormat/>
    <w:uiPriority w:val="39"/>
    <w:pPr>
      <w:ind w:left="1050"/>
    </w:pPr>
    <w:rPr>
      <w:rFonts w:ascii="Calibri" w:hAnsi="Calibri" w:cs="Calibri"/>
      <w:sz w:val="18"/>
      <w:szCs w:val="18"/>
    </w:rPr>
  </w:style>
  <w:style w:type="paragraph" w:styleId="34">
    <w:name w:val="toc 2"/>
    <w:basedOn w:val="1"/>
    <w:next w:val="1"/>
    <w:autoRedefine/>
    <w:unhideWhenUsed/>
    <w:qFormat/>
    <w:uiPriority w:val="39"/>
    <w:pPr>
      <w:ind w:left="210"/>
    </w:pPr>
    <w:rPr>
      <w:rFonts w:ascii="Calibri" w:hAnsi="Calibri" w:cs="Calibri"/>
      <w:smallCaps/>
      <w:sz w:val="20"/>
      <w:szCs w:val="20"/>
    </w:rPr>
  </w:style>
  <w:style w:type="paragraph" w:styleId="35">
    <w:name w:val="toc 9"/>
    <w:basedOn w:val="1"/>
    <w:next w:val="1"/>
    <w:autoRedefine/>
    <w:unhideWhenUsed/>
    <w:qFormat/>
    <w:uiPriority w:val="39"/>
    <w:pPr>
      <w:ind w:left="1680"/>
    </w:pPr>
    <w:rPr>
      <w:rFonts w:ascii="Calibri" w:hAnsi="Calibri" w:cs="Calibri"/>
      <w:sz w:val="18"/>
      <w:szCs w:val="18"/>
    </w:rPr>
  </w:style>
  <w:style w:type="paragraph" w:styleId="36">
    <w:name w:val="Normal (Web)"/>
    <w:basedOn w:val="1"/>
    <w:autoRedefine/>
    <w:unhideWhenUsed/>
    <w:qFormat/>
    <w:uiPriority w:val="99"/>
    <w:pPr>
      <w:spacing w:before="100" w:beforeAutospacing="1" w:after="100" w:afterAutospacing="1"/>
    </w:pPr>
    <w:rPr>
      <w:sz w:val="24"/>
      <w:szCs w:val="24"/>
    </w:rPr>
  </w:style>
  <w:style w:type="paragraph" w:styleId="37">
    <w:name w:val="index 1"/>
    <w:basedOn w:val="1"/>
    <w:next w:val="1"/>
    <w:autoRedefine/>
    <w:unhideWhenUsed/>
    <w:qFormat/>
    <w:uiPriority w:val="0"/>
    <w:pPr>
      <w:widowControl w:val="0"/>
      <w:spacing w:line="360" w:lineRule="auto"/>
      <w:jc w:val="both"/>
    </w:pPr>
    <w:rPr>
      <w:rFonts w:ascii="Calibri" w:hAnsi="Calibri"/>
      <w:kern w:val="2"/>
      <w:sz w:val="24"/>
      <w:szCs w:val="22"/>
    </w:rPr>
  </w:style>
  <w:style w:type="paragraph" w:styleId="38">
    <w:name w:val="annotation subject"/>
    <w:basedOn w:val="17"/>
    <w:next w:val="17"/>
    <w:link w:val="69"/>
    <w:autoRedefine/>
    <w:unhideWhenUsed/>
    <w:qFormat/>
    <w:uiPriority w:val="99"/>
    <w:rPr>
      <w:b/>
      <w:bCs/>
    </w:rPr>
  </w:style>
  <w:style w:type="paragraph" w:styleId="39">
    <w:name w:val="Body Text First Indent"/>
    <w:basedOn w:val="19"/>
    <w:autoRedefine/>
    <w:qFormat/>
    <w:uiPriority w:val="0"/>
    <w:pPr>
      <w:ind w:firstLine="420" w:firstLineChars="100"/>
    </w:pPr>
    <w:rPr>
      <w:rFonts w:ascii="Calibri" w:hAnsi="Calibri"/>
    </w:rPr>
  </w:style>
  <w:style w:type="paragraph" w:styleId="40">
    <w:name w:val="Body Text First Indent 2"/>
    <w:basedOn w:val="21"/>
    <w:next w:val="1"/>
    <w:autoRedefine/>
    <w:unhideWhenUsed/>
    <w:qFormat/>
    <w:uiPriority w:val="99"/>
    <w:pPr>
      <w:ind w:firstLine="420" w:firstLineChars="200"/>
    </w:pPr>
    <w:rPr>
      <w:sz w:val="24"/>
    </w:rPr>
  </w:style>
  <w:style w:type="table" w:styleId="42">
    <w:name w:val="Table Grid"/>
    <w:basedOn w:val="41"/>
    <w:autoRedefine/>
    <w:unhideWhenUsed/>
    <w:qFormat/>
    <w:uiPriority w:val="3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autoRedefine/>
    <w:qFormat/>
    <w:uiPriority w:val="0"/>
    <w:rPr>
      <w:b/>
    </w:rPr>
  </w:style>
  <w:style w:type="character" w:styleId="45">
    <w:name w:val="FollowedHyperlink"/>
    <w:autoRedefine/>
    <w:unhideWhenUsed/>
    <w:qFormat/>
    <w:uiPriority w:val="99"/>
    <w:rPr>
      <w:color w:val="333333"/>
      <w:u w:val="none"/>
    </w:rPr>
  </w:style>
  <w:style w:type="character" w:styleId="46">
    <w:name w:val="Emphasis"/>
    <w:autoRedefine/>
    <w:qFormat/>
    <w:uiPriority w:val="20"/>
    <w:rPr>
      <w:i/>
    </w:rPr>
  </w:style>
  <w:style w:type="character" w:styleId="47">
    <w:name w:val="Hyperlink"/>
    <w:autoRedefine/>
    <w:unhideWhenUsed/>
    <w:qFormat/>
    <w:uiPriority w:val="99"/>
    <w:rPr>
      <w:color w:val="333333"/>
      <w:u w:val="none"/>
    </w:rPr>
  </w:style>
  <w:style w:type="character" w:styleId="48">
    <w:name w:val="annotation reference"/>
    <w:autoRedefine/>
    <w:qFormat/>
    <w:uiPriority w:val="99"/>
    <w:rPr>
      <w:sz w:val="21"/>
      <w:szCs w:val="21"/>
    </w:rPr>
  </w:style>
  <w:style w:type="character" w:customStyle="1" w:styleId="49">
    <w:name w:val="标题 1 字符"/>
    <w:link w:val="3"/>
    <w:autoRedefine/>
    <w:qFormat/>
    <w:uiPriority w:val="0"/>
    <w:rPr>
      <w:rFonts w:ascii="Calibri" w:hAnsi="Calibri" w:eastAsia="宋体" w:cs="Times New Roman"/>
      <w:b/>
      <w:bCs/>
      <w:kern w:val="44"/>
      <w:sz w:val="44"/>
      <w:szCs w:val="44"/>
    </w:rPr>
  </w:style>
  <w:style w:type="character" w:customStyle="1" w:styleId="50">
    <w:name w:val="标题 2 字符"/>
    <w:link w:val="4"/>
    <w:autoRedefine/>
    <w:qFormat/>
    <w:uiPriority w:val="9"/>
    <w:rPr>
      <w:rFonts w:ascii="Arial" w:hAnsi="Arial" w:eastAsia="黑体" w:cs="Times New Roman"/>
      <w:b/>
      <w:bCs/>
      <w:kern w:val="0"/>
      <w:sz w:val="32"/>
      <w:szCs w:val="32"/>
    </w:rPr>
  </w:style>
  <w:style w:type="character" w:customStyle="1" w:styleId="51">
    <w:name w:val="标题 3 字符"/>
    <w:link w:val="5"/>
    <w:autoRedefine/>
    <w:qFormat/>
    <w:uiPriority w:val="0"/>
    <w:rPr>
      <w:rFonts w:ascii="Times New Roman" w:hAnsi="Times New Roman" w:eastAsia="宋体" w:cs="Times New Roman"/>
      <w:b/>
      <w:bCs/>
      <w:kern w:val="0"/>
      <w:sz w:val="28"/>
      <w:szCs w:val="32"/>
    </w:rPr>
  </w:style>
  <w:style w:type="character" w:customStyle="1" w:styleId="52">
    <w:name w:val="标题 4 字符"/>
    <w:link w:val="6"/>
    <w:autoRedefine/>
    <w:qFormat/>
    <w:uiPriority w:val="0"/>
    <w:rPr>
      <w:b/>
      <w:bCs/>
      <w:sz w:val="28"/>
      <w:szCs w:val="28"/>
    </w:rPr>
  </w:style>
  <w:style w:type="character" w:customStyle="1" w:styleId="53">
    <w:name w:val="@正文 Char"/>
    <w:link w:val="7"/>
    <w:autoRedefine/>
    <w:qFormat/>
    <w:uiPriority w:val="0"/>
    <w:rPr>
      <w:kern w:val="2"/>
      <w:sz w:val="24"/>
      <w:lang w:bidi="ar-SA"/>
    </w:rPr>
  </w:style>
  <w:style w:type="character" w:customStyle="1" w:styleId="54">
    <w:name w:val="标题 5 字符"/>
    <w:link w:val="8"/>
    <w:autoRedefine/>
    <w:qFormat/>
    <w:uiPriority w:val="9"/>
    <w:rPr>
      <w:rFonts w:cs="黑体"/>
      <w:bCs/>
      <w:color w:val="000000"/>
      <w:kern w:val="2"/>
      <w:sz w:val="28"/>
      <w:szCs w:val="28"/>
    </w:rPr>
  </w:style>
  <w:style w:type="character" w:customStyle="1" w:styleId="55">
    <w:name w:val="标题 6 字符"/>
    <w:link w:val="9"/>
    <w:autoRedefine/>
    <w:qFormat/>
    <w:uiPriority w:val="0"/>
    <w:rPr>
      <w:rFonts w:ascii="Cambria" w:hAnsi="Cambria" w:eastAsia="宋体" w:cs="Times New Roman"/>
      <w:b/>
      <w:bCs/>
      <w:color w:val="000000"/>
      <w:kern w:val="2"/>
      <w:sz w:val="24"/>
      <w:szCs w:val="24"/>
    </w:rPr>
  </w:style>
  <w:style w:type="character" w:customStyle="1" w:styleId="56">
    <w:name w:val="标题 7 字符"/>
    <w:link w:val="10"/>
    <w:autoRedefine/>
    <w:qFormat/>
    <w:uiPriority w:val="0"/>
    <w:rPr>
      <w:rFonts w:cs="黑体"/>
      <w:b/>
      <w:bCs/>
      <w:color w:val="000000"/>
      <w:kern w:val="2"/>
      <w:sz w:val="24"/>
      <w:szCs w:val="24"/>
    </w:rPr>
  </w:style>
  <w:style w:type="character" w:customStyle="1" w:styleId="57">
    <w:name w:val="标题 8 字符"/>
    <w:link w:val="11"/>
    <w:autoRedefine/>
    <w:qFormat/>
    <w:uiPriority w:val="0"/>
    <w:rPr>
      <w:rFonts w:ascii="Cambria" w:hAnsi="Cambria" w:eastAsia="宋体" w:cs="Times New Roman"/>
      <w:color w:val="000000"/>
      <w:kern w:val="2"/>
      <w:sz w:val="24"/>
      <w:szCs w:val="24"/>
    </w:rPr>
  </w:style>
  <w:style w:type="character" w:customStyle="1" w:styleId="58">
    <w:name w:val="标题 9 字符"/>
    <w:link w:val="12"/>
    <w:autoRedefine/>
    <w:qFormat/>
    <w:uiPriority w:val="0"/>
    <w:rPr>
      <w:rFonts w:ascii="Cambria" w:hAnsi="Cambria" w:eastAsia="宋体" w:cs="Times New Roman"/>
      <w:kern w:val="2"/>
      <w:sz w:val="24"/>
      <w:szCs w:val="21"/>
    </w:rPr>
  </w:style>
  <w:style w:type="character" w:customStyle="1" w:styleId="59">
    <w:name w:val="正文缩进 字符"/>
    <w:link w:val="2"/>
    <w:autoRedefine/>
    <w:qFormat/>
    <w:locked/>
    <w:uiPriority w:val="0"/>
    <w:rPr>
      <w:sz w:val="21"/>
      <w:szCs w:val="21"/>
    </w:rPr>
  </w:style>
  <w:style w:type="character" w:customStyle="1" w:styleId="60">
    <w:name w:val="文档结构图 字符"/>
    <w:link w:val="15"/>
    <w:autoRedefine/>
    <w:semiHidden/>
    <w:qFormat/>
    <w:uiPriority w:val="99"/>
    <w:rPr>
      <w:rFonts w:ascii="宋体"/>
      <w:sz w:val="18"/>
      <w:szCs w:val="18"/>
    </w:rPr>
  </w:style>
  <w:style w:type="character" w:customStyle="1" w:styleId="61">
    <w:name w:val="批注文字 字符"/>
    <w:link w:val="17"/>
    <w:autoRedefine/>
    <w:qFormat/>
    <w:uiPriority w:val="99"/>
    <w:rPr>
      <w:sz w:val="21"/>
      <w:szCs w:val="21"/>
    </w:rPr>
  </w:style>
  <w:style w:type="character" w:customStyle="1" w:styleId="62">
    <w:name w:val="正文文本 3 字符"/>
    <w:link w:val="18"/>
    <w:autoRedefine/>
    <w:qFormat/>
    <w:uiPriority w:val="99"/>
    <w:rPr>
      <w:rFonts w:ascii="宋体" w:hAnsi="Calibri" w:eastAsia="宋体" w:cs="Times New Roman"/>
      <w:kern w:val="0"/>
      <w:sz w:val="24"/>
      <w:szCs w:val="24"/>
    </w:rPr>
  </w:style>
  <w:style w:type="character" w:customStyle="1" w:styleId="63">
    <w:name w:val="正文文本 字符1"/>
    <w:link w:val="19"/>
    <w:autoRedefine/>
    <w:qFormat/>
    <w:uiPriority w:val="99"/>
    <w:rPr>
      <w:kern w:val="2"/>
      <w:sz w:val="21"/>
      <w:szCs w:val="24"/>
    </w:rPr>
  </w:style>
  <w:style w:type="character" w:customStyle="1" w:styleId="64">
    <w:name w:val="正文文本缩进 字符"/>
    <w:link w:val="21"/>
    <w:autoRedefine/>
    <w:qFormat/>
    <w:uiPriority w:val="99"/>
    <w:rPr>
      <w:rFonts w:ascii="Calibri" w:hAnsi="Calibri" w:eastAsia="宋体" w:cs="Times New Roman"/>
      <w:kern w:val="0"/>
      <w:szCs w:val="21"/>
    </w:rPr>
  </w:style>
  <w:style w:type="character" w:customStyle="1" w:styleId="65">
    <w:name w:val="日期 字符"/>
    <w:link w:val="26"/>
    <w:autoRedefine/>
    <w:semiHidden/>
    <w:qFormat/>
    <w:uiPriority w:val="99"/>
    <w:rPr>
      <w:rFonts w:cs="黑体"/>
      <w:color w:val="000000"/>
      <w:kern w:val="2"/>
      <w:sz w:val="24"/>
      <w:szCs w:val="24"/>
    </w:rPr>
  </w:style>
  <w:style w:type="character" w:customStyle="1" w:styleId="66">
    <w:name w:val="批注框文本 字符"/>
    <w:link w:val="27"/>
    <w:autoRedefine/>
    <w:semiHidden/>
    <w:qFormat/>
    <w:uiPriority w:val="99"/>
    <w:rPr>
      <w:sz w:val="18"/>
      <w:szCs w:val="18"/>
    </w:rPr>
  </w:style>
  <w:style w:type="character" w:customStyle="1" w:styleId="67">
    <w:name w:val="页脚 字符"/>
    <w:link w:val="28"/>
    <w:autoRedefine/>
    <w:qFormat/>
    <w:uiPriority w:val="99"/>
    <w:rPr>
      <w:sz w:val="18"/>
      <w:szCs w:val="18"/>
    </w:rPr>
  </w:style>
  <w:style w:type="character" w:customStyle="1" w:styleId="68">
    <w:name w:val="页眉 字符"/>
    <w:link w:val="29"/>
    <w:autoRedefine/>
    <w:qFormat/>
    <w:uiPriority w:val="99"/>
    <w:rPr>
      <w:sz w:val="18"/>
      <w:szCs w:val="18"/>
    </w:rPr>
  </w:style>
  <w:style w:type="character" w:customStyle="1" w:styleId="69">
    <w:name w:val="批注主题 字符"/>
    <w:link w:val="38"/>
    <w:autoRedefine/>
    <w:qFormat/>
    <w:uiPriority w:val="99"/>
    <w:rPr>
      <w:b/>
      <w:bCs/>
      <w:sz w:val="21"/>
      <w:szCs w:val="21"/>
    </w:rPr>
  </w:style>
  <w:style w:type="paragraph" w:customStyle="1" w:styleId="70">
    <w:name w:val="Default"/>
    <w:next w:val="71"/>
    <w:autoRedefine/>
    <w:qFormat/>
    <w:uiPriority w:val="0"/>
    <w:pPr>
      <w:widowControl w:val="0"/>
      <w:autoSpaceDE w:val="0"/>
      <w:autoSpaceDN w:val="0"/>
      <w:adjustRightInd w:val="0"/>
    </w:pPr>
    <w:rPr>
      <w:rFonts w:ascii="..ì." w:hAnsi="Times New Roman" w:eastAsia="Times New Roman" w:cs="..ì."/>
      <w:color w:val="000000"/>
      <w:sz w:val="24"/>
      <w:szCs w:val="24"/>
      <w:lang w:val="en-US" w:eastAsia="zh-CN" w:bidi="ar-SA"/>
    </w:rPr>
  </w:style>
  <w:style w:type="paragraph" w:customStyle="1" w:styleId="71">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2">
    <w:name w:val="font81"/>
    <w:autoRedefine/>
    <w:qFormat/>
    <w:uiPriority w:val="0"/>
    <w:rPr>
      <w:rFonts w:hint="eastAsia" w:ascii="宋体" w:hAnsi="宋体" w:eastAsia="宋体" w:cs="宋体"/>
      <w:color w:val="993300"/>
      <w:sz w:val="20"/>
      <w:szCs w:val="20"/>
      <w:u w:val="none"/>
    </w:rPr>
  </w:style>
  <w:style w:type="character" w:customStyle="1" w:styleId="73">
    <w:name w:val="段 Char"/>
    <w:link w:val="74"/>
    <w:autoRedefine/>
    <w:qFormat/>
    <w:uiPriority w:val="0"/>
    <w:rPr>
      <w:rFonts w:ascii="宋体"/>
      <w:sz w:val="21"/>
      <w:lang w:val="en-US" w:eastAsia="zh-CN" w:bidi="ar-SA"/>
    </w:rPr>
  </w:style>
  <w:style w:type="paragraph" w:customStyle="1" w:styleId="74">
    <w:name w:val="段"/>
    <w:next w:val="1"/>
    <w:link w:val="7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75">
    <w:name w:val="文档正文 Char"/>
    <w:link w:val="76"/>
    <w:autoRedefine/>
    <w:qFormat/>
    <w:uiPriority w:val="0"/>
    <w:rPr>
      <w:rFonts w:ascii="长城仿宋"/>
      <w:sz w:val="24"/>
    </w:rPr>
  </w:style>
  <w:style w:type="paragraph" w:customStyle="1" w:styleId="76">
    <w:name w:val="文档正文"/>
    <w:basedOn w:val="1"/>
    <w:link w:val="75"/>
    <w:autoRedefine/>
    <w:qFormat/>
    <w:uiPriority w:val="0"/>
    <w:pPr>
      <w:widowControl w:val="0"/>
      <w:adjustRightInd w:val="0"/>
      <w:spacing w:line="480" w:lineRule="atLeast"/>
      <w:ind w:firstLine="567"/>
      <w:jc w:val="both"/>
      <w:textAlignment w:val="baseline"/>
    </w:pPr>
    <w:rPr>
      <w:rFonts w:ascii="长城仿宋"/>
      <w:sz w:val="24"/>
      <w:szCs w:val="20"/>
    </w:rPr>
  </w:style>
  <w:style w:type="character" w:customStyle="1" w:styleId="77">
    <w:name w:val="font71"/>
    <w:basedOn w:val="43"/>
    <w:autoRedefine/>
    <w:qFormat/>
    <w:uiPriority w:val="0"/>
    <w:rPr>
      <w:rFonts w:hint="eastAsia" w:ascii="宋体" w:hAnsi="宋体" w:eastAsia="宋体" w:cs="宋体"/>
      <w:color w:val="000000"/>
      <w:sz w:val="20"/>
      <w:szCs w:val="20"/>
      <w:u w:val="none"/>
    </w:rPr>
  </w:style>
  <w:style w:type="character" w:customStyle="1" w:styleId="78">
    <w:name w:val="*正文 Char"/>
    <w:autoRedefine/>
    <w:qFormat/>
    <w:uiPriority w:val="0"/>
    <w:rPr>
      <w:rFonts w:ascii="Times New Roman" w:hAnsi="Times New Roman" w:eastAsia="宋体" w:cs="Times New Roman"/>
      <w:sz w:val="24"/>
      <w:szCs w:val="24"/>
    </w:rPr>
  </w:style>
  <w:style w:type="character" w:customStyle="1" w:styleId="79">
    <w:name w:val="未处理的提及1"/>
    <w:autoRedefine/>
    <w:unhideWhenUsed/>
    <w:qFormat/>
    <w:uiPriority w:val="99"/>
    <w:rPr>
      <w:color w:val="605E5C"/>
      <w:shd w:val="clear" w:color="auto" w:fill="E1DFDD"/>
    </w:rPr>
  </w:style>
  <w:style w:type="character" w:customStyle="1" w:styleId="80">
    <w:name w:val="font11"/>
    <w:autoRedefine/>
    <w:qFormat/>
    <w:uiPriority w:val="0"/>
    <w:rPr>
      <w:rFonts w:hint="eastAsia" w:ascii="宋体" w:hAnsi="宋体" w:eastAsia="宋体" w:cs="宋体"/>
      <w:color w:val="000000"/>
      <w:sz w:val="20"/>
      <w:szCs w:val="20"/>
      <w:u w:val="none"/>
    </w:rPr>
  </w:style>
  <w:style w:type="character" w:customStyle="1" w:styleId="81">
    <w:name w:val="正文文本 字符"/>
    <w:autoRedefine/>
    <w:semiHidden/>
    <w:qFormat/>
    <w:uiPriority w:val="99"/>
    <w:rPr>
      <w:sz w:val="21"/>
      <w:szCs w:val="21"/>
    </w:rPr>
  </w:style>
  <w:style w:type="character" w:customStyle="1" w:styleId="82">
    <w:name w:val="列表段落 字符"/>
    <w:link w:val="83"/>
    <w:autoRedefine/>
    <w:qFormat/>
    <w:locked/>
    <w:uiPriority w:val="34"/>
    <w:rPr>
      <w:rFonts w:cs="黑体"/>
      <w:color w:val="000000"/>
      <w:kern w:val="2"/>
      <w:sz w:val="24"/>
      <w:szCs w:val="24"/>
    </w:rPr>
  </w:style>
  <w:style w:type="paragraph" w:customStyle="1" w:styleId="83">
    <w:name w:val="列表段落1"/>
    <w:basedOn w:val="1"/>
    <w:link w:val="82"/>
    <w:autoRedefine/>
    <w:qFormat/>
    <w:uiPriority w:val="34"/>
    <w:pPr>
      <w:widowControl w:val="0"/>
      <w:spacing w:line="360" w:lineRule="auto"/>
      <w:ind w:firstLine="200" w:firstLineChars="200"/>
      <w:jc w:val="both"/>
    </w:pPr>
    <w:rPr>
      <w:color w:val="000000"/>
      <w:kern w:val="2"/>
      <w:sz w:val="24"/>
      <w:szCs w:val="24"/>
    </w:rPr>
  </w:style>
  <w:style w:type="character" w:customStyle="1" w:styleId="84">
    <w:name w:val="font61"/>
    <w:autoRedefine/>
    <w:qFormat/>
    <w:uiPriority w:val="0"/>
    <w:rPr>
      <w:rFonts w:hint="eastAsia" w:ascii="宋体" w:hAnsi="宋体" w:eastAsia="宋体" w:cs="宋体"/>
      <w:color w:val="000000"/>
      <w:sz w:val="20"/>
      <w:szCs w:val="20"/>
      <w:u w:val="none"/>
    </w:rPr>
  </w:style>
  <w:style w:type="character" w:customStyle="1" w:styleId="85">
    <w:name w:val="列表段落 字符1"/>
    <w:autoRedefine/>
    <w:qFormat/>
    <w:uiPriority w:val="34"/>
    <w:rPr>
      <w:rFonts w:ascii="Century" w:hAnsi="Century" w:eastAsia="宋体" w:cs="宋体"/>
      <w:sz w:val="21"/>
      <w:lang w:eastAsia="ja-JP"/>
    </w:rPr>
  </w:style>
  <w:style w:type="character" w:customStyle="1" w:styleId="86">
    <w:name w:val="font01"/>
    <w:autoRedefine/>
    <w:qFormat/>
    <w:uiPriority w:val="0"/>
    <w:rPr>
      <w:rFonts w:hint="eastAsia" w:ascii="方正楷体_GBK" w:hAnsi="方正楷体_GBK" w:eastAsia="方正楷体_GBK" w:cs="方正楷体_GBK"/>
      <w:color w:val="000000"/>
      <w:sz w:val="28"/>
      <w:szCs w:val="28"/>
      <w:u w:val="none"/>
    </w:rPr>
  </w:style>
  <w:style w:type="character" w:customStyle="1" w:styleId="87">
    <w:name w:val="*正文 Char Char"/>
    <w:link w:val="88"/>
    <w:autoRedefine/>
    <w:qFormat/>
    <w:uiPriority w:val="0"/>
    <w:rPr>
      <w:rFonts w:ascii="宋体" w:hAnsi="宋体"/>
      <w:sz w:val="24"/>
    </w:rPr>
  </w:style>
  <w:style w:type="paragraph" w:customStyle="1" w:styleId="88">
    <w:name w:val="*正文"/>
    <w:basedOn w:val="1"/>
    <w:link w:val="87"/>
    <w:autoRedefine/>
    <w:qFormat/>
    <w:uiPriority w:val="0"/>
    <w:pPr>
      <w:widowControl w:val="0"/>
      <w:spacing w:line="360" w:lineRule="auto"/>
      <w:ind w:firstLine="960" w:firstLineChars="200"/>
      <w:jc w:val="both"/>
    </w:pPr>
    <w:rPr>
      <w:rFonts w:ascii="宋体" w:hAnsi="宋体"/>
      <w:sz w:val="24"/>
      <w:szCs w:val="20"/>
    </w:rPr>
  </w:style>
  <w:style w:type="character" w:customStyle="1" w:styleId="89">
    <w:name w:val="15"/>
    <w:autoRedefine/>
    <w:qFormat/>
    <w:uiPriority w:val="0"/>
    <w:rPr>
      <w:rFonts w:hint="default" w:ascii="Times New Roman" w:hAnsi="Times New Roman" w:cs="Times New Roman"/>
      <w:b/>
      <w:bCs/>
      <w:kern w:val="44"/>
      <w:sz w:val="44"/>
      <w:szCs w:val="44"/>
    </w:rPr>
  </w:style>
  <w:style w:type="character" w:customStyle="1" w:styleId="90">
    <w:name w:val="10"/>
    <w:autoRedefine/>
    <w:qFormat/>
    <w:uiPriority w:val="0"/>
    <w:rPr>
      <w:rFonts w:hint="default" w:ascii="Times New Roman" w:hAnsi="Times New Roman" w:cs="Times New Roman"/>
    </w:rPr>
  </w:style>
  <w:style w:type="character" w:customStyle="1" w:styleId="91">
    <w:name w:val="未处理的提及2"/>
    <w:autoRedefine/>
    <w:unhideWhenUsed/>
    <w:qFormat/>
    <w:uiPriority w:val="99"/>
    <w:rPr>
      <w:color w:val="605E5C"/>
      <w:shd w:val="clear" w:color="auto" w:fill="E1DFDD"/>
    </w:rPr>
  </w:style>
  <w:style w:type="character" w:customStyle="1" w:styleId="92">
    <w:name w:val="font101"/>
    <w:autoRedefine/>
    <w:qFormat/>
    <w:uiPriority w:val="0"/>
    <w:rPr>
      <w:rFonts w:hint="eastAsia" w:ascii="宋体" w:hAnsi="宋体" w:eastAsia="宋体" w:cs="宋体"/>
      <w:b/>
      <w:bCs/>
      <w:color w:val="000000"/>
      <w:sz w:val="20"/>
      <w:szCs w:val="20"/>
      <w:u w:val="none"/>
    </w:rPr>
  </w:style>
  <w:style w:type="character" w:customStyle="1" w:styleId="93">
    <w:name w:val="font41"/>
    <w:autoRedefine/>
    <w:qFormat/>
    <w:uiPriority w:val="0"/>
    <w:rPr>
      <w:rFonts w:hint="eastAsia" w:ascii="宋体" w:hAnsi="宋体" w:eastAsia="宋体" w:cs="宋体"/>
      <w:color w:val="000000"/>
      <w:sz w:val="20"/>
      <w:szCs w:val="20"/>
      <w:u w:val="none"/>
    </w:rPr>
  </w:style>
  <w:style w:type="character" w:customStyle="1" w:styleId="94">
    <w:name w:val="keyword"/>
    <w:autoRedefine/>
    <w:qFormat/>
    <w:uiPriority w:val="0"/>
  </w:style>
  <w:style w:type="character" w:customStyle="1" w:styleId="95">
    <w:name w:val="16"/>
    <w:autoRedefine/>
    <w:qFormat/>
    <w:uiPriority w:val="0"/>
    <w:rPr>
      <w:rFonts w:hint="default" w:ascii="Times New Roman" w:hAnsi="Times New Roman" w:cs="Times New Roman"/>
      <w:b/>
      <w:bCs/>
      <w:sz w:val="32"/>
      <w:szCs w:val="32"/>
    </w:rPr>
  </w:style>
  <w:style w:type="paragraph" w:customStyle="1" w:styleId="96">
    <w:name w:val="xl225"/>
    <w:basedOn w:val="1"/>
    <w:autoRedefine/>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pPr>
    <w:rPr>
      <w:rFonts w:ascii="宋体" w:hAnsi="宋体" w:cs="宋体"/>
      <w:b/>
      <w:bCs/>
      <w:color w:val="000000"/>
      <w:sz w:val="24"/>
      <w:szCs w:val="24"/>
    </w:rPr>
  </w:style>
  <w:style w:type="paragraph" w:customStyle="1" w:styleId="97">
    <w:name w:val="font21"/>
    <w:basedOn w:val="1"/>
    <w:autoRedefine/>
    <w:qFormat/>
    <w:uiPriority w:val="0"/>
    <w:pPr>
      <w:spacing w:before="100" w:beforeAutospacing="1" w:after="100" w:afterAutospacing="1"/>
    </w:pPr>
    <w:rPr>
      <w:rFonts w:ascii="宋体" w:hAnsi="宋体" w:cs="宋体"/>
      <w:sz w:val="22"/>
      <w:szCs w:val="22"/>
    </w:rPr>
  </w:style>
  <w:style w:type="paragraph" w:customStyle="1" w:styleId="98">
    <w:name w:val="正文1"/>
    <w:basedOn w:val="1"/>
    <w:autoRedefine/>
    <w:qFormat/>
    <w:uiPriority w:val="0"/>
    <w:pPr>
      <w:widowControl w:val="0"/>
      <w:spacing w:line="360" w:lineRule="auto"/>
      <w:jc w:val="both"/>
    </w:pPr>
    <w:rPr>
      <w:rFonts w:ascii="Calibri" w:hAnsi="Calibri"/>
      <w:kern w:val="2"/>
      <w:sz w:val="24"/>
      <w:szCs w:val="22"/>
      <w:lang w:val="sq-AL"/>
    </w:rPr>
  </w:style>
  <w:style w:type="paragraph" w:customStyle="1" w:styleId="99">
    <w:name w:val="xl243"/>
    <w:basedOn w:val="1"/>
    <w:autoRedefine/>
    <w:qFormat/>
    <w:uiPriority w:val="0"/>
    <w:pPr>
      <w:pBdr>
        <w:top w:val="single" w:color="auto" w:sz="4" w:space="0"/>
        <w:left w:val="single" w:color="auto" w:sz="4" w:space="0"/>
        <w:bottom w:val="single" w:color="auto" w:sz="4" w:space="0"/>
        <w:right w:val="single" w:color="auto" w:sz="4" w:space="0"/>
      </w:pBdr>
      <w:shd w:val="clear" w:color="000000" w:fill="9BC2E6"/>
      <w:spacing w:before="100" w:beforeAutospacing="1" w:after="100" w:afterAutospacing="1"/>
      <w:jc w:val="center"/>
    </w:pPr>
    <w:rPr>
      <w:rFonts w:ascii="宋体" w:hAnsi="宋体" w:cs="宋体"/>
      <w:color w:val="000000"/>
      <w:sz w:val="24"/>
      <w:szCs w:val="24"/>
    </w:rPr>
  </w:style>
  <w:style w:type="paragraph" w:customStyle="1" w:styleId="100">
    <w:name w:val="xl20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01">
    <w:name w:val="xl200"/>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4"/>
      <w:szCs w:val="24"/>
    </w:rPr>
  </w:style>
  <w:style w:type="paragraph" w:customStyle="1" w:styleId="102">
    <w:name w:val="修订1"/>
    <w:autoRedefine/>
    <w:semiHidden/>
    <w:qFormat/>
    <w:uiPriority w:val="99"/>
    <w:rPr>
      <w:rFonts w:ascii="Times New Roman" w:hAnsi="Times New Roman" w:eastAsia="宋体" w:cs="黑体"/>
      <w:color w:val="000000"/>
      <w:kern w:val="2"/>
      <w:sz w:val="21"/>
      <w:szCs w:val="24"/>
      <w:lang w:val="en-US" w:eastAsia="zh-CN" w:bidi="ar-SA"/>
    </w:rPr>
  </w:style>
  <w:style w:type="paragraph" w:customStyle="1" w:styleId="103">
    <w:name w:val="xl22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04">
    <w:name w:val="xl204"/>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05">
    <w:name w:val="xl189"/>
    <w:basedOn w:val="1"/>
    <w:autoRedefine/>
    <w:qFormat/>
    <w:uiPriority w:val="0"/>
    <w:pPr>
      <w:pBdr>
        <w:top w:val="single" w:color="auto" w:sz="4" w:space="0"/>
        <w:left w:val="single" w:color="auto" w:sz="4" w:space="0"/>
        <w:bottom w:val="single" w:color="auto" w:sz="4" w:space="0"/>
        <w:right w:val="single" w:color="auto" w:sz="4" w:space="0"/>
      </w:pBdr>
      <w:shd w:val="clear" w:color="000000" w:fill="E2EFD9"/>
      <w:spacing w:before="100" w:beforeAutospacing="1" w:after="100" w:afterAutospacing="1"/>
    </w:pPr>
    <w:rPr>
      <w:rFonts w:ascii="宋体" w:hAnsi="宋体" w:cs="宋体"/>
      <w:b/>
      <w:bCs/>
      <w:color w:val="000000"/>
      <w:sz w:val="24"/>
      <w:szCs w:val="24"/>
    </w:rPr>
  </w:style>
  <w:style w:type="paragraph" w:customStyle="1" w:styleId="106">
    <w:name w:val="font25"/>
    <w:basedOn w:val="1"/>
    <w:autoRedefine/>
    <w:qFormat/>
    <w:uiPriority w:val="0"/>
    <w:pPr>
      <w:spacing w:before="100" w:beforeAutospacing="1" w:after="100" w:afterAutospacing="1"/>
    </w:pPr>
    <w:rPr>
      <w:rFonts w:ascii="宋体" w:hAnsi="宋体" w:cs="宋体"/>
      <w:sz w:val="18"/>
      <w:szCs w:val="18"/>
    </w:rPr>
  </w:style>
  <w:style w:type="paragraph" w:customStyle="1" w:styleId="107">
    <w:name w:val="xl13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108">
    <w:name w:val="xl8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109">
    <w:name w:val="font47"/>
    <w:basedOn w:val="1"/>
    <w:autoRedefine/>
    <w:qFormat/>
    <w:uiPriority w:val="0"/>
    <w:pPr>
      <w:spacing w:before="100" w:beforeAutospacing="1" w:after="100" w:afterAutospacing="1"/>
    </w:pPr>
    <w:rPr>
      <w:rFonts w:ascii="宋体" w:hAnsi="宋体" w:cs="宋体"/>
      <w:color w:val="000000"/>
      <w:sz w:val="20"/>
      <w:szCs w:val="20"/>
    </w:rPr>
  </w:style>
  <w:style w:type="paragraph" w:customStyle="1" w:styleId="110">
    <w:name w:val="xl21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24"/>
      <w:szCs w:val="24"/>
    </w:rPr>
  </w:style>
  <w:style w:type="paragraph" w:customStyle="1" w:styleId="111">
    <w:name w:val="xl162"/>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color w:val="000000"/>
      <w:sz w:val="24"/>
      <w:szCs w:val="24"/>
    </w:rPr>
  </w:style>
  <w:style w:type="paragraph" w:customStyle="1" w:styleId="112">
    <w:name w:val="xl15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113">
    <w:name w:val="font16"/>
    <w:basedOn w:val="1"/>
    <w:autoRedefine/>
    <w:qFormat/>
    <w:uiPriority w:val="0"/>
    <w:pPr>
      <w:spacing w:before="100" w:beforeAutospacing="1" w:after="100" w:afterAutospacing="1"/>
    </w:pPr>
    <w:rPr>
      <w:rFonts w:ascii="宋体" w:hAnsi="宋体" w:cs="宋体"/>
      <w:sz w:val="18"/>
      <w:szCs w:val="18"/>
    </w:rPr>
  </w:style>
  <w:style w:type="paragraph" w:customStyle="1" w:styleId="114">
    <w:name w:val="xl198"/>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4"/>
      <w:szCs w:val="24"/>
    </w:rPr>
  </w:style>
  <w:style w:type="paragraph" w:customStyle="1" w:styleId="115">
    <w:name w:val="xl147"/>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16">
    <w:name w:val="font13"/>
    <w:basedOn w:val="1"/>
    <w:autoRedefine/>
    <w:qFormat/>
    <w:uiPriority w:val="0"/>
    <w:pPr>
      <w:spacing w:before="100" w:beforeAutospacing="1" w:after="100" w:afterAutospacing="1"/>
    </w:pPr>
    <w:rPr>
      <w:rFonts w:ascii="宋体" w:hAnsi="宋体" w:cs="宋体"/>
      <w:sz w:val="22"/>
      <w:szCs w:val="22"/>
    </w:rPr>
  </w:style>
  <w:style w:type="paragraph" w:customStyle="1" w:styleId="117">
    <w:name w:val="xl210"/>
    <w:basedOn w:val="1"/>
    <w:autoRedefine/>
    <w:qFormat/>
    <w:uiPriority w:val="0"/>
    <w:pPr>
      <w:pBdr>
        <w:bottom w:val="single" w:color="auto" w:sz="4" w:space="0"/>
      </w:pBdr>
      <w:spacing w:before="100" w:beforeAutospacing="1" w:after="100" w:afterAutospacing="1"/>
      <w:jc w:val="center"/>
    </w:pPr>
    <w:rPr>
      <w:rFonts w:ascii="宋体" w:hAnsi="宋体" w:cs="宋体"/>
      <w:sz w:val="24"/>
      <w:szCs w:val="24"/>
    </w:rPr>
  </w:style>
  <w:style w:type="paragraph" w:customStyle="1" w:styleId="118">
    <w:name w:val="xl17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119">
    <w:name w:val="xl152"/>
    <w:basedOn w:val="1"/>
    <w:autoRedefine/>
    <w:qFormat/>
    <w:uiPriority w:val="0"/>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pPr>
    <w:rPr>
      <w:rFonts w:ascii="宋体" w:hAnsi="宋体" w:cs="宋体"/>
      <w:b/>
      <w:bCs/>
      <w:sz w:val="28"/>
      <w:szCs w:val="28"/>
    </w:rPr>
  </w:style>
  <w:style w:type="paragraph" w:customStyle="1" w:styleId="120">
    <w:name w:val="xl7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宋体" w:hAnsi="宋体" w:cs="宋体"/>
      <w:sz w:val="22"/>
      <w:szCs w:val="22"/>
    </w:rPr>
  </w:style>
  <w:style w:type="paragraph" w:customStyle="1" w:styleId="121">
    <w:name w:val="手册第一级"/>
    <w:basedOn w:val="1"/>
    <w:autoRedefine/>
    <w:qFormat/>
    <w:uiPriority w:val="0"/>
    <w:pPr>
      <w:ind w:left="425" w:hanging="425"/>
      <w:outlineLvl w:val="0"/>
    </w:pPr>
    <w:rPr>
      <w:rFonts w:ascii="Calibri" w:hAnsi="Calibri"/>
      <w:b/>
      <w:sz w:val="32"/>
    </w:rPr>
  </w:style>
  <w:style w:type="paragraph" w:customStyle="1" w:styleId="122">
    <w:name w:val="xl175"/>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sz w:val="24"/>
      <w:szCs w:val="24"/>
    </w:rPr>
  </w:style>
  <w:style w:type="paragraph" w:customStyle="1" w:styleId="123">
    <w:name w:val="xl128"/>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24">
    <w:name w:val="xl98"/>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2"/>
      <w:szCs w:val="22"/>
    </w:rPr>
  </w:style>
  <w:style w:type="paragraph" w:styleId="125">
    <w:name w:val="List Paragraph"/>
    <w:basedOn w:val="1"/>
    <w:autoRedefine/>
    <w:qFormat/>
    <w:uiPriority w:val="34"/>
    <w:pPr>
      <w:ind w:firstLine="420" w:firstLineChars="200"/>
    </w:pPr>
  </w:style>
  <w:style w:type="paragraph" w:customStyle="1" w:styleId="126">
    <w:name w:val="xl194"/>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2"/>
      <w:szCs w:val="22"/>
    </w:rPr>
  </w:style>
  <w:style w:type="paragraph" w:customStyle="1" w:styleId="127">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128">
    <w:name w:val="xl207"/>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29">
    <w:name w:val="xl193"/>
    <w:basedOn w:val="1"/>
    <w:autoRedefine/>
    <w:qFormat/>
    <w:uiPriority w:val="0"/>
    <w:pPr>
      <w:pBdr>
        <w:top w:val="single" w:color="auto" w:sz="4" w:space="0"/>
        <w:left w:val="single" w:color="auto" w:sz="4" w:space="0"/>
        <w:bottom w:val="single" w:color="auto" w:sz="4" w:space="0"/>
        <w:right w:val="single" w:color="auto" w:sz="4" w:space="0"/>
      </w:pBdr>
      <w:shd w:val="clear" w:color="000000" w:fill="E2EFD9"/>
      <w:spacing w:before="100" w:beforeAutospacing="1" w:after="100" w:afterAutospacing="1"/>
      <w:textAlignment w:val="bottom"/>
    </w:pPr>
    <w:rPr>
      <w:rFonts w:ascii="宋体" w:hAnsi="宋体" w:cs="宋体"/>
      <w:b/>
      <w:bCs/>
      <w:sz w:val="24"/>
      <w:szCs w:val="24"/>
    </w:rPr>
  </w:style>
  <w:style w:type="paragraph" w:customStyle="1" w:styleId="130">
    <w:name w:val="xl146"/>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31">
    <w:name w:val="xl102"/>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4"/>
      <w:szCs w:val="24"/>
    </w:rPr>
  </w:style>
  <w:style w:type="paragraph" w:customStyle="1" w:styleId="132">
    <w:name w:val="TOC 标题1"/>
    <w:basedOn w:val="3"/>
    <w:next w:val="1"/>
    <w:autoRedefine/>
    <w:unhideWhenUsed/>
    <w:qFormat/>
    <w:uiPriority w:val="39"/>
    <w:pPr>
      <w:widowControl/>
      <w:spacing w:before="240" w:after="0" w:line="259" w:lineRule="auto"/>
      <w:outlineLvl w:val="9"/>
    </w:pPr>
    <w:rPr>
      <w:rFonts w:ascii="Cambria" w:hAnsi="Cambria"/>
      <w:b w:val="0"/>
      <w:bCs w:val="0"/>
      <w:color w:val="365F91"/>
      <w:kern w:val="0"/>
      <w:sz w:val="32"/>
      <w:szCs w:val="32"/>
    </w:rPr>
  </w:style>
  <w:style w:type="paragraph" w:customStyle="1" w:styleId="133">
    <w:name w:val="xl242"/>
    <w:basedOn w:val="1"/>
    <w:autoRedefine/>
    <w:qFormat/>
    <w:uiPriority w:val="0"/>
    <w:pPr>
      <w:pBdr>
        <w:top w:val="single" w:color="auto" w:sz="4" w:space="0"/>
        <w:left w:val="single" w:color="auto" w:sz="4" w:space="0"/>
        <w:bottom w:val="single" w:color="auto" w:sz="4" w:space="0"/>
        <w:right w:val="single" w:color="auto" w:sz="4" w:space="0"/>
      </w:pBdr>
      <w:shd w:val="clear" w:color="000000" w:fill="9BC2E6"/>
      <w:spacing w:before="100" w:beforeAutospacing="1" w:after="100" w:afterAutospacing="1"/>
    </w:pPr>
    <w:rPr>
      <w:rFonts w:ascii="宋体" w:hAnsi="宋体" w:cs="宋体"/>
      <w:sz w:val="24"/>
      <w:szCs w:val="24"/>
    </w:rPr>
  </w:style>
  <w:style w:type="paragraph" w:customStyle="1" w:styleId="134">
    <w:name w:val="xl20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35">
    <w:name w:val="xl12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36">
    <w:name w:val="xl9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2"/>
      <w:szCs w:val="22"/>
    </w:rPr>
  </w:style>
  <w:style w:type="paragraph" w:customStyle="1" w:styleId="137">
    <w:name w:val="font9"/>
    <w:basedOn w:val="1"/>
    <w:autoRedefine/>
    <w:qFormat/>
    <w:uiPriority w:val="0"/>
    <w:pPr>
      <w:spacing w:before="100" w:beforeAutospacing="1" w:after="100" w:afterAutospacing="1"/>
    </w:pPr>
    <w:rPr>
      <w:rFonts w:ascii="宋体" w:hAnsi="宋体" w:cs="宋体"/>
      <w:sz w:val="18"/>
      <w:szCs w:val="18"/>
    </w:rPr>
  </w:style>
  <w:style w:type="paragraph" w:customStyle="1" w:styleId="138">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
    <w:name w:val="xl239"/>
    <w:basedOn w:val="1"/>
    <w:autoRedefine/>
    <w:qFormat/>
    <w:uiPriority w:val="0"/>
    <w:pPr>
      <w:pBdr>
        <w:bottom w:val="single" w:color="auto" w:sz="4" w:space="0"/>
      </w:pBdr>
      <w:spacing w:before="100" w:beforeAutospacing="1" w:after="100" w:afterAutospacing="1"/>
      <w:jc w:val="center"/>
    </w:pPr>
    <w:rPr>
      <w:rFonts w:ascii="宋体" w:hAnsi="宋体" w:cs="宋体"/>
      <w:b/>
      <w:bCs/>
      <w:sz w:val="24"/>
      <w:szCs w:val="24"/>
    </w:rPr>
  </w:style>
  <w:style w:type="paragraph" w:customStyle="1" w:styleId="140">
    <w:name w:val="xl153"/>
    <w:basedOn w:val="1"/>
    <w:autoRedefine/>
    <w:qFormat/>
    <w:uiPriority w:val="0"/>
    <w:pPr>
      <w:pBdr>
        <w:left w:val="single" w:color="auto" w:sz="4" w:space="0"/>
        <w:bottom w:val="single" w:color="auto"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141">
    <w:name w:val="xl9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42">
    <w:name w:val="xl9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22"/>
      <w:szCs w:val="22"/>
    </w:rPr>
  </w:style>
  <w:style w:type="paragraph" w:customStyle="1" w:styleId="143">
    <w:name w:val="_Style 2"/>
    <w:basedOn w:val="1"/>
    <w:autoRedefine/>
    <w:qFormat/>
    <w:uiPriority w:val="0"/>
  </w:style>
  <w:style w:type="paragraph" w:customStyle="1" w:styleId="144">
    <w:name w:val="xl17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FF0000"/>
      <w:sz w:val="24"/>
      <w:szCs w:val="24"/>
    </w:rPr>
  </w:style>
  <w:style w:type="paragraph" w:customStyle="1" w:styleId="145">
    <w:name w:val="xl1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46">
    <w:name w:val="xl12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47">
    <w:name w:val="font14"/>
    <w:basedOn w:val="1"/>
    <w:autoRedefine/>
    <w:qFormat/>
    <w:uiPriority w:val="0"/>
    <w:pPr>
      <w:spacing w:before="100" w:beforeAutospacing="1" w:after="100" w:afterAutospacing="1"/>
    </w:pPr>
    <w:rPr>
      <w:rFonts w:ascii="宋体" w:hAnsi="宋体" w:cs="宋体"/>
      <w:sz w:val="22"/>
      <w:szCs w:val="22"/>
    </w:rPr>
  </w:style>
  <w:style w:type="paragraph" w:customStyle="1" w:styleId="148">
    <w:name w:val="xl22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49">
    <w:name w:val="font27"/>
    <w:basedOn w:val="1"/>
    <w:autoRedefine/>
    <w:qFormat/>
    <w:uiPriority w:val="0"/>
    <w:pPr>
      <w:spacing w:before="100" w:beforeAutospacing="1" w:after="100" w:afterAutospacing="1"/>
    </w:pPr>
    <w:rPr>
      <w:rFonts w:ascii="等线" w:hAnsi="等线" w:eastAsia="等线" w:cs="宋体"/>
      <w:sz w:val="20"/>
      <w:szCs w:val="20"/>
    </w:rPr>
  </w:style>
  <w:style w:type="paragraph" w:customStyle="1" w:styleId="150">
    <w:name w:val="xl11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2"/>
      <w:szCs w:val="22"/>
    </w:rPr>
  </w:style>
  <w:style w:type="paragraph" w:customStyle="1" w:styleId="151">
    <w:name w:val="xl99"/>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textAlignment w:val="bottom"/>
    </w:pPr>
    <w:rPr>
      <w:rFonts w:ascii="宋体" w:hAnsi="宋体" w:cs="宋体"/>
      <w:color w:val="000000"/>
      <w:sz w:val="24"/>
      <w:szCs w:val="24"/>
    </w:rPr>
  </w:style>
  <w:style w:type="paragraph" w:customStyle="1" w:styleId="152">
    <w:name w:val="xl227"/>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53">
    <w:name w:val="xl142"/>
    <w:basedOn w:val="1"/>
    <w:autoRedefine/>
    <w:qFormat/>
    <w:uiPriority w:val="0"/>
    <w:pPr>
      <w:pBdr>
        <w:left w:val="single" w:color="auto"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154">
    <w:name w:val="xl103"/>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2"/>
      <w:szCs w:val="22"/>
    </w:rPr>
  </w:style>
  <w:style w:type="paragraph" w:customStyle="1" w:styleId="155">
    <w:name w:val="xl8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2"/>
      <w:szCs w:val="22"/>
    </w:rPr>
  </w:style>
  <w:style w:type="paragraph" w:customStyle="1" w:styleId="156">
    <w:name w:val="列表段落11"/>
    <w:basedOn w:val="1"/>
    <w:autoRedefine/>
    <w:qFormat/>
    <w:uiPriority w:val="34"/>
    <w:pPr>
      <w:ind w:firstLine="200" w:firstLineChars="200"/>
    </w:pPr>
    <w:rPr>
      <w:rFonts w:ascii="Century" w:hAnsi="Century" w:eastAsia="MS Mincho" w:cs="宋体"/>
      <w:sz w:val="24"/>
      <w:szCs w:val="20"/>
      <w:lang w:eastAsia="ja-JP"/>
    </w:rPr>
  </w:style>
  <w:style w:type="paragraph" w:customStyle="1" w:styleId="157">
    <w:name w:val="纯文本1"/>
    <w:basedOn w:val="1"/>
    <w:autoRedefine/>
    <w:qFormat/>
    <w:uiPriority w:val="0"/>
    <w:rPr>
      <w:rFonts w:ascii="宋体" w:hAnsi="Courier New"/>
      <w:szCs w:val="22"/>
    </w:rPr>
  </w:style>
  <w:style w:type="paragraph" w:customStyle="1" w:styleId="158">
    <w:name w:val="xl240"/>
    <w:basedOn w:val="1"/>
    <w:autoRedefine/>
    <w:qFormat/>
    <w:uiPriority w:val="0"/>
    <w:pPr>
      <w:pBdr>
        <w:top w:val="single" w:color="auto" w:sz="4" w:space="0"/>
        <w:left w:val="single" w:color="auto" w:sz="4" w:space="0"/>
        <w:bottom w:val="single" w:color="auto" w:sz="4" w:space="0"/>
        <w:right w:val="single" w:color="auto" w:sz="4" w:space="0"/>
      </w:pBdr>
      <w:shd w:val="clear" w:color="000000" w:fill="9BC2E6"/>
      <w:spacing w:before="100" w:beforeAutospacing="1" w:after="100" w:afterAutospacing="1"/>
      <w:jc w:val="center"/>
    </w:pPr>
    <w:rPr>
      <w:rFonts w:ascii="宋体" w:hAnsi="宋体" w:cs="宋体"/>
      <w:sz w:val="24"/>
      <w:szCs w:val="24"/>
    </w:rPr>
  </w:style>
  <w:style w:type="paragraph" w:customStyle="1" w:styleId="159">
    <w:name w:val="xl208"/>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60">
    <w:name w:val="xl235"/>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61">
    <w:name w:val="xl130"/>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62">
    <w:name w:val="列出段落1"/>
    <w:basedOn w:val="1"/>
    <w:autoRedefine/>
    <w:qFormat/>
    <w:uiPriority w:val="34"/>
    <w:pPr>
      <w:widowControl w:val="0"/>
      <w:adjustRightInd w:val="0"/>
      <w:spacing w:line="360" w:lineRule="atLeast"/>
      <w:ind w:firstLine="200" w:firstLineChars="200"/>
      <w:textAlignment w:val="baseline"/>
    </w:pPr>
    <w:rPr>
      <w:sz w:val="24"/>
      <w:szCs w:val="20"/>
    </w:rPr>
  </w:style>
  <w:style w:type="paragraph" w:customStyle="1" w:styleId="163">
    <w:name w:val="xl14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2"/>
      <w:szCs w:val="22"/>
    </w:rPr>
  </w:style>
  <w:style w:type="paragraph" w:customStyle="1" w:styleId="164">
    <w:name w:val="xl119"/>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165">
    <w:name w:val="font7"/>
    <w:basedOn w:val="1"/>
    <w:autoRedefine/>
    <w:qFormat/>
    <w:uiPriority w:val="0"/>
    <w:pPr>
      <w:spacing w:before="100" w:beforeAutospacing="1" w:after="100" w:afterAutospacing="1"/>
    </w:pPr>
    <w:rPr>
      <w:rFonts w:ascii="宋体" w:hAnsi="宋体" w:cs="宋体"/>
      <w:sz w:val="18"/>
      <w:szCs w:val="18"/>
    </w:rPr>
  </w:style>
  <w:style w:type="paragraph" w:customStyle="1" w:styleId="166">
    <w:name w:val="@1正文"/>
    <w:autoRedefine/>
    <w:qFormat/>
    <w:uiPriority w:val="0"/>
    <w:pPr>
      <w:spacing w:line="360" w:lineRule="auto"/>
      <w:ind w:firstLine="480" w:firstLineChars="200"/>
      <w:jc w:val="both"/>
    </w:pPr>
    <w:rPr>
      <w:rFonts w:ascii="Times New Roman" w:hAnsi="Times New Roman" w:eastAsia="宋体" w:cs="Times New Roman"/>
      <w:sz w:val="24"/>
      <w:szCs w:val="22"/>
      <w:lang w:val="en-US" w:eastAsia="zh-CN" w:bidi="ar-SA"/>
    </w:rPr>
  </w:style>
  <w:style w:type="paragraph" w:customStyle="1" w:styleId="167">
    <w:name w:val="font44"/>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168">
    <w:name w:val="xl214"/>
    <w:basedOn w:val="1"/>
    <w:autoRedefine/>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textAlignment w:val="bottom"/>
    </w:pPr>
    <w:rPr>
      <w:rFonts w:ascii="宋体" w:hAnsi="宋体" w:cs="宋体"/>
      <w:b/>
      <w:bCs/>
      <w:sz w:val="24"/>
      <w:szCs w:val="24"/>
    </w:rPr>
  </w:style>
  <w:style w:type="paragraph" w:customStyle="1" w:styleId="169">
    <w:name w:val="font19"/>
    <w:basedOn w:val="1"/>
    <w:autoRedefine/>
    <w:qFormat/>
    <w:uiPriority w:val="0"/>
    <w:pPr>
      <w:spacing w:before="100" w:beforeAutospacing="1" w:after="100" w:afterAutospacing="1"/>
    </w:pPr>
    <w:rPr>
      <w:rFonts w:ascii="宋体" w:hAnsi="宋体" w:cs="宋体"/>
      <w:b/>
      <w:bCs/>
      <w:sz w:val="22"/>
      <w:szCs w:val="22"/>
    </w:rPr>
  </w:style>
  <w:style w:type="paragraph" w:customStyle="1" w:styleId="170">
    <w:name w:val="font17"/>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171">
    <w:name w:val="列表1"/>
    <w:basedOn w:val="1"/>
    <w:autoRedefine/>
    <w:qFormat/>
    <w:uiPriority w:val="0"/>
    <w:pPr>
      <w:widowControl w:val="0"/>
      <w:numPr>
        <w:ilvl w:val="0"/>
        <w:numId w:val="2"/>
      </w:numPr>
      <w:adjustRightInd w:val="0"/>
      <w:spacing w:line="360" w:lineRule="auto"/>
      <w:ind w:firstLine="0"/>
    </w:pPr>
    <w:rPr>
      <w:rFonts w:ascii="Century" w:hAnsi="Century" w:cs="黑体"/>
      <w:kern w:val="2"/>
      <w:sz w:val="24"/>
    </w:rPr>
  </w:style>
  <w:style w:type="paragraph" w:customStyle="1" w:styleId="172">
    <w:name w:val="xl236"/>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sz w:val="22"/>
      <w:szCs w:val="22"/>
    </w:rPr>
  </w:style>
  <w:style w:type="paragraph" w:customStyle="1" w:styleId="173">
    <w:name w:val="xl209"/>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74">
    <w:name w:val="xl16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175">
    <w:name w:val="xl1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4"/>
      <w:szCs w:val="24"/>
    </w:rPr>
  </w:style>
  <w:style w:type="paragraph" w:customStyle="1" w:styleId="176">
    <w:name w:val="font10"/>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177">
    <w:name w:val="_Style 12"/>
    <w:basedOn w:val="1"/>
    <w:next w:val="1"/>
    <w:autoRedefine/>
    <w:qFormat/>
    <w:uiPriority w:val="0"/>
    <w:pPr>
      <w:widowControl w:val="0"/>
      <w:spacing w:line="360" w:lineRule="auto"/>
      <w:ind w:firstLine="200" w:firstLineChars="200"/>
      <w:jc w:val="both"/>
    </w:pPr>
    <w:rPr>
      <w:rFonts w:cs="黑体"/>
      <w:color w:val="000000"/>
      <w:kern w:val="2"/>
      <w:sz w:val="24"/>
      <w:szCs w:val="24"/>
      <w:lang w:val="zh-CN"/>
    </w:rPr>
  </w:style>
  <w:style w:type="paragraph" w:customStyle="1" w:styleId="178">
    <w:name w:val="font31"/>
    <w:basedOn w:val="1"/>
    <w:autoRedefine/>
    <w:qFormat/>
    <w:uiPriority w:val="0"/>
    <w:pPr>
      <w:spacing w:before="100" w:beforeAutospacing="1" w:after="100" w:afterAutospacing="1"/>
    </w:pPr>
    <w:rPr>
      <w:rFonts w:ascii="宋体" w:hAnsi="宋体" w:cs="宋体"/>
      <w:color w:val="000000"/>
      <w:sz w:val="20"/>
      <w:szCs w:val="20"/>
    </w:rPr>
  </w:style>
  <w:style w:type="paragraph" w:customStyle="1" w:styleId="179">
    <w:name w:val="xl18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szCs w:val="24"/>
    </w:rPr>
  </w:style>
  <w:style w:type="paragraph" w:customStyle="1" w:styleId="180">
    <w:name w:val="font5"/>
    <w:basedOn w:val="1"/>
    <w:autoRedefine/>
    <w:qFormat/>
    <w:uiPriority w:val="0"/>
    <w:pPr>
      <w:spacing w:before="100" w:beforeAutospacing="1" w:after="100" w:afterAutospacing="1"/>
    </w:pPr>
    <w:rPr>
      <w:rFonts w:ascii="宋体" w:hAnsi="宋体" w:cs="宋体"/>
      <w:b/>
      <w:bCs/>
      <w:sz w:val="22"/>
      <w:szCs w:val="22"/>
    </w:rPr>
  </w:style>
  <w:style w:type="paragraph" w:customStyle="1" w:styleId="181">
    <w:name w:val="正文缩进1"/>
    <w:basedOn w:val="1"/>
    <w:autoRedefine/>
    <w:qFormat/>
    <w:uiPriority w:val="0"/>
    <w:pPr>
      <w:autoSpaceDE w:val="0"/>
      <w:autoSpaceDN w:val="0"/>
      <w:adjustRightInd w:val="0"/>
      <w:ind w:firstLine="420"/>
    </w:pPr>
    <w:rPr>
      <w:rFonts w:ascii="宋体" w:hAnsi="Calibri"/>
      <w:sz w:val="24"/>
      <w:szCs w:val="22"/>
    </w:rPr>
  </w:style>
  <w:style w:type="paragraph" w:customStyle="1" w:styleId="182">
    <w:name w:val="xl212"/>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textAlignment w:val="bottom"/>
    </w:pPr>
    <w:rPr>
      <w:rFonts w:ascii="宋体" w:hAnsi="宋体" w:cs="宋体"/>
      <w:b/>
      <w:bCs/>
      <w:sz w:val="24"/>
      <w:szCs w:val="24"/>
    </w:rPr>
  </w:style>
  <w:style w:type="paragraph" w:customStyle="1" w:styleId="183">
    <w:name w:val="xl17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FF0000"/>
      <w:sz w:val="24"/>
      <w:szCs w:val="24"/>
    </w:rPr>
  </w:style>
  <w:style w:type="paragraph" w:customStyle="1" w:styleId="184">
    <w:name w:val="xl12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85">
    <w:name w:val="xl70"/>
    <w:basedOn w:val="1"/>
    <w:autoRedefine/>
    <w:qFormat/>
    <w:uiPriority w:val="0"/>
    <w:pPr>
      <w:spacing w:before="100" w:beforeAutospacing="1" w:after="100" w:afterAutospacing="1"/>
      <w:textAlignment w:val="bottom"/>
    </w:pPr>
    <w:rPr>
      <w:rFonts w:ascii="宋体" w:hAnsi="宋体" w:cs="宋体"/>
      <w:sz w:val="24"/>
      <w:szCs w:val="24"/>
    </w:rPr>
  </w:style>
  <w:style w:type="paragraph" w:customStyle="1" w:styleId="186">
    <w:name w:val="font26"/>
    <w:basedOn w:val="1"/>
    <w:autoRedefine/>
    <w:qFormat/>
    <w:uiPriority w:val="0"/>
    <w:pPr>
      <w:spacing w:before="100" w:beforeAutospacing="1" w:after="100" w:afterAutospacing="1"/>
    </w:pPr>
    <w:rPr>
      <w:rFonts w:ascii="宋体" w:hAnsi="宋体" w:cs="宋体"/>
      <w:sz w:val="18"/>
      <w:szCs w:val="18"/>
    </w:rPr>
  </w:style>
  <w:style w:type="paragraph" w:customStyle="1" w:styleId="187">
    <w:name w:val="xl1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FF0000"/>
      <w:sz w:val="24"/>
      <w:szCs w:val="24"/>
    </w:rPr>
  </w:style>
  <w:style w:type="paragraph" w:customStyle="1" w:styleId="188">
    <w:name w:val="xl12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189">
    <w:name w:val="xl9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color w:val="000000"/>
      <w:sz w:val="22"/>
      <w:szCs w:val="22"/>
    </w:rPr>
  </w:style>
  <w:style w:type="paragraph" w:customStyle="1" w:styleId="190">
    <w:name w:val="索引 11"/>
    <w:basedOn w:val="1"/>
    <w:next w:val="1"/>
    <w:autoRedefine/>
    <w:qFormat/>
    <w:uiPriority w:val="0"/>
    <w:pPr>
      <w:spacing w:line="360" w:lineRule="auto"/>
    </w:pPr>
    <w:rPr>
      <w:rFonts w:ascii="仿宋_GB2312" w:eastAsia="仿宋_GB2312"/>
      <w:sz w:val="24"/>
      <w:szCs w:val="20"/>
    </w:rPr>
  </w:style>
  <w:style w:type="paragraph" w:customStyle="1" w:styleId="191">
    <w:name w:val="font51"/>
    <w:basedOn w:val="1"/>
    <w:autoRedefine/>
    <w:qFormat/>
    <w:uiPriority w:val="0"/>
    <w:pPr>
      <w:spacing w:before="100" w:beforeAutospacing="1" w:after="100" w:afterAutospacing="1"/>
    </w:pPr>
    <w:rPr>
      <w:rFonts w:ascii="宋体" w:hAnsi="宋体" w:cs="宋体"/>
      <w:b/>
      <w:bCs/>
      <w:color w:val="000000"/>
      <w:sz w:val="20"/>
      <w:szCs w:val="20"/>
    </w:rPr>
  </w:style>
  <w:style w:type="paragraph" w:customStyle="1" w:styleId="192">
    <w:name w:val="xl2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193">
    <w:name w:val="xl132"/>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194">
    <w:name w:val="xl80"/>
    <w:basedOn w:val="1"/>
    <w:autoRedefine/>
    <w:qFormat/>
    <w:uiPriority w:val="0"/>
    <w:pPr>
      <w:spacing w:before="100" w:beforeAutospacing="1" w:after="100" w:afterAutospacing="1"/>
      <w:jc w:val="center"/>
    </w:pPr>
    <w:rPr>
      <w:rFonts w:ascii="宋体" w:hAnsi="宋体" w:cs="宋体"/>
      <w:sz w:val="24"/>
      <w:szCs w:val="24"/>
    </w:rPr>
  </w:style>
  <w:style w:type="paragraph" w:customStyle="1" w:styleId="195">
    <w:name w:val="第1节"/>
    <w:basedOn w:val="1"/>
    <w:autoRedefine/>
    <w:qFormat/>
    <w:uiPriority w:val="0"/>
    <w:pPr>
      <w:widowControl w:val="0"/>
      <w:numPr>
        <w:ilvl w:val="1"/>
        <w:numId w:val="3"/>
      </w:numPr>
      <w:jc w:val="both"/>
    </w:pPr>
    <w:rPr>
      <w:kern w:val="2"/>
      <w:sz w:val="24"/>
      <w:szCs w:val="24"/>
    </w:rPr>
  </w:style>
  <w:style w:type="paragraph" w:customStyle="1" w:styleId="196">
    <w:name w:val="xl23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24"/>
      <w:szCs w:val="24"/>
    </w:rPr>
  </w:style>
  <w:style w:type="paragraph" w:customStyle="1" w:styleId="197">
    <w:name w:val="font29"/>
    <w:basedOn w:val="1"/>
    <w:autoRedefine/>
    <w:qFormat/>
    <w:uiPriority w:val="0"/>
    <w:pPr>
      <w:spacing w:before="100" w:beforeAutospacing="1" w:after="100" w:afterAutospacing="1"/>
    </w:pPr>
    <w:rPr>
      <w:rFonts w:ascii="等线" w:hAnsi="等线" w:eastAsia="等线" w:cs="宋体"/>
      <w:color w:val="FF0000"/>
      <w:sz w:val="20"/>
      <w:szCs w:val="20"/>
    </w:rPr>
  </w:style>
  <w:style w:type="paragraph" w:customStyle="1" w:styleId="198">
    <w:name w:val="xl178"/>
    <w:basedOn w:val="1"/>
    <w:autoRedefine/>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pPr>
    <w:rPr>
      <w:rFonts w:ascii="宋体" w:hAnsi="宋体" w:cs="宋体"/>
      <w:sz w:val="24"/>
      <w:szCs w:val="24"/>
    </w:rPr>
  </w:style>
  <w:style w:type="paragraph" w:customStyle="1" w:styleId="199">
    <w:name w:val="font23"/>
    <w:basedOn w:val="1"/>
    <w:autoRedefine/>
    <w:qFormat/>
    <w:uiPriority w:val="0"/>
    <w:pPr>
      <w:spacing w:before="100" w:beforeAutospacing="1" w:after="100" w:afterAutospacing="1"/>
    </w:pPr>
    <w:rPr>
      <w:rFonts w:ascii="宋体" w:hAnsi="宋体" w:cs="宋体"/>
      <w:sz w:val="18"/>
      <w:szCs w:val="18"/>
    </w:rPr>
  </w:style>
  <w:style w:type="paragraph" w:customStyle="1" w:styleId="200">
    <w:name w:val="标4"/>
    <w:basedOn w:val="6"/>
    <w:next w:val="1"/>
    <w:autoRedefine/>
    <w:qFormat/>
    <w:uiPriority w:val="0"/>
    <w:pPr>
      <w:widowControl w:val="0"/>
      <w:numPr>
        <w:ilvl w:val="0"/>
        <w:numId w:val="0"/>
      </w:numPr>
      <w:tabs>
        <w:tab w:val="left" w:pos="1134"/>
      </w:tabs>
      <w:spacing w:before="240"/>
      <w:jc w:val="both"/>
    </w:pPr>
    <w:rPr>
      <w:rFonts w:ascii="黑体" w:hAnsi="宋体"/>
      <w:bCs w:val="0"/>
      <w:w w:val="90"/>
      <w:kern w:val="2"/>
      <w:szCs w:val="24"/>
    </w:rPr>
  </w:style>
  <w:style w:type="paragraph" w:customStyle="1" w:styleId="201">
    <w:name w:val="font28"/>
    <w:basedOn w:val="1"/>
    <w:autoRedefine/>
    <w:qFormat/>
    <w:uiPriority w:val="0"/>
    <w:pPr>
      <w:spacing w:before="100" w:beforeAutospacing="1" w:after="100" w:afterAutospacing="1"/>
    </w:pPr>
    <w:rPr>
      <w:rFonts w:ascii="宋体" w:hAnsi="宋体" w:cs="宋体"/>
      <w:b/>
      <w:bCs/>
      <w:sz w:val="20"/>
      <w:szCs w:val="20"/>
    </w:rPr>
  </w:style>
  <w:style w:type="paragraph" w:customStyle="1" w:styleId="202">
    <w:name w:val="xl18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szCs w:val="24"/>
    </w:rPr>
  </w:style>
  <w:style w:type="paragraph" w:customStyle="1" w:styleId="203">
    <w:name w:val="font1"/>
    <w:basedOn w:val="1"/>
    <w:autoRedefine/>
    <w:qFormat/>
    <w:uiPriority w:val="0"/>
    <w:pPr>
      <w:spacing w:before="100" w:beforeAutospacing="1" w:after="100" w:afterAutospacing="1"/>
    </w:pPr>
    <w:rPr>
      <w:rFonts w:ascii="宋体" w:hAnsi="宋体" w:cs="宋体"/>
      <w:sz w:val="22"/>
      <w:szCs w:val="22"/>
    </w:rPr>
  </w:style>
  <w:style w:type="paragraph" w:customStyle="1" w:styleId="204">
    <w:name w:val="xl131"/>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05">
    <w:name w:val="列表段落2"/>
    <w:basedOn w:val="1"/>
    <w:autoRedefine/>
    <w:qFormat/>
    <w:uiPriority w:val="0"/>
    <w:pPr>
      <w:widowControl w:val="0"/>
      <w:ind w:firstLine="200" w:firstLineChars="200"/>
      <w:jc w:val="both"/>
    </w:pPr>
    <w:rPr>
      <w:color w:val="000000"/>
      <w:kern w:val="2"/>
      <w:sz w:val="24"/>
      <w:szCs w:val="24"/>
    </w:rPr>
  </w:style>
  <w:style w:type="paragraph" w:customStyle="1" w:styleId="206">
    <w:name w:val="font36"/>
    <w:basedOn w:val="1"/>
    <w:autoRedefine/>
    <w:qFormat/>
    <w:uiPriority w:val="0"/>
    <w:pPr>
      <w:spacing w:before="100" w:beforeAutospacing="1" w:after="100" w:afterAutospacing="1"/>
    </w:pPr>
    <w:rPr>
      <w:rFonts w:ascii="宋体" w:hAnsi="宋体" w:cs="宋体"/>
      <w:color w:val="FF0000"/>
      <w:sz w:val="20"/>
      <w:szCs w:val="20"/>
    </w:rPr>
  </w:style>
  <w:style w:type="paragraph" w:customStyle="1" w:styleId="207">
    <w:name w:val="font24"/>
    <w:basedOn w:val="1"/>
    <w:autoRedefine/>
    <w:qFormat/>
    <w:uiPriority w:val="0"/>
    <w:pPr>
      <w:spacing w:before="100" w:beforeAutospacing="1" w:after="100" w:afterAutospacing="1"/>
    </w:pPr>
    <w:rPr>
      <w:rFonts w:ascii="宋体" w:hAnsi="宋体" w:cs="宋体"/>
      <w:sz w:val="22"/>
      <w:szCs w:val="22"/>
    </w:rPr>
  </w:style>
  <w:style w:type="paragraph" w:customStyle="1" w:styleId="208">
    <w:name w:val="xl14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color w:val="000000"/>
      <w:sz w:val="22"/>
      <w:szCs w:val="22"/>
    </w:rPr>
  </w:style>
  <w:style w:type="paragraph" w:customStyle="1" w:styleId="209">
    <w:name w:val="xl11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10">
    <w:name w:val="xl7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11">
    <w:name w:val="msolistparagraph"/>
    <w:basedOn w:val="1"/>
    <w:autoRedefine/>
    <w:qFormat/>
    <w:uiPriority w:val="0"/>
    <w:pPr>
      <w:widowControl w:val="0"/>
      <w:spacing w:line="360" w:lineRule="auto"/>
      <w:ind w:firstLine="200" w:firstLineChars="200"/>
      <w:jc w:val="both"/>
    </w:pPr>
    <w:rPr>
      <w:color w:val="000000"/>
      <w:kern w:val="2"/>
      <w:sz w:val="24"/>
      <w:szCs w:val="24"/>
    </w:rPr>
  </w:style>
  <w:style w:type="paragraph" w:customStyle="1" w:styleId="212">
    <w:name w:val="xl232"/>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pPr>
    <w:rPr>
      <w:rFonts w:ascii="宋体" w:hAnsi="宋体" w:cs="宋体"/>
      <w:b/>
      <w:bCs/>
      <w:sz w:val="22"/>
      <w:szCs w:val="22"/>
    </w:rPr>
  </w:style>
  <w:style w:type="paragraph" w:customStyle="1" w:styleId="213">
    <w:name w:val="font37"/>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214">
    <w:name w:val="xl135"/>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15">
    <w:name w:val="xl114"/>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216">
    <w:name w:val="xl8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color w:val="000000"/>
      <w:sz w:val="22"/>
      <w:szCs w:val="22"/>
    </w:rPr>
  </w:style>
  <w:style w:type="paragraph" w:customStyle="1" w:styleId="217">
    <w:name w:val="样式1"/>
    <w:basedOn w:val="1"/>
    <w:autoRedefine/>
    <w:qFormat/>
    <w:uiPriority w:val="0"/>
    <w:pPr>
      <w:widowControl w:val="0"/>
      <w:spacing w:line="360" w:lineRule="auto"/>
      <w:ind w:firstLine="200" w:firstLineChars="200"/>
      <w:jc w:val="both"/>
    </w:pPr>
    <w:rPr>
      <w:rFonts w:ascii="宋体" w:hAnsi="宋体"/>
      <w:kern w:val="2"/>
      <w:sz w:val="24"/>
      <w:szCs w:val="22"/>
    </w:rPr>
  </w:style>
  <w:style w:type="paragraph" w:customStyle="1" w:styleId="218">
    <w:name w:val="xl233"/>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textAlignment w:val="bottom"/>
    </w:pPr>
    <w:rPr>
      <w:rFonts w:ascii="宋体" w:hAnsi="宋体" w:cs="宋体"/>
      <w:b/>
      <w:bCs/>
      <w:sz w:val="22"/>
      <w:szCs w:val="22"/>
    </w:rPr>
  </w:style>
  <w:style w:type="paragraph" w:customStyle="1" w:styleId="219">
    <w:name w:val="xl18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szCs w:val="24"/>
    </w:rPr>
  </w:style>
  <w:style w:type="paragraph" w:customStyle="1" w:styleId="220">
    <w:name w:val="xl139"/>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21">
    <w:name w:val="paragraph"/>
    <w:basedOn w:val="1"/>
    <w:autoRedefine/>
    <w:qFormat/>
    <w:uiPriority w:val="0"/>
    <w:pPr>
      <w:spacing w:before="100" w:beforeAutospacing="1" w:after="100" w:afterAutospacing="1"/>
    </w:pPr>
    <w:rPr>
      <w:rFonts w:ascii="宋体" w:hAnsi="宋体" w:cs="宋体"/>
      <w:sz w:val="24"/>
      <w:szCs w:val="24"/>
    </w:rPr>
  </w:style>
  <w:style w:type="paragraph" w:customStyle="1" w:styleId="222">
    <w:name w:val="手册第二级"/>
    <w:basedOn w:val="125"/>
    <w:autoRedefine/>
    <w:qFormat/>
    <w:uiPriority w:val="0"/>
    <w:pPr>
      <w:numPr>
        <w:ilvl w:val="1"/>
        <w:numId w:val="4"/>
      </w:numPr>
      <w:ind w:firstLine="0"/>
    </w:pPr>
    <w:rPr>
      <w:rFonts w:ascii="Calibri" w:hAnsi="Calibri" w:eastAsia="仿宋_GB2312"/>
      <w:b/>
      <w:sz w:val="30"/>
      <w:szCs w:val="22"/>
    </w:rPr>
  </w:style>
  <w:style w:type="paragraph" w:customStyle="1" w:styleId="223">
    <w:name w:val="xl140"/>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24">
    <w:name w:val="修订2"/>
    <w:autoRedefine/>
    <w:semiHidden/>
    <w:qFormat/>
    <w:uiPriority w:val="99"/>
    <w:rPr>
      <w:rFonts w:ascii="Times New Roman" w:hAnsi="Times New Roman" w:eastAsia="宋体" w:cs="黑体"/>
      <w:color w:val="000000"/>
      <w:kern w:val="2"/>
      <w:sz w:val="21"/>
      <w:szCs w:val="24"/>
      <w:lang w:val="en-US" w:eastAsia="zh-CN" w:bidi="ar-SA"/>
    </w:rPr>
  </w:style>
  <w:style w:type="paragraph" w:customStyle="1" w:styleId="225">
    <w:name w:val="xl186"/>
    <w:basedOn w:val="1"/>
    <w:autoRedefine/>
    <w:qFormat/>
    <w:uiPriority w:val="0"/>
    <w:pPr>
      <w:pBdr>
        <w:top w:val="single" w:color="auto" w:sz="4" w:space="0"/>
        <w:left w:val="single" w:color="auto" w:sz="4" w:space="0"/>
        <w:bottom w:val="single" w:color="auto" w:sz="4" w:space="0"/>
        <w:right w:val="single" w:color="auto" w:sz="4" w:space="0"/>
      </w:pBdr>
      <w:shd w:val="clear" w:color="000000" w:fill="E2EFD9"/>
      <w:spacing w:before="100" w:beforeAutospacing="1" w:after="100" w:afterAutospacing="1"/>
    </w:pPr>
    <w:rPr>
      <w:rFonts w:ascii="宋体" w:hAnsi="宋体" w:cs="宋体"/>
      <w:b/>
      <w:bCs/>
      <w:sz w:val="24"/>
      <w:szCs w:val="24"/>
    </w:rPr>
  </w:style>
  <w:style w:type="paragraph" w:customStyle="1" w:styleId="226">
    <w:name w:val="xl113"/>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227">
    <w:name w:val="列表段落111"/>
    <w:basedOn w:val="1"/>
    <w:autoRedefine/>
    <w:qFormat/>
    <w:uiPriority w:val="34"/>
    <w:pPr>
      <w:ind w:firstLine="200" w:firstLineChars="200"/>
    </w:pPr>
    <w:rPr>
      <w:rFonts w:ascii="Century" w:hAnsi="Century" w:cs="宋体"/>
      <w:sz w:val="24"/>
      <w:szCs w:val="20"/>
      <w:lang w:eastAsia="ja-JP"/>
    </w:rPr>
  </w:style>
  <w:style w:type="paragraph" w:customStyle="1" w:styleId="228">
    <w:name w:val="xl226"/>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229">
    <w:name w:val="xl137"/>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30">
    <w:name w:val="msonormal"/>
    <w:basedOn w:val="1"/>
    <w:autoRedefine/>
    <w:qFormat/>
    <w:uiPriority w:val="0"/>
    <w:pPr>
      <w:spacing w:before="100" w:beforeAutospacing="1" w:after="100" w:afterAutospacing="1"/>
    </w:pPr>
    <w:rPr>
      <w:rFonts w:ascii="宋体" w:hAnsi="宋体" w:cs="宋体"/>
      <w:sz w:val="24"/>
      <w:szCs w:val="24"/>
    </w:rPr>
  </w:style>
  <w:style w:type="paragraph" w:customStyle="1" w:styleId="231">
    <w:name w:val="font35"/>
    <w:basedOn w:val="1"/>
    <w:autoRedefine/>
    <w:qFormat/>
    <w:uiPriority w:val="0"/>
    <w:pPr>
      <w:spacing w:before="100" w:beforeAutospacing="1" w:after="100" w:afterAutospacing="1"/>
    </w:pPr>
    <w:rPr>
      <w:rFonts w:ascii="宋体" w:hAnsi="宋体" w:cs="宋体"/>
      <w:b/>
      <w:bCs/>
      <w:color w:val="000000"/>
      <w:sz w:val="20"/>
      <w:szCs w:val="20"/>
    </w:rPr>
  </w:style>
  <w:style w:type="paragraph" w:customStyle="1" w:styleId="232">
    <w:name w:val="xl18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33">
    <w:name w:val="xl8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2"/>
      <w:szCs w:val="22"/>
    </w:rPr>
  </w:style>
  <w:style w:type="paragraph" w:customStyle="1" w:styleId="234">
    <w:name w:val="font6"/>
    <w:basedOn w:val="1"/>
    <w:autoRedefine/>
    <w:qFormat/>
    <w:uiPriority w:val="0"/>
    <w:pPr>
      <w:spacing w:before="100" w:beforeAutospacing="1" w:after="100" w:afterAutospacing="1"/>
    </w:pPr>
    <w:rPr>
      <w:rFonts w:ascii="宋体" w:hAnsi="宋体" w:cs="宋体"/>
      <w:sz w:val="18"/>
      <w:szCs w:val="18"/>
    </w:rPr>
  </w:style>
  <w:style w:type="paragraph" w:customStyle="1" w:styleId="235">
    <w:name w:val="xl19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236">
    <w:name w:val="xl176"/>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sz w:val="24"/>
      <w:szCs w:val="24"/>
    </w:rPr>
  </w:style>
  <w:style w:type="paragraph" w:customStyle="1" w:styleId="237">
    <w:name w:val="xl148"/>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38">
    <w:name w:val="font8"/>
    <w:basedOn w:val="1"/>
    <w:autoRedefine/>
    <w:qFormat/>
    <w:uiPriority w:val="0"/>
    <w:pPr>
      <w:spacing w:before="100" w:beforeAutospacing="1" w:after="100" w:afterAutospacing="1"/>
    </w:pPr>
    <w:rPr>
      <w:rFonts w:ascii="宋体" w:hAnsi="宋体" w:cs="宋体"/>
      <w:sz w:val="18"/>
      <w:szCs w:val="18"/>
    </w:rPr>
  </w:style>
  <w:style w:type="paragraph" w:customStyle="1" w:styleId="239">
    <w:name w:val="font40"/>
    <w:basedOn w:val="1"/>
    <w:autoRedefine/>
    <w:qFormat/>
    <w:uiPriority w:val="0"/>
    <w:pPr>
      <w:spacing w:before="100" w:beforeAutospacing="1" w:after="100" w:afterAutospacing="1"/>
    </w:pPr>
    <w:rPr>
      <w:rFonts w:ascii="宋体" w:hAnsi="宋体" w:cs="宋体"/>
      <w:b/>
      <w:bCs/>
      <w:color w:val="000000"/>
      <w:sz w:val="20"/>
      <w:szCs w:val="20"/>
    </w:rPr>
  </w:style>
  <w:style w:type="paragraph" w:customStyle="1" w:styleId="240">
    <w:name w:val="xl218"/>
    <w:basedOn w:val="1"/>
    <w:autoRedefine/>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pPr>
    <w:rPr>
      <w:rFonts w:ascii="宋体" w:hAnsi="宋体" w:cs="宋体"/>
      <w:b/>
      <w:bCs/>
      <w:color w:val="000000"/>
      <w:sz w:val="24"/>
      <w:szCs w:val="24"/>
    </w:rPr>
  </w:style>
  <w:style w:type="paragraph" w:customStyle="1" w:styleId="241">
    <w:name w:val="xl126"/>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242">
    <w:name w:val="font12"/>
    <w:basedOn w:val="1"/>
    <w:autoRedefine/>
    <w:qFormat/>
    <w:uiPriority w:val="0"/>
    <w:pPr>
      <w:spacing w:before="100" w:beforeAutospacing="1" w:after="100" w:afterAutospacing="1"/>
    </w:pPr>
    <w:rPr>
      <w:rFonts w:ascii="宋体" w:hAnsi="宋体" w:cs="宋体"/>
      <w:sz w:val="18"/>
      <w:szCs w:val="18"/>
    </w:rPr>
  </w:style>
  <w:style w:type="paragraph" w:customStyle="1" w:styleId="243">
    <w:name w:val="xl197"/>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pPr>
    <w:rPr>
      <w:rFonts w:ascii="宋体" w:hAnsi="宋体" w:cs="宋体"/>
      <w:b/>
      <w:bCs/>
      <w:color w:val="000000"/>
      <w:sz w:val="22"/>
      <w:szCs w:val="22"/>
    </w:rPr>
  </w:style>
  <w:style w:type="paragraph" w:customStyle="1" w:styleId="244">
    <w:name w:val="xl155"/>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45">
    <w:name w:val="xl101"/>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4"/>
      <w:szCs w:val="24"/>
    </w:rPr>
  </w:style>
  <w:style w:type="paragraph" w:customStyle="1" w:styleId="246">
    <w:name w:val="font15"/>
    <w:basedOn w:val="1"/>
    <w:autoRedefine/>
    <w:qFormat/>
    <w:uiPriority w:val="0"/>
    <w:pPr>
      <w:spacing w:before="100" w:beforeAutospacing="1" w:after="100" w:afterAutospacing="1"/>
    </w:pPr>
    <w:rPr>
      <w:rFonts w:ascii="宋体" w:hAnsi="宋体" w:cs="宋体"/>
      <w:b/>
      <w:bCs/>
      <w:sz w:val="22"/>
      <w:szCs w:val="22"/>
    </w:rPr>
  </w:style>
  <w:style w:type="paragraph" w:customStyle="1" w:styleId="247">
    <w:name w:val="xl196"/>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pPr>
    <w:rPr>
      <w:rFonts w:ascii="宋体" w:hAnsi="宋体" w:cs="宋体"/>
      <w:b/>
      <w:bCs/>
      <w:color w:val="000000"/>
      <w:sz w:val="22"/>
      <w:szCs w:val="22"/>
    </w:rPr>
  </w:style>
  <w:style w:type="paragraph" w:customStyle="1" w:styleId="248">
    <w:name w:val="xl118"/>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color w:val="000000"/>
      <w:sz w:val="22"/>
      <w:szCs w:val="22"/>
    </w:rPr>
  </w:style>
  <w:style w:type="paragraph" w:customStyle="1" w:styleId="249">
    <w:name w:val="xl97"/>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50">
    <w:name w:val="xl71"/>
    <w:basedOn w:val="1"/>
    <w:autoRedefine/>
    <w:qFormat/>
    <w:uiPriority w:val="0"/>
    <w:pPr>
      <w:spacing w:before="100" w:beforeAutospacing="1" w:after="100" w:afterAutospacing="1"/>
      <w:textAlignment w:val="bottom"/>
    </w:pPr>
    <w:rPr>
      <w:rFonts w:ascii="微软雅黑" w:hAnsi="微软雅黑" w:eastAsia="微软雅黑" w:cs="宋体"/>
      <w:color w:val="000000"/>
      <w:sz w:val="22"/>
      <w:szCs w:val="22"/>
    </w:rPr>
  </w:style>
  <w:style w:type="paragraph" w:customStyle="1" w:styleId="251">
    <w:name w:val="xl161"/>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color w:val="FF0000"/>
      <w:sz w:val="24"/>
      <w:szCs w:val="24"/>
    </w:rPr>
  </w:style>
  <w:style w:type="paragraph" w:customStyle="1" w:styleId="252">
    <w:name w:val="xl136"/>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53">
    <w:name w:val="xl8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8"/>
      <w:szCs w:val="28"/>
    </w:rPr>
  </w:style>
  <w:style w:type="paragraph" w:customStyle="1" w:styleId="254">
    <w:name w:val="xl72"/>
    <w:basedOn w:val="1"/>
    <w:autoRedefine/>
    <w:qFormat/>
    <w:uiPriority w:val="0"/>
    <w:pPr>
      <w:spacing w:before="100" w:beforeAutospacing="1" w:after="100" w:afterAutospacing="1"/>
    </w:pPr>
    <w:rPr>
      <w:rFonts w:ascii="微软雅黑" w:hAnsi="微软雅黑" w:eastAsia="微软雅黑" w:cs="宋体"/>
      <w:color w:val="000000"/>
      <w:sz w:val="22"/>
      <w:szCs w:val="22"/>
    </w:rPr>
  </w:style>
  <w:style w:type="paragraph" w:customStyle="1" w:styleId="255">
    <w:name w:val="font48"/>
    <w:basedOn w:val="1"/>
    <w:autoRedefine/>
    <w:qFormat/>
    <w:uiPriority w:val="0"/>
    <w:pPr>
      <w:spacing w:before="100" w:beforeAutospacing="1" w:after="100" w:afterAutospacing="1"/>
    </w:pPr>
    <w:rPr>
      <w:rFonts w:ascii="等线" w:hAnsi="等线" w:eastAsia="等线" w:cs="宋体"/>
      <w:color w:val="000000"/>
      <w:sz w:val="20"/>
      <w:szCs w:val="20"/>
    </w:rPr>
  </w:style>
  <w:style w:type="paragraph" w:customStyle="1" w:styleId="256">
    <w:name w:val="xl234"/>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57">
    <w:name w:val="xl179"/>
    <w:basedOn w:val="1"/>
    <w:autoRedefine/>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pPr>
    <w:rPr>
      <w:rFonts w:ascii="宋体" w:hAnsi="宋体" w:cs="宋体"/>
      <w:sz w:val="24"/>
      <w:szCs w:val="24"/>
    </w:rPr>
  </w:style>
  <w:style w:type="paragraph" w:customStyle="1" w:styleId="258">
    <w:name w:val="xl141"/>
    <w:basedOn w:val="1"/>
    <w:autoRedefine/>
    <w:qFormat/>
    <w:uiPriority w:val="0"/>
    <w:pPr>
      <w:pBdr>
        <w:top w:val="single" w:color="auto" w:sz="4" w:space="0"/>
        <w:left w:val="single" w:color="auto"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259">
    <w:name w:val="xl7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60">
    <w:name w:val="xl22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24"/>
      <w:szCs w:val="24"/>
    </w:rPr>
  </w:style>
  <w:style w:type="paragraph" w:customStyle="1" w:styleId="261">
    <w:name w:val="xl104"/>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262">
    <w:name w:val="xl7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63">
    <w:name w:val="font39"/>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264">
    <w:name w:val="font22"/>
    <w:basedOn w:val="1"/>
    <w:autoRedefine/>
    <w:qFormat/>
    <w:uiPriority w:val="0"/>
    <w:pPr>
      <w:spacing w:before="100" w:beforeAutospacing="1" w:after="100" w:afterAutospacing="1"/>
    </w:pPr>
    <w:rPr>
      <w:rFonts w:ascii="宋体" w:hAnsi="宋体" w:cs="宋体"/>
      <w:b/>
      <w:bCs/>
      <w:sz w:val="22"/>
      <w:szCs w:val="22"/>
    </w:rPr>
  </w:style>
  <w:style w:type="paragraph" w:customStyle="1" w:styleId="265">
    <w:name w:val="xl138"/>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66">
    <w:name w:val="xl105"/>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2"/>
      <w:szCs w:val="22"/>
    </w:rPr>
  </w:style>
  <w:style w:type="paragraph" w:customStyle="1" w:styleId="267">
    <w:name w:val="xl77"/>
    <w:basedOn w:val="1"/>
    <w:autoRedefine/>
    <w:qFormat/>
    <w:uiPriority w:val="0"/>
    <w:pPr>
      <w:spacing w:before="100" w:beforeAutospacing="1" w:after="100" w:afterAutospacing="1"/>
    </w:pPr>
    <w:rPr>
      <w:rFonts w:ascii="宋体" w:hAnsi="宋体" w:cs="宋体"/>
      <w:sz w:val="22"/>
      <w:szCs w:val="22"/>
    </w:rPr>
  </w:style>
  <w:style w:type="paragraph" w:customStyle="1" w:styleId="268">
    <w:name w:val="xl216"/>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pPr>
    <w:rPr>
      <w:rFonts w:ascii="宋体" w:hAnsi="宋体" w:cs="宋体"/>
      <w:b/>
      <w:bCs/>
      <w:color w:val="000000"/>
      <w:sz w:val="22"/>
      <w:szCs w:val="22"/>
    </w:rPr>
  </w:style>
  <w:style w:type="paragraph" w:customStyle="1" w:styleId="269">
    <w:name w:val="xl190"/>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pPr>
    <w:rPr>
      <w:rFonts w:ascii="宋体" w:hAnsi="宋体" w:cs="宋体"/>
      <w:b/>
      <w:bCs/>
      <w:sz w:val="22"/>
      <w:szCs w:val="22"/>
    </w:rPr>
  </w:style>
  <w:style w:type="paragraph" w:customStyle="1" w:styleId="270">
    <w:name w:val="xl107"/>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271">
    <w:name w:val="xl78"/>
    <w:basedOn w:val="1"/>
    <w:autoRedefine/>
    <w:qFormat/>
    <w:uiPriority w:val="0"/>
    <w:pPr>
      <w:spacing w:before="100" w:beforeAutospacing="1" w:after="100" w:afterAutospacing="1"/>
    </w:pPr>
    <w:rPr>
      <w:rFonts w:ascii="宋体" w:hAnsi="宋体" w:cs="宋体"/>
      <w:sz w:val="22"/>
      <w:szCs w:val="22"/>
    </w:rPr>
  </w:style>
  <w:style w:type="paragraph" w:customStyle="1" w:styleId="272">
    <w:name w:val="font50"/>
    <w:basedOn w:val="1"/>
    <w:autoRedefine/>
    <w:qFormat/>
    <w:uiPriority w:val="0"/>
    <w:pPr>
      <w:spacing w:before="100" w:beforeAutospacing="1" w:after="100" w:afterAutospacing="1"/>
    </w:pPr>
    <w:rPr>
      <w:rFonts w:ascii="宋体" w:hAnsi="宋体" w:cs="宋体"/>
      <w:color w:val="000000"/>
      <w:sz w:val="20"/>
      <w:szCs w:val="20"/>
    </w:rPr>
  </w:style>
  <w:style w:type="paragraph" w:customStyle="1" w:styleId="273">
    <w:name w:val="xl229"/>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color w:val="000000"/>
      <w:sz w:val="24"/>
      <w:szCs w:val="24"/>
    </w:rPr>
  </w:style>
  <w:style w:type="paragraph" w:customStyle="1" w:styleId="274">
    <w:name w:val="xl143"/>
    <w:basedOn w:val="1"/>
    <w:autoRedefine/>
    <w:qFormat/>
    <w:uiPriority w:val="0"/>
    <w:pPr>
      <w:pBdr>
        <w:top w:val="single" w:color="auto" w:sz="4" w:space="0"/>
        <w:left w:val="single" w:color="auto" w:sz="4" w:space="0"/>
        <w:bottom w:val="single" w:color="auto" w:sz="4" w:space="0"/>
      </w:pBdr>
      <w:spacing w:before="100" w:beforeAutospacing="1" w:after="100" w:afterAutospacing="1"/>
      <w:jc w:val="right"/>
    </w:pPr>
    <w:rPr>
      <w:rFonts w:ascii="宋体" w:hAnsi="宋体" w:cs="宋体"/>
      <w:b/>
      <w:bCs/>
      <w:sz w:val="22"/>
      <w:szCs w:val="22"/>
    </w:rPr>
  </w:style>
  <w:style w:type="paragraph" w:customStyle="1" w:styleId="275">
    <w:name w:val="xl109"/>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4"/>
      <w:szCs w:val="24"/>
    </w:rPr>
  </w:style>
  <w:style w:type="paragraph" w:customStyle="1" w:styleId="276">
    <w:name w:val="xl79"/>
    <w:basedOn w:val="1"/>
    <w:autoRedefine/>
    <w:qFormat/>
    <w:uiPriority w:val="0"/>
    <w:pPr>
      <w:spacing w:before="100" w:beforeAutospacing="1" w:after="100" w:afterAutospacing="1"/>
    </w:pPr>
    <w:rPr>
      <w:rFonts w:ascii="宋体" w:hAnsi="宋体" w:cs="宋体"/>
      <w:sz w:val="24"/>
      <w:szCs w:val="24"/>
    </w:rPr>
  </w:style>
  <w:style w:type="paragraph" w:customStyle="1" w:styleId="277">
    <w:name w:val="xl228"/>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278">
    <w:name w:val="font38"/>
    <w:basedOn w:val="1"/>
    <w:autoRedefine/>
    <w:qFormat/>
    <w:uiPriority w:val="0"/>
    <w:pPr>
      <w:spacing w:before="100" w:beforeAutospacing="1" w:after="100" w:afterAutospacing="1"/>
    </w:pPr>
    <w:rPr>
      <w:rFonts w:ascii="宋体" w:hAnsi="宋体" w:cs="宋体"/>
      <w:b/>
      <w:bCs/>
      <w:color w:val="000000"/>
      <w:sz w:val="20"/>
      <w:szCs w:val="20"/>
    </w:rPr>
  </w:style>
  <w:style w:type="paragraph" w:customStyle="1" w:styleId="279">
    <w:name w:val="xl159"/>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color w:val="000000"/>
      <w:sz w:val="24"/>
      <w:szCs w:val="24"/>
    </w:rPr>
  </w:style>
  <w:style w:type="paragraph" w:customStyle="1" w:styleId="280">
    <w:name w:val="xl116"/>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281">
    <w:name w:val="xl8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8"/>
      <w:szCs w:val="28"/>
    </w:rPr>
  </w:style>
  <w:style w:type="paragraph" w:customStyle="1" w:styleId="282">
    <w:name w:val="font30"/>
    <w:basedOn w:val="1"/>
    <w:autoRedefine/>
    <w:qFormat/>
    <w:uiPriority w:val="0"/>
    <w:pPr>
      <w:spacing w:before="100" w:beforeAutospacing="1" w:after="100" w:afterAutospacing="1"/>
    </w:pPr>
    <w:rPr>
      <w:rFonts w:ascii="等线" w:hAnsi="等线" w:eastAsia="等线" w:cs="宋体"/>
      <w:color w:val="000000"/>
      <w:sz w:val="20"/>
      <w:szCs w:val="20"/>
    </w:rPr>
  </w:style>
  <w:style w:type="paragraph" w:customStyle="1" w:styleId="283">
    <w:name w:val="xl108"/>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284">
    <w:name w:val="xl85"/>
    <w:basedOn w:val="1"/>
    <w:autoRedefine/>
    <w:qFormat/>
    <w:uiPriority w:val="0"/>
    <w:pPr>
      <w:spacing w:before="100" w:beforeAutospacing="1" w:after="100" w:afterAutospacing="1"/>
      <w:jc w:val="center"/>
    </w:pPr>
    <w:rPr>
      <w:rFonts w:ascii="宋体" w:hAnsi="宋体" w:cs="宋体"/>
      <w:color w:val="000000"/>
      <w:sz w:val="24"/>
      <w:szCs w:val="24"/>
    </w:rPr>
  </w:style>
  <w:style w:type="paragraph" w:customStyle="1" w:styleId="285">
    <w:name w:val="font33"/>
    <w:basedOn w:val="1"/>
    <w:autoRedefine/>
    <w:qFormat/>
    <w:uiPriority w:val="0"/>
    <w:pPr>
      <w:spacing w:before="100" w:beforeAutospacing="1" w:after="100" w:afterAutospacing="1"/>
    </w:pPr>
    <w:rPr>
      <w:rFonts w:ascii="宋体" w:hAnsi="宋体" w:cs="宋体"/>
      <w:sz w:val="20"/>
      <w:szCs w:val="20"/>
    </w:rPr>
  </w:style>
  <w:style w:type="paragraph" w:customStyle="1" w:styleId="286">
    <w:name w:val="xl191"/>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b/>
      <w:bCs/>
      <w:sz w:val="24"/>
      <w:szCs w:val="24"/>
    </w:rPr>
  </w:style>
  <w:style w:type="paragraph" w:customStyle="1" w:styleId="287">
    <w:name w:val="xl115"/>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2"/>
      <w:szCs w:val="22"/>
    </w:rPr>
  </w:style>
  <w:style w:type="paragraph" w:customStyle="1" w:styleId="288">
    <w:name w:val="xl8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89">
    <w:name w:val="font49"/>
    <w:basedOn w:val="1"/>
    <w:autoRedefine/>
    <w:qFormat/>
    <w:uiPriority w:val="0"/>
    <w:pPr>
      <w:spacing w:before="100" w:beforeAutospacing="1" w:after="100" w:afterAutospacing="1"/>
    </w:pPr>
    <w:rPr>
      <w:rFonts w:ascii="宋体" w:hAnsi="宋体" w:cs="宋体"/>
      <w:b/>
      <w:bCs/>
      <w:sz w:val="20"/>
      <w:szCs w:val="20"/>
    </w:rPr>
  </w:style>
  <w:style w:type="paragraph" w:customStyle="1" w:styleId="290">
    <w:name w:val="font34"/>
    <w:basedOn w:val="1"/>
    <w:autoRedefine/>
    <w:qFormat/>
    <w:uiPriority w:val="0"/>
    <w:pPr>
      <w:spacing w:before="100" w:beforeAutospacing="1" w:after="100" w:afterAutospacing="1"/>
    </w:pPr>
    <w:rPr>
      <w:rFonts w:ascii="宋体" w:hAnsi="宋体" w:cs="宋体"/>
      <w:color w:val="000000"/>
      <w:sz w:val="20"/>
      <w:szCs w:val="20"/>
    </w:rPr>
  </w:style>
  <w:style w:type="paragraph" w:customStyle="1" w:styleId="291">
    <w:name w:val="xl18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92">
    <w:name w:val="xl8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93">
    <w:name w:val="xl215"/>
    <w:basedOn w:val="1"/>
    <w:autoRedefine/>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pPr>
    <w:rPr>
      <w:rFonts w:ascii="宋体" w:hAnsi="宋体" w:cs="宋体"/>
      <w:b/>
      <w:bCs/>
      <w:sz w:val="24"/>
      <w:szCs w:val="24"/>
    </w:rPr>
  </w:style>
  <w:style w:type="paragraph" w:customStyle="1" w:styleId="294">
    <w:name w:val="xl16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295">
    <w:name w:val="xl12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296">
    <w:name w:val="xl94"/>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2"/>
      <w:szCs w:val="22"/>
    </w:rPr>
  </w:style>
  <w:style w:type="paragraph" w:customStyle="1" w:styleId="297">
    <w:name w:val="font45"/>
    <w:basedOn w:val="1"/>
    <w:autoRedefine/>
    <w:qFormat/>
    <w:uiPriority w:val="0"/>
    <w:pPr>
      <w:spacing w:before="100" w:beforeAutospacing="1" w:after="100" w:afterAutospacing="1"/>
    </w:pPr>
    <w:rPr>
      <w:rFonts w:ascii="宋体" w:hAnsi="宋体" w:cs="宋体"/>
      <w:color w:val="FF0000"/>
      <w:sz w:val="20"/>
      <w:szCs w:val="20"/>
    </w:rPr>
  </w:style>
  <w:style w:type="paragraph" w:customStyle="1" w:styleId="298">
    <w:name w:val="xl199"/>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4"/>
      <w:szCs w:val="24"/>
    </w:rPr>
  </w:style>
  <w:style w:type="paragraph" w:customStyle="1" w:styleId="299">
    <w:name w:val="xl166"/>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color w:val="FF0000"/>
      <w:sz w:val="24"/>
      <w:szCs w:val="24"/>
    </w:rPr>
  </w:style>
  <w:style w:type="paragraph" w:customStyle="1" w:styleId="300">
    <w:name w:val="xl95"/>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2"/>
      <w:szCs w:val="22"/>
    </w:rPr>
  </w:style>
  <w:style w:type="paragraph" w:customStyle="1" w:styleId="301">
    <w:name w:val="font46"/>
    <w:basedOn w:val="1"/>
    <w:autoRedefine/>
    <w:qFormat/>
    <w:uiPriority w:val="0"/>
    <w:pPr>
      <w:spacing w:before="100" w:beforeAutospacing="1" w:after="100" w:afterAutospacing="1"/>
    </w:pPr>
    <w:rPr>
      <w:rFonts w:ascii="宋体" w:hAnsi="宋体" w:cs="宋体"/>
      <w:sz w:val="20"/>
      <w:szCs w:val="20"/>
    </w:rPr>
  </w:style>
  <w:style w:type="paragraph" w:customStyle="1" w:styleId="302">
    <w:name w:val="xl16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24"/>
      <w:szCs w:val="24"/>
    </w:rPr>
  </w:style>
  <w:style w:type="paragraph" w:customStyle="1" w:styleId="303">
    <w:name w:val="xl96"/>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304">
    <w:name w:val="xl1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305">
    <w:name w:val="xl100"/>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306">
    <w:name w:val="font32"/>
    <w:basedOn w:val="1"/>
    <w:autoRedefine/>
    <w:qFormat/>
    <w:uiPriority w:val="0"/>
    <w:pPr>
      <w:spacing w:before="100" w:beforeAutospacing="1" w:after="100" w:afterAutospacing="1"/>
    </w:pPr>
    <w:rPr>
      <w:rFonts w:ascii="宋体" w:hAnsi="宋体" w:cs="宋体"/>
      <w:color w:val="000000"/>
      <w:sz w:val="20"/>
      <w:szCs w:val="20"/>
    </w:rPr>
  </w:style>
  <w:style w:type="paragraph" w:customStyle="1" w:styleId="307">
    <w:name w:val="xl106"/>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4"/>
      <w:szCs w:val="24"/>
    </w:rPr>
  </w:style>
  <w:style w:type="paragraph" w:customStyle="1" w:styleId="308">
    <w:name w:val="xl11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rPr>
  </w:style>
  <w:style w:type="paragraph" w:customStyle="1" w:styleId="309">
    <w:name w:val="xl22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24"/>
      <w:szCs w:val="24"/>
    </w:rPr>
  </w:style>
  <w:style w:type="paragraph" w:customStyle="1" w:styleId="310">
    <w:name w:val="xl205"/>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311">
    <w:name w:val="xl17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4"/>
      <w:szCs w:val="24"/>
    </w:rPr>
  </w:style>
  <w:style w:type="paragraph" w:customStyle="1" w:styleId="312">
    <w:name w:val="列表段落1111"/>
    <w:basedOn w:val="1"/>
    <w:autoRedefine/>
    <w:qFormat/>
    <w:uiPriority w:val="34"/>
    <w:pPr>
      <w:ind w:firstLine="420" w:firstLineChars="200"/>
    </w:pPr>
    <w:rPr>
      <w:rFonts w:ascii="Century" w:hAnsi="Century" w:cs="宋体"/>
      <w:szCs w:val="20"/>
      <w:lang w:eastAsia="ja-JP"/>
    </w:rPr>
  </w:style>
  <w:style w:type="paragraph" w:customStyle="1" w:styleId="313">
    <w:name w:val="xl144"/>
    <w:basedOn w:val="1"/>
    <w:autoRedefine/>
    <w:qFormat/>
    <w:uiPriority w:val="0"/>
    <w:pPr>
      <w:pBdr>
        <w:top w:val="single" w:color="auto" w:sz="4" w:space="0"/>
        <w:bottom w:val="single" w:color="auto" w:sz="4" w:space="0"/>
      </w:pBdr>
      <w:spacing w:before="100" w:beforeAutospacing="1" w:after="100" w:afterAutospacing="1"/>
      <w:jc w:val="right"/>
    </w:pPr>
    <w:rPr>
      <w:rFonts w:ascii="宋体" w:hAnsi="宋体" w:cs="宋体"/>
      <w:b/>
      <w:bCs/>
      <w:sz w:val="22"/>
      <w:szCs w:val="22"/>
    </w:rPr>
  </w:style>
  <w:style w:type="paragraph" w:customStyle="1" w:styleId="314">
    <w:name w:val="xl112"/>
    <w:basedOn w:val="1"/>
    <w:autoRedefine/>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sz w:val="22"/>
      <w:szCs w:val="22"/>
    </w:rPr>
  </w:style>
  <w:style w:type="paragraph" w:customStyle="1" w:styleId="315">
    <w:name w:val="font42"/>
    <w:basedOn w:val="1"/>
    <w:autoRedefine/>
    <w:qFormat/>
    <w:uiPriority w:val="0"/>
    <w:pPr>
      <w:spacing w:before="100" w:beforeAutospacing="1" w:after="100" w:afterAutospacing="1"/>
    </w:pPr>
    <w:rPr>
      <w:rFonts w:ascii="宋体" w:hAnsi="宋体" w:cs="宋体"/>
      <w:sz w:val="20"/>
      <w:szCs w:val="20"/>
    </w:rPr>
  </w:style>
  <w:style w:type="paragraph" w:customStyle="1" w:styleId="316">
    <w:name w:val="xl217"/>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pPr>
    <w:rPr>
      <w:rFonts w:ascii="宋体" w:hAnsi="宋体" w:cs="宋体"/>
      <w:b/>
      <w:bCs/>
      <w:color w:val="000000"/>
      <w:sz w:val="22"/>
      <w:szCs w:val="22"/>
    </w:rPr>
  </w:style>
  <w:style w:type="paragraph" w:customStyle="1" w:styleId="317">
    <w:name w:val="xl19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318">
    <w:name w:val="xl163"/>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color w:val="FF0000"/>
      <w:sz w:val="24"/>
      <w:szCs w:val="24"/>
    </w:rPr>
  </w:style>
  <w:style w:type="paragraph" w:customStyle="1" w:styleId="319">
    <w:name w:val="font18"/>
    <w:basedOn w:val="1"/>
    <w:autoRedefine/>
    <w:qFormat/>
    <w:uiPriority w:val="0"/>
    <w:pPr>
      <w:spacing w:before="100" w:beforeAutospacing="1" w:after="100" w:afterAutospacing="1"/>
    </w:pPr>
    <w:rPr>
      <w:rFonts w:ascii="宋体" w:hAnsi="宋体" w:cs="宋体"/>
      <w:color w:val="000000"/>
      <w:sz w:val="22"/>
      <w:szCs w:val="22"/>
    </w:rPr>
  </w:style>
  <w:style w:type="paragraph" w:customStyle="1" w:styleId="320">
    <w:name w:val="xl127"/>
    <w:basedOn w:val="1"/>
    <w:autoRedefine/>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2"/>
      <w:szCs w:val="22"/>
    </w:rPr>
  </w:style>
  <w:style w:type="paragraph" w:customStyle="1" w:styleId="321">
    <w:name w:val="xl241"/>
    <w:basedOn w:val="1"/>
    <w:autoRedefine/>
    <w:qFormat/>
    <w:uiPriority w:val="0"/>
    <w:pPr>
      <w:pBdr>
        <w:top w:val="single" w:color="auto" w:sz="4" w:space="0"/>
        <w:left w:val="single" w:color="auto" w:sz="4" w:space="0"/>
        <w:bottom w:val="single" w:color="auto" w:sz="4" w:space="0"/>
        <w:right w:val="single" w:color="auto" w:sz="4" w:space="0"/>
      </w:pBdr>
      <w:shd w:val="clear" w:color="000000" w:fill="9BC2E6"/>
      <w:spacing w:before="100" w:beforeAutospacing="1" w:after="100" w:afterAutospacing="1"/>
    </w:pPr>
    <w:rPr>
      <w:rFonts w:ascii="宋体" w:hAnsi="宋体" w:cs="宋体"/>
      <w:sz w:val="24"/>
      <w:szCs w:val="24"/>
    </w:rPr>
  </w:style>
  <w:style w:type="paragraph" w:customStyle="1" w:styleId="322">
    <w:name w:val="xl213"/>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textAlignment w:val="bottom"/>
    </w:pPr>
    <w:rPr>
      <w:rFonts w:ascii="宋体" w:hAnsi="宋体" w:cs="宋体"/>
      <w:b/>
      <w:bCs/>
      <w:sz w:val="24"/>
      <w:szCs w:val="24"/>
    </w:rPr>
  </w:style>
  <w:style w:type="paragraph" w:customStyle="1" w:styleId="323">
    <w:name w:val="xl202"/>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4"/>
      <w:szCs w:val="24"/>
    </w:rPr>
  </w:style>
  <w:style w:type="paragraph" w:customStyle="1" w:styleId="324">
    <w:name w:val="xl1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color w:val="000000"/>
      <w:sz w:val="22"/>
      <w:szCs w:val="22"/>
    </w:rPr>
  </w:style>
  <w:style w:type="paragraph" w:customStyle="1" w:styleId="325">
    <w:name w:val="xl182"/>
    <w:basedOn w:val="1"/>
    <w:autoRedefine/>
    <w:qFormat/>
    <w:uiPriority w:val="0"/>
    <w:pPr>
      <w:pBdr>
        <w:top w:val="single" w:color="auto" w:sz="4" w:space="0"/>
        <w:left w:val="single" w:color="auto" w:sz="4" w:space="0"/>
        <w:bottom w:val="single" w:color="auto" w:sz="4" w:space="0"/>
        <w:right w:val="single" w:color="auto" w:sz="4" w:space="0"/>
      </w:pBdr>
      <w:shd w:val="clear" w:color="000000" w:fill="E2EFD9"/>
      <w:spacing w:before="100" w:beforeAutospacing="1" w:after="100" w:afterAutospacing="1"/>
    </w:pPr>
    <w:rPr>
      <w:rFonts w:ascii="宋体" w:hAnsi="宋体" w:cs="宋体"/>
      <w:b/>
      <w:bCs/>
      <w:color w:val="000000"/>
      <w:sz w:val="24"/>
      <w:szCs w:val="24"/>
    </w:rPr>
  </w:style>
  <w:style w:type="paragraph" w:customStyle="1" w:styleId="326">
    <w:name w:val="xl133"/>
    <w:basedOn w:val="1"/>
    <w:autoRedefine/>
    <w:qFormat/>
    <w:uiPriority w:val="0"/>
    <w:pPr>
      <w:pBdr>
        <w:left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327">
    <w:name w:val="font43"/>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328">
    <w:name w:val="xl17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rPr>
  </w:style>
  <w:style w:type="paragraph" w:customStyle="1" w:styleId="329">
    <w:name w:val="xl15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2"/>
      <w:szCs w:val="22"/>
    </w:rPr>
  </w:style>
  <w:style w:type="paragraph" w:customStyle="1" w:styleId="330">
    <w:name w:val="font20"/>
    <w:basedOn w:val="1"/>
    <w:autoRedefine/>
    <w:qFormat/>
    <w:uiPriority w:val="0"/>
    <w:pPr>
      <w:spacing w:before="100" w:beforeAutospacing="1" w:after="100" w:afterAutospacing="1"/>
    </w:pPr>
    <w:rPr>
      <w:rFonts w:ascii="宋体" w:hAnsi="宋体" w:cs="宋体"/>
      <w:b/>
      <w:bCs/>
      <w:sz w:val="24"/>
      <w:szCs w:val="24"/>
    </w:rPr>
  </w:style>
  <w:style w:type="paragraph" w:customStyle="1" w:styleId="331">
    <w:name w:val="xl18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szCs w:val="24"/>
    </w:rPr>
  </w:style>
  <w:style w:type="paragraph" w:customStyle="1" w:styleId="332">
    <w:name w:val="xl157"/>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color w:val="FF0000"/>
      <w:sz w:val="24"/>
      <w:szCs w:val="24"/>
    </w:rPr>
  </w:style>
  <w:style w:type="paragraph" w:customStyle="1" w:styleId="333">
    <w:name w:val="xl158"/>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color w:val="000000"/>
      <w:sz w:val="24"/>
      <w:szCs w:val="24"/>
    </w:rPr>
  </w:style>
  <w:style w:type="paragraph" w:customStyle="1" w:styleId="334">
    <w:name w:val="xl237"/>
    <w:basedOn w:val="1"/>
    <w:autoRedefine/>
    <w:qFormat/>
    <w:uiPriority w:val="0"/>
    <w:pPr>
      <w:pBdr>
        <w:top w:val="single" w:color="auto" w:sz="4" w:space="0"/>
        <w:bottom w:val="single" w:color="auto" w:sz="4" w:space="0"/>
      </w:pBdr>
      <w:spacing w:before="100" w:beforeAutospacing="1" w:after="100" w:afterAutospacing="1"/>
    </w:pPr>
    <w:rPr>
      <w:rFonts w:ascii="宋体" w:hAnsi="宋体" w:cs="宋体"/>
      <w:b/>
      <w:bCs/>
      <w:sz w:val="22"/>
      <w:szCs w:val="22"/>
    </w:rPr>
  </w:style>
  <w:style w:type="paragraph" w:customStyle="1" w:styleId="335">
    <w:name w:val="xl211"/>
    <w:basedOn w:val="1"/>
    <w:autoRedefine/>
    <w:qFormat/>
    <w:uiPriority w:val="0"/>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textAlignment w:val="bottom"/>
    </w:pPr>
    <w:rPr>
      <w:rFonts w:ascii="宋体" w:hAnsi="宋体" w:cs="宋体"/>
      <w:b/>
      <w:bCs/>
      <w:sz w:val="24"/>
      <w:szCs w:val="24"/>
    </w:rPr>
  </w:style>
  <w:style w:type="paragraph" w:customStyle="1" w:styleId="336">
    <w:name w:val="xl201"/>
    <w:basedOn w:val="1"/>
    <w:autoRedefine/>
    <w:qFormat/>
    <w:uiPriority w:val="0"/>
    <w:pPr>
      <w:pBdr>
        <w:top w:val="single" w:color="auto" w:sz="4" w:space="0"/>
        <w:left w:val="single" w:color="auto" w:sz="4" w:space="0"/>
        <w:bottom w:val="single" w:color="auto" w:sz="4" w:space="0"/>
        <w:right w:val="single" w:color="auto" w:sz="4" w:space="0"/>
      </w:pBdr>
      <w:shd w:val="clear" w:color="000000" w:fill="FFE799"/>
      <w:spacing w:before="100" w:beforeAutospacing="1" w:after="100" w:afterAutospacing="1"/>
      <w:textAlignment w:val="bottom"/>
    </w:pPr>
    <w:rPr>
      <w:rFonts w:ascii="宋体" w:hAnsi="宋体" w:cs="宋体"/>
      <w:b/>
      <w:bCs/>
      <w:sz w:val="24"/>
      <w:szCs w:val="24"/>
    </w:rPr>
  </w:style>
  <w:style w:type="paragraph" w:customStyle="1" w:styleId="337">
    <w:name w:val="xl164"/>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sz w:val="24"/>
      <w:szCs w:val="24"/>
    </w:rPr>
  </w:style>
  <w:style w:type="paragraph" w:customStyle="1" w:styleId="338">
    <w:name w:val="xl160"/>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pPr>
    <w:rPr>
      <w:rFonts w:ascii="宋体" w:hAnsi="宋体" w:cs="宋体"/>
      <w:color w:val="FF0000"/>
      <w:sz w:val="24"/>
      <w:szCs w:val="24"/>
    </w:rPr>
  </w:style>
  <w:style w:type="paragraph" w:customStyle="1" w:styleId="339">
    <w:name w:val="xl174"/>
    <w:basedOn w:val="1"/>
    <w:autoRedefine/>
    <w:qFormat/>
    <w:uiPriority w:val="0"/>
    <w:pPr>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pPr>
    <w:rPr>
      <w:rFonts w:ascii="宋体" w:hAnsi="宋体" w:cs="宋体"/>
      <w:b/>
      <w:bCs/>
      <w:sz w:val="24"/>
      <w:szCs w:val="24"/>
    </w:rPr>
  </w:style>
  <w:style w:type="paragraph" w:customStyle="1" w:styleId="340">
    <w:name w:val="xl230"/>
    <w:basedOn w:val="1"/>
    <w:autoRedefine/>
    <w:qFormat/>
    <w:uiPriority w:val="0"/>
    <w:pPr>
      <w:pBdr>
        <w:top w:val="single" w:color="auto" w:sz="4" w:space="0"/>
        <w:bottom w:val="single" w:color="auto" w:sz="4" w:space="0"/>
      </w:pBdr>
      <w:spacing w:before="100" w:beforeAutospacing="1" w:after="100" w:afterAutospacing="1"/>
    </w:pPr>
    <w:rPr>
      <w:rFonts w:ascii="宋体" w:hAnsi="宋体" w:cs="宋体"/>
      <w:b/>
      <w:bCs/>
      <w:color w:val="000000"/>
      <w:sz w:val="24"/>
      <w:szCs w:val="24"/>
    </w:rPr>
  </w:style>
  <w:style w:type="paragraph" w:customStyle="1" w:styleId="341">
    <w:name w:val="xl180"/>
    <w:basedOn w:val="1"/>
    <w:autoRedefine/>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pPr>
    <w:rPr>
      <w:rFonts w:ascii="宋体" w:hAnsi="宋体" w:cs="宋体"/>
      <w:sz w:val="24"/>
      <w:szCs w:val="24"/>
    </w:rPr>
  </w:style>
  <w:style w:type="paragraph" w:customStyle="1" w:styleId="342">
    <w:name w:val="xl238"/>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b/>
      <w:bCs/>
      <w:sz w:val="22"/>
      <w:szCs w:val="22"/>
    </w:rPr>
  </w:style>
  <w:style w:type="table" w:customStyle="1" w:styleId="343">
    <w:name w:val="网格型2"/>
    <w:basedOn w:val="4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
    <w:name w:val="标书网格型表格正文1"/>
    <w:basedOn w:val="41"/>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
    <w:name w:val="网格型1"/>
    <w:basedOn w:val="4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
    <w:name w:val="网格型3"/>
    <w:basedOn w:val="41"/>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
    <w:name w:val="网格型21"/>
    <w:basedOn w:val="4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
    <w:name w:val="网格型4"/>
    <w:basedOn w:val="4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
    <w:name w:val="网格型22"/>
    <w:basedOn w:val="4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51">
    <w:name w:val="普通正文"/>
    <w:autoRedefine/>
    <w:qFormat/>
    <w:uiPriority w:val="0"/>
    <w:pPr>
      <w:widowControl w:val="0"/>
      <w:adjustRightInd w:val="0"/>
      <w:spacing w:before="120" w:after="120" w:line="360" w:lineRule="auto"/>
      <w:ind w:firstLine="480"/>
      <w:textAlignment w:val="baseline"/>
    </w:pPr>
    <w:rPr>
      <w:rFonts w:ascii="Arial" w:hAnsi="Arial" w:eastAsia="宋体" w:cs="Times New Roman"/>
      <w:sz w:val="24"/>
      <w:szCs w:val="24"/>
      <w:lang w:val="en-US" w:eastAsia="zh-CN" w:bidi="ar-SA"/>
    </w:rPr>
  </w:style>
  <w:style w:type="paragraph" w:customStyle="1" w:styleId="352">
    <w:name w:val="彩色列表 - 强调文字颜色 11"/>
    <w:basedOn w:val="1"/>
    <w:autoRedefine/>
    <w:qFormat/>
    <w:uiPriority w:val="0"/>
    <w:pPr>
      <w:ind w:firstLine="420" w:firstLineChars="200"/>
    </w:pPr>
    <w:rPr>
      <w:sz w:val="24"/>
      <w:szCs w:val="24"/>
    </w:rPr>
  </w:style>
  <w:style w:type="character" w:customStyle="1" w:styleId="353">
    <w:name w:val="font201"/>
    <w:autoRedefine/>
    <w:qFormat/>
    <w:uiPriority w:val="0"/>
    <w:rPr>
      <w:rFonts w:hint="eastAsia" w:ascii="宋体" w:hAnsi="宋体" w:eastAsia="宋体" w:cs="宋体"/>
      <w:color w:val="FF0000"/>
      <w:sz w:val="22"/>
      <w:szCs w:val="22"/>
      <w:u w:val="none"/>
    </w:rPr>
  </w:style>
  <w:style w:type="character" w:customStyle="1" w:styleId="354">
    <w:name w:val="font151"/>
    <w:autoRedefine/>
    <w:qFormat/>
    <w:uiPriority w:val="0"/>
    <w:rPr>
      <w:rFonts w:ascii="黑体" w:hAnsi="宋体" w:eastAsia="黑体" w:cs="黑体"/>
      <w:b/>
      <w:bCs/>
      <w:color w:val="000000"/>
      <w:sz w:val="22"/>
      <w:szCs w:val="22"/>
      <w:u w:val="none"/>
    </w:rPr>
  </w:style>
  <w:style w:type="character" w:customStyle="1" w:styleId="355">
    <w:name w:val="font91"/>
    <w:autoRedefine/>
    <w:qFormat/>
    <w:uiPriority w:val="0"/>
    <w:rPr>
      <w:rFonts w:hint="eastAsia" w:ascii="宋体" w:hAnsi="宋体" w:eastAsia="宋体" w:cs="宋体"/>
      <w:b/>
      <w:bCs/>
      <w:color w:val="000000"/>
      <w:sz w:val="22"/>
      <w:szCs w:val="22"/>
      <w:u w:val="none"/>
    </w:rPr>
  </w:style>
  <w:style w:type="character" w:customStyle="1" w:styleId="356">
    <w:name w:val="font211"/>
    <w:autoRedefine/>
    <w:qFormat/>
    <w:uiPriority w:val="0"/>
    <w:rPr>
      <w:rFonts w:hint="eastAsia" w:ascii="宋体" w:hAnsi="宋体" w:eastAsia="宋体" w:cs="宋体"/>
      <w:i/>
      <w:iCs/>
      <w:color w:val="000000"/>
      <w:sz w:val="22"/>
      <w:szCs w:val="22"/>
      <w:u w:val="none"/>
    </w:rPr>
  </w:style>
  <w:style w:type="character" w:customStyle="1" w:styleId="357">
    <w:name w:val="font221"/>
    <w:autoRedefine/>
    <w:qFormat/>
    <w:uiPriority w:val="0"/>
    <w:rPr>
      <w:rFonts w:hint="eastAsia" w:ascii="黑体" w:hAnsi="宋体" w:eastAsia="黑体" w:cs="黑体"/>
      <w:b/>
      <w:bCs/>
      <w:color w:val="000000"/>
      <w:sz w:val="22"/>
      <w:szCs w:val="22"/>
      <w:u w:val="none"/>
    </w:rPr>
  </w:style>
  <w:style w:type="character" w:customStyle="1" w:styleId="358">
    <w:name w:val="font232"/>
    <w:autoRedefine/>
    <w:qFormat/>
    <w:uiPriority w:val="0"/>
    <w:rPr>
      <w:rFonts w:ascii="方正黑体_GBK" w:hAnsi="方正黑体_GBK" w:eastAsia="方正黑体_GBK" w:cs="方正黑体_GBK"/>
      <w:color w:val="000000"/>
      <w:sz w:val="22"/>
      <w:szCs w:val="22"/>
      <w:u w:val="none"/>
    </w:rPr>
  </w:style>
  <w:style w:type="character" w:customStyle="1" w:styleId="359">
    <w:name w:val="font241"/>
    <w:autoRedefine/>
    <w:qFormat/>
    <w:uiPriority w:val="0"/>
    <w:rPr>
      <w:rFonts w:hint="eastAsia" w:ascii="黑体" w:hAnsi="宋体" w:eastAsia="黑体" w:cs="黑体"/>
      <w:color w:val="000000"/>
      <w:sz w:val="22"/>
      <w:szCs w:val="22"/>
      <w:u w:val="none"/>
    </w:rPr>
  </w:style>
  <w:style w:type="character" w:customStyle="1" w:styleId="360">
    <w:name w:val="font251"/>
    <w:autoRedefine/>
    <w:qFormat/>
    <w:uiPriority w:val="0"/>
    <w:rPr>
      <w:rFonts w:ascii="等线" w:hAnsi="等线" w:eastAsia="等线" w:cs="等线"/>
      <w:color w:val="000000"/>
      <w:sz w:val="22"/>
      <w:szCs w:val="22"/>
      <w:u w:val="none"/>
    </w:rPr>
  </w:style>
  <w:style w:type="character" w:customStyle="1" w:styleId="361">
    <w:name w:val="font261"/>
    <w:autoRedefine/>
    <w:qFormat/>
    <w:uiPriority w:val="0"/>
    <w:rPr>
      <w:rFonts w:hint="eastAsia" w:ascii="宋体" w:hAnsi="宋体" w:eastAsia="宋体" w:cs="宋体"/>
      <w:color w:val="000000"/>
      <w:sz w:val="22"/>
      <w:szCs w:val="22"/>
      <w:u w:val="none"/>
      <w:vertAlign w:val="superscript"/>
    </w:rPr>
  </w:style>
  <w:style w:type="character" w:customStyle="1" w:styleId="362">
    <w:name w:val="font271"/>
    <w:autoRedefine/>
    <w:qFormat/>
    <w:uiPriority w:val="0"/>
    <w:rPr>
      <w:rFonts w:hint="eastAsia" w:ascii="宋体" w:hAnsi="宋体" w:eastAsia="宋体" w:cs="宋体"/>
      <w:color w:val="000000"/>
      <w:sz w:val="28"/>
      <w:szCs w:val="28"/>
      <w:u w:val="none"/>
    </w:rPr>
  </w:style>
  <w:style w:type="character" w:customStyle="1" w:styleId="363">
    <w:name w:val="font111"/>
    <w:basedOn w:val="43"/>
    <w:autoRedefine/>
    <w:qFormat/>
    <w:uiPriority w:val="0"/>
    <w:rPr>
      <w:rFonts w:hint="default" w:ascii="方正仿宋_GBK" w:hAnsi="方正仿宋_GBK" w:eastAsia="方正仿宋_GBK" w:cs="方正仿宋_GBK"/>
      <w:color w:val="000000"/>
      <w:sz w:val="18"/>
      <w:szCs w:val="18"/>
      <w:u w:val="none"/>
    </w:rPr>
  </w:style>
  <w:style w:type="character" w:customStyle="1" w:styleId="364">
    <w:name w:val="font122"/>
    <w:basedOn w:val="43"/>
    <w:autoRedefine/>
    <w:qFormat/>
    <w:uiPriority w:val="0"/>
    <w:rPr>
      <w:rFonts w:hint="default" w:ascii="Times New Roman" w:hAnsi="Times New Roman" w:cs="Times New Roman"/>
      <w:color w:val="000000"/>
      <w:sz w:val="18"/>
      <w:szCs w:val="18"/>
      <w:u w:val="none"/>
    </w:rPr>
  </w:style>
  <w:style w:type="paragraph" w:customStyle="1" w:styleId="365">
    <w:name w:val="List Paragraph1"/>
    <w:basedOn w:val="1"/>
    <w:autoRedefine/>
    <w:qFormat/>
    <w:uiPriority w:val="34"/>
    <w:pPr>
      <w:ind w:firstLine="420" w:firstLineChars="200"/>
    </w:pPr>
    <w:rPr>
      <w:rFonts w:ascii="Calibri" w:hAnsi="Calibri"/>
    </w:rPr>
  </w:style>
  <w:style w:type="character" w:customStyle="1" w:styleId="366">
    <w:name w:val="font171"/>
    <w:basedOn w:val="43"/>
    <w:autoRedefine/>
    <w:qFormat/>
    <w:uiPriority w:val="0"/>
    <w:rPr>
      <w:rFonts w:hint="default" w:ascii="Times New Roman" w:hAnsi="Times New Roman" w:cs="Times New Roman"/>
      <w:color w:val="000000"/>
      <w:sz w:val="18"/>
      <w:szCs w:val="18"/>
      <w:u w:val="none"/>
    </w:rPr>
  </w:style>
  <w:style w:type="character" w:customStyle="1" w:styleId="367">
    <w:name w:val="font181"/>
    <w:basedOn w:val="43"/>
    <w:autoRedefine/>
    <w:qFormat/>
    <w:uiPriority w:val="0"/>
    <w:rPr>
      <w:rFonts w:hint="eastAsia" w:ascii="宋体" w:hAnsi="宋体" w:eastAsia="宋体" w:cs="宋体"/>
      <w:color w:val="000000"/>
      <w:sz w:val="18"/>
      <w:szCs w:val="18"/>
      <w:u w:val="none"/>
    </w:rPr>
  </w:style>
  <w:style w:type="character" w:customStyle="1" w:styleId="368">
    <w:name w:val="font161"/>
    <w:basedOn w:val="43"/>
    <w:autoRedefine/>
    <w:qFormat/>
    <w:uiPriority w:val="0"/>
    <w:rPr>
      <w:rFonts w:hint="default" w:ascii="方正仿宋_GBK" w:hAnsi="方正仿宋_GBK" w:eastAsia="方正仿宋_GBK" w:cs="方正仿宋_GBK"/>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header" Target="header4.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61"/>
    <customShpInfo spid="_x0000_s2062"/>
    <customShpInfo spid="_x0000_s2067"/>
    <customShpInfo spid="_x0000_s2068"/>
    <customShpInfo spid="_x0000_s2069"/>
    <customShpInfo spid="_x0000_s2070"/>
    <customShpInfo spid="_x0000_s2071"/>
    <customShpInfo spid="_x0000_s2072"/>
    <customShpInfo spid="_x0000_s2073"/>
    <customShpInfo spid="_x0000_s2074"/>
    <customShpInfo spid="_x0000_s2079"/>
    <customShpInfo spid="_x0000_s2080"/>
    <customShpInfo spid="_x0000_s2085"/>
    <customShpInfo spid="_x0000_s1040"/>
    <customShpInfo spid="_x0000_s1041"/>
    <customShpInfo spid="_x0000_s1042"/>
    <customShpInfo spid="_x0000_s1043"/>
    <customShpInfo spid="_x0000_s1044"/>
    <customShpInfo spid="_x0000_s104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57628</Words>
  <Characters>65148</Characters>
  <Lines>130</Lines>
  <Paragraphs>146</Paragraphs>
  <TotalTime>0</TotalTime>
  <ScaleCrop>false</ScaleCrop>
  <LinksUpToDate>false</LinksUpToDate>
  <CharactersWithSpaces>68666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2023-07-21T04:07:00Z</dcterms:created>
  <dc:creator>jsb</dc:creator>
  <cp:lastModifiedBy>「向左」向右</cp:lastModifiedBy>
  <cp:lastPrinted>2019-03-27T01:24:00Z</cp:lastPrinted>
  <dcterms:modified xsi:type="dcterms:W3CDTF">2024-06-26T04:34:06Z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0AB5C710049E48BCA1D79103FD79E054_13</vt:lpwstr>
  </property>
  <property fmtid="{D5CDD505-2E9C-101B-9397-08002B2CF9AE}" pid="3" name="KSOProductBuildVer">
    <vt:lpwstr>2052-12.1.0.16929</vt:lpwstr>
  </property>
</Properties>
</file>