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372EAE">
      <w:pPr>
        <w:bidi w:val="0"/>
        <w:rPr>
          <w:b/>
          <w:bCs/>
          <w:spacing w:val="32"/>
          <w:sz w:val="44"/>
          <w:szCs w:val="44"/>
        </w:rPr>
      </w:pPr>
      <w:bookmarkStart w:id="0" w:name="_Toc29952"/>
      <w:bookmarkStart w:id="1" w:name="_Toc26648"/>
      <w:r>
        <w:rPr>
          <w:rFonts w:hint="eastAsia" w:eastAsia="方正小标宋_GBK"/>
          <w:spacing w:val="32"/>
          <w:sz w:val="44"/>
          <w:szCs w:val="44"/>
          <w:lang w:val="en-US" w:eastAsia="zh-CN"/>
        </w:rPr>
        <w:t>文</w:t>
      </w:r>
      <w:r>
        <w:rPr>
          <w:rFonts w:eastAsia="方正小标宋_GBK"/>
          <w:spacing w:val="32"/>
          <w:sz w:val="44"/>
          <w:szCs w:val="44"/>
        </w:rPr>
        <w:t>山市政府采购和出让中心政府采购</w:t>
      </w:r>
      <w:bookmarkEnd w:id="0"/>
      <w:bookmarkEnd w:id="1"/>
      <w:r>
        <w:rPr>
          <w:b/>
          <w:bCs/>
          <w:spacing w:val="32"/>
          <w:sz w:val="44"/>
          <w:szCs w:val="44"/>
        </w:rPr>
        <w:t xml:space="preserve"> </w:t>
      </w:r>
    </w:p>
    <w:p w14:paraId="27A4B897">
      <w:pPr>
        <w:keepNext w:val="0"/>
        <w:keepLines w:val="0"/>
        <w:pageBreakBefore w:val="0"/>
        <w:widowControl w:val="0"/>
        <w:kinsoku/>
        <w:wordWrap/>
        <w:overflowPunct/>
        <w:topLinePunct w:val="0"/>
        <w:autoSpaceDE/>
        <w:autoSpaceDN/>
        <w:bidi w:val="0"/>
        <w:adjustRightInd/>
        <w:snapToGrid/>
        <w:spacing w:line="120" w:lineRule="auto"/>
        <w:jc w:val="center"/>
        <w:textAlignment w:val="auto"/>
        <w:rPr>
          <w:rFonts w:hint="eastAsia" w:ascii="方正小标宋_GBK" w:hAnsi="方正小标宋_GBK" w:eastAsia="方正小标宋_GBK" w:cs="方正小标宋_GBK"/>
          <w:sz w:val="72"/>
          <w:szCs w:val="72"/>
          <w:u w:val="none"/>
        </w:rPr>
      </w:pPr>
      <w:bookmarkStart w:id="2" w:name="_Toc20862"/>
      <w:bookmarkStart w:id="3" w:name="_Toc7869"/>
      <w:r>
        <w:rPr>
          <w:rFonts w:hint="eastAsia" w:ascii="方正小标宋_GBK" w:hAnsi="方正小标宋_GBK" w:eastAsia="方正小标宋_GBK" w:cs="方正小标宋_GBK"/>
          <w:sz w:val="72"/>
          <w:szCs w:val="72"/>
          <w:u w:val="none"/>
        </w:rPr>
        <w:t>竞</w:t>
      </w:r>
      <w:bookmarkEnd w:id="2"/>
      <w:bookmarkEnd w:id="3"/>
    </w:p>
    <w:p w14:paraId="6D179C52">
      <w:pPr>
        <w:keepNext w:val="0"/>
        <w:keepLines w:val="0"/>
        <w:pageBreakBefore w:val="0"/>
        <w:widowControl w:val="0"/>
        <w:kinsoku/>
        <w:wordWrap/>
        <w:overflowPunct/>
        <w:topLinePunct w:val="0"/>
        <w:autoSpaceDE/>
        <w:autoSpaceDN/>
        <w:bidi w:val="0"/>
        <w:adjustRightInd/>
        <w:snapToGrid/>
        <w:spacing w:line="120" w:lineRule="auto"/>
        <w:jc w:val="center"/>
        <w:textAlignment w:val="auto"/>
        <w:rPr>
          <w:rFonts w:hint="eastAsia" w:ascii="方正小标宋_GBK" w:hAnsi="方正小标宋_GBK" w:eastAsia="方正小标宋_GBK" w:cs="方正小标宋_GBK"/>
          <w:sz w:val="72"/>
          <w:szCs w:val="72"/>
          <w:u w:val="none"/>
        </w:rPr>
      </w:pPr>
      <w:bookmarkStart w:id="4" w:name="_Toc23356"/>
      <w:bookmarkStart w:id="5" w:name="_Toc12081"/>
      <w:r>
        <w:rPr>
          <w:rFonts w:hint="eastAsia" w:ascii="方正小标宋_GBK" w:hAnsi="方正小标宋_GBK" w:eastAsia="方正小标宋_GBK" w:cs="方正小标宋_GBK"/>
          <w:sz w:val="72"/>
          <w:szCs w:val="72"/>
          <w:u w:val="none"/>
        </w:rPr>
        <w:t>争</w:t>
      </w:r>
      <w:bookmarkEnd w:id="4"/>
      <w:bookmarkEnd w:id="5"/>
    </w:p>
    <w:p w14:paraId="3371AFE0">
      <w:pPr>
        <w:keepNext w:val="0"/>
        <w:keepLines w:val="0"/>
        <w:pageBreakBefore w:val="0"/>
        <w:widowControl w:val="0"/>
        <w:kinsoku/>
        <w:wordWrap/>
        <w:overflowPunct/>
        <w:topLinePunct w:val="0"/>
        <w:autoSpaceDE/>
        <w:autoSpaceDN/>
        <w:bidi w:val="0"/>
        <w:adjustRightInd/>
        <w:snapToGrid/>
        <w:spacing w:line="120" w:lineRule="auto"/>
        <w:jc w:val="center"/>
        <w:textAlignment w:val="auto"/>
        <w:rPr>
          <w:rFonts w:hint="eastAsia" w:ascii="方正小标宋_GBK" w:hAnsi="方正小标宋_GBK" w:eastAsia="方正小标宋_GBK" w:cs="方正小标宋_GBK"/>
          <w:sz w:val="72"/>
          <w:szCs w:val="72"/>
          <w:u w:val="none"/>
        </w:rPr>
      </w:pPr>
      <w:bookmarkStart w:id="6" w:name="_Toc7247"/>
      <w:bookmarkStart w:id="7" w:name="_Toc27349"/>
      <w:r>
        <w:rPr>
          <w:rFonts w:hint="eastAsia" w:ascii="方正小标宋_GBK" w:hAnsi="方正小标宋_GBK" w:eastAsia="方正小标宋_GBK" w:cs="方正小标宋_GBK"/>
          <w:sz w:val="72"/>
          <w:szCs w:val="72"/>
          <w:u w:val="none"/>
        </w:rPr>
        <w:t>性</w:t>
      </w:r>
      <w:bookmarkEnd w:id="6"/>
      <w:bookmarkEnd w:id="7"/>
    </w:p>
    <w:p w14:paraId="4EE6ACB3">
      <w:pPr>
        <w:keepNext w:val="0"/>
        <w:keepLines w:val="0"/>
        <w:pageBreakBefore w:val="0"/>
        <w:widowControl w:val="0"/>
        <w:kinsoku/>
        <w:wordWrap/>
        <w:overflowPunct/>
        <w:topLinePunct w:val="0"/>
        <w:autoSpaceDE/>
        <w:autoSpaceDN/>
        <w:bidi w:val="0"/>
        <w:adjustRightInd/>
        <w:snapToGrid/>
        <w:spacing w:line="120" w:lineRule="auto"/>
        <w:jc w:val="center"/>
        <w:textAlignment w:val="auto"/>
        <w:rPr>
          <w:rFonts w:hint="eastAsia" w:ascii="方正小标宋_GBK" w:hAnsi="方正小标宋_GBK" w:eastAsia="方正小标宋_GBK" w:cs="方正小标宋_GBK"/>
          <w:sz w:val="72"/>
          <w:szCs w:val="72"/>
          <w:u w:val="none"/>
          <w:lang w:val="en-US" w:eastAsia="zh-CN"/>
        </w:rPr>
      </w:pPr>
      <w:bookmarkStart w:id="8" w:name="_Toc19028"/>
      <w:bookmarkStart w:id="9" w:name="_Toc4701"/>
      <w:r>
        <w:rPr>
          <w:rFonts w:hint="eastAsia" w:ascii="方正小标宋_GBK" w:hAnsi="方正小标宋_GBK" w:eastAsia="方正小标宋_GBK" w:cs="方正小标宋_GBK"/>
          <w:sz w:val="72"/>
          <w:szCs w:val="72"/>
          <w:u w:val="none"/>
          <w:lang w:val="en-US" w:eastAsia="zh-CN"/>
        </w:rPr>
        <w:t>谈</w:t>
      </w:r>
      <w:bookmarkEnd w:id="8"/>
      <w:bookmarkEnd w:id="9"/>
    </w:p>
    <w:p w14:paraId="09ED6927">
      <w:pPr>
        <w:keepNext w:val="0"/>
        <w:keepLines w:val="0"/>
        <w:pageBreakBefore w:val="0"/>
        <w:widowControl w:val="0"/>
        <w:kinsoku/>
        <w:wordWrap/>
        <w:overflowPunct/>
        <w:topLinePunct w:val="0"/>
        <w:autoSpaceDE/>
        <w:autoSpaceDN/>
        <w:bidi w:val="0"/>
        <w:adjustRightInd/>
        <w:snapToGrid/>
        <w:spacing w:line="120" w:lineRule="auto"/>
        <w:jc w:val="center"/>
        <w:textAlignment w:val="auto"/>
        <w:rPr>
          <w:rFonts w:hint="eastAsia" w:ascii="方正小标宋_GBK" w:hAnsi="方正小标宋_GBK" w:eastAsia="方正小标宋_GBK" w:cs="方正小标宋_GBK"/>
          <w:sz w:val="72"/>
          <w:szCs w:val="72"/>
          <w:u w:val="none"/>
          <w:lang w:eastAsia="zh-CN"/>
        </w:rPr>
      </w:pPr>
      <w:bookmarkStart w:id="10" w:name="_Toc11706"/>
      <w:bookmarkStart w:id="11" w:name="_Toc16983"/>
      <w:r>
        <w:rPr>
          <w:rFonts w:hint="eastAsia" w:ascii="方正小标宋_GBK" w:hAnsi="方正小标宋_GBK" w:eastAsia="方正小标宋_GBK" w:cs="方正小标宋_GBK"/>
          <w:sz w:val="72"/>
          <w:szCs w:val="72"/>
          <w:u w:val="none"/>
          <w:lang w:val="en-US" w:eastAsia="zh-CN"/>
        </w:rPr>
        <w:t>判</w:t>
      </w:r>
      <w:bookmarkEnd w:id="10"/>
      <w:bookmarkEnd w:id="11"/>
    </w:p>
    <w:p w14:paraId="2C475F35">
      <w:pPr>
        <w:keepNext w:val="0"/>
        <w:keepLines w:val="0"/>
        <w:pageBreakBefore w:val="0"/>
        <w:widowControl w:val="0"/>
        <w:kinsoku/>
        <w:wordWrap/>
        <w:overflowPunct/>
        <w:topLinePunct w:val="0"/>
        <w:autoSpaceDE/>
        <w:autoSpaceDN/>
        <w:bidi w:val="0"/>
        <w:adjustRightInd/>
        <w:snapToGrid/>
        <w:spacing w:line="120" w:lineRule="auto"/>
        <w:jc w:val="center"/>
        <w:textAlignment w:val="auto"/>
        <w:rPr>
          <w:rFonts w:hint="eastAsia" w:ascii="方正小标宋_GBK" w:hAnsi="方正小标宋_GBK" w:eastAsia="方正小标宋_GBK" w:cs="方正小标宋_GBK"/>
          <w:sz w:val="72"/>
          <w:szCs w:val="72"/>
          <w:u w:val="none"/>
        </w:rPr>
      </w:pPr>
      <w:bookmarkStart w:id="12" w:name="_Toc14234"/>
      <w:bookmarkStart w:id="13" w:name="_Toc23780"/>
      <w:r>
        <w:rPr>
          <w:rFonts w:hint="eastAsia" w:ascii="方正小标宋_GBK" w:hAnsi="方正小标宋_GBK" w:eastAsia="方正小标宋_GBK" w:cs="方正小标宋_GBK"/>
          <w:sz w:val="72"/>
          <w:szCs w:val="72"/>
          <w:u w:val="none"/>
        </w:rPr>
        <w:t>文</w:t>
      </w:r>
      <w:bookmarkEnd w:id="12"/>
      <w:bookmarkEnd w:id="13"/>
    </w:p>
    <w:p w14:paraId="6E1658BB">
      <w:pPr>
        <w:keepNext w:val="0"/>
        <w:keepLines w:val="0"/>
        <w:pageBreakBefore w:val="0"/>
        <w:widowControl w:val="0"/>
        <w:kinsoku/>
        <w:wordWrap/>
        <w:overflowPunct/>
        <w:topLinePunct w:val="0"/>
        <w:autoSpaceDE/>
        <w:autoSpaceDN/>
        <w:bidi w:val="0"/>
        <w:adjustRightInd/>
        <w:snapToGrid/>
        <w:spacing w:line="120" w:lineRule="auto"/>
        <w:jc w:val="center"/>
        <w:textAlignment w:val="auto"/>
        <w:rPr>
          <w:sz w:val="72"/>
          <w:szCs w:val="72"/>
          <w:u w:val="none"/>
        </w:rPr>
      </w:pPr>
      <w:bookmarkStart w:id="14" w:name="_Toc29501"/>
      <w:bookmarkStart w:id="15" w:name="_Toc18544"/>
      <w:r>
        <w:rPr>
          <w:rFonts w:hint="eastAsia" w:ascii="方正小标宋_GBK" w:hAnsi="方正小标宋_GBK" w:eastAsia="方正小标宋_GBK" w:cs="方正小标宋_GBK"/>
          <w:sz w:val="72"/>
          <w:szCs w:val="72"/>
          <w:u w:val="none"/>
        </w:rPr>
        <w:t>件</w:t>
      </w:r>
      <w:bookmarkEnd w:id="14"/>
      <w:bookmarkEnd w:id="15"/>
    </w:p>
    <w:p w14:paraId="7D4913D9">
      <w:pPr>
        <w:bidi w:val="0"/>
        <w:jc w:val="center"/>
        <w:rPr>
          <w:rFonts w:hint="eastAsia"/>
          <w:b/>
          <w:bCs/>
          <w:sz w:val="28"/>
          <w:szCs w:val="28"/>
        </w:rPr>
      </w:pPr>
      <w:bookmarkStart w:id="16" w:name="_Toc27256"/>
      <w:bookmarkStart w:id="17" w:name="_Toc3555"/>
      <w:r>
        <w:rPr>
          <w:rFonts w:hint="eastAsia"/>
          <w:b/>
          <w:bCs/>
          <w:sz w:val="28"/>
          <w:szCs w:val="28"/>
        </w:rPr>
        <w:t>编号：WSSZFCG</w:t>
      </w:r>
      <w:r>
        <w:rPr>
          <w:rFonts w:hint="eastAsia"/>
          <w:b/>
          <w:bCs/>
          <w:sz w:val="28"/>
          <w:szCs w:val="28"/>
          <w:lang w:val="en-US" w:eastAsia="zh-CN"/>
        </w:rPr>
        <w:t>TP</w:t>
      </w:r>
      <w:r>
        <w:rPr>
          <w:rFonts w:hint="eastAsia"/>
          <w:b/>
          <w:bCs/>
          <w:sz w:val="28"/>
          <w:szCs w:val="28"/>
        </w:rPr>
        <w:t>202</w:t>
      </w:r>
      <w:r>
        <w:rPr>
          <w:rFonts w:hint="eastAsia"/>
          <w:b/>
          <w:bCs/>
          <w:sz w:val="28"/>
          <w:szCs w:val="28"/>
          <w:lang w:val="en-US" w:eastAsia="zh-CN"/>
        </w:rPr>
        <w:t>6</w:t>
      </w:r>
      <w:r>
        <w:rPr>
          <w:rFonts w:hint="eastAsia"/>
          <w:b/>
          <w:bCs/>
          <w:sz w:val="28"/>
          <w:szCs w:val="28"/>
        </w:rPr>
        <w:t>-0</w:t>
      </w:r>
      <w:r>
        <w:rPr>
          <w:rFonts w:hint="eastAsia"/>
          <w:b/>
          <w:bCs/>
          <w:sz w:val="28"/>
          <w:szCs w:val="28"/>
          <w:lang w:val="en-US" w:eastAsia="zh-CN"/>
        </w:rPr>
        <w:t>1</w:t>
      </w:r>
      <w:bookmarkEnd w:id="16"/>
      <w:bookmarkEnd w:id="17"/>
    </w:p>
    <w:p w14:paraId="0BF162EB">
      <w:pPr>
        <w:bidi w:val="0"/>
        <w:jc w:val="center"/>
        <w:rPr>
          <w:b/>
          <w:bCs/>
          <w:sz w:val="28"/>
          <w:szCs w:val="28"/>
          <w:u w:val="single"/>
        </w:rPr>
      </w:pPr>
      <w:bookmarkStart w:id="18" w:name="_Toc13777"/>
      <w:bookmarkStart w:id="19" w:name="_Toc9970"/>
      <w:r>
        <w:rPr>
          <w:rFonts w:hint="eastAsia"/>
          <w:b/>
          <w:bCs/>
          <w:sz w:val="28"/>
          <w:szCs w:val="28"/>
        </w:rPr>
        <w:t>采购人：</w:t>
      </w:r>
      <w:r>
        <w:rPr>
          <w:rFonts w:hint="eastAsia"/>
          <w:b/>
          <w:bCs/>
          <w:sz w:val="28"/>
          <w:szCs w:val="28"/>
          <w:u w:val="single"/>
        </w:rPr>
        <w:t>文山市</w:t>
      </w:r>
      <w:r>
        <w:rPr>
          <w:rFonts w:hint="eastAsia"/>
          <w:b/>
          <w:bCs/>
          <w:sz w:val="28"/>
          <w:szCs w:val="28"/>
          <w:u w:val="single"/>
          <w:lang w:val="en-US" w:eastAsia="zh-CN"/>
        </w:rPr>
        <w:t>开化街道办事处沙坝社区卫生服务中心</w:t>
      </w:r>
      <w:r>
        <w:rPr>
          <w:b/>
          <w:bCs/>
          <w:sz w:val="28"/>
          <w:szCs w:val="28"/>
          <w:u w:val="single"/>
        </w:rPr>
        <w:t xml:space="preserve"> </w:t>
      </w:r>
      <w:r>
        <w:rPr>
          <w:b/>
          <w:bCs/>
          <w:sz w:val="28"/>
          <w:szCs w:val="28"/>
        </w:rPr>
        <w:t>（盖章）</w:t>
      </w:r>
      <w:bookmarkEnd w:id="18"/>
      <w:bookmarkEnd w:id="19"/>
    </w:p>
    <w:p w14:paraId="5704A597">
      <w:pPr>
        <w:bidi w:val="0"/>
        <w:jc w:val="center"/>
        <w:rPr>
          <w:b/>
          <w:bCs/>
          <w:sz w:val="28"/>
          <w:szCs w:val="28"/>
        </w:rPr>
      </w:pPr>
      <w:bookmarkStart w:id="20" w:name="_Toc26946"/>
      <w:bookmarkStart w:id="21" w:name="_Toc25491"/>
      <w:r>
        <w:rPr>
          <w:b/>
          <w:bCs/>
          <w:sz w:val="28"/>
          <w:szCs w:val="28"/>
        </w:rPr>
        <w:t>法定代表人或委托代理人：</w:t>
      </w:r>
      <w:r>
        <w:rPr>
          <w:b/>
          <w:bCs/>
          <w:sz w:val="28"/>
          <w:szCs w:val="28"/>
          <w:u w:val="single"/>
        </w:rPr>
        <w:t xml:space="preserve">         </w:t>
      </w:r>
      <w:r>
        <w:rPr>
          <w:b/>
          <w:bCs/>
          <w:sz w:val="28"/>
          <w:szCs w:val="28"/>
        </w:rPr>
        <w:t>（签字或盖章）</w:t>
      </w:r>
      <w:bookmarkEnd w:id="20"/>
      <w:bookmarkEnd w:id="21"/>
    </w:p>
    <w:p w14:paraId="7248278A">
      <w:pPr>
        <w:bidi w:val="0"/>
        <w:jc w:val="center"/>
      </w:pPr>
      <w:r>
        <w:rPr>
          <w:rFonts w:hint="eastAsia"/>
          <w:lang w:val="en-US" w:eastAsia="zh-CN"/>
        </w:rPr>
        <w:t>此招标文件审核确认无异议</w:t>
      </w:r>
      <w:r>
        <w:t xml:space="preserve"> </w:t>
      </w:r>
      <w:r>
        <w:rPr>
          <w:rFonts w:hint="eastAsia"/>
          <w:lang w:eastAsia="zh-CN"/>
        </w:rPr>
        <w:t>，</w:t>
      </w:r>
      <w:r>
        <w:rPr>
          <w:rFonts w:hint="eastAsia"/>
          <w:lang w:val="en-US" w:eastAsia="zh-CN"/>
        </w:rPr>
        <w:t>同意发布</w:t>
      </w:r>
    </w:p>
    <w:p w14:paraId="01B29C28">
      <w:pPr>
        <w:pStyle w:val="2"/>
        <w:keepNext w:val="0"/>
        <w:keepLines w:val="0"/>
        <w:pageBreakBefore w:val="0"/>
        <w:widowControl w:val="0"/>
        <w:kinsoku/>
        <w:wordWrap/>
        <w:overflowPunct/>
        <w:topLinePunct w:val="0"/>
        <w:autoSpaceDE/>
        <w:autoSpaceDN/>
        <w:bidi w:val="0"/>
        <w:adjustRightInd/>
        <w:snapToGrid/>
        <w:spacing w:line="100" w:lineRule="atLeast"/>
        <w:jc w:val="center"/>
        <w:textAlignment w:val="auto"/>
        <w:rPr>
          <w:rFonts w:hint="eastAsia"/>
        </w:rPr>
      </w:pPr>
    </w:p>
    <w:p w14:paraId="09D87090">
      <w:pPr>
        <w:bidi w:val="0"/>
        <w:jc w:val="center"/>
        <w:rPr>
          <w:rFonts w:hint="eastAsia" w:ascii="宋体" w:hAnsi="宋体" w:eastAsia="宋体" w:cs="宋体"/>
          <w:b/>
          <w:sz w:val="21"/>
          <w:szCs w:val="21"/>
        </w:rPr>
      </w:pPr>
      <w:bookmarkStart w:id="22" w:name="_Toc23756"/>
      <w:bookmarkStart w:id="23" w:name="_Toc539"/>
      <w:r>
        <w:rPr>
          <w:rFonts w:hint="eastAsia" w:ascii="宋体" w:hAnsi="宋体" w:eastAsia="宋体" w:cs="宋体"/>
          <w:b/>
          <w:sz w:val="21"/>
          <w:szCs w:val="21"/>
          <w:u w:val="single"/>
          <w:lang w:val="en-US" w:eastAsia="zh-CN"/>
        </w:rPr>
        <w:t>文山市政府采购和出让中心</w:t>
      </w:r>
      <w:r>
        <w:rPr>
          <w:rFonts w:hint="eastAsia" w:ascii="宋体" w:hAnsi="宋体" w:eastAsia="宋体" w:cs="宋体"/>
          <w:b/>
          <w:sz w:val="21"/>
          <w:szCs w:val="21"/>
          <w:lang w:val="en-US" w:eastAsia="zh-CN"/>
        </w:rPr>
        <w:t>与</w:t>
      </w:r>
      <w:r>
        <w:rPr>
          <w:rFonts w:hint="eastAsia" w:ascii="宋体" w:hAnsi="宋体" w:eastAsia="宋体" w:cs="宋体"/>
          <w:b/>
          <w:sz w:val="21"/>
          <w:szCs w:val="21"/>
          <w:u w:val="single"/>
          <w:lang w:val="en-US" w:eastAsia="zh-CN"/>
        </w:rPr>
        <w:t xml:space="preserve">文山市开化街道办事处沙坝社区卫生服务中心 </w:t>
      </w:r>
      <w:r>
        <w:rPr>
          <w:rFonts w:hint="eastAsia" w:ascii="宋体" w:hAnsi="宋体" w:eastAsia="宋体" w:cs="宋体"/>
          <w:b/>
          <w:sz w:val="21"/>
          <w:szCs w:val="21"/>
        </w:rPr>
        <w:t>共同编制</w:t>
      </w:r>
      <w:bookmarkEnd w:id="22"/>
      <w:bookmarkEnd w:id="23"/>
    </w:p>
    <w:p w14:paraId="7B979EDE">
      <w:pPr>
        <w:pageBreakBefore w:val="0"/>
        <w:widowControl w:val="0"/>
        <w:kinsoku/>
        <w:wordWrap/>
        <w:overflowPunct/>
        <w:topLinePunct w:val="0"/>
        <w:bidi w:val="0"/>
        <w:snapToGrid/>
        <w:spacing w:line="480" w:lineRule="auto"/>
        <w:ind w:right="0" w:rightChars="0" w:firstLine="0" w:firstLineChars="0"/>
        <w:jc w:val="center"/>
        <w:textAlignment w:val="auto"/>
      </w:pPr>
      <w:r>
        <w:rPr>
          <w:rFonts w:hint="eastAsia" w:ascii="宋体"/>
          <w:b/>
          <w:bCs/>
          <w:sz w:val="24"/>
        </w:rPr>
        <w:br w:type="page"/>
      </w:r>
      <w:bookmarkStart w:id="24" w:name="_Hlt101843627"/>
      <w:bookmarkEnd w:id="24"/>
      <w:bookmarkStart w:id="25" w:name="_Hlt101233737"/>
      <w:bookmarkEnd w:id="25"/>
    </w:p>
    <w:sdt>
      <w:sdtPr>
        <w:rPr>
          <w:rFonts w:ascii="宋体" w:hAnsi="宋体" w:eastAsia="宋体" w:cs="Times New Roman"/>
          <w:b/>
          <w:bCs/>
          <w:kern w:val="2"/>
          <w:sz w:val="21"/>
          <w:szCs w:val="24"/>
          <w:lang w:val="en-US" w:eastAsia="zh-CN" w:bidi="ar-SA"/>
        </w:rPr>
        <w:id w:val="147469952"/>
        <w15:color w:val="DBDBDB"/>
        <w:docPartObj>
          <w:docPartGallery w:val="Table of Contents"/>
          <w:docPartUnique/>
        </w:docPartObj>
      </w:sdtPr>
      <w:sdtEndPr>
        <w:rPr>
          <w:rFonts w:ascii="宋体" w:hAnsi="宋体" w:eastAsia="宋体" w:cs="Times New Roman"/>
          <w:b/>
          <w:bCs/>
          <w:kern w:val="2"/>
          <w:sz w:val="21"/>
          <w:szCs w:val="24"/>
          <w:lang w:val="en-US" w:eastAsia="zh-CN" w:bidi="ar-SA"/>
        </w:rPr>
      </w:sdtEndPr>
      <w:sdtContent>
        <w:p w14:paraId="494CBC4D">
          <w:pPr>
            <w:keepNext w:val="0"/>
            <w:keepLines w:val="0"/>
            <w:pageBreakBefore w:val="0"/>
            <w:widowControl/>
            <w:kinsoku/>
            <w:wordWrap/>
            <w:overflowPunct/>
            <w:topLinePunct w:val="0"/>
            <w:autoSpaceDE/>
            <w:autoSpaceDN/>
            <w:bidi w:val="0"/>
            <w:adjustRightInd/>
            <w:snapToGrid/>
            <w:spacing w:before="0" w:beforeLines="0" w:after="0" w:afterLines="0" w:line="240" w:lineRule="auto"/>
            <w:ind w:left="0" w:leftChars="0" w:right="0" w:rightChars="0" w:firstLine="0" w:firstLineChars="0"/>
            <w:jc w:val="center"/>
            <w:textAlignment w:val="auto"/>
            <w:rPr>
              <w:rFonts w:ascii="Times New Roman" w:hAnsi="Times New Roman" w:eastAsia="宋体" w:cs="Times New Roman"/>
              <w:b/>
              <w:kern w:val="2"/>
              <w:sz w:val="21"/>
              <w:szCs w:val="24"/>
              <w:lang w:val="en-US" w:eastAsia="zh-CN" w:bidi="ar-SA"/>
            </w:rPr>
          </w:pPr>
          <w:r>
            <w:rPr>
              <w:rFonts w:ascii="宋体" w:hAnsi="宋体" w:eastAsia="宋体"/>
              <w:b/>
              <w:bCs/>
              <w:sz w:val="30"/>
              <w:szCs w:val="30"/>
            </w:rPr>
            <w:t>目录</w:t>
          </w:r>
          <w:r>
            <w:fldChar w:fldCharType="begin"/>
          </w:r>
          <w:r>
            <w:instrText xml:space="preserve">TOC \o "1-2" \h \u </w:instrText>
          </w:r>
          <w:r>
            <w:fldChar w:fldCharType="separate"/>
          </w:r>
        </w:p>
        <w:p w14:paraId="114C5A22">
          <w:pPr>
            <w:pStyle w:val="22"/>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_Toc28864 </w:instrText>
          </w:r>
          <w:r>
            <w:fldChar w:fldCharType="separate"/>
          </w:r>
          <w:r>
            <w:rPr>
              <w:rFonts w:hint="eastAsia" w:ascii="宋体" w:hAnsi="宋体" w:eastAsia="宋体" w:cs="宋体"/>
              <w:bCs/>
              <w:szCs w:val="44"/>
            </w:rPr>
            <w:t>第一章  竞争性谈判公告</w:t>
          </w:r>
          <w:r>
            <w:tab/>
          </w:r>
          <w:r>
            <w:fldChar w:fldCharType="begin"/>
          </w:r>
          <w:r>
            <w:instrText xml:space="preserve"> PAGEREF _Toc28864 \h </w:instrText>
          </w:r>
          <w:r>
            <w:fldChar w:fldCharType="separate"/>
          </w:r>
          <w:r>
            <w:t>3</w:t>
          </w:r>
          <w:r>
            <w:fldChar w:fldCharType="end"/>
          </w:r>
          <w:r>
            <w:fldChar w:fldCharType="end"/>
          </w:r>
        </w:p>
        <w:p w14:paraId="54A355DC">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_Toc25621 </w:instrText>
          </w:r>
          <w:r>
            <w:fldChar w:fldCharType="separate"/>
          </w:r>
          <w:r>
            <w:rPr>
              <w:rFonts w:hint="eastAsia" w:ascii="宋体" w:hAnsi="宋体" w:eastAsia="宋体" w:cs="宋体"/>
              <w:bCs w:val="0"/>
              <w:szCs w:val="24"/>
            </w:rPr>
            <w:t>一、项目基本情况</w:t>
          </w:r>
          <w:r>
            <w:tab/>
          </w:r>
          <w:r>
            <w:fldChar w:fldCharType="begin"/>
          </w:r>
          <w:r>
            <w:instrText xml:space="preserve"> PAGEREF _Toc25621 \h </w:instrText>
          </w:r>
          <w:r>
            <w:fldChar w:fldCharType="separate"/>
          </w:r>
          <w:r>
            <w:t>3</w:t>
          </w:r>
          <w:r>
            <w:fldChar w:fldCharType="end"/>
          </w:r>
          <w:r>
            <w:fldChar w:fldCharType="end"/>
          </w:r>
        </w:p>
        <w:p w14:paraId="47D236DE">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_Toc28779 </w:instrText>
          </w:r>
          <w:r>
            <w:fldChar w:fldCharType="separate"/>
          </w:r>
          <w:r>
            <w:rPr>
              <w:rFonts w:hint="eastAsia" w:ascii="宋体" w:hAnsi="宋体" w:eastAsia="宋体" w:cs="宋体"/>
              <w:bCs w:val="0"/>
              <w:i w:val="0"/>
              <w:iCs w:val="0"/>
              <w:szCs w:val="24"/>
            </w:rPr>
            <w:t>二、申请人的资格要求</w:t>
          </w:r>
          <w:bookmarkStart w:id="433" w:name="_GoBack"/>
          <w:bookmarkEnd w:id="433"/>
          <w:r>
            <w:tab/>
          </w:r>
          <w:r>
            <w:fldChar w:fldCharType="begin"/>
          </w:r>
          <w:r>
            <w:instrText xml:space="preserve"> PAGEREF _Toc28779 \h </w:instrText>
          </w:r>
          <w:r>
            <w:fldChar w:fldCharType="separate"/>
          </w:r>
          <w:r>
            <w:t>5</w:t>
          </w:r>
          <w:r>
            <w:fldChar w:fldCharType="end"/>
          </w:r>
          <w:r>
            <w:fldChar w:fldCharType="end"/>
          </w:r>
        </w:p>
        <w:p w14:paraId="55C8CCDA">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_Toc23 </w:instrText>
          </w:r>
          <w:r>
            <w:fldChar w:fldCharType="separate"/>
          </w:r>
          <w:r>
            <w:rPr>
              <w:rFonts w:hint="eastAsia" w:ascii="宋体" w:hAnsi="宋体" w:eastAsia="宋体" w:cs="宋体"/>
              <w:bCs w:val="0"/>
              <w:szCs w:val="24"/>
            </w:rPr>
            <w:t>三、获取采购文件</w:t>
          </w:r>
          <w:r>
            <w:tab/>
          </w:r>
          <w:r>
            <w:fldChar w:fldCharType="begin"/>
          </w:r>
          <w:r>
            <w:instrText xml:space="preserve"> PAGEREF _Toc23 \h </w:instrText>
          </w:r>
          <w:r>
            <w:fldChar w:fldCharType="separate"/>
          </w:r>
          <w:r>
            <w:t>5</w:t>
          </w:r>
          <w:r>
            <w:fldChar w:fldCharType="end"/>
          </w:r>
          <w:r>
            <w:fldChar w:fldCharType="end"/>
          </w:r>
        </w:p>
        <w:p w14:paraId="5EAE28BE">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_Toc15355 </w:instrText>
          </w:r>
          <w:r>
            <w:fldChar w:fldCharType="separate"/>
          </w:r>
          <w:r>
            <w:rPr>
              <w:rFonts w:hint="eastAsia" w:ascii="宋体" w:hAnsi="宋体" w:eastAsia="宋体" w:cs="宋体"/>
              <w:bCs w:val="0"/>
              <w:szCs w:val="24"/>
            </w:rPr>
            <w:t>四、 响应文件提交</w:t>
          </w:r>
          <w:r>
            <w:tab/>
          </w:r>
          <w:r>
            <w:fldChar w:fldCharType="begin"/>
          </w:r>
          <w:r>
            <w:instrText xml:space="preserve"> PAGEREF _Toc15355 \h </w:instrText>
          </w:r>
          <w:r>
            <w:fldChar w:fldCharType="separate"/>
          </w:r>
          <w:r>
            <w:t>6</w:t>
          </w:r>
          <w:r>
            <w:fldChar w:fldCharType="end"/>
          </w:r>
          <w:r>
            <w:fldChar w:fldCharType="end"/>
          </w:r>
        </w:p>
        <w:p w14:paraId="6BF0657C">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_Toc27847 </w:instrText>
          </w:r>
          <w:r>
            <w:fldChar w:fldCharType="separate"/>
          </w:r>
          <w:r>
            <w:rPr>
              <w:rFonts w:hint="eastAsia" w:ascii="宋体" w:hAnsi="宋体" w:eastAsia="宋体" w:cs="宋体"/>
              <w:bCs w:val="0"/>
              <w:szCs w:val="24"/>
            </w:rPr>
            <w:t>五、开启</w:t>
          </w:r>
          <w:r>
            <w:tab/>
          </w:r>
          <w:r>
            <w:fldChar w:fldCharType="begin"/>
          </w:r>
          <w:r>
            <w:instrText xml:space="preserve"> PAGEREF _Toc27847 \h </w:instrText>
          </w:r>
          <w:r>
            <w:fldChar w:fldCharType="separate"/>
          </w:r>
          <w:r>
            <w:t>7</w:t>
          </w:r>
          <w:r>
            <w:fldChar w:fldCharType="end"/>
          </w:r>
          <w:r>
            <w:fldChar w:fldCharType="end"/>
          </w:r>
        </w:p>
        <w:p w14:paraId="210AAA84">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_Toc32105 </w:instrText>
          </w:r>
          <w:r>
            <w:fldChar w:fldCharType="separate"/>
          </w:r>
          <w:r>
            <w:rPr>
              <w:rFonts w:hint="eastAsia" w:ascii="宋体" w:hAnsi="宋体" w:eastAsia="宋体" w:cs="宋体"/>
              <w:bCs w:val="0"/>
              <w:szCs w:val="24"/>
            </w:rPr>
            <w:t>六、公告期限</w:t>
          </w:r>
          <w:r>
            <w:tab/>
          </w:r>
          <w:r>
            <w:fldChar w:fldCharType="begin"/>
          </w:r>
          <w:r>
            <w:instrText xml:space="preserve"> PAGEREF _Toc32105 \h </w:instrText>
          </w:r>
          <w:r>
            <w:fldChar w:fldCharType="separate"/>
          </w:r>
          <w:r>
            <w:t>7</w:t>
          </w:r>
          <w:r>
            <w:fldChar w:fldCharType="end"/>
          </w:r>
          <w:r>
            <w:fldChar w:fldCharType="end"/>
          </w:r>
        </w:p>
        <w:p w14:paraId="48640A85">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_Toc12582 </w:instrText>
          </w:r>
          <w:r>
            <w:fldChar w:fldCharType="separate"/>
          </w:r>
          <w:r>
            <w:rPr>
              <w:rFonts w:hint="eastAsia" w:ascii="宋体" w:hAnsi="宋体" w:eastAsia="宋体" w:cs="宋体"/>
              <w:bCs w:val="0"/>
              <w:szCs w:val="24"/>
            </w:rPr>
            <w:t>七、其他补充事宜</w:t>
          </w:r>
          <w:r>
            <w:tab/>
          </w:r>
          <w:r>
            <w:fldChar w:fldCharType="begin"/>
          </w:r>
          <w:r>
            <w:instrText xml:space="preserve"> PAGEREF _Toc12582 \h </w:instrText>
          </w:r>
          <w:r>
            <w:fldChar w:fldCharType="separate"/>
          </w:r>
          <w:r>
            <w:t>7</w:t>
          </w:r>
          <w:r>
            <w:fldChar w:fldCharType="end"/>
          </w:r>
          <w:r>
            <w:fldChar w:fldCharType="end"/>
          </w:r>
        </w:p>
        <w:p w14:paraId="2509B647">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_Toc14577 </w:instrText>
          </w:r>
          <w:r>
            <w:fldChar w:fldCharType="separate"/>
          </w:r>
          <w:r>
            <w:rPr>
              <w:rFonts w:hint="eastAsia" w:ascii="宋体" w:hAnsi="宋体" w:eastAsia="宋体" w:cs="宋体"/>
              <w:bCs w:val="0"/>
              <w:szCs w:val="24"/>
            </w:rPr>
            <w:t>八、凡对本次采购提出询问，请按以下方式联系</w:t>
          </w:r>
          <w:r>
            <w:tab/>
          </w:r>
          <w:r>
            <w:fldChar w:fldCharType="begin"/>
          </w:r>
          <w:r>
            <w:instrText xml:space="preserve"> PAGEREF _Toc14577 \h </w:instrText>
          </w:r>
          <w:r>
            <w:fldChar w:fldCharType="separate"/>
          </w:r>
          <w:r>
            <w:t>7</w:t>
          </w:r>
          <w:r>
            <w:fldChar w:fldCharType="end"/>
          </w:r>
          <w:r>
            <w:fldChar w:fldCharType="end"/>
          </w:r>
        </w:p>
        <w:p w14:paraId="3E302686">
          <w:pPr>
            <w:pStyle w:val="22"/>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_Toc31926 </w:instrText>
          </w:r>
          <w:r>
            <w:fldChar w:fldCharType="separate"/>
          </w:r>
          <w:r>
            <w:rPr>
              <w:rFonts w:hint="eastAsia" w:ascii="宋体" w:hAnsi="宋体" w:eastAsia="宋体" w:cs="宋体"/>
              <w:bCs/>
              <w:szCs w:val="44"/>
            </w:rPr>
            <w:t xml:space="preserve">第二章  </w:t>
          </w:r>
          <w:r>
            <w:rPr>
              <w:rFonts w:hint="eastAsia" w:ascii="宋体" w:hAnsi="宋体" w:eastAsia="宋体" w:cs="宋体"/>
              <w:bCs/>
              <w:szCs w:val="44"/>
              <w:lang w:val="en-US" w:eastAsia="zh-CN"/>
            </w:rPr>
            <w:t>谈判</w:t>
          </w:r>
          <w:r>
            <w:rPr>
              <w:rFonts w:hint="eastAsia" w:ascii="宋体" w:hAnsi="宋体" w:eastAsia="宋体" w:cs="宋体"/>
              <w:bCs/>
              <w:szCs w:val="44"/>
            </w:rPr>
            <w:t>须知</w:t>
          </w:r>
          <w:r>
            <w:tab/>
          </w:r>
          <w:r>
            <w:fldChar w:fldCharType="begin"/>
          </w:r>
          <w:r>
            <w:instrText xml:space="preserve"> PAGEREF _Toc31926 \h </w:instrText>
          </w:r>
          <w:r>
            <w:fldChar w:fldCharType="separate"/>
          </w:r>
          <w:r>
            <w:t>8</w:t>
          </w:r>
          <w:r>
            <w:fldChar w:fldCharType="end"/>
          </w:r>
          <w:r>
            <w:fldChar w:fldCharType="end"/>
          </w:r>
        </w:p>
        <w:p w14:paraId="472F4705">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_Toc4965 </w:instrText>
          </w:r>
          <w:r>
            <w:fldChar w:fldCharType="separate"/>
          </w:r>
          <w:r>
            <w:rPr>
              <w:rFonts w:hint="eastAsia" w:ascii="宋体" w:hAnsi="宋体" w:eastAsia="宋体" w:cs="宋体"/>
              <w:bCs/>
              <w:szCs w:val="32"/>
              <w:highlight w:val="none"/>
            </w:rPr>
            <w:t>一、供应商须知</w:t>
          </w:r>
          <w:r>
            <w:rPr>
              <w:rFonts w:hint="eastAsia" w:ascii="宋体" w:hAnsi="宋体" w:eastAsia="宋体" w:cs="宋体"/>
              <w:bCs/>
              <w:szCs w:val="32"/>
              <w:highlight w:val="none"/>
              <w:lang w:val="en-US" w:eastAsia="zh-CN"/>
            </w:rPr>
            <w:t>前</w:t>
          </w:r>
          <w:r>
            <w:rPr>
              <w:rFonts w:hint="eastAsia" w:ascii="宋体" w:hAnsi="宋体" w:eastAsia="宋体" w:cs="宋体"/>
              <w:bCs/>
              <w:szCs w:val="32"/>
              <w:highlight w:val="none"/>
            </w:rPr>
            <w:t>附表</w:t>
          </w:r>
          <w:r>
            <w:tab/>
          </w:r>
          <w:r>
            <w:fldChar w:fldCharType="begin"/>
          </w:r>
          <w:r>
            <w:instrText xml:space="preserve"> PAGEREF _Toc4965 \h </w:instrText>
          </w:r>
          <w:r>
            <w:fldChar w:fldCharType="separate"/>
          </w:r>
          <w:r>
            <w:t>8</w:t>
          </w:r>
          <w:r>
            <w:fldChar w:fldCharType="end"/>
          </w:r>
          <w:r>
            <w:fldChar w:fldCharType="end"/>
          </w:r>
        </w:p>
        <w:p w14:paraId="58962E17">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_Toc3857 </w:instrText>
          </w:r>
          <w:r>
            <w:fldChar w:fldCharType="separate"/>
          </w:r>
          <w:r>
            <w:rPr>
              <w:rFonts w:hint="eastAsia" w:ascii="宋体" w:hAnsi="宋体" w:eastAsia="宋体" w:cs="宋体"/>
              <w:bCs w:val="0"/>
              <w:szCs w:val="32"/>
              <w:lang w:val="en-US" w:eastAsia="zh-CN"/>
            </w:rPr>
            <w:t>二、</w:t>
          </w:r>
          <w:r>
            <w:rPr>
              <w:rFonts w:hint="eastAsia" w:ascii="宋体" w:hAnsi="宋体" w:eastAsia="宋体" w:cs="宋体"/>
              <w:bCs w:val="0"/>
              <w:szCs w:val="32"/>
            </w:rPr>
            <w:t>总  则</w:t>
          </w:r>
          <w:r>
            <w:tab/>
          </w:r>
          <w:r>
            <w:fldChar w:fldCharType="begin"/>
          </w:r>
          <w:r>
            <w:instrText xml:space="preserve"> PAGEREF _Toc3857 \h </w:instrText>
          </w:r>
          <w:r>
            <w:fldChar w:fldCharType="separate"/>
          </w:r>
          <w:r>
            <w:t>16</w:t>
          </w:r>
          <w:r>
            <w:fldChar w:fldCharType="end"/>
          </w:r>
          <w:r>
            <w:fldChar w:fldCharType="end"/>
          </w:r>
        </w:p>
        <w:p w14:paraId="27C5EAB4">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_Toc31061 </w:instrText>
          </w:r>
          <w:r>
            <w:fldChar w:fldCharType="separate"/>
          </w:r>
          <w:r>
            <w:rPr>
              <w:rFonts w:hint="eastAsia" w:ascii="宋体" w:hAnsi="宋体" w:eastAsia="宋体" w:cs="宋体"/>
              <w:bCs/>
              <w:szCs w:val="32"/>
            </w:rPr>
            <w:t>三、</w:t>
          </w:r>
          <w:r>
            <w:rPr>
              <w:rFonts w:hint="eastAsia" w:ascii="宋体" w:hAnsi="宋体" w:eastAsia="宋体" w:cs="宋体"/>
              <w:bCs/>
              <w:szCs w:val="32"/>
              <w:lang w:eastAsia="zh-CN"/>
            </w:rPr>
            <w:t>谈判文件</w:t>
          </w:r>
          <w:r>
            <w:tab/>
          </w:r>
          <w:r>
            <w:fldChar w:fldCharType="begin"/>
          </w:r>
          <w:r>
            <w:instrText xml:space="preserve"> PAGEREF _Toc31061 \h </w:instrText>
          </w:r>
          <w:r>
            <w:fldChar w:fldCharType="separate"/>
          </w:r>
          <w:r>
            <w:t>20</w:t>
          </w:r>
          <w:r>
            <w:fldChar w:fldCharType="end"/>
          </w:r>
          <w:r>
            <w:fldChar w:fldCharType="end"/>
          </w:r>
        </w:p>
        <w:p w14:paraId="52E3D21E">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_Toc27614 </w:instrText>
          </w:r>
          <w:r>
            <w:fldChar w:fldCharType="separate"/>
          </w:r>
          <w:r>
            <w:rPr>
              <w:rFonts w:hint="eastAsia" w:ascii="宋体" w:hAnsi="宋体" w:eastAsia="宋体" w:cs="宋体"/>
              <w:bCs/>
              <w:szCs w:val="32"/>
            </w:rPr>
            <w:t>四、响应文件</w:t>
          </w:r>
          <w:r>
            <w:tab/>
          </w:r>
          <w:r>
            <w:fldChar w:fldCharType="begin"/>
          </w:r>
          <w:r>
            <w:instrText xml:space="preserve"> PAGEREF _Toc27614 \h </w:instrText>
          </w:r>
          <w:r>
            <w:fldChar w:fldCharType="separate"/>
          </w:r>
          <w:r>
            <w:t>22</w:t>
          </w:r>
          <w:r>
            <w:fldChar w:fldCharType="end"/>
          </w:r>
          <w:r>
            <w:fldChar w:fldCharType="end"/>
          </w:r>
        </w:p>
        <w:p w14:paraId="0D307147">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_Toc28649 </w:instrText>
          </w:r>
          <w:r>
            <w:fldChar w:fldCharType="separate"/>
          </w:r>
          <w:r>
            <w:rPr>
              <w:rFonts w:hint="eastAsia" w:ascii="宋体" w:hAnsi="宋体" w:eastAsia="宋体" w:cs="宋体"/>
              <w:bCs/>
              <w:szCs w:val="32"/>
            </w:rPr>
            <w:t>五、</w:t>
          </w:r>
          <w:r>
            <w:rPr>
              <w:rFonts w:hint="eastAsia" w:ascii="宋体" w:hAnsi="宋体" w:eastAsia="宋体" w:cs="宋体"/>
              <w:bCs/>
              <w:szCs w:val="32"/>
              <w:lang w:eastAsia="zh-CN"/>
            </w:rPr>
            <w:t>谈判</w:t>
          </w:r>
          <w:r>
            <w:rPr>
              <w:rFonts w:hint="eastAsia" w:ascii="宋体" w:hAnsi="宋体" w:eastAsia="宋体" w:cs="宋体"/>
              <w:bCs/>
              <w:szCs w:val="32"/>
            </w:rPr>
            <w:t>及评审过程</w:t>
          </w:r>
          <w:r>
            <w:tab/>
          </w:r>
          <w:r>
            <w:fldChar w:fldCharType="begin"/>
          </w:r>
          <w:r>
            <w:instrText xml:space="preserve"> PAGEREF _Toc28649 \h </w:instrText>
          </w:r>
          <w:r>
            <w:fldChar w:fldCharType="separate"/>
          </w:r>
          <w:r>
            <w:t>24</w:t>
          </w:r>
          <w:r>
            <w:fldChar w:fldCharType="end"/>
          </w:r>
          <w:r>
            <w:fldChar w:fldCharType="end"/>
          </w:r>
        </w:p>
        <w:p w14:paraId="75677C6D">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_Toc2758 </w:instrText>
          </w:r>
          <w:r>
            <w:fldChar w:fldCharType="separate"/>
          </w:r>
          <w:r>
            <w:rPr>
              <w:rFonts w:hint="eastAsia" w:ascii="宋体" w:hAnsi="宋体" w:eastAsia="宋体" w:cs="宋体"/>
              <w:bCs/>
              <w:szCs w:val="32"/>
            </w:rPr>
            <w:t>六、成交事项</w:t>
          </w:r>
          <w:r>
            <w:tab/>
          </w:r>
          <w:r>
            <w:fldChar w:fldCharType="begin"/>
          </w:r>
          <w:r>
            <w:instrText xml:space="preserve"> PAGEREF _Toc2758 \h </w:instrText>
          </w:r>
          <w:r>
            <w:fldChar w:fldCharType="separate"/>
          </w:r>
          <w:r>
            <w:t>25</w:t>
          </w:r>
          <w:r>
            <w:fldChar w:fldCharType="end"/>
          </w:r>
          <w:r>
            <w:fldChar w:fldCharType="end"/>
          </w:r>
        </w:p>
        <w:p w14:paraId="1923E4EA">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_Toc22370 </w:instrText>
          </w:r>
          <w:r>
            <w:fldChar w:fldCharType="separate"/>
          </w:r>
          <w:r>
            <w:rPr>
              <w:rFonts w:hint="eastAsia" w:ascii="宋体" w:hAnsi="宋体" w:eastAsia="宋体" w:cs="宋体"/>
              <w:bCs/>
              <w:szCs w:val="32"/>
            </w:rPr>
            <w:t>七、合同事项</w:t>
          </w:r>
          <w:r>
            <w:tab/>
          </w:r>
          <w:r>
            <w:fldChar w:fldCharType="begin"/>
          </w:r>
          <w:r>
            <w:instrText xml:space="preserve"> PAGEREF _Toc22370 \h </w:instrText>
          </w:r>
          <w:r>
            <w:fldChar w:fldCharType="separate"/>
          </w:r>
          <w:r>
            <w:t>26</w:t>
          </w:r>
          <w:r>
            <w:fldChar w:fldCharType="end"/>
          </w:r>
          <w:r>
            <w:fldChar w:fldCharType="end"/>
          </w:r>
        </w:p>
        <w:p w14:paraId="1A480C99">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_Toc9059 </w:instrText>
          </w:r>
          <w:r>
            <w:fldChar w:fldCharType="separate"/>
          </w:r>
          <w:r>
            <w:rPr>
              <w:rFonts w:hint="eastAsia" w:ascii="宋体" w:hAnsi="宋体" w:eastAsia="宋体" w:cs="宋体"/>
              <w:bCs/>
              <w:szCs w:val="32"/>
            </w:rPr>
            <w:t>八、</w:t>
          </w:r>
          <w:r>
            <w:rPr>
              <w:rFonts w:hint="eastAsia" w:ascii="宋体" w:hAnsi="宋体" w:eastAsia="宋体" w:cs="宋体"/>
              <w:bCs/>
              <w:szCs w:val="32"/>
              <w:lang w:eastAsia="zh-CN"/>
            </w:rPr>
            <w:t>谈判</w:t>
          </w:r>
          <w:r>
            <w:rPr>
              <w:rFonts w:hint="eastAsia" w:ascii="宋体" w:hAnsi="宋体" w:eastAsia="宋体" w:cs="宋体"/>
              <w:bCs/>
              <w:szCs w:val="32"/>
            </w:rPr>
            <w:t>纪律要求</w:t>
          </w:r>
          <w:r>
            <w:tab/>
          </w:r>
          <w:r>
            <w:fldChar w:fldCharType="begin"/>
          </w:r>
          <w:r>
            <w:instrText xml:space="preserve"> PAGEREF _Toc9059 \h </w:instrText>
          </w:r>
          <w:r>
            <w:fldChar w:fldCharType="separate"/>
          </w:r>
          <w:r>
            <w:t>29</w:t>
          </w:r>
          <w:r>
            <w:fldChar w:fldCharType="end"/>
          </w:r>
          <w:r>
            <w:fldChar w:fldCharType="end"/>
          </w:r>
        </w:p>
        <w:p w14:paraId="2C7C8EC4">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_Toc19858 </w:instrText>
          </w:r>
          <w:r>
            <w:fldChar w:fldCharType="separate"/>
          </w:r>
          <w:r>
            <w:rPr>
              <w:rFonts w:hint="eastAsia" w:ascii="宋体" w:hAnsi="宋体" w:eastAsia="宋体" w:cs="宋体"/>
              <w:bCs/>
              <w:szCs w:val="32"/>
            </w:rPr>
            <w:t>九、询问、质疑和投诉</w:t>
          </w:r>
          <w:r>
            <w:tab/>
          </w:r>
          <w:r>
            <w:fldChar w:fldCharType="begin"/>
          </w:r>
          <w:r>
            <w:instrText xml:space="preserve"> PAGEREF _Toc19858 \h </w:instrText>
          </w:r>
          <w:r>
            <w:fldChar w:fldCharType="separate"/>
          </w:r>
          <w:r>
            <w:t>30</w:t>
          </w:r>
          <w:r>
            <w:fldChar w:fldCharType="end"/>
          </w:r>
          <w:r>
            <w:fldChar w:fldCharType="end"/>
          </w:r>
        </w:p>
        <w:p w14:paraId="5C0DEC1F">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_Toc31075 </w:instrText>
          </w:r>
          <w:r>
            <w:fldChar w:fldCharType="separate"/>
          </w:r>
          <w:r>
            <w:rPr>
              <w:rFonts w:hint="eastAsia" w:ascii="宋体" w:hAnsi="宋体" w:eastAsia="宋体" w:cs="宋体"/>
              <w:bCs/>
              <w:szCs w:val="32"/>
            </w:rPr>
            <w:t>十、 其  他</w:t>
          </w:r>
          <w:r>
            <w:tab/>
          </w:r>
          <w:r>
            <w:fldChar w:fldCharType="begin"/>
          </w:r>
          <w:r>
            <w:instrText xml:space="preserve"> PAGEREF _Toc31075 \h </w:instrText>
          </w:r>
          <w:r>
            <w:fldChar w:fldCharType="separate"/>
          </w:r>
          <w:r>
            <w:t>31</w:t>
          </w:r>
          <w:r>
            <w:fldChar w:fldCharType="end"/>
          </w:r>
          <w:r>
            <w:fldChar w:fldCharType="end"/>
          </w:r>
        </w:p>
        <w:p w14:paraId="456595C7">
          <w:pPr>
            <w:pStyle w:val="22"/>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_Toc14339 </w:instrText>
          </w:r>
          <w:r>
            <w:fldChar w:fldCharType="separate"/>
          </w:r>
          <w:r>
            <w:rPr>
              <w:rFonts w:hint="eastAsia" w:ascii="宋体" w:hAnsi="宋体" w:eastAsia="宋体" w:cs="宋体"/>
              <w:bCs w:val="0"/>
              <w:szCs w:val="44"/>
            </w:rPr>
            <w:t>第</w:t>
          </w:r>
          <w:r>
            <w:rPr>
              <w:rFonts w:hint="eastAsia" w:ascii="宋体" w:hAnsi="宋体" w:eastAsia="宋体" w:cs="宋体"/>
              <w:bCs w:val="0"/>
              <w:szCs w:val="44"/>
              <w:lang w:val="en-US" w:eastAsia="zh-CN"/>
            </w:rPr>
            <w:t>三</w:t>
          </w:r>
          <w:r>
            <w:rPr>
              <w:rFonts w:hint="eastAsia" w:ascii="宋体" w:hAnsi="宋体" w:eastAsia="宋体" w:cs="宋体"/>
              <w:bCs w:val="0"/>
              <w:szCs w:val="44"/>
            </w:rPr>
            <w:t xml:space="preserve">章  </w:t>
          </w:r>
          <w:r>
            <w:rPr>
              <w:rFonts w:hint="eastAsia" w:ascii="宋体" w:hAnsi="宋体" w:eastAsia="宋体" w:cs="宋体"/>
              <w:bCs w:val="0"/>
              <w:szCs w:val="44"/>
              <w:lang w:val="en-US" w:eastAsia="zh-CN"/>
            </w:rPr>
            <w:t>项目需求</w:t>
          </w:r>
          <w:r>
            <w:tab/>
          </w:r>
          <w:r>
            <w:fldChar w:fldCharType="begin"/>
          </w:r>
          <w:r>
            <w:instrText xml:space="preserve"> PAGEREF _Toc14339 \h </w:instrText>
          </w:r>
          <w:r>
            <w:fldChar w:fldCharType="separate"/>
          </w:r>
          <w:r>
            <w:t>38</w:t>
          </w:r>
          <w:r>
            <w:fldChar w:fldCharType="end"/>
          </w:r>
          <w:r>
            <w:fldChar w:fldCharType="end"/>
          </w:r>
        </w:p>
        <w:p w14:paraId="3ED5FD90">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_Toc12886 </w:instrText>
          </w:r>
          <w:r>
            <w:fldChar w:fldCharType="separate"/>
          </w:r>
          <w:r>
            <w:rPr>
              <w:rFonts w:hint="eastAsia"/>
              <w:szCs w:val="28"/>
            </w:rPr>
            <w:t>一、 项目概况</w:t>
          </w:r>
          <w:r>
            <w:tab/>
          </w:r>
          <w:r>
            <w:fldChar w:fldCharType="begin"/>
          </w:r>
          <w:r>
            <w:instrText xml:space="preserve"> PAGEREF _Toc12886 \h </w:instrText>
          </w:r>
          <w:r>
            <w:fldChar w:fldCharType="separate"/>
          </w:r>
          <w:r>
            <w:t>38</w:t>
          </w:r>
          <w:r>
            <w:fldChar w:fldCharType="end"/>
          </w:r>
          <w:r>
            <w:fldChar w:fldCharType="end"/>
          </w:r>
        </w:p>
        <w:p w14:paraId="33B9BB46">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_Toc10175 </w:instrText>
          </w:r>
          <w:r>
            <w:fldChar w:fldCharType="separate"/>
          </w:r>
          <w:r>
            <w:rPr>
              <w:rFonts w:hint="eastAsia"/>
              <w:szCs w:val="28"/>
              <w:lang w:val="en-US" w:eastAsia="zh-CN"/>
            </w:rPr>
            <w:t>二、</w:t>
          </w:r>
          <w:r>
            <w:rPr>
              <w:rFonts w:hint="eastAsia"/>
              <w:szCs w:val="28"/>
            </w:rPr>
            <w:t>采购内容</w:t>
          </w:r>
          <w:r>
            <w:tab/>
          </w:r>
          <w:r>
            <w:fldChar w:fldCharType="begin"/>
          </w:r>
          <w:r>
            <w:instrText xml:space="preserve"> PAGEREF _Toc10175 \h </w:instrText>
          </w:r>
          <w:r>
            <w:fldChar w:fldCharType="separate"/>
          </w:r>
          <w:r>
            <w:t>38</w:t>
          </w:r>
          <w:r>
            <w:fldChar w:fldCharType="end"/>
          </w:r>
          <w:r>
            <w:fldChar w:fldCharType="end"/>
          </w:r>
        </w:p>
        <w:p w14:paraId="5C898EC3">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_Toc23573 </w:instrText>
          </w:r>
          <w:r>
            <w:fldChar w:fldCharType="separate"/>
          </w:r>
          <w:r>
            <w:rPr>
              <w:rFonts w:hint="eastAsia"/>
              <w:szCs w:val="28"/>
              <w:lang w:val="en-US" w:eastAsia="zh-CN"/>
            </w:rPr>
            <w:t>三、技术参数及要求</w:t>
          </w:r>
          <w:r>
            <w:tab/>
          </w:r>
          <w:r>
            <w:fldChar w:fldCharType="begin"/>
          </w:r>
          <w:r>
            <w:instrText xml:space="preserve"> PAGEREF _Toc23573 \h </w:instrText>
          </w:r>
          <w:r>
            <w:fldChar w:fldCharType="separate"/>
          </w:r>
          <w:r>
            <w:t>39</w:t>
          </w:r>
          <w:r>
            <w:fldChar w:fldCharType="end"/>
          </w:r>
          <w:r>
            <w:fldChar w:fldCharType="end"/>
          </w:r>
        </w:p>
        <w:p w14:paraId="3D281FEB">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_Toc25328 </w:instrText>
          </w:r>
          <w:r>
            <w:fldChar w:fldCharType="separate"/>
          </w:r>
          <w:r>
            <w:rPr>
              <w:rFonts w:hint="eastAsia"/>
              <w:szCs w:val="28"/>
              <w:lang w:val="en-US" w:eastAsia="zh-CN"/>
            </w:rPr>
            <w:t>四、商务要求</w:t>
          </w:r>
          <w:r>
            <w:tab/>
          </w:r>
          <w:r>
            <w:fldChar w:fldCharType="begin"/>
          </w:r>
          <w:r>
            <w:instrText xml:space="preserve"> PAGEREF _Toc25328 \h </w:instrText>
          </w:r>
          <w:r>
            <w:fldChar w:fldCharType="separate"/>
          </w:r>
          <w:r>
            <w:t>55</w:t>
          </w:r>
          <w:r>
            <w:fldChar w:fldCharType="end"/>
          </w:r>
          <w:r>
            <w:fldChar w:fldCharType="end"/>
          </w:r>
        </w:p>
        <w:p w14:paraId="40EE51CB">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_Toc1146 </w:instrText>
          </w:r>
          <w:r>
            <w:fldChar w:fldCharType="separate"/>
          </w:r>
          <w:r>
            <w:rPr>
              <w:rFonts w:hint="eastAsia"/>
              <w:szCs w:val="28"/>
              <w:lang w:val="en-US" w:eastAsia="zh-CN"/>
            </w:rPr>
            <w:t>五、可实质性变动的实质性要求</w:t>
          </w:r>
          <w:r>
            <w:tab/>
          </w:r>
          <w:r>
            <w:fldChar w:fldCharType="begin"/>
          </w:r>
          <w:r>
            <w:instrText xml:space="preserve"> PAGEREF _Toc1146 \h </w:instrText>
          </w:r>
          <w:r>
            <w:fldChar w:fldCharType="separate"/>
          </w:r>
          <w:r>
            <w:t>56</w:t>
          </w:r>
          <w:r>
            <w:fldChar w:fldCharType="end"/>
          </w:r>
          <w:r>
            <w:fldChar w:fldCharType="end"/>
          </w:r>
        </w:p>
        <w:p w14:paraId="231B23A1">
          <w:pPr>
            <w:pStyle w:val="22"/>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_Toc22652 </w:instrText>
          </w:r>
          <w:r>
            <w:fldChar w:fldCharType="separate"/>
          </w:r>
          <w:r>
            <w:rPr>
              <w:rFonts w:hint="eastAsia"/>
              <w:lang w:eastAsia="zh-CN"/>
            </w:rPr>
            <w:t>第四章</w:t>
          </w:r>
          <w:r>
            <w:rPr>
              <w:rFonts w:hint="eastAsia"/>
            </w:rPr>
            <w:t xml:space="preserve">  政府采购合同（草案）</w:t>
          </w:r>
          <w:r>
            <w:tab/>
          </w:r>
          <w:r>
            <w:fldChar w:fldCharType="begin"/>
          </w:r>
          <w:r>
            <w:instrText xml:space="preserve"> PAGEREF _Toc22652 \h </w:instrText>
          </w:r>
          <w:r>
            <w:fldChar w:fldCharType="separate"/>
          </w:r>
          <w:r>
            <w:t>57</w:t>
          </w:r>
          <w:r>
            <w:fldChar w:fldCharType="end"/>
          </w:r>
          <w:r>
            <w:fldChar w:fldCharType="end"/>
          </w:r>
        </w:p>
        <w:p w14:paraId="298B8BDC">
          <w:pPr>
            <w:pStyle w:val="22"/>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_Toc5426 </w:instrText>
          </w:r>
          <w:r>
            <w:fldChar w:fldCharType="separate"/>
          </w:r>
          <w:r>
            <w:rPr>
              <w:rFonts w:hint="eastAsia" w:ascii="宋体" w:hAnsi="宋体" w:eastAsia="宋体" w:cs="宋体"/>
              <w:szCs w:val="44"/>
              <w:highlight w:val="none"/>
              <w:lang w:val="en-US" w:eastAsia="zh-CN"/>
            </w:rPr>
            <w:t>第五章</w:t>
          </w:r>
          <w:r>
            <w:rPr>
              <w:rFonts w:hint="eastAsia" w:ascii="宋体" w:hAnsi="宋体" w:eastAsia="宋体" w:cs="宋体"/>
              <w:szCs w:val="44"/>
              <w:highlight w:val="none"/>
            </w:rPr>
            <w:t xml:space="preserve"> 评审方法</w:t>
          </w:r>
          <w:r>
            <w:tab/>
          </w:r>
          <w:r>
            <w:fldChar w:fldCharType="begin"/>
          </w:r>
          <w:r>
            <w:instrText xml:space="preserve"> PAGEREF _Toc5426 \h </w:instrText>
          </w:r>
          <w:r>
            <w:fldChar w:fldCharType="separate"/>
          </w:r>
          <w:r>
            <w:t>61</w:t>
          </w:r>
          <w:r>
            <w:fldChar w:fldCharType="end"/>
          </w:r>
          <w:r>
            <w:fldChar w:fldCharType="end"/>
          </w:r>
        </w:p>
        <w:p w14:paraId="2D799A0F">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_Toc4658 </w:instrText>
          </w:r>
          <w:r>
            <w:fldChar w:fldCharType="separate"/>
          </w:r>
          <w:r>
            <w:rPr>
              <w:rFonts w:hint="eastAsia"/>
              <w:szCs w:val="24"/>
              <w:lang w:val="en-US" w:eastAsia="zh-CN"/>
            </w:rPr>
            <w:t>一、总则</w:t>
          </w:r>
          <w:r>
            <w:tab/>
          </w:r>
          <w:r>
            <w:fldChar w:fldCharType="begin"/>
          </w:r>
          <w:r>
            <w:instrText xml:space="preserve"> PAGEREF _Toc4658 \h </w:instrText>
          </w:r>
          <w:r>
            <w:fldChar w:fldCharType="separate"/>
          </w:r>
          <w:r>
            <w:t>61</w:t>
          </w:r>
          <w:r>
            <w:fldChar w:fldCharType="end"/>
          </w:r>
          <w:r>
            <w:fldChar w:fldCharType="end"/>
          </w:r>
        </w:p>
        <w:p w14:paraId="08EEAC53">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_Toc80 </w:instrText>
          </w:r>
          <w:r>
            <w:fldChar w:fldCharType="separate"/>
          </w:r>
          <w:r>
            <w:rPr>
              <w:rFonts w:hint="eastAsia" w:ascii="宋体" w:hAnsi="宋体" w:eastAsia="宋体" w:cs="宋体"/>
              <w:bCs w:val="0"/>
              <w:szCs w:val="24"/>
              <w:highlight w:val="none"/>
              <w:lang w:val="en-US" w:eastAsia="zh-CN"/>
            </w:rPr>
            <w:t>二、 谈判程序</w:t>
          </w:r>
          <w:r>
            <w:tab/>
          </w:r>
          <w:r>
            <w:fldChar w:fldCharType="begin"/>
          </w:r>
          <w:r>
            <w:instrText xml:space="preserve"> PAGEREF _Toc80 \h </w:instrText>
          </w:r>
          <w:r>
            <w:fldChar w:fldCharType="separate"/>
          </w:r>
          <w:r>
            <w:t>62</w:t>
          </w:r>
          <w:r>
            <w:fldChar w:fldCharType="end"/>
          </w:r>
          <w:r>
            <w:fldChar w:fldCharType="end"/>
          </w:r>
        </w:p>
        <w:p w14:paraId="64FB2364">
          <w:pPr>
            <w:pStyle w:val="22"/>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_Toc31753 </w:instrText>
          </w:r>
          <w:r>
            <w:fldChar w:fldCharType="separate"/>
          </w:r>
          <w:r>
            <w:rPr>
              <w:rFonts w:hint="eastAsia"/>
              <w:lang w:eastAsia="zh-CN"/>
            </w:rPr>
            <w:t>第六章</w:t>
          </w:r>
          <w:r>
            <w:rPr>
              <w:rFonts w:hint="eastAsia"/>
            </w:rPr>
            <w:t xml:space="preserve">  响应文件格式</w:t>
          </w:r>
          <w:r>
            <w:tab/>
          </w:r>
          <w:r>
            <w:fldChar w:fldCharType="begin"/>
          </w:r>
          <w:r>
            <w:instrText xml:space="preserve"> PAGEREF _Toc31753 \h </w:instrText>
          </w:r>
          <w:r>
            <w:fldChar w:fldCharType="separate"/>
          </w:r>
          <w:r>
            <w:t>78</w:t>
          </w:r>
          <w:r>
            <w:fldChar w:fldCharType="end"/>
          </w:r>
          <w:r>
            <w:fldChar w:fldCharType="end"/>
          </w:r>
        </w:p>
        <w:p w14:paraId="1D46E5F9">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_Toc5712 </w:instrText>
          </w:r>
          <w:r>
            <w:fldChar w:fldCharType="separate"/>
          </w:r>
          <w:r>
            <w:rPr>
              <w:rFonts w:hint="eastAsia" w:ascii="宋体" w:hAnsi="宋体" w:eastAsia="宋体" w:cs="宋体"/>
              <w:szCs w:val="24"/>
              <w:lang w:val="en-US" w:eastAsia="zh-CN"/>
            </w:rPr>
            <w:t>第一部分 报价要求响应文件</w:t>
          </w:r>
          <w:r>
            <w:tab/>
          </w:r>
          <w:r>
            <w:fldChar w:fldCharType="begin"/>
          </w:r>
          <w:r>
            <w:instrText xml:space="preserve"> PAGEREF _Toc5712 \h </w:instrText>
          </w:r>
          <w:r>
            <w:fldChar w:fldCharType="separate"/>
          </w:r>
          <w:r>
            <w:t>79</w:t>
          </w:r>
          <w:r>
            <w:fldChar w:fldCharType="end"/>
          </w:r>
          <w:r>
            <w:fldChar w:fldCharType="end"/>
          </w:r>
        </w:p>
        <w:p w14:paraId="037C4B47">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_Toc16400 </w:instrText>
          </w:r>
          <w:r>
            <w:fldChar w:fldCharType="separate"/>
          </w:r>
          <w:r>
            <w:rPr>
              <w:rFonts w:hint="eastAsia" w:ascii="宋体" w:hAnsi="宋体" w:eastAsia="宋体" w:cs="宋体"/>
              <w:szCs w:val="24"/>
              <w:lang w:val="en-US" w:eastAsia="zh-CN"/>
            </w:rPr>
            <w:t>第二部分 资格证明文件</w:t>
          </w:r>
          <w:r>
            <w:tab/>
          </w:r>
          <w:r>
            <w:fldChar w:fldCharType="begin"/>
          </w:r>
          <w:r>
            <w:instrText xml:space="preserve"> PAGEREF _Toc16400 \h </w:instrText>
          </w:r>
          <w:r>
            <w:fldChar w:fldCharType="separate"/>
          </w:r>
          <w:r>
            <w:t>79</w:t>
          </w:r>
          <w:r>
            <w:fldChar w:fldCharType="end"/>
          </w:r>
          <w:r>
            <w:fldChar w:fldCharType="end"/>
          </w:r>
        </w:p>
        <w:p w14:paraId="41671D88">
          <w:pPr>
            <w:pStyle w:val="27"/>
            <w:keepNext w:val="0"/>
            <w:keepLines w:val="0"/>
            <w:pageBreakBefore w:val="0"/>
            <w:widowControl w:val="0"/>
            <w:tabs>
              <w:tab w:val="right" w:leader="dot" w:pos="8845"/>
            </w:tabs>
            <w:kinsoku/>
            <w:wordWrap/>
            <w:overflowPunct/>
            <w:topLinePunct w:val="0"/>
            <w:autoSpaceDE/>
            <w:autoSpaceDN/>
            <w:bidi w:val="0"/>
            <w:adjustRightInd/>
            <w:snapToGrid/>
            <w:spacing w:line="360" w:lineRule="exact"/>
            <w:textAlignment w:val="auto"/>
          </w:pPr>
          <w:r>
            <w:fldChar w:fldCharType="begin"/>
          </w:r>
          <w:r>
            <w:instrText xml:space="preserve"> HYPERLINK \l _Toc13888 </w:instrText>
          </w:r>
          <w:r>
            <w:fldChar w:fldCharType="separate"/>
          </w:r>
          <w:r>
            <w:rPr>
              <w:rFonts w:hint="eastAsia" w:ascii="宋体" w:hAnsi="宋体" w:eastAsia="宋体" w:cs="宋体"/>
              <w:szCs w:val="24"/>
              <w:lang w:val="en-US" w:eastAsia="zh-CN"/>
            </w:rPr>
            <w:t>第三部分 商务技术响应文件</w:t>
          </w:r>
          <w:r>
            <w:tab/>
          </w:r>
          <w:r>
            <w:fldChar w:fldCharType="begin"/>
          </w:r>
          <w:r>
            <w:instrText xml:space="preserve"> PAGEREF _Toc13888 \h </w:instrText>
          </w:r>
          <w:r>
            <w:fldChar w:fldCharType="separate"/>
          </w:r>
          <w:r>
            <w:t>79</w:t>
          </w:r>
          <w:r>
            <w:fldChar w:fldCharType="end"/>
          </w:r>
          <w:r>
            <w:fldChar w:fldCharType="end"/>
          </w:r>
        </w:p>
        <w:p w14:paraId="77D78928">
          <w:pPr>
            <w:pStyle w:val="22"/>
            <w:tabs>
              <w:tab w:val="right" w:leader="dot" w:pos="8845"/>
            </w:tabs>
          </w:pPr>
        </w:p>
        <w:p w14:paraId="4CFFE6C9">
          <w:pPr>
            <w:keepNext w:val="0"/>
            <w:keepLines w:val="0"/>
            <w:pageBreakBefore w:val="0"/>
            <w:widowControl/>
            <w:kinsoku/>
            <w:wordWrap/>
            <w:overflowPunct/>
            <w:topLinePunct w:val="0"/>
            <w:autoSpaceDE/>
            <w:autoSpaceDN/>
            <w:bidi w:val="0"/>
            <w:adjustRightInd/>
            <w:snapToGrid/>
            <w:spacing w:before="315" w:beforeLines="100" w:beforeAutospacing="0" w:after="0" w:afterLines="0" w:line="240" w:lineRule="auto"/>
            <w:ind w:left="0" w:leftChars="0" w:right="0" w:rightChars="0" w:firstLine="0" w:firstLineChars="0"/>
            <w:jc w:val="center"/>
            <w:textAlignment w:val="auto"/>
          </w:pPr>
          <w:r>
            <w:rPr>
              <w:b/>
            </w:rPr>
            <w:fldChar w:fldCharType="end"/>
          </w:r>
          <w:bookmarkStart w:id="26" w:name="_Toc6366"/>
          <w:bookmarkStart w:id="27" w:name="_Toc28864"/>
          <w:bookmarkStart w:id="28" w:name="_Toc29271_WPSOffice_Level1"/>
        </w:p>
      </w:sdtContent>
    </w:sdt>
    <w:p w14:paraId="5747050B">
      <w:pPr>
        <w:keepNext w:val="0"/>
        <w:keepLines w:val="0"/>
        <w:pageBreakBefore w:val="0"/>
        <w:widowControl/>
        <w:kinsoku/>
        <w:wordWrap/>
        <w:overflowPunct/>
        <w:topLinePunct w:val="0"/>
        <w:autoSpaceDE/>
        <w:autoSpaceDN/>
        <w:bidi w:val="0"/>
        <w:adjustRightInd/>
        <w:snapToGrid/>
        <w:spacing w:before="0" w:beforeLines="0" w:after="0" w:afterLines="0" w:line="480" w:lineRule="exact"/>
        <w:ind w:left="0" w:leftChars="0" w:right="0" w:rightChars="0" w:firstLine="0" w:firstLineChars="0"/>
        <w:jc w:val="center"/>
        <w:textAlignment w:val="auto"/>
        <w:rPr>
          <w:rFonts w:hint="eastAsia" w:ascii="宋体" w:hAnsi="宋体" w:eastAsia="宋体" w:cs="宋体"/>
          <w:sz w:val="44"/>
          <w:szCs w:val="44"/>
        </w:rPr>
      </w:pPr>
      <w:r>
        <w:rPr>
          <w:rFonts w:hint="eastAsia" w:ascii="宋体" w:hAnsi="宋体" w:eastAsia="宋体" w:cs="宋体"/>
          <w:b/>
          <w:bCs/>
          <w:color w:val="000000"/>
          <w:sz w:val="44"/>
          <w:szCs w:val="44"/>
        </w:rPr>
        <w:t xml:space="preserve">第一章  </w:t>
      </w:r>
      <w:bookmarkStart w:id="29" w:name="_Toc35393797"/>
      <w:bookmarkStart w:id="30" w:name="_Toc28359011"/>
      <w:r>
        <w:rPr>
          <w:rFonts w:hint="eastAsia" w:ascii="宋体" w:hAnsi="宋体" w:eastAsia="宋体" w:cs="宋体"/>
          <w:b/>
          <w:bCs/>
          <w:color w:val="000000"/>
          <w:sz w:val="44"/>
          <w:szCs w:val="44"/>
        </w:rPr>
        <w:t>竞争性谈判公告</w:t>
      </w:r>
      <w:bookmarkEnd w:id="26"/>
      <w:bookmarkEnd w:id="27"/>
      <w:bookmarkEnd w:id="28"/>
      <w:bookmarkEnd w:id="29"/>
      <w:bookmarkEnd w:id="30"/>
    </w:p>
    <w:p w14:paraId="591D7889">
      <w:pPr>
        <w:pageBreakBefore w:val="0"/>
        <w:kinsoku/>
        <w:overflowPunct/>
        <w:topLinePunct w:val="0"/>
        <w:bidi w:val="0"/>
        <w:spacing w:line="560" w:lineRule="exact"/>
        <w:textAlignment w:val="auto"/>
        <w:rPr>
          <w:rFonts w:hint="eastAsia" w:ascii="宋体" w:hAnsi="宋体" w:eastAsia="宋体" w:cs="宋体"/>
          <w:sz w:val="24"/>
          <w:szCs w:val="24"/>
        </w:rPr>
      </w:pPr>
    </w:p>
    <w:p w14:paraId="4D786890">
      <w:pPr>
        <w:pageBreakBefore w:val="0"/>
        <w:pBdr>
          <w:top w:val="single" w:color="auto" w:sz="4" w:space="1"/>
          <w:left w:val="single" w:color="auto" w:sz="4" w:space="4"/>
          <w:bottom w:val="single" w:color="auto" w:sz="4" w:space="1"/>
          <w:right w:val="single" w:color="auto" w:sz="4" w:space="4"/>
        </w:pBdr>
        <w:kinsoku/>
        <w:overflowPunct/>
        <w:topLinePunct w:val="0"/>
        <w:bidi w:val="0"/>
        <w:spacing w:line="560" w:lineRule="exact"/>
        <w:ind w:firstLine="480" w:firstLineChars="20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项目概况</w:t>
      </w:r>
    </w:p>
    <w:p w14:paraId="19570A22">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60" w:lineRule="exact"/>
        <w:ind w:firstLine="840" w:firstLineChars="300"/>
        <w:textAlignment w:val="auto"/>
        <w:rPr>
          <w:rFonts w:hint="eastAsia" w:asciiTheme="minorEastAsia" w:hAnsiTheme="minorEastAsia" w:eastAsiaTheme="minorEastAsia" w:cstheme="minorEastAsia"/>
          <w:sz w:val="24"/>
          <w:szCs w:val="24"/>
        </w:rPr>
      </w:pPr>
      <w:bookmarkStart w:id="31" w:name="_Toc35393629"/>
      <w:bookmarkStart w:id="32" w:name="_Toc35393798"/>
      <w:bookmarkStart w:id="33" w:name="_Toc23997"/>
      <w:bookmarkStart w:id="34" w:name="_Toc16734_WPSOffice_Level2"/>
      <w:bookmarkStart w:id="35" w:name="_Toc28359012"/>
      <w:bookmarkStart w:id="36" w:name="_Toc28359089"/>
      <w:bookmarkStart w:id="37" w:name="_Toc8815"/>
      <w:r>
        <w:rPr>
          <w:rFonts w:hint="eastAsia"/>
          <w:b/>
          <w:bCs/>
          <w:sz w:val="28"/>
          <w:szCs w:val="28"/>
          <w:u w:val="single"/>
        </w:rPr>
        <w:t>文山市</w:t>
      </w:r>
      <w:r>
        <w:rPr>
          <w:rFonts w:hint="eastAsia"/>
          <w:b/>
          <w:bCs/>
          <w:sz w:val="28"/>
          <w:szCs w:val="28"/>
          <w:u w:val="single"/>
          <w:lang w:val="en-US" w:eastAsia="zh-CN"/>
        </w:rPr>
        <w:t>开化街道办事处沙坝社区卫生服务中心办公设备采购项目（二次）</w:t>
      </w:r>
      <w:r>
        <w:rPr>
          <w:rFonts w:hint="eastAsia" w:asciiTheme="minorEastAsia" w:hAnsiTheme="minorEastAsia" w:eastAsiaTheme="minorEastAsia" w:cstheme="minorEastAsia"/>
          <w:sz w:val="24"/>
          <w:szCs w:val="24"/>
        </w:rPr>
        <w:t>的潜在投标人应在</w:t>
      </w:r>
      <w:r>
        <w:rPr>
          <w:rFonts w:hint="eastAsia" w:asciiTheme="minorEastAsia" w:hAnsiTheme="minorEastAsia" w:eastAsiaTheme="minorEastAsia" w:cstheme="minorEastAsia"/>
          <w:sz w:val="24"/>
          <w:szCs w:val="24"/>
          <w:lang w:val="en-US" w:eastAsia="zh-CN"/>
        </w:rPr>
        <w:t>政采云平台</w:t>
      </w:r>
      <w:r>
        <w:rPr>
          <w:rFonts w:hint="eastAsia" w:asciiTheme="minorEastAsia" w:hAnsiTheme="minorEastAsia" w:eastAsiaTheme="minorEastAsia" w:cstheme="minorEastAsia"/>
          <w:sz w:val="24"/>
          <w:szCs w:val="24"/>
        </w:rPr>
        <w:t>凭企业数字证书进行报名后（</w:t>
      </w:r>
      <w:r>
        <w:rPr>
          <w:rFonts w:hint="eastAsia" w:asciiTheme="minorEastAsia" w:hAnsiTheme="minorEastAsia" w:eastAsiaTheme="minorEastAsia" w:cstheme="minorEastAsia"/>
          <w:color w:val="auto"/>
          <w:sz w:val="24"/>
          <w:szCs w:val="24"/>
          <w:u w:val="none"/>
          <w:lang w:eastAsia="zh-CN"/>
        </w:rPr>
        <w:t>网址：</w:t>
      </w:r>
      <w:r>
        <w:rPr>
          <w:rStyle w:val="37"/>
          <w:rFonts w:hint="eastAsia" w:asciiTheme="minorEastAsia" w:hAnsiTheme="minorEastAsia" w:eastAsiaTheme="minorEastAsia" w:cstheme="minorEastAsia"/>
          <w:sz w:val="24"/>
          <w:szCs w:val="24"/>
        </w:rPr>
        <w:fldChar w:fldCharType="begin"/>
      </w:r>
      <w:r>
        <w:rPr>
          <w:rStyle w:val="37"/>
          <w:rFonts w:hint="eastAsia" w:asciiTheme="minorEastAsia" w:hAnsiTheme="minorEastAsia" w:eastAsiaTheme="minorEastAsia" w:cstheme="minorEastAsia"/>
          <w:sz w:val="24"/>
          <w:szCs w:val="24"/>
        </w:rPr>
        <w:instrText xml:space="preserve"> HYPERLINK "http://ggzy.yn.gov.cn/#/homePage）获取招标文件，并于" </w:instrText>
      </w:r>
      <w:r>
        <w:rPr>
          <w:rStyle w:val="37"/>
          <w:rFonts w:hint="eastAsia" w:asciiTheme="minorEastAsia" w:hAnsiTheme="minorEastAsia" w:eastAsiaTheme="minorEastAsia" w:cstheme="minorEastAsia"/>
          <w:sz w:val="24"/>
          <w:szCs w:val="24"/>
        </w:rPr>
        <w:fldChar w:fldCharType="separate"/>
      </w:r>
      <w:r>
        <w:rPr>
          <w:rStyle w:val="37"/>
          <w:rFonts w:hint="eastAsia" w:asciiTheme="minorEastAsia" w:hAnsiTheme="minorEastAsia" w:eastAsiaTheme="minorEastAsia" w:cstheme="minorEastAsia"/>
          <w:sz w:val="24"/>
          <w:szCs w:val="24"/>
        </w:rPr>
        <w:t>http://ggzy.yn.gov.cn/#/homePage</w:t>
      </w:r>
      <w:r>
        <w:rPr>
          <w:rStyle w:val="37"/>
          <w:rFonts w:hint="eastAsia" w:asciiTheme="minorEastAsia" w:hAnsiTheme="minorEastAsia" w:eastAsiaTheme="minorEastAsia" w:cstheme="minorEastAsia"/>
          <w:sz w:val="24"/>
          <w:szCs w:val="24"/>
          <w:lang w:val="en-US" w:eastAsia="zh-CN"/>
        </w:rPr>
        <w:t>）</w:t>
      </w:r>
      <w:r>
        <w:rPr>
          <w:rStyle w:val="37"/>
          <w:rFonts w:hint="eastAsia" w:asciiTheme="minorEastAsia" w:hAnsiTheme="minorEastAsia" w:eastAsiaTheme="minorEastAsia" w:cstheme="minorEastAsia"/>
          <w:sz w:val="24"/>
          <w:szCs w:val="24"/>
        </w:rPr>
        <w:t>获取</w:t>
      </w:r>
      <w:r>
        <w:rPr>
          <w:rStyle w:val="37"/>
          <w:rFonts w:hint="eastAsia" w:asciiTheme="minorEastAsia" w:hAnsiTheme="minorEastAsia" w:eastAsiaTheme="minorEastAsia" w:cstheme="minorEastAsia"/>
          <w:sz w:val="24"/>
          <w:szCs w:val="24"/>
          <w:lang w:val="en-US" w:eastAsia="zh-CN"/>
        </w:rPr>
        <w:t>谈判</w:t>
      </w:r>
      <w:r>
        <w:rPr>
          <w:rStyle w:val="37"/>
          <w:rFonts w:hint="eastAsia" w:asciiTheme="minorEastAsia" w:hAnsiTheme="minorEastAsia" w:eastAsiaTheme="minorEastAsia" w:cstheme="minorEastAsia"/>
          <w:sz w:val="24"/>
          <w:szCs w:val="24"/>
        </w:rPr>
        <w:t>文件，并于</w:t>
      </w:r>
      <w:r>
        <w:rPr>
          <w:rStyle w:val="37"/>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b/>
          <w:bCs/>
          <w:sz w:val="24"/>
          <w:szCs w:val="24"/>
          <w:u w:val="single"/>
          <w:lang w:val="en-US" w:eastAsia="zh-CN"/>
        </w:rPr>
        <w:t xml:space="preserve">2026 </w:t>
      </w:r>
      <w:r>
        <w:rPr>
          <w:rFonts w:hint="eastAsia" w:asciiTheme="minorEastAsia" w:hAnsiTheme="minorEastAsia" w:eastAsiaTheme="minorEastAsia" w:cstheme="minorEastAsia"/>
          <w:b/>
          <w:bCs/>
          <w:sz w:val="24"/>
          <w:szCs w:val="24"/>
          <w:u w:val="single"/>
        </w:rPr>
        <w:t>年</w:t>
      </w:r>
      <w:r>
        <w:rPr>
          <w:rFonts w:hint="eastAsia" w:asciiTheme="minorEastAsia" w:hAnsiTheme="minorEastAsia" w:eastAsiaTheme="minorEastAsia" w:cstheme="minorEastAsia"/>
          <w:b/>
          <w:bCs/>
          <w:sz w:val="24"/>
          <w:szCs w:val="24"/>
          <w:u w:val="single"/>
          <w:lang w:val="en-US" w:eastAsia="zh-CN"/>
        </w:rPr>
        <w:t xml:space="preserve"> 6 </w:t>
      </w:r>
      <w:r>
        <w:rPr>
          <w:rFonts w:hint="eastAsia" w:asciiTheme="minorEastAsia" w:hAnsiTheme="minorEastAsia" w:eastAsiaTheme="minorEastAsia" w:cstheme="minorEastAsia"/>
          <w:b/>
          <w:bCs/>
          <w:sz w:val="24"/>
          <w:szCs w:val="24"/>
          <w:u w:val="single"/>
        </w:rPr>
        <w:t>月</w:t>
      </w:r>
      <w:r>
        <w:rPr>
          <w:rFonts w:hint="eastAsia" w:asciiTheme="minorEastAsia" w:hAnsiTheme="minorEastAsia" w:eastAsiaTheme="minorEastAsia" w:cstheme="minorEastAsia"/>
          <w:b/>
          <w:bCs/>
          <w:sz w:val="24"/>
          <w:szCs w:val="24"/>
          <w:u w:val="single"/>
          <w:lang w:val="en-US" w:eastAsia="zh-CN"/>
        </w:rPr>
        <w:t>17</w:t>
      </w:r>
      <w:r>
        <w:rPr>
          <w:rFonts w:hint="eastAsia" w:asciiTheme="minorEastAsia" w:hAnsiTheme="minorEastAsia" w:eastAsiaTheme="minorEastAsia" w:cstheme="minorEastAsia"/>
          <w:b/>
          <w:bCs/>
          <w:sz w:val="24"/>
          <w:szCs w:val="24"/>
          <w:u w:val="single"/>
        </w:rPr>
        <w:t>日</w:t>
      </w:r>
      <w:r>
        <w:rPr>
          <w:rFonts w:hint="eastAsia" w:asciiTheme="minorEastAsia" w:hAnsiTheme="minorEastAsia" w:eastAsiaTheme="minorEastAsia" w:cstheme="minorEastAsia"/>
          <w:b/>
          <w:bCs/>
          <w:sz w:val="24"/>
          <w:szCs w:val="24"/>
          <w:u w:val="single"/>
          <w:lang w:val="en-US" w:eastAsia="zh-CN"/>
        </w:rPr>
        <w:t>15</w:t>
      </w:r>
      <w:r>
        <w:rPr>
          <w:rFonts w:hint="eastAsia" w:asciiTheme="minorEastAsia" w:hAnsiTheme="minorEastAsia" w:eastAsiaTheme="minorEastAsia" w:cstheme="minorEastAsia"/>
          <w:b/>
          <w:bCs/>
          <w:sz w:val="24"/>
          <w:szCs w:val="24"/>
          <w:u w:val="single"/>
        </w:rPr>
        <w:t>点</w:t>
      </w:r>
      <w:r>
        <w:rPr>
          <w:rFonts w:hint="eastAsia" w:asciiTheme="minorEastAsia" w:hAnsiTheme="minorEastAsia" w:eastAsiaTheme="minorEastAsia" w:cstheme="minorEastAsia"/>
          <w:b/>
          <w:bCs/>
          <w:sz w:val="24"/>
          <w:szCs w:val="24"/>
          <w:u w:val="single"/>
          <w:lang w:val="en-US" w:eastAsia="zh-CN"/>
        </w:rPr>
        <w:t>00</w:t>
      </w:r>
      <w:r>
        <w:rPr>
          <w:rFonts w:hint="eastAsia" w:asciiTheme="minorEastAsia" w:hAnsiTheme="minorEastAsia" w:eastAsiaTheme="minorEastAsia" w:cstheme="minorEastAsia"/>
          <w:b/>
          <w:bCs/>
          <w:sz w:val="24"/>
          <w:szCs w:val="24"/>
          <w:u w:val="single"/>
        </w:rPr>
        <w:t>分</w:t>
      </w:r>
      <w:r>
        <w:rPr>
          <w:rFonts w:hint="eastAsia" w:asciiTheme="minorEastAsia" w:hAnsiTheme="minorEastAsia" w:eastAsiaTheme="minorEastAsia" w:cstheme="minorEastAsia"/>
          <w:bCs/>
          <w:sz w:val="24"/>
          <w:szCs w:val="24"/>
          <w:u w:val="single"/>
        </w:rPr>
        <w:t>（</w:t>
      </w:r>
      <w:r>
        <w:rPr>
          <w:rFonts w:hint="eastAsia" w:asciiTheme="minorEastAsia" w:hAnsiTheme="minorEastAsia" w:eastAsiaTheme="minorEastAsia" w:cstheme="minorEastAsia"/>
          <w:bCs/>
          <w:sz w:val="24"/>
          <w:szCs w:val="24"/>
        </w:rPr>
        <w:t>北京时间）前递交投标文件</w:t>
      </w:r>
      <w:r>
        <w:rPr>
          <w:rFonts w:hint="eastAsia" w:asciiTheme="minorEastAsia" w:hAnsiTheme="minorEastAsia" w:eastAsiaTheme="minorEastAsia" w:cstheme="minorEastAsia"/>
          <w:sz w:val="24"/>
          <w:szCs w:val="24"/>
        </w:rPr>
        <w:t>。</w:t>
      </w:r>
    </w:p>
    <w:p w14:paraId="7DB415F3">
      <w:pPr>
        <w:pStyle w:val="6"/>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b/>
          <w:bCs w:val="0"/>
          <w:sz w:val="24"/>
          <w:szCs w:val="24"/>
        </w:rPr>
      </w:pPr>
      <w:bookmarkStart w:id="38" w:name="_Toc20855"/>
      <w:bookmarkStart w:id="39" w:name="_Toc25621"/>
      <w:r>
        <w:rPr>
          <w:rFonts w:hint="eastAsia" w:ascii="宋体" w:hAnsi="宋体" w:eastAsia="宋体" w:cs="宋体"/>
          <w:b/>
          <w:bCs w:val="0"/>
          <w:sz w:val="24"/>
          <w:szCs w:val="24"/>
        </w:rPr>
        <w:t>一、项目基本情况</w:t>
      </w:r>
      <w:bookmarkEnd w:id="31"/>
      <w:bookmarkEnd w:id="32"/>
      <w:bookmarkEnd w:id="33"/>
      <w:bookmarkEnd w:id="34"/>
      <w:bookmarkEnd w:id="35"/>
      <w:bookmarkEnd w:id="36"/>
      <w:bookmarkEnd w:id="37"/>
      <w:bookmarkEnd w:id="38"/>
      <w:bookmarkEnd w:id="39"/>
    </w:p>
    <w:p w14:paraId="6EFF0219">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项目编号：WSSZFCG</w:t>
      </w:r>
      <w:r>
        <w:rPr>
          <w:rFonts w:hint="eastAsia" w:ascii="宋体" w:hAnsi="宋体" w:eastAsia="宋体" w:cs="宋体"/>
          <w:sz w:val="24"/>
          <w:szCs w:val="24"/>
          <w:lang w:val="en-US" w:eastAsia="zh-CN"/>
        </w:rPr>
        <w:t>TP</w:t>
      </w:r>
      <w:r>
        <w:rPr>
          <w:rFonts w:hint="eastAsia" w:ascii="宋体" w:hAnsi="宋体" w:eastAsia="宋体" w:cs="宋体"/>
          <w:sz w:val="24"/>
          <w:szCs w:val="24"/>
        </w:rPr>
        <w:t>202</w:t>
      </w:r>
      <w:r>
        <w:rPr>
          <w:rFonts w:hint="eastAsia" w:ascii="宋体" w:hAnsi="宋体" w:cs="宋体"/>
          <w:sz w:val="24"/>
          <w:szCs w:val="24"/>
          <w:lang w:val="en-US" w:eastAsia="zh-CN"/>
        </w:rPr>
        <w:t>6</w:t>
      </w:r>
      <w:r>
        <w:rPr>
          <w:rFonts w:hint="eastAsia" w:ascii="宋体" w:hAnsi="宋体" w:eastAsia="宋体" w:cs="宋体"/>
          <w:sz w:val="24"/>
          <w:szCs w:val="24"/>
        </w:rPr>
        <w:t>-0</w:t>
      </w:r>
      <w:r>
        <w:rPr>
          <w:rFonts w:hint="eastAsia" w:ascii="宋体" w:hAnsi="宋体" w:eastAsia="宋体" w:cs="宋体"/>
          <w:sz w:val="24"/>
          <w:szCs w:val="24"/>
          <w:lang w:val="en-US" w:eastAsia="zh-CN"/>
        </w:rPr>
        <w:t>1</w:t>
      </w:r>
    </w:p>
    <w:p w14:paraId="42438193">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u w:val="single"/>
        </w:rPr>
      </w:pPr>
      <w:r>
        <w:rPr>
          <w:rFonts w:hint="eastAsia" w:ascii="宋体" w:hAnsi="宋体" w:eastAsia="宋体" w:cs="宋体"/>
          <w:sz w:val="24"/>
          <w:szCs w:val="24"/>
        </w:rPr>
        <w:t>项目名称：文山市</w:t>
      </w:r>
      <w:r>
        <w:rPr>
          <w:rFonts w:hint="eastAsia" w:ascii="宋体" w:hAnsi="宋体" w:eastAsia="宋体" w:cs="宋体"/>
          <w:sz w:val="24"/>
          <w:szCs w:val="24"/>
          <w:lang w:val="en-US" w:eastAsia="zh-CN"/>
        </w:rPr>
        <w:t>开化街道办事处沙坝社区卫生服务中心办公设备采购项目</w:t>
      </w:r>
      <w:r>
        <w:rPr>
          <w:rFonts w:hint="eastAsia" w:ascii="宋体" w:hAnsi="宋体" w:cs="宋体"/>
          <w:sz w:val="24"/>
          <w:szCs w:val="24"/>
          <w:lang w:val="en-US" w:eastAsia="zh-CN"/>
        </w:rPr>
        <w:t>（二次）</w:t>
      </w:r>
    </w:p>
    <w:p w14:paraId="16DD5A21">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b/>
          <w:bCs/>
          <w:sz w:val="24"/>
          <w:szCs w:val="24"/>
        </w:rPr>
      </w:pPr>
      <w:r>
        <w:rPr>
          <w:rFonts w:hint="eastAsia" w:ascii="宋体" w:hAnsi="宋体" w:eastAsia="宋体" w:cs="宋体"/>
          <w:sz w:val="24"/>
          <w:szCs w:val="24"/>
        </w:rPr>
        <w:t>采购方式</w:t>
      </w:r>
      <w:r>
        <w:rPr>
          <w:rFonts w:hint="eastAsia" w:ascii="宋体" w:hAnsi="宋体" w:eastAsia="宋体" w:cs="宋体"/>
          <w:sz w:val="24"/>
          <w:szCs w:val="24"/>
          <w:lang w:eastAsia="zh-CN"/>
        </w:rPr>
        <w:t>：</w:t>
      </w:r>
      <w:r>
        <w:rPr>
          <w:rFonts w:hint="eastAsia" w:ascii="宋体" w:hAnsi="宋体" w:eastAsia="宋体" w:cs="宋体"/>
          <w:b/>
          <w:bCs/>
          <w:sz w:val="24"/>
          <w:szCs w:val="24"/>
        </w:rPr>
        <w:t>竞争性谈判</w:t>
      </w:r>
    </w:p>
    <w:p w14:paraId="5CB385B2">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b/>
          <w:bCs/>
          <w:sz w:val="24"/>
          <w:szCs w:val="24"/>
        </w:rPr>
      </w:pPr>
      <w:r>
        <w:rPr>
          <w:rFonts w:hint="eastAsia" w:ascii="宋体" w:hAnsi="宋体" w:eastAsia="宋体" w:cs="宋体"/>
          <w:b/>
          <w:bCs/>
          <w:sz w:val="24"/>
          <w:szCs w:val="24"/>
        </w:rPr>
        <w:t>预算金额：</w:t>
      </w:r>
      <w:r>
        <w:rPr>
          <w:rFonts w:hint="eastAsia" w:ascii="宋体" w:hAnsi="宋体" w:cs="宋体"/>
          <w:b/>
          <w:bCs/>
          <w:sz w:val="24"/>
          <w:szCs w:val="24"/>
          <w:lang w:val="en-US" w:eastAsia="zh-CN"/>
        </w:rPr>
        <w:t>21.462</w:t>
      </w:r>
      <w:r>
        <w:rPr>
          <w:rFonts w:hint="eastAsia" w:ascii="宋体" w:hAnsi="宋体" w:eastAsia="宋体" w:cs="宋体"/>
          <w:b/>
          <w:bCs/>
          <w:sz w:val="24"/>
          <w:szCs w:val="24"/>
          <w:lang w:val="en-US" w:eastAsia="zh-CN"/>
        </w:rPr>
        <w:t>万元</w:t>
      </w:r>
    </w:p>
    <w:p w14:paraId="5738F34E">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b/>
          <w:bCs/>
          <w:sz w:val="24"/>
          <w:szCs w:val="24"/>
        </w:rPr>
      </w:pPr>
      <w:r>
        <w:rPr>
          <w:rFonts w:hint="eastAsia" w:ascii="宋体" w:hAnsi="宋体" w:eastAsia="宋体" w:cs="宋体"/>
          <w:b/>
          <w:bCs/>
          <w:sz w:val="24"/>
          <w:szCs w:val="24"/>
        </w:rPr>
        <w:t>最高限价：</w:t>
      </w:r>
      <w:r>
        <w:rPr>
          <w:rFonts w:hint="eastAsia" w:ascii="宋体" w:hAnsi="宋体" w:cs="宋体"/>
          <w:b/>
          <w:bCs/>
          <w:sz w:val="24"/>
          <w:szCs w:val="24"/>
          <w:lang w:val="en-US" w:eastAsia="zh-CN"/>
        </w:rPr>
        <w:t>21.462</w:t>
      </w:r>
      <w:r>
        <w:rPr>
          <w:rFonts w:hint="eastAsia" w:ascii="宋体" w:hAnsi="宋体" w:eastAsia="宋体" w:cs="宋体"/>
          <w:b/>
          <w:bCs/>
          <w:sz w:val="24"/>
          <w:szCs w:val="24"/>
          <w:lang w:val="en-US" w:eastAsia="zh-CN"/>
        </w:rPr>
        <w:t>万元</w:t>
      </w:r>
    </w:p>
    <w:p w14:paraId="559FE9A5">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采购需求</w:t>
      </w:r>
      <w:r>
        <w:rPr>
          <w:rFonts w:hint="eastAsia" w:ascii="宋体" w:hAnsi="宋体" w:eastAsia="宋体" w:cs="宋体"/>
          <w:sz w:val="24"/>
          <w:szCs w:val="24"/>
          <w:lang w:eastAsia="zh-CN"/>
        </w:rPr>
        <w:t>：</w:t>
      </w:r>
    </w:p>
    <w:tbl>
      <w:tblPr>
        <w:tblStyle w:val="32"/>
        <w:tblW w:w="8998" w:type="dxa"/>
        <w:tblInd w:w="40" w:type="dxa"/>
        <w:tblLayout w:type="fixed"/>
        <w:tblCellMar>
          <w:top w:w="0" w:type="dxa"/>
          <w:left w:w="108" w:type="dxa"/>
          <w:bottom w:w="0" w:type="dxa"/>
          <w:right w:w="108" w:type="dxa"/>
        </w:tblCellMar>
      </w:tblPr>
      <w:tblGrid>
        <w:gridCol w:w="915"/>
        <w:gridCol w:w="2913"/>
        <w:gridCol w:w="1247"/>
        <w:gridCol w:w="2307"/>
        <w:gridCol w:w="1616"/>
      </w:tblGrid>
      <w:tr w14:paraId="28A58A0C">
        <w:tblPrEx>
          <w:tblCellMar>
            <w:top w:w="0" w:type="dxa"/>
            <w:left w:w="108" w:type="dxa"/>
            <w:bottom w:w="0" w:type="dxa"/>
            <w:right w:w="108" w:type="dxa"/>
          </w:tblCellMar>
        </w:tblPrEx>
        <w:trPr>
          <w:trHeight w:val="412" w:hRule="atLeast"/>
        </w:trPr>
        <w:tc>
          <w:tcPr>
            <w:tcW w:w="915" w:type="dxa"/>
            <w:tcBorders>
              <w:top w:val="single" w:color="000000" w:sz="4" w:space="0"/>
              <w:left w:val="single" w:color="000000" w:sz="4" w:space="0"/>
              <w:bottom w:val="single" w:color="auto" w:sz="4" w:space="0"/>
              <w:right w:val="single" w:color="000000" w:sz="4" w:space="0"/>
            </w:tcBorders>
            <w:noWrap w:val="0"/>
            <w:vAlign w:val="center"/>
          </w:tcPr>
          <w:p w14:paraId="7497B08F">
            <w:pPr>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2913" w:type="dxa"/>
            <w:tcBorders>
              <w:top w:val="single" w:color="000000" w:sz="4" w:space="0"/>
              <w:left w:val="single" w:color="000000" w:sz="4" w:space="0"/>
              <w:bottom w:val="single" w:color="auto" w:sz="4" w:space="0"/>
              <w:right w:val="single" w:color="000000" w:sz="4" w:space="0"/>
            </w:tcBorders>
            <w:noWrap w:val="0"/>
            <w:vAlign w:val="center"/>
          </w:tcPr>
          <w:p w14:paraId="77D01B0B">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货物</w:t>
            </w:r>
            <w:r>
              <w:rPr>
                <w:rFonts w:hint="eastAsia" w:ascii="宋体" w:hAnsi="宋体" w:eastAsia="宋体" w:cs="宋体"/>
                <w:sz w:val="24"/>
                <w:szCs w:val="24"/>
              </w:rPr>
              <w:t>名称</w:t>
            </w:r>
          </w:p>
        </w:tc>
        <w:tc>
          <w:tcPr>
            <w:tcW w:w="1247" w:type="dxa"/>
            <w:tcBorders>
              <w:top w:val="single" w:color="000000" w:sz="4" w:space="0"/>
              <w:left w:val="nil"/>
              <w:bottom w:val="single" w:color="auto" w:sz="4" w:space="0"/>
              <w:right w:val="single" w:color="000000" w:sz="4" w:space="0"/>
            </w:tcBorders>
            <w:noWrap w:val="0"/>
            <w:vAlign w:val="center"/>
          </w:tcPr>
          <w:p w14:paraId="7A5FD994">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数量</w:t>
            </w:r>
          </w:p>
        </w:tc>
        <w:tc>
          <w:tcPr>
            <w:tcW w:w="2307" w:type="dxa"/>
            <w:tcBorders>
              <w:top w:val="single" w:color="000000" w:sz="4" w:space="0"/>
              <w:left w:val="nil"/>
              <w:bottom w:val="single" w:color="auto" w:sz="4" w:space="0"/>
              <w:right w:val="single" w:color="000000" w:sz="4" w:space="0"/>
            </w:tcBorders>
            <w:noWrap w:val="0"/>
            <w:vAlign w:val="center"/>
          </w:tcPr>
          <w:p w14:paraId="0D81B04A">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单位</w:t>
            </w:r>
          </w:p>
        </w:tc>
        <w:tc>
          <w:tcPr>
            <w:tcW w:w="1616" w:type="dxa"/>
            <w:tcBorders>
              <w:top w:val="single" w:color="000000" w:sz="4" w:space="0"/>
              <w:left w:val="nil"/>
              <w:bottom w:val="single" w:color="auto" w:sz="4" w:space="0"/>
              <w:right w:val="single" w:color="000000" w:sz="4" w:space="0"/>
            </w:tcBorders>
            <w:noWrap w:val="0"/>
            <w:vAlign w:val="center"/>
          </w:tcPr>
          <w:p w14:paraId="32CC715D">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备注</w:t>
            </w:r>
          </w:p>
        </w:tc>
      </w:tr>
      <w:tr w14:paraId="7ADF3289">
        <w:tblPrEx>
          <w:tblCellMar>
            <w:top w:w="0" w:type="dxa"/>
            <w:left w:w="108" w:type="dxa"/>
            <w:bottom w:w="0" w:type="dxa"/>
            <w:right w:w="108" w:type="dxa"/>
          </w:tblCellMar>
        </w:tblPrEx>
        <w:trPr>
          <w:trHeight w:val="581"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0A9455F">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sz w:val="24"/>
                <w:szCs w:val="24"/>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BAF4734">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台式电脑</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74B0EDA">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16</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EE23152">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sz w:val="24"/>
                <w:szCs w:val="24"/>
                <w:lang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84877AF">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5F738014">
        <w:tblPrEx>
          <w:tblCellMar>
            <w:top w:w="0" w:type="dxa"/>
            <w:left w:w="108" w:type="dxa"/>
            <w:bottom w:w="0" w:type="dxa"/>
            <w:right w:w="108" w:type="dxa"/>
          </w:tblCellMar>
        </w:tblPrEx>
        <w:trPr>
          <w:trHeight w:val="581"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706359B">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eastAsia="宋体" w:cs="宋体"/>
                <w:sz w:val="24"/>
                <w:szCs w:val="24"/>
                <w:lang w:val="en-US"/>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7D0FB5F">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黑白/激光多功能一体机</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642C66C">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2</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BF69681">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5F4A9FD">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0A802E06">
        <w:tblPrEx>
          <w:tblCellMar>
            <w:top w:w="0" w:type="dxa"/>
            <w:left w:w="108" w:type="dxa"/>
            <w:bottom w:w="0" w:type="dxa"/>
            <w:right w:w="108" w:type="dxa"/>
          </w:tblCellMar>
        </w:tblPrEx>
        <w:trPr>
          <w:trHeight w:val="581"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BA0E728">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eastAsia="宋体" w:cs="宋体"/>
                <w:sz w:val="24"/>
                <w:szCs w:val="24"/>
                <w:lang w:val="en-US"/>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4E7CB73">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彩色一体机</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C0AF8E1">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3</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DD1AF61">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E1E709">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252E69D8">
        <w:tblPrEx>
          <w:tblCellMar>
            <w:top w:w="0" w:type="dxa"/>
            <w:left w:w="108" w:type="dxa"/>
            <w:bottom w:w="0" w:type="dxa"/>
            <w:right w:w="108" w:type="dxa"/>
          </w:tblCellMar>
        </w:tblPrEx>
        <w:trPr>
          <w:trHeight w:val="581"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9CCBB9B">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eastAsia="宋体" w:cs="宋体"/>
                <w:sz w:val="24"/>
                <w:szCs w:val="24"/>
                <w:lang w:val="en-US"/>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AE334AD">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条码打印机</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8585300">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1</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95C60B0">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7939D7A">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35121854">
        <w:tblPrEx>
          <w:tblCellMar>
            <w:top w:w="0" w:type="dxa"/>
            <w:left w:w="108" w:type="dxa"/>
            <w:bottom w:w="0" w:type="dxa"/>
            <w:right w:w="108" w:type="dxa"/>
          </w:tblCellMar>
        </w:tblPrEx>
        <w:trPr>
          <w:trHeight w:val="581"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58A5275">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eastAsia="宋体" w:cs="宋体"/>
                <w:sz w:val="24"/>
                <w:szCs w:val="24"/>
                <w:lang w:val="en-US"/>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08FC44B">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激光打印机</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D1C19C5">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6</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3980366">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8FF8D23">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59559141">
        <w:tblPrEx>
          <w:tblCellMar>
            <w:top w:w="0" w:type="dxa"/>
            <w:left w:w="108" w:type="dxa"/>
            <w:bottom w:w="0" w:type="dxa"/>
            <w:right w:w="108" w:type="dxa"/>
          </w:tblCellMar>
        </w:tblPrEx>
        <w:trPr>
          <w:trHeight w:val="581"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C833D43">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eastAsia="宋体" w:cs="宋体"/>
                <w:sz w:val="24"/>
                <w:szCs w:val="24"/>
                <w:lang w:val="en-US"/>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A43323D">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针式打印机</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21E7A77">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1</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8ED3584">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50388A9">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7B68644E">
        <w:tblPrEx>
          <w:tblCellMar>
            <w:top w:w="0" w:type="dxa"/>
            <w:left w:w="108" w:type="dxa"/>
            <w:bottom w:w="0" w:type="dxa"/>
            <w:right w:w="108" w:type="dxa"/>
          </w:tblCellMar>
        </w:tblPrEx>
        <w:trPr>
          <w:trHeight w:val="581"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27418A1">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eastAsia="宋体" w:cs="宋体"/>
                <w:sz w:val="24"/>
                <w:szCs w:val="24"/>
                <w:lang w:val="en-US"/>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31218A2">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不间断电源</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75912E1">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3</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8F63ECE">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557C978">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257B08E4">
        <w:tblPrEx>
          <w:tblCellMar>
            <w:top w:w="0" w:type="dxa"/>
            <w:left w:w="108" w:type="dxa"/>
            <w:bottom w:w="0" w:type="dxa"/>
            <w:right w:w="108" w:type="dxa"/>
          </w:tblCellMar>
        </w:tblPrEx>
        <w:trPr>
          <w:trHeight w:val="581"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493E6F1">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sz w:val="24"/>
                <w:szCs w:val="24"/>
                <w:lang w:val="en-US" w:eastAsia="zh-CN"/>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BD056AC">
            <w:pPr>
              <w:pageBreakBefore w:val="0"/>
              <w:widowControl w:val="0"/>
              <w:kinsoku/>
              <w:wordWrap/>
              <w:overflowPunct/>
              <w:topLinePunct w:val="0"/>
              <w:autoSpaceDE/>
              <w:autoSpaceDN/>
              <w:bidi w:val="0"/>
              <w:spacing w:line="560" w:lineRule="exact"/>
              <w:ind w:right="0" w:rightChars="0" w:firstLine="720" w:firstLineChars="300"/>
              <w:jc w:val="both"/>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热敏票据打印机</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D1B807C">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4</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94ABD3A">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2C1FB6E">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6416A920">
        <w:tblPrEx>
          <w:tblCellMar>
            <w:top w:w="0" w:type="dxa"/>
            <w:left w:w="108" w:type="dxa"/>
            <w:bottom w:w="0" w:type="dxa"/>
            <w:right w:w="108" w:type="dxa"/>
          </w:tblCellMar>
        </w:tblPrEx>
        <w:trPr>
          <w:trHeight w:val="581"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2060A1F">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sz w:val="24"/>
                <w:szCs w:val="24"/>
                <w:lang w:val="en-US" w:eastAsia="zh-CN"/>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DABD032">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监控摄像头</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E78FDAF">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1</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9F201F2">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cs="宋体"/>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B8EA9B2">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03EB4FFD">
        <w:tblPrEx>
          <w:tblCellMar>
            <w:top w:w="0" w:type="dxa"/>
            <w:left w:w="108" w:type="dxa"/>
            <w:bottom w:w="0" w:type="dxa"/>
            <w:right w:w="108" w:type="dxa"/>
          </w:tblCellMar>
        </w:tblPrEx>
        <w:trPr>
          <w:trHeight w:val="581"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CF35886">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cs="宋体"/>
                <w:sz w:val="24"/>
                <w:szCs w:val="24"/>
                <w:lang w:val="en-US" w:eastAsia="zh-CN"/>
              </w:rPr>
            </w:pPr>
            <w:bookmarkStart w:id="40" w:name="_Toc11667"/>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9082462">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点钞机</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0D607F0">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1</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E513D5A">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DCAC692">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098381A0">
        <w:tblPrEx>
          <w:tblCellMar>
            <w:top w:w="0" w:type="dxa"/>
            <w:left w:w="108" w:type="dxa"/>
            <w:bottom w:w="0" w:type="dxa"/>
            <w:right w:w="108" w:type="dxa"/>
          </w:tblCellMar>
        </w:tblPrEx>
        <w:trPr>
          <w:trHeight w:val="581"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1D8CF8E">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cs="宋体"/>
                <w:sz w:val="24"/>
                <w:szCs w:val="24"/>
                <w:lang w:val="en-US" w:eastAsia="zh-CN"/>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8D0FCA3">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空调机</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E32E0C2">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4</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C9EBB2D">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646FD76">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71C72F4E">
        <w:tblPrEx>
          <w:tblCellMar>
            <w:top w:w="0" w:type="dxa"/>
            <w:left w:w="108" w:type="dxa"/>
            <w:bottom w:w="0" w:type="dxa"/>
            <w:right w:w="108" w:type="dxa"/>
          </w:tblCellMar>
        </w:tblPrEx>
        <w:trPr>
          <w:trHeight w:val="581"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DB57182">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cs="宋体"/>
                <w:sz w:val="24"/>
                <w:szCs w:val="24"/>
                <w:lang w:val="en-US" w:eastAsia="zh-CN"/>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FF07DB5">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电视机</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37DE9AF">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color w:val="FF0000"/>
                <w:sz w:val="24"/>
                <w:szCs w:val="24"/>
                <w:highlight w:val="none"/>
                <w:lang w:val="en-US" w:eastAsia="zh-CN"/>
              </w:rPr>
              <w:t>1</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0699A25">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6BBE3E6">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3666BC14">
        <w:tblPrEx>
          <w:tblCellMar>
            <w:top w:w="0" w:type="dxa"/>
            <w:left w:w="108" w:type="dxa"/>
            <w:bottom w:w="0" w:type="dxa"/>
            <w:right w:w="108" w:type="dxa"/>
          </w:tblCellMar>
        </w:tblPrEx>
        <w:trPr>
          <w:trHeight w:val="569"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3FE870E">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cs="宋体"/>
                <w:sz w:val="24"/>
                <w:szCs w:val="24"/>
                <w:lang w:val="en-US" w:eastAsia="zh-CN"/>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D53124C">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风扇</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4837B22">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2</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E328EE7">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7C37155">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6D0B8FEA">
        <w:tblPrEx>
          <w:tblCellMar>
            <w:top w:w="0" w:type="dxa"/>
            <w:left w:w="108" w:type="dxa"/>
            <w:bottom w:w="0" w:type="dxa"/>
            <w:right w:w="108" w:type="dxa"/>
          </w:tblCellMar>
        </w:tblPrEx>
        <w:trPr>
          <w:trHeight w:val="569"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7DD8027">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cs="宋体"/>
                <w:sz w:val="24"/>
                <w:szCs w:val="24"/>
                <w:lang w:val="en-US" w:eastAsia="zh-CN"/>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D6ACF21">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微波炉</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8A6C657">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2</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619D3A6">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078336C">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70DC7E5F">
        <w:tblPrEx>
          <w:tblCellMar>
            <w:top w:w="0" w:type="dxa"/>
            <w:left w:w="108" w:type="dxa"/>
            <w:bottom w:w="0" w:type="dxa"/>
            <w:right w:w="108" w:type="dxa"/>
          </w:tblCellMar>
        </w:tblPrEx>
        <w:trPr>
          <w:trHeight w:val="569"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097FB00">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cs="宋体"/>
                <w:sz w:val="24"/>
                <w:szCs w:val="24"/>
                <w:lang w:val="en-US" w:eastAsia="zh-CN"/>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AC2AF2B">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温湿度表</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6CC88D0">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6</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3A041C2">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24EB35D">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7D0C1AE9">
        <w:tblPrEx>
          <w:tblCellMar>
            <w:top w:w="0" w:type="dxa"/>
            <w:left w:w="108" w:type="dxa"/>
            <w:bottom w:w="0" w:type="dxa"/>
            <w:right w:w="108" w:type="dxa"/>
          </w:tblCellMar>
        </w:tblPrEx>
        <w:trPr>
          <w:trHeight w:val="569"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2A9DA21">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cs="宋体"/>
                <w:sz w:val="24"/>
                <w:szCs w:val="24"/>
                <w:lang w:val="en-US" w:eastAsia="zh-CN"/>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64600FD">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定时器</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5735223">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4</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37158A8">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个</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53450D4">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482FC7F5">
        <w:tblPrEx>
          <w:tblCellMar>
            <w:top w:w="0" w:type="dxa"/>
            <w:left w:w="108" w:type="dxa"/>
            <w:bottom w:w="0" w:type="dxa"/>
            <w:right w:w="108" w:type="dxa"/>
          </w:tblCellMar>
        </w:tblPrEx>
        <w:trPr>
          <w:trHeight w:val="569"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214E8F1">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cs="宋体"/>
                <w:sz w:val="24"/>
                <w:szCs w:val="24"/>
                <w:lang w:val="en-US" w:eastAsia="zh-CN"/>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1C4D333">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办公桌</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64E837B">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10</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9E0F339">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张</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FC46D44">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44564E92">
        <w:tblPrEx>
          <w:tblCellMar>
            <w:top w:w="0" w:type="dxa"/>
            <w:left w:w="108" w:type="dxa"/>
            <w:bottom w:w="0" w:type="dxa"/>
            <w:right w:w="108" w:type="dxa"/>
          </w:tblCellMar>
        </w:tblPrEx>
        <w:trPr>
          <w:trHeight w:val="569"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01EFEE5">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cs="宋体"/>
                <w:sz w:val="24"/>
                <w:szCs w:val="24"/>
                <w:lang w:val="en-US" w:eastAsia="zh-CN"/>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BC63533">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办公椅</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EF9579F">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10</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C5EBE9C">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张</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7A203DF">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79A1B6E4">
        <w:tblPrEx>
          <w:tblCellMar>
            <w:top w:w="0" w:type="dxa"/>
            <w:left w:w="108" w:type="dxa"/>
            <w:bottom w:w="0" w:type="dxa"/>
            <w:right w:w="108" w:type="dxa"/>
          </w:tblCellMar>
        </w:tblPrEx>
        <w:trPr>
          <w:trHeight w:val="569"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42A21CB">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cs="宋体"/>
                <w:sz w:val="24"/>
                <w:szCs w:val="24"/>
                <w:lang w:val="en-US" w:eastAsia="zh-CN"/>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B1E14E5">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文件柜</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0B5F089">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12</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F22DDF8">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个</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C073941">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5264D2A6">
        <w:tblPrEx>
          <w:tblCellMar>
            <w:top w:w="0" w:type="dxa"/>
            <w:left w:w="108" w:type="dxa"/>
            <w:bottom w:w="0" w:type="dxa"/>
            <w:right w:w="108" w:type="dxa"/>
          </w:tblCellMar>
        </w:tblPrEx>
        <w:trPr>
          <w:trHeight w:val="569"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7379A39">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cs="宋体"/>
                <w:sz w:val="24"/>
                <w:szCs w:val="24"/>
                <w:lang w:val="en-US" w:eastAsia="zh-CN"/>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CEE4AA0">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床头柜</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206A2C5">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20</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74FF3CE">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个</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ACC550A">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18F54C2D">
        <w:tblPrEx>
          <w:tblCellMar>
            <w:top w:w="0" w:type="dxa"/>
            <w:left w:w="108" w:type="dxa"/>
            <w:bottom w:w="0" w:type="dxa"/>
            <w:right w:w="108" w:type="dxa"/>
          </w:tblCellMar>
        </w:tblPrEx>
        <w:trPr>
          <w:trHeight w:val="569"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C3D7645">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cs="宋体"/>
                <w:sz w:val="24"/>
                <w:szCs w:val="24"/>
                <w:lang w:val="en-US" w:eastAsia="zh-CN"/>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7D817B1">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吧椅</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1BED208">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5</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7FB9858">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张</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3166962">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76615EF6">
        <w:tblPrEx>
          <w:tblCellMar>
            <w:top w:w="0" w:type="dxa"/>
            <w:left w:w="108" w:type="dxa"/>
            <w:bottom w:w="0" w:type="dxa"/>
            <w:right w:w="108" w:type="dxa"/>
          </w:tblCellMar>
        </w:tblPrEx>
        <w:trPr>
          <w:trHeight w:val="569"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D1A608A">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cs="宋体"/>
                <w:sz w:val="24"/>
                <w:szCs w:val="24"/>
                <w:lang w:val="en-US" w:eastAsia="zh-CN"/>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03BE403">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color w:val="FF0000"/>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高低床</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52D8788">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color w:val="FF0000"/>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2</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143252B">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color w:val="FF0000"/>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张</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330F34A">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0CC2DF63">
        <w:tblPrEx>
          <w:tblCellMar>
            <w:top w:w="0" w:type="dxa"/>
            <w:left w:w="108" w:type="dxa"/>
            <w:bottom w:w="0" w:type="dxa"/>
            <w:right w:w="108" w:type="dxa"/>
          </w:tblCellMar>
        </w:tblPrEx>
        <w:trPr>
          <w:trHeight w:val="569"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F19685A">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cs="宋体"/>
                <w:sz w:val="24"/>
                <w:szCs w:val="24"/>
                <w:lang w:val="en-US" w:eastAsia="zh-CN"/>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20A4909">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color w:val="FF0000"/>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中药柜</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5229A54">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color w:val="FF0000"/>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2</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0900D14">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color w:val="FF0000"/>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套</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B62C381">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291954D3">
        <w:tblPrEx>
          <w:tblCellMar>
            <w:top w:w="0" w:type="dxa"/>
            <w:left w:w="108" w:type="dxa"/>
            <w:bottom w:w="0" w:type="dxa"/>
            <w:right w:w="108" w:type="dxa"/>
          </w:tblCellMar>
        </w:tblPrEx>
        <w:trPr>
          <w:trHeight w:val="569"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78D4CCD">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cs="宋体"/>
                <w:sz w:val="24"/>
                <w:szCs w:val="24"/>
                <w:lang w:val="en-US" w:eastAsia="zh-CN"/>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581C733">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color w:val="FF0000"/>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保险柜</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FF26A74">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color w:val="FF0000"/>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2</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B7C6CDA">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color w:val="FF0000"/>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个</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FE513E2">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1CBC5870">
        <w:tblPrEx>
          <w:tblCellMar>
            <w:top w:w="0" w:type="dxa"/>
            <w:left w:w="108" w:type="dxa"/>
            <w:bottom w:w="0" w:type="dxa"/>
            <w:right w:w="108" w:type="dxa"/>
          </w:tblCellMar>
        </w:tblPrEx>
        <w:trPr>
          <w:trHeight w:val="569" w:hRule="atLeast"/>
        </w:trPr>
        <w:tc>
          <w:tcPr>
            <w:tcW w:w="91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F2BA71A">
            <w:pPr>
              <w:pageBreakBefore w:val="0"/>
              <w:widowControl w:val="0"/>
              <w:numPr>
                <w:ilvl w:val="0"/>
                <w:numId w:val="1"/>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cs="宋体"/>
                <w:sz w:val="24"/>
                <w:szCs w:val="24"/>
                <w:lang w:val="en-US" w:eastAsia="zh-CN"/>
              </w:rPr>
            </w:pPr>
          </w:p>
        </w:tc>
        <w:tc>
          <w:tcPr>
            <w:tcW w:w="29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C84C5D7">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color w:val="FF000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更衣柜</w:t>
            </w:r>
          </w:p>
        </w:tc>
        <w:tc>
          <w:tcPr>
            <w:tcW w:w="12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FCF6A43">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color w:val="FF000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5</w:t>
            </w:r>
          </w:p>
        </w:tc>
        <w:tc>
          <w:tcPr>
            <w:tcW w:w="23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33E7CC9">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方正仿宋_GBK" w:hAnsi="方正仿宋_GBK" w:eastAsia="方正仿宋_GBK" w:cs="方正仿宋_GBK"/>
                <w:b w:val="0"/>
                <w:bCs w:val="0"/>
                <w:color w:val="FF0000"/>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个</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3C509DA">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bl>
    <w:p w14:paraId="1623FE53">
      <w:pPr>
        <w:pStyle w:val="9"/>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合同履行期限：</w:t>
      </w:r>
      <w:r>
        <w:rPr>
          <w:rFonts w:hint="eastAsia" w:ascii="宋体" w:hAnsi="宋体" w:cs="宋体"/>
          <w:b/>
          <w:bCs/>
          <w:sz w:val="24"/>
          <w:szCs w:val="24"/>
          <w:lang w:val="en-US" w:eastAsia="zh-CN"/>
        </w:rPr>
        <w:t>合同签订后30日历天内安装完成并交付使用</w:t>
      </w:r>
      <w:bookmarkEnd w:id="40"/>
    </w:p>
    <w:p w14:paraId="15F4D07E">
      <w:pPr>
        <w:pStyle w:val="9"/>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付款方式及期限：</w:t>
      </w:r>
      <w:r>
        <w:rPr>
          <w:rFonts w:hint="eastAsia" w:ascii="宋体" w:hAnsi="宋体" w:cs="宋体"/>
          <w:b w:val="0"/>
          <w:bCs w:val="0"/>
          <w:kern w:val="0"/>
          <w:sz w:val="24"/>
        </w:rPr>
        <w:t>安装</w:t>
      </w:r>
      <w:r>
        <w:rPr>
          <w:rFonts w:hint="eastAsia" w:ascii="宋体" w:hAnsi="宋体" w:cs="宋体"/>
          <w:b w:val="0"/>
          <w:bCs w:val="0"/>
          <w:kern w:val="0"/>
          <w:sz w:val="24"/>
          <w:lang w:val="en-US" w:eastAsia="zh-CN"/>
        </w:rPr>
        <w:t>调试</w:t>
      </w:r>
      <w:r>
        <w:rPr>
          <w:rFonts w:hint="eastAsia" w:ascii="宋体" w:hAnsi="宋体" w:cs="宋体"/>
          <w:b w:val="0"/>
          <w:bCs w:val="0"/>
          <w:kern w:val="0"/>
          <w:sz w:val="24"/>
        </w:rPr>
        <w:t>完成验收合格后一次性支付</w:t>
      </w:r>
      <w:r>
        <w:rPr>
          <w:rFonts w:hint="eastAsia" w:ascii="宋体" w:hAnsi="宋体" w:cs="宋体"/>
          <w:b w:val="0"/>
          <w:bCs w:val="0"/>
          <w:kern w:val="0"/>
          <w:sz w:val="24"/>
          <w:lang w:eastAsia="zh-CN"/>
        </w:rPr>
        <w:t>。</w:t>
      </w:r>
    </w:p>
    <w:p w14:paraId="2CB5EEDB">
      <w:pPr>
        <w:pStyle w:val="9"/>
        <w:spacing w:line="400" w:lineRule="exact"/>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交货地点：</w:t>
      </w:r>
      <w:r>
        <w:rPr>
          <w:rFonts w:hint="eastAsia" w:ascii="宋体" w:hAnsi="宋体" w:cs="宋体"/>
          <w:b w:val="0"/>
          <w:bCs/>
          <w:sz w:val="24"/>
          <w:szCs w:val="24"/>
          <w:vertAlign w:val="baseline"/>
          <w:lang w:val="en-US" w:eastAsia="zh-CN"/>
        </w:rPr>
        <w:t>文山市望华路7号（壹然天辰小区）</w:t>
      </w:r>
      <w:r>
        <w:rPr>
          <w:rFonts w:hint="eastAsia" w:ascii="宋体" w:hAnsi="宋体" w:cs="宋体"/>
          <w:sz w:val="24"/>
          <w:szCs w:val="24"/>
          <w:highlight w:val="none"/>
          <w:lang w:val="en-US" w:eastAsia="zh-CN"/>
        </w:rPr>
        <w:t xml:space="preserve">    </w:t>
      </w:r>
    </w:p>
    <w:p w14:paraId="6D82DF10">
      <w:pPr>
        <w:pStyle w:val="9"/>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本项目</w:t>
      </w:r>
      <w:r>
        <w:rPr>
          <w:rFonts w:hint="eastAsia" w:ascii="宋体" w:hAnsi="宋体" w:eastAsia="宋体" w:cs="宋体"/>
          <w:sz w:val="24"/>
          <w:szCs w:val="24"/>
          <w:highlight w:val="none"/>
          <w:lang w:val="en-US" w:eastAsia="zh-CN"/>
        </w:rPr>
        <w:t>不</w:t>
      </w:r>
      <w:r>
        <w:rPr>
          <w:rFonts w:hint="eastAsia" w:ascii="宋体" w:hAnsi="宋体" w:eastAsia="宋体" w:cs="宋体"/>
          <w:sz w:val="24"/>
          <w:szCs w:val="24"/>
          <w:highlight w:val="none"/>
        </w:rPr>
        <w:t>接受联合体。</w:t>
      </w:r>
    </w:p>
    <w:p w14:paraId="70D9DB23">
      <w:pPr>
        <w:pStyle w:val="6"/>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b/>
          <w:bCs w:val="0"/>
          <w:i w:val="0"/>
          <w:iCs w:val="0"/>
          <w:sz w:val="24"/>
          <w:szCs w:val="24"/>
        </w:rPr>
      </w:pPr>
      <w:bookmarkStart w:id="41" w:name="_Toc35393630"/>
      <w:bookmarkStart w:id="42" w:name="_Toc28779"/>
      <w:bookmarkStart w:id="43" w:name="_Toc28444"/>
      <w:bookmarkStart w:id="44" w:name="_Toc35393799"/>
      <w:bookmarkStart w:id="45" w:name="_Toc14536_WPSOffice_Level2"/>
      <w:bookmarkStart w:id="46" w:name="_Toc28359090"/>
      <w:bookmarkStart w:id="47" w:name="_Toc4231"/>
      <w:bookmarkStart w:id="48" w:name="_Toc5431"/>
      <w:bookmarkStart w:id="49" w:name="_Toc28359013"/>
      <w:r>
        <w:rPr>
          <w:rFonts w:hint="eastAsia" w:ascii="宋体" w:hAnsi="宋体" w:eastAsia="宋体" w:cs="宋体"/>
          <w:b/>
          <w:bCs w:val="0"/>
          <w:i w:val="0"/>
          <w:iCs w:val="0"/>
          <w:sz w:val="24"/>
          <w:szCs w:val="24"/>
        </w:rPr>
        <w:t>二、申请人的资格要求</w:t>
      </w:r>
      <w:bookmarkEnd w:id="41"/>
      <w:bookmarkEnd w:id="42"/>
      <w:bookmarkEnd w:id="43"/>
      <w:bookmarkEnd w:id="44"/>
      <w:bookmarkEnd w:id="45"/>
      <w:bookmarkEnd w:id="46"/>
      <w:bookmarkEnd w:id="47"/>
      <w:bookmarkEnd w:id="48"/>
      <w:bookmarkEnd w:id="49"/>
    </w:p>
    <w:p w14:paraId="084BFABB">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28F25474">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highlight w:val="none"/>
        </w:rPr>
      </w:pPr>
      <w:bookmarkStart w:id="50" w:name="_Toc28359091"/>
      <w:bookmarkStart w:id="51" w:name="_Toc28359014"/>
      <w:r>
        <w:rPr>
          <w:rFonts w:hint="eastAsia" w:ascii="宋体" w:hAnsi="宋体" w:eastAsia="宋体" w:cs="宋体"/>
          <w:sz w:val="24"/>
          <w:szCs w:val="24"/>
        </w:rPr>
        <w:t>2.落实政府采购政策需满足的资格要求：</w:t>
      </w:r>
      <w:bookmarkStart w:id="52" w:name="OLE_LINK1"/>
      <w:r>
        <w:rPr>
          <w:rFonts w:hint="eastAsia" w:ascii="宋体" w:hAnsi="宋体" w:eastAsia="宋体" w:cs="宋体"/>
          <w:sz w:val="24"/>
          <w:szCs w:val="24"/>
        </w:rPr>
        <w:t>落实政府采购政策需满足的资格要求：评审时</w:t>
      </w:r>
      <w:r>
        <w:rPr>
          <w:rFonts w:hint="eastAsia" w:ascii="宋体" w:hAnsi="宋体" w:eastAsia="宋体" w:cs="宋体"/>
          <w:sz w:val="24"/>
          <w:szCs w:val="24"/>
          <w:lang w:val="en-US" w:eastAsia="zh-CN"/>
        </w:rPr>
        <w:t>货物</w:t>
      </w:r>
      <w:r>
        <w:rPr>
          <w:rFonts w:hint="eastAsia" w:ascii="宋体" w:hAnsi="宋体" w:eastAsia="宋体" w:cs="宋体"/>
          <w:sz w:val="24"/>
          <w:szCs w:val="24"/>
        </w:rPr>
        <w:t>采购项目中，</w:t>
      </w:r>
      <w:r>
        <w:rPr>
          <w:rFonts w:hint="eastAsia" w:ascii="宋体" w:hAnsi="宋体" w:eastAsia="宋体" w:cs="宋体"/>
          <w:sz w:val="24"/>
          <w:szCs w:val="24"/>
          <w:lang w:val="en-US" w:eastAsia="zh-CN"/>
        </w:rPr>
        <w:t>货物由中小企业制造，即货物由中小企业生产且使用该中小企业商号或者注册商标；</w:t>
      </w:r>
      <w:r>
        <w:rPr>
          <w:rFonts w:hint="eastAsia" w:ascii="宋体" w:hAnsi="宋体" w:eastAsia="宋体" w:cs="宋体"/>
          <w:sz w:val="24"/>
          <w:szCs w:val="24"/>
        </w:rPr>
        <w:t>，根据《关于进一步加大政府采购支持中小企业力度的通知》（财库[2022]19号）的要求</w:t>
      </w:r>
      <w:r>
        <w:rPr>
          <w:rFonts w:hint="eastAsia" w:ascii="宋体" w:hAnsi="宋体" w:eastAsia="宋体" w:cs="宋体"/>
          <w:sz w:val="24"/>
          <w:szCs w:val="24"/>
          <w:highlight w:val="none"/>
        </w:rPr>
        <w:t>，享</w:t>
      </w:r>
      <w:r>
        <w:rPr>
          <w:rFonts w:hint="eastAsia" w:ascii="宋体" w:hAnsi="宋体" w:eastAsia="宋体" w:cs="宋体"/>
          <w:b/>
          <w:bCs/>
          <w:sz w:val="24"/>
          <w:szCs w:val="24"/>
          <w:highlight w:val="none"/>
        </w:rPr>
        <w:t>受</w:t>
      </w:r>
      <w:r>
        <w:rPr>
          <w:rFonts w:hint="eastAsia" w:ascii="宋体" w:hAnsi="宋体" w:eastAsia="宋体" w:cs="宋体"/>
          <w:b/>
          <w:bCs/>
          <w:sz w:val="24"/>
          <w:szCs w:val="24"/>
          <w:highlight w:val="none"/>
          <w:lang w:val="en-US" w:eastAsia="zh-CN"/>
        </w:rPr>
        <w:t>10%</w:t>
      </w:r>
      <w:r>
        <w:rPr>
          <w:rFonts w:hint="eastAsia" w:ascii="宋体" w:hAnsi="宋体" w:eastAsia="宋体" w:cs="宋体"/>
          <w:b/>
          <w:bCs/>
          <w:sz w:val="24"/>
          <w:szCs w:val="24"/>
          <w:highlight w:val="none"/>
        </w:rPr>
        <w:t>价格</w:t>
      </w:r>
      <w:r>
        <w:rPr>
          <w:rFonts w:hint="eastAsia" w:ascii="宋体" w:hAnsi="宋体" w:eastAsia="宋体" w:cs="宋体"/>
          <w:sz w:val="24"/>
          <w:szCs w:val="24"/>
          <w:highlight w:val="none"/>
        </w:rPr>
        <w:t>折扣</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扣除后价格参与评分办法“价格部分”评审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监狱企业、残疾人福利性单位视同小型、微型企业。</w:t>
      </w:r>
    </w:p>
    <w:bookmarkEnd w:id="52"/>
    <w:p w14:paraId="6748489E">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i/>
          <w:iCs/>
          <w:sz w:val="24"/>
          <w:szCs w:val="24"/>
          <w:u w:val="single"/>
          <w:lang w:val="en-US"/>
        </w:rPr>
      </w:pPr>
      <w:r>
        <w:rPr>
          <w:rFonts w:hint="eastAsia" w:ascii="宋体" w:hAnsi="宋体" w:eastAsia="宋体" w:cs="宋体"/>
          <w:sz w:val="24"/>
          <w:szCs w:val="24"/>
        </w:rPr>
        <w:t>3.本项目的特定资格要求：</w:t>
      </w:r>
      <w:r>
        <w:rPr>
          <w:rFonts w:hint="eastAsia" w:ascii="宋体" w:hAnsi="宋体" w:eastAsia="宋体" w:cs="宋体"/>
          <w:sz w:val="24"/>
          <w:szCs w:val="24"/>
          <w:u w:val="single"/>
          <w:lang w:val="en-US" w:eastAsia="zh-CN"/>
        </w:rPr>
        <w:t>无</w:t>
      </w:r>
    </w:p>
    <w:p w14:paraId="600BBEE8">
      <w:pPr>
        <w:pStyle w:val="6"/>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b/>
          <w:bCs w:val="0"/>
          <w:sz w:val="24"/>
          <w:szCs w:val="24"/>
        </w:rPr>
      </w:pPr>
      <w:bookmarkStart w:id="53" w:name="_Toc35393800"/>
      <w:bookmarkStart w:id="54" w:name="_Toc29504_WPSOffice_Level2"/>
      <w:bookmarkStart w:id="55" w:name="_Toc336"/>
      <w:bookmarkStart w:id="56" w:name="_Toc4135"/>
      <w:bookmarkStart w:id="57" w:name="_Toc29942"/>
      <w:bookmarkStart w:id="58" w:name="_Toc35393631"/>
      <w:bookmarkStart w:id="59" w:name="_Toc23"/>
      <w:r>
        <w:rPr>
          <w:rFonts w:hint="eastAsia" w:ascii="宋体" w:hAnsi="宋体" w:eastAsia="宋体" w:cs="宋体"/>
          <w:b/>
          <w:bCs w:val="0"/>
          <w:sz w:val="24"/>
          <w:szCs w:val="24"/>
        </w:rPr>
        <w:t>三、获取采购文件</w:t>
      </w:r>
      <w:bookmarkEnd w:id="50"/>
      <w:bookmarkEnd w:id="51"/>
      <w:bookmarkEnd w:id="53"/>
      <w:bookmarkEnd w:id="54"/>
      <w:bookmarkEnd w:id="55"/>
      <w:bookmarkEnd w:id="56"/>
      <w:bookmarkEnd w:id="57"/>
      <w:bookmarkEnd w:id="58"/>
      <w:bookmarkEnd w:id="59"/>
    </w:p>
    <w:p w14:paraId="04F25729">
      <w:pPr>
        <w:spacing w:line="560" w:lineRule="exact"/>
        <w:ind w:firstLine="540"/>
        <w:rPr>
          <w:rFonts w:hint="eastAsia" w:asciiTheme="minorEastAsia" w:hAnsiTheme="minorEastAsia" w:eastAsiaTheme="minorEastAsia" w:cstheme="minorEastAsia"/>
          <w:b/>
          <w:bCs/>
          <w:sz w:val="24"/>
          <w:szCs w:val="24"/>
          <w:lang w:eastAsia="zh-CN"/>
        </w:rPr>
      </w:pPr>
      <w:r>
        <w:rPr>
          <w:rFonts w:hint="eastAsia" w:ascii="宋体" w:hAnsi="宋体" w:eastAsia="宋体" w:cs="宋体"/>
          <w:sz w:val="24"/>
          <w:szCs w:val="24"/>
        </w:rPr>
        <w:t>时间：</w:t>
      </w:r>
      <w:r>
        <w:rPr>
          <w:rFonts w:hint="eastAsia" w:asciiTheme="minorEastAsia" w:hAnsiTheme="minorEastAsia" w:eastAsiaTheme="minorEastAsia" w:cstheme="minorEastAsia"/>
          <w:b/>
          <w:sz w:val="24"/>
          <w:szCs w:val="24"/>
        </w:rPr>
        <w:t>自公告发布之日起至202</w:t>
      </w:r>
      <w:r>
        <w:rPr>
          <w:rFonts w:hint="eastAsia" w:asciiTheme="minorEastAsia" w:hAnsiTheme="minorEastAsia" w:eastAsiaTheme="minorEastAsia" w:cstheme="minorEastAsia"/>
          <w:b/>
          <w:sz w:val="24"/>
          <w:szCs w:val="24"/>
          <w:lang w:val="en-US" w:eastAsia="zh-CN"/>
        </w:rPr>
        <w:t>6</w:t>
      </w:r>
      <w:r>
        <w:rPr>
          <w:rFonts w:hint="eastAsia" w:asciiTheme="minorEastAsia" w:hAnsiTheme="minorEastAsia" w:eastAsiaTheme="minorEastAsia" w:cstheme="minorEastAsia"/>
          <w:b/>
          <w:sz w:val="24"/>
          <w:szCs w:val="24"/>
        </w:rPr>
        <w:t>年</w:t>
      </w:r>
      <w:r>
        <w:rPr>
          <w:rFonts w:hint="eastAsia" w:asciiTheme="minorEastAsia" w:hAnsiTheme="minorEastAsia" w:eastAsiaTheme="minorEastAsia" w:cstheme="minorEastAsia"/>
          <w:b/>
          <w:sz w:val="24"/>
          <w:szCs w:val="24"/>
          <w:lang w:val="en-US" w:eastAsia="zh-CN"/>
        </w:rPr>
        <w:t xml:space="preserve"> 6</w:t>
      </w:r>
      <w:r>
        <w:rPr>
          <w:rFonts w:hint="eastAsia" w:asciiTheme="minorEastAsia" w:hAnsiTheme="minorEastAsia" w:eastAsiaTheme="minorEastAsia" w:cstheme="minorEastAsia"/>
          <w:b/>
          <w:sz w:val="24"/>
          <w:szCs w:val="24"/>
        </w:rPr>
        <w:t>月</w:t>
      </w:r>
      <w:r>
        <w:rPr>
          <w:rFonts w:hint="eastAsia" w:asciiTheme="minorEastAsia" w:hAnsiTheme="minorEastAsia" w:eastAsiaTheme="minorEastAsia" w:cstheme="minorEastAsia"/>
          <w:b/>
          <w:sz w:val="24"/>
          <w:szCs w:val="24"/>
          <w:lang w:val="en-US" w:eastAsia="zh-CN"/>
        </w:rPr>
        <w:t>16</w:t>
      </w:r>
      <w:r>
        <w:rPr>
          <w:rFonts w:hint="eastAsia" w:asciiTheme="minorEastAsia" w:hAnsiTheme="minorEastAsia" w:eastAsiaTheme="minorEastAsia" w:cstheme="minorEastAsia"/>
          <w:b/>
          <w:sz w:val="24"/>
          <w:szCs w:val="24"/>
        </w:rPr>
        <w:t>日</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b/>
          <w:bCs/>
          <w:sz w:val="24"/>
          <w:szCs w:val="24"/>
        </w:rPr>
        <w:t>每天上午00:00至12:00，下午12:00至23:59（北京时间，法定节假日除外 ）</w:t>
      </w:r>
      <w:r>
        <w:rPr>
          <w:rFonts w:hint="eastAsia" w:asciiTheme="minorEastAsia" w:hAnsiTheme="minorEastAsia" w:eastAsiaTheme="minorEastAsia" w:cstheme="minorEastAsia"/>
          <w:sz w:val="24"/>
          <w:szCs w:val="24"/>
          <w:lang w:eastAsia="zh-CN"/>
        </w:rPr>
        <w:t>。</w:t>
      </w:r>
    </w:p>
    <w:p w14:paraId="2A770A38">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sz w:val="24"/>
          <w:szCs w:val="24"/>
        </w:rPr>
      </w:pPr>
      <w:bookmarkStart w:id="60" w:name="_Toc28359092"/>
      <w:bookmarkStart w:id="61" w:name="_Toc35393632"/>
      <w:bookmarkStart w:id="62" w:name="_Toc35393801"/>
      <w:bookmarkStart w:id="63" w:name="_Toc14115_WPSOffice_Level2"/>
      <w:bookmarkStart w:id="64" w:name="_Toc28359015"/>
      <w:r>
        <w:rPr>
          <w:rFonts w:hint="eastAsia" w:ascii="宋体" w:hAnsi="宋体" w:eastAsia="宋体" w:cs="宋体"/>
          <w:sz w:val="24"/>
          <w:szCs w:val="24"/>
        </w:rPr>
        <w:t>地点：</w:t>
      </w:r>
      <w:r>
        <w:rPr>
          <w:rFonts w:hint="eastAsia" w:ascii="宋体" w:hAnsi="宋体" w:eastAsia="宋体" w:cs="宋体"/>
          <w:sz w:val="24"/>
          <w:szCs w:val="24"/>
          <w:lang w:val="en-US" w:eastAsia="zh-CN"/>
        </w:rPr>
        <w:t>政府采购云平台（政采云）</w:t>
      </w:r>
    </w:p>
    <w:p w14:paraId="1248FC8B">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方式：（1）凡有意参加者，须注册政采云平台账号并登录办理数字证书（CA</w:t>
      </w:r>
      <w:r>
        <w:rPr>
          <w:rFonts w:hint="eastAsia" w:ascii="宋体" w:hAnsi="宋体" w:eastAsia="宋体" w:cs="宋体"/>
          <w:sz w:val="24"/>
          <w:szCs w:val="24"/>
          <w:lang w:val="en-US" w:eastAsia="zh-CN"/>
        </w:rPr>
        <w:t>认证</w:t>
      </w:r>
      <w:r>
        <w:rPr>
          <w:rFonts w:hint="eastAsia" w:ascii="宋体" w:hAnsi="宋体" w:eastAsia="宋体" w:cs="宋体"/>
          <w:sz w:val="24"/>
          <w:szCs w:val="24"/>
        </w:rPr>
        <w:t>），</w:t>
      </w:r>
    </w:p>
    <w:p w14:paraId="3A22C3F4">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CA数字证书服务热线 </w:t>
      </w:r>
    </w:p>
    <w:p w14:paraId="546CD192">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汇信CA：0571-88350735</w:t>
      </w:r>
    </w:p>
    <w:p w14:paraId="32AB1A49">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云南CA:4006727666</w:t>
      </w:r>
    </w:p>
    <w:p w14:paraId="5E05C860">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云南壹证通：4000040628</w:t>
      </w:r>
    </w:p>
    <w:p w14:paraId="48B56A16">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福建CA：0591-87760022</w:t>
      </w:r>
    </w:p>
    <w:p w14:paraId="52ECEB58">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办理CA数字证书:</w:t>
      </w:r>
      <w:r>
        <w:rPr>
          <w:rFonts w:hint="eastAsia" w:ascii="宋体" w:hAnsi="宋体" w:eastAsia="宋体" w:cs="宋体"/>
          <w:sz w:val="24"/>
          <w:szCs w:val="24"/>
          <w:lang w:val="en-US" w:eastAsia="zh-CN"/>
        </w:rPr>
        <w:t>投标人</w:t>
      </w:r>
      <w:r>
        <w:rPr>
          <w:rFonts w:hint="eastAsia" w:ascii="宋体" w:hAnsi="宋体" w:eastAsia="宋体" w:cs="宋体"/>
          <w:sz w:val="24"/>
          <w:szCs w:val="24"/>
        </w:rPr>
        <w:t>登录政采云平台-操作指南—入驻与配置—CA管理，按照程序要求办理。</w:t>
      </w:r>
    </w:p>
    <w:p w14:paraId="6488CBFF">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注册和绑定：</w:t>
      </w:r>
      <w:r>
        <w:rPr>
          <w:rFonts w:hint="eastAsia" w:ascii="宋体" w:hAnsi="宋体" w:eastAsia="宋体" w:cs="宋体"/>
          <w:sz w:val="24"/>
          <w:szCs w:val="24"/>
          <w:lang w:val="en-US" w:eastAsia="zh-CN"/>
        </w:rPr>
        <w:t>投标人</w:t>
      </w:r>
      <w:r>
        <w:rPr>
          <w:rFonts w:hint="eastAsia" w:ascii="宋体" w:hAnsi="宋体" w:eastAsia="宋体" w:cs="宋体"/>
          <w:sz w:val="24"/>
          <w:szCs w:val="24"/>
        </w:rPr>
        <w:t>登录政采云平台-操作指南—入驻与配置—</w:t>
      </w:r>
      <w:r>
        <w:rPr>
          <w:rFonts w:hint="eastAsia" w:ascii="宋体" w:hAnsi="宋体" w:eastAsia="宋体" w:cs="宋体"/>
          <w:sz w:val="24"/>
          <w:szCs w:val="24"/>
          <w:lang w:val="en-US" w:eastAsia="zh-CN"/>
        </w:rPr>
        <w:t>投标人</w:t>
      </w:r>
      <w:r>
        <w:rPr>
          <w:rFonts w:hint="eastAsia" w:ascii="宋体" w:hAnsi="宋体" w:eastAsia="宋体" w:cs="宋体"/>
          <w:sz w:val="24"/>
          <w:szCs w:val="24"/>
        </w:rPr>
        <w:t>注册入驻与配置。</w:t>
      </w:r>
    </w:p>
    <w:p w14:paraId="1868CF63">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驱动、客户端下载：</w:t>
      </w:r>
      <w:r>
        <w:rPr>
          <w:rFonts w:hint="eastAsia" w:ascii="宋体" w:hAnsi="宋体" w:eastAsia="宋体" w:cs="宋体"/>
          <w:sz w:val="24"/>
          <w:szCs w:val="24"/>
          <w:lang w:val="en-US" w:eastAsia="zh-CN"/>
        </w:rPr>
        <w:t>投标人</w:t>
      </w:r>
      <w:r>
        <w:rPr>
          <w:rFonts w:hint="eastAsia" w:ascii="宋体" w:hAnsi="宋体" w:eastAsia="宋体" w:cs="宋体"/>
          <w:sz w:val="24"/>
          <w:szCs w:val="24"/>
        </w:rPr>
        <w:t>登录政采云平台—我的工作台-CA管理—给当前账号绑定CA—选择对应CA—下载驱动—客户端&amp;驱动下载。相关驱动及客户端网址（https://customer.zcygov.cn/CA-driver-download?utm=web-ca-front.3ddc8fbb.0.0.6389de80d15111ee8160d911f316cf0d）</w:t>
      </w:r>
      <w:r>
        <w:rPr>
          <w:rFonts w:hint="eastAsia" w:ascii="宋体" w:hAnsi="宋体" w:eastAsia="宋体" w:cs="宋体"/>
          <w:sz w:val="24"/>
          <w:szCs w:val="24"/>
          <w:lang w:eastAsia="zh-CN"/>
        </w:rPr>
        <w:t>；</w:t>
      </w:r>
    </w:p>
    <w:p w14:paraId="7ACEC74C">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注：投标人如之前已在云南 CA注册并办理过企业数字证书（CA认证）的，直接绑定即可，无需重复办理。</w:t>
      </w:r>
    </w:p>
    <w:p w14:paraId="537C9240">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售价：</w:t>
      </w:r>
      <w:r>
        <w:rPr>
          <w:rFonts w:hint="eastAsia" w:ascii="宋体" w:hAnsi="宋体" w:eastAsia="宋体" w:cs="宋体"/>
          <w:sz w:val="24"/>
          <w:szCs w:val="24"/>
          <w:lang w:val="en-US" w:eastAsia="zh-CN"/>
        </w:rPr>
        <w:t>0元</w:t>
      </w:r>
    </w:p>
    <w:p w14:paraId="7AF89E9D">
      <w:pPr>
        <w:pStyle w:val="6"/>
        <w:pageBreakBefore w:val="0"/>
        <w:widowControl w:val="0"/>
        <w:numPr>
          <w:ilvl w:val="0"/>
          <w:numId w:val="2"/>
        </w:numPr>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b/>
          <w:bCs w:val="0"/>
          <w:sz w:val="24"/>
          <w:szCs w:val="24"/>
        </w:rPr>
      </w:pPr>
      <w:bookmarkStart w:id="65" w:name="_Toc10358"/>
      <w:bookmarkStart w:id="66" w:name="_Toc15355"/>
      <w:bookmarkStart w:id="67" w:name="_Toc20262"/>
      <w:bookmarkStart w:id="68" w:name="_Toc15168"/>
      <w:r>
        <w:rPr>
          <w:rFonts w:hint="eastAsia" w:ascii="宋体" w:hAnsi="宋体" w:eastAsia="宋体" w:cs="宋体"/>
          <w:b/>
          <w:bCs w:val="0"/>
          <w:sz w:val="24"/>
          <w:szCs w:val="24"/>
        </w:rPr>
        <w:t>响应文件提交</w:t>
      </w:r>
      <w:bookmarkEnd w:id="60"/>
      <w:bookmarkEnd w:id="61"/>
      <w:bookmarkEnd w:id="62"/>
      <w:bookmarkEnd w:id="63"/>
      <w:bookmarkEnd w:id="64"/>
      <w:bookmarkEnd w:id="65"/>
      <w:bookmarkEnd w:id="66"/>
      <w:bookmarkEnd w:id="67"/>
      <w:bookmarkEnd w:id="68"/>
    </w:p>
    <w:p w14:paraId="3F23CF16">
      <w:pPr>
        <w:pageBreakBefore w:val="0"/>
        <w:widowControl w:val="0"/>
        <w:kinsoku/>
        <w:wordWrap/>
        <w:overflowPunct/>
        <w:topLinePunct w:val="0"/>
        <w:autoSpaceDE/>
        <w:autoSpaceDN/>
        <w:bidi w:val="0"/>
        <w:adjustRightInd/>
        <w:snapToGrid/>
        <w:spacing w:beforeAutospacing="0" w:line="560" w:lineRule="exact"/>
        <w:ind w:firstLine="480" w:firstLineChars="200"/>
        <w:textAlignment w:val="auto"/>
        <w:rPr>
          <w:rFonts w:hint="eastAsia"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u w:val="none"/>
          <w:lang w:val="en-US" w:eastAsia="zh-CN"/>
        </w:rPr>
        <w:t>截止时间（开标时间）：</w:t>
      </w:r>
      <w:r>
        <w:rPr>
          <w:rFonts w:hint="eastAsia" w:asciiTheme="minorEastAsia" w:hAnsiTheme="minorEastAsia" w:eastAsiaTheme="minorEastAsia" w:cstheme="minorEastAsia"/>
          <w:b/>
          <w:bCs w:val="0"/>
          <w:sz w:val="24"/>
          <w:szCs w:val="24"/>
          <w:u w:val="single"/>
          <w:lang w:val="en-US" w:eastAsia="zh-CN"/>
        </w:rPr>
        <w:t>2026</w:t>
      </w:r>
      <w:r>
        <w:rPr>
          <w:rFonts w:hint="eastAsia" w:asciiTheme="minorEastAsia" w:hAnsiTheme="minorEastAsia" w:eastAsiaTheme="minorEastAsia" w:cstheme="minorEastAsia"/>
          <w:b/>
          <w:bCs w:val="0"/>
          <w:sz w:val="24"/>
          <w:szCs w:val="24"/>
          <w:u w:val="single"/>
        </w:rPr>
        <w:t>年</w:t>
      </w:r>
      <w:r>
        <w:rPr>
          <w:rFonts w:hint="eastAsia" w:asciiTheme="minorEastAsia" w:hAnsiTheme="minorEastAsia" w:eastAsiaTheme="minorEastAsia" w:cstheme="minorEastAsia"/>
          <w:b/>
          <w:bCs w:val="0"/>
          <w:sz w:val="24"/>
          <w:szCs w:val="24"/>
          <w:u w:val="single"/>
          <w:lang w:val="en-US" w:eastAsia="zh-CN"/>
        </w:rPr>
        <w:t xml:space="preserve"> 6 </w:t>
      </w:r>
      <w:r>
        <w:rPr>
          <w:rFonts w:hint="eastAsia" w:asciiTheme="minorEastAsia" w:hAnsiTheme="minorEastAsia" w:eastAsiaTheme="minorEastAsia" w:cstheme="minorEastAsia"/>
          <w:b/>
          <w:bCs w:val="0"/>
          <w:sz w:val="24"/>
          <w:szCs w:val="24"/>
          <w:u w:val="single"/>
        </w:rPr>
        <w:t>月</w:t>
      </w:r>
      <w:r>
        <w:rPr>
          <w:rFonts w:hint="eastAsia" w:asciiTheme="minorEastAsia" w:hAnsiTheme="minorEastAsia" w:eastAsiaTheme="minorEastAsia" w:cstheme="minorEastAsia"/>
          <w:b/>
          <w:bCs w:val="0"/>
          <w:sz w:val="24"/>
          <w:szCs w:val="24"/>
          <w:u w:val="single"/>
          <w:lang w:val="en-US" w:eastAsia="zh-CN"/>
        </w:rPr>
        <w:t xml:space="preserve"> 17 </w:t>
      </w:r>
      <w:r>
        <w:rPr>
          <w:rFonts w:hint="eastAsia" w:asciiTheme="minorEastAsia" w:hAnsiTheme="minorEastAsia" w:eastAsiaTheme="minorEastAsia" w:cstheme="minorEastAsia"/>
          <w:b/>
          <w:bCs w:val="0"/>
          <w:sz w:val="24"/>
          <w:szCs w:val="24"/>
          <w:u w:val="single"/>
        </w:rPr>
        <w:t>日</w:t>
      </w:r>
      <w:r>
        <w:rPr>
          <w:rFonts w:hint="eastAsia" w:asciiTheme="minorEastAsia" w:hAnsiTheme="minorEastAsia" w:eastAsiaTheme="minorEastAsia" w:cstheme="minorEastAsia"/>
          <w:b/>
          <w:bCs w:val="0"/>
          <w:sz w:val="24"/>
          <w:szCs w:val="24"/>
          <w:u w:val="single"/>
          <w:lang w:val="en-US" w:eastAsia="zh-CN"/>
        </w:rPr>
        <w:t>15</w:t>
      </w:r>
      <w:r>
        <w:rPr>
          <w:rFonts w:hint="eastAsia" w:asciiTheme="minorEastAsia" w:hAnsiTheme="minorEastAsia" w:eastAsiaTheme="minorEastAsia" w:cstheme="minorEastAsia"/>
          <w:b/>
          <w:bCs w:val="0"/>
          <w:sz w:val="24"/>
          <w:szCs w:val="24"/>
          <w:u w:val="single"/>
        </w:rPr>
        <w:t>点</w:t>
      </w:r>
      <w:r>
        <w:rPr>
          <w:rFonts w:hint="eastAsia" w:asciiTheme="minorEastAsia" w:hAnsiTheme="minorEastAsia" w:eastAsiaTheme="minorEastAsia" w:cstheme="minorEastAsia"/>
          <w:b/>
          <w:bCs w:val="0"/>
          <w:sz w:val="24"/>
          <w:szCs w:val="24"/>
          <w:u w:val="single"/>
          <w:lang w:val="en-US" w:eastAsia="zh-CN"/>
        </w:rPr>
        <w:t>00</w:t>
      </w:r>
      <w:r>
        <w:rPr>
          <w:rFonts w:hint="eastAsia" w:asciiTheme="minorEastAsia" w:hAnsiTheme="minorEastAsia" w:eastAsiaTheme="minorEastAsia" w:cstheme="minorEastAsia"/>
          <w:b/>
          <w:bCs w:val="0"/>
          <w:sz w:val="24"/>
          <w:szCs w:val="24"/>
          <w:u w:val="single"/>
        </w:rPr>
        <w:t>分</w:t>
      </w:r>
      <w:r>
        <w:rPr>
          <w:rFonts w:hint="eastAsia" w:asciiTheme="minorEastAsia" w:hAnsiTheme="minorEastAsia" w:eastAsiaTheme="minorEastAsia" w:cstheme="minorEastAsia"/>
          <w:b/>
          <w:bCs w:val="0"/>
          <w:sz w:val="24"/>
          <w:szCs w:val="24"/>
        </w:rPr>
        <w:t>（北京时间）</w:t>
      </w:r>
    </w:p>
    <w:p w14:paraId="0CD8F29E">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地点：电子响应文件通过网上递交；</w:t>
      </w:r>
    </w:p>
    <w:p w14:paraId="22BB804C">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（1）响应文件提交方式：本项目全流程电子化，通过“政采云”平台（http：//www.zcygov.cn）实行在线电子响应，</w:t>
      </w:r>
      <w:bookmarkStart w:id="69" w:name="OLE_LINK86"/>
      <w:r>
        <w:rPr>
          <w:rFonts w:hint="default" w:ascii="宋体" w:hAnsi="宋体" w:eastAsia="宋体" w:cs="宋体"/>
          <w:sz w:val="24"/>
          <w:szCs w:val="24"/>
          <w:lang w:val="en-US" w:eastAsia="zh-CN"/>
        </w:rPr>
        <w:t>投标人</w:t>
      </w:r>
      <w:bookmarkEnd w:id="69"/>
      <w:r>
        <w:rPr>
          <w:rFonts w:hint="default" w:ascii="宋体" w:hAnsi="宋体" w:eastAsia="宋体" w:cs="宋体"/>
          <w:sz w:val="24"/>
          <w:szCs w:val="24"/>
          <w:lang w:val="en-US" w:eastAsia="zh-CN"/>
        </w:rPr>
        <w:t>应先安装“政采云电子交易客户端”（请自行前往“政采云”平台进行下载），并按照本项目采购文件和“政采云”平台的要求编制、加密后在投标截止时间前通过网络上传至“政采云”平台，投标人在“政采云”平台提交电子版响应文件时，请填写参加远程采购活动经办人联系方式。</w:t>
      </w:r>
    </w:p>
    <w:p w14:paraId="08D5BEC9">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（2）未进行网上注册并办理数字证书（CA认证）的投标人将无法参与本项目政府采购活动，投标人应尽早完成电子交易平台上的数字证书（CA认证）办理，并在首次响应文件提交截止时间前提交响应文件。</w:t>
      </w:r>
    </w:p>
    <w:p w14:paraId="5D7AA626">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（3）为确保网上操作合法、有效和安全，请投标人确保在电子响应过程中能够对相关数据电文进行加密和使用电子签章，妥善保管 数字证书（CA认证）并使用有效的数字证书（CA认证）参与整个采购活动。</w:t>
      </w:r>
    </w:p>
    <w:p w14:paraId="5973CEE6">
      <w:pPr>
        <w:pageBreakBefore w:val="0"/>
        <w:widowControl w:val="0"/>
        <w:kinsoku/>
        <w:wordWrap/>
        <w:overflowPunct/>
        <w:topLinePunct w:val="0"/>
        <w:autoSpaceDE/>
        <w:autoSpaceDN/>
        <w:bidi w:val="0"/>
        <w:adjustRightInd w:val="0"/>
        <w:snapToGrid w:val="0"/>
        <w:spacing w:line="560" w:lineRule="exact"/>
        <w:ind w:left="0" w:leftChars="0" w:right="0" w:rightChars="0" w:firstLine="480" w:firstLineChars="200"/>
        <w:jc w:val="both"/>
        <w:textAlignment w:val="auto"/>
        <w:outlineLvl w:val="9"/>
        <w:rPr>
          <w:rFonts w:hint="eastAsia"/>
        </w:rPr>
      </w:pPr>
      <w:r>
        <w:rPr>
          <w:rFonts w:hint="default" w:ascii="宋体" w:hAnsi="宋体" w:eastAsia="宋体" w:cs="宋体"/>
          <w:sz w:val="24"/>
          <w:szCs w:val="24"/>
          <w:lang w:val="en-US" w:eastAsia="zh-CN"/>
        </w:rPr>
        <w:t>注：投标人应当在首次响应文件提交截止时间前完成电子响应文件的上传、递交，响应文件提交截止时间前可以补充、修改或者撤回响应文件。补充或者修改响应文件的，应当先行撤回原文件，补充、修改后重新上传、递交。响应截止时间前未完成上传、递交的，视为撤回响应文件。响应文件提交截止时间以后上传递交的响应文件的，“政采云”平台将予以拒收。</w:t>
      </w:r>
    </w:p>
    <w:p w14:paraId="069DE255">
      <w:pPr>
        <w:pStyle w:val="6"/>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b/>
          <w:bCs w:val="0"/>
          <w:sz w:val="24"/>
          <w:szCs w:val="24"/>
        </w:rPr>
      </w:pPr>
      <w:bookmarkStart w:id="70" w:name="_Toc32178"/>
      <w:bookmarkStart w:id="71" w:name="_Toc28359093"/>
      <w:bookmarkStart w:id="72" w:name="_Toc25849"/>
      <w:bookmarkStart w:id="73" w:name="_Toc27847"/>
      <w:bookmarkStart w:id="74" w:name="_Toc28359016"/>
      <w:bookmarkStart w:id="75" w:name="_Toc20804_WPSOffice_Level2"/>
      <w:bookmarkStart w:id="76" w:name="_Toc35393633"/>
      <w:bookmarkStart w:id="77" w:name="_Toc35393802"/>
      <w:bookmarkStart w:id="78" w:name="_Toc9730"/>
      <w:r>
        <w:rPr>
          <w:rFonts w:hint="eastAsia" w:ascii="宋体" w:hAnsi="宋体" w:eastAsia="宋体" w:cs="宋体"/>
          <w:b/>
          <w:bCs w:val="0"/>
          <w:sz w:val="24"/>
          <w:szCs w:val="24"/>
        </w:rPr>
        <w:t>五、开启</w:t>
      </w:r>
      <w:bookmarkEnd w:id="70"/>
      <w:bookmarkEnd w:id="71"/>
      <w:bookmarkEnd w:id="72"/>
      <w:bookmarkEnd w:id="73"/>
      <w:bookmarkEnd w:id="74"/>
      <w:bookmarkEnd w:id="75"/>
      <w:bookmarkEnd w:id="76"/>
      <w:bookmarkEnd w:id="77"/>
      <w:bookmarkEnd w:id="78"/>
    </w:p>
    <w:p w14:paraId="6E0C569F">
      <w:pPr>
        <w:pageBreakBefore w:val="0"/>
        <w:kinsoku/>
        <w:wordWrap/>
        <w:overflowPunct/>
        <w:topLinePunct w:val="0"/>
        <w:autoSpaceDE/>
        <w:autoSpaceDN/>
        <w:bidi w:val="0"/>
        <w:spacing w:line="560" w:lineRule="exact"/>
        <w:ind w:firstLine="480"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时间： </w:t>
      </w:r>
      <w:r>
        <w:rPr>
          <w:rFonts w:hint="eastAsia" w:asciiTheme="minorEastAsia" w:hAnsiTheme="minorEastAsia" w:eastAsiaTheme="minorEastAsia" w:cstheme="minorEastAsia"/>
          <w:b/>
          <w:bCs/>
          <w:sz w:val="24"/>
          <w:szCs w:val="24"/>
          <w:lang w:val="en-US" w:eastAsia="zh-CN"/>
        </w:rPr>
        <w:t>2026</w:t>
      </w:r>
      <w:r>
        <w:rPr>
          <w:rFonts w:hint="eastAsia" w:asciiTheme="minorEastAsia" w:hAnsiTheme="minorEastAsia" w:eastAsiaTheme="minorEastAsia" w:cstheme="minorEastAsia"/>
          <w:b/>
          <w:bCs/>
          <w:sz w:val="24"/>
          <w:szCs w:val="24"/>
        </w:rPr>
        <w:t xml:space="preserve"> 年</w:t>
      </w:r>
      <w:r>
        <w:rPr>
          <w:rFonts w:hint="eastAsia" w:asciiTheme="minorEastAsia" w:hAnsiTheme="minorEastAsia" w:eastAsiaTheme="minorEastAsia" w:cstheme="minorEastAsia"/>
          <w:b/>
          <w:bCs/>
          <w:sz w:val="24"/>
          <w:szCs w:val="24"/>
          <w:lang w:val="en-US" w:eastAsia="zh-CN"/>
        </w:rPr>
        <w:t xml:space="preserve"> 6 </w:t>
      </w:r>
      <w:r>
        <w:rPr>
          <w:rFonts w:hint="eastAsia" w:asciiTheme="minorEastAsia" w:hAnsiTheme="minorEastAsia" w:eastAsiaTheme="minorEastAsia" w:cstheme="minorEastAsia"/>
          <w:b/>
          <w:bCs/>
          <w:sz w:val="24"/>
          <w:szCs w:val="24"/>
        </w:rPr>
        <w:t>月</w:t>
      </w:r>
      <w:r>
        <w:rPr>
          <w:rFonts w:hint="eastAsia" w:asciiTheme="minorEastAsia" w:hAnsiTheme="minorEastAsia" w:eastAsiaTheme="minorEastAsia" w:cstheme="minorEastAsia"/>
          <w:b/>
          <w:bCs/>
          <w:sz w:val="24"/>
          <w:szCs w:val="24"/>
          <w:lang w:val="en-US" w:eastAsia="zh-CN"/>
        </w:rPr>
        <w:t>17</w:t>
      </w:r>
      <w:r>
        <w:rPr>
          <w:rFonts w:hint="eastAsia" w:asciiTheme="minorEastAsia" w:hAnsiTheme="minorEastAsia" w:eastAsiaTheme="minorEastAsia" w:cstheme="minorEastAsia"/>
          <w:b/>
          <w:bCs/>
          <w:sz w:val="24"/>
          <w:szCs w:val="24"/>
        </w:rPr>
        <w:t xml:space="preserve">日 </w:t>
      </w:r>
      <w:r>
        <w:rPr>
          <w:rFonts w:hint="eastAsia" w:asciiTheme="minorEastAsia" w:hAnsiTheme="minorEastAsia" w:eastAsiaTheme="minorEastAsia" w:cstheme="minorEastAsia"/>
          <w:b/>
          <w:bCs/>
          <w:sz w:val="24"/>
          <w:szCs w:val="24"/>
          <w:lang w:val="en-US" w:eastAsia="zh-CN"/>
        </w:rPr>
        <w:t>15</w:t>
      </w:r>
      <w:r>
        <w:rPr>
          <w:rFonts w:hint="eastAsia" w:asciiTheme="minorEastAsia" w:hAnsiTheme="minorEastAsia" w:eastAsiaTheme="minorEastAsia" w:cstheme="minorEastAsia"/>
          <w:b/>
          <w:bCs/>
          <w:sz w:val="24"/>
          <w:szCs w:val="24"/>
        </w:rPr>
        <w:t xml:space="preserve">点 </w:t>
      </w:r>
      <w:r>
        <w:rPr>
          <w:rFonts w:hint="eastAsia" w:asciiTheme="minorEastAsia" w:hAnsiTheme="minorEastAsia" w:eastAsiaTheme="minorEastAsia" w:cstheme="minorEastAsia"/>
          <w:b/>
          <w:bCs/>
          <w:sz w:val="24"/>
          <w:szCs w:val="24"/>
          <w:lang w:val="en-US" w:eastAsia="zh-CN"/>
        </w:rPr>
        <w:t>00</w:t>
      </w:r>
      <w:r>
        <w:rPr>
          <w:rFonts w:hint="eastAsia" w:asciiTheme="minorEastAsia" w:hAnsiTheme="minorEastAsia" w:eastAsiaTheme="minorEastAsia" w:cstheme="minorEastAsia"/>
          <w:b/>
          <w:bCs/>
          <w:sz w:val="24"/>
          <w:szCs w:val="24"/>
        </w:rPr>
        <w:t xml:space="preserve"> 分（北京时间）</w:t>
      </w:r>
    </w:p>
    <w:p w14:paraId="6200F27A">
      <w:pPr>
        <w:pageBreakBefore w:val="0"/>
        <w:kinsoku/>
        <w:wordWrap/>
        <w:overflowPunct/>
        <w:topLinePunct w:val="0"/>
        <w:autoSpaceDE/>
        <w:autoSpaceDN/>
        <w:bidi w:val="0"/>
        <w:spacing w:beforeAutospacing="0" w:afterAutospacing="0" w:line="560" w:lineRule="exact"/>
        <w:ind w:firstLine="480"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地点：</w:t>
      </w:r>
      <w:bookmarkStart w:id="79" w:name="OLE_LINK2"/>
      <w:r>
        <w:rPr>
          <w:rFonts w:hint="eastAsia" w:asciiTheme="minorEastAsia" w:hAnsiTheme="minorEastAsia" w:eastAsiaTheme="minorEastAsia" w:cstheme="minorEastAsia"/>
          <w:b/>
          <w:bCs/>
          <w:color w:val="auto"/>
          <w:sz w:val="24"/>
          <w:szCs w:val="24"/>
          <w:highlight w:val="none"/>
          <w:lang w:val="en-US" w:eastAsia="zh-CN"/>
        </w:rPr>
        <w:t>文山市华龙北路2号文山州政务服务中心大楼四楼</w:t>
      </w:r>
      <w:bookmarkEnd w:id="79"/>
      <w:r>
        <w:rPr>
          <w:rFonts w:hint="eastAsia" w:asciiTheme="minorEastAsia" w:hAnsiTheme="minorEastAsia" w:eastAsiaTheme="minorEastAsia" w:cstheme="minorEastAsia"/>
          <w:b/>
          <w:bCs/>
          <w:color w:val="auto"/>
          <w:sz w:val="24"/>
          <w:szCs w:val="24"/>
          <w:highlight w:val="none"/>
          <w:lang w:val="en-US" w:eastAsia="zh-CN"/>
        </w:rPr>
        <w:t>政府采购开标厅。</w:t>
      </w:r>
    </w:p>
    <w:p w14:paraId="525BF153">
      <w:pPr>
        <w:pageBreakBefore w:val="0"/>
        <w:kinsoku/>
        <w:wordWrap/>
        <w:overflowPunct/>
        <w:topLinePunct w:val="0"/>
        <w:autoSpaceDE/>
        <w:autoSpaceDN/>
        <w:bidi w:val="0"/>
        <w:spacing w:beforeAutospacing="0" w:afterAutospacing="0" w:line="560" w:lineRule="exact"/>
        <w:ind w:firstLine="480" w:firstLineChars="200"/>
        <w:textAlignment w:val="auto"/>
        <w:rPr>
          <w:rFonts w:hint="eastAsia" w:asciiTheme="minorEastAsia" w:hAnsiTheme="minorEastAsia" w:eastAsiaTheme="minorEastAsia" w:cstheme="minorEastAsia"/>
          <w:bCs/>
          <w:sz w:val="24"/>
          <w:szCs w:val="24"/>
          <w:highlight w:val="yellow"/>
          <w:u w:val="single"/>
        </w:rPr>
      </w:pPr>
      <w:r>
        <w:rPr>
          <w:rFonts w:hint="eastAsia" w:asciiTheme="minorEastAsia" w:hAnsiTheme="minorEastAsia" w:eastAsiaTheme="minorEastAsia" w:cstheme="minorEastAsia"/>
          <w:b/>
          <w:bCs/>
          <w:color w:val="FF0000"/>
          <w:sz w:val="24"/>
          <w:szCs w:val="24"/>
          <w:highlight w:val="none"/>
          <w:lang w:val="en-US" w:eastAsia="zh-CN"/>
        </w:rPr>
        <w:t>特别提醒：</w:t>
      </w:r>
      <w:r>
        <w:rPr>
          <w:rFonts w:hint="eastAsia" w:asciiTheme="minorEastAsia" w:hAnsiTheme="minorEastAsia" w:eastAsiaTheme="minorEastAsia" w:cstheme="minorEastAsia"/>
          <w:color w:val="FF0000"/>
          <w:sz w:val="24"/>
          <w:szCs w:val="24"/>
          <w:highlight w:val="none"/>
          <w:lang w:val="en-US" w:eastAsia="zh-CN"/>
        </w:rPr>
        <w:t>本项目全程电子化，开标时进行远程解密，投标人应在采购代理机构下达远程解密命令30分钟内，完成对电子响应文件的所有远程解密操作，否则视为响应无效。</w:t>
      </w:r>
    </w:p>
    <w:p w14:paraId="3DBF19E8">
      <w:pPr>
        <w:pStyle w:val="6"/>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b/>
          <w:bCs w:val="0"/>
          <w:sz w:val="24"/>
          <w:szCs w:val="24"/>
        </w:rPr>
      </w:pPr>
      <w:bookmarkStart w:id="80" w:name="_Toc21104_WPSOffice_Level2"/>
      <w:bookmarkStart w:id="81" w:name="_Toc30183"/>
      <w:bookmarkStart w:id="82" w:name="_Toc28359094"/>
      <w:bookmarkStart w:id="83" w:name="_Toc32105"/>
      <w:bookmarkStart w:id="84" w:name="_Toc32406"/>
      <w:bookmarkStart w:id="85" w:name="_Toc35393803"/>
      <w:bookmarkStart w:id="86" w:name="_Toc9652"/>
      <w:bookmarkStart w:id="87" w:name="_Toc28359017"/>
      <w:bookmarkStart w:id="88" w:name="_Toc35393634"/>
      <w:r>
        <w:rPr>
          <w:rFonts w:hint="eastAsia" w:ascii="宋体" w:hAnsi="宋体" w:eastAsia="宋体" w:cs="宋体"/>
          <w:b/>
          <w:bCs w:val="0"/>
          <w:sz w:val="24"/>
          <w:szCs w:val="24"/>
        </w:rPr>
        <w:t>六、公告期限</w:t>
      </w:r>
      <w:bookmarkEnd w:id="80"/>
      <w:bookmarkEnd w:id="81"/>
      <w:bookmarkEnd w:id="82"/>
      <w:bookmarkEnd w:id="83"/>
      <w:bookmarkEnd w:id="84"/>
      <w:bookmarkEnd w:id="85"/>
      <w:bookmarkEnd w:id="86"/>
      <w:bookmarkEnd w:id="87"/>
      <w:bookmarkEnd w:id="88"/>
    </w:p>
    <w:p w14:paraId="4E2FD784">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自本公告发布之日起3个工作日。</w:t>
      </w:r>
    </w:p>
    <w:p w14:paraId="520A2644">
      <w:pPr>
        <w:pStyle w:val="6"/>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b/>
          <w:bCs w:val="0"/>
          <w:sz w:val="24"/>
          <w:szCs w:val="24"/>
        </w:rPr>
      </w:pPr>
      <w:bookmarkStart w:id="89" w:name="_Toc35393635"/>
      <w:bookmarkStart w:id="90" w:name="_Toc6209"/>
      <w:bookmarkStart w:id="91" w:name="_Toc12582"/>
      <w:bookmarkStart w:id="92" w:name="_Toc14985"/>
      <w:bookmarkStart w:id="93" w:name="_Toc35393804"/>
      <w:bookmarkStart w:id="94" w:name="_Toc7540_WPSOffice_Level2"/>
      <w:bookmarkStart w:id="95" w:name="_Toc11518"/>
      <w:r>
        <w:rPr>
          <w:rFonts w:hint="eastAsia" w:ascii="宋体" w:hAnsi="宋体" w:eastAsia="宋体" w:cs="宋体"/>
          <w:b/>
          <w:bCs w:val="0"/>
          <w:sz w:val="24"/>
          <w:szCs w:val="24"/>
        </w:rPr>
        <w:t>七、其他补充事宜</w:t>
      </w:r>
      <w:bookmarkEnd w:id="89"/>
      <w:bookmarkEnd w:id="90"/>
      <w:bookmarkEnd w:id="91"/>
      <w:bookmarkEnd w:id="92"/>
      <w:bookmarkEnd w:id="93"/>
      <w:bookmarkEnd w:id="94"/>
      <w:bookmarkEnd w:id="95"/>
    </w:p>
    <w:p w14:paraId="1A8B0572">
      <w:pPr>
        <w:pStyle w:val="2"/>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1.投标保证金：无需缴纳</w:t>
      </w:r>
    </w:p>
    <w:p w14:paraId="27EFABE2">
      <w:pPr>
        <w:pStyle w:val="2"/>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2.相关信息发布媒体</w:t>
      </w:r>
    </w:p>
    <w:p w14:paraId="10225C53">
      <w:pPr>
        <w:pStyle w:val="2"/>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lang w:val="en-US" w:eastAsia="zh-CN"/>
        </w:rPr>
      </w:pPr>
      <w:bookmarkStart w:id="96" w:name="OLE_LINK150"/>
      <w:bookmarkStart w:id="97" w:name="_Toc26082"/>
      <w:bookmarkStart w:id="98" w:name="_Toc28359095"/>
      <w:bookmarkStart w:id="99" w:name="_Toc22850_WPSOffice_Level2"/>
      <w:bookmarkStart w:id="100" w:name="_Toc28960"/>
      <w:bookmarkStart w:id="101" w:name="_Toc35393805"/>
      <w:bookmarkStart w:id="102" w:name="_Toc28359018"/>
      <w:bookmarkStart w:id="103" w:name="_Toc35393636"/>
      <w:r>
        <w:rPr>
          <w:rFonts w:hint="eastAsia" w:ascii="宋体" w:hAnsi="宋体" w:eastAsia="宋体" w:cs="宋体"/>
          <w:sz w:val="24"/>
          <w:szCs w:val="24"/>
          <w:lang w:val="en-US" w:eastAsia="zh-CN"/>
        </w:rPr>
        <w:t>本次采购的相关信息同时在“云南省政府采购网”“文山市人民政府网” 发布，请各投标人在递交响应文件前注意查阅，以获取最新信息。</w:t>
      </w:r>
    </w:p>
    <w:bookmarkEnd w:id="96"/>
    <w:p w14:paraId="7CE67214">
      <w:pPr>
        <w:pStyle w:val="6"/>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b/>
          <w:bCs w:val="0"/>
          <w:sz w:val="24"/>
          <w:szCs w:val="24"/>
        </w:rPr>
      </w:pPr>
      <w:bookmarkStart w:id="104" w:name="_Toc28775"/>
      <w:bookmarkStart w:id="105" w:name="_Toc14577"/>
      <w:r>
        <w:rPr>
          <w:rFonts w:hint="eastAsia" w:ascii="宋体" w:hAnsi="宋体" w:eastAsia="宋体" w:cs="宋体"/>
          <w:b/>
          <w:bCs w:val="0"/>
          <w:sz w:val="24"/>
          <w:szCs w:val="24"/>
        </w:rPr>
        <w:t>八、凡对本次采购提出询问，请按以下方式联系</w:t>
      </w:r>
      <w:bookmarkEnd w:id="97"/>
      <w:bookmarkEnd w:id="98"/>
      <w:bookmarkEnd w:id="99"/>
      <w:bookmarkEnd w:id="100"/>
      <w:bookmarkEnd w:id="101"/>
      <w:bookmarkEnd w:id="102"/>
      <w:bookmarkEnd w:id="103"/>
      <w:bookmarkEnd w:id="104"/>
      <w:bookmarkEnd w:id="105"/>
    </w:p>
    <w:p w14:paraId="5E9C05D8">
      <w:pPr>
        <w:pageBreakBefore w:val="0"/>
        <w:widowControl w:val="0"/>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1.采购人信息</w:t>
      </w:r>
    </w:p>
    <w:p w14:paraId="5C2B4D38">
      <w:pPr>
        <w:pageBreakBefore w:val="0"/>
        <w:widowControl w:val="0"/>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名    称：</w:t>
      </w:r>
      <w:r>
        <w:rPr>
          <w:rFonts w:hint="eastAsia" w:ascii="宋体" w:hAnsi="宋体" w:cs="宋体"/>
          <w:b w:val="0"/>
          <w:bCs/>
          <w:sz w:val="24"/>
          <w:szCs w:val="24"/>
          <w:vertAlign w:val="baseline"/>
          <w:lang w:val="en-US" w:eastAsia="zh-CN"/>
        </w:rPr>
        <w:t>文山市开化街道办事处沙坝社区卫生服务中心</w:t>
      </w:r>
      <w:r>
        <w:rPr>
          <w:rFonts w:hint="eastAsia" w:ascii="宋体" w:hAnsi="宋体" w:cs="宋体"/>
          <w:sz w:val="24"/>
          <w:szCs w:val="24"/>
          <w:lang w:val="en-US" w:eastAsia="zh-CN"/>
        </w:rPr>
        <w:t xml:space="preserve">   </w:t>
      </w:r>
    </w:p>
    <w:p w14:paraId="4DEE2A2E">
      <w:pPr>
        <w:pageBreakBefore w:val="0"/>
        <w:widowControl w:val="0"/>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r>
        <w:rPr>
          <w:rFonts w:hint="eastAsia" w:ascii="宋体" w:hAnsi="宋体" w:cs="宋体"/>
          <w:b w:val="0"/>
          <w:bCs/>
          <w:sz w:val="24"/>
          <w:szCs w:val="24"/>
          <w:vertAlign w:val="baseline"/>
          <w:lang w:val="en-US" w:eastAsia="zh-CN"/>
        </w:rPr>
        <w:t>文山市建禾东路70号</w:t>
      </w:r>
    </w:p>
    <w:p w14:paraId="44AE76F2">
      <w:pPr>
        <w:pageBreakBefore w:val="0"/>
        <w:widowControl w:val="0"/>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联系方式：</w:t>
      </w:r>
      <w:r>
        <w:rPr>
          <w:rFonts w:hint="eastAsia" w:ascii="宋体" w:hAnsi="宋体" w:cs="宋体"/>
          <w:b w:val="0"/>
          <w:bCs/>
          <w:sz w:val="24"/>
          <w:szCs w:val="24"/>
          <w:vertAlign w:val="baseline"/>
          <w:lang w:val="en-US" w:eastAsia="zh-CN"/>
        </w:rPr>
        <w:t xml:space="preserve"> 0876-3065667</w:t>
      </w:r>
      <w:r>
        <w:rPr>
          <w:rFonts w:hint="eastAsia" w:ascii="宋体" w:hAnsi="宋体" w:eastAsia="宋体" w:cs="宋体"/>
          <w:sz w:val="24"/>
          <w:szCs w:val="24"/>
          <w:highlight w:val="none"/>
        </w:rPr>
        <w:t>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w:t>
      </w:r>
      <w:bookmarkStart w:id="106" w:name="_Toc28359097"/>
      <w:bookmarkStart w:id="107" w:name="_Toc28359020"/>
      <w:bookmarkStart w:id="108" w:name="_Toc35393807"/>
      <w:bookmarkStart w:id="109" w:name="_Toc35393638"/>
    </w:p>
    <w:bookmarkEnd w:id="106"/>
    <w:bookmarkEnd w:id="107"/>
    <w:bookmarkEnd w:id="108"/>
    <w:bookmarkEnd w:id="109"/>
    <w:p w14:paraId="40D6FFC6">
      <w:pPr>
        <w:pageBreakBefore w:val="0"/>
        <w:widowControl w:val="0"/>
        <w:numPr>
          <w:ilvl w:val="0"/>
          <w:numId w:val="3"/>
        </w:numPr>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采购代理机构信息</w:t>
      </w:r>
    </w:p>
    <w:p w14:paraId="0B4781CD">
      <w:pPr>
        <w:pageBreakBefore w:val="0"/>
        <w:widowControl w:val="0"/>
        <w:numPr>
          <w:ilvl w:val="0"/>
          <w:numId w:val="0"/>
        </w:numPr>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名    称：</w:t>
      </w:r>
      <w:r>
        <w:rPr>
          <w:rFonts w:hint="eastAsia" w:ascii="宋体" w:hAnsi="宋体" w:eastAsia="宋体" w:cs="宋体"/>
          <w:sz w:val="24"/>
          <w:szCs w:val="24"/>
          <w:lang w:val="en-US" w:eastAsia="zh-CN"/>
        </w:rPr>
        <w:t>文山市政府采购和出让中心</w:t>
      </w:r>
      <w:r>
        <w:rPr>
          <w:rFonts w:hint="eastAsia" w:ascii="宋体" w:hAnsi="宋体" w:eastAsia="宋体" w:cs="宋体"/>
          <w:sz w:val="24"/>
          <w:szCs w:val="24"/>
        </w:rPr>
        <w:t>　　　　　　　　　　　</w:t>
      </w:r>
    </w:p>
    <w:p w14:paraId="7E2002EC">
      <w:pPr>
        <w:pageBreakBefore w:val="0"/>
        <w:widowControl w:val="0"/>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sz w:val="24"/>
          <w:szCs w:val="24"/>
          <w:lang w:val="en-US" w:eastAsia="zh-CN"/>
        </w:rPr>
        <w:t>文山市华龙北路2号文山州政务服务中心大楼四楼409室</w:t>
      </w:r>
      <w:r>
        <w:rPr>
          <w:rFonts w:hint="eastAsia" w:ascii="宋体" w:hAnsi="宋体" w:eastAsia="宋体" w:cs="宋体"/>
          <w:sz w:val="24"/>
          <w:szCs w:val="24"/>
        </w:rPr>
        <w:t>　　　　　　　　　　　　</w:t>
      </w:r>
    </w:p>
    <w:p w14:paraId="4389652C">
      <w:pPr>
        <w:pageBreakBefore w:val="0"/>
        <w:widowControl w:val="0"/>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联系方式：</w:t>
      </w:r>
      <w:r>
        <w:rPr>
          <w:rFonts w:hint="eastAsia" w:ascii="宋体" w:hAnsi="宋体" w:eastAsia="宋体" w:cs="宋体"/>
          <w:sz w:val="24"/>
          <w:szCs w:val="24"/>
          <w:lang w:val="en-US" w:eastAsia="zh-CN"/>
        </w:rPr>
        <w:t>0876-3023253</w:t>
      </w:r>
      <w:r>
        <w:rPr>
          <w:rFonts w:hint="eastAsia" w:ascii="宋体" w:hAnsi="宋体" w:eastAsia="宋体" w:cs="宋体"/>
          <w:sz w:val="24"/>
          <w:szCs w:val="24"/>
        </w:rPr>
        <w:t>　　　　　　　　　　　　</w:t>
      </w:r>
    </w:p>
    <w:p w14:paraId="3E73BA46">
      <w:pPr>
        <w:pageBreakBefore w:val="0"/>
        <w:widowControl w:val="0"/>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sz w:val="24"/>
          <w:szCs w:val="24"/>
        </w:rPr>
      </w:pPr>
      <w:bookmarkStart w:id="110" w:name="_Toc35393808"/>
      <w:bookmarkStart w:id="111" w:name="_Toc28359021"/>
      <w:bookmarkStart w:id="112" w:name="_Toc28359098"/>
      <w:bookmarkStart w:id="113" w:name="_Toc35393639"/>
      <w:r>
        <w:rPr>
          <w:rFonts w:hint="eastAsia" w:ascii="宋体" w:hAnsi="宋体" w:eastAsia="宋体" w:cs="宋体"/>
          <w:sz w:val="24"/>
          <w:szCs w:val="24"/>
        </w:rPr>
        <w:t>3.项目联系方式</w:t>
      </w:r>
      <w:bookmarkEnd w:id="110"/>
      <w:bookmarkEnd w:id="111"/>
      <w:bookmarkEnd w:id="112"/>
      <w:bookmarkEnd w:id="113"/>
    </w:p>
    <w:p w14:paraId="313EE2C4">
      <w:pPr>
        <w:pageBreakBefore w:val="0"/>
        <w:widowControl w:val="0"/>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项目联系人：</w:t>
      </w:r>
      <w:r>
        <w:rPr>
          <w:rFonts w:hint="eastAsia" w:ascii="宋体" w:hAnsi="宋体" w:eastAsia="宋体" w:cs="宋体"/>
          <w:sz w:val="24"/>
          <w:szCs w:val="24"/>
          <w:lang w:val="en-US" w:eastAsia="zh-CN"/>
        </w:rPr>
        <w:t>王娟</w:t>
      </w:r>
    </w:p>
    <w:p w14:paraId="00FA49C4">
      <w:pPr>
        <w:pageBreakBefore w:val="0"/>
        <w:widowControl w:val="0"/>
        <w:kinsoku/>
        <w:wordWrap/>
        <w:overflowPunct/>
        <w:topLinePunct w:val="0"/>
        <w:autoSpaceDE/>
        <w:autoSpaceDN/>
        <w:bidi w:val="0"/>
        <w:snapToGrid/>
        <w:spacing w:line="56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w:t>
      </w:r>
    </w:p>
    <w:p w14:paraId="50759D23">
      <w:pPr>
        <w:pStyle w:val="29"/>
        <w:keepNext w:val="0"/>
        <w:keepLines w:val="0"/>
        <w:pageBreakBefore w:val="0"/>
        <w:kinsoku/>
        <w:wordWrap/>
        <w:overflowPunct/>
        <w:topLinePunct w:val="0"/>
        <w:autoSpaceDE/>
        <w:autoSpaceDN/>
        <w:bidi w:val="0"/>
        <w:adjustRightInd/>
        <w:snapToGrid/>
        <w:spacing w:line="560" w:lineRule="exact"/>
        <w:jc w:val="center"/>
        <w:textAlignment w:val="auto"/>
        <w:outlineLvl w:val="0"/>
        <w:rPr>
          <w:rFonts w:hint="eastAsia" w:ascii="宋体" w:hAnsi="宋体" w:eastAsia="宋体" w:cs="宋体"/>
          <w:color w:val="000000"/>
          <w:sz w:val="44"/>
          <w:szCs w:val="44"/>
        </w:rPr>
      </w:pPr>
      <w:bookmarkStart w:id="114" w:name="_Toc13163"/>
      <w:bookmarkStart w:id="115" w:name="_Toc18932"/>
      <w:bookmarkStart w:id="116" w:name="_Toc31926"/>
      <w:bookmarkStart w:id="117" w:name="_Toc30087"/>
      <w:bookmarkStart w:id="118" w:name="_Toc30200_WPSOffice_Level1"/>
      <w:r>
        <w:rPr>
          <w:rFonts w:hint="eastAsia" w:ascii="宋体" w:hAnsi="宋体" w:eastAsia="宋体" w:cs="宋体"/>
          <w:b/>
          <w:bCs/>
          <w:color w:val="000000"/>
          <w:sz w:val="44"/>
          <w:szCs w:val="44"/>
        </w:rPr>
        <w:t xml:space="preserve">第二章  </w:t>
      </w:r>
      <w:r>
        <w:rPr>
          <w:rFonts w:hint="eastAsia" w:ascii="宋体" w:hAnsi="宋体" w:eastAsia="宋体" w:cs="宋体"/>
          <w:b/>
          <w:bCs/>
          <w:color w:val="000000"/>
          <w:sz w:val="44"/>
          <w:szCs w:val="44"/>
          <w:lang w:val="en-US" w:eastAsia="zh-CN"/>
        </w:rPr>
        <w:t>谈判</w:t>
      </w:r>
      <w:r>
        <w:rPr>
          <w:rFonts w:hint="eastAsia" w:ascii="宋体" w:hAnsi="宋体" w:eastAsia="宋体" w:cs="宋体"/>
          <w:b/>
          <w:bCs/>
          <w:color w:val="000000"/>
          <w:sz w:val="44"/>
          <w:szCs w:val="44"/>
        </w:rPr>
        <w:t>须知</w:t>
      </w:r>
      <w:bookmarkEnd w:id="114"/>
      <w:bookmarkEnd w:id="115"/>
      <w:bookmarkEnd w:id="116"/>
      <w:bookmarkEnd w:id="117"/>
      <w:bookmarkEnd w:id="118"/>
    </w:p>
    <w:p w14:paraId="4932B4ED">
      <w:pPr>
        <w:pStyle w:val="6"/>
        <w:keepNext w:val="0"/>
        <w:keepLines w:val="0"/>
        <w:pageBreakBefore w:val="0"/>
        <w:widowControl w:val="0"/>
        <w:kinsoku/>
        <w:wordWrap/>
        <w:overflowPunct/>
        <w:topLinePunct w:val="0"/>
        <w:autoSpaceDE/>
        <w:autoSpaceDN/>
        <w:bidi w:val="0"/>
        <w:adjustRightInd/>
        <w:snapToGrid/>
        <w:spacing w:before="0" w:after="0" w:line="560" w:lineRule="exact"/>
        <w:ind w:firstLine="640" w:firstLineChars="200"/>
        <w:jc w:val="left"/>
        <w:textAlignment w:val="auto"/>
        <w:rPr>
          <w:rFonts w:hint="eastAsia" w:ascii="宋体" w:hAnsi="宋体" w:eastAsia="宋体" w:cs="宋体"/>
          <w:b w:val="0"/>
          <w:bCs w:val="0"/>
          <w:color w:val="000000"/>
          <w:sz w:val="32"/>
          <w:szCs w:val="32"/>
          <w:highlight w:val="none"/>
        </w:rPr>
      </w:pPr>
      <w:bookmarkStart w:id="119" w:name="_Toc31584_WPSOffice_Level2"/>
      <w:bookmarkStart w:id="120" w:name="_Toc4965"/>
      <w:bookmarkStart w:id="121" w:name="_Toc10852"/>
      <w:bookmarkStart w:id="122" w:name="_Toc22845"/>
      <w:bookmarkStart w:id="123" w:name="_Toc25345"/>
      <w:r>
        <w:rPr>
          <w:rFonts w:hint="eastAsia" w:ascii="宋体" w:hAnsi="宋体" w:eastAsia="宋体" w:cs="宋体"/>
          <w:b/>
          <w:bCs/>
          <w:color w:val="000000"/>
          <w:sz w:val="32"/>
          <w:szCs w:val="32"/>
          <w:highlight w:val="none"/>
        </w:rPr>
        <w:t>一、供应商须知</w:t>
      </w:r>
      <w:r>
        <w:rPr>
          <w:rFonts w:hint="eastAsia" w:ascii="宋体" w:hAnsi="宋体" w:eastAsia="宋体" w:cs="宋体"/>
          <w:b/>
          <w:bCs/>
          <w:color w:val="000000"/>
          <w:sz w:val="32"/>
          <w:szCs w:val="32"/>
          <w:highlight w:val="none"/>
          <w:lang w:val="en-US" w:eastAsia="zh-CN"/>
        </w:rPr>
        <w:t>前</w:t>
      </w:r>
      <w:r>
        <w:rPr>
          <w:rFonts w:hint="eastAsia" w:ascii="宋体" w:hAnsi="宋体" w:eastAsia="宋体" w:cs="宋体"/>
          <w:b/>
          <w:bCs/>
          <w:color w:val="000000"/>
          <w:sz w:val="32"/>
          <w:szCs w:val="32"/>
          <w:highlight w:val="none"/>
        </w:rPr>
        <w:t>附表</w:t>
      </w:r>
      <w:bookmarkEnd w:id="119"/>
      <w:bookmarkEnd w:id="120"/>
      <w:bookmarkEnd w:id="121"/>
      <w:bookmarkEnd w:id="122"/>
      <w:bookmarkEnd w:id="123"/>
    </w:p>
    <w:tbl>
      <w:tblPr>
        <w:tblStyle w:val="32"/>
        <w:tblW w:w="0" w:type="auto"/>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0" w:type="dxa"/>
          <w:bottom w:w="0" w:type="dxa"/>
          <w:right w:w="0" w:type="dxa"/>
        </w:tblCellMar>
      </w:tblPr>
      <w:tblGrid>
        <w:gridCol w:w="855"/>
        <w:gridCol w:w="2591"/>
        <w:gridCol w:w="6803"/>
      </w:tblGrid>
      <w:tr w14:paraId="4AE6A1E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tblHeader/>
          <w:jc w:val="center"/>
        </w:trPr>
        <w:tc>
          <w:tcPr>
            <w:tcW w:w="855" w:type="dxa"/>
            <w:noWrap w:val="0"/>
            <w:vAlign w:val="center"/>
          </w:tcPr>
          <w:p w14:paraId="6A135776">
            <w:pPr>
              <w:pStyle w:val="69"/>
              <w:keepNext w:val="0"/>
              <w:keepLines w:val="0"/>
              <w:pageBreakBefore w:val="0"/>
              <w:widowControl w:val="0"/>
              <w:kinsoku/>
              <w:wordWrap/>
              <w:overflowPunct/>
              <w:topLinePunct w:val="0"/>
              <w:bidi w:val="0"/>
              <w:spacing w:line="560" w:lineRule="exact"/>
              <w:ind w:left="9"/>
              <w:jc w:val="center"/>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序号 </w:t>
            </w:r>
          </w:p>
        </w:tc>
        <w:tc>
          <w:tcPr>
            <w:tcW w:w="2591" w:type="dxa"/>
            <w:noWrap w:val="0"/>
            <w:vAlign w:val="center"/>
          </w:tcPr>
          <w:p w14:paraId="6F4A21BF">
            <w:pPr>
              <w:pStyle w:val="69"/>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应知事项 </w:t>
            </w:r>
          </w:p>
        </w:tc>
        <w:tc>
          <w:tcPr>
            <w:tcW w:w="6803" w:type="dxa"/>
            <w:noWrap w:val="0"/>
            <w:vAlign w:val="center"/>
          </w:tcPr>
          <w:p w14:paraId="560A22F5">
            <w:pPr>
              <w:pStyle w:val="69"/>
              <w:keepNext w:val="0"/>
              <w:keepLines w:val="0"/>
              <w:pageBreakBefore w:val="0"/>
              <w:widowControl w:val="0"/>
              <w:kinsoku/>
              <w:wordWrap/>
              <w:overflowPunct/>
              <w:topLinePunct w:val="0"/>
              <w:bidi w:val="0"/>
              <w:spacing w:line="560" w:lineRule="exact"/>
              <w:jc w:val="center"/>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说明和要求</w:t>
            </w:r>
          </w:p>
        </w:tc>
      </w:tr>
      <w:tr w14:paraId="43DF81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500AD983">
            <w:pPr>
              <w:pStyle w:val="69"/>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p>
        </w:tc>
        <w:tc>
          <w:tcPr>
            <w:tcW w:w="2591" w:type="dxa"/>
            <w:noWrap w:val="0"/>
            <w:vAlign w:val="center"/>
          </w:tcPr>
          <w:p w14:paraId="2065FE10">
            <w:pPr>
              <w:pStyle w:val="69"/>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★采购预算</w:t>
            </w:r>
          </w:p>
          <w:p w14:paraId="08A77753">
            <w:pPr>
              <w:pStyle w:val="69"/>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（实质性要求）</w:t>
            </w:r>
          </w:p>
        </w:tc>
        <w:tc>
          <w:tcPr>
            <w:tcW w:w="6803" w:type="dxa"/>
            <w:noWrap w:val="0"/>
            <w:vAlign w:val="top"/>
          </w:tcPr>
          <w:p w14:paraId="1301F89A">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采购预算：</w:t>
            </w:r>
            <w:r>
              <w:rPr>
                <w:rFonts w:hint="eastAsia" w:cs="宋体"/>
                <w:b/>
                <w:bCs/>
                <w:color w:val="000000"/>
                <w:sz w:val="24"/>
                <w:szCs w:val="24"/>
                <w:highlight w:val="none"/>
                <w:u w:val="single"/>
                <w:lang w:val="en-US" w:eastAsia="zh-CN"/>
              </w:rPr>
              <w:t xml:space="preserve">  21.462  </w:t>
            </w:r>
            <w:r>
              <w:rPr>
                <w:rFonts w:hint="eastAsia" w:eastAsia="宋体" w:cs="宋体"/>
                <w:b/>
                <w:bCs/>
                <w:color w:val="000000"/>
                <w:sz w:val="24"/>
                <w:szCs w:val="24"/>
                <w:highlight w:val="none"/>
                <w:lang w:val="en-US" w:eastAsia="zh-CN"/>
              </w:rPr>
              <w:t>万</w:t>
            </w:r>
            <w:r>
              <w:rPr>
                <w:rFonts w:hint="eastAsia" w:ascii="宋体" w:hAnsi="宋体" w:eastAsia="宋体" w:cs="宋体"/>
                <w:b/>
                <w:bCs/>
                <w:color w:val="000000"/>
                <w:sz w:val="24"/>
                <w:szCs w:val="24"/>
                <w:highlight w:val="none"/>
                <w:lang w:val="zh-CN"/>
              </w:rPr>
              <w:t>元；</w:t>
            </w:r>
          </w:p>
          <w:p w14:paraId="3FD8445D">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rPr>
              <w:t>超过采购预算的报价无效。</w:t>
            </w:r>
          </w:p>
        </w:tc>
      </w:tr>
      <w:tr w14:paraId="5BB62A0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693E6C5F">
            <w:pPr>
              <w:pStyle w:val="69"/>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2</w:t>
            </w:r>
          </w:p>
        </w:tc>
        <w:tc>
          <w:tcPr>
            <w:tcW w:w="2591" w:type="dxa"/>
            <w:noWrap w:val="0"/>
            <w:vAlign w:val="center"/>
          </w:tcPr>
          <w:p w14:paraId="034B005A">
            <w:pPr>
              <w:pStyle w:val="69"/>
              <w:keepNext w:val="0"/>
              <w:keepLines w:val="0"/>
              <w:pageBreakBefore w:val="0"/>
              <w:widowControl w:val="0"/>
              <w:kinsoku/>
              <w:wordWrap/>
              <w:overflowPunct/>
              <w:topLinePunct w:val="0"/>
              <w:bidi w:val="0"/>
              <w:spacing w:line="560" w:lineRule="exact"/>
              <w:jc w:val="center"/>
              <w:textAlignment w:val="auto"/>
              <w:rPr>
                <w:rFonts w:hint="eastAsia" w:ascii="宋体" w:hAnsi="宋体" w:eastAsia="宋体" w:cs="宋体"/>
                <w:sz w:val="24"/>
                <w:szCs w:val="24"/>
                <w:lang w:val="zh-CN"/>
              </w:rPr>
            </w:pPr>
            <w:r>
              <w:rPr>
                <w:rFonts w:hint="eastAsia" w:ascii="宋体" w:hAnsi="宋体" w:eastAsia="宋体" w:cs="宋体"/>
                <w:color w:val="000000"/>
                <w:sz w:val="24"/>
                <w:szCs w:val="24"/>
                <w:lang w:val="zh-CN"/>
              </w:rPr>
              <w:t>★</w:t>
            </w:r>
            <w:r>
              <w:rPr>
                <w:rFonts w:hint="eastAsia" w:ascii="宋体" w:hAnsi="宋体" w:eastAsia="宋体" w:cs="宋体"/>
                <w:sz w:val="24"/>
                <w:szCs w:val="24"/>
                <w:lang w:val="zh-CN"/>
              </w:rPr>
              <w:t>最高限价</w:t>
            </w:r>
          </w:p>
          <w:p w14:paraId="2E058D23">
            <w:pPr>
              <w:pStyle w:val="69"/>
              <w:keepNext w:val="0"/>
              <w:keepLines w:val="0"/>
              <w:pageBreakBefore w:val="0"/>
              <w:widowControl w:val="0"/>
              <w:kinsoku/>
              <w:wordWrap/>
              <w:overflowPunct/>
              <w:topLinePunct w:val="0"/>
              <w:bidi w:val="0"/>
              <w:spacing w:line="560" w:lineRule="exact"/>
              <w:jc w:val="center"/>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（实质性要求）</w:t>
            </w:r>
          </w:p>
        </w:tc>
        <w:tc>
          <w:tcPr>
            <w:tcW w:w="6803" w:type="dxa"/>
            <w:noWrap w:val="0"/>
            <w:vAlign w:val="center"/>
          </w:tcPr>
          <w:p w14:paraId="69EDAAEF">
            <w:pPr>
              <w:pStyle w:val="69"/>
              <w:keepNext w:val="0"/>
              <w:keepLines w:val="0"/>
              <w:pageBreakBefore w:val="0"/>
              <w:widowControl w:val="0"/>
              <w:kinsoku/>
              <w:wordWrap/>
              <w:overflowPunct/>
              <w:topLinePunct w:val="0"/>
              <w:bidi w:val="0"/>
              <w:spacing w:line="560" w:lineRule="exact"/>
              <w:ind w:left="0" w:leftChars="0" w:firstLine="208" w:firstLineChars="87"/>
              <w:textAlignment w:val="auto"/>
              <w:rPr>
                <w:rFonts w:hint="eastAsia" w:ascii="宋体" w:hAnsi="宋体" w:eastAsia="宋体" w:cs="宋体"/>
                <w:b/>
                <w:sz w:val="24"/>
                <w:szCs w:val="24"/>
                <w:highlight w:val="none"/>
                <w:lang w:val="zh-CN" w:eastAsia="zh-CN" w:bidi="ar-SA"/>
              </w:rPr>
            </w:pPr>
            <w:r>
              <w:rPr>
                <w:rFonts w:hint="eastAsia" w:ascii="宋体" w:hAnsi="宋体" w:eastAsia="宋体" w:cs="宋体"/>
                <w:b w:val="0"/>
                <w:bCs/>
                <w:kern w:val="2"/>
                <w:sz w:val="24"/>
                <w:szCs w:val="24"/>
                <w:highlight w:val="none"/>
              </w:rPr>
              <w:t>本项目最高限价为人民币</w:t>
            </w:r>
            <w:r>
              <w:rPr>
                <w:rFonts w:hint="eastAsia" w:cs="宋体"/>
                <w:b/>
                <w:bCs w:val="0"/>
                <w:sz w:val="24"/>
                <w:szCs w:val="24"/>
                <w:highlight w:val="none"/>
                <w:u w:val="single"/>
                <w:lang w:val="en-US" w:eastAsia="zh-CN"/>
              </w:rPr>
              <w:t xml:space="preserve">  21.462  </w:t>
            </w:r>
            <w:r>
              <w:rPr>
                <w:rFonts w:hint="eastAsia" w:ascii="宋体" w:hAnsi="宋体" w:eastAsia="宋体" w:cs="宋体"/>
                <w:b/>
                <w:bCs w:val="0"/>
                <w:sz w:val="24"/>
                <w:szCs w:val="24"/>
                <w:highlight w:val="none"/>
              </w:rPr>
              <w:t>万元</w:t>
            </w:r>
            <w:r>
              <w:rPr>
                <w:rFonts w:hint="eastAsia" w:ascii="宋体" w:hAnsi="宋体" w:eastAsia="宋体" w:cs="宋体"/>
                <w:b w:val="0"/>
                <w:bCs/>
                <w:kern w:val="2"/>
                <w:sz w:val="24"/>
                <w:szCs w:val="24"/>
                <w:highlight w:val="none"/>
                <w:lang w:eastAsia="zh-CN"/>
              </w:rPr>
              <w:t>，</w:t>
            </w:r>
            <w:r>
              <w:rPr>
                <w:rFonts w:hint="eastAsia" w:ascii="宋体" w:hAnsi="宋体" w:eastAsia="宋体" w:cs="宋体"/>
                <w:b w:val="0"/>
                <w:bCs/>
                <w:kern w:val="2"/>
                <w:sz w:val="24"/>
                <w:szCs w:val="24"/>
                <w:highlight w:val="none"/>
              </w:rPr>
              <w:t>供应商报价高于最高限价的则其响应文件将按</w:t>
            </w:r>
            <w:r>
              <w:rPr>
                <w:rFonts w:hint="eastAsia" w:ascii="宋体" w:hAnsi="宋体" w:eastAsia="宋体" w:cs="宋体"/>
                <w:b/>
                <w:bCs w:val="0"/>
                <w:kern w:val="2"/>
                <w:sz w:val="24"/>
                <w:szCs w:val="24"/>
                <w:highlight w:val="none"/>
              </w:rPr>
              <w:t>无效</w:t>
            </w:r>
            <w:r>
              <w:rPr>
                <w:rFonts w:hint="eastAsia" w:ascii="宋体" w:hAnsi="宋体" w:eastAsia="宋体" w:cs="宋体"/>
                <w:b w:val="0"/>
                <w:bCs/>
                <w:kern w:val="2"/>
                <w:sz w:val="24"/>
                <w:szCs w:val="24"/>
                <w:highlight w:val="none"/>
              </w:rPr>
              <w:t>响应文件处理。</w:t>
            </w:r>
          </w:p>
        </w:tc>
      </w:tr>
      <w:tr w14:paraId="4CA011C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516C9CB0">
            <w:pPr>
              <w:pStyle w:val="69"/>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3</w:t>
            </w:r>
          </w:p>
        </w:tc>
        <w:tc>
          <w:tcPr>
            <w:tcW w:w="2591" w:type="dxa"/>
            <w:noWrap w:val="0"/>
            <w:vAlign w:val="center"/>
          </w:tcPr>
          <w:p w14:paraId="55A342B2">
            <w:pPr>
              <w:pStyle w:val="69"/>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严禁参加本次采购活动的供应商</w:t>
            </w:r>
          </w:p>
        </w:tc>
        <w:tc>
          <w:tcPr>
            <w:tcW w:w="6803" w:type="dxa"/>
            <w:noWrap w:val="0"/>
            <w:vAlign w:val="center"/>
          </w:tcPr>
          <w:p w14:paraId="66E96BDC">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（1）为采购项目提供整体设计、规范编制或者项目管理、监理、检测等服务的供应商，不得参加本采购项目。</w:t>
            </w:r>
          </w:p>
          <w:p w14:paraId="3AEB89D2">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val="zh-CN"/>
              </w:rPr>
              <w:t>）</w:t>
            </w:r>
            <w:r>
              <w:rPr>
                <w:rFonts w:hint="eastAsia" w:ascii="宋体" w:hAnsi="宋体" w:eastAsia="宋体" w:cs="宋体"/>
                <w:color w:val="000000"/>
                <w:sz w:val="24"/>
                <w:szCs w:val="24"/>
                <w:highlight w:val="none"/>
                <w:lang w:val="en-US" w:eastAsia="zh-CN"/>
              </w:rPr>
              <w:t>单位负责人为同一人或者存在直接控股、管理关系的不同供应商，不得参加同一合同项下的政府采购活动。</w:t>
            </w:r>
          </w:p>
          <w:p w14:paraId="55865B1B">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highlight w:val="none"/>
                <w:lang w:val="zh-CN"/>
              </w:rPr>
              <w:t>（</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lang w:val="zh-CN"/>
              </w:rPr>
              <w:t>）</w:t>
            </w:r>
            <w:r>
              <w:rPr>
                <w:rFonts w:hint="eastAsia" w:ascii="宋体" w:hAnsi="宋体" w:eastAsia="宋体" w:cs="宋体"/>
                <w:color w:val="000000"/>
                <w:sz w:val="24"/>
                <w:szCs w:val="24"/>
                <w:highlight w:val="none"/>
              </w:rPr>
              <w:t>根据《关于在政府采购活动中查询及使用信用记录有关问题的通知》（财库〔2016〕125号）的要求，采购人</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采购代理机构将通过“信用中国”网站（www.creditchina.gov.cn）、“中国政府采购网”网站（www.ccgp.gov.cn）等渠道查询供应商在采购公告发布之日前的信用记录并保存信用记录结果网页截图，</w:t>
            </w:r>
            <w:r>
              <w:rPr>
                <w:rFonts w:hint="eastAsia" w:ascii="宋体" w:hAnsi="宋体" w:eastAsia="宋体" w:cs="宋体"/>
                <w:sz w:val="24"/>
                <w:szCs w:val="24"/>
                <w:highlight w:val="none"/>
              </w:rPr>
              <w:t>拒绝列入失信被执行人</w:t>
            </w:r>
            <w:r>
              <w:rPr>
                <w:rFonts w:hint="eastAsia" w:ascii="宋体" w:hAnsi="宋体" w:eastAsia="宋体" w:cs="宋体"/>
                <w:sz w:val="24"/>
                <w:szCs w:val="24"/>
                <w:highlight w:val="none"/>
                <w:lang w:val="en-US" w:eastAsia="zh-CN"/>
              </w:rPr>
              <w:t>名单</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重大税收违法失信主体</w:t>
            </w:r>
            <w:r>
              <w:rPr>
                <w:rFonts w:hint="eastAsia" w:ascii="宋体" w:hAnsi="宋体" w:eastAsia="宋体" w:cs="宋体"/>
                <w:color w:val="000000"/>
                <w:sz w:val="24"/>
                <w:szCs w:val="24"/>
                <w:highlight w:val="none"/>
              </w:rPr>
              <w:t>、政府采购严重违法失信行为记录名单中的供应商报名参加本项目的采购活动（以联合体形式参加本项目采购活动，联合体成员存在不良信用记录的，视同联合体存在不良信用记录）。</w:t>
            </w:r>
          </w:p>
        </w:tc>
      </w:tr>
      <w:tr w14:paraId="27C3349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71EA650F">
            <w:pPr>
              <w:pStyle w:val="69"/>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4</w:t>
            </w:r>
          </w:p>
        </w:tc>
        <w:tc>
          <w:tcPr>
            <w:tcW w:w="2591" w:type="dxa"/>
            <w:noWrap w:val="0"/>
            <w:vAlign w:val="center"/>
          </w:tcPr>
          <w:p w14:paraId="1F16B5E9">
            <w:pPr>
              <w:pStyle w:val="69"/>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rPr>
              <w:t>联合体</w:t>
            </w:r>
            <w:r>
              <w:rPr>
                <w:rFonts w:hint="eastAsia" w:ascii="宋体" w:hAnsi="宋体" w:eastAsia="宋体" w:cs="宋体"/>
                <w:color w:val="000000"/>
                <w:sz w:val="24"/>
                <w:szCs w:val="24"/>
                <w:lang w:val="en-US" w:eastAsia="zh-CN"/>
              </w:rPr>
              <w:t>谈判</w:t>
            </w:r>
          </w:p>
        </w:tc>
        <w:tc>
          <w:tcPr>
            <w:tcW w:w="6803" w:type="dxa"/>
            <w:noWrap w:val="0"/>
            <w:vAlign w:val="center"/>
          </w:tcPr>
          <w:p w14:paraId="1339AD4E">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lang w:val="zh-CN" w:eastAsia="zh-CN"/>
              </w:rPr>
            </w:pPr>
            <w:r>
              <w:rPr>
                <w:rFonts w:hint="eastAsia" w:eastAsia="宋体" w:cs="宋体"/>
                <w:b w:val="0"/>
                <w:bCs w:val="0"/>
                <w:i w:val="0"/>
                <w:iCs w:val="0"/>
                <w:color w:val="000000"/>
                <w:sz w:val="24"/>
                <w:szCs w:val="24"/>
                <w:u w:val="single"/>
                <w:lang w:val="en-US" w:eastAsia="zh-CN"/>
              </w:rPr>
              <w:t>本项目</w:t>
            </w:r>
            <w:r>
              <w:rPr>
                <w:rFonts w:hint="eastAsia" w:eastAsia="宋体" w:cs="宋体"/>
                <w:b/>
                <w:bCs/>
                <w:i w:val="0"/>
                <w:iCs w:val="0"/>
                <w:color w:val="000000"/>
                <w:sz w:val="24"/>
                <w:szCs w:val="24"/>
                <w:u w:val="single"/>
                <w:lang w:val="en-US" w:eastAsia="zh-CN"/>
              </w:rPr>
              <w:t>不允许</w:t>
            </w:r>
            <w:r>
              <w:rPr>
                <w:rFonts w:hint="eastAsia" w:ascii="宋体" w:hAnsi="宋体" w:eastAsia="宋体" w:cs="宋体"/>
                <w:i w:val="0"/>
                <w:iCs w:val="0"/>
                <w:color w:val="000000"/>
                <w:sz w:val="24"/>
                <w:szCs w:val="24"/>
                <w:lang w:val="zh-CN"/>
              </w:rPr>
              <w:t>联合体</w:t>
            </w:r>
            <w:r>
              <w:rPr>
                <w:rFonts w:hint="eastAsia" w:ascii="宋体" w:hAnsi="宋体" w:eastAsia="宋体" w:cs="宋体"/>
                <w:i w:val="0"/>
                <w:iCs w:val="0"/>
                <w:color w:val="000000"/>
                <w:sz w:val="24"/>
                <w:szCs w:val="24"/>
                <w:lang w:val="en-US" w:eastAsia="zh-CN"/>
              </w:rPr>
              <w:t>谈判</w:t>
            </w:r>
          </w:p>
        </w:tc>
      </w:tr>
      <w:tr w14:paraId="4EC74D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vMerge w:val="restart"/>
            <w:noWrap w:val="0"/>
            <w:vAlign w:val="center"/>
          </w:tcPr>
          <w:p w14:paraId="2C39942D">
            <w:pPr>
              <w:pStyle w:val="69"/>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5</w:t>
            </w:r>
          </w:p>
        </w:tc>
        <w:tc>
          <w:tcPr>
            <w:tcW w:w="2591" w:type="dxa"/>
            <w:vMerge w:val="restart"/>
            <w:noWrap w:val="0"/>
            <w:vAlign w:val="center"/>
          </w:tcPr>
          <w:p w14:paraId="7FCFDFC6">
            <w:pPr>
              <w:pStyle w:val="69"/>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小微企业（监狱企业、残疾人福利性单位视同小微企业）价格扣除</w:t>
            </w:r>
          </w:p>
          <w:p w14:paraId="6F4DB124">
            <w:pPr>
              <w:pStyle w:val="69"/>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000000"/>
                <w:sz w:val="24"/>
                <w:szCs w:val="24"/>
                <w:lang w:val="zh-CN"/>
              </w:rPr>
            </w:pPr>
          </w:p>
        </w:tc>
        <w:tc>
          <w:tcPr>
            <w:tcW w:w="6803" w:type="dxa"/>
            <w:noWrap w:val="0"/>
            <w:vAlign w:val="top"/>
          </w:tcPr>
          <w:p w14:paraId="03F0134A">
            <w:pPr>
              <w:keepNext w:val="0"/>
              <w:keepLines w:val="0"/>
              <w:pageBreakBefore w:val="0"/>
              <w:widowControl w:val="0"/>
              <w:kinsoku/>
              <w:wordWrap/>
              <w:overflowPunct/>
              <w:topLinePunct w:val="0"/>
              <w:bidi w:val="0"/>
              <w:spacing w:line="560" w:lineRule="exact"/>
              <w:ind w:left="105" w:leftChars="50" w:right="105" w:rightChars="50" w:firstLine="240" w:firstLineChars="100"/>
              <w:textAlignment w:val="auto"/>
              <w:rPr>
                <w:rFonts w:hint="eastAsia" w:ascii="宋体" w:hAnsi="宋体" w:eastAsia="宋体" w:cs="宋体"/>
                <w:sz w:val="24"/>
                <w:szCs w:val="24"/>
                <w:lang w:eastAsia="zh-CN"/>
              </w:rPr>
            </w:pPr>
            <w:r>
              <w:rPr>
                <w:rFonts w:hint="eastAsia" w:ascii="宋体" w:hAnsi="宋体" w:eastAsia="宋体" w:cs="宋体"/>
                <w:b w:val="0"/>
                <w:bCs/>
                <w:sz w:val="24"/>
                <w:szCs w:val="24"/>
                <w:lang w:val="en-US" w:eastAsia="zh-CN"/>
              </w:rPr>
              <w:t>5.1 □</w:t>
            </w:r>
            <w:r>
              <w:rPr>
                <w:rFonts w:hint="eastAsia" w:ascii="宋体" w:hAnsi="宋体" w:eastAsia="宋体" w:cs="宋体"/>
                <w:b w:val="0"/>
                <w:bCs/>
                <w:sz w:val="24"/>
                <w:szCs w:val="24"/>
              </w:rPr>
              <w:t>本项目专门面向中小企业，不进行价格扣除</w:t>
            </w:r>
            <w:r>
              <w:rPr>
                <w:rFonts w:hint="eastAsia" w:ascii="宋体" w:hAnsi="宋体" w:eastAsia="宋体" w:cs="宋体"/>
                <w:sz w:val="24"/>
                <w:szCs w:val="24"/>
              </w:rPr>
              <w:t>。</w:t>
            </w:r>
            <w:r>
              <w:rPr>
                <w:rFonts w:hint="eastAsia" w:ascii="宋体" w:hAnsi="宋体" w:eastAsia="宋体" w:cs="宋体"/>
                <w:sz w:val="24"/>
                <w:szCs w:val="24"/>
                <w:lang w:eastAsia="zh-CN"/>
              </w:rPr>
              <w:t>（专门面向中小企业采购，供应商需出具《中小企业声明函》）</w:t>
            </w:r>
          </w:p>
        </w:tc>
      </w:tr>
      <w:tr w14:paraId="670871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vMerge w:val="continue"/>
            <w:noWrap w:val="0"/>
            <w:vAlign w:val="center"/>
          </w:tcPr>
          <w:p w14:paraId="2A08D0DE">
            <w:pPr>
              <w:pStyle w:val="69"/>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000000"/>
                <w:sz w:val="24"/>
                <w:szCs w:val="24"/>
                <w:lang w:val="zh-CN"/>
              </w:rPr>
            </w:pPr>
          </w:p>
        </w:tc>
        <w:tc>
          <w:tcPr>
            <w:tcW w:w="2591" w:type="dxa"/>
            <w:vMerge w:val="continue"/>
            <w:noWrap w:val="0"/>
            <w:vAlign w:val="center"/>
          </w:tcPr>
          <w:p w14:paraId="531CF19D">
            <w:pPr>
              <w:pStyle w:val="69"/>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000000"/>
                <w:sz w:val="24"/>
                <w:szCs w:val="24"/>
                <w:lang w:val="zh-CN"/>
              </w:rPr>
            </w:pPr>
          </w:p>
        </w:tc>
        <w:tc>
          <w:tcPr>
            <w:tcW w:w="6803" w:type="dxa"/>
            <w:noWrap w:val="0"/>
            <w:vAlign w:val="top"/>
          </w:tcPr>
          <w:p w14:paraId="6F5ABAFC">
            <w:pPr>
              <w:keepNext w:val="0"/>
              <w:keepLines w:val="0"/>
              <w:pageBreakBefore w:val="0"/>
              <w:widowControl w:val="0"/>
              <w:numPr>
                <w:ilvl w:val="0"/>
                <w:numId w:val="0"/>
              </w:numPr>
              <w:kinsoku/>
              <w:wordWrap/>
              <w:overflowPunct/>
              <w:topLinePunct w:val="0"/>
              <w:bidi w:val="0"/>
              <w:spacing w:line="560" w:lineRule="exact"/>
              <w:ind w:left="14" w:leftChars="7" w:right="105" w:rightChars="50" w:firstLine="256" w:firstLineChars="107"/>
              <w:textAlignment w:val="auto"/>
              <w:rPr>
                <w:rFonts w:hint="eastAsia" w:ascii="宋体" w:hAnsi="宋体" w:eastAsia="宋体" w:cs="宋体"/>
                <w:sz w:val="24"/>
                <w:szCs w:val="24"/>
                <w:highlight w:val="none"/>
              </w:rPr>
            </w:pPr>
            <w:r>
              <w:rPr>
                <w:rFonts w:hint="eastAsia" w:ascii="宋体" w:hAnsi="宋体" w:eastAsia="宋体" w:cs="宋体"/>
                <w:b w:val="0"/>
                <w:bCs/>
                <w:sz w:val="24"/>
                <w:szCs w:val="24"/>
                <w:highlight w:val="none"/>
                <w:lang w:val="en-US" w:eastAsia="zh-CN"/>
              </w:rPr>
              <w:t xml:space="preserve">5.2 </w:t>
            </w:r>
            <w:r>
              <w:rPr>
                <w:rFonts w:hint="eastAsia" w:ascii="宋体" w:hAnsi="宋体" w:eastAsia="宋体" w:cs="宋体"/>
                <w:b w:val="0"/>
                <w:bCs/>
                <w:sz w:val="24"/>
                <w:szCs w:val="24"/>
                <w:highlight w:val="none"/>
                <w:lang w:val="en-US" w:eastAsia="zh-CN"/>
              </w:rPr>
              <w:sym w:font="Wingdings" w:char="00FE"/>
            </w:r>
            <w:r>
              <w:rPr>
                <w:rFonts w:hint="eastAsia" w:ascii="宋体" w:hAnsi="宋体" w:eastAsia="宋体" w:cs="宋体"/>
                <w:b w:val="0"/>
                <w:bCs/>
                <w:sz w:val="24"/>
                <w:szCs w:val="24"/>
                <w:highlight w:val="none"/>
              </w:rPr>
              <w:t>本项目</w:t>
            </w:r>
            <w:r>
              <w:rPr>
                <w:rFonts w:hint="eastAsia" w:ascii="宋体" w:hAnsi="宋体" w:eastAsia="宋体" w:cs="宋体"/>
                <w:b w:val="0"/>
                <w:bCs/>
                <w:sz w:val="24"/>
                <w:szCs w:val="24"/>
                <w:highlight w:val="none"/>
                <w:lang w:val="en-US" w:eastAsia="zh-CN"/>
              </w:rPr>
              <w:t>非</w:t>
            </w:r>
            <w:r>
              <w:rPr>
                <w:rFonts w:hint="eastAsia" w:ascii="宋体" w:hAnsi="宋体" w:eastAsia="宋体" w:cs="宋体"/>
                <w:b w:val="0"/>
                <w:bCs/>
                <w:sz w:val="24"/>
                <w:szCs w:val="24"/>
                <w:highlight w:val="none"/>
              </w:rPr>
              <w:t>专门面向中小企业采购，小型、微型企业应出具《中小企业声明函》，对报价给予</w:t>
            </w:r>
            <w:r>
              <w:rPr>
                <w:rFonts w:hint="eastAsia" w:ascii="宋体" w:hAnsi="宋体" w:eastAsia="宋体" w:cs="宋体"/>
                <w:b/>
                <w:bCs w:val="0"/>
                <w:sz w:val="24"/>
                <w:szCs w:val="24"/>
                <w:highlight w:val="none"/>
                <w:u w:val="single"/>
                <w:lang w:val="en-US" w:eastAsia="zh-CN"/>
              </w:rPr>
              <w:t>10%</w:t>
            </w:r>
            <w:r>
              <w:rPr>
                <w:rFonts w:hint="eastAsia" w:ascii="宋体" w:hAnsi="宋体" w:eastAsia="宋体" w:cs="宋体"/>
                <w:b w:val="0"/>
                <w:bCs/>
                <w:sz w:val="24"/>
                <w:szCs w:val="24"/>
                <w:highlight w:val="none"/>
              </w:rPr>
              <w:t>的扣除，用扣除后的价格参与评审</w:t>
            </w:r>
            <w:r>
              <w:rPr>
                <w:rFonts w:hint="eastAsia" w:ascii="宋体" w:hAnsi="宋体" w:eastAsia="宋体" w:cs="宋体"/>
                <w:b w:val="0"/>
                <w:bCs/>
                <w:sz w:val="24"/>
                <w:szCs w:val="24"/>
                <w:highlight w:val="none"/>
                <w:lang w:eastAsia="zh-CN"/>
              </w:rPr>
              <w:t>；</w:t>
            </w:r>
          </w:p>
          <w:p w14:paraId="162FCC6A">
            <w:pPr>
              <w:keepNext w:val="0"/>
              <w:keepLines w:val="0"/>
              <w:pageBreakBefore w:val="0"/>
              <w:widowControl w:val="0"/>
              <w:numPr>
                <w:ilvl w:val="0"/>
                <w:numId w:val="0"/>
              </w:numPr>
              <w:kinsoku/>
              <w:wordWrap/>
              <w:overflowPunct/>
              <w:topLinePunct w:val="0"/>
              <w:bidi w:val="0"/>
              <w:spacing w:line="560" w:lineRule="exact"/>
              <w:ind w:right="105" w:rightChars="50" w:firstLine="240" w:firstLineChars="100"/>
              <w:textAlignment w:val="auto"/>
              <w:rPr>
                <w:rFonts w:hint="eastAsia" w:ascii="宋体" w:hAnsi="宋体" w:eastAsia="宋体" w:cs="宋体"/>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1</w:t>
            </w:r>
            <w:r>
              <w:rPr>
                <w:rFonts w:hint="eastAsia" w:ascii="宋体" w:hAnsi="宋体" w:eastAsia="宋体" w:cs="宋体"/>
                <w:b w:val="0"/>
                <w:bCs/>
                <w:sz w:val="24"/>
                <w:szCs w:val="24"/>
                <w:highlight w:val="none"/>
                <w:lang w:eastAsia="zh-CN"/>
              </w:rPr>
              <w:t>）</w:t>
            </w:r>
            <w:r>
              <w:rPr>
                <w:rFonts w:hint="eastAsia" w:ascii="宋体" w:hAnsi="宋体" w:eastAsia="宋体" w:cs="宋体"/>
                <w:sz w:val="24"/>
                <w:szCs w:val="24"/>
                <w:highlight w:val="none"/>
              </w:rPr>
              <w:t>参加政府采购活动的中小企业应当提供《中小企业声明函》原件,监狱企业应当提供《监狱企业证明》原件,残疾人福利性单位应当提供《残疾人福利性单位声明函》原件。供应商提供声明函内容不实的，属于提供虚假材料谋取中标、成交，依照《中华人民共和国政府采购法》等国家有关规定追究相应责任。</w:t>
            </w:r>
          </w:p>
          <w:p w14:paraId="2667245B">
            <w:pPr>
              <w:keepNext w:val="0"/>
              <w:keepLines w:val="0"/>
              <w:pageBreakBefore w:val="0"/>
              <w:widowControl w:val="0"/>
              <w:kinsoku/>
              <w:wordWrap/>
              <w:overflowPunct/>
              <w:topLinePunct w:val="0"/>
              <w:bidi w:val="0"/>
              <w:spacing w:line="560" w:lineRule="exact"/>
              <w:ind w:right="105" w:rightChars="50" w:firstLine="240" w:firstLineChars="100"/>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（2）若本项目接受联合体谈判的：</w:t>
            </w:r>
            <w:r>
              <w:rPr>
                <w:rFonts w:hint="eastAsia" w:ascii="宋体" w:hAnsi="宋体" w:eastAsia="宋体" w:cs="宋体"/>
                <w:sz w:val="24"/>
                <w:szCs w:val="24"/>
                <w:highlight w:val="none"/>
              </w:rPr>
              <w:t>大中型企业和</w:t>
            </w:r>
            <w:r>
              <w:rPr>
                <w:rFonts w:hint="eastAsia" w:ascii="宋体" w:hAnsi="宋体" w:eastAsia="宋体" w:cs="宋体"/>
                <w:sz w:val="24"/>
                <w:szCs w:val="24"/>
                <w:highlight w:val="none"/>
                <w:lang w:val="en-US" w:eastAsia="zh-CN"/>
              </w:rPr>
              <w:t>小微</w:t>
            </w:r>
            <w:r>
              <w:rPr>
                <w:rFonts w:hint="eastAsia" w:ascii="宋体" w:hAnsi="宋体" w:eastAsia="宋体" w:cs="宋体"/>
                <w:sz w:val="24"/>
                <w:szCs w:val="24"/>
                <w:highlight w:val="none"/>
              </w:rPr>
              <w:t>企业组成联合体共同参加非专门面向中小企业的政府采购活动的，联合体报价协议中约定，小微企业的合同份额占到合同总金额30%以上的，可给予联合体</w:t>
            </w:r>
            <w:r>
              <w:rPr>
                <w:rFonts w:hint="eastAsia" w:ascii="宋体" w:hAnsi="宋体" w:eastAsia="宋体" w:cs="宋体"/>
                <w:b/>
                <w:bCs/>
                <w:color w:val="auto"/>
                <w:sz w:val="24"/>
                <w:szCs w:val="24"/>
                <w:highlight w:val="none"/>
                <w:u w:val="single"/>
                <w:lang w:val="en-US" w:eastAsia="zh-CN"/>
              </w:rPr>
              <w:t>XX</w:t>
            </w:r>
            <w:r>
              <w:rPr>
                <w:rFonts w:hint="eastAsia" w:ascii="宋体" w:hAnsi="宋体" w:eastAsia="宋体" w:cs="宋体"/>
                <w:b/>
                <w:bCs/>
                <w:color w:val="auto"/>
                <w:sz w:val="24"/>
                <w:szCs w:val="24"/>
                <w:highlight w:val="none"/>
                <w:u w:val="single"/>
              </w:rPr>
              <w:t>%</w:t>
            </w:r>
            <w:r>
              <w:rPr>
                <w:rFonts w:hint="eastAsia" w:ascii="宋体" w:hAnsi="宋体" w:eastAsia="宋体" w:cs="宋体"/>
                <w:sz w:val="24"/>
                <w:szCs w:val="24"/>
                <w:highlight w:val="none"/>
              </w:rPr>
              <w:t>的价格扣除</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用扣除后的价格参加评审。 </w:t>
            </w:r>
          </w:p>
        </w:tc>
      </w:tr>
      <w:tr w14:paraId="1559E85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3F0F4ABA">
            <w:pPr>
              <w:pStyle w:val="69"/>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w:t>
            </w:r>
          </w:p>
        </w:tc>
        <w:tc>
          <w:tcPr>
            <w:tcW w:w="2591" w:type="dxa"/>
            <w:noWrap w:val="0"/>
            <w:vAlign w:val="center"/>
          </w:tcPr>
          <w:p w14:paraId="613586EA">
            <w:pPr>
              <w:pStyle w:val="69"/>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000000"/>
                <w:sz w:val="24"/>
                <w:szCs w:val="24"/>
                <w:lang w:val="zh-CN"/>
              </w:rPr>
            </w:pPr>
            <w:r>
              <w:rPr>
                <w:rFonts w:hint="eastAsia" w:ascii="宋体" w:hAnsi="宋体" w:eastAsia="宋体" w:cs="宋体"/>
                <w:sz w:val="24"/>
                <w:szCs w:val="24"/>
              </w:rPr>
              <w:t>现场考察或者召开答疑会</w:t>
            </w:r>
          </w:p>
        </w:tc>
        <w:tc>
          <w:tcPr>
            <w:tcW w:w="6803" w:type="dxa"/>
            <w:noWrap w:val="0"/>
            <w:vAlign w:val="center"/>
          </w:tcPr>
          <w:p w14:paraId="2D45EA97">
            <w:pPr>
              <w:keepNext w:val="0"/>
              <w:keepLines w:val="0"/>
              <w:pageBreakBefore w:val="0"/>
              <w:widowControl w:val="0"/>
              <w:kinsoku/>
              <w:wordWrap/>
              <w:overflowPunct/>
              <w:topLinePunct w:val="0"/>
              <w:autoSpaceDE/>
              <w:autoSpaceDN/>
              <w:bidi w:val="0"/>
              <w:adjustRightInd/>
              <w:snapToGrid/>
              <w:spacing w:line="560" w:lineRule="exact"/>
              <w:ind w:firstLine="240" w:firstLineChars="100"/>
              <w:jc w:val="both"/>
              <w:textAlignment w:val="auto"/>
              <w:rPr>
                <w:rFonts w:hint="eastAsia" w:ascii="宋体" w:hAnsi="宋体" w:eastAsia="宋体" w:cs="宋体"/>
                <w:i/>
                <w:sz w:val="24"/>
                <w:szCs w:val="24"/>
                <w:lang w:val="en-US" w:eastAsia="zh-CN"/>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否</w:t>
            </w:r>
            <w:r>
              <w:rPr>
                <w:rFonts w:hint="eastAsia" w:ascii="宋体" w:hAnsi="宋体" w:eastAsia="宋体" w:cs="宋体"/>
                <w:sz w:val="24"/>
                <w:szCs w:val="24"/>
                <w:u w:val="single"/>
              </w:rPr>
              <w:t xml:space="preserve">  </w:t>
            </w:r>
            <w:r>
              <w:rPr>
                <w:rFonts w:hint="eastAsia" w:ascii="宋体" w:hAnsi="宋体" w:eastAsia="宋体" w:cs="宋体"/>
                <w:i/>
                <w:sz w:val="24"/>
                <w:szCs w:val="24"/>
              </w:rPr>
              <w:t>（是、否）</w:t>
            </w:r>
            <w:r>
              <w:rPr>
                <w:rFonts w:hint="eastAsia" w:ascii="宋体" w:hAnsi="宋体" w:eastAsia="宋体" w:cs="宋体"/>
                <w:i/>
                <w:sz w:val="24"/>
                <w:szCs w:val="24"/>
                <w:lang w:val="en-US" w:eastAsia="zh-CN"/>
              </w:rPr>
              <w:t>组织</w:t>
            </w:r>
          </w:p>
          <w:p w14:paraId="017AB47A">
            <w:pPr>
              <w:keepNext w:val="0"/>
              <w:keepLines w:val="0"/>
              <w:pageBreakBefore w:val="0"/>
              <w:widowControl w:val="0"/>
              <w:kinsoku/>
              <w:wordWrap/>
              <w:overflowPunct/>
              <w:topLinePunct w:val="0"/>
              <w:autoSpaceDE/>
              <w:autoSpaceDN/>
              <w:bidi w:val="0"/>
              <w:adjustRightInd/>
              <w:snapToGrid/>
              <w:spacing w:line="560" w:lineRule="exact"/>
              <w:ind w:firstLine="240" w:firstLineChars="1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组织现场考察或者召开答疑会相关要求：</w:t>
            </w:r>
            <w:r>
              <w:rPr>
                <w:rFonts w:hint="eastAsia" w:ascii="宋体" w:hAnsi="宋体" w:eastAsia="宋体" w:cs="宋体"/>
                <w:sz w:val="24"/>
                <w:szCs w:val="24"/>
                <w:lang w:val="en-US" w:eastAsia="zh-CN"/>
              </w:rPr>
              <w:t>XXXXX</w:t>
            </w:r>
          </w:p>
        </w:tc>
      </w:tr>
      <w:tr w14:paraId="21B46F6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30491DB3">
            <w:pPr>
              <w:pStyle w:val="69"/>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w:t>
            </w:r>
          </w:p>
        </w:tc>
        <w:tc>
          <w:tcPr>
            <w:tcW w:w="2591" w:type="dxa"/>
            <w:noWrap w:val="0"/>
            <w:vAlign w:val="center"/>
          </w:tcPr>
          <w:p w14:paraId="2EE90852">
            <w:pPr>
              <w:pStyle w:val="69"/>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样品要求</w:t>
            </w:r>
          </w:p>
        </w:tc>
        <w:tc>
          <w:tcPr>
            <w:tcW w:w="6803" w:type="dxa"/>
            <w:noWrap w:val="0"/>
            <w:vAlign w:val="center"/>
          </w:tcPr>
          <w:p w14:paraId="488BD127">
            <w:pPr>
              <w:keepNext w:val="0"/>
              <w:keepLines w:val="0"/>
              <w:pageBreakBefore w:val="0"/>
              <w:widowControl w:val="0"/>
              <w:kinsoku/>
              <w:wordWrap/>
              <w:overflowPunct/>
              <w:topLinePunct w:val="0"/>
              <w:autoSpaceDE/>
              <w:autoSpaceDN/>
              <w:bidi w:val="0"/>
              <w:adjustRightInd/>
              <w:snapToGrid/>
              <w:spacing w:line="560" w:lineRule="exact"/>
              <w:ind w:firstLine="240" w:firstLineChars="100"/>
              <w:jc w:val="both"/>
              <w:textAlignment w:val="auto"/>
              <w:rPr>
                <w:rFonts w:hint="eastAsia" w:ascii="宋体" w:hAnsi="宋体" w:eastAsia="宋体" w:cs="宋体"/>
                <w:i/>
                <w:sz w:val="24"/>
                <w:szCs w:val="24"/>
              </w:rPr>
            </w:pPr>
            <w:r>
              <w:rPr>
                <w:rFonts w:hint="eastAsia" w:ascii="宋体" w:hAnsi="宋体" w:eastAsia="宋体" w:cs="宋体"/>
                <w:sz w:val="24"/>
                <w:szCs w:val="24"/>
              </w:rPr>
              <w:t>是否需要提供样品：</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否</w:t>
            </w:r>
            <w:r>
              <w:rPr>
                <w:rFonts w:hint="eastAsia" w:ascii="宋体" w:hAnsi="宋体" w:eastAsia="宋体" w:cs="宋体"/>
                <w:sz w:val="24"/>
                <w:szCs w:val="24"/>
                <w:u w:val="single"/>
              </w:rPr>
              <w:t xml:space="preserve">  </w:t>
            </w:r>
            <w:r>
              <w:rPr>
                <w:rFonts w:hint="eastAsia" w:ascii="宋体" w:hAnsi="宋体" w:eastAsia="宋体" w:cs="宋体"/>
                <w:i/>
                <w:sz w:val="24"/>
                <w:szCs w:val="24"/>
              </w:rPr>
              <w:t>（是、否）</w:t>
            </w:r>
          </w:p>
          <w:p w14:paraId="5CAC14BF">
            <w:pPr>
              <w:keepNext w:val="0"/>
              <w:keepLines w:val="0"/>
              <w:pageBreakBefore w:val="0"/>
              <w:widowControl w:val="0"/>
              <w:kinsoku/>
              <w:wordWrap/>
              <w:overflowPunct/>
              <w:topLinePunct w:val="0"/>
              <w:autoSpaceDE/>
              <w:autoSpaceDN/>
              <w:bidi w:val="0"/>
              <w:adjustRightInd/>
              <w:snapToGrid/>
              <w:spacing w:line="560" w:lineRule="exact"/>
              <w:ind w:firstLine="240" w:firstLineChars="1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提供样品要求包括：（样品的制作标准和要求、接收及退还，样品检测报告，检测机构、检测内容等内容）</w:t>
            </w:r>
          </w:p>
        </w:tc>
      </w:tr>
      <w:tr w14:paraId="5BC37ED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508F9F9E">
            <w:pPr>
              <w:pStyle w:val="69"/>
              <w:keepNext w:val="0"/>
              <w:keepLines w:val="0"/>
              <w:pageBreakBefore w:val="0"/>
              <w:widowControl w:val="0"/>
              <w:kinsoku/>
              <w:wordWrap/>
              <w:overflowPunct/>
              <w:topLinePunct w:val="0"/>
              <w:bidi w:val="0"/>
              <w:spacing w:line="560" w:lineRule="exact"/>
              <w:ind w:right="230" w:rightChars="0"/>
              <w:jc w:val="center"/>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8</w:t>
            </w:r>
          </w:p>
        </w:tc>
        <w:tc>
          <w:tcPr>
            <w:tcW w:w="2591" w:type="dxa"/>
            <w:noWrap w:val="0"/>
            <w:vAlign w:val="center"/>
          </w:tcPr>
          <w:p w14:paraId="44852BE0">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低于成本价</w:t>
            </w:r>
          </w:p>
          <w:p w14:paraId="279F6515">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不正当竞争预防措施</w:t>
            </w:r>
          </w:p>
          <w:p w14:paraId="6040E50F">
            <w:pPr>
              <w:pStyle w:val="69"/>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000000"/>
                <w:sz w:val="24"/>
                <w:szCs w:val="24"/>
                <w:lang w:val="zh-CN"/>
              </w:rPr>
            </w:pPr>
          </w:p>
          <w:p w14:paraId="0B3C1ED4">
            <w:pPr>
              <w:pStyle w:val="69"/>
              <w:keepNext w:val="0"/>
              <w:keepLines w:val="0"/>
              <w:pageBreakBefore w:val="0"/>
              <w:widowControl w:val="0"/>
              <w:kinsoku/>
              <w:wordWrap/>
              <w:overflowPunct/>
              <w:topLinePunct w:val="0"/>
              <w:bidi w:val="0"/>
              <w:spacing w:line="560" w:lineRule="exact"/>
              <w:ind w:left="38" w:leftChars="0"/>
              <w:jc w:val="center"/>
              <w:textAlignment w:val="auto"/>
              <w:rPr>
                <w:rFonts w:hint="eastAsia" w:ascii="宋体" w:hAnsi="宋体" w:eastAsia="宋体" w:cs="宋体"/>
                <w:color w:val="000000"/>
                <w:sz w:val="24"/>
                <w:szCs w:val="24"/>
                <w:lang w:val="zh-CN" w:eastAsia="zh-CN" w:bidi="ar-SA"/>
              </w:rPr>
            </w:pPr>
          </w:p>
        </w:tc>
        <w:tc>
          <w:tcPr>
            <w:tcW w:w="6803" w:type="dxa"/>
            <w:noWrap w:val="0"/>
            <w:vAlign w:val="top"/>
          </w:tcPr>
          <w:p w14:paraId="70D3B04A">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（一）政府采购异常低价审查</w:t>
            </w:r>
          </w:p>
          <w:p w14:paraId="48CD09A9">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（1）政府采购评审中出现下列情形之一的，评审委员会应当启动异常低价投标（响应）审查程序：</w:t>
            </w:r>
          </w:p>
          <w:p w14:paraId="77935ACA">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1.投标（响应）报价低于全部通过符合性审查供应商投标（响应）报价平均值50%的，即投标（响应）报价&lt;全部通过符合性审查供应商投标（响应）报价平均值</w:t>
            </w:r>
            <w:r>
              <w:rPr>
                <w:rFonts w:hint="eastAsia" w:ascii="宋体" w:hAnsi="宋体" w:eastAsia="宋体" w:cs="宋体"/>
                <w:b/>
                <w:bCs/>
                <w:color w:val="000000"/>
                <w:sz w:val="24"/>
                <w:szCs w:val="24"/>
                <w:lang w:val="zh-CN" w:eastAsia="zh-CN" w:bidi="ar-SA"/>
              </w:rPr>
              <w:t>×50%；</w:t>
            </w:r>
          </w:p>
          <w:p w14:paraId="5091D6AF">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2.投标（响应）报价低于通过符合性审查的次低报价供应商投标（响应）报价50%的，即投标（响应）报价&lt;通过符合性审查的次低报价供应商投标（响应）报价</w:t>
            </w:r>
            <w:r>
              <w:rPr>
                <w:rFonts w:hint="eastAsia" w:ascii="宋体" w:hAnsi="宋体" w:eastAsia="宋体" w:cs="宋体"/>
                <w:b/>
                <w:bCs/>
                <w:color w:val="000000"/>
                <w:sz w:val="24"/>
                <w:szCs w:val="24"/>
                <w:lang w:val="zh-CN" w:eastAsia="zh-CN" w:bidi="ar-SA"/>
              </w:rPr>
              <w:t>×50%；</w:t>
            </w:r>
          </w:p>
          <w:p w14:paraId="14F3933E">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3.投标（响应）报价低于采购项目最高限价45%的，即投标（响应）报价&lt;采购项目最高限价</w:t>
            </w:r>
            <w:r>
              <w:rPr>
                <w:rFonts w:hint="eastAsia" w:ascii="宋体" w:hAnsi="宋体" w:eastAsia="宋体" w:cs="宋体"/>
                <w:b/>
                <w:bCs/>
                <w:color w:val="000000"/>
                <w:sz w:val="24"/>
                <w:szCs w:val="24"/>
                <w:lang w:val="zh-CN" w:eastAsia="zh-CN" w:bidi="ar-SA"/>
              </w:rPr>
              <w:t>×45%；</w:t>
            </w:r>
          </w:p>
          <w:p w14:paraId="113288AB">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4.评审委员会基于专业判断，认为供应商报价过低，有可能影响产品质量或者不能诚信履约的其他情形。</w:t>
            </w:r>
          </w:p>
          <w:p w14:paraId="2DA02FCC">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采购人可以结合具体项目实际情况，提高上述第1项至第3项中启动异常低价投标（响应）审查的数值标准，但是最高不得超过65%。</w:t>
            </w:r>
          </w:p>
          <w:p w14:paraId="7B64D42B">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相关法律法规对供应商报价有规定的，从其规定。</w:t>
            </w:r>
          </w:p>
          <w:p w14:paraId="6AED1D76">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1595D91">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B403A73">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评审委员会借助互联网等渠道查询相关信息的，应当严格遵守评审工作纪律，不得实施影响评审公正的行为。</w:t>
            </w:r>
          </w:p>
          <w:p w14:paraId="3358FE7C">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异常低价投标（响应）审查的启动原因、审查意见和审查结果应当在评审报告中记录，并随供应商提供的相关书面说明及证明材料，以及评审委员会有关互联网浏览、查询历史一并归档。</w:t>
            </w:r>
          </w:p>
          <w:p w14:paraId="67B08A7E">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（三）投标人书面说明应当签字确认或者加盖公章，否则无效。书面说明的签字确认，由其法定代表人/主要负责人/本人或者其授权代表签字确认。</w:t>
            </w:r>
          </w:p>
          <w:p w14:paraId="24F837E8">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四）投标人提供书面说明后，评标委员会应当结合采购项目采购需求、专业实际情况、投标人财务状况报告、与其他投标人比较情况等就投标人书面说明进行审查评价。投标人拒绝或者变相拒绝提供有效书面说明或者书面说明不能证明其报价合理性的或未在规定时间内递交有效书面说明书的，评标委员会应当将其投标文件作为无效处理。</w:t>
            </w:r>
          </w:p>
          <w:p w14:paraId="46518EA1">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五）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tc>
      </w:tr>
      <w:tr w14:paraId="00352AD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26EACDEC">
            <w:pPr>
              <w:pStyle w:val="69"/>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w:t>
            </w:r>
          </w:p>
        </w:tc>
        <w:tc>
          <w:tcPr>
            <w:tcW w:w="2591" w:type="dxa"/>
            <w:noWrap w:val="0"/>
            <w:vAlign w:val="center"/>
          </w:tcPr>
          <w:p w14:paraId="1B2EEAD8">
            <w:pPr>
              <w:pStyle w:val="69"/>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谈判</w:t>
            </w:r>
            <w:r>
              <w:rPr>
                <w:rFonts w:hint="eastAsia" w:ascii="宋体" w:hAnsi="宋体" w:eastAsia="宋体" w:cs="宋体"/>
                <w:color w:val="000000"/>
                <w:sz w:val="24"/>
                <w:szCs w:val="24"/>
                <w:highlight w:val="none"/>
                <w:lang w:val="zh-CN"/>
              </w:rPr>
              <w:t>情况公告</w:t>
            </w:r>
          </w:p>
        </w:tc>
        <w:tc>
          <w:tcPr>
            <w:tcW w:w="6803" w:type="dxa"/>
            <w:noWrap w:val="0"/>
            <w:vAlign w:val="center"/>
          </w:tcPr>
          <w:p w14:paraId="4CB1E9DD">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本次</w:t>
            </w:r>
            <w:r>
              <w:rPr>
                <w:rFonts w:hint="eastAsia" w:ascii="宋体" w:hAnsi="宋体" w:eastAsia="宋体" w:cs="宋体"/>
                <w:color w:val="000000"/>
                <w:sz w:val="24"/>
                <w:szCs w:val="24"/>
                <w:highlight w:val="none"/>
                <w:lang w:val="en-US" w:eastAsia="zh-CN"/>
              </w:rPr>
              <w:t>谈判</w:t>
            </w:r>
            <w:r>
              <w:rPr>
                <w:rFonts w:hint="eastAsia" w:ascii="宋体" w:hAnsi="宋体" w:eastAsia="宋体" w:cs="宋体"/>
                <w:color w:val="000000"/>
                <w:sz w:val="24"/>
                <w:szCs w:val="24"/>
                <w:highlight w:val="none"/>
                <w:lang w:val="zh-CN"/>
              </w:rPr>
              <w:t>采购的相关信息（含</w:t>
            </w:r>
            <w:r>
              <w:rPr>
                <w:rFonts w:hint="eastAsia" w:ascii="宋体" w:hAnsi="宋体" w:eastAsia="宋体" w:cs="宋体"/>
                <w:color w:val="000000"/>
                <w:sz w:val="24"/>
                <w:szCs w:val="24"/>
                <w:highlight w:val="none"/>
                <w:lang w:val="en-US" w:eastAsia="zh-CN"/>
              </w:rPr>
              <w:t>谈判</w:t>
            </w:r>
            <w:r>
              <w:rPr>
                <w:rFonts w:hint="eastAsia" w:ascii="宋体" w:hAnsi="宋体" w:eastAsia="宋体" w:cs="宋体"/>
                <w:color w:val="000000"/>
                <w:sz w:val="24"/>
                <w:szCs w:val="24"/>
                <w:highlight w:val="none"/>
                <w:lang w:val="zh-CN"/>
              </w:rPr>
              <w:t>公告、变更公告、补遗公告、延期公告、终止公告、成交公告等）同时在</w:t>
            </w:r>
            <w:r>
              <w:rPr>
                <w:rFonts w:hint="eastAsia" w:ascii="宋体" w:hAnsi="宋体" w:eastAsia="宋体" w:cs="宋体"/>
                <w:b/>
                <w:bCs/>
                <w:color w:val="000000"/>
                <w:sz w:val="24"/>
                <w:szCs w:val="24"/>
                <w:highlight w:val="none"/>
                <w:u w:val="single"/>
                <w:lang w:val="zh-CN"/>
              </w:rPr>
              <w:t>云南省政府采购网</w:t>
            </w:r>
            <w:r>
              <w:rPr>
                <w:rFonts w:hint="eastAsia" w:eastAsia="宋体" w:cs="宋体"/>
                <w:b/>
                <w:bCs/>
                <w:color w:val="000000"/>
                <w:sz w:val="24"/>
                <w:szCs w:val="24"/>
                <w:highlight w:val="none"/>
                <w:u w:val="single"/>
                <w:lang w:val="zh-CN"/>
              </w:rPr>
              <w:t>、</w:t>
            </w:r>
            <w:r>
              <w:rPr>
                <w:rFonts w:hint="eastAsia" w:eastAsia="宋体" w:cs="宋体"/>
                <w:b/>
                <w:bCs/>
                <w:color w:val="000000"/>
                <w:sz w:val="24"/>
                <w:szCs w:val="24"/>
                <w:highlight w:val="none"/>
                <w:u w:val="single"/>
                <w:lang w:val="en-US" w:eastAsia="zh-CN"/>
              </w:rPr>
              <w:t>文山市人民政府网</w:t>
            </w:r>
            <w:r>
              <w:rPr>
                <w:rFonts w:hint="eastAsia" w:ascii="宋体" w:hAnsi="宋体" w:eastAsia="宋体" w:cs="宋体"/>
                <w:color w:val="000000"/>
                <w:sz w:val="24"/>
                <w:szCs w:val="24"/>
                <w:highlight w:val="none"/>
                <w:lang w:val="zh-CN"/>
              </w:rPr>
              <w:t>网站发布，请各供应商在递交响应文件前随时查看，以获取最新信息。</w:t>
            </w:r>
          </w:p>
        </w:tc>
      </w:tr>
      <w:tr w14:paraId="1351F52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3D219DFA">
            <w:pPr>
              <w:pStyle w:val="69"/>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w:t>
            </w:r>
          </w:p>
        </w:tc>
        <w:tc>
          <w:tcPr>
            <w:tcW w:w="2591" w:type="dxa"/>
            <w:noWrap w:val="0"/>
            <w:vAlign w:val="center"/>
          </w:tcPr>
          <w:p w14:paraId="7687095B">
            <w:pPr>
              <w:pStyle w:val="69"/>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谈判</w:t>
            </w:r>
            <w:r>
              <w:rPr>
                <w:rFonts w:hint="eastAsia" w:ascii="宋体" w:hAnsi="宋体" w:eastAsia="宋体" w:cs="宋体"/>
                <w:color w:val="000000"/>
                <w:sz w:val="24"/>
                <w:szCs w:val="24"/>
                <w:highlight w:val="none"/>
                <w:lang w:val="zh-CN"/>
              </w:rPr>
              <w:t>保证金</w:t>
            </w:r>
          </w:p>
        </w:tc>
        <w:tc>
          <w:tcPr>
            <w:tcW w:w="6803" w:type="dxa"/>
            <w:noWrap w:val="0"/>
            <w:vAlign w:val="center"/>
          </w:tcPr>
          <w:p w14:paraId="178857A4">
            <w:pPr>
              <w:pStyle w:val="69"/>
              <w:keepNext w:val="0"/>
              <w:keepLines w:val="0"/>
              <w:pageBreakBefore w:val="0"/>
              <w:widowControl w:val="0"/>
              <w:numPr>
                <w:ilvl w:val="0"/>
                <w:numId w:val="0"/>
              </w:numPr>
              <w:kinsoku/>
              <w:wordWrap/>
              <w:overflowPunct/>
              <w:topLinePunct w:val="0"/>
              <w:bidi w:val="0"/>
              <w:spacing w:line="560" w:lineRule="exact"/>
              <w:ind w:firstLine="240" w:firstLineChars="100"/>
              <w:jc w:val="both"/>
              <w:textAlignment w:val="auto"/>
              <w:rPr>
                <w:rFonts w:hint="eastAsia" w:ascii="宋体" w:hAnsi="宋体" w:eastAsia="宋体" w:cs="宋体"/>
                <w:b/>
                <w:bCs/>
                <w:color w:val="FF0000"/>
                <w:sz w:val="24"/>
                <w:szCs w:val="24"/>
                <w:highlight w:val="none"/>
                <w:lang w:val="zh-CN"/>
              </w:rPr>
            </w:pPr>
            <w:r>
              <w:rPr>
                <w:rFonts w:hint="eastAsia" w:ascii="宋体" w:hAnsi="宋体" w:eastAsia="宋体" w:cs="宋体"/>
                <w:b/>
                <w:bCs w:val="0"/>
                <w:sz w:val="24"/>
                <w:szCs w:val="24"/>
                <w:highlight w:val="none"/>
              </w:rPr>
              <w:t>本项目</w:t>
            </w:r>
            <w:r>
              <w:rPr>
                <w:rFonts w:hint="eastAsia" w:eastAsia="宋体" w:cs="宋体"/>
                <w:b/>
                <w:bCs w:val="0"/>
                <w:sz w:val="24"/>
                <w:szCs w:val="24"/>
                <w:highlight w:val="none"/>
                <w:u w:val="single"/>
                <w:lang w:val="en-US" w:eastAsia="zh-CN"/>
              </w:rPr>
              <w:t>不</w:t>
            </w:r>
            <w:r>
              <w:rPr>
                <w:rFonts w:hint="eastAsia" w:ascii="宋体" w:hAnsi="宋体" w:eastAsia="宋体" w:cs="宋体"/>
                <w:b/>
                <w:bCs w:val="0"/>
                <w:sz w:val="24"/>
                <w:szCs w:val="24"/>
                <w:highlight w:val="none"/>
                <w:lang w:val="en-US" w:eastAsia="zh-CN"/>
              </w:rPr>
              <w:t>收取谈判保证金；</w:t>
            </w:r>
          </w:p>
        </w:tc>
      </w:tr>
      <w:tr w14:paraId="2564C4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6BD07F25">
            <w:pPr>
              <w:pStyle w:val="69"/>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11</w:t>
            </w:r>
          </w:p>
        </w:tc>
        <w:tc>
          <w:tcPr>
            <w:tcW w:w="2591" w:type="dxa"/>
            <w:noWrap w:val="0"/>
            <w:vAlign w:val="center"/>
          </w:tcPr>
          <w:p w14:paraId="2FF4265C">
            <w:pPr>
              <w:pStyle w:val="69"/>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highlight w:val="none"/>
                <w:lang w:val="zh-CN"/>
              </w:rPr>
              <w:t>履约保证金</w:t>
            </w:r>
          </w:p>
        </w:tc>
        <w:tc>
          <w:tcPr>
            <w:tcW w:w="6803" w:type="dxa"/>
            <w:noWrap w:val="0"/>
            <w:vAlign w:val="center"/>
          </w:tcPr>
          <w:p w14:paraId="778998B3">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highlight w:val="none"/>
                <w:lang w:val="en-US" w:eastAsia="zh-CN"/>
              </w:rPr>
            </w:pPr>
            <w:r>
              <w:rPr>
                <w:rFonts w:hint="eastAsia" w:eastAsia="宋体" w:cs="宋体"/>
                <w:i w:val="0"/>
                <w:iCs w:val="0"/>
                <w:color w:val="000000"/>
                <w:sz w:val="24"/>
                <w:szCs w:val="24"/>
                <w:highlight w:val="none"/>
                <w:lang w:val="en-US" w:eastAsia="zh-CN"/>
              </w:rPr>
              <w:t>履</w:t>
            </w:r>
            <w:r>
              <w:rPr>
                <w:rFonts w:hint="eastAsia" w:eastAsia="宋体" w:cs="宋体"/>
                <w:b w:val="0"/>
                <w:bCs w:val="0"/>
                <w:i w:val="0"/>
                <w:iCs w:val="0"/>
                <w:color w:val="000000"/>
                <w:sz w:val="24"/>
                <w:szCs w:val="24"/>
                <w:highlight w:val="none"/>
                <w:lang w:val="en-US" w:eastAsia="zh-CN"/>
              </w:rPr>
              <w:t>约保证金由采购人与中标供应商在合同中另行约束，</w:t>
            </w:r>
            <w:r>
              <w:rPr>
                <w:szCs w:val="24"/>
                <w:highlight w:val="none"/>
              </w:rPr>
              <w:t>履约保证金的数额不得超过</w:t>
            </w:r>
            <w:r>
              <w:rPr>
                <w:rFonts w:hint="eastAsia"/>
                <w:szCs w:val="24"/>
                <w:highlight w:val="none"/>
                <w:lang w:val="en-US" w:eastAsia="zh-CN"/>
              </w:rPr>
              <w:t>政府采购合同金额</w:t>
            </w:r>
            <w:r>
              <w:rPr>
                <w:szCs w:val="24"/>
                <w:highlight w:val="none"/>
              </w:rPr>
              <w:t>的10%</w:t>
            </w:r>
            <w:r>
              <w:rPr>
                <w:rFonts w:hint="eastAsia"/>
                <w:szCs w:val="24"/>
                <w:highlight w:val="none"/>
                <w:lang w:eastAsia="zh-CN"/>
              </w:rPr>
              <w:t>。</w:t>
            </w:r>
          </w:p>
        </w:tc>
      </w:tr>
      <w:tr w14:paraId="3D2144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25DD6D28">
            <w:pPr>
              <w:pStyle w:val="69"/>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12</w:t>
            </w:r>
          </w:p>
        </w:tc>
        <w:tc>
          <w:tcPr>
            <w:tcW w:w="2591" w:type="dxa"/>
            <w:noWrap w:val="0"/>
            <w:vAlign w:val="center"/>
          </w:tcPr>
          <w:p w14:paraId="6CBB5865">
            <w:pPr>
              <w:pStyle w:val="69"/>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bCs/>
                <w:color w:val="000000"/>
                <w:sz w:val="24"/>
                <w:szCs w:val="24"/>
              </w:rPr>
            </w:pPr>
            <w:r>
              <w:rPr>
                <w:rFonts w:hint="eastAsia" w:ascii="宋体" w:hAnsi="宋体" w:eastAsia="宋体" w:cs="宋体"/>
                <w:sz w:val="24"/>
                <w:szCs w:val="24"/>
              </w:rPr>
              <w:t>对</w:t>
            </w:r>
            <w:r>
              <w:rPr>
                <w:rFonts w:hint="eastAsia" w:ascii="宋体" w:hAnsi="宋体" w:eastAsia="宋体" w:cs="宋体"/>
                <w:sz w:val="24"/>
                <w:szCs w:val="24"/>
                <w:lang w:eastAsia="zh-CN"/>
              </w:rPr>
              <w:t>谈判</w:t>
            </w:r>
            <w:r>
              <w:rPr>
                <w:rFonts w:hint="eastAsia" w:ascii="宋体" w:hAnsi="宋体" w:eastAsia="宋体" w:cs="宋体"/>
                <w:sz w:val="24"/>
                <w:szCs w:val="24"/>
                <w:lang w:val="en-US" w:eastAsia="zh-CN"/>
              </w:rPr>
              <w:t>文件</w:t>
            </w:r>
            <w:r>
              <w:rPr>
                <w:rFonts w:hint="eastAsia" w:ascii="宋体" w:hAnsi="宋体" w:eastAsia="宋体" w:cs="宋体"/>
                <w:sz w:val="24"/>
                <w:szCs w:val="24"/>
              </w:rPr>
              <w:t>中供应商参加本次政府采购活动应当具备的条件、项目</w:t>
            </w:r>
            <w:r>
              <w:rPr>
                <w:rFonts w:hint="eastAsia" w:ascii="宋体" w:hAnsi="宋体" w:eastAsia="宋体" w:cs="宋体"/>
                <w:sz w:val="24"/>
                <w:szCs w:val="24"/>
                <w:lang w:val="en-US" w:eastAsia="zh-CN"/>
              </w:rPr>
              <w:t>需求</w:t>
            </w:r>
            <w:r>
              <w:rPr>
                <w:rFonts w:hint="eastAsia" w:ascii="宋体" w:hAnsi="宋体" w:eastAsia="宋体" w:cs="宋体"/>
                <w:sz w:val="24"/>
                <w:szCs w:val="24"/>
              </w:rPr>
              <w:t>的询问、质疑</w:t>
            </w:r>
          </w:p>
        </w:tc>
        <w:tc>
          <w:tcPr>
            <w:tcW w:w="6803" w:type="dxa"/>
            <w:noWrap w:val="0"/>
            <w:vAlign w:val="center"/>
          </w:tcPr>
          <w:p w14:paraId="0BF0CA22">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向采购人提出，并由采购人按相关规定作出答复</w:t>
            </w:r>
            <w:r>
              <w:rPr>
                <w:rFonts w:hint="eastAsia" w:ascii="宋体" w:hAnsi="宋体" w:eastAsia="宋体" w:cs="宋体"/>
                <w:color w:val="auto"/>
                <w:sz w:val="24"/>
                <w:szCs w:val="24"/>
                <w:highlight w:val="none"/>
                <w:lang w:eastAsia="zh-CN"/>
              </w:rPr>
              <w:t>。</w:t>
            </w:r>
          </w:p>
          <w:p w14:paraId="2406D637">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（详见</w:t>
            </w:r>
            <w:r>
              <w:rPr>
                <w:rFonts w:hint="eastAsia" w:ascii="宋体" w:hAnsi="宋体" w:eastAsia="宋体" w:cs="宋体"/>
                <w:color w:val="auto"/>
                <w:sz w:val="24"/>
                <w:szCs w:val="24"/>
                <w:highlight w:val="none"/>
                <w:lang w:val="en-US" w:eastAsia="zh-CN"/>
              </w:rPr>
              <w:t>谈判文件</w:t>
            </w:r>
            <w:r>
              <w:rPr>
                <w:rFonts w:hint="eastAsia" w:eastAsia="宋体" w:cs="宋体"/>
                <w:color w:val="auto"/>
                <w:sz w:val="24"/>
                <w:szCs w:val="24"/>
                <w:highlight w:val="none"/>
                <w:lang w:val="en-US" w:eastAsia="zh-CN"/>
              </w:rPr>
              <w:t>第二章谈判须知第九条</w:t>
            </w:r>
            <w:r>
              <w:rPr>
                <w:rFonts w:hint="eastAsia" w:ascii="宋体" w:hAnsi="宋体" w:eastAsia="宋体" w:cs="宋体"/>
                <w:color w:val="auto"/>
                <w:sz w:val="24"/>
                <w:szCs w:val="24"/>
                <w:highlight w:val="none"/>
              </w:rPr>
              <w:t>）。</w:t>
            </w:r>
          </w:p>
        </w:tc>
      </w:tr>
      <w:tr w14:paraId="519648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0D7B69CE">
            <w:pPr>
              <w:pStyle w:val="69"/>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13</w:t>
            </w:r>
          </w:p>
        </w:tc>
        <w:tc>
          <w:tcPr>
            <w:tcW w:w="2591" w:type="dxa"/>
            <w:noWrap w:val="0"/>
            <w:vAlign w:val="center"/>
          </w:tcPr>
          <w:p w14:paraId="0D5477CD">
            <w:pPr>
              <w:pStyle w:val="69"/>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000000"/>
                <w:sz w:val="24"/>
                <w:szCs w:val="24"/>
                <w:lang w:val="zh-CN"/>
              </w:rPr>
            </w:pPr>
            <w:r>
              <w:rPr>
                <w:rFonts w:hint="eastAsia" w:ascii="宋体" w:hAnsi="宋体" w:eastAsia="宋体" w:cs="宋体"/>
                <w:sz w:val="24"/>
                <w:szCs w:val="24"/>
              </w:rPr>
              <w:t>对</w:t>
            </w:r>
            <w:r>
              <w:rPr>
                <w:rFonts w:hint="eastAsia" w:ascii="宋体" w:hAnsi="宋体" w:eastAsia="宋体" w:cs="宋体"/>
                <w:sz w:val="24"/>
                <w:szCs w:val="24"/>
                <w:lang w:eastAsia="zh-CN"/>
              </w:rPr>
              <w:t>谈判</w:t>
            </w:r>
            <w:r>
              <w:rPr>
                <w:rFonts w:hint="eastAsia" w:ascii="宋体" w:hAnsi="宋体" w:eastAsia="宋体" w:cs="宋体"/>
                <w:sz w:val="24"/>
                <w:szCs w:val="24"/>
                <w:lang w:val="en-US" w:eastAsia="zh-CN"/>
              </w:rPr>
              <w:t>文件</w:t>
            </w:r>
            <w:r>
              <w:rPr>
                <w:rFonts w:hint="eastAsia" w:ascii="宋体" w:hAnsi="宋体" w:eastAsia="宋体" w:cs="宋体"/>
                <w:sz w:val="24"/>
                <w:szCs w:val="24"/>
              </w:rPr>
              <w:t>中的其他内容、采购过程及成交结果的询问、质疑</w:t>
            </w:r>
          </w:p>
        </w:tc>
        <w:tc>
          <w:tcPr>
            <w:tcW w:w="6803" w:type="dxa"/>
            <w:noWrap w:val="0"/>
            <w:vAlign w:val="center"/>
          </w:tcPr>
          <w:p w14:paraId="2C043086">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提出，并由</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按相关规定作出答复</w:t>
            </w:r>
            <w:r>
              <w:rPr>
                <w:rFonts w:hint="eastAsia" w:ascii="宋体" w:hAnsi="宋体" w:eastAsia="宋体" w:cs="宋体"/>
                <w:color w:val="auto"/>
                <w:sz w:val="24"/>
                <w:szCs w:val="24"/>
                <w:highlight w:val="none"/>
                <w:lang w:eastAsia="zh-CN"/>
              </w:rPr>
              <w:t>。</w:t>
            </w:r>
          </w:p>
          <w:p w14:paraId="343C2E06">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（详见</w:t>
            </w:r>
            <w:r>
              <w:rPr>
                <w:rFonts w:hint="eastAsia" w:ascii="宋体" w:hAnsi="宋体" w:eastAsia="宋体" w:cs="宋体"/>
                <w:color w:val="auto"/>
                <w:sz w:val="24"/>
                <w:szCs w:val="24"/>
                <w:highlight w:val="none"/>
                <w:lang w:val="en-US" w:eastAsia="zh-CN"/>
              </w:rPr>
              <w:t>谈判文件</w:t>
            </w:r>
            <w:r>
              <w:rPr>
                <w:rFonts w:hint="eastAsia" w:eastAsia="宋体" w:cs="宋体"/>
                <w:color w:val="auto"/>
                <w:sz w:val="24"/>
                <w:szCs w:val="24"/>
                <w:highlight w:val="none"/>
                <w:lang w:val="en-US" w:eastAsia="zh-CN"/>
              </w:rPr>
              <w:t>第二章谈判须知第九条</w:t>
            </w:r>
            <w:r>
              <w:rPr>
                <w:rFonts w:hint="eastAsia" w:ascii="宋体" w:hAnsi="宋体" w:eastAsia="宋体" w:cs="宋体"/>
                <w:color w:val="auto"/>
                <w:sz w:val="24"/>
                <w:szCs w:val="24"/>
                <w:highlight w:val="none"/>
              </w:rPr>
              <w:t>）。</w:t>
            </w:r>
          </w:p>
        </w:tc>
      </w:tr>
      <w:tr w14:paraId="74F85E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7345925F">
            <w:pPr>
              <w:pStyle w:val="69"/>
              <w:keepNext w:val="0"/>
              <w:keepLines w:val="0"/>
              <w:pageBreakBefore w:val="0"/>
              <w:widowControl w:val="0"/>
              <w:kinsoku/>
              <w:wordWrap/>
              <w:overflowPunct/>
              <w:topLinePunct w:val="0"/>
              <w:bidi w:val="0"/>
              <w:spacing w:line="560" w:lineRule="exact"/>
              <w:ind w:right="230" w:rightChars="0"/>
              <w:jc w:val="center"/>
              <w:textAlignment w:val="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rPr>
              <w:t>1</w:t>
            </w:r>
            <w:r>
              <w:rPr>
                <w:rFonts w:hint="eastAsia" w:ascii="宋体" w:hAnsi="宋体" w:eastAsia="宋体" w:cs="宋体"/>
                <w:color w:val="000000"/>
                <w:sz w:val="24"/>
                <w:szCs w:val="24"/>
                <w:lang w:val="en-US" w:eastAsia="zh-CN"/>
              </w:rPr>
              <w:t>4</w:t>
            </w:r>
          </w:p>
        </w:tc>
        <w:tc>
          <w:tcPr>
            <w:tcW w:w="2591" w:type="dxa"/>
            <w:noWrap w:val="0"/>
            <w:vAlign w:val="center"/>
          </w:tcPr>
          <w:p w14:paraId="461A29D1">
            <w:pPr>
              <w:pStyle w:val="69"/>
              <w:keepNext w:val="0"/>
              <w:keepLines w:val="0"/>
              <w:pageBreakBefore w:val="0"/>
              <w:widowControl w:val="0"/>
              <w:kinsoku/>
              <w:wordWrap/>
              <w:overflowPunct/>
              <w:topLinePunct w:val="0"/>
              <w:bidi w:val="0"/>
              <w:spacing w:line="560" w:lineRule="exact"/>
              <w:ind w:left="96" w:leftChars="0"/>
              <w:jc w:val="center"/>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供应商投诉</w:t>
            </w:r>
          </w:p>
        </w:tc>
        <w:tc>
          <w:tcPr>
            <w:tcW w:w="6803" w:type="dxa"/>
            <w:noWrap w:val="0"/>
            <w:vAlign w:val="center"/>
          </w:tcPr>
          <w:p w14:paraId="7C134113">
            <w:pPr>
              <w:pStyle w:val="69"/>
              <w:keepNext w:val="0"/>
              <w:keepLines w:val="0"/>
              <w:pageBreakBefore w:val="0"/>
              <w:widowControl w:val="0"/>
              <w:kinsoku/>
              <w:wordWrap/>
              <w:overflowPunct/>
              <w:topLinePunct w:val="0"/>
              <w:bidi w:val="0"/>
              <w:spacing w:line="560" w:lineRule="exact"/>
              <w:ind w:left="12" w:leftChars="6" w:firstLine="170" w:firstLineChars="71"/>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投诉受理单位：本项目同级财政部门，即</w:t>
            </w:r>
            <w:r>
              <w:rPr>
                <w:rFonts w:hint="eastAsia" w:ascii="宋体" w:hAnsi="宋体" w:eastAsia="宋体" w:cs="宋体"/>
                <w:color w:val="000000"/>
                <w:sz w:val="24"/>
                <w:szCs w:val="24"/>
                <w:lang w:val="zh-CN" w:eastAsia="zh-CN"/>
              </w:rPr>
              <w:t>文山市财政局</w:t>
            </w:r>
            <w:r>
              <w:rPr>
                <w:rFonts w:hint="eastAsia" w:ascii="宋体" w:hAnsi="宋体" w:eastAsia="宋体" w:cs="宋体"/>
                <w:color w:val="000000"/>
                <w:sz w:val="24"/>
                <w:szCs w:val="24"/>
                <w:lang w:val="zh-CN"/>
              </w:rPr>
              <w:t>。</w:t>
            </w:r>
          </w:p>
          <w:p w14:paraId="0213C0FD">
            <w:pPr>
              <w:pStyle w:val="69"/>
              <w:keepNext w:val="0"/>
              <w:keepLines w:val="0"/>
              <w:pageBreakBefore w:val="0"/>
              <w:widowControl w:val="0"/>
              <w:kinsoku/>
              <w:wordWrap/>
              <w:overflowPunct/>
              <w:topLinePunct w:val="0"/>
              <w:bidi w:val="0"/>
              <w:spacing w:line="560" w:lineRule="exact"/>
              <w:ind w:left="12" w:leftChars="6" w:firstLine="170" w:firstLineChars="71"/>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联系电话：</w:t>
            </w:r>
            <w:bookmarkStart w:id="124" w:name="OLE_LINK123"/>
            <w:r>
              <w:rPr>
                <w:rFonts w:hint="eastAsia" w:ascii="宋体" w:hAnsi="宋体" w:eastAsia="宋体" w:cs="宋体"/>
                <w:color w:val="000000"/>
                <w:sz w:val="24"/>
                <w:szCs w:val="24"/>
                <w:lang w:val="zh-CN"/>
              </w:rPr>
              <w:t>0876-3055134</w:t>
            </w:r>
            <w:r>
              <w:rPr>
                <w:rFonts w:hint="eastAsia" w:ascii="宋体" w:hAnsi="宋体" w:eastAsia="宋体" w:cs="宋体"/>
                <w:color w:val="000000"/>
                <w:sz w:val="24"/>
                <w:szCs w:val="24"/>
                <w:lang w:val="zh-CN" w:eastAsia="zh-CN"/>
              </w:rPr>
              <w:t xml:space="preserve"> </w:t>
            </w:r>
          </w:p>
          <w:bookmarkEnd w:id="124"/>
          <w:p w14:paraId="7D8B15DE">
            <w:pPr>
              <w:pStyle w:val="69"/>
              <w:keepNext w:val="0"/>
              <w:keepLines w:val="0"/>
              <w:pageBreakBefore w:val="0"/>
              <w:widowControl w:val="0"/>
              <w:kinsoku/>
              <w:wordWrap/>
              <w:overflowPunct/>
              <w:topLinePunct w:val="0"/>
              <w:bidi w:val="0"/>
              <w:spacing w:line="560" w:lineRule="exact"/>
              <w:ind w:left="12" w:leftChars="6" w:firstLine="170" w:firstLineChars="71"/>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联系地址：</w:t>
            </w:r>
            <w:r>
              <w:rPr>
                <w:rFonts w:hint="eastAsia" w:ascii="宋体" w:hAnsi="宋体" w:eastAsia="宋体" w:cs="宋体"/>
                <w:color w:val="000000"/>
                <w:sz w:val="24"/>
                <w:szCs w:val="24"/>
                <w:lang w:val="zh-CN" w:eastAsia="zh-CN"/>
              </w:rPr>
              <w:t xml:space="preserve">文山市开化北路92号 </w:t>
            </w:r>
          </w:p>
          <w:p w14:paraId="2660E697">
            <w:pPr>
              <w:pStyle w:val="69"/>
              <w:keepNext w:val="0"/>
              <w:keepLines w:val="0"/>
              <w:pageBreakBefore w:val="0"/>
              <w:widowControl w:val="0"/>
              <w:kinsoku/>
              <w:wordWrap/>
              <w:overflowPunct/>
              <w:topLinePunct w:val="0"/>
              <w:bidi w:val="0"/>
              <w:spacing w:line="560" w:lineRule="exact"/>
              <w:ind w:left="12" w:leftChars="6" w:firstLine="170" w:firstLineChars="71"/>
              <w:textAlignment w:val="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rPr>
              <w:t>邮政编码：</w:t>
            </w:r>
            <w:r>
              <w:rPr>
                <w:rFonts w:hint="eastAsia" w:ascii="宋体" w:hAnsi="宋体" w:eastAsia="宋体" w:cs="宋体"/>
                <w:color w:val="000000"/>
                <w:sz w:val="24"/>
                <w:szCs w:val="24"/>
                <w:lang w:val="zh-CN" w:eastAsia="zh-CN"/>
              </w:rPr>
              <w:t>663099</w:t>
            </w:r>
          </w:p>
          <w:p w14:paraId="4D8D19A4">
            <w:pPr>
              <w:pStyle w:val="69"/>
              <w:keepNext w:val="0"/>
              <w:keepLines w:val="0"/>
              <w:pageBreakBefore w:val="0"/>
              <w:widowControl w:val="0"/>
              <w:kinsoku/>
              <w:wordWrap/>
              <w:overflowPunct/>
              <w:topLinePunct w:val="0"/>
              <w:bidi w:val="0"/>
              <w:spacing w:line="560" w:lineRule="exact"/>
              <w:ind w:left="12" w:leftChars="6" w:firstLine="170" w:firstLineChars="71"/>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注：根据《中华人民共和国政府采购法实施条例》的规定，</w:t>
            </w:r>
            <w:r>
              <w:rPr>
                <w:rFonts w:hint="eastAsia" w:ascii="宋体" w:hAnsi="宋体" w:eastAsia="宋体" w:cs="宋体"/>
                <w:color w:val="000000"/>
                <w:sz w:val="24"/>
                <w:szCs w:val="24"/>
                <w:lang w:val="zh-CN" w:eastAsia="zh-CN"/>
              </w:rPr>
              <w:t>投标人</w:t>
            </w:r>
            <w:r>
              <w:rPr>
                <w:rFonts w:hint="eastAsia" w:ascii="宋体" w:hAnsi="宋体" w:eastAsia="宋体" w:cs="宋体"/>
                <w:color w:val="000000"/>
                <w:sz w:val="24"/>
                <w:szCs w:val="24"/>
                <w:lang w:val="zh-CN"/>
              </w:rPr>
              <w:t>投诉事项不得超出已质疑事项的范围。</w:t>
            </w:r>
          </w:p>
        </w:tc>
      </w:tr>
      <w:tr w14:paraId="229335B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42E62ACC">
            <w:pPr>
              <w:pStyle w:val="69"/>
              <w:keepNext w:val="0"/>
              <w:keepLines w:val="0"/>
              <w:pageBreakBefore w:val="0"/>
              <w:widowControl w:val="0"/>
              <w:kinsoku/>
              <w:wordWrap/>
              <w:overflowPunct/>
              <w:topLinePunct w:val="0"/>
              <w:bidi w:val="0"/>
              <w:spacing w:line="560" w:lineRule="exact"/>
              <w:ind w:right="230" w:rightChars="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15</w:t>
            </w:r>
          </w:p>
        </w:tc>
        <w:tc>
          <w:tcPr>
            <w:tcW w:w="2591" w:type="dxa"/>
            <w:noWrap w:val="0"/>
            <w:vAlign w:val="center"/>
          </w:tcPr>
          <w:p w14:paraId="51E1F547">
            <w:pPr>
              <w:keepNext w:val="0"/>
              <w:keepLines w:val="0"/>
              <w:pageBreakBefore w:val="0"/>
              <w:widowControl w:val="0"/>
              <w:tabs>
                <w:tab w:val="left" w:pos="7665"/>
              </w:tabs>
              <w:kinsoku/>
              <w:wordWrap/>
              <w:overflowPunct/>
              <w:topLinePunct w:val="0"/>
              <w:bidi w:val="0"/>
              <w:snapToGrid w:val="0"/>
              <w:spacing w:line="560" w:lineRule="exact"/>
              <w:jc w:val="center"/>
              <w:textAlignment w:val="auto"/>
              <w:rPr>
                <w:rFonts w:hint="eastAsia" w:ascii="宋体" w:hAnsi="宋体" w:eastAsia="宋体" w:cs="宋体"/>
                <w:kern w:val="2"/>
                <w:sz w:val="24"/>
                <w:szCs w:val="24"/>
                <w:lang w:val="zh-CN" w:eastAsia="zh-CN" w:bidi="ar-SA"/>
              </w:rPr>
            </w:pPr>
            <w:r>
              <w:rPr>
                <w:rFonts w:hint="eastAsia" w:ascii="宋体" w:hAnsi="宋体" w:eastAsia="宋体" w:cs="宋体"/>
                <w:sz w:val="24"/>
                <w:szCs w:val="24"/>
              </w:rPr>
              <w:t>响应文件有效期</w:t>
            </w:r>
          </w:p>
        </w:tc>
        <w:tc>
          <w:tcPr>
            <w:tcW w:w="6803" w:type="dxa"/>
            <w:noWrap w:val="0"/>
            <w:vAlign w:val="center"/>
          </w:tcPr>
          <w:p w14:paraId="28B56E8D">
            <w:pPr>
              <w:keepNext w:val="0"/>
              <w:keepLines w:val="0"/>
              <w:pageBreakBefore w:val="0"/>
              <w:widowControl w:val="0"/>
              <w:tabs>
                <w:tab w:val="left" w:pos="7665"/>
              </w:tabs>
              <w:kinsoku/>
              <w:wordWrap/>
              <w:overflowPunct/>
              <w:topLinePunct w:val="0"/>
              <w:bidi w:val="0"/>
              <w:snapToGrid w:val="0"/>
              <w:spacing w:line="560" w:lineRule="exact"/>
              <w:ind w:firstLine="240" w:firstLineChars="100"/>
              <w:textAlignment w:val="auto"/>
              <w:rPr>
                <w:rFonts w:hint="eastAsia" w:ascii="宋体" w:hAnsi="宋体" w:eastAsia="宋体" w:cs="宋体"/>
                <w:kern w:val="2"/>
                <w:sz w:val="24"/>
                <w:szCs w:val="24"/>
                <w:lang w:val="zh-CN" w:eastAsia="zh-CN" w:bidi="ar-SA"/>
              </w:rPr>
            </w:pPr>
            <w:r>
              <w:rPr>
                <w:rFonts w:hint="eastAsia" w:ascii="宋体" w:hAnsi="宋体" w:eastAsia="宋体" w:cs="宋体"/>
                <w:sz w:val="24"/>
                <w:szCs w:val="24"/>
              </w:rPr>
              <w:t>提交响应文件的截止之日起</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lang w:val="en-US" w:eastAsia="zh-CN"/>
              </w:rPr>
              <w:t>90</w:t>
            </w:r>
            <w:r>
              <w:rPr>
                <w:rFonts w:hint="eastAsia" w:ascii="宋体" w:hAnsi="宋体" w:eastAsia="宋体" w:cs="宋体"/>
                <w:sz w:val="24"/>
                <w:szCs w:val="24"/>
                <w:u w:val="none"/>
                <w:lang w:val="en-US" w:eastAsia="zh-CN"/>
              </w:rPr>
              <w:t>日历</w:t>
            </w:r>
            <w:r>
              <w:rPr>
                <w:rFonts w:hint="eastAsia" w:ascii="宋体" w:hAnsi="宋体" w:eastAsia="宋体" w:cs="宋体"/>
                <w:sz w:val="24"/>
                <w:szCs w:val="24"/>
              </w:rPr>
              <w:t>天。</w:t>
            </w:r>
          </w:p>
        </w:tc>
      </w:tr>
      <w:tr w14:paraId="55C2412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noWrap w:val="0"/>
            <w:vAlign w:val="center"/>
          </w:tcPr>
          <w:p w14:paraId="09877E61">
            <w:pPr>
              <w:pStyle w:val="69"/>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16</w:t>
            </w:r>
          </w:p>
        </w:tc>
        <w:tc>
          <w:tcPr>
            <w:tcW w:w="2591" w:type="dxa"/>
            <w:noWrap w:val="0"/>
            <w:vAlign w:val="center"/>
          </w:tcPr>
          <w:p w14:paraId="43248785">
            <w:pPr>
              <w:pStyle w:val="69"/>
              <w:keepNext w:val="0"/>
              <w:keepLines w:val="0"/>
              <w:pageBreakBefore w:val="0"/>
              <w:widowControl w:val="0"/>
              <w:kinsoku/>
              <w:wordWrap/>
              <w:overflowPunct/>
              <w:topLinePunct w:val="0"/>
              <w:bidi w:val="0"/>
              <w:spacing w:line="560" w:lineRule="exact"/>
              <w:ind w:left="38"/>
              <w:jc w:val="center"/>
              <w:textAlignment w:va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成交通知书领取</w:t>
            </w:r>
          </w:p>
        </w:tc>
        <w:tc>
          <w:tcPr>
            <w:tcW w:w="6803" w:type="dxa"/>
            <w:noWrap w:val="0"/>
            <w:vAlign w:val="center"/>
          </w:tcPr>
          <w:p w14:paraId="0DE14643">
            <w:pPr>
              <w:pStyle w:val="69"/>
              <w:keepNext w:val="0"/>
              <w:keepLines w:val="0"/>
              <w:pageBreakBefore w:val="0"/>
              <w:widowControl w:val="0"/>
              <w:kinsoku/>
              <w:wordWrap/>
              <w:overflowPunct/>
              <w:topLinePunct w:val="0"/>
              <w:bidi w:val="0"/>
              <w:spacing w:line="560" w:lineRule="exact"/>
              <w:ind w:left="12" w:leftChars="6" w:firstLine="228" w:firstLineChars="95"/>
              <w:textAlignment w:val="auto"/>
              <w:rPr>
                <w:rFonts w:hint="default" w:ascii="宋体" w:hAnsi="宋体" w:eastAsia="宋体" w:cs="宋体"/>
                <w:color w:val="000000"/>
                <w:sz w:val="24"/>
                <w:szCs w:val="24"/>
                <w:highlight w:val="none"/>
                <w:lang w:val="en-US"/>
              </w:rPr>
            </w:pPr>
            <w:r>
              <w:rPr>
                <w:rFonts w:hint="default" w:ascii="宋体" w:hAnsi="宋体" w:eastAsia="宋体" w:cs="宋体"/>
                <w:color w:val="000000"/>
                <w:sz w:val="24"/>
                <w:szCs w:val="24"/>
                <w:highlight w:val="none"/>
                <w:lang w:val="en-US"/>
              </w:rPr>
              <w:t>采购结果公告在云南省政府采购网上发布后，请中标</w:t>
            </w:r>
            <w:r>
              <w:rPr>
                <w:rFonts w:hint="default" w:ascii="宋体" w:hAnsi="宋体" w:eastAsia="宋体" w:cs="宋体"/>
                <w:color w:val="000000"/>
                <w:sz w:val="24"/>
                <w:szCs w:val="24"/>
                <w:highlight w:val="none"/>
                <w:lang w:val="en-US" w:eastAsia="zh-CN"/>
              </w:rPr>
              <w:t>人按以下方式领取中标通知书：</w:t>
            </w:r>
            <w:r>
              <w:rPr>
                <w:rFonts w:hint="default" w:ascii="宋体" w:hAnsi="宋体" w:eastAsia="宋体" w:cs="宋体"/>
                <w:b/>
                <w:bCs/>
                <w:color w:val="000000"/>
                <w:sz w:val="24"/>
                <w:szCs w:val="24"/>
                <w:highlight w:val="none"/>
                <w:lang w:val="en-US" w:eastAsia="zh-CN"/>
              </w:rPr>
              <w:t>“政采云”线上领取。</w:t>
            </w:r>
          </w:p>
        </w:tc>
      </w:tr>
      <w:tr w14:paraId="7C4A78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tcBorders>
              <w:top w:val="single" w:color="auto" w:sz="8" w:space="0"/>
              <w:left w:val="single" w:color="auto" w:sz="18" w:space="0"/>
              <w:bottom w:val="single" w:color="auto" w:sz="8" w:space="0"/>
              <w:right w:val="single" w:color="auto" w:sz="8" w:space="0"/>
            </w:tcBorders>
            <w:noWrap w:val="0"/>
            <w:vAlign w:val="center"/>
          </w:tcPr>
          <w:p w14:paraId="497CF3DC">
            <w:pPr>
              <w:pStyle w:val="69"/>
              <w:keepNext w:val="0"/>
              <w:keepLines w:val="0"/>
              <w:pageBreakBefore w:val="0"/>
              <w:widowControl w:val="0"/>
              <w:kinsoku/>
              <w:wordWrap/>
              <w:overflowPunct/>
              <w:topLinePunct w:val="0"/>
              <w:bidi w:val="0"/>
              <w:spacing w:line="560" w:lineRule="exact"/>
              <w:ind w:right="230"/>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17</w:t>
            </w:r>
          </w:p>
        </w:tc>
        <w:tc>
          <w:tcPr>
            <w:tcW w:w="2591" w:type="dxa"/>
            <w:tcBorders>
              <w:top w:val="single" w:color="auto" w:sz="8" w:space="0"/>
              <w:left w:val="single" w:color="auto" w:sz="8" w:space="0"/>
              <w:bottom w:val="single" w:color="auto" w:sz="8" w:space="0"/>
              <w:right w:val="single" w:color="auto" w:sz="8" w:space="0"/>
            </w:tcBorders>
            <w:noWrap w:val="0"/>
            <w:vAlign w:val="center"/>
          </w:tcPr>
          <w:p w14:paraId="2B77314A">
            <w:pPr>
              <w:pStyle w:val="69"/>
              <w:keepNext w:val="0"/>
              <w:keepLines w:val="0"/>
              <w:pageBreakBefore w:val="0"/>
              <w:widowControl w:val="0"/>
              <w:kinsoku/>
              <w:wordWrap/>
              <w:overflowPunct/>
              <w:topLinePunct w:val="0"/>
              <w:bidi w:val="0"/>
              <w:spacing w:line="560" w:lineRule="exact"/>
              <w:ind w:left="96"/>
              <w:jc w:val="center"/>
              <w:textAlignment w:va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政府采购合同</w:t>
            </w:r>
          </w:p>
          <w:p w14:paraId="351F696D">
            <w:pPr>
              <w:pStyle w:val="69"/>
              <w:keepNext w:val="0"/>
              <w:keepLines w:val="0"/>
              <w:pageBreakBefore w:val="0"/>
              <w:widowControl w:val="0"/>
              <w:kinsoku/>
              <w:wordWrap/>
              <w:overflowPunct/>
              <w:topLinePunct w:val="0"/>
              <w:bidi w:val="0"/>
              <w:spacing w:line="560" w:lineRule="exact"/>
              <w:ind w:left="96"/>
              <w:jc w:val="center"/>
              <w:textAlignment w:va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公告备案</w:t>
            </w:r>
          </w:p>
        </w:tc>
        <w:tc>
          <w:tcPr>
            <w:tcW w:w="6803" w:type="dxa"/>
            <w:tcBorders>
              <w:top w:val="single" w:color="auto" w:sz="8" w:space="0"/>
              <w:left w:val="single" w:color="auto" w:sz="8" w:space="0"/>
              <w:bottom w:val="single" w:color="auto" w:sz="8" w:space="0"/>
              <w:right w:val="single" w:color="auto" w:sz="18" w:space="0"/>
            </w:tcBorders>
            <w:noWrap w:val="0"/>
            <w:vAlign w:val="center"/>
          </w:tcPr>
          <w:p w14:paraId="2B47700A">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1.政府采购合同签订之日起2个工作日内，采购人应将政府采购合同在云南省政府采购网进行公告；政府采购合同签订之日起7个工作日内，采购人应将政府采购合同在云南省政府采购网上自行备案。</w:t>
            </w:r>
          </w:p>
          <w:p w14:paraId="673E0B44">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2.在合同公示无异议后，由中标人或采购人代表将签订的合同送至文山市政府采购和出让中心进行存档。文山市政府采购和出让中心 联系电话：0876-3023253 。</w:t>
            </w:r>
          </w:p>
        </w:tc>
      </w:tr>
      <w:tr w14:paraId="33B3463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tcBorders>
              <w:top w:val="single" w:color="auto" w:sz="8" w:space="0"/>
              <w:left w:val="single" w:color="auto" w:sz="18" w:space="0"/>
              <w:bottom w:val="single" w:color="auto" w:sz="8" w:space="0"/>
              <w:right w:val="single" w:color="auto" w:sz="8" w:space="0"/>
            </w:tcBorders>
            <w:noWrap w:val="0"/>
            <w:vAlign w:val="center"/>
          </w:tcPr>
          <w:p w14:paraId="5A7A665C">
            <w:pPr>
              <w:keepNext w:val="0"/>
              <w:keepLines w:val="0"/>
              <w:pageBreakBefore w:val="0"/>
              <w:widowControl w:val="0"/>
              <w:kinsoku/>
              <w:wordWrap/>
              <w:overflowPunct/>
              <w:topLinePunct w:val="0"/>
              <w:bidi w:val="0"/>
              <w:snapToGrid w:val="0"/>
              <w:spacing w:line="56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18</w:t>
            </w:r>
          </w:p>
        </w:tc>
        <w:tc>
          <w:tcPr>
            <w:tcW w:w="2591" w:type="dxa"/>
            <w:tcBorders>
              <w:top w:val="single" w:color="auto" w:sz="8" w:space="0"/>
              <w:left w:val="single" w:color="auto" w:sz="8" w:space="0"/>
              <w:bottom w:val="single" w:color="auto" w:sz="8" w:space="0"/>
              <w:right w:val="single" w:color="auto" w:sz="8" w:space="0"/>
            </w:tcBorders>
            <w:noWrap w:val="0"/>
            <w:vAlign w:val="center"/>
          </w:tcPr>
          <w:p w14:paraId="544CA82B">
            <w:pPr>
              <w:keepNext w:val="0"/>
              <w:keepLines w:val="0"/>
              <w:pageBreakBefore w:val="0"/>
              <w:widowControl w:val="0"/>
              <w:kinsoku/>
              <w:wordWrap/>
              <w:overflowPunct/>
              <w:topLinePunct w:val="0"/>
              <w:bidi w:val="0"/>
              <w:snapToGrid w:val="0"/>
              <w:spacing w:line="560" w:lineRule="exact"/>
              <w:jc w:val="center"/>
              <w:textAlignment w:val="auto"/>
              <w:rPr>
                <w:rFonts w:hint="eastAsia" w:ascii="宋体" w:hAnsi="宋体" w:eastAsia="宋体" w:cs="宋体"/>
                <w:kern w:val="2"/>
                <w:sz w:val="24"/>
                <w:szCs w:val="24"/>
                <w:lang w:val="zh-CN" w:eastAsia="zh-CN" w:bidi="ar-SA"/>
              </w:rPr>
            </w:pPr>
            <w:r>
              <w:rPr>
                <w:rFonts w:hint="eastAsia" w:ascii="宋体" w:hAnsi="宋体" w:eastAsia="宋体" w:cs="宋体"/>
                <w:sz w:val="24"/>
                <w:szCs w:val="24"/>
              </w:rPr>
              <w:t>进口产品</w:t>
            </w:r>
          </w:p>
        </w:tc>
        <w:tc>
          <w:tcPr>
            <w:tcW w:w="6803" w:type="dxa"/>
            <w:tcBorders>
              <w:top w:val="single" w:color="auto" w:sz="8" w:space="0"/>
              <w:left w:val="single" w:color="auto" w:sz="8" w:space="0"/>
              <w:bottom w:val="single" w:color="auto" w:sz="8" w:space="0"/>
              <w:right w:val="single" w:color="auto" w:sz="18" w:space="0"/>
            </w:tcBorders>
            <w:noWrap w:val="0"/>
            <w:vAlign w:val="center"/>
          </w:tcPr>
          <w:p w14:paraId="7C437E28">
            <w:pPr>
              <w:pStyle w:val="69"/>
              <w:keepNext w:val="0"/>
              <w:keepLines w:val="0"/>
              <w:pageBreakBefore w:val="0"/>
              <w:widowControl w:val="0"/>
              <w:kinsoku/>
              <w:wordWrap/>
              <w:overflowPunct/>
              <w:topLinePunct w:val="0"/>
              <w:bidi w:val="0"/>
              <w:spacing w:line="560" w:lineRule="exact"/>
              <w:ind w:firstLine="240" w:firstLineChars="100"/>
              <w:jc w:val="both"/>
              <w:textAlignment w:val="auto"/>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本项目</w:t>
            </w:r>
            <w:r>
              <w:rPr>
                <w:rFonts w:hint="default" w:ascii="宋体" w:hAnsi="宋体" w:eastAsia="宋体" w:cs="宋体"/>
                <w:b/>
                <w:bCs/>
                <w:color w:val="000000"/>
                <w:sz w:val="24"/>
                <w:szCs w:val="24"/>
                <w:highlight w:val="none"/>
                <w:u w:val="single"/>
                <w:lang w:val="en-US" w:eastAsia="zh-CN"/>
              </w:rPr>
              <w:t xml:space="preserve"> 不 </w:t>
            </w:r>
            <w:r>
              <w:rPr>
                <w:rFonts w:hint="default" w:ascii="宋体" w:hAnsi="宋体" w:eastAsia="宋体" w:cs="宋体"/>
                <w:color w:val="000000"/>
                <w:sz w:val="24"/>
                <w:szCs w:val="24"/>
                <w:highlight w:val="none"/>
                <w:lang w:val="en-US" w:eastAsia="zh-CN"/>
              </w:rPr>
              <w:t>接受进口产品</w:t>
            </w:r>
          </w:p>
          <w:p w14:paraId="4A311AB5">
            <w:pPr>
              <w:keepNext w:val="0"/>
              <w:keepLines w:val="0"/>
              <w:pageBreakBefore w:val="0"/>
              <w:widowControl w:val="0"/>
              <w:tabs>
                <w:tab w:val="left" w:pos="7665"/>
              </w:tabs>
              <w:kinsoku/>
              <w:wordWrap/>
              <w:overflowPunct/>
              <w:topLinePunct w:val="0"/>
              <w:bidi w:val="0"/>
              <w:snapToGrid w:val="0"/>
              <w:spacing w:line="560" w:lineRule="exact"/>
              <w:ind w:firstLine="240" w:firstLineChars="100"/>
              <w:textAlignment w:val="auto"/>
              <w:rPr>
                <w:rFonts w:hint="eastAsia" w:ascii="宋体" w:hAnsi="宋体" w:eastAsia="宋体" w:cs="宋体"/>
                <w:kern w:val="2"/>
                <w:sz w:val="24"/>
                <w:szCs w:val="24"/>
                <w:lang w:val="zh-CN" w:eastAsia="zh-CN" w:bidi="ar-SA"/>
              </w:rPr>
            </w:pPr>
            <w:r>
              <w:rPr>
                <w:rFonts w:hint="eastAsia" w:ascii="宋体" w:hAnsi="宋体" w:eastAsia="宋体" w:cs="宋体"/>
                <w:sz w:val="24"/>
                <w:szCs w:val="24"/>
                <w:lang w:eastAsia="zh-CN"/>
              </w:rPr>
              <w:t>谈判文件</w:t>
            </w:r>
            <w:r>
              <w:rPr>
                <w:rFonts w:hint="eastAsia" w:ascii="宋体" w:hAnsi="宋体" w:eastAsia="宋体" w:cs="宋体"/>
                <w:sz w:val="24"/>
                <w:szCs w:val="24"/>
              </w:rPr>
              <w:t>中未载明“允许采购进口产品”的产品，拒绝进口产品的报价。</w:t>
            </w:r>
            <w:r>
              <w:rPr>
                <w:rFonts w:hint="eastAsia" w:ascii="宋体" w:hAnsi="宋体" w:eastAsia="宋体" w:cs="宋体"/>
                <w:sz w:val="24"/>
                <w:szCs w:val="24"/>
                <w:lang w:eastAsia="zh-CN"/>
              </w:rPr>
              <w:t>谈判</w:t>
            </w:r>
            <w:r>
              <w:rPr>
                <w:rFonts w:hint="eastAsia" w:ascii="宋体" w:hAnsi="宋体" w:eastAsia="宋体" w:cs="宋体"/>
                <w:sz w:val="24"/>
                <w:szCs w:val="24"/>
                <w:lang w:val="en-US" w:eastAsia="zh-CN"/>
              </w:rPr>
              <w:t>文件</w:t>
            </w:r>
            <w:r>
              <w:rPr>
                <w:rFonts w:hint="eastAsia" w:ascii="宋体" w:hAnsi="宋体" w:eastAsia="宋体" w:cs="宋体"/>
                <w:sz w:val="24"/>
                <w:szCs w:val="24"/>
              </w:rPr>
              <w:t>中载明“允许采购进口产品”的产品，允许国产产品参与竞争。</w:t>
            </w:r>
          </w:p>
        </w:tc>
      </w:tr>
      <w:tr w14:paraId="6505C9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tcBorders>
              <w:top w:val="single" w:color="auto" w:sz="8" w:space="0"/>
              <w:left w:val="single" w:color="auto" w:sz="18" w:space="0"/>
              <w:bottom w:val="single" w:color="auto" w:sz="8" w:space="0"/>
              <w:right w:val="single" w:color="auto" w:sz="8" w:space="0"/>
            </w:tcBorders>
            <w:noWrap w:val="0"/>
            <w:vAlign w:val="center"/>
          </w:tcPr>
          <w:p w14:paraId="4C0D9990">
            <w:pPr>
              <w:keepNext w:val="0"/>
              <w:keepLines w:val="0"/>
              <w:pageBreakBefore w:val="0"/>
              <w:widowControl w:val="0"/>
              <w:kinsoku/>
              <w:wordWrap/>
              <w:overflowPunct/>
              <w:topLinePunct w:val="0"/>
              <w:bidi w:val="0"/>
              <w:snapToGrid w:val="0"/>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19</w:t>
            </w:r>
          </w:p>
        </w:tc>
        <w:tc>
          <w:tcPr>
            <w:tcW w:w="2591" w:type="dxa"/>
            <w:tcBorders>
              <w:top w:val="single" w:color="auto" w:sz="8" w:space="0"/>
              <w:left w:val="single" w:color="auto" w:sz="8" w:space="0"/>
              <w:bottom w:val="single" w:color="auto" w:sz="8" w:space="0"/>
              <w:right w:val="single" w:color="auto" w:sz="8" w:space="0"/>
            </w:tcBorders>
            <w:noWrap w:val="0"/>
            <w:vAlign w:val="center"/>
          </w:tcPr>
          <w:p w14:paraId="466AC913">
            <w:pPr>
              <w:keepNext w:val="0"/>
              <w:keepLines w:val="0"/>
              <w:pageBreakBefore w:val="0"/>
              <w:widowControl w:val="0"/>
              <w:tabs>
                <w:tab w:val="left" w:pos="7665"/>
              </w:tabs>
              <w:kinsoku/>
              <w:wordWrap/>
              <w:overflowPunct/>
              <w:topLinePunct w:val="0"/>
              <w:bidi w:val="0"/>
              <w:snapToGrid w:val="0"/>
              <w:spacing w:line="56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响应文件开启方式、谈判方式</w:t>
            </w:r>
          </w:p>
        </w:tc>
        <w:tc>
          <w:tcPr>
            <w:tcW w:w="6803" w:type="dxa"/>
            <w:tcBorders>
              <w:top w:val="single" w:color="auto" w:sz="8" w:space="0"/>
              <w:left w:val="single" w:color="auto" w:sz="8" w:space="0"/>
              <w:bottom w:val="single" w:color="auto" w:sz="8" w:space="0"/>
              <w:right w:val="single" w:color="auto" w:sz="18" w:space="0"/>
            </w:tcBorders>
            <w:noWrap w:val="0"/>
            <w:vAlign w:val="center"/>
          </w:tcPr>
          <w:p w14:paraId="17BB99A7">
            <w:pPr>
              <w:keepNext w:val="0"/>
              <w:keepLines w:val="0"/>
              <w:pageBreakBefore w:val="0"/>
              <w:widowControl w:val="0"/>
              <w:tabs>
                <w:tab w:val="left" w:pos="7665"/>
              </w:tabs>
              <w:kinsoku/>
              <w:wordWrap/>
              <w:overflowPunct/>
              <w:topLinePunct w:val="0"/>
              <w:bidi w:val="0"/>
              <w:snapToGrid w:val="0"/>
              <w:spacing w:line="560" w:lineRule="exact"/>
              <w:ind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highlight w:val="none"/>
                <w:lang w:val="en-US" w:eastAsia="zh-CN"/>
              </w:rPr>
              <w:t>远程解密</w:t>
            </w:r>
          </w:p>
        </w:tc>
      </w:tr>
      <w:tr w14:paraId="45B682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tcBorders>
              <w:top w:val="single" w:color="auto" w:sz="8" w:space="0"/>
              <w:left w:val="single" w:color="auto" w:sz="18" w:space="0"/>
              <w:bottom w:val="single" w:color="auto" w:sz="8" w:space="0"/>
              <w:right w:val="single" w:color="auto" w:sz="8" w:space="0"/>
            </w:tcBorders>
            <w:noWrap w:val="0"/>
            <w:vAlign w:val="center"/>
          </w:tcPr>
          <w:p w14:paraId="46C965A1">
            <w:pPr>
              <w:keepNext w:val="0"/>
              <w:keepLines w:val="0"/>
              <w:pageBreakBefore w:val="0"/>
              <w:widowControl w:val="0"/>
              <w:kinsoku/>
              <w:wordWrap/>
              <w:overflowPunct/>
              <w:topLinePunct w:val="0"/>
              <w:bidi w:val="0"/>
              <w:snapToGrid w:val="0"/>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w:t>
            </w:r>
          </w:p>
        </w:tc>
        <w:tc>
          <w:tcPr>
            <w:tcW w:w="2591" w:type="dxa"/>
            <w:tcBorders>
              <w:top w:val="single" w:color="auto" w:sz="8" w:space="0"/>
              <w:left w:val="single" w:color="auto" w:sz="8" w:space="0"/>
              <w:bottom w:val="single" w:color="auto" w:sz="8" w:space="0"/>
              <w:right w:val="single" w:color="auto" w:sz="8" w:space="0"/>
            </w:tcBorders>
            <w:noWrap w:val="0"/>
            <w:vAlign w:val="center"/>
          </w:tcPr>
          <w:p w14:paraId="7D0B6A78">
            <w:pPr>
              <w:keepNext w:val="0"/>
              <w:keepLines w:val="0"/>
              <w:pageBreakBefore w:val="0"/>
              <w:widowControl w:val="0"/>
              <w:tabs>
                <w:tab w:val="left" w:pos="7665"/>
              </w:tabs>
              <w:kinsoku/>
              <w:wordWrap/>
              <w:overflowPunct/>
              <w:topLinePunct w:val="0"/>
              <w:bidi w:val="0"/>
              <w:snapToGrid w:val="0"/>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电子响应文件远程解密的时间要求</w:t>
            </w:r>
          </w:p>
        </w:tc>
        <w:tc>
          <w:tcPr>
            <w:tcW w:w="6803" w:type="dxa"/>
            <w:tcBorders>
              <w:top w:val="single" w:color="auto" w:sz="8" w:space="0"/>
              <w:left w:val="single" w:color="auto" w:sz="8" w:space="0"/>
              <w:bottom w:val="single" w:color="auto" w:sz="8" w:space="0"/>
              <w:right w:val="single" w:color="auto" w:sz="18" w:space="0"/>
            </w:tcBorders>
            <w:noWrap w:val="0"/>
            <w:vAlign w:val="center"/>
          </w:tcPr>
          <w:p w14:paraId="1A4AAF2D">
            <w:pPr>
              <w:keepNext w:val="0"/>
              <w:keepLines w:val="0"/>
              <w:pageBreakBefore w:val="0"/>
              <w:widowControl w:val="0"/>
              <w:tabs>
                <w:tab w:val="left" w:pos="7665"/>
              </w:tabs>
              <w:kinsoku/>
              <w:wordWrap/>
              <w:overflowPunct/>
              <w:topLinePunct w:val="0"/>
              <w:bidi w:val="0"/>
              <w:snapToGrid w:val="0"/>
              <w:spacing w:line="56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在采购代理机构下达远程解密命令30分钟内，供应商须完成对电子响应文件的远程解密，否则视为响应无效。</w:t>
            </w:r>
          </w:p>
        </w:tc>
      </w:tr>
      <w:tr w14:paraId="7047FDF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tcBorders>
              <w:top w:val="single" w:color="auto" w:sz="8" w:space="0"/>
              <w:left w:val="single" w:color="auto" w:sz="18" w:space="0"/>
              <w:bottom w:val="single" w:color="auto" w:sz="8" w:space="0"/>
              <w:right w:val="single" w:color="auto" w:sz="8" w:space="0"/>
            </w:tcBorders>
            <w:noWrap w:val="0"/>
            <w:vAlign w:val="center"/>
          </w:tcPr>
          <w:p w14:paraId="2AB0E24E">
            <w:pPr>
              <w:keepNext w:val="0"/>
              <w:keepLines w:val="0"/>
              <w:pageBreakBefore w:val="0"/>
              <w:widowControl w:val="0"/>
              <w:kinsoku/>
              <w:wordWrap/>
              <w:overflowPunct/>
              <w:topLinePunct w:val="0"/>
              <w:bidi w:val="0"/>
              <w:snapToGrid w:val="0"/>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w:t>
            </w:r>
          </w:p>
        </w:tc>
        <w:tc>
          <w:tcPr>
            <w:tcW w:w="2591" w:type="dxa"/>
            <w:tcBorders>
              <w:top w:val="single" w:color="auto" w:sz="8" w:space="0"/>
              <w:left w:val="single" w:color="auto" w:sz="8" w:space="0"/>
              <w:bottom w:val="single" w:color="auto" w:sz="8" w:space="0"/>
              <w:right w:val="single" w:color="auto" w:sz="8" w:space="0"/>
            </w:tcBorders>
            <w:noWrap w:val="0"/>
            <w:vAlign w:val="center"/>
          </w:tcPr>
          <w:p w14:paraId="49A92D8C">
            <w:pPr>
              <w:keepNext w:val="0"/>
              <w:keepLines w:val="0"/>
              <w:pageBreakBefore w:val="0"/>
              <w:widowControl w:val="0"/>
              <w:tabs>
                <w:tab w:val="left" w:pos="7665"/>
              </w:tabs>
              <w:kinsoku/>
              <w:wordWrap/>
              <w:overflowPunct/>
              <w:topLinePunct w:val="0"/>
              <w:bidi w:val="0"/>
              <w:snapToGrid w:val="0"/>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采购文件是否包含可能实质性变动的技术、服务要求以及合同草案条款内容</w:t>
            </w:r>
          </w:p>
        </w:tc>
        <w:tc>
          <w:tcPr>
            <w:tcW w:w="6803" w:type="dxa"/>
            <w:tcBorders>
              <w:top w:val="single" w:color="auto" w:sz="8" w:space="0"/>
              <w:left w:val="single" w:color="auto" w:sz="8" w:space="0"/>
              <w:bottom w:val="single" w:color="auto" w:sz="8" w:space="0"/>
              <w:right w:val="single" w:color="auto" w:sz="18" w:space="0"/>
            </w:tcBorders>
            <w:noWrap w:val="0"/>
            <w:vAlign w:val="center"/>
          </w:tcPr>
          <w:p w14:paraId="47F96E06">
            <w:pPr>
              <w:keepNext w:val="0"/>
              <w:keepLines w:val="0"/>
              <w:pageBreakBefore w:val="0"/>
              <w:widowControl w:val="0"/>
              <w:tabs>
                <w:tab w:val="left" w:pos="7665"/>
              </w:tabs>
              <w:kinsoku/>
              <w:wordWrap/>
              <w:overflowPunct/>
              <w:topLinePunct w:val="0"/>
              <w:bidi w:val="0"/>
              <w:snapToGrid w:val="0"/>
              <w:spacing w:line="56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sym w:font="Wingdings" w:char="00FE"/>
            </w:r>
            <w:r>
              <w:rPr>
                <w:rFonts w:hint="eastAsia" w:ascii="宋体" w:hAnsi="宋体" w:eastAsia="宋体" w:cs="宋体"/>
                <w:sz w:val="24"/>
                <w:szCs w:val="24"/>
                <w:lang w:val="en-US" w:eastAsia="zh-CN"/>
              </w:rPr>
              <w:t>不包含</w:t>
            </w:r>
          </w:p>
          <w:p w14:paraId="7839CDD6">
            <w:pPr>
              <w:keepNext w:val="0"/>
              <w:keepLines w:val="0"/>
              <w:pageBreakBefore w:val="0"/>
              <w:widowControl w:val="0"/>
              <w:tabs>
                <w:tab w:val="left" w:pos="7665"/>
              </w:tabs>
              <w:kinsoku/>
              <w:wordWrap/>
              <w:overflowPunct/>
              <w:topLinePunct w:val="0"/>
              <w:bidi w:val="0"/>
              <w:snapToGrid w:val="0"/>
              <w:spacing w:line="56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包含，详见第三章带“◆”标注内容。</w:t>
            </w:r>
          </w:p>
        </w:tc>
      </w:tr>
      <w:tr w14:paraId="57542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tcBorders>
              <w:top w:val="single" w:color="auto" w:sz="8" w:space="0"/>
              <w:left w:val="single" w:color="auto" w:sz="18" w:space="0"/>
              <w:bottom w:val="single" w:color="auto" w:sz="8" w:space="0"/>
              <w:right w:val="single" w:color="auto" w:sz="8" w:space="0"/>
            </w:tcBorders>
            <w:noWrap w:val="0"/>
            <w:vAlign w:val="center"/>
          </w:tcPr>
          <w:p w14:paraId="04DA1BAB">
            <w:pPr>
              <w:keepNext w:val="0"/>
              <w:keepLines w:val="0"/>
              <w:pageBreakBefore w:val="0"/>
              <w:widowControl w:val="0"/>
              <w:kinsoku/>
              <w:wordWrap/>
              <w:overflowPunct/>
              <w:topLinePunct w:val="0"/>
              <w:bidi w:val="0"/>
              <w:snapToGrid w:val="0"/>
              <w:spacing w:line="560" w:lineRule="exact"/>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24</w:t>
            </w:r>
          </w:p>
        </w:tc>
        <w:tc>
          <w:tcPr>
            <w:tcW w:w="2591" w:type="dxa"/>
            <w:tcBorders>
              <w:top w:val="single" w:color="auto" w:sz="8" w:space="0"/>
              <w:left w:val="single" w:color="auto" w:sz="8" w:space="0"/>
              <w:bottom w:val="single" w:color="auto" w:sz="8" w:space="0"/>
              <w:right w:val="single" w:color="auto" w:sz="8" w:space="0"/>
            </w:tcBorders>
            <w:noWrap w:val="0"/>
            <w:vAlign w:val="center"/>
          </w:tcPr>
          <w:p w14:paraId="4ED3C643">
            <w:pPr>
              <w:keepNext w:val="0"/>
              <w:keepLines w:val="0"/>
              <w:pageBreakBefore w:val="0"/>
              <w:widowControl w:val="0"/>
              <w:tabs>
                <w:tab w:val="left" w:pos="7665"/>
              </w:tabs>
              <w:kinsoku/>
              <w:wordWrap/>
              <w:overflowPunct/>
              <w:topLinePunct w:val="0"/>
              <w:bidi w:val="0"/>
              <w:snapToGrid w:val="0"/>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eastAsia="zh-CN"/>
              </w:rPr>
              <w:t>对本国产品的支持政策</w:t>
            </w:r>
          </w:p>
        </w:tc>
        <w:tc>
          <w:tcPr>
            <w:tcW w:w="6803" w:type="dxa"/>
            <w:tcBorders>
              <w:top w:val="single" w:color="auto" w:sz="8" w:space="0"/>
              <w:left w:val="single" w:color="auto" w:sz="8" w:space="0"/>
              <w:bottom w:val="single" w:color="auto" w:sz="8" w:space="0"/>
              <w:right w:val="single" w:color="auto" w:sz="18" w:space="0"/>
            </w:tcBorders>
            <w:noWrap w:val="0"/>
            <w:vAlign w:val="center"/>
          </w:tcPr>
          <w:p w14:paraId="5C31E554">
            <w:pPr>
              <w:spacing w:line="560" w:lineRule="exact"/>
              <w:ind w:right="105" w:rightChars="50" w:firstLine="240" w:firstLineChars="100"/>
              <w:rPr>
                <w:rFonts w:hint="eastAsia" w:ascii="宋体" w:hAnsi="宋体" w:cs="宋体"/>
                <w:color w:val="auto"/>
                <w:sz w:val="24"/>
                <w:szCs w:val="24"/>
              </w:rPr>
            </w:pPr>
            <w:r>
              <w:rPr>
                <w:rFonts w:hint="eastAsia" w:ascii="宋体" w:hAnsi="宋体" w:cs="宋体"/>
                <w:color w:val="auto"/>
                <w:sz w:val="24"/>
                <w:szCs w:val="24"/>
              </w:rPr>
              <w:t>（1）政府采购活动中既有本国产品又有非本国产品参与竞争的，依法对本国产品给予价格评审优惠，对本国产品的报价给予</w:t>
            </w:r>
            <w:r>
              <w:rPr>
                <w:rFonts w:hint="eastAsia" w:ascii="宋体" w:hAnsi="宋体" w:cs="宋体"/>
                <w:b/>
                <w:bCs/>
                <w:color w:val="auto"/>
                <w:sz w:val="24"/>
                <w:szCs w:val="24"/>
              </w:rPr>
              <w:t>20%</w:t>
            </w:r>
            <w:r>
              <w:rPr>
                <w:rFonts w:hint="eastAsia" w:ascii="宋体" w:hAnsi="宋体" w:cs="宋体"/>
                <w:color w:val="auto"/>
                <w:sz w:val="24"/>
                <w:szCs w:val="24"/>
              </w:rPr>
              <w:t>的价格扣除，用扣除后的价格参与评审。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38B25253">
            <w:pPr>
              <w:spacing w:line="560" w:lineRule="exact"/>
              <w:ind w:right="105" w:rightChars="50" w:firstLine="240" w:firstLineChars="100"/>
              <w:rPr>
                <w:rFonts w:hint="eastAsia" w:ascii="宋体" w:hAnsi="宋体" w:cs="宋体"/>
                <w:color w:val="auto"/>
                <w:sz w:val="24"/>
                <w:szCs w:val="24"/>
              </w:rPr>
            </w:pPr>
            <w:r>
              <w:rPr>
                <w:rFonts w:hint="eastAsia" w:ascii="宋体" w:hAnsi="宋体" w:cs="宋体"/>
                <w:color w:val="auto"/>
                <w:sz w:val="24"/>
                <w:szCs w:val="24"/>
              </w:rPr>
              <w:t>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w:t>
            </w:r>
          </w:p>
          <w:p w14:paraId="1BEB4609">
            <w:pPr>
              <w:spacing w:line="560" w:lineRule="exact"/>
              <w:ind w:right="105" w:rightChars="50" w:firstLine="240" w:firstLineChars="100"/>
              <w:rPr>
                <w:rFonts w:hint="eastAsia" w:ascii="宋体" w:hAnsi="宋体" w:cs="宋体"/>
                <w:color w:val="auto"/>
                <w:sz w:val="24"/>
                <w:szCs w:val="24"/>
              </w:rPr>
            </w:pPr>
            <w:r>
              <w:rPr>
                <w:rFonts w:hint="eastAsia" w:ascii="宋体" w:hAnsi="宋体" w:cs="宋体"/>
                <w:color w:val="auto"/>
                <w:sz w:val="24"/>
                <w:szCs w:val="24"/>
              </w:rPr>
              <w:t>（2）当采购项目或者采购包中含有多种产品，供应商为该采购项目或者采购包提供的符合本国产品标准的产品成本之和占该供应商提供的全部产品成本之和的比例达到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bCs/>
                <w:color w:val="auto"/>
                <w:sz w:val="24"/>
                <w:szCs w:val="24"/>
              </w:rPr>
              <w:t>80%以</w:t>
            </w:r>
            <w:r>
              <w:rPr>
                <w:rFonts w:hint="eastAsia" w:ascii="宋体" w:hAnsi="宋体" w:cs="宋体"/>
                <w:color w:val="auto"/>
                <w:sz w:val="24"/>
                <w:szCs w:val="24"/>
              </w:rPr>
              <w:t>上时，依法对该供应商提供的全部产品给予价格评审优惠，即对该供应商提供的全部产品的总报价给予</w:t>
            </w:r>
            <w:r>
              <w:rPr>
                <w:rFonts w:hint="eastAsia" w:ascii="宋体" w:hAnsi="宋体" w:cs="宋体"/>
                <w:b/>
                <w:bCs/>
                <w:color w:val="auto"/>
                <w:sz w:val="24"/>
                <w:szCs w:val="24"/>
              </w:rPr>
              <w:t>20%</w:t>
            </w:r>
            <w:r>
              <w:rPr>
                <w:rFonts w:hint="eastAsia" w:ascii="宋体" w:hAnsi="宋体" w:cs="宋体"/>
                <w:color w:val="auto"/>
                <w:sz w:val="24"/>
                <w:szCs w:val="24"/>
              </w:rPr>
              <w:t>的价格扣除，用扣除后的价格参与评审。</w:t>
            </w:r>
          </w:p>
          <w:p w14:paraId="776B00D4">
            <w:pPr>
              <w:spacing w:line="560" w:lineRule="exact"/>
              <w:ind w:right="105" w:rightChars="50" w:firstLine="240" w:firstLineChars="100"/>
              <w:rPr>
                <w:rFonts w:hint="eastAsia" w:ascii="宋体" w:hAnsi="宋体" w:cs="宋体"/>
                <w:color w:val="auto"/>
                <w:sz w:val="24"/>
                <w:szCs w:val="24"/>
              </w:rPr>
            </w:pPr>
            <w:r>
              <w:rPr>
                <w:rFonts w:hint="eastAsia" w:ascii="宋体" w:hAnsi="宋体" w:cs="宋体"/>
                <w:color w:val="auto"/>
                <w:sz w:val="24"/>
                <w:szCs w:val="24"/>
              </w:rPr>
              <w:t>（3）供应商对其提供的产品应出具《关于符合本国产品标准的声明函》（样式见“第</w:t>
            </w:r>
            <w:r>
              <w:rPr>
                <w:rFonts w:hint="eastAsia" w:ascii="宋体" w:hAnsi="宋体" w:cs="宋体"/>
                <w:color w:val="auto"/>
                <w:sz w:val="24"/>
                <w:szCs w:val="24"/>
                <w:lang w:val="en-US" w:eastAsia="zh-CN"/>
              </w:rPr>
              <w:t>七</w:t>
            </w:r>
            <w:r>
              <w:rPr>
                <w:rFonts w:hint="eastAsia" w:ascii="宋体" w:hAnsi="宋体" w:cs="宋体"/>
                <w:color w:val="auto"/>
                <w:sz w:val="24"/>
                <w:szCs w:val="24"/>
              </w:rPr>
              <w:t>章  投标文件格式”，以下简称《声明函》）或财政部会同有关部门规定的有关证明文件，未提供的不予认可为本国产品，不享受本国产品支持政策。</w:t>
            </w:r>
          </w:p>
          <w:p w14:paraId="1B4B9B3F">
            <w:pPr>
              <w:spacing w:line="560" w:lineRule="exact"/>
              <w:ind w:right="105" w:rightChars="50" w:firstLine="240" w:firstLineChars="100"/>
              <w:rPr>
                <w:rFonts w:hint="eastAsia" w:ascii="宋体" w:hAnsi="宋体" w:cs="宋体"/>
                <w:color w:val="auto"/>
                <w:sz w:val="24"/>
                <w:szCs w:val="24"/>
              </w:rPr>
            </w:pPr>
            <w:r>
              <w:rPr>
                <w:rFonts w:hint="eastAsia" w:ascii="宋体" w:hAnsi="宋体" w:cs="宋体"/>
                <w:color w:val="auto"/>
                <w:sz w:val="24"/>
                <w:szCs w:val="24"/>
              </w:rPr>
              <w:t>出具符合要求的《声明函》或有关证明文件的，该产品视为本国产品，供应商无需再提供其他证明材料。供应商提供虚假《声明函》、虚假证明文件谋取中标、成交的，依照《中华人民共和国政府采购法》等法律法规规定追究相应责任。</w:t>
            </w:r>
          </w:p>
          <w:p w14:paraId="1E6BC64A">
            <w:pPr>
              <w:keepNext w:val="0"/>
              <w:keepLines w:val="0"/>
              <w:pageBreakBefore w:val="0"/>
              <w:widowControl w:val="0"/>
              <w:tabs>
                <w:tab w:val="left" w:pos="7665"/>
              </w:tabs>
              <w:kinsoku/>
              <w:wordWrap/>
              <w:overflowPunct/>
              <w:topLinePunct w:val="0"/>
              <w:bidi w:val="0"/>
              <w:snapToGrid w:val="0"/>
              <w:spacing w:line="560" w:lineRule="exact"/>
              <w:textAlignment w:val="auto"/>
              <w:rPr>
                <w:rFonts w:hint="eastAsia" w:ascii="宋体" w:hAnsi="宋体" w:eastAsia="宋体" w:cs="宋体"/>
                <w:sz w:val="24"/>
                <w:szCs w:val="24"/>
                <w:lang w:val="en-US" w:eastAsia="zh-CN"/>
              </w:rPr>
            </w:pPr>
            <w:r>
              <w:rPr>
                <w:rFonts w:hint="eastAsia" w:ascii="宋体" w:hAnsi="宋体" w:cs="宋体"/>
                <w:color w:val="auto"/>
                <w:sz w:val="24"/>
                <w:szCs w:val="24"/>
              </w:rPr>
              <w:t>（4）中标、成交供应商提供的《声明函》或有关证明文件将随中标、成交结果同时公告，接受社会监督。</w:t>
            </w:r>
          </w:p>
        </w:tc>
      </w:tr>
      <w:tr w14:paraId="4031F7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855" w:type="dxa"/>
            <w:tcBorders>
              <w:top w:val="single" w:color="auto" w:sz="8" w:space="0"/>
              <w:left w:val="single" w:color="auto" w:sz="18" w:space="0"/>
              <w:bottom w:val="single" w:color="auto" w:sz="8" w:space="0"/>
              <w:right w:val="single" w:color="auto" w:sz="8" w:space="0"/>
            </w:tcBorders>
            <w:noWrap w:val="0"/>
            <w:vAlign w:val="center"/>
          </w:tcPr>
          <w:p w14:paraId="54EF440C">
            <w:pPr>
              <w:keepNext w:val="0"/>
              <w:keepLines w:val="0"/>
              <w:pageBreakBefore w:val="0"/>
              <w:widowControl w:val="0"/>
              <w:kinsoku/>
              <w:wordWrap/>
              <w:overflowPunct/>
              <w:topLinePunct w:val="0"/>
              <w:bidi w:val="0"/>
              <w:snapToGrid w:val="0"/>
              <w:spacing w:line="560" w:lineRule="exact"/>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25</w:t>
            </w:r>
          </w:p>
        </w:tc>
        <w:tc>
          <w:tcPr>
            <w:tcW w:w="2591" w:type="dxa"/>
            <w:tcBorders>
              <w:top w:val="single" w:color="auto" w:sz="8" w:space="0"/>
              <w:left w:val="single" w:color="auto" w:sz="8" w:space="0"/>
              <w:bottom w:val="single" w:color="auto" w:sz="8" w:space="0"/>
              <w:right w:val="single" w:color="auto" w:sz="8" w:space="0"/>
            </w:tcBorders>
            <w:noWrap w:val="0"/>
            <w:vAlign w:val="center"/>
          </w:tcPr>
          <w:p w14:paraId="7A443E85">
            <w:pPr>
              <w:keepNext w:val="0"/>
              <w:keepLines w:val="0"/>
              <w:pageBreakBefore w:val="0"/>
              <w:widowControl w:val="0"/>
              <w:tabs>
                <w:tab w:val="left" w:pos="7665"/>
              </w:tabs>
              <w:kinsoku/>
              <w:wordWrap/>
              <w:overflowPunct/>
              <w:topLinePunct w:val="0"/>
              <w:bidi w:val="0"/>
              <w:snapToGrid w:val="0"/>
              <w:spacing w:line="560" w:lineRule="exact"/>
              <w:jc w:val="center"/>
              <w:textAlignment w:val="auto"/>
              <w:rPr>
                <w:rFonts w:hint="eastAsia" w:ascii="宋体" w:hAnsi="宋体" w:eastAsia="宋体" w:cs="宋体"/>
                <w:sz w:val="24"/>
                <w:szCs w:val="24"/>
                <w:lang w:val="en-US" w:eastAsia="zh-CN"/>
              </w:rPr>
            </w:pPr>
            <w:r>
              <w:rPr>
                <w:rFonts w:hint="eastAsia" w:cs="Times New Roman"/>
                <w:b/>
                <w:bCs/>
                <w:sz w:val="24"/>
                <w:szCs w:val="24"/>
                <w:lang w:val="en-US" w:eastAsia="zh-CN"/>
              </w:rPr>
              <w:t>其他说明</w:t>
            </w:r>
          </w:p>
        </w:tc>
        <w:tc>
          <w:tcPr>
            <w:tcW w:w="6803" w:type="dxa"/>
            <w:tcBorders>
              <w:top w:val="single" w:color="auto" w:sz="8" w:space="0"/>
              <w:left w:val="single" w:color="auto" w:sz="8" w:space="0"/>
              <w:bottom w:val="single" w:color="auto" w:sz="8" w:space="0"/>
              <w:right w:val="single" w:color="auto" w:sz="18" w:space="0"/>
            </w:tcBorders>
            <w:noWrap w:val="0"/>
            <w:vAlign w:val="center"/>
          </w:tcPr>
          <w:p w14:paraId="0748FDC1">
            <w:pPr>
              <w:keepNext w:val="0"/>
              <w:keepLines w:val="0"/>
              <w:pageBreakBefore w:val="0"/>
              <w:widowControl w:val="0"/>
              <w:tabs>
                <w:tab w:val="left" w:pos="7665"/>
              </w:tabs>
              <w:kinsoku/>
              <w:wordWrap/>
              <w:overflowPunct/>
              <w:topLinePunct w:val="0"/>
              <w:bidi w:val="0"/>
              <w:snapToGrid w:val="0"/>
              <w:spacing w:line="560" w:lineRule="exact"/>
              <w:textAlignment w:val="auto"/>
              <w:rPr>
                <w:rFonts w:hint="eastAsia" w:ascii="宋体" w:hAnsi="宋体" w:eastAsia="宋体" w:cs="宋体"/>
                <w:sz w:val="24"/>
                <w:szCs w:val="24"/>
                <w:lang w:val="en-US" w:eastAsia="zh-CN"/>
              </w:rPr>
            </w:pPr>
            <w:r>
              <w:rPr>
                <w:rFonts w:hint="default" w:ascii="Times New Roman" w:hAnsi="Times New Roman" w:eastAsia="宋体" w:cs="Times New Roman"/>
                <w:b/>
                <w:bCs/>
                <w:color w:val="FF0000"/>
                <w:sz w:val="24"/>
                <w:szCs w:val="24"/>
                <w:lang w:val="en-US" w:eastAsia="zh-CN"/>
              </w:rPr>
              <w:t>因政采云平台流程设置，为避免供应商上传</w:t>
            </w:r>
            <w:r>
              <w:rPr>
                <w:rFonts w:hint="eastAsia" w:cs="Times New Roman"/>
                <w:b/>
                <w:bCs/>
                <w:color w:val="FF0000"/>
                <w:sz w:val="24"/>
                <w:szCs w:val="24"/>
                <w:lang w:val="en-US" w:eastAsia="zh-CN"/>
              </w:rPr>
              <w:t>响应</w:t>
            </w:r>
            <w:r>
              <w:rPr>
                <w:rFonts w:hint="default" w:ascii="Times New Roman" w:hAnsi="Times New Roman" w:eastAsia="宋体" w:cs="Times New Roman"/>
                <w:b/>
                <w:bCs/>
                <w:color w:val="FF0000"/>
                <w:sz w:val="24"/>
                <w:szCs w:val="24"/>
                <w:lang w:val="en-US" w:eastAsia="zh-CN"/>
              </w:rPr>
              <w:t>文件与系统评审流程不一致，请供应商上传商务技术文件时，务必同时上传报价文件</w:t>
            </w:r>
            <w:r>
              <w:rPr>
                <w:rFonts w:hint="eastAsia" w:cs="Times New Roman"/>
                <w:b/>
                <w:bCs/>
                <w:color w:val="FF0000"/>
                <w:sz w:val="24"/>
                <w:szCs w:val="24"/>
                <w:lang w:val="en-US" w:eastAsia="zh-CN"/>
              </w:rPr>
              <w:t>，如不上传导致符合性审查不通过，供应商自行承担责任。</w:t>
            </w:r>
          </w:p>
        </w:tc>
      </w:tr>
    </w:tbl>
    <w:p w14:paraId="14CABA79">
      <w:pPr>
        <w:pStyle w:val="6"/>
        <w:keepNext w:val="0"/>
        <w:keepLines w:val="0"/>
        <w:pageBreakBefore w:val="0"/>
        <w:numPr>
          <w:ilvl w:val="0"/>
          <w:numId w:val="0"/>
        </w:numPr>
        <w:kinsoku/>
        <w:wordWrap/>
        <w:overflowPunct/>
        <w:topLinePunct w:val="0"/>
        <w:bidi w:val="0"/>
        <w:spacing w:before="0" w:after="0" w:line="560" w:lineRule="exact"/>
        <w:jc w:val="center"/>
        <w:rPr>
          <w:rFonts w:hint="eastAsia" w:ascii="宋体" w:hAnsi="宋体" w:eastAsia="宋体" w:cs="宋体"/>
          <w:bCs w:val="0"/>
          <w:color w:val="000000"/>
          <w:sz w:val="32"/>
          <w:szCs w:val="32"/>
        </w:rPr>
      </w:pPr>
      <w:r>
        <w:rPr>
          <w:rFonts w:hint="eastAsia" w:ascii="宋体" w:hAnsi="宋体" w:eastAsia="宋体" w:cs="宋体"/>
          <w:bCs w:val="0"/>
          <w:color w:val="000000"/>
          <w:sz w:val="24"/>
          <w:szCs w:val="24"/>
        </w:rPr>
        <w:br w:type="page"/>
      </w:r>
      <w:bookmarkStart w:id="125" w:name="_Toc3857"/>
      <w:bookmarkStart w:id="126" w:name="_Toc24346"/>
      <w:bookmarkStart w:id="127" w:name="_Toc946"/>
      <w:bookmarkStart w:id="128" w:name="_Toc13501_WPSOffice_Level2"/>
      <w:bookmarkStart w:id="129" w:name="_Toc3609"/>
      <w:r>
        <w:rPr>
          <w:rFonts w:hint="eastAsia" w:ascii="宋体" w:hAnsi="宋体" w:eastAsia="宋体" w:cs="宋体"/>
          <w:bCs w:val="0"/>
          <w:color w:val="000000"/>
          <w:sz w:val="32"/>
          <w:szCs w:val="32"/>
          <w:lang w:val="en-US" w:eastAsia="zh-CN"/>
        </w:rPr>
        <w:t>二、</w:t>
      </w:r>
      <w:r>
        <w:rPr>
          <w:rFonts w:hint="eastAsia" w:ascii="宋体" w:hAnsi="宋体" w:eastAsia="宋体" w:cs="宋体"/>
          <w:bCs w:val="0"/>
          <w:color w:val="000000"/>
          <w:sz w:val="32"/>
          <w:szCs w:val="32"/>
        </w:rPr>
        <w:t>总  则</w:t>
      </w:r>
      <w:bookmarkEnd w:id="125"/>
      <w:bookmarkEnd w:id="126"/>
      <w:bookmarkEnd w:id="127"/>
      <w:bookmarkEnd w:id="128"/>
      <w:bookmarkEnd w:id="129"/>
    </w:p>
    <w:p w14:paraId="2985A131">
      <w:pPr>
        <w:pStyle w:val="9"/>
        <w:pageBreakBefore w:val="0"/>
        <w:kinsoku/>
        <w:wordWrap/>
        <w:overflowPunct/>
        <w:topLinePunct w:val="0"/>
        <w:bidi w:val="0"/>
        <w:spacing w:line="560" w:lineRule="exact"/>
        <w:rPr>
          <w:rFonts w:hint="eastAsia" w:ascii="宋体" w:hAnsi="宋体" w:eastAsia="宋体" w:cs="宋体"/>
          <w:sz w:val="24"/>
          <w:szCs w:val="24"/>
        </w:rPr>
      </w:pPr>
    </w:p>
    <w:p w14:paraId="1C8EC8B0">
      <w:pPr>
        <w:pStyle w:val="7"/>
        <w:pageBreakBefore w:val="0"/>
        <w:widowControl w:val="0"/>
        <w:kinsoku/>
        <w:wordWrap/>
        <w:overflowPunct/>
        <w:topLinePunct w:val="0"/>
        <w:autoSpaceDE/>
        <w:autoSpaceDN/>
        <w:bidi w:val="0"/>
        <w:snapToGrid/>
        <w:spacing w:before="0" w:after="0" w:line="560" w:lineRule="exact"/>
        <w:ind w:right="0" w:rightChars="0"/>
        <w:jc w:val="both"/>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适用范围</w:t>
      </w:r>
    </w:p>
    <w:p w14:paraId="22D6860B">
      <w:pPr>
        <w:keepNext w:val="0"/>
        <w:keepLines w:val="0"/>
        <w:pageBreakBefore w:val="0"/>
        <w:widowControl w:val="0"/>
        <w:tabs>
          <w:tab w:val="left" w:pos="7665"/>
        </w:tabs>
        <w:kinsoku/>
        <w:wordWrap/>
        <w:overflowPunct/>
        <w:topLinePunct w:val="0"/>
        <w:autoSpaceDE/>
        <w:autoSpaceDN/>
        <w:bidi w:val="0"/>
        <w:snapToGrid/>
        <w:spacing w:line="560" w:lineRule="exact"/>
        <w:ind w:right="0" w:rightChars="0" w:firstLine="480" w:firstLineChars="20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 本</w:t>
      </w:r>
      <w:r>
        <w:rPr>
          <w:rFonts w:hint="eastAsia" w:ascii="宋体" w:hAnsi="宋体" w:eastAsia="宋体" w:cs="宋体"/>
          <w:color w:val="000000"/>
          <w:sz w:val="24"/>
          <w:szCs w:val="24"/>
          <w:highlight w:val="none"/>
          <w:lang w:eastAsia="zh-CN"/>
        </w:rPr>
        <w:t>谈判文件</w:t>
      </w:r>
      <w:r>
        <w:rPr>
          <w:rFonts w:hint="eastAsia" w:ascii="宋体" w:hAnsi="宋体" w:eastAsia="宋体" w:cs="宋体"/>
          <w:color w:val="000000"/>
          <w:sz w:val="24"/>
          <w:szCs w:val="24"/>
          <w:highlight w:val="none"/>
        </w:rPr>
        <w:t>仅适用于本次</w:t>
      </w:r>
      <w:r>
        <w:rPr>
          <w:rFonts w:hint="eastAsia" w:ascii="宋体" w:hAnsi="宋体" w:eastAsia="宋体" w:cs="宋体"/>
          <w:color w:val="000000"/>
          <w:sz w:val="24"/>
          <w:szCs w:val="24"/>
          <w:highlight w:val="none"/>
          <w:lang w:eastAsia="zh-CN"/>
        </w:rPr>
        <w:t>谈判</w:t>
      </w:r>
      <w:r>
        <w:rPr>
          <w:rFonts w:hint="eastAsia" w:ascii="宋体" w:hAnsi="宋体" w:eastAsia="宋体" w:cs="宋体"/>
          <w:color w:val="000000"/>
          <w:sz w:val="24"/>
          <w:szCs w:val="24"/>
          <w:highlight w:val="none"/>
        </w:rPr>
        <w:t>所叙述的货物采购。</w:t>
      </w:r>
    </w:p>
    <w:p w14:paraId="0458801F">
      <w:pPr>
        <w:keepNext w:val="0"/>
        <w:keepLines w:val="0"/>
        <w:pageBreakBefore w:val="0"/>
        <w:widowControl w:val="0"/>
        <w:tabs>
          <w:tab w:val="left" w:pos="7665"/>
        </w:tabs>
        <w:kinsoku/>
        <w:wordWrap/>
        <w:overflowPunct/>
        <w:topLinePunct w:val="0"/>
        <w:autoSpaceDE/>
        <w:autoSpaceDN/>
        <w:bidi w:val="0"/>
        <w:snapToGrid/>
        <w:spacing w:line="560" w:lineRule="exact"/>
        <w:ind w:right="0" w:rightChars="0" w:firstLine="480" w:firstLineChars="20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 本</w:t>
      </w:r>
      <w:r>
        <w:rPr>
          <w:rFonts w:hint="eastAsia" w:ascii="宋体" w:hAnsi="宋体" w:eastAsia="宋体" w:cs="宋体"/>
          <w:color w:val="000000"/>
          <w:sz w:val="24"/>
          <w:szCs w:val="24"/>
          <w:highlight w:val="none"/>
          <w:lang w:eastAsia="zh-CN"/>
        </w:rPr>
        <w:t>谈判文件</w:t>
      </w:r>
      <w:r>
        <w:rPr>
          <w:rFonts w:hint="eastAsia" w:ascii="宋体" w:hAnsi="宋体" w:eastAsia="宋体" w:cs="宋体"/>
          <w:color w:val="000000"/>
          <w:sz w:val="24"/>
          <w:szCs w:val="24"/>
          <w:highlight w:val="none"/>
        </w:rPr>
        <w:t>的解</w:t>
      </w:r>
      <w:r>
        <w:rPr>
          <w:rFonts w:hint="eastAsia" w:ascii="宋体" w:hAnsi="宋体" w:eastAsia="宋体" w:cs="宋体"/>
          <w:sz w:val="24"/>
          <w:szCs w:val="24"/>
          <w:highlight w:val="none"/>
        </w:rPr>
        <w:t>释权归采购人和采购代理机构所有</w:t>
      </w:r>
      <w:r>
        <w:rPr>
          <w:rFonts w:hint="eastAsia" w:ascii="宋体" w:hAnsi="宋体" w:eastAsia="宋体" w:cs="宋体"/>
          <w:color w:val="000000"/>
          <w:sz w:val="24"/>
          <w:szCs w:val="24"/>
          <w:highlight w:val="none"/>
        </w:rPr>
        <w:t>。</w:t>
      </w:r>
    </w:p>
    <w:p w14:paraId="0EDA2951">
      <w:pPr>
        <w:pStyle w:val="7"/>
        <w:pageBreakBefore w:val="0"/>
        <w:widowControl w:val="0"/>
        <w:kinsoku/>
        <w:wordWrap/>
        <w:overflowPunct/>
        <w:topLinePunct w:val="0"/>
        <w:autoSpaceDE/>
        <w:autoSpaceDN/>
        <w:bidi w:val="0"/>
        <w:snapToGrid/>
        <w:spacing w:before="0" w:after="0" w:line="560" w:lineRule="exact"/>
        <w:ind w:right="0" w:rightChars="0"/>
        <w:jc w:val="both"/>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采购主体</w:t>
      </w:r>
    </w:p>
    <w:p w14:paraId="5141F23F">
      <w:pPr>
        <w:keepNext w:val="0"/>
        <w:keepLines w:val="0"/>
        <w:pageBreakBefore w:val="0"/>
        <w:widowControl w:val="0"/>
        <w:tabs>
          <w:tab w:val="left" w:pos="7665"/>
        </w:tabs>
        <w:kinsoku/>
        <w:wordWrap/>
        <w:overflowPunct/>
        <w:topLinePunct w:val="0"/>
        <w:autoSpaceDE/>
        <w:autoSpaceDN/>
        <w:bidi w:val="0"/>
        <w:snapToGrid/>
        <w:spacing w:line="560" w:lineRule="exact"/>
        <w:ind w:right="0" w:rightChars="0" w:firstLine="480" w:firstLineChars="20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采购人</w:t>
      </w:r>
      <w:r>
        <w:rPr>
          <w:rFonts w:hint="eastAsia" w:ascii="宋体" w:hAnsi="宋体" w:eastAsia="宋体" w:cs="宋体"/>
          <w:color w:val="000000"/>
          <w:sz w:val="24"/>
          <w:szCs w:val="24"/>
          <w:highlight w:val="none"/>
          <w:lang w:eastAsia="zh-CN"/>
        </w:rPr>
        <w:t>：</w:t>
      </w:r>
      <w:r>
        <w:rPr>
          <w:rFonts w:hint="eastAsia" w:ascii="宋体" w:hAnsi="宋体" w:eastAsia="宋体" w:cs="宋体"/>
          <w:b/>
          <w:bCs/>
          <w:color w:val="000000"/>
          <w:sz w:val="24"/>
          <w:szCs w:val="24"/>
          <w:highlight w:val="none"/>
          <w:u w:val="single"/>
          <w:lang w:eastAsia="zh-CN"/>
        </w:rPr>
        <w:t>文山市</w:t>
      </w:r>
      <w:r>
        <w:rPr>
          <w:rFonts w:hint="eastAsia" w:ascii="宋体" w:hAnsi="宋体" w:eastAsia="宋体" w:cs="宋体"/>
          <w:b/>
          <w:bCs/>
          <w:color w:val="000000"/>
          <w:sz w:val="24"/>
          <w:szCs w:val="24"/>
          <w:highlight w:val="none"/>
          <w:u w:val="single"/>
          <w:lang w:val="en-US" w:eastAsia="zh-CN"/>
        </w:rPr>
        <w:t>开化街道办事处沙坝社区卫生服务中心</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rPr>
        <w:t>。</w:t>
      </w:r>
    </w:p>
    <w:p w14:paraId="161CE684">
      <w:pPr>
        <w:keepNext w:val="0"/>
        <w:keepLines w:val="0"/>
        <w:pageBreakBefore w:val="0"/>
        <w:widowControl w:val="0"/>
        <w:tabs>
          <w:tab w:val="left" w:pos="7665"/>
        </w:tabs>
        <w:kinsoku/>
        <w:wordWrap/>
        <w:overflowPunct/>
        <w:topLinePunct w:val="0"/>
        <w:autoSpaceDE/>
        <w:autoSpaceDN/>
        <w:bidi w:val="0"/>
        <w:snapToGrid/>
        <w:spacing w:line="560" w:lineRule="exact"/>
        <w:ind w:right="0" w:rightChars="0" w:firstLine="480" w:firstLineChars="200"/>
        <w:jc w:val="both"/>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2.2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采购代理机构</w:t>
      </w:r>
      <w:r>
        <w:rPr>
          <w:rFonts w:hint="eastAsia" w:ascii="宋体" w:hAnsi="宋体" w:eastAsia="宋体" w:cs="宋体"/>
          <w:color w:val="000000"/>
          <w:sz w:val="24"/>
          <w:szCs w:val="24"/>
          <w:lang w:eastAsia="zh-CN"/>
        </w:rPr>
        <w:t>：</w:t>
      </w:r>
      <w:r>
        <w:rPr>
          <w:rFonts w:hint="eastAsia" w:ascii="宋体" w:hAnsi="宋体" w:eastAsia="宋体" w:cs="宋体"/>
          <w:b/>
          <w:bCs/>
          <w:color w:val="000000"/>
          <w:sz w:val="24"/>
          <w:szCs w:val="24"/>
          <w:u w:val="single"/>
          <w:lang w:val="en-US" w:eastAsia="zh-CN"/>
        </w:rPr>
        <w:t>文山市政府采购和出让中心</w:t>
      </w:r>
      <w:r>
        <w:rPr>
          <w:rFonts w:hint="eastAsia" w:ascii="宋体" w:hAnsi="宋体" w:eastAsia="宋体" w:cs="宋体"/>
          <w:color w:val="000000"/>
          <w:sz w:val="24"/>
          <w:szCs w:val="24"/>
        </w:rPr>
        <w:t>。</w:t>
      </w:r>
    </w:p>
    <w:p w14:paraId="0600627E">
      <w:pPr>
        <w:pStyle w:val="7"/>
        <w:pageBreakBefore w:val="0"/>
        <w:widowControl w:val="0"/>
        <w:kinsoku/>
        <w:wordWrap/>
        <w:overflowPunct/>
        <w:topLinePunct w:val="0"/>
        <w:autoSpaceDE/>
        <w:autoSpaceDN/>
        <w:bidi w:val="0"/>
        <w:snapToGrid/>
        <w:spacing w:before="0" w:after="0" w:line="560" w:lineRule="exact"/>
        <w:ind w:right="0" w:rightChars="0"/>
        <w:jc w:val="both"/>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合格供应商</w:t>
      </w:r>
    </w:p>
    <w:p w14:paraId="3465F6AE">
      <w:pPr>
        <w:keepNext w:val="0"/>
        <w:keepLines w:val="0"/>
        <w:pageBreakBefore w:val="0"/>
        <w:widowControl w:val="0"/>
        <w:kinsoku/>
        <w:wordWrap/>
        <w:overflowPunct/>
        <w:topLinePunct w:val="0"/>
        <w:autoSpaceDE/>
        <w:autoSpaceDN/>
        <w:bidi w:val="0"/>
        <w:snapToGrid/>
        <w:spacing w:line="560" w:lineRule="exact"/>
        <w:ind w:right="0" w:rightChars="0" w:firstLine="480" w:firstLineChars="200"/>
        <w:jc w:val="both"/>
        <w:outlineLvl w:val="9"/>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合格供应商应具备以下条件：</w:t>
      </w:r>
    </w:p>
    <w:p w14:paraId="34D4A487">
      <w:pPr>
        <w:keepNext w:val="0"/>
        <w:keepLines w:val="0"/>
        <w:pageBreakBefore w:val="0"/>
        <w:widowControl w:val="0"/>
        <w:tabs>
          <w:tab w:val="left" w:pos="7665"/>
        </w:tabs>
        <w:kinsoku/>
        <w:wordWrap/>
        <w:overflowPunct/>
        <w:topLinePunct w:val="0"/>
        <w:autoSpaceDE/>
        <w:autoSpaceDN/>
        <w:bidi w:val="0"/>
        <w:snapToGrid/>
        <w:spacing w:line="560" w:lineRule="exact"/>
        <w:ind w:right="0" w:rightChars="0" w:firstLine="480" w:firstLineChars="200"/>
        <w:jc w:val="both"/>
        <w:outlineLvl w:val="9"/>
        <w:rPr>
          <w:rFonts w:hint="eastAsia" w:ascii="宋体" w:hAnsi="宋体" w:eastAsia="宋体" w:cs="宋体"/>
          <w:color w:val="000000"/>
          <w:spacing w:val="-4"/>
          <w:sz w:val="24"/>
          <w:szCs w:val="24"/>
        </w:rPr>
      </w:pPr>
      <w:r>
        <w:rPr>
          <w:rFonts w:hint="eastAsia" w:ascii="宋体" w:hAnsi="宋体" w:eastAsia="宋体" w:cs="宋体"/>
          <w:color w:val="000000"/>
          <w:sz w:val="24"/>
          <w:szCs w:val="24"/>
        </w:rPr>
        <w:t>3.1 具备法律法规和本采购文件规定的资格条件</w:t>
      </w:r>
      <w:r>
        <w:rPr>
          <w:rFonts w:hint="eastAsia" w:ascii="宋体" w:hAnsi="宋体" w:eastAsia="宋体" w:cs="宋体"/>
          <w:color w:val="000000"/>
          <w:spacing w:val="-4"/>
          <w:sz w:val="24"/>
          <w:szCs w:val="24"/>
        </w:rPr>
        <w:t>；</w:t>
      </w:r>
    </w:p>
    <w:p w14:paraId="21E90AED">
      <w:pPr>
        <w:keepNext w:val="0"/>
        <w:keepLines w:val="0"/>
        <w:pageBreakBefore w:val="0"/>
        <w:widowControl w:val="0"/>
        <w:tabs>
          <w:tab w:val="left" w:pos="7665"/>
        </w:tabs>
        <w:kinsoku/>
        <w:wordWrap/>
        <w:overflowPunct/>
        <w:topLinePunct w:val="0"/>
        <w:autoSpaceDE/>
        <w:autoSpaceDN/>
        <w:bidi w:val="0"/>
        <w:snapToGrid/>
        <w:spacing w:line="560" w:lineRule="exact"/>
        <w:ind w:right="0" w:rightChars="0" w:firstLine="464" w:firstLineChars="200"/>
        <w:jc w:val="both"/>
        <w:outlineLvl w:val="9"/>
        <w:rPr>
          <w:rFonts w:hint="eastAsia" w:ascii="宋体" w:hAnsi="宋体" w:eastAsia="宋体" w:cs="宋体"/>
          <w:sz w:val="24"/>
          <w:szCs w:val="24"/>
          <w:lang w:eastAsia="zh-CN"/>
        </w:rPr>
      </w:pPr>
      <w:r>
        <w:rPr>
          <w:rFonts w:hint="eastAsia" w:ascii="宋体" w:hAnsi="宋体" w:eastAsia="宋体" w:cs="宋体"/>
          <w:color w:val="000000"/>
          <w:spacing w:val="-4"/>
          <w:sz w:val="24"/>
          <w:szCs w:val="24"/>
        </w:rPr>
        <w:t>3.2 不属于禁止参加本项目采购</w:t>
      </w:r>
      <w:r>
        <w:rPr>
          <w:rFonts w:hint="eastAsia" w:ascii="宋体" w:hAnsi="宋体" w:eastAsia="宋体" w:cs="宋体"/>
          <w:spacing w:val="-4"/>
          <w:sz w:val="24"/>
          <w:szCs w:val="24"/>
        </w:rPr>
        <w:t>活动的供应商</w:t>
      </w:r>
      <w:r>
        <w:rPr>
          <w:rFonts w:hint="eastAsia" w:ascii="宋体" w:hAnsi="宋体" w:eastAsia="宋体" w:cs="宋体"/>
          <w:spacing w:val="-4"/>
          <w:sz w:val="24"/>
          <w:szCs w:val="24"/>
          <w:lang w:eastAsia="zh-CN"/>
        </w:rPr>
        <w:t>：</w:t>
      </w:r>
    </w:p>
    <w:p w14:paraId="1A42DFE3">
      <w:pPr>
        <w:keepNext w:val="0"/>
        <w:keepLines w:val="0"/>
        <w:pageBreakBefore w:val="0"/>
        <w:widowControl w:val="0"/>
        <w:tabs>
          <w:tab w:val="left" w:pos="7665"/>
        </w:tabs>
        <w:kinsoku/>
        <w:wordWrap/>
        <w:overflowPunct/>
        <w:topLinePunct w:val="0"/>
        <w:autoSpaceDE/>
        <w:autoSpaceDN/>
        <w:bidi w:val="0"/>
        <w:snapToGrid/>
        <w:spacing w:line="560" w:lineRule="exact"/>
        <w:ind w:right="0" w:rightChars="0" w:firstLine="464" w:firstLineChars="200"/>
        <w:jc w:val="both"/>
        <w:outlineLvl w:val="9"/>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3.3 按照规定</w:t>
      </w:r>
      <w:r>
        <w:rPr>
          <w:rFonts w:hint="eastAsia" w:ascii="宋体" w:hAnsi="宋体" w:eastAsia="宋体" w:cs="宋体"/>
          <w:sz w:val="24"/>
          <w:szCs w:val="24"/>
          <w:highlight w:val="none"/>
        </w:rPr>
        <w:t>获取了</w:t>
      </w:r>
      <w:r>
        <w:rPr>
          <w:rFonts w:hint="eastAsia" w:ascii="宋体" w:hAnsi="宋体" w:eastAsia="宋体" w:cs="宋体"/>
          <w:sz w:val="24"/>
          <w:szCs w:val="24"/>
          <w:highlight w:val="none"/>
          <w:lang w:eastAsia="zh-CN"/>
        </w:rPr>
        <w:t>谈判文件</w:t>
      </w:r>
      <w:r>
        <w:rPr>
          <w:rFonts w:hint="eastAsia" w:ascii="宋体" w:hAnsi="宋体" w:eastAsia="宋体" w:cs="宋体"/>
          <w:sz w:val="24"/>
          <w:szCs w:val="24"/>
          <w:highlight w:val="none"/>
        </w:rPr>
        <w:t>，属于实质性参加政府采购活动的供应商。</w:t>
      </w:r>
    </w:p>
    <w:p w14:paraId="0E32CDCD">
      <w:pPr>
        <w:keepNext w:val="0"/>
        <w:keepLines w:val="0"/>
        <w:pageBreakBefore w:val="0"/>
        <w:widowControl w:val="0"/>
        <w:tabs>
          <w:tab w:val="left" w:pos="7665"/>
        </w:tabs>
        <w:kinsoku/>
        <w:wordWrap/>
        <w:overflowPunct/>
        <w:topLinePunct w:val="0"/>
        <w:autoSpaceDE/>
        <w:autoSpaceDN/>
        <w:bidi w:val="0"/>
        <w:snapToGrid/>
        <w:spacing w:line="560" w:lineRule="exact"/>
        <w:ind w:right="0" w:rightChars="0" w:firstLine="464" w:firstLineChars="200"/>
        <w:jc w:val="both"/>
        <w:outlineLvl w:val="9"/>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lang w:val="en-US" w:eastAsia="zh-CN"/>
        </w:rPr>
        <w:t xml:space="preserve">3.4 </w:t>
      </w:r>
      <w:r>
        <w:rPr>
          <w:rFonts w:hint="eastAsia" w:ascii="宋体" w:hAnsi="宋体" w:eastAsia="宋体" w:cs="宋体"/>
          <w:color w:val="000000"/>
          <w:spacing w:val="-4"/>
          <w:sz w:val="24"/>
          <w:szCs w:val="24"/>
          <w:highlight w:val="none"/>
        </w:rPr>
        <w:t>若</w:t>
      </w:r>
      <w:r>
        <w:rPr>
          <w:rFonts w:hint="eastAsia" w:ascii="宋体" w:hAnsi="宋体" w:eastAsia="宋体" w:cs="宋体"/>
          <w:color w:val="000000"/>
          <w:spacing w:val="-4"/>
          <w:sz w:val="24"/>
          <w:szCs w:val="24"/>
          <w:highlight w:val="none"/>
          <w:lang w:eastAsia="zh-CN"/>
        </w:rPr>
        <w:t>本项目</w:t>
      </w:r>
      <w:r>
        <w:rPr>
          <w:rFonts w:hint="eastAsia" w:ascii="宋体" w:hAnsi="宋体" w:eastAsia="宋体" w:cs="宋体"/>
          <w:color w:val="000000"/>
          <w:spacing w:val="-4"/>
          <w:sz w:val="24"/>
          <w:szCs w:val="24"/>
          <w:highlight w:val="none"/>
        </w:rPr>
        <w:t>允许采购进口产品，</w:t>
      </w:r>
      <w:r>
        <w:rPr>
          <w:rFonts w:hint="eastAsia" w:ascii="宋体" w:hAnsi="宋体" w:eastAsia="宋体" w:cs="宋体"/>
          <w:color w:val="000000"/>
          <w:spacing w:val="-4"/>
          <w:sz w:val="24"/>
          <w:szCs w:val="24"/>
          <w:highlight w:val="none"/>
          <w:lang w:eastAsia="zh-CN"/>
        </w:rPr>
        <w:t>供应商</w:t>
      </w:r>
      <w:r>
        <w:rPr>
          <w:rFonts w:hint="eastAsia" w:ascii="宋体" w:hAnsi="宋体" w:eastAsia="宋体" w:cs="宋体"/>
          <w:color w:val="000000"/>
          <w:spacing w:val="-4"/>
          <w:sz w:val="24"/>
          <w:szCs w:val="24"/>
          <w:highlight w:val="none"/>
        </w:rPr>
        <w:t>应保证所投产品可履行合法报通关手续进入中国关境内。若</w:t>
      </w:r>
      <w:r>
        <w:rPr>
          <w:rFonts w:hint="eastAsia" w:ascii="宋体" w:hAnsi="宋体" w:eastAsia="宋体" w:cs="宋体"/>
          <w:color w:val="000000"/>
          <w:spacing w:val="-4"/>
          <w:sz w:val="24"/>
          <w:szCs w:val="24"/>
          <w:highlight w:val="none"/>
          <w:lang w:eastAsia="zh-CN"/>
        </w:rPr>
        <w:t>本项目不</w:t>
      </w:r>
      <w:r>
        <w:rPr>
          <w:rFonts w:hint="eastAsia" w:ascii="宋体" w:hAnsi="宋体" w:eastAsia="宋体" w:cs="宋体"/>
          <w:color w:val="000000"/>
          <w:spacing w:val="-4"/>
          <w:sz w:val="24"/>
          <w:szCs w:val="24"/>
          <w:highlight w:val="none"/>
        </w:rPr>
        <w:t>允许采购进口产品，如</w:t>
      </w:r>
      <w:r>
        <w:rPr>
          <w:rFonts w:hint="eastAsia" w:ascii="宋体" w:hAnsi="宋体" w:eastAsia="宋体" w:cs="宋体"/>
          <w:color w:val="000000"/>
          <w:spacing w:val="-4"/>
          <w:sz w:val="24"/>
          <w:szCs w:val="24"/>
          <w:highlight w:val="none"/>
          <w:lang w:eastAsia="zh-CN"/>
        </w:rPr>
        <w:t>供应商</w:t>
      </w:r>
      <w:r>
        <w:rPr>
          <w:rFonts w:hint="eastAsia" w:ascii="宋体" w:hAnsi="宋体" w:eastAsia="宋体" w:cs="宋体"/>
          <w:color w:val="000000"/>
          <w:spacing w:val="-4"/>
          <w:sz w:val="24"/>
          <w:szCs w:val="24"/>
          <w:highlight w:val="none"/>
        </w:rPr>
        <w:t>所投产品为进口产品，其</w:t>
      </w:r>
      <w:r>
        <w:rPr>
          <w:rFonts w:hint="eastAsia" w:ascii="宋体" w:hAnsi="宋体" w:eastAsia="宋体" w:cs="宋体"/>
          <w:color w:val="000000"/>
          <w:spacing w:val="-4"/>
          <w:sz w:val="24"/>
          <w:szCs w:val="24"/>
          <w:highlight w:val="none"/>
          <w:lang w:eastAsia="zh-CN"/>
        </w:rPr>
        <w:t>响应</w:t>
      </w:r>
      <w:r>
        <w:rPr>
          <w:rFonts w:hint="eastAsia" w:ascii="宋体" w:hAnsi="宋体" w:eastAsia="宋体" w:cs="宋体"/>
          <w:color w:val="000000"/>
          <w:spacing w:val="-4"/>
          <w:sz w:val="24"/>
          <w:szCs w:val="24"/>
          <w:highlight w:val="none"/>
        </w:rPr>
        <w:t>将被认定为</w:t>
      </w:r>
      <w:r>
        <w:rPr>
          <w:rFonts w:hint="eastAsia" w:ascii="宋体" w:hAnsi="宋体" w:eastAsia="宋体" w:cs="宋体"/>
          <w:color w:val="000000"/>
          <w:spacing w:val="-4"/>
          <w:sz w:val="24"/>
          <w:szCs w:val="24"/>
          <w:highlight w:val="none"/>
          <w:lang w:eastAsia="zh-CN"/>
        </w:rPr>
        <w:t>响应</w:t>
      </w:r>
      <w:r>
        <w:rPr>
          <w:rFonts w:hint="eastAsia" w:ascii="宋体" w:hAnsi="宋体" w:eastAsia="宋体" w:cs="宋体"/>
          <w:b/>
          <w:bCs/>
          <w:color w:val="000000"/>
          <w:spacing w:val="-4"/>
          <w:sz w:val="24"/>
          <w:szCs w:val="24"/>
          <w:highlight w:val="none"/>
        </w:rPr>
        <w:t>无效</w:t>
      </w:r>
      <w:r>
        <w:rPr>
          <w:rFonts w:hint="eastAsia" w:ascii="宋体" w:hAnsi="宋体" w:eastAsia="宋体" w:cs="宋体"/>
          <w:color w:val="000000"/>
          <w:spacing w:val="-4"/>
          <w:sz w:val="24"/>
          <w:szCs w:val="24"/>
          <w:highlight w:val="none"/>
        </w:rPr>
        <w:t>。</w:t>
      </w:r>
    </w:p>
    <w:p w14:paraId="3A51AA41">
      <w:pPr>
        <w:keepNext w:val="0"/>
        <w:keepLines w:val="0"/>
        <w:pageBreakBefore w:val="0"/>
        <w:widowControl w:val="0"/>
        <w:tabs>
          <w:tab w:val="left" w:pos="7665"/>
        </w:tabs>
        <w:kinsoku/>
        <w:wordWrap/>
        <w:overflowPunct/>
        <w:topLinePunct w:val="0"/>
        <w:autoSpaceDE/>
        <w:autoSpaceDN/>
        <w:bidi w:val="0"/>
        <w:snapToGrid/>
        <w:spacing w:line="560" w:lineRule="exact"/>
        <w:ind w:right="0" w:rightChars="0" w:firstLine="464" w:firstLineChars="200"/>
        <w:jc w:val="both"/>
        <w:outlineLvl w:val="9"/>
        <w:rPr>
          <w:rFonts w:hint="eastAsia" w:ascii="宋体" w:hAnsi="宋体" w:eastAsia="宋体" w:cs="宋体"/>
          <w:sz w:val="24"/>
          <w:szCs w:val="24"/>
          <w:highlight w:val="none"/>
        </w:rPr>
      </w:pPr>
      <w:r>
        <w:rPr>
          <w:rFonts w:hint="eastAsia" w:ascii="宋体" w:hAnsi="宋体" w:eastAsia="宋体" w:cs="宋体"/>
          <w:color w:val="000000"/>
          <w:spacing w:val="-4"/>
          <w:sz w:val="24"/>
          <w:szCs w:val="24"/>
          <w:highlight w:val="none"/>
          <w:lang w:val="en-US" w:eastAsia="zh-CN"/>
        </w:rPr>
        <w:t>3.5</w:t>
      </w:r>
      <w:r>
        <w:rPr>
          <w:rFonts w:hint="eastAsia" w:ascii="宋体" w:hAnsi="宋体" w:eastAsia="宋体" w:cs="宋体"/>
          <w:color w:val="000000"/>
          <w:spacing w:val="-4"/>
          <w:sz w:val="24"/>
          <w:szCs w:val="24"/>
          <w:highlight w:val="none"/>
        </w:rPr>
        <w:t xml:space="preserve"> 若</w:t>
      </w:r>
      <w:r>
        <w:rPr>
          <w:rFonts w:hint="eastAsia" w:ascii="宋体" w:hAnsi="宋体" w:eastAsia="宋体" w:cs="宋体"/>
          <w:color w:val="000000"/>
          <w:spacing w:val="-4"/>
          <w:sz w:val="24"/>
          <w:szCs w:val="24"/>
          <w:highlight w:val="none"/>
          <w:lang w:eastAsia="zh-CN"/>
        </w:rPr>
        <w:t>本项目</w:t>
      </w:r>
      <w:r>
        <w:rPr>
          <w:rFonts w:hint="eastAsia" w:ascii="宋体" w:hAnsi="宋体" w:eastAsia="宋体" w:cs="宋体"/>
          <w:color w:val="000000"/>
          <w:spacing w:val="-4"/>
          <w:sz w:val="24"/>
          <w:szCs w:val="24"/>
          <w:highlight w:val="none"/>
        </w:rPr>
        <w:t>专门面向中小企业采购的，如</w:t>
      </w:r>
      <w:r>
        <w:rPr>
          <w:rFonts w:hint="eastAsia" w:ascii="宋体" w:hAnsi="宋体" w:eastAsia="宋体" w:cs="宋体"/>
          <w:color w:val="000000"/>
          <w:spacing w:val="-4"/>
          <w:sz w:val="24"/>
          <w:szCs w:val="24"/>
          <w:highlight w:val="none"/>
          <w:lang w:eastAsia="zh-CN"/>
        </w:rPr>
        <w:t>供应商</w:t>
      </w:r>
      <w:r>
        <w:rPr>
          <w:rFonts w:hint="eastAsia" w:ascii="宋体" w:hAnsi="宋体" w:eastAsia="宋体" w:cs="宋体"/>
          <w:color w:val="000000"/>
          <w:spacing w:val="-4"/>
          <w:sz w:val="24"/>
          <w:szCs w:val="24"/>
          <w:highlight w:val="none"/>
        </w:rPr>
        <w:t>所投产品为非中小企业</w:t>
      </w:r>
      <w:r>
        <w:rPr>
          <w:rFonts w:hint="eastAsia" w:ascii="宋体" w:hAnsi="宋体" w:eastAsia="宋体" w:cs="宋体"/>
          <w:color w:val="000000"/>
          <w:spacing w:val="-4"/>
          <w:sz w:val="24"/>
          <w:szCs w:val="24"/>
          <w:highlight w:val="none"/>
          <w:lang w:eastAsia="zh-CN"/>
        </w:rPr>
        <w:t>制造</w:t>
      </w:r>
      <w:r>
        <w:rPr>
          <w:rFonts w:hint="eastAsia" w:ascii="宋体" w:hAnsi="宋体" w:eastAsia="宋体" w:cs="宋体"/>
          <w:color w:val="000000"/>
          <w:spacing w:val="-4"/>
          <w:sz w:val="24"/>
          <w:szCs w:val="24"/>
          <w:highlight w:val="none"/>
        </w:rPr>
        <w:t>，其</w:t>
      </w:r>
      <w:r>
        <w:rPr>
          <w:rFonts w:hint="eastAsia" w:ascii="宋体" w:hAnsi="宋体" w:eastAsia="宋体" w:cs="宋体"/>
          <w:color w:val="000000"/>
          <w:spacing w:val="-4"/>
          <w:sz w:val="24"/>
          <w:szCs w:val="24"/>
          <w:highlight w:val="none"/>
          <w:lang w:eastAsia="zh-CN"/>
        </w:rPr>
        <w:t>响应</w:t>
      </w:r>
      <w:r>
        <w:rPr>
          <w:rFonts w:hint="eastAsia" w:ascii="宋体" w:hAnsi="宋体" w:eastAsia="宋体" w:cs="宋体"/>
          <w:color w:val="000000"/>
          <w:spacing w:val="-4"/>
          <w:sz w:val="24"/>
          <w:szCs w:val="24"/>
          <w:highlight w:val="none"/>
        </w:rPr>
        <w:t>将被认定为</w:t>
      </w:r>
      <w:r>
        <w:rPr>
          <w:rFonts w:hint="eastAsia" w:ascii="宋体" w:hAnsi="宋体" w:eastAsia="宋体" w:cs="宋体"/>
          <w:color w:val="000000"/>
          <w:spacing w:val="-4"/>
          <w:sz w:val="24"/>
          <w:szCs w:val="24"/>
          <w:highlight w:val="none"/>
          <w:lang w:eastAsia="zh-CN"/>
        </w:rPr>
        <w:t>响应</w:t>
      </w:r>
      <w:r>
        <w:rPr>
          <w:rFonts w:hint="eastAsia" w:ascii="宋体" w:hAnsi="宋体" w:eastAsia="宋体" w:cs="宋体"/>
          <w:b/>
          <w:bCs/>
          <w:color w:val="000000"/>
          <w:spacing w:val="-4"/>
          <w:sz w:val="24"/>
          <w:szCs w:val="24"/>
          <w:highlight w:val="none"/>
        </w:rPr>
        <w:t>无效</w:t>
      </w:r>
      <w:r>
        <w:rPr>
          <w:rFonts w:hint="eastAsia" w:ascii="宋体" w:hAnsi="宋体" w:eastAsia="宋体" w:cs="宋体"/>
          <w:color w:val="000000"/>
          <w:spacing w:val="-4"/>
          <w:sz w:val="24"/>
          <w:szCs w:val="24"/>
          <w:highlight w:val="none"/>
        </w:rPr>
        <w:t>。</w:t>
      </w:r>
    </w:p>
    <w:p w14:paraId="47FC8335">
      <w:pPr>
        <w:pStyle w:val="7"/>
        <w:pageBreakBefore w:val="0"/>
        <w:widowControl w:val="0"/>
        <w:kinsoku/>
        <w:wordWrap/>
        <w:overflowPunct/>
        <w:topLinePunct w:val="0"/>
        <w:autoSpaceDE/>
        <w:autoSpaceDN/>
        <w:bidi w:val="0"/>
        <w:snapToGrid/>
        <w:spacing w:before="0" w:after="0" w:line="560" w:lineRule="exact"/>
        <w:ind w:right="0" w:rightChars="0"/>
        <w:jc w:val="both"/>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参加</w:t>
      </w:r>
      <w:r>
        <w:rPr>
          <w:rFonts w:hint="eastAsia" w:ascii="宋体" w:hAnsi="宋体" w:eastAsia="宋体" w:cs="宋体"/>
          <w:sz w:val="24"/>
          <w:szCs w:val="24"/>
          <w:lang w:eastAsia="zh-CN"/>
        </w:rPr>
        <w:t>谈判</w:t>
      </w:r>
      <w:r>
        <w:rPr>
          <w:rFonts w:hint="eastAsia" w:ascii="宋体" w:hAnsi="宋体" w:eastAsia="宋体" w:cs="宋体"/>
          <w:sz w:val="24"/>
          <w:szCs w:val="24"/>
          <w:lang w:val="en-US" w:eastAsia="zh-CN"/>
        </w:rPr>
        <w:t>采购的</w:t>
      </w:r>
      <w:r>
        <w:rPr>
          <w:rFonts w:hint="eastAsia" w:ascii="宋体" w:hAnsi="宋体" w:eastAsia="宋体" w:cs="宋体"/>
          <w:sz w:val="24"/>
          <w:szCs w:val="24"/>
        </w:rPr>
        <w:t>费用（实质性要求）</w:t>
      </w:r>
    </w:p>
    <w:p w14:paraId="06B6F462">
      <w:pPr>
        <w:keepNext w:val="0"/>
        <w:keepLines w:val="0"/>
        <w:pageBreakBefore w:val="0"/>
        <w:widowControl w:val="0"/>
        <w:kinsoku/>
        <w:wordWrap/>
        <w:overflowPunct/>
        <w:topLinePunct w:val="0"/>
        <w:autoSpaceDE/>
        <w:autoSpaceDN/>
        <w:bidi w:val="0"/>
        <w:snapToGrid/>
        <w:spacing w:line="560" w:lineRule="exact"/>
        <w:ind w:right="0" w:rightChars="0" w:firstLine="480" w:firstLineChars="200"/>
        <w:jc w:val="both"/>
        <w:outlineLvl w:val="9"/>
        <w:rPr>
          <w:rFonts w:hint="eastAsia" w:ascii="宋体" w:hAnsi="宋体" w:eastAsia="宋体" w:cs="宋体"/>
          <w:sz w:val="24"/>
          <w:szCs w:val="24"/>
        </w:rPr>
      </w:pPr>
      <w:r>
        <w:rPr>
          <w:rFonts w:hint="eastAsia" w:ascii="宋体" w:hAnsi="宋体" w:eastAsia="宋体" w:cs="宋体"/>
          <w:sz w:val="24"/>
          <w:szCs w:val="24"/>
        </w:rPr>
        <w:t>无论是否成交，供应商自行承担有关的全部费用。</w:t>
      </w:r>
    </w:p>
    <w:p w14:paraId="4624E323">
      <w:pPr>
        <w:pStyle w:val="7"/>
        <w:pageBreakBefore w:val="0"/>
        <w:widowControl w:val="0"/>
        <w:kinsoku/>
        <w:wordWrap/>
        <w:overflowPunct/>
        <w:topLinePunct w:val="0"/>
        <w:autoSpaceDE/>
        <w:autoSpaceDN/>
        <w:bidi w:val="0"/>
        <w:snapToGrid/>
        <w:spacing w:before="0" w:after="0" w:line="560" w:lineRule="exact"/>
        <w:ind w:right="0" w:rightChars="0"/>
        <w:jc w:val="both"/>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充分、公平竞争保障措施（实质性要求）</w:t>
      </w:r>
    </w:p>
    <w:p w14:paraId="4E1F3F36">
      <w:pPr>
        <w:pStyle w:val="60"/>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5.1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利害关系供应商处理。单位负责人为同一人或者存在直接控股、管理关系的不同供应商不得参加同一合同项下的政府采购活动。采购项目实行资格预审的，单位负责人为同一人或者存在直接控股、管理关系的不同供应商可以参加资格预审，但只能由供应商确定其中一家符合条件的供应商参加后续的政府采购活动，否则，其响应文件作为</w:t>
      </w:r>
      <w:r>
        <w:rPr>
          <w:rFonts w:hint="eastAsia" w:ascii="宋体" w:hAnsi="宋体" w:eastAsia="宋体" w:cs="宋体"/>
          <w:b/>
          <w:bCs/>
          <w:color w:val="000000"/>
          <w:sz w:val="24"/>
          <w:szCs w:val="24"/>
        </w:rPr>
        <w:t>无效</w:t>
      </w:r>
      <w:r>
        <w:rPr>
          <w:rFonts w:hint="eastAsia" w:ascii="宋体" w:hAnsi="宋体" w:eastAsia="宋体" w:cs="宋体"/>
          <w:color w:val="000000"/>
          <w:sz w:val="24"/>
          <w:szCs w:val="24"/>
        </w:rPr>
        <w:t>处理。</w:t>
      </w:r>
    </w:p>
    <w:p w14:paraId="579520E0">
      <w:pPr>
        <w:pStyle w:val="60"/>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5.2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利害关系授权代表处理。两家以上的供应商不得在同一合同项下的采购项目中，委托同一个自然人、同一家庭的人员、同一单位的人员作为其授权代表，否则，其响应文件作为</w:t>
      </w:r>
      <w:r>
        <w:rPr>
          <w:rFonts w:hint="eastAsia" w:ascii="宋体" w:hAnsi="宋体" w:eastAsia="宋体" w:cs="宋体"/>
          <w:b/>
          <w:bCs/>
          <w:color w:val="000000"/>
          <w:sz w:val="24"/>
          <w:szCs w:val="24"/>
        </w:rPr>
        <w:t>无效</w:t>
      </w:r>
      <w:r>
        <w:rPr>
          <w:rFonts w:hint="eastAsia" w:ascii="宋体" w:hAnsi="宋体" w:eastAsia="宋体" w:cs="宋体"/>
          <w:color w:val="000000"/>
          <w:sz w:val="24"/>
          <w:szCs w:val="24"/>
        </w:rPr>
        <w:t>处理。</w:t>
      </w:r>
    </w:p>
    <w:p w14:paraId="3DED41C8">
      <w:pPr>
        <w:pStyle w:val="60"/>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5.3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前期参与供应商处理。为采购项目提供整体设计、规范编制或者项目管理、监理、检测等服务的供应商，不得再参加该采购项目的其他采购活动。</w:t>
      </w:r>
    </w:p>
    <w:p w14:paraId="387E78E6">
      <w:pPr>
        <w:pStyle w:val="60"/>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sz w:val="24"/>
          <w:szCs w:val="24"/>
          <w:highlight w:val="none"/>
        </w:rPr>
      </w:pPr>
      <w:r>
        <w:rPr>
          <w:rFonts w:hint="eastAsia" w:ascii="宋体" w:hAnsi="宋体" w:eastAsia="宋体" w:cs="宋体"/>
          <w:color w:val="000000"/>
          <w:sz w:val="24"/>
          <w:szCs w:val="24"/>
        </w:rPr>
        <w:t>5.</w:t>
      </w:r>
      <w:r>
        <w:rPr>
          <w:rFonts w:hint="eastAsia" w:ascii="宋体" w:hAnsi="宋体" w:eastAsia="宋体" w:cs="宋体"/>
          <w:color w:val="000000"/>
          <w:sz w:val="24"/>
          <w:szCs w:val="24"/>
          <w:lang w:val="en-US" w:eastAsia="zh-CN"/>
        </w:rPr>
        <w:t xml:space="preserve">4 </w:t>
      </w:r>
      <w:r>
        <w:rPr>
          <w:rFonts w:hint="eastAsia" w:ascii="宋体" w:hAnsi="宋体" w:eastAsia="宋体" w:cs="宋体"/>
          <w:color w:val="000000"/>
          <w:sz w:val="24"/>
          <w:szCs w:val="24"/>
        </w:rPr>
        <w:t>供应商实</w:t>
      </w:r>
      <w:r>
        <w:rPr>
          <w:rFonts w:hint="eastAsia" w:ascii="宋体" w:hAnsi="宋体" w:eastAsia="宋体" w:cs="宋体"/>
          <w:color w:val="000000"/>
          <w:sz w:val="24"/>
          <w:szCs w:val="24"/>
          <w:highlight w:val="none"/>
        </w:rPr>
        <w:t>际控制人或者中高级管理人员，同时是采购代理机构工作人员，不得参与本项目政府采购活动。</w:t>
      </w:r>
    </w:p>
    <w:p w14:paraId="4851D764">
      <w:pPr>
        <w:keepNext w:val="0"/>
        <w:keepLines w:val="0"/>
        <w:pageBreakBefore w:val="0"/>
        <w:widowControl w:val="0"/>
        <w:kinsoku/>
        <w:wordWrap/>
        <w:overflowPunct/>
        <w:topLinePunct w:val="0"/>
        <w:autoSpaceDE/>
        <w:autoSpaceDN/>
        <w:bidi w:val="0"/>
        <w:snapToGrid/>
        <w:spacing w:line="560" w:lineRule="exact"/>
        <w:ind w:right="0" w:rightChars="0" w:firstLine="480" w:firstLineChars="200"/>
        <w:jc w:val="both"/>
        <w:outlineLvl w:val="9"/>
        <w:rPr>
          <w:rFonts w:hint="eastAsia" w:ascii="宋体" w:hAnsi="宋体" w:eastAsia="宋体" w:cs="宋体"/>
          <w:sz w:val="24"/>
          <w:szCs w:val="24"/>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 xml:space="preserve">5 </w:t>
      </w:r>
      <w:r>
        <w:rPr>
          <w:rFonts w:hint="eastAsia" w:ascii="宋体" w:hAnsi="宋体" w:eastAsia="宋体" w:cs="宋体"/>
          <w:sz w:val="24"/>
          <w:szCs w:val="24"/>
          <w:highlight w:val="none"/>
        </w:rPr>
        <w:t>供应商与采购代理机构存在关联关系，或者是采购代理机构的母公司或子公司，不得参加本项目政府采购活动。</w:t>
      </w:r>
    </w:p>
    <w:p w14:paraId="658CEE5D">
      <w:pPr>
        <w:pStyle w:val="60"/>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5.</w:t>
      </w:r>
      <w:r>
        <w:rPr>
          <w:rFonts w:hint="eastAsia" w:hAnsi="宋体" w:eastAsia="宋体" w:cs="宋体"/>
          <w:color w:val="000000"/>
          <w:sz w:val="24"/>
          <w:szCs w:val="24"/>
          <w:lang w:val="en-US" w:eastAsia="zh-CN"/>
        </w:rPr>
        <w:t>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回避。政府采购活动中，采购人员及相关人员与供应商有下列利害关系之一的，应当回避：</w:t>
      </w:r>
    </w:p>
    <w:p w14:paraId="5634B073">
      <w:pPr>
        <w:pStyle w:val="60"/>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000000"/>
          <w:sz w:val="24"/>
          <w:szCs w:val="24"/>
        </w:rPr>
      </w:pPr>
      <w:r>
        <w:rPr>
          <w:rFonts w:hint="eastAsia" w:hAnsi="宋体" w:eastAsia="宋体" w:cs="宋体"/>
          <w:color w:val="000000"/>
          <w:sz w:val="24"/>
          <w:szCs w:val="24"/>
          <w:lang w:val="en-US" w:eastAsia="zh-CN"/>
        </w:rPr>
        <w:t>5.6.1</w:t>
      </w:r>
      <w:r>
        <w:rPr>
          <w:rFonts w:hint="eastAsia" w:ascii="宋体" w:hAnsi="宋体" w:eastAsia="宋体" w:cs="宋体"/>
          <w:color w:val="000000"/>
          <w:sz w:val="24"/>
          <w:szCs w:val="24"/>
        </w:rPr>
        <w:t>参加采购活动前3年内与供应商存在劳动关系；</w:t>
      </w:r>
    </w:p>
    <w:p w14:paraId="7606CA2F">
      <w:pPr>
        <w:pStyle w:val="60"/>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000000"/>
          <w:sz w:val="24"/>
          <w:szCs w:val="24"/>
        </w:rPr>
      </w:pPr>
      <w:r>
        <w:rPr>
          <w:rFonts w:hint="eastAsia" w:hAnsi="宋体" w:eastAsia="宋体" w:cs="宋体"/>
          <w:color w:val="000000"/>
          <w:sz w:val="24"/>
          <w:szCs w:val="24"/>
          <w:lang w:val="en-US" w:eastAsia="zh-CN"/>
        </w:rPr>
        <w:t>5.6.2</w:t>
      </w:r>
      <w:r>
        <w:rPr>
          <w:rFonts w:hint="eastAsia" w:ascii="宋体" w:hAnsi="宋体" w:eastAsia="宋体" w:cs="宋体"/>
          <w:color w:val="000000"/>
          <w:sz w:val="24"/>
          <w:szCs w:val="24"/>
        </w:rPr>
        <w:t>参加采购活动前3年内担任供应商的董事、监事；</w:t>
      </w:r>
    </w:p>
    <w:p w14:paraId="3FA81F8D">
      <w:pPr>
        <w:pStyle w:val="60"/>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000000"/>
          <w:sz w:val="24"/>
          <w:szCs w:val="24"/>
        </w:rPr>
      </w:pPr>
      <w:r>
        <w:rPr>
          <w:rFonts w:hint="eastAsia" w:hAnsi="宋体" w:eastAsia="宋体" w:cs="宋体"/>
          <w:color w:val="000000"/>
          <w:sz w:val="24"/>
          <w:szCs w:val="24"/>
          <w:lang w:val="en-US" w:eastAsia="zh-CN"/>
        </w:rPr>
        <w:t>5.6.3</w:t>
      </w:r>
      <w:r>
        <w:rPr>
          <w:rFonts w:hint="eastAsia" w:ascii="宋体" w:hAnsi="宋体" w:eastAsia="宋体" w:cs="宋体"/>
          <w:color w:val="000000"/>
          <w:sz w:val="24"/>
          <w:szCs w:val="24"/>
        </w:rPr>
        <w:t>参加采购活动前3年内是供应商的控股股东或者实际控制人；</w:t>
      </w:r>
    </w:p>
    <w:p w14:paraId="45AF3FB3">
      <w:pPr>
        <w:pStyle w:val="60"/>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000000"/>
          <w:sz w:val="24"/>
          <w:szCs w:val="24"/>
          <w:highlight w:val="none"/>
        </w:rPr>
      </w:pPr>
      <w:r>
        <w:rPr>
          <w:rFonts w:hint="eastAsia" w:hAnsi="宋体" w:eastAsia="宋体" w:cs="宋体"/>
          <w:color w:val="000000"/>
          <w:sz w:val="24"/>
          <w:szCs w:val="24"/>
          <w:lang w:val="en-US" w:eastAsia="zh-CN"/>
        </w:rPr>
        <w:t>5.6.4</w:t>
      </w:r>
      <w:r>
        <w:rPr>
          <w:rFonts w:hint="eastAsia" w:ascii="宋体" w:hAnsi="宋体" w:eastAsia="宋体" w:cs="宋体"/>
          <w:color w:val="000000"/>
          <w:sz w:val="24"/>
          <w:szCs w:val="24"/>
        </w:rPr>
        <w:t>与供应商的法定代表人或者负责人有夫妻、直系血</w:t>
      </w:r>
      <w:r>
        <w:rPr>
          <w:rFonts w:hint="eastAsia" w:ascii="宋体" w:hAnsi="宋体" w:eastAsia="宋体" w:cs="宋体"/>
          <w:color w:val="000000"/>
          <w:sz w:val="24"/>
          <w:szCs w:val="24"/>
          <w:highlight w:val="none"/>
        </w:rPr>
        <w:t>亲、三代以内旁系血亲或者近姻亲关系；</w:t>
      </w:r>
    </w:p>
    <w:p w14:paraId="469BB6AE">
      <w:pPr>
        <w:pStyle w:val="60"/>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5.6.5</w:t>
      </w:r>
      <w:r>
        <w:rPr>
          <w:rFonts w:hint="eastAsia" w:ascii="宋体" w:hAnsi="宋体" w:eastAsia="宋体" w:cs="宋体"/>
          <w:color w:val="000000"/>
          <w:sz w:val="24"/>
          <w:szCs w:val="24"/>
          <w:highlight w:val="none"/>
        </w:rPr>
        <w:t>与供应商有其他可能影响政府采购活动公平、公正进行的关系。</w:t>
      </w:r>
    </w:p>
    <w:p w14:paraId="7FD4F371">
      <w:pPr>
        <w:pStyle w:val="60"/>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政府采购活动中需要依法回避的采购人员是指采购人内部负责采购项目的具体经办工作人员和直接分管采购项目的负责人，以及采购代理机构负责采购项目的具体经办工作人员和直接分管采购活动的负责人。本项目政府采购活动中需要依法回避的相关人员是指</w:t>
      </w:r>
      <w:r>
        <w:rPr>
          <w:rFonts w:hint="eastAsia" w:ascii="宋体" w:hAnsi="宋体" w:eastAsia="宋体" w:cs="宋体"/>
          <w:sz w:val="24"/>
          <w:szCs w:val="24"/>
          <w:highlight w:val="none"/>
          <w:lang w:eastAsia="zh-CN"/>
        </w:rPr>
        <w:t>谈判</w:t>
      </w:r>
      <w:r>
        <w:rPr>
          <w:rFonts w:hint="eastAsia" w:ascii="宋体" w:hAnsi="宋体" w:eastAsia="宋体" w:cs="宋体"/>
          <w:color w:val="000000"/>
          <w:sz w:val="24"/>
          <w:szCs w:val="24"/>
          <w:highlight w:val="none"/>
        </w:rPr>
        <w:t>小组成员。</w:t>
      </w:r>
    </w:p>
    <w:p w14:paraId="7446FD7F">
      <w:pPr>
        <w:pStyle w:val="60"/>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供应商认为采购人员及相关人员与其他供应商有利害关系的，可以向采购代理机构书面提出回避申请，并说明理由。采购代理机构将及时询问被申请回避人员，有利害关系的被申请回避人员应当回避。</w:t>
      </w:r>
    </w:p>
    <w:p w14:paraId="248E4C95">
      <w:pPr>
        <w:pStyle w:val="7"/>
        <w:pageBreakBefore w:val="0"/>
        <w:widowControl w:val="0"/>
        <w:kinsoku/>
        <w:wordWrap/>
        <w:overflowPunct/>
        <w:topLinePunct w:val="0"/>
        <w:autoSpaceDE/>
        <w:autoSpaceDN/>
        <w:bidi w:val="0"/>
        <w:snapToGrid/>
        <w:spacing w:before="0" w:after="0" w:line="560" w:lineRule="exact"/>
        <w:ind w:right="0" w:rightChars="0"/>
        <w:jc w:val="both"/>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联合体</w:t>
      </w:r>
      <w:r>
        <w:rPr>
          <w:rFonts w:hint="eastAsia" w:ascii="宋体" w:hAnsi="宋体" w:eastAsia="宋体" w:cs="宋体"/>
          <w:sz w:val="24"/>
          <w:szCs w:val="24"/>
          <w:lang w:eastAsia="zh-CN"/>
        </w:rPr>
        <w:t>谈判</w:t>
      </w:r>
      <w:r>
        <w:rPr>
          <w:rFonts w:hint="eastAsia" w:ascii="宋体" w:hAnsi="宋体" w:eastAsia="宋体" w:cs="宋体"/>
          <w:sz w:val="24"/>
          <w:szCs w:val="24"/>
          <w:lang w:val="en-US" w:eastAsia="zh-CN"/>
        </w:rPr>
        <w:t>要求</w:t>
      </w:r>
    </w:p>
    <w:p w14:paraId="7505B842">
      <w:pPr>
        <w:pStyle w:val="60"/>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如本项目允许联合体投标，对联合体规定如下：</w:t>
      </w:r>
    </w:p>
    <w:p w14:paraId="78516417">
      <w:pPr>
        <w:pStyle w:val="60"/>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sz w:val="24"/>
          <w:szCs w:val="24"/>
        </w:rPr>
      </w:pPr>
      <w:r>
        <w:rPr>
          <w:rFonts w:hint="eastAsia" w:ascii="宋体" w:hAnsi="宋体" w:eastAsia="宋体" w:cs="宋体"/>
          <w:color w:val="000000"/>
          <w:sz w:val="24"/>
          <w:szCs w:val="24"/>
        </w:rPr>
        <w:t>6.1 两个以上供应商可以组成一个联合体参加</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，以一个供应商的身份参加</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。以联合体形式参加参加</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的，联合体各方</w:t>
      </w:r>
      <w:r>
        <w:rPr>
          <w:rFonts w:hint="eastAsia" w:ascii="宋体" w:hAnsi="宋体" w:eastAsia="宋体" w:cs="宋体"/>
          <w:color w:val="000000"/>
          <w:sz w:val="24"/>
          <w:szCs w:val="24"/>
          <w:highlight w:val="none"/>
        </w:rPr>
        <w:t>均应当满足《中华人民共和国政府采购法》第二十二条规定</w:t>
      </w:r>
      <w:r>
        <w:rPr>
          <w:rFonts w:hint="eastAsia" w:ascii="宋体" w:hAnsi="宋体" w:eastAsia="宋体" w:cs="宋体"/>
          <w:color w:val="000000"/>
          <w:sz w:val="24"/>
          <w:szCs w:val="24"/>
          <w:highlight w:val="none"/>
          <w:lang w:val="en-US" w:eastAsia="zh-CN"/>
        </w:rPr>
        <w:t>的</w:t>
      </w:r>
      <w:r>
        <w:rPr>
          <w:rFonts w:hint="eastAsia" w:ascii="宋体" w:hAnsi="宋体" w:eastAsia="宋体" w:cs="宋体"/>
          <w:sz w:val="24"/>
          <w:szCs w:val="24"/>
          <w:highlight w:val="none"/>
          <w:lang w:val="en-US" w:eastAsia="zh-CN"/>
        </w:rPr>
        <w:t>资格</w:t>
      </w:r>
      <w:r>
        <w:rPr>
          <w:rFonts w:hint="eastAsia" w:ascii="宋体" w:hAnsi="宋体" w:eastAsia="宋体" w:cs="宋体"/>
          <w:sz w:val="24"/>
          <w:szCs w:val="24"/>
          <w:highlight w:val="none"/>
        </w:rPr>
        <w:t>条件，联合体各方中至少有一方符合</w:t>
      </w:r>
      <w:r>
        <w:rPr>
          <w:rFonts w:hint="eastAsia" w:ascii="宋体" w:hAnsi="宋体" w:eastAsia="宋体" w:cs="宋体"/>
          <w:sz w:val="24"/>
          <w:szCs w:val="24"/>
          <w:highlight w:val="none"/>
          <w:lang w:val="en-US" w:eastAsia="zh-CN"/>
        </w:rPr>
        <w:t>本项目规定</w:t>
      </w:r>
      <w:r>
        <w:rPr>
          <w:rFonts w:hint="eastAsia" w:ascii="宋体" w:hAnsi="宋体" w:eastAsia="宋体" w:cs="宋体"/>
          <w:sz w:val="24"/>
          <w:szCs w:val="24"/>
          <w:highlight w:val="none"/>
        </w:rPr>
        <w:t>的特定条件。</w:t>
      </w:r>
    </w:p>
    <w:p w14:paraId="6395428F">
      <w:pPr>
        <w:pStyle w:val="60"/>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6.2 联合体各方之间应当签订联合体共同响应协议，明确约定联合体各方承担的工作和相应的责任。联合体参加</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的，应在响应文件提供联合体协议原件。</w:t>
      </w:r>
    </w:p>
    <w:p w14:paraId="0D10862D">
      <w:pPr>
        <w:pStyle w:val="60"/>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6.3 联合体应当确定其中一个单位为</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的全权代表，负责参加</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的一切事务。</w:t>
      </w:r>
    </w:p>
    <w:p w14:paraId="2818FBB3">
      <w:pPr>
        <w:pStyle w:val="60"/>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6.4 联合体各方应当共同与采购人签订采购合同，就采购合同约定的事项对采购人承担连带责任。</w:t>
      </w:r>
    </w:p>
    <w:p w14:paraId="42BEAB8E">
      <w:pPr>
        <w:pStyle w:val="60"/>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6.5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联合体中有同类资质的供应商按照联合体分工承担相同工作的，将按照资质等级较低的供应商确定资质等级。</w:t>
      </w:r>
    </w:p>
    <w:p w14:paraId="4510B567">
      <w:pPr>
        <w:pStyle w:val="60"/>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6.6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以联合体形式参加政府采购活动的，联合体各方不得再单独参加或者与其他供应商另外组成联合体参加同一合同项下的政府采购活动</w:t>
      </w:r>
      <w:r>
        <w:rPr>
          <w:rFonts w:hint="eastAsia" w:ascii="宋体" w:hAnsi="宋体" w:eastAsia="宋体" w:cs="宋体"/>
          <w:color w:val="000000"/>
          <w:sz w:val="24"/>
          <w:szCs w:val="24"/>
          <w:lang w:eastAsia="zh-CN"/>
        </w:rPr>
        <w:t>，否则相关响应将被认定为响应</w:t>
      </w:r>
      <w:r>
        <w:rPr>
          <w:rFonts w:hint="eastAsia" w:ascii="宋体" w:hAnsi="宋体" w:eastAsia="宋体" w:cs="宋体"/>
          <w:b/>
          <w:bCs/>
          <w:color w:val="000000"/>
          <w:sz w:val="24"/>
          <w:szCs w:val="24"/>
          <w:lang w:eastAsia="zh-CN"/>
        </w:rPr>
        <w:t>无效</w:t>
      </w:r>
      <w:r>
        <w:rPr>
          <w:rFonts w:hint="eastAsia" w:ascii="宋体" w:hAnsi="宋体" w:eastAsia="宋体" w:cs="宋体"/>
          <w:color w:val="000000"/>
          <w:sz w:val="24"/>
          <w:szCs w:val="24"/>
          <w:lang w:eastAsia="zh-CN"/>
        </w:rPr>
        <w:t>。</w:t>
      </w:r>
    </w:p>
    <w:p w14:paraId="6A4AABDF">
      <w:pPr>
        <w:pStyle w:val="60"/>
        <w:keepNext w:val="0"/>
        <w:keepLines w:val="0"/>
        <w:pageBreakBefore w:val="0"/>
        <w:widowControl w:val="0"/>
        <w:kinsoku/>
        <w:wordWrap/>
        <w:overflowPunct/>
        <w:topLinePunct w:val="0"/>
        <w:autoSpaceDE/>
        <w:autoSpaceDN/>
        <w:bidi w:val="0"/>
        <w:snapToGrid/>
        <w:spacing w:line="560" w:lineRule="exact"/>
        <w:ind w:left="1" w:right="0" w:rightChars="0" w:firstLine="480" w:firstLineChars="200"/>
        <w:jc w:val="both"/>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6.7 大中型企业、其他自然人、法人或者非法人组织与小型、微型企业组成联合体共同参加的，共同响应协议中应写明小型、微型企业的协议合同金额占到共同响应协议投标总金额的比例。</w:t>
      </w:r>
    </w:p>
    <w:p w14:paraId="2F332697">
      <w:pPr>
        <w:pStyle w:val="7"/>
        <w:pageBreakBefore w:val="0"/>
        <w:widowControl w:val="0"/>
        <w:kinsoku/>
        <w:wordWrap/>
        <w:overflowPunct/>
        <w:topLinePunct w:val="0"/>
        <w:autoSpaceDE/>
        <w:autoSpaceDN/>
        <w:bidi w:val="0"/>
        <w:snapToGrid/>
        <w:spacing w:before="0" w:after="0" w:line="560" w:lineRule="exact"/>
        <w:ind w:right="0" w:rightChars="0"/>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7. 谈判保证金</w:t>
      </w:r>
      <w:r>
        <w:rPr>
          <w:rFonts w:hint="default" w:ascii="宋体" w:hAnsi="宋体" w:cs="宋体"/>
          <w:sz w:val="24"/>
          <w:szCs w:val="24"/>
          <w:lang w:val="en-US" w:eastAsia="zh-CN"/>
        </w:rPr>
        <w:t>(</w:t>
      </w:r>
      <w:r>
        <w:rPr>
          <w:rFonts w:hint="eastAsia" w:ascii="宋体" w:hAnsi="宋体" w:cs="宋体"/>
          <w:sz w:val="24"/>
          <w:szCs w:val="24"/>
          <w:lang w:val="en-US" w:eastAsia="zh-CN"/>
        </w:rPr>
        <w:t>本项目不收取保证金</w:t>
      </w:r>
      <w:r>
        <w:rPr>
          <w:rFonts w:hint="default" w:ascii="宋体" w:hAnsi="宋体" w:cs="宋体"/>
          <w:sz w:val="24"/>
          <w:szCs w:val="24"/>
          <w:lang w:val="en-US" w:eastAsia="zh-CN"/>
        </w:rPr>
        <w:t>)</w:t>
      </w:r>
    </w:p>
    <w:p w14:paraId="769B1060">
      <w:pPr>
        <w:keepNext w:val="0"/>
        <w:keepLines w:val="0"/>
        <w:pageBreakBefore w:val="0"/>
        <w:widowControl w:val="0"/>
        <w:kinsoku/>
        <w:wordWrap/>
        <w:overflowPunct/>
        <w:topLinePunct w:val="0"/>
        <w:autoSpaceDE/>
        <w:autoSpaceDN/>
        <w:bidi w:val="0"/>
        <w:snapToGrid/>
        <w:spacing w:line="560" w:lineRule="exact"/>
        <w:ind w:right="0" w:rightChars="0" w:firstLine="470" w:firstLineChars="196"/>
        <w:jc w:val="both"/>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7.1 供应商必须以人民币</w:t>
      </w:r>
      <w:r>
        <w:rPr>
          <w:rFonts w:hint="eastAsia" w:ascii="宋体" w:hAnsi="宋体" w:eastAsia="宋体" w:cs="宋体"/>
          <w:sz w:val="24"/>
          <w:szCs w:val="24"/>
        </w:rPr>
        <w:t>为计量单位</w:t>
      </w:r>
      <w:r>
        <w:rPr>
          <w:rFonts w:hint="eastAsia" w:ascii="宋体" w:hAnsi="宋体" w:eastAsia="宋体" w:cs="宋体"/>
          <w:color w:val="000000"/>
          <w:sz w:val="24"/>
          <w:szCs w:val="24"/>
        </w:rPr>
        <w:t>提交</w:t>
      </w:r>
      <w:r>
        <w:rPr>
          <w:rFonts w:hint="eastAsia" w:ascii="宋体" w:hAnsi="宋体" w:eastAsia="宋体" w:cs="宋体"/>
          <w:color w:val="000000"/>
          <w:sz w:val="24"/>
          <w:szCs w:val="24"/>
          <w:lang w:eastAsia="zh-CN"/>
        </w:rPr>
        <w:t>谈判文件</w:t>
      </w:r>
      <w:r>
        <w:rPr>
          <w:rFonts w:hint="eastAsia" w:ascii="宋体" w:hAnsi="宋体" w:eastAsia="宋体" w:cs="宋体"/>
          <w:color w:val="000000"/>
          <w:sz w:val="24"/>
          <w:szCs w:val="24"/>
        </w:rPr>
        <w:t>规定数额的</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保证金。联合体</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的，可以由联合体的一方或者共同提交</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保证金，以一方名义提交</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保证金的，对联合体各方均具有约束力。</w:t>
      </w:r>
    </w:p>
    <w:p w14:paraId="09E8BEFB">
      <w:pPr>
        <w:keepNext w:val="0"/>
        <w:keepLines w:val="0"/>
        <w:pageBreakBefore w:val="0"/>
        <w:widowControl w:val="0"/>
        <w:kinsoku/>
        <w:wordWrap/>
        <w:overflowPunct/>
        <w:topLinePunct w:val="0"/>
        <w:autoSpaceDE/>
        <w:autoSpaceDN/>
        <w:bidi w:val="0"/>
        <w:snapToGrid/>
        <w:spacing w:line="560" w:lineRule="exact"/>
        <w:ind w:right="0" w:rightChars="0" w:firstLine="470" w:firstLineChars="196"/>
        <w:jc w:val="both"/>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7.2 未按</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文件要求在规定时间前交纳规定数额</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保证金的响应文件</w:t>
      </w:r>
      <w:r>
        <w:rPr>
          <w:rFonts w:hint="eastAsia" w:ascii="宋体" w:hAnsi="宋体" w:eastAsia="宋体" w:cs="宋体"/>
          <w:b/>
          <w:bCs/>
          <w:color w:val="000000"/>
          <w:sz w:val="24"/>
          <w:szCs w:val="24"/>
        </w:rPr>
        <w:t>无效</w:t>
      </w:r>
      <w:r>
        <w:rPr>
          <w:rFonts w:hint="eastAsia" w:ascii="宋体" w:hAnsi="宋体" w:eastAsia="宋体" w:cs="宋体"/>
          <w:color w:val="000000"/>
          <w:sz w:val="24"/>
          <w:szCs w:val="24"/>
        </w:rPr>
        <w:t>。</w:t>
      </w:r>
    </w:p>
    <w:p w14:paraId="6DB9DE4B">
      <w:pPr>
        <w:keepNext w:val="0"/>
        <w:keepLines w:val="0"/>
        <w:pageBreakBefore w:val="0"/>
        <w:widowControl w:val="0"/>
        <w:kinsoku/>
        <w:wordWrap/>
        <w:overflowPunct/>
        <w:topLinePunct w:val="0"/>
        <w:autoSpaceDE/>
        <w:autoSpaceDN/>
        <w:bidi w:val="0"/>
        <w:snapToGrid/>
        <w:spacing w:line="560" w:lineRule="exact"/>
        <w:ind w:right="0" w:rightChars="0" w:firstLine="470" w:firstLineChars="196"/>
        <w:jc w:val="both"/>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7.3 供应商所交纳的</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保证金不计利息。</w:t>
      </w:r>
    </w:p>
    <w:p w14:paraId="6DC6B6BC">
      <w:pPr>
        <w:keepNext w:val="0"/>
        <w:keepLines w:val="0"/>
        <w:pageBreakBefore w:val="0"/>
        <w:widowControl w:val="0"/>
        <w:kinsoku/>
        <w:wordWrap/>
        <w:overflowPunct/>
        <w:topLinePunct w:val="0"/>
        <w:autoSpaceDE/>
        <w:autoSpaceDN/>
        <w:bidi w:val="0"/>
        <w:snapToGrid/>
        <w:spacing w:line="560" w:lineRule="exact"/>
        <w:ind w:right="0" w:rightChars="0" w:firstLine="470" w:firstLineChars="196"/>
        <w:jc w:val="both"/>
        <w:outlineLvl w:val="9"/>
        <w:rPr>
          <w:rFonts w:hint="eastAsia" w:ascii="宋体" w:hAnsi="宋体" w:eastAsia="宋体" w:cs="宋体"/>
          <w:sz w:val="24"/>
          <w:szCs w:val="24"/>
        </w:rPr>
      </w:pPr>
      <w:r>
        <w:rPr>
          <w:rFonts w:hint="eastAsia" w:ascii="宋体" w:hAnsi="宋体" w:eastAsia="宋体" w:cs="宋体"/>
          <w:color w:val="000000"/>
          <w:sz w:val="24"/>
          <w:szCs w:val="24"/>
        </w:rPr>
        <w:t>7.4 未成交供应商的</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保证金，将在成交通知书发出后五个工作日内全额退还。成交供应商的</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保证金，在合同签订生效并</w:t>
      </w:r>
      <w:r>
        <w:rPr>
          <w:rFonts w:hint="eastAsia" w:ascii="宋体" w:hAnsi="宋体" w:eastAsia="宋体" w:cs="宋体"/>
          <w:color w:val="000000"/>
          <w:sz w:val="24"/>
          <w:szCs w:val="24"/>
          <w:lang w:val="en-US" w:eastAsia="zh-CN"/>
        </w:rPr>
        <w:t>递交到采购代理机构</w:t>
      </w:r>
      <w:r>
        <w:rPr>
          <w:rFonts w:hint="eastAsia" w:ascii="宋体" w:hAnsi="宋体" w:eastAsia="宋体" w:cs="宋体"/>
          <w:color w:val="000000"/>
          <w:sz w:val="24"/>
          <w:szCs w:val="24"/>
        </w:rPr>
        <w:t>后五个工作日内全额退还。（注：①因供应商自身原因造成的保证金延迟退还，采购代理机构不承担相应责任；②供应商因涉嫌违法违规</w:t>
      </w:r>
      <w:r>
        <w:rPr>
          <w:rFonts w:hint="eastAsia" w:ascii="宋体" w:hAnsi="宋体" w:eastAsia="宋体" w:cs="宋体"/>
          <w:sz w:val="24"/>
          <w:szCs w:val="24"/>
        </w:rPr>
        <w:t>，按照规定应当不予退还保证金的，有关部门处理认定违法违规行为期间不计入退还保证金期限内。）</w:t>
      </w:r>
    </w:p>
    <w:p w14:paraId="53AD602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70" w:firstLineChars="196"/>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7.5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发生下列情形之一的，采购代理机构将不予退还</w:t>
      </w:r>
      <w:r>
        <w:rPr>
          <w:rFonts w:hint="eastAsia" w:ascii="宋体" w:hAnsi="宋体" w:eastAsia="宋体" w:cs="宋体"/>
          <w:sz w:val="24"/>
          <w:szCs w:val="24"/>
          <w:lang w:eastAsia="zh-CN"/>
        </w:rPr>
        <w:t>谈判</w:t>
      </w:r>
      <w:r>
        <w:rPr>
          <w:rFonts w:hint="eastAsia" w:ascii="宋体" w:hAnsi="宋体" w:eastAsia="宋体" w:cs="宋体"/>
          <w:sz w:val="24"/>
          <w:szCs w:val="24"/>
        </w:rPr>
        <w:t>保证金：</w:t>
      </w:r>
    </w:p>
    <w:p w14:paraId="7DA28A9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70" w:firstLineChars="196"/>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7.5.1</w:t>
      </w:r>
      <w:r>
        <w:rPr>
          <w:rFonts w:hint="eastAsia" w:ascii="宋体" w:hAnsi="宋体" w:eastAsia="宋体" w:cs="宋体"/>
          <w:sz w:val="24"/>
          <w:szCs w:val="24"/>
        </w:rPr>
        <w:t>在</w:t>
      </w:r>
      <w:r>
        <w:rPr>
          <w:rFonts w:hint="eastAsia" w:ascii="宋体" w:hAnsi="宋体" w:eastAsia="宋体" w:cs="宋体"/>
          <w:sz w:val="24"/>
          <w:szCs w:val="24"/>
          <w:lang w:eastAsia="zh-CN"/>
        </w:rPr>
        <w:t>谈判文件</w:t>
      </w:r>
      <w:r>
        <w:rPr>
          <w:rFonts w:hint="eastAsia" w:ascii="宋体" w:hAnsi="宋体" w:eastAsia="宋体" w:cs="宋体"/>
          <w:sz w:val="24"/>
          <w:szCs w:val="24"/>
        </w:rPr>
        <w:t>规定的</w:t>
      </w:r>
      <w:r>
        <w:rPr>
          <w:rFonts w:hint="eastAsia" w:ascii="宋体" w:hAnsi="宋体" w:eastAsia="宋体" w:cs="宋体"/>
          <w:sz w:val="24"/>
          <w:szCs w:val="24"/>
          <w:lang w:eastAsia="zh-CN"/>
        </w:rPr>
        <w:t>谈判</w:t>
      </w:r>
      <w:r>
        <w:rPr>
          <w:rFonts w:hint="eastAsia" w:ascii="宋体" w:hAnsi="宋体" w:eastAsia="宋体" w:cs="宋体"/>
          <w:sz w:val="24"/>
          <w:szCs w:val="24"/>
        </w:rPr>
        <w:t>截止时间后撤回</w:t>
      </w:r>
      <w:r>
        <w:rPr>
          <w:rFonts w:hint="eastAsia" w:ascii="宋体" w:hAnsi="宋体" w:eastAsia="宋体" w:cs="宋体"/>
          <w:sz w:val="24"/>
          <w:szCs w:val="24"/>
          <w:lang w:eastAsia="zh-CN"/>
        </w:rPr>
        <w:t>谈判</w:t>
      </w:r>
      <w:r>
        <w:rPr>
          <w:rFonts w:hint="eastAsia" w:ascii="宋体" w:hAnsi="宋体" w:eastAsia="宋体" w:cs="宋体"/>
          <w:sz w:val="24"/>
          <w:szCs w:val="24"/>
        </w:rPr>
        <w:t>的；</w:t>
      </w:r>
    </w:p>
    <w:p w14:paraId="1110ACC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70" w:firstLineChars="196"/>
        <w:jc w:val="both"/>
        <w:textAlignment w:val="auto"/>
        <w:outlineLvl w:val="9"/>
        <w:rPr>
          <w:rFonts w:hint="eastAsia" w:ascii="宋体" w:hAnsi="宋体" w:eastAsia="宋体" w:cs="宋体"/>
          <w:color w:val="000000"/>
          <w:sz w:val="24"/>
          <w:szCs w:val="24"/>
        </w:rPr>
      </w:pPr>
      <w:r>
        <w:rPr>
          <w:rFonts w:hint="eastAsia" w:ascii="宋体" w:hAnsi="宋体" w:eastAsia="宋体" w:cs="宋体"/>
          <w:sz w:val="24"/>
          <w:szCs w:val="24"/>
          <w:lang w:val="en-US" w:eastAsia="zh-CN"/>
        </w:rPr>
        <w:t>7.5.2</w:t>
      </w:r>
      <w:r>
        <w:rPr>
          <w:rFonts w:hint="eastAsia" w:ascii="宋体" w:hAnsi="宋体" w:eastAsia="宋体" w:cs="宋体"/>
          <w:sz w:val="24"/>
          <w:szCs w:val="24"/>
        </w:rPr>
        <w:t>在采购人确定成交人之前放弃</w:t>
      </w:r>
      <w:r>
        <w:rPr>
          <w:rFonts w:hint="eastAsia" w:ascii="宋体" w:hAnsi="宋体" w:eastAsia="宋体" w:cs="宋体"/>
          <w:color w:val="000000"/>
          <w:sz w:val="24"/>
          <w:szCs w:val="24"/>
        </w:rPr>
        <w:t>成交候选资格的；</w:t>
      </w:r>
    </w:p>
    <w:p w14:paraId="784AD3A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70" w:firstLineChars="196"/>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7.5.3</w:t>
      </w:r>
      <w:r>
        <w:rPr>
          <w:rFonts w:hint="eastAsia" w:ascii="宋体" w:hAnsi="宋体" w:eastAsia="宋体" w:cs="宋体"/>
          <w:color w:val="000000"/>
          <w:sz w:val="24"/>
          <w:szCs w:val="24"/>
        </w:rPr>
        <w:t>成交后放弃成交、不领取或者不接收成交通知书的；</w:t>
      </w:r>
    </w:p>
    <w:p w14:paraId="2FC2715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70" w:firstLineChars="196"/>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7.5.4</w:t>
      </w:r>
      <w:r>
        <w:rPr>
          <w:rFonts w:hint="eastAsia" w:ascii="宋体" w:hAnsi="宋体" w:eastAsia="宋体" w:cs="宋体"/>
          <w:color w:val="000000"/>
          <w:sz w:val="24"/>
          <w:szCs w:val="24"/>
        </w:rPr>
        <w:t>由于成交人的原因未能按照</w:t>
      </w:r>
      <w:r>
        <w:rPr>
          <w:rFonts w:hint="eastAsia" w:ascii="宋体" w:hAnsi="宋体" w:eastAsia="宋体" w:cs="宋体"/>
          <w:color w:val="000000"/>
          <w:sz w:val="24"/>
          <w:szCs w:val="24"/>
          <w:lang w:eastAsia="zh-CN"/>
        </w:rPr>
        <w:t>谈判文件</w:t>
      </w:r>
      <w:r>
        <w:rPr>
          <w:rFonts w:hint="eastAsia" w:ascii="宋体" w:hAnsi="宋体" w:eastAsia="宋体" w:cs="宋体"/>
          <w:color w:val="000000"/>
          <w:sz w:val="24"/>
          <w:szCs w:val="24"/>
        </w:rPr>
        <w:t>的规定与采购人签订合同的；</w:t>
      </w:r>
    </w:p>
    <w:p w14:paraId="24527BC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70" w:firstLineChars="196"/>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7.5.5</w:t>
      </w:r>
      <w:r>
        <w:rPr>
          <w:rFonts w:hint="eastAsia" w:ascii="宋体" w:hAnsi="宋体" w:eastAsia="宋体" w:cs="宋体"/>
          <w:color w:val="000000"/>
          <w:sz w:val="24"/>
          <w:szCs w:val="24"/>
        </w:rPr>
        <w:t>由于成交人的原因未能按照</w:t>
      </w:r>
      <w:r>
        <w:rPr>
          <w:rFonts w:hint="eastAsia" w:ascii="宋体" w:hAnsi="宋体" w:eastAsia="宋体" w:cs="宋体"/>
          <w:color w:val="000000"/>
          <w:sz w:val="24"/>
          <w:szCs w:val="24"/>
          <w:lang w:eastAsia="zh-CN"/>
        </w:rPr>
        <w:t>谈判文件</w:t>
      </w:r>
      <w:r>
        <w:rPr>
          <w:rFonts w:hint="eastAsia" w:ascii="宋体" w:hAnsi="宋体" w:eastAsia="宋体" w:cs="宋体"/>
          <w:color w:val="000000"/>
          <w:sz w:val="24"/>
          <w:szCs w:val="24"/>
        </w:rPr>
        <w:t>的规定交纳履约保证金的；</w:t>
      </w:r>
    </w:p>
    <w:p w14:paraId="714D27C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70" w:firstLineChars="196"/>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7.5.6</w:t>
      </w:r>
      <w:r>
        <w:rPr>
          <w:rFonts w:hint="eastAsia" w:ascii="宋体" w:hAnsi="宋体" w:eastAsia="宋体" w:cs="宋体"/>
          <w:color w:val="000000"/>
          <w:sz w:val="24"/>
          <w:szCs w:val="24"/>
        </w:rPr>
        <w:t>供应商提供虚假资料的；</w:t>
      </w:r>
    </w:p>
    <w:p w14:paraId="50660B08">
      <w:pPr>
        <w:keepNext w:val="0"/>
        <w:keepLines w:val="0"/>
        <w:pageBreakBefore w:val="0"/>
        <w:widowControl w:val="0"/>
        <w:kinsoku/>
        <w:wordWrap/>
        <w:overflowPunct/>
        <w:topLinePunct w:val="0"/>
        <w:autoSpaceDE/>
        <w:autoSpaceDN/>
        <w:bidi w:val="0"/>
        <w:adjustRightInd/>
        <w:snapToGrid/>
        <w:spacing w:afterAutospacing="0" w:line="560" w:lineRule="exact"/>
        <w:ind w:left="0" w:leftChars="0" w:right="0" w:rightChars="0" w:firstLine="470" w:firstLineChars="196"/>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7.5.7</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有效期内，供应商在政府采购活动中有违法、违规、违纪行为。</w:t>
      </w:r>
    </w:p>
    <w:p w14:paraId="14E1AEA4">
      <w:pPr>
        <w:pStyle w:val="7"/>
        <w:bidi w:val="0"/>
        <w:spacing w:before="0" w:beforeAutospacing="0" w:after="0" w:afterAutospacing="0"/>
        <w:outlineLvl w:val="1"/>
        <w:rPr>
          <w:rFonts w:hint="eastAsia"/>
          <w:sz w:val="24"/>
          <w:szCs w:val="24"/>
          <w:lang w:val="en-US" w:eastAsia="zh-CN"/>
        </w:rPr>
      </w:pPr>
      <w:bookmarkStart w:id="130" w:name="_Toc27607"/>
      <w:bookmarkStart w:id="131" w:name="_Toc1861"/>
      <w:r>
        <w:rPr>
          <w:rFonts w:hint="eastAsia"/>
          <w:sz w:val="24"/>
          <w:szCs w:val="24"/>
          <w:lang w:val="en-US" w:eastAsia="zh-CN"/>
        </w:rPr>
        <w:t>★8. 响应文件有效期（实质性要求）</w:t>
      </w:r>
      <w:bookmarkEnd w:id="130"/>
      <w:bookmarkEnd w:id="131"/>
    </w:p>
    <w:p w14:paraId="0F58202A">
      <w:pPr>
        <w:keepNext w:val="0"/>
        <w:keepLines w:val="0"/>
        <w:pageBreakBefore w:val="0"/>
        <w:widowControl w:val="0"/>
        <w:kinsoku/>
        <w:wordWrap/>
        <w:overflowPunct/>
        <w:topLinePunct w:val="0"/>
        <w:autoSpaceDE/>
        <w:autoSpaceDN/>
        <w:bidi w:val="0"/>
        <w:snapToGrid/>
        <w:spacing w:beforeAutospacing="0" w:line="560" w:lineRule="exact"/>
        <w:ind w:right="0" w:rightChars="0" w:firstLine="470" w:firstLineChars="196"/>
        <w:jc w:val="both"/>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本项目响应文件有效期</w:t>
      </w:r>
      <w:r>
        <w:rPr>
          <w:rFonts w:hint="eastAsia" w:ascii="宋体" w:hAnsi="宋体" w:eastAsia="宋体" w:cs="宋体"/>
          <w:color w:val="000000"/>
          <w:sz w:val="24"/>
          <w:szCs w:val="24"/>
          <w:lang w:val="en-US" w:eastAsia="zh-CN"/>
        </w:rPr>
        <w:t>详见</w:t>
      </w:r>
      <w:r>
        <w:rPr>
          <w:rFonts w:hint="eastAsia" w:ascii="宋体" w:hAnsi="宋体" w:eastAsia="宋体" w:cs="宋体"/>
          <w:b/>
          <w:bCs/>
          <w:color w:val="000000"/>
          <w:sz w:val="24"/>
          <w:szCs w:val="24"/>
          <w:lang w:val="en-US" w:eastAsia="zh-CN"/>
        </w:rPr>
        <w:t>“供应商须知前附表</w:t>
      </w:r>
      <w:r>
        <w:rPr>
          <w:rFonts w:hint="eastAsia" w:ascii="宋体" w:hAnsi="宋体" w:eastAsia="宋体" w:cs="宋体"/>
          <w:b/>
          <w:bCs/>
          <w:color w:val="000000"/>
          <w:sz w:val="24"/>
          <w:szCs w:val="24"/>
          <w:highlight w:val="none"/>
          <w:lang w:val="en-US" w:eastAsia="zh-CN"/>
        </w:rPr>
        <w:t>”</w:t>
      </w:r>
      <w:r>
        <w:rPr>
          <w:rFonts w:hint="eastAsia" w:ascii="宋体" w:hAnsi="宋体" w:eastAsia="宋体" w:cs="宋体"/>
          <w:color w:val="000000"/>
          <w:sz w:val="24"/>
          <w:szCs w:val="24"/>
          <w:highlight w:val="none"/>
        </w:rPr>
        <w:t>。供</w:t>
      </w:r>
      <w:r>
        <w:rPr>
          <w:rFonts w:hint="eastAsia" w:ascii="宋体" w:hAnsi="宋体" w:eastAsia="宋体" w:cs="宋体"/>
          <w:color w:val="000000"/>
          <w:sz w:val="24"/>
          <w:szCs w:val="24"/>
        </w:rPr>
        <w:t>应商响应文件中必须载明响应文件有效期，响应文件中载明的响应文件有效期可以长于</w:t>
      </w:r>
      <w:r>
        <w:rPr>
          <w:rFonts w:hint="eastAsia" w:ascii="宋体" w:hAnsi="宋体" w:eastAsia="宋体" w:cs="宋体"/>
          <w:color w:val="000000"/>
          <w:sz w:val="24"/>
          <w:szCs w:val="24"/>
          <w:lang w:eastAsia="zh-CN"/>
        </w:rPr>
        <w:t>谈判文件</w:t>
      </w:r>
      <w:r>
        <w:rPr>
          <w:rFonts w:hint="eastAsia" w:ascii="宋体" w:hAnsi="宋体" w:eastAsia="宋体" w:cs="宋体"/>
          <w:color w:val="000000"/>
          <w:sz w:val="24"/>
          <w:szCs w:val="24"/>
        </w:rPr>
        <w:t>规定的期限，但不得短于</w:t>
      </w:r>
      <w:r>
        <w:rPr>
          <w:rFonts w:hint="eastAsia" w:ascii="宋体" w:hAnsi="宋体" w:eastAsia="宋体" w:cs="宋体"/>
          <w:color w:val="000000"/>
          <w:sz w:val="24"/>
          <w:szCs w:val="24"/>
          <w:lang w:eastAsia="zh-CN"/>
        </w:rPr>
        <w:t>谈判文件</w:t>
      </w:r>
      <w:r>
        <w:rPr>
          <w:rFonts w:hint="eastAsia" w:ascii="宋体" w:hAnsi="宋体" w:eastAsia="宋体" w:cs="宋体"/>
          <w:color w:val="000000"/>
          <w:sz w:val="24"/>
          <w:szCs w:val="24"/>
        </w:rPr>
        <w:t>规定的期限。否则，其响应文件将作为无效响应处理。</w:t>
      </w:r>
    </w:p>
    <w:p w14:paraId="627FF515">
      <w:pPr>
        <w:pStyle w:val="7"/>
        <w:pageBreakBefore w:val="0"/>
        <w:widowControl w:val="0"/>
        <w:kinsoku/>
        <w:wordWrap/>
        <w:overflowPunct/>
        <w:topLinePunct w:val="0"/>
        <w:autoSpaceDE/>
        <w:autoSpaceDN/>
        <w:bidi w:val="0"/>
        <w:snapToGrid/>
        <w:spacing w:before="0" w:after="0" w:line="560" w:lineRule="exact"/>
        <w:ind w:right="0" w:right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 知识产权（实质性要求）</w:t>
      </w:r>
    </w:p>
    <w:p w14:paraId="4C9951ED">
      <w:pPr>
        <w:pStyle w:val="3"/>
        <w:keepNext w:val="0"/>
        <w:keepLines w:val="0"/>
        <w:pageBreakBefore w:val="0"/>
        <w:widowControl w:val="0"/>
        <w:kinsoku/>
        <w:wordWrap/>
        <w:overflowPunct/>
        <w:topLinePunct w:val="0"/>
        <w:autoSpaceDE/>
        <w:autoSpaceDN/>
        <w:bidi w:val="0"/>
        <w:snapToGrid/>
        <w:spacing w:line="560" w:lineRule="exact"/>
        <w:ind w:right="0" w:rightChars="0" w:firstLine="480" w:firstLineChars="200"/>
        <w:jc w:val="both"/>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9.1 供应商应保证在本项目</w:t>
      </w:r>
      <w:r>
        <w:rPr>
          <w:rFonts w:hint="eastAsia" w:ascii="宋体" w:hAnsi="宋体" w:eastAsia="宋体" w:cs="宋体"/>
          <w:sz w:val="24"/>
          <w:szCs w:val="24"/>
        </w:rPr>
        <w:t>中使</w:t>
      </w:r>
      <w:r>
        <w:rPr>
          <w:rFonts w:hint="eastAsia" w:ascii="宋体" w:hAnsi="宋体" w:eastAsia="宋体" w:cs="宋体"/>
          <w:color w:val="000000"/>
          <w:sz w:val="24"/>
          <w:szCs w:val="24"/>
        </w:rPr>
        <w:t>用的任何产品和服务（包括部分使用），不会产生因第三方提出侵犯其专利权、商标权或其它知识产权而引起的法律和经济纠纷，如因专利权、商标权或其它知识产权而引起法律和经济纠纷，由供应商承担所有相关责任。</w:t>
      </w:r>
    </w:p>
    <w:p w14:paraId="6A90EEAE">
      <w:pPr>
        <w:pStyle w:val="3"/>
        <w:keepNext w:val="0"/>
        <w:keepLines w:val="0"/>
        <w:pageBreakBefore w:val="0"/>
        <w:widowControl w:val="0"/>
        <w:kinsoku/>
        <w:wordWrap/>
        <w:overflowPunct/>
        <w:topLinePunct w:val="0"/>
        <w:autoSpaceDE/>
        <w:autoSpaceDN/>
        <w:bidi w:val="0"/>
        <w:snapToGrid/>
        <w:spacing w:line="560" w:lineRule="exact"/>
        <w:ind w:right="0" w:rightChars="0" w:firstLine="480" w:firstLineChars="200"/>
        <w:jc w:val="both"/>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9.2 除非</w:t>
      </w:r>
      <w:r>
        <w:rPr>
          <w:rFonts w:hint="eastAsia" w:ascii="宋体" w:hAnsi="宋体" w:eastAsia="宋体" w:cs="宋体"/>
          <w:color w:val="000000"/>
          <w:sz w:val="24"/>
          <w:szCs w:val="24"/>
          <w:lang w:eastAsia="zh-CN"/>
        </w:rPr>
        <w:t>谈判文件</w:t>
      </w:r>
      <w:r>
        <w:rPr>
          <w:rFonts w:hint="eastAsia" w:ascii="宋体" w:hAnsi="宋体" w:eastAsia="宋体" w:cs="宋体"/>
          <w:color w:val="000000"/>
          <w:sz w:val="24"/>
          <w:szCs w:val="24"/>
        </w:rPr>
        <w:t>特别规定，采购人享有本项目实施过程中产生的知识成果及知识产权。</w:t>
      </w:r>
    </w:p>
    <w:p w14:paraId="7E83013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9.3 供应商如欲在项目实施过程中采用自有知识成果，需在响应文件中声明，</w:t>
      </w:r>
      <w:r>
        <w:rPr>
          <w:rFonts w:hint="eastAsia" w:ascii="宋体" w:hAnsi="宋体" w:eastAsia="宋体" w:cs="宋体"/>
          <w:sz w:val="24"/>
          <w:szCs w:val="24"/>
        </w:rPr>
        <w:t>应当在响应文件中载明，并提供相关知识产权证明文件</w:t>
      </w:r>
      <w:r>
        <w:rPr>
          <w:rFonts w:hint="eastAsia" w:ascii="宋体" w:hAnsi="宋体" w:eastAsia="宋体" w:cs="宋体"/>
          <w:color w:val="000000"/>
          <w:sz w:val="24"/>
          <w:szCs w:val="24"/>
        </w:rPr>
        <w:t>。使用该知识成果后，供应商需提供开发接口和开发手册等技术文档，并承诺提供无限期技术支持，采购人享有永久使用权（含采购人委托第三方在该项目后续开发的使用权）。</w:t>
      </w:r>
    </w:p>
    <w:p w14:paraId="754CDF6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60" w:firstLineChars="192"/>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9.4 如采用供应商所不拥有的知识产权，则在报价中必须包括合法获取该知识产权的相关费用。 </w:t>
      </w:r>
    </w:p>
    <w:p w14:paraId="2136A4A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宋体" w:hAnsi="宋体" w:eastAsia="宋体" w:cs="宋体"/>
          <w:bCs/>
          <w:color w:val="000000"/>
          <w:sz w:val="24"/>
          <w:szCs w:val="24"/>
        </w:rPr>
      </w:pPr>
    </w:p>
    <w:p w14:paraId="3E92AF06">
      <w:pPr>
        <w:pStyle w:val="6"/>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right="0" w:rightChars="0"/>
        <w:jc w:val="center"/>
        <w:textAlignment w:val="auto"/>
        <w:rPr>
          <w:rFonts w:hint="eastAsia" w:ascii="宋体" w:hAnsi="宋体" w:eastAsia="宋体" w:cs="宋体"/>
          <w:bCs/>
          <w:color w:val="000000"/>
          <w:sz w:val="32"/>
          <w:szCs w:val="32"/>
        </w:rPr>
      </w:pPr>
      <w:bookmarkStart w:id="132" w:name="_Toc4105"/>
      <w:bookmarkStart w:id="133" w:name="_Toc31061"/>
      <w:bookmarkStart w:id="134" w:name="_Toc22362_WPSOffice_Level2"/>
      <w:bookmarkStart w:id="135" w:name="_Toc17036"/>
      <w:bookmarkStart w:id="136" w:name="_Toc16309"/>
      <w:r>
        <w:rPr>
          <w:rFonts w:hint="eastAsia" w:ascii="宋体" w:hAnsi="宋体" w:eastAsia="宋体" w:cs="宋体"/>
          <w:bCs/>
          <w:color w:val="000000"/>
          <w:sz w:val="32"/>
          <w:szCs w:val="32"/>
        </w:rPr>
        <w:t>三、</w:t>
      </w:r>
      <w:r>
        <w:rPr>
          <w:rFonts w:hint="eastAsia" w:ascii="宋体" w:hAnsi="宋体" w:eastAsia="宋体" w:cs="宋体"/>
          <w:bCs/>
          <w:color w:val="000000"/>
          <w:sz w:val="32"/>
          <w:szCs w:val="32"/>
          <w:lang w:eastAsia="zh-CN"/>
        </w:rPr>
        <w:t>谈判文件</w:t>
      </w:r>
      <w:bookmarkEnd w:id="132"/>
      <w:bookmarkEnd w:id="133"/>
      <w:bookmarkEnd w:id="134"/>
      <w:bookmarkEnd w:id="135"/>
      <w:bookmarkEnd w:id="136"/>
    </w:p>
    <w:p w14:paraId="3242474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color w:val="000000"/>
          <w:sz w:val="24"/>
          <w:szCs w:val="24"/>
          <w:highlight w:val="none"/>
        </w:rPr>
      </w:pPr>
    </w:p>
    <w:p w14:paraId="159ADEA9">
      <w:pPr>
        <w:pStyle w:val="7"/>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 谈判文件的构成</w:t>
      </w:r>
    </w:p>
    <w:p w14:paraId="28563D8B">
      <w:pPr>
        <w:keepNext w:val="0"/>
        <w:keepLines w:val="0"/>
        <w:pageBreakBefore w:val="0"/>
        <w:widowControl w:val="0"/>
        <w:tabs>
          <w:tab w:val="left" w:pos="720"/>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b/>
          <w:bCs/>
          <w:color w:val="000000"/>
          <w:sz w:val="24"/>
          <w:szCs w:val="24"/>
          <w:highlight w:val="none"/>
        </w:rPr>
        <w:t>.</w:t>
      </w: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lang w:eastAsia="zh-CN"/>
        </w:rPr>
        <w:t>谈判文件</w:t>
      </w:r>
      <w:r>
        <w:rPr>
          <w:rFonts w:hint="eastAsia" w:ascii="宋体" w:hAnsi="宋体" w:eastAsia="宋体" w:cs="宋体"/>
          <w:color w:val="000000"/>
          <w:sz w:val="24"/>
          <w:szCs w:val="24"/>
          <w:highlight w:val="none"/>
        </w:rPr>
        <w:t>是供应商准备响应文件和参加</w:t>
      </w:r>
      <w:r>
        <w:rPr>
          <w:rFonts w:hint="eastAsia" w:ascii="宋体" w:hAnsi="宋体" w:eastAsia="宋体" w:cs="宋体"/>
          <w:color w:val="000000"/>
          <w:sz w:val="24"/>
          <w:szCs w:val="24"/>
          <w:highlight w:val="none"/>
          <w:lang w:eastAsia="zh-CN"/>
        </w:rPr>
        <w:t>谈判</w:t>
      </w:r>
      <w:r>
        <w:rPr>
          <w:rFonts w:hint="eastAsia" w:ascii="宋体" w:hAnsi="宋体" w:eastAsia="宋体" w:cs="宋体"/>
          <w:color w:val="000000"/>
          <w:sz w:val="24"/>
          <w:szCs w:val="24"/>
          <w:highlight w:val="none"/>
        </w:rPr>
        <w:t>的依据，同时也是</w:t>
      </w:r>
      <w:r>
        <w:rPr>
          <w:rFonts w:hint="eastAsia" w:ascii="宋体" w:hAnsi="宋体" w:eastAsia="宋体" w:cs="宋体"/>
          <w:color w:val="000000"/>
          <w:sz w:val="24"/>
          <w:szCs w:val="24"/>
          <w:highlight w:val="none"/>
          <w:lang w:eastAsia="zh-CN"/>
        </w:rPr>
        <w:t>谈判</w:t>
      </w:r>
      <w:r>
        <w:rPr>
          <w:rFonts w:hint="eastAsia" w:ascii="宋体" w:hAnsi="宋体" w:eastAsia="宋体" w:cs="宋体"/>
          <w:color w:val="000000"/>
          <w:sz w:val="24"/>
          <w:szCs w:val="24"/>
          <w:highlight w:val="none"/>
        </w:rPr>
        <w:t>的重要依据。</w:t>
      </w:r>
      <w:r>
        <w:rPr>
          <w:rFonts w:hint="eastAsia" w:ascii="宋体" w:hAnsi="宋体" w:eastAsia="宋体" w:cs="宋体"/>
          <w:color w:val="000000"/>
          <w:sz w:val="24"/>
          <w:szCs w:val="24"/>
          <w:highlight w:val="none"/>
          <w:lang w:eastAsia="zh-CN"/>
        </w:rPr>
        <w:t>谈判文件</w:t>
      </w:r>
      <w:r>
        <w:rPr>
          <w:rFonts w:hint="eastAsia" w:ascii="宋体" w:hAnsi="宋体" w:eastAsia="宋体" w:cs="宋体"/>
          <w:color w:val="000000"/>
          <w:sz w:val="24"/>
          <w:szCs w:val="24"/>
          <w:highlight w:val="none"/>
        </w:rPr>
        <w:t>用以阐明</w:t>
      </w:r>
      <w:r>
        <w:rPr>
          <w:rFonts w:hint="eastAsia" w:ascii="宋体" w:hAnsi="宋体" w:eastAsia="宋体" w:cs="宋体"/>
          <w:color w:val="000000"/>
          <w:sz w:val="24"/>
          <w:szCs w:val="24"/>
          <w:highlight w:val="none"/>
          <w:lang w:eastAsia="zh-CN"/>
        </w:rPr>
        <w:t>谈判</w:t>
      </w:r>
      <w:r>
        <w:rPr>
          <w:rFonts w:hint="eastAsia" w:ascii="宋体" w:hAnsi="宋体" w:eastAsia="宋体" w:cs="宋体"/>
          <w:color w:val="000000"/>
          <w:sz w:val="24"/>
          <w:szCs w:val="24"/>
          <w:highlight w:val="none"/>
        </w:rPr>
        <w:t>项目所需的资质、技术、服务及报价等要求、</w:t>
      </w:r>
      <w:r>
        <w:rPr>
          <w:rFonts w:hint="eastAsia" w:ascii="宋体" w:hAnsi="宋体" w:eastAsia="宋体" w:cs="宋体"/>
          <w:color w:val="000000"/>
          <w:sz w:val="24"/>
          <w:szCs w:val="24"/>
          <w:highlight w:val="none"/>
          <w:lang w:eastAsia="zh-CN"/>
        </w:rPr>
        <w:t>谈判</w:t>
      </w:r>
      <w:r>
        <w:rPr>
          <w:rFonts w:hint="eastAsia" w:ascii="宋体" w:hAnsi="宋体" w:eastAsia="宋体" w:cs="宋体"/>
          <w:color w:val="000000"/>
          <w:sz w:val="24"/>
          <w:szCs w:val="24"/>
          <w:highlight w:val="none"/>
        </w:rPr>
        <w:t>程序、有关规定和注意事项以及合同主要条款等。</w:t>
      </w:r>
    </w:p>
    <w:p w14:paraId="1D8CC52E">
      <w:pPr>
        <w:pageBreakBefore w:val="0"/>
        <w:widowControl w:val="0"/>
        <w:tabs>
          <w:tab w:val="left" w:pos="7665"/>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b/>
          <w:bCs/>
          <w:color w:val="000000"/>
          <w:sz w:val="24"/>
          <w:szCs w:val="24"/>
        </w:rPr>
        <w:t>.</w:t>
      </w:r>
      <w:r>
        <w:rPr>
          <w:rFonts w:hint="eastAsia" w:ascii="宋体" w:hAnsi="宋体" w:eastAsia="宋体" w:cs="宋体"/>
          <w:color w:val="000000"/>
          <w:sz w:val="24"/>
          <w:szCs w:val="24"/>
        </w:rPr>
        <w:t>2 供应商应认真阅读和充分理解</w:t>
      </w:r>
      <w:r>
        <w:rPr>
          <w:rFonts w:hint="eastAsia" w:ascii="宋体" w:hAnsi="宋体" w:eastAsia="宋体" w:cs="宋体"/>
          <w:color w:val="000000"/>
          <w:sz w:val="24"/>
          <w:szCs w:val="24"/>
          <w:lang w:eastAsia="zh-CN"/>
        </w:rPr>
        <w:t>谈判文件</w:t>
      </w:r>
      <w:r>
        <w:rPr>
          <w:rFonts w:hint="eastAsia" w:ascii="宋体" w:hAnsi="宋体" w:eastAsia="宋体" w:cs="宋体"/>
          <w:color w:val="000000"/>
          <w:sz w:val="24"/>
          <w:szCs w:val="24"/>
        </w:rPr>
        <w:t>中所有的事项、格式条款和规范要求。供应商应详细阅读</w:t>
      </w:r>
      <w:r>
        <w:rPr>
          <w:rFonts w:hint="eastAsia" w:ascii="宋体" w:hAnsi="宋体" w:eastAsia="宋体" w:cs="宋体"/>
          <w:color w:val="000000"/>
          <w:sz w:val="24"/>
          <w:szCs w:val="24"/>
          <w:lang w:eastAsia="zh-CN"/>
        </w:rPr>
        <w:t>谈判文件</w:t>
      </w:r>
      <w:r>
        <w:rPr>
          <w:rFonts w:hint="eastAsia" w:ascii="宋体" w:hAnsi="宋体" w:eastAsia="宋体" w:cs="宋体"/>
          <w:color w:val="000000"/>
          <w:sz w:val="24"/>
          <w:szCs w:val="24"/>
        </w:rPr>
        <w:t>的全部内容，按照</w:t>
      </w:r>
      <w:r>
        <w:rPr>
          <w:rFonts w:hint="eastAsia" w:ascii="宋体" w:hAnsi="宋体" w:eastAsia="宋体" w:cs="宋体"/>
          <w:color w:val="000000"/>
          <w:sz w:val="24"/>
          <w:szCs w:val="24"/>
          <w:lang w:eastAsia="zh-CN"/>
        </w:rPr>
        <w:t>谈判文件</w:t>
      </w:r>
      <w:r>
        <w:rPr>
          <w:rFonts w:hint="eastAsia" w:ascii="宋体" w:hAnsi="宋体" w:eastAsia="宋体" w:cs="宋体"/>
          <w:color w:val="000000"/>
          <w:sz w:val="24"/>
          <w:szCs w:val="24"/>
        </w:rPr>
        <w:t>的要求提供响应文件，并保证所提供的全部资料的真实性和有效性，一经发现有虚假行为的，将取消其参加</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或成交资格，并承担相应的法律责任。</w:t>
      </w:r>
    </w:p>
    <w:p w14:paraId="0AF83619">
      <w:pPr>
        <w:pageBreakBefore w:val="0"/>
        <w:widowControl w:val="0"/>
        <w:tabs>
          <w:tab w:val="left" w:pos="7665"/>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1.3 要求提供的货物、采购过程及合同条款在谈判文件中均有说明，谈判文件共六章，各章的内容如下：</w:t>
      </w:r>
    </w:p>
    <w:p w14:paraId="5C3028D7">
      <w:pPr>
        <w:pageBreakBefore w:val="0"/>
        <w:widowControl w:val="0"/>
        <w:tabs>
          <w:tab w:val="left" w:pos="7665"/>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第一章  竞争性谈判公告</w:t>
      </w:r>
    </w:p>
    <w:p w14:paraId="259CADAF">
      <w:pPr>
        <w:pageBreakBefore w:val="0"/>
        <w:widowControl w:val="0"/>
        <w:tabs>
          <w:tab w:val="left" w:pos="7665"/>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第二章  谈判须知</w:t>
      </w:r>
    </w:p>
    <w:p w14:paraId="75DE3741">
      <w:pPr>
        <w:pageBreakBefore w:val="0"/>
        <w:widowControl w:val="0"/>
        <w:tabs>
          <w:tab w:val="left" w:pos="7665"/>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第三章  项目需求</w:t>
      </w:r>
    </w:p>
    <w:p w14:paraId="0BFF9E24">
      <w:pPr>
        <w:pageBreakBefore w:val="0"/>
        <w:widowControl w:val="0"/>
        <w:tabs>
          <w:tab w:val="left" w:pos="7665"/>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第四章  政府采购合同</w:t>
      </w:r>
    </w:p>
    <w:p w14:paraId="49D851C1">
      <w:pPr>
        <w:pageBreakBefore w:val="0"/>
        <w:widowControl w:val="0"/>
        <w:tabs>
          <w:tab w:val="left" w:pos="7665"/>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第五章  评审办法</w:t>
      </w:r>
    </w:p>
    <w:p w14:paraId="72838776">
      <w:pPr>
        <w:pageBreakBefore w:val="0"/>
        <w:widowControl w:val="0"/>
        <w:tabs>
          <w:tab w:val="left" w:pos="7665"/>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第六章  响应文件格式</w:t>
      </w:r>
    </w:p>
    <w:p w14:paraId="2517FD7A">
      <w:pPr>
        <w:pStyle w:val="7"/>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 谈判文件的澄清和修改</w:t>
      </w:r>
    </w:p>
    <w:p w14:paraId="32383C69">
      <w:pPr>
        <w:pageBreakBefore w:val="0"/>
        <w:widowControl w:val="0"/>
        <w:tabs>
          <w:tab w:val="left" w:pos="720"/>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.1 在递交响应文件截止时间前，采购人、采购代理机构可以对</w:t>
      </w:r>
      <w:r>
        <w:rPr>
          <w:rFonts w:hint="eastAsia" w:ascii="宋体" w:hAnsi="宋体" w:eastAsia="宋体" w:cs="宋体"/>
          <w:color w:val="000000"/>
          <w:sz w:val="24"/>
          <w:szCs w:val="24"/>
          <w:lang w:eastAsia="zh-CN"/>
        </w:rPr>
        <w:t>谈判文件</w:t>
      </w:r>
      <w:r>
        <w:rPr>
          <w:rFonts w:hint="eastAsia" w:ascii="宋体" w:hAnsi="宋体" w:eastAsia="宋体" w:cs="宋体"/>
          <w:color w:val="000000"/>
          <w:sz w:val="24"/>
          <w:szCs w:val="24"/>
        </w:rPr>
        <w:t>进行澄清或者修改。</w:t>
      </w:r>
    </w:p>
    <w:p w14:paraId="0D418E24">
      <w:pPr>
        <w:pageBreakBefore w:val="0"/>
        <w:widowControl w:val="0"/>
        <w:tabs>
          <w:tab w:val="left" w:pos="720"/>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.2 澄清或者修改的内容为</w:t>
      </w:r>
      <w:r>
        <w:rPr>
          <w:rFonts w:hint="eastAsia" w:ascii="宋体" w:hAnsi="宋体" w:eastAsia="宋体" w:cs="宋体"/>
          <w:color w:val="000000"/>
          <w:sz w:val="24"/>
          <w:szCs w:val="24"/>
          <w:lang w:eastAsia="zh-CN"/>
        </w:rPr>
        <w:t>谈判文件</w:t>
      </w:r>
      <w:r>
        <w:rPr>
          <w:rFonts w:hint="eastAsia" w:ascii="宋体" w:hAnsi="宋体" w:eastAsia="宋体" w:cs="宋体"/>
          <w:color w:val="000000"/>
          <w:sz w:val="24"/>
          <w:szCs w:val="24"/>
        </w:rPr>
        <w:t>的组成部分。澄清或者修改应当在原公告发布媒体上发布澄清公告。该澄清或者修改的内容为</w:t>
      </w:r>
      <w:r>
        <w:rPr>
          <w:rFonts w:hint="eastAsia" w:ascii="宋体" w:hAnsi="宋体" w:eastAsia="宋体" w:cs="宋体"/>
          <w:color w:val="000000"/>
          <w:sz w:val="24"/>
          <w:szCs w:val="24"/>
          <w:lang w:eastAsia="zh-CN"/>
        </w:rPr>
        <w:t>谈判文件</w:t>
      </w:r>
      <w:r>
        <w:rPr>
          <w:rFonts w:hint="eastAsia" w:ascii="宋体" w:hAnsi="宋体" w:eastAsia="宋体" w:cs="宋体"/>
          <w:color w:val="000000"/>
          <w:sz w:val="24"/>
          <w:szCs w:val="24"/>
        </w:rPr>
        <w:t>的组成</w:t>
      </w:r>
      <w:r>
        <w:rPr>
          <w:rFonts w:hint="eastAsia" w:ascii="宋体" w:hAnsi="宋体" w:eastAsia="宋体" w:cs="宋体"/>
          <w:color w:val="000000"/>
          <w:sz w:val="24"/>
          <w:szCs w:val="24"/>
          <w:highlight w:val="none"/>
        </w:rPr>
        <w:t>部分，澄清或者修改的内容可能影响响应文件编制的，采购人或者采购代理机构发布公告的时间，应当在提交首次响应文件截止之日起3个工作日前；不足上述时间的，应当顺延递交响应文件的截止时间。</w:t>
      </w:r>
    </w:p>
    <w:p w14:paraId="4A9F4BF1">
      <w:pPr>
        <w:pageBreakBefore w:val="0"/>
        <w:widowControl w:val="0"/>
        <w:tabs>
          <w:tab w:val="left" w:pos="720"/>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2.3 谈判文件中有不一致的，有澄清的部分以最终的澄清更正内容为准；未澄清的，以供应商须知前附表为准；供应商须知前附表不涉及的内容，以编排在后的最后描述为准。</w:t>
      </w:r>
    </w:p>
    <w:p w14:paraId="13ADE0C7">
      <w:pPr>
        <w:pageBreakBefore w:val="0"/>
        <w:widowControl w:val="0"/>
        <w:tabs>
          <w:tab w:val="left" w:pos="720"/>
        </w:tabs>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highlight w:val="none"/>
          <w:lang w:val="en-US" w:eastAsia="zh-CN"/>
        </w:rPr>
        <w:t>.4 供应商应及时关注本项目原公告发布媒体上发布的澄清公告或修改内容并自行下载，采购人、采购代理机构不再另行通知。</w:t>
      </w:r>
    </w:p>
    <w:p w14:paraId="71E0A35B">
      <w:pPr>
        <w:pStyle w:val="7"/>
        <w:pageBreakBefore w:val="0"/>
        <w:widowControl w:val="0"/>
        <w:kinsoku/>
        <w:wordWrap/>
        <w:overflowPunct/>
        <w:topLinePunct w:val="0"/>
        <w:autoSpaceDE/>
        <w:autoSpaceDN/>
        <w:bidi w:val="0"/>
        <w:spacing w:before="0" w:after="0" w:line="560" w:lineRule="exact"/>
        <w:ind w:left="0" w:leftChars="0" w:right="0" w:right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 答疑会和现场考察</w:t>
      </w:r>
    </w:p>
    <w:p w14:paraId="4C9104EF">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.1 根据采购项目和具体情况，采购人、采购代理机构认为有必要，可以在</w:t>
      </w:r>
      <w:r>
        <w:rPr>
          <w:rFonts w:hint="eastAsia" w:ascii="宋体" w:hAnsi="宋体" w:eastAsia="宋体" w:cs="宋体"/>
          <w:color w:val="000000"/>
          <w:sz w:val="24"/>
          <w:szCs w:val="24"/>
          <w:highlight w:val="none"/>
          <w:lang w:eastAsia="zh-CN"/>
        </w:rPr>
        <w:t>谈判文件</w:t>
      </w:r>
      <w:r>
        <w:rPr>
          <w:rFonts w:hint="eastAsia" w:ascii="宋体" w:hAnsi="宋体" w:eastAsia="宋体" w:cs="宋体"/>
          <w:color w:val="000000"/>
          <w:sz w:val="24"/>
          <w:szCs w:val="24"/>
          <w:highlight w:val="none"/>
        </w:rPr>
        <w:t>提供期限截止后响应文件提交截止前，组织已获取</w:t>
      </w:r>
      <w:r>
        <w:rPr>
          <w:rFonts w:hint="eastAsia" w:ascii="宋体" w:hAnsi="宋体" w:eastAsia="宋体" w:cs="宋体"/>
          <w:color w:val="000000"/>
          <w:sz w:val="24"/>
          <w:szCs w:val="24"/>
          <w:highlight w:val="none"/>
          <w:lang w:eastAsia="zh-CN"/>
        </w:rPr>
        <w:t>谈判文件</w:t>
      </w:r>
      <w:r>
        <w:rPr>
          <w:rFonts w:hint="eastAsia" w:ascii="宋体" w:hAnsi="宋体" w:eastAsia="宋体" w:cs="宋体"/>
          <w:color w:val="000000"/>
          <w:sz w:val="24"/>
          <w:szCs w:val="24"/>
          <w:highlight w:val="none"/>
        </w:rPr>
        <w:t>的潜在供应商现场考察或者召开答疑会。</w:t>
      </w:r>
    </w:p>
    <w:p w14:paraId="1C421BA0">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采购人、采购代理机构组织现场考察或者召开答疑会的，将在</w:t>
      </w:r>
      <w:r>
        <w:rPr>
          <w:rFonts w:hint="eastAsia" w:ascii="宋体" w:hAnsi="宋体" w:eastAsia="宋体" w:cs="宋体"/>
          <w:color w:val="000000"/>
          <w:sz w:val="24"/>
          <w:szCs w:val="24"/>
          <w:highlight w:val="none"/>
          <w:lang w:val="en-US" w:eastAsia="zh-CN"/>
        </w:rPr>
        <w:t>谈判</w:t>
      </w:r>
      <w:r>
        <w:rPr>
          <w:rFonts w:hint="eastAsia" w:ascii="宋体" w:hAnsi="宋体" w:eastAsia="宋体" w:cs="宋体"/>
          <w:color w:val="000000"/>
          <w:sz w:val="24"/>
          <w:szCs w:val="24"/>
          <w:highlight w:val="none"/>
        </w:rPr>
        <w:t>文件</w:t>
      </w: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须知前附表中约定。</w:t>
      </w:r>
      <w:r>
        <w:rPr>
          <w:rFonts w:hint="eastAsia" w:ascii="宋体" w:hAnsi="宋体" w:eastAsia="宋体" w:cs="宋体"/>
          <w:sz w:val="24"/>
          <w:szCs w:val="24"/>
          <w:highlight w:val="none"/>
        </w:rPr>
        <w:t>供应商不按照要求参加现场考察或者答疑会的，视同放弃参加现场考察或者答疑的权利，采购人、采购代理机构不再对该供应商重新组织，但也不会以此限制供应商提交响应文件或者以此将供应商响应文件直接作为无效处理。</w:t>
      </w:r>
    </w:p>
    <w:p w14:paraId="19C0D6F3">
      <w:pPr>
        <w:pageBreakBefore w:val="0"/>
        <w:widowControl w:val="0"/>
        <w:kinsoku/>
        <w:wordWrap/>
        <w:overflowPunct/>
        <w:topLinePunct w:val="0"/>
        <w:autoSpaceDE/>
        <w:autoSpaceDN/>
        <w:bidi w:val="0"/>
        <w:adjustRightInd w:val="0"/>
        <w:snapToGrid w:val="0"/>
        <w:spacing w:line="560" w:lineRule="exact"/>
        <w:ind w:left="0" w:leftChars="0" w:right="0" w:rightChars="0" w:firstLine="420" w:firstLineChars="175"/>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.3 供应</w:t>
      </w:r>
      <w:r>
        <w:rPr>
          <w:rFonts w:hint="eastAsia" w:ascii="宋体" w:hAnsi="宋体" w:eastAsia="宋体" w:cs="宋体"/>
          <w:sz w:val="24"/>
          <w:szCs w:val="24"/>
        </w:rPr>
        <w:t>商自行承担参加答疑会和现场考察的一切费用。</w:t>
      </w:r>
    </w:p>
    <w:p w14:paraId="7AA6FDBE">
      <w:pPr>
        <w:keepNext w:val="0"/>
        <w:keepLines w:val="0"/>
        <w:pageBreakBefore w:val="0"/>
        <w:kinsoku/>
        <w:wordWrap/>
        <w:overflowPunct/>
        <w:topLinePunct w:val="0"/>
        <w:bidi w:val="0"/>
        <w:spacing w:before="0" w:after="0" w:line="560" w:lineRule="exact"/>
        <w:jc w:val="center"/>
        <w:outlineLvl w:val="9"/>
        <w:rPr>
          <w:rFonts w:hint="eastAsia" w:ascii="宋体" w:hAnsi="宋体" w:eastAsia="宋体" w:cs="宋体"/>
          <w:bCs/>
          <w:color w:val="000000"/>
          <w:sz w:val="24"/>
          <w:szCs w:val="24"/>
        </w:rPr>
      </w:pPr>
    </w:p>
    <w:p w14:paraId="6F12B0A0">
      <w:pPr>
        <w:pStyle w:val="6"/>
        <w:keepNext w:val="0"/>
        <w:keepLines w:val="0"/>
        <w:pageBreakBefore w:val="0"/>
        <w:numPr>
          <w:ilvl w:val="0"/>
          <w:numId w:val="0"/>
        </w:numPr>
        <w:kinsoku/>
        <w:wordWrap/>
        <w:overflowPunct/>
        <w:topLinePunct w:val="0"/>
        <w:bidi w:val="0"/>
        <w:spacing w:before="0" w:after="0" w:line="560" w:lineRule="exact"/>
        <w:jc w:val="center"/>
        <w:rPr>
          <w:rFonts w:hint="eastAsia" w:ascii="宋体" w:hAnsi="宋体" w:eastAsia="宋体" w:cs="宋体"/>
          <w:bCs/>
          <w:color w:val="000000"/>
          <w:sz w:val="32"/>
          <w:szCs w:val="32"/>
        </w:rPr>
      </w:pPr>
      <w:bookmarkStart w:id="137" w:name="_Toc16664_WPSOffice_Level2"/>
      <w:bookmarkStart w:id="138" w:name="_Toc11766"/>
      <w:bookmarkStart w:id="139" w:name="_Toc30656"/>
      <w:bookmarkStart w:id="140" w:name="_Toc27614"/>
      <w:bookmarkStart w:id="141" w:name="_Toc6702"/>
      <w:r>
        <w:rPr>
          <w:rFonts w:hint="eastAsia" w:ascii="宋体" w:hAnsi="宋体" w:eastAsia="宋体" w:cs="宋体"/>
          <w:bCs/>
          <w:color w:val="000000"/>
          <w:sz w:val="32"/>
          <w:szCs w:val="32"/>
        </w:rPr>
        <w:t>四、响应文件</w:t>
      </w:r>
      <w:bookmarkEnd w:id="137"/>
      <w:bookmarkEnd w:id="138"/>
      <w:bookmarkEnd w:id="139"/>
      <w:bookmarkEnd w:id="140"/>
      <w:bookmarkEnd w:id="141"/>
    </w:p>
    <w:p w14:paraId="0C04AA64">
      <w:pPr>
        <w:keepNext w:val="0"/>
        <w:keepLines w:val="0"/>
        <w:pageBreakBefore w:val="0"/>
        <w:widowControl w:val="0"/>
        <w:kinsoku/>
        <w:wordWrap/>
        <w:overflowPunct/>
        <w:topLinePunct w:val="0"/>
        <w:bidi w:val="0"/>
        <w:snapToGrid/>
        <w:spacing w:line="560" w:lineRule="exact"/>
        <w:ind w:right="0" w:rightChars="0" w:firstLine="480" w:firstLineChars="200"/>
        <w:textAlignment w:val="auto"/>
        <w:outlineLvl w:val="9"/>
        <w:rPr>
          <w:rFonts w:hint="eastAsia" w:ascii="宋体" w:hAnsi="宋体" w:eastAsia="宋体" w:cs="宋体"/>
          <w:bCs/>
          <w:color w:val="000000"/>
          <w:sz w:val="24"/>
          <w:szCs w:val="24"/>
        </w:rPr>
      </w:pPr>
    </w:p>
    <w:p w14:paraId="2452613F">
      <w:pPr>
        <w:pStyle w:val="7"/>
        <w:pageBreakBefore w:val="0"/>
        <w:widowControl w:val="0"/>
        <w:kinsoku/>
        <w:wordWrap/>
        <w:overflowPunct/>
        <w:topLinePunct w:val="0"/>
        <w:bidi w:val="0"/>
        <w:snapToGrid/>
        <w:spacing w:before="0" w:after="0" w:line="560" w:lineRule="exact"/>
        <w:ind w:right="0" w:righ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1. 响应文件的组成（实质性要求）</w:t>
      </w:r>
    </w:p>
    <w:p w14:paraId="138D5FD3">
      <w:pPr>
        <w:pStyle w:val="70"/>
        <w:keepNext w:val="0"/>
        <w:keepLines w:val="0"/>
        <w:pageBreakBefore w:val="0"/>
        <w:widowControl w:val="0"/>
        <w:tabs>
          <w:tab w:val="left" w:pos="1200"/>
        </w:tabs>
        <w:kinsoku/>
        <w:wordWrap/>
        <w:overflowPunct/>
        <w:topLinePunct w:val="0"/>
        <w:bidi w:val="0"/>
        <w:snapToGrid/>
        <w:spacing w:line="560" w:lineRule="exact"/>
        <w:ind w:right="0" w:rightChars="0" w:firstLine="560"/>
        <w:textAlignment w:val="auto"/>
        <w:outlineLvl w:val="9"/>
        <w:rPr>
          <w:rFonts w:hint="eastAsia" w:ascii="宋体" w:hAnsi="宋体" w:eastAsia="宋体" w:cs="宋体"/>
          <w:sz w:val="24"/>
          <w:szCs w:val="24"/>
          <w:highlight w:val="none"/>
        </w:rPr>
      </w:pPr>
      <w:r>
        <w:rPr>
          <w:rFonts w:hint="eastAsia" w:ascii="宋体" w:hAnsi="宋体" w:eastAsia="宋体" w:cs="宋体"/>
          <w:b w:val="0"/>
          <w:bCs w:val="0"/>
          <w:color w:val="000000"/>
          <w:sz w:val="24"/>
          <w:szCs w:val="24"/>
        </w:rPr>
        <w:t>供应商应按照</w:t>
      </w:r>
      <w:r>
        <w:rPr>
          <w:rFonts w:hint="eastAsia" w:ascii="宋体" w:hAnsi="宋体" w:eastAsia="宋体" w:cs="宋体"/>
          <w:b w:val="0"/>
          <w:bCs w:val="0"/>
          <w:color w:val="000000"/>
          <w:sz w:val="24"/>
          <w:szCs w:val="24"/>
          <w:lang w:eastAsia="zh-CN"/>
        </w:rPr>
        <w:t>谈判文件</w:t>
      </w:r>
      <w:r>
        <w:rPr>
          <w:rFonts w:hint="eastAsia" w:ascii="宋体" w:hAnsi="宋体" w:eastAsia="宋体" w:cs="宋体"/>
          <w:b w:val="0"/>
          <w:bCs w:val="0"/>
          <w:color w:val="000000"/>
          <w:sz w:val="24"/>
          <w:szCs w:val="24"/>
        </w:rPr>
        <w:t>的规定和要求编制响应文件。</w:t>
      </w:r>
      <w:r>
        <w:rPr>
          <w:rFonts w:hint="eastAsia" w:ascii="宋体" w:hAnsi="宋体" w:eastAsia="宋体" w:cs="宋体"/>
          <w:b w:val="0"/>
          <w:bCs w:val="0"/>
          <w:color w:val="000000"/>
          <w:sz w:val="24"/>
          <w:szCs w:val="24"/>
          <w:highlight w:val="none"/>
          <w:lang w:eastAsia="zh-CN"/>
        </w:rPr>
        <w:t>本</w:t>
      </w:r>
      <w:r>
        <w:rPr>
          <w:rFonts w:hint="eastAsia" w:ascii="宋体" w:hAnsi="宋体" w:eastAsia="宋体" w:cs="宋体"/>
          <w:b w:val="0"/>
          <w:bCs w:val="0"/>
          <w:color w:val="auto"/>
          <w:sz w:val="24"/>
          <w:szCs w:val="24"/>
          <w:highlight w:val="none"/>
        </w:rPr>
        <w:t>项目所述的</w:t>
      </w:r>
      <w:r>
        <w:rPr>
          <w:rFonts w:hint="eastAsia" w:ascii="宋体" w:hAnsi="宋体" w:eastAsia="宋体" w:cs="宋体"/>
          <w:b w:val="0"/>
          <w:bCs w:val="0"/>
          <w:color w:val="auto"/>
          <w:sz w:val="24"/>
          <w:szCs w:val="24"/>
          <w:highlight w:val="none"/>
          <w:lang w:eastAsia="zh-CN"/>
        </w:rPr>
        <w:t>响应</w:t>
      </w:r>
      <w:r>
        <w:rPr>
          <w:rFonts w:hint="eastAsia" w:ascii="宋体" w:hAnsi="宋体" w:eastAsia="宋体" w:cs="宋体"/>
          <w:b w:val="0"/>
          <w:bCs w:val="0"/>
          <w:color w:val="auto"/>
          <w:sz w:val="24"/>
          <w:szCs w:val="24"/>
          <w:highlight w:val="none"/>
        </w:rPr>
        <w:t>文件</w:t>
      </w:r>
      <w:r>
        <w:rPr>
          <w:rFonts w:hint="eastAsia" w:ascii="宋体" w:hAnsi="宋体" w:eastAsia="宋体" w:cs="宋体"/>
          <w:b w:val="0"/>
          <w:bCs w:val="0"/>
          <w:color w:val="auto"/>
          <w:sz w:val="24"/>
          <w:szCs w:val="24"/>
          <w:highlight w:val="none"/>
          <w:lang w:eastAsia="zh-CN"/>
        </w:rPr>
        <w:t>是指</w:t>
      </w:r>
      <w:r>
        <w:rPr>
          <w:rFonts w:hint="eastAsia" w:ascii="宋体" w:hAnsi="宋体" w:eastAsia="宋体" w:cs="宋体"/>
          <w:b w:val="0"/>
          <w:bCs w:val="0"/>
          <w:color w:val="auto"/>
          <w:sz w:val="24"/>
          <w:szCs w:val="24"/>
          <w:highlight w:val="none"/>
        </w:rPr>
        <w:t>电子响应文件。</w:t>
      </w:r>
      <w:r>
        <w:rPr>
          <w:rFonts w:hint="eastAsia" w:ascii="宋体" w:hAnsi="宋体" w:eastAsia="宋体" w:cs="宋体"/>
          <w:b w:val="0"/>
          <w:bCs w:val="0"/>
          <w:sz w:val="24"/>
          <w:szCs w:val="24"/>
          <w:highlight w:val="none"/>
          <w:lang w:eastAsia="zh-CN"/>
        </w:rPr>
        <w:t>供应商</w:t>
      </w:r>
      <w:r>
        <w:rPr>
          <w:rFonts w:hint="eastAsia" w:ascii="宋体" w:hAnsi="宋体" w:eastAsia="宋体" w:cs="宋体"/>
          <w:b w:val="0"/>
          <w:bCs w:val="0"/>
          <w:sz w:val="24"/>
          <w:szCs w:val="24"/>
          <w:highlight w:val="none"/>
        </w:rPr>
        <w:t>编写的响应文件</w:t>
      </w:r>
      <w:r>
        <w:rPr>
          <w:rFonts w:hint="eastAsia" w:ascii="宋体" w:hAnsi="宋体" w:eastAsia="宋体" w:cs="宋体"/>
          <w:b w:val="0"/>
          <w:bCs w:val="0"/>
          <w:sz w:val="24"/>
          <w:szCs w:val="24"/>
          <w:highlight w:val="none"/>
          <w:lang w:val="en-US" w:eastAsia="zh-CN"/>
        </w:rPr>
        <w:t>按</w:t>
      </w:r>
      <w:r>
        <w:rPr>
          <w:rFonts w:hint="eastAsia" w:ascii="宋体" w:hAnsi="宋体" w:eastAsia="宋体" w:cs="宋体"/>
          <w:b/>
          <w:bCs/>
          <w:sz w:val="24"/>
          <w:szCs w:val="24"/>
          <w:highlight w:val="none"/>
          <w:lang w:val="en-US" w:eastAsia="zh-CN"/>
        </w:rPr>
        <w:t>谈判文件第六章响应文件格式</w:t>
      </w:r>
      <w:r>
        <w:rPr>
          <w:rFonts w:hint="eastAsia" w:ascii="宋体" w:hAnsi="宋体" w:eastAsia="宋体" w:cs="宋体"/>
          <w:b w:val="0"/>
          <w:bCs w:val="0"/>
          <w:sz w:val="24"/>
          <w:szCs w:val="24"/>
          <w:highlight w:val="none"/>
          <w:lang w:val="en-US" w:eastAsia="zh-CN"/>
        </w:rPr>
        <w:t>的要求提供</w:t>
      </w:r>
      <w:r>
        <w:rPr>
          <w:rFonts w:hint="eastAsia" w:ascii="宋体" w:hAnsi="宋体" w:eastAsia="宋体" w:cs="宋体"/>
          <w:b w:val="0"/>
          <w:bCs w:val="0"/>
          <w:sz w:val="24"/>
          <w:szCs w:val="24"/>
          <w:highlight w:val="none"/>
        </w:rPr>
        <w:t>，</w:t>
      </w:r>
      <w:r>
        <w:rPr>
          <w:rFonts w:hint="eastAsia" w:ascii="宋体" w:hAnsi="宋体" w:eastAsia="宋体" w:cs="宋体"/>
          <w:b w:val="0"/>
          <w:bCs w:val="0"/>
          <w:sz w:val="24"/>
          <w:szCs w:val="24"/>
          <w:highlight w:val="none"/>
          <w:lang w:eastAsia="zh-CN"/>
        </w:rPr>
        <w:t>未注明可提供复印件的，</w:t>
      </w:r>
      <w:r>
        <w:rPr>
          <w:rFonts w:hint="eastAsia" w:ascii="宋体" w:hAnsi="宋体" w:eastAsia="宋体" w:cs="宋体"/>
          <w:b w:val="0"/>
          <w:bCs w:val="0"/>
          <w:sz w:val="24"/>
          <w:szCs w:val="24"/>
          <w:highlight w:val="none"/>
        </w:rPr>
        <w:t>应为原件扫描件</w:t>
      </w:r>
      <w:r>
        <w:rPr>
          <w:rFonts w:hint="eastAsia" w:ascii="宋体" w:hAnsi="宋体" w:eastAsia="宋体" w:cs="宋体"/>
          <w:b w:val="0"/>
          <w:bCs w:val="0"/>
          <w:color w:val="000000"/>
          <w:sz w:val="24"/>
          <w:szCs w:val="24"/>
          <w:highlight w:val="none"/>
        </w:rPr>
        <w:t>。</w:t>
      </w:r>
      <w:r>
        <w:rPr>
          <w:rFonts w:hint="eastAsia" w:ascii="宋体" w:hAnsi="宋体" w:eastAsia="宋体" w:cs="宋体"/>
          <w:sz w:val="24"/>
          <w:szCs w:val="24"/>
          <w:highlight w:val="none"/>
        </w:rPr>
        <w:t>供应商编写的响应文件应包括下列部分：</w:t>
      </w:r>
    </w:p>
    <w:p w14:paraId="60CCA4BD">
      <w:pPr>
        <w:pStyle w:val="68"/>
        <w:keepNext w:val="0"/>
        <w:keepLines w:val="0"/>
        <w:pageBreakBefore w:val="0"/>
        <w:widowControl w:val="0"/>
        <w:numPr>
          <w:ilvl w:val="0"/>
          <w:numId w:val="0"/>
        </w:numPr>
        <w:tabs>
          <w:tab w:val="left" w:pos="1134"/>
        </w:tabs>
        <w:kinsoku/>
        <w:wordWrap/>
        <w:overflowPunct/>
        <w:topLinePunct w:val="0"/>
        <w:bidi w:val="0"/>
        <w:snapToGrid/>
        <w:spacing w:line="560" w:lineRule="exact"/>
        <w:ind w:left="567" w:leftChars="0" w:right="0" w:rightChars="0"/>
        <w:jc w:val="both"/>
        <w:textAlignment w:val="auto"/>
        <w:outlineLvl w:val="9"/>
        <w:rPr>
          <w:rFonts w:hint="eastAsia" w:ascii="宋体" w:hAnsi="宋体" w:eastAsia="宋体" w:cs="宋体"/>
          <w:bCs/>
          <w:color w:val="000000"/>
          <w:sz w:val="24"/>
          <w:szCs w:val="24"/>
          <w:highlight w:val="none"/>
          <w:lang w:val="en-US" w:eastAsia="zh-CN"/>
        </w:rPr>
      </w:pPr>
      <w:bookmarkStart w:id="142" w:name="_Toc5647_WPSOffice_Level2"/>
      <w:r>
        <w:rPr>
          <w:rFonts w:hint="eastAsia" w:ascii="宋体" w:hAnsi="宋体" w:eastAsia="宋体" w:cs="宋体"/>
          <w:bCs/>
          <w:color w:val="000000"/>
          <w:sz w:val="24"/>
          <w:szCs w:val="24"/>
          <w:highlight w:val="none"/>
          <w:lang w:eastAsia="zh-CN"/>
        </w:rPr>
        <w:t>一、</w:t>
      </w:r>
      <w:r>
        <w:rPr>
          <w:rFonts w:hint="eastAsia" w:ascii="宋体" w:hAnsi="宋体" w:eastAsia="宋体" w:cs="宋体"/>
          <w:bCs/>
          <w:color w:val="000000"/>
          <w:sz w:val="24"/>
          <w:szCs w:val="24"/>
          <w:highlight w:val="none"/>
        </w:rPr>
        <w:t>报价</w:t>
      </w:r>
      <w:r>
        <w:rPr>
          <w:rFonts w:hint="eastAsia" w:ascii="宋体" w:hAnsi="宋体" w:eastAsia="宋体" w:cs="宋体"/>
          <w:bCs/>
          <w:color w:val="000000"/>
          <w:sz w:val="24"/>
          <w:szCs w:val="24"/>
          <w:highlight w:val="none"/>
          <w:lang w:val="en-US" w:eastAsia="zh-CN"/>
        </w:rPr>
        <w:t>要求响应文件</w:t>
      </w:r>
      <w:bookmarkEnd w:id="142"/>
    </w:p>
    <w:p w14:paraId="5B9F749B">
      <w:pPr>
        <w:pStyle w:val="68"/>
        <w:keepNext w:val="0"/>
        <w:keepLines w:val="0"/>
        <w:pageBreakBefore w:val="0"/>
        <w:widowControl w:val="0"/>
        <w:numPr>
          <w:ilvl w:val="0"/>
          <w:numId w:val="0"/>
        </w:numPr>
        <w:tabs>
          <w:tab w:val="left" w:pos="1134"/>
        </w:tabs>
        <w:kinsoku/>
        <w:wordWrap/>
        <w:overflowPunct/>
        <w:topLinePunct w:val="0"/>
        <w:bidi w:val="0"/>
        <w:snapToGrid/>
        <w:spacing w:line="560" w:lineRule="exact"/>
        <w:ind w:left="567" w:leftChars="0" w:right="0" w:rightChars="0"/>
        <w:jc w:val="both"/>
        <w:textAlignment w:val="auto"/>
        <w:outlineLvl w:val="9"/>
        <w:rPr>
          <w:rFonts w:hint="eastAsia" w:ascii="宋体" w:hAnsi="宋体" w:eastAsia="宋体" w:cs="宋体"/>
          <w:bCs/>
          <w:color w:val="000000"/>
          <w:sz w:val="24"/>
          <w:szCs w:val="24"/>
          <w:highlight w:val="none"/>
        </w:rPr>
      </w:pPr>
      <w:bookmarkStart w:id="143" w:name="_Toc3014_WPSOffice_Level2"/>
      <w:r>
        <w:rPr>
          <w:rFonts w:hint="eastAsia" w:ascii="宋体" w:hAnsi="宋体" w:eastAsia="宋体" w:cs="宋体"/>
          <w:bCs/>
          <w:color w:val="000000"/>
          <w:sz w:val="24"/>
          <w:szCs w:val="24"/>
          <w:highlight w:val="none"/>
          <w:lang w:eastAsia="zh-CN"/>
        </w:rPr>
        <w:t>二、</w:t>
      </w:r>
      <w:r>
        <w:rPr>
          <w:rFonts w:hint="eastAsia" w:ascii="宋体" w:hAnsi="宋体" w:eastAsia="宋体" w:cs="宋体"/>
          <w:bCs/>
          <w:color w:val="000000"/>
          <w:sz w:val="24"/>
          <w:szCs w:val="24"/>
          <w:highlight w:val="none"/>
        </w:rPr>
        <w:t>资格证明文件</w:t>
      </w:r>
      <w:bookmarkEnd w:id="143"/>
    </w:p>
    <w:p w14:paraId="70A1A67F">
      <w:pPr>
        <w:pStyle w:val="68"/>
        <w:keepNext w:val="0"/>
        <w:keepLines w:val="0"/>
        <w:pageBreakBefore w:val="0"/>
        <w:widowControl w:val="0"/>
        <w:numPr>
          <w:ilvl w:val="0"/>
          <w:numId w:val="0"/>
        </w:numPr>
        <w:tabs>
          <w:tab w:val="left" w:pos="1134"/>
        </w:tabs>
        <w:kinsoku/>
        <w:wordWrap/>
        <w:overflowPunct/>
        <w:topLinePunct w:val="0"/>
        <w:bidi w:val="0"/>
        <w:snapToGrid/>
        <w:spacing w:line="560" w:lineRule="exact"/>
        <w:ind w:left="567" w:leftChars="0" w:right="0" w:rightChars="0"/>
        <w:jc w:val="both"/>
        <w:textAlignment w:val="auto"/>
        <w:outlineLvl w:val="9"/>
        <w:rPr>
          <w:rFonts w:hint="eastAsia" w:ascii="宋体" w:hAnsi="宋体" w:eastAsia="宋体" w:cs="宋体"/>
          <w:bCs/>
          <w:color w:val="000000"/>
          <w:sz w:val="24"/>
          <w:szCs w:val="24"/>
          <w:highlight w:val="none"/>
        </w:rPr>
      </w:pPr>
      <w:bookmarkStart w:id="144" w:name="_Toc2875_WPSOffice_Level2"/>
      <w:r>
        <w:rPr>
          <w:rFonts w:hint="eastAsia" w:ascii="宋体" w:hAnsi="宋体" w:eastAsia="宋体" w:cs="宋体"/>
          <w:bCs/>
          <w:color w:val="000000"/>
          <w:sz w:val="24"/>
          <w:szCs w:val="24"/>
          <w:highlight w:val="none"/>
          <w:lang w:val="en-US" w:eastAsia="zh-CN"/>
        </w:rPr>
        <w:t>三、商务及技术响应文件</w:t>
      </w:r>
      <w:bookmarkEnd w:id="144"/>
    </w:p>
    <w:p w14:paraId="51F5FFED">
      <w:pPr>
        <w:pStyle w:val="7"/>
        <w:pageBreakBefore w:val="0"/>
        <w:widowControl w:val="0"/>
        <w:kinsoku/>
        <w:wordWrap/>
        <w:overflowPunct/>
        <w:topLinePunct w:val="0"/>
        <w:bidi w:val="0"/>
        <w:snapToGrid/>
        <w:spacing w:before="0" w:after="0" w:line="560" w:lineRule="exact"/>
        <w:ind w:right="0" w:rightChars="0"/>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eastAsia="zh-CN"/>
        </w:rPr>
        <w:t>响应文件的语言（实质性要求）</w:t>
      </w:r>
    </w:p>
    <w:p w14:paraId="1C013624">
      <w:pPr>
        <w:keepNext w:val="0"/>
        <w:keepLines w:val="0"/>
        <w:pageBreakBefore w:val="0"/>
        <w:widowControl w:val="0"/>
        <w:kinsoku/>
        <w:wordWrap/>
        <w:overflowPunct/>
        <w:topLinePunct w:val="0"/>
        <w:bidi w:val="0"/>
        <w:snapToGrid/>
        <w:spacing w:line="560" w:lineRule="exact"/>
        <w:ind w:right="0" w:rightChars="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.1 供应商提交的响应文件以及供应商与采购人、采购代理机构就有关报价的所有来往书面文件均须使用中文。响应文件中如附有外文资料，必须逐一对应翻译成中文并加盖供应商公章后附在相关外文资料后面，否则，供应商的响应文件将作为</w:t>
      </w:r>
      <w:r>
        <w:rPr>
          <w:rFonts w:hint="eastAsia" w:ascii="宋体" w:hAnsi="宋体" w:eastAsia="宋体" w:cs="宋体"/>
          <w:b/>
          <w:bCs/>
          <w:color w:val="000000"/>
          <w:sz w:val="24"/>
          <w:szCs w:val="24"/>
        </w:rPr>
        <w:t>无效</w:t>
      </w:r>
      <w:r>
        <w:rPr>
          <w:rFonts w:hint="eastAsia" w:ascii="宋体" w:hAnsi="宋体" w:eastAsia="宋体" w:cs="宋体"/>
          <w:color w:val="000000"/>
          <w:sz w:val="24"/>
          <w:szCs w:val="24"/>
        </w:rPr>
        <w:t>处理。（说明：供应商的法定代表人为外籍人士的，法定代表人的签字和护照除外。）</w:t>
      </w:r>
    </w:p>
    <w:p w14:paraId="2B21878B">
      <w:pPr>
        <w:keepNext w:val="0"/>
        <w:keepLines w:val="0"/>
        <w:pageBreakBefore w:val="0"/>
        <w:widowControl w:val="0"/>
        <w:kinsoku/>
        <w:wordWrap/>
        <w:overflowPunct/>
        <w:topLinePunct w:val="0"/>
        <w:bidi w:val="0"/>
        <w:snapToGrid/>
        <w:spacing w:line="560" w:lineRule="exact"/>
        <w:ind w:right="0" w:rightChars="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.2 翻译的中文资料与外文资料如果出现差异和矛盾，以中文为准。但不能故意错误翻译，否则，供应商的响应文件将作为</w:t>
      </w:r>
      <w:r>
        <w:rPr>
          <w:rFonts w:hint="eastAsia" w:ascii="宋体" w:hAnsi="宋体" w:eastAsia="宋体" w:cs="宋体"/>
          <w:b/>
          <w:bCs/>
          <w:color w:val="000000"/>
          <w:sz w:val="24"/>
          <w:szCs w:val="24"/>
        </w:rPr>
        <w:t>无效</w:t>
      </w:r>
      <w:r>
        <w:rPr>
          <w:rFonts w:hint="eastAsia" w:ascii="宋体" w:hAnsi="宋体" w:eastAsia="宋体" w:cs="宋体"/>
          <w:color w:val="000000"/>
          <w:sz w:val="24"/>
          <w:szCs w:val="24"/>
        </w:rPr>
        <w:t>处理。</w:t>
      </w:r>
    </w:p>
    <w:p w14:paraId="6916EA6F">
      <w:pPr>
        <w:pStyle w:val="7"/>
        <w:pageBreakBefore w:val="0"/>
        <w:widowControl w:val="0"/>
        <w:kinsoku/>
        <w:wordWrap/>
        <w:overflowPunct/>
        <w:topLinePunct w:val="0"/>
        <w:bidi w:val="0"/>
        <w:snapToGrid/>
        <w:spacing w:before="0" w:after="0" w:line="560" w:lineRule="exact"/>
        <w:ind w:right="0" w:rightChars="0"/>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 xml:space="preserve">3. </w:t>
      </w:r>
      <w:r>
        <w:rPr>
          <w:rFonts w:hint="eastAsia" w:ascii="宋体" w:hAnsi="宋体" w:eastAsia="宋体" w:cs="宋体"/>
          <w:sz w:val="24"/>
          <w:szCs w:val="24"/>
          <w:lang w:val="zh-CN" w:eastAsia="zh-CN"/>
        </w:rPr>
        <w:t>计量单位（实质性要求）</w:t>
      </w:r>
    </w:p>
    <w:p w14:paraId="7076CA72">
      <w:pPr>
        <w:keepNext w:val="0"/>
        <w:keepLines w:val="0"/>
        <w:pageBreakBefore w:val="0"/>
        <w:widowControl w:val="0"/>
        <w:kinsoku/>
        <w:wordWrap/>
        <w:overflowPunct/>
        <w:topLinePunct w:val="0"/>
        <w:bidi w:val="0"/>
        <w:snapToGrid/>
        <w:spacing w:line="560" w:lineRule="exact"/>
        <w:ind w:right="0" w:rightChars="0" w:firstLine="470" w:firstLineChars="196"/>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除</w:t>
      </w:r>
      <w:r>
        <w:rPr>
          <w:rFonts w:hint="eastAsia" w:ascii="宋体" w:hAnsi="宋体" w:eastAsia="宋体" w:cs="宋体"/>
          <w:color w:val="000000"/>
          <w:sz w:val="24"/>
          <w:szCs w:val="24"/>
          <w:lang w:eastAsia="zh-CN"/>
        </w:rPr>
        <w:t>谈判文件</w:t>
      </w:r>
      <w:r>
        <w:rPr>
          <w:rFonts w:hint="eastAsia" w:ascii="宋体" w:hAnsi="宋体" w:eastAsia="宋体" w:cs="宋体"/>
          <w:color w:val="000000"/>
          <w:sz w:val="24"/>
          <w:szCs w:val="24"/>
        </w:rPr>
        <w:t>中另有规定外，本次采购项目所有合同项下的报价均采用国家法定的计量单位。</w:t>
      </w:r>
    </w:p>
    <w:p w14:paraId="23B34360">
      <w:pPr>
        <w:pStyle w:val="7"/>
        <w:pageBreakBefore w:val="0"/>
        <w:widowControl w:val="0"/>
        <w:kinsoku/>
        <w:wordWrap/>
        <w:overflowPunct/>
        <w:topLinePunct w:val="0"/>
        <w:bidi w:val="0"/>
        <w:snapToGrid/>
        <w:spacing w:before="0" w:after="0" w:line="560" w:lineRule="exact"/>
        <w:ind w:right="0" w:rightChars="0"/>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val="zh-CN" w:eastAsia="zh-CN"/>
        </w:rPr>
        <w:t>. 报价货币（实质性要求）</w:t>
      </w:r>
    </w:p>
    <w:p w14:paraId="3DB33610">
      <w:pPr>
        <w:keepNext w:val="0"/>
        <w:keepLines w:val="0"/>
        <w:pageBreakBefore w:val="0"/>
        <w:widowControl w:val="0"/>
        <w:kinsoku/>
        <w:wordWrap/>
        <w:overflowPunct/>
        <w:topLinePunct w:val="0"/>
        <w:bidi w:val="0"/>
        <w:snapToGrid/>
        <w:spacing w:line="560" w:lineRule="exact"/>
        <w:ind w:right="0" w:rightChars="0" w:firstLine="468" w:firstLineChars="195"/>
        <w:textAlignment w:val="auto"/>
        <w:outlineLvl w:val="9"/>
        <w:rPr>
          <w:rFonts w:hint="eastAsia" w:ascii="宋体" w:hAnsi="宋体" w:eastAsia="宋体" w:cs="宋体"/>
          <w:bCs/>
          <w:color w:val="000000"/>
          <w:sz w:val="24"/>
          <w:szCs w:val="24"/>
        </w:rPr>
      </w:pPr>
      <w:r>
        <w:rPr>
          <w:rFonts w:hint="eastAsia" w:ascii="宋体" w:hAnsi="宋体" w:eastAsia="宋体" w:cs="宋体"/>
          <w:bCs/>
          <w:color w:val="000000"/>
          <w:sz w:val="24"/>
          <w:szCs w:val="24"/>
        </w:rPr>
        <w:t>本次</w:t>
      </w:r>
      <w:r>
        <w:rPr>
          <w:rFonts w:hint="eastAsia" w:ascii="宋体" w:hAnsi="宋体" w:eastAsia="宋体" w:cs="宋体"/>
          <w:bCs/>
          <w:color w:val="000000"/>
          <w:sz w:val="24"/>
          <w:szCs w:val="24"/>
          <w:lang w:eastAsia="zh-CN"/>
        </w:rPr>
        <w:t>谈判</w:t>
      </w:r>
      <w:r>
        <w:rPr>
          <w:rFonts w:hint="eastAsia" w:ascii="宋体" w:hAnsi="宋体" w:eastAsia="宋体" w:cs="宋体"/>
          <w:bCs/>
          <w:color w:val="000000"/>
          <w:sz w:val="24"/>
          <w:szCs w:val="24"/>
        </w:rPr>
        <w:t>项目的</w:t>
      </w:r>
      <w:r>
        <w:rPr>
          <w:rFonts w:hint="eastAsia" w:ascii="宋体" w:hAnsi="宋体" w:eastAsia="宋体" w:cs="宋体"/>
          <w:color w:val="000000"/>
          <w:sz w:val="24"/>
          <w:szCs w:val="24"/>
        </w:rPr>
        <w:t>报价货币为</w:t>
      </w:r>
      <w:r>
        <w:rPr>
          <w:rFonts w:hint="eastAsia" w:ascii="宋体" w:hAnsi="宋体" w:eastAsia="宋体" w:cs="宋体"/>
          <w:bCs/>
          <w:color w:val="000000"/>
          <w:sz w:val="24"/>
          <w:szCs w:val="24"/>
        </w:rPr>
        <w:t>人民币，报价以</w:t>
      </w:r>
      <w:r>
        <w:rPr>
          <w:rFonts w:hint="eastAsia" w:ascii="宋体" w:hAnsi="宋体" w:eastAsia="宋体" w:cs="宋体"/>
          <w:bCs/>
          <w:color w:val="000000"/>
          <w:sz w:val="24"/>
          <w:szCs w:val="24"/>
          <w:lang w:eastAsia="zh-CN"/>
        </w:rPr>
        <w:t>谈判文件</w:t>
      </w:r>
      <w:r>
        <w:rPr>
          <w:rFonts w:hint="eastAsia" w:ascii="宋体" w:hAnsi="宋体" w:eastAsia="宋体" w:cs="宋体"/>
          <w:bCs/>
          <w:color w:val="000000"/>
          <w:sz w:val="24"/>
          <w:szCs w:val="24"/>
        </w:rPr>
        <w:t>约定为准。</w:t>
      </w:r>
    </w:p>
    <w:p w14:paraId="23AEF71A">
      <w:pPr>
        <w:pStyle w:val="7"/>
        <w:pageBreakBefore w:val="0"/>
        <w:widowControl w:val="0"/>
        <w:kinsoku/>
        <w:wordWrap/>
        <w:overflowPunct/>
        <w:topLinePunct w:val="0"/>
        <w:bidi w:val="0"/>
        <w:snapToGrid/>
        <w:spacing w:before="0" w:after="0" w:line="560" w:lineRule="exact"/>
        <w:ind w:right="0" w:rightChars="0"/>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eastAsia="zh-CN"/>
        </w:rPr>
        <w:t>响应文件格式</w:t>
      </w:r>
    </w:p>
    <w:p w14:paraId="486C9E97">
      <w:pPr>
        <w:keepNext w:val="0"/>
        <w:keepLines w:val="0"/>
        <w:pageBreakBefore w:val="0"/>
        <w:widowControl w:val="0"/>
        <w:kinsoku/>
        <w:wordWrap/>
        <w:overflowPunct/>
        <w:topLinePunct w:val="0"/>
        <w:bidi w:val="0"/>
        <w:snapToGrid/>
        <w:spacing w:line="560" w:lineRule="exact"/>
        <w:ind w:left="2" w:leftChars="1" w:right="0" w:rightChars="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.1 供应商应执行</w:t>
      </w:r>
      <w:r>
        <w:rPr>
          <w:rFonts w:hint="eastAsia" w:ascii="宋体" w:hAnsi="宋体" w:eastAsia="宋体" w:cs="宋体"/>
          <w:b/>
          <w:bCs/>
          <w:color w:val="000000"/>
          <w:sz w:val="24"/>
          <w:szCs w:val="24"/>
          <w:lang w:eastAsia="zh-CN"/>
        </w:rPr>
        <w:t>谈判文件</w:t>
      </w:r>
      <w:r>
        <w:rPr>
          <w:rFonts w:hint="eastAsia" w:ascii="宋体" w:hAnsi="宋体" w:eastAsia="宋体" w:cs="宋体"/>
          <w:b/>
          <w:bCs/>
          <w:color w:val="000000"/>
          <w:sz w:val="24"/>
          <w:szCs w:val="24"/>
          <w:highlight w:val="none"/>
          <w:lang w:eastAsia="zh-CN"/>
        </w:rPr>
        <w:t>第六章</w:t>
      </w:r>
      <w:r>
        <w:rPr>
          <w:rFonts w:hint="eastAsia" w:ascii="宋体" w:hAnsi="宋体" w:eastAsia="宋体" w:cs="宋体"/>
          <w:color w:val="000000"/>
          <w:sz w:val="24"/>
          <w:szCs w:val="24"/>
        </w:rPr>
        <w:t>的规定要求。</w:t>
      </w:r>
    </w:p>
    <w:p w14:paraId="6FE39C57">
      <w:pPr>
        <w:keepNext w:val="0"/>
        <w:keepLines w:val="0"/>
        <w:pageBreakBefore w:val="0"/>
        <w:widowControl w:val="0"/>
        <w:kinsoku/>
        <w:wordWrap/>
        <w:overflowPunct/>
        <w:topLinePunct w:val="0"/>
        <w:bidi w:val="0"/>
        <w:snapToGrid/>
        <w:spacing w:line="560" w:lineRule="exact"/>
        <w:ind w:left="2" w:leftChars="1" w:right="0" w:rightChars="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.2 对于没有格式要求的</w:t>
      </w:r>
      <w:r>
        <w:rPr>
          <w:rFonts w:hint="eastAsia" w:ascii="宋体" w:hAnsi="宋体" w:eastAsia="宋体" w:cs="宋体"/>
          <w:color w:val="000000"/>
          <w:sz w:val="24"/>
          <w:szCs w:val="24"/>
          <w:lang w:eastAsia="zh-CN"/>
        </w:rPr>
        <w:t>谈判文件</w:t>
      </w:r>
      <w:r>
        <w:rPr>
          <w:rFonts w:hint="eastAsia" w:ascii="宋体" w:hAnsi="宋体" w:eastAsia="宋体" w:cs="宋体"/>
          <w:color w:val="000000"/>
          <w:sz w:val="24"/>
          <w:szCs w:val="24"/>
        </w:rPr>
        <w:t>由供应商自行编写。</w:t>
      </w:r>
    </w:p>
    <w:p w14:paraId="5DCB14BB">
      <w:pPr>
        <w:pStyle w:val="7"/>
        <w:pageBreakBefore w:val="0"/>
        <w:widowControl w:val="0"/>
        <w:kinsoku/>
        <w:wordWrap/>
        <w:overflowPunct/>
        <w:topLinePunct w:val="0"/>
        <w:bidi w:val="0"/>
        <w:snapToGrid/>
        <w:spacing w:before="0" w:after="0" w:line="560" w:lineRule="exact"/>
        <w:ind w:right="0" w:righ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 响应文件的编制和签署</w:t>
      </w:r>
    </w:p>
    <w:p w14:paraId="2EEA8E92">
      <w:pPr>
        <w:keepNext w:val="0"/>
        <w:keepLines w:val="0"/>
        <w:pageBreakBefore w:val="0"/>
        <w:widowControl w:val="0"/>
        <w:tabs>
          <w:tab w:val="left" w:pos="1080"/>
        </w:tabs>
        <w:kinsoku/>
        <w:wordWrap/>
        <w:overflowPunct/>
        <w:topLinePunct w:val="0"/>
        <w:bidi w:val="0"/>
        <w:snapToGrid/>
        <w:spacing w:line="560" w:lineRule="exact"/>
        <w:ind w:right="0" w:rightChars="0" w:firstLine="460" w:firstLineChars="192"/>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.1 电子</w:t>
      </w:r>
      <w:r>
        <w:rPr>
          <w:rFonts w:hint="eastAsia" w:ascii="宋体" w:hAnsi="宋体" w:eastAsia="宋体" w:cs="宋体"/>
          <w:sz w:val="24"/>
          <w:szCs w:val="24"/>
          <w:highlight w:val="none"/>
          <w:lang w:eastAsia="zh-CN"/>
        </w:rPr>
        <w:t>响应</w:t>
      </w:r>
      <w:r>
        <w:rPr>
          <w:rFonts w:hint="eastAsia" w:ascii="宋体" w:hAnsi="宋体" w:eastAsia="宋体" w:cs="宋体"/>
          <w:sz w:val="24"/>
          <w:szCs w:val="24"/>
          <w:highlight w:val="none"/>
        </w:rPr>
        <w:t>文件的签章和签名要求：按照</w:t>
      </w:r>
      <w:r>
        <w:rPr>
          <w:rFonts w:hint="eastAsia" w:ascii="宋体" w:hAnsi="宋体" w:eastAsia="宋体" w:cs="宋体"/>
          <w:sz w:val="24"/>
          <w:szCs w:val="24"/>
          <w:highlight w:val="none"/>
          <w:lang w:eastAsia="zh-CN"/>
        </w:rPr>
        <w:t>响应</w:t>
      </w:r>
      <w:r>
        <w:rPr>
          <w:rFonts w:hint="eastAsia" w:ascii="宋体" w:hAnsi="宋体" w:eastAsia="宋体" w:cs="宋体"/>
          <w:sz w:val="24"/>
          <w:szCs w:val="24"/>
          <w:highlight w:val="none"/>
        </w:rPr>
        <w:t>文件格式，采用单位和个人数字证书电子签章及电子签名：</w:t>
      </w:r>
      <w:r>
        <w:rPr>
          <w:rFonts w:hint="eastAsia" w:ascii="宋体" w:hAnsi="宋体" w:eastAsia="宋体" w:cs="宋体"/>
          <w:sz w:val="24"/>
          <w:szCs w:val="24"/>
          <w:highlight w:val="none"/>
          <w:lang w:eastAsia="zh-CN"/>
        </w:rPr>
        <w:t>响应</w:t>
      </w:r>
      <w:r>
        <w:rPr>
          <w:rFonts w:hint="eastAsia" w:ascii="宋体" w:hAnsi="宋体" w:eastAsia="宋体" w:cs="宋体"/>
          <w:sz w:val="24"/>
          <w:szCs w:val="24"/>
          <w:highlight w:val="none"/>
        </w:rPr>
        <w:t>文件需要企业、法定代表人电子签章及电子签名。</w:t>
      </w:r>
    </w:p>
    <w:p w14:paraId="3F6A55B0">
      <w:pPr>
        <w:keepNext w:val="0"/>
        <w:keepLines w:val="0"/>
        <w:pageBreakBefore w:val="0"/>
        <w:widowControl w:val="0"/>
        <w:tabs>
          <w:tab w:val="left" w:pos="1080"/>
        </w:tabs>
        <w:kinsoku/>
        <w:wordWrap/>
        <w:overflowPunct/>
        <w:topLinePunct w:val="0"/>
        <w:bidi w:val="0"/>
        <w:snapToGrid/>
        <w:spacing w:line="560" w:lineRule="exact"/>
        <w:ind w:right="0" w:rightChars="0" w:firstLine="460" w:firstLineChars="192"/>
        <w:textAlignment w:val="auto"/>
        <w:outlineLvl w:val="9"/>
        <w:rPr>
          <w:rFonts w:hint="eastAsia" w:ascii="宋体" w:hAnsi="宋体" w:eastAsia="宋体" w:cs="宋体"/>
          <w:sz w:val="24"/>
          <w:szCs w:val="24"/>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.2 因复印、扫描、拍摄模糊，字迹潦草，表达不清，未按要求填写而导致非唯一理解，造成未实质性响应</w:t>
      </w:r>
      <w:r>
        <w:rPr>
          <w:rFonts w:hint="eastAsia" w:ascii="宋体" w:hAnsi="宋体" w:eastAsia="宋体" w:cs="宋体"/>
          <w:sz w:val="24"/>
          <w:szCs w:val="24"/>
          <w:highlight w:val="none"/>
          <w:lang w:eastAsia="zh-CN"/>
        </w:rPr>
        <w:t>谈判</w:t>
      </w:r>
      <w:r>
        <w:rPr>
          <w:rFonts w:hint="eastAsia" w:ascii="宋体" w:hAnsi="宋体" w:eastAsia="宋体" w:cs="宋体"/>
          <w:sz w:val="24"/>
          <w:szCs w:val="24"/>
          <w:highlight w:val="none"/>
        </w:rPr>
        <w:t>文件的</w:t>
      </w:r>
      <w:r>
        <w:rPr>
          <w:rFonts w:hint="eastAsia" w:ascii="宋体" w:hAnsi="宋体" w:eastAsia="宋体" w:cs="宋体"/>
          <w:sz w:val="24"/>
          <w:szCs w:val="24"/>
          <w:highlight w:val="none"/>
          <w:lang w:eastAsia="zh-CN"/>
        </w:rPr>
        <w:t>响应</w:t>
      </w:r>
      <w:r>
        <w:rPr>
          <w:rFonts w:hint="eastAsia" w:ascii="宋体" w:hAnsi="宋体" w:eastAsia="宋体" w:cs="宋体"/>
          <w:sz w:val="24"/>
          <w:szCs w:val="24"/>
          <w:highlight w:val="none"/>
        </w:rPr>
        <w:t>文件将会被认定为</w:t>
      </w:r>
      <w:r>
        <w:rPr>
          <w:rFonts w:hint="eastAsia" w:ascii="宋体" w:hAnsi="宋体" w:eastAsia="宋体" w:cs="宋体"/>
          <w:b/>
          <w:bCs/>
          <w:sz w:val="24"/>
          <w:szCs w:val="24"/>
          <w:highlight w:val="none"/>
        </w:rPr>
        <w:t>无效</w:t>
      </w:r>
      <w:r>
        <w:rPr>
          <w:rFonts w:hint="eastAsia" w:ascii="宋体" w:hAnsi="宋体" w:eastAsia="宋体" w:cs="宋体"/>
          <w:sz w:val="24"/>
          <w:szCs w:val="24"/>
          <w:highlight w:val="none"/>
        </w:rPr>
        <w:t>。</w:t>
      </w:r>
    </w:p>
    <w:p w14:paraId="2E094FA9">
      <w:pPr>
        <w:keepNext w:val="0"/>
        <w:keepLines w:val="0"/>
        <w:pageBreakBefore w:val="0"/>
        <w:widowControl w:val="0"/>
        <w:tabs>
          <w:tab w:val="left" w:pos="1080"/>
        </w:tabs>
        <w:kinsoku/>
        <w:wordWrap/>
        <w:overflowPunct/>
        <w:topLinePunct w:val="0"/>
        <w:bidi w:val="0"/>
        <w:snapToGrid/>
        <w:spacing w:line="560" w:lineRule="exact"/>
        <w:ind w:right="0" w:rightChars="0" w:firstLine="460" w:firstLineChars="192"/>
        <w:textAlignment w:val="auto"/>
        <w:outlineLvl w:val="9"/>
        <w:rPr>
          <w:rFonts w:hint="eastAsia" w:ascii="宋体" w:hAnsi="宋体" w:eastAsia="宋体" w:cs="宋体"/>
          <w:b/>
          <w:bCs/>
          <w:color w:val="008000"/>
          <w:sz w:val="24"/>
          <w:szCs w:val="24"/>
          <w:lang w:val="en-US" w:eastAsia="zh-CN"/>
        </w:rPr>
      </w:pPr>
      <w:r>
        <w:rPr>
          <w:rFonts w:hint="eastAsia" w:ascii="宋体" w:hAnsi="宋体" w:eastAsia="宋体" w:cs="宋体"/>
          <w:color w:val="000000"/>
          <w:sz w:val="24"/>
          <w:szCs w:val="24"/>
          <w:lang w:val="en-US"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3</w:t>
      </w:r>
      <w:r>
        <w:rPr>
          <w:rFonts w:hint="eastAsia" w:ascii="宋体" w:hAnsi="宋体" w:eastAsia="宋体" w:cs="宋体"/>
          <w:b/>
          <w:color w:val="000000"/>
          <w:sz w:val="24"/>
          <w:szCs w:val="24"/>
        </w:rPr>
        <w:t>（实质性要求）</w:t>
      </w:r>
      <w:r>
        <w:rPr>
          <w:rFonts w:hint="eastAsia" w:ascii="宋体" w:hAnsi="宋体" w:eastAsia="宋体" w:cs="宋体"/>
          <w:sz w:val="24"/>
          <w:szCs w:val="24"/>
        </w:rPr>
        <w:t>响应文件应由供应商法定代表人/主要负责人/本人或其授权代表在响应文件要求的地方</w:t>
      </w:r>
      <w:r>
        <w:rPr>
          <w:rFonts w:hint="eastAsia" w:ascii="宋体" w:hAnsi="宋体" w:eastAsia="宋体" w:cs="宋体"/>
          <w:sz w:val="24"/>
          <w:szCs w:val="24"/>
          <w:lang w:val="en-US" w:eastAsia="zh-CN"/>
        </w:rPr>
        <w:t>进行电子签名</w:t>
      </w:r>
      <w:r>
        <w:rPr>
          <w:rFonts w:hint="eastAsia" w:ascii="宋体" w:hAnsi="宋体" w:eastAsia="宋体" w:cs="宋体"/>
          <w:sz w:val="24"/>
          <w:szCs w:val="24"/>
        </w:rPr>
        <w:t>（或加盖私人</w:t>
      </w:r>
      <w:r>
        <w:rPr>
          <w:rFonts w:hint="eastAsia" w:ascii="宋体" w:hAnsi="宋体" w:eastAsia="宋体" w:cs="宋体"/>
          <w:sz w:val="24"/>
          <w:szCs w:val="24"/>
          <w:lang w:val="en-US" w:eastAsia="zh-CN"/>
        </w:rPr>
        <w:t>电子</w:t>
      </w:r>
      <w:r>
        <w:rPr>
          <w:rFonts w:hint="eastAsia" w:ascii="宋体" w:hAnsi="宋体" w:eastAsia="宋体" w:cs="宋体"/>
          <w:sz w:val="24"/>
          <w:szCs w:val="24"/>
        </w:rPr>
        <w:t>印章），要求加盖公章的地方加</w:t>
      </w:r>
      <w:r>
        <w:rPr>
          <w:rFonts w:hint="eastAsia" w:ascii="宋体" w:hAnsi="宋体" w:eastAsia="宋体" w:cs="宋体"/>
          <w:sz w:val="24"/>
          <w:szCs w:val="24"/>
          <w:highlight w:val="none"/>
        </w:rPr>
        <w:t>盖单位</w:t>
      </w:r>
      <w:r>
        <w:rPr>
          <w:rFonts w:hint="eastAsia" w:ascii="宋体" w:hAnsi="宋体" w:eastAsia="宋体" w:cs="宋体"/>
          <w:sz w:val="24"/>
          <w:szCs w:val="24"/>
          <w:highlight w:val="none"/>
          <w:lang w:val="en-US" w:eastAsia="zh-CN"/>
        </w:rPr>
        <w:t>电子</w:t>
      </w:r>
      <w:r>
        <w:rPr>
          <w:rFonts w:hint="eastAsia" w:ascii="宋体" w:hAnsi="宋体" w:eastAsia="宋体" w:cs="宋体"/>
          <w:sz w:val="24"/>
          <w:szCs w:val="24"/>
          <w:highlight w:val="none"/>
        </w:rPr>
        <w:t>公章，不得使用专用章（如经济合同章、投标专用章等）或下属单位印章代替。</w:t>
      </w:r>
    </w:p>
    <w:p w14:paraId="41C665E6">
      <w:pPr>
        <w:pStyle w:val="7"/>
        <w:pageBreakBefore w:val="0"/>
        <w:widowControl w:val="0"/>
        <w:kinsoku/>
        <w:wordWrap/>
        <w:overflowPunct/>
        <w:topLinePunct w:val="0"/>
        <w:bidi w:val="0"/>
        <w:snapToGrid/>
        <w:spacing w:before="0" w:after="0" w:line="560" w:lineRule="exact"/>
        <w:ind w:right="0" w:righ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 响应文件的密封</w:t>
      </w:r>
    </w:p>
    <w:p w14:paraId="0BCAC524">
      <w:pPr>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7.1 </w:t>
      </w:r>
      <w:r>
        <w:rPr>
          <w:rFonts w:hint="eastAsia" w:ascii="宋体" w:hAnsi="宋体" w:eastAsia="宋体" w:cs="宋体"/>
          <w:sz w:val="24"/>
          <w:szCs w:val="24"/>
          <w:highlight w:val="none"/>
        </w:rPr>
        <w:t>网上递交的</w:t>
      </w:r>
      <w:r>
        <w:rPr>
          <w:rFonts w:hint="eastAsia" w:ascii="宋体" w:hAnsi="宋体" w:eastAsia="宋体" w:cs="宋体"/>
          <w:sz w:val="24"/>
          <w:szCs w:val="24"/>
          <w:highlight w:val="none"/>
          <w:lang w:eastAsia="zh-CN"/>
        </w:rPr>
        <w:t>电子响应</w:t>
      </w:r>
      <w:r>
        <w:rPr>
          <w:rFonts w:hint="eastAsia" w:ascii="宋体" w:hAnsi="宋体" w:eastAsia="宋体" w:cs="宋体"/>
          <w:sz w:val="24"/>
          <w:szCs w:val="24"/>
          <w:highlight w:val="none"/>
        </w:rPr>
        <w:t>文件需要对文件进行加密。</w:t>
      </w:r>
    </w:p>
    <w:p w14:paraId="4A91B928">
      <w:pPr>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right="0" w:righ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7.2 </w:t>
      </w:r>
      <w:r>
        <w:rPr>
          <w:rFonts w:hint="eastAsia" w:ascii="宋体" w:hAnsi="宋体" w:eastAsia="宋体" w:cs="宋体"/>
          <w:sz w:val="24"/>
          <w:szCs w:val="24"/>
          <w:highlight w:val="none"/>
        </w:rPr>
        <w:t>供应商须在</w:t>
      </w:r>
      <w:r>
        <w:rPr>
          <w:rFonts w:hint="eastAsia" w:ascii="宋体" w:hAnsi="宋体" w:eastAsia="宋体" w:cs="宋体"/>
          <w:sz w:val="24"/>
          <w:szCs w:val="24"/>
          <w:highlight w:val="none"/>
          <w:lang w:eastAsia="zh-CN"/>
        </w:rPr>
        <w:t>响应</w:t>
      </w:r>
      <w:r>
        <w:rPr>
          <w:rFonts w:hint="eastAsia" w:ascii="宋体" w:hAnsi="宋体" w:eastAsia="宋体" w:cs="宋体"/>
          <w:sz w:val="24"/>
          <w:szCs w:val="24"/>
          <w:highlight w:val="none"/>
        </w:rPr>
        <w:t>文件递交截止时间前完成所有</w:t>
      </w:r>
      <w:r>
        <w:rPr>
          <w:rFonts w:hint="eastAsia" w:ascii="宋体" w:hAnsi="宋体" w:eastAsia="宋体" w:cs="宋体"/>
          <w:sz w:val="24"/>
          <w:szCs w:val="24"/>
          <w:highlight w:val="none"/>
          <w:lang w:eastAsia="zh-CN"/>
        </w:rPr>
        <w:t>响应</w:t>
      </w:r>
      <w:r>
        <w:rPr>
          <w:rFonts w:hint="eastAsia" w:ascii="宋体" w:hAnsi="宋体" w:eastAsia="宋体" w:cs="宋体"/>
          <w:sz w:val="24"/>
          <w:szCs w:val="24"/>
          <w:highlight w:val="none"/>
        </w:rPr>
        <w:t>文件的上传，网上确认电子签名。</w:t>
      </w:r>
    </w:p>
    <w:p w14:paraId="35DCBAA5">
      <w:pPr>
        <w:keepNext w:val="0"/>
        <w:keepLines w:val="0"/>
        <w:pageBreakBefore w:val="0"/>
        <w:widowControl w:val="0"/>
        <w:kinsoku/>
        <w:wordWrap/>
        <w:overflowPunct/>
        <w:topLinePunct w:val="0"/>
        <w:bidi w:val="0"/>
        <w:snapToGrid/>
        <w:spacing w:line="560" w:lineRule="exact"/>
        <w:ind w:right="0" w:rightChars="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注：建议供应商上传完成后，将已上传的电子</w:t>
      </w:r>
      <w:r>
        <w:rPr>
          <w:rFonts w:hint="eastAsia" w:ascii="宋体" w:hAnsi="宋体" w:eastAsia="宋体" w:cs="宋体"/>
          <w:sz w:val="24"/>
          <w:szCs w:val="24"/>
          <w:highlight w:val="none"/>
          <w:lang w:eastAsia="zh-CN"/>
        </w:rPr>
        <w:t>响应</w:t>
      </w:r>
      <w:r>
        <w:rPr>
          <w:rFonts w:hint="eastAsia" w:ascii="宋体" w:hAnsi="宋体" w:eastAsia="宋体" w:cs="宋体"/>
          <w:sz w:val="24"/>
          <w:szCs w:val="24"/>
          <w:highlight w:val="none"/>
        </w:rPr>
        <w:t>文件重新下载下来，用对应类型的编制工具或标书查看工具进行解密查看，确保上传的文件可以正常解密打开。</w:t>
      </w:r>
    </w:p>
    <w:p w14:paraId="0BDE7E43">
      <w:pPr>
        <w:pStyle w:val="7"/>
        <w:pageBreakBefore w:val="0"/>
        <w:widowControl w:val="0"/>
        <w:kinsoku/>
        <w:wordWrap/>
        <w:overflowPunct/>
        <w:topLinePunct w:val="0"/>
        <w:bidi w:val="0"/>
        <w:snapToGrid/>
        <w:spacing w:before="0" w:after="0" w:line="560" w:lineRule="exact"/>
        <w:ind w:right="0" w:righ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 响应文件的递交</w:t>
      </w:r>
    </w:p>
    <w:p w14:paraId="6E850DD1">
      <w:pPr>
        <w:keepNext w:val="0"/>
        <w:keepLines w:val="0"/>
        <w:pageBreakBefore w:val="0"/>
        <w:widowControl w:val="0"/>
        <w:kinsoku/>
        <w:wordWrap/>
        <w:overflowPunct/>
        <w:topLinePunct w:val="0"/>
        <w:bidi w:val="0"/>
        <w:snapToGrid/>
        <w:spacing w:line="560" w:lineRule="exact"/>
        <w:ind w:right="0" w:rightChars="0" w:firstLine="480" w:firstLineChars="200"/>
        <w:jc w:val="left"/>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.1 电子</w:t>
      </w:r>
      <w:r>
        <w:rPr>
          <w:rFonts w:hint="eastAsia" w:ascii="宋体" w:hAnsi="宋体" w:eastAsia="宋体" w:cs="宋体"/>
          <w:color w:val="000000"/>
          <w:sz w:val="24"/>
          <w:szCs w:val="24"/>
          <w:highlight w:val="none"/>
          <w:lang w:eastAsia="zh-CN"/>
        </w:rPr>
        <w:t>响应</w:t>
      </w:r>
      <w:r>
        <w:rPr>
          <w:rFonts w:hint="eastAsia" w:ascii="宋体" w:hAnsi="宋体" w:eastAsia="宋体" w:cs="宋体"/>
          <w:color w:val="000000"/>
          <w:sz w:val="24"/>
          <w:szCs w:val="24"/>
          <w:highlight w:val="none"/>
        </w:rPr>
        <w:t>文件的提交不得迟于“</w:t>
      </w:r>
      <w:r>
        <w:rPr>
          <w:rFonts w:hint="eastAsia" w:ascii="宋体" w:hAnsi="宋体" w:eastAsia="宋体" w:cs="宋体"/>
          <w:b/>
          <w:bCs/>
          <w:color w:val="000000"/>
          <w:sz w:val="24"/>
          <w:szCs w:val="24"/>
          <w:highlight w:val="none"/>
          <w:lang w:val="en-US" w:eastAsia="zh-CN"/>
        </w:rPr>
        <w:t>竞争性谈判公告</w:t>
      </w:r>
      <w:r>
        <w:rPr>
          <w:rFonts w:hint="eastAsia" w:ascii="宋体" w:hAnsi="宋体" w:eastAsia="宋体" w:cs="宋体"/>
          <w:color w:val="000000"/>
          <w:sz w:val="24"/>
          <w:szCs w:val="24"/>
          <w:highlight w:val="none"/>
        </w:rPr>
        <w:t>”规定的提交截止时间。</w:t>
      </w:r>
    </w:p>
    <w:p w14:paraId="68BAF09A">
      <w:pPr>
        <w:keepNext w:val="0"/>
        <w:keepLines w:val="0"/>
        <w:pageBreakBefore w:val="0"/>
        <w:widowControl w:val="0"/>
        <w:kinsoku/>
        <w:wordWrap/>
        <w:overflowPunct/>
        <w:topLinePunct w:val="0"/>
        <w:bidi w:val="0"/>
        <w:snapToGrid/>
        <w:spacing w:line="560" w:lineRule="exact"/>
        <w:ind w:right="0" w:rightChars="0" w:firstLine="480" w:firstLineChars="200"/>
        <w:jc w:val="left"/>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.2 供应商必须在规定时间内将电子</w:t>
      </w:r>
      <w:r>
        <w:rPr>
          <w:rFonts w:hint="eastAsia" w:ascii="宋体" w:hAnsi="宋体" w:eastAsia="宋体" w:cs="宋体"/>
          <w:color w:val="000000"/>
          <w:sz w:val="24"/>
          <w:szCs w:val="24"/>
          <w:highlight w:val="none"/>
          <w:lang w:eastAsia="zh-CN"/>
        </w:rPr>
        <w:t>响应</w:t>
      </w:r>
      <w:r>
        <w:rPr>
          <w:rFonts w:hint="eastAsia" w:ascii="宋体" w:hAnsi="宋体" w:eastAsia="宋体" w:cs="宋体"/>
          <w:color w:val="000000"/>
          <w:sz w:val="24"/>
          <w:szCs w:val="24"/>
          <w:highlight w:val="none"/>
        </w:rPr>
        <w:t>文件</w:t>
      </w:r>
      <w:r>
        <w:rPr>
          <w:rFonts w:hint="eastAsia" w:ascii="宋体" w:hAnsi="宋体" w:eastAsia="宋体" w:cs="宋体"/>
          <w:color w:val="000000"/>
          <w:sz w:val="24"/>
          <w:szCs w:val="24"/>
          <w:highlight w:val="none"/>
          <w:lang w:val="en-US" w:eastAsia="zh-CN"/>
        </w:rPr>
        <w:t>上传</w:t>
      </w:r>
      <w:r>
        <w:rPr>
          <w:rFonts w:hint="eastAsia" w:ascii="宋体" w:hAnsi="宋体" w:eastAsia="宋体" w:cs="宋体"/>
          <w:color w:val="000000"/>
          <w:sz w:val="24"/>
          <w:szCs w:val="24"/>
          <w:highlight w:val="none"/>
        </w:rPr>
        <w:t>到“</w:t>
      </w:r>
      <w:r>
        <w:rPr>
          <w:rFonts w:hint="eastAsia" w:ascii="宋体" w:hAnsi="宋体" w:eastAsia="宋体" w:cs="宋体"/>
          <w:b/>
          <w:bCs/>
          <w:color w:val="000000"/>
          <w:sz w:val="24"/>
          <w:szCs w:val="24"/>
          <w:highlight w:val="none"/>
          <w:lang w:val="en-US" w:eastAsia="zh-CN"/>
        </w:rPr>
        <w:t>竞争性谈判公告</w:t>
      </w:r>
      <w:r>
        <w:rPr>
          <w:rFonts w:hint="eastAsia" w:ascii="宋体" w:hAnsi="宋体" w:eastAsia="宋体" w:cs="宋体"/>
          <w:color w:val="000000"/>
          <w:sz w:val="24"/>
          <w:szCs w:val="24"/>
          <w:highlight w:val="none"/>
        </w:rPr>
        <w:t>”规定的</w:t>
      </w:r>
      <w:r>
        <w:rPr>
          <w:rFonts w:hint="eastAsia" w:ascii="宋体" w:hAnsi="宋体" w:eastAsia="宋体" w:cs="宋体"/>
          <w:color w:val="000000"/>
          <w:sz w:val="24"/>
          <w:szCs w:val="24"/>
          <w:highlight w:val="none"/>
          <w:lang w:val="en-US" w:eastAsia="zh-CN"/>
        </w:rPr>
        <w:t>网站</w:t>
      </w:r>
      <w:r>
        <w:rPr>
          <w:rFonts w:hint="eastAsia" w:ascii="宋体" w:hAnsi="宋体" w:eastAsia="宋体" w:cs="宋体"/>
          <w:color w:val="000000"/>
          <w:sz w:val="24"/>
          <w:szCs w:val="24"/>
          <w:highlight w:val="none"/>
        </w:rPr>
        <w:t>。</w:t>
      </w:r>
    </w:p>
    <w:p w14:paraId="0FBE07FA">
      <w:pPr>
        <w:keepNext w:val="0"/>
        <w:keepLines w:val="0"/>
        <w:pageBreakBefore w:val="0"/>
        <w:widowControl w:val="0"/>
        <w:kinsoku/>
        <w:wordWrap/>
        <w:overflowPunct/>
        <w:topLinePunct w:val="0"/>
        <w:bidi w:val="0"/>
        <w:snapToGrid/>
        <w:spacing w:line="560" w:lineRule="exact"/>
        <w:ind w:right="0" w:rightChars="0" w:firstLine="480" w:firstLineChars="200"/>
        <w:jc w:val="lef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逾期</w:t>
      </w:r>
      <w:r>
        <w:rPr>
          <w:rFonts w:hint="eastAsia" w:ascii="宋体" w:hAnsi="宋体" w:eastAsia="宋体" w:cs="宋体"/>
          <w:color w:val="000000"/>
          <w:sz w:val="24"/>
          <w:szCs w:val="24"/>
          <w:lang w:val="en-US" w:eastAsia="zh-CN"/>
        </w:rPr>
        <w:t>上传</w:t>
      </w:r>
      <w:r>
        <w:rPr>
          <w:rFonts w:hint="eastAsia" w:ascii="宋体" w:hAnsi="宋体" w:eastAsia="宋体" w:cs="宋体"/>
          <w:color w:val="000000"/>
          <w:sz w:val="24"/>
          <w:szCs w:val="24"/>
        </w:rPr>
        <w:t>的或者未</w:t>
      </w:r>
      <w:r>
        <w:rPr>
          <w:rFonts w:hint="eastAsia" w:ascii="宋体" w:hAnsi="宋体" w:eastAsia="宋体" w:cs="宋体"/>
          <w:color w:val="000000"/>
          <w:sz w:val="24"/>
          <w:szCs w:val="24"/>
          <w:lang w:val="en-US" w:eastAsia="zh-CN"/>
        </w:rPr>
        <w:t>上传至指定项目</w:t>
      </w:r>
      <w:r>
        <w:rPr>
          <w:rFonts w:hint="eastAsia" w:ascii="宋体" w:hAnsi="宋体" w:eastAsia="宋体" w:cs="宋体"/>
          <w:color w:val="000000"/>
          <w:sz w:val="24"/>
          <w:szCs w:val="24"/>
        </w:rPr>
        <w:t>的电子</w:t>
      </w:r>
      <w:r>
        <w:rPr>
          <w:rFonts w:hint="eastAsia" w:ascii="宋体" w:hAnsi="宋体" w:eastAsia="宋体" w:cs="宋体"/>
          <w:color w:val="000000"/>
          <w:sz w:val="24"/>
          <w:szCs w:val="24"/>
          <w:lang w:eastAsia="zh-CN"/>
        </w:rPr>
        <w:t>响应</w:t>
      </w:r>
      <w:r>
        <w:rPr>
          <w:rFonts w:hint="eastAsia" w:ascii="宋体" w:hAnsi="宋体" w:eastAsia="宋体" w:cs="宋体"/>
          <w:color w:val="000000"/>
          <w:sz w:val="24"/>
          <w:szCs w:val="24"/>
        </w:rPr>
        <w:t>文件，采购代理机构不予受理。</w:t>
      </w:r>
    </w:p>
    <w:p w14:paraId="5F3A288F">
      <w:pPr>
        <w:pStyle w:val="7"/>
        <w:pageBreakBefore w:val="0"/>
        <w:widowControl w:val="0"/>
        <w:kinsoku/>
        <w:wordWrap/>
        <w:overflowPunct/>
        <w:topLinePunct w:val="0"/>
        <w:bidi w:val="0"/>
        <w:snapToGrid/>
        <w:spacing w:before="0" w:after="0" w:line="560" w:lineRule="exact"/>
        <w:ind w:right="0" w:righ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 响应文件的修改和撤回</w:t>
      </w:r>
    </w:p>
    <w:p w14:paraId="01F2BB5F">
      <w:pPr>
        <w:keepNext w:val="0"/>
        <w:keepLines w:val="0"/>
        <w:pageBreakBefore w:val="0"/>
        <w:widowControl w:val="0"/>
        <w:kinsoku/>
        <w:wordWrap/>
        <w:overflowPunct/>
        <w:topLinePunct w:val="0"/>
        <w:bidi w:val="0"/>
        <w:snapToGrid/>
        <w:spacing w:line="560" w:lineRule="exact"/>
        <w:ind w:right="0" w:rightChars="0" w:firstLine="480" w:firstLineChars="200"/>
        <w:textAlignment w:val="auto"/>
        <w:outlineLvl w:val="9"/>
        <w:rPr>
          <w:rFonts w:hint="eastAsia" w:ascii="宋体" w:hAnsi="宋体" w:eastAsia="宋体" w:cs="宋体"/>
          <w:b/>
          <w:color w:val="000000"/>
          <w:sz w:val="24"/>
          <w:szCs w:val="24"/>
        </w:rPr>
      </w:pPr>
      <w:r>
        <w:rPr>
          <w:rFonts w:hint="eastAsia" w:ascii="宋体" w:hAnsi="宋体" w:eastAsia="宋体" w:cs="宋体"/>
          <w:sz w:val="24"/>
          <w:szCs w:val="24"/>
          <w:lang w:val="en-US" w:eastAsia="zh-CN"/>
        </w:rPr>
        <w:t xml:space="preserve">9.1 </w:t>
      </w:r>
      <w:r>
        <w:rPr>
          <w:rFonts w:hint="eastAsia" w:ascii="宋体" w:hAnsi="宋体" w:eastAsia="宋体" w:cs="宋体"/>
          <w:sz w:val="24"/>
          <w:szCs w:val="24"/>
        </w:rPr>
        <w:t>在规定</w:t>
      </w:r>
      <w:r>
        <w:rPr>
          <w:rFonts w:hint="eastAsia" w:ascii="宋体" w:hAnsi="宋体" w:eastAsia="宋体" w:cs="宋体"/>
          <w:sz w:val="24"/>
          <w:szCs w:val="24"/>
          <w:lang w:eastAsia="zh-CN"/>
        </w:rPr>
        <w:t>响应</w:t>
      </w:r>
      <w:r>
        <w:rPr>
          <w:rFonts w:hint="eastAsia" w:ascii="宋体" w:hAnsi="宋体" w:eastAsia="宋体" w:cs="宋体"/>
          <w:sz w:val="24"/>
          <w:szCs w:val="24"/>
        </w:rPr>
        <w:t>文件递交截止时间前，供应商可以修改或撤回已在网上递交的电子</w:t>
      </w:r>
      <w:r>
        <w:rPr>
          <w:rFonts w:hint="eastAsia" w:ascii="宋体" w:hAnsi="宋体" w:eastAsia="宋体" w:cs="宋体"/>
          <w:sz w:val="24"/>
          <w:szCs w:val="24"/>
          <w:lang w:eastAsia="zh-CN"/>
        </w:rPr>
        <w:t>响应</w:t>
      </w:r>
      <w:r>
        <w:rPr>
          <w:rFonts w:hint="eastAsia" w:ascii="宋体" w:hAnsi="宋体" w:eastAsia="宋体" w:cs="宋体"/>
          <w:sz w:val="24"/>
          <w:szCs w:val="24"/>
        </w:rPr>
        <w:t>文件，无须书面形式通知采购人。修改的电子</w:t>
      </w:r>
      <w:r>
        <w:rPr>
          <w:rFonts w:hint="eastAsia" w:ascii="宋体" w:hAnsi="宋体" w:eastAsia="宋体" w:cs="宋体"/>
          <w:sz w:val="24"/>
          <w:szCs w:val="24"/>
          <w:lang w:eastAsia="zh-CN"/>
        </w:rPr>
        <w:t>响应</w:t>
      </w:r>
      <w:r>
        <w:rPr>
          <w:rFonts w:hint="eastAsia" w:ascii="宋体" w:hAnsi="宋体" w:eastAsia="宋体" w:cs="宋体"/>
          <w:sz w:val="24"/>
          <w:szCs w:val="24"/>
        </w:rPr>
        <w:t>文件应按照有关电子</w:t>
      </w:r>
      <w:r>
        <w:rPr>
          <w:rFonts w:hint="eastAsia" w:ascii="宋体" w:hAnsi="宋体" w:eastAsia="宋体" w:cs="宋体"/>
          <w:sz w:val="24"/>
          <w:szCs w:val="24"/>
          <w:lang w:eastAsia="zh-CN"/>
        </w:rPr>
        <w:t>响应</w:t>
      </w:r>
      <w:r>
        <w:rPr>
          <w:rFonts w:hint="eastAsia" w:ascii="宋体" w:hAnsi="宋体" w:eastAsia="宋体" w:cs="宋体"/>
          <w:sz w:val="24"/>
          <w:szCs w:val="24"/>
        </w:rPr>
        <w:t>文件规定进行编制、</w:t>
      </w:r>
      <w:r>
        <w:rPr>
          <w:rFonts w:hint="eastAsia" w:ascii="宋体" w:hAnsi="宋体" w:eastAsia="宋体" w:cs="宋体"/>
          <w:sz w:val="24"/>
          <w:szCs w:val="24"/>
          <w:lang w:val="en-US" w:eastAsia="zh-CN"/>
        </w:rPr>
        <w:t>上传</w:t>
      </w:r>
      <w:r>
        <w:rPr>
          <w:rFonts w:hint="eastAsia" w:ascii="宋体" w:hAnsi="宋体" w:eastAsia="宋体" w:cs="宋体"/>
          <w:sz w:val="24"/>
          <w:szCs w:val="24"/>
        </w:rPr>
        <w:t>。</w:t>
      </w:r>
    </w:p>
    <w:p w14:paraId="5CDC6A79">
      <w:pPr>
        <w:keepNext w:val="0"/>
        <w:keepLines w:val="0"/>
        <w:pageBreakBefore w:val="0"/>
        <w:widowControl w:val="0"/>
        <w:kinsoku/>
        <w:wordWrap/>
        <w:overflowPunct/>
        <w:topLinePunct w:val="0"/>
        <w:bidi w:val="0"/>
        <w:snapToGrid/>
        <w:spacing w:line="560" w:lineRule="exact"/>
        <w:ind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 供应商不得在递交截止时间起至响应文件有效期期满前撤回其响应</w:t>
      </w:r>
      <w:r>
        <w:rPr>
          <w:rFonts w:hint="eastAsia" w:ascii="宋体" w:hAnsi="宋体" w:eastAsia="宋体" w:cs="宋体"/>
          <w:sz w:val="24"/>
          <w:szCs w:val="24"/>
          <w:highlight w:val="none"/>
        </w:rPr>
        <w:t>文件。否则其</w:t>
      </w:r>
      <w:r>
        <w:rPr>
          <w:rFonts w:hint="eastAsia" w:ascii="宋体" w:hAnsi="宋体" w:eastAsia="宋体" w:cs="宋体"/>
          <w:sz w:val="24"/>
          <w:szCs w:val="24"/>
          <w:highlight w:val="none"/>
          <w:lang w:eastAsia="zh-CN"/>
        </w:rPr>
        <w:t>谈判</w:t>
      </w:r>
      <w:r>
        <w:rPr>
          <w:rFonts w:hint="eastAsia" w:ascii="宋体" w:hAnsi="宋体" w:eastAsia="宋体" w:cs="宋体"/>
          <w:sz w:val="24"/>
          <w:szCs w:val="24"/>
          <w:highlight w:val="none"/>
        </w:rPr>
        <w:t>保证金将按相关规定被没收。</w:t>
      </w:r>
    </w:p>
    <w:p w14:paraId="1FA5BAFF">
      <w:pPr>
        <w:keepNext w:val="0"/>
        <w:keepLines w:val="0"/>
        <w:pageBreakBefore w:val="0"/>
        <w:widowControl w:val="0"/>
        <w:kinsoku/>
        <w:wordWrap/>
        <w:overflowPunct/>
        <w:topLinePunct w:val="0"/>
        <w:bidi w:val="0"/>
        <w:snapToGrid/>
        <w:spacing w:line="560" w:lineRule="exact"/>
        <w:ind w:right="0" w:rightChars="0" w:firstLine="480"/>
        <w:textAlignment w:val="auto"/>
        <w:outlineLvl w:val="9"/>
        <w:rPr>
          <w:rFonts w:hint="eastAsia" w:ascii="宋体" w:hAnsi="宋体" w:eastAsia="宋体" w:cs="宋体"/>
          <w:color w:val="000000"/>
          <w:sz w:val="24"/>
          <w:szCs w:val="24"/>
        </w:rPr>
      </w:pPr>
      <w:r>
        <w:rPr>
          <w:rFonts w:hint="eastAsia" w:ascii="宋体" w:hAnsi="宋体" w:eastAsia="宋体" w:cs="宋体"/>
          <w:sz w:val="24"/>
          <w:szCs w:val="24"/>
          <w:lang w:val="en-US" w:eastAsia="zh-CN"/>
        </w:rPr>
        <w:t>9</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 xml:space="preserve"> 供应商对其提交的响应文件的真实性、合法性承担法律责任。</w:t>
      </w:r>
    </w:p>
    <w:p w14:paraId="5D936072">
      <w:pPr>
        <w:keepNext w:val="0"/>
        <w:keepLines w:val="0"/>
        <w:pageBreakBefore w:val="0"/>
        <w:widowControl w:val="0"/>
        <w:kinsoku/>
        <w:wordWrap/>
        <w:overflowPunct/>
        <w:topLinePunct w:val="0"/>
        <w:bidi w:val="0"/>
        <w:snapToGrid/>
        <w:spacing w:line="560" w:lineRule="exact"/>
        <w:ind w:right="0" w:rightChars="0"/>
        <w:jc w:val="center"/>
        <w:textAlignment w:val="auto"/>
        <w:outlineLvl w:val="9"/>
        <w:rPr>
          <w:rFonts w:hint="eastAsia" w:ascii="宋体" w:hAnsi="宋体" w:eastAsia="宋体" w:cs="宋体"/>
          <w:color w:val="000000"/>
          <w:sz w:val="24"/>
          <w:szCs w:val="24"/>
        </w:rPr>
      </w:pPr>
    </w:p>
    <w:p w14:paraId="30E42C6C">
      <w:pPr>
        <w:pStyle w:val="6"/>
        <w:keepNext w:val="0"/>
        <w:keepLines w:val="0"/>
        <w:pageBreakBefore w:val="0"/>
        <w:widowControl w:val="0"/>
        <w:numPr>
          <w:ilvl w:val="0"/>
          <w:numId w:val="0"/>
        </w:numPr>
        <w:kinsoku/>
        <w:wordWrap/>
        <w:overflowPunct/>
        <w:topLinePunct w:val="0"/>
        <w:bidi w:val="0"/>
        <w:snapToGrid/>
        <w:spacing w:before="0" w:after="0" w:line="560" w:lineRule="exact"/>
        <w:ind w:right="0" w:rightChars="0"/>
        <w:jc w:val="center"/>
        <w:textAlignment w:val="auto"/>
        <w:rPr>
          <w:rFonts w:hint="eastAsia" w:ascii="宋体" w:hAnsi="宋体" w:eastAsia="宋体" w:cs="宋体"/>
          <w:bCs/>
          <w:color w:val="000000"/>
          <w:sz w:val="32"/>
          <w:szCs w:val="32"/>
        </w:rPr>
      </w:pPr>
      <w:bookmarkStart w:id="145" w:name="_Toc4978"/>
      <w:bookmarkStart w:id="146" w:name="_Toc28649"/>
      <w:bookmarkStart w:id="147" w:name="_Toc14660"/>
      <w:bookmarkStart w:id="148" w:name="_Toc28606_WPSOffice_Level2"/>
      <w:bookmarkStart w:id="149" w:name="_Toc28860"/>
      <w:r>
        <w:rPr>
          <w:rFonts w:hint="eastAsia" w:ascii="宋体" w:hAnsi="宋体" w:eastAsia="宋体" w:cs="宋体"/>
          <w:bCs/>
          <w:color w:val="000000"/>
          <w:sz w:val="32"/>
          <w:szCs w:val="32"/>
        </w:rPr>
        <w:t>五、</w:t>
      </w:r>
      <w:r>
        <w:rPr>
          <w:rFonts w:hint="eastAsia" w:ascii="宋体" w:hAnsi="宋体" w:eastAsia="宋体" w:cs="宋体"/>
          <w:bCs/>
          <w:color w:val="000000"/>
          <w:sz w:val="32"/>
          <w:szCs w:val="32"/>
          <w:lang w:eastAsia="zh-CN"/>
        </w:rPr>
        <w:t>谈判</w:t>
      </w:r>
      <w:r>
        <w:rPr>
          <w:rFonts w:hint="eastAsia" w:ascii="宋体" w:hAnsi="宋体" w:eastAsia="宋体" w:cs="宋体"/>
          <w:bCs/>
          <w:color w:val="000000"/>
          <w:sz w:val="32"/>
          <w:szCs w:val="32"/>
        </w:rPr>
        <w:t>及评审过程</w:t>
      </w:r>
      <w:bookmarkEnd w:id="145"/>
      <w:bookmarkEnd w:id="146"/>
      <w:bookmarkEnd w:id="147"/>
      <w:bookmarkEnd w:id="148"/>
      <w:bookmarkEnd w:id="149"/>
    </w:p>
    <w:p w14:paraId="1448A0B3">
      <w:pPr>
        <w:pStyle w:val="7"/>
        <w:pageBreakBefore w:val="0"/>
        <w:widowControl w:val="0"/>
        <w:kinsoku/>
        <w:wordWrap/>
        <w:overflowPunct/>
        <w:topLinePunct w:val="0"/>
        <w:autoSpaceDE/>
        <w:autoSpaceDN/>
        <w:bidi w:val="0"/>
        <w:adjustRightInd/>
        <w:snapToGrid/>
        <w:spacing w:before="0" w:after="0" w:line="560" w:lineRule="exact"/>
        <w:ind w:right="0" w:righ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bookmarkStart w:id="150" w:name="_Toc31387"/>
      <w:bookmarkStart w:id="151" w:name="_Toc337822233"/>
      <w:r>
        <w:rPr>
          <w:rFonts w:hint="eastAsia" w:ascii="宋体" w:hAnsi="宋体" w:eastAsia="宋体" w:cs="宋体"/>
          <w:sz w:val="24"/>
          <w:szCs w:val="24"/>
          <w:lang w:val="en-US" w:eastAsia="zh-CN"/>
        </w:rPr>
        <w:t xml:space="preserve"> 电子响应文件的</w:t>
      </w:r>
      <w:bookmarkEnd w:id="150"/>
      <w:bookmarkEnd w:id="151"/>
      <w:r>
        <w:rPr>
          <w:rFonts w:hint="eastAsia" w:ascii="宋体" w:hAnsi="宋体" w:eastAsia="宋体" w:cs="宋体"/>
          <w:sz w:val="24"/>
          <w:szCs w:val="24"/>
          <w:lang w:val="en-US" w:eastAsia="zh-CN"/>
        </w:rPr>
        <w:t>开启</w:t>
      </w:r>
    </w:p>
    <w:p w14:paraId="5CB79F58">
      <w:pPr>
        <w:keepNext w:val="0"/>
        <w:keepLines w:val="0"/>
        <w:pageBreakBefore w:val="0"/>
        <w:widowControl w:val="0"/>
        <w:kinsoku/>
        <w:wordWrap/>
        <w:overflowPunct/>
        <w:topLinePunct w:val="0"/>
        <w:autoSpaceDE/>
        <w:autoSpaceDN/>
        <w:bidi w:val="0"/>
        <w:adjustRightInd/>
        <w:snapToGrid/>
        <w:spacing w:line="560" w:lineRule="exact"/>
        <w:ind w:right="0" w:rightChars="0" w:firstLine="480" w:firstLineChars="20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该项目采用</w:t>
      </w:r>
      <w:r>
        <w:rPr>
          <w:rFonts w:hint="eastAsia" w:ascii="宋体" w:hAnsi="宋体" w:eastAsia="宋体" w:cs="宋体"/>
          <w:sz w:val="24"/>
          <w:szCs w:val="24"/>
          <w:highlight w:val="none"/>
          <w:lang w:val="en-US" w:eastAsia="zh-CN"/>
        </w:rPr>
        <w:t>线上开启响应文件的</w:t>
      </w:r>
      <w:r>
        <w:rPr>
          <w:rFonts w:hint="eastAsia" w:ascii="宋体" w:hAnsi="宋体" w:eastAsia="宋体" w:cs="宋体"/>
          <w:sz w:val="24"/>
          <w:szCs w:val="24"/>
          <w:highlight w:val="none"/>
        </w:rPr>
        <w:t>方式</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采购代理机构将在“</w:t>
      </w:r>
      <w:r>
        <w:rPr>
          <w:rFonts w:hint="eastAsia" w:ascii="宋体" w:hAnsi="宋体" w:eastAsia="宋体" w:cs="宋体"/>
          <w:b/>
          <w:sz w:val="24"/>
          <w:szCs w:val="24"/>
          <w:highlight w:val="none"/>
          <w:lang w:val="en-US" w:eastAsia="zh-CN"/>
        </w:rPr>
        <w:t>谈判采购公告</w:t>
      </w:r>
      <w:r>
        <w:rPr>
          <w:rFonts w:hint="eastAsia" w:ascii="宋体" w:hAnsi="宋体" w:eastAsia="宋体" w:cs="宋体"/>
          <w:sz w:val="24"/>
          <w:szCs w:val="24"/>
          <w:highlight w:val="none"/>
        </w:rPr>
        <w:t>”规定的时间和地点</w:t>
      </w:r>
      <w:r>
        <w:rPr>
          <w:rFonts w:hint="eastAsia" w:ascii="宋体" w:hAnsi="宋体" w:eastAsia="宋体" w:cs="宋体"/>
          <w:sz w:val="24"/>
          <w:szCs w:val="24"/>
          <w:highlight w:val="none"/>
          <w:lang w:eastAsia="zh-CN"/>
        </w:rPr>
        <w:t>对供应商的电子响应文件进行</w:t>
      </w:r>
      <w:r>
        <w:rPr>
          <w:rFonts w:hint="eastAsia" w:ascii="宋体" w:hAnsi="宋体" w:eastAsia="宋体" w:cs="宋体"/>
          <w:sz w:val="24"/>
          <w:szCs w:val="24"/>
          <w:highlight w:val="none"/>
          <w:lang w:val="en-US" w:eastAsia="zh-CN"/>
        </w:rPr>
        <w:t>远程</w:t>
      </w:r>
      <w:r>
        <w:rPr>
          <w:rFonts w:hint="eastAsia" w:ascii="宋体" w:hAnsi="宋体" w:eastAsia="宋体" w:cs="宋体"/>
          <w:sz w:val="24"/>
          <w:szCs w:val="24"/>
          <w:highlight w:val="none"/>
          <w:lang w:eastAsia="zh-CN"/>
        </w:rPr>
        <w:t>解密</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应熟练掌握网上远程解密操作，并在</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竞争性谈判公告</w:t>
      </w:r>
      <w:r>
        <w:rPr>
          <w:rFonts w:hint="eastAsia" w:ascii="宋体" w:hAnsi="宋体" w:eastAsia="宋体" w:cs="宋体"/>
          <w:b/>
          <w:bCs/>
          <w:sz w:val="24"/>
          <w:szCs w:val="24"/>
          <w:highlight w:val="none"/>
          <w:lang w:eastAsia="zh-CN"/>
        </w:rPr>
        <w:t>”</w:t>
      </w:r>
      <w:r>
        <w:rPr>
          <w:rFonts w:hint="eastAsia" w:ascii="宋体" w:hAnsi="宋体" w:eastAsia="宋体" w:cs="宋体"/>
          <w:sz w:val="24"/>
          <w:szCs w:val="24"/>
          <w:highlight w:val="none"/>
        </w:rPr>
        <w:t>规定的</w:t>
      </w:r>
      <w:r>
        <w:rPr>
          <w:rFonts w:hint="eastAsia" w:ascii="宋体" w:hAnsi="宋体" w:eastAsia="宋体" w:cs="宋体"/>
          <w:sz w:val="24"/>
          <w:szCs w:val="24"/>
          <w:highlight w:val="none"/>
          <w:lang w:val="en-US" w:eastAsia="zh-CN"/>
        </w:rPr>
        <w:t>时间内</w:t>
      </w:r>
      <w:r>
        <w:rPr>
          <w:rFonts w:hint="eastAsia" w:ascii="宋体" w:hAnsi="宋体" w:eastAsia="宋体" w:cs="宋体"/>
          <w:sz w:val="24"/>
          <w:szCs w:val="24"/>
          <w:highlight w:val="none"/>
        </w:rPr>
        <w:t>成功完成网上远程解密，如在规定的时间内不能成功完成网上远程解密的，则视为撤销其</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后果自负。若未在签名确认时间内完成签名确认的，则视为对本次</w:t>
      </w:r>
      <w:r>
        <w:rPr>
          <w:rFonts w:hint="eastAsia" w:ascii="宋体" w:hAnsi="宋体" w:eastAsia="宋体" w:cs="宋体"/>
          <w:sz w:val="24"/>
          <w:szCs w:val="24"/>
          <w:highlight w:val="none"/>
          <w:lang w:val="en-US" w:eastAsia="zh-CN"/>
        </w:rPr>
        <w:t>开启结果</w:t>
      </w:r>
      <w:r>
        <w:rPr>
          <w:rFonts w:hint="eastAsia" w:ascii="宋体" w:hAnsi="宋体" w:eastAsia="宋体" w:cs="宋体"/>
          <w:sz w:val="24"/>
          <w:szCs w:val="24"/>
          <w:highlight w:val="none"/>
        </w:rPr>
        <w:t>无异议。</w:t>
      </w:r>
      <w:r>
        <w:rPr>
          <w:rFonts w:hint="eastAsia" w:ascii="宋体" w:hAnsi="宋体" w:eastAsia="宋体" w:cs="宋体"/>
          <w:sz w:val="24"/>
          <w:szCs w:val="24"/>
          <w:highlight w:val="none"/>
          <w:lang w:val="en-US" w:eastAsia="zh-CN"/>
        </w:rPr>
        <w:t xml:space="preserve"> </w:t>
      </w:r>
    </w:p>
    <w:p w14:paraId="58E46B94">
      <w:pPr>
        <w:keepNext w:val="0"/>
        <w:keepLines w:val="0"/>
        <w:pageBreakBefore w:val="0"/>
        <w:widowControl w:val="0"/>
        <w:kinsoku/>
        <w:wordWrap/>
        <w:overflowPunct/>
        <w:topLinePunct w:val="0"/>
        <w:autoSpaceDE/>
        <w:autoSpaceDN/>
        <w:bidi w:val="0"/>
        <w:adjustRightInd/>
        <w:snapToGrid/>
        <w:spacing w:line="560" w:lineRule="exact"/>
        <w:ind w:right="0" w:rightChars="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若远程解密过程中出现网络故障或其他异常情况的，请及时电话联系采购代理机构或技术支持人员。</w:t>
      </w:r>
    </w:p>
    <w:p w14:paraId="0A9E7BF5">
      <w:pPr>
        <w:pStyle w:val="7"/>
        <w:pageBreakBefore w:val="0"/>
        <w:widowControl w:val="0"/>
        <w:kinsoku/>
        <w:wordWrap/>
        <w:overflowPunct/>
        <w:topLinePunct w:val="0"/>
        <w:autoSpaceDE/>
        <w:autoSpaceDN/>
        <w:bidi w:val="0"/>
        <w:adjustRightInd/>
        <w:snapToGrid/>
        <w:spacing w:before="0" w:after="0" w:line="560" w:lineRule="exact"/>
        <w:ind w:right="0" w:righ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 谈判评审</w:t>
      </w:r>
    </w:p>
    <w:p w14:paraId="2ED27002">
      <w:pPr>
        <w:keepNext w:val="0"/>
        <w:keepLines w:val="0"/>
        <w:pageBreakBefore w:val="0"/>
        <w:widowControl w:val="0"/>
        <w:kinsoku/>
        <w:wordWrap/>
        <w:overflowPunct/>
        <w:topLinePunct w:val="0"/>
        <w:autoSpaceDE/>
        <w:autoSpaceDN/>
        <w:bidi w:val="0"/>
        <w:adjustRightInd/>
        <w:snapToGrid/>
        <w:spacing w:line="560" w:lineRule="exact"/>
        <w:ind w:right="0" w:rightChars="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谈判小组由采购人代表和评审专家共3人以上的单数组成，其中评审专家人数不得少于谈判小组成员总数的三分之二。</w:t>
      </w:r>
      <w:r>
        <w:rPr>
          <w:rFonts w:hint="eastAsia" w:ascii="宋体" w:hAnsi="宋体" w:eastAsia="宋体" w:cs="宋体"/>
          <w:sz w:val="24"/>
          <w:szCs w:val="24"/>
          <w:highlight w:val="none"/>
          <w:lang w:eastAsia="zh-CN"/>
        </w:rPr>
        <w:t>谈判</w:t>
      </w:r>
      <w:r>
        <w:rPr>
          <w:rFonts w:hint="eastAsia" w:ascii="宋体" w:hAnsi="宋体" w:eastAsia="宋体" w:cs="宋体"/>
          <w:sz w:val="24"/>
          <w:szCs w:val="24"/>
          <w:highlight w:val="none"/>
        </w:rPr>
        <w:t>小组负责本项目的</w:t>
      </w:r>
      <w:r>
        <w:rPr>
          <w:rFonts w:hint="eastAsia" w:ascii="宋体" w:hAnsi="宋体" w:eastAsia="宋体" w:cs="宋体"/>
          <w:sz w:val="24"/>
          <w:szCs w:val="24"/>
          <w:highlight w:val="none"/>
          <w:lang w:eastAsia="zh-CN"/>
        </w:rPr>
        <w:t>谈判</w:t>
      </w:r>
      <w:r>
        <w:rPr>
          <w:rFonts w:hint="eastAsia" w:ascii="宋体" w:hAnsi="宋体" w:eastAsia="宋体" w:cs="宋体"/>
          <w:sz w:val="24"/>
          <w:szCs w:val="24"/>
          <w:highlight w:val="none"/>
        </w:rPr>
        <w:t>采购活动和评审工作。</w:t>
      </w:r>
      <w:r>
        <w:rPr>
          <w:rFonts w:hint="eastAsia" w:ascii="宋体" w:hAnsi="宋体" w:eastAsia="宋体" w:cs="宋体"/>
          <w:sz w:val="24"/>
          <w:szCs w:val="24"/>
          <w:highlight w:val="none"/>
          <w:lang w:eastAsia="zh-CN"/>
        </w:rPr>
        <w:t>谈判</w:t>
      </w:r>
      <w:r>
        <w:rPr>
          <w:rFonts w:hint="eastAsia" w:ascii="宋体" w:hAnsi="宋体" w:eastAsia="宋体" w:cs="宋体"/>
          <w:sz w:val="24"/>
          <w:szCs w:val="24"/>
          <w:highlight w:val="none"/>
        </w:rPr>
        <w:t>小组的评审工作按照有关法律制度和本文件第</w:t>
      </w:r>
      <w:r>
        <w:rPr>
          <w:rFonts w:hint="eastAsia" w:ascii="宋体" w:hAnsi="宋体" w:eastAsia="宋体" w:cs="宋体"/>
          <w:sz w:val="24"/>
          <w:szCs w:val="24"/>
          <w:highlight w:val="none"/>
          <w:lang w:val="en-US" w:eastAsia="zh-CN"/>
        </w:rPr>
        <w:t>五</w:t>
      </w:r>
      <w:r>
        <w:rPr>
          <w:rFonts w:hint="eastAsia" w:ascii="宋体" w:hAnsi="宋体" w:eastAsia="宋体" w:cs="宋体"/>
          <w:sz w:val="24"/>
          <w:szCs w:val="24"/>
          <w:highlight w:val="none"/>
        </w:rPr>
        <w:t>章的规定进行。</w:t>
      </w:r>
    </w:p>
    <w:p w14:paraId="3E5EC583">
      <w:pPr>
        <w:pStyle w:val="7"/>
        <w:pageBreakBefore w:val="0"/>
        <w:widowControl w:val="0"/>
        <w:kinsoku/>
        <w:wordWrap/>
        <w:overflowPunct/>
        <w:topLinePunct w:val="0"/>
        <w:autoSpaceDE/>
        <w:autoSpaceDN/>
        <w:bidi w:val="0"/>
        <w:adjustRightInd/>
        <w:snapToGrid/>
        <w:spacing w:before="0" w:after="0" w:line="560" w:lineRule="exact"/>
        <w:ind w:right="0" w:rightChars="0"/>
        <w:textAlignment w:val="auto"/>
        <w:rPr>
          <w:rFonts w:hint="eastAsia" w:ascii="宋体" w:hAnsi="宋体" w:eastAsia="宋体" w:cs="宋体"/>
          <w:sz w:val="24"/>
          <w:szCs w:val="24"/>
          <w:lang w:val="en-US" w:eastAsia="zh-CN"/>
        </w:rPr>
      </w:pPr>
      <w:bookmarkStart w:id="152" w:name="_Toc31289"/>
      <w:bookmarkStart w:id="153" w:name="_Toc24972"/>
      <w:bookmarkStart w:id="154" w:name="_Toc515647786"/>
      <w:bookmarkStart w:id="155" w:name="_Toc2582292"/>
      <w:bookmarkStart w:id="156" w:name="_Toc532473478"/>
      <w:bookmarkStart w:id="157" w:name="_Toc520356169"/>
      <w:r>
        <w:rPr>
          <w:rFonts w:hint="eastAsia" w:ascii="宋体" w:hAnsi="宋体" w:eastAsia="宋体" w:cs="宋体"/>
          <w:sz w:val="24"/>
          <w:szCs w:val="24"/>
          <w:lang w:val="en-US" w:eastAsia="zh-CN"/>
        </w:rPr>
        <w:t>3. 保密</w:t>
      </w:r>
      <w:bookmarkEnd w:id="152"/>
      <w:bookmarkEnd w:id="153"/>
      <w:bookmarkEnd w:id="154"/>
      <w:r>
        <w:rPr>
          <w:rFonts w:hint="eastAsia" w:ascii="宋体" w:hAnsi="宋体" w:eastAsia="宋体" w:cs="宋体"/>
          <w:sz w:val="24"/>
          <w:szCs w:val="24"/>
          <w:lang w:val="en-US" w:eastAsia="zh-CN"/>
        </w:rPr>
        <w:t>要求</w:t>
      </w:r>
      <w:bookmarkEnd w:id="155"/>
      <w:bookmarkEnd w:id="156"/>
    </w:p>
    <w:p w14:paraId="045A2CCB">
      <w:pPr>
        <w:keepNext w:val="0"/>
        <w:keepLines w:val="0"/>
        <w:pageBreakBefore w:val="0"/>
        <w:widowControl w:val="0"/>
        <w:tabs>
          <w:tab w:val="left" w:pos="1080"/>
        </w:tabs>
        <w:kinsoku/>
        <w:wordWrap/>
        <w:overflowPunct/>
        <w:topLinePunct w:val="0"/>
        <w:autoSpaceDE/>
        <w:autoSpaceDN/>
        <w:bidi w:val="0"/>
        <w:adjustRightInd/>
        <w:snapToGrid/>
        <w:spacing w:line="560" w:lineRule="exact"/>
        <w:ind w:right="0" w:rightChars="0" w:firstLine="460" w:firstLineChars="192"/>
        <w:textAlignment w:val="auto"/>
        <w:outlineLvl w:val="9"/>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3.1 谈判将在严格保密的情况下进行。</w:t>
      </w:r>
    </w:p>
    <w:p w14:paraId="573052FF">
      <w:pPr>
        <w:keepNext w:val="0"/>
        <w:keepLines w:val="0"/>
        <w:pageBreakBefore w:val="0"/>
        <w:widowControl w:val="0"/>
        <w:tabs>
          <w:tab w:val="left" w:pos="1080"/>
        </w:tabs>
        <w:kinsoku/>
        <w:wordWrap/>
        <w:overflowPunct/>
        <w:topLinePunct w:val="0"/>
        <w:autoSpaceDE/>
        <w:autoSpaceDN/>
        <w:bidi w:val="0"/>
        <w:adjustRightInd/>
        <w:snapToGrid/>
        <w:spacing w:line="560" w:lineRule="exact"/>
        <w:ind w:right="0" w:rightChars="0" w:firstLine="460" w:firstLineChars="192"/>
        <w:textAlignment w:val="auto"/>
        <w:outlineLvl w:val="9"/>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3.2 有关人员应当遵守评审工作纪律，不得泄露评审文件、评审情况和从评审中获悉的国家秘密、商业秘密。</w:t>
      </w:r>
    </w:p>
    <w:bookmarkEnd w:id="157"/>
    <w:p w14:paraId="4B4CA738">
      <w:pPr>
        <w:pStyle w:val="6"/>
        <w:keepNext w:val="0"/>
        <w:keepLines w:val="0"/>
        <w:pageBreakBefore w:val="0"/>
        <w:numPr>
          <w:ilvl w:val="0"/>
          <w:numId w:val="0"/>
        </w:numPr>
        <w:kinsoku/>
        <w:wordWrap/>
        <w:overflowPunct/>
        <w:topLinePunct w:val="0"/>
        <w:bidi w:val="0"/>
        <w:spacing w:before="0" w:after="0" w:line="560" w:lineRule="exact"/>
        <w:jc w:val="center"/>
        <w:rPr>
          <w:rFonts w:hint="eastAsia" w:ascii="宋体" w:hAnsi="宋体" w:eastAsia="宋体" w:cs="宋体"/>
          <w:bCs/>
          <w:color w:val="000000"/>
          <w:sz w:val="32"/>
          <w:szCs w:val="32"/>
        </w:rPr>
      </w:pPr>
      <w:bookmarkStart w:id="158" w:name="_Toc2758"/>
      <w:bookmarkStart w:id="159" w:name="_Toc11618"/>
      <w:bookmarkStart w:id="160" w:name="_Toc6977"/>
      <w:bookmarkStart w:id="161" w:name="_Toc19322_WPSOffice_Level2"/>
      <w:bookmarkStart w:id="162" w:name="_Toc22115"/>
      <w:r>
        <w:rPr>
          <w:rFonts w:hint="eastAsia" w:ascii="宋体" w:hAnsi="宋体" w:eastAsia="宋体" w:cs="宋体"/>
          <w:bCs/>
          <w:color w:val="000000"/>
          <w:sz w:val="32"/>
          <w:szCs w:val="32"/>
        </w:rPr>
        <w:t>六、成交事项</w:t>
      </w:r>
      <w:bookmarkEnd w:id="158"/>
      <w:bookmarkEnd w:id="159"/>
      <w:bookmarkEnd w:id="160"/>
      <w:bookmarkEnd w:id="161"/>
      <w:bookmarkEnd w:id="162"/>
    </w:p>
    <w:p w14:paraId="2AA1EF54">
      <w:pPr>
        <w:pStyle w:val="7"/>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 成交候选供应商的确定原则及标准</w:t>
      </w:r>
    </w:p>
    <w:p w14:paraId="464E6CC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除谈判小组受采购人委托直接确定成交供应商的情形外，谈判小组应当从质量和服务均能满足采购文件实质性响应要求的供应商中，按照</w:t>
      </w:r>
      <w:r>
        <w:rPr>
          <w:rFonts w:hint="eastAsia" w:ascii="宋体" w:hAnsi="宋体" w:eastAsia="宋体" w:cs="宋体"/>
          <w:b w:val="0"/>
          <w:bCs w:val="0"/>
          <w:color w:val="000000"/>
          <w:kern w:val="2"/>
          <w:sz w:val="24"/>
          <w:szCs w:val="24"/>
          <w:lang w:val="en-US" w:eastAsia="zh-CN" w:bidi="ar-SA"/>
        </w:rPr>
        <w:t>最后报价（评审价）</w:t>
      </w:r>
      <w:r>
        <w:rPr>
          <w:rFonts w:hint="eastAsia" w:ascii="宋体" w:hAnsi="宋体" w:eastAsia="宋体" w:cs="宋体"/>
          <w:b w:val="0"/>
          <w:bCs w:val="0"/>
          <w:color w:val="000000"/>
          <w:sz w:val="24"/>
          <w:szCs w:val="24"/>
          <w:lang w:val="en-US" w:eastAsia="zh-CN"/>
        </w:rPr>
        <w:t>由低到高的顺序推荐成交候选人。因落实政府采购政策进行价格调整的，以调整后的最后报价作为评审价。</w:t>
      </w:r>
    </w:p>
    <w:p w14:paraId="189F47DB">
      <w:pPr>
        <w:pStyle w:val="7"/>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 确定成交供应商</w:t>
      </w:r>
    </w:p>
    <w:p w14:paraId="17652020">
      <w:pPr>
        <w:pStyle w:val="9"/>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b w:val="0"/>
          <w:bCs w:val="0"/>
          <w:color w:val="000000"/>
          <w:kern w:val="2"/>
          <w:sz w:val="24"/>
          <w:szCs w:val="24"/>
          <w:lang w:val="en-US" w:eastAsia="zh-CN" w:bidi="ar-SA"/>
        </w:rPr>
        <w:t>采购人将按谈判小组推荐的成交候选供应商顺序确定成交供应商或采购人授权谈判小组根据供应商最后报价（评审价）排名直接确定成交供应商。</w:t>
      </w:r>
    </w:p>
    <w:p w14:paraId="67B7F10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000000"/>
          <w:sz w:val="24"/>
          <w:szCs w:val="24"/>
          <w:lang w:val="en-US" w:eastAsia="zh-CN"/>
        </w:rPr>
      </w:pPr>
      <w:bookmarkStart w:id="163" w:name="_Toc520356174"/>
      <w:bookmarkStart w:id="164" w:name="_Toc19087101"/>
      <w:bookmarkStart w:id="165" w:name="_Toc518923095"/>
      <w:bookmarkStart w:id="166" w:name="_Toc8131"/>
      <w:r>
        <w:rPr>
          <w:rFonts w:hint="eastAsia" w:ascii="宋体" w:hAnsi="宋体" w:eastAsia="宋体" w:cs="宋体"/>
          <w:b w:val="0"/>
          <w:bCs w:val="0"/>
          <w:color w:val="000000"/>
          <w:sz w:val="24"/>
          <w:szCs w:val="24"/>
          <w:lang w:val="en-US" w:eastAsia="zh-CN"/>
        </w:rPr>
        <w:t>2.1 谈判小</w:t>
      </w:r>
      <w:r>
        <w:rPr>
          <w:rFonts w:hint="eastAsia" w:ascii="宋体" w:hAnsi="宋体" w:eastAsia="宋体" w:cs="宋体"/>
          <w:b w:val="0"/>
          <w:bCs w:val="0"/>
          <w:color w:val="000000"/>
          <w:sz w:val="24"/>
          <w:szCs w:val="24"/>
          <w:highlight w:val="none"/>
          <w:lang w:val="en-US" w:eastAsia="zh-CN"/>
        </w:rPr>
        <w:t>组</w:t>
      </w:r>
      <w:r>
        <w:rPr>
          <w:rFonts w:hint="eastAsia" w:ascii="宋体" w:hAnsi="宋体" w:eastAsia="宋体" w:cs="宋体"/>
          <w:b w:val="0"/>
          <w:bCs w:val="0"/>
          <w:color w:val="000000"/>
          <w:sz w:val="24"/>
          <w:szCs w:val="24"/>
          <w:lang w:val="en-US" w:eastAsia="zh-CN"/>
        </w:rPr>
        <w:t>受采购人委托推</w:t>
      </w:r>
      <w:r>
        <w:rPr>
          <w:rFonts w:hint="eastAsia" w:ascii="宋体" w:hAnsi="宋体" w:eastAsia="宋体" w:cs="宋体"/>
          <w:b w:val="0"/>
          <w:bCs w:val="0"/>
          <w:color w:val="000000"/>
          <w:sz w:val="24"/>
          <w:szCs w:val="24"/>
          <w:highlight w:val="none"/>
          <w:lang w:val="en-US" w:eastAsia="zh-CN"/>
        </w:rPr>
        <w:t>荐成交</w:t>
      </w:r>
      <w:r>
        <w:rPr>
          <w:rFonts w:hint="eastAsia" w:ascii="宋体" w:hAnsi="宋体" w:eastAsia="宋体" w:cs="宋体"/>
          <w:b w:val="0"/>
          <w:bCs w:val="0"/>
          <w:color w:val="000000"/>
          <w:sz w:val="24"/>
          <w:szCs w:val="24"/>
          <w:lang w:val="en-US" w:eastAsia="zh-CN"/>
        </w:rPr>
        <w:t>候选人的，采购人根据质量和服务均能满足采购文件实质性响应要求且最后报价（评审价）最低的原则确定成交供应商。</w:t>
      </w:r>
    </w:p>
    <w:p w14:paraId="4D70203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2.2 采购人也可书面授权谈判小组根据质量和服务均能满足采购文件实质性响应要求且最后报价（评审价）最低的原则直接确定成交供应商。</w:t>
      </w:r>
    </w:p>
    <w:p w14:paraId="4E437F12">
      <w:pPr>
        <w:pStyle w:val="7"/>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 发出成交</w:t>
      </w:r>
      <w:bookmarkEnd w:id="163"/>
      <w:r>
        <w:rPr>
          <w:rFonts w:hint="eastAsia" w:ascii="宋体" w:hAnsi="宋体" w:eastAsia="宋体" w:cs="宋体"/>
          <w:sz w:val="24"/>
          <w:szCs w:val="24"/>
          <w:lang w:val="en-US" w:eastAsia="zh-CN"/>
        </w:rPr>
        <w:t>通知书</w:t>
      </w:r>
      <w:bookmarkEnd w:id="164"/>
      <w:bookmarkEnd w:id="165"/>
      <w:bookmarkEnd w:id="166"/>
    </w:p>
    <w:p w14:paraId="6E71D71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color w:val="000000"/>
          <w:sz w:val="24"/>
          <w:szCs w:val="24"/>
        </w:rPr>
      </w:pPr>
      <w:r>
        <w:rPr>
          <w:rFonts w:hint="eastAsia" w:ascii="宋体" w:hAnsi="宋体" w:eastAsia="宋体" w:cs="宋体"/>
          <w:b w:val="0"/>
          <w:bCs w:val="0"/>
          <w:color w:val="000000"/>
          <w:sz w:val="24"/>
          <w:szCs w:val="24"/>
          <w:lang w:val="en-US" w:eastAsia="zh-CN"/>
        </w:rPr>
        <w:t>3.1 在响应有效期内，成交供应商确定后，采购人或者采购代理机构发布成交公告，在公告成交结果的同时，向成交供应商发出成交通知书，成交通知书是合同的组成部分。</w:t>
      </w:r>
    </w:p>
    <w:p w14:paraId="778F024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3.2 成交通知书对采购人和成交供应商均具有法律效力。成交通知书发出后，采购人无正当理由改变成交结果，或者成交供应商无正当理由放弃成交的，将承担相应的法律责任。</w:t>
      </w:r>
    </w:p>
    <w:p w14:paraId="2EC02B8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3.3 如果出现政府采购法律法规、规章制度规定的成交无效情形的，采购人/采购代理机构将以公告形式宣布发出的成交通知书无效，成交通知书将自动失效，并依法重新确定成交供应商或者重新开展采购活动。</w:t>
      </w:r>
    </w:p>
    <w:p w14:paraId="7FB394F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bCs/>
          <w:color w:val="000000"/>
          <w:sz w:val="24"/>
          <w:szCs w:val="24"/>
          <w:lang w:val="en-US" w:eastAsia="zh-CN"/>
        </w:rPr>
      </w:pPr>
      <w:r>
        <w:rPr>
          <w:rFonts w:hint="eastAsia" w:ascii="宋体" w:hAnsi="宋体" w:eastAsia="宋体" w:cs="宋体"/>
          <w:b w:val="0"/>
          <w:bCs w:val="0"/>
          <w:color w:val="000000"/>
          <w:sz w:val="24"/>
          <w:szCs w:val="24"/>
          <w:lang w:val="en-US" w:eastAsia="zh-CN"/>
        </w:rPr>
        <w:t>3.4 成交供应商应当及时领取成交通知书。领取方式：详见</w:t>
      </w:r>
      <w:r>
        <w:rPr>
          <w:rFonts w:hint="eastAsia" w:ascii="宋体" w:hAnsi="宋体" w:eastAsia="宋体" w:cs="宋体"/>
          <w:b/>
          <w:bCs/>
          <w:color w:val="000000"/>
          <w:sz w:val="24"/>
          <w:szCs w:val="24"/>
          <w:lang w:val="en-US" w:eastAsia="zh-CN"/>
        </w:rPr>
        <w:t>“供应商须知前附表”。</w:t>
      </w:r>
    </w:p>
    <w:p w14:paraId="53C67ABD">
      <w:pPr>
        <w:pStyle w:val="7"/>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4.采购人确定成交供应商过程中，发现成交候选供应商有下列情形之一的，应当不予确定其为成交供应商：</w:t>
      </w:r>
    </w:p>
    <w:p w14:paraId="5CD691C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4.1</w:t>
      </w:r>
      <w:r>
        <w:rPr>
          <w:rFonts w:hint="eastAsia" w:ascii="宋体" w:hAnsi="宋体" w:eastAsia="宋体" w:cs="宋体"/>
          <w:b w:val="0"/>
          <w:bCs/>
          <w:color w:val="000000"/>
          <w:sz w:val="24"/>
          <w:szCs w:val="24"/>
          <w:highlight w:val="none"/>
        </w:rPr>
        <w:t>发现成交候选供应商存在禁止参加本项目采购活动的违法行为的；</w:t>
      </w:r>
    </w:p>
    <w:p w14:paraId="3AF871F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4.2</w:t>
      </w:r>
      <w:r>
        <w:rPr>
          <w:rFonts w:hint="eastAsia" w:ascii="宋体" w:hAnsi="宋体" w:eastAsia="宋体" w:cs="宋体"/>
          <w:b w:val="0"/>
          <w:bCs/>
          <w:color w:val="000000"/>
          <w:sz w:val="24"/>
          <w:szCs w:val="24"/>
          <w:highlight w:val="none"/>
        </w:rPr>
        <w:t>成交候选供应商因不可抗力，不能继续参加政府采购活动；</w:t>
      </w:r>
    </w:p>
    <w:p w14:paraId="5715B9E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4.3</w:t>
      </w:r>
      <w:r>
        <w:rPr>
          <w:rFonts w:hint="eastAsia" w:ascii="宋体" w:hAnsi="宋体" w:eastAsia="宋体" w:cs="宋体"/>
          <w:b w:val="0"/>
          <w:bCs/>
          <w:color w:val="000000"/>
          <w:sz w:val="24"/>
          <w:szCs w:val="24"/>
          <w:highlight w:val="none"/>
        </w:rPr>
        <w:t>成交候选供应商无偿赠与或者低于成本价竞争；</w:t>
      </w:r>
    </w:p>
    <w:p w14:paraId="0D68D8B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4.4</w:t>
      </w:r>
      <w:r>
        <w:rPr>
          <w:rFonts w:hint="eastAsia" w:ascii="宋体" w:hAnsi="宋体" w:eastAsia="宋体" w:cs="宋体"/>
          <w:b w:val="0"/>
          <w:bCs/>
          <w:color w:val="000000"/>
          <w:sz w:val="24"/>
          <w:szCs w:val="24"/>
          <w:highlight w:val="none"/>
        </w:rPr>
        <w:t>成交候选供应商提供虚假材料；</w:t>
      </w:r>
    </w:p>
    <w:p w14:paraId="1F6A8AB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4.5</w:t>
      </w:r>
      <w:r>
        <w:rPr>
          <w:rFonts w:hint="eastAsia" w:ascii="宋体" w:hAnsi="宋体" w:eastAsia="宋体" w:cs="宋体"/>
          <w:b w:val="0"/>
          <w:bCs/>
          <w:color w:val="000000"/>
          <w:sz w:val="24"/>
          <w:szCs w:val="24"/>
          <w:highlight w:val="none"/>
        </w:rPr>
        <w:t>成交候选供应商恶意串通。</w:t>
      </w:r>
    </w:p>
    <w:p w14:paraId="739D7A1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rPr>
        <w:t>成交候选供应商有本条情形之一的，采购人可以确定后一位成交候选供应商为成交供应商，依次类推。无法确定成交供应商的，应当重新组织采购。</w:t>
      </w:r>
    </w:p>
    <w:p w14:paraId="5B1A635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both"/>
        <w:textAlignment w:val="auto"/>
        <w:outlineLvl w:val="9"/>
        <w:rPr>
          <w:rFonts w:hint="eastAsia" w:ascii="宋体" w:hAnsi="宋体" w:eastAsia="宋体" w:cs="宋体"/>
          <w:sz w:val="24"/>
          <w:szCs w:val="24"/>
        </w:rPr>
      </w:pPr>
    </w:p>
    <w:p w14:paraId="7D821C94">
      <w:pPr>
        <w:pStyle w:val="6"/>
        <w:keepNext w:val="0"/>
        <w:keepLines w:val="0"/>
        <w:pageBreakBefore w:val="0"/>
        <w:numPr>
          <w:ilvl w:val="0"/>
          <w:numId w:val="0"/>
        </w:numPr>
        <w:kinsoku/>
        <w:wordWrap/>
        <w:overflowPunct/>
        <w:topLinePunct w:val="0"/>
        <w:bidi w:val="0"/>
        <w:spacing w:before="0" w:after="0" w:line="560" w:lineRule="exact"/>
        <w:jc w:val="center"/>
        <w:rPr>
          <w:rFonts w:hint="eastAsia" w:ascii="宋体" w:hAnsi="宋体" w:eastAsia="宋体" w:cs="宋体"/>
          <w:bCs/>
          <w:color w:val="000000"/>
          <w:sz w:val="32"/>
          <w:szCs w:val="32"/>
        </w:rPr>
      </w:pPr>
      <w:bookmarkStart w:id="167" w:name="_Toc18089_WPSOffice_Level2"/>
      <w:bookmarkStart w:id="168" w:name="_Toc22475"/>
      <w:bookmarkStart w:id="169" w:name="_Toc10200"/>
      <w:bookmarkStart w:id="170" w:name="_Toc22370"/>
      <w:bookmarkStart w:id="171" w:name="_Toc25595"/>
      <w:r>
        <w:rPr>
          <w:rFonts w:hint="eastAsia" w:ascii="宋体" w:hAnsi="宋体" w:eastAsia="宋体" w:cs="宋体"/>
          <w:bCs/>
          <w:color w:val="000000"/>
          <w:sz w:val="32"/>
          <w:szCs w:val="32"/>
        </w:rPr>
        <w:t>七、合同事项</w:t>
      </w:r>
      <w:bookmarkEnd w:id="167"/>
      <w:bookmarkEnd w:id="168"/>
      <w:bookmarkEnd w:id="169"/>
      <w:bookmarkEnd w:id="170"/>
      <w:bookmarkEnd w:id="171"/>
    </w:p>
    <w:p w14:paraId="51E3D4BD">
      <w:pPr>
        <w:keepNext w:val="0"/>
        <w:keepLines w:val="0"/>
        <w:pageBreakBefore w:val="0"/>
        <w:kinsoku/>
        <w:wordWrap/>
        <w:overflowPunct/>
        <w:topLinePunct w:val="0"/>
        <w:bidi w:val="0"/>
        <w:spacing w:before="0" w:after="0" w:line="560" w:lineRule="exact"/>
        <w:ind w:firstLine="470" w:firstLineChars="196"/>
        <w:outlineLvl w:val="9"/>
        <w:rPr>
          <w:rFonts w:hint="eastAsia" w:ascii="宋体" w:hAnsi="宋体" w:eastAsia="宋体" w:cs="宋体"/>
          <w:color w:val="000000"/>
          <w:sz w:val="24"/>
          <w:szCs w:val="24"/>
        </w:rPr>
      </w:pPr>
    </w:p>
    <w:p w14:paraId="6CA02261">
      <w:pPr>
        <w:pStyle w:val="7"/>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sz w:val="24"/>
          <w:szCs w:val="24"/>
          <w:lang w:val="en-US" w:eastAsia="zh-CN"/>
        </w:rPr>
      </w:pPr>
      <w:bookmarkStart w:id="172" w:name="_Toc430773927"/>
      <w:bookmarkStart w:id="173" w:name="_Toc101338364"/>
      <w:bookmarkStart w:id="174" w:name="_Toc101174151"/>
      <w:bookmarkStart w:id="175" w:name="_Toc101250646"/>
      <w:bookmarkStart w:id="176" w:name="_Toc209847069"/>
      <w:r>
        <w:rPr>
          <w:rFonts w:hint="eastAsia" w:ascii="宋体" w:hAnsi="宋体" w:eastAsia="宋体" w:cs="宋体"/>
          <w:sz w:val="24"/>
          <w:szCs w:val="24"/>
          <w:lang w:val="en-US" w:eastAsia="zh-CN"/>
        </w:rPr>
        <w:t>1. 签订合同</w:t>
      </w:r>
      <w:bookmarkEnd w:id="172"/>
      <w:bookmarkEnd w:id="173"/>
      <w:bookmarkEnd w:id="174"/>
      <w:bookmarkEnd w:id="175"/>
      <w:bookmarkEnd w:id="176"/>
    </w:p>
    <w:p w14:paraId="2F1F6AB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.1 成交供应商应在成交通知书发出之日起三十日内与采购人签订采购合同。由于成交供应商的原因逾期未与采购人签订采购合同的，将视为放弃成交，取消其成交资格并将按相关规定进行处理。</w:t>
      </w:r>
    </w:p>
    <w:p w14:paraId="3D2C09E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 xml:space="preserve">.2 </w:t>
      </w:r>
      <w:r>
        <w:rPr>
          <w:rFonts w:hint="eastAsia" w:ascii="宋体" w:hAnsi="宋体" w:eastAsia="宋体" w:cs="宋体"/>
          <w:color w:val="000000"/>
          <w:sz w:val="24"/>
          <w:szCs w:val="24"/>
          <w:lang w:eastAsia="zh-CN"/>
        </w:rPr>
        <w:t>谈判文件</w:t>
      </w:r>
      <w:r>
        <w:rPr>
          <w:rFonts w:hint="eastAsia" w:ascii="宋体" w:hAnsi="宋体" w:eastAsia="宋体" w:cs="宋体"/>
          <w:color w:val="000000"/>
          <w:sz w:val="24"/>
          <w:szCs w:val="24"/>
        </w:rPr>
        <w:t>、成交供应商提交的响应文件、</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中的报价及双方确认的澄清文件</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成交通知书等均称为有法律约束力的合同组成内容。</w:t>
      </w:r>
    </w:p>
    <w:p w14:paraId="7B4A296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.3 采购人不得向成交供应商提出任何不合理的要求，作为签订合同的条件，不得与成交供应商私下订立背离合同实质性内容的任何协议，所签订的合同不得对</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文件和成交供应商响应文件确定的事项进行修改。</w:t>
      </w:r>
    </w:p>
    <w:p w14:paraId="790CDEA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.4 成交供应商因不可抗力原因不能履行采购合同或放弃成交的，采购人可以与排在成交供应商之后第一位的成交候选人签订采购合同，以此类推</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或重新开展采购活动。拒绝签订政府采购合同的成交供应商不得参加对本项目重新开展的采购活动。</w:t>
      </w:r>
    </w:p>
    <w:p w14:paraId="2A1EC186">
      <w:pPr>
        <w:pStyle w:val="7"/>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 合同分包（实质性要求）</w:t>
      </w:r>
    </w:p>
    <w:p w14:paraId="5E2B411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.1 经采购人同意，成交供应商可以依法采取分包方式履行合同，但必须在响应文件中事前载明。这种要求应当在合同签订之前征得采购人同意，并且分包供应商履行的分包项目的品牌、规格型号及技术要求等，必须与成交的一致。</w:t>
      </w:r>
    </w:p>
    <w:p w14:paraId="5D0B2FF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分包履行合同的部分应当为采购项目的非主体、非关键性工作，不属于成交供应商的主要合同义务。</w:t>
      </w:r>
    </w:p>
    <w:p w14:paraId="45AB32F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.2 采购合同实行分包履行的，成交供应商就采购项目和分包项目向采购人负责，分包供应商就分包项目承担责任。</w:t>
      </w:r>
    </w:p>
    <w:p w14:paraId="1A3F0DB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.3 中小企业依据《政府采购促进中小企业发展管理办法》（财库[2020]46号）规定的政策获取政府采购合同后，小型、微型企业不得分包或转包给大型、中型企业，中型企业不得分包或转包给大型企业。</w:t>
      </w:r>
    </w:p>
    <w:p w14:paraId="02699F08">
      <w:pPr>
        <w:pStyle w:val="7"/>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 合同转包（实质性要求）</w:t>
      </w:r>
    </w:p>
    <w:p w14:paraId="73FC4B0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本采购项目严禁成交供应商将任何政府采购合同义务转包。本项目所称转包，是指成交供应商将政府采购合同义务转让给第三人，并退出现有政府采购合同当事人双方的权利义务关系，受让人（即第三人）成为政府采购合同的另一方当事人的行为。</w:t>
      </w:r>
    </w:p>
    <w:p w14:paraId="3F2D749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成交供应商转包的，视同拒绝履行政府采购合同义务，将依法追究法律责任。</w:t>
      </w:r>
    </w:p>
    <w:p w14:paraId="49D11568">
      <w:pPr>
        <w:pStyle w:val="7"/>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 补充合同</w:t>
      </w:r>
    </w:p>
    <w:p w14:paraId="2A6E0A0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合同履行过程中，采购人需要追加与合同标的相同的货物或者服务的，在不改变合同其他条款的前提下，可以与成交供应商协商签订补充合同，但所有补充合同的采购金额不得超过原合同采购金额的百分之十，该补充合同应当在原政府采购合同履行过程中，不得在原政府采购合同履行结束后，且采购货物、工程和服务的名称、价格、履约方式、验收标准等必须与原政府采购合同一致。 </w:t>
      </w:r>
    </w:p>
    <w:p w14:paraId="0A088E9F">
      <w:pPr>
        <w:pStyle w:val="7"/>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 合同公告</w:t>
      </w:r>
    </w:p>
    <w:p w14:paraId="027757F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采购人应当自政府采购合同签订（双方当事人均已签字盖章）之日起2个工作日内，将政府采购合同在</w:t>
      </w:r>
      <w:r>
        <w:rPr>
          <w:rFonts w:hint="eastAsia" w:ascii="宋体" w:hAnsi="宋体" w:eastAsia="宋体" w:cs="宋体"/>
          <w:color w:val="000000"/>
          <w:sz w:val="24"/>
          <w:szCs w:val="24"/>
          <w:lang w:eastAsia="zh-CN"/>
        </w:rPr>
        <w:t>云南</w:t>
      </w:r>
      <w:r>
        <w:rPr>
          <w:rFonts w:hint="eastAsia" w:ascii="宋体" w:hAnsi="宋体" w:eastAsia="宋体" w:cs="宋体"/>
          <w:color w:val="000000"/>
          <w:sz w:val="24"/>
          <w:szCs w:val="24"/>
          <w:lang w:val="en-US" w:eastAsia="zh-CN"/>
        </w:rPr>
        <w:t>省</w:t>
      </w:r>
      <w:r>
        <w:rPr>
          <w:rFonts w:hint="eastAsia" w:ascii="宋体" w:hAnsi="宋体" w:eastAsia="宋体" w:cs="宋体"/>
          <w:color w:val="000000"/>
          <w:sz w:val="24"/>
          <w:szCs w:val="24"/>
        </w:rPr>
        <w:t>政府采购网上公告，但政府采购合同中涉及国家秘密、商业秘密的内容除外。</w:t>
      </w:r>
      <w:r>
        <w:rPr>
          <w:rFonts w:hint="eastAsia" w:ascii="宋体" w:hAnsi="宋体" w:eastAsia="宋体" w:cs="宋体"/>
          <w:color w:val="000000"/>
          <w:sz w:val="24"/>
          <w:szCs w:val="24"/>
          <w:highlight w:val="none"/>
          <w:lang w:val="en-US" w:eastAsia="zh-CN"/>
        </w:rPr>
        <w:t>在合同公示无异议后，由成交供应商或采购人代表</w:t>
      </w:r>
      <w:r>
        <w:rPr>
          <w:rFonts w:hint="eastAsia" w:ascii="宋体" w:hAnsi="宋体" w:eastAsia="宋体" w:cs="宋体"/>
          <w:color w:val="000000"/>
          <w:sz w:val="24"/>
          <w:szCs w:val="24"/>
          <w:highlight w:val="none"/>
        </w:rPr>
        <w:t>将签订的合同送</w:t>
      </w:r>
      <w:r>
        <w:rPr>
          <w:rFonts w:hint="eastAsia" w:ascii="宋体" w:hAnsi="宋体" w:eastAsia="宋体" w:cs="宋体"/>
          <w:color w:val="000000"/>
          <w:sz w:val="24"/>
          <w:szCs w:val="24"/>
          <w:highlight w:val="none"/>
          <w:lang w:val="en-US" w:eastAsia="zh-CN"/>
        </w:rPr>
        <w:t>至“供应商须知前附表”规定的部门</w:t>
      </w:r>
      <w:r>
        <w:rPr>
          <w:rFonts w:hint="eastAsia" w:ascii="宋体" w:hAnsi="宋体" w:eastAsia="宋体" w:cs="宋体"/>
          <w:color w:val="000000"/>
          <w:sz w:val="24"/>
          <w:szCs w:val="24"/>
          <w:highlight w:val="none"/>
        </w:rPr>
        <w:t>进行</w:t>
      </w:r>
      <w:r>
        <w:rPr>
          <w:rFonts w:hint="eastAsia" w:ascii="宋体" w:hAnsi="宋体" w:eastAsia="宋体" w:cs="宋体"/>
          <w:color w:val="000000"/>
          <w:sz w:val="24"/>
          <w:szCs w:val="24"/>
          <w:highlight w:val="none"/>
          <w:lang w:val="en-US" w:eastAsia="zh-CN"/>
        </w:rPr>
        <w:t>存档，以便于及时退还成交供应商保证金</w:t>
      </w:r>
      <w:r>
        <w:rPr>
          <w:rFonts w:hint="eastAsia" w:ascii="宋体" w:hAnsi="宋体" w:eastAsia="宋体" w:cs="宋体"/>
          <w:color w:val="000000"/>
          <w:sz w:val="24"/>
          <w:szCs w:val="24"/>
          <w:highlight w:val="none"/>
        </w:rPr>
        <w:t>。</w:t>
      </w:r>
    </w:p>
    <w:p w14:paraId="14C3BCC5">
      <w:pPr>
        <w:pStyle w:val="7"/>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 合同备案</w:t>
      </w:r>
    </w:p>
    <w:p w14:paraId="065EDC5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采购人应当将政府采购合同副本自签订（双方当事人均已签字盖章）之日起七个工作日内报同级财政部门</w:t>
      </w:r>
      <w:r>
        <w:rPr>
          <w:rFonts w:hint="eastAsia" w:ascii="宋体" w:hAnsi="宋体" w:cs="宋体"/>
          <w:color w:val="000000"/>
          <w:sz w:val="24"/>
          <w:szCs w:val="24"/>
          <w:highlight w:val="none"/>
          <w:lang w:val="en-US" w:eastAsia="zh-CN"/>
        </w:rPr>
        <w:t>及政采云上自行</w:t>
      </w:r>
      <w:r>
        <w:rPr>
          <w:rFonts w:hint="eastAsia" w:ascii="宋体" w:hAnsi="宋体" w:eastAsia="宋体" w:cs="宋体"/>
          <w:color w:val="000000"/>
          <w:sz w:val="24"/>
          <w:szCs w:val="24"/>
          <w:highlight w:val="none"/>
        </w:rPr>
        <w:t>备案。</w:t>
      </w:r>
    </w:p>
    <w:p w14:paraId="6E18622F">
      <w:pPr>
        <w:pStyle w:val="7"/>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 履行合同</w:t>
      </w:r>
    </w:p>
    <w:p w14:paraId="55F22AD7">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.1 成交供应商与采购人签订合同后，合同双方应严格执行合同条款，履行合同规定的义务，保证合同的顺利完成。</w:t>
      </w:r>
    </w:p>
    <w:p w14:paraId="47EAE6B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.2 在合同履行过程中，如发生合同纠纷，合同双方应按照《中华人民共和国民法典》的有关规定进行处理。</w:t>
      </w:r>
    </w:p>
    <w:p w14:paraId="782B4048">
      <w:pPr>
        <w:pStyle w:val="7"/>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 验收</w:t>
      </w:r>
    </w:p>
    <w:p w14:paraId="7D6FE90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highlight w:val="none"/>
        </w:rPr>
        <w:t>采购人应当按照采购合同规定的技术、服务等要求组织对供应商履约的验收，并出具验收书。验收书应当包括每一项技术、服务等要求的履约情况。采购预算金额大的采购项目、政府向社会公共提供的公共服务项目、采购人和实际使用人或者受益者分离、有质疑投诉举报的的采购项目，可以邀请国家认可的第三方检测机构或者集采机构参与履约验收工作。</w:t>
      </w:r>
    </w:p>
    <w:p w14:paraId="2E6C38D7">
      <w:pPr>
        <w:pStyle w:val="7"/>
        <w:pageBreakBefore w:val="0"/>
        <w:widowControl w:val="0"/>
        <w:kinsoku/>
        <w:wordWrap/>
        <w:overflowPunct/>
        <w:topLinePunct w:val="0"/>
        <w:autoSpaceDE/>
        <w:autoSpaceDN/>
        <w:bidi w:val="0"/>
        <w:adjustRightInd/>
        <w:snapToGrid/>
        <w:spacing w:before="0" w:after="0" w:line="560" w:lineRule="exact"/>
        <w:ind w:left="0" w:leftChars="0" w:right="0" w:right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 资金支付</w:t>
      </w:r>
    </w:p>
    <w:p w14:paraId="1E5257C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采购人按财政部门有关规定及采购合同的约定进行支付。</w:t>
      </w:r>
    </w:p>
    <w:p w14:paraId="3DD8567B">
      <w:pPr>
        <w:pStyle w:val="2"/>
        <w:rPr>
          <w:rFonts w:hint="eastAsia"/>
        </w:rPr>
      </w:pPr>
    </w:p>
    <w:p w14:paraId="416E9947">
      <w:pPr>
        <w:pStyle w:val="6"/>
        <w:keepNext w:val="0"/>
        <w:keepLines w:val="0"/>
        <w:pageBreakBefore w:val="0"/>
        <w:numPr>
          <w:ilvl w:val="0"/>
          <w:numId w:val="0"/>
        </w:numPr>
        <w:kinsoku/>
        <w:wordWrap/>
        <w:overflowPunct/>
        <w:topLinePunct w:val="0"/>
        <w:bidi w:val="0"/>
        <w:spacing w:before="0" w:after="0" w:line="560" w:lineRule="exact"/>
        <w:jc w:val="center"/>
        <w:rPr>
          <w:rFonts w:hint="eastAsia" w:ascii="宋体" w:hAnsi="宋体" w:eastAsia="宋体" w:cs="宋体"/>
          <w:bCs/>
          <w:color w:val="000000"/>
          <w:sz w:val="32"/>
          <w:szCs w:val="32"/>
        </w:rPr>
      </w:pPr>
      <w:bookmarkStart w:id="177" w:name="_Toc27495_WPSOffice_Level2"/>
      <w:bookmarkStart w:id="178" w:name="_Toc10578"/>
      <w:bookmarkStart w:id="179" w:name="_Toc9059"/>
      <w:bookmarkStart w:id="180" w:name="_Toc4073"/>
      <w:bookmarkStart w:id="181" w:name="_Toc30831"/>
      <w:r>
        <w:rPr>
          <w:rFonts w:hint="eastAsia" w:ascii="宋体" w:hAnsi="宋体" w:eastAsia="宋体" w:cs="宋体"/>
          <w:bCs/>
          <w:color w:val="000000"/>
          <w:sz w:val="32"/>
          <w:szCs w:val="32"/>
        </w:rPr>
        <w:t>八、</w:t>
      </w:r>
      <w:r>
        <w:rPr>
          <w:rFonts w:hint="eastAsia" w:ascii="宋体" w:hAnsi="宋体" w:eastAsia="宋体" w:cs="宋体"/>
          <w:bCs/>
          <w:color w:val="000000"/>
          <w:sz w:val="32"/>
          <w:szCs w:val="32"/>
          <w:lang w:eastAsia="zh-CN"/>
        </w:rPr>
        <w:t>谈判</w:t>
      </w:r>
      <w:r>
        <w:rPr>
          <w:rFonts w:hint="eastAsia" w:ascii="宋体" w:hAnsi="宋体" w:eastAsia="宋体" w:cs="宋体"/>
          <w:bCs/>
          <w:color w:val="000000"/>
          <w:sz w:val="32"/>
          <w:szCs w:val="32"/>
        </w:rPr>
        <w:t>纪律要求</w:t>
      </w:r>
      <w:bookmarkEnd w:id="177"/>
      <w:bookmarkEnd w:id="178"/>
      <w:bookmarkEnd w:id="179"/>
      <w:bookmarkEnd w:id="180"/>
      <w:bookmarkEnd w:id="181"/>
    </w:p>
    <w:p w14:paraId="7C9AF4D7">
      <w:pPr>
        <w:pStyle w:val="7"/>
        <w:pageBreakBefore w:val="0"/>
        <w:widowControl w:val="0"/>
        <w:kinsoku/>
        <w:wordWrap/>
        <w:overflowPunct/>
        <w:topLinePunct w:val="0"/>
        <w:autoSpaceDE/>
        <w:autoSpaceDN/>
        <w:bidi w:val="0"/>
        <w:adjustRightInd/>
        <w:snapToGrid/>
        <w:spacing w:before="0" w:after="0" w:line="560" w:lineRule="exact"/>
        <w:ind w:left="0" w:leftChars="0" w:right="0" w:righ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 供应商不得具有的情形</w:t>
      </w:r>
    </w:p>
    <w:p w14:paraId="7BEA91DF">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供应商参加本项目</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不得有下列情形：</w:t>
      </w:r>
    </w:p>
    <w:p w14:paraId="78FCD397">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w:t>
      </w:r>
      <w:r>
        <w:rPr>
          <w:rFonts w:hint="eastAsia" w:ascii="宋体" w:hAnsi="宋体" w:eastAsia="宋体" w:cs="宋体"/>
          <w:color w:val="000000"/>
          <w:sz w:val="24"/>
          <w:szCs w:val="24"/>
        </w:rPr>
        <w:t>提供虚假材料谋取成交；</w:t>
      </w:r>
    </w:p>
    <w:p w14:paraId="56198D60">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1.2</w:t>
      </w:r>
      <w:r>
        <w:rPr>
          <w:rFonts w:hint="eastAsia" w:ascii="宋体" w:hAnsi="宋体" w:eastAsia="宋体" w:cs="宋体"/>
          <w:color w:val="000000"/>
          <w:sz w:val="24"/>
          <w:szCs w:val="24"/>
        </w:rPr>
        <w:t>采取不正当手段诋毁、排挤其他供应商；</w:t>
      </w:r>
    </w:p>
    <w:p w14:paraId="42E4E228">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w:t>
      </w:r>
      <w:r>
        <w:rPr>
          <w:rFonts w:hint="eastAsia" w:ascii="宋体" w:hAnsi="宋体" w:eastAsia="宋体" w:cs="宋体"/>
          <w:color w:val="000000"/>
          <w:sz w:val="24"/>
          <w:szCs w:val="24"/>
        </w:rPr>
        <w:t>与采购人、采购代理机构、或其他供应商恶意串通；</w:t>
      </w:r>
    </w:p>
    <w:p w14:paraId="413ED326">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1.4</w:t>
      </w:r>
      <w:r>
        <w:rPr>
          <w:rFonts w:hint="eastAsia" w:ascii="宋体" w:hAnsi="宋体" w:eastAsia="宋体" w:cs="宋体"/>
          <w:color w:val="000000"/>
          <w:sz w:val="24"/>
          <w:szCs w:val="24"/>
        </w:rPr>
        <w:t>向采购人、采购代理机构、</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小组成员行贿或者提供其他不正当利益；</w:t>
      </w:r>
    </w:p>
    <w:p w14:paraId="31AA9AEA">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1.5</w:t>
      </w:r>
      <w:r>
        <w:rPr>
          <w:rFonts w:hint="eastAsia" w:ascii="宋体" w:hAnsi="宋体" w:eastAsia="宋体" w:cs="宋体"/>
          <w:color w:val="000000"/>
          <w:sz w:val="24"/>
          <w:szCs w:val="24"/>
        </w:rPr>
        <w:t>在</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过程中与采购人、采购代理机构进行协商；</w:t>
      </w:r>
    </w:p>
    <w:p w14:paraId="46B9D903">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1.6</w:t>
      </w:r>
      <w:r>
        <w:rPr>
          <w:rFonts w:hint="eastAsia" w:ascii="宋体" w:hAnsi="宋体" w:eastAsia="宋体" w:cs="宋体"/>
          <w:color w:val="000000"/>
          <w:sz w:val="24"/>
          <w:szCs w:val="24"/>
        </w:rPr>
        <w:t>成交后无正当理由拒不与采购人签订政府采购合同；</w:t>
      </w:r>
    </w:p>
    <w:p w14:paraId="49C3D360">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1.7</w:t>
      </w:r>
      <w:r>
        <w:rPr>
          <w:rFonts w:hint="eastAsia" w:ascii="宋体" w:hAnsi="宋体" w:eastAsia="宋体" w:cs="宋体"/>
          <w:color w:val="000000"/>
          <w:sz w:val="24"/>
          <w:szCs w:val="24"/>
        </w:rPr>
        <w:t>未按照</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文件确定的事项签订政府采购合同；</w:t>
      </w:r>
    </w:p>
    <w:p w14:paraId="599B771E">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1.8</w:t>
      </w:r>
      <w:r>
        <w:rPr>
          <w:rFonts w:hint="eastAsia" w:ascii="宋体" w:hAnsi="宋体" w:eastAsia="宋体" w:cs="宋体"/>
          <w:color w:val="000000"/>
          <w:sz w:val="24"/>
          <w:szCs w:val="24"/>
        </w:rPr>
        <w:t>将政府采购合同转包或者违规分包；</w:t>
      </w:r>
    </w:p>
    <w:p w14:paraId="607DD9BB">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1.9</w:t>
      </w:r>
      <w:r>
        <w:rPr>
          <w:rFonts w:hint="eastAsia" w:ascii="宋体" w:hAnsi="宋体" w:eastAsia="宋体" w:cs="宋体"/>
          <w:color w:val="000000"/>
          <w:sz w:val="24"/>
          <w:szCs w:val="24"/>
        </w:rPr>
        <w:t>提供假冒伪劣产品；</w:t>
      </w:r>
    </w:p>
    <w:p w14:paraId="46C285C8">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1.10</w:t>
      </w:r>
      <w:r>
        <w:rPr>
          <w:rFonts w:hint="eastAsia" w:ascii="宋体" w:hAnsi="宋体" w:eastAsia="宋体" w:cs="宋体"/>
          <w:color w:val="000000"/>
          <w:sz w:val="24"/>
          <w:szCs w:val="24"/>
        </w:rPr>
        <w:t>有下列情形之一的，视为供应商串通参加本次</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采购活动：</w:t>
      </w:r>
    </w:p>
    <w:p w14:paraId="0D0AD1AC">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960" w:firstLineChars="4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1.10.1</w:t>
      </w:r>
      <w:r>
        <w:rPr>
          <w:rFonts w:hint="eastAsia" w:ascii="宋体" w:hAnsi="宋体" w:eastAsia="宋体" w:cs="宋体"/>
          <w:color w:val="000000"/>
          <w:sz w:val="24"/>
          <w:szCs w:val="24"/>
        </w:rPr>
        <w:t>不同供应商的响应文件由同一单位或者个人编制；</w:t>
      </w:r>
    </w:p>
    <w:p w14:paraId="05E3DE2E">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960" w:firstLineChars="4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1.10.2</w:t>
      </w:r>
      <w:r>
        <w:rPr>
          <w:rFonts w:hint="eastAsia" w:ascii="宋体" w:hAnsi="宋体" w:eastAsia="宋体" w:cs="宋体"/>
          <w:color w:val="000000"/>
          <w:sz w:val="24"/>
          <w:szCs w:val="24"/>
        </w:rPr>
        <w:t>不同供应商委托同一单位或者个人办理</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采购活动事宜；</w:t>
      </w:r>
    </w:p>
    <w:p w14:paraId="4888153B">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960" w:firstLineChars="4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1.10.3</w:t>
      </w:r>
      <w:r>
        <w:rPr>
          <w:rFonts w:hint="eastAsia" w:ascii="宋体" w:hAnsi="宋体" w:eastAsia="宋体" w:cs="宋体"/>
          <w:color w:val="000000"/>
          <w:sz w:val="24"/>
          <w:szCs w:val="24"/>
        </w:rPr>
        <w:t>不同供应商的响应文件载明的项目管理成员或者联系人员为同一人；</w:t>
      </w:r>
    </w:p>
    <w:p w14:paraId="2F97AE68">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960" w:firstLineChars="4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1.10.4</w:t>
      </w:r>
      <w:r>
        <w:rPr>
          <w:rFonts w:hint="eastAsia" w:ascii="宋体" w:hAnsi="宋体" w:eastAsia="宋体" w:cs="宋体"/>
          <w:color w:val="000000"/>
          <w:sz w:val="24"/>
          <w:szCs w:val="24"/>
        </w:rPr>
        <w:t>不同供应商的响应文件异常一致或者最后报价呈规律性差异；</w:t>
      </w:r>
    </w:p>
    <w:p w14:paraId="1F2466E4">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960" w:firstLineChars="4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1.10.5</w:t>
      </w:r>
      <w:r>
        <w:rPr>
          <w:rFonts w:hint="eastAsia" w:ascii="宋体" w:hAnsi="宋体" w:eastAsia="宋体" w:cs="宋体"/>
          <w:color w:val="000000"/>
          <w:sz w:val="24"/>
          <w:szCs w:val="24"/>
        </w:rPr>
        <w:t>不同供应商的响应文件相互混装；</w:t>
      </w:r>
    </w:p>
    <w:p w14:paraId="4BCD13F3">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1.11</w:t>
      </w:r>
      <w:r>
        <w:rPr>
          <w:rFonts w:hint="eastAsia" w:ascii="宋体" w:hAnsi="宋体" w:eastAsia="宋体" w:cs="宋体"/>
          <w:color w:val="000000"/>
          <w:sz w:val="24"/>
          <w:szCs w:val="24"/>
        </w:rPr>
        <w:t>擅自变更、中止或者终止政府采购合同；</w:t>
      </w:r>
    </w:p>
    <w:p w14:paraId="0BB5FE86">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1.12</w:t>
      </w:r>
      <w:r>
        <w:rPr>
          <w:rFonts w:hint="eastAsia" w:ascii="宋体" w:hAnsi="宋体" w:eastAsia="宋体" w:cs="宋体"/>
          <w:color w:val="000000"/>
          <w:sz w:val="24"/>
          <w:szCs w:val="24"/>
        </w:rPr>
        <w:t>拒绝有关部门的监督检查或者向监督检查部门提供虚假情况；</w:t>
      </w:r>
    </w:p>
    <w:p w14:paraId="2206C967">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1.13</w:t>
      </w:r>
      <w:r>
        <w:rPr>
          <w:rFonts w:hint="eastAsia" w:ascii="宋体" w:hAnsi="宋体" w:eastAsia="宋体" w:cs="宋体"/>
          <w:color w:val="000000"/>
          <w:sz w:val="24"/>
          <w:szCs w:val="24"/>
        </w:rPr>
        <w:t>法律法规规定的其他情形。</w:t>
      </w:r>
    </w:p>
    <w:p w14:paraId="0823E092">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供应商有上述情形的，按照规定追究法律责任，</w:t>
      </w:r>
      <w:r>
        <w:rPr>
          <w:rFonts w:hint="eastAsia" w:ascii="宋体" w:hAnsi="宋体" w:eastAsia="宋体" w:cs="宋体"/>
          <w:color w:val="000000"/>
          <w:sz w:val="24"/>
          <w:szCs w:val="24"/>
          <w:lang w:val="en-US" w:eastAsia="zh-CN"/>
        </w:rPr>
        <w:t>存在1.1</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1.10</w:t>
      </w:r>
      <w:r>
        <w:rPr>
          <w:rFonts w:hint="eastAsia" w:ascii="宋体" w:hAnsi="宋体" w:eastAsia="宋体" w:cs="宋体"/>
          <w:color w:val="000000"/>
          <w:sz w:val="24"/>
          <w:szCs w:val="24"/>
        </w:rPr>
        <w:t>条情形之一的，同时将取消被确认为成交供应商的资格或者认定成交无效。</w:t>
      </w:r>
    </w:p>
    <w:p w14:paraId="717A393E">
      <w:pPr>
        <w:pageBreakBefore w:val="0"/>
        <w:tabs>
          <w:tab w:val="left" w:pos="851"/>
        </w:tabs>
        <w:kinsoku/>
        <w:wordWrap/>
        <w:overflowPunct/>
        <w:topLinePunct w:val="0"/>
        <w:bidi w:val="0"/>
        <w:spacing w:line="560" w:lineRule="exact"/>
        <w:outlineLvl w:val="9"/>
        <w:rPr>
          <w:rFonts w:hint="eastAsia" w:ascii="宋体" w:hAnsi="宋体" w:eastAsia="宋体" w:cs="宋体"/>
          <w:color w:val="000000"/>
          <w:sz w:val="24"/>
          <w:szCs w:val="24"/>
        </w:rPr>
      </w:pPr>
    </w:p>
    <w:p w14:paraId="4A2A7786">
      <w:pPr>
        <w:pStyle w:val="6"/>
        <w:keepNext w:val="0"/>
        <w:keepLines w:val="0"/>
        <w:pageBreakBefore w:val="0"/>
        <w:numPr>
          <w:ilvl w:val="0"/>
          <w:numId w:val="0"/>
        </w:numPr>
        <w:kinsoku/>
        <w:wordWrap/>
        <w:overflowPunct/>
        <w:topLinePunct w:val="0"/>
        <w:bidi w:val="0"/>
        <w:spacing w:before="0" w:after="0" w:line="560" w:lineRule="exact"/>
        <w:jc w:val="center"/>
        <w:rPr>
          <w:rFonts w:hint="eastAsia" w:ascii="宋体" w:hAnsi="宋体" w:eastAsia="宋体" w:cs="宋体"/>
          <w:bCs/>
          <w:color w:val="000000"/>
          <w:sz w:val="32"/>
          <w:szCs w:val="32"/>
        </w:rPr>
      </w:pPr>
      <w:bookmarkStart w:id="182" w:name="_Toc32538"/>
      <w:bookmarkStart w:id="183" w:name="_Toc30782"/>
      <w:bookmarkStart w:id="184" w:name="_Toc13818_WPSOffice_Level2"/>
      <w:bookmarkStart w:id="185" w:name="_Toc13634"/>
      <w:bookmarkStart w:id="186" w:name="_Toc19858"/>
      <w:r>
        <w:rPr>
          <w:rFonts w:hint="eastAsia" w:ascii="宋体" w:hAnsi="宋体" w:eastAsia="宋体" w:cs="宋体"/>
          <w:bCs/>
          <w:color w:val="000000"/>
          <w:sz w:val="32"/>
          <w:szCs w:val="32"/>
        </w:rPr>
        <w:t>九、询问、质疑和投诉</w:t>
      </w:r>
      <w:bookmarkEnd w:id="182"/>
      <w:bookmarkEnd w:id="183"/>
      <w:bookmarkEnd w:id="184"/>
      <w:bookmarkEnd w:id="185"/>
      <w:bookmarkEnd w:id="186"/>
    </w:p>
    <w:p w14:paraId="600206A1">
      <w:pPr>
        <w:pageBreakBefore w:val="0"/>
        <w:widowControl w:val="0"/>
        <w:tabs>
          <w:tab w:val="left" w:pos="851"/>
        </w:tabs>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宋体" w:hAnsi="宋体" w:eastAsia="宋体" w:cs="宋体"/>
          <w:color w:val="000000"/>
          <w:sz w:val="24"/>
          <w:szCs w:val="24"/>
        </w:rPr>
      </w:pPr>
    </w:p>
    <w:p w14:paraId="50479821">
      <w:pPr>
        <w:pStyle w:val="7"/>
        <w:pageBreakBefore w:val="0"/>
        <w:widowControl w:val="0"/>
        <w:kinsoku/>
        <w:wordWrap/>
        <w:overflowPunct/>
        <w:topLinePunct w:val="0"/>
        <w:autoSpaceDE/>
        <w:autoSpaceDN/>
        <w:bidi w:val="0"/>
        <w:adjustRightInd/>
        <w:snapToGrid/>
        <w:spacing w:before="0" w:after="0" w:line="560" w:lineRule="exact"/>
        <w:ind w:left="0" w:leftChars="0" w:right="0" w:righ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 询问</w:t>
      </w:r>
    </w:p>
    <w:p w14:paraId="731478CF">
      <w:pPr>
        <w:pStyle w:val="9"/>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委托代理协议约定，供应商对参加本次政府采购活动应当具备的条件、项目技术、服务、商务及其他要求的询问，由采购人负责答复，其他内容的询问由采购代理机构负责答复，联系电话详见谈判公告。询问、质疑、投诉的接收和处理严格按照《中华人民共和国政府采购法》《中华人民共和国政府采购法实施条例》《中华人民共和国财政部令第94号政府采购质疑和投诉办法》。</w:t>
      </w:r>
    </w:p>
    <w:p w14:paraId="5FC4B09F">
      <w:pPr>
        <w:pStyle w:val="7"/>
        <w:pageBreakBefore w:val="0"/>
        <w:widowControl w:val="0"/>
        <w:kinsoku/>
        <w:wordWrap/>
        <w:overflowPunct/>
        <w:topLinePunct w:val="0"/>
        <w:autoSpaceDE/>
        <w:autoSpaceDN/>
        <w:bidi w:val="0"/>
        <w:adjustRightInd/>
        <w:snapToGrid/>
        <w:spacing w:before="0" w:after="0" w:line="560" w:lineRule="exact"/>
        <w:ind w:left="0" w:leftChars="0" w:right="0" w:righ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 质疑</w:t>
      </w:r>
    </w:p>
    <w:p w14:paraId="3D1FBF57">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2.1 供应商</w:t>
      </w:r>
      <w:r>
        <w:rPr>
          <w:rFonts w:hint="eastAsia" w:ascii="宋体" w:hAnsi="宋体" w:eastAsia="宋体" w:cs="宋体"/>
          <w:color w:val="000000"/>
          <w:sz w:val="24"/>
          <w:szCs w:val="24"/>
          <w:highlight w:val="none"/>
        </w:rPr>
        <w:t>认为</w:t>
      </w:r>
      <w:r>
        <w:rPr>
          <w:rFonts w:hint="eastAsia" w:ascii="宋体" w:hAnsi="宋体" w:eastAsia="宋体" w:cs="宋体"/>
          <w:color w:val="000000"/>
          <w:sz w:val="24"/>
          <w:szCs w:val="24"/>
          <w:highlight w:val="none"/>
          <w:lang w:val="en-US" w:eastAsia="zh-CN"/>
        </w:rPr>
        <w:t>谈判文件</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谈判</w:t>
      </w:r>
      <w:r>
        <w:rPr>
          <w:rFonts w:hint="eastAsia" w:ascii="宋体" w:hAnsi="宋体" w:eastAsia="宋体" w:cs="宋体"/>
          <w:color w:val="000000"/>
          <w:sz w:val="24"/>
          <w:szCs w:val="24"/>
          <w:highlight w:val="none"/>
        </w:rPr>
        <w:t>过程和</w:t>
      </w:r>
      <w:r>
        <w:rPr>
          <w:rFonts w:hint="eastAsia" w:ascii="宋体" w:hAnsi="宋体" w:eastAsia="宋体" w:cs="宋体"/>
          <w:color w:val="000000"/>
          <w:sz w:val="24"/>
          <w:szCs w:val="24"/>
          <w:highlight w:val="none"/>
          <w:lang w:val="en-US" w:eastAsia="zh-CN"/>
        </w:rPr>
        <w:t>成交</w:t>
      </w:r>
      <w:r>
        <w:rPr>
          <w:rFonts w:hint="eastAsia" w:ascii="宋体" w:hAnsi="宋体" w:eastAsia="宋体" w:cs="宋体"/>
          <w:color w:val="000000"/>
          <w:sz w:val="24"/>
          <w:szCs w:val="24"/>
          <w:highlight w:val="none"/>
        </w:rPr>
        <w:t>结果使自己的合法权益受到损害的，应当在知道或者应知其权益受到损害之日起七个工作日内，以书面形式向</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供应商须知前附表</w:t>
      </w:r>
      <w:r>
        <w:rPr>
          <w:rFonts w:hint="eastAsia" w:ascii="宋体" w:hAnsi="宋体" w:eastAsia="宋体" w:cs="宋体"/>
          <w:b/>
          <w:bCs/>
          <w:color w:val="000000"/>
          <w:sz w:val="24"/>
          <w:szCs w:val="24"/>
          <w:highlight w:val="none"/>
          <w:lang w:eastAsia="zh-CN"/>
        </w:rPr>
        <w:t>”</w:t>
      </w:r>
      <w:r>
        <w:rPr>
          <w:rFonts w:hint="eastAsia" w:ascii="宋体" w:hAnsi="宋体" w:eastAsia="宋体" w:cs="宋体"/>
          <w:color w:val="000000"/>
          <w:sz w:val="24"/>
          <w:szCs w:val="24"/>
          <w:highlight w:val="none"/>
          <w:lang w:val="en-US" w:eastAsia="zh-CN"/>
        </w:rPr>
        <w:t>所列部门</w:t>
      </w:r>
      <w:r>
        <w:rPr>
          <w:rFonts w:hint="eastAsia" w:ascii="宋体" w:hAnsi="宋体" w:eastAsia="宋体" w:cs="宋体"/>
          <w:color w:val="000000"/>
          <w:sz w:val="24"/>
          <w:szCs w:val="24"/>
          <w:highlight w:val="none"/>
        </w:rPr>
        <w:t>提出质疑。质疑内容不得含有虚假、恶意成分。</w:t>
      </w:r>
    </w:p>
    <w:p w14:paraId="4C6A922A">
      <w:pPr>
        <w:pStyle w:val="9"/>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2.2 提出质疑的供应商应当是参加所本项目采购活动的供应商。依法获取可质疑采购文件的潜在供应商也可以依法提出质疑。</w:t>
      </w:r>
    </w:p>
    <w:p w14:paraId="1681CAF4">
      <w:pPr>
        <w:pStyle w:val="9"/>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 xml:space="preserve">2.3 </w:t>
      </w:r>
      <w:r>
        <w:rPr>
          <w:rFonts w:hint="eastAsia" w:ascii="宋体" w:hAnsi="宋体" w:eastAsia="宋体" w:cs="宋体"/>
          <w:b/>
          <w:bCs/>
          <w:color w:val="000000"/>
          <w:kern w:val="2"/>
          <w:sz w:val="24"/>
          <w:szCs w:val="24"/>
          <w:highlight w:val="none"/>
          <w:lang w:val="en-US" w:eastAsia="zh-CN" w:bidi="ar-SA"/>
        </w:rPr>
        <w:t>超出法定质疑期提交的质疑将被拒绝</w:t>
      </w:r>
      <w:r>
        <w:rPr>
          <w:rFonts w:hint="eastAsia" w:ascii="宋体" w:hAnsi="宋体" w:eastAsia="宋体" w:cs="宋体"/>
          <w:color w:val="000000"/>
          <w:kern w:val="2"/>
          <w:sz w:val="24"/>
          <w:szCs w:val="24"/>
          <w:highlight w:val="none"/>
          <w:lang w:val="en-US" w:eastAsia="zh-CN" w:bidi="ar-SA"/>
        </w:rPr>
        <w:t>。</w:t>
      </w:r>
      <w:r>
        <w:rPr>
          <w:rFonts w:hint="eastAsia" w:ascii="宋体" w:hAnsi="宋体" w:eastAsia="宋体" w:cs="宋体"/>
          <w:color w:val="000000"/>
          <w:sz w:val="24"/>
          <w:szCs w:val="24"/>
          <w:highlight w:val="none"/>
        </w:rPr>
        <w:t>提出质疑时</w:t>
      </w: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必须同时提交相关证据材料和注明事实的确切来源。</w:t>
      </w:r>
      <w:r>
        <w:rPr>
          <w:rFonts w:hint="eastAsia" w:ascii="宋体" w:hAnsi="宋体" w:eastAsia="宋体" w:cs="宋体"/>
          <w:b/>
          <w:bCs/>
          <w:color w:val="000000"/>
          <w:sz w:val="24"/>
          <w:szCs w:val="24"/>
          <w:highlight w:val="none"/>
          <w:lang w:val="en-US" w:eastAsia="zh-CN"/>
        </w:rPr>
        <w:t>供应商应</w:t>
      </w:r>
      <w:r>
        <w:rPr>
          <w:rFonts w:hint="eastAsia" w:ascii="宋体" w:hAnsi="宋体" w:eastAsia="宋体" w:cs="宋体"/>
          <w:b/>
          <w:bCs/>
          <w:color w:val="000000"/>
          <w:sz w:val="24"/>
          <w:szCs w:val="24"/>
          <w:highlight w:val="none"/>
        </w:rPr>
        <w:t>在法定质疑期内一次性提出针对同一采购程序环节的质疑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否则代理机构、采购人有权拒收。</w:t>
      </w:r>
    </w:p>
    <w:p w14:paraId="2D3AF3FD">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2.4 供应商提供的质疑书（如材料中有外文资料应同时附上中文译本）应当包括以下主要内容：</w:t>
      </w:r>
    </w:p>
    <w:p w14:paraId="1CCFCAE1">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lang w:val="en-US" w:eastAsia="zh-CN"/>
        </w:rPr>
        <w:t>2.4.1</w:t>
      </w:r>
      <w:r>
        <w:rPr>
          <w:rFonts w:hint="eastAsia" w:ascii="宋体" w:hAnsi="宋体" w:eastAsia="宋体" w:cs="宋体"/>
          <w:color w:val="000000"/>
          <w:kern w:val="2"/>
          <w:sz w:val="24"/>
          <w:szCs w:val="24"/>
          <w:highlight w:val="none"/>
          <w:lang w:val="en-US" w:eastAsia="zh-CN" w:bidi="ar-SA"/>
        </w:rPr>
        <w:t>质疑项目名称；</w:t>
      </w:r>
    </w:p>
    <w:p w14:paraId="38A70607">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lang w:val="en-US" w:eastAsia="zh-CN"/>
        </w:rPr>
        <w:t>2.4.2</w:t>
      </w:r>
      <w:r>
        <w:rPr>
          <w:rFonts w:hint="eastAsia" w:ascii="宋体" w:hAnsi="宋体" w:eastAsia="宋体" w:cs="宋体"/>
          <w:color w:val="000000"/>
          <w:kern w:val="2"/>
          <w:sz w:val="24"/>
          <w:szCs w:val="24"/>
          <w:highlight w:val="none"/>
          <w:lang w:val="en-US" w:eastAsia="zh-CN" w:bidi="ar-SA"/>
        </w:rPr>
        <w:t>质疑理由及事实依据；</w:t>
      </w:r>
    </w:p>
    <w:p w14:paraId="6A7BA6B1">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lang w:val="en-US" w:eastAsia="zh-CN"/>
        </w:rPr>
        <w:t>2.4.3</w:t>
      </w:r>
      <w:r>
        <w:rPr>
          <w:rFonts w:hint="eastAsia" w:ascii="宋体" w:hAnsi="宋体" w:eastAsia="宋体" w:cs="宋体"/>
          <w:color w:val="000000"/>
          <w:kern w:val="2"/>
          <w:sz w:val="24"/>
          <w:szCs w:val="24"/>
          <w:highlight w:val="none"/>
          <w:lang w:val="en-US" w:eastAsia="zh-CN" w:bidi="ar-SA"/>
        </w:rPr>
        <w:t>质疑对象；</w:t>
      </w:r>
    </w:p>
    <w:p w14:paraId="58578AA8">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lang w:val="en-US" w:eastAsia="zh-CN"/>
        </w:rPr>
        <w:t>2.4.4</w:t>
      </w:r>
      <w:r>
        <w:rPr>
          <w:rFonts w:hint="eastAsia" w:ascii="宋体" w:hAnsi="宋体" w:eastAsia="宋体" w:cs="宋体"/>
          <w:color w:val="000000"/>
          <w:kern w:val="2"/>
          <w:sz w:val="24"/>
          <w:szCs w:val="24"/>
          <w:highlight w:val="none"/>
          <w:lang w:val="en-US" w:eastAsia="zh-CN" w:bidi="ar-SA"/>
        </w:rPr>
        <w:t>联系电话和地址；</w:t>
      </w:r>
    </w:p>
    <w:p w14:paraId="67FD296B">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2.4.5质疑的日期；</w:t>
      </w:r>
    </w:p>
    <w:p w14:paraId="5246E4A5">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2.4.6质疑人署名。</w:t>
      </w:r>
    </w:p>
    <w:p w14:paraId="1EA97A20">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质疑书实行实名制并由法定代表人或其授权代理人签字并加盖公章。质疑书参考格式可在“中国政府采购网-下载专区”下载。</w:t>
      </w:r>
    </w:p>
    <w:p w14:paraId="67652E9A">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2.5 采购人</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rPr>
        <w:t>代理机构将在收到供应商的书面质疑后七个工作日内做出答复，但答复的内容不涉及商业秘密。</w:t>
      </w:r>
    </w:p>
    <w:p w14:paraId="03F9B9C1">
      <w:pPr>
        <w:pStyle w:val="7"/>
        <w:pageBreakBefore w:val="0"/>
        <w:widowControl w:val="0"/>
        <w:kinsoku/>
        <w:wordWrap/>
        <w:overflowPunct/>
        <w:topLinePunct w:val="0"/>
        <w:autoSpaceDE/>
        <w:autoSpaceDN/>
        <w:bidi w:val="0"/>
        <w:adjustRightInd/>
        <w:snapToGrid/>
        <w:spacing w:before="0" w:after="0" w:line="560" w:lineRule="exact"/>
        <w:ind w:left="0" w:leftChars="0" w:right="0" w:rightChars="0"/>
        <w:textAlignment w:val="auto"/>
        <w:rPr>
          <w:rFonts w:hint="eastAsia" w:ascii="宋体" w:hAnsi="宋体" w:eastAsia="宋体" w:cs="宋体"/>
          <w:sz w:val="24"/>
          <w:szCs w:val="24"/>
          <w:lang w:val="en-US" w:eastAsia="zh-CN"/>
        </w:rPr>
      </w:pPr>
      <w:bookmarkStart w:id="187" w:name="_Toc481656294"/>
      <w:bookmarkStart w:id="188" w:name="_Toc24305"/>
      <w:bookmarkStart w:id="189" w:name="_Toc381887528"/>
      <w:bookmarkStart w:id="190" w:name="_Toc21166"/>
      <w:r>
        <w:rPr>
          <w:rFonts w:hint="eastAsia" w:ascii="宋体" w:hAnsi="宋体" w:eastAsia="宋体" w:cs="宋体"/>
          <w:sz w:val="24"/>
          <w:szCs w:val="24"/>
          <w:lang w:val="en-US" w:eastAsia="zh-CN"/>
        </w:rPr>
        <w:t>3. 投诉</w:t>
      </w:r>
      <w:bookmarkEnd w:id="187"/>
      <w:bookmarkEnd w:id="188"/>
      <w:bookmarkEnd w:id="189"/>
      <w:bookmarkEnd w:id="190"/>
    </w:p>
    <w:p w14:paraId="125494F7">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质疑</w:t>
      </w: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对</w:t>
      </w:r>
      <w:r>
        <w:rPr>
          <w:rFonts w:hint="eastAsia" w:ascii="宋体" w:hAnsi="宋体" w:eastAsia="宋体" w:cs="宋体"/>
          <w:color w:val="000000"/>
          <w:sz w:val="24"/>
          <w:szCs w:val="24"/>
          <w:highlight w:val="none"/>
          <w:lang w:val="en-US" w:eastAsia="zh-CN"/>
        </w:rPr>
        <w:t>采购人、采购</w:t>
      </w:r>
      <w:r>
        <w:rPr>
          <w:rFonts w:hint="eastAsia" w:ascii="宋体" w:hAnsi="宋体" w:eastAsia="宋体" w:cs="宋体"/>
          <w:color w:val="000000"/>
          <w:sz w:val="24"/>
          <w:szCs w:val="24"/>
          <w:highlight w:val="none"/>
        </w:rPr>
        <w:t>代理机构的答复不满意，或者</w:t>
      </w:r>
      <w:r>
        <w:rPr>
          <w:rFonts w:hint="eastAsia" w:ascii="宋体" w:hAnsi="宋体" w:eastAsia="宋体" w:cs="宋体"/>
          <w:color w:val="000000"/>
          <w:sz w:val="24"/>
          <w:szCs w:val="24"/>
          <w:highlight w:val="none"/>
          <w:lang w:val="en-US" w:eastAsia="zh-CN"/>
        </w:rPr>
        <w:t>采购人</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rPr>
        <w:t>代理机构未在规定的时间内做出答复的，可以在答复期满后十五个工作日内书面向</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供应商须知前附表</w:t>
      </w:r>
      <w:r>
        <w:rPr>
          <w:rFonts w:hint="eastAsia" w:ascii="宋体" w:hAnsi="宋体" w:eastAsia="宋体" w:cs="宋体"/>
          <w:b/>
          <w:bCs/>
          <w:color w:val="000000"/>
          <w:sz w:val="24"/>
          <w:szCs w:val="24"/>
          <w:highlight w:val="none"/>
          <w:lang w:eastAsia="zh-CN"/>
        </w:rPr>
        <w:t>”</w:t>
      </w:r>
      <w:r>
        <w:rPr>
          <w:rFonts w:hint="eastAsia" w:ascii="宋体" w:hAnsi="宋体" w:eastAsia="宋体" w:cs="宋体"/>
          <w:color w:val="000000"/>
          <w:sz w:val="24"/>
          <w:szCs w:val="24"/>
          <w:highlight w:val="none"/>
          <w:lang w:val="en-US" w:eastAsia="zh-CN"/>
        </w:rPr>
        <w:t>所列部门</w:t>
      </w:r>
      <w:r>
        <w:rPr>
          <w:rFonts w:hint="eastAsia" w:ascii="宋体" w:hAnsi="宋体" w:eastAsia="宋体" w:cs="宋体"/>
          <w:color w:val="000000"/>
          <w:sz w:val="24"/>
          <w:szCs w:val="24"/>
          <w:highlight w:val="none"/>
        </w:rPr>
        <w:t>投诉。供应商投诉的事项不得超出已质疑事项的范围，但基于质疑答复内容提出的投诉事项除外。</w:t>
      </w:r>
    </w:p>
    <w:p w14:paraId="2991F624">
      <w:pPr>
        <w:pStyle w:val="6"/>
        <w:keepNext w:val="0"/>
        <w:keepLines w:val="0"/>
        <w:pageBreakBefore w:val="0"/>
        <w:numPr>
          <w:ilvl w:val="0"/>
          <w:numId w:val="4"/>
        </w:numPr>
        <w:kinsoku/>
        <w:wordWrap/>
        <w:overflowPunct/>
        <w:topLinePunct w:val="0"/>
        <w:bidi w:val="0"/>
        <w:spacing w:before="0" w:after="0" w:line="560" w:lineRule="exact"/>
        <w:jc w:val="center"/>
        <w:rPr>
          <w:rFonts w:hint="eastAsia" w:ascii="宋体" w:hAnsi="宋体" w:eastAsia="宋体" w:cs="宋体"/>
          <w:bCs/>
          <w:color w:val="000000"/>
          <w:sz w:val="32"/>
          <w:szCs w:val="32"/>
        </w:rPr>
      </w:pPr>
      <w:bookmarkStart w:id="191" w:name="_Toc31778"/>
      <w:bookmarkStart w:id="192" w:name="_Toc30606"/>
      <w:bookmarkStart w:id="193" w:name="_Toc30918_WPSOffice_Level2"/>
      <w:bookmarkStart w:id="194" w:name="_Toc12086"/>
      <w:bookmarkStart w:id="195" w:name="_Toc31075"/>
      <w:r>
        <w:rPr>
          <w:rFonts w:hint="eastAsia" w:ascii="宋体" w:hAnsi="宋体" w:eastAsia="宋体" w:cs="宋体"/>
          <w:bCs/>
          <w:color w:val="000000"/>
          <w:sz w:val="32"/>
          <w:szCs w:val="32"/>
        </w:rPr>
        <w:t>其  他</w:t>
      </w:r>
      <w:bookmarkEnd w:id="191"/>
      <w:bookmarkEnd w:id="192"/>
      <w:bookmarkEnd w:id="193"/>
      <w:bookmarkEnd w:id="194"/>
      <w:bookmarkEnd w:id="195"/>
    </w:p>
    <w:p w14:paraId="031D07AA">
      <w:pPr>
        <w:pStyle w:val="7"/>
        <w:pageBreakBefore w:val="0"/>
        <w:kinsoku/>
        <w:wordWrap/>
        <w:overflowPunct/>
        <w:topLinePunct w:val="0"/>
        <w:bidi w:val="0"/>
        <w:snapToGrid/>
        <w:spacing w:before="0" w:after="0" w:line="560" w:lineRule="exact"/>
        <w:ind w:left="0" w:leftChars="0" w:right="0" w:righ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 （实质性要求）</w:t>
      </w:r>
      <w:r>
        <w:rPr>
          <w:rFonts w:hint="eastAsia" w:ascii="宋体" w:hAnsi="宋体" w:eastAsia="宋体" w:cs="宋体"/>
          <w:b w:val="0"/>
          <w:bCs w:val="0"/>
          <w:sz w:val="24"/>
          <w:szCs w:val="24"/>
          <w:lang w:val="en-US" w:eastAsia="zh-CN"/>
        </w:rPr>
        <w:t>国家或行业主管部门对供应商和采购产品的技术标准、质量标准和资格资质条件等有强制性规定的，必须符合其要求。</w:t>
      </w:r>
    </w:p>
    <w:p w14:paraId="388E4399">
      <w:pPr>
        <w:pStyle w:val="7"/>
        <w:pageBreakBefore w:val="0"/>
        <w:kinsoku/>
        <w:wordWrap/>
        <w:overflowPunct/>
        <w:topLinePunct w:val="0"/>
        <w:bidi w:val="0"/>
        <w:snapToGrid/>
        <w:spacing w:before="0" w:after="0" w:line="560" w:lineRule="exact"/>
        <w:ind w:left="0" w:leftChars="0" w:right="0" w:righ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 商品包装和快递包装</w:t>
      </w:r>
    </w:p>
    <w:p w14:paraId="246068A7">
      <w:pPr>
        <w:pageBreakBefore w:val="0"/>
        <w:numPr>
          <w:ilvl w:val="0"/>
          <w:numId w:val="0"/>
        </w:numPr>
        <w:tabs>
          <w:tab w:val="left" w:pos="851"/>
        </w:tabs>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为本项目实施涉及的商品包装和快递包装，均应符合《财政部等三部门联合印发商品包装和快递包装政府采购需求标准（试行）》（财办库[2020]123号）的要求，包装应适应于远距离运输、防潮、防震、防锈和防野蛮装卸，以确保货物安全无损运抵指定地点。由于包装不善所引起</w:t>
      </w:r>
      <w:r>
        <w:rPr>
          <w:rFonts w:hint="eastAsia" w:ascii="宋体" w:hAnsi="宋体" w:eastAsia="宋体" w:cs="宋体"/>
          <w:color w:val="000000"/>
          <w:sz w:val="24"/>
          <w:szCs w:val="24"/>
          <w:highlight w:val="none"/>
          <w:lang w:val="en-US" w:eastAsia="zh-CN"/>
        </w:rPr>
        <w:t>的货物损失均由供应商承担。</w:t>
      </w:r>
    </w:p>
    <w:p w14:paraId="538663ED">
      <w:pPr>
        <w:pStyle w:val="7"/>
        <w:pageBreakBefore w:val="0"/>
        <w:kinsoku/>
        <w:wordWrap/>
        <w:overflowPunct/>
        <w:topLinePunct w:val="0"/>
        <w:bidi w:val="0"/>
        <w:snapToGrid/>
        <w:spacing w:before="0" w:after="0" w:line="560" w:lineRule="exact"/>
        <w:ind w:left="0" w:leftChars="0" w:right="0" w:righ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 节能产品、环境标志产品</w:t>
      </w:r>
    </w:p>
    <w:p w14:paraId="2B495420">
      <w:pPr>
        <w:pageBreakBefore w:val="0"/>
        <w:widowControl/>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对列入财政部、发展改革委、生态环境部等部门发布的政府采购节能产品、环境标志产品实施品目清单，且取得市场监督总局等确定的认证机构出具的、处于有效期之内的节能产品、环境标志产品认证证书的产品，实施政府优先采购或强制采购。</w:t>
      </w:r>
    </w:p>
    <w:p w14:paraId="1BC4C4FB">
      <w:pPr>
        <w:pageBreakBefore w:val="0"/>
        <w:widowControl/>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rPr>
        <w:t>当期“政府采购节能产品、环境标志产品实施品目清单”及其附件可通过中国政府采购网（h</w:t>
      </w:r>
      <w:r>
        <w:rPr>
          <w:rFonts w:hint="eastAsia" w:ascii="宋体" w:hAnsi="宋体" w:eastAsia="宋体" w:cs="宋体"/>
          <w:kern w:val="0"/>
          <w:sz w:val="24"/>
          <w:szCs w:val="24"/>
          <w:highlight w:val="none"/>
        </w:rPr>
        <w:t>ttp://www.ccgp.gov.cn/）查阅、下载；。</w:t>
      </w:r>
    </w:p>
    <w:p w14:paraId="2B78919F">
      <w:pPr>
        <w:pageBreakBefore w:val="0"/>
        <w:widowControl/>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根据国家有关节能、环保政策，对在响应文件中提交了国家确定的认证机构出具的、处于有效期之内的节能产品、环境标志产品认证证书的供应商，同等条件下，优先采购认证产品。</w:t>
      </w:r>
    </w:p>
    <w:p w14:paraId="4FFC1BED">
      <w:pPr>
        <w:pStyle w:val="7"/>
        <w:pageBreakBefore w:val="0"/>
        <w:kinsoku/>
        <w:wordWrap/>
        <w:overflowPunct/>
        <w:topLinePunct w:val="0"/>
        <w:bidi w:val="0"/>
        <w:snapToGrid/>
        <w:spacing w:before="0" w:after="0" w:line="560" w:lineRule="exact"/>
        <w:ind w:left="0" w:leftChars="0" w:right="0" w:righ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 中小企业扶持政策</w:t>
      </w:r>
    </w:p>
    <w:p w14:paraId="76AFE04E">
      <w:pPr>
        <w:pageBreakBefore w:val="0"/>
        <w:widowControl/>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4.1 对于非专门面向中小企业或小型、微型企业采购的项目，中型、小型、微型企业应当同时符合以下条件：</w:t>
      </w:r>
    </w:p>
    <w:p w14:paraId="3192FBFC">
      <w:pPr>
        <w:pageBreakBefore w:val="0"/>
        <w:widowControl/>
        <w:numPr>
          <w:ilvl w:val="0"/>
          <w:numId w:val="0"/>
        </w:numPr>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4.1.1中型、小型和微型企业谈判的须提供《中小企业声明函》并对声明函的真实性负责；</w:t>
      </w:r>
    </w:p>
    <w:p w14:paraId="3BE3A7C2">
      <w:pPr>
        <w:pageBreakBefore w:val="0"/>
        <w:widowControl/>
        <w:numPr>
          <w:ilvl w:val="0"/>
          <w:numId w:val="0"/>
        </w:numPr>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4.1.2按照《关于印发中小企业划型标准规定的通知》（工信部联企业〔2011〕300号）规定，供应商应符合中小企业划分标准；所称中小企业划分标准，是指国务院有关部门根据企业从业人员、营业收入、资产总额等指标制定的中小企业划型标准；</w:t>
      </w:r>
    </w:p>
    <w:p w14:paraId="50D6196F">
      <w:pPr>
        <w:pageBreakBefore w:val="0"/>
        <w:widowControl/>
        <w:numPr>
          <w:ilvl w:val="0"/>
          <w:numId w:val="0"/>
        </w:numPr>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4.1.3提供本企业制造的货物、承担的工程或者服务，或者提供其他中小企业制造的货物。本项所称货物不包括使用大型企业注册商标的货物。</w:t>
      </w:r>
    </w:p>
    <w:p w14:paraId="576F90A1">
      <w:pPr>
        <w:pStyle w:val="2"/>
        <w:pageBreakBefore w:val="0"/>
        <w:kinsoku/>
        <w:wordWrap/>
        <w:overflowPunct/>
        <w:topLinePunct w:val="0"/>
        <w:bidi w:val="0"/>
        <w:snapToGrid/>
        <w:spacing w:line="560" w:lineRule="exact"/>
        <w:ind w:left="0" w:leftChars="0" w:right="0" w:rightChars="0" w:firstLine="480" w:firstLineChars="200"/>
        <w:textAlignment w:val="auto"/>
        <w:outlineLvl w:val="9"/>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4.2 小型和微型企业提供中型企业制造的货物的，视同为中型企业。</w:t>
      </w:r>
    </w:p>
    <w:p w14:paraId="672185BF">
      <w:pPr>
        <w:pStyle w:val="2"/>
        <w:pageBreakBefore w:val="0"/>
        <w:kinsoku/>
        <w:wordWrap/>
        <w:overflowPunct/>
        <w:topLinePunct w:val="0"/>
        <w:bidi w:val="0"/>
        <w:snapToGrid/>
        <w:spacing w:line="560" w:lineRule="exact"/>
        <w:ind w:left="0" w:leftChars="0" w:right="0" w:rightChars="0" w:firstLine="480" w:firstLineChars="200"/>
        <w:textAlignment w:val="auto"/>
        <w:outlineLvl w:val="9"/>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4.3 小型和微型企业提供的货物中含有中型及以上企业的产品或者大中型企业提供货物中含有小型、微型企业产品的，均不给予价格扣除。</w:t>
      </w:r>
    </w:p>
    <w:p w14:paraId="58EC3F5E">
      <w:pPr>
        <w:pStyle w:val="2"/>
        <w:pageBreakBefore w:val="0"/>
        <w:kinsoku/>
        <w:wordWrap/>
        <w:overflowPunct/>
        <w:topLinePunct w:val="0"/>
        <w:bidi w:val="0"/>
        <w:snapToGrid/>
        <w:spacing w:line="560" w:lineRule="exact"/>
        <w:ind w:left="0" w:leftChars="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 xml:space="preserve">4.4 </w:t>
      </w:r>
      <w:r>
        <w:rPr>
          <w:rFonts w:hint="eastAsia" w:ascii="宋体" w:hAnsi="宋体" w:eastAsia="宋体" w:cs="宋体"/>
          <w:sz w:val="24"/>
          <w:szCs w:val="24"/>
        </w:rPr>
        <w:t>以联合体形式参加政府采购活动，联合体各方均为中小企业的，联合体视同中小企业。其中，联合体各方均为小微企业的，联合体视同小微企业。</w:t>
      </w:r>
    </w:p>
    <w:p w14:paraId="2F3BF3E1">
      <w:pPr>
        <w:pageBreakBefore w:val="0"/>
        <w:numPr>
          <w:ilvl w:val="0"/>
          <w:numId w:val="0"/>
        </w:numPr>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 xml:space="preserve">4.5 </w:t>
      </w:r>
      <w:r>
        <w:rPr>
          <w:rFonts w:hint="eastAsia" w:ascii="宋体" w:hAnsi="宋体" w:eastAsia="宋体" w:cs="宋体"/>
          <w:sz w:val="24"/>
          <w:szCs w:val="24"/>
        </w:rPr>
        <w:t>参加政府采购活动的中小企业应当提供《中小企业声明函》原件,监狱企业应当提供《监狱企业证明》原件,残疾人福利性单位应当提供《残疾人福利性单位声明函》原件。供应商按照采购文件规定提供声明函或证明内容不实的，属于提供虚假材料谋取中标、成交，依照《中华人民共和国政府采购法》等国家有关规定追究相应责任。</w:t>
      </w:r>
    </w:p>
    <w:p w14:paraId="00FFB8E9">
      <w:pPr>
        <w:pStyle w:val="7"/>
        <w:pageBreakBefore w:val="0"/>
        <w:kinsoku/>
        <w:wordWrap/>
        <w:overflowPunct/>
        <w:topLinePunct w:val="0"/>
        <w:bidi w:val="0"/>
        <w:snapToGrid/>
        <w:spacing w:before="0" w:after="0" w:line="560" w:lineRule="exact"/>
        <w:ind w:left="0" w:leftChars="0" w:right="0" w:righ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 监狱企业</w:t>
      </w:r>
    </w:p>
    <w:p w14:paraId="4922ED12">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sz w:val="24"/>
          <w:szCs w:val="24"/>
        </w:rPr>
      </w:pPr>
      <w:r>
        <w:rPr>
          <w:rFonts w:hint="eastAsia" w:ascii="宋体" w:hAnsi="宋体" w:eastAsia="宋体" w:cs="宋体"/>
          <w:sz w:val="24"/>
          <w:szCs w:val="24"/>
          <w:u w:val="none"/>
          <w:lang w:val="en-US" w:eastAsia="zh-CN"/>
        </w:rPr>
        <w:t>监狱企业参与政府采购活动的，</w:t>
      </w:r>
      <w:r>
        <w:rPr>
          <w:rFonts w:hint="eastAsia" w:ascii="宋体" w:hAnsi="宋体" w:eastAsia="宋体" w:cs="宋体"/>
          <w:sz w:val="24"/>
          <w:szCs w:val="24"/>
          <w:u w:val="none"/>
        </w:rPr>
        <w:t>视同小型、微型企业。</w:t>
      </w:r>
      <w:r>
        <w:rPr>
          <w:rFonts w:hint="eastAsia" w:ascii="宋体" w:hAnsi="宋体" w:eastAsia="宋体" w:cs="宋体"/>
          <w:sz w:val="24"/>
          <w:szCs w:val="24"/>
        </w:rPr>
        <w:t>供应商为监狱企业的，应提供由省级以上监狱管理局、戒毒管理局（含新疆生产建设兵团）出具的属于监狱企业的证明文件</w:t>
      </w:r>
      <w:r>
        <w:rPr>
          <w:rFonts w:hint="eastAsia" w:ascii="宋体" w:hAnsi="宋体" w:eastAsia="宋体" w:cs="宋体"/>
          <w:sz w:val="24"/>
          <w:szCs w:val="24"/>
          <w:lang w:val="en-US" w:eastAsia="zh-CN"/>
        </w:rPr>
        <w:t>原件扫描件，否则不予进行价格扣除</w:t>
      </w:r>
      <w:r>
        <w:rPr>
          <w:rFonts w:hint="eastAsia" w:ascii="宋体" w:hAnsi="宋体" w:eastAsia="宋体" w:cs="宋体"/>
          <w:sz w:val="24"/>
          <w:szCs w:val="24"/>
        </w:rPr>
        <w:t>。供应商应对提交的属于监狱企业的证明文件的真实性负责。提交的监狱企业的证明文件不真实的，应承担相应的法律责任。</w:t>
      </w:r>
    </w:p>
    <w:p w14:paraId="6622AAB7">
      <w:pPr>
        <w:pStyle w:val="7"/>
        <w:pageBreakBefore w:val="0"/>
        <w:kinsoku/>
        <w:wordWrap/>
        <w:overflowPunct/>
        <w:topLinePunct w:val="0"/>
        <w:bidi w:val="0"/>
        <w:snapToGrid/>
        <w:spacing w:before="0" w:after="0" w:line="560" w:lineRule="exact"/>
        <w:ind w:left="0" w:leftChars="0" w:right="0" w:righ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 残疾人福利性单位</w:t>
      </w:r>
    </w:p>
    <w:p w14:paraId="106778CB">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6.1 </w:t>
      </w:r>
      <w:r>
        <w:rPr>
          <w:rFonts w:hint="eastAsia" w:ascii="宋体" w:hAnsi="宋体" w:eastAsia="宋体" w:cs="宋体"/>
          <w:sz w:val="24"/>
          <w:szCs w:val="24"/>
          <w:u w:val="none"/>
        </w:rPr>
        <w:t>根据《财政部 民政部 中国残疾人联合会关于促进残疾人就业政府采购政策的通知》（财库〔2017〕 141号）的规定，残疾人福利性单位视同小型、微型企业。</w:t>
      </w:r>
    </w:p>
    <w:p w14:paraId="26A456C4">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b/>
          <w:bCs/>
          <w:sz w:val="24"/>
          <w:szCs w:val="24"/>
          <w:lang w:val="en-GB"/>
        </w:rPr>
      </w:pPr>
      <w:r>
        <w:rPr>
          <w:rFonts w:hint="eastAsia" w:ascii="宋体" w:hAnsi="宋体" w:eastAsia="宋体" w:cs="宋体"/>
          <w:b/>
          <w:bCs/>
          <w:sz w:val="24"/>
          <w:szCs w:val="24"/>
          <w:lang w:val="en-US" w:eastAsia="zh-CN"/>
        </w:rPr>
        <w:t xml:space="preserve">6.2 </w:t>
      </w:r>
      <w:r>
        <w:rPr>
          <w:rFonts w:hint="eastAsia" w:ascii="宋体" w:hAnsi="宋体" w:eastAsia="宋体" w:cs="宋体"/>
          <w:b/>
          <w:bCs/>
          <w:sz w:val="24"/>
          <w:szCs w:val="24"/>
          <w:lang w:val="en-GB"/>
        </w:rPr>
        <w:t>享受政府采购支持政策的残疾人福利性单位应当同时满足以下条件：</w:t>
      </w:r>
    </w:p>
    <w:p w14:paraId="437EE70F">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sz w:val="24"/>
          <w:szCs w:val="24"/>
          <w:lang w:val="en-GB"/>
        </w:rPr>
      </w:pPr>
      <w:r>
        <w:rPr>
          <w:rFonts w:hint="eastAsia" w:ascii="宋体" w:hAnsi="宋体" w:eastAsia="宋体" w:cs="宋体"/>
          <w:sz w:val="24"/>
          <w:szCs w:val="24"/>
          <w:lang w:val="en-US" w:eastAsia="zh-CN"/>
        </w:rPr>
        <w:t xml:space="preserve">6.2.1 </w:t>
      </w:r>
      <w:r>
        <w:rPr>
          <w:rFonts w:hint="eastAsia" w:ascii="宋体" w:hAnsi="宋体" w:eastAsia="宋体" w:cs="宋体"/>
          <w:sz w:val="24"/>
          <w:szCs w:val="24"/>
          <w:lang w:val="en-GB"/>
        </w:rPr>
        <w:t>安置的残疾人占本单位在职职工人数的比例不低于25%（含25%），并且安置的残疾人人数不少于10人（含10人）；</w:t>
      </w:r>
    </w:p>
    <w:p w14:paraId="245EA70A">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sz w:val="24"/>
          <w:szCs w:val="24"/>
          <w:lang w:val="en-GB"/>
        </w:rPr>
      </w:pPr>
      <w:r>
        <w:rPr>
          <w:rFonts w:hint="eastAsia" w:ascii="宋体" w:hAnsi="宋体" w:eastAsia="宋体" w:cs="宋体"/>
          <w:sz w:val="24"/>
          <w:szCs w:val="24"/>
          <w:lang w:val="en-US" w:eastAsia="zh-CN"/>
        </w:rPr>
        <w:t xml:space="preserve">6.2.2 </w:t>
      </w:r>
      <w:r>
        <w:rPr>
          <w:rFonts w:hint="eastAsia" w:ascii="宋体" w:hAnsi="宋体" w:eastAsia="宋体" w:cs="宋体"/>
          <w:sz w:val="24"/>
          <w:szCs w:val="24"/>
          <w:lang w:val="en-GB"/>
        </w:rPr>
        <w:t>依法与安置的每位残疾人签订了一年以上（含一年）的劳动合同或服务协议；</w:t>
      </w:r>
    </w:p>
    <w:p w14:paraId="132EE0F7">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sz w:val="24"/>
          <w:szCs w:val="24"/>
          <w:lang w:val="en-GB"/>
        </w:rPr>
      </w:pPr>
      <w:r>
        <w:rPr>
          <w:rFonts w:hint="eastAsia" w:ascii="宋体" w:hAnsi="宋体" w:eastAsia="宋体" w:cs="宋体"/>
          <w:sz w:val="24"/>
          <w:szCs w:val="24"/>
          <w:lang w:val="en-US" w:eastAsia="zh-CN"/>
        </w:rPr>
        <w:t xml:space="preserve">6.2.3 </w:t>
      </w:r>
      <w:r>
        <w:rPr>
          <w:rFonts w:hint="eastAsia" w:ascii="宋体" w:hAnsi="宋体" w:eastAsia="宋体" w:cs="宋体"/>
          <w:sz w:val="24"/>
          <w:szCs w:val="24"/>
          <w:lang w:val="en-GB"/>
        </w:rPr>
        <w:t>为安置的每位残疾人按月足额缴纳了基本养老保险、基本医疗保险、失业保险、工伤保险和生育保险等社会保险费；</w:t>
      </w:r>
    </w:p>
    <w:p w14:paraId="472783E6">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sz w:val="24"/>
          <w:szCs w:val="24"/>
          <w:lang w:val="en-GB"/>
        </w:rPr>
      </w:pPr>
      <w:r>
        <w:rPr>
          <w:rFonts w:hint="eastAsia" w:ascii="宋体" w:hAnsi="宋体" w:eastAsia="宋体" w:cs="宋体"/>
          <w:sz w:val="24"/>
          <w:szCs w:val="24"/>
          <w:lang w:val="en-US" w:eastAsia="zh-CN"/>
        </w:rPr>
        <w:t xml:space="preserve">6.2.4 </w:t>
      </w:r>
      <w:r>
        <w:rPr>
          <w:rFonts w:hint="eastAsia" w:ascii="宋体" w:hAnsi="宋体" w:eastAsia="宋体" w:cs="宋体"/>
          <w:sz w:val="24"/>
          <w:szCs w:val="24"/>
          <w:lang w:val="en-GB"/>
        </w:rPr>
        <w:t>通过银行等金融机构向安置的每位残疾人，按月支付了不低于单位所在区县适用的经省级人民政府批准的月最低工资标准的工资；</w:t>
      </w:r>
    </w:p>
    <w:p w14:paraId="22C37051">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sz w:val="24"/>
          <w:szCs w:val="24"/>
          <w:lang w:val="en-GB" w:eastAsia="zh-CN"/>
        </w:rPr>
      </w:pPr>
      <w:r>
        <w:rPr>
          <w:rFonts w:hint="eastAsia" w:ascii="宋体" w:hAnsi="宋体" w:eastAsia="宋体" w:cs="宋体"/>
          <w:sz w:val="24"/>
          <w:szCs w:val="24"/>
          <w:lang w:val="en-US" w:eastAsia="zh-CN"/>
        </w:rPr>
        <w:t xml:space="preserve">6.2.5 </w:t>
      </w:r>
      <w:r>
        <w:rPr>
          <w:rFonts w:hint="eastAsia" w:ascii="宋体" w:hAnsi="宋体" w:eastAsia="宋体" w:cs="宋体"/>
          <w:sz w:val="24"/>
          <w:szCs w:val="24"/>
          <w:lang w:val="en-GB"/>
        </w:rPr>
        <w:t>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sz w:val="24"/>
          <w:szCs w:val="24"/>
          <w:lang w:val="en-GB" w:eastAsia="zh-CN"/>
        </w:rPr>
        <w:t>。</w:t>
      </w:r>
    </w:p>
    <w:p w14:paraId="71EA1A1F">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sz w:val="24"/>
          <w:szCs w:val="24"/>
          <w:lang w:val="en-GB"/>
        </w:rPr>
      </w:pPr>
      <w:r>
        <w:rPr>
          <w:rFonts w:hint="eastAsia" w:ascii="宋体" w:hAnsi="宋体" w:eastAsia="宋体" w:cs="宋体"/>
          <w:sz w:val="24"/>
          <w:szCs w:val="24"/>
          <w:lang w:val="en-US" w:eastAsia="zh-CN"/>
        </w:rPr>
        <w:t xml:space="preserve">6.3 </w:t>
      </w:r>
      <w:r>
        <w:rPr>
          <w:rFonts w:hint="eastAsia" w:ascii="宋体" w:hAnsi="宋体" w:eastAsia="宋体" w:cs="宋体"/>
          <w:sz w:val="24"/>
          <w:szCs w:val="24"/>
          <w:lang w:val="en-GB"/>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0C3D14F">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6.4 符合条件的残疾人福利性单位在参加政府采购活动时，应当提供《残疾人福利性单位声明函》（格式见第六章），并对声明的真实性负责。任何单位或者个人在政府采购活动中均不得要求残疾人福利性单位提供其他证明声明函内容的材料。</w:t>
      </w:r>
    </w:p>
    <w:p w14:paraId="3B4578F1">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sz w:val="24"/>
          <w:szCs w:val="24"/>
          <w:lang w:val="en-GB"/>
        </w:rPr>
      </w:pPr>
      <w:r>
        <w:rPr>
          <w:rFonts w:hint="eastAsia" w:ascii="宋体" w:hAnsi="宋体" w:eastAsia="宋体" w:cs="宋体"/>
          <w:sz w:val="24"/>
          <w:szCs w:val="24"/>
          <w:lang w:val="en-US" w:eastAsia="zh-CN"/>
        </w:rPr>
        <w:t>6.5 成交供应商为残疾人福利性单位的，采购人或者其委托的采购代理机构应当随中标、成交结果同时公告其《残疾人福利性单位声明函》，接受社会监督。</w:t>
      </w:r>
    </w:p>
    <w:p w14:paraId="1F08D401">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sz w:val="24"/>
          <w:szCs w:val="24"/>
          <w:lang w:val="en-GB"/>
        </w:rPr>
      </w:pPr>
      <w:r>
        <w:rPr>
          <w:rFonts w:hint="eastAsia" w:ascii="宋体" w:hAnsi="宋体" w:eastAsia="宋体" w:cs="宋体"/>
          <w:sz w:val="24"/>
          <w:szCs w:val="24"/>
          <w:lang w:val="en-US" w:eastAsia="zh-CN"/>
        </w:rPr>
        <w:t xml:space="preserve">6.6 </w:t>
      </w:r>
      <w:r>
        <w:rPr>
          <w:rFonts w:hint="eastAsia" w:ascii="宋体" w:hAnsi="宋体" w:eastAsia="宋体" w:cs="宋体"/>
          <w:sz w:val="24"/>
          <w:szCs w:val="24"/>
          <w:lang w:val="en-GB"/>
        </w:rPr>
        <w:t>供应商提供的《残疾人福利性单位声明函》与事实不符的，依照《政府采购法》第七十七条第一款的规定追究法律责任。</w:t>
      </w:r>
    </w:p>
    <w:p w14:paraId="21F72BE1">
      <w:pPr>
        <w:pStyle w:val="7"/>
        <w:pageBreakBefore w:val="0"/>
        <w:kinsoku/>
        <w:wordWrap/>
        <w:overflowPunct/>
        <w:topLinePunct w:val="0"/>
        <w:bidi w:val="0"/>
        <w:snapToGrid/>
        <w:spacing w:before="0" w:after="0" w:line="560" w:lineRule="exact"/>
        <w:ind w:left="0" w:leftChars="0" w:right="0" w:righ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7.本国产品支持政策</w:t>
      </w:r>
    </w:p>
    <w:p w14:paraId="3B376F41">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7.1本国产品应当符合以下条件：在中国境内生产；在中国境内生产的组件成本占比达到规定比例；特定产品的关键组件、关键工序符合相关要求。</w:t>
      </w:r>
    </w:p>
    <w:p w14:paraId="512448DE">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7.2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36FFCDE">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7.3对本国产品的支持政策</w:t>
      </w:r>
    </w:p>
    <w:p w14:paraId="675428F6">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政府采购活动中既有本国产品又有非本国产品参与竞争的，依法对本国产品给予价格评审优惠，对本国产品的报价给予</w:t>
      </w:r>
      <w:r>
        <w:rPr>
          <w:rFonts w:hint="eastAsia" w:ascii="宋体" w:hAnsi="宋体" w:eastAsia="宋体" w:cs="宋体"/>
          <w:b/>
          <w:bCs/>
          <w:sz w:val="24"/>
          <w:szCs w:val="24"/>
          <w:lang w:val="en-US" w:eastAsia="zh-CN"/>
        </w:rPr>
        <w:t>20%</w:t>
      </w:r>
      <w:r>
        <w:rPr>
          <w:rFonts w:hint="eastAsia" w:ascii="宋体" w:hAnsi="宋体" w:eastAsia="宋体" w:cs="宋体"/>
          <w:sz w:val="24"/>
          <w:szCs w:val="24"/>
          <w:lang w:val="en-US" w:eastAsia="zh-CN"/>
        </w:rPr>
        <w:t>的价格扣除，用扣除后的价格参与评审。</w:t>
      </w:r>
    </w:p>
    <w:p w14:paraId="12808DBD">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7BD2C71">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7.4有关证明文件</w:t>
      </w:r>
    </w:p>
    <w:p w14:paraId="6F9B4D28">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应在投标文件中出具所投产品的《关于符合本国产品标准的声明函》（样式见“第四章投标文件格式”，以下简称《声明函》）或财政部会同有关部门规定的有关证明文件。出具符合要求的《声明函》或有关证明文件的，该产品视为本国产品，供应商不再提供其他证明材料。供应商提供虚假《声明函》、虚假证明文件谋取中标、成交的，依照《中华人民共和国政府采购法》等法律法规规定追究相应责任。</w:t>
      </w:r>
    </w:p>
    <w:p w14:paraId="2D46A40C">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中标、成交供应商提供的《声明函》或有关证明文件随中标、成交结果同时公告。</w:t>
      </w:r>
    </w:p>
    <w:p w14:paraId="2121C939">
      <w:pPr>
        <w:pageBreakBefore w:val="0"/>
        <w:kinsoku/>
        <w:wordWrap/>
        <w:overflowPunct/>
        <w:topLinePunct w:val="0"/>
        <w:bidi w:val="0"/>
        <w:snapToGrid/>
        <w:spacing w:line="560" w:lineRule="exact"/>
        <w:ind w:left="0" w:leftChars="0" w:right="0" w:rightChars="0" w:firstLine="420"/>
        <w:jc w:val="left"/>
        <w:textAlignment w:val="auto"/>
        <w:outlineLvl w:val="9"/>
        <w:rPr>
          <w:rFonts w:hint="default" w:ascii="Times New Roman" w:hAnsi="Times New Roman" w:eastAsia="宋体" w:cs="Times New Roman"/>
          <w:b/>
          <w:bCs/>
          <w:sz w:val="28"/>
          <w:szCs w:val="28"/>
          <w:lang w:val="en-US" w:eastAsia="zh-CN"/>
        </w:rPr>
      </w:pPr>
      <w:r>
        <w:rPr>
          <w:rFonts w:hint="eastAsia" w:ascii="宋体" w:hAnsi="宋体" w:eastAsia="宋体" w:cs="宋体"/>
          <w:sz w:val="24"/>
          <w:szCs w:val="24"/>
          <w:lang w:val="en-US" w:eastAsia="zh-CN"/>
        </w:rPr>
        <w:t>注：采购文件未尽事宜，详见《国务院办公厅关于在政府采购中实施本国产品标准及相关政策的通知》（国办发〔2025〕34号）。</w:t>
      </w:r>
    </w:p>
    <w:p w14:paraId="37EC097A">
      <w:pPr>
        <w:pStyle w:val="7"/>
        <w:pageBreakBefore w:val="0"/>
        <w:kinsoku/>
        <w:wordWrap/>
        <w:overflowPunct/>
        <w:topLinePunct w:val="0"/>
        <w:bidi w:val="0"/>
        <w:snapToGrid/>
        <w:spacing w:before="0" w:after="0" w:line="560" w:lineRule="exact"/>
        <w:ind w:left="0" w:leftChars="0" w:right="0" w:rightChars="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8</w:t>
      </w:r>
      <w:r>
        <w:rPr>
          <w:rFonts w:hint="eastAsia" w:ascii="宋体" w:hAnsi="宋体" w:eastAsia="宋体" w:cs="宋体"/>
          <w:sz w:val="24"/>
          <w:szCs w:val="24"/>
          <w:lang w:val="en-US" w:eastAsia="zh-CN"/>
        </w:rPr>
        <w:t>.</w:t>
      </w:r>
      <w:bookmarkStart w:id="196" w:name="_Toc18299"/>
      <w:r>
        <w:rPr>
          <w:rFonts w:hint="eastAsia" w:ascii="宋体" w:hAnsi="宋体" w:eastAsia="宋体" w:cs="宋体"/>
          <w:sz w:val="24"/>
          <w:szCs w:val="24"/>
          <w:lang w:val="en-US" w:eastAsia="zh-CN"/>
        </w:rPr>
        <w:t xml:space="preserve"> 实质性变动</w:t>
      </w:r>
      <w:bookmarkEnd w:id="196"/>
    </w:p>
    <w:p w14:paraId="60C06D0F">
      <w:pPr>
        <w:pageBreakBefore w:val="0"/>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在谈判过程中，谈判小组可以根据谈判文件和谈判情况实质性变动采购需求中的技术、服务要求以及合同草案条款，但不得变动谈判文件中的其他内容。实质性变动的内容，须经采购人代表确认。</w:t>
      </w:r>
    </w:p>
    <w:p w14:paraId="39E6A8A7">
      <w:pPr>
        <w:pageBreakBefore w:val="0"/>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对谈判文件作出的实质性变动是谈判文件的有效组成部分，谈判小组应当及时以书面形式同时通知所有参加谈判的供应商。</w:t>
      </w:r>
    </w:p>
    <w:p w14:paraId="560CC71E">
      <w:pPr>
        <w:pageBreakBefore w:val="0"/>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bookmarkStart w:id="197" w:name="_Toc7628"/>
    </w:p>
    <w:bookmarkEnd w:id="197"/>
    <w:p w14:paraId="5B15D7A8">
      <w:pPr>
        <w:pStyle w:val="7"/>
        <w:pageBreakBefore w:val="0"/>
        <w:kinsoku/>
        <w:wordWrap/>
        <w:overflowPunct/>
        <w:topLinePunct w:val="0"/>
        <w:bidi w:val="0"/>
        <w:snapToGrid/>
        <w:spacing w:before="0" w:after="0" w:line="560" w:lineRule="exact"/>
        <w:ind w:left="0" w:leftChars="0" w:right="0" w:rightChars="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9</w:t>
      </w:r>
      <w:r>
        <w:rPr>
          <w:rFonts w:hint="eastAsia" w:ascii="宋体" w:hAnsi="宋体" w:eastAsia="宋体" w:cs="宋体"/>
          <w:sz w:val="24"/>
          <w:szCs w:val="24"/>
          <w:lang w:val="en-US" w:eastAsia="zh-CN"/>
        </w:rPr>
        <w:t>. 电子响应文件注意事项及要求</w:t>
      </w:r>
    </w:p>
    <w:p w14:paraId="607CF246">
      <w:pPr>
        <w:pageBreakBefore w:val="0"/>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bCs/>
          <w:sz w:val="24"/>
          <w:szCs w:val="24"/>
        </w:rPr>
      </w:pPr>
      <w:r>
        <w:rPr>
          <w:rFonts w:hint="eastAsia" w:ascii="宋体" w:hAnsi="宋体" w:cs="宋体"/>
          <w:b/>
          <w:bCs/>
          <w:kern w:val="0"/>
          <w:sz w:val="24"/>
          <w:szCs w:val="24"/>
          <w:lang w:val="en-US" w:eastAsia="zh-CN"/>
        </w:rPr>
        <w:t>9</w:t>
      </w:r>
      <w:r>
        <w:rPr>
          <w:rFonts w:hint="eastAsia" w:ascii="宋体" w:hAnsi="宋体" w:eastAsia="宋体" w:cs="宋体"/>
          <w:b/>
          <w:bCs/>
          <w:kern w:val="0"/>
          <w:sz w:val="24"/>
          <w:szCs w:val="24"/>
        </w:rPr>
        <w:t>.1</w:t>
      </w:r>
      <w:r>
        <w:rPr>
          <w:rFonts w:hint="eastAsia" w:ascii="宋体" w:hAnsi="宋体" w:eastAsia="宋体" w:cs="宋体"/>
          <w:b/>
          <w:bCs/>
          <w:kern w:val="0"/>
          <w:sz w:val="24"/>
          <w:szCs w:val="24"/>
          <w:lang w:val="en-US" w:eastAsia="zh-CN"/>
        </w:rPr>
        <w:t xml:space="preserve"> </w:t>
      </w:r>
      <w:r>
        <w:rPr>
          <w:rFonts w:hint="eastAsia" w:ascii="宋体" w:hAnsi="宋体" w:eastAsia="宋体" w:cs="宋体"/>
          <w:b/>
          <w:bCs/>
          <w:sz w:val="24"/>
          <w:szCs w:val="24"/>
        </w:rPr>
        <w:t>电子</w:t>
      </w:r>
      <w:r>
        <w:rPr>
          <w:rFonts w:hint="eastAsia" w:ascii="宋体" w:hAnsi="宋体" w:eastAsia="宋体" w:cs="宋体"/>
          <w:b/>
          <w:bCs/>
          <w:sz w:val="24"/>
          <w:szCs w:val="24"/>
          <w:lang w:val="en-US" w:eastAsia="zh-CN"/>
        </w:rPr>
        <w:t>响应</w:t>
      </w:r>
      <w:r>
        <w:rPr>
          <w:rFonts w:hint="eastAsia" w:ascii="宋体" w:hAnsi="宋体" w:eastAsia="宋体" w:cs="宋体"/>
          <w:b/>
          <w:bCs/>
          <w:sz w:val="24"/>
          <w:szCs w:val="24"/>
        </w:rPr>
        <w:t>文件的组成及要求</w:t>
      </w:r>
    </w:p>
    <w:p w14:paraId="0A378D07">
      <w:pPr>
        <w:pageBreakBefore w:val="0"/>
        <w:kinsoku/>
        <w:wordWrap/>
        <w:overflowPunct/>
        <w:topLinePunct w:val="0"/>
        <w:autoSpaceDE w:val="0"/>
        <w:autoSpaceDN w:val="0"/>
        <w:bidi w:val="0"/>
        <w:adjustRightInd w:val="0"/>
        <w:snapToGrid/>
        <w:spacing w:line="560" w:lineRule="exact"/>
        <w:ind w:left="0" w:leftChars="0" w:right="0" w:rightChars="0" w:firstLine="480" w:firstLineChars="200"/>
        <w:textAlignment w:val="auto"/>
        <w:outlineLvl w:val="9"/>
        <w:rPr>
          <w:rFonts w:hint="eastAsia" w:ascii="宋体" w:hAnsi="宋体" w:eastAsia="宋体" w:cs="宋体"/>
          <w:sz w:val="24"/>
          <w:szCs w:val="24"/>
        </w:rPr>
      </w:pPr>
      <w:r>
        <w:rPr>
          <w:rFonts w:hint="eastAsia" w:ascii="宋体" w:hAnsi="宋体" w:cs="宋体"/>
          <w:sz w:val="24"/>
          <w:szCs w:val="24"/>
          <w:lang w:val="en-US" w:eastAsia="zh-CN"/>
        </w:rPr>
        <w:t>9</w:t>
      </w:r>
      <w:r>
        <w:rPr>
          <w:rFonts w:hint="eastAsia" w:ascii="宋体" w:hAnsi="宋体" w:eastAsia="宋体" w:cs="宋体"/>
          <w:sz w:val="24"/>
          <w:szCs w:val="24"/>
          <w:lang w:val="en-US" w:eastAsia="zh-CN"/>
        </w:rPr>
        <w:t>.1.1响应文件全部采用电子文档，供应商将政采云电子交易客户端下载、安装完成后，可通过账号密码或CA登录客户端进行投标文件的制作。客户端请至政采云网站（https://edu.zcygov.cn/luban/yunnan-dzjy-gys）进行查看下载。</w:t>
      </w:r>
    </w:p>
    <w:p w14:paraId="20BBEE44">
      <w:pPr>
        <w:pageBreakBefore w:val="0"/>
        <w:widowControl/>
        <w:kinsoku/>
        <w:wordWrap/>
        <w:overflowPunct/>
        <w:topLinePunct w:val="0"/>
        <w:bidi w:val="0"/>
        <w:snapToGrid/>
        <w:spacing w:line="560" w:lineRule="exact"/>
        <w:ind w:left="0" w:leftChars="0" w:right="0" w:rightChars="0" w:firstLine="435"/>
        <w:jc w:val="left"/>
        <w:textAlignment w:val="auto"/>
        <w:outlineLvl w:val="9"/>
        <w:rPr>
          <w:rFonts w:hint="eastAsia" w:ascii="宋体" w:hAnsi="宋体" w:eastAsia="宋体" w:cs="宋体"/>
          <w:b/>
          <w:bCs/>
          <w:kern w:val="0"/>
          <w:sz w:val="24"/>
          <w:szCs w:val="24"/>
        </w:rPr>
      </w:pPr>
      <w:r>
        <w:rPr>
          <w:rFonts w:hint="eastAsia" w:ascii="宋体" w:hAnsi="宋体" w:cs="宋体"/>
          <w:sz w:val="24"/>
          <w:szCs w:val="24"/>
          <w:lang w:val="en-US" w:eastAsia="zh-CN"/>
        </w:rPr>
        <w:t>9</w:t>
      </w:r>
      <w:r>
        <w:rPr>
          <w:rFonts w:hint="eastAsia" w:ascii="宋体" w:hAnsi="宋体" w:eastAsia="宋体" w:cs="宋体"/>
          <w:sz w:val="24"/>
          <w:szCs w:val="24"/>
          <w:lang w:val="en-US" w:eastAsia="zh-CN"/>
        </w:rPr>
        <w:t>.1.2</w:t>
      </w:r>
      <w:r>
        <w:rPr>
          <w:rFonts w:hint="eastAsia" w:ascii="宋体" w:hAnsi="宋体" w:eastAsia="宋体" w:cs="宋体"/>
          <w:sz w:val="24"/>
          <w:szCs w:val="24"/>
        </w:rPr>
        <w:t>在编制</w:t>
      </w:r>
      <w:r>
        <w:rPr>
          <w:rFonts w:hint="eastAsia" w:ascii="宋体" w:hAnsi="宋体" w:eastAsia="宋体" w:cs="宋体"/>
          <w:sz w:val="24"/>
          <w:szCs w:val="24"/>
          <w:lang w:val="en-US" w:eastAsia="zh-CN"/>
        </w:rPr>
        <w:t>响应</w:t>
      </w:r>
      <w:r>
        <w:rPr>
          <w:rFonts w:hint="eastAsia" w:ascii="宋体" w:hAnsi="宋体" w:eastAsia="宋体" w:cs="宋体"/>
          <w:sz w:val="24"/>
          <w:szCs w:val="24"/>
        </w:rPr>
        <w:t>文件时，粘贴图片使用JPG格式的文件。</w:t>
      </w:r>
    </w:p>
    <w:p w14:paraId="40CEEDAC">
      <w:pPr>
        <w:pageBreakBefore w:val="0"/>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bCs/>
          <w:sz w:val="24"/>
          <w:szCs w:val="24"/>
        </w:rPr>
      </w:pPr>
      <w:r>
        <w:rPr>
          <w:rFonts w:hint="eastAsia" w:ascii="宋体" w:hAnsi="宋体" w:cs="宋体"/>
          <w:b/>
          <w:bCs/>
          <w:sz w:val="24"/>
          <w:szCs w:val="24"/>
          <w:lang w:val="en-US" w:eastAsia="zh-CN"/>
        </w:rPr>
        <w:t>9</w:t>
      </w:r>
      <w:r>
        <w:rPr>
          <w:rFonts w:hint="eastAsia" w:ascii="宋体" w:hAnsi="宋体" w:eastAsia="宋体" w:cs="宋体"/>
          <w:b/>
          <w:bCs/>
          <w:sz w:val="24"/>
          <w:szCs w:val="24"/>
        </w:rPr>
        <w:t>.2</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电子</w:t>
      </w:r>
      <w:r>
        <w:rPr>
          <w:rFonts w:hint="eastAsia" w:ascii="宋体" w:hAnsi="宋体" w:eastAsia="宋体" w:cs="宋体"/>
          <w:b/>
          <w:bCs/>
          <w:sz w:val="24"/>
          <w:szCs w:val="24"/>
          <w:lang w:val="en-US" w:eastAsia="zh-CN"/>
        </w:rPr>
        <w:t>响应</w:t>
      </w:r>
      <w:r>
        <w:rPr>
          <w:rFonts w:hint="eastAsia" w:ascii="宋体" w:hAnsi="宋体" w:eastAsia="宋体" w:cs="宋体"/>
          <w:b/>
          <w:bCs/>
          <w:sz w:val="24"/>
          <w:szCs w:val="24"/>
        </w:rPr>
        <w:t>文件的修改</w:t>
      </w:r>
    </w:p>
    <w:p w14:paraId="500CA9F1">
      <w:pPr>
        <w:pageBreakBefore w:val="0"/>
        <w:kinsoku/>
        <w:wordWrap/>
        <w:overflowPunct/>
        <w:topLinePunct w:val="0"/>
        <w:bidi w:val="0"/>
        <w:snapToGrid/>
        <w:spacing w:line="560" w:lineRule="exact"/>
        <w:ind w:left="0" w:leftChars="0" w:right="0" w:rightChars="0" w:firstLine="480" w:firstLineChars="200"/>
        <w:textAlignment w:val="auto"/>
        <w:outlineLvl w:val="9"/>
        <w:rPr>
          <w:rFonts w:hint="eastAsia" w:ascii="宋体" w:hAnsi="宋体" w:eastAsia="宋体" w:cs="宋体"/>
          <w:sz w:val="24"/>
          <w:szCs w:val="24"/>
        </w:rPr>
      </w:pPr>
      <w:r>
        <w:rPr>
          <w:rFonts w:hint="eastAsia" w:ascii="宋体" w:hAnsi="宋体" w:cs="宋体"/>
          <w:sz w:val="24"/>
          <w:szCs w:val="24"/>
          <w:lang w:val="en-US" w:eastAsia="zh-CN"/>
        </w:rPr>
        <w:t>9</w:t>
      </w:r>
      <w:r>
        <w:rPr>
          <w:rFonts w:hint="eastAsia" w:ascii="宋体" w:hAnsi="宋体" w:eastAsia="宋体" w:cs="宋体"/>
          <w:sz w:val="24"/>
          <w:szCs w:val="24"/>
          <w:lang w:val="en-US" w:eastAsia="zh-CN"/>
        </w:rPr>
        <w:t>.2.1采购人</w:t>
      </w:r>
      <w:r>
        <w:rPr>
          <w:rFonts w:hint="eastAsia" w:ascii="宋体" w:hAnsi="宋体" w:eastAsia="宋体" w:cs="宋体"/>
          <w:sz w:val="24"/>
          <w:szCs w:val="24"/>
        </w:rPr>
        <w:t>对</w:t>
      </w:r>
      <w:r>
        <w:rPr>
          <w:rFonts w:hint="eastAsia" w:ascii="宋体" w:hAnsi="宋体" w:eastAsia="宋体" w:cs="宋体"/>
          <w:sz w:val="24"/>
          <w:szCs w:val="24"/>
          <w:lang w:val="en-US" w:eastAsia="zh-CN"/>
        </w:rPr>
        <w:t>谈判文件</w:t>
      </w:r>
      <w:r>
        <w:rPr>
          <w:rFonts w:hint="eastAsia" w:ascii="宋体" w:hAnsi="宋体" w:eastAsia="宋体" w:cs="宋体"/>
          <w:sz w:val="24"/>
          <w:szCs w:val="24"/>
        </w:rPr>
        <w:t>中的</w:t>
      </w:r>
      <w:r>
        <w:rPr>
          <w:rFonts w:hint="eastAsia" w:ascii="宋体" w:hAnsi="宋体" w:eastAsia="宋体" w:cs="宋体"/>
          <w:sz w:val="24"/>
          <w:szCs w:val="24"/>
          <w:lang w:val="en-US" w:eastAsia="zh-CN"/>
        </w:rPr>
        <w:t>项目需求</w:t>
      </w:r>
      <w:r>
        <w:rPr>
          <w:rFonts w:hint="eastAsia" w:ascii="宋体" w:hAnsi="宋体" w:eastAsia="宋体" w:cs="宋体"/>
          <w:sz w:val="24"/>
          <w:szCs w:val="24"/>
        </w:rPr>
        <w:t>、评</w:t>
      </w:r>
      <w:r>
        <w:rPr>
          <w:rFonts w:hint="eastAsia" w:ascii="宋体" w:hAnsi="宋体" w:eastAsia="宋体" w:cs="宋体"/>
          <w:sz w:val="24"/>
          <w:szCs w:val="24"/>
          <w:lang w:val="en-US" w:eastAsia="zh-CN"/>
        </w:rPr>
        <w:t>审</w:t>
      </w:r>
      <w:r>
        <w:rPr>
          <w:rFonts w:hint="eastAsia" w:ascii="宋体" w:hAnsi="宋体" w:eastAsia="宋体" w:cs="宋体"/>
          <w:sz w:val="24"/>
          <w:szCs w:val="24"/>
        </w:rPr>
        <w:t>办法等重要评审内容做出变更，将同时发布</w:t>
      </w:r>
      <w:r>
        <w:rPr>
          <w:rFonts w:hint="eastAsia" w:ascii="宋体" w:hAnsi="宋体" w:eastAsia="宋体" w:cs="宋体"/>
          <w:sz w:val="24"/>
          <w:szCs w:val="24"/>
          <w:lang w:val="en-US" w:eastAsia="zh-CN"/>
        </w:rPr>
        <w:t>变更</w:t>
      </w:r>
      <w:r>
        <w:rPr>
          <w:rFonts w:hint="eastAsia" w:ascii="宋体" w:hAnsi="宋体" w:eastAsia="宋体" w:cs="宋体"/>
          <w:sz w:val="24"/>
          <w:szCs w:val="24"/>
        </w:rPr>
        <w:t>文件进行说明以保证各</w:t>
      </w:r>
      <w:r>
        <w:rPr>
          <w:rFonts w:hint="eastAsia" w:ascii="宋体" w:hAnsi="宋体" w:eastAsia="宋体" w:cs="宋体"/>
          <w:sz w:val="24"/>
          <w:szCs w:val="24"/>
          <w:lang w:val="en-US" w:eastAsia="zh-CN"/>
        </w:rPr>
        <w:t>供应商</w:t>
      </w:r>
      <w:r>
        <w:rPr>
          <w:rFonts w:hint="eastAsia" w:ascii="宋体" w:hAnsi="宋体" w:eastAsia="宋体" w:cs="宋体"/>
          <w:sz w:val="24"/>
          <w:szCs w:val="24"/>
        </w:rPr>
        <w:t>都能重新下载并用于编制电子</w:t>
      </w:r>
      <w:r>
        <w:rPr>
          <w:rFonts w:hint="eastAsia" w:ascii="宋体" w:hAnsi="宋体" w:eastAsia="宋体" w:cs="宋体"/>
          <w:sz w:val="24"/>
          <w:szCs w:val="24"/>
          <w:lang w:val="en-US" w:eastAsia="zh-CN"/>
        </w:rPr>
        <w:t>响应</w:t>
      </w:r>
      <w:r>
        <w:rPr>
          <w:rFonts w:hint="eastAsia" w:ascii="宋体" w:hAnsi="宋体" w:eastAsia="宋体" w:cs="宋体"/>
          <w:sz w:val="24"/>
          <w:szCs w:val="24"/>
        </w:rPr>
        <w:t>文件。</w:t>
      </w:r>
    </w:p>
    <w:p w14:paraId="325EA4E7">
      <w:pPr>
        <w:pageBreakBefore w:val="0"/>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sz w:val="24"/>
          <w:szCs w:val="24"/>
        </w:rPr>
      </w:pPr>
      <w:r>
        <w:rPr>
          <w:rFonts w:hint="eastAsia" w:ascii="宋体" w:hAnsi="宋体" w:cs="宋体"/>
          <w:sz w:val="24"/>
          <w:szCs w:val="24"/>
          <w:lang w:val="en-US" w:eastAsia="zh-CN"/>
        </w:rPr>
        <w:t>9</w:t>
      </w:r>
      <w:r>
        <w:rPr>
          <w:rFonts w:hint="eastAsia" w:ascii="宋体" w:hAnsi="宋体" w:eastAsia="宋体" w:cs="宋体"/>
          <w:sz w:val="24"/>
          <w:szCs w:val="24"/>
          <w:lang w:val="en-US" w:eastAsia="zh-CN"/>
        </w:rPr>
        <w:t>.2.2供应商</w:t>
      </w:r>
      <w:r>
        <w:rPr>
          <w:rFonts w:hint="eastAsia" w:ascii="宋体" w:hAnsi="宋体" w:eastAsia="宋体" w:cs="宋体"/>
          <w:sz w:val="24"/>
          <w:szCs w:val="24"/>
        </w:rPr>
        <w:t>应在</w:t>
      </w:r>
      <w:r>
        <w:rPr>
          <w:rFonts w:hint="eastAsia" w:ascii="宋体" w:hAnsi="宋体" w:eastAsia="宋体" w:cs="宋体"/>
          <w:sz w:val="24"/>
          <w:szCs w:val="24"/>
          <w:lang w:val="en-US" w:eastAsia="zh-CN"/>
        </w:rPr>
        <w:t>响应文件递交截止</w:t>
      </w:r>
      <w:r>
        <w:rPr>
          <w:rFonts w:hint="eastAsia" w:ascii="宋体" w:hAnsi="宋体" w:eastAsia="宋体" w:cs="宋体"/>
          <w:sz w:val="24"/>
          <w:szCs w:val="24"/>
        </w:rPr>
        <w:t>时间前随时</w:t>
      </w:r>
      <w:r>
        <w:rPr>
          <w:rFonts w:hint="eastAsia" w:ascii="宋体" w:hAnsi="宋体" w:eastAsia="宋体" w:cs="宋体"/>
          <w:sz w:val="24"/>
          <w:szCs w:val="24"/>
          <w:lang w:val="en-US" w:eastAsia="zh-CN"/>
        </w:rPr>
        <w:t>在公告发布网站</w:t>
      </w:r>
      <w:r>
        <w:rPr>
          <w:rFonts w:hint="eastAsia" w:ascii="宋体" w:hAnsi="宋体" w:eastAsia="宋体" w:cs="宋体"/>
          <w:sz w:val="24"/>
          <w:szCs w:val="24"/>
        </w:rPr>
        <w:t>中</w:t>
      </w:r>
      <w:r>
        <w:rPr>
          <w:rFonts w:hint="eastAsia" w:ascii="宋体" w:hAnsi="宋体" w:eastAsia="宋体" w:cs="宋体"/>
          <w:sz w:val="24"/>
          <w:szCs w:val="24"/>
          <w:lang w:val="en-US" w:eastAsia="zh-CN"/>
        </w:rPr>
        <w:t>查看</w:t>
      </w:r>
      <w:r>
        <w:rPr>
          <w:rFonts w:hint="eastAsia" w:ascii="宋体" w:hAnsi="宋体" w:eastAsia="宋体" w:cs="宋体"/>
          <w:sz w:val="24"/>
          <w:szCs w:val="24"/>
        </w:rPr>
        <w:t>有关该项目</w:t>
      </w:r>
      <w:r>
        <w:rPr>
          <w:rFonts w:hint="eastAsia" w:ascii="宋体" w:hAnsi="宋体" w:eastAsia="宋体" w:cs="宋体"/>
          <w:sz w:val="24"/>
          <w:szCs w:val="24"/>
          <w:lang w:val="en-US" w:eastAsia="zh-CN"/>
        </w:rPr>
        <w:t>响应</w:t>
      </w:r>
      <w:r>
        <w:rPr>
          <w:rFonts w:hint="eastAsia" w:ascii="宋体" w:hAnsi="宋体" w:eastAsia="宋体" w:cs="宋体"/>
          <w:sz w:val="24"/>
          <w:szCs w:val="24"/>
        </w:rPr>
        <w:t>文件的答疑、补遗内容。</w:t>
      </w:r>
    </w:p>
    <w:p w14:paraId="5299ECDE">
      <w:pPr>
        <w:pageBreakBefore w:val="0"/>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bCs/>
          <w:kern w:val="0"/>
          <w:sz w:val="24"/>
          <w:szCs w:val="24"/>
        </w:rPr>
      </w:pPr>
      <w:r>
        <w:rPr>
          <w:rFonts w:hint="eastAsia" w:ascii="宋体" w:hAnsi="宋体" w:cs="宋体"/>
          <w:sz w:val="24"/>
          <w:szCs w:val="24"/>
          <w:lang w:val="en-US" w:eastAsia="zh-CN"/>
        </w:rPr>
        <w:t>9</w:t>
      </w:r>
      <w:r>
        <w:rPr>
          <w:rFonts w:hint="eastAsia" w:ascii="宋体" w:hAnsi="宋体" w:eastAsia="宋体" w:cs="宋体"/>
          <w:b/>
          <w:bCs/>
          <w:kern w:val="0"/>
          <w:sz w:val="24"/>
          <w:szCs w:val="24"/>
        </w:rPr>
        <w:t>.</w:t>
      </w:r>
      <w:r>
        <w:rPr>
          <w:rFonts w:hint="eastAsia" w:ascii="宋体" w:hAnsi="宋体" w:eastAsia="宋体" w:cs="宋体"/>
          <w:b/>
          <w:bCs/>
          <w:kern w:val="0"/>
          <w:sz w:val="24"/>
          <w:szCs w:val="24"/>
          <w:lang w:val="en-US" w:eastAsia="zh-CN"/>
        </w:rPr>
        <w:t>3</w:t>
      </w:r>
      <w:r>
        <w:rPr>
          <w:rFonts w:hint="eastAsia" w:ascii="宋体" w:hAnsi="宋体" w:eastAsia="宋体" w:cs="宋体"/>
          <w:b/>
          <w:bCs/>
          <w:kern w:val="0"/>
          <w:sz w:val="24"/>
          <w:szCs w:val="24"/>
        </w:rPr>
        <w:t xml:space="preserve"> 电子</w:t>
      </w:r>
      <w:r>
        <w:rPr>
          <w:rFonts w:hint="eastAsia" w:ascii="宋体" w:hAnsi="宋体" w:eastAsia="宋体" w:cs="宋体"/>
          <w:b/>
          <w:bCs/>
          <w:kern w:val="0"/>
          <w:sz w:val="24"/>
          <w:szCs w:val="24"/>
          <w:lang w:val="en-US" w:eastAsia="zh-CN"/>
        </w:rPr>
        <w:t>响应</w:t>
      </w:r>
      <w:r>
        <w:rPr>
          <w:rFonts w:hint="eastAsia" w:ascii="宋体" w:hAnsi="宋体" w:eastAsia="宋体" w:cs="宋体"/>
          <w:b/>
          <w:bCs/>
          <w:kern w:val="0"/>
          <w:sz w:val="24"/>
          <w:szCs w:val="24"/>
        </w:rPr>
        <w:t>文件的签章和签名要求</w:t>
      </w:r>
    </w:p>
    <w:p w14:paraId="36FA502F">
      <w:pPr>
        <w:pageBreakBefore w:val="0"/>
        <w:widowControl/>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bCs/>
          <w:kern w:val="0"/>
          <w:sz w:val="24"/>
          <w:szCs w:val="24"/>
        </w:rPr>
      </w:pPr>
      <w:r>
        <w:rPr>
          <w:rFonts w:hint="eastAsia" w:ascii="宋体" w:hAnsi="宋体" w:eastAsia="宋体" w:cs="宋体"/>
          <w:sz w:val="24"/>
          <w:szCs w:val="24"/>
        </w:rPr>
        <w:t>按照</w:t>
      </w:r>
      <w:r>
        <w:rPr>
          <w:rFonts w:hint="eastAsia" w:ascii="宋体" w:hAnsi="宋体" w:eastAsia="宋体" w:cs="宋体"/>
          <w:sz w:val="24"/>
          <w:szCs w:val="24"/>
          <w:lang w:val="en-US" w:eastAsia="zh-CN"/>
        </w:rPr>
        <w:t>响应</w:t>
      </w:r>
      <w:r>
        <w:rPr>
          <w:rFonts w:hint="eastAsia" w:ascii="宋体" w:hAnsi="宋体" w:eastAsia="宋体" w:cs="宋体"/>
          <w:sz w:val="24"/>
          <w:szCs w:val="24"/>
        </w:rPr>
        <w:t>文件格式，</w:t>
      </w:r>
      <w:r>
        <w:rPr>
          <w:rFonts w:hint="eastAsia" w:ascii="宋体" w:hAnsi="宋体" w:eastAsia="宋体" w:cs="宋体"/>
          <w:sz w:val="24"/>
          <w:szCs w:val="24"/>
          <w:lang w:val="en-US" w:eastAsia="zh-CN"/>
        </w:rPr>
        <w:t>响应</w:t>
      </w:r>
      <w:r>
        <w:rPr>
          <w:rFonts w:hint="eastAsia" w:ascii="宋体" w:hAnsi="宋体" w:eastAsia="宋体" w:cs="宋体"/>
          <w:sz w:val="24"/>
          <w:szCs w:val="24"/>
        </w:rPr>
        <w:t>文件需要企业、法定代表人电子签章及电子签名。</w:t>
      </w:r>
    </w:p>
    <w:p w14:paraId="19BB7338">
      <w:pPr>
        <w:pageBreakBefore w:val="0"/>
        <w:widowControl/>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bCs/>
          <w:kern w:val="0"/>
          <w:sz w:val="24"/>
          <w:szCs w:val="24"/>
        </w:rPr>
      </w:pPr>
      <w:r>
        <w:rPr>
          <w:rFonts w:hint="eastAsia" w:ascii="宋体" w:hAnsi="宋体" w:cs="宋体"/>
          <w:sz w:val="24"/>
          <w:szCs w:val="24"/>
          <w:lang w:val="en-US" w:eastAsia="zh-CN"/>
        </w:rPr>
        <w:t>9</w:t>
      </w:r>
      <w:r>
        <w:rPr>
          <w:rFonts w:hint="eastAsia" w:ascii="宋体" w:hAnsi="宋体" w:eastAsia="宋体" w:cs="宋体"/>
          <w:b/>
          <w:bCs/>
          <w:kern w:val="0"/>
          <w:sz w:val="24"/>
          <w:szCs w:val="24"/>
        </w:rPr>
        <w:t>.</w:t>
      </w:r>
      <w:r>
        <w:rPr>
          <w:rFonts w:hint="eastAsia" w:ascii="宋体" w:hAnsi="宋体" w:eastAsia="宋体" w:cs="宋体"/>
          <w:b/>
          <w:bCs/>
          <w:kern w:val="0"/>
          <w:sz w:val="24"/>
          <w:szCs w:val="24"/>
          <w:lang w:val="en-US" w:eastAsia="zh-CN"/>
        </w:rPr>
        <w:t xml:space="preserve">4 </w:t>
      </w:r>
      <w:r>
        <w:rPr>
          <w:rFonts w:hint="eastAsia" w:ascii="宋体" w:hAnsi="宋体" w:eastAsia="宋体" w:cs="宋体"/>
          <w:b/>
          <w:bCs/>
          <w:kern w:val="0"/>
          <w:sz w:val="24"/>
          <w:szCs w:val="24"/>
        </w:rPr>
        <w:t>电子</w:t>
      </w:r>
      <w:r>
        <w:rPr>
          <w:rFonts w:hint="eastAsia" w:ascii="宋体" w:hAnsi="宋体" w:eastAsia="宋体" w:cs="宋体"/>
          <w:b/>
          <w:bCs/>
          <w:kern w:val="0"/>
          <w:sz w:val="24"/>
          <w:szCs w:val="24"/>
          <w:lang w:val="en-US" w:eastAsia="zh-CN"/>
        </w:rPr>
        <w:t>响应</w:t>
      </w:r>
      <w:r>
        <w:rPr>
          <w:rFonts w:hint="eastAsia" w:ascii="宋体" w:hAnsi="宋体" w:eastAsia="宋体" w:cs="宋体"/>
          <w:b/>
          <w:bCs/>
          <w:kern w:val="0"/>
          <w:sz w:val="24"/>
          <w:szCs w:val="24"/>
        </w:rPr>
        <w:t>文件的递交</w:t>
      </w:r>
    </w:p>
    <w:p w14:paraId="573D32AD">
      <w:pPr>
        <w:pageBreakBefore w:val="0"/>
        <w:kinsoku/>
        <w:wordWrap/>
        <w:overflowPunct/>
        <w:topLinePunct w:val="0"/>
        <w:autoSpaceDE w:val="0"/>
        <w:autoSpaceDN w:val="0"/>
        <w:bidi w:val="0"/>
        <w:adjustRightInd w:val="0"/>
        <w:snapToGrid/>
        <w:spacing w:line="560" w:lineRule="exact"/>
        <w:ind w:left="0" w:leftChars="0" w:right="0" w:rightChars="0" w:firstLine="720" w:firstLineChars="300"/>
        <w:textAlignment w:val="auto"/>
        <w:outlineLvl w:val="9"/>
        <w:rPr>
          <w:rFonts w:hint="eastAsia" w:ascii="宋体" w:hAnsi="宋体" w:eastAsia="宋体" w:cs="宋体"/>
          <w:b/>
          <w:bCs/>
          <w:kern w:val="0"/>
          <w:sz w:val="24"/>
          <w:szCs w:val="24"/>
        </w:rPr>
      </w:pPr>
      <w:r>
        <w:rPr>
          <w:rFonts w:hint="eastAsia" w:ascii="宋体" w:hAnsi="宋体" w:eastAsia="宋体" w:cs="宋体"/>
          <w:sz w:val="24"/>
          <w:szCs w:val="24"/>
        </w:rPr>
        <w:t>网上递交：通过“政采云”平台（http：//www.zcygov.cn）实行在线电子响应，供应商应先安装“政采云电子交易客户端”（请自行前往“政采云”平台进行下载），并按照本项目采购文件和“政采云”平台的要求编制、加密后在投标截止时间前通过网络上传至“政采云”平台，供应商在“政采云”平台提交电子版响应文件时，请填写参加远程采购活动经办人联系方式。</w:t>
      </w:r>
    </w:p>
    <w:p w14:paraId="5C486C2D">
      <w:pPr>
        <w:pageBreakBefore w:val="0"/>
        <w:widowControl/>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bCs/>
          <w:sz w:val="24"/>
          <w:szCs w:val="24"/>
        </w:rPr>
      </w:pPr>
      <w:r>
        <w:rPr>
          <w:rFonts w:hint="eastAsia" w:ascii="宋体" w:hAnsi="宋体" w:cs="宋体"/>
          <w:sz w:val="24"/>
          <w:szCs w:val="24"/>
          <w:lang w:val="en-US" w:eastAsia="zh-CN"/>
        </w:rPr>
        <w:t>9</w:t>
      </w:r>
      <w:r>
        <w:rPr>
          <w:rFonts w:hint="eastAsia" w:ascii="宋体" w:hAnsi="宋体" w:eastAsia="宋体" w:cs="宋体"/>
          <w:b/>
          <w:bCs/>
          <w:kern w:val="0"/>
          <w:sz w:val="24"/>
          <w:szCs w:val="24"/>
        </w:rPr>
        <w:t>.</w:t>
      </w:r>
      <w:r>
        <w:rPr>
          <w:rFonts w:hint="eastAsia" w:ascii="宋体" w:hAnsi="宋体" w:eastAsia="宋体" w:cs="宋体"/>
          <w:b/>
          <w:bCs/>
          <w:kern w:val="0"/>
          <w:sz w:val="24"/>
          <w:szCs w:val="24"/>
          <w:lang w:val="en-US" w:eastAsia="zh-CN"/>
        </w:rPr>
        <w:t xml:space="preserve">5 </w:t>
      </w:r>
      <w:r>
        <w:rPr>
          <w:rFonts w:hint="eastAsia" w:ascii="宋体" w:hAnsi="宋体" w:eastAsia="宋体" w:cs="宋体"/>
          <w:b/>
          <w:bCs/>
          <w:sz w:val="24"/>
          <w:szCs w:val="24"/>
        </w:rPr>
        <w:t>电子</w:t>
      </w:r>
      <w:r>
        <w:rPr>
          <w:rFonts w:hint="eastAsia" w:ascii="宋体" w:hAnsi="宋体" w:eastAsia="宋体" w:cs="宋体"/>
          <w:b/>
          <w:bCs/>
          <w:sz w:val="24"/>
          <w:szCs w:val="24"/>
          <w:lang w:val="en-US" w:eastAsia="zh-CN"/>
        </w:rPr>
        <w:t>响应</w:t>
      </w:r>
      <w:r>
        <w:rPr>
          <w:rFonts w:hint="eastAsia" w:ascii="宋体" w:hAnsi="宋体" w:eastAsia="宋体" w:cs="宋体"/>
          <w:b/>
          <w:bCs/>
          <w:sz w:val="24"/>
          <w:szCs w:val="24"/>
        </w:rPr>
        <w:t>文件的修改与撤回</w:t>
      </w:r>
    </w:p>
    <w:p w14:paraId="0AB4B154">
      <w:pPr>
        <w:pageBreakBefore w:val="0"/>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sz w:val="24"/>
          <w:szCs w:val="24"/>
        </w:rPr>
      </w:pPr>
      <w:r>
        <w:rPr>
          <w:rFonts w:hint="eastAsia" w:ascii="宋体" w:hAnsi="宋体" w:cs="宋体"/>
          <w:sz w:val="24"/>
          <w:szCs w:val="24"/>
          <w:lang w:val="en-US" w:eastAsia="zh-CN"/>
        </w:rPr>
        <w:t>9</w:t>
      </w:r>
      <w:r>
        <w:rPr>
          <w:rFonts w:hint="eastAsia" w:ascii="宋体" w:hAnsi="宋体" w:eastAsia="宋体" w:cs="宋体"/>
          <w:sz w:val="24"/>
          <w:szCs w:val="24"/>
          <w:lang w:val="en-US" w:eastAsia="zh-CN"/>
        </w:rPr>
        <w:t>.5.1</w:t>
      </w:r>
      <w:r>
        <w:rPr>
          <w:rFonts w:hint="eastAsia" w:ascii="宋体" w:hAnsi="宋体" w:eastAsia="宋体" w:cs="宋体"/>
          <w:sz w:val="24"/>
          <w:szCs w:val="24"/>
        </w:rPr>
        <w:t>在规定的</w:t>
      </w:r>
      <w:r>
        <w:rPr>
          <w:rFonts w:hint="eastAsia" w:ascii="宋体" w:hAnsi="宋体" w:eastAsia="宋体" w:cs="宋体"/>
          <w:sz w:val="24"/>
          <w:szCs w:val="24"/>
          <w:lang w:val="en-US" w:eastAsia="zh-CN"/>
        </w:rPr>
        <w:t>响应文件递交</w:t>
      </w:r>
      <w:r>
        <w:rPr>
          <w:rFonts w:hint="eastAsia" w:ascii="宋体" w:hAnsi="宋体" w:eastAsia="宋体" w:cs="宋体"/>
          <w:sz w:val="24"/>
          <w:szCs w:val="24"/>
        </w:rPr>
        <w:t>截止时间前，</w:t>
      </w:r>
      <w:r>
        <w:rPr>
          <w:rFonts w:hint="eastAsia" w:ascii="宋体" w:hAnsi="宋体" w:eastAsia="宋体" w:cs="宋体"/>
          <w:sz w:val="24"/>
          <w:szCs w:val="24"/>
          <w:lang w:val="en-US" w:eastAsia="zh-CN"/>
        </w:rPr>
        <w:t>供应商</w:t>
      </w:r>
      <w:r>
        <w:rPr>
          <w:rFonts w:hint="eastAsia" w:ascii="宋体" w:hAnsi="宋体" w:eastAsia="宋体" w:cs="宋体"/>
          <w:sz w:val="24"/>
          <w:szCs w:val="24"/>
        </w:rPr>
        <w:t>可以修改或撤回已在网上递交的</w:t>
      </w:r>
      <w:r>
        <w:rPr>
          <w:rFonts w:hint="eastAsia" w:ascii="宋体" w:hAnsi="宋体" w:eastAsia="宋体" w:cs="宋体"/>
          <w:sz w:val="24"/>
          <w:szCs w:val="24"/>
          <w:lang w:val="en-US" w:eastAsia="zh-CN"/>
        </w:rPr>
        <w:t>响应</w:t>
      </w:r>
      <w:r>
        <w:rPr>
          <w:rFonts w:hint="eastAsia" w:ascii="宋体" w:hAnsi="宋体" w:eastAsia="宋体" w:cs="宋体"/>
          <w:sz w:val="24"/>
          <w:szCs w:val="24"/>
        </w:rPr>
        <w:t>文件，无须书面形式通知采购人。</w:t>
      </w:r>
    </w:p>
    <w:p w14:paraId="66652E93">
      <w:pPr>
        <w:pageBreakBefore w:val="0"/>
        <w:widowControl/>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bCs/>
          <w:kern w:val="0"/>
          <w:sz w:val="24"/>
          <w:szCs w:val="24"/>
        </w:rPr>
      </w:pPr>
      <w:r>
        <w:rPr>
          <w:rFonts w:hint="eastAsia" w:ascii="宋体" w:hAnsi="宋体" w:cs="宋体"/>
          <w:sz w:val="24"/>
          <w:szCs w:val="24"/>
          <w:lang w:val="en-US" w:eastAsia="zh-CN"/>
        </w:rPr>
        <w:t>9</w:t>
      </w:r>
      <w:r>
        <w:rPr>
          <w:rFonts w:hint="eastAsia" w:ascii="宋体" w:hAnsi="宋体" w:eastAsia="宋体" w:cs="宋体"/>
          <w:sz w:val="24"/>
          <w:szCs w:val="24"/>
          <w:lang w:val="en-US" w:eastAsia="zh-CN"/>
        </w:rPr>
        <w:t>.5.2</w:t>
      </w:r>
      <w:r>
        <w:rPr>
          <w:rFonts w:hint="eastAsia" w:ascii="宋体" w:hAnsi="宋体" w:eastAsia="宋体" w:cs="宋体"/>
          <w:sz w:val="24"/>
          <w:szCs w:val="24"/>
        </w:rPr>
        <w:t>修改的</w:t>
      </w:r>
      <w:r>
        <w:rPr>
          <w:rFonts w:hint="eastAsia" w:ascii="宋体" w:hAnsi="宋体" w:eastAsia="宋体" w:cs="宋体"/>
          <w:sz w:val="24"/>
          <w:szCs w:val="24"/>
          <w:lang w:val="en-US" w:eastAsia="zh-CN"/>
        </w:rPr>
        <w:t>响应</w:t>
      </w:r>
      <w:r>
        <w:rPr>
          <w:rFonts w:hint="eastAsia" w:ascii="宋体" w:hAnsi="宋体" w:eastAsia="宋体" w:cs="宋体"/>
          <w:sz w:val="24"/>
          <w:szCs w:val="24"/>
        </w:rPr>
        <w:t>文件应按照有关电子</w:t>
      </w:r>
      <w:r>
        <w:rPr>
          <w:rFonts w:hint="eastAsia" w:ascii="宋体" w:hAnsi="宋体" w:eastAsia="宋体" w:cs="宋体"/>
          <w:sz w:val="24"/>
          <w:szCs w:val="24"/>
          <w:lang w:val="en-US" w:eastAsia="zh-CN"/>
        </w:rPr>
        <w:t>响应</w:t>
      </w:r>
      <w:r>
        <w:rPr>
          <w:rFonts w:hint="eastAsia" w:ascii="宋体" w:hAnsi="宋体" w:eastAsia="宋体" w:cs="宋体"/>
          <w:sz w:val="24"/>
          <w:szCs w:val="24"/>
        </w:rPr>
        <w:t>文件规定进行编制、密封、标记和递交。</w:t>
      </w:r>
    </w:p>
    <w:p w14:paraId="69B7EEC1">
      <w:pPr>
        <w:pageBreakBefore w:val="0"/>
        <w:widowControl/>
        <w:kinsoku/>
        <w:wordWrap/>
        <w:overflowPunct/>
        <w:topLinePunct w:val="0"/>
        <w:bidi w:val="0"/>
        <w:snapToGrid/>
        <w:spacing w:line="560" w:lineRule="exact"/>
        <w:ind w:left="0" w:leftChars="0" w:right="0" w:rightChars="0" w:firstLine="480" w:firstLineChars="200"/>
        <w:jc w:val="left"/>
        <w:textAlignment w:val="auto"/>
        <w:outlineLvl w:val="9"/>
        <w:rPr>
          <w:rFonts w:hint="eastAsia" w:ascii="宋体" w:hAnsi="宋体" w:eastAsia="宋体" w:cs="宋体"/>
          <w:b/>
          <w:bCs/>
          <w:kern w:val="0"/>
          <w:sz w:val="24"/>
          <w:szCs w:val="24"/>
          <w:highlight w:val="none"/>
        </w:rPr>
      </w:pPr>
      <w:r>
        <w:rPr>
          <w:rFonts w:hint="eastAsia" w:ascii="宋体" w:hAnsi="宋体" w:cs="宋体"/>
          <w:sz w:val="24"/>
          <w:szCs w:val="24"/>
          <w:lang w:val="en-US" w:eastAsia="zh-CN"/>
        </w:rPr>
        <w:t>9</w:t>
      </w:r>
      <w:r>
        <w:rPr>
          <w:rFonts w:hint="eastAsia" w:ascii="宋体" w:hAnsi="宋体" w:eastAsia="宋体" w:cs="宋体"/>
          <w:b/>
          <w:bCs/>
          <w:kern w:val="0"/>
          <w:sz w:val="24"/>
          <w:szCs w:val="24"/>
          <w:highlight w:val="none"/>
        </w:rPr>
        <w:t>.</w:t>
      </w:r>
      <w:r>
        <w:rPr>
          <w:rFonts w:hint="eastAsia" w:ascii="宋体" w:hAnsi="宋体" w:eastAsia="宋体" w:cs="宋体"/>
          <w:b/>
          <w:bCs/>
          <w:kern w:val="0"/>
          <w:sz w:val="24"/>
          <w:szCs w:val="24"/>
          <w:highlight w:val="none"/>
          <w:lang w:val="en-US" w:eastAsia="zh-CN"/>
        </w:rPr>
        <w:t>6 响应</w:t>
      </w:r>
      <w:r>
        <w:rPr>
          <w:rFonts w:hint="eastAsia" w:ascii="宋体" w:hAnsi="宋体" w:eastAsia="宋体" w:cs="宋体"/>
          <w:b/>
          <w:bCs/>
          <w:kern w:val="0"/>
          <w:sz w:val="24"/>
          <w:szCs w:val="24"/>
          <w:highlight w:val="none"/>
        </w:rPr>
        <w:t>文件解密</w:t>
      </w:r>
    </w:p>
    <w:p w14:paraId="5E4E43FD">
      <w:pPr>
        <w:pageBreakBefore w:val="0"/>
        <w:kinsoku/>
        <w:wordWrap/>
        <w:overflowPunct/>
        <w:topLinePunct w:val="0"/>
        <w:bidi w:val="0"/>
        <w:snapToGrid/>
        <w:spacing w:line="560" w:lineRule="exact"/>
        <w:ind w:left="0" w:leftChars="0" w:right="0" w:rightChars="0" w:firstLine="480" w:firstLineChars="200"/>
        <w:textAlignment w:val="auto"/>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u w:val="single"/>
        </w:rPr>
        <w:t>该项目</w:t>
      </w:r>
      <w:r>
        <w:rPr>
          <w:rFonts w:hint="eastAsia" w:ascii="宋体" w:hAnsi="宋体" w:eastAsia="宋体" w:cs="宋体"/>
          <w:kern w:val="0"/>
          <w:sz w:val="24"/>
          <w:szCs w:val="24"/>
          <w:highlight w:val="none"/>
          <w:u w:val="single"/>
          <w:lang w:val="en-US" w:eastAsia="zh-CN"/>
        </w:rPr>
        <w:t>响应文件的开启</w:t>
      </w:r>
      <w:r>
        <w:rPr>
          <w:rFonts w:hint="eastAsia" w:ascii="宋体" w:hAnsi="宋体" w:eastAsia="宋体" w:cs="宋体"/>
          <w:kern w:val="0"/>
          <w:sz w:val="24"/>
          <w:szCs w:val="24"/>
          <w:highlight w:val="none"/>
          <w:u w:val="single"/>
        </w:rPr>
        <w:t>采用网上</w:t>
      </w:r>
      <w:r>
        <w:rPr>
          <w:rFonts w:hint="eastAsia" w:ascii="宋体" w:hAnsi="宋体" w:eastAsia="宋体" w:cs="宋体"/>
          <w:kern w:val="0"/>
          <w:sz w:val="24"/>
          <w:szCs w:val="24"/>
          <w:highlight w:val="none"/>
          <w:u w:val="single"/>
          <w:lang w:val="en-US" w:eastAsia="zh-CN"/>
        </w:rPr>
        <w:t>远程解密</w:t>
      </w:r>
      <w:r>
        <w:rPr>
          <w:rFonts w:hint="eastAsia" w:ascii="宋体" w:hAnsi="宋体" w:eastAsia="宋体" w:cs="宋体"/>
          <w:kern w:val="0"/>
          <w:sz w:val="24"/>
          <w:szCs w:val="24"/>
          <w:highlight w:val="none"/>
          <w:u w:val="single"/>
        </w:rPr>
        <w:t>方式，</w:t>
      </w:r>
      <w:r>
        <w:rPr>
          <w:rFonts w:hint="eastAsia" w:ascii="宋体" w:hAnsi="宋体" w:eastAsia="宋体" w:cs="宋体"/>
          <w:kern w:val="0"/>
          <w:sz w:val="24"/>
          <w:szCs w:val="24"/>
          <w:highlight w:val="none"/>
        </w:rPr>
        <w:t>供应商</w:t>
      </w:r>
      <w:r>
        <w:rPr>
          <w:rFonts w:hint="eastAsia" w:ascii="宋体" w:hAnsi="宋体" w:cs="宋体"/>
          <w:kern w:val="0"/>
          <w:sz w:val="24"/>
          <w:szCs w:val="24"/>
          <w:highlight w:val="none"/>
          <w:lang w:val="en-US" w:eastAsia="zh-CN"/>
        </w:rPr>
        <w:t>不用到现场</w:t>
      </w:r>
      <w:r>
        <w:rPr>
          <w:rFonts w:hint="eastAsia" w:ascii="宋体" w:hAnsi="宋体" w:eastAsia="宋体" w:cs="宋体"/>
          <w:kern w:val="0"/>
          <w:sz w:val="24"/>
          <w:szCs w:val="24"/>
          <w:highlight w:val="none"/>
        </w:rPr>
        <w:t>。</w:t>
      </w:r>
    </w:p>
    <w:p w14:paraId="125A5BB9">
      <w:pPr>
        <w:pageBreakBefore w:val="0"/>
        <w:kinsoku/>
        <w:wordWrap/>
        <w:overflowPunct/>
        <w:topLinePunct w:val="0"/>
        <w:bidi w:val="0"/>
        <w:snapToGrid/>
        <w:spacing w:line="560" w:lineRule="exact"/>
        <w:ind w:left="0" w:leftChars="0" w:right="0" w:rightChars="0" w:firstLine="480" w:firstLineChars="200"/>
        <w:jc w:val="both"/>
        <w:textAlignment w:val="auto"/>
        <w:outlineLvl w:val="9"/>
        <w:rPr>
          <w:rFonts w:hint="eastAsia" w:ascii="宋体" w:hAnsi="宋体" w:eastAsia="宋体" w:cs="宋体"/>
          <w:b/>
          <w:bCs/>
          <w:color w:val="FF0000"/>
          <w:sz w:val="24"/>
          <w:szCs w:val="24"/>
        </w:rPr>
      </w:pPr>
      <w:r>
        <w:rPr>
          <w:rFonts w:hint="eastAsia" w:ascii="宋体" w:hAnsi="宋体" w:cs="宋体"/>
          <w:sz w:val="24"/>
          <w:szCs w:val="24"/>
          <w:lang w:val="en-US" w:eastAsia="zh-CN"/>
        </w:rPr>
        <w:t>9</w:t>
      </w:r>
      <w:r>
        <w:rPr>
          <w:rFonts w:hint="eastAsia" w:ascii="宋体" w:hAnsi="宋体" w:eastAsia="宋体" w:cs="宋体"/>
          <w:b/>
          <w:bCs/>
          <w:color w:val="FF0000"/>
          <w:sz w:val="24"/>
          <w:szCs w:val="24"/>
          <w:lang w:val="en-US" w:eastAsia="zh-CN"/>
        </w:rPr>
        <w:t>.</w:t>
      </w:r>
      <w:r>
        <w:rPr>
          <w:rFonts w:hint="eastAsia" w:ascii="宋体" w:hAnsi="宋体" w:cs="宋体"/>
          <w:b/>
          <w:bCs/>
          <w:color w:val="FF0000"/>
          <w:sz w:val="24"/>
          <w:szCs w:val="24"/>
          <w:lang w:val="en-US" w:eastAsia="zh-CN"/>
        </w:rPr>
        <w:t>7</w:t>
      </w:r>
      <w:r>
        <w:rPr>
          <w:rFonts w:hint="eastAsia" w:ascii="宋体" w:hAnsi="宋体" w:eastAsia="宋体" w:cs="宋体"/>
          <w:b/>
          <w:bCs/>
          <w:color w:val="FF0000"/>
          <w:sz w:val="24"/>
          <w:szCs w:val="24"/>
          <w:lang w:val="en-US" w:eastAsia="zh-CN"/>
        </w:rPr>
        <w:t xml:space="preserve"> </w:t>
      </w:r>
      <w:r>
        <w:rPr>
          <w:rFonts w:hint="eastAsia" w:ascii="宋体" w:hAnsi="宋体" w:eastAsia="宋体" w:cs="宋体"/>
          <w:b/>
          <w:bCs/>
          <w:color w:val="FF0000"/>
          <w:sz w:val="24"/>
          <w:szCs w:val="24"/>
        </w:rPr>
        <w:t>不同单位的</w:t>
      </w:r>
      <w:r>
        <w:rPr>
          <w:rFonts w:hint="eastAsia" w:ascii="宋体" w:hAnsi="宋体" w:eastAsia="宋体" w:cs="宋体"/>
          <w:b/>
          <w:bCs/>
          <w:color w:val="FF0000"/>
          <w:sz w:val="24"/>
          <w:szCs w:val="24"/>
          <w:lang w:val="en-US" w:eastAsia="zh-CN"/>
        </w:rPr>
        <w:t>响应</w:t>
      </w:r>
      <w:r>
        <w:rPr>
          <w:rFonts w:hint="eastAsia" w:ascii="宋体" w:hAnsi="宋体" w:eastAsia="宋体" w:cs="宋体"/>
          <w:b/>
          <w:bCs/>
          <w:color w:val="FF0000"/>
          <w:sz w:val="24"/>
          <w:szCs w:val="24"/>
        </w:rPr>
        <w:t>文件若芯片序列号、硬盘序列号、网卡序列号一致，视为由同一台电脑编制！</w:t>
      </w:r>
    </w:p>
    <w:p w14:paraId="4CDE3FB2">
      <w:pPr>
        <w:pStyle w:val="7"/>
        <w:pageBreakBefore w:val="0"/>
        <w:kinsoku/>
        <w:wordWrap/>
        <w:overflowPunct/>
        <w:topLinePunct w:val="0"/>
        <w:bidi w:val="0"/>
        <w:snapToGrid/>
        <w:spacing w:before="0" w:after="0" w:line="560" w:lineRule="exact"/>
        <w:ind w:left="0" w:leftChars="0" w:right="0" w:rightChars="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10</w:t>
      </w:r>
      <w:r>
        <w:rPr>
          <w:rFonts w:hint="eastAsia" w:ascii="宋体" w:hAnsi="宋体" w:eastAsia="宋体" w:cs="宋体"/>
          <w:sz w:val="24"/>
          <w:szCs w:val="24"/>
          <w:lang w:val="en-US" w:eastAsia="zh-CN"/>
        </w:rPr>
        <w:t>. 采购代理服务费</w:t>
      </w:r>
    </w:p>
    <w:p w14:paraId="33189DF2">
      <w:pPr>
        <w:pStyle w:val="2"/>
        <w:pageBreakBefore w:val="0"/>
        <w:kinsoku/>
        <w:wordWrap/>
        <w:overflowPunct/>
        <w:topLinePunct w:val="0"/>
        <w:bidi w:val="0"/>
        <w:snapToGrid/>
        <w:spacing w:line="560" w:lineRule="exact"/>
        <w:ind w:left="0" w:leftChars="0" w:right="0" w:rightChars="0" w:firstLine="480" w:firstLineChars="200"/>
        <w:textAlignment w:val="auto"/>
        <w:outlineLvl w:val="9"/>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本项目不收取采购代理服务费。</w:t>
      </w:r>
    </w:p>
    <w:p w14:paraId="13404C75">
      <w:pPr>
        <w:pStyle w:val="7"/>
        <w:pageBreakBefore w:val="0"/>
        <w:kinsoku/>
        <w:wordWrap/>
        <w:overflowPunct/>
        <w:topLinePunct w:val="0"/>
        <w:bidi w:val="0"/>
        <w:snapToGrid/>
        <w:spacing w:before="0" w:after="0" w:line="560" w:lineRule="exact"/>
        <w:ind w:left="0" w:leftChars="0" w:right="0" w:righ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本谈判文件中所引相关法律制度规定，在政府采购中有变化的，按照变化后的相关法律制度规定执行。本章规定的内容条款，在本项目递交响应文件截止时间届满后，因相关法律制度规定的变化导致不符合相关法律制度规定的，直接按照变化后的相关法律制度规定执行，本谈判文件不再做调整。</w:t>
      </w:r>
    </w:p>
    <w:p w14:paraId="6ED66D19">
      <w:pPr>
        <w:pStyle w:val="5"/>
        <w:pageBreakBefore w:val="0"/>
        <w:kinsoku/>
        <w:wordWrap/>
        <w:overflowPunct/>
        <w:topLinePunct w:val="0"/>
        <w:bidi w:val="0"/>
        <w:snapToGrid/>
        <w:spacing w:before="0" w:after="0" w:line="560" w:lineRule="exact"/>
        <w:ind w:left="0" w:leftChars="0" w:right="0" w:rightChars="0"/>
        <w:jc w:val="center"/>
        <w:textAlignment w:val="auto"/>
        <w:rPr>
          <w:rFonts w:hint="eastAsia" w:ascii="宋体" w:hAnsi="宋体" w:eastAsia="宋体" w:cs="宋体"/>
          <w:b/>
          <w:bCs w:val="0"/>
          <w:sz w:val="44"/>
          <w:szCs w:val="44"/>
          <w:lang w:val="en-US" w:eastAsia="zh-CN"/>
        </w:rPr>
      </w:pPr>
      <w:r>
        <w:rPr>
          <w:rFonts w:hint="eastAsia" w:ascii="宋体" w:hAnsi="宋体" w:eastAsia="宋体" w:cs="宋体"/>
          <w:b w:val="0"/>
          <w:bCs/>
          <w:color w:val="auto"/>
          <w:sz w:val="24"/>
          <w:szCs w:val="24"/>
          <w:lang w:val="en-US" w:eastAsia="zh-CN"/>
        </w:rPr>
        <w:br w:type="page"/>
      </w:r>
      <w:bookmarkStart w:id="198" w:name="_Toc30917"/>
      <w:bookmarkStart w:id="199" w:name="_Toc14339"/>
      <w:bookmarkStart w:id="200" w:name="_Toc8709_WPSOffice_Level1"/>
      <w:bookmarkStart w:id="201" w:name="_Toc11516"/>
      <w:bookmarkStart w:id="202" w:name="_Toc25081"/>
      <w:bookmarkStart w:id="203" w:name="_Toc217446057"/>
      <w:bookmarkStart w:id="204" w:name="_Toc183682369"/>
      <w:bookmarkStart w:id="205" w:name="_Toc183582232"/>
      <w:r>
        <w:rPr>
          <w:rFonts w:hint="eastAsia" w:ascii="宋体" w:hAnsi="宋体" w:eastAsia="宋体" w:cs="宋体"/>
          <w:b/>
          <w:bCs w:val="0"/>
          <w:sz w:val="44"/>
          <w:szCs w:val="44"/>
        </w:rPr>
        <w:t>第</w:t>
      </w:r>
      <w:r>
        <w:rPr>
          <w:rFonts w:hint="eastAsia" w:ascii="宋体" w:hAnsi="宋体" w:eastAsia="宋体" w:cs="宋体"/>
          <w:b/>
          <w:bCs w:val="0"/>
          <w:sz w:val="44"/>
          <w:szCs w:val="44"/>
          <w:lang w:val="en-US" w:eastAsia="zh-CN"/>
        </w:rPr>
        <w:t>三</w:t>
      </w:r>
      <w:r>
        <w:rPr>
          <w:rFonts w:hint="eastAsia" w:ascii="宋体" w:hAnsi="宋体" w:eastAsia="宋体" w:cs="宋体"/>
          <w:b/>
          <w:bCs w:val="0"/>
          <w:sz w:val="44"/>
          <w:szCs w:val="44"/>
        </w:rPr>
        <w:t xml:space="preserve">章  </w:t>
      </w:r>
      <w:r>
        <w:rPr>
          <w:rFonts w:hint="eastAsia" w:ascii="宋体" w:hAnsi="宋体" w:eastAsia="宋体" w:cs="宋体"/>
          <w:b/>
          <w:bCs w:val="0"/>
          <w:sz w:val="44"/>
          <w:szCs w:val="44"/>
          <w:lang w:val="en-US" w:eastAsia="zh-CN"/>
        </w:rPr>
        <w:t>项目需求</w:t>
      </w:r>
      <w:bookmarkEnd w:id="198"/>
      <w:bookmarkEnd w:id="199"/>
      <w:bookmarkEnd w:id="200"/>
      <w:bookmarkEnd w:id="201"/>
      <w:bookmarkEnd w:id="202"/>
    </w:p>
    <w:p w14:paraId="5D5A2724">
      <w:pPr>
        <w:pStyle w:val="4"/>
        <w:rPr>
          <w:rFonts w:hint="eastAsia"/>
          <w:lang w:val="en-US" w:eastAsia="zh-CN"/>
        </w:rPr>
      </w:pPr>
    </w:p>
    <w:p w14:paraId="659C0DA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说明：下</w:t>
      </w:r>
      <w:r>
        <w:rPr>
          <w:rFonts w:hint="eastAsia" w:ascii="宋体" w:hAnsi="宋体" w:eastAsia="宋体" w:cs="宋体"/>
          <w:sz w:val="24"/>
          <w:szCs w:val="24"/>
        </w:rPr>
        <w:t>述要求以及标注中：</w:t>
      </w:r>
    </w:p>
    <w:p w14:paraId="26B5DEC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rPr>
          <w:rFonts w:hint="eastAsia" w:ascii="宋体" w:hAnsi="宋体" w:eastAsia="宋体" w:cs="宋体"/>
          <w:b/>
          <w:bCs/>
          <w:sz w:val="24"/>
          <w:szCs w:val="24"/>
        </w:rPr>
      </w:pPr>
      <w:r>
        <w:rPr>
          <w:rFonts w:hint="eastAsia" w:ascii="宋体" w:hAnsi="宋体" w:eastAsia="宋体" w:cs="宋体"/>
          <w:b/>
          <w:bCs/>
          <w:sz w:val="24"/>
          <w:szCs w:val="24"/>
        </w:rPr>
        <w:t>带“★”条款为实质性条款，供应商必须按照采购文件的要求做出实质性响应。</w:t>
      </w:r>
    </w:p>
    <w:p w14:paraId="2A90B92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带“◆”标注的为可能实质性变动的技术、服务要求以及合同草案条款内容。</w:t>
      </w:r>
    </w:p>
    <w:p w14:paraId="2E546A4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带“※”标注的产品为供应商</w:t>
      </w:r>
      <w:r>
        <w:rPr>
          <w:rFonts w:hint="eastAsia" w:ascii="宋体" w:hAnsi="宋体" w:eastAsia="宋体" w:cs="宋体"/>
          <w:sz w:val="24"/>
          <w:szCs w:val="24"/>
          <w:lang w:val="en-US" w:eastAsia="zh-CN"/>
        </w:rPr>
        <w:t>开启响应文件时</w:t>
      </w:r>
      <w:r>
        <w:rPr>
          <w:rFonts w:hint="eastAsia" w:ascii="宋体" w:hAnsi="宋体" w:eastAsia="宋体" w:cs="宋体"/>
          <w:sz w:val="24"/>
          <w:szCs w:val="24"/>
        </w:rPr>
        <w:t>需提供的样品，成交后成交供应商送至采购人指定地点封存。成交供应商提交的样品与响应文件不一致的，由成交供应商承担相关法律责任。</w:t>
      </w:r>
      <w:bookmarkStart w:id="206" w:name="_Toc87449849"/>
      <w:bookmarkStart w:id="207" w:name="_Toc85122591"/>
    </w:p>
    <w:p w14:paraId="4F1A226C">
      <w:pPr>
        <w:pStyle w:val="6"/>
        <w:pageBreakBefore w:val="0"/>
        <w:widowControl w:val="0"/>
        <w:numPr>
          <w:ilvl w:val="0"/>
          <w:numId w:val="5"/>
        </w:numPr>
        <w:kinsoku/>
        <w:wordWrap/>
        <w:overflowPunct/>
        <w:topLinePunct w:val="0"/>
        <w:autoSpaceDE/>
        <w:autoSpaceDN/>
        <w:bidi w:val="0"/>
        <w:adjustRightInd/>
        <w:snapToGrid/>
        <w:spacing w:before="0" w:after="0" w:line="560" w:lineRule="exact"/>
        <w:ind w:left="0" w:leftChars="0" w:right="0" w:rightChars="0" w:firstLine="0" w:firstLineChars="0"/>
        <w:textAlignment w:val="auto"/>
        <w:rPr>
          <w:rFonts w:hint="eastAsia"/>
          <w:sz w:val="28"/>
          <w:szCs w:val="28"/>
        </w:rPr>
      </w:pPr>
      <w:bookmarkStart w:id="208" w:name="_Toc12886"/>
      <w:bookmarkStart w:id="209" w:name="_Toc1490_WPSOffice_Level2"/>
      <w:bookmarkStart w:id="210" w:name="_Toc19274"/>
      <w:bookmarkStart w:id="211" w:name="_Toc28028"/>
      <w:bookmarkStart w:id="212" w:name="_Toc4631"/>
      <w:r>
        <w:rPr>
          <w:rFonts w:hint="eastAsia"/>
          <w:sz w:val="28"/>
          <w:szCs w:val="28"/>
        </w:rPr>
        <w:t>项目概况</w:t>
      </w:r>
      <w:bookmarkEnd w:id="206"/>
      <w:bookmarkEnd w:id="207"/>
      <w:bookmarkEnd w:id="208"/>
      <w:bookmarkEnd w:id="209"/>
      <w:bookmarkEnd w:id="210"/>
      <w:bookmarkEnd w:id="211"/>
      <w:bookmarkEnd w:id="212"/>
    </w:p>
    <w:p w14:paraId="3258638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rPr>
          <w:rFonts w:hint="eastAsia" w:ascii="宋体" w:hAnsi="宋体" w:eastAsia="宋体" w:cs="宋体"/>
          <w:sz w:val="24"/>
          <w:szCs w:val="24"/>
          <w:lang w:val="en-US" w:eastAsia="zh-CN"/>
        </w:rPr>
      </w:pPr>
      <w:bookmarkStart w:id="213" w:name="_Toc13178"/>
      <w:bookmarkStart w:id="214" w:name="_Toc87449850"/>
      <w:bookmarkStart w:id="215" w:name="_Toc1944"/>
      <w:bookmarkStart w:id="216" w:name="_Toc10175"/>
      <w:bookmarkStart w:id="217" w:name="_Toc85122592"/>
      <w:bookmarkStart w:id="218" w:name="_Toc24192_WPSOffice_Level2"/>
      <w:bookmarkStart w:id="219" w:name="_Toc27262"/>
      <w:r>
        <w:rPr>
          <w:rFonts w:hint="eastAsia" w:ascii="宋体" w:hAnsi="宋体" w:eastAsia="宋体" w:cs="宋体"/>
          <w:sz w:val="24"/>
          <w:szCs w:val="24"/>
        </w:rPr>
        <w:t>文山市</w:t>
      </w:r>
      <w:r>
        <w:rPr>
          <w:rFonts w:hint="eastAsia" w:ascii="宋体" w:hAnsi="宋体" w:eastAsia="宋体" w:cs="宋体"/>
          <w:sz w:val="24"/>
          <w:szCs w:val="24"/>
          <w:lang w:val="en-US" w:eastAsia="zh-CN"/>
        </w:rPr>
        <w:t>开化街道办事处沙坝社区卫生服务中心办公设备采购项目</w:t>
      </w:r>
    </w:p>
    <w:p w14:paraId="540B6365">
      <w:pPr>
        <w:pStyle w:val="6"/>
        <w:pageBreakBefore w:val="0"/>
        <w:widowControl w:val="0"/>
        <w:kinsoku/>
        <w:wordWrap/>
        <w:overflowPunct/>
        <w:topLinePunct w:val="0"/>
        <w:autoSpaceDE/>
        <w:autoSpaceDN/>
        <w:bidi w:val="0"/>
        <w:adjustRightInd/>
        <w:snapToGrid/>
        <w:spacing w:before="0" w:after="0" w:line="560" w:lineRule="exact"/>
        <w:ind w:left="0" w:leftChars="0" w:right="0" w:rightChars="0" w:firstLine="0" w:firstLineChars="0"/>
        <w:textAlignment w:val="auto"/>
        <w:rPr>
          <w:rFonts w:hint="eastAsia"/>
        </w:rPr>
      </w:pPr>
      <w:r>
        <w:rPr>
          <w:rFonts w:hint="eastAsia"/>
          <w:sz w:val="28"/>
          <w:szCs w:val="28"/>
          <w:lang w:val="en-US" w:eastAsia="zh-CN"/>
        </w:rPr>
        <w:t>二、</w:t>
      </w:r>
      <w:r>
        <w:rPr>
          <w:rFonts w:hint="eastAsia"/>
          <w:sz w:val="28"/>
          <w:szCs w:val="28"/>
        </w:rPr>
        <w:t>采购内容</w:t>
      </w:r>
      <w:bookmarkEnd w:id="213"/>
      <w:bookmarkEnd w:id="214"/>
      <w:bookmarkEnd w:id="215"/>
      <w:bookmarkEnd w:id="216"/>
      <w:bookmarkEnd w:id="217"/>
      <w:bookmarkEnd w:id="218"/>
      <w:bookmarkEnd w:id="219"/>
    </w:p>
    <w:tbl>
      <w:tblPr>
        <w:tblStyle w:val="32"/>
        <w:tblW w:w="8998" w:type="dxa"/>
        <w:tblInd w:w="40" w:type="dxa"/>
        <w:tblLayout w:type="fixed"/>
        <w:tblCellMar>
          <w:top w:w="0" w:type="dxa"/>
          <w:left w:w="108" w:type="dxa"/>
          <w:bottom w:w="0" w:type="dxa"/>
          <w:right w:w="108" w:type="dxa"/>
        </w:tblCellMar>
      </w:tblPr>
      <w:tblGrid>
        <w:gridCol w:w="1139"/>
        <w:gridCol w:w="2561"/>
        <w:gridCol w:w="1490"/>
        <w:gridCol w:w="2192"/>
        <w:gridCol w:w="1616"/>
      </w:tblGrid>
      <w:tr w14:paraId="615BBC40">
        <w:tblPrEx>
          <w:tblCellMar>
            <w:top w:w="0" w:type="dxa"/>
            <w:left w:w="108" w:type="dxa"/>
            <w:bottom w:w="0" w:type="dxa"/>
            <w:right w:w="108" w:type="dxa"/>
          </w:tblCellMar>
        </w:tblPrEx>
        <w:trPr>
          <w:trHeight w:val="412" w:hRule="atLeast"/>
        </w:trPr>
        <w:tc>
          <w:tcPr>
            <w:tcW w:w="1139" w:type="dxa"/>
            <w:tcBorders>
              <w:top w:val="single" w:color="000000" w:sz="4" w:space="0"/>
              <w:left w:val="single" w:color="000000" w:sz="4" w:space="0"/>
              <w:bottom w:val="single" w:color="auto" w:sz="4" w:space="0"/>
              <w:right w:val="single" w:color="000000" w:sz="4" w:space="0"/>
            </w:tcBorders>
            <w:noWrap w:val="0"/>
            <w:vAlign w:val="center"/>
          </w:tcPr>
          <w:p w14:paraId="75BA27D4">
            <w:pPr>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sz w:val="24"/>
                <w:szCs w:val="24"/>
              </w:rPr>
            </w:pPr>
            <w:bookmarkStart w:id="220" w:name="_Toc87449851"/>
            <w:bookmarkStart w:id="221" w:name="_Toc85122593"/>
            <w:r>
              <w:rPr>
                <w:rFonts w:hint="eastAsia" w:ascii="宋体" w:hAnsi="宋体" w:eastAsia="宋体" w:cs="宋体"/>
                <w:sz w:val="24"/>
                <w:szCs w:val="24"/>
              </w:rPr>
              <w:t>序号</w:t>
            </w:r>
          </w:p>
        </w:tc>
        <w:tc>
          <w:tcPr>
            <w:tcW w:w="2561" w:type="dxa"/>
            <w:tcBorders>
              <w:top w:val="single" w:color="000000" w:sz="4" w:space="0"/>
              <w:left w:val="single" w:color="000000" w:sz="4" w:space="0"/>
              <w:bottom w:val="single" w:color="auto" w:sz="4" w:space="0"/>
              <w:right w:val="single" w:color="000000" w:sz="4" w:space="0"/>
            </w:tcBorders>
            <w:noWrap w:val="0"/>
            <w:vAlign w:val="center"/>
          </w:tcPr>
          <w:p w14:paraId="74E6E2BC">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货物</w:t>
            </w:r>
            <w:r>
              <w:rPr>
                <w:rFonts w:hint="eastAsia" w:ascii="宋体" w:hAnsi="宋体" w:eastAsia="宋体" w:cs="宋体"/>
                <w:sz w:val="24"/>
                <w:szCs w:val="24"/>
              </w:rPr>
              <w:t>名称</w:t>
            </w:r>
          </w:p>
        </w:tc>
        <w:tc>
          <w:tcPr>
            <w:tcW w:w="1490" w:type="dxa"/>
            <w:tcBorders>
              <w:top w:val="single" w:color="000000" w:sz="4" w:space="0"/>
              <w:left w:val="nil"/>
              <w:bottom w:val="single" w:color="auto" w:sz="4" w:space="0"/>
              <w:right w:val="single" w:color="000000" w:sz="4" w:space="0"/>
            </w:tcBorders>
            <w:noWrap w:val="0"/>
            <w:vAlign w:val="center"/>
          </w:tcPr>
          <w:p w14:paraId="2F04DDA5">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数量</w:t>
            </w:r>
          </w:p>
        </w:tc>
        <w:tc>
          <w:tcPr>
            <w:tcW w:w="2192" w:type="dxa"/>
            <w:tcBorders>
              <w:top w:val="single" w:color="000000" w:sz="4" w:space="0"/>
              <w:left w:val="nil"/>
              <w:bottom w:val="single" w:color="auto" w:sz="4" w:space="0"/>
              <w:right w:val="single" w:color="000000" w:sz="4" w:space="0"/>
            </w:tcBorders>
            <w:noWrap w:val="0"/>
            <w:vAlign w:val="center"/>
          </w:tcPr>
          <w:p w14:paraId="224604E1">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单位</w:t>
            </w:r>
          </w:p>
        </w:tc>
        <w:tc>
          <w:tcPr>
            <w:tcW w:w="1616" w:type="dxa"/>
            <w:tcBorders>
              <w:top w:val="single" w:color="000000" w:sz="4" w:space="0"/>
              <w:left w:val="nil"/>
              <w:bottom w:val="single" w:color="auto" w:sz="4" w:space="0"/>
              <w:right w:val="single" w:color="000000" w:sz="4" w:space="0"/>
            </w:tcBorders>
            <w:noWrap w:val="0"/>
            <w:vAlign w:val="center"/>
          </w:tcPr>
          <w:p w14:paraId="7630737C">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备注</w:t>
            </w:r>
          </w:p>
        </w:tc>
      </w:tr>
      <w:tr w14:paraId="35B47EB4">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265731B">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sz w:val="24"/>
                <w:szCs w:val="24"/>
              </w:rPr>
            </w:pPr>
            <w:bookmarkStart w:id="222" w:name="OLE_LINK3" w:colFirst="2" w:colLast="3"/>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4B646A5">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default"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台式电脑</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C98E6BD">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default"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16</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04B241C">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eastAsia="zh-CN"/>
              </w:rPr>
            </w:pPr>
            <w:r>
              <w:rPr>
                <w:rFonts w:hint="eastAsia" w:ascii="方正仿宋_GBK" w:hAnsi="方正仿宋_GBK" w:eastAsia="方正仿宋_GBK" w:cs="方正仿宋_GBK"/>
                <w:b w:val="0"/>
                <w:bCs w:val="0"/>
                <w:szCs w:val="21"/>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206584C">
            <w:pPr>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b/>
                <w:bCs/>
                <w:color w:val="C00000"/>
                <w:sz w:val="21"/>
                <w:szCs w:val="21"/>
                <w:u w:val="none"/>
                <w:lang w:val="en-US" w:eastAsia="zh-CN"/>
              </w:rPr>
              <w:t>强制采购产品</w:t>
            </w:r>
          </w:p>
        </w:tc>
      </w:tr>
      <w:tr w14:paraId="00C3064B">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D2B90A7">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eastAsia="宋体" w:cs="宋体"/>
                <w:sz w:val="24"/>
                <w:szCs w:val="24"/>
                <w:lang w:val="en-US"/>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08DB866">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黑白/激光多功能一体机</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794FCD4">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2</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E0AB033">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default"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AD3A8FE">
            <w:pPr>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b/>
                <w:bCs/>
                <w:color w:val="C00000"/>
                <w:sz w:val="21"/>
                <w:szCs w:val="21"/>
                <w:u w:val="none"/>
                <w:lang w:val="en-US" w:eastAsia="zh-CN"/>
              </w:rPr>
              <w:t>强制采购产品</w:t>
            </w:r>
          </w:p>
        </w:tc>
      </w:tr>
      <w:tr w14:paraId="782BD1B8">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C9C1F29">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eastAsia="宋体" w:cs="宋体"/>
                <w:sz w:val="24"/>
                <w:szCs w:val="24"/>
                <w:lang w:val="en-US"/>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963B238">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彩色一体机</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84CE08F">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3</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90A6273">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default"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8ECF8C0">
            <w:pPr>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sz w:val="24"/>
                <w:szCs w:val="24"/>
              </w:rPr>
            </w:pPr>
          </w:p>
        </w:tc>
      </w:tr>
      <w:tr w14:paraId="7333742F">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07BBC71">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eastAsia="宋体" w:cs="宋体"/>
                <w:sz w:val="24"/>
                <w:szCs w:val="24"/>
                <w:lang w:val="en-US"/>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A9EF0D1">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条码打印机</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1B8C10">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1</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2C23BD8">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9ED24F1">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76D3F7EC">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13AC3B4">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eastAsia="宋体" w:cs="宋体"/>
                <w:sz w:val="24"/>
                <w:szCs w:val="24"/>
                <w:lang w:val="en-US"/>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A0FA91F">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激光打印机</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940FA3F">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6</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B0D883E">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76F972F">
            <w:pPr>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b/>
                <w:bCs/>
                <w:color w:val="C00000"/>
                <w:sz w:val="21"/>
                <w:szCs w:val="21"/>
                <w:u w:val="none"/>
                <w:lang w:val="en-US" w:eastAsia="zh-CN"/>
              </w:rPr>
              <w:t>强制采购产品</w:t>
            </w:r>
          </w:p>
        </w:tc>
      </w:tr>
      <w:tr w14:paraId="11093C93">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1768AEB">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eastAsia="宋体" w:cs="宋体"/>
                <w:sz w:val="24"/>
                <w:szCs w:val="24"/>
                <w:lang w:val="en-US"/>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776256C">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针式打印机</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C99F263">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1</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A6726FD">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default"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AA33DD1">
            <w:pPr>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b/>
                <w:bCs/>
                <w:color w:val="C00000"/>
                <w:sz w:val="21"/>
                <w:szCs w:val="21"/>
                <w:u w:val="none"/>
                <w:lang w:val="en-US" w:eastAsia="zh-CN"/>
              </w:rPr>
              <w:t>强制采购产品</w:t>
            </w:r>
          </w:p>
        </w:tc>
      </w:tr>
      <w:tr w14:paraId="69671FB8">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C523402">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eastAsia="宋体" w:cs="宋体"/>
                <w:sz w:val="24"/>
                <w:szCs w:val="24"/>
                <w:lang w:val="en-US"/>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60C4B4C">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不间断电源</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BA90F24">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default"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3</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63C93B8">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EDCC4DE">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72EE7963">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0D79399">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sz w:val="24"/>
                <w:szCs w:val="24"/>
                <w:lang w:val="en-US" w:eastAsia="zh-CN"/>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C12138A">
            <w:pPr>
              <w:pageBreakBefore w:val="0"/>
              <w:widowControl w:val="0"/>
              <w:kinsoku/>
              <w:wordWrap/>
              <w:overflowPunct/>
              <w:topLinePunct w:val="0"/>
              <w:autoSpaceDE/>
              <w:autoSpaceDN/>
              <w:bidi w:val="0"/>
              <w:spacing w:line="560" w:lineRule="exact"/>
              <w:ind w:right="0" w:rightChars="0" w:firstLine="420" w:firstLineChars="200"/>
              <w:jc w:val="both"/>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热敏票据打印机</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4C3DDC5">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default" w:ascii="宋体" w:hAnsi="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4</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709E37D">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default" w:ascii="宋体" w:hAnsi="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E94E51A">
            <w:pPr>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sz w:val="24"/>
                <w:szCs w:val="24"/>
                <w:lang w:eastAsia="zh-CN"/>
              </w:rPr>
            </w:pPr>
          </w:p>
        </w:tc>
      </w:tr>
      <w:tr w14:paraId="47E1F25C">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3F4BE4A">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sz w:val="24"/>
                <w:szCs w:val="24"/>
                <w:lang w:val="en-US" w:eastAsia="zh-CN"/>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A17337D">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监控摄像头</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D49AB7C">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default" w:ascii="宋体" w:hAnsi="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1</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FD31072">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default" w:ascii="宋体" w:hAnsi="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6CD412E">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3413F744">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8D29B28">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eastAsia="宋体" w:cs="宋体"/>
                <w:color w:val="auto"/>
                <w:sz w:val="24"/>
                <w:szCs w:val="24"/>
                <w:lang w:val="en-US" w:eastAsia="zh-CN"/>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B9ABDFB">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color w:val="auto"/>
                <w:sz w:val="24"/>
                <w:szCs w:val="24"/>
                <w:lang w:val="en-US" w:eastAsia="zh-CN"/>
              </w:rPr>
            </w:pPr>
            <w:r>
              <w:rPr>
                <w:rFonts w:hint="eastAsia" w:ascii="方正仿宋_GBK" w:hAnsi="方正仿宋_GBK" w:eastAsia="方正仿宋_GBK" w:cs="方正仿宋_GBK"/>
                <w:b w:val="0"/>
                <w:bCs w:val="0"/>
                <w:szCs w:val="21"/>
                <w:highlight w:val="none"/>
                <w:lang w:val="en-US" w:eastAsia="zh-CN"/>
              </w:rPr>
              <w:t>点钞机</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EB0BA63">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default" w:ascii="宋体" w:hAnsi="宋体" w:cs="宋体"/>
                <w:color w:val="auto"/>
                <w:sz w:val="24"/>
                <w:szCs w:val="24"/>
                <w:lang w:val="en-US" w:eastAsia="zh-CN"/>
              </w:rPr>
            </w:pPr>
            <w:r>
              <w:rPr>
                <w:rFonts w:hint="eastAsia" w:ascii="方正仿宋_GBK" w:hAnsi="方正仿宋_GBK" w:eastAsia="方正仿宋_GBK" w:cs="方正仿宋_GBK"/>
                <w:b w:val="0"/>
                <w:bCs w:val="0"/>
                <w:szCs w:val="21"/>
                <w:highlight w:val="none"/>
                <w:lang w:val="en-US" w:eastAsia="zh-CN"/>
              </w:rPr>
              <w:t>1</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F900BEA">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cs="宋体"/>
                <w:color w:val="auto"/>
                <w:sz w:val="24"/>
                <w:szCs w:val="24"/>
                <w:lang w:val="en-US" w:eastAsia="zh-CN"/>
              </w:rPr>
            </w:pPr>
            <w:r>
              <w:rPr>
                <w:rFonts w:hint="eastAsia" w:ascii="方正仿宋_GBK" w:hAnsi="方正仿宋_GBK" w:eastAsia="方正仿宋_GBK" w:cs="方正仿宋_GBK"/>
                <w:b w:val="0"/>
                <w:bCs w:val="0"/>
                <w:szCs w:val="21"/>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9949958">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color w:val="FF0000"/>
                <w:sz w:val="24"/>
                <w:szCs w:val="24"/>
              </w:rPr>
            </w:pPr>
          </w:p>
        </w:tc>
      </w:tr>
      <w:tr w14:paraId="0E9E0924">
        <w:tblPrEx>
          <w:tblCellMar>
            <w:top w:w="0" w:type="dxa"/>
            <w:left w:w="108" w:type="dxa"/>
            <w:bottom w:w="0" w:type="dxa"/>
            <w:right w:w="108" w:type="dxa"/>
          </w:tblCellMar>
        </w:tblPrEx>
        <w:trPr>
          <w:trHeight w:val="62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56E4E4B">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eastAsia="宋体" w:cs="宋体"/>
                <w:sz w:val="24"/>
                <w:szCs w:val="24"/>
                <w:lang w:val="en-US" w:eastAsia="zh-CN"/>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93882BA">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空调机</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A2B52BA">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4</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CEF604">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2C5D432">
            <w:pPr>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b/>
                <w:bCs/>
                <w:color w:val="C00000"/>
                <w:sz w:val="21"/>
                <w:szCs w:val="21"/>
                <w:u w:val="none"/>
                <w:lang w:val="en-US" w:eastAsia="zh-CN"/>
              </w:rPr>
              <w:t>强制采购产品</w:t>
            </w:r>
          </w:p>
        </w:tc>
      </w:tr>
      <w:tr w14:paraId="7C1CDA99">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34659BC">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cs="宋体"/>
                <w:sz w:val="24"/>
                <w:szCs w:val="24"/>
                <w:lang w:val="en-US" w:eastAsia="zh-CN"/>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DF9D827">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电视机</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3D5C84D">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color w:val="auto"/>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1</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AA6DC59">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color w:val="auto"/>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F5BB9F9">
            <w:pPr>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b/>
                <w:bCs/>
                <w:color w:val="C00000"/>
                <w:sz w:val="21"/>
                <w:szCs w:val="21"/>
                <w:u w:val="none"/>
                <w:lang w:val="en-US" w:eastAsia="zh-CN"/>
              </w:rPr>
              <w:t>强制采购产品</w:t>
            </w:r>
          </w:p>
        </w:tc>
      </w:tr>
      <w:tr w14:paraId="6F0B651D">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D5AB003">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cs="宋体"/>
                <w:sz w:val="24"/>
                <w:szCs w:val="24"/>
                <w:lang w:val="en-US" w:eastAsia="zh-CN"/>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2E0FBB">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风扇</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75E1E7A">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2</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701FFB4">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33A478F">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106A34DB">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A8D0183">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cs="宋体"/>
                <w:sz w:val="24"/>
                <w:szCs w:val="24"/>
                <w:lang w:val="en-US" w:eastAsia="zh-CN"/>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09673FE">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微波炉</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45ABA2D">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2</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66EEEAA">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BFD2C7F">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0629A957">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38F7488">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cs="宋体"/>
                <w:sz w:val="24"/>
                <w:szCs w:val="24"/>
                <w:lang w:val="en-US" w:eastAsia="zh-CN"/>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FA179C3">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温湿度表</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B855245">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6</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D28A03B">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台</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5FA5376">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4472E435">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E985B69">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cs="宋体"/>
                <w:sz w:val="24"/>
                <w:szCs w:val="24"/>
                <w:lang w:val="en-US" w:eastAsia="zh-CN"/>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B639F08">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定时器</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799A631">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4</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154BB8F">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个</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7A74CBC">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54CBB575">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FFA7CD9">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cs="宋体"/>
                <w:sz w:val="24"/>
                <w:szCs w:val="24"/>
                <w:lang w:val="en-US" w:eastAsia="zh-CN"/>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744E595">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办公桌</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9673780">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10</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A6F4241">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张</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EED559A">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5C357C96">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B0BDE65">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cs="宋体"/>
                <w:sz w:val="24"/>
                <w:szCs w:val="24"/>
                <w:lang w:val="en-US" w:eastAsia="zh-CN"/>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E381F0D">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办公椅</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CF115B6">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10</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F15CA80">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张</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21D6A19">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3BCCAD66">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C54690A">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cs="宋体"/>
                <w:sz w:val="24"/>
                <w:szCs w:val="24"/>
                <w:lang w:val="en-US" w:eastAsia="zh-CN"/>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6BC6AF">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文件柜</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FDAB141">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12</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A4B622">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个</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AFDBB14">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307C8AE1">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E425AD3">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cs="宋体"/>
                <w:sz w:val="24"/>
                <w:szCs w:val="24"/>
                <w:lang w:val="en-US" w:eastAsia="zh-CN"/>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64728A0">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床头柜</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EB16264">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20</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6FD764D">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个</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37514C3">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4D66ADF8">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621F0E1">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cs="宋体"/>
                <w:sz w:val="24"/>
                <w:szCs w:val="24"/>
                <w:lang w:val="en-US" w:eastAsia="zh-CN"/>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EA7F1B7">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color w:val="auto"/>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吧椅</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CE9195C">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color w:val="auto"/>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5</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C0796EE">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color w:val="auto"/>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张</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FB6C8AB">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6E2AAE9F">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56C544B">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cs="宋体"/>
                <w:sz w:val="24"/>
                <w:szCs w:val="24"/>
                <w:lang w:val="en-US" w:eastAsia="zh-CN"/>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1779914">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高低床</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92B89FC">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2</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3618FB5">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张</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D80F2F">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7A397E1A">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D16203F">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cs="宋体"/>
                <w:sz w:val="24"/>
                <w:szCs w:val="24"/>
                <w:lang w:val="en-US" w:eastAsia="zh-CN"/>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7E58A2D">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中药柜</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8C05489">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2</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7B9D988">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套</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5CD7FD3">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2F526773">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0099B9B">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cs="宋体"/>
                <w:sz w:val="24"/>
                <w:szCs w:val="24"/>
                <w:lang w:val="en-US" w:eastAsia="zh-CN"/>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FE1F4C4">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保险柜</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21A4132">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2</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9B54193">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个</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C5C664E">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tr w14:paraId="61BC9880">
        <w:tblPrEx>
          <w:tblCellMar>
            <w:top w:w="0" w:type="dxa"/>
            <w:left w:w="108" w:type="dxa"/>
            <w:bottom w:w="0" w:type="dxa"/>
            <w:right w:w="108" w:type="dxa"/>
          </w:tblCellMar>
        </w:tblPrEx>
        <w:trPr>
          <w:trHeight w:val="581" w:hRule="atLeast"/>
        </w:trPr>
        <w:tc>
          <w:tcPr>
            <w:tcW w:w="11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0BA6966">
            <w:pPr>
              <w:pageBreakBefore w:val="0"/>
              <w:widowControl w:val="0"/>
              <w:numPr>
                <w:ilvl w:val="0"/>
                <w:numId w:val="6"/>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cs="宋体"/>
                <w:sz w:val="24"/>
                <w:szCs w:val="24"/>
                <w:lang w:val="en-US" w:eastAsia="zh-CN"/>
              </w:rPr>
            </w:pPr>
          </w:p>
        </w:tc>
        <w:tc>
          <w:tcPr>
            <w:tcW w:w="256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295F9AF">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更衣柜</w:t>
            </w:r>
          </w:p>
        </w:tc>
        <w:tc>
          <w:tcPr>
            <w:tcW w:w="14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06AA44C">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szCs w:val="21"/>
                <w:highlight w:val="none"/>
                <w:lang w:val="en-US" w:eastAsia="zh-CN"/>
              </w:rPr>
              <w:t>5</w:t>
            </w:r>
          </w:p>
        </w:tc>
        <w:tc>
          <w:tcPr>
            <w:tcW w:w="219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3EDC980">
            <w:pPr>
              <w:pageBreakBefore w:val="0"/>
              <w:widowControl w:val="0"/>
              <w:kinsoku/>
              <w:wordWrap/>
              <w:overflowPunct/>
              <w:topLinePunct w:val="0"/>
              <w:autoSpaceDE/>
              <w:autoSpaceDN/>
              <w:bidi w:val="0"/>
              <w:spacing w:line="560" w:lineRule="exact"/>
              <w:ind w:left="0" w:leftChars="0" w:right="0" w:rightChars="0" w:firstLine="420" w:firstLineChars="200"/>
              <w:jc w:val="center"/>
              <w:textAlignment w:val="auto"/>
              <w:rPr>
                <w:rFonts w:hint="eastAsia" w:ascii="宋体" w:hAnsi="宋体" w:eastAsia="宋体" w:cs="宋体"/>
                <w:sz w:val="24"/>
                <w:szCs w:val="24"/>
                <w:lang w:val="en-US" w:eastAsia="zh-CN"/>
              </w:rPr>
            </w:pPr>
            <w:r>
              <w:rPr>
                <w:rFonts w:hint="eastAsia" w:ascii="方正仿宋_GBK" w:hAnsi="方正仿宋_GBK" w:eastAsia="方正仿宋_GBK" w:cs="方正仿宋_GBK"/>
                <w:b w:val="0"/>
                <w:bCs w:val="0"/>
                <w:color w:val="auto"/>
                <w:szCs w:val="21"/>
                <w:highlight w:val="none"/>
                <w:lang w:val="en-US" w:eastAsia="zh-CN"/>
              </w:rPr>
              <w:t>个</w:t>
            </w:r>
          </w:p>
        </w:tc>
        <w:tc>
          <w:tcPr>
            <w:tcW w:w="161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3EC8498">
            <w:pPr>
              <w:pageBreakBefore w:val="0"/>
              <w:widowControl w:val="0"/>
              <w:kinsoku/>
              <w:wordWrap/>
              <w:overflowPunct/>
              <w:topLinePunct w:val="0"/>
              <w:autoSpaceDE/>
              <w:autoSpaceDN/>
              <w:bidi w:val="0"/>
              <w:spacing w:line="560" w:lineRule="exact"/>
              <w:ind w:left="0" w:leftChars="0" w:right="0" w:rightChars="0" w:firstLine="480" w:firstLineChars="200"/>
              <w:jc w:val="both"/>
              <w:textAlignment w:val="auto"/>
              <w:rPr>
                <w:rFonts w:hint="eastAsia" w:ascii="宋体" w:hAnsi="宋体" w:eastAsia="宋体" w:cs="宋体"/>
                <w:sz w:val="24"/>
                <w:szCs w:val="24"/>
              </w:rPr>
            </w:pPr>
          </w:p>
        </w:tc>
      </w:tr>
      <w:bookmarkEnd w:id="222"/>
    </w:tbl>
    <w:p w14:paraId="7D584F8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注：第</w:t>
      </w:r>
      <w:r>
        <w:rPr>
          <w:rFonts w:hint="eastAsia" w:ascii="宋体" w:hAnsi="宋体" w:eastAsia="宋体" w:cs="宋体"/>
          <w:b/>
          <w:bCs/>
          <w:sz w:val="24"/>
          <w:szCs w:val="24"/>
          <w:highlight w:val="none"/>
          <w:lang w:val="en-US" w:eastAsia="zh-CN"/>
        </w:rPr>
        <w:t>1、</w:t>
      </w:r>
      <w:r>
        <w:rPr>
          <w:rFonts w:hint="eastAsia" w:ascii="宋体" w:hAnsi="宋体" w:cs="宋体"/>
          <w:b/>
          <w:bCs/>
          <w:sz w:val="24"/>
          <w:szCs w:val="24"/>
          <w:highlight w:val="none"/>
          <w:lang w:val="en-US" w:eastAsia="zh-CN"/>
        </w:rPr>
        <w:t>2、5、6、11、12</w:t>
      </w:r>
      <w:r>
        <w:rPr>
          <w:rFonts w:hint="eastAsia" w:ascii="宋体" w:hAnsi="宋体" w:eastAsia="宋体" w:cs="宋体"/>
          <w:sz w:val="24"/>
          <w:szCs w:val="24"/>
          <w:highlight w:val="none"/>
          <w:lang w:val="en-US" w:eastAsia="zh-CN"/>
        </w:rPr>
        <w:t>项为政府强制采购的产品。投标人所投产品必须提供经市场监管总局公布的认证机构出具的有效期内的节能产品认证证书原件的电子文档。</w:t>
      </w:r>
    </w:p>
    <w:p w14:paraId="3340597A">
      <w:pPr>
        <w:pStyle w:val="2"/>
        <w:ind w:left="0" w:leftChars="0" w:firstLine="480" w:firstLineChars="200"/>
        <w:rPr>
          <w:rFonts w:hint="eastAsia" w:ascii="宋体" w:hAnsi="宋体" w:eastAsia="宋体" w:cs="宋体"/>
          <w:b/>
          <w:bCs/>
          <w:sz w:val="24"/>
          <w:szCs w:val="24"/>
          <w:highlight w:val="none"/>
          <w:u w:val="single"/>
          <w:lang w:val="en-US" w:eastAsia="zh-CN"/>
        </w:rPr>
      </w:pPr>
      <w:r>
        <w:rPr>
          <w:rFonts w:hint="eastAsia" w:ascii="宋体" w:hAnsi="宋体" w:eastAsia="宋体" w:cs="宋体"/>
          <w:sz w:val="24"/>
          <w:szCs w:val="24"/>
          <w:highlight w:val="none"/>
          <w:lang w:val="en-US" w:eastAsia="zh-CN"/>
        </w:rPr>
        <w:t>根据中小企业划型标准规定（工信部联企业〔2011〕300号）该项目主要标的物属于</w:t>
      </w:r>
      <w:r>
        <w:rPr>
          <w:rFonts w:hint="eastAsia" w:ascii="宋体" w:hAnsi="宋体" w:eastAsia="宋体" w:cs="宋体"/>
          <w:b/>
          <w:bCs/>
          <w:sz w:val="24"/>
          <w:szCs w:val="24"/>
          <w:highlight w:val="none"/>
          <w:u w:val="single"/>
          <w:lang w:val="en-US" w:eastAsia="zh-CN"/>
        </w:rPr>
        <w:t>工业</w:t>
      </w:r>
    </w:p>
    <w:p w14:paraId="45920C31">
      <w:pPr>
        <w:pStyle w:val="2"/>
        <w:ind w:left="0" w:leftChars="0" w:firstLine="480" w:firstLineChars="200"/>
        <w:rPr>
          <w:rFonts w:hint="eastAsia" w:eastAsia="宋体"/>
          <w:lang w:val="en-US" w:eastAsia="zh-CN"/>
        </w:rPr>
      </w:pPr>
      <w:r>
        <w:rPr>
          <w:rFonts w:hint="eastAsia" w:ascii="宋体" w:hAnsi="宋体" w:eastAsia="宋体" w:cs="宋体"/>
          <w:sz w:val="24"/>
          <w:szCs w:val="24"/>
          <w:highlight w:val="none"/>
          <w:lang w:val="en-US" w:eastAsia="zh-CN"/>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D21C512">
      <w:pPr>
        <w:pStyle w:val="6"/>
        <w:pageBreakBefore w:val="0"/>
        <w:widowControl w:val="0"/>
        <w:numPr>
          <w:ilvl w:val="0"/>
          <w:numId w:val="5"/>
        </w:numPr>
        <w:kinsoku/>
        <w:wordWrap/>
        <w:overflowPunct/>
        <w:topLinePunct w:val="0"/>
        <w:autoSpaceDE/>
        <w:autoSpaceDN/>
        <w:bidi w:val="0"/>
        <w:adjustRightInd/>
        <w:snapToGrid/>
        <w:spacing w:before="0" w:after="0" w:line="560" w:lineRule="exact"/>
        <w:ind w:left="0" w:leftChars="0" w:right="0" w:rightChars="0" w:firstLine="0" w:firstLineChars="0"/>
        <w:textAlignment w:val="auto"/>
        <w:rPr>
          <w:rFonts w:hint="eastAsia"/>
          <w:sz w:val="28"/>
          <w:szCs w:val="28"/>
          <w:lang w:val="en-US" w:eastAsia="zh-CN"/>
        </w:rPr>
      </w:pPr>
      <w:bookmarkStart w:id="223" w:name="_Toc23573"/>
      <w:bookmarkStart w:id="224" w:name="_Toc8231_WPSOffice_Level2"/>
      <w:bookmarkStart w:id="225" w:name="_Toc14458"/>
      <w:bookmarkStart w:id="226" w:name="_Toc5167"/>
      <w:bookmarkStart w:id="227" w:name="_Toc22855"/>
      <w:r>
        <w:rPr>
          <w:rFonts w:hint="eastAsia"/>
          <w:sz w:val="28"/>
          <w:szCs w:val="28"/>
          <w:lang w:val="en-US" w:eastAsia="zh-CN"/>
        </w:rPr>
        <w:t>技术参数及要求</w:t>
      </w:r>
      <w:bookmarkEnd w:id="220"/>
      <w:bookmarkEnd w:id="221"/>
      <w:bookmarkEnd w:id="223"/>
      <w:bookmarkEnd w:id="224"/>
      <w:bookmarkEnd w:id="225"/>
      <w:bookmarkEnd w:id="226"/>
      <w:bookmarkEnd w:id="227"/>
    </w:p>
    <w:tbl>
      <w:tblPr>
        <w:tblStyle w:val="33"/>
        <w:tblW w:w="107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1900"/>
        <w:gridCol w:w="5223"/>
        <w:gridCol w:w="1000"/>
        <w:gridCol w:w="937"/>
        <w:gridCol w:w="905"/>
      </w:tblGrid>
      <w:tr w14:paraId="371C3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96" w:type="dxa"/>
            <w:noWrap w:val="0"/>
            <w:vAlign w:val="top"/>
          </w:tcPr>
          <w:p w14:paraId="034D76CC">
            <w:pPr>
              <w:pStyle w:val="2"/>
              <w:keepNext w:val="0"/>
              <w:keepLines w:val="0"/>
              <w:pageBreakBefore w:val="0"/>
              <w:widowControl w:val="0"/>
              <w:kinsoku/>
              <w:wordWrap/>
              <w:overflowPunct/>
              <w:topLinePunct w:val="0"/>
              <w:autoSpaceDE/>
              <w:autoSpaceDN/>
              <w:bidi w:val="0"/>
              <w:adjustRightInd/>
              <w:snapToGrid/>
              <w:spacing w:beforeAutospacing="0" w:line="560" w:lineRule="exact"/>
              <w:ind w:left="0" w:leftChars="0" w:firstLine="0" w:firstLineChars="0"/>
              <w:jc w:val="center"/>
              <w:textAlignment w:val="auto"/>
              <w:outlineLvl w:val="9"/>
              <w:rPr>
                <w:rFonts w:hint="default" w:ascii="宋体" w:hAnsi="宋体" w:eastAsia="宋体" w:cs="宋体"/>
                <w:b w:val="0"/>
                <w:bCs w:val="0"/>
                <w:sz w:val="28"/>
                <w:szCs w:val="28"/>
                <w:highlight w:val="none"/>
                <w:vertAlign w:val="baseline"/>
                <w:lang w:val="en-US" w:eastAsia="zh-CN"/>
              </w:rPr>
            </w:pPr>
            <w:r>
              <w:rPr>
                <w:rFonts w:hint="eastAsia" w:ascii="宋体" w:hAnsi="宋体" w:eastAsia="宋体" w:cs="宋体"/>
                <w:b/>
                <w:bCs/>
                <w:color w:val="auto"/>
                <w:sz w:val="24"/>
                <w:szCs w:val="24"/>
                <w:highlight w:val="none"/>
                <w:lang w:val="en-US" w:eastAsia="zh-CN"/>
              </w:rPr>
              <w:t>序号</w:t>
            </w:r>
          </w:p>
        </w:tc>
        <w:tc>
          <w:tcPr>
            <w:tcW w:w="1900" w:type="dxa"/>
            <w:noWrap w:val="0"/>
            <w:vAlign w:val="top"/>
          </w:tcPr>
          <w:p w14:paraId="0CD0A47D">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outlineLvl w:val="9"/>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bCs/>
                <w:color w:val="auto"/>
                <w:sz w:val="24"/>
                <w:szCs w:val="24"/>
                <w:highlight w:val="none"/>
                <w:lang w:val="en-US" w:eastAsia="zh-CN"/>
              </w:rPr>
              <w:t>货物名称</w:t>
            </w:r>
          </w:p>
        </w:tc>
        <w:tc>
          <w:tcPr>
            <w:tcW w:w="5223" w:type="dxa"/>
            <w:noWrap w:val="0"/>
            <w:vAlign w:val="top"/>
          </w:tcPr>
          <w:p w14:paraId="24932843">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outlineLvl w:val="9"/>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bCs/>
                <w:color w:val="auto"/>
                <w:sz w:val="24"/>
                <w:szCs w:val="24"/>
                <w:highlight w:val="none"/>
                <w:lang w:val="en-US" w:eastAsia="zh-CN"/>
              </w:rPr>
              <w:t>一般项目：规格、技术参数、性能要求</w:t>
            </w:r>
          </w:p>
        </w:tc>
        <w:tc>
          <w:tcPr>
            <w:tcW w:w="1000" w:type="dxa"/>
            <w:noWrap w:val="0"/>
            <w:vAlign w:val="top"/>
          </w:tcPr>
          <w:p w14:paraId="2AECCE30">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outlineLvl w:val="9"/>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bCs/>
                <w:color w:val="auto"/>
                <w:sz w:val="24"/>
                <w:szCs w:val="24"/>
                <w:highlight w:val="none"/>
                <w:lang w:val="en-US" w:eastAsia="zh-CN"/>
              </w:rPr>
              <w:t>数量</w:t>
            </w:r>
          </w:p>
        </w:tc>
        <w:tc>
          <w:tcPr>
            <w:tcW w:w="937" w:type="dxa"/>
            <w:noWrap w:val="0"/>
            <w:vAlign w:val="top"/>
          </w:tcPr>
          <w:p w14:paraId="44FF163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bCs/>
                <w:color w:val="auto"/>
                <w:sz w:val="24"/>
                <w:szCs w:val="24"/>
                <w:highlight w:val="none"/>
                <w:lang w:val="en-US" w:eastAsia="zh-CN"/>
              </w:rPr>
              <w:t>计量单位</w:t>
            </w:r>
          </w:p>
        </w:tc>
        <w:tc>
          <w:tcPr>
            <w:tcW w:w="905" w:type="dxa"/>
            <w:noWrap w:val="0"/>
            <w:vAlign w:val="top"/>
          </w:tcPr>
          <w:p w14:paraId="6AE65952">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outlineLvl w:val="9"/>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bCs/>
                <w:color w:val="auto"/>
                <w:sz w:val="24"/>
                <w:szCs w:val="24"/>
                <w:highlight w:val="none"/>
                <w:lang w:val="en-US" w:eastAsia="zh-CN"/>
              </w:rPr>
              <w:t>备注</w:t>
            </w:r>
          </w:p>
        </w:tc>
      </w:tr>
      <w:tr w14:paraId="729F1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796" w:type="dxa"/>
            <w:noWrap w:val="0"/>
            <w:vAlign w:val="center"/>
          </w:tcPr>
          <w:p w14:paraId="17E66904">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default" w:ascii="宋体" w:hAnsi="宋体" w:eastAsia="宋体" w:cs="宋体"/>
                <w:b w:val="0"/>
                <w:bCs w:val="0"/>
                <w:sz w:val="28"/>
                <w:szCs w:val="28"/>
                <w:highlight w:val="none"/>
                <w:vertAlign w:val="baseline"/>
                <w:lang w:val="en-US" w:eastAsia="zh-CN"/>
              </w:rPr>
            </w:pPr>
          </w:p>
        </w:tc>
        <w:tc>
          <w:tcPr>
            <w:tcW w:w="1900" w:type="dxa"/>
            <w:noWrap w:val="0"/>
            <w:vAlign w:val="center"/>
          </w:tcPr>
          <w:p w14:paraId="1E6A77D0">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台式电脑</w:t>
            </w:r>
          </w:p>
        </w:tc>
        <w:tc>
          <w:tcPr>
            <w:tcW w:w="5223" w:type="dxa"/>
            <w:noWrap w:val="0"/>
            <w:vAlign w:val="center"/>
          </w:tcPr>
          <w:p w14:paraId="32999891">
            <w:pPr>
              <w:keepNext w:val="0"/>
              <w:keepLines w:val="0"/>
              <w:pageBreakBefore w:val="0"/>
              <w:widowControl/>
              <w:numPr>
                <w:ilvl w:val="0"/>
                <w:numId w:val="0"/>
              </w:numPr>
              <w:kinsoku/>
              <w:wordWrap w:val="0"/>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1</w:t>
            </w:r>
            <w:r>
              <w:rPr>
                <w:rFonts w:hint="default" w:ascii="方正仿宋_GBK" w:hAnsi="方正仿宋_GBK" w:eastAsia="方正仿宋_GBK" w:cs="方正仿宋_GBK"/>
                <w:b w:val="0"/>
                <w:bCs w:val="0"/>
                <w:sz w:val="24"/>
                <w:szCs w:val="24"/>
                <w:highlight w:val="none"/>
                <w:lang w:val="en-US" w:eastAsia="zh-CN"/>
              </w:rPr>
              <w:t>．</w:t>
            </w:r>
            <w:r>
              <w:rPr>
                <w:rFonts w:hint="eastAsia" w:ascii="方正仿宋_GBK" w:hAnsi="方正仿宋_GBK" w:eastAsia="方正仿宋_GBK" w:cs="方正仿宋_GBK"/>
                <w:b w:val="0"/>
                <w:bCs w:val="0"/>
                <w:sz w:val="24"/>
                <w:szCs w:val="24"/>
                <w:highlight w:val="none"/>
                <w:lang w:val="en-US" w:eastAsia="zh-CN"/>
              </w:rPr>
              <w:t>★处理器：CPU应符合安全可靠测评相关标准和要求，采用复杂指令集，支持超线程及睿频技术，基础频率≥3.0GHZ，CPU物理核心数≥8，线程数≥16，末级缓存容量≥16MB;具有可通过OpenSSL、Tongsuo、Kernel Crypto API等调用CPU内置的密码能力</w:t>
            </w:r>
            <w:r>
              <w:rPr>
                <w:rFonts w:hint="default" w:ascii="方正仿宋_GBK" w:hAnsi="方正仿宋_GBK" w:eastAsia="方正仿宋_GBK" w:cs="方正仿宋_GBK"/>
                <w:b w:val="0"/>
                <w:bCs w:val="0"/>
                <w:sz w:val="24"/>
                <w:szCs w:val="24"/>
                <w:highlight w:val="none"/>
                <w:lang w:val="en-US" w:eastAsia="zh-CN"/>
              </w:rPr>
              <w:t>；</w:t>
            </w:r>
          </w:p>
          <w:p w14:paraId="28D556FB">
            <w:pPr>
              <w:keepNext w:val="0"/>
              <w:keepLines w:val="0"/>
              <w:pageBreakBefore w:val="0"/>
              <w:widowControl/>
              <w:numPr>
                <w:ilvl w:val="0"/>
                <w:numId w:val="0"/>
              </w:numPr>
              <w:kinsoku/>
              <w:wordWrap w:val="0"/>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2．</w:t>
            </w:r>
            <w:r>
              <w:rPr>
                <w:rFonts w:hint="eastAsia" w:ascii="方正仿宋_GBK" w:hAnsi="方正仿宋_GBK" w:eastAsia="方正仿宋_GBK" w:cs="方正仿宋_GBK"/>
                <w:b w:val="0"/>
                <w:bCs w:val="0"/>
                <w:sz w:val="24"/>
                <w:szCs w:val="24"/>
                <w:highlight w:val="none"/>
                <w:lang w:val="en-US" w:eastAsia="zh-CN"/>
              </w:rPr>
              <w:t>★内存配置容量：≥16GB</w:t>
            </w:r>
            <w:r>
              <w:rPr>
                <w:rFonts w:hint="default" w:ascii="方正仿宋_GBK" w:hAnsi="方正仿宋_GBK" w:eastAsia="方正仿宋_GBK" w:cs="方正仿宋_GBK"/>
                <w:b w:val="0"/>
                <w:bCs w:val="0"/>
                <w:sz w:val="24"/>
                <w:szCs w:val="24"/>
                <w:highlight w:val="none"/>
                <w:lang w:val="en-US" w:eastAsia="zh-CN"/>
              </w:rPr>
              <w:t>；</w:t>
            </w:r>
          </w:p>
          <w:p w14:paraId="5C2C0FC9">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color w:val="auto"/>
                <w:kern w:val="2"/>
                <w:sz w:val="24"/>
                <w:szCs w:val="24"/>
                <w:lang w:val="en-US" w:eastAsia="zh-CN" w:bidi="ar-SA"/>
              </w:rPr>
              <w:t>3．</w:t>
            </w:r>
            <w:r>
              <w:rPr>
                <w:rFonts w:hint="eastAsia" w:ascii="方正仿宋_GBK" w:hAnsi="方正仿宋_GBK" w:eastAsia="方正仿宋_GBK" w:cs="方正仿宋_GBK"/>
                <w:b w:val="0"/>
                <w:bCs w:val="0"/>
                <w:color w:val="auto"/>
                <w:sz w:val="24"/>
                <w:szCs w:val="24"/>
                <w:highlight w:val="none"/>
                <w:lang w:val="en-US" w:eastAsia="zh-CN"/>
              </w:rPr>
              <w:t>★内存类型：</w:t>
            </w:r>
            <w:r>
              <w:rPr>
                <w:rFonts w:hint="eastAsia" w:ascii="方正仿宋_GBK" w:hAnsi="方正仿宋_GBK" w:eastAsia="方正仿宋_GBK" w:cs="方正仿宋_GBK"/>
                <w:b w:val="0"/>
                <w:bCs w:val="0"/>
                <w:color w:val="auto"/>
                <w:sz w:val="24"/>
                <w:szCs w:val="24"/>
                <w:highlight w:val="none"/>
                <w:lang w:val="en-US" w:eastAsia="zh-CN"/>
              </w:rPr>
              <w:tab/>
            </w:r>
            <w:r>
              <w:rPr>
                <w:rFonts w:hint="eastAsia" w:ascii="方正仿宋_GBK" w:hAnsi="方正仿宋_GBK" w:eastAsia="方正仿宋_GBK" w:cs="方正仿宋_GBK"/>
                <w:b w:val="0"/>
                <w:bCs w:val="0"/>
                <w:color w:val="auto"/>
                <w:sz w:val="24"/>
                <w:szCs w:val="24"/>
                <w:highlight w:val="none"/>
                <w:lang w:val="en-US" w:eastAsia="zh-CN"/>
              </w:rPr>
              <w:t>支持DDR4/LPDDR4/L</w:t>
            </w:r>
            <w:r>
              <w:rPr>
                <w:rFonts w:hint="eastAsia" w:ascii="方正仿宋_GBK" w:hAnsi="方正仿宋_GBK" w:eastAsia="方正仿宋_GBK" w:cs="方正仿宋_GBK"/>
                <w:b w:val="0"/>
                <w:bCs w:val="0"/>
                <w:sz w:val="24"/>
                <w:szCs w:val="24"/>
                <w:highlight w:val="none"/>
                <w:lang w:val="en-US" w:eastAsia="zh-CN"/>
              </w:rPr>
              <w:t>PDDR4X及以上内存类型</w:t>
            </w:r>
            <w:r>
              <w:rPr>
                <w:rFonts w:hint="default" w:ascii="方正仿宋_GBK" w:hAnsi="方正仿宋_GBK" w:eastAsia="方正仿宋_GBK" w:cs="方正仿宋_GBK"/>
                <w:b w:val="0"/>
                <w:bCs w:val="0"/>
                <w:sz w:val="24"/>
                <w:szCs w:val="24"/>
                <w:highlight w:val="none"/>
                <w:lang w:val="en-US" w:eastAsia="zh-CN"/>
              </w:rPr>
              <w:t>；</w:t>
            </w:r>
          </w:p>
          <w:p w14:paraId="37BBFE40">
            <w:pPr>
              <w:keepNext w:val="0"/>
              <w:keepLines w:val="0"/>
              <w:pageBreakBefore w:val="0"/>
              <w:widowControl/>
              <w:numPr>
                <w:ilvl w:val="0"/>
                <w:numId w:val="0"/>
              </w:numPr>
              <w:kinsoku/>
              <w:wordWrap w:val="0"/>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kern w:val="2"/>
                <w:sz w:val="24"/>
                <w:szCs w:val="24"/>
                <w:lang w:val="en-US" w:eastAsia="zh-CN" w:bidi="ar-SA"/>
              </w:rPr>
              <w:t>4．</w:t>
            </w:r>
            <w:r>
              <w:rPr>
                <w:rFonts w:hint="eastAsia" w:ascii="方正仿宋_GBK" w:hAnsi="方正仿宋_GBK" w:eastAsia="方正仿宋_GBK" w:cs="方正仿宋_GBK"/>
                <w:b w:val="0"/>
                <w:bCs w:val="0"/>
                <w:sz w:val="24"/>
                <w:szCs w:val="24"/>
                <w:highlight w:val="none"/>
                <w:lang w:val="en-US" w:eastAsia="zh-CN"/>
              </w:rPr>
              <w:t>★内存条配置数量：（板载内存不涉及）≥1</w:t>
            </w:r>
            <w:r>
              <w:rPr>
                <w:rFonts w:hint="default" w:ascii="方正仿宋_GBK" w:hAnsi="方正仿宋_GBK" w:eastAsia="方正仿宋_GBK" w:cs="方正仿宋_GBK"/>
                <w:b w:val="0"/>
                <w:bCs w:val="0"/>
                <w:sz w:val="24"/>
                <w:szCs w:val="24"/>
                <w:highlight w:val="none"/>
                <w:lang w:val="en-US" w:eastAsia="zh-CN"/>
              </w:rPr>
              <w:t>；</w:t>
            </w:r>
          </w:p>
          <w:p w14:paraId="4F262C2E">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kern w:val="2"/>
                <w:sz w:val="24"/>
                <w:szCs w:val="24"/>
                <w:lang w:val="en-US" w:eastAsia="zh-CN" w:bidi="ar-SA"/>
              </w:rPr>
              <w:t>5．</w:t>
            </w:r>
            <w:r>
              <w:rPr>
                <w:rFonts w:hint="eastAsia" w:ascii="方正仿宋_GBK" w:hAnsi="方正仿宋_GBK" w:eastAsia="方正仿宋_GBK" w:cs="方正仿宋_GBK"/>
                <w:b w:val="0"/>
                <w:bCs w:val="0"/>
                <w:sz w:val="24"/>
                <w:szCs w:val="24"/>
                <w:highlight w:val="none"/>
                <w:lang w:val="en-US" w:eastAsia="zh-CN"/>
              </w:rPr>
              <w:t>★主板集成模块：集成资源扩展模块、计算处理模块、音频扩展模块等，主板的互联拓扑可通过处理器或交换电路实现</w:t>
            </w:r>
            <w:r>
              <w:rPr>
                <w:rFonts w:hint="default" w:ascii="方正仿宋_GBK" w:hAnsi="方正仿宋_GBK" w:eastAsia="方正仿宋_GBK" w:cs="方正仿宋_GBK"/>
                <w:b w:val="0"/>
                <w:bCs w:val="0"/>
                <w:sz w:val="24"/>
                <w:szCs w:val="24"/>
                <w:highlight w:val="none"/>
                <w:lang w:val="en-US" w:eastAsia="zh-CN"/>
              </w:rPr>
              <w:t>；</w:t>
            </w:r>
          </w:p>
          <w:p w14:paraId="184606B8">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6</w:t>
            </w:r>
            <w:r>
              <w:rPr>
                <w:rFonts w:hint="default" w:ascii="方正仿宋_GBK" w:hAnsi="方正仿宋_GBK" w:eastAsia="方正仿宋_GBK" w:cs="方正仿宋_GBK"/>
                <w:b w:val="0"/>
                <w:bCs w:val="0"/>
                <w:sz w:val="24"/>
                <w:szCs w:val="24"/>
                <w:highlight w:val="none"/>
                <w:lang w:val="en-US" w:eastAsia="zh-CN"/>
              </w:rPr>
              <w:t>．</w:t>
            </w:r>
            <w:r>
              <w:rPr>
                <w:rFonts w:hint="eastAsia" w:ascii="方正仿宋_GBK" w:hAnsi="方正仿宋_GBK" w:eastAsia="方正仿宋_GBK" w:cs="方正仿宋_GBK"/>
                <w:b w:val="0"/>
                <w:bCs w:val="0"/>
                <w:sz w:val="24"/>
                <w:szCs w:val="24"/>
                <w:highlight w:val="none"/>
                <w:lang w:val="en-US" w:eastAsia="zh-CN"/>
              </w:rPr>
              <w:t>★主板其他内置接口:</w:t>
            </w:r>
            <w:r>
              <w:rPr>
                <w:rFonts w:hint="eastAsia"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SATA接口数量≥2个、M.2≥2个、USB接口数量≥6个</w:t>
            </w:r>
            <w:r>
              <w:rPr>
                <w:rFonts w:hint="default" w:ascii="方正仿宋_GBK" w:hAnsi="方正仿宋_GBK" w:eastAsia="方正仿宋_GBK" w:cs="方正仿宋_GBK"/>
                <w:b w:val="0"/>
                <w:bCs w:val="0"/>
                <w:sz w:val="24"/>
                <w:szCs w:val="24"/>
                <w:highlight w:val="none"/>
                <w:lang w:val="en-US" w:eastAsia="zh-CN"/>
              </w:rPr>
              <w:t>；</w:t>
            </w:r>
          </w:p>
          <w:p w14:paraId="4479B9FE">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7</w:t>
            </w:r>
            <w:r>
              <w:rPr>
                <w:rFonts w:hint="default" w:ascii="方正仿宋_GBK" w:hAnsi="方正仿宋_GBK" w:eastAsia="方正仿宋_GBK" w:cs="方正仿宋_GBK"/>
                <w:b w:val="0"/>
                <w:bCs w:val="0"/>
                <w:sz w:val="24"/>
                <w:szCs w:val="24"/>
                <w:highlight w:val="none"/>
                <w:lang w:val="en-US" w:eastAsia="zh-CN"/>
              </w:rPr>
              <w:t>．</w:t>
            </w:r>
            <w:r>
              <w:rPr>
                <w:rFonts w:hint="eastAsia" w:ascii="方正仿宋_GBK" w:hAnsi="方正仿宋_GBK" w:eastAsia="方正仿宋_GBK" w:cs="方正仿宋_GBK"/>
                <w:b w:val="0"/>
                <w:bCs w:val="0"/>
                <w:sz w:val="24"/>
                <w:szCs w:val="24"/>
                <w:highlight w:val="none"/>
                <w:lang w:val="en-US" w:eastAsia="zh-CN"/>
              </w:rPr>
              <w:t>★单内存插槽最大支持容量（板载内存不涉及）:≥8GB</w:t>
            </w:r>
            <w:r>
              <w:rPr>
                <w:rFonts w:hint="default" w:ascii="方正仿宋_GBK" w:hAnsi="方正仿宋_GBK" w:eastAsia="方正仿宋_GBK" w:cs="方正仿宋_GBK"/>
                <w:b w:val="0"/>
                <w:bCs w:val="0"/>
                <w:sz w:val="24"/>
                <w:szCs w:val="24"/>
                <w:highlight w:val="none"/>
                <w:lang w:val="en-US" w:eastAsia="zh-CN"/>
              </w:rPr>
              <w:t>；</w:t>
            </w:r>
          </w:p>
          <w:p w14:paraId="5C35B08C">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8</w:t>
            </w:r>
            <w:r>
              <w:rPr>
                <w:rFonts w:hint="default" w:ascii="方正仿宋_GBK" w:hAnsi="方正仿宋_GBK" w:eastAsia="方正仿宋_GBK" w:cs="方正仿宋_GBK"/>
                <w:b w:val="0"/>
                <w:bCs w:val="0"/>
                <w:sz w:val="24"/>
                <w:szCs w:val="24"/>
                <w:highlight w:val="none"/>
                <w:lang w:val="en-US" w:eastAsia="zh-CN"/>
              </w:rPr>
              <w:t>．</w:t>
            </w:r>
            <w:r>
              <w:rPr>
                <w:rFonts w:hint="eastAsia" w:ascii="方正仿宋_GBK" w:hAnsi="方正仿宋_GBK" w:eastAsia="方正仿宋_GBK" w:cs="方正仿宋_GBK"/>
                <w:b w:val="0"/>
                <w:bCs w:val="0"/>
                <w:sz w:val="24"/>
                <w:szCs w:val="24"/>
                <w:highlight w:val="none"/>
                <w:lang w:val="en-US" w:eastAsia="zh-CN"/>
              </w:rPr>
              <w:t>★内存插槽满配时提供的最高内存总容量:</w:t>
            </w:r>
            <w:r>
              <w:rPr>
                <w:rFonts w:hint="eastAsia"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≥16GB</w:t>
            </w:r>
            <w:r>
              <w:rPr>
                <w:rFonts w:hint="default" w:ascii="方正仿宋_GBK" w:hAnsi="方正仿宋_GBK" w:eastAsia="方正仿宋_GBK" w:cs="方正仿宋_GBK"/>
                <w:b w:val="0"/>
                <w:bCs w:val="0"/>
                <w:sz w:val="24"/>
                <w:szCs w:val="24"/>
                <w:highlight w:val="none"/>
                <w:lang w:val="en-US" w:eastAsia="zh-CN"/>
              </w:rPr>
              <w:t>；</w:t>
            </w:r>
          </w:p>
          <w:p w14:paraId="51701253">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9</w:t>
            </w:r>
            <w:r>
              <w:rPr>
                <w:rFonts w:hint="default" w:ascii="方正仿宋_GBK" w:hAnsi="方正仿宋_GBK" w:eastAsia="方正仿宋_GBK" w:cs="方正仿宋_GBK"/>
                <w:b w:val="0"/>
                <w:bCs w:val="0"/>
                <w:sz w:val="24"/>
                <w:szCs w:val="24"/>
                <w:highlight w:val="none"/>
                <w:lang w:val="en-US" w:eastAsia="zh-CN"/>
              </w:rPr>
              <w:t>．</w:t>
            </w:r>
            <w:r>
              <w:rPr>
                <w:rFonts w:hint="eastAsia" w:ascii="方正仿宋_GBK" w:hAnsi="方正仿宋_GBK" w:eastAsia="方正仿宋_GBK" w:cs="方正仿宋_GBK"/>
                <w:b w:val="0"/>
                <w:bCs w:val="0"/>
                <w:sz w:val="24"/>
                <w:szCs w:val="24"/>
                <w:highlight w:val="none"/>
                <w:lang w:val="en-US" w:eastAsia="zh-CN"/>
              </w:rPr>
              <w:t>★固态盘数量:</w:t>
            </w:r>
            <w:r>
              <w:rPr>
                <w:rFonts w:hint="eastAsia"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≥1个</w:t>
            </w:r>
            <w:r>
              <w:rPr>
                <w:rFonts w:hint="default" w:ascii="方正仿宋_GBK" w:hAnsi="方正仿宋_GBK" w:eastAsia="方正仿宋_GBK" w:cs="方正仿宋_GBK"/>
                <w:b w:val="0"/>
                <w:bCs w:val="0"/>
                <w:sz w:val="24"/>
                <w:szCs w:val="24"/>
                <w:highlight w:val="none"/>
                <w:lang w:val="en-US" w:eastAsia="zh-CN"/>
              </w:rPr>
              <w:t>；</w:t>
            </w:r>
          </w:p>
          <w:p w14:paraId="0BB44384">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color w:val="C0000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1</w:t>
            </w:r>
            <w:r>
              <w:rPr>
                <w:rFonts w:hint="eastAsia" w:ascii="方正仿宋_GBK" w:hAnsi="方正仿宋_GBK" w:eastAsia="方正仿宋_GBK" w:cs="方正仿宋_GBK"/>
                <w:b w:val="0"/>
                <w:bCs w:val="0"/>
                <w:sz w:val="24"/>
                <w:szCs w:val="24"/>
                <w:highlight w:val="none"/>
                <w:lang w:val="en-US" w:eastAsia="zh-CN"/>
              </w:rPr>
              <w:t>0</w:t>
            </w:r>
            <w:r>
              <w:rPr>
                <w:rFonts w:hint="default" w:ascii="方正仿宋_GBK" w:hAnsi="方正仿宋_GBK" w:eastAsia="方正仿宋_GBK" w:cs="方正仿宋_GBK"/>
                <w:b w:val="0"/>
                <w:bCs w:val="0"/>
                <w:sz w:val="24"/>
                <w:szCs w:val="24"/>
                <w:highlight w:val="none"/>
                <w:lang w:val="en-US" w:eastAsia="zh-CN"/>
              </w:rPr>
              <w:t>．</w:t>
            </w:r>
            <w:r>
              <w:rPr>
                <w:rFonts w:hint="eastAsia" w:ascii="方正仿宋_GBK" w:hAnsi="方正仿宋_GBK" w:eastAsia="方正仿宋_GBK" w:cs="方正仿宋_GBK"/>
                <w:b w:val="0"/>
                <w:bCs w:val="0"/>
                <w:sz w:val="24"/>
                <w:szCs w:val="24"/>
                <w:highlight w:val="none"/>
                <w:lang w:val="en-US" w:eastAsia="zh-CN"/>
              </w:rPr>
              <w:t>★固态存储容量：≥512GB</w:t>
            </w:r>
            <w:r>
              <w:rPr>
                <w:rFonts w:hint="default" w:ascii="方正仿宋_GBK" w:hAnsi="方正仿宋_GBK" w:eastAsia="方正仿宋_GBK" w:cs="方正仿宋_GBK"/>
                <w:b w:val="0"/>
                <w:bCs w:val="0"/>
                <w:sz w:val="24"/>
                <w:szCs w:val="24"/>
                <w:highlight w:val="none"/>
                <w:lang w:val="en-US" w:eastAsia="zh-CN"/>
              </w:rPr>
              <w:t>；</w:t>
            </w:r>
          </w:p>
          <w:p w14:paraId="04185A39">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1</w:t>
            </w:r>
            <w:r>
              <w:rPr>
                <w:rFonts w:hint="eastAsia" w:ascii="方正仿宋_GBK" w:hAnsi="方正仿宋_GBK" w:eastAsia="方正仿宋_GBK" w:cs="方正仿宋_GBK"/>
                <w:b w:val="0"/>
                <w:bCs w:val="0"/>
                <w:sz w:val="24"/>
                <w:szCs w:val="24"/>
                <w:highlight w:val="none"/>
                <w:lang w:val="en-US" w:eastAsia="zh-CN"/>
              </w:rPr>
              <w:t>1</w:t>
            </w:r>
            <w:r>
              <w:rPr>
                <w:rFonts w:hint="default" w:ascii="方正仿宋_GBK" w:hAnsi="方正仿宋_GBK" w:eastAsia="方正仿宋_GBK" w:cs="方正仿宋_GBK"/>
                <w:b w:val="0"/>
                <w:bCs w:val="0"/>
                <w:sz w:val="24"/>
                <w:szCs w:val="24"/>
                <w:highlight w:val="none"/>
                <w:lang w:val="en-US" w:eastAsia="zh-CN"/>
              </w:rPr>
              <w:t>．</w:t>
            </w:r>
            <w:r>
              <w:rPr>
                <w:rFonts w:hint="eastAsia" w:ascii="方正仿宋_GBK" w:hAnsi="方正仿宋_GBK" w:eastAsia="方正仿宋_GBK" w:cs="方正仿宋_GBK"/>
                <w:b w:val="0"/>
                <w:bCs w:val="0"/>
                <w:sz w:val="24"/>
                <w:szCs w:val="24"/>
                <w:highlight w:val="none"/>
                <w:lang w:val="en-US" w:eastAsia="zh-CN"/>
              </w:rPr>
              <w:t>★机械硬盘数量</w:t>
            </w:r>
            <w:r>
              <w:rPr>
                <w:rFonts w:hint="eastAsia"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:≥1个</w:t>
            </w:r>
            <w:r>
              <w:rPr>
                <w:rFonts w:hint="default" w:ascii="方正仿宋_GBK" w:hAnsi="方正仿宋_GBK" w:eastAsia="方正仿宋_GBK" w:cs="方正仿宋_GBK"/>
                <w:b w:val="0"/>
                <w:bCs w:val="0"/>
                <w:sz w:val="24"/>
                <w:szCs w:val="24"/>
                <w:highlight w:val="none"/>
                <w:lang w:val="en-US" w:eastAsia="zh-CN"/>
              </w:rPr>
              <w:t>；</w:t>
            </w:r>
          </w:p>
          <w:p w14:paraId="71A76A42">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1</w:t>
            </w:r>
            <w:r>
              <w:rPr>
                <w:rFonts w:hint="eastAsia" w:ascii="方正仿宋_GBK" w:hAnsi="方正仿宋_GBK" w:eastAsia="方正仿宋_GBK" w:cs="方正仿宋_GBK"/>
                <w:b w:val="0"/>
                <w:bCs w:val="0"/>
                <w:sz w:val="24"/>
                <w:szCs w:val="24"/>
                <w:highlight w:val="none"/>
                <w:lang w:val="en-US" w:eastAsia="zh-CN"/>
              </w:rPr>
              <w:t>2</w:t>
            </w:r>
            <w:r>
              <w:rPr>
                <w:rFonts w:hint="default" w:ascii="方正仿宋_GBK" w:hAnsi="方正仿宋_GBK" w:eastAsia="方正仿宋_GBK" w:cs="方正仿宋_GBK"/>
                <w:b w:val="0"/>
                <w:bCs w:val="0"/>
                <w:sz w:val="24"/>
                <w:szCs w:val="24"/>
                <w:highlight w:val="none"/>
                <w:lang w:val="en-US" w:eastAsia="zh-CN"/>
              </w:rPr>
              <w:t>．</w:t>
            </w:r>
            <w:r>
              <w:rPr>
                <w:rFonts w:hint="eastAsia" w:ascii="方正仿宋_GBK" w:hAnsi="方正仿宋_GBK" w:eastAsia="方正仿宋_GBK" w:cs="方正仿宋_GBK"/>
                <w:b w:val="0"/>
                <w:bCs w:val="0"/>
                <w:sz w:val="24"/>
                <w:szCs w:val="24"/>
                <w:highlight w:val="none"/>
                <w:lang w:val="en-US" w:eastAsia="zh-CN"/>
              </w:rPr>
              <w:t>★机械硬盘总容量:</w:t>
            </w:r>
            <w:r>
              <w:rPr>
                <w:rFonts w:hint="eastAsia"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≥1T</w:t>
            </w:r>
            <w:r>
              <w:rPr>
                <w:rFonts w:hint="default" w:ascii="方正仿宋_GBK" w:hAnsi="方正仿宋_GBK" w:eastAsia="方正仿宋_GBK" w:cs="方正仿宋_GBK"/>
                <w:b w:val="0"/>
                <w:bCs w:val="0"/>
                <w:sz w:val="24"/>
                <w:szCs w:val="24"/>
                <w:highlight w:val="none"/>
                <w:lang w:val="en-US" w:eastAsia="zh-CN"/>
              </w:rPr>
              <w:t>；</w:t>
            </w:r>
          </w:p>
          <w:p w14:paraId="72B882BC">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1</w:t>
            </w:r>
            <w:r>
              <w:rPr>
                <w:rFonts w:hint="eastAsia" w:ascii="方正仿宋_GBK" w:hAnsi="方正仿宋_GBK" w:eastAsia="方正仿宋_GBK" w:cs="方正仿宋_GBK"/>
                <w:b w:val="0"/>
                <w:bCs w:val="0"/>
                <w:sz w:val="24"/>
                <w:szCs w:val="24"/>
                <w:highlight w:val="none"/>
                <w:lang w:val="en-US" w:eastAsia="zh-CN"/>
              </w:rPr>
              <w:t>3</w:t>
            </w:r>
            <w:r>
              <w:rPr>
                <w:rFonts w:hint="default" w:ascii="方正仿宋_GBK" w:hAnsi="方正仿宋_GBK" w:eastAsia="方正仿宋_GBK" w:cs="方正仿宋_GBK"/>
                <w:b w:val="0"/>
                <w:bCs w:val="0"/>
                <w:sz w:val="24"/>
                <w:szCs w:val="24"/>
                <w:highlight w:val="none"/>
                <w:lang w:val="en-US" w:eastAsia="zh-CN"/>
              </w:rPr>
              <w:t>．</w:t>
            </w:r>
            <w:r>
              <w:rPr>
                <w:rFonts w:hint="eastAsia" w:ascii="方正仿宋_GBK" w:hAnsi="方正仿宋_GBK" w:eastAsia="方正仿宋_GBK" w:cs="方正仿宋_GBK"/>
                <w:b w:val="0"/>
                <w:bCs w:val="0"/>
                <w:sz w:val="24"/>
                <w:szCs w:val="24"/>
                <w:highlight w:val="none"/>
                <w:lang w:val="en-US" w:eastAsia="zh-CN"/>
              </w:rPr>
              <w:t>★机械硬盘转速</w:t>
            </w:r>
            <w:r>
              <w:rPr>
                <w:rFonts w:hint="eastAsia"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≥5400rpm</w:t>
            </w:r>
            <w:r>
              <w:rPr>
                <w:rFonts w:hint="default" w:ascii="方正仿宋_GBK" w:hAnsi="方正仿宋_GBK" w:eastAsia="方正仿宋_GBK" w:cs="方正仿宋_GBK"/>
                <w:b w:val="0"/>
                <w:bCs w:val="0"/>
                <w:sz w:val="24"/>
                <w:szCs w:val="24"/>
                <w:highlight w:val="none"/>
                <w:lang w:val="en-US" w:eastAsia="zh-CN"/>
              </w:rPr>
              <w:t>；</w:t>
            </w:r>
          </w:p>
          <w:p w14:paraId="0FC96DFB">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1</w:t>
            </w:r>
            <w:r>
              <w:rPr>
                <w:rFonts w:hint="eastAsia" w:ascii="方正仿宋_GBK" w:hAnsi="方正仿宋_GBK" w:eastAsia="方正仿宋_GBK" w:cs="方正仿宋_GBK"/>
                <w:b w:val="0"/>
                <w:bCs w:val="0"/>
                <w:sz w:val="24"/>
                <w:szCs w:val="24"/>
                <w:highlight w:val="none"/>
                <w:lang w:val="en-US" w:eastAsia="zh-CN"/>
              </w:rPr>
              <w:t>4</w:t>
            </w:r>
            <w:r>
              <w:rPr>
                <w:rFonts w:hint="default" w:ascii="方正仿宋_GBK" w:hAnsi="方正仿宋_GBK" w:eastAsia="方正仿宋_GBK" w:cs="方正仿宋_GBK"/>
                <w:b w:val="0"/>
                <w:bCs w:val="0"/>
                <w:sz w:val="24"/>
                <w:szCs w:val="24"/>
                <w:highlight w:val="none"/>
                <w:lang w:val="en-US" w:eastAsia="zh-CN"/>
              </w:rPr>
              <w:t>．</w:t>
            </w:r>
            <w:r>
              <w:rPr>
                <w:rFonts w:hint="eastAsia" w:ascii="方正仿宋_GBK" w:hAnsi="方正仿宋_GBK" w:eastAsia="方正仿宋_GBK" w:cs="方正仿宋_GBK"/>
                <w:b w:val="0"/>
                <w:bCs w:val="0"/>
                <w:sz w:val="24"/>
                <w:szCs w:val="24"/>
                <w:highlight w:val="none"/>
                <w:lang w:val="en-US" w:eastAsia="zh-CN"/>
              </w:rPr>
              <w:t>★机械硬盘形态:</w:t>
            </w:r>
            <w:r>
              <w:rPr>
                <w:rFonts w:hint="eastAsia"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2.5英寸或3.5英寸等</w:t>
            </w:r>
            <w:r>
              <w:rPr>
                <w:rFonts w:hint="default" w:ascii="方正仿宋_GBK" w:hAnsi="方正仿宋_GBK" w:eastAsia="方正仿宋_GBK" w:cs="方正仿宋_GBK"/>
                <w:b w:val="0"/>
                <w:bCs w:val="0"/>
                <w:sz w:val="24"/>
                <w:szCs w:val="24"/>
                <w:highlight w:val="none"/>
                <w:lang w:val="en-US" w:eastAsia="zh-CN"/>
              </w:rPr>
              <w:t>；</w:t>
            </w:r>
          </w:p>
          <w:p w14:paraId="08FA9E0E">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kern w:val="2"/>
                <w:sz w:val="24"/>
                <w:szCs w:val="24"/>
                <w:lang w:val="en-US" w:eastAsia="zh-CN" w:bidi="ar-SA"/>
              </w:rPr>
              <w:t>1</w:t>
            </w:r>
            <w:r>
              <w:rPr>
                <w:rFonts w:hint="eastAsia" w:ascii="方正仿宋_GBK" w:hAnsi="方正仿宋_GBK" w:eastAsia="方正仿宋_GBK" w:cs="方正仿宋_GBK"/>
                <w:b w:val="0"/>
                <w:bCs w:val="0"/>
                <w:kern w:val="2"/>
                <w:sz w:val="24"/>
                <w:szCs w:val="24"/>
                <w:lang w:val="en-US" w:eastAsia="zh-CN" w:bidi="ar-SA"/>
              </w:rPr>
              <w:t>5</w:t>
            </w:r>
            <w:r>
              <w:rPr>
                <w:rFonts w:hint="default" w:ascii="方正仿宋_GBK" w:hAnsi="方正仿宋_GBK" w:eastAsia="方正仿宋_GBK" w:cs="方正仿宋_GBK"/>
                <w:b w:val="0"/>
                <w:bCs w:val="0"/>
                <w:kern w:val="2"/>
                <w:sz w:val="24"/>
                <w:szCs w:val="24"/>
                <w:lang w:val="en-US" w:eastAsia="zh-CN" w:bidi="ar-SA"/>
              </w:rPr>
              <w:t>．</w:t>
            </w:r>
            <w:r>
              <w:rPr>
                <w:rFonts w:hint="eastAsia" w:ascii="方正仿宋_GBK" w:hAnsi="方正仿宋_GBK" w:eastAsia="方正仿宋_GBK" w:cs="方正仿宋_GBK"/>
                <w:b w:val="0"/>
                <w:bCs w:val="0"/>
                <w:sz w:val="24"/>
                <w:szCs w:val="24"/>
                <w:highlight w:val="none"/>
                <w:lang w:val="en-US" w:eastAsia="zh-CN"/>
              </w:rPr>
              <w:t>★固态存储形态:</w:t>
            </w:r>
            <w:r>
              <w:rPr>
                <w:rFonts w:hint="eastAsia"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采用插卡或板载等形态，可选用符合M.2或2.5寸SATA或mSATA等标准的插卡形态存储设备扩展盘位≥0</w:t>
            </w:r>
            <w:r>
              <w:rPr>
                <w:rFonts w:hint="default" w:ascii="方正仿宋_GBK" w:hAnsi="方正仿宋_GBK" w:eastAsia="方正仿宋_GBK" w:cs="方正仿宋_GBK"/>
                <w:b w:val="0"/>
                <w:bCs w:val="0"/>
                <w:sz w:val="24"/>
                <w:szCs w:val="24"/>
                <w:highlight w:val="none"/>
                <w:lang w:val="en-US" w:eastAsia="zh-CN"/>
              </w:rPr>
              <w:t>；</w:t>
            </w:r>
          </w:p>
          <w:p w14:paraId="37A32F9A">
            <w:pPr>
              <w:keepNext w:val="0"/>
              <w:keepLines w:val="0"/>
              <w:pageBreakBefore w:val="0"/>
              <w:widowControl/>
              <w:numPr>
                <w:ilvl w:val="0"/>
                <w:numId w:val="0"/>
              </w:numPr>
              <w:kinsoku/>
              <w:wordWrap w:val="0"/>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kern w:val="2"/>
                <w:sz w:val="24"/>
                <w:szCs w:val="24"/>
                <w:lang w:val="en-US" w:eastAsia="zh-CN" w:bidi="ar-SA"/>
              </w:rPr>
              <w:t>1</w:t>
            </w:r>
            <w:r>
              <w:rPr>
                <w:rFonts w:hint="eastAsia" w:ascii="方正仿宋_GBK" w:hAnsi="方正仿宋_GBK" w:eastAsia="方正仿宋_GBK" w:cs="方正仿宋_GBK"/>
                <w:b w:val="0"/>
                <w:bCs w:val="0"/>
                <w:kern w:val="2"/>
                <w:sz w:val="24"/>
                <w:szCs w:val="24"/>
                <w:lang w:val="en-US" w:eastAsia="zh-CN" w:bidi="ar-SA"/>
              </w:rPr>
              <w:t>6</w:t>
            </w:r>
            <w:r>
              <w:rPr>
                <w:rFonts w:hint="default" w:ascii="方正仿宋_GBK" w:hAnsi="方正仿宋_GBK" w:eastAsia="方正仿宋_GBK" w:cs="方正仿宋_GBK"/>
                <w:b w:val="0"/>
                <w:bCs w:val="0"/>
                <w:kern w:val="2"/>
                <w:sz w:val="24"/>
                <w:szCs w:val="24"/>
                <w:lang w:val="en-US" w:eastAsia="zh-CN" w:bidi="ar-SA"/>
              </w:rPr>
              <w:t>．</w:t>
            </w:r>
            <w:r>
              <w:rPr>
                <w:rFonts w:hint="eastAsia" w:ascii="方正仿宋_GBK" w:hAnsi="方正仿宋_GBK" w:eastAsia="方正仿宋_GBK" w:cs="方正仿宋_GBK"/>
                <w:b w:val="0"/>
                <w:bCs w:val="0"/>
                <w:sz w:val="24"/>
                <w:szCs w:val="24"/>
                <w:highlight w:val="none"/>
                <w:lang w:val="en-US" w:eastAsia="zh-CN"/>
              </w:rPr>
              <w:t>★存储设备其他参数要求:</w:t>
            </w:r>
            <w:r>
              <w:rPr>
                <w:rFonts w:hint="eastAsia"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a)固态盘应符合SJ/T11654相关规定；b)机械硬盘准备时间应不大于30s；侧面固定螺丝孔数量可为4孔或6孔；工作状态环境温度应满足5℃~55℃;其它参数应符合GB/T12628相关规定</w:t>
            </w:r>
            <w:r>
              <w:rPr>
                <w:rFonts w:hint="default" w:ascii="方正仿宋_GBK" w:hAnsi="方正仿宋_GBK" w:eastAsia="方正仿宋_GBK" w:cs="方正仿宋_GBK"/>
                <w:b w:val="0"/>
                <w:bCs w:val="0"/>
                <w:sz w:val="24"/>
                <w:szCs w:val="24"/>
                <w:highlight w:val="none"/>
                <w:lang w:val="en-US" w:eastAsia="zh-CN"/>
              </w:rPr>
              <w:t>；</w:t>
            </w:r>
          </w:p>
          <w:p w14:paraId="3F59C5E1">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kern w:val="2"/>
                <w:sz w:val="24"/>
                <w:szCs w:val="24"/>
                <w:lang w:val="en-US" w:eastAsia="zh-CN" w:bidi="ar-SA"/>
              </w:rPr>
              <w:t>1</w:t>
            </w:r>
            <w:r>
              <w:rPr>
                <w:rFonts w:hint="eastAsia" w:ascii="方正仿宋_GBK" w:hAnsi="方正仿宋_GBK" w:eastAsia="方正仿宋_GBK" w:cs="方正仿宋_GBK"/>
                <w:b w:val="0"/>
                <w:bCs w:val="0"/>
                <w:kern w:val="2"/>
                <w:sz w:val="24"/>
                <w:szCs w:val="24"/>
                <w:lang w:val="en-US" w:eastAsia="zh-CN" w:bidi="ar-SA"/>
              </w:rPr>
              <w:t>7</w:t>
            </w:r>
            <w:r>
              <w:rPr>
                <w:rFonts w:hint="default" w:ascii="方正仿宋_GBK" w:hAnsi="方正仿宋_GBK" w:eastAsia="方正仿宋_GBK" w:cs="方正仿宋_GBK"/>
                <w:b w:val="0"/>
                <w:bCs w:val="0"/>
                <w:color w:val="auto"/>
                <w:kern w:val="2"/>
                <w:sz w:val="24"/>
                <w:szCs w:val="24"/>
                <w:highlight w:val="none"/>
                <w:lang w:val="en-US" w:eastAsia="zh-CN" w:bidi="ar-SA"/>
              </w:rPr>
              <w:t>．</w:t>
            </w:r>
            <w:r>
              <w:rPr>
                <w:rFonts w:hint="eastAsia" w:ascii="方正仿宋_GBK" w:hAnsi="方正仿宋_GBK" w:eastAsia="方正仿宋_GBK" w:cs="方正仿宋_GBK"/>
                <w:b w:val="0"/>
                <w:bCs w:val="0"/>
                <w:color w:val="auto"/>
                <w:sz w:val="24"/>
                <w:szCs w:val="24"/>
                <w:highlight w:val="none"/>
                <w:lang w:val="en-US" w:eastAsia="zh-CN"/>
              </w:rPr>
              <w:t>★显卡类型</w:t>
            </w:r>
            <w:r>
              <w:rPr>
                <w:rFonts w:hint="eastAsia" w:ascii="方正仿宋_GBK" w:hAnsi="方正仿宋_GBK" w:eastAsia="方正仿宋_GBK" w:cs="方正仿宋_GBK"/>
                <w:b w:val="0"/>
                <w:bCs w:val="0"/>
                <w:color w:val="auto"/>
                <w:sz w:val="24"/>
                <w:szCs w:val="24"/>
                <w:highlight w:val="none"/>
                <w:lang w:val="en-US" w:eastAsia="zh-CN"/>
              </w:rPr>
              <w:tab/>
            </w:r>
            <w:r>
              <w:rPr>
                <w:rFonts w:hint="eastAsia" w:ascii="方正仿宋_GBK" w:hAnsi="方正仿宋_GBK" w:eastAsia="方正仿宋_GBK" w:cs="方正仿宋_GBK"/>
                <w:b w:val="0"/>
                <w:bCs w:val="0"/>
                <w:color w:val="auto"/>
                <w:sz w:val="24"/>
                <w:szCs w:val="24"/>
                <w:highlight w:val="none"/>
                <w:lang w:val="en-US" w:eastAsia="zh-CN"/>
              </w:rPr>
              <w:t>：独立显卡</w:t>
            </w:r>
            <w:r>
              <w:rPr>
                <w:rFonts w:hint="default" w:ascii="方正仿宋_GBK" w:hAnsi="方正仿宋_GBK" w:eastAsia="方正仿宋_GBK" w:cs="方正仿宋_GBK"/>
                <w:b w:val="0"/>
                <w:bCs w:val="0"/>
                <w:color w:val="auto"/>
                <w:sz w:val="24"/>
                <w:szCs w:val="24"/>
                <w:highlight w:val="none"/>
                <w:lang w:val="en-US" w:eastAsia="zh-CN"/>
              </w:rPr>
              <w:t>；</w:t>
            </w:r>
          </w:p>
          <w:p w14:paraId="44B6B191">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1</w:t>
            </w:r>
            <w:r>
              <w:rPr>
                <w:rFonts w:hint="eastAsia" w:ascii="方正仿宋_GBK" w:hAnsi="方正仿宋_GBK" w:eastAsia="方正仿宋_GBK" w:cs="方正仿宋_GBK"/>
                <w:b w:val="0"/>
                <w:bCs w:val="0"/>
                <w:sz w:val="24"/>
                <w:szCs w:val="24"/>
                <w:highlight w:val="none"/>
                <w:lang w:val="en-US" w:eastAsia="zh-CN"/>
              </w:rPr>
              <w:t>8</w:t>
            </w:r>
            <w:r>
              <w:rPr>
                <w:rFonts w:hint="default" w:ascii="方正仿宋_GBK" w:hAnsi="方正仿宋_GBK" w:eastAsia="方正仿宋_GBK" w:cs="方正仿宋_GBK"/>
                <w:b w:val="0"/>
                <w:bCs w:val="0"/>
                <w:sz w:val="24"/>
                <w:szCs w:val="24"/>
                <w:highlight w:val="none"/>
                <w:lang w:val="en-US" w:eastAsia="zh-CN"/>
              </w:rPr>
              <w:t>．</w:t>
            </w:r>
            <w:r>
              <w:rPr>
                <w:rFonts w:hint="eastAsia" w:ascii="方正仿宋_GBK" w:hAnsi="方正仿宋_GBK" w:eastAsia="方正仿宋_GBK" w:cs="方正仿宋_GBK"/>
                <w:b w:val="0"/>
                <w:bCs w:val="0"/>
                <w:sz w:val="24"/>
                <w:szCs w:val="24"/>
                <w:highlight w:val="none"/>
                <w:lang w:val="en-US" w:eastAsia="zh-CN"/>
              </w:rPr>
              <w:t>★独立显卡显存类型</w:t>
            </w:r>
            <w:r>
              <w:rPr>
                <w:rFonts w:hint="eastAsia"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：配置独立显卡，显存类型为GTX1080</w:t>
            </w:r>
            <w:r>
              <w:rPr>
                <w:rFonts w:hint="default" w:ascii="方正仿宋_GBK" w:hAnsi="方正仿宋_GBK" w:eastAsia="方正仿宋_GBK" w:cs="方正仿宋_GBK"/>
                <w:b w:val="0"/>
                <w:bCs w:val="0"/>
                <w:sz w:val="24"/>
                <w:szCs w:val="24"/>
                <w:highlight w:val="none"/>
                <w:lang w:val="en-US" w:eastAsia="zh-CN"/>
              </w:rPr>
              <w:t>；</w:t>
            </w:r>
          </w:p>
          <w:p w14:paraId="22045204">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kern w:val="2"/>
                <w:sz w:val="24"/>
                <w:szCs w:val="24"/>
                <w:highlight w:val="none"/>
                <w:lang w:val="en-US" w:eastAsia="zh-CN" w:bidi="ar-SA"/>
              </w:rPr>
              <w:t>19</w:t>
            </w:r>
            <w:r>
              <w:rPr>
                <w:rFonts w:hint="default" w:ascii="方正仿宋_GBK" w:hAnsi="方正仿宋_GBK" w:eastAsia="方正仿宋_GBK" w:cs="方正仿宋_GBK"/>
                <w:b w:val="0"/>
                <w:bCs w:val="0"/>
                <w:color w:val="auto"/>
                <w:kern w:val="2"/>
                <w:sz w:val="24"/>
                <w:szCs w:val="24"/>
                <w:highlight w:val="none"/>
                <w:lang w:val="en-US" w:eastAsia="zh-CN" w:bidi="ar-SA"/>
              </w:rPr>
              <w:t>．</w:t>
            </w:r>
            <w:r>
              <w:rPr>
                <w:rFonts w:hint="eastAsia" w:ascii="方正仿宋_GBK" w:hAnsi="方正仿宋_GBK" w:eastAsia="方正仿宋_GBK" w:cs="方正仿宋_GBK"/>
                <w:b w:val="0"/>
                <w:bCs w:val="0"/>
                <w:color w:val="auto"/>
                <w:sz w:val="24"/>
                <w:szCs w:val="24"/>
                <w:highlight w:val="none"/>
                <w:lang w:val="en-US" w:eastAsia="zh-CN"/>
              </w:rPr>
              <w:t>★独立显卡显存位宽</w:t>
            </w:r>
            <w:r>
              <w:rPr>
                <w:rFonts w:hint="eastAsia" w:ascii="方正仿宋_GBK" w:hAnsi="方正仿宋_GBK" w:eastAsia="方正仿宋_GBK" w:cs="方正仿宋_GBK"/>
                <w:b w:val="0"/>
                <w:bCs w:val="0"/>
                <w:color w:val="auto"/>
                <w:sz w:val="24"/>
                <w:szCs w:val="24"/>
                <w:highlight w:val="none"/>
                <w:lang w:val="en-US" w:eastAsia="zh-CN"/>
              </w:rPr>
              <w:tab/>
            </w:r>
            <w:r>
              <w:rPr>
                <w:rFonts w:hint="eastAsia" w:ascii="方正仿宋_GBK" w:hAnsi="方正仿宋_GBK" w:eastAsia="方正仿宋_GBK" w:cs="方正仿宋_GBK"/>
                <w:b w:val="0"/>
                <w:bCs w:val="0"/>
                <w:color w:val="auto"/>
                <w:sz w:val="24"/>
                <w:szCs w:val="24"/>
                <w:highlight w:val="none"/>
                <w:lang w:val="en-US" w:eastAsia="zh-CN"/>
              </w:rPr>
              <w:t>：≥16位</w:t>
            </w:r>
            <w:r>
              <w:rPr>
                <w:rFonts w:hint="default" w:ascii="方正仿宋_GBK" w:hAnsi="方正仿宋_GBK" w:eastAsia="方正仿宋_GBK" w:cs="方正仿宋_GBK"/>
                <w:b w:val="0"/>
                <w:bCs w:val="0"/>
                <w:color w:val="auto"/>
                <w:sz w:val="24"/>
                <w:szCs w:val="24"/>
                <w:highlight w:val="none"/>
                <w:lang w:val="en-US" w:eastAsia="zh-CN"/>
              </w:rPr>
              <w:t>；</w:t>
            </w:r>
          </w:p>
          <w:p w14:paraId="60065A78">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kern w:val="2"/>
                <w:sz w:val="24"/>
                <w:szCs w:val="24"/>
                <w:highlight w:val="none"/>
                <w:lang w:val="en-US" w:eastAsia="zh-CN" w:bidi="ar-SA"/>
              </w:rPr>
              <w:t>2</w:t>
            </w:r>
            <w:r>
              <w:rPr>
                <w:rFonts w:hint="eastAsia" w:ascii="方正仿宋_GBK" w:hAnsi="方正仿宋_GBK" w:eastAsia="方正仿宋_GBK" w:cs="方正仿宋_GBK"/>
                <w:b w:val="0"/>
                <w:bCs w:val="0"/>
                <w:color w:val="auto"/>
                <w:kern w:val="2"/>
                <w:sz w:val="24"/>
                <w:szCs w:val="24"/>
                <w:highlight w:val="none"/>
                <w:lang w:val="en-US" w:eastAsia="zh-CN" w:bidi="ar-SA"/>
              </w:rPr>
              <w:t>0</w:t>
            </w:r>
            <w:r>
              <w:rPr>
                <w:rFonts w:hint="default" w:ascii="方正仿宋_GBK" w:hAnsi="方正仿宋_GBK" w:eastAsia="方正仿宋_GBK" w:cs="方正仿宋_GBK"/>
                <w:b w:val="0"/>
                <w:bCs w:val="0"/>
                <w:color w:val="auto"/>
                <w:kern w:val="2"/>
                <w:sz w:val="24"/>
                <w:szCs w:val="24"/>
                <w:highlight w:val="none"/>
                <w:lang w:val="en-US" w:eastAsia="zh-CN" w:bidi="ar-SA"/>
              </w:rPr>
              <w:t>．</w:t>
            </w:r>
            <w:r>
              <w:rPr>
                <w:rFonts w:hint="eastAsia" w:ascii="方正仿宋_GBK" w:hAnsi="方正仿宋_GBK" w:eastAsia="方正仿宋_GBK" w:cs="方正仿宋_GBK"/>
                <w:b w:val="0"/>
                <w:bCs w:val="0"/>
                <w:color w:val="auto"/>
                <w:sz w:val="24"/>
                <w:szCs w:val="24"/>
                <w:highlight w:val="none"/>
                <w:lang w:val="en-US" w:eastAsia="zh-CN"/>
              </w:rPr>
              <w:t>★独立显卡显★显示屏屏占比</w:t>
            </w:r>
            <w:r>
              <w:rPr>
                <w:rFonts w:hint="eastAsia" w:ascii="方正仿宋_GBK" w:hAnsi="方正仿宋_GBK" w:eastAsia="方正仿宋_GBK" w:cs="方正仿宋_GBK"/>
                <w:b w:val="0"/>
                <w:bCs w:val="0"/>
                <w:color w:val="auto"/>
                <w:sz w:val="24"/>
                <w:szCs w:val="24"/>
                <w:highlight w:val="none"/>
                <w:lang w:val="en-US" w:eastAsia="zh-CN"/>
              </w:rPr>
              <w:tab/>
            </w:r>
            <w:r>
              <w:rPr>
                <w:rFonts w:hint="eastAsia" w:ascii="方正仿宋_GBK" w:hAnsi="方正仿宋_GBK" w:eastAsia="方正仿宋_GBK" w:cs="方正仿宋_GBK"/>
                <w:b w:val="0"/>
                <w:bCs w:val="0"/>
                <w:color w:val="auto"/>
                <w:sz w:val="24"/>
                <w:szCs w:val="24"/>
                <w:highlight w:val="none"/>
                <w:lang w:val="en-US" w:eastAsia="zh-CN"/>
              </w:rPr>
              <w:t>：≥80%</w:t>
            </w:r>
            <w:r>
              <w:rPr>
                <w:rFonts w:hint="default" w:ascii="方正仿宋_GBK" w:hAnsi="方正仿宋_GBK" w:eastAsia="方正仿宋_GBK" w:cs="方正仿宋_GBK"/>
                <w:b w:val="0"/>
                <w:bCs w:val="0"/>
                <w:color w:val="auto"/>
                <w:sz w:val="24"/>
                <w:szCs w:val="24"/>
                <w:highlight w:val="none"/>
                <w:lang w:val="en-US" w:eastAsia="zh-CN"/>
              </w:rPr>
              <w:t>；</w:t>
            </w:r>
          </w:p>
          <w:p w14:paraId="780109D3">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kern w:val="2"/>
                <w:sz w:val="24"/>
                <w:szCs w:val="24"/>
                <w:highlight w:val="none"/>
                <w:lang w:val="en-US" w:eastAsia="zh-CN" w:bidi="ar-SA"/>
              </w:rPr>
              <w:t>2</w:t>
            </w:r>
            <w:r>
              <w:rPr>
                <w:rFonts w:hint="eastAsia" w:ascii="方正仿宋_GBK" w:hAnsi="方正仿宋_GBK" w:eastAsia="方正仿宋_GBK" w:cs="方正仿宋_GBK"/>
                <w:b w:val="0"/>
                <w:bCs w:val="0"/>
                <w:color w:val="auto"/>
                <w:kern w:val="2"/>
                <w:sz w:val="24"/>
                <w:szCs w:val="24"/>
                <w:highlight w:val="none"/>
                <w:lang w:val="en-US" w:eastAsia="zh-CN" w:bidi="ar-SA"/>
              </w:rPr>
              <w:t>1</w:t>
            </w:r>
            <w:r>
              <w:rPr>
                <w:rFonts w:hint="default" w:ascii="方正仿宋_GBK" w:hAnsi="方正仿宋_GBK" w:eastAsia="方正仿宋_GBK" w:cs="方正仿宋_GBK"/>
                <w:b w:val="0"/>
                <w:bCs w:val="0"/>
                <w:color w:val="auto"/>
                <w:kern w:val="2"/>
                <w:sz w:val="24"/>
                <w:szCs w:val="24"/>
                <w:highlight w:val="none"/>
                <w:lang w:val="en-US" w:eastAsia="zh-CN" w:bidi="ar-SA"/>
              </w:rPr>
              <w:t>．</w:t>
            </w:r>
            <w:r>
              <w:rPr>
                <w:rFonts w:hint="eastAsia" w:ascii="方正仿宋_GBK" w:hAnsi="方正仿宋_GBK" w:eastAsia="方正仿宋_GBK" w:cs="方正仿宋_GBK"/>
                <w:b w:val="0"/>
                <w:bCs w:val="0"/>
                <w:color w:val="auto"/>
                <w:sz w:val="24"/>
                <w:szCs w:val="24"/>
                <w:highlight w:val="none"/>
                <w:lang w:val="en-US" w:eastAsia="zh-CN"/>
              </w:rPr>
              <w:t>★显示屏分辨率：≥1920x1080</w:t>
            </w:r>
            <w:r>
              <w:rPr>
                <w:rFonts w:hint="default" w:ascii="方正仿宋_GBK" w:hAnsi="方正仿宋_GBK" w:eastAsia="方正仿宋_GBK" w:cs="方正仿宋_GBK"/>
                <w:b w:val="0"/>
                <w:bCs w:val="0"/>
                <w:color w:val="auto"/>
                <w:sz w:val="24"/>
                <w:szCs w:val="24"/>
                <w:highlight w:val="none"/>
                <w:lang w:val="en-US" w:eastAsia="zh-CN"/>
              </w:rPr>
              <w:t>；</w:t>
            </w:r>
          </w:p>
          <w:p w14:paraId="1F8D4CEA">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kern w:val="2"/>
                <w:sz w:val="24"/>
                <w:szCs w:val="24"/>
                <w:highlight w:val="none"/>
                <w:lang w:val="en-US" w:eastAsia="zh-CN" w:bidi="ar-SA"/>
              </w:rPr>
              <w:t>2</w:t>
            </w:r>
            <w:r>
              <w:rPr>
                <w:rFonts w:hint="eastAsia" w:ascii="方正仿宋_GBK" w:hAnsi="方正仿宋_GBK" w:eastAsia="方正仿宋_GBK" w:cs="方正仿宋_GBK"/>
                <w:b w:val="0"/>
                <w:bCs w:val="0"/>
                <w:color w:val="auto"/>
                <w:kern w:val="2"/>
                <w:sz w:val="24"/>
                <w:szCs w:val="24"/>
                <w:highlight w:val="none"/>
                <w:lang w:val="en-US" w:eastAsia="zh-CN" w:bidi="ar-SA"/>
              </w:rPr>
              <w:t>2</w:t>
            </w:r>
            <w:r>
              <w:rPr>
                <w:rFonts w:hint="default" w:ascii="方正仿宋_GBK" w:hAnsi="方正仿宋_GBK" w:eastAsia="方正仿宋_GBK" w:cs="方正仿宋_GBK"/>
                <w:b w:val="0"/>
                <w:bCs w:val="0"/>
                <w:color w:val="auto"/>
                <w:kern w:val="2"/>
                <w:sz w:val="24"/>
                <w:szCs w:val="24"/>
                <w:highlight w:val="none"/>
                <w:lang w:val="en-US" w:eastAsia="zh-CN" w:bidi="ar-SA"/>
              </w:rPr>
              <w:t>．</w:t>
            </w:r>
            <w:r>
              <w:rPr>
                <w:rFonts w:hint="eastAsia" w:ascii="方正仿宋_GBK" w:hAnsi="方正仿宋_GBK" w:eastAsia="方正仿宋_GBK" w:cs="方正仿宋_GBK"/>
                <w:b w:val="0"/>
                <w:bCs w:val="0"/>
                <w:color w:val="auto"/>
                <w:sz w:val="24"/>
                <w:szCs w:val="24"/>
                <w:highlight w:val="none"/>
                <w:lang w:val="en-US" w:eastAsia="zh-CN"/>
              </w:rPr>
              <w:t>★显示屏尺寸</w:t>
            </w:r>
            <w:r>
              <w:rPr>
                <w:rFonts w:hint="eastAsia" w:ascii="方正仿宋_GBK" w:hAnsi="方正仿宋_GBK" w:eastAsia="方正仿宋_GBK" w:cs="方正仿宋_GBK"/>
                <w:b w:val="0"/>
                <w:bCs w:val="0"/>
                <w:sz w:val="24"/>
                <w:szCs w:val="24"/>
                <w:highlight w:val="none"/>
                <w:lang w:val="en-US" w:eastAsia="zh-CN"/>
              </w:rPr>
              <w:t>：≥23.8寸英寸</w:t>
            </w:r>
            <w:r>
              <w:rPr>
                <w:rFonts w:hint="default" w:ascii="方正仿宋_GBK" w:hAnsi="方正仿宋_GBK" w:eastAsia="方正仿宋_GBK" w:cs="方正仿宋_GBK"/>
                <w:b w:val="0"/>
                <w:bCs w:val="0"/>
                <w:sz w:val="24"/>
                <w:szCs w:val="24"/>
                <w:highlight w:val="none"/>
                <w:lang w:val="en-US" w:eastAsia="zh-CN"/>
              </w:rPr>
              <w:t>；</w:t>
            </w:r>
          </w:p>
          <w:p w14:paraId="06B64FEF">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kern w:val="2"/>
                <w:sz w:val="24"/>
                <w:szCs w:val="24"/>
                <w:highlight w:val="none"/>
                <w:lang w:val="en-US" w:eastAsia="zh-CN" w:bidi="ar-SA"/>
              </w:rPr>
              <w:t>2</w:t>
            </w:r>
            <w:r>
              <w:rPr>
                <w:rFonts w:hint="eastAsia" w:ascii="方正仿宋_GBK" w:hAnsi="方正仿宋_GBK" w:eastAsia="方正仿宋_GBK" w:cs="方正仿宋_GBK"/>
                <w:b w:val="0"/>
                <w:bCs w:val="0"/>
                <w:color w:val="auto"/>
                <w:kern w:val="2"/>
                <w:sz w:val="24"/>
                <w:szCs w:val="24"/>
                <w:highlight w:val="none"/>
                <w:lang w:val="en-US" w:eastAsia="zh-CN" w:bidi="ar-SA"/>
              </w:rPr>
              <w:t>3</w:t>
            </w:r>
            <w:r>
              <w:rPr>
                <w:rFonts w:hint="default" w:ascii="方正仿宋_GBK" w:hAnsi="方正仿宋_GBK" w:eastAsia="方正仿宋_GBK" w:cs="方正仿宋_GBK"/>
                <w:b w:val="0"/>
                <w:bCs w:val="0"/>
                <w:color w:val="auto"/>
                <w:kern w:val="2"/>
                <w:sz w:val="24"/>
                <w:szCs w:val="24"/>
                <w:highlight w:val="none"/>
                <w:lang w:val="en-US" w:eastAsia="zh-CN" w:bidi="ar-SA"/>
              </w:rPr>
              <w:t>．</w:t>
            </w:r>
            <w:r>
              <w:rPr>
                <w:rFonts w:hint="eastAsia" w:ascii="方正仿宋_GBK" w:hAnsi="方正仿宋_GBK" w:eastAsia="方正仿宋_GBK" w:cs="方正仿宋_GBK"/>
                <w:b w:val="0"/>
                <w:bCs w:val="0"/>
                <w:color w:val="auto"/>
                <w:sz w:val="24"/>
                <w:szCs w:val="24"/>
                <w:highlight w:val="none"/>
                <w:lang w:val="en-US" w:eastAsia="zh-CN"/>
              </w:rPr>
              <w:t>★显示屏屏幕比例</w:t>
            </w:r>
            <w:r>
              <w:rPr>
                <w:rFonts w:hint="eastAsia" w:ascii="方正仿宋_GBK" w:hAnsi="方正仿宋_GBK" w:eastAsia="方正仿宋_GBK" w:cs="方正仿宋_GBK"/>
                <w:b w:val="0"/>
                <w:bCs w:val="0"/>
                <w:color w:val="auto"/>
                <w:sz w:val="24"/>
                <w:szCs w:val="24"/>
                <w:highlight w:val="none"/>
                <w:lang w:val="en-US" w:eastAsia="zh-CN"/>
              </w:rPr>
              <w:tab/>
            </w:r>
            <w:r>
              <w:rPr>
                <w:rFonts w:hint="eastAsia" w:ascii="方正仿宋_GBK" w:hAnsi="方正仿宋_GBK" w:eastAsia="方正仿宋_GBK" w:cs="方正仿宋_GBK"/>
                <w:b w:val="0"/>
                <w:bCs w:val="0"/>
                <w:color w:val="auto"/>
                <w:sz w:val="24"/>
                <w:szCs w:val="24"/>
                <w:highlight w:val="none"/>
                <w:lang w:val="en-US" w:eastAsia="zh-CN"/>
              </w:rPr>
              <w:t>：16:9/3:2/21:9/16:10等</w:t>
            </w:r>
            <w:r>
              <w:rPr>
                <w:rFonts w:hint="default" w:ascii="方正仿宋_GBK" w:hAnsi="方正仿宋_GBK" w:eastAsia="方正仿宋_GBK" w:cs="方正仿宋_GBK"/>
                <w:b w:val="0"/>
                <w:bCs w:val="0"/>
                <w:color w:val="auto"/>
                <w:sz w:val="24"/>
                <w:szCs w:val="24"/>
                <w:highlight w:val="none"/>
                <w:lang w:val="en-US" w:eastAsia="zh-CN"/>
              </w:rPr>
              <w:t>；</w:t>
            </w:r>
          </w:p>
          <w:p w14:paraId="3FD70A65">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kern w:val="2"/>
                <w:sz w:val="24"/>
                <w:szCs w:val="24"/>
                <w:highlight w:val="none"/>
                <w:lang w:val="en-US" w:eastAsia="zh-CN" w:bidi="ar-SA"/>
              </w:rPr>
              <w:t>2</w:t>
            </w:r>
            <w:r>
              <w:rPr>
                <w:rFonts w:hint="eastAsia" w:ascii="方正仿宋_GBK" w:hAnsi="方正仿宋_GBK" w:eastAsia="方正仿宋_GBK" w:cs="方正仿宋_GBK"/>
                <w:b w:val="0"/>
                <w:bCs w:val="0"/>
                <w:color w:val="auto"/>
                <w:kern w:val="2"/>
                <w:sz w:val="24"/>
                <w:szCs w:val="24"/>
                <w:highlight w:val="none"/>
                <w:lang w:val="en-US" w:eastAsia="zh-CN" w:bidi="ar-SA"/>
              </w:rPr>
              <w:t>4</w:t>
            </w:r>
            <w:r>
              <w:rPr>
                <w:rFonts w:hint="default" w:ascii="方正仿宋_GBK" w:hAnsi="方正仿宋_GBK" w:eastAsia="方正仿宋_GBK" w:cs="方正仿宋_GBK"/>
                <w:b w:val="0"/>
                <w:bCs w:val="0"/>
                <w:color w:val="auto"/>
                <w:kern w:val="2"/>
                <w:sz w:val="24"/>
                <w:szCs w:val="24"/>
                <w:highlight w:val="none"/>
                <w:lang w:val="en-US" w:eastAsia="zh-CN" w:bidi="ar-SA"/>
              </w:rPr>
              <w:t>．</w:t>
            </w:r>
            <w:r>
              <w:rPr>
                <w:rFonts w:hint="eastAsia" w:ascii="方正仿宋_GBK" w:hAnsi="方正仿宋_GBK" w:eastAsia="方正仿宋_GBK" w:cs="方正仿宋_GBK"/>
                <w:b w:val="0"/>
                <w:bCs w:val="0"/>
                <w:color w:val="auto"/>
                <w:sz w:val="24"/>
                <w:szCs w:val="24"/>
                <w:highlight w:val="none"/>
                <w:lang w:val="en-US" w:eastAsia="zh-CN"/>
              </w:rPr>
              <w:t>★显示器外观颜色：黑色/白色/银色等商务色系</w:t>
            </w:r>
            <w:r>
              <w:rPr>
                <w:rFonts w:hint="default" w:ascii="方正仿宋_GBK" w:hAnsi="方正仿宋_GBK" w:eastAsia="方正仿宋_GBK" w:cs="方正仿宋_GBK"/>
                <w:b w:val="0"/>
                <w:bCs w:val="0"/>
                <w:color w:val="auto"/>
                <w:sz w:val="24"/>
                <w:szCs w:val="24"/>
                <w:highlight w:val="none"/>
                <w:lang w:val="en-US" w:eastAsia="zh-CN"/>
              </w:rPr>
              <w:t>；</w:t>
            </w:r>
          </w:p>
          <w:p w14:paraId="35D5ABFA">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kern w:val="2"/>
                <w:sz w:val="24"/>
                <w:szCs w:val="24"/>
                <w:highlight w:val="none"/>
                <w:lang w:val="en-US" w:eastAsia="zh-CN" w:bidi="ar-SA"/>
              </w:rPr>
              <w:t>2</w:t>
            </w:r>
            <w:r>
              <w:rPr>
                <w:rFonts w:hint="eastAsia" w:ascii="方正仿宋_GBK" w:hAnsi="方正仿宋_GBK" w:eastAsia="方正仿宋_GBK" w:cs="方正仿宋_GBK"/>
                <w:b w:val="0"/>
                <w:bCs w:val="0"/>
                <w:color w:val="auto"/>
                <w:kern w:val="2"/>
                <w:sz w:val="24"/>
                <w:szCs w:val="24"/>
                <w:highlight w:val="none"/>
                <w:lang w:val="en-US" w:eastAsia="zh-CN" w:bidi="ar-SA"/>
              </w:rPr>
              <w:t>5</w:t>
            </w:r>
            <w:r>
              <w:rPr>
                <w:rFonts w:hint="default" w:ascii="方正仿宋_GBK" w:hAnsi="方正仿宋_GBK" w:eastAsia="方正仿宋_GBK" w:cs="方正仿宋_GBK"/>
                <w:b w:val="0"/>
                <w:bCs w:val="0"/>
                <w:color w:val="auto"/>
                <w:kern w:val="2"/>
                <w:sz w:val="24"/>
                <w:szCs w:val="24"/>
                <w:highlight w:val="none"/>
                <w:lang w:val="en-US" w:eastAsia="zh-CN" w:bidi="ar-SA"/>
              </w:rPr>
              <w:t>．</w:t>
            </w:r>
            <w:r>
              <w:rPr>
                <w:rFonts w:hint="eastAsia" w:ascii="方正仿宋_GBK" w:hAnsi="方正仿宋_GBK" w:eastAsia="方正仿宋_GBK" w:cs="方正仿宋_GBK"/>
                <w:b w:val="0"/>
                <w:bCs w:val="0"/>
                <w:color w:val="auto"/>
                <w:sz w:val="24"/>
                <w:szCs w:val="24"/>
                <w:highlight w:val="none"/>
                <w:lang w:val="en-US" w:eastAsia="zh-CN"/>
              </w:rPr>
              <w:t>★显示屏防蓝光：支持防蓝光模式，蓝光加权辐射亮度比应≤0.0012W/(·cd·sr)（瓦每坎特拉每球面度）</w:t>
            </w:r>
            <w:r>
              <w:rPr>
                <w:rFonts w:hint="default" w:ascii="方正仿宋_GBK" w:hAnsi="方正仿宋_GBK" w:eastAsia="方正仿宋_GBK" w:cs="方正仿宋_GBK"/>
                <w:b w:val="0"/>
                <w:bCs w:val="0"/>
                <w:color w:val="auto"/>
                <w:sz w:val="24"/>
                <w:szCs w:val="24"/>
                <w:highlight w:val="none"/>
                <w:lang w:val="en-US" w:eastAsia="zh-CN"/>
              </w:rPr>
              <w:t>；</w:t>
            </w:r>
          </w:p>
          <w:p w14:paraId="7D576397">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kern w:val="2"/>
                <w:sz w:val="24"/>
                <w:szCs w:val="24"/>
                <w:highlight w:val="none"/>
                <w:lang w:val="en-US" w:eastAsia="zh-CN" w:bidi="ar-SA"/>
              </w:rPr>
              <w:t>2</w:t>
            </w:r>
            <w:r>
              <w:rPr>
                <w:rFonts w:hint="eastAsia" w:ascii="方正仿宋_GBK" w:hAnsi="方正仿宋_GBK" w:eastAsia="方正仿宋_GBK" w:cs="方正仿宋_GBK"/>
                <w:b w:val="0"/>
                <w:bCs w:val="0"/>
                <w:color w:val="auto"/>
                <w:kern w:val="2"/>
                <w:sz w:val="24"/>
                <w:szCs w:val="24"/>
                <w:highlight w:val="none"/>
                <w:lang w:val="en-US" w:eastAsia="zh-CN" w:bidi="ar-SA"/>
              </w:rPr>
              <w:t>6</w:t>
            </w:r>
            <w:r>
              <w:rPr>
                <w:rFonts w:hint="default" w:ascii="方正仿宋_GBK" w:hAnsi="方正仿宋_GBK" w:eastAsia="方正仿宋_GBK" w:cs="方正仿宋_GBK"/>
                <w:b w:val="0"/>
                <w:bCs w:val="0"/>
                <w:color w:val="auto"/>
                <w:kern w:val="2"/>
                <w:sz w:val="24"/>
                <w:szCs w:val="24"/>
                <w:highlight w:val="none"/>
                <w:lang w:val="en-US" w:eastAsia="zh-CN" w:bidi="ar-SA"/>
              </w:rPr>
              <w:t>．</w:t>
            </w:r>
            <w:r>
              <w:rPr>
                <w:rFonts w:hint="eastAsia" w:ascii="方正仿宋_GBK" w:hAnsi="方正仿宋_GBK" w:eastAsia="方正仿宋_GBK" w:cs="方正仿宋_GBK"/>
                <w:b w:val="0"/>
                <w:bCs w:val="0"/>
                <w:color w:val="auto"/>
                <w:sz w:val="24"/>
                <w:szCs w:val="24"/>
                <w:highlight w:val="none"/>
                <w:lang w:val="en-US" w:eastAsia="zh-CN"/>
              </w:rPr>
              <w:t>★显示屏低频闪：支持TUV低蓝光；</w:t>
            </w:r>
          </w:p>
          <w:p w14:paraId="09938B93">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kern w:val="2"/>
                <w:sz w:val="24"/>
                <w:szCs w:val="24"/>
                <w:highlight w:val="none"/>
                <w:lang w:val="en-US" w:eastAsia="zh-CN" w:bidi="ar-SA"/>
              </w:rPr>
              <w:t>2</w:t>
            </w:r>
            <w:r>
              <w:rPr>
                <w:rFonts w:hint="eastAsia" w:ascii="方正仿宋_GBK" w:hAnsi="方正仿宋_GBK" w:eastAsia="方正仿宋_GBK" w:cs="方正仿宋_GBK"/>
                <w:b w:val="0"/>
                <w:bCs w:val="0"/>
                <w:color w:val="auto"/>
                <w:kern w:val="2"/>
                <w:sz w:val="24"/>
                <w:szCs w:val="24"/>
                <w:highlight w:val="none"/>
                <w:lang w:val="en-US" w:eastAsia="zh-CN" w:bidi="ar-SA"/>
              </w:rPr>
              <w:t>7</w:t>
            </w:r>
            <w:r>
              <w:rPr>
                <w:rFonts w:hint="default" w:ascii="方正仿宋_GBK" w:hAnsi="方正仿宋_GBK" w:eastAsia="方正仿宋_GBK" w:cs="方正仿宋_GBK"/>
                <w:b w:val="0"/>
                <w:bCs w:val="0"/>
                <w:color w:val="auto"/>
                <w:kern w:val="2"/>
                <w:sz w:val="24"/>
                <w:szCs w:val="24"/>
                <w:highlight w:val="none"/>
                <w:lang w:val="en-US" w:eastAsia="zh-CN" w:bidi="ar-SA"/>
              </w:rPr>
              <w:t>．</w:t>
            </w:r>
            <w:r>
              <w:rPr>
                <w:rFonts w:hint="eastAsia" w:ascii="方正仿宋_GBK" w:hAnsi="方正仿宋_GBK" w:eastAsia="方正仿宋_GBK" w:cs="方正仿宋_GBK"/>
                <w:b w:val="0"/>
                <w:bCs w:val="0"/>
                <w:color w:val="auto"/>
                <w:sz w:val="24"/>
                <w:szCs w:val="24"/>
                <w:highlight w:val="none"/>
                <w:lang w:val="en-US" w:eastAsia="zh-CN"/>
              </w:rPr>
              <w:t>★显示屏防炫目：显示屏镜面反射率：≤10%</w:t>
            </w:r>
            <w:r>
              <w:rPr>
                <w:rFonts w:hint="default" w:ascii="方正仿宋_GBK" w:hAnsi="方正仿宋_GBK" w:eastAsia="方正仿宋_GBK" w:cs="方正仿宋_GBK"/>
                <w:b w:val="0"/>
                <w:bCs w:val="0"/>
                <w:color w:val="auto"/>
                <w:sz w:val="24"/>
                <w:szCs w:val="24"/>
                <w:highlight w:val="none"/>
                <w:lang w:val="en-US" w:eastAsia="zh-CN"/>
              </w:rPr>
              <w:t>；</w:t>
            </w:r>
          </w:p>
          <w:p w14:paraId="27647410">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kern w:val="2"/>
                <w:sz w:val="24"/>
                <w:szCs w:val="24"/>
                <w:highlight w:val="none"/>
                <w:lang w:val="en-US" w:eastAsia="zh-CN" w:bidi="ar-SA"/>
              </w:rPr>
              <w:t>2</w:t>
            </w:r>
            <w:r>
              <w:rPr>
                <w:rFonts w:hint="eastAsia" w:ascii="方正仿宋_GBK" w:hAnsi="方正仿宋_GBK" w:eastAsia="方正仿宋_GBK" w:cs="方正仿宋_GBK"/>
                <w:b w:val="0"/>
                <w:bCs w:val="0"/>
                <w:color w:val="auto"/>
                <w:kern w:val="2"/>
                <w:sz w:val="24"/>
                <w:szCs w:val="24"/>
                <w:highlight w:val="none"/>
                <w:lang w:val="en-US" w:eastAsia="zh-CN" w:bidi="ar-SA"/>
              </w:rPr>
              <w:t>8</w:t>
            </w:r>
            <w:r>
              <w:rPr>
                <w:rFonts w:hint="default" w:ascii="方正仿宋_GBK" w:hAnsi="方正仿宋_GBK" w:eastAsia="方正仿宋_GBK" w:cs="方正仿宋_GBK"/>
                <w:b w:val="0"/>
                <w:bCs w:val="0"/>
                <w:color w:val="auto"/>
                <w:kern w:val="2"/>
                <w:sz w:val="24"/>
                <w:szCs w:val="24"/>
                <w:highlight w:val="none"/>
                <w:lang w:val="en-US" w:eastAsia="zh-CN" w:bidi="ar-SA"/>
              </w:rPr>
              <w:t>．</w:t>
            </w:r>
            <w:r>
              <w:rPr>
                <w:rFonts w:hint="eastAsia" w:ascii="方正仿宋_GBK" w:hAnsi="方正仿宋_GBK" w:eastAsia="方正仿宋_GBK" w:cs="方正仿宋_GBK"/>
                <w:b w:val="0"/>
                <w:bCs w:val="0"/>
                <w:color w:val="auto"/>
                <w:sz w:val="24"/>
                <w:szCs w:val="24"/>
                <w:highlight w:val="none"/>
                <w:lang w:val="en-US" w:eastAsia="zh-CN"/>
              </w:rPr>
              <w:t>★鼠标数量：</w:t>
            </w:r>
            <w:r>
              <w:rPr>
                <w:rFonts w:hint="eastAsia" w:ascii="方正仿宋_GBK" w:hAnsi="方正仿宋_GBK" w:eastAsia="方正仿宋_GBK" w:cs="方正仿宋_GBK"/>
                <w:b w:val="0"/>
                <w:bCs w:val="0"/>
                <w:color w:val="auto"/>
                <w:sz w:val="24"/>
                <w:szCs w:val="24"/>
                <w:highlight w:val="none"/>
                <w:lang w:val="en-US" w:eastAsia="zh-CN"/>
              </w:rPr>
              <w:tab/>
            </w:r>
            <w:r>
              <w:rPr>
                <w:rFonts w:hint="eastAsia" w:ascii="方正仿宋_GBK" w:hAnsi="方正仿宋_GBK" w:eastAsia="方正仿宋_GBK" w:cs="方正仿宋_GBK"/>
                <w:b w:val="0"/>
                <w:bCs w:val="0"/>
                <w:color w:val="auto"/>
                <w:sz w:val="24"/>
                <w:szCs w:val="24"/>
                <w:highlight w:val="none"/>
                <w:lang w:val="en-US" w:eastAsia="zh-CN"/>
              </w:rPr>
              <w:t>≥1个</w:t>
            </w:r>
            <w:r>
              <w:rPr>
                <w:rFonts w:hint="default" w:ascii="方正仿宋_GBK" w:hAnsi="方正仿宋_GBK" w:eastAsia="方正仿宋_GBK" w:cs="方正仿宋_GBK"/>
                <w:b w:val="0"/>
                <w:bCs w:val="0"/>
                <w:color w:val="auto"/>
                <w:sz w:val="24"/>
                <w:szCs w:val="24"/>
                <w:highlight w:val="none"/>
                <w:lang w:val="en-US" w:eastAsia="zh-CN"/>
              </w:rPr>
              <w:t>；</w:t>
            </w:r>
          </w:p>
          <w:p w14:paraId="15D06163">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kern w:val="2"/>
                <w:sz w:val="24"/>
                <w:szCs w:val="24"/>
                <w:highlight w:val="none"/>
                <w:lang w:val="en-US" w:eastAsia="zh-CN" w:bidi="ar-SA"/>
              </w:rPr>
              <w:t>29</w:t>
            </w:r>
            <w:r>
              <w:rPr>
                <w:rFonts w:hint="default" w:ascii="方正仿宋_GBK" w:hAnsi="方正仿宋_GBK" w:eastAsia="方正仿宋_GBK" w:cs="方正仿宋_GBK"/>
                <w:b w:val="0"/>
                <w:bCs w:val="0"/>
                <w:color w:val="auto"/>
                <w:kern w:val="2"/>
                <w:sz w:val="24"/>
                <w:szCs w:val="24"/>
                <w:highlight w:val="none"/>
                <w:lang w:val="en-US" w:eastAsia="zh-CN" w:bidi="ar-SA"/>
              </w:rPr>
              <w:t>．</w:t>
            </w:r>
            <w:r>
              <w:rPr>
                <w:rFonts w:hint="eastAsia" w:ascii="方正仿宋_GBK" w:hAnsi="方正仿宋_GBK" w:eastAsia="方正仿宋_GBK" w:cs="方正仿宋_GBK"/>
                <w:b w:val="0"/>
                <w:bCs w:val="0"/>
                <w:color w:val="auto"/>
                <w:sz w:val="24"/>
                <w:szCs w:val="24"/>
                <w:highlight w:val="none"/>
                <w:lang w:val="en-US" w:eastAsia="zh-CN"/>
              </w:rPr>
              <w:t>★键盘数量：≥1个</w:t>
            </w:r>
            <w:r>
              <w:rPr>
                <w:rFonts w:hint="default" w:ascii="方正仿宋_GBK" w:hAnsi="方正仿宋_GBK" w:eastAsia="方正仿宋_GBK" w:cs="方正仿宋_GBK"/>
                <w:b w:val="0"/>
                <w:bCs w:val="0"/>
                <w:color w:val="auto"/>
                <w:sz w:val="24"/>
                <w:szCs w:val="24"/>
                <w:highlight w:val="none"/>
                <w:lang w:val="en-US" w:eastAsia="zh-CN"/>
              </w:rPr>
              <w:t>；</w:t>
            </w:r>
          </w:p>
          <w:p w14:paraId="3E7FD628">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kern w:val="2"/>
                <w:sz w:val="24"/>
                <w:szCs w:val="24"/>
                <w:highlight w:val="none"/>
                <w:lang w:val="en-US" w:eastAsia="zh-CN" w:bidi="ar-SA"/>
              </w:rPr>
              <w:t>3</w:t>
            </w:r>
            <w:r>
              <w:rPr>
                <w:rFonts w:hint="eastAsia" w:ascii="方正仿宋_GBK" w:hAnsi="方正仿宋_GBK" w:eastAsia="方正仿宋_GBK" w:cs="方正仿宋_GBK"/>
                <w:b w:val="0"/>
                <w:bCs w:val="0"/>
                <w:color w:val="auto"/>
                <w:kern w:val="2"/>
                <w:sz w:val="24"/>
                <w:szCs w:val="24"/>
                <w:highlight w:val="none"/>
                <w:lang w:val="en-US" w:eastAsia="zh-CN" w:bidi="ar-SA"/>
              </w:rPr>
              <w:t>0</w:t>
            </w:r>
            <w:r>
              <w:rPr>
                <w:rFonts w:hint="default" w:ascii="方正仿宋_GBK" w:hAnsi="方正仿宋_GBK" w:eastAsia="方正仿宋_GBK" w:cs="方正仿宋_GBK"/>
                <w:b w:val="0"/>
                <w:bCs w:val="0"/>
                <w:color w:val="auto"/>
                <w:kern w:val="2"/>
                <w:sz w:val="24"/>
                <w:szCs w:val="24"/>
                <w:highlight w:val="none"/>
                <w:lang w:val="en-US" w:eastAsia="zh-CN" w:bidi="ar-SA"/>
              </w:rPr>
              <w:t>．</w:t>
            </w:r>
            <w:r>
              <w:rPr>
                <w:rFonts w:hint="eastAsia" w:ascii="方正仿宋_GBK" w:hAnsi="方正仿宋_GBK" w:eastAsia="方正仿宋_GBK" w:cs="方正仿宋_GBK"/>
                <w:b w:val="0"/>
                <w:bCs w:val="0"/>
                <w:color w:val="auto"/>
                <w:sz w:val="24"/>
                <w:szCs w:val="24"/>
                <w:highlight w:val="none"/>
                <w:lang w:val="en-US" w:eastAsia="zh-CN"/>
              </w:rPr>
              <w:t>★键盘按键数目</w:t>
            </w:r>
            <w:r>
              <w:rPr>
                <w:rFonts w:hint="eastAsia" w:ascii="方正仿宋_GBK" w:hAnsi="方正仿宋_GBK" w:eastAsia="方正仿宋_GBK" w:cs="方正仿宋_GBK"/>
                <w:b w:val="0"/>
                <w:bCs w:val="0"/>
                <w:color w:val="auto"/>
                <w:sz w:val="24"/>
                <w:szCs w:val="24"/>
                <w:highlight w:val="none"/>
                <w:lang w:val="en-US" w:eastAsia="zh-CN"/>
              </w:rPr>
              <w:tab/>
            </w:r>
            <w:r>
              <w:rPr>
                <w:rFonts w:hint="eastAsia" w:ascii="方正仿宋_GBK" w:hAnsi="方正仿宋_GBK" w:eastAsia="方正仿宋_GBK" w:cs="方正仿宋_GBK"/>
                <w:b w:val="0"/>
                <w:bCs w:val="0"/>
                <w:color w:val="auto"/>
                <w:sz w:val="24"/>
                <w:szCs w:val="24"/>
                <w:highlight w:val="none"/>
                <w:lang w:val="en-US" w:eastAsia="zh-CN"/>
              </w:rPr>
              <w:t>：104键等存容量</w:t>
            </w:r>
            <w:r>
              <w:rPr>
                <w:rFonts w:hint="default" w:ascii="方正仿宋_GBK" w:hAnsi="方正仿宋_GBK" w:eastAsia="方正仿宋_GBK" w:cs="方正仿宋_GBK"/>
                <w:b w:val="0"/>
                <w:bCs w:val="0"/>
                <w:color w:val="auto"/>
                <w:sz w:val="24"/>
                <w:szCs w:val="24"/>
                <w:highlight w:val="none"/>
                <w:lang w:val="en-US" w:eastAsia="zh-CN"/>
              </w:rPr>
              <w:t>；</w:t>
            </w:r>
          </w:p>
          <w:p w14:paraId="17BF059C">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kern w:val="2"/>
                <w:sz w:val="24"/>
                <w:szCs w:val="24"/>
                <w:highlight w:val="none"/>
                <w:lang w:val="en-US" w:eastAsia="zh-CN" w:bidi="ar-SA"/>
              </w:rPr>
              <w:t>3</w:t>
            </w:r>
            <w:r>
              <w:rPr>
                <w:rFonts w:hint="eastAsia" w:ascii="方正仿宋_GBK" w:hAnsi="方正仿宋_GBK" w:eastAsia="方正仿宋_GBK" w:cs="方正仿宋_GBK"/>
                <w:b w:val="0"/>
                <w:bCs w:val="0"/>
                <w:color w:val="auto"/>
                <w:kern w:val="2"/>
                <w:sz w:val="24"/>
                <w:szCs w:val="24"/>
                <w:highlight w:val="none"/>
                <w:lang w:val="en-US" w:eastAsia="zh-CN" w:bidi="ar-SA"/>
              </w:rPr>
              <w:t>1</w:t>
            </w:r>
            <w:r>
              <w:rPr>
                <w:rFonts w:hint="default" w:ascii="方正仿宋_GBK" w:hAnsi="方正仿宋_GBK" w:eastAsia="方正仿宋_GBK" w:cs="方正仿宋_GBK"/>
                <w:b w:val="0"/>
                <w:bCs w:val="0"/>
                <w:color w:val="auto"/>
                <w:kern w:val="2"/>
                <w:sz w:val="24"/>
                <w:szCs w:val="24"/>
                <w:highlight w:val="none"/>
                <w:lang w:val="en-US" w:eastAsia="zh-CN" w:bidi="ar-SA"/>
              </w:rPr>
              <w:t>．</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键盘连接方式</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有线；</w:t>
            </w:r>
          </w:p>
          <w:p w14:paraId="5A46820B">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kern w:val="2"/>
                <w:sz w:val="24"/>
                <w:szCs w:val="24"/>
                <w:highlight w:val="none"/>
                <w:lang w:val="en-US" w:eastAsia="zh-CN" w:bidi="ar-SA"/>
              </w:rPr>
              <w:t>3</w:t>
            </w:r>
            <w:r>
              <w:rPr>
                <w:rFonts w:hint="eastAsia" w:ascii="方正仿宋_GBK" w:hAnsi="方正仿宋_GBK" w:eastAsia="方正仿宋_GBK" w:cs="方正仿宋_GBK"/>
                <w:b w:val="0"/>
                <w:bCs w:val="0"/>
                <w:color w:val="auto"/>
                <w:kern w:val="2"/>
                <w:sz w:val="24"/>
                <w:szCs w:val="24"/>
                <w:highlight w:val="none"/>
                <w:lang w:val="en-US" w:eastAsia="zh-CN" w:bidi="ar-SA"/>
              </w:rPr>
              <w:t>2</w:t>
            </w:r>
            <w:r>
              <w:rPr>
                <w:rFonts w:hint="default" w:ascii="方正仿宋_GBK" w:hAnsi="方正仿宋_GBK" w:eastAsia="方正仿宋_GBK" w:cs="方正仿宋_GBK"/>
                <w:b w:val="0"/>
                <w:bCs w:val="0"/>
                <w:color w:val="auto"/>
                <w:kern w:val="2"/>
                <w:sz w:val="24"/>
                <w:szCs w:val="24"/>
                <w:highlight w:val="none"/>
                <w:lang w:val="en-US" w:eastAsia="zh-CN" w:bidi="ar-SA"/>
              </w:rPr>
              <w:t>．</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键盘键程</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2.3mm~4.0mm；</w:t>
            </w:r>
          </w:p>
          <w:p w14:paraId="2DB72160">
            <w:pPr>
              <w:keepNext w:val="0"/>
              <w:keepLines w:val="0"/>
              <w:pageBreakBefore w:val="0"/>
              <w:widowControl/>
              <w:numPr>
                <w:ilvl w:val="0"/>
                <w:numId w:val="0"/>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kern w:val="2"/>
                <w:sz w:val="24"/>
                <w:szCs w:val="24"/>
                <w:highlight w:val="none"/>
                <w:lang w:val="en-US" w:eastAsia="zh-CN" w:bidi="ar-SA"/>
              </w:rPr>
              <w:t>3</w:t>
            </w:r>
            <w:r>
              <w:rPr>
                <w:rFonts w:hint="eastAsia" w:ascii="方正仿宋_GBK" w:hAnsi="方正仿宋_GBK" w:eastAsia="方正仿宋_GBK" w:cs="方正仿宋_GBK"/>
                <w:b w:val="0"/>
                <w:bCs w:val="0"/>
                <w:color w:val="auto"/>
                <w:kern w:val="2"/>
                <w:sz w:val="24"/>
                <w:szCs w:val="24"/>
                <w:highlight w:val="none"/>
                <w:lang w:val="en-US" w:eastAsia="zh-CN" w:bidi="ar-SA"/>
              </w:rPr>
              <w:t>3</w:t>
            </w:r>
            <w:r>
              <w:rPr>
                <w:rFonts w:hint="default" w:ascii="方正仿宋_GBK" w:hAnsi="方正仿宋_GBK" w:eastAsia="方正仿宋_GBK" w:cs="方正仿宋_GBK"/>
                <w:b w:val="0"/>
                <w:bCs w:val="0"/>
                <w:color w:val="auto"/>
                <w:sz w:val="24"/>
                <w:szCs w:val="24"/>
                <w:highlight w:val="none"/>
                <w:lang w:val="en-US" w:eastAsia="zh-CN"/>
              </w:rPr>
              <w:t>．</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键盘按键压力</w:t>
            </w:r>
            <w:r>
              <w:rPr>
                <w:rFonts w:hint="default" w:ascii="方正仿宋_GBK" w:hAnsi="方正仿宋_GBK" w:eastAsia="方正仿宋_GBK" w:cs="方正仿宋_GBK"/>
                <w:b w:val="0"/>
                <w:bCs w:val="0"/>
                <w:color w:val="auto"/>
                <w:sz w:val="24"/>
                <w:szCs w:val="24"/>
                <w:highlight w:val="none"/>
                <w:lang w:val="en-US" w:eastAsia="zh-CN"/>
              </w:rPr>
              <w:tab/>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按键压力应在0.54N±0.14N；</w:t>
            </w:r>
          </w:p>
          <w:p w14:paraId="1A7EE6F1">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color w:val="auto"/>
                <w:kern w:val="2"/>
                <w:sz w:val="24"/>
                <w:szCs w:val="24"/>
                <w:highlight w:val="none"/>
                <w:lang w:val="en-US" w:eastAsia="zh-CN" w:bidi="ar-SA"/>
              </w:rPr>
              <w:t>3</w:t>
            </w:r>
            <w:r>
              <w:rPr>
                <w:rFonts w:hint="eastAsia" w:ascii="方正仿宋_GBK" w:hAnsi="方正仿宋_GBK" w:eastAsia="方正仿宋_GBK" w:cs="方正仿宋_GBK"/>
                <w:b w:val="0"/>
                <w:bCs w:val="0"/>
                <w:color w:val="auto"/>
                <w:kern w:val="2"/>
                <w:sz w:val="24"/>
                <w:szCs w:val="24"/>
                <w:highlight w:val="none"/>
                <w:lang w:val="en-US" w:eastAsia="zh-CN" w:bidi="ar-SA"/>
              </w:rPr>
              <w:t>4</w:t>
            </w:r>
            <w:r>
              <w:rPr>
                <w:rFonts w:hint="default" w:ascii="方正仿宋_GBK" w:hAnsi="方正仿宋_GBK" w:eastAsia="方正仿宋_GBK" w:cs="方正仿宋_GBK"/>
                <w:b w:val="0"/>
                <w:bCs w:val="0"/>
                <w:color w:val="auto"/>
                <w:kern w:val="2"/>
                <w:sz w:val="24"/>
                <w:szCs w:val="24"/>
                <w:highlight w:val="none"/>
                <w:lang w:val="en-US" w:eastAsia="zh-CN" w:bidi="ar-SA"/>
              </w:rPr>
              <w:t>．</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有线键盘连接线</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≥1.5米</w:t>
            </w:r>
            <w:r>
              <w:rPr>
                <w:rFonts w:hint="default" w:ascii="方正仿宋_GBK" w:hAnsi="方正仿宋_GBK" w:eastAsia="方正仿宋_GBK" w:cs="方正仿宋_GBK"/>
                <w:b w:val="0"/>
                <w:bCs w:val="0"/>
                <w:sz w:val="24"/>
                <w:szCs w:val="24"/>
                <w:highlight w:val="none"/>
                <w:lang w:val="en-US" w:eastAsia="zh-CN"/>
              </w:rPr>
              <w:t>；</w:t>
            </w:r>
          </w:p>
          <w:p w14:paraId="7D895F6D">
            <w:pPr>
              <w:keepNext w:val="0"/>
              <w:keepLines w:val="0"/>
              <w:pageBreakBefore w:val="0"/>
              <w:widowControl/>
              <w:numPr>
                <w:ilvl w:val="0"/>
                <w:numId w:val="0"/>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kern w:val="2"/>
                <w:sz w:val="24"/>
                <w:szCs w:val="24"/>
                <w:lang w:val="en-US" w:eastAsia="zh-CN" w:bidi="ar-SA"/>
              </w:rPr>
              <w:t>3</w:t>
            </w:r>
            <w:r>
              <w:rPr>
                <w:rFonts w:hint="eastAsia" w:ascii="方正仿宋_GBK" w:hAnsi="方正仿宋_GBK" w:eastAsia="方正仿宋_GBK" w:cs="方正仿宋_GBK"/>
                <w:b w:val="0"/>
                <w:bCs w:val="0"/>
                <w:kern w:val="2"/>
                <w:sz w:val="24"/>
                <w:szCs w:val="24"/>
                <w:lang w:val="en-US" w:eastAsia="zh-CN" w:bidi="ar-SA"/>
              </w:rPr>
              <w:t>5</w:t>
            </w:r>
            <w:r>
              <w:rPr>
                <w:rFonts w:hint="default" w:ascii="方正仿宋_GBK" w:hAnsi="方正仿宋_GBK" w:eastAsia="方正仿宋_GBK" w:cs="方正仿宋_GBK"/>
                <w:b w:val="0"/>
                <w:bCs w:val="0"/>
                <w:kern w:val="2"/>
                <w:sz w:val="24"/>
                <w:szCs w:val="24"/>
                <w:lang w:val="en-US" w:eastAsia="zh-CN" w:bidi="ar-SA"/>
              </w:rPr>
              <w:t>．</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键盘颜色</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ab/>
            </w:r>
            <w:r>
              <w:rPr>
                <w:rFonts w:hint="default" w:ascii="方正仿宋_GBK" w:hAnsi="方正仿宋_GBK" w:eastAsia="方正仿宋_GBK" w:cs="方正仿宋_GBK"/>
                <w:b w:val="0"/>
                <w:bCs w:val="0"/>
                <w:sz w:val="24"/>
                <w:szCs w:val="24"/>
                <w:highlight w:val="none"/>
                <w:lang w:val="en-US" w:eastAsia="zh-CN"/>
              </w:rPr>
              <w:t>黑色/白色/银色等商务色系；</w:t>
            </w:r>
          </w:p>
          <w:p w14:paraId="73616604">
            <w:pPr>
              <w:keepNext w:val="0"/>
              <w:keepLines w:val="0"/>
              <w:pageBreakBefore w:val="0"/>
              <w:widowControl/>
              <w:numPr>
                <w:ilvl w:val="0"/>
                <w:numId w:val="0"/>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kern w:val="2"/>
                <w:sz w:val="24"/>
                <w:szCs w:val="24"/>
                <w:lang w:val="en-US" w:eastAsia="zh-CN" w:bidi="ar-SA"/>
              </w:rPr>
              <w:t>3</w:t>
            </w:r>
            <w:r>
              <w:rPr>
                <w:rFonts w:hint="eastAsia" w:ascii="方正仿宋_GBK" w:hAnsi="方正仿宋_GBK" w:eastAsia="方正仿宋_GBK" w:cs="方正仿宋_GBK"/>
                <w:b w:val="0"/>
                <w:bCs w:val="0"/>
                <w:kern w:val="2"/>
                <w:sz w:val="24"/>
                <w:szCs w:val="24"/>
                <w:lang w:val="en-US" w:eastAsia="zh-CN" w:bidi="ar-SA"/>
              </w:rPr>
              <w:t>6</w:t>
            </w:r>
            <w:r>
              <w:rPr>
                <w:rFonts w:hint="default" w:ascii="方正仿宋_GBK" w:hAnsi="方正仿宋_GBK" w:eastAsia="方正仿宋_GBK" w:cs="方正仿宋_GBK"/>
                <w:b w:val="0"/>
                <w:bCs w:val="0"/>
                <w:kern w:val="2"/>
                <w:sz w:val="24"/>
                <w:szCs w:val="24"/>
                <w:lang w:val="en-US" w:eastAsia="zh-CN" w:bidi="ar-SA"/>
              </w:rPr>
              <w:t>．</w:t>
            </w:r>
            <w:r>
              <w:rPr>
                <w:rFonts w:hint="default" w:ascii="方正仿宋_GBK" w:hAnsi="方正仿宋_GBK" w:eastAsia="方正仿宋_GBK" w:cs="方正仿宋_GBK"/>
                <w:b w:val="0"/>
                <w:bCs w:val="0"/>
                <w:sz w:val="24"/>
                <w:szCs w:val="24"/>
                <w:highlight w:val="none"/>
                <w:lang w:val="en-US" w:eastAsia="zh-CN"/>
              </w:rPr>
              <w:t>键盘其他要求</w:t>
            </w:r>
            <w:r>
              <w:rPr>
                <w:rFonts w:hint="default"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键盘外观结构、连接方式、主要功能、安全、电磁兼容性、可靠性应符合GB/T14081的相关规定；</w:t>
            </w:r>
          </w:p>
          <w:p w14:paraId="18D4D1FB">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kern w:val="2"/>
                <w:sz w:val="24"/>
                <w:szCs w:val="24"/>
                <w:lang w:val="en-US" w:eastAsia="zh-CN" w:bidi="ar-SA"/>
              </w:rPr>
              <w:t>3</w:t>
            </w:r>
            <w:r>
              <w:rPr>
                <w:rFonts w:hint="eastAsia" w:ascii="方正仿宋_GBK" w:hAnsi="方正仿宋_GBK" w:eastAsia="方正仿宋_GBK" w:cs="方正仿宋_GBK"/>
                <w:b w:val="0"/>
                <w:bCs w:val="0"/>
                <w:kern w:val="2"/>
                <w:sz w:val="24"/>
                <w:szCs w:val="24"/>
                <w:lang w:val="en-US" w:eastAsia="zh-CN" w:bidi="ar-SA"/>
              </w:rPr>
              <w:t>7</w:t>
            </w:r>
            <w:r>
              <w:rPr>
                <w:rFonts w:hint="default" w:ascii="方正仿宋_GBK" w:hAnsi="方正仿宋_GBK" w:eastAsia="方正仿宋_GBK" w:cs="方正仿宋_GBK"/>
                <w:b w:val="0"/>
                <w:bCs w:val="0"/>
                <w:kern w:val="2"/>
                <w:sz w:val="24"/>
                <w:szCs w:val="24"/>
                <w:lang w:val="en-US" w:eastAsia="zh-CN" w:bidi="ar-SA"/>
              </w:rPr>
              <w:t>．</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鼠标连接方式</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有线；</w:t>
            </w:r>
          </w:p>
          <w:p w14:paraId="566EFB2C">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kern w:val="2"/>
                <w:sz w:val="24"/>
                <w:szCs w:val="24"/>
                <w:lang w:val="en-US" w:eastAsia="zh-CN" w:bidi="ar-SA"/>
              </w:rPr>
              <w:t>3</w:t>
            </w:r>
            <w:r>
              <w:rPr>
                <w:rFonts w:hint="eastAsia" w:ascii="方正仿宋_GBK" w:hAnsi="方正仿宋_GBK" w:eastAsia="方正仿宋_GBK" w:cs="方正仿宋_GBK"/>
                <w:b w:val="0"/>
                <w:bCs w:val="0"/>
                <w:kern w:val="2"/>
                <w:sz w:val="24"/>
                <w:szCs w:val="24"/>
                <w:lang w:val="en-US" w:eastAsia="zh-CN" w:bidi="ar-SA"/>
              </w:rPr>
              <w:t>8</w:t>
            </w:r>
            <w:r>
              <w:rPr>
                <w:rFonts w:hint="default" w:ascii="方正仿宋_GBK" w:hAnsi="方正仿宋_GBK" w:eastAsia="方正仿宋_GBK" w:cs="方正仿宋_GBK"/>
                <w:b w:val="0"/>
                <w:bCs w:val="0"/>
                <w:kern w:val="2"/>
                <w:sz w:val="24"/>
                <w:szCs w:val="24"/>
                <w:lang w:val="en-US" w:eastAsia="zh-CN" w:bidi="ar-SA"/>
              </w:rPr>
              <w:t>．</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有线鼠标连接线</w:t>
            </w:r>
            <w:r>
              <w:rPr>
                <w:rFonts w:hint="default" w:ascii="方正仿宋_GBK" w:hAnsi="方正仿宋_GBK" w:eastAsia="方正仿宋_GBK" w:cs="方正仿宋_GBK"/>
                <w:b w:val="0"/>
                <w:bCs w:val="0"/>
                <w:sz w:val="24"/>
                <w:szCs w:val="24"/>
                <w:highlight w:val="none"/>
                <w:lang w:val="en-US" w:eastAsia="zh-CN"/>
              </w:rPr>
              <w:tab/>
            </w:r>
            <w:r>
              <w:rPr>
                <w:rFonts w:hint="default" w:ascii="方正仿宋_GBK" w:hAnsi="方正仿宋_GBK" w:eastAsia="方正仿宋_GBK" w:cs="方正仿宋_GBK"/>
                <w:b w:val="0"/>
                <w:bCs w:val="0"/>
                <w:sz w:val="24"/>
                <w:szCs w:val="24"/>
                <w:highlight w:val="none"/>
                <w:lang w:val="en-US" w:eastAsia="zh-CN"/>
              </w:rPr>
              <w:t>≥1.5米；</w:t>
            </w:r>
          </w:p>
          <w:p w14:paraId="4DFA0F06">
            <w:pPr>
              <w:keepNext w:val="0"/>
              <w:keepLines w:val="0"/>
              <w:pageBreakBefore w:val="0"/>
              <w:widowControl/>
              <w:numPr>
                <w:ilvl w:val="0"/>
                <w:numId w:val="0"/>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kern w:val="2"/>
                <w:sz w:val="24"/>
                <w:szCs w:val="24"/>
                <w:lang w:val="en-US" w:eastAsia="zh-CN" w:bidi="ar-SA"/>
              </w:rPr>
              <w:t>39</w:t>
            </w:r>
            <w:r>
              <w:rPr>
                <w:rFonts w:hint="default" w:ascii="方正仿宋_GBK" w:hAnsi="方正仿宋_GBK" w:eastAsia="方正仿宋_GBK" w:cs="方正仿宋_GBK"/>
                <w:b w:val="0"/>
                <w:bCs w:val="0"/>
                <w:kern w:val="2"/>
                <w:sz w:val="24"/>
                <w:szCs w:val="24"/>
                <w:lang w:val="en-US" w:eastAsia="zh-CN" w:bidi="ar-SA"/>
              </w:rPr>
              <w:t>．</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鼠标DPI分辨率</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800~1600；</w:t>
            </w:r>
          </w:p>
          <w:p w14:paraId="21CCFFB2">
            <w:pPr>
              <w:keepNext w:val="0"/>
              <w:keepLines w:val="0"/>
              <w:pageBreakBefore w:val="0"/>
              <w:widowControl/>
              <w:numPr>
                <w:ilvl w:val="0"/>
                <w:numId w:val="0"/>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kern w:val="2"/>
                <w:sz w:val="24"/>
                <w:szCs w:val="24"/>
                <w:lang w:val="en-US" w:eastAsia="zh-CN" w:bidi="ar-SA"/>
              </w:rPr>
              <w:t>4</w:t>
            </w:r>
            <w:r>
              <w:rPr>
                <w:rFonts w:hint="eastAsia" w:ascii="方正仿宋_GBK" w:hAnsi="方正仿宋_GBK" w:eastAsia="方正仿宋_GBK" w:cs="方正仿宋_GBK"/>
                <w:b w:val="0"/>
                <w:bCs w:val="0"/>
                <w:kern w:val="2"/>
                <w:sz w:val="24"/>
                <w:szCs w:val="24"/>
                <w:lang w:val="en-US" w:eastAsia="zh-CN" w:bidi="ar-SA"/>
              </w:rPr>
              <w:t>0</w:t>
            </w:r>
            <w:r>
              <w:rPr>
                <w:rFonts w:hint="default" w:ascii="方正仿宋_GBK" w:hAnsi="方正仿宋_GBK" w:eastAsia="方正仿宋_GBK" w:cs="方正仿宋_GBK"/>
                <w:b w:val="0"/>
                <w:bCs w:val="0"/>
                <w:kern w:val="2"/>
                <w:sz w:val="24"/>
                <w:szCs w:val="24"/>
                <w:lang w:val="en-US" w:eastAsia="zh-CN" w:bidi="ar-SA"/>
              </w:rPr>
              <w:t>．</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鼠标颜色</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ab/>
            </w:r>
            <w:r>
              <w:rPr>
                <w:rFonts w:hint="default" w:ascii="方正仿宋_GBK" w:hAnsi="方正仿宋_GBK" w:eastAsia="方正仿宋_GBK" w:cs="方正仿宋_GBK"/>
                <w:b w:val="0"/>
                <w:bCs w:val="0"/>
                <w:sz w:val="24"/>
                <w:szCs w:val="24"/>
                <w:highlight w:val="none"/>
                <w:lang w:val="en-US" w:eastAsia="zh-CN"/>
              </w:rPr>
              <w:t>黑色/银色/白色等商务色系；</w:t>
            </w:r>
          </w:p>
          <w:p w14:paraId="281B53A3">
            <w:pPr>
              <w:keepNext w:val="0"/>
              <w:keepLines w:val="0"/>
              <w:pageBreakBefore w:val="0"/>
              <w:widowControl/>
              <w:numPr>
                <w:ilvl w:val="0"/>
                <w:numId w:val="0"/>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kern w:val="2"/>
                <w:sz w:val="24"/>
                <w:szCs w:val="24"/>
                <w:lang w:val="en-US" w:eastAsia="zh-CN" w:bidi="ar-SA"/>
              </w:rPr>
              <w:t>4</w:t>
            </w:r>
            <w:r>
              <w:rPr>
                <w:rFonts w:hint="eastAsia" w:ascii="方正仿宋_GBK" w:hAnsi="方正仿宋_GBK" w:eastAsia="方正仿宋_GBK" w:cs="方正仿宋_GBK"/>
                <w:b w:val="0"/>
                <w:bCs w:val="0"/>
                <w:kern w:val="2"/>
                <w:sz w:val="24"/>
                <w:szCs w:val="24"/>
                <w:lang w:val="en-US" w:eastAsia="zh-CN" w:bidi="ar-SA"/>
              </w:rPr>
              <w:t>1</w:t>
            </w:r>
            <w:r>
              <w:rPr>
                <w:rFonts w:hint="default" w:ascii="方正仿宋_GBK" w:hAnsi="方正仿宋_GBK" w:eastAsia="方正仿宋_GBK" w:cs="方正仿宋_GBK"/>
                <w:b w:val="0"/>
                <w:bCs w:val="0"/>
                <w:kern w:val="2"/>
                <w:sz w:val="24"/>
                <w:szCs w:val="24"/>
                <w:lang w:val="en-US" w:eastAsia="zh-CN" w:bidi="ar-SA"/>
              </w:rPr>
              <w:t>．</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鼠标其他要求</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ab/>
            </w:r>
            <w:r>
              <w:rPr>
                <w:rFonts w:hint="default" w:ascii="方正仿宋_GBK" w:hAnsi="方正仿宋_GBK" w:eastAsia="方正仿宋_GBK" w:cs="方正仿宋_GBK"/>
                <w:b w:val="0"/>
                <w:bCs w:val="0"/>
                <w:sz w:val="24"/>
                <w:szCs w:val="24"/>
                <w:highlight w:val="none"/>
                <w:lang w:val="en-US" w:eastAsia="zh-CN"/>
              </w:rPr>
              <w:t>其它参数应符合GB/T26245的相关规定；</w:t>
            </w:r>
          </w:p>
          <w:p w14:paraId="72525F1A">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kern w:val="2"/>
                <w:sz w:val="24"/>
                <w:szCs w:val="24"/>
                <w:lang w:val="en-US" w:eastAsia="zh-CN" w:bidi="ar-SA"/>
              </w:rPr>
              <w:t>4</w:t>
            </w:r>
            <w:r>
              <w:rPr>
                <w:rFonts w:hint="eastAsia" w:ascii="方正仿宋_GBK" w:hAnsi="方正仿宋_GBK" w:eastAsia="方正仿宋_GBK" w:cs="方正仿宋_GBK"/>
                <w:b w:val="0"/>
                <w:bCs w:val="0"/>
                <w:kern w:val="2"/>
                <w:sz w:val="24"/>
                <w:szCs w:val="24"/>
                <w:lang w:val="en-US" w:eastAsia="zh-CN" w:bidi="ar-SA"/>
              </w:rPr>
              <w:t>2</w:t>
            </w:r>
            <w:r>
              <w:rPr>
                <w:rFonts w:hint="default" w:ascii="方正仿宋_GBK" w:hAnsi="方正仿宋_GBK" w:eastAsia="方正仿宋_GBK" w:cs="方正仿宋_GBK"/>
                <w:b w:val="0"/>
                <w:bCs w:val="0"/>
                <w:kern w:val="2"/>
                <w:sz w:val="24"/>
                <w:szCs w:val="24"/>
                <w:lang w:val="en-US" w:eastAsia="zh-CN" w:bidi="ar-SA"/>
              </w:rPr>
              <w:t>．</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有线网卡数量</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ab/>
            </w:r>
            <w:r>
              <w:rPr>
                <w:rFonts w:hint="default" w:ascii="方正仿宋_GBK" w:hAnsi="方正仿宋_GBK" w:eastAsia="方正仿宋_GBK" w:cs="方正仿宋_GBK"/>
                <w:b w:val="0"/>
                <w:bCs w:val="0"/>
                <w:sz w:val="24"/>
                <w:szCs w:val="24"/>
                <w:highlight w:val="none"/>
                <w:lang w:val="en-US" w:eastAsia="zh-CN"/>
              </w:rPr>
              <w:t>≥1；</w:t>
            </w:r>
          </w:p>
          <w:p w14:paraId="345ACA6B">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kern w:val="2"/>
                <w:sz w:val="24"/>
                <w:szCs w:val="24"/>
                <w:lang w:val="en-US" w:eastAsia="zh-CN" w:bidi="ar-SA"/>
              </w:rPr>
              <w:t>4</w:t>
            </w:r>
            <w:r>
              <w:rPr>
                <w:rFonts w:hint="eastAsia" w:ascii="方正仿宋_GBK" w:hAnsi="方正仿宋_GBK" w:eastAsia="方正仿宋_GBK" w:cs="方正仿宋_GBK"/>
                <w:b w:val="0"/>
                <w:bCs w:val="0"/>
                <w:kern w:val="2"/>
                <w:sz w:val="24"/>
                <w:szCs w:val="24"/>
                <w:lang w:val="en-US" w:eastAsia="zh-CN" w:bidi="ar-SA"/>
              </w:rPr>
              <w:t>3</w:t>
            </w:r>
            <w:r>
              <w:rPr>
                <w:rFonts w:hint="default" w:ascii="方正仿宋_GBK" w:hAnsi="方正仿宋_GBK" w:eastAsia="方正仿宋_GBK" w:cs="方正仿宋_GBK"/>
                <w:b w:val="0"/>
                <w:bCs w:val="0"/>
                <w:kern w:val="2"/>
                <w:sz w:val="24"/>
                <w:szCs w:val="24"/>
                <w:lang w:val="en-US" w:eastAsia="zh-CN" w:bidi="ar-SA"/>
              </w:rPr>
              <w:t>．</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USB接口数量</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机箱前面板应提供不少于3个USB接口（含2个USB3.0及以上接口）；</w:t>
            </w:r>
          </w:p>
          <w:p w14:paraId="79B4705B">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kern w:val="2"/>
                <w:sz w:val="24"/>
                <w:szCs w:val="24"/>
                <w:lang w:val="en-US" w:eastAsia="zh-CN" w:bidi="ar-SA"/>
              </w:rPr>
              <w:t>4</w:t>
            </w:r>
            <w:r>
              <w:rPr>
                <w:rFonts w:hint="eastAsia" w:ascii="方正仿宋_GBK" w:hAnsi="方正仿宋_GBK" w:eastAsia="方正仿宋_GBK" w:cs="方正仿宋_GBK"/>
                <w:b w:val="0"/>
                <w:bCs w:val="0"/>
                <w:kern w:val="2"/>
                <w:sz w:val="24"/>
                <w:szCs w:val="24"/>
                <w:lang w:val="en-US" w:eastAsia="zh-CN" w:bidi="ar-SA"/>
              </w:rPr>
              <w:t>4</w:t>
            </w:r>
            <w:r>
              <w:rPr>
                <w:rFonts w:hint="default" w:ascii="方正仿宋_GBK" w:hAnsi="方正仿宋_GBK" w:eastAsia="方正仿宋_GBK" w:cs="方正仿宋_GBK"/>
                <w:b w:val="0"/>
                <w:bCs w:val="0"/>
                <w:kern w:val="2"/>
                <w:sz w:val="24"/>
                <w:szCs w:val="24"/>
                <w:lang w:val="en-US" w:eastAsia="zh-CN" w:bidi="ar-SA"/>
              </w:rPr>
              <w:t>．</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视频接口数量</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≥1；</w:t>
            </w:r>
          </w:p>
          <w:p w14:paraId="497AED5A">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kern w:val="2"/>
                <w:sz w:val="24"/>
                <w:szCs w:val="24"/>
                <w:lang w:val="en-US" w:eastAsia="zh-CN" w:bidi="ar-SA"/>
              </w:rPr>
              <w:t>4</w:t>
            </w:r>
            <w:r>
              <w:rPr>
                <w:rFonts w:hint="eastAsia" w:ascii="方正仿宋_GBK" w:hAnsi="方正仿宋_GBK" w:eastAsia="方正仿宋_GBK" w:cs="方正仿宋_GBK"/>
                <w:b w:val="0"/>
                <w:bCs w:val="0"/>
                <w:kern w:val="2"/>
                <w:sz w:val="24"/>
                <w:szCs w:val="24"/>
                <w:lang w:val="en-US" w:eastAsia="zh-CN" w:bidi="ar-SA"/>
              </w:rPr>
              <w:t>5</w:t>
            </w:r>
            <w:r>
              <w:rPr>
                <w:rFonts w:hint="default" w:ascii="方正仿宋_GBK" w:hAnsi="方正仿宋_GBK" w:eastAsia="方正仿宋_GBK" w:cs="方正仿宋_GBK"/>
                <w:b w:val="0"/>
                <w:bCs w:val="0"/>
                <w:kern w:val="2"/>
                <w:sz w:val="24"/>
                <w:szCs w:val="24"/>
                <w:lang w:val="en-US" w:eastAsia="zh-CN" w:bidi="ar-SA"/>
              </w:rPr>
              <w:t>．</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音频接口数量</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≥1；</w:t>
            </w:r>
          </w:p>
          <w:p w14:paraId="2639E929">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kern w:val="2"/>
                <w:sz w:val="24"/>
                <w:szCs w:val="24"/>
                <w:lang w:val="en-US" w:eastAsia="zh-CN" w:bidi="ar-SA"/>
              </w:rPr>
              <w:t>4</w:t>
            </w:r>
            <w:r>
              <w:rPr>
                <w:rFonts w:hint="eastAsia" w:ascii="方正仿宋_GBK" w:hAnsi="方正仿宋_GBK" w:eastAsia="方正仿宋_GBK" w:cs="方正仿宋_GBK"/>
                <w:b w:val="0"/>
                <w:bCs w:val="0"/>
                <w:kern w:val="2"/>
                <w:sz w:val="24"/>
                <w:szCs w:val="24"/>
                <w:lang w:val="en-US" w:eastAsia="zh-CN" w:bidi="ar-SA"/>
              </w:rPr>
              <w:t>6</w:t>
            </w:r>
            <w:r>
              <w:rPr>
                <w:rFonts w:hint="default" w:ascii="方正仿宋_GBK" w:hAnsi="方正仿宋_GBK" w:eastAsia="方正仿宋_GBK" w:cs="方正仿宋_GBK"/>
                <w:b w:val="0"/>
                <w:bCs w:val="0"/>
                <w:kern w:val="2"/>
                <w:sz w:val="24"/>
                <w:szCs w:val="24"/>
                <w:lang w:val="en-US" w:eastAsia="zh-CN" w:bidi="ar-SA"/>
              </w:rPr>
              <w:t>．</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整机外观</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a)产品表面不应有凹痕、划伤、裂缝、变形和污染等。表面涂层均匀，不应起泡、龟裂、脱落和磨损，金属零部件无锈蚀及其它机械损伤；b)产品表面说明功能的文字、符号、标志，应清晰、端正、牢固；</w:t>
            </w:r>
          </w:p>
          <w:p w14:paraId="65885F25">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47.独立显卡显存容量：容量≥2GB</w:t>
            </w:r>
            <w:r>
              <w:rPr>
                <w:rFonts w:hint="default" w:ascii="方正仿宋_GBK" w:hAnsi="方正仿宋_GBK" w:eastAsia="方正仿宋_GBK" w:cs="方正仿宋_GBK"/>
                <w:b w:val="0"/>
                <w:bCs w:val="0"/>
                <w:color w:val="auto"/>
                <w:sz w:val="24"/>
                <w:szCs w:val="24"/>
                <w:highlight w:val="none"/>
                <w:lang w:val="en-US" w:eastAsia="zh-CN"/>
              </w:rPr>
              <w:t>；</w:t>
            </w:r>
          </w:p>
          <w:p w14:paraId="7F01C127">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kern w:val="2"/>
                <w:sz w:val="24"/>
                <w:szCs w:val="24"/>
                <w:lang w:val="en-US" w:eastAsia="zh-CN" w:bidi="ar-SA"/>
              </w:rPr>
              <w:t>4</w:t>
            </w:r>
            <w:r>
              <w:rPr>
                <w:rFonts w:hint="eastAsia" w:ascii="方正仿宋_GBK" w:hAnsi="方正仿宋_GBK" w:eastAsia="方正仿宋_GBK" w:cs="方正仿宋_GBK"/>
                <w:b w:val="0"/>
                <w:bCs w:val="0"/>
                <w:kern w:val="2"/>
                <w:sz w:val="24"/>
                <w:szCs w:val="24"/>
                <w:lang w:val="en-US" w:eastAsia="zh-CN" w:bidi="ar-SA"/>
              </w:rPr>
              <w:t>8</w:t>
            </w:r>
            <w:r>
              <w:rPr>
                <w:rFonts w:hint="default" w:ascii="方正仿宋_GBK" w:hAnsi="方正仿宋_GBK" w:eastAsia="方正仿宋_GBK" w:cs="方正仿宋_GBK"/>
                <w:b w:val="0"/>
                <w:bCs w:val="0"/>
                <w:kern w:val="2"/>
                <w:sz w:val="24"/>
                <w:szCs w:val="24"/>
                <w:lang w:val="en-US" w:eastAsia="zh-CN" w:bidi="ar-SA"/>
              </w:rPr>
              <w:t>．</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状态指示灯</w:t>
            </w:r>
            <w:r>
              <w:rPr>
                <w:rFonts w:hint="default"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在产品显著位置提供状态指示功能，如运行状态；</w:t>
            </w:r>
          </w:p>
          <w:p w14:paraId="197B7DA0">
            <w:pPr>
              <w:keepNext w:val="0"/>
              <w:keepLines w:val="0"/>
              <w:pageBreakBefore w:val="0"/>
              <w:widowControl/>
              <w:numPr>
                <w:ilvl w:val="0"/>
                <w:numId w:val="0"/>
              </w:numPr>
              <w:kinsoku/>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kern w:val="2"/>
                <w:sz w:val="24"/>
                <w:szCs w:val="24"/>
                <w:lang w:val="en-US" w:eastAsia="zh-CN" w:bidi="ar-SA"/>
              </w:rPr>
              <w:t>49</w:t>
            </w:r>
            <w:r>
              <w:rPr>
                <w:rFonts w:hint="default" w:ascii="方正仿宋_GBK" w:hAnsi="方正仿宋_GBK" w:eastAsia="方正仿宋_GBK" w:cs="方正仿宋_GBK"/>
                <w:b w:val="0"/>
                <w:bCs w:val="0"/>
                <w:kern w:val="2"/>
                <w:sz w:val="24"/>
                <w:szCs w:val="24"/>
                <w:lang w:val="en-US" w:eastAsia="zh-CN" w:bidi="ar-SA"/>
              </w:rPr>
              <w:t>．</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整机结构</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a)机箱应符合GB/T4208、GB/T26246的相关规定</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b)产品内部结构应符合通用部件的安装需求；c)所有输入输出接口应符合相关国家或行业标准；d)产品零部件应紧固无松动，可插拔部件应可靠连接，开关、按钮和其它控制部件应灵活可靠，布局应方便使用；e)所有I/O连接器及需插接线缆的部位应预留采购人操作空间，方便插拔解锁与插拔线缆；f)可插拔板卡插槽部位应预留安装、拆卸或更换板卡空间；g)拆装可能接触到的金属剪口或金属尖角部位应做防划伤处理，以保证安全；h)整机内部走线应规整，固线结构和位置要合理可靠并做防割线处理，需便于理线和插拔操作，走线应不影响系统各主要部件组装和拆卸；i)如需通过孔走线，过线孔应做防割线处理；j)各插头位置和插拔方向应合理，应做到插拔无障碍设计，具备防呆设计，有效避免误操作；k)各主要部件拆装无障碍，使用常规工具拆装，无特殊拆装工具需求；l)各主要部件拆装步骤要少，各自拆装需避免相互干扰；m)对于整机或零部件外表面为高亮面的，应粘贴保护膜，保护膜需粘贴牢固，运输、组装等过程不易脱落，撕下无残留；n)其它要求应符合GB/T9813.1的相关规定</w:t>
            </w:r>
            <w:r>
              <w:rPr>
                <w:rFonts w:hint="eastAsia" w:ascii="方正仿宋_GBK" w:hAnsi="方正仿宋_GBK" w:eastAsia="方正仿宋_GBK" w:cs="方正仿宋_GBK"/>
                <w:b w:val="0"/>
                <w:bCs w:val="0"/>
                <w:sz w:val="24"/>
                <w:szCs w:val="24"/>
                <w:highlight w:val="none"/>
                <w:lang w:val="en-US" w:eastAsia="zh-CN"/>
              </w:rPr>
              <w:t>；</w:t>
            </w:r>
          </w:p>
          <w:p w14:paraId="1DD02FC2">
            <w:pPr>
              <w:keepNext w:val="0"/>
              <w:keepLines w:val="0"/>
              <w:pageBreakBefore w:val="0"/>
              <w:widowControl/>
              <w:numPr>
                <w:ilvl w:val="0"/>
                <w:numId w:val="8"/>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机箱防护要求</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机箱应符合GB/T4208中IP20防护要求</w:t>
            </w:r>
            <w:r>
              <w:rPr>
                <w:rFonts w:hint="eastAsia" w:ascii="方正仿宋_GBK" w:hAnsi="方正仿宋_GBK" w:eastAsia="方正仿宋_GBK" w:cs="方正仿宋_GBK"/>
                <w:b w:val="0"/>
                <w:bCs w:val="0"/>
                <w:sz w:val="24"/>
                <w:szCs w:val="24"/>
                <w:highlight w:val="none"/>
                <w:lang w:val="en-US" w:eastAsia="zh-CN"/>
              </w:rPr>
              <w:t>；</w:t>
            </w:r>
          </w:p>
          <w:p w14:paraId="38A33AEE">
            <w:pPr>
              <w:keepNext w:val="0"/>
              <w:keepLines w:val="0"/>
              <w:pageBreakBefore w:val="0"/>
              <w:widowControl/>
              <w:numPr>
                <w:ilvl w:val="0"/>
                <w:numId w:val="9"/>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整机噪音</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ab/>
            </w:r>
            <w:r>
              <w:rPr>
                <w:rFonts w:hint="default" w:ascii="方正仿宋_GBK" w:hAnsi="方正仿宋_GBK" w:eastAsia="方正仿宋_GBK" w:cs="方正仿宋_GBK"/>
                <w:b w:val="0"/>
                <w:bCs w:val="0"/>
                <w:sz w:val="24"/>
                <w:szCs w:val="24"/>
                <w:highlight w:val="none"/>
                <w:lang w:val="en-US" w:eastAsia="zh-CN"/>
              </w:rPr>
              <w:t>产品工作在空闲状态下，产品的声功率级应不超过4.5Bel</w:t>
            </w:r>
            <w:r>
              <w:rPr>
                <w:rFonts w:hint="eastAsia" w:ascii="方正仿宋_GBK" w:hAnsi="方正仿宋_GBK" w:eastAsia="方正仿宋_GBK" w:cs="方正仿宋_GBK"/>
                <w:b w:val="0"/>
                <w:bCs w:val="0"/>
                <w:sz w:val="24"/>
                <w:szCs w:val="24"/>
                <w:highlight w:val="none"/>
                <w:lang w:val="en-US" w:eastAsia="zh-CN"/>
              </w:rPr>
              <w:t>；</w:t>
            </w:r>
          </w:p>
          <w:p w14:paraId="04F5832B">
            <w:pPr>
              <w:keepNext w:val="0"/>
              <w:keepLines w:val="0"/>
              <w:pageBreakBefore w:val="0"/>
              <w:widowControl/>
              <w:numPr>
                <w:ilvl w:val="0"/>
                <w:numId w:val="9"/>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整机散热</w:t>
            </w:r>
            <w:r>
              <w:rPr>
                <w:rFonts w:hint="default"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在环境温度25℃及处理器满载情况</w:t>
            </w:r>
            <w:r>
              <w:rPr>
                <w:rFonts w:hint="eastAsia" w:ascii="方正仿宋_GBK" w:hAnsi="方正仿宋_GBK" w:eastAsia="方正仿宋_GBK" w:cs="方正仿宋_GBK"/>
                <w:b w:val="0"/>
                <w:bCs w:val="0"/>
                <w:sz w:val="24"/>
                <w:szCs w:val="24"/>
                <w:highlight w:val="none"/>
                <w:lang w:val="en-US" w:eastAsia="zh-CN"/>
              </w:rPr>
              <w:t>下</w:t>
            </w:r>
            <w:r>
              <w:rPr>
                <w:rFonts w:hint="default" w:ascii="方正仿宋_GBK" w:hAnsi="方正仿宋_GBK" w:eastAsia="方正仿宋_GBK" w:cs="方正仿宋_GBK"/>
                <w:b w:val="0"/>
                <w:bCs w:val="0"/>
                <w:sz w:val="24"/>
                <w:szCs w:val="24"/>
                <w:highlight w:val="none"/>
                <w:lang w:val="en-US" w:eastAsia="zh-CN"/>
              </w:rPr>
              <w:t>产品表面温度应符合如下要求：a)出风口在机箱后面板情况下，出风口温度不高于55℃;b)可触及面温度不高于45℃;c)显示器表面温度：显示屏不高于38℃</w:t>
            </w:r>
            <w:r>
              <w:rPr>
                <w:rFonts w:hint="eastAsia" w:ascii="方正仿宋_GBK" w:hAnsi="方正仿宋_GBK" w:eastAsia="方正仿宋_GBK" w:cs="方正仿宋_GBK"/>
                <w:b w:val="0"/>
                <w:bCs w:val="0"/>
                <w:sz w:val="24"/>
                <w:szCs w:val="24"/>
                <w:highlight w:val="none"/>
                <w:lang w:val="en-US" w:eastAsia="zh-CN"/>
              </w:rPr>
              <w:t>；</w:t>
            </w:r>
          </w:p>
          <w:p w14:paraId="780D3EDD">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整机能效限定值</w:t>
            </w:r>
            <w:r>
              <w:rPr>
                <w:rFonts w:hint="default"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产品能效限定值应达到GB28380-2012标准中能效等级2级及以上</w:t>
            </w:r>
            <w:r>
              <w:rPr>
                <w:rFonts w:hint="eastAsia" w:ascii="方正仿宋_GBK" w:hAnsi="方正仿宋_GBK" w:eastAsia="方正仿宋_GBK" w:cs="方正仿宋_GBK"/>
                <w:b w:val="0"/>
                <w:bCs w:val="0"/>
                <w:sz w:val="24"/>
                <w:szCs w:val="24"/>
                <w:highlight w:val="none"/>
                <w:lang w:val="en-US" w:eastAsia="zh-CN"/>
              </w:rPr>
              <w:t>；</w:t>
            </w:r>
          </w:p>
          <w:p w14:paraId="14D54067">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机身材质</w:t>
            </w:r>
            <w:r>
              <w:rPr>
                <w:rFonts w:hint="default"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金属</w:t>
            </w:r>
            <w:r>
              <w:rPr>
                <w:rFonts w:hint="eastAsia" w:ascii="方正仿宋_GBK" w:hAnsi="方正仿宋_GBK" w:eastAsia="方正仿宋_GBK" w:cs="方正仿宋_GBK"/>
                <w:b w:val="0"/>
                <w:bCs w:val="0"/>
                <w:sz w:val="24"/>
                <w:szCs w:val="24"/>
                <w:highlight w:val="none"/>
                <w:lang w:val="en-US" w:eastAsia="zh-CN"/>
              </w:rPr>
              <w:t>；</w:t>
            </w:r>
          </w:p>
          <w:p w14:paraId="673A1EE1">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机身颜色</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灰色/黑色等商务色系</w:t>
            </w:r>
            <w:r>
              <w:rPr>
                <w:rFonts w:hint="eastAsia" w:ascii="方正仿宋_GBK" w:hAnsi="方正仿宋_GBK" w:eastAsia="方正仿宋_GBK" w:cs="方正仿宋_GBK"/>
                <w:b w:val="0"/>
                <w:bCs w:val="0"/>
                <w:sz w:val="24"/>
                <w:szCs w:val="24"/>
                <w:highlight w:val="none"/>
                <w:lang w:val="en-US" w:eastAsia="zh-CN"/>
              </w:rPr>
              <w:t>；</w:t>
            </w:r>
          </w:p>
          <w:p w14:paraId="5BDE5DC3">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机箱尺寸容量</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机箱体积应</w:t>
            </w:r>
            <w:r>
              <w:rPr>
                <w:rFonts w:hint="eastAsia" w:ascii="方正仿宋_GBK" w:hAnsi="方正仿宋_GBK" w:eastAsia="方正仿宋_GBK" w:cs="方正仿宋_GBK"/>
                <w:b w:val="0"/>
                <w:bCs w:val="0"/>
                <w:sz w:val="24"/>
                <w:szCs w:val="24"/>
                <w:highlight w:val="none"/>
                <w:lang w:val="en-US" w:eastAsia="zh-CN"/>
              </w:rPr>
              <w:t>≤13</w:t>
            </w:r>
            <w:r>
              <w:rPr>
                <w:rFonts w:hint="default" w:ascii="方正仿宋_GBK" w:hAnsi="方正仿宋_GBK" w:eastAsia="方正仿宋_GBK" w:cs="方正仿宋_GBK"/>
                <w:b w:val="0"/>
                <w:bCs w:val="0"/>
                <w:sz w:val="24"/>
                <w:szCs w:val="24"/>
                <w:highlight w:val="none"/>
                <w:lang w:val="en-US" w:eastAsia="zh-CN"/>
              </w:rPr>
              <w:t>L</w:t>
            </w:r>
            <w:r>
              <w:rPr>
                <w:rFonts w:hint="eastAsia" w:ascii="方正仿宋_GBK" w:hAnsi="方正仿宋_GBK" w:eastAsia="方正仿宋_GBK" w:cs="方正仿宋_GBK"/>
                <w:b w:val="0"/>
                <w:bCs w:val="0"/>
                <w:sz w:val="24"/>
                <w:szCs w:val="24"/>
                <w:highlight w:val="none"/>
                <w:lang w:val="en-US" w:eastAsia="zh-CN"/>
              </w:rPr>
              <w:t>；</w:t>
            </w:r>
          </w:p>
          <w:p w14:paraId="67135F64">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CPU物理核数</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w:t>
            </w:r>
            <w:r>
              <w:rPr>
                <w:rFonts w:hint="eastAsia" w:ascii="方正仿宋_GBK" w:hAnsi="方正仿宋_GBK" w:eastAsia="方正仿宋_GBK" w:cs="方正仿宋_GBK"/>
                <w:b w:val="0"/>
                <w:bCs w:val="0"/>
                <w:sz w:val="24"/>
                <w:szCs w:val="24"/>
                <w:highlight w:val="none"/>
                <w:lang w:val="en-US" w:eastAsia="zh-CN"/>
              </w:rPr>
              <w:t>8；</w:t>
            </w:r>
          </w:p>
          <w:p w14:paraId="13EC7F77">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CPU主频</w:t>
            </w:r>
            <w:r>
              <w:rPr>
                <w:rFonts w:hint="default"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w:t>
            </w:r>
            <w:r>
              <w:rPr>
                <w:rFonts w:hint="eastAsia" w:ascii="方正仿宋_GBK" w:hAnsi="方正仿宋_GBK" w:eastAsia="方正仿宋_GBK" w:cs="方正仿宋_GBK"/>
                <w:b w:val="0"/>
                <w:bCs w:val="0"/>
                <w:sz w:val="24"/>
                <w:szCs w:val="24"/>
                <w:highlight w:val="none"/>
                <w:lang w:val="en-US" w:eastAsia="zh-CN"/>
              </w:rPr>
              <w:t>2.5</w:t>
            </w:r>
            <w:r>
              <w:rPr>
                <w:rFonts w:hint="default" w:ascii="方正仿宋_GBK" w:hAnsi="方正仿宋_GBK" w:eastAsia="方正仿宋_GBK" w:cs="方正仿宋_GBK"/>
                <w:b w:val="0"/>
                <w:bCs w:val="0"/>
                <w:sz w:val="24"/>
                <w:szCs w:val="24"/>
                <w:highlight w:val="none"/>
                <w:lang w:val="en-US" w:eastAsia="zh-CN"/>
              </w:rPr>
              <w:t>GHz</w:t>
            </w:r>
            <w:r>
              <w:rPr>
                <w:rFonts w:hint="eastAsia" w:ascii="方正仿宋_GBK" w:hAnsi="方正仿宋_GBK" w:eastAsia="方正仿宋_GBK" w:cs="方正仿宋_GBK"/>
                <w:b w:val="0"/>
                <w:bCs w:val="0"/>
                <w:sz w:val="24"/>
                <w:szCs w:val="24"/>
                <w:highlight w:val="none"/>
                <w:lang w:val="en-US" w:eastAsia="zh-CN"/>
              </w:rPr>
              <w:t>；</w:t>
            </w:r>
          </w:p>
          <w:p w14:paraId="66F55C6D">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CPU末级缓存容量</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w:t>
            </w:r>
            <w:r>
              <w:rPr>
                <w:rFonts w:hint="eastAsia" w:ascii="方正仿宋_GBK" w:hAnsi="方正仿宋_GBK" w:eastAsia="方正仿宋_GBK" w:cs="方正仿宋_GBK"/>
                <w:b w:val="0"/>
                <w:bCs w:val="0"/>
                <w:sz w:val="24"/>
                <w:szCs w:val="24"/>
                <w:highlight w:val="none"/>
                <w:lang w:val="en-US" w:eastAsia="zh-CN"/>
              </w:rPr>
              <w:t>4</w:t>
            </w:r>
            <w:r>
              <w:rPr>
                <w:rFonts w:hint="default" w:ascii="方正仿宋_GBK" w:hAnsi="方正仿宋_GBK" w:eastAsia="方正仿宋_GBK" w:cs="方正仿宋_GBK"/>
                <w:b w:val="0"/>
                <w:bCs w:val="0"/>
                <w:sz w:val="24"/>
                <w:szCs w:val="24"/>
                <w:highlight w:val="none"/>
                <w:lang w:val="en-US" w:eastAsia="zh-CN"/>
              </w:rPr>
              <w:t>MB</w:t>
            </w:r>
            <w:r>
              <w:rPr>
                <w:rFonts w:hint="eastAsia" w:ascii="方正仿宋_GBK" w:hAnsi="方正仿宋_GBK" w:eastAsia="方正仿宋_GBK" w:cs="方正仿宋_GBK"/>
                <w:b w:val="0"/>
                <w:bCs w:val="0"/>
                <w:sz w:val="24"/>
                <w:szCs w:val="24"/>
                <w:highlight w:val="none"/>
                <w:lang w:val="en-US" w:eastAsia="zh-CN"/>
              </w:rPr>
              <w:t>；</w:t>
            </w:r>
          </w:p>
          <w:p w14:paraId="6FD8A81D">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CPU支持的内存最高速率</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ab/>
            </w:r>
            <w:r>
              <w:rPr>
                <w:rFonts w:hint="default" w:ascii="方正仿宋_GBK" w:hAnsi="方正仿宋_GBK" w:eastAsia="方正仿宋_GBK" w:cs="方正仿宋_GBK"/>
                <w:b w:val="0"/>
                <w:bCs w:val="0"/>
                <w:sz w:val="24"/>
                <w:szCs w:val="24"/>
                <w:highlight w:val="none"/>
                <w:lang w:val="en-US" w:eastAsia="zh-CN"/>
              </w:rPr>
              <w:t>≥2666MT/s</w:t>
            </w:r>
            <w:r>
              <w:rPr>
                <w:rFonts w:hint="eastAsia" w:ascii="方正仿宋_GBK" w:hAnsi="方正仿宋_GBK" w:eastAsia="方正仿宋_GBK" w:cs="方正仿宋_GBK"/>
                <w:b w:val="0"/>
                <w:bCs w:val="0"/>
                <w:sz w:val="24"/>
                <w:szCs w:val="24"/>
                <w:highlight w:val="none"/>
                <w:lang w:val="en-US" w:eastAsia="zh-CN"/>
              </w:rPr>
              <w:t>；</w:t>
            </w:r>
          </w:p>
          <w:p w14:paraId="56C4956B">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内存读写速率</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≥2666MT/s</w:t>
            </w:r>
            <w:r>
              <w:rPr>
                <w:rFonts w:hint="eastAsia" w:ascii="方正仿宋_GBK" w:hAnsi="方正仿宋_GBK" w:eastAsia="方正仿宋_GBK" w:cs="方正仿宋_GBK"/>
                <w:b w:val="0"/>
                <w:bCs w:val="0"/>
                <w:sz w:val="24"/>
                <w:szCs w:val="24"/>
                <w:highlight w:val="none"/>
                <w:lang w:val="en-US" w:eastAsia="zh-CN"/>
              </w:rPr>
              <w:t>；</w:t>
            </w:r>
          </w:p>
          <w:p w14:paraId="115FDEF0">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显示分辨率</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ab/>
            </w:r>
            <w:r>
              <w:rPr>
                <w:rFonts w:hint="default" w:ascii="方正仿宋_GBK" w:hAnsi="方正仿宋_GBK" w:eastAsia="方正仿宋_GBK" w:cs="方正仿宋_GBK"/>
                <w:b w:val="0"/>
                <w:bCs w:val="0"/>
                <w:sz w:val="24"/>
                <w:szCs w:val="24"/>
                <w:highlight w:val="none"/>
                <w:lang w:val="en-US" w:eastAsia="zh-CN"/>
              </w:rPr>
              <w:t>≥1920x1080</w:t>
            </w:r>
            <w:r>
              <w:rPr>
                <w:rFonts w:hint="eastAsia" w:ascii="方正仿宋_GBK" w:hAnsi="方正仿宋_GBK" w:eastAsia="方正仿宋_GBK" w:cs="方正仿宋_GBK"/>
                <w:b w:val="0"/>
                <w:bCs w:val="0"/>
                <w:sz w:val="24"/>
                <w:szCs w:val="24"/>
                <w:highlight w:val="none"/>
                <w:lang w:val="en-US" w:eastAsia="zh-CN"/>
              </w:rPr>
              <w:t>；</w:t>
            </w:r>
          </w:p>
          <w:p w14:paraId="6CB73F47">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显卡显示芯片核心频率</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ab/>
            </w:r>
            <w:r>
              <w:rPr>
                <w:rFonts w:hint="default" w:ascii="方正仿宋_GBK" w:hAnsi="方正仿宋_GBK" w:eastAsia="方正仿宋_GBK" w:cs="方正仿宋_GBK"/>
                <w:b w:val="0"/>
                <w:bCs w:val="0"/>
                <w:sz w:val="24"/>
                <w:szCs w:val="24"/>
                <w:highlight w:val="none"/>
                <w:lang w:val="en-US" w:eastAsia="zh-CN"/>
              </w:rPr>
              <w:t>≥300MHz</w:t>
            </w:r>
            <w:r>
              <w:rPr>
                <w:rFonts w:hint="eastAsia" w:ascii="方正仿宋_GBK" w:hAnsi="方正仿宋_GBK" w:eastAsia="方正仿宋_GBK" w:cs="方正仿宋_GBK"/>
                <w:b w:val="0"/>
                <w:bCs w:val="0"/>
                <w:sz w:val="24"/>
                <w:szCs w:val="24"/>
                <w:highlight w:val="none"/>
                <w:lang w:val="en-US" w:eastAsia="zh-CN"/>
              </w:rPr>
              <w:t>；</w:t>
            </w:r>
          </w:p>
          <w:p w14:paraId="40EE9AB1">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显存等效频率</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≥1000MT/s</w:t>
            </w:r>
            <w:r>
              <w:rPr>
                <w:rFonts w:hint="eastAsia" w:ascii="方正仿宋_GBK" w:hAnsi="方正仿宋_GBK" w:eastAsia="方正仿宋_GBK" w:cs="方正仿宋_GBK"/>
                <w:b w:val="0"/>
                <w:bCs w:val="0"/>
                <w:sz w:val="24"/>
                <w:szCs w:val="24"/>
                <w:highlight w:val="none"/>
                <w:lang w:val="en-US" w:eastAsia="zh-CN"/>
              </w:rPr>
              <w:t>；</w:t>
            </w:r>
          </w:p>
          <w:p w14:paraId="0407BE9D">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显卡可支持多屏同时显示数量</w:t>
            </w:r>
            <w:r>
              <w:rPr>
                <w:rFonts w:hint="default"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显卡应支持2块屏幕同时显示，分辨率应不低于1920×1080</w:t>
            </w:r>
            <w:r>
              <w:rPr>
                <w:rFonts w:hint="eastAsia" w:ascii="方正仿宋_GBK" w:hAnsi="方正仿宋_GBK" w:eastAsia="方正仿宋_GBK" w:cs="方正仿宋_GBK"/>
                <w:b w:val="0"/>
                <w:bCs w:val="0"/>
                <w:sz w:val="24"/>
                <w:szCs w:val="24"/>
                <w:highlight w:val="none"/>
                <w:lang w:val="en-US" w:eastAsia="zh-CN"/>
              </w:rPr>
              <w:t>；</w:t>
            </w:r>
          </w:p>
          <w:p w14:paraId="13DA28D7">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显示屏刷新率</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≥75Hz</w:t>
            </w:r>
            <w:r>
              <w:rPr>
                <w:rFonts w:hint="eastAsia" w:ascii="方正仿宋_GBK" w:hAnsi="方正仿宋_GBK" w:eastAsia="方正仿宋_GBK" w:cs="方正仿宋_GBK"/>
                <w:b w:val="0"/>
                <w:bCs w:val="0"/>
                <w:sz w:val="24"/>
                <w:szCs w:val="24"/>
                <w:highlight w:val="none"/>
                <w:lang w:val="en-US" w:eastAsia="zh-CN"/>
              </w:rPr>
              <w:t>；</w:t>
            </w:r>
          </w:p>
          <w:p w14:paraId="7F72527D">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显示屏位深</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≥8位</w:t>
            </w:r>
            <w:r>
              <w:rPr>
                <w:rFonts w:hint="eastAsia" w:ascii="方正仿宋_GBK" w:hAnsi="方正仿宋_GBK" w:eastAsia="方正仿宋_GBK" w:cs="方正仿宋_GBK"/>
                <w:b w:val="0"/>
                <w:bCs w:val="0"/>
                <w:sz w:val="24"/>
                <w:szCs w:val="24"/>
                <w:highlight w:val="none"/>
                <w:lang w:val="en-US" w:eastAsia="zh-CN"/>
              </w:rPr>
              <w:t>；</w:t>
            </w:r>
          </w:p>
          <w:p w14:paraId="740F81B7">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显示屏色域</w:t>
            </w:r>
            <w:r>
              <w:rPr>
                <w:rFonts w:hint="default"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≥99%sRGB</w:t>
            </w:r>
            <w:r>
              <w:rPr>
                <w:rFonts w:hint="eastAsia" w:ascii="方正仿宋_GBK" w:hAnsi="方正仿宋_GBK" w:eastAsia="方正仿宋_GBK" w:cs="方正仿宋_GBK"/>
                <w:b w:val="0"/>
                <w:bCs w:val="0"/>
                <w:sz w:val="24"/>
                <w:szCs w:val="24"/>
                <w:highlight w:val="none"/>
                <w:lang w:val="en-US" w:eastAsia="zh-CN"/>
              </w:rPr>
              <w:t>；</w:t>
            </w:r>
          </w:p>
          <w:p w14:paraId="2C1889A5">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显示屏色准</w:t>
            </w:r>
            <w:r>
              <w:rPr>
                <w:rFonts w:hint="default"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△E≤4</w:t>
            </w:r>
            <w:r>
              <w:rPr>
                <w:rFonts w:hint="eastAsia" w:ascii="方正仿宋_GBK" w:hAnsi="方正仿宋_GBK" w:eastAsia="方正仿宋_GBK" w:cs="方正仿宋_GBK"/>
                <w:b w:val="0"/>
                <w:bCs w:val="0"/>
                <w:sz w:val="24"/>
                <w:szCs w:val="24"/>
                <w:highlight w:val="none"/>
                <w:lang w:val="en-US" w:eastAsia="zh-CN"/>
              </w:rPr>
              <w:t>；</w:t>
            </w:r>
          </w:p>
          <w:p w14:paraId="34408883">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显示屏响应时间</w:t>
            </w:r>
            <w:r>
              <w:rPr>
                <w:rFonts w:hint="default"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≤8ms</w:t>
            </w:r>
            <w:r>
              <w:rPr>
                <w:rFonts w:hint="eastAsia" w:ascii="方正仿宋_GBK" w:hAnsi="方正仿宋_GBK" w:eastAsia="方正仿宋_GBK" w:cs="方正仿宋_GBK"/>
                <w:b w:val="0"/>
                <w:bCs w:val="0"/>
                <w:sz w:val="24"/>
                <w:szCs w:val="24"/>
                <w:highlight w:val="none"/>
                <w:lang w:val="en-US" w:eastAsia="zh-CN"/>
              </w:rPr>
              <w:t>；</w:t>
            </w:r>
          </w:p>
          <w:p w14:paraId="5140F6CE">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显示屏亮度</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≥250尼特</w:t>
            </w:r>
            <w:r>
              <w:rPr>
                <w:rFonts w:hint="eastAsia" w:ascii="方正仿宋_GBK" w:hAnsi="方正仿宋_GBK" w:eastAsia="方正仿宋_GBK" w:cs="方正仿宋_GBK"/>
                <w:b w:val="0"/>
                <w:bCs w:val="0"/>
                <w:sz w:val="24"/>
                <w:szCs w:val="24"/>
                <w:highlight w:val="none"/>
                <w:lang w:val="en-US" w:eastAsia="zh-CN"/>
              </w:rPr>
              <w:t>；</w:t>
            </w:r>
          </w:p>
          <w:p w14:paraId="580E6463">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显示屏亮度一致性</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≥70%</w:t>
            </w:r>
            <w:r>
              <w:rPr>
                <w:rFonts w:hint="eastAsia" w:ascii="方正仿宋_GBK" w:hAnsi="方正仿宋_GBK" w:eastAsia="方正仿宋_GBK" w:cs="方正仿宋_GBK"/>
                <w:b w:val="0"/>
                <w:bCs w:val="0"/>
                <w:sz w:val="24"/>
                <w:szCs w:val="24"/>
                <w:highlight w:val="none"/>
                <w:lang w:val="en-US" w:eastAsia="zh-CN"/>
              </w:rPr>
              <w:t>；</w:t>
            </w:r>
          </w:p>
          <w:p w14:paraId="0BA47633">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显示屏对比度</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≥500：1</w:t>
            </w:r>
            <w:r>
              <w:rPr>
                <w:rFonts w:hint="eastAsia" w:ascii="方正仿宋_GBK" w:hAnsi="方正仿宋_GBK" w:eastAsia="方正仿宋_GBK" w:cs="方正仿宋_GBK"/>
                <w:b w:val="0"/>
                <w:bCs w:val="0"/>
                <w:sz w:val="24"/>
                <w:szCs w:val="24"/>
                <w:highlight w:val="none"/>
                <w:lang w:val="en-US" w:eastAsia="zh-CN"/>
              </w:rPr>
              <w:t>；</w:t>
            </w:r>
          </w:p>
          <w:p w14:paraId="1038A279">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显示屏其他参数</w:t>
            </w:r>
            <w:r>
              <w:rPr>
                <w:rFonts w:hint="default" w:ascii="方正仿宋_GBK" w:hAnsi="方正仿宋_GBK" w:eastAsia="方正仿宋_GBK" w:cs="方正仿宋_GBK"/>
                <w:b w:val="0"/>
                <w:bCs w:val="0"/>
                <w:sz w:val="24"/>
                <w:szCs w:val="24"/>
                <w:highlight w:val="none"/>
                <w:lang w:val="en-US" w:eastAsia="zh-CN"/>
              </w:rPr>
              <w:tab/>
            </w:r>
            <w:r>
              <w:rPr>
                <w:rFonts w:hint="default" w:ascii="方正仿宋_GBK" w:hAnsi="方正仿宋_GBK" w:eastAsia="方正仿宋_GBK" w:cs="方正仿宋_GBK"/>
                <w:b w:val="0"/>
                <w:bCs w:val="0"/>
                <w:sz w:val="24"/>
                <w:szCs w:val="24"/>
                <w:highlight w:val="none"/>
                <w:lang w:val="en-US" w:eastAsia="zh-CN"/>
              </w:rPr>
              <w:t>其它参数</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应符合SJ/T11292的相关规定</w:t>
            </w:r>
            <w:r>
              <w:rPr>
                <w:rFonts w:hint="eastAsia" w:ascii="方正仿宋_GBK" w:hAnsi="方正仿宋_GBK" w:eastAsia="方正仿宋_GBK" w:cs="方正仿宋_GBK"/>
                <w:b w:val="0"/>
                <w:bCs w:val="0"/>
                <w:sz w:val="24"/>
                <w:szCs w:val="24"/>
                <w:highlight w:val="none"/>
                <w:lang w:val="en-US" w:eastAsia="zh-CN"/>
              </w:rPr>
              <w:t>；</w:t>
            </w:r>
          </w:p>
          <w:p w14:paraId="2FC0C3F7">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有线网卡速率</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ab/>
            </w:r>
            <w:r>
              <w:rPr>
                <w:rFonts w:hint="default" w:ascii="方正仿宋_GBK" w:hAnsi="方正仿宋_GBK" w:eastAsia="方正仿宋_GBK" w:cs="方正仿宋_GBK"/>
                <w:b w:val="0"/>
                <w:bCs w:val="0"/>
                <w:sz w:val="24"/>
                <w:szCs w:val="24"/>
                <w:highlight w:val="none"/>
                <w:lang w:val="en-US" w:eastAsia="zh-CN"/>
              </w:rPr>
              <w:t>最高速率应不低于1000Mbps，应支持10Mbps、100Mbps、1000Mbps速率自适应</w:t>
            </w:r>
            <w:r>
              <w:rPr>
                <w:rFonts w:hint="eastAsia" w:ascii="方正仿宋_GBK" w:hAnsi="方正仿宋_GBK" w:eastAsia="方正仿宋_GBK" w:cs="方正仿宋_GBK"/>
                <w:b w:val="0"/>
                <w:bCs w:val="0"/>
                <w:sz w:val="24"/>
                <w:szCs w:val="24"/>
                <w:highlight w:val="none"/>
                <w:lang w:val="en-US" w:eastAsia="zh-CN"/>
              </w:rPr>
              <w:t>；</w:t>
            </w:r>
          </w:p>
          <w:p w14:paraId="124F846A">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内存扩展接口</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(板载内存不涉及)</w:t>
            </w:r>
            <w:r>
              <w:rPr>
                <w:rFonts w:hint="default" w:ascii="方正仿宋_GBK" w:hAnsi="方正仿宋_GBK" w:eastAsia="方正仿宋_GBK" w:cs="方正仿宋_GBK"/>
                <w:b w:val="0"/>
                <w:bCs w:val="0"/>
                <w:sz w:val="24"/>
                <w:szCs w:val="24"/>
                <w:highlight w:val="none"/>
                <w:lang w:val="en-US" w:eastAsia="zh-CN"/>
              </w:rPr>
              <w:tab/>
            </w:r>
            <w:r>
              <w:rPr>
                <w:rFonts w:hint="default" w:ascii="方正仿宋_GBK" w:hAnsi="方正仿宋_GBK" w:eastAsia="方正仿宋_GBK" w:cs="方正仿宋_GBK"/>
                <w:b w:val="0"/>
                <w:bCs w:val="0"/>
                <w:sz w:val="24"/>
                <w:szCs w:val="24"/>
                <w:highlight w:val="none"/>
                <w:lang w:val="en-US" w:eastAsia="zh-CN"/>
              </w:rPr>
              <w:t>≥2个</w:t>
            </w:r>
          </w:p>
          <w:p w14:paraId="2092310F">
            <w:pPr>
              <w:keepNext w:val="0"/>
              <w:keepLines w:val="0"/>
              <w:pageBreakBefore w:val="0"/>
              <w:widowControl/>
              <w:numPr>
                <w:ilvl w:val="0"/>
                <w:numId w:val="10"/>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存储扩展接口类型</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UFS3.0、SATA3.0、SAS3.0、M.2等类型接口</w:t>
            </w:r>
            <w:r>
              <w:rPr>
                <w:rFonts w:hint="eastAsia" w:ascii="方正仿宋_GBK" w:hAnsi="方正仿宋_GBK" w:eastAsia="方正仿宋_GBK" w:cs="方正仿宋_GBK"/>
                <w:b w:val="0"/>
                <w:bCs w:val="0"/>
                <w:sz w:val="24"/>
                <w:szCs w:val="24"/>
                <w:highlight w:val="none"/>
                <w:lang w:val="en-US" w:eastAsia="zh-CN"/>
              </w:rPr>
              <w:t>；</w:t>
            </w:r>
          </w:p>
          <w:p w14:paraId="0432BE37">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主板USB瞬间过流保护</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ab/>
            </w:r>
            <w:r>
              <w:rPr>
                <w:rFonts w:hint="default" w:ascii="方正仿宋_GBK" w:hAnsi="方正仿宋_GBK" w:eastAsia="方正仿宋_GBK" w:cs="方正仿宋_GBK"/>
                <w:b w:val="0"/>
                <w:bCs w:val="0"/>
                <w:sz w:val="24"/>
                <w:szCs w:val="24"/>
                <w:highlight w:val="none"/>
                <w:lang w:val="en-US" w:eastAsia="zh-CN"/>
              </w:rPr>
              <w:t>支持有瞬间过流保护功能</w:t>
            </w:r>
            <w:r>
              <w:rPr>
                <w:rFonts w:hint="eastAsia" w:ascii="方正仿宋_GBK" w:hAnsi="方正仿宋_GBK" w:eastAsia="方正仿宋_GBK" w:cs="方正仿宋_GBK"/>
                <w:b w:val="0"/>
                <w:bCs w:val="0"/>
                <w:sz w:val="24"/>
                <w:szCs w:val="24"/>
                <w:highlight w:val="none"/>
                <w:lang w:val="en-US" w:eastAsia="zh-CN"/>
              </w:rPr>
              <w:t>；</w:t>
            </w:r>
          </w:p>
          <w:p w14:paraId="26788280">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主板防静电保护</w:t>
            </w:r>
            <w:r>
              <w:rPr>
                <w:rFonts w:hint="default"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支持防静电保护功能</w:t>
            </w:r>
            <w:r>
              <w:rPr>
                <w:rFonts w:hint="eastAsia" w:ascii="方正仿宋_GBK" w:hAnsi="方正仿宋_GBK" w:eastAsia="方正仿宋_GBK" w:cs="方正仿宋_GBK"/>
                <w:b w:val="0"/>
                <w:bCs w:val="0"/>
                <w:sz w:val="24"/>
                <w:szCs w:val="24"/>
                <w:highlight w:val="none"/>
                <w:lang w:val="en-US" w:eastAsia="zh-CN"/>
              </w:rPr>
              <w:t>；</w:t>
            </w:r>
          </w:p>
          <w:p w14:paraId="0B85BAA1">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I/O接口功能</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hint="eastAsia" w:ascii="方正仿宋_GBK" w:hAnsi="方正仿宋_GBK" w:eastAsia="方正仿宋_GBK" w:cs="方正仿宋_GBK"/>
                <w:b w:val="0"/>
                <w:bCs w:val="0"/>
                <w:sz w:val="24"/>
                <w:szCs w:val="24"/>
                <w:highlight w:val="none"/>
                <w:lang w:val="en-US" w:eastAsia="zh-CN"/>
              </w:rPr>
              <w:t>；</w:t>
            </w:r>
          </w:p>
          <w:p w14:paraId="298AAC6F">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显卡外接显示接口</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显卡至少支持VGA、HDMI、DVI、DP、Type-C中1种显示接口，并与显示器接口相匹配</w:t>
            </w:r>
            <w:r>
              <w:rPr>
                <w:rFonts w:hint="eastAsia" w:ascii="方正仿宋_GBK" w:hAnsi="方正仿宋_GBK" w:eastAsia="方正仿宋_GBK" w:cs="方正仿宋_GBK"/>
                <w:b w:val="0"/>
                <w:bCs w:val="0"/>
                <w:sz w:val="24"/>
                <w:szCs w:val="24"/>
                <w:highlight w:val="none"/>
                <w:lang w:val="en-US" w:eastAsia="zh-CN"/>
              </w:rPr>
              <w:t>；</w:t>
            </w:r>
          </w:p>
          <w:p w14:paraId="0619145A">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独立显卡数量</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≥1</w:t>
            </w:r>
            <w:r>
              <w:rPr>
                <w:rFonts w:hint="eastAsia" w:ascii="方正仿宋_GBK" w:hAnsi="方正仿宋_GBK" w:eastAsia="方正仿宋_GBK" w:cs="方正仿宋_GBK"/>
                <w:b w:val="0"/>
                <w:bCs w:val="0"/>
                <w:sz w:val="24"/>
                <w:szCs w:val="24"/>
                <w:highlight w:val="none"/>
                <w:lang w:val="en-US" w:eastAsia="zh-CN"/>
              </w:rPr>
              <w:t>；</w:t>
            </w:r>
          </w:p>
          <w:p w14:paraId="6E01D590">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显示器接口</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显示器应与显卡外接显示接口匹配</w:t>
            </w:r>
            <w:r>
              <w:rPr>
                <w:rFonts w:hint="eastAsia" w:ascii="方正仿宋_GBK" w:hAnsi="方正仿宋_GBK" w:eastAsia="方正仿宋_GBK" w:cs="方正仿宋_GBK"/>
                <w:b w:val="0"/>
                <w:bCs w:val="0"/>
                <w:sz w:val="24"/>
                <w:szCs w:val="24"/>
                <w:highlight w:val="none"/>
                <w:lang w:val="en-US" w:eastAsia="zh-CN"/>
              </w:rPr>
              <w:t>；</w:t>
            </w:r>
          </w:p>
          <w:p w14:paraId="410FFF99">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显示器支架</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显示器应提供显示器支架，根据采购人需求支持屏幕旋转、升降等</w:t>
            </w:r>
            <w:r>
              <w:rPr>
                <w:rFonts w:hint="eastAsia" w:ascii="方正仿宋_GBK" w:hAnsi="方正仿宋_GBK" w:eastAsia="方正仿宋_GBK" w:cs="方正仿宋_GBK"/>
                <w:b w:val="0"/>
                <w:bCs w:val="0"/>
                <w:sz w:val="24"/>
                <w:szCs w:val="24"/>
                <w:highlight w:val="none"/>
                <w:lang w:val="en-US" w:eastAsia="zh-CN"/>
              </w:rPr>
              <w:t>；</w:t>
            </w:r>
          </w:p>
          <w:p w14:paraId="71588D71">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显示器参数调节</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a)提供OSD选单按钮用于调节色彩、模式等；b)支持色温、亮度、对比度调节</w:t>
            </w:r>
            <w:r>
              <w:rPr>
                <w:rFonts w:hint="eastAsia" w:ascii="方正仿宋_GBK" w:hAnsi="方正仿宋_GBK" w:eastAsia="方正仿宋_GBK" w:cs="方正仿宋_GBK"/>
                <w:b w:val="0"/>
                <w:bCs w:val="0"/>
                <w:sz w:val="24"/>
                <w:szCs w:val="24"/>
                <w:highlight w:val="none"/>
                <w:lang w:val="en-US" w:eastAsia="zh-CN"/>
              </w:rPr>
              <w:t>；</w:t>
            </w:r>
          </w:p>
          <w:p w14:paraId="5BFF0057">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存储功能</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通过SATA固态存储/PCIe固态存储/UFS固态存储/SATA硬磁盘等存储部件提供存储功能</w:t>
            </w:r>
            <w:r>
              <w:rPr>
                <w:rFonts w:hint="eastAsia" w:ascii="方正仿宋_GBK" w:hAnsi="方正仿宋_GBK" w:eastAsia="方正仿宋_GBK" w:cs="方正仿宋_GBK"/>
                <w:b w:val="0"/>
                <w:bCs w:val="0"/>
                <w:sz w:val="24"/>
                <w:szCs w:val="24"/>
                <w:highlight w:val="none"/>
                <w:lang w:val="en-US" w:eastAsia="zh-CN"/>
              </w:rPr>
              <w:t>；</w:t>
            </w:r>
          </w:p>
          <w:p w14:paraId="56DF26A1">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网络功能</w:t>
            </w:r>
            <w:r>
              <w:rPr>
                <w:rFonts w:hint="default"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a)支持网络连接、网络开启/关闭功能；b)支持访问网络和数据交换功能</w:t>
            </w:r>
            <w:r>
              <w:rPr>
                <w:rFonts w:hint="eastAsia" w:ascii="方正仿宋_GBK" w:hAnsi="方正仿宋_GBK" w:eastAsia="方正仿宋_GBK" w:cs="方正仿宋_GBK"/>
                <w:b w:val="0"/>
                <w:bCs w:val="0"/>
                <w:sz w:val="24"/>
                <w:szCs w:val="24"/>
                <w:highlight w:val="none"/>
                <w:lang w:val="en-US" w:eastAsia="zh-CN"/>
              </w:rPr>
              <w:t>；</w:t>
            </w:r>
          </w:p>
          <w:p w14:paraId="6C93CA0A">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数据传输</w:t>
            </w:r>
            <w:r>
              <w:rPr>
                <w:rFonts w:hint="default"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支持数据传输能力，并提供数据流量和异常日志记录功能</w:t>
            </w:r>
            <w:r>
              <w:rPr>
                <w:rFonts w:hint="eastAsia" w:ascii="方正仿宋_GBK" w:hAnsi="方正仿宋_GBK" w:eastAsia="方正仿宋_GBK" w:cs="方正仿宋_GBK"/>
                <w:b w:val="0"/>
                <w:bCs w:val="0"/>
                <w:sz w:val="24"/>
                <w:szCs w:val="24"/>
                <w:highlight w:val="none"/>
                <w:lang w:val="en-US" w:eastAsia="zh-CN"/>
              </w:rPr>
              <w:t>；</w:t>
            </w:r>
          </w:p>
          <w:p w14:paraId="36A0C327">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有线网卡接口类型</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支持RJ45接口</w:t>
            </w:r>
            <w:r>
              <w:rPr>
                <w:rFonts w:hint="eastAsia" w:ascii="方正仿宋_GBK" w:hAnsi="方正仿宋_GBK" w:eastAsia="方正仿宋_GBK" w:cs="方正仿宋_GBK"/>
                <w:b w:val="0"/>
                <w:bCs w:val="0"/>
                <w:sz w:val="24"/>
                <w:szCs w:val="24"/>
                <w:highlight w:val="none"/>
                <w:lang w:val="en-US" w:eastAsia="zh-CN"/>
              </w:rPr>
              <w:t>；</w:t>
            </w:r>
          </w:p>
          <w:p w14:paraId="0BB34855">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网络设备拆装</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网络设备支持物理拆装，包括无线网卡和蓝牙模块等</w:t>
            </w:r>
            <w:r>
              <w:rPr>
                <w:rFonts w:hint="eastAsia" w:ascii="方正仿宋_GBK" w:hAnsi="方正仿宋_GBK" w:eastAsia="方正仿宋_GBK" w:cs="方正仿宋_GBK"/>
                <w:b w:val="0"/>
                <w:bCs w:val="0"/>
                <w:sz w:val="24"/>
                <w:szCs w:val="24"/>
                <w:highlight w:val="none"/>
                <w:lang w:val="en-US" w:eastAsia="zh-CN"/>
              </w:rPr>
              <w:t>；</w:t>
            </w:r>
          </w:p>
          <w:p w14:paraId="28DF0AFB">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音频接口类型</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支持3.5mm孔径3段式或4段式接口</w:t>
            </w:r>
            <w:r>
              <w:rPr>
                <w:rFonts w:hint="eastAsia" w:ascii="方正仿宋_GBK" w:hAnsi="方正仿宋_GBK" w:eastAsia="方正仿宋_GBK" w:cs="方正仿宋_GBK"/>
                <w:b w:val="0"/>
                <w:bCs w:val="0"/>
                <w:sz w:val="24"/>
                <w:szCs w:val="24"/>
                <w:highlight w:val="none"/>
                <w:lang w:val="en-US" w:eastAsia="zh-CN"/>
              </w:rPr>
              <w:t>；</w:t>
            </w:r>
          </w:p>
          <w:p w14:paraId="7CBEC79A">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视频接口类型</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至少支持VGA、HDMI、DVI、DP、Type-C中1种显示接口</w:t>
            </w:r>
            <w:r>
              <w:rPr>
                <w:rFonts w:hint="eastAsia" w:ascii="方正仿宋_GBK" w:hAnsi="方正仿宋_GBK" w:eastAsia="方正仿宋_GBK" w:cs="方正仿宋_GBK"/>
                <w:b w:val="0"/>
                <w:bCs w:val="0"/>
                <w:sz w:val="24"/>
                <w:szCs w:val="24"/>
                <w:highlight w:val="none"/>
                <w:lang w:val="en-US" w:eastAsia="zh-CN"/>
              </w:rPr>
              <w:t>；</w:t>
            </w:r>
          </w:p>
          <w:p w14:paraId="016F5248">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HDMI</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DPType-C显示接口要求</w:t>
            </w:r>
            <w:r>
              <w:rPr>
                <w:rFonts w:hint="default"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若提供HDMI或DP或Type-C作为显示接口，应支持音频和视频同步输出</w:t>
            </w:r>
            <w:r>
              <w:rPr>
                <w:rFonts w:hint="eastAsia" w:ascii="方正仿宋_GBK" w:hAnsi="方正仿宋_GBK" w:eastAsia="方正仿宋_GBK" w:cs="方正仿宋_GBK"/>
                <w:b w:val="0"/>
                <w:bCs w:val="0"/>
                <w:sz w:val="24"/>
                <w:szCs w:val="24"/>
                <w:highlight w:val="none"/>
                <w:lang w:val="en-US" w:eastAsia="zh-CN"/>
              </w:rPr>
              <w:t>；</w:t>
            </w:r>
          </w:p>
          <w:p w14:paraId="52A3C7D9">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电源线适配能力</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电源适配器电线组件应符合GB/T15934的要求，可拆线的插头和连接器可以不做要求</w:t>
            </w:r>
            <w:r>
              <w:rPr>
                <w:rFonts w:hint="eastAsia" w:ascii="方正仿宋_GBK" w:hAnsi="方正仿宋_GBK" w:eastAsia="方正仿宋_GBK" w:cs="方正仿宋_GBK"/>
                <w:b w:val="0"/>
                <w:bCs w:val="0"/>
                <w:sz w:val="24"/>
                <w:szCs w:val="24"/>
                <w:highlight w:val="none"/>
                <w:lang w:val="en-US" w:eastAsia="zh-CN"/>
              </w:rPr>
              <w:t>；</w:t>
            </w:r>
          </w:p>
          <w:p w14:paraId="12D3815A">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中文信息处理要求</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ab/>
            </w:r>
            <w:r>
              <w:rPr>
                <w:rFonts w:hint="default" w:ascii="方正仿宋_GBK" w:hAnsi="方正仿宋_GBK" w:eastAsia="方正仿宋_GBK" w:cs="方正仿宋_GBK"/>
                <w:b w:val="0"/>
                <w:bCs w:val="0"/>
                <w:sz w:val="24"/>
                <w:szCs w:val="24"/>
                <w:highlight w:val="none"/>
                <w:lang w:val="en-US" w:eastAsia="zh-CN"/>
              </w:rPr>
              <w:t>符合GB18030的相关规定</w:t>
            </w:r>
            <w:r>
              <w:rPr>
                <w:rFonts w:hint="eastAsia" w:ascii="方正仿宋_GBK" w:hAnsi="方正仿宋_GBK" w:eastAsia="方正仿宋_GBK" w:cs="方正仿宋_GBK"/>
                <w:b w:val="0"/>
                <w:bCs w:val="0"/>
                <w:sz w:val="24"/>
                <w:szCs w:val="24"/>
                <w:highlight w:val="none"/>
                <w:lang w:val="en-US" w:eastAsia="zh-CN"/>
              </w:rPr>
              <w:t>；</w:t>
            </w:r>
          </w:p>
          <w:p w14:paraId="43A42B70">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操作系统备份及还原功能</w:t>
            </w:r>
            <w:r>
              <w:rPr>
                <w:rFonts w:hint="default"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支持操作系统备份及还原功能</w:t>
            </w:r>
            <w:r>
              <w:rPr>
                <w:rFonts w:hint="eastAsia" w:ascii="方正仿宋_GBK" w:hAnsi="方正仿宋_GBK" w:eastAsia="方正仿宋_GBK" w:cs="方正仿宋_GBK"/>
                <w:b w:val="0"/>
                <w:bCs w:val="0"/>
                <w:sz w:val="24"/>
                <w:szCs w:val="24"/>
                <w:highlight w:val="none"/>
                <w:lang w:val="en-US" w:eastAsia="zh-CN"/>
              </w:rPr>
              <w:t>；</w:t>
            </w:r>
          </w:p>
          <w:p w14:paraId="5806763F">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固件备份还原能力</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支持备份及还原固件的功能</w:t>
            </w:r>
            <w:r>
              <w:rPr>
                <w:rFonts w:hint="eastAsia" w:ascii="方正仿宋_GBK" w:hAnsi="方正仿宋_GBK" w:eastAsia="方正仿宋_GBK" w:cs="方正仿宋_GBK"/>
                <w:b w:val="0"/>
                <w:bCs w:val="0"/>
                <w:sz w:val="24"/>
                <w:szCs w:val="24"/>
                <w:highlight w:val="none"/>
                <w:lang w:val="en-US" w:eastAsia="zh-CN"/>
              </w:rPr>
              <w:t>；</w:t>
            </w:r>
          </w:p>
          <w:p w14:paraId="4758C047">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操作系统及驱动升级</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支持通过网络、闪存盘等方式对操作系统、驱动进行升级</w:t>
            </w:r>
            <w:r>
              <w:rPr>
                <w:rFonts w:hint="eastAsia" w:ascii="方正仿宋_GBK" w:hAnsi="方正仿宋_GBK" w:eastAsia="方正仿宋_GBK" w:cs="方正仿宋_GBK"/>
                <w:b w:val="0"/>
                <w:bCs w:val="0"/>
                <w:sz w:val="24"/>
                <w:szCs w:val="24"/>
                <w:highlight w:val="none"/>
                <w:lang w:val="en-US" w:eastAsia="zh-CN"/>
              </w:rPr>
              <w:t>；</w:t>
            </w:r>
          </w:p>
          <w:p w14:paraId="65E0F6B1">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固件升级</w:t>
            </w:r>
            <w:r>
              <w:rPr>
                <w:rFonts w:hint="default"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支持通过网络、闪存盘等方式对固件进行升级</w:t>
            </w:r>
            <w:r>
              <w:rPr>
                <w:rFonts w:hint="eastAsia" w:ascii="方正仿宋_GBK" w:hAnsi="方正仿宋_GBK" w:eastAsia="方正仿宋_GBK" w:cs="方正仿宋_GBK"/>
                <w:b w:val="0"/>
                <w:bCs w:val="0"/>
                <w:sz w:val="24"/>
                <w:szCs w:val="24"/>
                <w:highlight w:val="none"/>
                <w:lang w:val="en-US" w:eastAsia="zh-CN"/>
              </w:rPr>
              <w:t>；</w:t>
            </w:r>
          </w:p>
          <w:p w14:paraId="2FCBA15B">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BIOS支持关闭通讯接口</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支持BIOS关闭以太网及USB接口</w:t>
            </w:r>
          </w:p>
          <w:p w14:paraId="49A71214">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固件查看信息</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支持查看固件版本、内存信息、主板信息、处理器信息和系统时间信息等功能</w:t>
            </w:r>
            <w:r>
              <w:rPr>
                <w:rFonts w:hint="eastAsia" w:ascii="方正仿宋_GBK" w:hAnsi="方正仿宋_GBK" w:eastAsia="方正仿宋_GBK" w:cs="方正仿宋_GBK"/>
                <w:b w:val="0"/>
                <w:bCs w:val="0"/>
                <w:sz w:val="24"/>
                <w:szCs w:val="24"/>
                <w:highlight w:val="none"/>
                <w:lang w:val="en-US" w:eastAsia="zh-CN"/>
              </w:rPr>
              <w:t>；</w:t>
            </w:r>
          </w:p>
          <w:p w14:paraId="53918839">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固件设置启动顺序</w:t>
            </w:r>
            <w:r>
              <w:rPr>
                <w:rFonts w:hint="default"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支持设置启动顺序功能，并按照设置的启动顺序启动</w:t>
            </w:r>
            <w:r>
              <w:rPr>
                <w:rFonts w:hint="eastAsia" w:ascii="方正仿宋_GBK" w:hAnsi="方正仿宋_GBK" w:eastAsia="方正仿宋_GBK" w:cs="方正仿宋_GBK"/>
                <w:b w:val="0"/>
                <w:bCs w:val="0"/>
                <w:sz w:val="24"/>
                <w:szCs w:val="24"/>
                <w:highlight w:val="none"/>
                <w:lang w:val="en-US" w:eastAsia="zh-CN"/>
              </w:rPr>
              <w:t>；</w:t>
            </w:r>
          </w:p>
          <w:p w14:paraId="481DDA97">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固件设置口令</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支持设置口令、修改口令、验证口令功能</w:t>
            </w:r>
            <w:r>
              <w:rPr>
                <w:rFonts w:hint="eastAsia" w:ascii="方正仿宋_GBK" w:hAnsi="方正仿宋_GBK" w:eastAsia="方正仿宋_GBK" w:cs="方正仿宋_GBK"/>
                <w:b w:val="0"/>
                <w:bCs w:val="0"/>
                <w:sz w:val="24"/>
                <w:szCs w:val="24"/>
                <w:highlight w:val="none"/>
                <w:lang w:val="en-US" w:eastAsia="zh-CN"/>
              </w:rPr>
              <w:t>；</w:t>
            </w:r>
          </w:p>
          <w:p w14:paraId="698D30DB">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固件设置网络引导</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支持网络引导启动和关闭功能</w:t>
            </w:r>
            <w:r>
              <w:rPr>
                <w:rFonts w:hint="eastAsia" w:ascii="方正仿宋_GBK" w:hAnsi="方正仿宋_GBK" w:eastAsia="方正仿宋_GBK" w:cs="方正仿宋_GBK"/>
                <w:b w:val="0"/>
                <w:bCs w:val="0"/>
                <w:sz w:val="24"/>
                <w:szCs w:val="24"/>
                <w:highlight w:val="none"/>
                <w:lang w:val="en-US" w:eastAsia="zh-CN"/>
              </w:rPr>
              <w:t>；</w:t>
            </w:r>
          </w:p>
          <w:p w14:paraId="7153E64E">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固态存储寿命</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TBW≥80TB（条件：240GB硬盘容量）</w:t>
            </w:r>
            <w:r>
              <w:rPr>
                <w:rFonts w:hint="eastAsia" w:ascii="方正仿宋_GBK" w:hAnsi="方正仿宋_GBK" w:eastAsia="方正仿宋_GBK" w:cs="方正仿宋_GBK"/>
                <w:b w:val="0"/>
                <w:bCs w:val="0"/>
                <w:sz w:val="24"/>
                <w:szCs w:val="24"/>
                <w:highlight w:val="none"/>
                <w:lang w:val="en-US" w:eastAsia="zh-CN"/>
              </w:rPr>
              <w:t>；</w:t>
            </w:r>
          </w:p>
          <w:p w14:paraId="39A8E07E">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机械硬盘寿命</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通电时间≥5万小时</w:t>
            </w:r>
          </w:p>
          <w:p w14:paraId="56DA64F4">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显示屏屏幕失效点</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符合GB/T9813.2的要求</w:t>
            </w:r>
            <w:r>
              <w:rPr>
                <w:rFonts w:hint="eastAsia" w:ascii="方正仿宋_GBK" w:hAnsi="方正仿宋_GBK" w:eastAsia="方正仿宋_GBK" w:cs="方正仿宋_GBK"/>
                <w:b w:val="0"/>
                <w:bCs w:val="0"/>
                <w:sz w:val="24"/>
                <w:szCs w:val="24"/>
                <w:highlight w:val="none"/>
                <w:lang w:val="en-US" w:eastAsia="zh-CN"/>
              </w:rPr>
              <w:t>；</w:t>
            </w:r>
          </w:p>
          <w:p w14:paraId="6B5474B6">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键盘按键寿命</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≥1000万次</w:t>
            </w:r>
            <w:r>
              <w:rPr>
                <w:rFonts w:hint="eastAsia" w:ascii="方正仿宋_GBK" w:hAnsi="方正仿宋_GBK" w:eastAsia="方正仿宋_GBK" w:cs="方正仿宋_GBK"/>
                <w:b w:val="0"/>
                <w:bCs w:val="0"/>
                <w:sz w:val="24"/>
                <w:szCs w:val="24"/>
                <w:highlight w:val="none"/>
                <w:lang w:val="en-US" w:eastAsia="zh-CN"/>
              </w:rPr>
              <w:t>；</w:t>
            </w:r>
          </w:p>
          <w:p w14:paraId="226B37E9">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鼠标按键寿命</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≥500万次</w:t>
            </w:r>
            <w:r>
              <w:rPr>
                <w:rFonts w:hint="eastAsia" w:ascii="方正仿宋_GBK" w:hAnsi="方正仿宋_GBK" w:eastAsia="方正仿宋_GBK" w:cs="方正仿宋_GBK"/>
                <w:b w:val="0"/>
                <w:bCs w:val="0"/>
                <w:sz w:val="24"/>
                <w:szCs w:val="24"/>
                <w:highlight w:val="none"/>
                <w:lang w:val="en-US" w:eastAsia="zh-CN"/>
              </w:rPr>
              <w:t>；</w:t>
            </w:r>
          </w:p>
          <w:p w14:paraId="2DBCD058">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键盘鼠标线材寿命</w:t>
            </w:r>
            <w:r>
              <w:rPr>
                <w:rFonts w:hint="default"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键盘鼠标所用线材经±60°弯折不低于3000次，功能、外观完好</w:t>
            </w:r>
            <w:r>
              <w:rPr>
                <w:rFonts w:hint="eastAsia" w:ascii="方正仿宋_GBK" w:hAnsi="方正仿宋_GBK" w:eastAsia="方正仿宋_GBK" w:cs="方正仿宋_GBK"/>
                <w:b w:val="0"/>
                <w:bCs w:val="0"/>
                <w:sz w:val="24"/>
                <w:szCs w:val="24"/>
                <w:highlight w:val="none"/>
                <w:lang w:val="en-US" w:eastAsia="zh-CN"/>
              </w:rPr>
              <w:t>；</w:t>
            </w:r>
          </w:p>
          <w:p w14:paraId="081B9D66">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风扇寿命</w:t>
            </w:r>
            <w:r>
              <w:rPr>
                <w:rFonts w:hint="default"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≥4万小时</w:t>
            </w:r>
            <w:r>
              <w:rPr>
                <w:rFonts w:hint="eastAsia" w:ascii="方正仿宋_GBK" w:hAnsi="方正仿宋_GBK" w:eastAsia="方正仿宋_GBK" w:cs="方正仿宋_GBK"/>
                <w:b w:val="0"/>
                <w:bCs w:val="0"/>
                <w:sz w:val="24"/>
                <w:szCs w:val="24"/>
                <w:highlight w:val="none"/>
                <w:lang w:val="en-US" w:eastAsia="zh-CN"/>
              </w:rPr>
              <w:t>；</w:t>
            </w:r>
          </w:p>
          <w:p w14:paraId="2897132C">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电磁兼容性要求的抗扰度</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ab/>
            </w:r>
            <w:r>
              <w:rPr>
                <w:rFonts w:hint="default" w:ascii="方正仿宋_GBK" w:hAnsi="方正仿宋_GBK" w:eastAsia="方正仿宋_GBK" w:cs="方正仿宋_GBK"/>
                <w:b w:val="0"/>
                <w:bCs w:val="0"/>
                <w:sz w:val="24"/>
                <w:szCs w:val="24"/>
                <w:highlight w:val="none"/>
                <w:lang w:val="en-US" w:eastAsia="zh-CN"/>
              </w:rPr>
              <w:t>符合GB/T9254.2的规定</w:t>
            </w:r>
            <w:r>
              <w:rPr>
                <w:rFonts w:hint="eastAsia" w:ascii="方正仿宋_GBK" w:hAnsi="方正仿宋_GBK" w:eastAsia="方正仿宋_GBK" w:cs="方正仿宋_GBK"/>
                <w:b w:val="0"/>
                <w:bCs w:val="0"/>
                <w:sz w:val="24"/>
                <w:szCs w:val="24"/>
                <w:highlight w:val="none"/>
                <w:lang w:val="en-US" w:eastAsia="zh-CN"/>
              </w:rPr>
              <w:t>；</w:t>
            </w:r>
          </w:p>
          <w:p w14:paraId="2FE00D43">
            <w:pPr>
              <w:keepNext w:val="0"/>
              <w:keepLines w:val="0"/>
              <w:pageBreakBefore w:val="0"/>
              <w:widowControl/>
              <w:numPr>
                <w:ilvl w:val="0"/>
                <w:numId w:val="11"/>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环境条件要求的气候环境适应性</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ab/>
            </w:r>
            <w:r>
              <w:rPr>
                <w:rFonts w:hint="default" w:ascii="方正仿宋_GBK" w:hAnsi="方正仿宋_GBK" w:eastAsia="方正仿宋_GBK" w:cs="方正仿宋_GBK"/>
                <w:b w:val="0"/>
                <w:bCs w:val="0"/>
                <w:sz w:val="24"/>
                <w:szCs w:val="24"/>
                <w:highlight w:val="none"/>
                <w:lang w:val="en-US" w:eastAsia="zh-CN"/>
              </w:rPr>
              <w:t>符合GB/T9813.1中规定</w:t>
            </w:r>
            <w:r>
              <w:rPr>
                <w:rFonts w:hint="eastAsia" w:ascii="方正仿宋_GBK" w:hAnsi="方正仿宋_GBK" w:eastAsia="方正仿宋_GBK" w:cs="方正仿宋_GBK"/>
                <w:b w:val="0"/>
                <w:bCs w:val="0"/>
                <w:sz w:val="24"/>
                <w:szCs w:val="24"/>
                <w:highlight w:val="none"/>
                <w:lang w:val="en-US" w:eastAsia="zh-CN"/>
              </w:rPr>
              <w:t>；</w:t>
            </w:r>
          </w:p>
          <w:p w14:paraId="21B5B16E">
            <w:pPr>
              <w:keepNext w:val="0"/>
              <w:keepLines w:val="0"/>
              <w:pageBreakBefore w:val="0"/>
              <w:widowControl/>
              <w:numPr>
                <w:ilvl w:val="0"/>
                <w:numId w:val="11"/>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环境条件要求的振动适应性</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符合GB/T9813.1中规定</w:t>
            </w:r>
            <w:r>
              <w:rPr>
                <w:rFonts w:hint="eastAsia" w:ascii="方正仿宋_GBK" w:hAnsi="方正仿宋_GBK" w:eastAsia="方正仿宋_GBK" w:cs="方正仿宋_GBK"/>
                <w:b w:val="0"/>
                <w:bCs w:val="0"/>
                <w:sz w:val="24"/>
                <w:szCs w:val="24"/>
                <w:highlight w:val="none"/>
                <w:lang w:val="en-US" w:eastAsia="zh-CN"/>
              </w:rPr>
              <w:t>；</w:t>
            </w:r>
          </w:p>
          <w:p w14:paraId="607A7FF2">
            <w:pPr>
              <w:keepNext w:val="0"/>
              <w:keepLines w:val="0"/>
              <w:pageBreakBefore w:val="0"/>
              <w:widowControl/>
              <w:numPr>
                <w:ilvl w:val="0"/>
                <w:numId w:val="11"/>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环境条件要求的冲击适应性</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符合GB/T9813.1中规定</w:t>
            </w:r>
            <w:r>
              <w:rPr>
                <w:rFonts w:hint="eastAsia" w:ascii="方正仿宋_GBK" w:hAnsi="方正仿宋_GBK" w:eastAsia="方正仿宋_GBK" w:cs="方正仿宋_GBK"/>
                <w:b w:val="0"/>
                <w:bCs w:val="0"/>
                <w:sz w:val="24"/>
                <w:szCs w:val="24"/>
                <w:highlight w:val="none"/>
                <w:lang w:val="en-US" w:eastAsia="zh-CN"/>
              </w:rPr>
              <w:t>；</w:t>
            </w:r>
          </w:p>
          <w:p w14:paraId="1C48FB26">
            <w:pPr>
              <w:keepNext w:val="0"/>
              <w:keepLines w:val="0"/>
              <w:pageBreakBefore w:val="0"/>
              <w:widowControl/>
              <w:numPr>
                <w:ilvl w:val="0"/>
                <w:numId w:val="11"/>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环境条件要求的碰撞适应性</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符合GB/T9813.1中规定</w:t>
            </w:r>
            <w:r>
              <w:rPr>
                <w:rFonts w:hint="eastAsia" w:ascii="方正仿宋_GBK" w:hAnsi="方正仿宋_GBK" w:eastAsia="方正仿宋_GBK" w:cs="方正仿宋_GBK"/>
                <w:b w:val="0"/>
                <w:bCs w:val="0"/>
                <w:sz w:val="24"/>
                <w:szCs w:val="24"/>
                <w:highlight w:val="none"/>
                <w:lang w:val="en-US" w:eastAsia="zh-CN"/>
              </w:rPr>
              <w:t>；</w:t>
            </w:r>
          </w:p>
          <w:p w14:paraId="66DAE8D6">
            <w:pPr>
              <w:keepNext w:val="0"/>
              <w:keepLines w:val="0"/>
              <w:pageBreakBefore w:val="0"/>
              <w:widowControl/>
              <w:numPr>
                <w:ilvl w:val="0"/>
                <w:numId w:val="11"/>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环境条件要求的运输包装件跌落适应性</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符合GB/T9813.1中规定</w:t>
            </w:r>
            <w:r>
              <w:rPr>
                <w:rFonts w:hint="eastAsia" w:ascii="方正仿宋_GBK" w:hAnsi="方正仿宋_GBK" w:eastAsia="方正仿宋_GBK" w:cs="方正仿宋_GBK"/>
                <w:b w:val="0"/>
                <w:bCs w:val="0"/>
                <w:sz w:val="24"/>
                <w:szCs w:val="24"/>
                <w:highlight w:val="none"/>
                <w:lang w:val="en-US" w:eastAsia="zh-CN"/>
              </w:rPr>
              <w:t>；</w:t>
            </w:r>
          </w:p>
          <w:p w14:paraId="560D92B4">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MTBF测试</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MTBF(m1)</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≥3万小时</w:t>
            </w:r>
            <w:r>
              <w:rPr>
                <w:rFonts w:hint="eastAsia" w:ascii="方正仿宋_GBK" w:hAnsi="方正仿宋_GBK" w:eastAsia="方正仿宋_GBK" w:cs="方正仿宋_GBK"/>
                <w:b w:val="0"/>
                <w:bCs w:val="0"/>
                <w:sz w:val="24"/>
                <w:szCs w:val="24"/>
                <w:highlight w:val="none"/>
                <w:lang w:val="en-US" w:eastAsia="zh-CN"/>
              </w:rPr>
              <w:t>；</w:t>
            </w:r>
          </w:p>
          <w:p w14:paraId="395C2CA7">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★常用软件兼容：支持流式软件、版式软件、浏览器、邮件采购人端、解压软件、多媒体、图形图像处理等常用软件；</w:t>
            </w:r>
          </w:p>
          <w:p w14:paraId="1BA51674">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★数据库兼容：兼容3个及以上厂商的数据库产品；</w:t>
            </w:r>
          </w:p>
          <w:p w14:paraId="7595D684">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★中间件兼容：兼容3个及以上厂商中间件产品；</w:t>
            </w:r>
          </w:p>
          <w:p w14:paraId="006A45D3">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kern w:val="2"/>
                <w:sz w:val="24"/>
                <w:szCs w:val="24"/>
                <w:highlight w:val="none"/>
                <w:lang w:val="en-US" w:eastAsia="zh-CN" w:bidi="ar-SA"/>
              </w:rPr>
            </w:pPr>
            <w:r>
              <w:rPr>
                <w:rFonts w:hint="eastAsia" w:ascii="方正仿宋_GBK" w:hAnsi="方正仿宋_GBK" w:eastAsia="方正仿宋_GBK" w:cs="方正仿宋_GBK"/>
                <w:b w:val="0"/>
                <w:bCs w:val="0"/>
                <w:sz w:val="24"/>
                <w:szCs w:val="24"/>
                <w:highlight w:val="none"/>
                <w:lang w:val="en-US" w:eastAsia="zh-CN"/>
              </w:rPr>
              <w:t>★平台软件兼容：兼容3个及以上厂商云计算及大数据平台</w:t>
            </w:r>
            <w:r>
              <w:rPr>
                <w:rFonts w:hint="eastAsia" w:ascii="方正仿宋_GBK" w:hAnsi="方正仿宋_GBK" w:eastAsia="方正仿宋_GBK" w:cs="方正仿宋_GBK"/>
                <w:b w:val="0"/>
                <w:bCs w:val="0"/>
                <w:kern w:val="2"/>
                <w:sz w:val="24"/>
                <w:szCs w:val="24"/>
                <w:highlight w:val="none"/>
                <w:lang w:val="en-US" w:eastAsia="zh-CN" w:bidi="ar-SA"/>
              </w:rPr>
              <w:t>；</w:t>
            </w:r>
          </w:p>
          <w:p w14:paraId="3A7D0660">
            <w:pPr>
              <w:pStyle w:val="72"/>
              <w:keepNext w:val="0"/>
              <w:keepLines w:val="0"/>
              <w:pageBreakBefore w:val="0"/>
              <w:numPr>
                <w:ilvl w:val="0"/>
                <w:numId w:val="11"/>
              </w:numPr>
              <w:kinsoku/>
              <w:overflowPunct/>
              <w:topLinePunct w:val="0"/>
              <w:autoSpaceDE/>
              <w:autoSpaceDN/>
              <w:bidi w:val="0"/>
              <w:adjustRightInd/>
              <w:snapToGrid/>
              <w:spacing w:before="41" w:line="320" w:lineRule="exact"/>
              <w:ind w:left="0" w:leftChars="0" w:firstLine="403" w:firstLineChars="0"/>
              <w:textAlignment w:val="auto"/>
              <w:rPr>
                <w:rFonts w:hint="eastAsia" w:ascii="方正仿宋_GBK" w:hAnsi="方正仿宋_GBK" w:eastAsia="方正仿宋_GBK" w:cs="方正仿宋_GBK"/>
                <w:b w:val="0"/>
                <w:bCs w:val="0"/>
                <w:kern w:val="2"/>
                <w:sz w:val="24"/>
                <w:szCs w:val="24"/>
                <w:highlight w:val="none"/>
                <w:lang w:val="en-US" w:eastAsia="zh-CN" w:bidi="ar-SA"/>
              </w:rPr>
            </w:pPr>
            <w:r>
              <w:rPr>
                <w:rFonts w:hint="eastAsia" w:ascii="方正仿宋_GBK" w:hAnsi="方正仿宋_GBK" w:eastAsia="方正仿宋_GBK" w:cs="方正仿宋_GBK"/>
                <w:b w:val="0"/>
                <w:bCs w:val="0"/>
                <w:kern w:val="2"/>
                <w:sz w:val="24"/>
                <w:szCs w:val="24"/>
                <w:highlight w:val="none"/>
                <w:lang w:val="en-US" w:eastAsia="zh-CN" w:bidi="ar-SA"/>
              </w:rPr>
              <w:t>★标志、包装、运输和贮存：符合GB/T9813.1和商品包装政府采购需求标准的相关规定；</w:t>
            </w:r>
          </w:p>
          <w:p w14:paraId="6A0F8350">
            <w:pPr>
              <w:pStyle w:val="72"/>
              <w:keepNext w:val="0"/>
              <w:keepLines w:val="0"/>
              <w:pageBreakBefore w:val="0"/>
              <w:numPr>
                <w:ilvl w:val="0"/>
                <w:numId w:val="11"/>
              </w:numPr>
              <w:kinsoku/>
              <w:overflowPunct/>
              <w:topLinePunct w:val="0"/>
              <w:autoSpaceDE/>
              <w:autoSpaceDN/>
              <w:bidi w:val="0"/>
              <w:adjustRightInd/>
              <w:snapToGrid/>
              <w:spacing w:before="41" w:line="320" w:lineRule="exact"/>
              <w:ind w:left="0" w:leftChars="0" w:firstLine="403" w:firstLineChars="0"/>
              <w:textAlignment w:val="auto"/>
              <w:rPr>
                <w:rFonts w:hint="default" w:ascii="方正仿宋_GBK" w:hAnsi="方正仿宋_GBK" w:eastAsia="方正仿宋_GBK" w:cs="方正仿宋_GBK"/>
                <w:b w:val="0"/>
                <w:bCs w:val="0"/>
                <w:kern w:val="2"/>
                <w:sz w:val="24"/>
                <w:szCs w:val="24"/>
                <w:highlight w:val="none"/>
                <w:lang w:val="en-US" w:eastAsia="zh-CN" w:bidi="ar-SA"/>
              </w:rPr>
            </w:pPr>
            <w:r>
              <w:rPr>
                <w:rFonts w:hint="eastAsia" w:ascii="方正仿宋_GBK" w:hAnsi="方正仿宋_GBK" w:eastAsia="方正仿宋_GBK" w:cs="方正仿宋_GBK"/>
                <w:b w:val="0"/>
                <w:bCs w:val="0"/>
                <w:kern w:val="2"/>
                <w:sz w:val="24"/>
                <w:szCs w:val="24"/>
                <w:highlight w:val="none"/>
                <w:lang w:val="en-US" w:eastAsia="zh-CN" w:bidi="ar-SA"/>
              </w:rPr>
              <w:t>★</w:t>
            </w:r>
            <w:r>
              <w:rPr>
                <w:rFonts w:hint="default" w:ascii="方正仿宋_GBK" w:hAnsi="方正仿宋_GBK" w:eastAsia="方正仿宋_GBK" w:cs="方正仿宋_GBK"/>
                <w:b w:val="0"/>
                <w:bCs w:val="0"/>
                <w:kern w:val="2"/>
                <w:sz w:val="24"/>
                <w:szCs w:val="24"/>
                <w:highlight w:val="none"/>
                <w:lang w:val="en-US" w:eastAsia="zh-CN" w:bidi="ar-SA"/>
              </w:rPr>
              <w:t>配置检查工具</w:t>
            </w:r>
            <w:r>
              <w:rPr>
                <w:rFonts w:hint="eastAsia" w:ascii="方正仿宋_GBK" w:hAnsi="方正仿宋_GBK" w:eastAsia="方正仿宋_GBK" w:cs="方正仿宋_GBK"/>
                <w:b w:val="0"/>
                <w:bCs w:val="0"/>
                <w:kern w:val="2"/>
                <w:sz w:val="24"/>
                <w:szCs w:val="24"/>
                <w:highlight w:val="none"/>
                <w:lang w:val="en-US" w:eastAsia="zh-CN" w:bidi="ar-SA"/>
              </w:rPr>
              <w:t>：</w:t>
            </w:r>
            <w:r>
              <w:rPr>
                <w:rFonts w:hint="default" w:ascii="方正仿宋_GBK" w:hAnsi="方正仿宋_GBK" w:eastAsia="方正仿宋_GBK" w:cs="方正仿宋_GBK"/>
                <w:b w:val="0"/>
                <w:bCs w:val="0"/>
                <w:kern w:val="2"/>
                <w:sz w:val="24"/>
                <w:szCs w:val="24"/>
                <w:highlight w:val="none"/>
                <w:lang w:val="en-US" w:eastAsia="zh-CN" w:bidi="ar-SA"/>
              </w:rPr>
              <w:t>供应商提供自检测试工具</w:t>
            </w:r>
            <w:r>
              <w:rPr>
                <w:rFonts w:hint="eastAsia" w:ascii="方正仿宋_GBK" w:hAnsi="方正仿宋_GBK" w:eastAsia="方正仿宋_GBK" w:cs="方正仿宋_GBK"/>
                <w:b w:val="0"/>
                <w:bCs w:val="0"/>
                <w:kern w:val="2"/>
                <w:sz w:val="24"/>
                <w:szCs w:val="24"/>
                <w:highlight w:val="none"/>
                <w:lang w:val="en-US" w:eastAsia="zh-CN" w:bidi="ar-SA"/>
              </w:rPr>
              <w:t>；</w:t>
            </w:r>
          </w:p>
          <w:p w14:paraId="3F2EF443">
            <w:pPr>
              <w:pStyle w:val="72"/>
              <w:keepNext w:val="0"/>
              <w:keepLines w:val="0"/>
              <w:pageBreakBefore w:val="0"/>
              <w:numPr>
                <w:ilvl w:val="0"/>
                <w:numId w:val="11"/>
              </w:numPr>
              <w:kinsoku/>
              <w:overflowPunct/>
              <w:topLinePunct w:val="0"/>
              <w:autoSpaceDE/>
              <w:autoSpaceDN/>
              <w:bidi w:val="0"/>
              <w:adjustRightInd/>
              <w:snapToGrid/>
              <w:spacing w:before="41" w:line="320" w:lineRule="exact"/>
              <w:ind w:left="0" w:leftChars="0" w:firstLine="403" w:firstLineChars="0"/>
              <w:textAlignment w:val="auto"/>
              <w:rPr>
                <w:rFonts w:hint="default" w:ascii="方正仿宋_GBK" w:hAnsi="方正仿宋_GBK" w:eastAsia="方正仿宋_GBK" w:cs="方正仿宋_GBK"/>
                <w:b w:val="0"/>
                <w:bCs w:val="0"/>
                <w:kern w:val="2"/>
                <w:sz w:val="24"/>
                <w:szCs w:val="24"/>
                <w:highlight w:val="none"/>
                <w:lang w:val="en-US" w:eastAsia="zh-CN" w:bidi="ar-SA"/>
              </w:rPr>
            </w:pPr>
            <w:r>
              <w:rPr>
                <w:rFonts w:hint="eastAsia" w:ascii="方正仿宋_GBK" w:hAnsi="方正仿宋_GBK" w:eastAsia="方正仿宋_GBK" w:cs="方正仿宋_GBK"/>
                <w:b w:val="0"/>
                <w:bCs w:val="0"/>
                <w:kern w:val="2"/>
                <w:sz w:val="24"/>
                <w:szCs w:val="24"/>
                <w:highlight w:val="none"/>
                <w:lang w:val="en-US" w:eastAsia="zh-CN" w:bidi="ar-SA"/>
              </w:rPr>
              <w:t>★</w:t>
            </w:r>
            <w:r>
              <w:rPr>
                <w:rFonts w:hint="default" w:ascii="方正仿宋_GBK" w:hAnsi="方正仿宋_GBK" w:eastAsia="方正仿宋_GBK" w:cs="方正仿宋_GBK"/>
                <w:b w:val="0"/>
                <w:bCs w:val="0"/>
                <w:kern w:val="2"/>
                <w:sz w:val="24"/>
                <w:szCs w:val="24"/>
                <w:highlight w:val="none"/>
                <w:lang w:val="en-US" w:eastAsia="zh-CN" w:bidi="ar-SA"/>
              </w:rPr>
              <w:t>服务响应</w:t>
            </w:r>
            <w:r>
              <w:rPr>
                <w:rFonts w:hint="eastAsia" w:ascii="方正仿宋_GBK" w:hAnsi="方正仿宋_GBK" w:eastAsia="方正仿宋_GBK" w:cs="方正仿宋_GBK"/>
                <w:b w:val="0"/>
                <w:bCs w:val="0"/>
                <w:kern w:val="2"/>
                <w:sz w:val="24"/>
                <w:szCs w:val="24"/>
                <w:highlight w:val="none"/>
                <w:lang w:val="en-US" w:eastAsia="zh-CN" w:bidi="ar-SA"/>
              </w:rPr>
              <w:t>：</w:t>
            </w:r>
            <w:r>
              <w:rPr>
                <w:rFonts w:hint="default" w:ascii="方正仿宋_GBK" w:hAnsi="方正仿宋_GBK" w:eastAsia="方正仿宋_GBK" w:cs="方正仿宋_GBK"/>
                <w:b w:val="0"/>
                <w:bCs w:val="0"/>
                <w:kern w:val="2"/>
                <w:sz w:val="24"/>
                <w:szCs w:val="24"/>
                <w:highlight w:val="none"/>
                <w:lang w:val="en-US" w:eastAsia="zh-CN" w:bidi="ar-SA"/>
              </w:rPr>
              <w:t>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rPr>
                <w:rFonts w:hint="eastAsia" w:ascii="方正仿宋_GBK" w:hAnsi="方正仿宋_GBK" w:eastAsia="方正仿宋_GBK" w:cs="方正仿宋_GBK"/>
                <w:b w:val="0"/>
                <w:bCs w:val="0"/>
                <w:kern w:val="2"/>
                <w:sz w:val="24"/>
                <w:szCs w:val="24"/>
                <w:highlight w:val="none"/>
                <w:lang w:val="en-US" w:eastAsia="zh-CN" w:bidi="ar-SA"/>
              </w:rPr>
              <w:t>；</w:t>
            </w:r>
          </w:p>
          <w:p w14:paraId="7BF22DF2">
            <w:pPr>
              <w:pStyle w:val="72"/>
              <w:keepNext w:val="0"/>
              <w:keepLines w:val="0"/>
              <w:pageBreakBefore w:val="0"/>
              <w:numPr>
                <w:ilvl w:val="0"/>
                <w:numId w:val="11"/>
              </w:numPr>
              <w:kinsoku/>
              <w:overflowPunct/>
              <w:topLinePunct w:val="0"/>
              <w:autoSpaceDE/>
              <w:autoSpaceDN/>
              <w:bidi w:val="0"/>
              <w:adjustRightInd/>
              <w:snapToGrid/>
              <w:spacing w:before="41" w:line="320" w:lineRule="exact"/>
              <w:ind w:left="0" w:leftChars="0" w:firstLine="403" w:firstLineChars="0"/>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kern w:val="2"/>
                <w:sz w:val="24"/>
                <w:szCs w:val="24"/>
                <w:highlight w:val="none"/>
                <w:lang w:val="en-US" w:eastAsia="zh-CN" w:bidi="ar-SA"/>
              </w:rPr>
              <w:t>★</w:t>
            </w:r>
            <w:r>
              <w:rPr>
                <w:rFonts w:hint="default" w:ascii="方正仿宋_GBK" w:hAnsi="方正仿宋_GBK" w:eastAsia="方正仿宋_GBK" w:cs="方正仿宋_GBK"/>
                <w:b w:val="0"/>
                <w:bCs w:val="0"/>
                <w:kern w:val="2"/>
                <w:sz w:val="24"/>
                <w:szCs w:val="24"/>
                <w:highlight w:val="none"/>
                <w:lang w:val="en-US" w:eastAsia="zh-CN" w:bidi="ar-SA"/>
              </w:rPr>
              <w:t>服务周期</w:t>
            </w:r>
            <w:r>
              <w:rPr>
                <w:rFonts w:hint="eastAsia" w:ascii="方正仿宋_GBK" w:hAnsi="方正仿宋_GBK" w:eastAsia="方正仿宋_GBK" w:cs="方正仿宋_GBK"/>
                <w:b w:val="0"/>
                <w:bCs w:val="0"/>
                <w:kern w:val="2"/>
                <w:sz w:val="24"/>
                <w:szCs w:val="24"/>
                <w:highlight w:val="none"/>
                <w:lang w:val="en-US" w:eastAsia="zh-CN" w:bidi="ar-SA"/>
              </w:rPr>
              <w:t>：</w:t>
            </w:r>
            <w:r>
              <w:rPr>
                <w:rFonts w:hint="default" w:ascii="方正仿宋_GBK" w:hAnsi="方正仿宋_GBK" w:eastAsia="方正仿宋_GBK" w:cs="方正仿宋_GBK"/>
                <w:b w:val="0"/>
                <w:bCs w:val="0"/>
                <w:kern w:val="2"/>
                <w:sz w:val="24"/>
                <w:szCs w:val="24"/>
                <w:highlight w:val="none"/>
                <w:lang w:val="en-US" w:eastAsia="zh-CN" w:bidi="ar-SA"/>
              </w:rPr>
              <w:t>a)设备停产后应继续提供质量保障服务（含备品备件），服务终止时间与最后一批设备交付时间间隔不低于6年；b)产品停止服务时间应提前1年告知；c)应明确产品发布日期</w:t>
            </w:r>
            <w:r>
              <w:rPr>
                <w:rFonts w:hint="eastAsia" w:ascii="方正仿宋_GBK" w:hAnsi="方正仿宋_GBK" w:eastAsia="方正仿宋_GBK" w:cs="方正仿宋_GBK"/>
                <w:b w:val="0"/>
                <w:bCs w:val="0"/>
                <w:kern w:val="2"/>
                <w:sz w:val="24"/>
                <w:szCs w:val="24"/>
                <w:highlight w:val="none"/>
                <w:lang w:val="en-US" w:eastAsia="zh-CN" w:bidi="ar-SA"/>
              </w:rPr>
              <w:t>；</w:t>
            </w:r>
          </w:p>
          <w:p w14:paraId="291A23E3">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★预装操作系统：预装符合桌面操作系统政府采购需求标准的正版操作系统；</w:t>
            </w:r>
          </w:p>
          <w:p w14:paraId="1761FC48">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★培训服务：供应商提供培训材料、产品手册、培训视频等培训相关内容；</w:t>
            </w:r>
          </w:p>
          <w:p w14:paraId="4527C60F">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★典型问题解决手册</w:t>
            </w:r>
            <w:r>
              <w:rPr>
                <w:rFonts w:hint="eastAsia"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：供应商提供典型问题解决说明文档或视频；</w:t>
            </w:r>
          </w:p>
          <w:p w14:paraId="47E4BC07">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★厂家升级软件与扩容服务：</w:t>
            </w:r>
            <w:r>
              <w:rPr>
                <w:rFonts w:hint="eastAsia"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供应商提供上门升级部件/软件与扩容的增值服务；</w:t>
            </w:r>
          </w:p>
          <w:p w14:paraId="2B89EA3E">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★整机质量服务要求</w:t>
            </w:r>
            <w:r>
              <w:rPr>
                <w:rFonts w:hint="eastAsia"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：免费服务周期（含换件和维修）应不小于3年；</w:t>
            </w:r>
          </w:p>
          <w:p w14:paraId="7CE80898">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★合格证书要求</w:t>
            </w:r>
            <w:r>
              <w:rPr>
                <w:rFonts w:hint="eastAsia"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：供应商提供产品合格证</w:t>
            </w:r>
          </w:p>
          <w:p w14:paraId="55C9C3FC">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★开箱组装/使用指导要求：供应商提供开箱组装/使用指导；</w:t>
            </w:r>
          </w:p>
          <w:p w14:paraId="096F16C5">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★驱动下载服务要求</w:t>
            </w:r>
            <w:r>
              <w:rPr>
                <w:rFonts w:hint="eastAsia"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：供应商提供驱动光盘或下载方式；</w:t>
            </w:r>
          </w:p>
          <w:p w14:paraId="5F3954DA">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★兼容适配软件下载服务要求</w:t>
            </w:r>
            <w:r>
              <w:rPr>
                <w:rFonts w:hint="eastAsia"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：供应商提供兼容适配软件下载渠道（光盘、网站）</w:t>
            </w:r>
          </w:p>
          <w:p w14:paraId="7681491E">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跨架构平台应用兼容：供应商提供跨架构平台的应用兼容工具，支持一种或者一种以上不同架构平台的应用；</w:t>
            </w:r>
          </w:p>
          <w:p w14:paraId="523E4063">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产品部件保障</w:t>
            </w:r>
            <w:r>
              <w:rPr>
                <w:rFonts w:hint="default" w:ascii="方正仿宋_GBK" w:hAnsi="方正仿宋_GBK" w:eastAsia="方正仿宋_GBK" w:cs="方正仿宋_GBK"/>
                <w:b w:val="0"/>
                <w:bCs w:val="0"/>
                <w:sz w:val="24"/>
                <w:szCs w:val="24"/>
                <w:highlight w:val="none"/>
                <w:lang w:val="en-US" w:eastAsia="zh-CN"/>
              </w:rPr>
              <w:tab/>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供应商保障产品主要部件，提供6年的备件服务能力（自购买之日起），或提供可兼容原设备的升级换代产品</w:t>
            </w:r>
            <w:r>
              <w:rPr>
                <w:rFonts w:hint="eastAsia" w:ascii="方正仿宋_GBK" w:hAnsi="方正仿宋_GBK" w:eastAsia="方正仿宋_GBK" w:cs="方正仿宋_GBK"/>
                <w:b w:val="0"/>
                <w:bCs w:val="0"/>
                <w:sz w:val="24"/>
                <w:szCs w:val="24"/>
                <w:highlight w:val="none"/>
                <w:lang w:val="en-US" w:eastAsia="zh-CN"/>
              </w:rPr>
              <w:t>；</w:t>
            </w:r>
          </w:p>
          <w:p w14:paraId="5CAE7D50">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抗干扰性</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当产品部件出现供应风险时，供应商应通知采购人并提供风险应对方案确保产品的服务保障</w:t>
            </w:r>
            <w:r>
              <w:rPr>
                <w:rFonts w:hint="eastAsia" w:ascii="方正仿宋_GBK" w:hAnsi="方正仿宋_GBK" w:eastAsia="方正仿宋_GBK" w:cs="方正仿宋_GBK"/>
                <w:b w:val="0"/>
                <w:bCs w:val="0"/>
                <w:sz w:val="24"/>
                <w:szCs w:val="24"/>
                <w:highlight w:val="none"/>
                <w:lang w:val="en-US" w:eastAsia="zh-CN"/>
              </w:rPr>
              <w:t>；</w:t>
            </w:r>
          </w:p>
          <w:p w14:paraId="2DFCACAF">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供应能力证明</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供应商提供供应链稳定承诺书，确保产品的部件在产品服务周期内稳定供货</w:t>
            </w:r>
            <w:r>
              <w:rPr>
                <w:rFonts w:hint="eastAsia" w:ascii="方正仿宋_GBK" w:hAnsi="方正仿宋_GBK" w:eastAsia="方正仿宋_GBK" w:cs="方正仿宋_GBK"/>
                <w:b w:val="0"/>
                <w:bCs w:val="0"/>
                <w:sz w:val="24"/>
                <w:szCs w:val="24"/>
                <w:highlight w:val="none"/>
                <w:lang w:val="en-US" w:eastAsia="zh-CN"/>
              </w:rPr>
              <w:t>；</w:t>
            </w:r>
          </w:p>
          <w:p w14:paraId="1CFDB2D9">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关键部件安全要求</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CPU和操作系统等关键部件应当符合安全可靠测评要求</w:t>
            </w:r>
            <w:r>
              <w:rPr>
                <w:rFonts w:hint="eastAsia" w:ascii="方正仿宋_GBK" w:hAnsi="方正仿宋_GBK" w:eastAsia="方正仿宋_GBK" w:cs="方正仿宋_GBK"/>
                <w:b w:val="0"/>
                <w:bCs w:val="0"/>
                <w:sz w:val="24"/>
                <w:szCs w:val="24"/>
                <w:highlight w:val="none"/>
                <w:lang w:val="en-US" w:eastAsia="zh-CN"/>
              </w:rPr>
              <w:t>（</w:t>
            </w:r>
            <w:r>
              <w:rPr>
                <w:rFonts w:hint="eastAsia" w:ascii="方正仿宋_GBK" w:hAnsi="方正仿宋_GBK" w:eastAsia="方正仿宋_GBK" w:cs="方正仿宋_GBK"/>
                <w:b/>
                <w:bCs/>
                <w:sz w:val="24"/>
                <w:szCs w:val="24"/>
                <w:highlight w:val="none"/>
                <w:lang w:val="en-US" w:eastAsia="zh-CN"/>
              </w:rPr>
              <w:t>通过政府有关部门指定的中国信息安全测评中心和国家保密科技测评中心测评，测评网网站可查看测评结果并提供材料真实性承诺函</w:t>
            </w:r>
            <w:r>
              <w:rPr>
                <w:rFonts w:hint="eastAsia" w:ascii="方正仿宋_GBK" w:hAnsi="方正仿宋_GBK" w:eastAsia="方正仿宋_GBK" w:cs="方正仿宋_GBK"/>
                <w:b w:val="0"/>
                <w:bCs w:val="0"/>
                <w:sz w:val="24"/>
                <w:szCs w:val="24"/>
                <w:highlight w:val="none"/>
                <w:lang w:val="en-US" w:eastAsia="zh-CN"/>
              </w:rPr>
              <w:t>）；</w:t>
            </w:r>
          </w:p>
          <w:p w14:paraId="20273288">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限用物质的限量要求：符合GB/T 26572中规定；</w:t>
            </w:r>
          </w:p>
          <w:p w14:paraId="57CBBBAF">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★投标时须提供3C认证。</w:t>
            </w:r>
          </w:p>
          <w:p w14:paraId="1BD42733">
            <w:pPr>
              <w:keepNext w:val="0"/>
              <w:keepLines w:val="0"/>
              <w:pageBreakBefore w:val="0"/>
              <w:widowControl/>
              <w:numPr>
                <w:ilvl w:val="0"/>
                <w:numId w:val="11"/>
              </w:numPr>
              <w:kinsoku/>
              <w:overflowPunct/>
              <w:topLinePunct w:val="0"/>
              <w:autoSpaceDE/>
              <w:autoSpaceDN/>
              <w:bidi w:val="0"/>
              <w:adjustRightInd/>
              <w:snapToGrid/>
              <w:spacing w:line="320" w:lineRule="exact"/>
              <w:ind w:left="0" w:leftChars="0" w:firstLine="403" w:firstLineChars="0"/>
              <w:jc w:val="left"/>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★由于本次电脑采购主要围绕医院HIS系统优化适配使用，要求投标文件提供投标人和原厂兼容性承诺函并加盖公章。</w:t>
            </w:r>
          </w:p>
        </w:tc>
        <w:tc>
          <w:tcPr>
            <w:tcW w:w="1000" w:type="dxa"/>
            <w:noWrap w:val="0"/>
            <w:vAlign w:val="center"/>
          </w:tcPr>
          <w:p w14:paraId="3276397C">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16</w:t>
            </w:r>
          </w:p>
        </w:tc>
        <w:tc>
          <w:tcPr>
            <w:tcW w:w="937" w:type="dxa"/>
            <w:noWrap w:val="0"/>
            <w:vAlign w:val="center"/>
          </w:tcPr>
          <w:p w14:paraId="3DDA89AF">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905" w:type="dxa"/>
            <w:noWrap w:val="0"/>
            <w:vAlign w:val="top"/>
          </w:tcPr>
          <w:p w14:paraId="41146386">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both"/>
              <w:textAlignment w:val="auto"/>
              <w:outlineLvl w:val="9"/>
              <w:rPr>
                <w:rFonts w:hint="eastAsia" w:ascii="宋体" w:hAnsi="宋体" w:eastAsia="宋体" w:cs="宋体"/>
                <w:b w:val="0"/>
                <w:bCs w:val="0"/>
                <w:sz w:val="28"/>
                <w:szCs w:val="28"/>
                <w:highlight w:val="lightGray"/>
                <w:vertAlign w:val="baseline"/>
                <w:lang w:val="en-US" w:eastAsia="zh-CN"/>
              </w:rPr>
            </w:pPr>
            <w:r>
              <w:rPr>
                <w:rFonts w:hint="eastAsia" w:ascii="宋体" w:hAnsi="宋体" w:eastAsia="宋体" w:cs="宋体"/>
                <w:b/>
                <w:bCs/>
                <w:color w:val="C00000"/>
                <w:sz w:val="21"/>
                <w:szCs w:val="21"/>
                <w:u w:val="none"/>
                <w:lang w:val="en-US" w:eastAsia="zh-CN"/>
              </w:rPr>
              <w:t>强制采购产品</w:t>
            </w:r>
          </w:p>
        </w:tc>
      </w:tr>
      <w:tr w14:paraId="5A2B5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noWrap w:val="0"/>
            <w:vAlign w:val="center"/>
          </w:tcPr>
          <w:p w14:paraId="1B36D05A">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color w:val="auto"/>
                <w:sz w:val="28"/>
                <w:szCs w:val="28"/>
                <w:highlight w:val="none"/>
                <w:vertAlign w:val="baseline"/>
                <w:lang w:val="en-US" w:eastAsia="zh-CN"/>
              </w:rPr>
            </w:pPr>
          </w:p>
        </w:tc>
        <w:tc>
          <w:tcPr>
            <w:tcW w:w="1900" w:type="dxa"/>
            <w:noWrap w:val="0"/>
            <w:vAlign w:val="center"/>
          </w:tcPr>
          <w:p w14:paraId="081653C9">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黑白/激光多功能一体机</w:t>
            </w:r>
          </w:p>
        </w:tc>
        <w:tc>
          <w:tcPr>
            <w:tcW w:w="5223" w:type="dxa"/>
            <w:noWrap w:val="0"/>
            <w:vAlign w:val="center"/>
          </w:tcPr>
          <w:p w14:paraId="16E2BF75">
            <w:pPr>
              <w:keepNext w:val="0"/>
              <w:keepLines w:val="0"/>
              <w:pageBreakBefore w:val="0"/>
              <w:widowControl/>
              <w:numPr>
                <w:ilvl w:val="0"/>
                <w:numId w:val="12"/>
              </w:numPr>
              <w:kinsoku/>
              <w:wordWrap/>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基本功能:打印、复印、扫描、传真。</w:t>
            </w:r>
          </w:p>
          <w:p w14:paraId="10D9F910">
            <w:pPr>
              <w:keepNext w:val="0"/>
              <w:keepLines w:val="0"/>
              <w:pageBreakBefore w:val="0"/>
              <w:widowControl/>
              <w:numPr>
                <w:ilvl w:val="0"/>
                <w:numId w:val="12"/>
              </w:numPr>
              <w:kinsoku/>
              <w:wordWrap/>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分辨率:≥1200×1200dpi；</w:t>
            </w:r>
          </w:p>
          <w:p w14:paraId="43430FDB">
            <w:pPr>
              <w:keepNext w:val="0"/>
              <w:keepLines w:val="0"/>
              <w:pageBreakBefore w:val="0"/>
              <w:widowControl/>
              <w:numPr>
                <w:ilvl w:val="0"/>
                <w:numId w:val="12"/>
              </w:numPr>
              <w:kinsoku/>
              <w:wordWrap/>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A4自动双面打印；</w:t>
            </w:r>
          </w:p>
          <w:p w14:paraId="39346E39">
            <w:pPr>
              <w:keepNext w:val="0"/>
              <w:keepLines w:val="0"/>
              <w:pageBreakBefore w:val="0"/>
              <w:widowControl/>
              <w:numPr>
                <w:ilvl w:val="0"/>
                <w:numId w:val="12"/>
              </w:numPr>
              <w:kinsoku/>
              <w:wordWrap/>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多功能进纸盒；</w:t>
            </w:r>
          </w:p>
          <w:p w14:paraId="4C962ECC">
            <w:pPr>
              <w:keepNext w:val="0"/>
              <w:keepLines w:val="0"/>
              <w:pageBreakBefore w:val="0"/>
              <w:widowControl/>
              <w:numPr>
                <w:ilvl w:val="0"/>
                <w:numId w:val="12"/>
              </w:numPr>
              <w:kinsoku/>
              <w:wordWrap/>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自动进搞器ADF:≥50页；</w:t>
            </w:r>
          </w:p>
          <w:p w14:paraId="2856005C">
            <w:pPr>
              <w:keepNext w:val="0"/>
              <w:keepLines w:val="0"/>
              <w:pageBreakBefore w:val="0"/>
              <w:widowControl/>
              <w:numPr>
                <w:ilvl w:val="0"/>
                <w:numId w:val="12"/>
              </w:numPr>
              <w:kinsoku/>
              <w:wordWrap/>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液晶显示:3.7英寸彩色液晶屏显示；</w:t>
            </w:r>
          </w:p>
          <w:p w14:paraId="334CCE87">
            <w:pPr>
              <w:keepNext w:val="0"/>
              <w:keepLines w:val="0"/>
              <w:pageBreakBefore w:val="0"/>
              <w:widowControl/>
              <w:numPr>
                <w:ilvl w:val="0"/>
                <w:numId w:val="12"/>
              </w:numPr>
              <w:kinsoku/>
              <w:wordWrap/>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内存:≥512MB；</w:t>
            </w:r>
          </w:p>
          <w:p w14:paraId="5B322537">
            <w:pPr>
              <w:keepNext w:val="0"/>
              <w:keepLines w:val="0"/>
              <w:pageBreakBefore w:val="0"/>
              <w:widowControl/>
              <w:numPr>
                <w:ilvl w:val="0"/>
                <w:numId w:val="12"/>
              </w:numPr>
              <w:kinsoku/>
              <w:wordWrap/>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接口:高速USB2.0，10Base-T/100Base-TX以太网；</w:t>
            </w:r>
          </w:p>
          <w:p w14:paraId="086E278A">
            <w:pPr>
              <w:keepNext w:val="0"/>
              <w:keepLines w:val="0"/>
              <w:pageBreakBefore w:val="0"/>
              <w:widowControl/>
              <w:numPr>
                <w:ilvl w:val="0"/>
                <w:numId w:val="12"/>
              </w:numPr>
              <w:kinsoku/>
              <w:wordWrap/>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安全锁功能:支持；</w:t>
            </w:r>
          </w:p>
          <w:p w14:paraId="5C4564BD">
            <w:pPr>
              <w:pStyle w:val="2"/>
              <w:keepNext w:val="0"/>
              <w:keepLines w:val="0"/>
              <w:pageBreakBefore w:val="0"/>
              <w:kinsoku/>
              <w:wordWrap/>
              <w:overflowPunct/>
              <w:topLinePunct w:val="0"/>
              <w:autoSpaceDE/>
              <w:autoSpaceDN/>
              <w:bidi w:val="0"/>
              <w:adjustRightInd/>
              <w:snapToGrid/>
              <w:spacing w:line="320" w:lineRule="exact"/>
              <w:ind w:left="0" w:leftChars="0" w:firstLine="0" w:firstLineChars="0"/>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    10.打印速度：≥30页/分钟；</w:t>
            </w:r>
          </w:p>
          <w:p w14:paraId="7B8C8CA7">
            <w:pPr>
              <w:pStyle w:val="2"/>
              <w:keepNext w:val="0"/>
              <w:keepLines w:val="0"/>
              <w:pageBreakBefore w:val="0"/>
              <w:kinsoku/>
              <w:wordWrap/>
              <w:overflowPunct/>
              <w:topLinePunct w:val="0"/>
              <w:autoSpaceDE/>
              <w:autoSpaceDN/>
              <w:bidi w:val="0"/>
              <w:adjustRightInd/>
              <w:snapToGrid/>
              <w:spacing w:line="320" w:lineRule="exact"/>
              <w:ind w:left="0" w:leftChars="0" w:firstLine="480" w:firstLineChars="200"/>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11.双面打印：≥15面/分钟；</w:t>
            </w:r>
          </w:p>
          <w:p w14:paraId="6CA7086D">
            <w:pPr>
              <w:pStyle w:val="2"/>
              <w:keepNext w:val="0"/>
              <w:keepLines w:val="0"/>
              <w:pageBreakBefore w:val="0"/>
              <w:kinsoku/>
              <w:wordWrap/>
              <w:overflowPunct/>
              <w:topLinePunct w:val="0"/>
              <w:autoSpaceDE/>
              <w:autoSpaceDN/>
              <w:bidi w:val="0"/>
              <w:adjustRightInd/>
              <w:snapToGrid/>
              <w:spacing w:line="320" w:lineRule="exact"/>
              <w:ind w:left="0" w:leftChars="0" w:firstLine="480" w:firstLineChars="200"/>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12.纸盒容量量：≥250页大容量纸盒；</w:t>
            </w:r>
          </w:p>
          <w:p w14:paraId="069BEC60">
            <w:pPr>
              <w:pStyle w:val="4"/>
              <w:keepNext w:val="0"/>
              <w:keepLines w:val="0"/>
              <w:pageBreakBefore w:val="0"/>
              <w:kinsoku/>
              <w:wordWrap/>
              <w:overflowPunct/>
              <w:topLinePunct w:val="0"/>
              <w:autoSpaceDE/>
              <w:autoSpaceDN/>
              <w:bidi w:val="0"/>
              <w:adjustRightInd/>
              <w:snapToGrid/>
              <w:spacing w:line="320" w:lineRule="exact"/>
              <w:ind w:left="0" w:leftChars="0" w:firstLine="480" w:firstLineChars="200"/>
              <w:textAlignment w:val="auto"/>
              <w:rPr>
                <w:rFonts w:hint="eastAsia"/>
                <w:sz w:val="24"/>
                <w:szCs w:val="24"/>
                <w:lang w:val="en-US" w:eastAsia="zh-CN"/>
              </w:rPr>
            </w:pPr>
            <w:r>
              <w:rPr>
                <w:rFonts w:hint="eastAsia" w:ascii="方正仿宋_GBK" w:hAnsi="方正仿宋_GBK" w:eastAsia="方正仿宋_GBK" w:cs="方正仿宋_GBK"/>
                <w:b w:val="0"/>
                <w:bCs w:val="0"/>
                <w:sz w:val="24"/>
                <w:szCs w:val="24"/>
                <w:highlight w:val="none"/>
                <w:lang w:val="en-US" w:eastAsia="zh-CN"/>
              </w:rPr>
              <w:t>13.★投标时须提供3C认证。</w:t>
            </w:r>
          </w:p>
        </w:tc>
        <w:tc>
          <w:tcPr>
            <w:tcW w:w="1000" w:type="dxa"/>
            <w:noWrap w:val="0"/>
            <w:vAlign w:val="center"/>
          </w:tcPr>
          <w:p w14:paraId="381BAE11">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2</w:t>
            </w:r>
          </w:p>
        </w:tc>
        <w:tc>
          <w:tcPr>
            <w:tcW w:w="937" w:type="dxa"/>
            <w:noWrap w:val="0"/>
            <w:vAlign w:val="center"/>
          </w:tcPr>
          <w:p w14:paraId="7D4DC4F8">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905" w:type="dxa"/>
            <w:noWrap w:val="0"/>
            <w:vAlign w:val="top"/>
          </w:tcPr>
          <w:p w14:paraId="08F96BE7">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color w:val="FF0000"/>
                <w:sz w:val="28"/>
                <w:szCs w:val="28"/>
                <w:highlight w:val="lightGray"/>
                <w:vertAlign w:val="baseline"/>
                <w:lang w:val="en-US" w:eastAsia="zh-CN"/>
              </w:rPr>
            </w:pPr>
            <w:r>
              <w:rPr>
                <w:rFonts w:hint="eastAsia" w:ascii="宋体" w:hAnsi="宋体" w:eastAsia="宋体" w:cs="宋体"/>
                <w:b/>
                <w:bCs/>
                <w:color w:val="C00000"/>
                <w:sz w:val="21"/>
                <w:szCs w:val="21"/>
                <w:u w:val="none"/>
                <w:lang w:val="en-US" w:eastAsia="zh-CN"/>
              </w:rPr>
              <w:t>强强制采购产品</w:t>
            </w:r>
          </w:p>
        </w:tc>
      </w:tr>
      <w:tr w14:paraId="45F08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6" w:type="dxa"/>
            <w:noWrap w:val="0"/>
            <w:vAlign w:val="center"/>
          </w:tcPr>
          <w:p w14:paraId="7B9D17AF">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sz w:val="28"/>
                <w:szCs w:val="28"/>
                <w:highlight w:val="none"/>
                <w:vertAlign w:val="baseline"/>
                <w:lang w:val="en-US" w:eastAsia="zh-CN"/>
              </w:rPr>
            </w:pPr>
          </w:p>
        </w:tc>
        <w:tc>
          <w:tcPr>
            <w:tcW w:w="1900" w:type="dxa"/>
            <w:noWrap w:val="0"/>
            <w:vAlign w:val="center"/>
          </w:tcPr>
          <w:p w14:paraId="114A56CF">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彩色一体机</w:t>
            </w:r>
          </w:p>
        </w:tc>
        <w:tc>
          <w:tcPr>
            <w:tcW w:w="5223" w:type="dxa"/>
            <w:noWrap w:val="0"/>
            <w:vAlign w:val="center"/>
          </w:tcPr>
          <w:p w14:paraId="7C8C4EA9">
            <w:pPr>
              <w:keepNext w:val="0"/>
              <w:keepLines w:val="0"/>
              <w:pageBreakBefore w:val="0"/>
              <w:widowControl/>
              <w:numPr>
                <w:ilvl w:val="0"/>
                <w:numId w:val="1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320" w:lineRule="exact"/>
              <w:ind w:left="0" w:leftChars="0" w:right="0" w:rightChars="0" w:firstLine="480" w:firstLineChars="200"/>
              <w:textAlignment w:val="auto"/>
              <w:rPr>
                <w:rFonts w:hint="default" w:ascii="方正仿宋_GBK" w:hAnsi="方正仿宋_GBK" w:eastAsia="方正仿宋_GBK" w:cs="方正仿宋_GBK"/>
                <w:b w:val="0"/>
                <w:bCs w:val="0"/>
                <w:color w:val="auto"/>
                <w:kern w:val="2"/>
                <w:sz w:val="24"/>
                <w:szCs w:val="24"/>
                <w:highlight w:val="none"/>
                <w:lang w:val="en-US" w:eastAsia="zh-CN" w:bidi="ar-SA"/>
              </w:rPr>
            </w:pPr>
            <w:r>
              <w:rPr>
                <w:rFonts w:hint="eastAsia" w:ascii="方正仿宋_GBK" w:hAnsi="方正仿宋_GBK" w:eastAsia="方正仿宋_GBK" w:cs="方正仿宋_GBK"/>
                <w:b w:val="0"/>
                <w:bCs w:val="0"/>
                <w:color w:val="auto"/>
                <w:kern w:val="2"/>
                <w:sz w:val="24"/>
                <w:szCs w:val="24"/>
                <w:highlight w:val="none"/>
                <w:lang w:val="en-US" w:eastAsia="zh-CN" w:bidi="ar-SA"/>
              </w:rPr>
              <w:t>产品类型：墨枪、加墨；</w:t>
            </w:r>
          </w:p>
          <w:p w14:paraId="5E48E8BE">
            <w:pPr>
              <w:keepNext w:val="0"/>
              <w:keepLines w:val="0"/>
              <w:pageBreakBefore w:val="0"/>
              <w:widowControl/>
              <w:numPr>
                <w:ilvl w:val="0"/>
                <w:numId w:val="1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320" w:lineRule="exact"/>
              <w:ind w:left="0" w:leftChars="0" w:right="0" w:rightChars="0" w:firstLine="480" w:firstLineChars="200"/>
              <w:textAlignment w:val="auto"/>
              <w:rPr>
                <w:rFonts w:hint="default" w:ascii="方正仿宋_GBK" w:hAnsi="方正仿宋_GBK" w:eastAsia="方正仿宋_GBK" w:cs="方正仿宋_GBK"/>
                <w:b w:val="0"/>
                <w:bCs w:val="0"/>
                <w:kern w:val="2"/>
                <w:sz w:val="24"/>
                <w:szCs w:val="24"/>
                <w:highlight w:val="none"/>
                <w:lang w:val="en-US" w:eastAsia="zh-CN" w:bidi="ar-SA"/>
              </w:rPr>
            </w:pPr>
            <w:r>
              <w:rPr>
                <w:rFonts w:hint="default" w:ascii="方正仿宋_GBK" w:hAnsi="方正仿宋_GBK" w:eastAsia="方正仿宋_GBK" w:cs="方正仿宋_GBK"/>
                <w:b w:val="0"/>
                <w:bCs w:val="0"/>
                <w:kern w:val="2"/>
                <w:sz w:val="24"/>
                <w:szCs w:val="24"/>
                <w:highlight w:val="none"/>
                <w:lang w:val="en-US" w:eastAsia="zh-CN" w:bidi="ar-SA"/>
              </w:rPr>
              <w:t>支持操作系统windows</w:t>
            </w:r>
            <w:r>
              <w:rPr>
                <w:rFonts w:hint="eastAsia" w:ascii="方正仿宋_GBK" w:hAnsi="方正仿宋_GBK" w:eastAsia="方正仿宋_GBK" w:cs="方正仿宋_GBK"/>
                <w:b w:val="0"/>
                <w:bCs w:val="0"/>
                <w:kern w:val="2"/>
                <w:sz w:val="24"/>
                <w:szCs w:val="24"/>
                <w:highlight w:val="none"/>
                <w:lang w:val="en-US" w:eastAsia="zh-CN" w:bidi="ar-SA"/>
              </w:rPr>
              <w:t>；</w:t>
            </w:r>
          </w:p>
          <w:p w14:paraId="42ED16EC">
            <w:pPr>
              <w:keepNext w:val="0"/>
              <w:keepLines w:val="0"/>
              <w:pageBreakBefore w:val="0"/>
              <w:widowControl/>
              <w:numPr>
                <w:ilvl w:val="0"/>
                <w:numId w:val="1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320" w:lineRule="exact"/>
              <w:ind w:left="0" w:leftChars="0" w:right="0" w:rightChars="0" w:firstLine="480" w:firstLineChars="200"/>
              <w:textAlignment w:val="auto"/>
              <w:rPr>
                <w:rFonts w:hint="eastAsia" w:ascii="方正仿宋_GBK" w:hAnsi="方正仿宋_GBK" w:eastAsia="方正仿宋_GBK" w:cs="方正仿宋_GBK"/>
                <w:b w:val="0"/>
                <w:bCs w:val="0"/>
                <w:kern w:val="2"/>
                <w:sz w:val="24"/>
                <w:szCs w:val="24"/>
                <w:highlight w:val="none"/>
                <w:lang w:val="en-US" w:eastAsia="zh-CN" w:bidi="ar-SA"/>
              </w:rPr>
            </w:pPr>
            <w:r>
              <w:rPr>
                <w:rFonts w:hint="default" w:ascii="方正仿宋_GBK" w:hAnsi="方正仿宋_GBK" w:eastAsia="方正仿宋_GBK" w:cs="方正仿宋_GBK"/>
                <w:b w:val="0"/>
                <w:bCs w:val="0"/>
                <w:kern w:val="2"/>
                <w:sz w:val="24"/>
                <w:szCs w:val="24"/>
                <w:highlight w:val="none"/>
                <w:lang w:val="en-US" w:eastAsia="zh-CN" w:bidi="ar-SA"/>
              </w:rPr>
              <w:t>接口类型</w:t>
            </w:r>
            <w:r>
              <w:rPr>
                <w:rFonts w:hint="eastAsia" w:ascii="方正仿宋_GBK" w:hAnsi="方正仿宋_GBK" w:eastAsia="方正仿宋_GBK" w:cs="方正仿宋_GBK"/>
                <w:b w:val="0"/>
                <w:bCs w:val="0"/>
                <w:kern w:val="2"/>
                <w:sz w:val="24"/>
                <w:szCs w:val="24"/>
                <w:highlight w:val="none"/>
                <w:lang w:val="en-US" w:eastAsia="zh-CN" w:bidi="ar-SA"/>
              </w:rPr>
              <w:t>：</w:t>
            </w:r>
            <w:r>
              <w:rPr>
                <w:rFonts w:hint="default" w:ascii="方正仿宋_GBK" w:hAnsi="方正仿宋_GBK" w:eastAsia="方正仿宋_GBK" w:cs="方正仿宋_GBK"/>
                <w:b w:val="0"/>
                <w:bCs w:val="0"/>
                <w:kern w:val="2"/>
                <w:sz w:val="24"/>
                <w:szCs w:val="24"/>
                <w:highlight w:val="none"/>
                <w:lang w:val="en-US" w:eastAsia="zh-CN" w:bidi="ar-SA"/>
              </w:rPr>
              <w:t>USB2.0</w:t>
            </w:r>
            <w:r>
              <w:rPr>
                <w:rFonts w:hint="eastAsia" w:ascii="方正仿宋_GBK" w:hAnsi="方正仿宋_GBK" w:eastAsia="方正仿宋_GBK" w:cs="方正仿宋_GBK"/>
                <w:b w:val="0"/>
                <w:bCs w:val="0"/>
                <w:kern w:val="2"/>
                <w:sz w:val="24"/>
                <w:szCs w:val="24"/>
                <w:highlight w:val="none"/>
                <w:lang w:val="en-US" w:eastAsia="zh-CN" w:bidi="ar-SA"/>
              </w:rPr>
              <w:t>；</w:t>
            </w:r>
          </w:p>
          <w:p w14:paraId="7B5E1931">
            <w:pPr>
              <w:keepNext w:val="0"/>
              <w:keepLines w:val="0"/>
              <w:pageBreakBefore w:val="0"/>
              <w:widowControl/>
              <w:numPr>
                <w:ilvl w:val="0"/>
                <w:numId w:val="13"/>
              </w:numPr>
              <w:suppressLineNumbers w:val="0"/>
              <w:kinsoku/>
              <w:wordWrap/>
              <w:overflowPunct/>
              <w:topLinePunct w:val="0"/>
              <w:autoSpaceDE/>
              <w:autoSpaceDN/>
              <w:bidi w:val="0"/>
              <w:adjustRightInd/>
              <w:snapToGrid/>
              <w:spacing w:line="320" w:lineRule="exact"/>
              <w:ind w:left="0" w:leftChars="0" w:firstLine="480" w:firstLineChars="200"/>
              <w:jc w:val="left"/>
              <w:textAlignment w:val="auto"/>
              <w:rPr>
                <w:rFonts w:hint="eastAsia" w:ascii="方正仿宋_GBK" w:hAnsi="方正仿宋_GBK" w:eastAsia="方正仿宋_GBK" w:cs="方正仿宋_GBK"/>
                <w:b w:val="0"/>
                <w:bCs w:val="0"/>
                <w:kern w:val="2"/>
                <w:sz w:val="24"/>
                <w:szCs w:val="24"/>
                <w:highlight w:val="none"/>
                <w:lang w:val="en-US" w:eastAsia="zh-CN" w:bidi="ar-SA"/>
              </w:rPr>
            </w:pPr>
            <w:r>
              <w:rPr>
                <w:rFonts w:hint="default" w:ascii="方正仿宋_GBK" w:hAnsi="方正仿宋_GBK" w:eastAsia="方正仿宋_GBK" w:cs="方正仿宋_GBK"/>
                <w:b w:val="0"/>
                <w:bCs w:val="0"/>
                <w:kern w:val="2"/>
                <w:sz w:val="24"/>
                <w:szCs w:val="24"/>
                <w:highlight w:val="none"/>
                <w:lang w:val="en-US" w:eastAsia="zh-CN" w:bidi="ar-SA"/>
              </w:rPr>
              <w:t>黑白打印速度</w:t>
            </w:r>
            <w:r>
              <w:rPr>
                <w:rFonts w:hint="eastAsia" w:ascii="方正仿宋_GBK" w:hAnsi="方正仿宋_GBK" w:eastAsia="方正仿宋_GBK" w:cs="方正仿宋_GBK"/>
                <w:b w:val="0"/>
                <w:bCs w:val="0"/>
                <w:kern w:val="2"/>
                <w:sz w:val="24"/>
                <w:szCs w:val="24"/>
                <w:highlight w:val="none"/>
                <w:lang w:val="en-US" w:eastAsia="zh-CN" w:bidi="ar-SA"/>
              </w:rPr>
              <w:t>：≥</w:t>
            </w:r>
            <w:r>
              <w:rPr>
                <w:rFonts w:hint="default" w:ascii="方正仿宋_GBK" w:hAnsi="方正仿宋_GBK" w:eastAsia="方正仿宋_GBK" w:cs="方正仿宋_GBK"/>
                <w:b w:val="0"/>
                <w:bCs w:val="0"/>
                <w:kern w:val="2"/>
                <w:sz w:val="24"/>
                <w:szCs w:val="24"/>
                <w:highlight w:val="none"/>
                <w:lang w:val="en-US" w:eastAsia="zh-CN" w:bidi="ar-SA"/>
              </w:rPr>
              <w:t>(页/分钟)16</w:t>
            </w:r>
            <w:r>
              <w:rPr>
                <w:rFonts w:hint="eastAsia" w:ascii="方正仿宋_GBK" w:hAnsi="方正仿宋_GBK" w:eastAsia="方正仿宋_GBK" w:cs="方正仿宋_GBK"/>
                <w:b w:val="0"/>
                <w:bCs w:val="0"/>
                <w:kern w:val="2"/>
                <w:sz w:val="24"/>
                <w:szCs w:val="24"/>
                <w:highlight w:val="none"/>
                <w:lang w:val="en-US" w:eastAsia="zh-CN" w:bidi="ar-SA"/>
              </w:rPr>
              <w:t>；</w:t>
            </w:r>
          </w:p>
          <w:p w14:paraId="2EB54F32">
            <w:pPr>
              <w:keepNext w:val="0"/>
              <w:keepLines w:val="0"/>
              <w:pageBreakBefore w:val="0"/>
              <w:widowControl/>
              <w:numPr>
                <w:ilvl w:val="0"/>
                <w:numId w:val="1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320" w:lineRule="exact"/>
              <w:ind w:left="0" w:leftChars="0" w:right="0" w:rightChars="0" w:firstLine="480" w:firstLineChars="200"/>
              <w:textAlignment w:val="auto"/>
              <w:rPr>
                <w:rFonts w:hint="eastAsia" w:ascii="方正仿宋_GBK" w:hAnsi="方正仿宋_GBK" w:eastAsia="方正仿宋_GBK" w:cs="方正仿宋_GBK"/>
                <w:b w:val="0"/>
                <w:bCs w:val="0"/>
                <w:kern w:val="2"/>
                <w:sz w:val="24"/>
                <w:szCs w:val="24"/>
                <w:highlight w:val="none"/>
                <w:lang w:val="en-US" w:eastAsia="zh-CN" w:bidi="ar-SA"/>
              </w:rPr>
            </w:pPr>
            <w:r>
              <w:rPr>
                <w:rFonts w:hint="default" w:ascii="方正仿宋_GBK" w:hAnsi="方正仿宋_GBK" w:eastAsia="方正仿宋_GBK" w:cs="方正仿宋_GBK"/>
                <w:b w:val="0"/>
                <w:bCs w:val="0"/>
                <w:kern w:val="2"/>
                <w:sz w:val="24"/>
                <w:szCs w:val="24"/>
                <w:highlight w:val="none"/>
                <w:lang w:val="en-US" w:eastAsia="zh-CN" w:bidi="ar-SA"/>
              </w:rPr>
              <w:t>打印介质类型</w:t>
            </w:r>
            <w:r>
              <w:rPr>
                <w:rFonts w:hint="eastAsia" w:ascii="方正仿宋_GBK" w:hAnsi="方正仿宋_GBK" w:eastAsia="方正仿宋_GBK" w:cs="方正仿宋_GBK"/>
                <w:b w:val="0"/>
                <w:bCs w:val="0"/>
                <w:kern w:val="2"/>
                <w:sz w:val="24"/>
                <w:szCs w:val="24"/>
                <w:highlight w:val="none"/>
                <w:lang w:val="en-US" w:eastAsia="zh-CN" w:bidi="ar-SA"/>
              </w:rPr>
              <w:t>：</w:t>
            </w:r>
            <w:r>
              <w:rPr>
                <w:rFonts w:hint="default" w:ascii="方正仿宋_GBK" w:hAnsi="方正仿宋_GBK" w:eastAsia="方正仿宋_GBK" w:cs="方正仿宋_GBK"/>
                <w:b w:val="0"/>
                <w:bCs w:val="0"/>
                <w:kern w:val="2"/>
                <w:sz w:val="24"/>
                <w:szCs w:val="24"/>
                <w:highlight w:val="none"/>
                <w:lang w:val="en-US" w:eastAsia="zh-CN" w:bidi="ar-SA"/>
              </w:rPr>
              <w:t>普通纸</w:t>
            </w:r>
            <w:r>
              <w:rPr>
                <w:rFonts w:hint="eastAsia" w:ascii="方正仿宋_GBK" w:hAnsi="方正仿宋_GBK" w:eastAsia="方正仿宋_GBK" w:cs="方正仿宋_GBK"/>
                <w:b w:val="0"/>
                <w:bCs w:val="0"/>
                <w:kern w:val="2"/>
                <w:sz w:val="24"/>
                <w:szCs w:val="24"/>
                <w:highlight w:val="none"/>
                <w:lang w:val="en-US" w:eastAsia="zh-CN" w:bidi="ar-SA"/>
              </w:rPr>
              <w:t>；</w:t>
            </w:r>
          </w:p>
          <w:p w14:paraId="7C16AA86">
            <w:pPr>
              <w:keepNext w:val="0"/>
              <w:keepLines w:val="0"/>
              <w:pageBreakBefore w:val="0"/>
              <w:widowControl/>
              <w:numPr>
                <w:ilvl w:val="0"/>
                <w:numId w:val="1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320" w:lineRule="exact"/>
              <w:ind w:left="0" w:leftChars="0" w:right="0" w:rightChars="0" w:firstLine="480" w:firstLineChars="200"/>
              <w:textAlignment w:val="auto"/>
              <w:rPr>
                <w:rFonts w:hint="eastAsia" w:ascii="方正仿宋_GBK" w:hAnsi="方正仿宋_GBK" w:eastAsia="方正仿宋_GBK" w:cs="方正仿宋_GBK"/>
                <w:b w:val="0"/>
                <w:bCs w:val="0"/>
                <w:kern w:val="2"/>
                <w:sz w:val="24"/>
                <w:szCs w:val="24"/>
                <w:highlight w:val="none"/>
                <w:lang w:val="en-US" w:eastAsia="zh-CN" w:bidi="ar-SA"/>
              </w:rPr>
            </w:pPr>
            <w:r>
              <w:rPr>
                <w:rFonts w:hint="default" w:ascii="方正仿宋_GBK" w:hAnsi="方正仿宋_GBK" w:eastAsia="方正仿宋_GBK" w:cs="方正仿宋_GBK"/>
                <w:b w:val="0"/>
                <w:bCs w:val="0"/>
                <w:kern w:val="2"/>
                <w:sz w:val="24"/>
                <w:szCs w:val="24"/>
                <w:highlight w:val="none"/>
                <w:lang w:val="en-US" w:eastAsia="zh-CN" w:bidi="ar-SA"/>
              </w:rPr>
              <w:t xml:space="preserve">黑白打印分辨率 </w:t>
            </w:r>
            <w:r>
              <w:rPr>
                <w:rFonts w:hint="eastAsia" w:ascii="方正仿宋_GBK" w:hAnsi="方正仿宋_GBK" w:eastAsia="方正仿宋_GBK" w:cs="方正仿宋_GBK"/>
                <w:b w:val="0"/>
                <w:bCs w:val="0"/>
                <w:kern w:val="2"/>
                <w:sz w:val="24"/>
                <w:szCs w:val="24"/>
                <w:highlight w:val="none"/>
                <w:lang w:val="en-US" w:eastAsia="zh-CN" w:bidi="ar-SA"/>
              </w:rPr>
              <w:t>：</w:t>
            </w:r>
            <w:r>
              <w:rPr>
                <w:rFonts w:hint="default" w:ascii="方正仿宋_GBK" w:hAnsi="方正仿宋_GBK" w:eastAsia="方正仿宋_GBK" w:cs="方正仿宋_GBK"/>
                <w:b w:val="0"/>
                <w:bCs w:val="0"/>
                <w:kern w:val="2"/>
                <w:sz w:val="24"/>
                <w:szCs w:val="24"/>
                <w:highlight w:val="none"/>
                <w:lang w:val="en-US" w:eastAsia="zh-CN" w:bidi="ar-SA"/>
              </w:rPr>
              <w:t>(dpi)</w:t>
            </w:r>
            <w:r>
              <w:rPr>
                <w:rFonts w:hint="eastAsia" w:ascii="方正仿宋_GBK" w:hAnsi="方正仿宋_GBK" w:eastAsia="方正仿宋_GBK" w:cs="方正仿宋_GBK"/>
                <w:b w:val="0"/>
                <w:bCs w:val="0"/>
                <w:kern w:val="2"/>
                <w:sz w:val="24"/>
                <w:szCs w:val="24"/>
                <w:highlight w:val="none"/>
                <w:lang w:val="en-US" w:eastAsia="zh-CN" w:bidi="ar-SA"/>
              </w:rPr>
              <w:t>≥</w:t>
            </w:r>
            <w:r>
              <w:rPr>
                <w:rFonts w:hint="default" w:ascii="方正仿宋_GBK" w:hAnsi="方正仿宋_GBK" w:eastAsia="方正仿宋_GBK" w:cs="方正仿宋_GBK"/>
                <w:b w:val="0"/>
                <w:bCs w:val="0"/>
                <w:kern w:val="2"/>
                <w:sz w:val="24"/>
                <w:szCs w:val="24"/>
                <w:highlight w:val="none"/>
                <w:lang w:val="en-US" w:eastAsia="zh-CN" w:bidi="ar-SA"/>
              </w:rPr>
              <w:t>1200X6000</w:t>
            </w:r>
            <w:r>
              <w:rPr>
                <w:rFonts w:hint="eastAsia" w:ascii="方正仿宋_GBK" w:hAnsi="方正仿宋_GBK" w:eastAsia="方正仿宋_GBK" w:cs="方正仿宋_GBK"/>
                <w:b w:val="0"/>
                <w:bCs w:val="0"/>
                <w:kern w:val="2"/>
                <w:sz w:val="24"/>
                <w:szCs w:val="24"/>
                <w:highlight w:val="none"/>
                <w:lang w:val="en-US" w:eastAsia="zh-CN" w:bidi="ar-SA"/>
              </w:rPr>
              <w:t>；</w:t>
            </w:r>
          </w:p>
          <w:p w14:paraId="007BC304">
            <w:pPr>
              <w:keepNext w:val="0"/>
              <w:keepLines w:val="0"/>
              <w:pageBreakBefore w:val="0"/>
              <w:widowControl/>
              <w:numPr>
                <w:ilvl w:val="0"/>
                <w:numId w:val="1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320" w:lineRule="exact"/>
              <w:ind w:left="0" w:leftChars="0" w:right="0" w:rightChars="0" w:firstLine="480" w:firstLineChars="200"/>
              <w:textAlignment w:val="auto"/>
              <w:rPr>
                <w:rFonts w:hint="eastAsia" w:ascii="方正仿宋_GBK" w:hAnsi="方正仿宋_GBK" w:eastAsia="方正仿宋_GBK" w:cs="方正仿宋_GBK"/>
                <w:b w:val="0"/>
                <w:bCs w:val="0"/>
                <w:kern w:val="2"/>
                <w:sz w:val="24"/>
                <w:szCs w:val="24"/>
                <w:highlight w:val="none"/>
                <w:lang w:val="en-US" w:eastAsia="zh-CN" w:bidi="ar-SA"/>
              </w:rPr>
            </w:pPr>
            <w:r>
              <w:rPr>
                <w:rFonts w:hint="default" w:ascii="方正仿宋_GBK" w:hAnsi="方正仿宋_GBK" w:eastAsia="方正仿宋_GBK" w:cs="方正仿宋_GBK"/>
                <w:b w:val="0"/>
                <w:bCs w:val="0"/>
                <w:kern w:val="2"/>
                <w:sz w:val="24"/>
                <w:szCs w:val="24"/>
                <w:highlight w:val="none"/>
                <w:lang w:val="en-US" w:eastAsia="zh-CN" w:bidi="ar-SA"/>
              </w:rPr>
              <w:t>支持打印尺寸</w:t>
            </w:r>
            <w:r>
              <w:rPr>
                <w:rFonts w:hint="eastAsia" w:ascii="方正仿宋_GBK" w:hAnsi="方正仿宋_GBK" w:eastAsia="方正仿宋_GBK" w:cs="方正仿宋_GBK"/>
                <w:b w:val="0"/>
                <w:bCs w:val="0"/>
                <w:kern w:val="2"/>
                <w:sz w:val="24"/>
                <w:szCs w:val="24"/>
                <w:highlight w:val="none"/>
                <w:lang w:val="en-US" w:eastAsia="zh-CN" w:bidi="ar-SA"/>
              </w:rPr>
              <w:t>：</w:t>
            </w:r>
            <w:r>
              <w:rPr>
                <w:rFonts w:hint="default" w:ascii="方正仿宋_GBK" w:hAnsi="方正仿宋_GBK" w:eastAsia="方正仿宋_GBK" w:cs="方正仿宋_GBK"/>
                <w:b w:val="0"/>
                <w:bCs w:val="0"/>
                <w:kern w:val="2"/>
                <w:sz w:val="24"/>
                <w:szCs w:val="24"/>
                <w:highlight w:val="none"/>
                <w:lang w:val="en-US" w:eastAsia="zh-CN" w:bidi="ar-SA"/>
              </w:rPr>
              <w:t>A4</w:t>
            </w:r>
            <w:r>
              <w:rPr>
                <w:rFonts w:hint="eastAsia" w:ascii="方正仿宋_GBK" w:hAnsi="方正仿宋_GBK" w:eastAsia="方正仿宋_GBK" w:cs="方正仿宋_GBK"/>
                <w:b w:val="0"/>
                <w:bCs w:val="0"/>
                <w:kern w:val="2"/>
                <w:sz w:val="24"/>
                <w:szCs w:val="24"/>
                <w:highlight w:val="none"/>
                <w:lang w:val="en-US" w:eastAsia="zh-CN" w:bidi="ar-SA"/>
              </w:rPr>
              <w:t>；</w:t>
            </w:r>
          </w:p>
          <w:p w14:paraId="30AA1C7C">
            <w:pPr>
              <w:keepNext w:val="0"/>
              <w:keepLines w:val="0"/>
              <w:pageBreakBefore w:val="0"/>
              <w:widowControl/>
              <w:numPr>
                <w:ilvl w:val="0"/>
                <w:numId w:val="1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320" w:lineRule="exact"/>
              <w:ind w:left="0" w:leftChars="0" w:right="0" w:rightChars="0" w:firstLine="480" w:firstLineChars="200"/>
              <w:textAlignment w:val="auto"/>
              <w:rPr>
                <w:rFonts w:hint="eastAsia" w:ascii="方正仿宋_GBK" w:hAnsi="方正仿宋_GBK" w:eastAsia="方正仿宋_GBK" w:cs="方正仿宋_GBK"/>
                <w:b w:val="0"/>
                <w:bCs w:val="0"/>
                <w:kern w:val="2"/>
                <w:sz w:val="24"/>
                <w:szCs w:val="24"/>
                <w:highlight w:val="none"/>
                <w:lang w:val="en-US" w:eastAsia="zh-CN" w:bidi="ar-SA"/>
              </w:rPr>
            </w:pPr>
            <w:r>
              <w:rPr>
                <w:rFonts w:hint="default" w:ascii="方正仿宋_GBK" w:hAnsi="方正仿宋_GBK" w:eastAsia="方正仿宋_GBK" w:cs="方正仿宋_GBK"/>
                <w:b w:val="0"/>
                <w:bCs w:val="0"/>
                <w:kern w:val="2"/>
                <w:sz w:val="24"/>
                <w:szCs w:val="24"/>
                <w:highlight w:val="none"/>
                <w:lang w:val="en-US" w:eastAsia="zh-CN" w:bidi="ar-SA"/>
              </w:rPr>
              <w:t>彩色打印速度</w:t>
            </w:r>
            <w:r>
              <w:rPr>
                <w:rFonts w:hint="eastAsia" w:ascii="方正仿宋_GBK" w:hAnsi="方正仿宋_GBK" w:eastAsia="方正仿宋_GBK" w:cs="方正仿宋_GBK"/>
                <w:b w:val="0"/>
                <w:bCs w:val="0"/>
                <w:kern w:val="2"/>
                <w:sz w:val="24"/>
                <w:szCs w:val="24"/>
                <w:highlight w:val="none"/>
                <w:lang w:val="en-US" w:eastAsia="zh-CN" w:bidi="ar-SA"/>
              </w:rPr>
              <w:t>≥</w:t>
            </w:r>
            <w:r>
              <w:rPr>
                <w:rFonts w:hint="default" w:ascii="方正仿宋_GBK" w:hAnsi="方正仿宋_GBK" w:eastAsia="方正仿宋_GBK" w:cs="方正仿宋_GBK"/>
                <w:b w:val="0"/>
                <w:bCs w:val="0"/>
                <w:kern w:val="2"/>
                <w:sz w:val="24"/>
                <w:szCs w:val="24"/>
                <w:highlight w:val="none"/>
                <w:lang w:val="en-US" w:eastAsia="zh-CN" w:bidi="ar-SA"/>
              </w:rPr>
              <w:t>(</w:t>
            </w:r>
            <w:r>
              <w:rPr>
                <w:rFonts w:hint="eastAsia" w:ascii="方正仿宋_GBK" w:hAnsi="方正仿宋_GBK" w:eastAsia="方正仿宋_GBK" w:cs="方正仿宋_GBK"/>
                <w:b w:val="0"/>
                <w:bCs w:val="0"/>
                <w:kern w:val="2"/>
                <w:sz w:val="24"/>
                <w:szCs w:val="24"/>
                <w:highlight w:val="none"/>
                <w:lang w:val="en-US" w:eastAsia="zh-CN" w:bidi="ar-SA"/>
              </w:rPr>
              <w:t>9</w:t>
            </w:r>
            <w:r>
              <w:rPr>
                <w:rFonts w:hint="default" w:ascii="方正仿宋_GBK" w:hAnsi="方正仿宋_GBK" w:eastAsia="方正仿宋_GBK" w:cs="方正仿宋_GBK"/>
                <w:b w:val="0"/>
                <w:bCs w:val="0"/>
                <w:kern w:val="2"/>
                <w:sz w:val="24"/>
                <w:szCs w:val="24"/>
                <w:highlight w:val="none"/>
                <w:lang w:val="en-US" w:eastAsia="zh-CN" w:bidi="ar-SA"/>
              </w:rPr>
              <w:t>页/分钟)</w:t>
            </w:r>
            <w:r>
              <w:rPr>
                <w:rFonts w:hint="eastAsia" w:ascii="方正仿宋_GBK" w:hAnsi="方正仿宋_GBK" w:eastAsia="方正仿宋_GBK" w:cs="方正仿宋_GBK"/>
                <w:b w:val="0"/>
                <w:bCs w:val="0"/>
                <w:kern w:val="2"/>
                <w:sz w:val="24"/>
                <w:szCs w:val="24"/>
                <w:highlight w:val="none"/>
                <w:lang w:val="en-US" w:eastAsia="zh-CN" w:bidi="ar-SA"/>
              </w:rPr>
              <w:t>；</w:t>
            </w:r>
          </w:p>
          <w:p w14:paraId="3C944993">
            <w:pPr>
              <w:keepNext w:val="0"/>
              <w:keepLines w:val="0"/>
              <w:pageBreakBefore w:val="0"/>
              <w:widowControl/>
              <w:numPr>
                <w:ilvl w:val="0"/>
                <w:numId w:val="1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320" w:lineRule="exact"/>
              <w:ind w:left="0" w:leftChars="0" w:right="0" w:rightChars="0" w:firstLine="480" w:firstLineChars="200"/>
              <w:textAlignment w:val="auto"/>
              <w:rPr>
                <w:rFonts w:hint="eastAsia" w:ascii="方正仿宋_GBK" w:hAnsi="方正仿宋_GBK" w:eastAsia="方正仿宋_GBK" w:cs="方正仿宋_GBK"/>
                <w:b w:val="0"/>
                <w:bCs w:val="0"/>
                <w:kern w:val="2"/>
                <w:sz w:val="24"/>
                <w:szCs w:val="24"/>
                <w:highlight w:val="none"/>
                <w:lang w:val="en-US" w:eastAsia="zh-CN" w:bidi="ar-SA"/>
              </w:rPr>
            </w:pPr>
            <w:r>
              <w:rPr>
                <w:rFonts w:hint="default" w:ascii="方正仿宋_GBK" w:hAnsi="方正仿宋_GBK" w:eastAsia="方正仿宋_GBK" w:cs="方正仿宋_GBK"/>
                <w:b w:val="0"/>
                <w:bCs w:val="0"/>
                <w:kern w:val="2"/>
                <w:sz w:val="24"/>
                <w:szCs w:val="24"/>
                <w:highlight w:val="none"/>
                <w:lang w:val="en-US" w:eastAsia="zh-CN" w:bidi="ar-SA"/>
              </w:rPr>
              <w:t>最大打印幅面</w:t>
            </w:r>
            <w:r>
              <w:rPr>
                <w:rFonts w:hint="eastAsia" w:ascii="方正仿宋_GBK" w:hAnsi="方正仿宋_GBK" w:eastAsia="方正仿宋_GBK" w:cs="方正仿宋_GBK"/>
                <w:b w:val="0"/>
                <w:bCs w:val="0"/>
                <w:kern w:val="2"/>
                <w:sz w:val="24"/>
                <w:szCs w:val="24"/>
                <w:highlight w:val="none"/>
                <w:lang w:val="en-US" w:eastAsia="zh-CN" w:bidi="ar-SA"/>
              </w:rPr>
              <w:t>：</w:t>
            </w:r>
            <w:r>
              <w:rPr>
                <w:rFonts w:hint="default" w:ascii="方正仿宋_GBK" w:hAnsi="方正仿宋_GBK" w:eastAsia="方正仿宋_GBK" w:cs="方正仿宋_GBK"/>
                <w:b w:val="0"/>
                <w:bCs w:val="0"/>
                <w:kern w:val="2"/>
                <w:sz w:val="24"/>
                <w:szCs w:val="24"/>
                <w:highlight w:val="none"/>
                <w:lang w:val="en-US" w:eastAsia="zh-CN" w:bidi="ar-SA"/>
              </w:rPr>
              <w:t>A4</w:t>
            </w:r>
            <w:r>
              <w:rPr>
                <w:rFonts w:hint="eastAsia" w:ascii="方正仿宋_GBK" w:hAnsi="方正仿宋_GBK" w:eastAsia="方正仿宋_GBK" w:cs="方正仿宋_GBK"/>
                <w:b w:val="0"/>
                <w:bCs w:val="0"/>
                <w:kern w:val="2"/>
                <w:sz w:val="24"/>
                <w:szCs w:val="24"/>
                <w:highlight w:val="none"/>
                <w:lang w:val="en-US" w:eastAsia="zh-CN" w:bidi="ar-SA"/>
              </w:rPr>
              <w:t>；</w:t>
            </w:r>
          </w:p>
          <w:p w14:paraId="6606D1CC">
            <w:pPr>
              <w:keepNext w:val="0"/>
              <w:keepLines w:val="0"/>
              <w:pageBreakBefore w:val="0"/>
              <w:widowControl/>
              <w:numPr>
                <w:ilvl w:val="0"/>
                <w:numId w:val="1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320" w:lineRule="exact"/>
              <w:ind w:left="0" w:leftChars="0" w:right="0" w:rightChars="0" w:firstLine="480" w:firstLineChars="200"/>
              <w:textAlignment w:val="auto"/>
              <w:rPr>
                <w:rFonts w:hint="eastAsia" w:ascii="方正仿宋_GBK" w:hAnsi="方正仿宋_GBK" w:eastAsia="方正仿宋_GBK" w:cs="方正仿宋_GBK"/>
                <w:b w:val="0"/>
                <w:bCs w:val="0"/>
                <w:kern w:val="2"/>
                <w:sz w:val="24"/>
                <w:szCs w:val="24"/>
                <w:highlight w:val="none"/>
                <w:lang w:val="en-US" w:eastAsia="zh-CN" w:bidi="ar-SA"/>
              </w:rPr>
            </w:pPr>
            <w:r>
              <w:rPr>
                <w:rFonts w:hint="default" w:ascii="方正仿宋_GBK" w:hAnsi="方正仿宋_GBK" w:eastAsia="方正仿宋_GBK" w:cs="方正仿宋_GBK"/>
                <w:b w:val="0"/>
                <w:bCs w:val="0"/>
                <w:kern w:val="2"/>
                <w:sz w:val="24"/>
                <w:szCs w:val="24"/>
                <w:highlight w:val="none"/>
                <w:lang w:val="en-US" w:eastAsia="zh-CN" w:bidi="ar-SA"/>
              </w:rPr>
              <w:t xml:space="preserve">彩色打印分辨率 </w:t>
            </w:r>
            <w:r>
              <w:rPr>
                <w:rFonts w:hint="eastAsia" w:ascii="方正仿宋_GBK" w:hAnsi="方正仿宋_GBK" w:eastAsia="方正仿宋_GBK" w:cs="方正仿宋_GBK"/>
                <w:b w:val="0"/>
                <w:bCs w:val="0"/>
                <w:kern w:val="2"/>
                <w:sz w:val="24"/>
                <w:szCs w:val="24"/>
                <w:highlight w:val="none"/>
                <w:lang w:val="en-US" w:eastAsia="zh-CN" w:bidi="ar-SA"/>
              </w:rPr>
              <w:t>：</w:t>
            </w:r>
            <w:r>
              <w:rPr>
                <w:rFonts w:hint="default" w:ascii="方正仿宋_GBK" w:hAnsi="方正仿宋_GBK" w:eastAsia="方正仿宋_GBK" w:cs="方正仿宋_GBK"/>
                <w:b w:val="0"/>
                <w:bCs w:val="0"/>
                <w:kern w:val="2"/>
                <w:sz w:val="24"/>
                <w:szCs w:val="24"/>
                <w:highlight w:val="none"/>
                <w:lang w:val="en-US" w:eastAsia="zh-CN" w:bidi="ar-SA"/>
              </w:rPr>
              <w:t>(dpi)最佳1200X6000</w:t>
            </w:r>
            <w:r>
              <w:rPr>
                <w:rFonts w:hint="eastAsia" w:ascii="方正仿宋_GBK" w:hAnsi="方正仿宋_GBK" w:eastAsia="方正仿宋_GBK" w:cs="方正仿宋_GBK"/>
                <w:b w:val="0"/>
                <w:bCs w:val="0"/>
                <w:kern w:val="2"/>
                <w:sz w:val="24"/>
                <w:szCs w:val="24"/>
                <w:highlight w:val="none"/>
                <w:lang w:val="en-US" w:eastAsia="zh-CN" w:bidi="ar-SA"/>
              </w:rPr>
              <w:t>；</w:t>
            </w:r>
          </w:p>
          <w:p w14:paraId="159C5240">
            <w:pPr>
              <w:keepNext w:val="0"/>
              <w:keepLines w:val="0"/>
              <w:pageBreakBefore w:val="0"/>
              <w:widowControl/>
              <w:numPr>
                <w:ilvl w:val="0"/>
                <w:numId w:val="1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320" w:lineRule="exact"/>
              <w:ind w:left="0" w:leftChars="0" w:right="0" w:rightChars="0" w:firstLine="480" w:firstLineChars="200"/>
              <w:textAlignment w:val="auto"/>
              <w:rPr>
                <w:rFonts w:hint="eastAsia" w:ascii="方正仿宋_GBK" w:hAnsi="方正仿宋_GBK" w:eastAsia="方正仿宋_GBK" w:cs="方正仿宋_GBK"/>
                <w:b w:val="0"/>
                <w:bCs w:val="0"/>
                <w:kern w:val="2"/>
                <w:sz w:val="24"/>
                <w:szCs w:val="24"/>
                <w:highlight w:val="none"/>
                <w:lang w:val="en-US" w:eastAsia="zh-CN" w:bidi="ar-SA"/>
              </w:rPr>
            </w:pPr>
            <w:r>
              <w:rPr>
                <w:rFonts w:hint="default" w:ascii="方正仿宋_GBK" w:hAnsi="方正仿宋_GBK" w:eastAsia="方正仿宋_GBK" w:cs="方正仿宋_GBK"/>
                <w:b w:val="0"/>
                <w:bCs w:val="0"/>
                <w:kern w:val="2"/>
                <w:sz w:val="24"/>
                <w:szCs w:val="24"/>
                <w:highlight w:val="none"/>
                <w:lang w:val="en-US" w:eastAsia="zh-CN" w:bidi="ar-SA"/>
              </w:rPr>
              <w:t>支持网络打印</w:t>
            </w:r>
            <w:r>
              <w:rPr>
                <w:rFonts w:hint="eastAsia" w:ascii="方正仿宋_GBK" w:hAnsi="方正仿宋_GBK" w:eastAsia="方正仿宋_GBK" w:cs="方正仿宋_GBK"/>
                <w:b w:val="0"/>
                <w:bCs w:val="0"/>
                <w:kern w:val="2"/>
                <w:sz w:val="24"/>
                <w:szCs w:val="24"/>
                <w:highlight w:val="none"/>
                <w:lang w:val="en-US" w:eastAsia="zh-CN" w:bidi="ar-SA"/>
              </w:rPr>
              <w:t>；</w:t>
            </w:r>
          </w:p>
          <w:p w14:paraId="2B9B1AF2">
            <w:pPr>
              <w:keepNext w:val="0"/>
              <w:keepLines w:val="0"/>
              <w:pageBreakBefore w:val="0"/>
              <w:widowControl/>
              <w:numPr>
                <w:ilvl w:val="0"/>
                <w:numId w:val="13"/>
              </w:numPr>
              <w:suppressLineNumbers w:val="0"/>
              <w:kinsoku/>
              <w:wordWrap/>
              <w:overflowPunct/>
              <w:topLinePunct w:val="0"/>
              <w:autoSpaceDE/>
              <w:autoSpaceDN/>
              <w:bidi w:val="0"/>
              <w:adjustRightInd/>
              <w:snapToGrid/>
              <w:spacing w:line="320" w:lineRule="exact"/>
              <w:ind w:left="0" w:leftChars="0" w:firstLine="480" w:firstLineChars="200"/>
              <w:jc w:val="left"/>
              <w:textAlignment w:val="auto"/>
              <w:rPr>
                <w:rFonts w:hint="default" w:ascii="方正仿宋_GBK" w:hAnsi="方正仿宋_GBK" w:eastAsia="方正仿宋_GBK" w:cs="方正仿宋_GBK"/>
                <w:b w:val="0"/>
                <w:bCs w:val="0"/>
                <w:kern w:val="2"/>
                <w:sz w:val="24"/>
                <w:szCs w:val="24"/>
                <w:highlight w:val="none"/>
                <w:lang w:val="en-US" w:eastAsia="zh-CN" w:bidi="ar-SA"/>
              </w:rPr>
            </w:pPr>
            <w:r>
              <w:rPr>
                <w:rFonts w:hint="default" w:ascii="方正仿宋_GBK" w:hAnsi="方正仿宋_GBK" w:eastAsia="方正仿宋_GBK" w:cs="方正仿宋_GBK"/>
                <w:b w:val="0"/>
                <w:bCs w:val="0"/>
                <w:kern w:val="2"/>
                <w:sz w:val="24"/>
                <w:szCs w:val="24"/>
                <w:highlight w:val="none"/>
                <w:lang w:val="en-US" w:eastAsia="zh-CN" w:bidi="ar-SA"/>
              </w:rPr>
              <w:t>复印分辨率</w:t>
            </w:r>
            <w:r>
              <w:rPr>
                <w:rFonts w:hint="eastAsia" w:ascii="方正仿宋_GBK" w:hAnsi="方正仿宋_GBK" w:eastAsia="方正仿宋_GBK" w:cs="方正仿宋_GBK"/>
                <w:b w:val="0"/>
                <w:bCs w:val="0"/>
                <w:kern w:val="2"/>
                <w:sz w:val="24"/>
                <w:szCs w:val="24"/>
                <w:highlight w:val="none"/>
                <w:lang w:val="en-US" w:eastAsia="zh-CN" w:bidi="ar-SA"/>
              </w:rPr>
              <w:t>：≥</w:t>
            </w:r>
            <w:r>
              <w:rPr>
                <w:rFonts w:hint="default" w:ascii="方正仿宋_GBK" w:hAnsi="方正仿宋_GBK" w:eastAsia="方正仿宋_GBK" w:cs="方正仿宋_GBK"/>
                <w:b w:val="0"/>
                <w:bCs w:val="0"/>
                <w:kern w:val="2"/>
                <w:sz w:val="24"/>
                <w:szCs w:val="24"/>
                <w:highlight w:val="none"/>
                <w:lang w:val="en-US" w:eastAsia="zh-CN" w:bidi="ar-SA"/>
              </w:rPr>
              <w:t>1200x1800dpi</w:t>
            </w:r>
            <w:r>
              <w:rPr>
                <w:rFonts w:hint="eastAsia" w:ascii="方正仿宋_GBK" w:hAnsi="方正仿宋_GBK" w:eastAsia="方正仿宋_GBK" w:cs="方正仿宋_GBK"/>
                <w:b w:val="0"/>
                <w:bCs w:val="0"/>
                <w:kern w:val="2"/>
                <w:sz w:val="24"/>
                <w:szCs w:val="24"/>
                <w:highlight w:val="none"/>
                <w:lang w:val="en-US" w:eastAsia="zh-CN" w:bidi="ar-SA"/>
              </w:rPr>
              <w:t>；</w:t>
            </w:r>
          </w:p>
          <w:p w14:paraId="72BBC52A">
            <w:pPr>
              <w:keepNext w:val="0"/>
              <w:keepLines w:val="0"/>
              <w:pageBreakBefore w:val="0"/>
              <w:widowControl/>
              <w:numPr>
                <w:ilvl w:val="0"/>
                <w:numId w:val="13"/>
              </w:numPr>
              <w:suppressLineNumbers w:val="0"/>
              <w:kinsoku/>
              <w:wordWrap/>
              <w:overflowPunct/>
              <w:topLinePunct w:val="0"/>
              <w:autoSpaceDE/>
              <w:autoSpaceDN/>
              <w:bidi w:val="0"/>
              <w:adjustRightInd/>
              <w:snapToGrid/>
              <w:spacing w:line="320" w:lineRule="exact"/>
              <w:ind w:left="0" w:leftChars="0" w:firstLine="480" w:firstLineChars="20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default" w:ascii="方正仿宋_GBK" w:hAnsi="方正仿宋_GBK" w:eastAsia="方正仿宋_GBK" w:cs="方正仿宋_GBK"/>
                <w:b w:val="0"/>
                <w:bCs w:val="0"/>
                <w:kern w:val="2"/>
                <w:sz w:val="24"/>
                <w:szCs w:val="24"/>
                <w:highlight w:val="none"/>
                <w:lang w:val="en-US" w:eastAsia="zh-CN" w:bidi="ar-SA"/>
              </w:rPr>
              <w:t>支持复印尺寸</w:t>
            </w:r>
            <w:r>
              <w:rPr>
                <w:rFonts w:hint="eastAsia" w:ascii="方正仿宋_GBK" w:hAnsi="方正仿宋_GBK" w:eastAsia="方正仿宋_GBK" w:cs="方正仿宋_GBK"/>
                <w:b w:val="0"/>
                <w:bCs w:val="0"/>
                <w:kern w:val="2"/>
                <w:sz w:val="24"/>
                <w:szCs w:val="24"/>
                <w:highlight w:val="none"/>
                <w:lang w:val="en-US" w:eastAsia="zh-CN" w:bidi="ar-SA"/>
              </w:rPr>
              <w:t>：</w:t>
            </w:r>
            <w:r>
              <w:rPr>
                <w:rFonts w:hint="default" w:ascii="方正仿宋_GBK" w:hAnsi="方正仿宋_GBK" w:eastAsia="方正仿宋_GBK" w:cs="方正仿宋_GBK"/>
                <w:b w:val="0"/>
                <w:bCs w:val="0"/>
                <w:kern w:val="2"/>
                <w:sz w:val="24"/>
                <w:szCs w:val="24"/>
                <w:highlight w:val="none"/>
                <w:lang w:val="en-US" w:eastAsia="zh-CN" w:bidi="ar-SA"/>
              </w:rPr>
              <w:t>A4</w:t>
            </w:r>
            <w:r>
              <w:rPr>
                <w:rFonts w:hint="eastAsia" w:ascii="方正仿宋_GBK" w:hAnsi="方正仿宋_GBK" w:eastAsia="方正仿宋_GBK" w:cs="方正仿宋_GBK"/>
                <w:b w:val="0"/>
                <w:bCs w:val="0"/>
                <w:kern w:val="2"/>
                <w:sz w:val="24"/>
                <w:szCs w:val="24"/>
                <w:highlight w:val="none"/>
                <w:lang w:val="en-US" w:eastAsia="zh-CN" w:bidi="ar-SA"/>
              </w:rPr>
              <w:t>；</w:t>
            </w:r>
          </w:p>
          <w:p w14:paraId="35438F36">
            <w:pPr>
              <w:keepNext w:val="0"/>
              <w:keepLines w:val="0"/>
              <w:pageBreakBefore w:val="0"/>
              <w:widowControl/>
              <w:numPr>
                <w:ilvl w:val="0"/>
                <w:numId w:val="13"/>
              </w:numPr>
              <w:suppressLineNumbers w:val="0"/>
              <w:kinsoku/>
              <w:wordWrap/>
              <w:overflowPunct/>
              <w:topLinePunct w:val="0"/>
              <w:autoSpaceDE/>
              <w:autoSpaceDN/>
              <w:bidi w:val="0"/>
              <w:adjustRightInd/>
              <w:snapToGrid/>
              <w:spacing w:line="320" w:lineRule="exact"/>
              <w:ind w:left="0" w:leftChars="0" w:firstLine="480" w:firstLineChars="20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★投标时须提供3C认证。</w:t>
            </w:r>
          </w:p>
        </w:tc>
        <w:tc>
          <w:tcPr>
            <w:tcW w:w="1000" w:type="dxa"/>
            <w:noWrap w:val="0"/>
            <w:vAlign w:val="center"/>
          </w:tcPr>
          <w:p w14:paraId="39EFE570">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3</w:t>
            </w:r>
          </w:p>
        </w:tc>
        <w:tc>
          <w:tcPr>
            <w:tcW w:w="937" w:type="dxa"/>
            <w:noWrap w:val="0"/>
            <w:vAlign w:val="center"/>
          </w:tcPr>
          <w:p w14:paraId="41436F67">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905" w:type="dxa"/>
            <w:noWrap w:val="0"/>
            <w:vAlign w:val="top"/>
          </w:tcPr>
          <w:p w14:paraId="5F28EAF7">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sz w:val="28"/>
                <w:szCs w:val="28"/>
                <w:highlight w:val="lightGray"/>
                <w:vertAlign w:val="baseline"/>
                <w:lang w:val="en-US" w:eastAsia="zh-CN"/>
              </w:rPr>
            </w:pPr>
          </w:p>
        </w:tc>
      </w:tr>
      <w:tr w14:paraId="48CE2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noWrap w:val="0"/>
            <w:vAlign w:val="center"/>
          </w:tcPr>
          <w:p w14:paraId="33DCFD15">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sz w:val="28"/>
                <w:szCs w:val="28"/>
                <w:highlight w:val="none"/>
                <w:vertAlign w:val="baseline"/>
                <w:lang w:val="en-US" w:eastAsia="zh-CN"/>
              </w:rPr>
            </w:pPr>
          </w:p>
        </w:tc>
        <w:tc>
          <w:tcPr>
            <w:tcW w:w="1900" w:type="dxa"/>
            <w:noWrap w:val="0"/>
            <w:vAlign w:val="center"/>
          </w:tcPr>
          <w:p w14:paraId="43498064">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条码打印机</w:t>
            </w:r>
          </w:p>
        </w:tc>
        <w:tc>
          <w:tcPr>
            <w:tcW w:w="5223" w:type="dxa"/>
            <w:noWrap w:val="0"/>
            <w:vAlign w:val="center"/>
          </w:tcPr>
          <w:p w14:paraId="7893D93E">
            <w:pPr>
              <w:keepNext w:val="0"/>
              <w:keepLines w:val="0"/>
              <w:pageBreakBefore w:val="0"/>
              <w:widowControl/>
              <w:numPr>
                <w:ilvl w:val="0"/>
                <w:numId w:val="14"/>
              </w:numPr>
              <w:kinsoku/>
              <w:wordWrap/>
              <w:overflowPunct/>
              <w:topLinePunct w:val="0"/>
              <w:autoSpaceDE/>
              <w:autoSpaceDN/>
              <w:bidi w:val="0"/>
              <w:adjustRightInd/>
              <w:snapToGrid/>
              <w:spacing w:line="320" w:lineRule="exact"/>
              <w:ind w:left="23"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颜色:灰色或白色；</w:t>
            </w:r>
          </w:p>
          <w:p w14:paraId="770FCF60">
            <w:pPr>
              <w:keepNext w:val="0"/>
              <w:keepLines w:val="0"/>
              <w:pageBreakBefore w:val="0"/>
              <w:widowControl/>
              <w:numPr>
                <w:ilvl w:val="0"/>
                <w:numId w:val="14"/>
              </w:numPr>
              <w:kinsoku/>
              <w:wordWrap/>
              <w:overflowPunct/>
              <w:topLinePunct w:val="0"/>
              <w:autoSpaceDE/>
              <w:autoSpaceDN/>
              <w:bidi w:val="0"/>
              <w:adjustRightInd/>
              <w:snapToGrid/>
              <w:spacing w:line="320" w:lineRule="exact"/>
              <w:ind w:left="23"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‌分辨率‌：203dpi（每毫米8点）；</w:t>
            </w:r>
          </w:p>
          <w:p w14:paraId="4633588B">
            <w:pPr>
              <w:keepNext w:val="0"/>
              <w:keepLines w:val="0"/>
              <w:pageBreakBefore w:val="0"/>
              <w:widowControl/>
              <w:numPr>
                <w:ilvl w:val="0"/>
                <w:numId w:val="14"/>
              </w:numPr>
              <w:kinsoku/>
              <w:wordWrap/>
              <w:overflowPunct/>
              <w:topLinePunct w:val="0"/>
              <w:autoSpaceDE/>
              <w:autoSpaceDN/>
              <w:bidi w:val="0"/>
              <w:adjustRightInd/>
              <w:snapToGrid/>
              <w:spacing w:line="320" w:lineRule="exact"/>
              <w:ind w:left="23"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‌打印速度‌：最高可达每秒152毫米（203dpi）；</w:t>
            </w:r>
          </w:p>
          <w:p w14:paraId="43B779B5">
            <w:pPr>
              <w:keepNext w:val="0"/>
              <w:keepLines w:val="0"/>
              <w:pageBreakBefore w:val="0"/>
              <w:widowControl/>
              <w:numPr>
                <w:ilvl w:val="0"/>
                <w:numId w:val="14"/>
              </w:numPr>
              <w:kinsoku/>
              <w:wordWrap/>
              <w:overflowPunct/>
              <w:topLinePunct w:val="0"/>
              <w:autoSpaceDE/>
              <w:autoSpaceDN/>
              <w:bidi w:val="0"/>
              <w:adjustRightInd/>
              <w:snapToGrid/>
              <w:spacing w:line="320" w:lineRule="exact"/>
              <w:ind w:left="23"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‌内存‌：≥8MB闪存；</w:t>
            </w:r>
          </w:p>
          <w:p w14:paraId="4E383F4E">
            <w:pPr>
              <w:keepNext w:val="0"/>
              <w:keepLines w:val="0"/>
              <w:pageBreakBefore w:val="0"/>
              <w:widowControl/>
              <w:numPr>
                <w:ilvl w:val="0"/>
                <w:numId w:val="14"/>
              </w:numPr>
              <w:kinsoku/>
              <w:wordWrap/>
              <w:overflowPunct/>
              <w:topLinePunct w:val="0"/>
              <w:autoSpaceDE/>
              <w:autoSpaceDN/>
              <w:bidi w:val="0"/>
              <w:adjustRightInd/>
              <w:snapToGrid/>
              <w:spacing w:line="320" w:lineRule="exact"/>
              <w:ind w:left="23"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‌最大打印宽度‌：104毫米（203dpi）；</w:t>
            </w:r>
          </w:p>
          <w:p w14:paraId="7ABEFA31">
            <w:pPr>
              <w:keepNext w:val="0"/>
              <w:keepLines w:val="0"/>
              <w:pageBreakBefore w:val="0"/>
              <w:widowControl/>
              <w:numPr>
                <w:ilvl w:val="0"/>
                <w:numId w:val="14"/>
              </w:numPr>
              <w:kinsoku/>
              <w:wordWrap/>
              <w:overflowPunct/>
              <w:topLinePunct w:val="0"/>
              <w:autoSpaceDE/>
              <w:autoSpaceDN/>
              <w:bidi w:val="0"/>
              <w:adjustRightInd/>
              <w:snapToGrid/>
              <w:spacing w:line="320" w:lineRule="exact"/>
              <w:ind w:left="23"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‌操作特性‌：工作温度5°C至40°C，存储温度-40°C至60°C，工作湿度25%至85%无冷凝，存储湿度10%到90%无冷凝；</w:t>
            </w:r>
          </w:p>
          <w:p w14:paraId="46FDFB73">
            <w:pPr>
              <w:keepNext w:val="0"/>
              <w:keepLines w:val="0"/>
              <w:pageBreakBefore w:val="0"/>
              <w:widowControl/>
              <w:numPr>
                <w:ilvl w:val="0"/>
                <w:numId w:val="14"/>
              </w:numPr>
              <w:kinsoku/>
              <w:wordWrap/>
              <w:overflowPunct/>
              <w:topLinePunct w:val="0"/>
              <w:autoSpaceDE/>
              <w:autoSpaceDN/>
              <w:bidi w:val="0"/>
              <w:adjustRightInd/>
              <w:snapToGrid/>
              <w:spacing w:line="320" w:lineRule="exact"/>
              <w:ind w:left="23"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‌电气规格‌：220VAC,50Hz；</w:t>
            </w:r>
          </w:p>
          <w:p w14:paraId="46BBE8DE">
            <w:pPr>
              <w:keepNext w:val="0"/>
              <w:keepLines w:val="0"/>
              <w:pageBreakBefore w:val="0"/>
              <w:widowControl/>
              <w:numPr>
                <w:ilvl w:val="0"/>
                <w:numId w:val="14"/>
              </w:numPr>
              <w:kinsoku/>
              <w:wordWrap/>
              <w:overflowPunct/>
              <w:topLinePunct w:val="0"/>
              <w:autoSpaceDE/>
              <w:autoSpaceDN/>
              <w:bidi w:val="0"/>
              <w:adjustRightInd/>
              <w:snapToGrid/>
              <w:spacing w:line="320" w:lineRule="exact"/>
              <w:ind w:left="23"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‌易用性‌：支持ZPLII、EPL2和XML编程语言；透明的介质窗口可快速查看剩余介质的数量以及何时更换；</w:t>
            </w:r>
          </w:p>
          <w:p w14:paraId="12059DA1">
            <w:pPr>
              <w:keepNext w:val="0"/>
              <w:keepLines w:val="0"/>
              <w:pageBreakBefore w:val="0"/>
              <w:widowControl/>
              <w:numPr>
                <w:ilvl w:val="0"/>
                <w:numId w:val="14"/>
              </w:numPr>
              <w:kinsoku/>
              <w:wordWrap/>
              <w:overflowPunct/>
              <w:topLinePunct w:val="0"/>
              <w:autoSpaceDE/>
              <w:autoSpaceDN/>
              <w:bidi w:val="0"/>
              <w:adjustRightInd/>
              <w:snapToGrid/>
              <w:spacing w:line="320" w:lineRule="exact"/>
              <w:ind w:left="23"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‌耐用性‌：支持300米长的碳带卷；</w:t>
            </w:r>
          </w:p>
          <w:p w14:paraId="1C73B44F">
            <w:pPr>
              <w:keepNext w:val="0"/>
              <w:keepLines w:val="0"/>
              <w:pageBreakBefore w:val="0"/>
              <w:widowControl/>
              <w:numPr>
                <w:ilvl w:val="0"/>
                <w:numId w:val="14"/>
              </w:numPr>
              <w:kinsoku/>
              <w:wordWrap/>
              <w:overflowPunct/>
              <w:topLinePunct w:val="0"/>
              <w:autoSpaceDE/>
              <w:autoSpaceDN/>
              <w:bidi w:val="0"/>
              <w:adjustRightInd/>
              <w:snapToGrid/>
              <w:spacing w:line="320" w:lineRule="exact"/>
              <w:ind w:left="23"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‌兼容性‌：支持多种介质类型，包括卷筒纸或折叠纸、模切或连续带有/不带黑标介质、吊牌、连续收据纸和腕带等‌；</w:t>
            </w:r>
          </w:p>
          <w:p w14:paraId="7A4ED5DB">
            <w:pPr>
              <w:keepNext w:val="0"/>
              <w:keepLines w:val="0"/>
              <w:pageBreakBefore w:val="0"/>
              <w:widowControl/>
              <w:numPr>
                <w:ilvl w:val="0"/>
                <w:numId w:val="14"/>
              </w:numPr>
              <w:kinsoku/>
              <w:wordWrap/>
              <w:overflowPunct/>
              <w:topLinePunct w:val="0"/>
              <w:autoSpaceDE/>
              <w:autoSpaceDN/>
              <w:bidi w:val="0"/>
              <w:adjustRightInd/>
              <w:snapToGrid/>
              <w:spacing w:line="320" w:lineRule="exact"/>
              <w:ind w:left="23"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★投标时须提供3C认证。</w:t>
            </w:r>
          </w:p>
        </w:tc>
        <w:tc>
          <w:tcPr>
            <w:tcW w:w="1000" w:type="dxa"/>
            <w:noWrap w:val="0"/>
            <w:vAlign w:val="center"/>
          </w:tcPr>
          <w:p w14:paraId="0D5B9E2D">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1</w:t>
            </w:r>
          </w:p>
        </w:tc>
        <w:tc>
          <w:tcPr>
            <w:tcW w:w="937" w:type="dxa"/>
            <w:noWrap w:val="0"/>
            <w:vAlign w:val="center"/>
          </w:tcPr>
          <w:p w14:paraId="1A386648">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905" w:type="dxa"/>
            <w:noWrap w:val="0"/>
            <w:vAlign w:val="top"/>
          </w:tcPr>
          <w:p w14:paraId="3DC389DF">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sz w:val="28"/>
                <w:szCs w:val="28"/>
                <w:highlight w:val="lightGray"/>
                <w:vertAlign w:val="baseline"/>
                <w:lang w:val="en-US" w:eastAsia="zh-CN"/>
              </w:rPr>
            </w:pPr>
          </w:p>
        </w:tc>
      </w:tr>
      <w:tr w14:paraId="32060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7" w:hRule="atLeast"/>
          <w:jc w:val="center"/>
        </w:trPr>
        <w:tc>
          <w:tcPr>
            <w:tcW w:w="796" w:type="dxa"/>
            <w:noWrap w:val="0"/>
            <w:vAlign w:val="center"/>
          </w:tcPr>
          <w:p w14:paraId="781D0634">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sz w:val="28"/>
                <w:szCs w:val="28"/>
                <w:highlight w:val="none"/>
                <w:vertAlign w:val="baseline"/>
                <w:lang w:val="en-US" w:eastAsia="zh-CN"/>
              </w:rPr>
            </w:pPr>
          </w:p>
        </w:tc>
        <w:tc>
          <w:tcPr>
            <w:tcW w:w="1900" w:type="dxa"/>
            <w:noWrap w:val="0"/>
            <w:vAlign w:val="center"/>
          </w:tcPr>
          <w:p w14:paraId="30B5F30A">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激光打印机</w:t>
            </w:r>
          </w:p>
        </w:tc>
        <w:tc>
          <w:tcPr>
            <w:tcW w:w="5223" w:type="dxa"/>
            <w:noWrap w:val="0"/>
            <w:vAlign w:val="center"/>
          </w:tcPr>
          <w:p w14:paraId="0957E56E">
            <w:pPr>
              <w:keepNext w:val="0"/>
              <w:keepLines w:val="0"/>
              <w:pageBreakBefore w:val="0"/>
              <w:widowControl/>
              <w:numPr>
                <w:ilvl w:val="0"/>
                <w:numId w:val="15"/>
              </w:numPr>
              <w:kinsoku/>
              <w:wordWrap/>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打印速度：≥30页/分钟；</w:t>
            </w:r>
          </w:p>
          <w:p w14:paraId="519778F8">
            <w:pPr>
              <w:keepNext w:val="0"/>
              <w:keepLines w:val="0"/>
              <w:pageBreakBefore w:val="0"/>
              <w:widowControl/>
              <w:numPr>
                <w:ilvl w:val="0"/>
                <w:numId w:val="15"/>
              </w:numPr>
              <w:kinsoku/>
              <w:wordWrap/>
              <w:overflowPunct/>
              <w:topLinePunct w:val="0"/>
              <w:autoSpaceDE/>
              <w:autoSpaceDN/>
              <w:bidi w:val="0"/>
              <w:adjustRightInd/>
              <w:snapToGrid/>
              <w:spacing w:line="320" w:lineRule="exact"/>
              <w:ind w:left="0" w:leftChars="0" w:firstLine="400"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双面打印：≥15面/分钟；容量：≥250页大容量纸盒；</w:t>
            </w:r>
          </w:p>
          <w:p w14:paraId="62EBE1E6">
            <w:pPr>
              <w:keepNext w:val="0"/>
              <w:keepLines w:val="0"/>
              <w:pageBreakBefore w:val="0"/>
              <w:widowControl/>
              <w:numPr>
                <w:ilvl w:val="0"/>
                <w:numId w:val="15"/>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鼓粉分离技术；</w:t>
            </w:r>
          </w:p>
          <w:p w14:paraId="3290A46B">
            <w:pPr>
              <w:keepNext w:val="0"/>
              <w:keepLines w:val="0"/>
              <w:pageBreakBefore w:val="0"/>
              <w:widowControl/>
              <w:numPr>
                <w:ilvl w:val="0"/>
                <w:numId w:val="15"/>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接口:高速USB2.0；</w:t>
            </w:r>
          </w:p>
          <w:p w14:paraId="48B7DBD9">
            <w:pPr>
              <w:keepNext w:val="0"/>
              <w:keepLines w:val="0"/>
              <w:pageBreakBefore w:val="0"/>
              <w:widowControl/>
              <w:numPr>
                <w:ilvl w:val="0"/>
                <w:numId w:val="15"/>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打印仿真语言:GDI；</w:t>
            </w:r>
          </w:p>
          <w:p w14:paraId="133BF547">
            <w:pPr>
              <w:keepNext w:val="0"/>
              <w:keepLines w:val="0"/>
              <w:pageBreakBefore w:val="0"/>
              <w:widowControl/>
              <w:numPr>
                <w:ilvl w:val="0"/>
                <w:numId w:val="15"/>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分辨率:≥600*600dpi，优化1200dpi；</w:t>
            </w:r>
          </w:p>
          <w:p w14:paraId="1447E729">
            <w:pPr>
              <w:keepNext w:val="0"/>
              <w:keepLines w:val="0"/>
              <w:pageBreakBefore w:val="0"/>
              <w:widowControl/>
              <w:numPr>
                <w:ilvl w:val="0"/>
                <w:numId w:val="15"/>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内存:≥32MB；</w:t>
            </w:r>
          </w:p>
          <w:p w14:paraId="04F47C23">
            <w:pPr>
              <w:keepNext w:val="0"/>
              <w:keepLines w:val="0"/>
              <w:pageBreakBefore w:val="0"/>
              <w:widowControl/>
              <w:numPr>
                <w:ilvl w:val="0"/>
                <w:numId w:val="15"/>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★投标时须提供3C认证。</w:t>
            </w:r>
          </w:p>
        </w:tc>
        <w:tc>
          <w:tcPr>
            <w:tcW w:w="1000" w:type="dxa"/>
            <w:noWrap w:val="0"/>
            <w:vAlign w:val="center"/>
          </w:tcPr>
          <w:p w14:paraId="0FA16B5C">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6</w:t>
            </w:r>
          </w:p>
        </w:tc>
        <w:tc>
          <w:tcPr>
            <w:tcW w:w="937" w:type="dxa"/>
            <w:noWrap w:val="0"/>
            <w:vAlign w:val="center"/>
          </w:tcPr>
          <w:p w14:paraId="7E7D10D5">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905" w:type="dxa"/>
            <w:noWrap w:val="0"/>
            <w:vAlign w:val="top"/>
          </w:tcPr>
          <w:p w14:paraId="4C799162">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sz w:val="28"/>
                <w:szCs w:val="28"/>
                <w:highlight w:val="lightGray"/>
                <w:vertAlign w:val="baseline"/>
                <w:lang w:val="en-US" w:eastAsia="zh-CN"/>
              </w:rPr>
            </w:pPr>
            <w:r>
              <w:rPr>
                <w:rFonts w:hint="eastAsia" w:ascii="宋体" w:hAnsi="宋体" w:eastAsia="宋体" w:cs="宋体"/>
                <w:b/>
                <w:bCs/>
                <w:color w:val="C00000"/>
                <w:sz w:val="21"/>
                <w:szCs w:val="21"/>
                <w:u w:val="none"/>
                <w:lang w:val="en-US" w:eastAsia="zh-CN"/>
              </w:rPr>
              <w:t>强强制采购产品</w:t>
            </w:r>
          </w:p>
        </w:tc>
      </w:tr>
      <w:tr w14:paraId="6A17A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noWrap w:val="0"/>
            <w:vAlign w:val="center"/>
          </w:tcPr>
          <w:p w14:paraId="52748052">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sz w:val="28"/>
                <w:szCs w:val="28"/>
                <w:highlight w:val="none"/>
                <w:vertAlign w:val="baseline"/>
                <w:lang w:val="en-US" w:eastAsia="zh-CN"/>
              </w:rPr>
            </w:pPr>
          </w:p>
        </w:tc>
        <w:tc>
          <w:tcPr>
            <w:tcW w:w="1900" w:type="dxa"/>
            <w:noWrap w:val="0"/>
            <w:vAlign w:val="center"/>
          </w:tcPr>
          <w:p w14:paraId="0CA1CC9A">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针式打印机</w:t>
            </w:r>
          </w:p>
        </w:tc>
        <w:tc>
          <w:tcPr>
            <w:tcW w:w="5223" w:type="dxa"/>
            <w:noWrap w:val="0"/>
            <w:vAlign w:val="center"/>
          </w:tcPr>
          <w:p w14:paraId="28112F50">
            <w:pPr>
              <w:keepNext w:val="0"/>
              <w:keepLines w:val="0"/>
              <w:pageBreakBefore w:val="0"/>
              <w:widowControl/>
              <w:numPr>
                <w:ilvl w:val="0"/>
                <w:numId w:val="16"/>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打印方式：点阵击打式，打印方向为双向逻辑查找，打印宽度为≥80列。</w:t>
            </w:r>
          </w:p>
          <w:p w14:paraId="1365CE4B">
            <w:pPr>
              <w:keepNext w:val="0"/>
              <w:keepLines w:val="0"/>
              <w:pageBreakBefore w:val="0"/>
              <w:widowControl/>
              <w:numPr>
                <w:ilvl w:val="0"/>
                <w:numId w:val="16"/>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可靠性打印头寿命：≥5亿次/针；</w:t>
            </w:r>
          </w:p>
          <w:p w14:paraId="0F8533A8">
            <w:pPr>
              <w:keepNext w:val="0"/>
              <w:keepLines w:val="0"/>
              <w:pageBreakBefore w:val="0"/>
              <w:widowControl/>
              <w:numPr>
                <w:ilvl w:val="0"/>
                <w:numId w:val="16"/>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色带性能寿命：≥800万字符，复写能力为4份（1份原件+3份拷贝），缓冲区≥132KB。</w:t>
            </w:r>
          </w:p>
          <w:p w14:paraId="3BF58483">
            <w:pPr>
              <w:keepNext w:val="0"/>
              <w:keepLines w:val="0"/>
              <w:pageBreakBefore w:val="0"/>
              <w:widowControl/>
              <w:numPr>
                <w:ilvl w:val="0"/>
                <w:numId w:val="16"/>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打印针数：≥7针，12针高强度打印头模拟24点阵方式；</w:t>
            </w:r>
          </w:p>
          <w:p w14:paraId="51A4F489">
            <w:pPr>
              <w:keepNext w:val="0"/>
              <w:keepLines w:val="0"/>
              <w:pageBreakBefore w:val="0"/>
              <w:widowControl/>
              <w:numPr>
                <w:ilvl w:val="0"/>
                <w:numId w:val="16"/>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打印速度：≥242英文字/秒、120中文字/秒；</w:t>
            </w:r>
          </w:p>
          <w:p w14:paraId="0DF14277">
            <w:pPr>
              <w:keepNext w:val="0"/>
              <w:keepLines w:val="0"/>
              <w:pageBreakBefore w:val="0"/>
              <w:widowControl/>
              <w:numPr>
                <w:ilvl w:val="0"/>
                <w:numId w:val="16"/>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打印字体：中文为GB18030宋体，</w:t>
            </w:r>
          </w:p>
          <w:p w14:paraId="22D51F72">
            <w:pPr>
              <w:keepNext w:val="0"/>
              <w:keepLines w:val="0"/>
              <w:pageBreakBefore w:val="0"/>
              <w:widowControl/>
              <w:numPr>
                <w:ilvl w:val="0"/>
                <w:numId w:val="16"/>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电源电压范围：198~242V，频率范围为50~60Hz；</w:t>
            </w:r>
          </w:p>
          <w:p w14:paraId="50ED0ED9">
            <w:pPr>
              <w:keepNext w:val="0"/>
              <w:keepLines w:val="0"/>
              <w:pageBreakBefore w:val="0"/>
              <w:widowControl/>
              <w:numPr>
                <w:ilvl w:val="0"/>
                <w:numId w:val="16"/>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随机附件包括USB线×1，打印机×1，色带盒×1，光盘×1，保修卡×1，托纸板×156;</w:t>
            </w:r>
          </w:p>
          <w:p w14:paraId="0D72F607">
            <w:pPr>
              <w:keepNext w:val="0"/>
              <w:keepLines w:val="0"/>
              <w:pageBreakBefore w:val="0"/>
              <w:widowControl/>
              <w:numPr>
                <w:ilvl w:val="0"/>
                <w:numId w:val="16"/>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★投标时须提供3C认证。</w:t>
            </w:r>
          </w:p>
        </w:tc>
        <w:tc>
          <w:tcPr>
            <w:tcW w:w="1000" w:type="dxa"/>
            <w:noWrap w:val="0"/>
            <w:vAlign w:val="center"/>
          </w:tcPr>
          <w:p w14:paraId="1BBC6BA3">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1</w:t>
            </w:r>
          </w:p>
        </w:tc>
        <w:tc>
          <w:tcPr>
            <w:tcW w:w="937" w:type="dxa"/>
            <w:noWrap w:val="0"/>
            <w:vAlign w:val="center"/>
          </w:tcPr>
          <w:p w14:paraId="57C091F4">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905" w:type="dxa"/>
            <w:noWrap w:val="0"/>
            <w:vAlign w:val="top"/>
          </w:tcPr>
          <w:p w14:paraId="5552149E">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sz w:val="28"/>
                <w:szCs w:val="28"/>
                <w:highlight w:val="lightGray"/>
                <w:vertAlign w:val="baseline"/>
                <w:lang w:val="en-US" w:eastAsia="zh-CN"/>
              </w:rPr>
            </w:pPr>
            <w:r>
              <w:rPr>
                <w:rFonts w:hint="eastAsia" w:ascii="宋体" w:hAnsi="宋体" w:eastAsia="宋体" w:cs="宋体"/>
                <w:b/>
                <w:bCs/>
                <w:color w:val="C00000"/>
                <w:sz w:val="21"/>
                <w:szCs w:val="21"/>
                <w:u w:val="none"/>
                <w:lang w:val="en-US" w:eastAsia="zh-CN"/>
              </w:rPr>
              <w:t>强强制采购产品</w:t>
            </w:r>
          </w:p>
        </w:tc>
      </w:tr>
      <w:tr w14:paraId="2C1F7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jc w:val="center"/>
        </w:trPr>
        <w:tc>
          <w:tcPr>
            <w:tcW w:w="796" w:type="dxa"/>
            <w:noWrap w:val="0"/>
            <w:vAlign w:val="center"/>
          </w:tcPr>
          <w:p w14:paraId="60A93658">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sz w:val="28"/>
                <w:szCs w:val="28"/>
                <w:highlight w:val="none"/>
                <w:vertAlign w:val="baseline"/>
                <w:lang w:val="en-US" w:eastAsia="zh-CN"/>
              </w:rPr>
            </w:pPr>
          </w:p>
        </w:tc>
        <w:tc>
          <w:tcPr>
            <w:tcW w:w="1900" w:type="dxa"/>
            <w:noWrap w:val="0"/>
            <w:vAlign w:val="center"/>
          </w:tcPr>
          <w:p w14:paraId="25831002">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不间断电源</w:t>
            </w:r>
          </w:p>
        </w:tc>
        <w:tc>
          <w:tcPr>
            <w:tcW w:w="5223" w:type="dxa"/>
            <w:noWrap w:val="0"/>
            <w:vAlign w:val="center"/>
          </w:tcPr>
          <w:p w14:paraId="643A32BC">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★容量3KVA/2400W铅酸免维护电池，可以使用在UPS电源系统上，确保UPS系统可以正常使用；</w:t>
            </w:r>
          </w:p>
          <w:p w14:paraId="5739141D">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工作温度： -15～+45℃；</w:t>
            </w:r>
          </w:p>
          <w:p w14:paraId="056A5570">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相对湿度：≤90％（25℃）；</w:t>
            </w:r>
          </w:p>
          <w:p w14:paraId="1B0A177D">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蓄电池在使用前应进行补充充电，在25℃±5℃时单体蓄电池以2.35（V）进行充电12h或以2.30（V）进行充电24h；</w:t>
            </w:r>
          </w:p>
          <w:p w14:paraId="24F78433">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蓄电池均衡充电单体电压为2.30（V）～2.35（V）；</w:t>
            </w:r>
          </w:p>
          <w:p w14:paraId="61A9A7D5">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蓄电池浮充电单体电压为2.23（V）±0.03（V）；</w:t>
            </w:r>
          </w:p>
          <w:p w14:paraId="246BD9CB">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蓄电池最大充电电流不大于2.5倍I10（A），各项指标应正常；</w:t>
            </w:r>
          </w:p>
          <w:p w14:paraId="364B81C0">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出厂的蓄电池单体开路电压大于2.13（V）;</w:t>
            </w:r>
          </w:p>
          <w:p w14:paraId="39E0195C">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容量保存率：静置28天后其容量保存率不低于98％；</w:t>
            </w:r>
          </w:p>
          <w:p w14:paraId="4F6C5FE3">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密封反应效率：蓄电池密封反应效率不低于97%；</w:t>
            </w:r>
          </w:p>
          <w:p w14:paraId="08501298">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蓄电池端电压的均衡性：单体蓄电池和由若干个单体组成一体的组合蓄电池，其各电池间的开路电压最高与最低差值不大于30mV（12V）；</w:t>
            </w:r>
          </w:p>
          <w:p w14:paraId="5768A262">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蓄电池组进入浮充状态24h后，各蓄电池之间的端电压差值不大于60mV（12V）；</w:t>
            </w:r>
          </w:p>
          <w:p w14:paraId="4E976589">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防酸雾性能：蓄电池在正常浮充工作过程中无酸雾逸出；</w:t>
            </w:r>
          </w:p>
          <w:p w14:paraId="2602BBC4">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防爆性能：蓄电池在充电过程中遇有明火，内部不引燃、不引爆；</w:t>
            </w:r>
          </w:p>
          <w:p w14:paraId="39B195D2">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阻燃性能：蓄电池壳、盖符合GB/T2408-1996中的第8.3.2FH-1（水平级）和第9.3.2FV-0（垂直级）的要求。电池连接线或电池连接片护套具有阻燃性；</w:t>
            </w:r>
          </w:p>
          <w:p w14:paraId="7A1A2E60">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气密性：蓄电池承受50kPa的正压或负压而不破裂、不开胶，压力释放后壳体无残余变形；</w:t>
            </w:r>
          </w:p>
          <w:p w14:paraId="3ED7E1C8">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安全阀要求：安全阀具有自动开启和自动关闭的功能，其开阀压10 kPa～35 kPa，闭阀压3 kPa～20 kPa。;</w:t>
            </w:r>
          </w:p>
          <w:p w14:paraId="4A77E7A0">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输入电压范围：220VAC;</w:t>
            </w:r>
          </w:p>
          <w:p w14:paraId="6BAE362B">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输入电压范围110-300VAC于50%负载，176-300VAC于100%负载;</w:t>
            </w:r>
          </w:p>
          <w:p w14:paraId="33D7AE75">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最低复原电压：最低转换电压+10V;</w:t>
            </w:r>
          </w:p>
          <w:p w14:paraId="154B8F92">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最高转换电压：300VAC±3%;</w:t>
            </w:r>
          </w:p>
          <w:p w14:paraId="4149032E">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输出电压：220VAC;</w:t>
            </w:r>
          </w:p>
          <w:p w14:paraId="63A99BE3">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频率范围：46Hz~54Hz@50Hz系统、56Hz~64Hz@60Hz系统；</w:t>
            </w:r>
          </w:p>
          <w:p w14:paraId="27E3BB05">
            <w:pPr>
              <w:keepNext w:val="0"/>
              <w:keepLines w:val="0"/>
              <w:pageBreakBefore w:val="0"/>
              <w:widowControl/>
              <w:numPr>
                <w:ilvl w:val="0"/>
                <w:numId w:val="17"/>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频率范围：50 Hz±0.1Hz或60Hz±0.1 Hz。</w:t>
            </w:r>
          </w:p>
        </w:tc>
        <w:tc>
          <w:tcPr>
            <w:tcW w:w="1000" w:type="dxa"/>
            <w:noWrap w:val="0"/>
            <w:vAlign w:val="center"/>
          </w:tcPr>
          <w:p w14:paraId="2B21C8FF">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3</w:t>
            </w:r>
          </w:p>
        </w:tc>
        <w:tc>
          <w:tcPr>
            <w:tcW w:w="937" w:type="dxa"/>
            <w:noWrap w:val="0"/>
            <w:vAlign w:val="center"/>
          </w:tcPr>
          <w:p w14:paraId="3894264F">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905" w:type="dxa"/>
            <w:noWrap w:val="0"/>
            <w:vAlign w:val="top"/>
          </w:tcPr>
          <w:p w14:paraId="17E1B038">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sz w:val="28"/>
                <w:szCs w:val="28"/>
                <w:highlight w:val="lightGray"/>
                <w:vertAlign w:val="baseline"/>
                <w:lang w:val="en-US" w:eastAsia="zh-CN"/>
              </w:rPr>
            </w:pPr>
          </w:p>
        </w:tc>
      </w:tr>
      <w:tr w14:paraId="17F1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6" w:type="dxa"/>
            <w:noWrap w:val="0"/>
            <w:vAlign w:val="center"/>
          </w:tcPr>
          <w:p w14:paraId="3E591A1C">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sz w:val="28"/>
                <w:szCs w:val="28"/>
                <w:highlight w:val="none"/>
                <w:vertAlign w:val="baseline"/>
                <w:lang w:val="en-US" w:eastAsia="zh-CN"/>
              </w:rPr>
            </w:pPr>
          </w:p>
        </w:tc>
        <w:tc>
          <w:tcPr>
            <w:tcW w:w="1900" w:type="dxa"/>
            <w:noWrap w:val="0"/>
            <w:vAlign w:val="center"/>
          </w:tcPr>
          <w:p w14:paraId="5C755639">
            <w:pPr>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热敏票据打印机</w:t>
            </w:r>
          </w:p>
        </w:tc>
        <w:tc>
          <w:tcPr>
            <w:tcW w:w="5223" w:type="dxa"/>
            <w:noWrap w:val="0"/>
            <w:vAlign w:val="center"/>
          </w:tcPr>
          <w:p w14:paraId="6354F3EF">
            <w:pPr>
              <w:keepNext w:val="0"/>
              <w:keepLines w:val="0"/>
              <w:pageBreakBefore w:val="0"/>
              <w:widowControl/>
              <w:numPr>
                <w:ilvl w:val="0"/>
                <w:numId w:val="18"/>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支持网络打印</w:t>
            </w:r>
            <w:r>
              <w:rPr>
                <w:rFonts w:hint="eastAsia" w:ascii="方正仿宋_GBK" w:hAnsi="方正仿宋_GBK" w:eastAsia="方正仿宋_GBK" w:cs="方正仿宋_GBK"/>
                <w:b w:val="0"/>
                <w:bCs w:val="0"/>
                <w:sz w:val="24"/>
                <w:szCs w:val="24"/>
                <w:highlight w:val="none"/>
                <w:lang w:val="en-US" w:eastAsia="zh-CN"/>
              </w:rPr>
              <w:t>；</w:t>
            </w:r>
          </w:p>
          <w:p w14:paraId="7702576B">
            <w:pPr>
              <w:keepNext w:val="0"/>
              <w:keepLines w:val="0"/>
              <w:pageBreakBefore w:val="0"/>
              <w:widowControl/>
              <w:numPr>
                <w:ilvl w:val="0"/>
                <w:numId w:val="18"/>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能效等级</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一级</w:t>
            </w:r>
            <w:r>
              <w:rPr>
                <w:rFonts w:hint="eastAsia" w:ascii="方正仿宋_GBK" w:hAnsi="方正仿宋_GBK" w:eastAsia="方正仿宋_GBK" w:cs="方正仿宋_GBK"/>
                <w:b w:val="0"/>
                <w:bCs w:val="0"/>
                <w:sz w:val="24"/>
                <w:szCs w:val="24"/>
                <w:highlight w:val="none"/>
                <w:lang w:val="en-US" w:eastAsia="zh-CN"/>
              </w:rPr>
              <w:t>；</w:t>
            </w:r>
          </w:p>
          <w:p w14:paraId="3F615028">
            <w:pPr>
              <w:keepNext w:val="0"/>
              <w:keepLines w:val="0"/>
              <w:pageBreakBefore w:val="0"/>
              <w:widowControl/>
              <w:numPr>
                <w:ilvl w:val="0"/>
                <w:numId w:val="18"/>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接口类型</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USB2.0、USB+蓝牙、网口</w:t>
            </w:r>
            <w:r>
              <w:rPr>
                <w:rFonts w:hint="eastAsia" w:ascii="方正仿宋_GBK" w:hAnsi="方正仿宋_GBK" w:eastAsia="方正仿宋_GBK" w:cs="方正仿宋_GBK"/>
                <w:b w:val="0"/>
                <w:bCs w:val="0"/>
                <w:sz w:val="24"/>
                <w:szCs w:val="24"/>
                <w:highlight w:val="none"/>
                <w:lang w:val="en-US" w:eastAsia="zh-CN"/>
              </w:rPr>
              <w:t>；</w:t>
            </w:r>
          </w:p>
          <w:p w14:paraId="5964980C">
            <w:pPr>
              <w:keepNext w:val="0"/>
              <w:keepLines w:val="0"/>
              <w:pageBreakBefore w:val="0"/>
              <w:widowControl/>
              <w:numPr>
                <w:ilvl w:val="0"/>
                <w:numId w:val="18"/>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耗材类型</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碳带</w:t>
            </w:r>
            <w:r>
              <w:rPr>
                <w:rFonts w:hint="eastAsia" w:ascii="方正仿宋_GBK" w:hAnsi="方正仿宋_GBK" w:eastAsia="方正仿宋_GBK" w:cs="方正仿宋_GBK"/>
                <w:b w:val="0"/>
                <w:bCs w:val="0"/>
                <w:sz w:val="24"/>
                <w:szCs w:val="24"/>
                <w:highlight w:val="none"/>
                <w:lang w:val="en-US" w:eastAsia="zh-CN"/>
              </w:rPr>
              <w:t>；</w:t>
            </w:r>
          </w:p>
          <w:p w14:paraId="2AD12DE8">
            <w:pPr>
              <w:keepNext w:val="0"/>
              <w:keepLines w:val="0"/>
              <w:pageBreakBefore w:val="0"/>
              <w:widowControl/>
              <w:numPr>
                <w:ilvl w:val="0"/>
                <w:numId w:val="18"/>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产品类型</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针式打印机</w:t>
            </w:r>
            <w:r>
              <w:rPr>
                <w:rFonts w:hint="eastAsia" w:ascii="方正仿宋_GBK" w:hAnsi="方正仿宋_GBK" w:eastAsia="方正仿宋_GBK" w:cs="方正仿宋_GBK"/>
                <w:b w:val="0"/>
                <w:bCs w:val="0"/>
                <w:sz w:val="24"/>
                <w:szCs w:val="24"/>
                <w:highlight w:val="none"/>
                <w:lang w:val="en-US" w:eastAsia="zh-CN"/>
              </w:rPr>
              <w:t>；</w:t>
            </w:r>
          </w:p>
          <w:p w14:paraId="05CC0CFD">
            <w:pPr>
              <w:keepNext w:val="0"/>
              <w:keepLines w:val="0"/>
              <w:pageBreakBefore w:val="0"/>
              <w:widowControl/>
              <w:numPr>
                <w:ilvl w:val="0"/>
                <w:numId w:val="18"/>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最大打印幅面</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80mm</w:t>
            </w:r>
            <w:r>
              <w:rPr>
                <w:rFonts w:hint="eastAsia" w:ascii="方正仿宋_GBK" w:hAnsi="方正仿宋_GBK" w:eastAsia="方正仿宋_GBK" w:cs="方正仿宋_GBK"/>
                <w:b w:val="0"/>
                <w:bCs w:val="0"/>
                <w:sz w:val="24"/>
                <w:szCs w:val="24"/>
                <w:highlight w:val="none"/>
                <w:lang w:val="en-US" w:eastAsia="zh-CN"/>
              </w:rPr>
              <w:t>；</w:t>
            </w:r>
          </w:p>
          <w:p w14:paraId="36522AB2">
            <w:pPr>
              <w:keepNext w:val="0"/>
              <w:keepLines w:val="0"/>
              <w:pageBreakBefore w:val="0"/>
              <w:widowControl/>
              <w:numPr>
                <w:ilvl w:val="0"/>
                <w:numId w:val="18"/>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打印色彩</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黑白</w:t>
            </w:r>
            <w:r>
              <w:rPr>
                <w:rFonts w:hint="eastAsia" w:ascii="方正仿宋_GBK" w:hAnsi="方正仿宋_GBK" w:eastAsia="方正仿宋_GBK" w:cs="方正仿宋_GBK"/>
                <w:b w:val="0"/>
                <w:bCs w:val="0"/>
                <w:sz w:val="24"/>
                <w:szCs w:val="24"/>
                <w:highlight w:val="none"/>
                <w:lang w:val="en-US" w:eastAsia="zh-CN"/>
              </w:rPr>
              <w:t>；</w:t>
            </w:r>
          </w:p>
          <w:p w14:paraId="01644F55">
            <w:pPr>
              <w:keepNext w:val="0"/>
              <w:keepLines w:val="0"/>
              <w:pageBreakBefore w:val="0"/>
              <w:widowControl/>
              <w:numPr>
                <w:ilvl w:val="0"/>
                <w:numId w:val="18"/>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★投标时须提供3C认证。</w:t>
            </w:r>
          </w:p>
        </w:tc>
        <w:tc>
          <w:tcPr>
            <w:tcW w:w="1000" w:type="dxa"/>
            <w:noWrap w:val="0"/>
            <w:vAlign w:val="center"/>
          </w:tcPr>
          <w:p w14:paraId="63EC6E3B">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4</w:t>
            </w:r>
          </w:p>
        </w:tc>
        <w:tc>
          <w:tcPr>
            <w:tcW w:w="937" w:type="dxa"/>
            <w:noWrap w:val="0"/>
            <w:vAlign w:val="center"/>
          </w:tcPr>
          <w:p w14:paraId="7FB13B4E">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905" w:type="dxa"/>
            <w:noWrap w:val="0"/>
            <w:vAlign w:val="top"/>
          </w:tcPr>
          <w:p w14:paraId="50433C82">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sz w:val="28"/>
                <w:szCs w:val="28"/>
                <w:highlight w:val="lightGray"/>
                <w:vertAlign w:val="baseline"/>
                <w:lang w:val="en-US" w:eastAsia="zh-CN"/>
              </w:rPr>
            </w:pPr>
          </w:p>
        </w:tc>
      </w:tr>
      <w:tr w14:paraId="0BCEF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noWrap w:val="0"/>
            <w:vAlign w:val="center"/>
          </w:tcPr>
          <w:p w14:paraId="1E937E67">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sz w:val="28"/>
                <w:szCs w:val="28"/>
                <w:highlight w:val="none"/>
                <w:vertAlign w:val="baseline"/>
                <w:lang w:val="en-US" w:eastAsia="zh-CN"/>
              </w:rPr>
            </w:pPr>
          </w:p>
        </w:tc>
        <w:tc>
          <w:tcPr>
            <w:tcW w:w="1900" w:type="dxa"/>
            <w:noWrap w:val="0"/>
            <w:vAlign w:val="center"/>
          </w:tcPr>
          <w:p w14:paraId="59139D2B">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监控摄像头</w:t>
            </w:r>
          </w:p>
        </w:tc>
        <w:tc>
          <w:tcPr>
            <w:tcW w:w="5223" w:type="dxa"/>
            <w:noWrap w:val="0"/>
            <w:vAlign w:val="center"/>
          </w:tcPr>
          <w:p w14:paraId="1F21DF9F">
            <w:pPr>
              <w:keepNext w:val="0"/>
              <w:keepLines w:val="0"/>
              <w:pageBreakBefore w:val="0"/>
              <w:widowControl/>
              <w:numPr>
                <w:ilvl w:val="0"/>
                <w:numId w:val="19"/>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最大分辨率</w:t>
            </w:r>
            <w:r>
              <w:rPr>
                <w:rFonts w:hint="eastAsia" w:ascii="方正仿宋_GBK" w:hAnsi="方正仿宋_GBK" w:eastAsia="方正仿宋_GBK" w:cs="方正仿宋_GBK"/>
                <w:b w:val="0"/>
                <w:bCs w:val="0"/>
                <w:sz w:val="24"/>
                <w:szCs w:val="24"/>
                <w:highlight w:val="none"/>
                <w:lang w:val="en-US" w:eastAsia="zh-CN"/>
              </w:rPr>
              <w:t>:≥600</w:t>
            </w:r>
            <w:r>
              <w:rPr>
                <w:rFonts w:hint="default" w:ascii="方正仿宋_GBK" w:hAnsi="方正仿宋_GBK" w:eastAsia="方正仿宋_GBK" w:cs="方正仿宋_GBK"/>
                <w:b w:val="0"/>
                <w:bCs w:val="0"/>
                <w:sz w:val="24"/>
                <w:szCs w:val="24"/>
                <w:highlight w:val="none"/>
                <w:lang w:val="en-US" w:eastAsia="zh-CN"/>
              </w:rPr>
              <w:t>万像素</w:t>
            </w:r>
            <w:r>
              <w:rPr>
                <w:rFonts w:hint="eastAsia" w:ascii="方正仿宋_GBK" w:hAnsi="方正仿宋_GBK" w:eastAsia="方正仿宋_GBK" w:cs="方正仿宋_GBK"/>
                <w:b w:val="0"/>
                <w:bCs w:val="0"/>
                <w:sz w:val="24"/>
                <w:szCs w:val="24"/>
                <w:highlight w:val="none"/>
                <w:lang w:val="en-US" w:eastAsia="zh-CN"/>
              </w:rPr>
              <w:t>；</w:t>
            </w:r>
          </w:p>
          <w:p w14:paraId="45D8D245">
            <w:pPr>
              <w:keepNext w:val="0"/>
              <w:keepLines w:val="0"/>
              <w:pageBreakBefore w:val="0"/>
              <w:widowControl/>
              <w:numPr>
                <w:ilvl w:val="0"/>
                <w:numId w:val="19"/>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网络连接方式</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无线</w:t>
            </w:r>
            <w:r>
              <w:rPr>
                <w:rFonts w:hint="eastAsia" w:ascii="方正仿宋_GBK" w:hAnsi="方正仿宋_GBK" w:eastAsia="方正仿宋_GBK" w:cs="方正仿宋_GBK"/>
                <w:b w:val="0"/>
                <w:bCs w:val="0"/>
                <w:sz w:val="24"/>
                <w:szCs w:val="24"/>
                <w:highlight w:val="none"/>
                <w:lang w:val="en-US" w:eastAsia="zh-CN"/>
              </w:rPr>
              <w:t>；</w:t>
            </w:r>
          </w:p>
          <w:p w14:paraId="501ECBAB">
            <w:pPr>
              <w:keepNext w:val="0"/>
              <w:keepLines w:val="0"/>
              <w:pageBreakBefore w:val="0"/>
              <w:widowControl/>
              <w:numPr>
                <w:ilvl w:val="0"/>
                <w:numId w:val="19"/>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支持SD卡存储功能；</w:t>
            </w:r>
          </w:p>
          <w:p w14:paraId="23D97B6E">
            <w:pPr>
              <w:keepNext w:val="0"/>
              <w:keepLines w:val="0"/>
              <w:pageBreakBefore w:val="0"/>
              <w:widowControl/>
              <w:numPr>
                <w:ilvl w:val="0"/>
                <w:numId w:val="19"/>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支持宽动态自带分离式支架，支持吸顶/壁挂安装内置天线；</w:t>
            </w:r>
          </w:p>
          <w:p w14:paraId="2E802840">
            <w:pPr>
              <w:keepNext w:val="0"/>
              <w:keepLines w:val="0"/>
              <w:pageBreakBefore w:val="0"/>
              <w:widowControl/>
              <w:numPr>
                <w:ilvl w:val="0"/>
                <w:numId w:val="19"/>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支持红外、全彩、人形侦测全彩多种夜视模式；</w:t>
            </w:r>
          </w:p>
          <w:p w14:paraId="6817C318">
            <w:pPr>
              <w:keepNext w:val="0"/>
              <w:keepLines w:val="0"/>
              <w:pageBreakBefore w:val="0"/>
              <w:widowControl/>
              <w:numPr>
                <w:ilvl w:val="0"/>
                <w:numId w:val="19"/>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支持哭声检测、语音闹钟、镜头遮蔽计划等多种实用智能功能支持APP远程监控。</w:t>
            </w:r>
          </w:p>
        </w:tc>
        <w:tc>
          <w:tcPr>
            <w:tcW w:w="1000" w:type="dxa"/>
            <w:noWrap w:val="0"/>
            <w:vAlign w:val="center"/>
          </w:tcPr>
          <w:p w14:paraId="0544ABA8">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1</w:t>
            </w:r>
          </w:p>
        </w:tc>
        <w:tc>
          <w:tcPr>
            <w:tcW w:w="937" w:type="dxa"/>
            <w:noWrap w:val="0"/>
            <w:vAlign w:val="center"/>
          </w:tcPr>
          <w:p w14:paraId="21B8E889">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905" w:type="dxa"/>
            <w:noWrap w:val="0"/>
            <w:vAlign w:val="top"/>
          </w:tcPr>
          <w:p w14:paraId="77EDC533">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sz w:val="28"/>
                <w:szCs w:val="28"/>
                <w:highlight w:val="lightGray"/>
                <w:vertAlign w:val="baseline"/>
                <w:lang w:val="en-US" w:eastAsia="zh-CN"/>
              </w:rPr>
            </w:pPr>
          </w:p>
        </w:tc>
      </w:tr>
      <w:tr w14:paraId="02BD4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noWrap w:val="0"/>
            <w:vAlign w:val="center"/>
          </w:tcPr>
          <w:p w14:paraId="04D988CC">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sz w:val="28"/>
                <w:szCs w:val="28"/>
                <w:highlight w:val="none"/>
                <w:vertAlign w:val="baseline"/>
                <w:lang w:val="en-US" w:eastAsia="zh-CN"/>
              </w:rPr>
            </w:pPr>
          </w:p>
        </w:tc>
        <w:tc>
          <w:tcPr>
            <w:tcW w:w="1900" w:type="dxa"/>
            <w:noWrap w:val="0"/>
            <w:vAlign w:val="center"/>
          </w:tcPr>
          <w:p w14:paraId="6D45226F">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点钞机</w:t>
            </w:r>
          </w:p>
        </w:tc>
        <w:tc>
          <w:tcPr>
            <w:tcW w:w="5223" w:type="dxa"/>
            <w:noWrap w:val="0"/>
            <w:vAlign w:val="center"/>
          </w:tcPr>
          <w:p w14:paraId="4012E609">
            <w:pPr>
              <w:keepNext w:val="0"/>
              <w:keepLines w:val="0"/>
              <w:pageBreakBefore w:val="0"/>
              <w:widowControl/>
              <w:numPr>
                <w:ilvl w:val="0"/>
                <w:numId w:val="20"/>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是否支持过热保护</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是</w:t>
            </w:r>
            <w:r>
              <w:rPr>
                <w:rFonts w:hint="eastAsia" w:ascii="方正仿宋_GBK" w:hAnsi="方正仿宋_GBK" w:eastAsia="方正仿宋_GBK" w:cs="方正仿宋_GBK"/>
                <w:b w:val="0"/>
                <w:bCs w:val="0"/>
                <w:sz w:val="24"/>
                <w:szCs w:val="24"/>
                <w:highlight w:val="none"/>
                <w:lang w:val="en-US" w:eastAsia="zh-CN"/>
              </w:rPr>
              <w:t>；</w:t>
            </w:r>
          </w:p>
          <w:p w14:paraId="0CB26B4A">
            <w:pPr>
              <w:keepNext w:val="0"/>
              <w:keepLines w:val="0"/>
              <w:pageBreakBefore w:val="0"/>
              <w:widowControl/>
              <w:numPr>
                <w:ilvl w:val="0"/>
                <w:numId w:val="20"/>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计数显示范围</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1-999张</w:t>
            </w:r>
            <w:r>
              <w:rPr>
                <w:rFonts w:hint="eastAsia" w:ascii="方正仿宋_GBK" w:hAnsi="方正仿宋_GBK" w:eastAsia="方正仿宋_GBK" w:cs="方正仿宋_GBK"/>
                <w:b w:val="0"/>
                <w:bCs w:val="0"/>
                <w:sz w:val="24"/>
                <w:szCs w:val="24"/>
                <w:highlight w:val="none"/>
                <w:lang w:val="en-US" w:eastAsia="zh-CN"/>
              </w:rPr>
              <w:t>；</w:t>
            </w:r>
          </w:p>
          <w:p w14:paraId="43EE1A03">
            <w:pPr>
              <w:keepNext w:val="0"/>
              <w:keepLines w:val="0"/>
              <w:pageBreakBefore w:val="0"/>
              <w:widowControl/>
              <w:numPr>
                <w:ilvl w:val="0"/>
                <w:numId w:val="20"/>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语音提示</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是</w:t>
            </w:r>
            <w:r>
              <w:rPr>
                <w:rFonts w:hint="eastAsia" w:ascii="方正仿宋_GBK" w:hAnsi="方正仿宋_GBK" w:eastAsia="方正仿宋_GBK" w:cs="方正仿宋_GBK"/>
                <w:b w:val="0"/>
                <w:bCs w:val="0"/>
                <w:sz w:val="24"/>
                <w:szCs w:val="24"/>
                <w:highlight w:val="none"/>
                <w:lang w:val="en-US" w:eastAsia="zh-CN"/>
              </w:rPr>
              <w:t>；</w:t>
            </w:r>
          </w:p>
          <w:p w14:paraId="1B897F69">
            <w:pPr>
              <w:keepNext w:val="0"/>
              <w:keepLines w:val="0"/>
              <w:pageBreakBefore w:val="0"/>
              <w:widowControl/>
              <w:numPr>
                <w:ilvl w:val="0"/>
                <w:numId w:val="20"/>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显示屏</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双屏幕</w:t>
            </w:r>
            <w:r>
              <w:rPr>
                <w:rFonts w:hint="eastAsia" w:ascii="方正仿宋_GBK" w:hAnsi="方正仿宋_GBK" w:eastAsia="方正仿宋_GBK" w:cs="方正仿宋_GBK"/>
                <w:b w:val="0"/>
                <w:bCs w:val="0"/>
                <w:sz w:val="24"/>
                <w:szCs w:val="24"/>
                <w:highlight w:val="none"/>
                <w:lang w:val="en-US" w:eastAsia="zh-CN"/>
              </w:rPr>
              <w:t>；</w:t>
            </w:r>
          </w:p>
          <w:p w14:paraId="0ABDAA4A">
            <w:pPr>
              <w:keepNext w:val="0"/>
              <w:keepLines w:val="0"/>
              <w:pageBreakBefore w:val="0"/>
              <w:widowControl/>
              <w:numPr>
                <w:ilvl w:val="0"/>
                <w:numId w:val="20"/>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计数范围</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1-999张</w:t>
            </w:r>
            <w:r>
              <w:rPr>
                <w:rFonts w:hint="eastAsia" w:ascii="方正仿宋_GBK" w:hAnsi="方正仿宋_GBK" w:eastAsia="方正仿宋_GBK" w:cs="方正仿宋_GBK"/>
                <w:b w:val="0"/>
                <w:bCs w:val="0"/>
                <w:sz w:val="24"/>
                <w:szCs w:val="24"/>
                <w:highlight w:val="none"/>
                <w:lang w:val="en-US" w:eastAsia="zh-CN"/>
              </w:rPr>
              <w:t>；</w:t>
            </w:r>
          </w:p>
          <w:p w14:paraId="4FA2E960">
            <w:pPr>
              <w:keepNext w:val="0"/>
              <w:keepLines w:val="0"/>
              <w:pageBreakBefore w:val="0"/>
              <w:widowControl/>
              <w:numPr>
                <w:ilvl w:val="0"/>
                <w:numId w:val="20"/>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default" w:ascii="方正仿宋_GBK" w:hAnsi="方正仿宋_GBK" w:eastAsia="方正仿宋_GBK" w:cs="方正仿宋_GBK"/>
                <w:b w:val="0"/>
                <w:bCs w:val="0"/>
                <w:sz w:val="24"/>
                <w:szCs w:val="24"/>
                <w:highlight w:val="none"/>
                <w:lang w:val="en-US" w:eastAsia="zh-CN"/>
              </w:rPr>
              <w:t>级别</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C类</w:t>
            </w:r>
            <w:r>
              <w:rPr>
                <w:rFonts w:hint="eastAsia" w:ascii="方正仿宋_GBK" w:hAnsi="方正仿宋_GBK" w:eastAsia="方正仿宋_GBK" w:cs="方正仿宋_GBK"/>
                <w:b w:val="0"/>
                <w:bCs w:val="0"/>
                <w:sz w:val="24"/>
                <w:szCs w:val="24"/>
                <w:highlight w:val="none"/>
                <w:vertAlign w:val="baseline"/>
                <w:lang w:val="en-US" w:eastAsia="zh-CN"/>
              </w:rPr>
              <w:t>；</w:t>
            </w:r>
          </w:p>
          <w:p w14:paraId="5AC7012E">
            <w:pPr>
              <w:keepNext w:val="0"/>
              <w:keepLines w:val="0"/>
              <w:pageBreakBefore w:val="0"/>
              <w:widowControl/>
              <w:numPr>
                <w:ilvl w:val="0"/>
                <w:numId w:val="20"/>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default" w:ascii="方正仿宋_GBK" w:hAnsi="方正仿宋_GBK" w:eastAsia="方正仿宋_GBK" w:cs="方正仿宋_GBK"/>
                <w:b w:val="0"/>
                <w:bCs w:val="0"/>
                <w:sz w:val="24"/>
                <w:szCs w:val="24"/>
                <w:highlight w:val="none"/>
                <w:lang w:val="en-US" w:eastAsia="zh-CN"/>
              </w:rPr>
              <w:t>点钞速度</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900张/分钟</w:t>
            </w:r>
            <w:r>
              <w:rPr>
                <w:rFonts w:hint="eastAsia" w:ascii="方正仿宋_GBK" w:hAnsi="方正仿宋_GBK" w:eastAsia="方正仿宋_GBK" w:cs="方正仿宋_GBK"/>
                <w:b w:val="0"/>
                <w:bCs w:val="0"/>
                <w:sz w:val="24"/>
                <w:szCs w:val="24"/>
                <w:highlight w:val="none"/>
                <w:lang w:val="en-US" w:eastAsia="zh-CN"/>
              </w:rPr>
              <w:t>。</w:t>
            </w:r>
          </w:p>
        </w:tc>
        <w:tc>
          <w:tcPr>
            <w:tcW w:w="1000" w:type="dxa"/>
            <w:noWrap w:val="0"/>
            <w:vAlign w:val="center"/>
          </w:tcPr>
          <w:p w14:paraId="11A617A9">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1</w:t>
            </w:r>
          </w:p>
        </w:tc>
        <w:tc>
          <w:tcPr>
            <w:tcW w:w="937" w:type="dxa"/>
            <w:noWrap w:val="0"/>
            <w:vAlign w:val="center"/>
          </w:tcPr>
          <w:p w14:paraId="216177F4">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905" w:type="dxa"/>
            <w:noWrap w:val="0"/>
            <w:vAlign w:val="top"/>
          </w:tcPr>
          <w:p w14:paraId="1F66B780">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sz w:val="28"/>
                <w:szCs w:val="28"/>
                <w:highlight w:val="lightGray"/>
                <w:vertAlign w:val="baseline"/>
                <w:lang w:val="en-US" w:eastAsia="zh-CN"/>
              </w:rPr>
            </w:pPr>
          </w:p>
        </w:tc>
      </w:tr>
      <w:tr w14:paraId="709D4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noWrap w:val="0"/>
            <w:vAlign w:val="center"/>
          </w:tcPr>
          <w:p w14:paraId="01AEECA5">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sz w:val="28"/>
                <w:szCs w:val="28"/>
                <w:highlight w:val="none"/>
                <w:vertAlign w:val="baseline"/>
                <w:lang w:val="en-US" w:eastAsia="zh-CN"/>
              </w:rPr>
            </w:pPr>
          </w:p>
        </w:tc>
        <w:tc>
          <w:tcPr>
            <w:tcW w:w="1900" w:type="dxa"/>
            <w:noWrap w:val="0"/>
            <w:vAlign w:val="center"/>
          </w:tcPr>
          <w:p w14:paraId="1D1FBC5D">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空调机</w:t>
            </w:r>
          </w:p>
        </w:tc>
        <w:tc>
          <w:tcPr>
            <w:tcW w:w="5223" w:type="dxa"/>
            <w:noWrap w:val="0"/>
            <w:vAlign w:val="center"/>
          </w:tcPr>
          <w:p w14:paraId="0FA274AB">
            <w:pPr>
              <w:keepNext w:val="0"/>
              <w:keepLines w:val="0"/>
              <w:pageBreakBefore w:val="0"/>
              <w:widowControl/>
              <w:numPr>
                <w:ilvl w:val="0"/>
                <w:numId w:val="21"/>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制冷量(kw)</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2650</w:t>
            </w:r>
            <w:r>
              <w:rPr>
                <w:rFonts w:hint="eastAsia" w:ascii="方正仿宋_GBK" w:hAnsi="方正仿宋_GBK" w:eastAsia="方正仿宋_GBK" w:cs="方正仿宋_GBK"/>
                <w:b w:val="0"/>
                <w:bCs w:val="0"/>
                <w:color w:val="auto"/>
                <w:sz w:val="24"/>
                <w:szCs w:val="24"/>
                <w:highlight w:val="none"/>
                <w:lang w:val="en-US" w:eastAsia="zh-CN"/>
              </w:rPr>
              <w:t>；</w:t>
            </w:r>
          </w:p>
          <w:p w14:paraId="315B72A5">
            <w:pPr>
              <w:keepNext w:val="0"/>
              <w:keepLines w:val="0"/>
              <w:pageBreakBefore w:val="0"/>
              <w:widowControl/>
              <w:numPr>
                <w:ilvl w:val="0"/>
                <w:numId w:val="21"/>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适用面积</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14-18㎡</w:t>
            </w:r>
            <w:r>
              <w:rPr>
                <w:rFonts w:hint="eastAsia" w:ascii="方正仿宋_GBK" w:hAnsi="方正仿宋_GBK" w:eastAsia="方正仿宋_GBK" w:cs="方正仿宋_GBK"/>
                <w:b w:val="0"/>
                <w:bCs w:val="0"/>
                <w:color w:val="auto"/>
                <w:sz w:val="24"/>
                <w:szCs w:val="24"/>
                <w:highlight w:val="none"/>
                <w:lang w:val="en-US" w:eastAsia="zh-CN"/>
              </w:rPr>
              <w:t>；</w:t>
            </w:r>
          </w:p>
          <w:p w14:paraId="6E0EB025">
            <w:pPr>
              <w:keepNext w:val="0"/>
              <w:keepLines w:val="0"/>
              <w:pageBreakBefore w:val="0"/>
              <w:widowControl/>
              <w:numPr>
                <w:ilvl w:val="0"/>
                <w:numId w:val="21"/>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匹数(匹)</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1.5匹</w:t>
            </w:r>
            <w:r>
              <w:rPr>
                <w:rFonts w:hint="eastAsia" w:ascii="方正仿宋_GBK" w:hAnsi="方正仿宋_GBK" w:eastAsia="方正仿宋_GBK" w:cs="方正仿宋_GBK"/>
                <w:b w:val="0"/>
                <w:bCs w:val="0"/>
                <w:color w:val="auto"/>
                <w:sz w:val="24"/>
                <w:szCs w:val="24"/>
                <w:highlight w:val="none"/>
                <w:lang w:val="en-US" w:eastAsia="zh-CN"/>
              </w:rPr>
              <w:t>；</w:t>
            </w:r>
          </w:p>
          <w:p w14:paraId="12865319">
            <w:pPr>
              <w:keepNext w:val="0"/>
              <w:keepLines w:val="0"/>
              <w:pageBreakBefore w:val="0"/>
              <w:widowControl/>
              <w:numPr>
                <w:ilvl w:val="0"/>
                <w:numId w:val="21"/>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能效等级</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一级</w:t>
            </w:r>
            <w:r>
              <w:rPr>
                <w:rFonts w:hint="eastAsia" w:ascii="方正仿宋_GBK" w:hAnsi="方正仿宋_GBK" w:eastAsia="方正仿宋_GBK" w:cs="方正仿宋_GBK"/>
                <w:b w:val="0"/>
                <w:bCs w:val="0"/>
                <w:color w:val="auto"/>
                <w:sz w:val="24"/>
                <w:szCs w:val="24"/>
                <w:highlight w:val="none"/>
                <w:lang w:val="en-US" w:eastAsia="zh-CN"/>
              </w:rPr>
              <w:t>；</w:t>
            </w:r>
          </w:p>
          <w:p w14:paraId="2185CB97">
            <w:pPr>
              <w:keepNext w:val="0"/>
              <w:keepLines w:val="0"/>
              <w:pageBreakBefore w:val="0"/>
              <w:widowControl/>
              <w:numPr>
                <w:ilvl w:val="0"/>
                <w:numId w:val="21"/>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冷暖类型</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冷暖型</w:t>
            </w:r>
            <w:r>
              <w:rPr>
                <w:rFonts w:hint="eastAsia" w:ascii="方正仿宋_GBK" w:hAnsi="方正仿宋_GBK" w:eastAsia="方正仿宋_GBK" w:cs="方正仿宋_GBK"/>
                <w:b w:val="0"/>
                <w:bCs w:val="0"/>
                <w:color w:val="auto"/>
                <w:sz w:val="24"/>
                <w:szCs w:val="24"/>
                <w:highlight w:val="none"/>
                <w:lang w:val="en-US" w:eastAsia="zh-CN"/>
              </w:rPr>
              <w:t>；</w:t>
            </w:r>
          </w:p>
          <w:p w14:paraId="0282CFD8">
            <w:pPr>
              <w:keepNext w:val="0"/>
              <w:keepLines w:val="0"/>
              <w:pageBreakBefore w:val="0"/>
              <w:widowControl/>
              <w:numPr>
                <w:ilvl w:val="0"/>
                <w:numId w:val="21"/>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功率(kw)</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810</w:t>
            </w:r>
            <w:r>
              <w:rPr>
                <w:rFonts w:hint="eastAsia" w:ascii="方正仿宋_GBK" w:hAnsi="方正仿宋_GBK" w:eastAsia="方正仿宋_GBK" w:cs="方正仿宋_GBK"/>
                <w:b w:val="0"/>
                <w:bCs w:val="0"/>
                <w:color w:val="auto"/>
                <w:sz w:val="24"/>
                <w:szCs w:val="24"/>
                <w:highlight w:val="none"/>
                <w:lang w:val="en-US" w:eastAsia="zh-CN"/>
              </w:rPr>
              <w:t>；</w:t>
            </w:r>
          </w:p>
          <w:p w14:paraId="08C8F808">
            <w:pPr>
              <w:keepNext w:val="0"/>
              <w:keepLines w:val="0"/>
              <w:pageBreakBefore w:val="0"/>
              <w:widowControl/>
              <w:numPr>
                <w:ilvl w:val="0"/>
                <w:numId w:val="21"/>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额定电压(V)</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220V/50Hz</w:t>
            </w:r>
            <w:r>
              <w:rPr>
                <w:rFonts w:hint="eastAsia" w:ascii="方正仿宋_GBK" w:hAnsi="方正仿宋_GBK" w:eastAsia="方正仿宋_GBK" w:cs="方正仿宋_GBK"/>
                <w:b w:val="0"/>
                <w:bCs w:val="0"/>
                <w:color w:val="auto"/>
                <w:sz w:val="24"/>
                <w:szCs w:val="24"/>
                <w:highlight w:val="none"/>
                <w:lang w:val="en-US" w:eastAsia="zh-CN"/>
              </w:rPr>
              <w:t>；</w:t>
            </w:r>
          </w:p>
          <w:p w14:paraId="59D40F90">
            <w:pPr>
              <w:keepNext w:val="0"/>
              <w:keepLines w:val="0"/>
              <w:pageBreakBefore w:val="0"/>
              <w:widowControl/>
              <w:numPr>
                <w:ilvl w:val="0"/>
                <w:numId w:val="21"/>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bookmarkStart w:id="228" w:name="OLE_LINK31"/>
            <w:r>
              <w:rPr>
                <w:rFonts w:hint="eastAsia" w:ascii="方正仿宋_GBK" w:hAnsi="方正仿宋_GBK" w:eastAsia="方正仿宋_GBK" w:cs="方正仿宋_GBK"/>
                <w:b w:val="0"/>
                <w:bCs w:val="0"/>
                <w:sz w:val="24"/>
                <w:szCs w:val="24"/>
                <w:highlight w:val="none"/>
                <w:lang w:val="en-US" w:eastAsia="zh-CN"/>
              </w:rPr>
              <w:t>★投标时须提供3C认证。</w:t>
            </w:r>
            <w:bookmarkEnd w:id="228"/>
          </w:p>
        </w:tc>
        <w:tc>
          <w:tcPr>
            <w:tcW w:w="1000" w:type="dxa"/>
            <w:noWrap w:val="0"/>
            <w:vAlign w:val="center"/>
          </w:tcPr>
          <w:p w14:paraId="5C13685D">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4</w:t>
            </w:r>
          </w:p>
        </w:tc>
        <w:tc>
          <w:tcPr>
            <w:tcW w:w="937" w:type="dxa"/>
            <w:noWrap w:val="0"/>
            <w:vAlign w:val="center"/>
          </w:tcPr>
          <w:p w14:paraId="48657B35">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905" w:type="dxa"/>
            <w:noWrap w:val="0"/>
            <w:vAlign w:val="top"/>
          </w:tcPr>
          <w:p w14:paraId="7DA56E54">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sz w:val="28"/>
                <w:szCs w:val="28"/>
                <w:highlight w:val="lightGray"/>
                <w:vertAlign w:val="baseline"/>
                <w:lang w:val="en-US" w:eastAsia="zh-CN"/>
              </w:rPr>
            </w:pPr>
            <w:r>
              <w:rPr>
                <w:rFonts w:hint="eastAsia" w:ascii="宋体" w:hAnsi="宋体" w:eastAsia="宋体" w:cs="宋体"/>
                <w:b/>
                <w:bCs/>
                <w:color w:val="C00000"/>
                <w:sz w:val="21"/>
                <w:szCs w:val="21"/>
                <w:u w:val="none"/>
                <w:lang w:val="en-US" w:eastAsia="zh-CN"/>
              </w:rPr>
              <w:t>强强制采购产品</w:t>
            </w:r>
          </w:p>
        </w:tc>
      </w:tr>
      <w:tr w14:paraId="2D221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96" w:type="dxa"/>
            <w:noWrap w:val="0"/>
            <w:vAlign w:val="center"/>
          </w:tcPr>
          <w:p w14:paraId="4FF59843">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sz w:val="28"/>
                <w:szCs w:val="28"/>
                <w:highlight w:val="none"/>
                <w:vertAlign w:val="baseline"/>
                <w:lang w:val="en-US" w:eastAsia="zh-CN"/>
              </w:rPr>
            </w:pPr>
          </w:p>
        </w:tc>
        <w:tc>
          <w:tcPr>
            <w:tcW w:w="1900" w:type="dxa"/>
            <w:noWrap w:val="0"/>
            <w:vAlign w:val="center"/>
          </w:tcPr>
          <w:p w14:paraId="13398623">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电视机</w:t>
            </w:r>
          </w:p>
        </w:tc>
        <w:tc>
          <w:tcPr>
            <w:tcW w:w="5223" w:type="dxa"/>
            <w:noWrap w:val="0"/>
            <w:vAlign w:val="center"/>
          </w:tcPr>
          <w:p w14:paraId="6E0883E0">
            <w:pPr>
              <w:keepNext w:val="0"/>
              <w:keepLines w:val="0"/>
              <w:pageBreakBefore w:val="0"/>
              <w:widowControl/>
              <w:numPr>
                <w:ilvl w:val="0"/>
                <w:numId w:val="22"/>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屏幕分辨率:高清（1366x768）；</w:t>
            </w:r>
          </w:p>
          <w:p w14:paraId="0152DF21">
            <w:pPr>
              <w:keepNext w:val="0"/>
              <w:keepLines w:val="0"/>
              <w:pageBreakBefore w:val="0"/>
              <w:widowControl/>
              <w:numPr>
                <w:ilvl w:val="0"/>
                <w:numId w:val="22"/>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屏幕比例:16：9（宽屏）；</w:t>
            </w:r>
          </w:p>
          <w:p w14:paraId="62F3AA50">
            <w:pPr>
              <w:keepNext w:val="0"/>
              <w:keepLines w:val="0"/>
              <w:pageBreakBefore w:val="0"/>
              <w:widowControl/>
              <w:numPr>
                <w:ilvl w:val="0"/>
                <w:numId w:val="22"/>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光源类型：LED背光；</w:t>
            </w:r>
          </w:p>
          <w:p w14:paraId="3894AC7C">
            <w:pPr>
              <w:keepNext w:val="0"/>
              <w:keepLines w:val="0"/>
              <w:pageBreakBefore w:val="0"/>
              <w:widowControl/>
              <w:numPr>
                <w:ilvl w:val="0"/>
                <w:numId w:val="22"/>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屏幕尺寸：32英寸；</w:t>
            </w:r>
          </w:p>
          <w:p w14:paraId="1359DFD3">
            <w:pPr>
              <w:keepNext w:val="0"/>
              <w:keepLines w:val="0"/>
              <w:pageBreakBefore w:val="0"/>
              <w:widowControl/>
              <w:numPr>
                <w:ilvl w:val="0"/>
                <w:numId w:val="22"/>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整机功率（W）：≥35瓦特；</w:t>
            </w:r>
          </w:p>
          <w:p w14:paraId="4EA84CE2">
            <w:pPr>
              <w:keepNext w:val="0"/>
              <w:keepLines w:val="0"/>
              <w:pageBreakBefore w:val="0"/>
              <w:widowControl/>
              <w:numPr>
                <w:ilvl w:val="0"/>
                <w:numId w:val="22"/>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待机功率（W）：≤0.5瓦特；</w:t>
            </w:r>
          </w:p>
          <w:p w14:paraId="5F6E90E4">
            <w:pPr>
              <w:keepNext w:val="0"/>
              <w:keepLines w:val="0"/>
              <w:pageBreakBefore w:val="0"/>
              <w:widowControl/>
              <w:numPr>
                <w:ilvl w:val="0"/>
                <w:numId w:val="22"/>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电源电压：240伏特；</w:t>
            </w:r>
          </w:p>
          <w:p w14:paraId="259AF07F">
            <w:pPr>
              <w:keepNext w:val="0"/>
              <w:keepLines w:val="0"/>
              <w:pageBreakBefore w:val="0"/>
              <w:widowControl/>
              <w:numPr>
                <w:ilvl w:val="0"/>
                <w:numId w:val="22"/>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边框材质：塑料；</w:t>
            </w:r>
          </w:p>
          <w:p w14:paraId="45F6D964">
            <w:pPr>
              <w:keepNext w:val="0"/>
              <w:keepLines w:val="0"/>
              <w:pageBreakBefore w:val="0"/>
              <w:widowControl/>
              <w:numPr>
                <w:ilvl w:val="0"/>
                <w:numId w:val="22"/>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底座材料：塑料；</w:t>
            </w:r>
          </w:p>
          <w:p w14:paraId="27312527">
            <w:pPr>
              <w:keepNext w:val="0"/>
              <w:keepLines w:val="0"/>
              <w:pageBreakBefore w:val="0"/>
              <w:widowControl/>
              <w:numPr>
                <w:ilvl w:val="0"/>
                <w:numId w:val="22"/>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机身颜色：黑色；</w:t>
            </w:r>
          </w:p>
          <w:p w14:paraId="04ADAB80">
            <w:pPr>
              <w:keepNext w:val="0"/>
              <w:keepLines w:val="0"/>
              <w:pageBreakBefore w:val="0"/>
              <w:widowControl/>
              <w:numPr>
                <w:ilvl w:val="0"/>
                <w:numId w:val="22"/>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★投标时须提供3C认证。</w:t>
            </w:r>
          </w:p>
        </w:tc>
        <w:tc>
          <w:tcPr>
            <w:tcW w:w="1000" w:type="dxa"/>
            <w:noWrap w:val="0"/>
            <w:vAlign w:val="center"/>
          </w:tcPr>
          <w:p w14:paraId="6F7B0DCD">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b w:val="0"/>
                <w:bCs w:val="0"/>
                <w:color w:val="auto"/>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1</w:t>
            </w:r>
          </w:p>
        </w:tc>
        <w:tc>
          <w:tcPr>
            <w:tcW w:w="937" w:type="dxa"/>
            <w:noWrap w:val="0"/>
            <w:vAlign w:val="center"/>
          </w:tcPr>
          <w:p w14:paraId="30B80144">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台</w:t>
            </w:r>
          </w:p>
        </w:tc>
        <w:tc>
          <w:tcPr>
            <w:tcW w:w="905" w:type="dxa"/>
            <w:noWrap w:val="0"/>
            <w:vAlign w:val="top"/>
          </w:tcPr>
          <w:p w14:paraId="6536401C">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color w:val="auto"/>
                <w:sz w:val="28"/>
                <w:szCs w:val="28"/>
                <w:highlight w:val="lightGray"/>
                <w:vertAlign w:val="baseline"/>
                <w:lang w:val="en-US" w:eastAsia="zh-CN"/>
              </w:rPr>
            </w:pPr>
            <w:r>
              <w:rPr>
                <w:rFonts w:hint="eastAsia" w:ascii="宋体" w:hAnsi="宋体" w:eastAsia="宋体" w:cs="宋体"/>
                <w:b/>
                <w:bCs/>
                <w:color w:val="C00000"/>
                <w:sz w:val="21"/>
                <w:szCs w:val="21"/>
                <w:u w:val="none"/>
                <w:lang w:val="en-US" w:eastAsia="zh-CN"/>
              </w:rPr>
              <w:t>强强制采购产品</w:t>
            </w:r>
          </w:p>
        </w:tc>
      </w:tr>
      <w:tr w14:paraId="5B262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noWrap w:val="0"/>
            <w:vAlign w:val="center"/>
          </w:tcPr>
          <w:p w14:paraId="779D49F7">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sz w:val="28"/>
                <w:szCs w:val="28"/>
                <w:highlight w:val="none"/>
                <w:vertAlign w:val="baseline"/>
                <w:lang w:val="en-US" w:eastAsia="zh-CN"/>
              </w:rPr>
            </w:pPr>
          </w:p>
        </w:tc>
        <w:tc>
          <w:tcPr>
            <w:tcW w:w="1900" w:type="dxa"/>
            <w:noWrap w:val="0"/>
            <w:vAlign w:val="center"/>
          </w:tcPr>
          <w:p w14:paraId="239552A4">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风扇</w:t>
            </w:r>
          </w:p>
        </w:tc>
        <w:tc>
          <w:tcPr>
            <w:tcW w:w="5223" w:type="dxa"/>
            <w:noWrap w:val="0"/>
            <w:vAlign w:val="center"/>
          </w:tcPr>
          <w:p w14:paraId="4DE1E13B">
            <w:pPr>
              <w:keepNext w:val="0"/>
              <w:keepLines w:val="0"/>
              <w:pageBreakBefore w:val="0"/>
              <w:widowControl/>
              <w:numPr>
                <w:ilvl w:val="0"/>
                <w:numId w:val="23"/>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产品类型：</w:t>
            </w:r>
            <w:r>
              <w:rPr>
                <w:rFonts w:hint="default" w:ascii="方正仿宋_GBK" w:hAnsi="方正仿宋_GBK" w:eastAsia="方正仿宋_GBK" w:cs="方正仿宋_GBK"/>
                <w:b w:val="0"/>
                <w:bCs w:val="0"/>
                <w:color w:val="auto"/>
                <w:sz w:val="24"/>
                <w:szCs w:val="24"/>
                <w:highlight w:val="none"/>
                <w:lang w:val="en-US" w:eastAsia="zh-CN"/>
              </w:rPr>
              <w:t>落地扇</w:t>
            </w:r>
            <w:r>
              <w:rPr>
                <w:rFonts w:hint="eastAsia" w:ascii="方正仿宋_GBK" w:hAnsi="方正仿宋_GBK" w:eastAsia="方正仿宋_GBK" w:cs="方正仿宋_GBK"/>
                <w:b w:val="0"/>
                <w:bCs w:val="0"/>
                <w:color w:val="auto"/>
                <w:sz w:val="24"/>
                <w:szCs w:val="24"/>
                <w:highlight w:val="none"/>
                <w:lang w:val="en-US" w:eastAsia="zh-CN"/>
              </w:rPr>
              <w:t>；</w:t>
            </w:r>
          </w:p>
          <w:p w14:paraId="6A381509">
            <w:pPr>
              <w:keepNext w:val="0"/>
              <w:keepLines w:val="0"/>
              <w:pageBreakBefore w:val="0"/>
              <w:widowControl/>
              <w:numPr>
                <w:ilvl w:val="0"/>
                <w:numId w:val="23"/>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额定电压</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220V</w:t>
            </w:r>
            <w:r>
              <w:rPr>
                <w:rFonts w:hint="eastAsia" w:ascii="方正仿宋_GBK" w:hAnsi="方正仿宋_GBK" w:eastAsia="方正仿宋_GBK" w:cs="方正仿宋_GBK"/>
                <w:b w:val="0"/>
                <w:bCs w:val="0"/>
                <w:color w:val="auto"/>
                <w:sz w:val="24"/>
                <w:szCs w:val="24"/>
                <w:highlight w:val="none"/>
                <w:lang w:val="en-US" w:eastAsia="zh-CN"/>
              </w:rPr>
              <w:t>；</w:t>
            </w:r>
          </w:p>
          <w:p w14:paraId="72AE6889">
            <w:pPr>
              <w:keepNext w:val="0"/>
              <w:keepLines w:val="0"/>
              <w:pageBreakBefore w:val="0"/>
              <w:widowControl/>
              <w:numPr>
                <w:ilvl w:val="0"/>
                <w:numId w:val="23"/>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能效等级</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三级</w:t>
            </w:r>
            <w:r>
              <w:rPr>
                <w:rFonts w:hint="eastAsia" w:ascii="方正仿宋_GBK" w:hAnsi="方正仿宋_GBK" w:eastAsia="方正仿宋_GBK" w:cs="方正仿宋_GBK"/>
                <w:b w:val="0"/>
                <w:bCs w:val="0"/>
                <w:color w:val="auto"/>
                <w:sz w:val="24"/>
                <w:szCs w:val="24"/>
                <w:highlight w:val="none"/>
                <w:lang w:val="en-US" w:eastAsia="zh-CN"/>
              </w:rPr>
              <w:t>；</w:t>
            </w:r>
          </w:p>
          <w:p w14:paraId="31761F0B">
            <w:pPr>
              <w:keepNext w:val="0"/>
              <w:keepLines w:val="0"/>
              <w:pageBreakBefore w:val="0"/>
              <w:widowControl/>
              <w:numPr>
                <w:ilvl w:val="0"/>
                <w:numId w:val="23"/>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控制方式</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机械式</w:t>
            </w:r>
            <w:r>
              <w:rPr>
                <w:rFonts w:hint="eastAsia" w:ascii="方正仿宋_GBK" w:hAnsi="方正仿宋_GBK" w:eastAsia="方正仿宋_GBK" w:cs="方正仿宋_GBK"/>
                <w:b w:val="0"/>
                <w:bCs w:val="0"/>
                <w:color w:val="auto"/>
                <w:sz w:val="24"/>
                <w:szCs w:val="24"/>
                <w:highlight w:val="none"/>
                <w:lang w:val="en-US" w:eastAsia="zh-CN"/>
              </w:rPr>
              <w:t>；</w:t>
            </w:r>
          </w:p>
          <w:p w14:paraId="3BFD40B6">
            <w:pPr>
              <w:keepNext w:val="0"/>
              <w:keepLines w:val="0"/>
              <w:pageBreakBefore w:val="0"/>
              <w:widowControl/>
              <w:numPr>
                <w:ilvl w:val="0"/>
                <w:numId w:val="23"/>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冷风档位</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3档</w:t>
            </w:r>
            <w:r>
              <w:rPr>
                <w:rFonts w:hint="eastAsia" w:ascii="方正仿宋_GBK" w:hAnsi="方正仿宋_GBK" w:eastAsia="方正仿宋_GBK" w:cs="方正仿宋_GBK"/>
                <w:b w:val="0"/>
                <w:bCs w:val="0"/>
                <w:color w:val="auto"/>
                <w:sz w:val="24"/>
                <w:szCs w:val="24"/>
                <w:highlight w:val="none"/>
                <w:lang w:val="en-US" w:eastAsia="zh-CN"/>
              </w:rPr>
              <w:t>；</w:t>
            </w:r>
          </w:p>
          <w:p w14:paraId="0F7B4135">
            <w:pPr>
              <w:keepNext w:val="0"/>
              <w:keepLines w:val="0"/>
              <w:pageBreakBefore w:val="0"/>
              <w:widowControl/>
              <w:numPr>
                <w:ilvl w:val="0"/>
                <w:numId w:val="23"/>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冷暖类型</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单冷型</w:t>
            </w:r>
            <w:r>
              <w:rPr>
                <w:rFonts w:hint="eastAsia" w:ascii="方正仿宋_GBK" w:hAnsi="方正仿宋_GBK" w:eastAsia="方正仿宋_GBK" w:cs="方正仿宋_GBK"/>
                <w:b w:val="0"/>
                <w:bCs w:val="0"/>
                <w:color w:val="auto"/>
                <w:sz w:val="24"/>
                <w:szCs w:val="24"/>
                <w:highlight w:val="none"/>
                <w:lang w:val="en-US" w:eastAsia="zh-CN"/>
              </w:rPr>
              <w:t>；</w:t>
            </w:r>
          </w:p>
          <w:p w14:paraId="19B7F6D6">
            <w:pPr>
              <w:keepNext w:val="0"/>
              <w:keepLines w:val="0"/>
              <w:pageBreakBefore w:val="0"/>
              <w:widowControl/>
              <w:numPr>
                <w:ilvl w:val="0"/>
                <w:numId w:val="23"/>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制冷功率(w)</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46</w:t>
            </w:r>
            <w:r>
              <w:rPr>
                <w:rFonts w:hint="eastAsia" w:ascii="方正仿宋_GBK" w:hAnsi="方正仿宋_GBK" w:eastAsia="方正仿宋_GBK" w:cs="方正仿宋_GBK"/>
                <w:b w:val="0"/>
                <w:bCs w:val="0"/>
                <w:color w:val="auto"/>
                <w:sz w:val="24"/>
                <w:szCs w:val="24"/>
                <w:highlight w:val="none"/>
                <w:lang w:val="en-US" w:eastAsia="zh-CN"/>
              </w:rPr>
              <w:t>。</w:t>
            </w:r>
          </w:p>
        </w:tc>
        <w:tc>
          <w:tcPr>
            <w:tcW w:w="1000" w:type="dxa"/>
            <w:noWrap w:val="0"/>
            <w:vAlign w:val="center"/>
          </w:tcPr>
          <w:p w14:paraId="6C9FEB6A">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2</w:t>
            </w:r>
          </w:p>
        </w:tc>
        <w:tc>
          <w:tcPr>
            <w:tcW w:w="937" w:type="dxa"/>
            <w:noWrap w:val="0"/>
            <w:vAlign w:val="center"/>
          </w:tcPr>
          <w:p w14:paraId="5D9F27E8">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905" w:type="dxa"/>
            <w:noWrap w:val="0"/>
            <w:vAlign w:val="top"/>
          </w:tcPr>
          <w:p w14:paraId="3FE3FD96">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sz w:val="28"/>
                <w:szCs w:val="28"/>
                <w:highlight w:val="lightGray"/>
                <w:vertAlign w:val="baseline"/>
                <w:lang w:val="en-US" w:eastAsia="zh-CN"/>
              </w:rPr>
            </w:pPr>
          </w:p>
        </w:tc>
      </w:tr>
      <w:tr w14:paraId="2AA12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noWrap w:val="0"/>
            <w:vAlign w:val="center"/>
          </w:tcPr>
          <w:p w14:paraId="1ED820D9">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sz w:val="28"/>
                <w:szCs w:val="28"/>
                <w:highlight w:val="none"/>
                <w:vertAlign w:val="baseline"/>
                <w:lang w:val="en-US" w:eastAsia="zh-CN"/>
              </w:rPr>
            </w:pPr>
          </w:p>
        </w:tc>
        <w:tc>
          <w:tcPr>
            <w:tcW w:w="1900" w:type="dxa"/>
            <w:noWrap w:val="0"/>
            <w:vAlign w:val="center"/>
          </w:tcPr>
          <w:p w14:paraId="0A11261E">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微波炉</w:t>
            </w:r>
          </w:p>
        </w:tc>
        <w:tc>
          <w:tcPr>
            <w:tcW w:w="5223" w:type="dxa"/>
            <w:noWrap w:val="0"/>
            <w:vAlign w:val="center"/>
          </w:tcPr>
          <w:p w14:paraId="753EE0AA">
            <w:pPr>
              <w:keepNext w:val="0"/>
              <w:keepLines w:val="0"/>
              <w:pageBreakBefore w:val="0"/>
              <w:widowControl/>
              <w:numPr>
                <w:ilvl w:val="0"/>
                <w:numId w:val="24"/>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安装方式：台式；</w:t>
            </w:r>
          </w:p>
          <w:p w14:paraId="767C1C71">
            <w:pPr>
              <w:keepNext w:val="0"/>
              <w:keepLines w:val="0"/>
              <w:pageBreakBefore w:val="0"/>
              <w:widowControl/>
              <w:numPr>
                <w:ilvl w:val="0"/>
                <w:numId w:val="24"/>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开门方式：侧拉式；</w:t>
            </w:r>
          </w:p>
          <w:p w14:paraId="39E04A61">
            <w:pPr>
              <w:keepNext w:val="0"/>
              <w:keepLines w:val="0"/>
              <w:pageBreakBefore w:val="0"/>
              <w:widowControl/>
              <w:numPr>
                <w:ilvl w:val="0"/>
                <w:numId w:val="24"/>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内胆材质：涂层内胆；</w:t>
            </w:r>
          </w:p>
          <w:p w14:paraId="56812F1D">
            <w:pPr>
              <w:keepNext w:val="0"/>
              <w:keepLines w:val="0"/>
              <w:pageBreakBefore w:val="0"/>
              <w:widowControl/>
              <w:numPr>
                <w:ilvl w:val="0"/>
                <w:numId w:val="24"/>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控制方式：按键式；</w:t>
            </w:r>
          </w:p>
          <w:p w14:paraId="460779FB">
            <w:pPr>
              <w:keepNext w:val="0"/>
              <w:keepLines w:val="0"/>
              <w:pageBreakBefore w:val="0"/>
              <w:widowControl/>
              <w:numPr>
                <w:ilvl w:val="0"/>
                <w:numId w:val="24"/>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定时功能，微波功能；</w:t>
            </w:r>
          </w:p>
          <w:p w14:paraId="64FE5D5F">
            <w:pPr>
              <w:keepNext w:val="0"/>
              <w:keepLines w:val="0"/>
              <w:pageBreakBefore w:val="0"/>
              <w:widowControl/>
              <w:numPr>
                <w:ilvl w:val="0"/>
                <w:numId w:val="24"/>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底盘类型:平板加热；</w:t>
            </w:r>
          </w:p>
          <w:p w14:paraId="42771783">
            <w:pPr>
              <w:keepNext w:val="0"/>
              <w:keepLines w:val="0"/>
              <w:pageBreakBefore w:val="0"/>
              <w:widowControl/>
              <w:numPr>
                <w:ilvl w:val="0"/>
                <w:numId w:val="24"/>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容量:</w:t>
            </w:r>
            <w:r>
              <w:rPr>
                <w:rFonts w:hint="default" w:ascii="Arial" w:hAnsi="Arial" w:eastAsia="方正仿宋_GBK" w:cs="Arial"/>
                <w:b w:val="0"/>
                <w:bCs w:val="0"/>
                <w:color w:val="auto"/>
                <w:sz w:val="24"/>
                <w:szCs w:val="24"/>
                <w:highlight w:val="none"/>
                <w:lang w:val="en-US" w:eastAsia="zh-CN"/>
              </w:rPr>
              <w:t>≥</w:t>
            </w:r>
            <w:r>
              <w:rPr>
                <w:rFonts w:hint="eastAsia" w:ascii="方正仿宋_GBK" w:hAnsi="方正仿宋_GBK" w:eastAsia="方正仿宋_GBK" w:cs="方正仿宋_GBK"/>
                <w:b w:val="0"/>
                <w:bCs w:val="0"/>
                <w:color w:val="auto"/>
                <w:sz w:val="24"/>
                <w:szCs w:val="24"/>
                <w:highlight w:val="none"/>
                <w:lang w:val="en-US" w:eastAsia="zh-CN"/>
              </w:rPr>
              <w:t>20升；</w:t>
            </w:r>
          </w:p>
          <w:p w14:paraId="53A76855">
            <w:pPr>
              <w:keepNext w:val="0"/>
              <w:keepLines w:val="0"/>
              <w:pageBreakBefore w:val="0"/>
              <w:widowControl/>
              <w:numPr>
                <w:ilvl w:val="0"/>
                <w:numId w:val="24"/>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国家能效等级：3级；</w:t>
            </w:r>
          </w:p>
          <w:p w14:paraId="7890FF90">
            <w:pPr>
              <w:keepNext w:val="0"/>
              <w:keepLines w:val="0"/>
              <w:pageBreakBefore w:val="0"/>
              <w:widowControl/>
              <w:numPr>
                <w:ilvl w:val="0"/>
                <w:numId w:val="24"/>
              </w:numPr>
              <w:kinsoku/>
              <w:wordWrap/>
              <w:overflowPunct/>
              <w:topLinePunct w:val="0"/>
              <w:autoSpaceDE/>
              <w:autoSpaceDN/>
              <w:bidi w:val="0"/>
              <w:adjustRightInd/>
              <w:snapToGrid/>
              <w:spacing w:line="320" w:lineRule="exact"/>
              <w:ind w:left="0" w:leftChars="0" w:firstLine="403" w:firstLineChars="0"/>
              <w:jc w:val="left"/>
              <w:textAlignment w:val="auto"/>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额定电压：220伏特；</w:t>
            </w:r>
          </w:p>
          <w:p w14:paraId="5E8ED159">
            <w:pPr>
              <w:keepNext w:val="0"/>
              <w:keepLines w:val="0"/>
              <w:pageBreakBefore w:val="0"/>
              <w:widowControl/>
              <w:numPr>
                <w:ilvl w:val="0"/>
                <w:numId w:val="24"/>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微波功率：≥700瓦特；</w:t>
            </w:r>
          </w:p>
          <w:p w14:paraId="14976BC1">
            <w:pPr>
              <w:keepNext w:val="0"/>
              <w:keepLines w:val="0"/>
              <w:pageBreakBefore w:val="0"/>
              <w:widowControl/>
              <w:numPr>
                <w:ilvl w:val="0"/>
                <w:numId w:val="24"/>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烧烤功率：≥850瓦特；</w:t>
            </w:r>
          </w:p>
          <w:p w14:paraId="67313D40">
            <w:pPr>
              <w:keepNext w:val="0"/>
              <w:keepLines w:val="0"/>
              <w:pageBreakBefore w:val="0"/>
              <w:widowControl/>
              <w:numPr>
                <w:ilvl w:val="0"/>
                <w:numId w:val="24"/>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★投标时须提供3C认证。</w:t>
            </w:r>
          </w:p>
        </w:tc>
        <w:tc>
          <w:tcPr>
            <w:tcW w:w="1000" w:type="dxa"/>
            <w:noWrap w:val="0"/>
            <w:vAlign w:val="center"/>
          </w:tcPr>
          <w:p w14:paraId="678D737A">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2</w:t>
            </w:r>
          </w:p>
        </w:tc>
        <w:tc>
          <w:tcPr>
            <w:tcW w:w="937" w:type="dxa"/>
            <w:noWrap w:val="0"/>
            <w:vAlign w:val="center"/>
          </w:tcPr>
          <w:p w14:paraId="26D52FF2">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905" w:type="dxa"/>
            <w:noWrap w:val="0"/>
            <w:vAlign w:val="top"/>
          </w:tcPr>
          <w:p w14:paraId="477D782E">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sz w:val="28"/>
                <w:szCs w:val="28"/>
                <w:highlight w:val="lightGray"/>
                <w:vertAlign w:val="baseline"/>
                <w:lang w:val="en-US" w:eastAsia="zh-CN"/>
              </w:rPr>
            </w:pPr>
          </w:p>
        </w:tc>
      </w:tr>
      <w:tr w14:paraId="33CFC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noWrap w:val="0"/>
            <w:vAlign w:val="center"/>
          </w:tcPr>
          <w:p w14:paraId="2AD02E6A">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sz w:val="28"/>
                <w:szCs w:val="28"/>
                <w:highlight w:val="none"/>
                <w:vertAlign w:val="baseline"/>
                <w:lang w:val="en-US" w:eastAsia="zh-CN"/>
              </w:rPr>
            </w:pPr>
          </w:p>
        </w:tc>
        <w:tc>
          <w:tcPr>
            <w:tcW w:w="1900" w:type="dxa"/>
            <w:noWrap w:val="0"/>
            <w:vAlign w:val="center"/>
          </w:tcPr>
          <w:p w14:paraId="24F94B46">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温湿度表</w:t>
            </w:r>
          </w:p>
        </w:tc>
        <w:tc>
          <w:tcPr>
            <w:tcW w:w="5223" w:type="dxa"/>
            <w:noWrap w:val="0"/>
            <w:vAlign w:val="center"/>
          </w:tcPr>
          <w:p w14:paraId="16BC3C6C">
            <w:pPr>
              <w:keepNext w:val="0"/>
              <w:keepLines w:val="0"/>
              <w:pageBreakBefore w:val="0"/>
              <w:widowControl/>
              <w:numPr>
                <w:ilvl w:val="0"/>
                <w:numId w:val="25"/>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尺寸符合其“大号”和“大屏幕”的定位，适合远距离查看。</w:t>
            </w:r>
          </w:p>
          <w:p w14:paraId="27E2DE12">
            <w:pPr>
              <w:keepNext w:val="0"/>
              <w:keepLines w:val="0"/>
              <w:pageBreakBefore w:val="0"/>
              <w:widowControl/>
              <w:numPr>
                <w:ilvl w:val="0"/>
                <w:numId w:val="25"/>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显示方式：双指针表盘，同时显示温度和湿度</w:t>
            </w:r>
          </w:p>
          <w:p w14:paraId="43721C93">
            <w:pPr>
              <w:keepNext w:val="0"/>
              <w:keepLines w:val="0"/>
              <w:pageBreakBefore w:val="0"/>
              <w:widowControl/>
              <w:numPr>
                <w:ilvl w:val="0"/>
                <w:numId w:val="25"/>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安装方式：可壁挂，部分型号也可桌面摆放</w:t>
            </w:r>
          </w:p>
          <w:p w14:paraId="73B712FD">
            <w:pPr>
              <w:keepNext w:val="0"/>
              <w:keepLines w:val="0"/>
              <w:pageBreakBefore w:val="0"/>
              <w:widowControl/>
              <w:numPr>
                <w:ilvl w:val="0"/>
                <w:numId w:val="25"/>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电源：无需电池。</w:t>
            </w:r>
          </w:p>
          <w:p w14:paraId="050AE599">
            <w:pPr>
              <w:keepNext w:val="0"/>
              <w:keepLines w:val="0"/>
              <w:pageBreakBefore w:val="0"/>
              <w:widowControl/>
              <w:numPr>
                <w:ilvl w:val="0"/>
                <w:numId w:val="25"/>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温度测量范围：-10℃至60℃</w:t>
            </w:r>
          </w:p>
          <w:p w14:paraId="7B86EC06">
            <w:pPr>
              <w:keepNext w:val="0"/>
              <w:keepLines w:val="0"/>
              <w:pageBreakBefore w:val="0"/>
              <w:widowControl/>
              <w:numPr>
                <w:ilvl w:val="0"/>
                <w:numId w:val="25"/>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湿度测量范围：10%至99%</w:t>
            </w:r>
          </w:p>
          <w:p w14:paraId="51C27C81">
            <w:pPr>
              <w:keepNext w:val="0"/>
              <w:keepLines w:val="0"/>
              <w:pageBreakBefore w:val="0"/>
              <w:widowControl/>
              <w:numPr>
                <w:ilvl w:val="0"/>
                <w:numId w:val="25"/>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温度测量精度：在10℃～25℃范围内为±1.5℃，其他范围为±2℃</w:t>
            </w:r>
          </w:p>
          <w:p w14:paraId="7227FB60">
            <w:pPr>
              <w:keepNext w:val="0"/>
              <w:keepLines w:val="0"/>
              <w:pageBreakBefore w:val="0"/>
              <w:widowControl/>
              <w:numPr>
                <w:ilvl w:val="0"/>
                <w:numId w:val="25"/>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default" w:ascii="方正仿宋_GBK" w:hAnsi="方正仿宋_GBK" w:eastAsia="方正仿宋_GBK" w:cs="方正仿宋_GBK"/>
                <w:b w:val="0"/>
                <w:bCs w:val="0"/>
                <w:color w:val="auto"/>
                <w:sz w:val="24"/>
                <w:szCs w:val="24"/>
                <w:highlight w:val="none"/>
                <w:lang w:val="en-US" w:eastAsia="zh-CN"/>
              </w:rPr>
              <w:t>湿度测量精度：在40%～80%范围内为±5%，其他范围为±9%</w:t>
            </w:r>
          </w:p>
        </w:tc>
        <w:tc>
          <w:tcPr>
            <w:tcW w:w="1000" w:type="dxa"/>
            <w:noWrap w:val="0"/>
            <w:vAlign w:val="center"/>
          </w:tcPr>
          <w:p w14:paraId="060D6050">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6</w:t>
            </w:r>
          </w:p>
        </w:tc>
        <w:tc>
          <w:tcPr>
            <w:tcW w:w="937" w:type="dxa"/>
            <w:noWrap w:val="0"/>
            <w:vAlign w:val="center"/>
          </w:tcPr>
          <w:p w14:paraId="7FB835A2">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台</w:t>
            </w:r>
          </w:p>
        </w:tc>
        <w:tc>
          <w:tcPr>
            <w:tcW w:w="905" w:type="dxa"/>
            <w:noWrap w:val="0"/>
            <w:vAlign w:val="top"/>
          </w:tcPr>
          <w:p w14:paraId="1430EAC1">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sz w:val="28"/>
                <w:szCs w:val="28"/>
                <w:highlight w:val="lightGray"/>
                <w:vertAlign w:val="baseline"/>
                <w:lang w:val="en-US" w:eastAsia="zh-CN"/>
              </w:rPr>
            </w:pPr>
          </w:p>
        </w:tc>
      </w:tr>
      <w:tr w14:paraId="17186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noWrap w:val="0"/>
            <w:vAlign w:val="center"/>
          </w:tcPr>
          <w:p w14:paraId="335066BA">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sz w:val="28"/>
                <w:szCs w:val="28"/>
                <w:highlight w:val="none"/>
                <w:vertAlign w:val="baseline"/>
                <w:lang w:val="en-US" w:eastAsia="zh-CN"/>
              </w:rPr>
            </w:pPr>
          </w:p>
        </w:tc>
        <w:tc>
          <w:tcPr>
            <w:tcW w:w="1900" w:type="dxa"/>
            <w:noWrap w:val="0"/>
            <w:vAlign w:val="center"/>
          </w:tcPr>
          <w:p w14:paraId="66425976">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定时器</w:t>
            </w:r>
          </w:p>
        </w:tc>
        <w:tc>
          <w:tcPr>
            <w:tcW w:w="5223" w:type="dxa"/>
            <w:noWrap w:val="0"/>
            <w:vAlign w:val="center"/>
          </w:tcPr>
          <w:p w14:paraId="051706EA">
            <w:pPr>
              <w:keepNext w:val="0"/>
              <w:keepLines w:val="0"/>
              <w:pageBreakBefore w:val="0"/>
              <w:widowControl/>
              <w:numPr>
                <w:ilvl w:val="0"/>
                <w:numId w:val="26"/>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计时通道</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单通道</w:t>
            </w:r>
            <w:r>
              <w:rPr>
                <w:rFonts w:hint="eastAsia" w:ascii="方正仿宋_GBK" w:hAnsi="方正仿宋_GBK" w:eastAsia="方正仿宋_GBK" w:cs="方正仿宋_GBK"/>
                <w:b w:val="0"/>
                <w:bCs w:val="0"/>
                <w:color w:val="auto"/>
                <w:sz w:val="24"/>
                <w:szCs w:val="24"/>
                <w:highlight w:val="none"/>
                <w:lang w:val="en-US" w:eastAsia="zh-CN"/>
              </w:rPr>
              <w:t>；</w:t>
            </w:r>
          </w:p>
          <w:p w14:paraId="5BA4CA05">
            <w:pPr>
              <w:keepNext w:val="0"/>
              <w:keepLines w:val="0"/>
              <w:pageBreakBefore w:val="0"/>
              <w:widowControl/>
              <w:numPr>
                <w:ilvl w:val="0"/>
                <w:numId w:val="26"/>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计时范围</w:t>
            </w:r>
            <w:r>
              <w:rPr>
                <w:rFonts w:hint="eastAsia" w:ascii="方正仿宋_GBK" w:hAnsi="方正仿宋_GBK" w:eastAsia="方正仿宋_GBK" w:cs="方正仿宋_GBK"/>
                <w:b w:val="0"/>
                <w:bCs w:val="0"/>
                <w:color w:val="auto"/>
                <w:sz w:val="24"/>
                <w:szCs w:val="24"/>
                <w:highlight w:val="none"/>
                <w:lang w:val="en-US" w:eastAsia="zh-CN"/>
              </w:rPr>
              <w:t>：1</w:t>
            </w:r>
            <w:r>
              <w:rPr>
                <w:rFonts w:hint="default" w:ascii="方正仿宋_GBK" w:hAnsi="方正仿宋_GBK" w:eastAsia="方正仿宋_GBK" w:cs="方正仿宋_GBK"/>
                <w:b w:val="0"/>
                <w:bCs w:val="0"/>
                <w:color w:val="auto"/>
                <w:sz w:val="24"/>
                <w:szCs w:val="24"/>
                <w:highlight w:val="none"/>
                <w:lang w:val="en-US" w:eastAsia="zh-CN"/>
              </w:rPr>
              <w:t>秒~99分59秒</w:t>
            </w:r>
            <w:r>
              <w:rPr>
                <w:rFonts w:hint="eastAsia" w:ascii="方正仿宋_GBK" w:hAnsi="方正仿宋_GBK" w:eastAsia="方正仿宋_GBK" w:cs="方正仿宋_GBK"/>
                <w:b w:val="0"/>
                <w:bCs w:val="0"/>
                <w:color w:val="auto"/>
                <w:sz w:val="24"/>
                <w:szCs w:val="24"/>
                <w:highlight w:val="none"/>
                <w:lang w:val="en-US" w:eastAsia="zh-CN"/>
              </w:rPr>
              <w:t>；</w:t>
            </w:r>
          </w:p>
          <w:p w14:paraId="77F3F3AC">
            <w:pPr>
              <w:keepNext w:val="0"/>
              <w:keepLines w:val="0"/>
              <w:pageBreakBefore w:val="0"/>
              <w:widowControl/>
              <w:numPr>
                <w:ilvl w:val="0"/>
                <w:numId w:val="26"/>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显示屏</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LCD液晶屏</w:t>
            </w:r>
            <w:r>
              <w:rPr>
                <w:rFonts w:hint="eastAsia" w:ascii="方正仿宋_GBK" w:hAnsi="方正仿宋_GBK" w:eastAsia="方正仿宋_GBK" w:cs="方正仿宋_GBK"/>
                <w:b w:val="0"/>
                <w:bCs w:val="0"/>
                <w:color w:val="auto"/>
                <w:sz w:val="24"/>
                <w:szCs w:val="24"/>
                <w:highlight w:val="none"/>
                <w:lang w:val="en-US" w:eastAsia="zh-CN"/>
              </w:rPr>
              <w:t>；</w:t>
            </w:r>
          </w:p>
          <w:p w14:paraId="36A7F82A">
            <w:pPr>
              <w:keepNext w:val="0"/>
              <w:keepLines w:val="0"/>
              <w:pageBreakBefore w:val="0"/>
              <w:widowControl/>
              <w:numPr>
                <w:ilvl w:val="0"/>
                <w:numId w:val="26"/>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可累加计时</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可重复上次设定时间</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计时结束时会发出提醒</w:t>
            </w:r>
            <w:r>
              <w:rPr>
                <w:rFonts w:hint="eastAsia" w:ascii="方正仿宋_GBK" w:hAnsi="方正仿宋_GBK" w:eastAsia="方正仿宋_GBK" w:cs="方正仿宋_GBK"/>
                <w:b w:val="0"/>
                <w:bCs w:val="0"/>
                <w:color w:val="auto"/>
                <w:sz w:val="24"/>
                <w:szCs w:val="24"/>
                <w:highlight w:val="none"/>
                <w:lang w:val="en-US" w:eastAsia="zh-CN"/>
              </w:rPr>
              <w:t>；</w:t>
            </w:r>
          </w:p>
          <w:p w14:paraId="511CF1DF">
            <w:pPr>
              <w:keepNext w:val="0"/>
              <w:keepLines w:val="0"/>
              <w:pageBreakBefore w:val="0"/>
              <w:widowControl/>
              <w:numPr>
                <w:ilvl w:val="0"/>
                <w:numId w:val="26"/>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支持正计时和倒计时两种模式</w:t>
            </w:r>
            <w:r>
              <w:rPr>
                <w:rFonts w:hint="eastAsia" w:ascii="方正仿宋_GBK" w:hAnsi="方正仿宋_GBK" w:eastAsia="方正仿宋_GBK" w:cs="方正仿宋_GBK"/>
                <w:b w:val="0"/>
                <w:bCs w:val="0"/>
                <w:color w:val="auto"/>
                <w:sz w:val="24"/>
                <w:szCs w:val="24"/>
                <w:highlight w:val="none"/>
                <w:lang w:val="en-US" w:eastAsia="zh-CN"/>
              </w:rPr>
              <w:t>；</w:t>
            </w:r>
          </w:p>
          <w:p w14:paraId="6F65A213">
            <w:pPr>
              <w:keepNext w:val="0"/>
              <w:keepLines w:val="0"/>
              <w:pageBreakBefore w:val="0"/>
              <w:widowControl/>
              <w:numPr>
                <w:ilvl w:val="0"/>
                <w:numId w:val="26"/>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ABS环保材质</w:t>
            </w:r>
            <w:r>
              <w:rPr>
                <w:rFonts w:hint="eastAsia" w:ascii="方正仿宋_GBK" w:hAnsi="方正仿宋_GBK" w:eastAsia="方正仿宋_GBK" w:cs="方正仿宋_GBK"/>
                <w:b w:val="0"/>
                <w:bCs w:val="0"/>
                <w:color w:val="auto"/>
                <w:sz w:val="24"/>
                <w:szCs w:val="24"/>
                <w:highlight w:val="none"/>
                <w:lang w:val="en-US" w:eastAsia="zh-CN"/>
              </w:rPr>
              <w:t>；</w:t>
            </w:r>
          </w:p>
          <w:p w14:paraId="389B4A6D">
            <w:pPr>
              <w:keepNext w:val="0"/>
              <w:keepLines w:val="0"/>
              <w:pageBreakBefore w:val="0"/>
              <w:widowControl/>
              <w:numPr>
                <w:ilvl w:val="0"/>
                <w:numId w:val="26"/>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面有磁铁、可站立</w:t>
            </w:r>
          </w:p>
          <w:p w14:paraId="35796CEF">
            <w:pPr>
              <w:keepNext w:val="0"/>
              <w:keepLines w:val="0"/>
              <w:pageBreakBefore w:val="0"/>
              <w:widowControl/>
              <w:numPr>
                <w:ilvl w:val="0"/>
                <w:numId w:val="26"/>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内置纽扣电池</w:t>
            </w:r>
            <w:r>
              <w:rPr>
                <w:rFonts w:hint="eastAsia" w:ascii="方正仿宋_GBK" w:hAnsi="方正仿宋_GBK" w:eastAsia="方正仿宋_GBK" w:cs="方正仿宋_GBK"/>
                <w:b w:val="0"/>
                <w:bCs w:val="0"/>
                <w:color w:val="auto"/>
                <w:sz w:val="24"/>
                <w:szCs w:val="24"/>
                <w:highlight w:val="none"/>
                <w:lang w:val="en-US" w:eastAsia="zh-CN"/>
              </w:rPr>
              <w:t>；</w:t>
            </w:r>
          </w:p>
          <w:p w14:paraId="766B20B5">
            <w:pPr>
              <w:keepNext w:val="0"/>
              <w:keepLines w:val="0"/>
              <w:pageBreakBefore w:val="0"/>
              <w:widowControl/>
              <w:numPr>
                <w:ilvl w:val="0"/>
                <w:numId w:val="26"/>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default" w:ascii="方正仿宋_GBK" w:hAnsi="方正仿宋_GBK" w:eastAsia="方正仿宋_GBK" w:cs="方正仿宋_GBK"/>
                <w:b w:val="0"/>
                <w:bCs w:val="0"/>
                <w:color w:val="auto"/>
                <w:sz w:val="24"/>
                <w:szCs w:val="24"/>
                <w:highlight w:val="none"/>
                <w:lang w:val="en-US" w:eastAsia="zh-CN"/>
              </w:rPr>
              <w:t>提醒音量</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约60-70dB（室内清晰可闻）</w:t>
            </w:r>
            <w:r>
              <w:rPr>
                <w:rFonts w:hint="eastAsia" w:ascii="方正仿宋_GBK" w:hAnsi="方正仿宋_GBK" w:eastAsia="方正仿宋_GBK" w:cs="方正仿宋_GBK"/>
                <w:b w:val="0"/>
                <w:bCs w:val="0"/>
                <w:color w:val="auto"/>
                <w:sz w:val="24"/>
                <w:szCs w:val="24"/>
                <w:highlight w:val="none"/>
                <w:lang w:val="en-US" w:eastAsia="zh-CN"/>
              </w:rPr>
              <w:t>；</w:t>
            </w:r>
          </w:p>
          <w:p w14:paraId="698CAADE">
            <w:pPr>
              <w:keepNext w:val="0"/>
              <w:keepLines w:val="0"/>
              <w:pageBreakBefore w:val="0"/>
              <w:widowControl/>
              <w:numPr>
                <w:ilvl w:val="0"/>
                <w:numId w:val="26"/>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default" w:ascii="方正仿宋_GBK" w:hAnsi="方正仿宋_GBK" w:eastAsia="方正仿宋_GBK" w:cs="方正仿宋_GBK"/>
                <w:b w:val="0"/>
                <w:bCs w:val="0"/>
                <w:color w:val="auto"/>
                <w:sz w:val="24"/>
                <w:szCs w:val="24"/>
                <w:highlight w:val="none"/>
                <w:lang w:val="en-US" w:eastAsia="zh-CN"/>
              </w:rPr>
              <w:t>提醒时长</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约30-60秒自动停止</w:t>
            </w:r>
            <w:r>
              <w:rPr>
                <w:rFonts w:hint="eastAsia" w:ascii="方正仿宋_GBK" w:hAnsi="方正仿宋_GBK" w:eastAsia="方正仿宋_GBK" w:cs="方正仿宋_GBK"/>
                <w:b w:val="0"/>
                <w:bCs w:val="0"/>
                <w:color w:val="auto"/>
                <w:sz w:val="24"/>
                <w:szCs w:val="24"/>
                <w:highlight w:val="none"/>
                <w:lang w:val="en-US" w:eastAsia="zh-CN"/>
              </w:rPr>
              <w:t>。</w:t>
            </w:r>
          </w:p>
        </w:tc>
        <w:tc>
          <w:tcPr>
            <w:tcW w:w="1000" w:type="dxa"/>
            <w:noWrap w:val="0"/>
            <w:vAlign w:val="center"/>
          </w:tcPr>
          <w:p w14:paraId="585399DB">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4</w:t>
            </w:r>
          </w:p>
        </w:tc>
        <w:tc>
          <w:tcPr>
            <w:tcW w:w="937" w:type="dxa"/>
            <w:noWrap w:val="0"/>
            <w:vAlign w:val="center"/>
          </w:tcPr>
          <w:p w14:paraId="2EDD0761">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个</w:t>
            </w:r>
          </w:p>
        </w:tc>
        <w:tc>
          <w:tcPr>
            <w:tcW w:w="905" w:type="dxa"/>
            <w:noWrap w:val="0"/>
            <w:vAlign w:val="top"/>
          </w:tcPr>
          <w:p w14:paraId="612D4367">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sz w:val="28"/>
                <w:szCs w:val="28"/>
                <w:highlight w:val="lightGray"/>
                <w:vertAlign w:val="baseline"/>
                <w:lang w:val="en-US" w:eastAsia="zh-CN"/>
              </w:rPr>
            </w:pPr>
          </w:p>
        </w:tc>
      </w:tr>
      <w:tr w14:paraId="448F1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noWrap w:val="0"/>
            <w:vAlign w:val="center"/>
          </w:tcPr>
          <w:p w14:paraId="1D50FA3A">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sz w:val="28"/>
                <w:szCs w:val="28"/>
                <w:highlight w:val="none"/>
                <w:vertAlign w:val="baseline"/>
                <w:lang w:val="en-US" w:eastAsia="zh-CN"/>
              </w:rPr>
            </w:pPr>
          </w:p>
        </w:tc>
        <w:tc>
          <w:tcPr>
            <w:tcW w:w="1900" w:type="dxa"/>
            <w:noWrap w:val="0"/>
            <w:vAlign w:val="center"/>
          </w:tcPr>
          <w:p w14:paraId="693B689E">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办公桌</w:t>
            </w:r>
          </w:p>
        </w:tc>
        <w:tc>
          <w:tcPr>
            <w:tcW w:w="5223" w:type="dxa"/>
            <w:noWrap w:val="0"/>
            <w:vAlign w:val="center"/>
          </w:tcPr>
          <w:p w14:paraId="039711E0">
            <w:pPr>
              <w:keepNext w:val="0"/>
              <w:keepLines w:val="0"/>
              <w:pageBreakBefore w:val="0"/>
              <w:widowControl/>
              <w:numPr>
                <w:ilvl w:val="0"/>
                <w:numId w:val="27"/>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尺寸（长*宽*高）：≥1200mm*600mm*760mm；</w:t>
            </w:r>
          </w:p>
          <w:p w14:paraId="5EDE1AD3">
            <w:pPr>
              <w:keepNext w:val="0"/>
              <w:keepLines w:val="0"/>
              <w:pageBreakBefore w:val="0"/>
              <w:widowControl/>
              <w:numPr>
                <w:ilvl w:val="0"/>
                <w:numId w:val="27"/>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类型</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高纤板办公台</w:t>
            </w:r>
            <w:r>
              <w:rPr>
                <w:rFonts w:hint="eastAsia" w:ascii="方正仿宋_GBK" w:hAnsi="方正仿宋_GBK" w:eastAsia="方正仿宋_GBK" w:cs="方正仿宋_GBK"/>
                <w:b w:val="0"/>
                <w:bCs w:val="0"/>
                <w:color w:val="auto"/>
                <w:sz w:val="24"/>
                <w:szCs w:val="24"/>
                <w:highlight w:val="none"/>
                <w:lang w:val="en-US" w:eastAsia="zh-CN"/>
              </w:rPr>
              <w:t>；</w:t>
            </w:r>
          </w:p>
          <w:p w14:paraId="3ACD92DC">
            <w:pPr>
              <w:keepNext w:val="0"/>
              <w:keepLines w:val="0"/>
              <w:pageBreakBefore w:val="0"/>
              <w:widowControl/>
              <w:numPr>
                <w:ilvl w:val="0"/>
                <w:numId w:val="27"/>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基材材质</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实木颗粒板</w:t>
            </w:r>
            <w:r>
              <w:rPr>
                <w:rFonts w:hint="eastAsia" w:ascii="方正仿宋_GBK" w:hAnsi="方正仿宋_GBK" w:eastAsia="方正仿宋_GBK" w:cs="方正仿宋_GBK"/>
                <w:b w:val="0"/>
                <w:bCs w:val="0"/>
                <w:color w:val="auto"/>
                <w:sz w:val="24"/>
                <w:szCs w:val="24"/>
                <w:highlight w:val="none"/>
                <w:lang w:val="en-US" w:eastAsia="zh-CN"/>
              </w:rPr>
              <w:t>；</w:t>
            </w:r>
          </w:p>
          <w:p w14:paraId="6F1F8999">
            <w:pPr>
              <w:keepNext w:val="0"/>
              <w:keepLines w:val="0"/>
              <w:pageBreakBefore w:val="0"/>
              <w:widowControl/>
              <w:numPr>
                <w:ilvl w:val="0"/>
                <w:numId w:val="27"/>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基材甲醛释放限量等级</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E1</w:t>
            </w:r>
            <w:r>
              <w:rPr>
                <w:rFonts w:hint="eastAsia" w:ascii="方正仿宋_GBK" w:hAnsi="方正仿宋_GBK" w:eastAsia="方正仿宋_GBK" w:cs="方正仿宋_GBK"/>
                <w:b w:val="0"/>
                <w:bCs w:val="0"/>
                <w:color w:val="auto"/>
                <w:sz w:val="24"/>
                <w:szCs w:val="24"/>
                <w:highlight w:val="none"/>
                <w:lang w:val="en-US" w:eastAsia="zh-CN"/>
              </w:rPr>
              <w:t>；</w:t>
            </w:r>
          </w:p>
          <w:p w14:paraId="572F9655">
            <w:pPr>
              <w:keepNext w:val="0"/>
              <w:keepLines w:val="0"/>
              <w:pageBreakBefore w:val="0"/>
              <w:widowControl/>
              <w:numPr>
                <w:ilvl w:val="0"/>
                <w:numId w:val="27"/>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下架材质实</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木颗粒板</w:t>
            </w:r>
            <w:r>
              <w:rPr>
                <w:rFonts w:hint="eastAsia" w:ascii="方正仿宋_GBK" w:hAnsi="方正仿宋_GBK" w:eastAsia="方正仿宋_GBK" w:cs="方正仿宋_GBK"/>
                <w:b w:val="0"/>
                <w:bCs w:val="0"/>
                <w:color w:val="auto"/>
                <w:sz w:val="24"/>
                <w:szCs w:val="24"/>
                <w:highlight w:val="none"/>
                <w:lang w:val="en-US" w:eastAsia="zh-CN"/>
              </w:rPr>
              <w:t>；</w:t>
            </w:r>
          </w:p>
          <w:p w14:paraId="27F93790">
            <w:pPr>
              <w:keepNext w:val="0"/>
              <w:keepLines w:val="0"/>
              <w:pageBreakBefore w:val="0"/>
              <w:widowControl/>
              <w:numPr>
                <w:ilvl w:val="0"/>
                <w:numId w:val="27"/>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五金配件</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钢珠三节阻尼导轨、螺丝五金、叶片插芯门锁、普通三节导轨、三合一连接件、外置拉手、阻尼铰链、侧面锁、内挖拉手</w:t>
            </w:r>
            <w:r>
              <w:rPr>
                <w:rFonts w:hint="eastAsia" w:ascii="方正仿宋_GBK" w:hAnsi="方正仿宋_GBK" w:eastAsia="方正仿宋_GBK" w:cs="方正仿宋_GBK"/>
                <w:b w:val="0"/>
                <w:bCs w:val="0"/>
                <w:color w:val="auto"/>
                <w:sz w:val="24"/>
                <w:szCs w:val="24"/>
                <w:highlight w:val="none"/>
                <w:lang w:val="en-US" w:eastAsia="zh-CN"/>
              </w:rPr>
              <w:t>；</w:t>
            </w:r>
          </w:p>
          <w:p w14:paraId="320047A9">
            <w:pPr>
              <w:keepNext w:val="0"/>
              <w:keepLines w:val="0"/>
              <w:pageBreakBefore w:val="0"/>
              <w:widowControl/>
              <w:numPr>
                <w:ilvl w:val="0"/>
                <w:numId w:val="27"/>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油漆工艺</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环保水性漆</w:t>
            </w:r>
            <w:r>
              <w:rPr>
                <w:rFonts w:hint="eastAsia" w:ascii="方正仿宋_GBK" w:hAnsi="方正仿宋_GBK" w:eastAsia="方正仿宋_GBK" w:cs="方正仿宋_GBK"/>
                <w:b w:val="0"/>
                <w:bCs w:val="0"/>
                <w:color w:val="auto"/>
                <w:sz w:val="24"/>
                <w:szCs w:val="24"/>
                <w:highlight w:val="none"/>
                <w:lang w:val="en-US" w:eastAsia="zh-CN"/>
              </w:rPr>
              <w:t>；</w:t>
            </w:r>
          </w:p>
          <w:p w14:paraId="1E0C229F">
            <w:pPr>
              <w:keepNext w:val="0"/>
              <w:keepLines w:val="0"/>
              <w:pageBreakBefore w:val="0"/>
              <w:widowControl/>
              <w:numPr>
                <w:ilvl w:val="0"/>
                <w:numId w:val="27"/>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油漆甲醛释放量</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0</w:t>
            </w:r>
            <w:r>
              <w:rPr>
                <w:rFonts w:hint="eastAsia" w:ascii="方正仿宋_GBK" w:hAnsi="方正仿宋_GBK" w:eastAsia="方正仿宋_GBK" w:cs="方正仿宋_GBK"/>
                <w:b w:val="0"/>
                <w:bCs w:val="0"/>
                <w:color w:val="auto"/>
                <w:sz w:val="24"/>
                <w:szCs w:val="24"/>
                <w:highlight w:val="none"/>
                <w:lang w:val="en-US" w:eastAsia="zh-CN"/>
              </w:rPr>
              <w:t>；</w:t>
            </w:r>
          </w:p>
          <w:p w14:paraId="09614C28">
            <w:pPr>
              <w:keepNext w:val="0"/>
              <w:keepLines w:val="0"/>
              <w:pageBreakBefore w:val="0"/>
              <w:widowControl/>
              <w:numPr>
                <w:ilvl w:val="0"/>
                <w:numId w:val="27"/>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胶粘剂种类</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水性胶粘剂</w:t>
            </w:r>
            <w:r>
              <w:rPr>
                <w:rFonts w:hint="eastAsia" w:ascii="方正仿宋_GBK" w:hAnsi="方正仿宋_GBK" w:eastAsia="方正仿宋_GBK" w:cs="方正仿宋_GBK"/>
                <w:b w:val="0"/>
                <w:bCs w:val="0"/>
                <w:color w:val="auto"/>
                <w:sz w:val="24"/>
                <w:szCs w:val="24"/>
                <w:highlight w:val="none"/>
                <w:lang w:val="en-US" w:eastAsia="zh-CN"/>
              </w:rPr>
              <w:t>；</w:t>
            </w:r>
          </w:p>
          <w:p w14:paraId="6B2B46C2">
            <w:pPr>
              <w:keepNext w:val="0"/>
              <w:keepLines w:val="0"/>
              <w:pageBreakBefore w:val="0"/>
              <w:widowControl/>
              <w:numPr>
                <w:ilvl w:val="0"/>
                <w:numId w:val="27"/>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default" w:ascii="方正仿宋_GBK" w:hAnsi="方正仿宋_GBK" w:eastAsia="方正仿宋_GBK" w:cs="方正仿宋_GBK"/>
                <w:b w:val="0"/>
                <w:bCs w:val="0"/>
                <w:color w:val="auto"/>
                <w:sz w:val="24"/>
                <w:szCs w:val="24"/>
                <w:highlight w:val="none"/>
                <w:lang w:val="en-US" w:eastAsia="zh-CN"/>
              </w:rPr>
              <w:t>产品功能</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可拆装、带柜子、带滚轮、带边缘保护、带走线功能、可组合、带抽屉、带可掀走线面板</w:t>
            </w:r>
            <w:r>
              <w:rPr>
                <w:rFonts w:hint="eastAsia" w:ascii="方正仿宋_GBK" w:hAnsi="方正仿宋_GBK" w:eastAsia="方正仿宋_GBK" w:cs="方正仿宋_GBK"/>
                <w:b w:val="0"/>
                <w:bCs w:val="0"/>
                <w:color w:val="auto"/>
                <w:sz w:val="24"/>
                <w:szCs w:val="24"/>
                <w:highlight w:val="none"/>
                <w:lang w:val="en-US" w:eastAsia="zh-CN"/>
              </w:rPr>
              <w:t>。</w:t>
            </w:r>
          </w:p>
        </w:tc>
        <w:tc>
          <w:tcPr>
            <w:tcW w:w="1000" w:type="dxa"/>
            <w:noWrap w:val="0"/>
            <w:vAlign w:val="center"/>
          </w:tcPr>
          <w:p w14:paraId="2B0BABA1">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10</w:t>
            </w:r>
          </w:p>
        </w:tc>
        <w:tc>
          <w:tcPr>
            <w:tcW w:w="937" w:type="dxa"/>
            <w:noWrap w:val="0"/>
            <w:vAlign w:val="center"/>
          </w:tcPr>
          <w:p w14:paraId="1061B04E">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张</w:t>
            </w:r>
          </w:p>
        </w:tc>
        <w:tc>
          <w:tcPr>
            <w:tcW w:w="905" w:type="dxa"/>
            <w:noWrap w:val="0"/>
            <w:vAlign w:val="top"/>
          </w:tcPr>
          <w:p w14:paraId="284D6A38">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sz w:val="28"/>
                <w:szCs w:val="28"/>
                <w:highlight w:val="lightGray"/>
                <w:vertAlign w:val="baseline"/>
                <w:lang w:val="en-US" w:eastAsia="zh-CN"/>
              </w:rPr>
            </w:pPr>
          </w:p>
        </w:tc>
      </w:tr>
      <w:tr w14:paraId="7F965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noWrap w:val="0"/>
            <w:vAlign w:val="center"/>
          </w:tcPr>
          <w:p w14:paraId="37128DB3">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sz w:val="28"/>
                <w:szCs w:val="28"/>
                <w:highlight w:val="none"/>
                <w:vertAlign w:val="baseline"/>
                <w:lang w:val="en-US" w:eastAsia="zh-CN"/>
              </w:rPr>
            </w:pPr>
          </w:p>
        </w:tc>
        <w:tc>
          <w:tcPr>
            <w:tcW w:w="1900" w:type="dxa"/>
            <w:noWrap w:val="0"/>
            <w:vAlign w:val="center"/>
          </w:tcPr>
          <w:p w14:paraId="1A00BF45">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办公椅</w:t>
            </w:r>
          </w:p>
        </w:tc>
        <w:tc>
          <w:tcPr>
            <w:tcW w:w="5223" w:type="dxa"/>
            <w:noWrap w:val="0"/>
            <w:vAlign w:val="center"/>
          </w:tcPr>
          <w:p w14:paraId="7862C781">
            <w:pPr>
              <w:keepNext w:val="0"/>
              <w:keepLines w:val="0"/>
              <w:pageBreakBefore w:val="0"/>
              <w:widowControl/>
              <w:numPr>
                <w:ilvl w:val="0"/>
                <w:numId w:val="28"/>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覆面材料</w:t>
            </w:r>
            <w:r>
              <w:rPr>
                <w:rFonts w:hint="eastAsia" w:ascii="方正仿宋_GBK" w:hAnsi="方正仿宋_GBK" w:eastAsia="方正仿宋_GBK" w:cs="方正仿宋_GBK"/>
                <w:b w:val="0"/>
                <w:bCs w:val="0"/>
                <w:sz w:val="24"/>
                <w:szCs w:val="24"/>
                <w:highlight w:val="none"/>
                <w:lang w:val="en-US" w:eastAsia="zh-CN"/>
              </w:rPr>
              <w:t>：网布；</w:t>
            </w:r>
          </w:p>
          <w:p w14:paraId="28545E68">
            <w:pPr>
              <w:keepNext w:val="0"/>
              <w:keepLines w:val="0"/>
              <w:pageBreakBefore w:val="0"/>
              <w:widowControl/>
              <w:numPr>
                <w:ilvl w:val="0"/>
                <w:numId w:val="28"/>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填充物</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高密度海棉</w:t>
            </w:r>
            <w:r>
              <w:rPr>
                <w:rFonts w:hint="eastAsia" w:ascii="方正仿宋_GBK" w:hAnsi="方正仿宋_GBK" w:eastAsia="方正仿宋_GBK" w:cs="方正仿宋_GBK"/>
                <w:b w:val="0"/>
                <w:bCs w:val="0"/>
                <w:sz w:val="24"/>
                <w:szCs w:val="24"/>
                <w:highlight w:val="none"/>
                <w:lang w:val="en-US" w:eastAsia="zh-CN"/>
              </w:rPr>
              <w:t>；</w:t>
            </w:r>
          </w:p>
          <w:p w14:paraId="143DAF78">
            <w:pPr>
              <w:keepNext w:val="0"/>
              <w:keepLines w:val="0"/>
              <w:pageBreakBefore w:val="0"/>
              <w:widowControl/>
              <w:numPr>
                <w:ilvl w:val="0"/>
                <w:numId w:val="28"/>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扶手类型</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固定扶手</w:t>
            </w:r>
            <w:r>
              <w:rPr>
                <w:rFonts w:hint="eastAsia" w:ascii="方正仿宋_GBK" w:hAnsi="方正仿宋_GBK" w:eastAsia="方正仿宋_GBK" w:cs="方正仿宋_GBK"/>
                <w:b w:val="0"/>
                <w:bCs w:val="0"/>
                <w:sz w:val="24"/>
                <w:szCs w:val="24"/>
                <w:highlight w:val="none"/>
                <w:lang w:val="en-US" w:eastAsia="zh-CN"/>
              </w:rPr>
              <w:t>；</w:t>
            </w:r>
          </w:p>
          <w:p w14:paraId="4C0868AA">
            <w:pPr>
              <w:keepNext w:val="0"/>
              <w:keepLines w:val="0"/>
              <w:pageBreakBefore w:val="0"/>
              <w:widowControl/>
              <w:numPr>
                <w:ilvl w:val="0"/>
                <w:numId w:val="28"/>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座板材质</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曲木板</w:t>
            </w:r>
            <w:r>
              <w:rPr>
                <w:rFonts w:hint="eastAsia" w:ascii="方正仿宋_GBK" w:hAnsi="方正仿宋_GBK" w:eastAsia="方正仿宋_GBK" w:cs="方正仿宋_GBK"/>
                <w:b w:val="0"/>
                <w:bCs w:val="0"/>
                <w:sz w:val="24"/>
                <w:szCs w:val="24"/>
                <w:highlight w:val="none"/>
                <w:lang w:val="en-US" w:eastAsia="zh-CN"/>
              </w:rPr>
              <w:t>；</w:t>
            </w:r>
          </w:p>
          <w:p w14:paraId="21710A9D">
            <w:pPr>
              <w:keepNext w:val="0"/>
              <w:keepLines w:val="0"/>
              <w:pageBreakBefore w:val="0"/>
              <w:widowControl/>
              <w:numPr>
                <w:ilvl w:val="0"/>
                <w:numId w:val="28"/>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底盘材质</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冷轧钢板</w:t>
            </w:r>
            <w:r>
              <w:rPr>
                <w:rFonts w:hint="eastAsia" w:ascii="方正仿宋_GBK" w:hAnsi="方正仿宋_GBK" w:eastAsia="方正仿宋_GBK" w:cs="方正仿宋_GBK"/>
                <w:b w:val="0"/>
                <w:bCs w:val="0"/>
                <w:sz w:val="24"/>
                <w:szCs w:val="24"/>
                <w:highlight w:val="none"/>
                <w:lang w:val="en-US" w:eastAsia="zh-CN"/>
              </w:rPr>
              <w:t>；</w:t>
            </w:r>
          </w:p>
          <w:p w14:paraId="4B82CB47">
            <w:pPr>
              <w:keepNext w:val="0"/>
              <w:keepLines w:val="0"/>
              <w:pageBreakBefore w:val="0"/>
              <w:widowControl/>
              <w:numPr>
                <w:ilvl w:val="0"/>
                <w:numId w:val="28"/>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椅脚材质</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钢制椅脚</w:t>
            </w:r>
            <w:r>
              <w:rPr>
                <w:rFonts w:hint="eastAsia" w:ascii="方正仿宋_GBK" w:hAnsi="方正仿宋_GBK" w:eastAsia="方正仿宋_GBK" w:cs="方正仿宋_GBK"/>
                <w:b w:val="0"/>
                <w:bCs w:val="0"/>
                <w:sz w:val="24"/>
                <w:szCs w:val="24"/>
                <w:highlight w:val="none"/>
                <w:lang w:val="en-US" w:eastAsia="zh-CN"/>
              </w:rPr>
              <w:t>；</w:t>
            </w:r>
          </w:p>
          <w:p w14:paraId="07E76E8E">
            <w:pPr>
              <w:keepNext w:val="0"/>
              <w:keepLines w:val="0"/>
              <w:pageBreakBefore w:val="0"/>
              <w:widowControl/>
              <w:numPr>
                <w:ilvl w:val="0"/>
                <w:numId w:val="28"/>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default" w:ascii="方正仿宋_GBK" w:hAnsi="方正仿宋_GBK" w:eastAsia="方正仿宋_GBK" w:cs="方正仿宋_GBK"/>
                <w:b w:val="0"/>
                <w:bCs w:val="0"/>
                <w:sz w:val="24"/>
                <w:szCs w:val="24"/>
                <w:highlight w:val="none"/>
                <w:lang w:val="en-US" w:eastAsia="zh-CN"/>
              </w:rPr>
              <w:t>五金配件</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螺丝五金</w:t>
            </w:r>
            <w:r>
              <w:rPr>
                <w:rFonts w:hint="eastAsia" w:ascii="方正仿宋_GBK" w:hAnsi="方正仿宋_GBK" w:eastAsia="方正仿宋_GBK" w:cs="方正仿宋_GBK"/>
                <w:b w:val="0"/>
                <w:bCs w:val="0"/>
                <w:sz w:val="24"/>
                <w:szCs w:val="24"/>
                <w:highlight w:val="none"/>
                <w:lang w:val="en-US" w:eastAsia="zh-CN"/>
              </w:rPr>
              <w:t>；</w:t>
            </w:r>
          </w:p>
          <w:p w14:paraId="7F7390BE">
            <w:pPr>
              <w:keepNext w:val="0"/>
              <w:keepLines w:val="0"/>
              <w:pageBreakBefore w:val="0"/>
              <w:widowControl/>
              <w:numPr>
                <w:ilvl w:val="0"/>
                <w:numId w:val="28"/>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产品</w:t>
            </w:r>
            <w:r>
              <w:rPr>
                <w:rFonts w:hint="default" w:ascii="方正仿宋_GBK" w:hAnsi="方正仿宋_GBK" w:eastAsia="方正仿宋_GBK" w:cs="方正仿宋_GBK"/>
                <w:b w:val="0"/>
                <w:bCs w:val="0"/>
                <w:sz w:val="24"/>
                <w:szCs w:val="24"/>
                <w:highlight w:val="none"/>
                <w:lang w:val="en-US" w:eastAsia="zh-CN"/>
              </w:rPr>
              <w:t>可拆装</w:t>
            </w:r>
            <w:r>
              <w:rPr>
                <w:rFonts w:hint="eastAsia" w:ascii="方正仿宋_GBK" w:hAnsi="方正仿宋_GBK" w:eastAsia="方正仿宋_GBK" w:cs="方正仿宋_GBK"/>
                <w:b w:val="0"/>
                <w:bCs w:val="0"/>
                <w:sz w:val="24"/>
                <w:szCs w:val="24"/>
                <w:highlight w:val="none"/>
                <w:lang w:val="en-US" w:eastAsia="zh-CN"/>
              </w:rPr>
              <w:t>；</w:t>
            </w:r>
          </w:p>
          <w:p w14:paraId="1A4D85A0">
            <w:pPr>
              <w:keepNext w:val="0"/>
              <w:keepLines w:val="0"/>
              <w:pageBreakBefore w:val="0"/>
              <w:widowControl/>
              <w:numPr>
                <w:ilvl w:val="0"/>
                <w:numId w:val="28"/>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尺寸：</w:t>
            </w:r>
            <w:r>
              <w:rPr>
                <w:rFonts w:hint="default" w:ascii="方正仿宋_GBK" w:hAnsi="方正仿宋_GBK" w:eastAsia="方正仿宋_GBK" w:cs="方正仿宋_GBK"/>
                <w:b w:val="0"/>
                <w:bCs w:val="0"/>
                <w:sz w:val="24"/>
                <w:szCs w:val="24"/>
                <w:highlight w:val="none"/>
                <w:lang w:val="en-US" w:eastAsia="zh-CN"/>
              </w:rPr>
              <w:t>（长*宽*高）</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67cm*</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55-60</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cm*(100-110)cm</w:t>
            </w:r>
            <w:r>
              <w:rPr>
                <w:rFonts w:hint="eastAsia" w:ascii="方正仿宋_GBK" w:hAnsi="方正仿宋_GBK" w:eastAsia="方正仿宋_GBK" w:cs="方正仿宋_GBK"/>
                <w:b w:val="0"/>
                <w:bCs w:val="0"/>
                <w:sz w:val="24"/>
                <w:szCs w:val="24"/>
                <w:highlight w:val="none"/>
                <w:lang w:val="en-US" w:eastAsia="zh-CN"/>
              </w:rPr>
              <w:t>。</w:t>
            </w:r>
          </w:p>
        </w:tc>
        <w:tc>
          <w:tcPr>
            <w:tcW w:w="1000" w:type="dxa"/>
            <w:noWrap w:val="0"/>
            <w:vAlign w:val="center"/>
          </w:tcPr>
          <w:p w14:paraId="1E3D415D">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10</w:t>
            </w:r>
          </w:p>
        </w:tc>
        <w:tc>
          <w:tcPr>
            <w:tcW w:w="937" w:type="dxa"/>
            <w:noWrap w:val="0"/>
            <w:vAlign w:val="center"/>
          </w:tcPr>
          <w:p w14:paraId="719C1F06">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张</w:t>
            </w:r>
          </w:p>
        </w:tc>
        <w:tc>
          <w:tcPr>
            <w:tcW w:w="905" w:type="dxa"/>
            <w:noWrap w:val="0"/>
            <w:vAlign w:val="top"/>
          </w:tcPr>
          <w:p w14:paraId="50C12A4E">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sz w:val="28"/>
                <w:szCs w:val="28"/>
                <w:highlight w:val="lightGray"/>
                <w:vertAlign w:val="baseline"/>
                <w:lang w:val="en-US" w:eastAsia="zh-CN"/>
              </w:rPr>
            </w:pPr>
          </w:p>
        </w:tc>
      </w:tr>
      <w:tr w14:paraId="559C5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noWrap w:val="0"/>
            <w:vAlign w:val="center"/>
          </w:tcPr>
          <w:p w14:paraId="58BAC728">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sz w:val="28"/>
                <w:szCs w:val="28"/>
                <w:highlight w:val="none"/>
                <w:vertAlign w:val="baseline"/>
                <w:lang w:val="en-US" w:eastAsia="zh-CN"/>
              </w:rPr>
            </w:pPr>
          </w:p>
        </w:tc>
        <w:tc>
          <w:tcPr>
            <w:tcW w:w="1900" w:type="dxa"/>
            <w:noWrap w:val="0"/>
            <w:vAlign w:val="center"/>
          </w:tcPr>
          <w:p w14:paraId="327744BA">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文件柜</w:t>
            </w:r>
          </w:p>
        </w:tc>
        <w:tc>
          <w:tcPr>
            <w:tcW w:w="5223" w:type="dxa"/>
            <w:noWrap w:val="0"/>
            <w:vAlign w:val="center"/>
          </w:tcPr>
          <w:p w14:paraId="1D4174C6">
            <w:pPr>
              <w:keepNext w:val="0"/>
              <w:keepLines w:val="0"/>
              <w:pageBreakBefore w:val="0"/>
              <w:widowControl/>
              <w:kinsoku/>
              <w:overflowPunct/>
              <w:topLinePunct w:val="0"/>
              <w:autoSpaceDE/>
              <w:autoSpaceDN/>
              <w:bidi w:val="0"/>
              <w:adjustRightInd/>
              <w:snapToGrid/>
              <w:spacing w:line="320" w:lineRule="exact"/>
              <w:ind w:firstLine="480" w:firstLineChars="20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1.</w:t>
            </w:r>
            <w:r>
              <w:rPr>
                <w:rFonts w:hint="default" w:ascii="方正仿宋_GBK" w:hAnsi="方正仿宋_GBK" w:eastAsia="方正仿宋_GBK" w:cs="方正仿宋_GBK"/>
                <w:b w:val="0"/>
                <w:bCs w:val="0"/>
                <w:sz w:val="24"/>
                <w:szCs w:val="24"/>
                <w:highlight w:val="none"/>
                <w:lang w:val="en-US" w:eastAsia="zh-CN"/>
              </w:rPr>
              <w:t>产品带抽屉、带边缘保护</w:t>
            </w:r>
            <w:r>
              <w:rPr>
                <w:rFonts w:hint="eastAsia" w:ascii="方正仿宋_GBK" w:hAnsi="方正仿宋_GBK" w:eastAsia="方正仿宋_GBK" w:cs="方正仿宋_GBK"/>
                <w:b w:val="0"/>
                <w:bCs w:val="0"/>
                <w:sz w:val="24"/>
                <w:szCs w:val="24"/>
                <w:highlight w:val="none"/>
                <w:lang w:val="en-US" w:eastAsia="zh-CN"/>
              </w:rPr>
              <w:t>；</w:t>
            </w:r>
          </w:p>
          <w:p w14:paraId="6B483BAB">
            <w:pPr>
              <w:keepNext w:val="0"/>
              <w:keepLines w:val="0"/>
              <w:pageBreakBefore w:val="0"/>
              <w:widowControl/>
              <w:kinsoku/>
              <w:overflowPunct/>
              <w:topLinePunct w:val="0"/>
              <w:autoSpaceDE/>
              <w:autoSpaceDN/>
              <w:bidi w:val="0"/>
              <w:adjustRightInd/>
              <w:snapToGrid/>
              <w:spacing w:line="320" w:lineRule="exact"/>
              <w:ind w:firstLine="480" w:firstLineChars="20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2.</w:t>
            </w:r>
            <w:r>
              <w:rPr>
                <w:rFonts w:hint="default" w:ascii="方正仿宋_GBK" w:hAnsi="方正仿宋_GBK" w:eastAsia="方正仿宋_GBK" w:cs="方正仿宋_GBK"/>
                <w:b w:val="0"/>
                <w:bCs w:val="0"/>
                <w:sz w:val="24"/>
                <w:szCs w:val="24"/>
                <w:highlight w:val="none"/>
                <w:lang w:val="en-US" w:eastAsia="zh-CN"/>
              </w:rPr>
              <w:t>层数</w:t>
            </w:r>
            <w:r>
              <w:rPr>
                <w:rFonts w:hint="eastAsia" w:ascii="方正仿宋_GBK" w:hAnsi="方正仿宋_GBK" w:eastAsia="方正仿宋_GBK" w:cs="方正仿宋_GBK"/>
                <w:b w:val="0"/>
                <w:bCs w:val="0"/>
                <w:sz w:val="24"/>
                <w:szCs w:val="24"/>
                <w:highlight w:val="none"/>
                <w:lang w:val="en-US" w:eastAsia="zh-CN"/>
              </w:rPr>
              <w:t>：5</w:t>
            </w:r>
            <w:r>
              <w:rPr>
                <w:rFonts w:hint="default" w:ascii="方正仿宋_GBK" w:hAnsi="方正仿宋_GBK" w:eastAsia="方正仿宋_GBK" w:cs="方正仿宋_GBK"/>
                <w:b w:val="0"/>
                <w:bCs w:val="0"/>
                <w:sz w:val="24"/>
                <w:szCs w:val="24"/>
                <w:highlight w:val="none"/>
                <w:lang w:val="en-US" w:eastAsia="zh-CN"/>
              </w:rPr>
              <w:t>层</w:t>
            </w:r>
            <w:r>
              <w:rPr>
                <w:rFonts w:hint="eastAsia" w:ascii="方正仿宋_GBK" w:hAnsi="方正仿宋_GBK" w:eastAsia="方正仿宋_GBK" w:cs="方正仿宋_GBK"/>
                <w:b w:val="0"/>
                <w:bCs w:val="0"/>
                <w:sz w:val="24"/>
                <w:szCs w:val="24"/>
                <w:highlight w:val="none"/>
                <w:lang w:val="en-US" w:eastAsia="zh-CN"/>
              </w:rPr>
              <w:t>；</w:t>
            </w:r>
          </w:p>
          <w:p w14:paraId="78CD2C76">
            <w:pPr>
              <w:keepNext w:val="0"/>
              <w:keepLines w:val="0"/>
              <w:pageBreakBefore w:val="0"/>
              <w:widowControl/>
              <w:kinsoku/>
              <w:overflowPunct/>
              <w:topLinePunct w:val="0"/>
              <w:autoSpaceDE/>
              <w:autoSpaceDN/>
              <w:bidi w:val="0"/>
              <w:adjustRightInd/>
              <w:snapToGrid/>
              <w:spacing w:line="320" w:lineRule="exact"/>
              <w:ind w:firstLine="480" w:firstLineChars="20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3.</w:t>
            </w:r>
            <w:r>
              <w:rPr>
                <w:rFonts w:hint="default" w:ascii="方正仿宋_GBK" w:hAnsi="方正仿宋_GBK" w:eastAsia="方正仿宋_GBK" w:cs="方正仿宋_GBK"/>
                <w:b w:val="0"/>
                <w:bCs w:val="0"/>
                <w:sz w:val="24"/>
                <w:szCs w:val="24"/>
                <w:highlight w:val="none"/>
                <w:lang w:val="en-US" w:eastAsia="zh-CN"/>
              </w:rPr>
              <w:t>基材材质</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中纤板</w:t>
            </w:r>
            <w:r>
              <w:rPr>
                <w:rFonts w:hint="eastAsia" w:ascii="方正仿宋_GBK" w:hAnsi="方正仿宋_GBK" w:eastAsia="方正仿宋_GBK" w:cs="方正仿宋_GBK"/>
                <w:b w:val="0"/>
                <w:bCs w:val="0"/>
                <w:sz w:val="24"/>
                <w:szCs w:val="24"/>
                <w:highlight w:val="none"/>
                <w:lang w:val="en-US" w:eastAsia="zh-CN"/>
              </w:rPr>
              <w:t>；</w:t>
            </w:r>
          </w:p>
          <w:p w14:paraId="0284CD2E">
            <w:pPr>
              <w:keepNext w:val="0"/>
              <w:keepLines w:val="0"/>
              <w:pageBreakBefore w:val="0"/>
              <w:widowControl/>
              <w:kinsoku/>
              <w:overflowPunct/>
              <w:topLinePunct w:val="0"/>
              <w:autoSpaceDE/>
              <w:autoSpaceDN/>
              <w:bidi w:val="0"/>
              <w:adjustRightInd/>
              <w:snapToGrid/>
              <w:spacing w:line="320" w:lineRule="exact"/>
              <w:ind w:firstLine="480" w:firstLineChars="20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4.</w:t>
            </w:r>
            <w:r>
              <w:rPr>
                <w:rFonts w:hint="default" w:ascii="方正仿宋_GBK" w:hAnsi="方正仿宋_GBK" w:eastAsia="方正仿宋_GBK" w:cs="方正仿宋_GBK"/>
                <w:b w:val="0"/>
                <w:bCs w:val="0"/>
                <w:sz w:val="24"/>
                <w:szCs w:val="24"/>
                <w:highlight w:val="none"/>
                <w:lang w:val="en-US" w:eastAsia="zh-CN"/>
              </w:rPr>
              <w:t>基材甲醛释放限量等级</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E1</w:t>
            </w:r>
            <w:r>
              <w:rPr>
                <w:rFonts w:hint="eastAsia" w:ascii="方正仿宋_GBK" w:hAnsi="方正仿宋_GBK" w:eastAsia="方正仿宋_GBK" w:cs="方正仿宋_GBK"/>
                <w:b w:val="0"/>
                <w:bCs w:val="0"/>
                <w:sz w:val="24"/>
                <w:szCs w:val="24"/>
                <w:highlight w:val="none"/>
                <w:lang w:val="en-US" w:eastAsia="zh-CN"/>
              </w:rPr>
              <w:t>；</w:t>
            </w:r>
          </w:p>
          <w:p w14:paraId="6C5FDBF6">
            <w:pPr>
              <w:keepNext w:val="0"/>
              <w:keepLines w:val="0"/>
              <w:pageBreakBefore w:val="0"/>
              <w:widowControl/>
              <w:kinsoku/>
              <w:overflowPunct/>
              <w:topLinePunct w:val="0"/>
              <w:autoSpaceDE/>
              <w:autoSpaceDN/>
              <w:bidi w:val="0"/>
              <w:adjustRightInd/>
              <w:snapToGrid/>
              <w:spacing w:line="320" w:lineRule="exact"/>
              <w:ind w:firstLine="480" w:firstLineChars="20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5.</w:t>
            </w:r>
            <w:r>
              <w:rPr>
                <w:rFonts w:hint="default" w:ascii="方正仿宋_GBK" w:hAnsi="方正仿宋_GBK" w:eastAsia="方正仿宋_GBK" w:cs="方正仿宋_GBK"/>
                <w:b w:val="0"/>
                <w:bCs w:val="0"/>
                <w:sz w:val="24"/>
                <w:szCs w:val="24"/>
                <w:highlight w:val="none"/>
                <w:lang w:val="en-US" w:eastAsia="zh-CN"/>
              </w:rPr>
              <w:t>饰面材质</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金属</w:t>
            </w:r>
            <w:r>
              <w:rPr>
                <w:rFonts w:hint="eastAsia" w:ascii="方正仿宋_GBK" w:hAnsi="方正仿宋_GBK" w:eastAsia="方正仿宋_GBK" w:cs="方正仿宋_GBK"/>
                <w:b w:val="0"/>
                <w:bCs w:val="0"/>
                <w:sz w:val="24"/>
                <w:szCs w:val="24"/>
                <w:highlight w:val="none"/>
                <w:lang w:val="en-US" w:eastAsia="zh-CN"/>
              </w:rPr>
              <w:t>；</w:t>
            </w:r>
          </w:p>
          <w:p w14:paraId="04706631">
            <w:pPr>
              <w:keepNext w:val="0"/>
              <w:keepLines w:val="0"/>
              <w:pageBreakBefore w:val="0"/>
              <w:widowControl/>
              <w:numPr>
                <w:ilvl w:val="0"/>
                <w:numId w:val="0"/>
              </w:numPr>
              <w:kinsoku/>
              <w:overflowPunct/>
              <w:topLinePunct w:val="0"/>
              <w:autoSpaceDE/>
              <w:autoSpaceDN/>
              <w:bidi w:val="0"/>
              <w:adjustRightInd/>
              <w:snapToGrid/>
              <w:spacing w:line="320" w:lineRule="exact"/>
              <w:ind w:left="400" w:left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6.</w:t>
            </w:r>
            <w:r>
              <w:rPr>
                <w:rFonts w:hint="default" w:ascii="方正仿宋_GBK" w:hAnsi="方正仿宋_GBK" w:eastAsia="方正仿宋_GBK" w:cs="方正仿宋_GBK"/>
                <w:b w:val="0"/>
                <w:bCs w:val="0"/>
                <w:sz w:val="24"/>
                <w:szCs w:val="24"/>
                <w:highlight w:val="none"/>
                <w:lang w:val="en-US" w:eastAsia="zh-CN"/>
              </w:rPr>
              <w:t>五金配件螺丝五金、外置拉手</w:t>
            </w:r>
            <w:r>
              <w:rPr>
                <w:rFonts w:hint="eastAsia" w:ascii="方正仿宋_GBK" w:hAnsi="方正仿宋_GBK" w:eastAsia="方正仿宋_GBK" w:cs="方正仿宋_GBK"/>
                <w:b w:val="0"/>
                <w:bCs w:val="0"/>
                <w:sz w:val="24"/>
                <w:szCs w:val="24"/>
                <w:highlight w:val="none"/>
                <w:lang w:val="en-US" w:eastAsia="zh-CN"/>
              </w:rPr>
              <w:t>；</w:t>
            </w:r>
          </w:p>
          <w:p w14:paraId="3F977FBE">
            <w:pPr>
              <w:keepNext w:val="0"/>
              <w:keepLines w:val="0"/>
              <w:pageBreakBefore w:val="0"/>
              <w:widowControl/>
              <w:numPr>
                <w:ilvl w:val="0"/>
                <w:numId w:val="0"/>
              </w:numPr>
              <w:kinsoku/>
              <w:overflowPunct/>
              <w:topLinePunct w:val="0"/>
              <w:autoSpaceDE/>
              <w:autoSpaceDN/>
              <w:bidi w:val="0"/>
              <w:adjustRightInd/>
              <w:snapToGrid/>
              <w:spacing w:line="320" w:lineRule="exact"/>
              <w:ind w:left="400" w:left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7.</w:t>
            </w:r>
            <w:r>
              <w:rPr>
                <w:rFonts w:hint="default" w:ascii="方正仿宋_GBK" w:hAnsi="方正仿宋_GBK" w:eastAsia="方正仿宋_GBK" w:cs="方正仿宋_GBK"/>
                <w:b w:val="0"/>
                <w:bCs w:val="0"/>
                <w:sz w:val="24"/>
                <w:szCs w:val="24"/>
                <w:highlight w:val="none"/>
                <w:lang w:val="en-US" w:eastAsia="zh-CN"/>
              </w:rPr>
              <w:t>油漆工艺</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环保水性漆</w:t>
            </w:r>
            <w:r>
              <w:rPr>
                <w:rFonts w:hint="eastAsia" w:ascii="方正仿宋_GBK" w:hAnsi="方正仿宋_GBK" w:eastAsia="方正仿宋_GBK" w:cs="方正仿宋_GBK"/>
                <w:b w:val="0"/>
                <w:bCs w:val="0"/>
                <w:sz w:val="24"/>
                <w:szCs w:val="24"/>
                <w:highlight w:val="none"/>
                <w:lang w:val="en-US" w:eastAsia="zh-CN"/>
              </w:rPr>
              <w:t>；</w:t>
            </w:r>
          </w:p>
          <w:p w14:paraId="32C6C2EA">
            <w:pPr>
              <w:keepNext w:val="0"/>
              <w:keepLines w:val="0"/>
              <w:pageBreakBefore w:val="0"/>
              <w:widowControl/>
              <w:numPr>
                <w:ilvl w:val="0"/>
                <w:numId w:val="0"/>
              </w:numPr>
              <w:kinsoku/>
              <w:overflowPunct/>
              <w:topLinePunct w:val="0"/>
              <w:autoSpaceDE/>
              <w:autoSpaceDN/>
              <w:bidi w:val="0"/>
              <w:adjustRightInd/>
              <w:snapToGrid/>
              <w:spacing w:line="320" w:lineRule="exact"/>
              <w:ind w:left="400" w:left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8.</w:t>
            </w:r>
            <w:r>
              <w:rPr>
                <w:rFonts w:hint="default" w:ascii="方正仿宋_GBK" w:hAnsi="方正仿宋_GBK" w:eastAsia="方正仿宋_GBK" w:cs="方正仿宋_GBK"/>
                <w:b w:val="0"/>
                <w:bCs w:val="0"/>
                <w:sz w:val="24"/>
                <w:szCs w:val="24"/>
                <w:highlight w:val="none"/>
                <w:lang w:val="en-US" w:eastAsia="zh-CN"/>
              </w:rPr>
              <w:t>油漆甲醛释放量</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E1</w:t>
            </w:r>
            <w:r>
              <w:rPr>
                <w:rFonts w:hint="eastAsia" w:ascii="方正仿宋_GBK" w:hAnsi="方正仿宋_GBK" w:eastAsia="方正仿宋_GBK" w:cs="方正仿宋_GBK"/>
                <w:b w:val="0"/>
                <w:bCs w:val="0"/>
                <w:sz w:val="24"/>
                <w:szCs w:val="24"/>
                <w:highlight w:val="none"/>
                <w:lang w:val="en-US" w:eastAsia="zh-CN"/>
              </w:rPr>
              <w:t>；</w:t>
            </w:r>
          </w:p>
          <w:p w14:paraId="765E53C4">
            <w:pPr>
              <w:keepNext w:val="0"/>
              <w:keepLines w:val="0"/>
              <w:pageBreakBefore w:val="0"/>
              <w:widowControl/>
              <w:numPr>
                <w:ilvl w:val="0"/>
                <w:numId w:val="0"/>
              </w:numPr>
              <w:kinsoku/>
              <w:overflowPunct/>
              <w:topLinePunct w:val="0"/>
              <w:autoSpaceDE/>
              <w:autoSpaceDN/>
              <w:bidi w:val="0"/>
              <w:adjustRightInd/>
              <w:snapToGrid/>
              <w:spacing w:line="320" w:lineRule="exact"/>
              <w:ind w:left="400" w:left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9.</w:t>
            </w:r>
            <w:r>
              <w:rPr>
                <w:rFonts w:hint="default" w:ascii="方正仿宋_GBK" w:hAnsi="方正仿宋_GBK" w:eastAsia="方正仿宋_GBK" w:cs="方正仿宋_GBK"/>
                <w:b w:val="0"/>
                <w:bCs w:val="0"/>
                <w:sz w:val="24"/>
                <w:szCs w:val="24"/>
                <w:highlight w:val="none"/>
                <w:lang w:val="en-US" w:eastAsia="zh-CN"/>
              </w:rPr>
              <w:t>上柜门类型</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玻璃门</w:t>
            </w:r>
            <w:r>
              <w:rPr>
                <w:rFonts w:hint="eastAsia" w:ascii="方正仿宋_GBK" w:hAnsi="方正仿宋_GBK" w:eastAsia="方正仿宋_GBK" w:cs="方正仿宋_GBK"/>
                <w:b w:val="0"/>
                <w:bCs w:val="0"/>
                <w:sz w:val="24"/>
                <w:szCs w:val="24"/>
                <w:highlight w:val="none"/>
                <w:lang w:val="en-US" w:eastAsia="zh-CN"/>
              </w:rPr>
              <w:t>；</w:t>
            </w:r>
          </w:p>
          <w:p w14:paraId="2D651174">
            <w:pPr>
              <w:keepNext w:val="0"/>
              <w:keepLines w:val="0"/>
              <w:pageBreakBefore w:val="0"/>
              <w:widowControl/>
              <w:numPr>
                <w:ilvl w:val="0"/>
                <w:numId w:val="0"/>
              </w:numPr>
              <w:kinsoku/>
              <w:overflowPunct/>
              <w:topLinePunct w:val="0"/>
              <w:autoSpaceDE/>
              <w:autoSpaceDN/>
              <w:bidi w:val="0"/>
              <w:adjustRightInd/>
              <w:snapToGrid/>
              <w:spacing w:line="320" w:lineRule="exact"/>
              <w:ind w:left="400" w:left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10.</w:t>
            </w:r>
            <w:r>
              <w:rPr>
                <w:rFonts w:hint="default" w:ascii="方正仿宋_GBK" w:hAnsi="方正仿宋_GBK" w:eastAsia="方正仿宋_GBK" w:cs="方正仿宋_GBK"/>
                <w:b w:val="0"/>
                <w:bCs w:val="0"/>
                <w:sz w:val="24"/>
                <w:szCs w:val="24"/>
                <w:highlight w:val="none"/>
                <w:lang w:val="en-US" w:eastAsia="zh-CN"/>
              </w:rPr>
              <w:t>下柜门类型</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双开普通钢板门</w:t>
            </w:r>
            <w:r>
              <w:rPr>
                <w:rFonts w:hint="eastAsia" w:ascii="方正仿宋_GBK" w:hAnsi="方正仿宋_GBK" w:eastAsia="方正仿宋_GBK" w:cs="方正仿宋_GBK"/>
                <w:b w:val="0"/>
                <w:bCs w:val="0"/>
                <w:sz w:val="24"/>
                <w:szCs w:val="24"/>
                <w:highlight w:val="none"/>
                <w:lang w:val="en-US" w:eastAsia="zh-CN"/>
              </w:rPr>
              <w:t>；</w:t>
            </w:r>
          </w:p>
          <w:p w14:paraId="1B6EAEBA">
            <w:pPr>
              <w:keepNext w:val="0"/>
              <w:keepLines w:val="0"/>
              <w:pageBreakBefore w:val="0"/>
              <w:widowControl/>
              <w:numPr>
                <w:ilvl w:val="0"/>
                <w:numId w:val="0"/>
              </w:numPr>
              <w:kinsoku/>
              <w:wordWrap w:val="0"/>
              <w:overflowPunct/>
              <w:topLinePunct w:val="0"/>
              <w:autoSpaceDE/>
              <w:autoSpaceDN/>
              <w:bidi w:val="0"/>
              <w:adjustRightInd/>
              <w:snapToGrid/>
              <w:spacing w:line="320" w:lineRule="exact"/>
              <w:ind w:left="403" w:left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11.</w:t>
            </w:r>
            <w:r>
              <w:rPr>
                <w:rFonts w:hint="default" w:ascii="方正仿宋_GBK" w:hAnsi="方正仿宋_GBK" w:eastAsia="方正仿宋_GBK" w:cs="方正仿宋_GBK"/>
                <w:b w:val="0"/>
                <w:bCs w:val="0"/>
                <w:sz w:val="24"/>
                <w:szCs w:val="24"/>
                <w:highlight w:val="none"/>
                <w:lang w:val="en-US" w:eastAsia="zh-CN"/>
              </w:rPr>
              <w:t>尺寸</w:t>
            </w:r>
            <w:r>
              <w:rPr>
                <w:rFonts w:hint="eastAsia" w:ascii="方正仿宋_GBK" w:hAnsi="方正仿宋_GBK" w:eastAsia="方正仿宋_GBK" w:cs="方正仿宋_GBK"/>
                <w:b w:val="0"/>
                <w:bCs w:val="0"/>
                <w:sz w:val="24"/>
                <w:szCs w:val="24"/>
                <w:highlight w:val="none"/>
                <w:lang w:val="en-US" w:eastAsia="zh-CN"/>
              </w:rPr>
              <w:t>（高</w:t>
            </w:r>
            <w:r>
              <w:rPr>
                <w:rFonts w:hint="default" w:ascii="方正仿宋_GBK" w:hAnsi="方正仿宋_GBK" w:eastAsia="方正仿宋_GBK" w:cs="方正仿宋_GBK"/>
                <w:b w:val="0"/>
                <w:bCs w:val="0"/>
                <w:sz w:val="24"/>
                <w:szCs w:val="24"/>
                <w:highlight w:val="none"/>
                <w:lang w:val="en-US" w:eastAsia="zh-CN"/>
              </w:rPr>
              <w:t>*</w:t>
            </w:r>
            <w:r>
              <w:rPr>
                <w:rFonts w:hint="eastAsia" w:ascii="方正仿宋_GBK" w:hAnsi="方正仿宋_GBK" w:eastAsia="方正仿宋_GBK" w:cs="方正仿宋_GBK"/>
                <w:b w:val="0"/>
                <w:bCs w:val="0"/>
                <w:sz w:val="24"/>
                <w:szCs w:val="24"/>
                <w:highlight w:val="none"/>
                <w:lang w:val="en-US" w:eastAsia="zh-CN"/>
              </w:rPr>
              <w:t>宽</w:t>
            </w:r>
            <w:r>
              <w:rPr>
                <w:rFonts w:hint="default" w:ascii="方正仿宋_GBK" w:hAnsi="方正仿宋_GBK" w:eastAsia="方正仿宋_GBK" w:cs="方正仿宋_GBK"/>
                <w:b w:val="0"/>
                <w:bCs w:val="0"/>
                <w:sz w:val="24"/>
                <w:szCs w:val="24"/>
                <w:highlight w:val="none"/>
                <w:lang w:val="en-US" w:eastAsia="zh-CN"/>
              </w:rPr>
              <w:t>*</w:t>
            </w:r>
            <w:r>
              <w:rPr>
                <w:rFonts w:hint="eastAsia" w:ascii="方正仿宋_GBK" w:hAnsi="方正仿宋_GBK" w:eastAsia="方正仿宋_GBK" w:cs="方正仿宋_GBK"/>
                <w:b w:val="0"/>
                <w:bCs w:val="0"/>
                <w:sz w:val="24"/>
                <w:szCs w:val="24"/>
                <w:highlight w:val="none"/>
                <w:lang w:val="en-US" w:eastAsia="zh-CN"/>
              </w:rPr>
              <w:t>深）：≥（</w:t>
            </w:r>
            <w:r>
              <w:rPr>
                <w:rFonts w:hint="default" w:ascii="方正仿宋_GBK" w:hAnsi="方正仿宋_GBK" w:eastAsia="方正仿宋_GBK" w:cs="方正仿宋_GBK"/>
                <w:b w:val="0"/>
                <w:bCs w:val="0"/>
                <w:sz w:val="24"/>
                <w:szCs w:val="24"/>
                <w:highlight w:val="none"/>
                <w:lang w:val="en-US" w:eastAsia="zh-CN"/>
              </w:rPr>
              <w:t>1800 - 1900</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mm*900mm*</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400-420</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mm</w:t>
            </w:r>
            <w:r>
              <w:rPr>
                <w:rFonts w:hint="eastAsia" w:ascii="方正仿宋_GBK" w:hAnsi="方正仿宋_GBK" w:eastAsia="方正仿宋_GBK" w:cs="方正仿宋_GBK"/>
                <w:b w:val="0"/>
                <w:bCs w:val="0"/>
                <w:sz w:val="24"/>
                <w:szCs w:val="24"/>
                <w:highlight w:val="none"/>
                <w:lang w:val="en-US" w:eastAsia="zh-CN"/>
              </w:rPr>
              <w:t>。</w:t>
            </w:r>
          </w:p>
          <w:p w14:paraId="0A184EFF">
            <w:pPr>
              <w:keepNext w:val="0"/>
              <w:keepLines w:val="0"/>
              <w:pageBreakBefore w:val="0"/>
              <w:widowControl/>
              <w:numPr>
                <w:ilvl w:val="0"/>
                <w:numId w:val="0"/>
              </w:numPr>
              <w:kinsoku/>
              <w:overflowPunct/>
              <w:topLinePunct w:val="0"/>
              <w:autoSpaceDE/>
              <w:autoSpaceDN/>
              <w:bidi w:val="0"/>
              <w:adjustRightInd/>
              <w:snapToGrid/>
              <w:spacing w:line="320" w:lineRule="exact"/>
              <w:ind w:left="400" w:left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12.</w:t>
            </w:r>
            <w:r>
              <w:rPr>
                <w:rFonts w:hint="default" w:ascii="方正仿宋_GBK" w:hAnsi="方正仿宋_GBK" w:eastAsia="方正仿宋_GBK" w:cs="方正仿宋_GBK"/>
                <w:b w:val="0"/>
                <w:bCs w:val="0"/>
                <w:sz w:val="24"/>
                <w:szCs w:val="24"/>
                <w:highlight w:val="none"/>
                <w:lang w:val="en-US" w:eastAsia="zh-CN"/>
              </w:rPr>
              <w:t>是否带锁</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是</w:t>
            </w:r>
            <w:r>
              <w:rPr>
                <w:rFonts w:hint="eastAsia" w:ascii="方正仿宋_GBK" w:hAnsi="方正仿宋_GBK" w:eastAsia="方正仿宋_GBK" w:cs="方正仿宋_GBK"/>
                <w:b w:val="0"/>
                <w:bCs w:val="0"/>
                <w:sz w:val="24"/>
                <w:szCs w:val="24"/>
                <w:highlight w:val="none"/>
                <w:lang w:val="en-US" w:eastAsia="zh-CN"/>
              </w:rPr>
              <w:t>；</w:t>
            </w:r>
          </w:p>
          <w:p w14:paraId="0C9E8D7A">
            <w:pPr>
              <w:keepNext w:val="0"/>
              <w:keepLines w:val="0"/>
              <w:pageBreakBefore w:val="0"/>
              <w:widowControl/>
              <w:numPr>
                <w:ilvl w:val="0"/>
                <w:numId w:val="0"/>
              </w:numPr>
              <w:kinsoku/>
              <w:overflowPunct/>
              <w:topLinePunct w:val="0"/>
              <w:autoSpaceDE/>
              <w:autoSpaceDN/>
              <w:bidi w:val="0"/>
              <w:adjustRightInd/>
              <w:snapToGrid/>
              <w:spacing w:line="320" w:lineRule="exact"/>
              <w:ind w:left="400" w:leftChars="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13.</w:t>
            </w:r>
            <w:r>
              <w:rPr>
                <w:rFonts w:hint="default" w:ascii="方正仿宋_GBK" w:hAnsi="方正仿宋_GBK" w:eastAsia="方正仿宋_GBK" w:cs="方正仿宋_GBK"/>
                <w:b w:val="0"/>
                <w:bCs w:val="0"/>
                <w:sz w:val="24"/>
                <w:szCs w:val="24"/>
                <w:highlight w:val="none"/>
                <w:lang w:val="en-US" w:eastAsia="zh-CN"/>
              </w:rPr>
              <w:t>上门服务</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是</w:t>
            </w:r>
            <w:r>
              <w:rPr>
                <w:rFonts w:hint="eastAsia" w:ascii="方正仿宋_GBK" w:hAnsi="方正仿宋_GBK" w:eastAsia="方正仿宋_GBK" w:cs="方正仿宋_GBK"/>
                <w:b w:val="0"/>
                <w:bCs w:val="0"/>
                <w:sz w:val="24"/>
                <w:szCs w:val="24"/>
                <w:highlight w:val="none"/>
                <w:lang w:val="en-US" w:eastAsia="zh-CN"/>
              </w:rPr>
              <w:t>；</w:t>
            </w:r>
          </w:p>
          <w:p w14:paraId="6A65BBB6">
            <w:pPr>
              <w:keepNext w:val="0"/>
              <w:keepLines w:val="0"/>
              <w:pageBreakBefore w:val="0"/>
              <w:widowControl/>
              <w:numPr>
                <w:ilvl w:val="0"/>
                <w:numId w:val="0"/>
              </w:numPr>
              <w:kinsoku/>
              <w:overflowPunct/>
              <w:topLinePunct w:val="0"/>
              <w:autoSpaceDE/>
              <w:autoSpaceDN/>
              <w:bidi w:val="0"/>
              <w:adjustRightInd/>
              <w:snapToGrid/>
              <w:spacing w:line="320" w:lineRule="exact"/>
              <w:ind w:left="400" w:left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14.</w:t>
            </w:r>
            <w:r>
              <w:rPr>
                <w:rFonts w:hint="default" w:ascii="方正仿宋_GBK" w:hAnsi="方正仿宋_GBK" w:eastAsia="方正仿宋_GBK" w:cs="方正仿宋_GBK"/>
                <w:b w:val="0"/>
                <w:bCs w:val="0"/>
                <w:sz w:val="24"/>
                <w:szCs w:val="24"/>
                <w:highlight w:val="none"/>
                <w:lang w:val="en-US" w:eastAsia="zh-CN"/>
              </w:rPr>
              <w:t>安装服务</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是</w:t>
            </w:r>
            <w:r>
              <w:rPr>
                <w:rFonts w:hint="eastAsia" w:ascii="方正仿宋_GBK" w:hAnsi="方正仿宋_GBK" w:eastAsia="方正仿宋_GBK" w:cs="方正仿宋_GBK"/>
                <w:b w:val="0"/>
                <w:bCs w:val="0"/>
                <w:sz w:val="24"/>
                <w:szCs w:val="24"/>
                <w:highlight w:val="none"/>
                <w:lang w:val="en-US" w:eastAsia="zh-CN"/>
              </w:rPr>
              <w:t>。</w:t>
            </w:r>
          </w:p>
        </w:tc>
        <w:tc>
          <w:tcPr>
            <w:tcW w:w="1000" w:type="dxa"/>
            <w:noWrap w:val="0"/>
            <w:vAlign w:val="center"/>
          </w:tcPr>
          <w:p w14:paraId="1C7A132A">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12</w:t>
            </w:r>
          </w:p>
        </w:tc>
        <w:tc>
          <w:tcPr>
            <w:tcW w:w="937" w:type="dxa"/>
            <w:noWrap w:val="0"/>
            <w:vAlign w:val="center"/>
          </w:tcPr>
          <w:p w14:paraId="1AE861E2">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个</w:t>
            </w:r>
          </w:p>
        </w:tc>
        <w:tc>
          <w:tcPr>
            <w:tcW w:w="905" w:type="dxa"/>
            <w:noWrap w:val="0"/>
            <w:vAlign w:val="top"/>
          </w:tcPr>
          <w:p w14:paraId="36E6C2F4">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sz w:val="28"/>
                <w:szCs w:val="28"/>
                <w:highlight w:val="lightGray"/>
                <w:vertAlign w:val="baseline"/>
                <w:lang w:val="en-US" w:eastAsia="zh-CN"/>
              </w:rPr>
            </w:pPr>
          </w:p>
        </w:tc>
      </w:tr>
      <w:tr w14:paraId="48AA1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noWrap w:val="0"/>
            <w:vAlign w:val="center"/>
          </w:tcPr>
          <w:p w14:paraId="045C136E">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sz w:val="28"/>
                <w:szCs w:val="28"/>
                <w:highlight w:val="none"/>
                <w:vertAlign w:val="baseline"/>
                <w:lang w:val="en-US" w:eastAsia="zh-CN"/>
              </w:rPr>
            </w:pPr>
          </w:p>
        </w:tc>
        <w:tc>
          <w:tcPr>
            <w:tcW w:w="1900" w:type="dxa"/>
            <w:noWrap w:val="0"/>
            <w:vAlign w:val="center"/>
          </w:tcPr>
          <w:p w14:paraId="3E9E1451">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床头柜</w:t>
            </w:r>
          </w:p>
        </w:tc>
        <w:tc>
          <w:tcPr>
            <w:tcW w:w="5223" w:type="dxa"/>
            <w:noWrap w:val="0"/>
            <w:vAlign w:val="center"/>
          </w:tcPr>
          <w:p w14:paraId="7D96701C">
            <w:pPr>
              <w:keepNext w:val="0"/>
              <w:keepLines w:val="0"/>
              <w:pageBreakBefore w:val="0"/>
              <w:widowControl/>
              <w:kinsoku/>
              <w:overflowPunct/>
              <w:topLinePunct w:val="0"/>
              <w:autoSpaceDE/>
              <w:autoSpaceDN/>
              <w:bidi w:val="0"/>
              <w:adjustRightInd/>
              <w:snapToGrid/>
              <w:spacing w:line="320" w:lineRule="exact"/>
              <w:ind w:firstLine="480" w:firstLineChars="20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1.</w:t>
            </w:r>
            <w:r>
              <w:rPr>
                <w:rFonts w:hint="default" w:ascii="方正仿宋_GBK" w:hAnsi="方正仿宋_GBK" w:eastAsia="方正仿宋_GBK" w:cs="方正仿宋_GBK"/>
                <w:b w:val="0"/>
                <w:bCs w:val="0"/>
                <w:sz w:val="24"/>
                <w:szCs w:val="24"/>
                <w:highlight w:val="none"/>
                <w:lang w:val="en-US" w:eastAsia="zh-CN"/>
              </w:rPr>
              <w:t>开合方式</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推拉门</w:t>
            </w:r>
            <w:r>
              <w:rPr>
                <w:rFonts w:hint="eastAsia" w:ascii="方正仿宋_GBK" w:hAnsi="方正仿宋_GBK" w:eastAsia="方正仿宋_GBK" w:cs="方正仿宋_GBK"/>
                <w:b w:val="0"/>
                <w:bCs w:val="0"/>
                <w:sz w:val="24"/>
                <w:szCs w:val="24"/>
                <w:highlight w:val="none"/>
                <w:lang w:val="en-US" w:eastAsia="zh-CN"/>
              </w:rPr>
              <w:t>；</w:t>
            </w:r>
          </w:p>
          <w:p w14:paraId="19892B3A">
            <w:pPr>
              <w:keepNext w:val="0"/>
              <w:keepLines w:val="0"/>
              <w:pageBreakBefore w:val="0"/>
              <w:widowControl/>
              <w:kinsoku/>
              <w:overflowPunct/>
              <w:topLinePunct w:val="0"/>
              <w:autoSpaceDE/>
              <w:autoSpaceDN/>
              <w:bidi w:val="0"/>
              <w:adjustRightInd/>
              <w:snapToGrid/>
              <w:spacing w:line="320" w:lineRule="exact"/>
              <w:ind w:firstLine="480" w:firstLineChars="20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2.</w:t>
            </w:r>
            <w:r>
              <w:rPr>
                <w:rFonts w:hint="default" w:ascii="方正仿宋_GBK" w:hAnsi="方正仿宋_GBK" w:eastAsia="方正仿宋_GBK" w:cs="方正仿宋_GBK"/>
                <w:b w:val="0"/>
                <w:bCs w:val="0"/>
                <w:sz w:val="24"/>
                <w:szCs w:val="24"/>
                <w:highlight w:val="none"/>
                <w:lang w:val="en-US" w:eastAsia="zh-CN"/>
              </w:rPr>
              <w:t>基材材质</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ABS塑料</w:t>
            </w:r>
            <w:r>
              <w:rPr>
                <w:rFonts w:hint="eastAsia" w:ascii="方正仿宋_GBK" w:hAnsi="方正仿宋_GBK" w:eastAsia="方正仿宋_GBK" w:cs="方正仿宋_GBK"/>
                <w:b w:val="0"/>
                <w:bCs w:val="0"/>
                <w:sz w:val="24"/>
                <w:szCs w:val="24"/>
                <w:highlight w:val="none"/>
                <w:lang w:val="en-US" w:eastAsia="zh-CN"/>
              </w:rPr>
              <w:t>；</w:t>
            </w:r>
          </w:p>
          <w:p w14:paraId="51B59944">
            <w:pPr>
              <w:keepNext w:val="0"/>
              <w:keepLines w:val="0"/>
              <w:pageBreakBefore w:val="0"/>
              <w:widowControl/>
              <w:kinsoku/>
              <w:overflowPunct/>
              <w:topLinePunct w:val="0"/>
              <w:autoSpaceDE/>
              <w:autoSpaceDN/>
              <w:bidi w:val="0"/>
              <w:adjustRightInd/>
              <w:snapToGrid/>
              <w:spacing w:line="320" w:lineRule="exact"/>
              <w:ind w:firstLine="480" w:firstLineChars="20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3.</w:t>
            </w:r>
            <w:r>
              <w:rPr>
                <w:rFonts w:hint="default" w:ascii="方正仿宋_GBK" w:hAnsi="方正仿宋_GBK" w:eastAsia="方正仿宋_GBK" w:cs="方正仿宋_GBK"/>
                <w:b w:val="0"/>
                <w:bCs w:val="0"/>
                <w:sz w:val="24"/>
                <w:szCs w:val="24"/>
                <w:highlight w:val="none"/>
                <w:lang w:val="en-US" w:eastAsia="zh-CN"/>
              </w:rPr>
              <w:t>层数</w:t>
            </w:r>
            <w:r>
              <w:rPr>
                <w:rFonts w:hint="eastAsia" w:ascii="方正仿宋_GBK" w:hAnsi="方正仿宋_GBK" w:eastAsia="方正仿宋_GBK" w:cs="方正仿宋_GBK"/>
                <w:b w:val="0"/>
                <w:bCs w:val="0"/>
                <w:sz w:val="24"/>
                <w:szCs w:val="24"/>
                <w:highlight w:val="none"/>
                <w:lang w:val="en-US" w:eastAsia="zh-CN"/>
              </w:rPr>
              <w:t>:3</w:t>
            </w:r>
            <w:r>
              <w:rPr>
                <w:rFonts w:hint="default" w:ascii="方正仿宋_GBK" w:hAnsi="方正仿宋_GBK" w:eastAsia="方正仿宋_GBK" w:cs="方正仿宋_GBK"/>
                <w:b w:val="0"/>
                <w:bCs w:val="0"/>
                <w:sz w:val="24"/>
                <w:szCs w:val="24"/>
                <w:highlight w:val="none"/>
                <w:lang w:val="en-US" w:eastAsia="zh-CN"/>
              </w:rPr>
              <w:t>层</w:t>
            </w:r>
            <w:r>
              <w:rPr>
                <w:rFonts w:hint="eastAsia" w:ascii="方正仿宋_GBK" w:hAnsi="方正仿宋_GBK" w:eastAsia="方正仿宋_GBK" w:cs="方正仿宋_GBK"/>
                <w:b w:val="0"/>
                <w:bCs w:val="0"/>
                <w:sz w:val="24"/>
                <w:szCs w:val="24"/>
                <w:highlight w:val="none"/>
                <w:lang w:val="en-US" w:eastAsia="zh-CN"/>
              </w:rPr>
              <w:t>；</w:t>
            </w:r>
          </w:p>
          <w:p w14:paraId="59525F43">
            <w:pPr>
              <w:keepNext w:val="0"/>
              <w:keepLines w:val="0"/>
              <w:pageBreakBefore w:val="0"/>
              <w:widowControl/>
              <w:kinsoku/>
              <w:overflowPunct/>
              <w:topLinePunct w:val="0"/>
              <w:autoSpaceDE/>
              <w:autoSpaceDN/>
              <w:bidi w:val="0"/>
              <w:adjustRightInd/>
              <w:snapToGrid/>
              <w:spacing w:line="320" w:lineRule="exact"/>
              <w:ind w:firstLine="480" w:firstLineChars="20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4.</w:t>
            </w:r>
            <w:r>
              <w:rPr>
                <w:rFonts w:hint="default" w:ascii="方正仿宋_GBK" w:hAnsi="方正仿宋_GBK" w:eastAsia="方正仿宋_GBK" w:cs="方正仿宋_GBK"/>
                <w:b w:val="0"/>
                <w:bCs w:val="0"/>
                <w:sz w:val="24"/>
                <w:szCs w:val="24"/>
                <w:highlight w:val="none"/>
                <w:lang w:val="en-US" w:eastAsia="zh-CN"/>
              </w:rPr>
              <w:t>产品带抽屉</w:t>
            </w:r>
            <w:r>
              <w:rPr>
                <w:rFonts w:hint="eastAsia" w:ascii="方正仿宋_GBK" w:hAnsi="方正仿宋_GBK" w:eastAsia="方正仿宋_GBK" w:cs="方正仿宋_GBK"/>
                <w:b w:val="0"/>
                <w:bCs w:val="0"/>
                <w:sz w:val="24"/>
                <w:szCs w:val="24"/>
                <w:highlight w:val="none"/>
                <w:lang w:val="en-US" w:eastAsia="zh-CN"/>
              </w:rPr>
              <w:t>；</w:t>
            </w:r>
          </w:p>
          <w:p w14:paraId="23463C3C">
            <w:pPr>
              <w:keepNext w:val="0"/>
              <w:keepLines w:val="0"/>
              <w:pageBreakBefore w:val="0"/>
              <w:widowControl/>
              <w:kinsoku/>
              <w:overflowPunct/>
              <w:topLinePunct w:val="0"/>
              <w:autoSpaceDE/>
              <w:autoSpaceDN/>
              <w:bidi w:val="0"/>
              <w:adjustRightInd/>
              <w:snapToGrid/>
              <w:spacing w:line="320" w:lineRule="exact"/>
              <w:ind w:firstLine="480" w:firstLineChars="20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5.</w:t>
            </w:r>
            <w:r>
              <w:rPr>
                <w:rFonts w:hint="default" w:ascii="方正仿宋_GBK" w:hAnsi="方正仿宋_GBK" w:eastAsia="方正仿宋_GBK" w:cs="方正仿宋_GBK"/>
                <w:b w:val="0"/>
                <w:bCs w:val="0"/>
                <w:sz w:val="24"/>
                <w:szCs w:val="24"/>
                <w:highlight w:val="none"/>
                <w:lang w:val="en-US" w:eastAsia="zh-CN"/>
              </w:rPr>
              <w:t>基材甲醛释放限量等级</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E1</w:t>
            </w:r>
            <w:r>
              <w:rPr>
                <w:rFonts w:hint="eastAsia" w:ascii="方正仿宋_GBK" w:hAnsi="方正仿宋_GBK" w:eastAsia="方正仿宋_GBK" w:cs="方正仿宋_GBK"/>
                <w:b w:val="0"/>
                <w:bCs w:val="0"/>
                <w:sz w:val="24"/>
                <w:szCs w:val="24"/>
                <w:highlight w:val="none"/>
                <w:lang w:val="en-US" w:eastAsia="zh-CN"/>
              </w:rPr>
              <w:t>；</w:t>
            </w:r>
          </w:p>
          <w:p w14:paraId="31EB66EB">
            <w:pPr>
              <w:keepNext w:val="0"/>
              <w:keepLines w:val="0"/>
              <w:pageBreakBefore w:val="0"/>
              <w:widowControl/>
              <w:kinsoku/>
              <w:overflowPunct/>
              <w:topLinePunct w:val="0"/>
              <w:autoSpaceDE/>
              <w:autoSpaceDN/>
              <w:bidi w:val="0"/>
              <w:adjustRightInd/>
              <w:snapToGrid/>
              <w:spacing w:line="320" w:lineRule="exact"/>
              <w:ind w:firstLine="480" w:firstLineChars="20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6.</w:t>
            </w:r>
            <w:r>
              <w:rPr>
                <w:rFonts w:hint="default" w:ascii="方正仿宋_GBK" w:hAnsi="方正仿宋_GBK" w:eastAsia="方正仿宋_GBK" w:cs="方正仿宋_GBK"/>
                <w:b w:val="0"/>
                <w:bCs w:val="0"/>
                <w:sz w:val="24"/>
                <w:szCs w:val="24"/>
                <w:highlight w:val="none"/>
                <w:lang w:val="en-US" w:eastAsia="zh-CN"/>
              </w:rPr>
              <w:t>门数量</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单门</w:t>
            </w:r>
            <w:r>
              <w:rPr>
                <w:rFonts w:hint="eastAsia" w:ascii="方正仿宋_GBK" w:hAnsi="方正仿宋_GBK" w:eastAsia="方正仿宋_GBK" w:cs="方正仿宋_GBK"/>
                <w:b w:val="0"/>
                <w:bCs w:val="0"/>
                <w:sz w:val="24"/>
                <w:szCs w:val="24"/>
                <w:highlight w:val="none"/>
                <w:lang w:val="en-US" w:eastAsia="zh-CN"/>
              </w:rPr>
              <w:t>；</w:t>
            </w:r>
          </w:p>
          <w:p w14:paraId="65062F51">
            <w:pPr>
              <w:keepNext w:val="0"/>
              <w:keepLines w:val="0"/>
              <w:pageBreakBefore w:val="0"/>
              <w:widowControl/>
              <w:kinsoku/>
              <w:overflowPunct/>
              <w:topLinePunct w:val="0"/>
              <w:autoSpaceDE/>
              <w:autoSpaceDN/>
              <w:bidi w:val="0"/>
              <w:adjustRightInd/>
              <w:snapToGrid/>
              <w:spacing w:line="320" w:lineRule="exact"/>
              <w:ind w:firstLine="480" w:firstLineChars="200"/>
              <w:jc w:val="left"/>
              <w:textAlignment w:val="auto"/>
              <w:rPr>
                <w:rFonts w:hint="default"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7.</w:t>
            </w:r>
            <w:r>
              <w:rPr>
                <w:rFonts w:hint="default" w:ascii="方正仿宋_GBK" w:hAnsi="方正仿宋_GBK" w:eastAsia="方正仿宋_GBK" w:cs="方正仿宋_GBK"/>
                <w:b w:val="0"/>
                <w:bCs w:val="0"/>
                <w:sz w:val="24"/>
                <w:szCs w:val="24"/>
                <w:highlight w:val="none"/>
                <w:lang w:val="en-US" w:eastAsia="zh-CN"/>
              </w:rPr>
              <w:t>油漆工艺</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环保水性漆</w:t>
            </w:r>
            <w:r>
              <w:rPr>
                <w:rFonts w:hint="eastAsia" w:ascii="方正仿宋_GBK" w:hAnsi="方正仿宋_GBK" w:eastAsia="方正仿宋_GBK" w:cs="方正仿宋_GBK"/>
                <w:b w:val="0"/>
                <w:bCs w:val="0"/>
                <w:sz w:val="24"/>
                <w:szCs w:val="24"/>
                <w:highlight w:val="none"/>
                <w:lang w:val="en-US" w:eastAsia="zh-CN"/>
              </w:rPr>
              <w:t>；</w:t>
            </w:r>
          </w:p>
          <w:p w14:paraId="014D6272">
            <w:pPr>
              <w:keepNext w:val="0"/>
              <w:keepLines w:val="0"/>
              <w:pageBreakBefore w:val="0"/>
              <w:widowControl/>
              <w:kinsoku/>
              <w:overflowPunct/>
              <w:topLinePunct w:val="0"/>
              <w:autoSpaceDE/>
              <w:autoSpaceDN/>
              <w:bidi w:val="0"/>
              <w:adjustRightInd/>
              <w:snapToGrid/>
              <w:spacing w:line="320" w:lineRule="exact"/>
              <w:ind w:firstLine="480" w:firstLineChars="200"/>
              <w:jc w:val="left"/>
              <w:textAlignment w:val="auto"/>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8.</w:t>
            </w:r>
            <w:r>
              <w:rPr>
                <w:rFonts w:hint="default" w:ascii="方正仿宋_GBK" w:hAnsi="方正仿宋_GBK" w:eastAsia="方正仿宋_GBK" w:cs="方正仿宋_GBK"/>
                <w:b w:val="0"/>
                <w:bCs w:val="0"/>
                <w:sz w:val="24"/>
                <w:szCs w:val="24"/>
                <w:highlight w:val="none"/>
                <w:lang w:val="en-US" w:eastAsia="zh-CN"/>
              </w:rPr>
              <w:t>颜色</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蓝色</w:t>
            </w:r>
            <w:r>
              <w:rPr>
                <w:rFonts w:hint="eastAsia" w:ascii="方正仿宋_GBK" w:hAnsi="方正仿宋_GBK" w:eastAsia="方正仿宋_GBK" w:cs="方正仿宋_GBK"/>
                <w:b w:val="0"/>
                <w:bCs w:val="0"/>
                <w:sz w:val="24"/>
                <w:szCs w:val="24"/>
                <w:highlight w:val="none"/>
                <w:lang w:val="en-US" w:eastAsia="zh-CN"/>
              </w:rPr>
              <w:t>；</w:t>
            </w:r>
          </w:p>
          <w:p w14:paraId="29C9D62E">
            <w:pPr>
              <w:keepNext w:val="0"/>
              <w:keepLines w:val="0"/>
              <w:pageBreakBefore w:val="0"/>
              <w:widowControl/>
              <w:kinsoku/>
              <w:overflowPunct/>
              <w:topLinePunct w:val="0"/>
              <w:autoSpaceDE/>
              <w:autoSpaceDN/>
              <w:bidi w:val="0"/>
              <w:adjustRightInd/>
              <w:snapToGrid/>
              <w:spacing w:line="320" w:lineRule="exact"/>
              <w:ind w:firstLine="480" w:firstLineChars="20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9.尺寸（长</w:t>
            </w:r>
            <w:r>
              <w:rPr>
                <w:rFonts w:hint="default" w:ascii="方正仿宋_GBK" w:hAnsi="方正仿宋_GBK" w:eastAsia="方正仿宋_GBK" w:cs="方正仿宋_GBK"/>
                <w:b w:val="0"/>
                <w:bCs w:val="0"/>
                <w:sz w:val="24"/>
                <w:szCs w:val="24"/>
                <w:highlight w:val="none"/>
                <w:lang w:val="en-US" w:eastAsia="zh-CN"/>
              </w:rPr>
              <w:t>*</w:t>
            </w:r>
            <w:r>
              <w:rPr>
                <w:rFonts w:hint="eastAsia" w:ascii="方正仿宋_GBK" w:hAnsi="方正仿宋_GBK" w:eastAsia="方正仿宋_GBK" w:cs="方正仿宋_GBK"/>
                <w:b w:val="0"/>
                <w:bCs w:val="0"/>
                <w:sz w:val="24"/>
                <w:szCs w:val="24"/>
                <w:highlight w:val="none"/>
                <w:lang w:val="en-US" w:eastAsia="zh-CN"/>
              </w:rPr>
              <w:t>宽</w:t>
            </w:r>
            <w:r>
              <w:rPr>
                <w:rFonts w:hint="default" w:ascii="方正仿宋_GBK" w:hAnsi="方正仿宋_GBK" w:eastAsia="方正仿宋_GBK" w:cs="方正仿宋_GBK"/>
                <w:b w:val="0"/>
                <w:bCs w:val="0"/>
                <w:sz w:val="24"/>
                <w:szCs w:val="24"/>
                <w:highlight w:val="none"/>
                <w:lang w:val="en-US" w:eastAsia="zh-CN"/>
              </w:rPr>
              <w:t>*</w:t>
            </w:r>
            <w:r>
              <w:rPr>
                <w:rFonts w:hint="eastAsia" w:ascii="方正仿宋_GBK" w:hAnsi="方正仿宋_GBK" w:eastAsia="方正仿宋_GBK" w:cs="方正仿宋_GBK"/>
                <w:b w:val="0"/>
                <w:bCs w:val="0"/>
                <w:sz w:val="24"/>
                <w:szCs w:val="24"/>
                <w:highlight w:val="none"/>
                <w:lang w:val="en-US" w:eastAsia="zh-CN"/>
              </w:rPr>
              <w:t>高）:≥（</w:t>
            </w:r>
            <w:r>
              <w:rPr>
                <w:rFonts w:hint="default" w:ascii="方正仿宋_GBK" w:hAnsi="方正仿宋_GBK" w:eastAsia="方正仿宋_GBK" w:cs="方正仿宋_GBK"/>
                <w:b w:val="0"/>
                <w:bCs w:val="0"/>
                <w:sz w:val="24"/>
                <w:szCs w:val="24"/>
                <w:highlight w:val="none"/>
                <w:lang w:val="en-US" w:eastAsia="zh-CN"/>
              </w:rPr>
              <w:t>450 - 480</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mm*400mm - 480mm*</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750 - 820</w:t>
            </w:r>
            <w:r>
              <w:rPr>
                <w:rFonts w:hint="eastAsia" w:ascii="方正仿宋_GBK" w:hAnsi="方正仿宋_GBK" w:eastAsia="方正仿宋_GBK" w:cs="方正仿宋_GBK"/>
                <w:b w:val="0"/>
                <w:bCs w:val="0"/>
                <w:sz w:val="24"/>
                <w:szCs w:val="24"/>
                <w:highlight w:val="none"/>
                <w:lang w:val="en-US" w:eastAsia="zh-CN"/>
              </w:rPr>
              <w:t>）</w:t>
            </w:r>
            <w:r>
              <w:rPr>
                <w:rFonts w:hint="default" w:ascii="方正仿宋_GBK" w:hAnsi="方正仿宋_GBK" w:eastAsia="方正仿宋_GBK" w:cs="方正仿宋_GBK"/>
                <w:b w:val="0"/>
                <w:bCs w:val="0"/>
                <w:sz w:val="24"/>
                <w:szCs w:val="24"/>
                <w:highlight w:val="none"/>
                <w:lang w:val="en-US" w:eastAsia="zh-CN"/>
              </w:rPr>
              <w:t>mm</w:t>
            </w:r>
            <w:r>
              <w:rPr>
                <w:rFonts w:hint="eastAsia" w:ascii="方正仿宋_GBK" w:hAnsi="方正仿宋_GBK" w:eastAsia="方正仿宋_GBK" w:cs="方正仿宋_GBK"/>
                <w:b w:val="0"/>
                <w:bCs w:val="0"/>
                <w:sz w:val="24"/>
                <w:szCs w:val="24"/>
                <w:highlight w:val="none"/>
                <w:lang w:val="en-US" w:eastAsia="zh-CN"/>
              </w:rPr>
              <w:t>。</w:t>
            </w:r>
          </w:p>
        </w:tc>
        <w:tc>
          <w:tcPr>
            <w:tcW w:w="1000" w:type="dxa"/>
            <w:noWrap w:val="0"/>
            <w:vAlign w:val="center"/>
          </w:tcPr>
          <w:p w14:paraId="3EDD3273">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20</w:t>
            </w:r>
          </w:p>
        </w:tc>
        <w:tc>
          <w:tcPr>
            <w:tcW w:w="937" w:type="dxa"/>
            <w:noWrap w:val="0"/>
            <w:vAlign w:val="center"/>
          </w:tcPr>
          <w:p w14:paraId="59EE6DCC">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个</w:t>
            </w:r>
          </w:p>
        </w:tc>
        <w:tc>
          <w:tcPr>
            <w:tcW w:w="905" w:type="dxa"/>
            <w:noWrap w:val="0"/>
            <w:vAlign w:val="top"/>
          </w:tcPr>
          <w:p w14:paraId="173FA213">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sz w:val="28"/>
                <w:szCs w:val="28"/>
                <w:highlight w:val="lightGray"/>
                <w:vertAlign w:val="baseline"/>
                <w:lang w:val="en-US" w:eastAsia="zh-CN"/>
              </w:rPr>
            </w:pPr>
          </w:p>
        </w:tc>
      </w:tr>
      <w:tr w14:paraId="3F338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noWrap w:val="0"/>
            <w:vAlign w:val="center"/>
          </w:tcPr>
          <w:p w14:paraId="6C3E9A7F">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sz w:val="28"/>
                <w:szCs w:val="28"/>
                <w:highlight w:val="none"/>
                <w:vertAlign w:val="baseline"/>
                <w:lang w:val="en-US" w:eastAsia="zh-CN"/>
              </w:rPr>
            </w:pPr>
          </w:p>
        </w:tc>
        <w:tc>
          <w:tcPr>
            <w:tcW w:w="1900" w:type="dxa"/>
            <w:noWrap w:val="0"/>
            <w:vAlign w:val="center"/>
          </w:tcPr>
          <w:p w14:paraId="70D3EB1B">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吧椅</w:t>
            </w:r>
          </w:p>
        </w:tc>
        <w:tc>
          <w:tcPr>
            <w:tcW w:w="5223" w:type="dxa"/>
            <w:noWrap w:val="0"/>
            <w:vAlign w:val="center"/>
          </w:tcPr>
          <w:p w14:paraId="21D38E48">
            <w:pPr>
              <w:keepNext w:val="0"/>
              <w:keepLines w:val="0"/>
              <w:pageBreakBefore w:val="0"/>
              <w:widowControl/>
              <w:numPr>
                <w:ilvl w:val="0"/>
                <w:numId w:val="29"/>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靠板材质</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实木板</w:t>
            </w:r>
            <w:r>
              <w:rPr>
                <w:rFonts w:hint="eastAsia" w:ascii="方正仿宋_GBK" w:hAnsi="方正仿宋_GBK" w:eastAsia="方正仿宋_GBK" w:cs="方正仿宋_GBK"/>
                <w:b w:val="0"/>
                <w:bCs w:val="0"/>
                <w:color w:val="auto"/>
                <w:sz w:val="24"/>
                <w:szCs w:val="24"/>
                <w:highlight w:val="none"/>
                <w:lang w:val="en-US" w:eastAsia="zh-CN"/>
              </w:rPr>
              <w:t>；</w:t>
            </w:r>
          </w:p>
          <w:p w14:paraId="767311F9">
            <w:pPr>
              <w:keepNext w:val="0"/>
              <w:keepLines w:val="0"/>
              <w:pageBreakBefore w:val="0"/>
              <w:widowControl/>
              <w:numPr>
                <w:ilvl w:val="0"/>
                <w:numId w:val="29"/>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靠板甲醛释放限量等级</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E1</w:t>
            </w:r>
            <w:r>
              <w:rPr>
                <w:rFonts w:hint="eastAsia" w:ascii="方正仿宋_GBK" w:hAnsi="方正仿宋_GBK" w:eastAsia="方正仿宋_GBK" w:cs="方正仿宋_GBK"/>
                <w:b w:val="0"/>
                <w:bCs w:val="0"/>
                <w:color w:val="auto"/>
                <w:sz w:val="24"/>
                <w:szCs w:val="24"/>
                <w:highlight w:val="none"/>
                <w:lang w:val="en-US" w:eastAsia="zh-CN"/>
              </w:rPr>
              <w:t>；</w:t>
            </w:r>
          </w:p>
          <w:p w14:paraId="50AB4766">
            <w:pPr>
              <w:keepNext w:val="0"/>
              <w:keepLines w:val="0"/>
              <w:pageBreakBefore w:val="0"/>
              <w:widowControl/>
              <w:numPr>
                <w:ilvl w:val="0"/>
                <w:numId w:val="29"/>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座板材质</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实木板</w:t>
            </w:r>
            <w:r>
              <w:rPr>
                <w:rFonts w:hint="eastAsia" w:ascii="方正仿宋_GBK" w:hAnsi="方正仿宋_GBK" w:eastAsia="方正仿宋_GBK" w:cs="方正仿宋_GBK"/>
                <w:b w:val="0"/>
                <w:bCs w:val="0"/>
                <w:color w:val="auto"/>
                <w:sz w:val="24"/>
                <w:szCs w:val="24"/>
                <w:highlight w:val="none"/>
                <w:lang w:val="en-US" w:eastAsia="zh-CN"/>
              </w:rPr>
              <w:t>；</w:t>
            </w:r>
          </w:p>
          <w:p w14:paraId="50B7038D">
            <w:pPr>
              <w:keepNext w:val="0"/>
              <w:keepLines w:val="0"/>
              <w:pageBreakBefore w:val="0"/>
              <w:widowControl/>
              <w:numPr>
                <w:ilvl w:val="0"/>
                <w:numId w:val="29"/>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座板甲醛释放限量等级</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E1</w:t>
            </w:r>
            <w:r>
              <w:rPr>
                <w:rFonts w:hint="eastAsia" w:ascii="方正仿宋_GBK" w:hAnsi="方正仿宋_GBK" w:eastAsia="方正仿宋_GBK" w:cs="方正仿宋_GBK"/>
                <w:b w:val="0"/>
                <w:bCs w:val="0"/>
                <w:color w:val="auto"/>
                <w:sz w:val="24"/>
                <w:szCs w:val="24"/>
                <w:highlight w:val="none"/>
                <w:lang w:val="en-US" w:eastAsia="zh-CN"/>
              </w:rPr>
              <w:t>；</w:t>
            </w:r>
          </w:p>
          <w:p w14:paraId="0EC9907C">
            <w:pPr>
              <w:keepNext w:val="0"/>
              <w:keepLines w:val="0"/>
              <w:pageBreakBefore w:val="0"/>
              <w:widowControl/>
              <w:numPr>
                <w:ilvl w:val="0"/>
                <w:numId w:val="29"/>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饰面材质</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西皮</w:t>
            </w:r>
            <w:r>
              <w:rPr>
                <w:rFonts w:hint="eastAsia" w:ascii="方正仿宋_GBK" w:hAnsi="方正仿宋_GBK" w:eastAsia="方正仿宋_GBK" w:cs="方正仿宋_GBK"/>
                <w:b w:val="0"/>
                <w:bCs w:val="0"/>
                <w:color w:val="auto"/>
                <w:sz w:val="24"/>
                <w:szCs w:val="24"/>
                <w:highlight w:val="none"/>
                <w:lang w:val="en-US" w:eastAsia="zh-CN"/>
              </w:rPr>
              <w:t>；</w:t>
            </w:r>
          </w:p>
          <w:p w14:paraId="4F48F833">
            <w:pPr>
              <w:keepNext w:val="0"/>
              <w:keepLines w:val="0"/>
              <w:pageBreakBefore w:val="0"/>
              <w:widowControl/>
              <w:numPr>
                <w:ilvl w:val="0"/>
                <w:numId w:val="29"/>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脚架材质</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冷轧钢板</w:t>
            </w:r>
            <w:r>
              <w:rPr>
                <w:rFonts w:hint="eastAsia" w:ascii="方正仿宋_GBK" w:hAnsi="方正仿宋_GBK" w:eastAsia="方正仿宋_GBK" w:cs="方正仿宋_GBK"/>
                <w:b w:val="0"/>
                <w:bCs w:val="0"/>
                <w:color w:val="auto"/>
                <w:sz w:val="24"/>
                <w:szCs w:val="24"/>
                <w:highlight w:val="none"/>
                <w:lang w:val="en-US" w:eastAsia="zh-CN"/>
              </w:rPr>
              <w:t>，钢板的厚度≥</w:t>
            </w:r>
            <w:r>
              <w:rPr>
                <w:rFonts w:ascii="Segoe UI" w:hAnsi="Segoe UI" w:eastAsia="Segoe UI" w:cs="Segoe UI"/>
                <w:i w:val="0"/>
                <w:iCs w:val="0"/>
                <w:caps w:val="0"/>
                <w:color w:val="auto"/>
                <w:spacing w:val="0"/>
                <w:sz w:val="24"/>
                <w:szCs w:val="24"/>
                <w:highlight w:val="none"/>
                <w:shd w:val="clear" w:fill="FFFFFF"/>
              </w:rPr>
              <w:t>1.5mm</w:t>
            </w:r>
            <w:r>
              <w:rPr>
                <w:rFonts w:hint="eastAsia" w:ascii="Segoe UI" w:hAnsi="Segoe UI" w:eastAsia="宋体" w:cs="Segoe UI"/>
                <w:i w:val="0"/>
                <w:iCs w:val="0"/>
                <w:caps w:val="0"/>
                <w:color w:val="auto"/>
                <w:spacing w:val="0"/>
                <w:sz w:val="24"/>
                <w:szCs w:val="24"/>
                <w:highlight w:val="none"/>
                <w:shd w:val="clear" w:fill="FFFFFF"/>
                <w:lang w:eastAsia="zh-CN"/>
              </w:rPr>
              <w:t>；</w:t>
            </w:r>
          </w:p>
          <w:p w14:paraId="6B343A79">
            <w:pPr>
              <w:keepNext w:val="0"/>
              <w:keepLines w:val="0"/>
              <w:pageBreakBefore w:val="0"/>
              <w:widowControl/>
              <w:numPr>
                <w:ilvl w:val="0"/>
                <w:numId w:val="29"/>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五金配件</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螺丝五金</w:t>
            </w:r>
            <w:r>
              <w:rPr>
                <w:rFonts w:hint="eastAsia" w:ascii="方正仿宋_GBK" w:hAnsi="方正仿宋_GBK" w:eastAsia="方正仿宋_GBK" w:cs="方正仿宋_GBK"/>
                <w:b w:val="0"/>
                <w:bCs w:val="0"/>
                <w:color w:val="auto"/>
                <w:sz w:val="24"/>
                <w:szCs w:val="24"/>
                <w:highlight w:val="none"/>
                <w:lang w:val="en-US" w:eastAsia="zh-CN"/>
              </w:rPr>
              <w:t>；</w:t>
            </w:r>
          </w:p>
          <w:p w14:paraId="7B14D45E">
            <w:pPr>
              <w:keepNext w:val="0"/>
              <w:keepLines w:val="0"/>
              <w:pageBreakBefore w:val="0"/>
              <w:widowControl/>
              <w:numPr>
                <w:ilvl w:val="0"/>
                <w:numId w:val="29"/>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覆面材料</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西皮</w:t>
            </w:r>
            <w:r>
              <w:rPr>
                <w:rFonts w:hint="eastAsia" w:ascii="方正仿宋_GBK" w:hAnsi="方正仿宋_GBK" w:eastAsia="方正仿宋_GBK" w:cs="方正仿宋_GBK"/>
                <w:b w:val="0"/>
                <w:bCs w:val="0"/>
                <w:color w:val="auto"/>
                <w:sz w:val="24"/>
                <w:szCs w:val="24"/>
                <w:highlight w:val="none"/>
                <w:lang w:val="en-US" w:eastAsia="zh-CN"/>
              </w:rPr>
              <w:t>；</w:t>
            </w:r>
          </w:p>
          <w:p w14:paraId="679D26BD">
            <w:pPr>
              <w:keepNext w:val="0"/>
              <w:keepLines w:val="0"/>
              <w:pageBreakBefore w:val="0"/>
              <w:widowControl/>
              <w:numPr>
                <w:ilvl w:val="0"/>
                <w:numId w:val="29"/>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填充物</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高密度冷发泡定型海绵</w:t>
            </w:r>
            <w:r>
              <w:rPr>
                <w:rFonts w:hint="eastAsia" w:ascii="方正仿宋_GBK" w:hAnsi="方正仿宋_GBK" w:eastAsia="方正仿宋_GBK" w:cs="方正仿宋_GBK"/>
                <w:b w:val="0"/>
                <w:bCs w:val="0"/>
                <w:color w:val="auto"/>
                <w:sz w:val="24"/>
                <w:szCs w:val="24"/>
                <w:highlight w:val="none"/>
                <w:lang w:val="en-US" w:eastAsia="zh-CN"/>
              </w:rPr>
              <w:t>；</w:t>
            </w:r>
          </w:p>
          <w:p w14:paraId="1086BE97">
            <w:pPr>
              <w:keepNext w:val="0"/>
              <w:keepLines w:val="0"/>
              <w:pageBreakBefore w:val="0"/>
              <w:widowControl/>
              <w:numPr>
                <w:ilvl w:val="0"/>
                <w:numId w:val="29"/>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是否可旋转</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是</w:t>
            </w:r>
            <w:r>
              <w:rPr>
                <w:rFonts w:hint="eastAsia" w:ascii="方正仿宋_GBK" w:hAnsi="方正仿宋_GBK" w:eastAsia="方正仿宋_GBK" w:cs="方正仿宋_GBK"/>
                <w:b w:val="0"/>
                <w:bCs w:val="0"/>
                <w:color w:val="auto"/>
                <w:sz w:val="24"/>
                <w:szCs w:val="24"/>
                <w:highlight w:val="none"/>
                <w:lang w:val="en-US" w:eastAsia="zh-CN"/>
              </w:rPr>
              <w:t>；</w:t>
            </w:r>
          </w:p>
          <w:p w14:paraId="4BB5D2E4">
            <w:pPr>
              <w:keepNext w:val="0"/>
              <w:keepLines w:val="0"/>
              <w:pageBreakBefore w:val="0"/>
              <w:widowControl/>
              <w:numPr>
                <w:ilvl w:val="0"/>
                <w:numId w:val="29"/>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是否有扶手</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否</w:t>
            </w:r>
            <w:r>
              <w:rPr>
                <w:rFonts w:hint="eastAsia" w:ascii="方正仿宋_GBK" w:hAnsi="方正仿宋_GBK" w:eastAsia="方正仿宋_GBK" w:cs="方正仿宋_GBK"/>
                <w:b w:val="0"/>
                <w:bCs w:val="0"/>
                <w:color w:val="auto"/>
                <w:sz w:val="24"/>
                <w:szCs w:val="24"/>
                <w:highlight w:val="none"/>
                <w:lang w:val="en-US" w:eastAsia="zh-CN"/>
              </w:rPr>
              <w:t>；</w:t>
            </w:r>
          </w:p>
          <w:p w14:paraId="67FC697D">
            <w:pPr>
              <w:keepNext w:val="0"/>
              <w:keepLines w:val="0"/>
              <w:pageBreakBefore w:val="0"/>
              <w:widowControl/>
              <w:numPr>
                <w:ilvl w:val="0"/>
                <w:numId w:val="29"/>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vertAlign w:val="baseline"/>
                <w:lang w:val="en-US" w:eastAsia="zh-CN"/>
              </w:rPr>
            </w:pPr>
            <w:r>
              <w:rPr>
                <w:rFonts w:hint="default" w:ascii="方正仿宋_GBK" w:hAnsi="方正仿宋_GBK" w:eastAsia="方正仿宋_GBK" w:cs="方正仿宋_GBK"/>
                <w:b w:val="0"/>
                <w:bCs w:val="0"/>
                <w:color w:val="auto"/>
                <w:sz w:val="24"/>
                <w:szCs w:val="24"/>
                <w:highlight w:val="none"/>
                <w:lang w:val="en-US" w:eastAsia="zh-CN"/>
              </w:rPr>
              <w:t>上门安装、调试</w:t>
            </w:r>
            <w:r>
              <w:rPr>
                <w:rFonts w:hint="eastAsia" w:ascii="方正仿宋_GBK" w:hAnsi="方正仿宋_GBK" w:eastAsia="方正仿宋_GBK" w:cs="方正仿宋_GBK"/>
                <w:b w:val="0"/>
                <w:bCs w:val="0"/>
                <w:color w:val="auto"/>
                <w:sz w:val="24"/>
                <w:szCs w:val="24"/>
                <w:highlight w:val="none"/>
                <w:lang w:val="en-US" w:eastAsia="zh-CN"/>
              </w:rPr>
              <w:t>；</w:t>
            </w:r>
          </w:p>
          <w:p w14:paraId="0AAE66BB">
            <w:pPr>
              <w:keepNext w:val="0"/>
              <w:keepLines w:val="0"/>
              <w:pageBreakBefore w:val="0"/>
              <w:widowControl/>
              <w:numPr>
                <w:ilvl w:val="0"/>
                <w:numId w:val="29"/>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vertAlign w:val="baseline"/>
                <w:lang w:val="en-US" w:eastAsia="zh-CN"/>
              </w:rPr>
            </w:pPr>
            <w:r>
              <w:rPr>
                <w:rFonts w:hint="default" w:ascii="方正仿宋_GBK" w:hAnsi="方正仿宋_GBK" w:eastAsia="方正仿宋_GBK" w:cs="方正仿宋_GBK"/>
                <w:b w:val="0"/>
                <w:bCs w:val="0"/>
                <w:color w:val="auto"/>
                <w:sz w:val="24"/>
                <w:szCs w:val="24"/>
                <w:highlight w:val="none"/>
                <w:lang w:val="en-US" w:eastAsia="zh-CN"/>
              </w:rPr>
              <w:t>是否组装</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是</w:t>
            </w:r>
            <w:r>
              <w:rPr>
                <w:rFonts w:hint="eastAsia" w:ascii="方正仿宋_GBK" w:hAnsi="方正仿宋_GBK" w:eastAsia="方正仿宋_GBK" w:cs="方正仿宋_GBK"/>
                <w:b w:val="0"/>
                <w:bCs w:val="0"/>
                <w:color w:val="auto"/>
                <w:sz w:val="24"/>
                <w:szCs w:val="24"/>
                <w:highlight w:val="none"/>
                <w:lang w:val="en-US" w:eastAsia="zh-CN"/>
              </w:rPr>
              <w:t>。</w:t>
            </w:r>
          </w:p>
        </w:tc>
        <w:tc>
          <w:tcPr>
            <w:tcW w:w="1000" w:type="dxa"/>
            <w:noWrap w:val="0"/>
            <w:vAlign w:val="center"/>
          </w:tcPr>
          <w:p w14:paraId="582DF30B">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b w:val="0"/>
                <w:bCs w:val="0"/>
                <w:color w:val="auto"/>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5</w:t>
            </w:r>
          </w:p>
        </w:tc>
        <w:tc>
          <w:tcPr>
            <w:tcW w:w="937" w:type="dxa"/>
            <w:noWrap w:val="0"/>
            <w:vAlign w:val="center"/>
          </w:tcPr>
          <w:p w14:paraId="1728882F">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张</w:t>
            </w:r>
          </w:p>
        </w:tc>
        <w:tc>
          <w:tcPr>
            <w:tcW w:w="905" w:type="dxa"/>
            <w:noWrap w:val="0"/>
            <w:vAlign w:val="top"/>
          </w:tcPr>
          <w:p w14:paraId="0E8B4AAA">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color w:val="auto"/>
                <w:sz w:val="28"/>
                <w:szCs w:val="28"/>
                <w:highlight w:val="none"/>
                <w:vertAlign w:val="baseline"/>
                <w:lang w:val="en-US" w:eastAsia="zh-CN"/>
              </w:rPr>
            </w:pPr>
          </w:p>
        </w:tc>
      </w:tr>
      <w:tr w14:paraId="4AA43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noWrap w:val="0"/>
            <w:vAlign w:val="center"/>
          </w:tcPr>
          <w:p w14:paraId="1C29C0D5">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sz w:val="28"/>
                <w:szCs w:val="28"/>
                <w:highlight w:val="none"/>
                <w:vertAlign w:val="baseline"/>
                <w:lang w:val="en-US" w:eastAsia="zh-CN"/>
              </w:rPr>
            </w:pPr>
          </w:p>
        </w:tc>
        <w:tc>
          <w:tcPr>
            <w:tcW w:w="1900" w:type="dxa"/>
            <w:noWrap w:val="0"/>
            <w:vAlign w:val="center"/>
          </w:tcPr>
          <w:p w14:paraId="25839EA4">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高低床</w:t>
            </w:r>
          </w:p>
        </w:tc>
        <w:tc>
          <w:tcPr>
            <w:tcW w:w="5223" w:type="dxa"/>
            <w:noWrap w:val="0"/>
            <w:vAlign w:val="center"/>
          </w:tcPr>
          <w:p w14:paraId="303C23A7">
            <w:pPr>
              <w:keepNext w:val="0"/>
              <w:keepLines w:val="0"/>
              <w:pageBreakBefore w:val="0"/>
              <w:widowControl/>
              <w:numPr>
                <w:ilvl w:val="0"/>
                <w:numId w:val="30"/>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木</w:t>
            </w:r>
            <w:r>
              <w:rPr>
                <w:rFonts w:hint="eastAsia" w:ascii="方正仿宋_GBK" w:hAnsi="方正仿宋_GBK" w:eastAsia="方正仿宋_GBK" w:cs="方正仿宋_GBK"/>
                <w:b w:val="0"/>
                <w:bCs w:val="0"/>
                <w:color w:val="auto"/>
                <w:sz w:val="24"/>
                <w:szCs w:val="24"/>
                <w:highlight w:val="none"/>
                <w:lang w:val="en-US" w:eastAsia="zh-CN"/>
              </w:rPr>
              <w:t>质</w:t>
            </w:r>
            <w:r>
              <w:rPr>
                <w:rFonts w:hint="default" w:ascii="方正仿宋_GBK" w:hAnsi="方正仿宋_GBK" w:eastAsia="方正仿宋_GBK" w:cs="方正仿宋_GBK"/>
                <w:b w:val="0"/>
                <w:bCs w:val="0"/>
                <w:color w:val="auto"/>
                <w:sz w:val="24"/>
                <w:szCs w:val="24"/>
                <w:highlight w:val="none"/>
                <w:lang w:val="en-US" w:eastAsia="zh-CN"/>
              </w:rPr>
              <w:t>上下双层多功能高低床</w:t>
            </w:r>
            <w:r>
              <w:rPr>
                <w:rFonts w:hint="eastAsia" w:ascii="方正仿宋_GBK" w:hAnsi="方正仿宋_GBK" w:eastAsia="方正仿宋_GBK" w:cs="方正仿宋_GBK"/>
                <w:b w:val="0"/>
                <w:bCs w:val="0"/>
                <w:color w:val="auto"/>
                <w:sz w:val="24"/>
                <w:szCs w:val="24"/>
                <w:highlight w:val="none"/>
                <w:lang w:val="en-US" w:eastAsia="zh-CN"/>
              </w:rPr>
              <w:t>，下床宽1.5米，上床宽1.2米；</w:t>
            </w:r>
          </w:p>
          <w:p w14:paraId="68C3E060">
            <w:pPr>
              <w:keepNext w:val="0"/>
              <w:keepLines w:val="0"/>
              <w:pageBreakBefore w:val="0"/>
              <w:widowControl/>
              <w:numPr>
                <w:ilvl w:val="0"/>
                <w:numId w:val="30"/>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床架结构</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框架结构</w:t>
            </w:r>
            <w:r>
              <w:rPr>
                <w:rFonts w:hint="eastAsia" w:ascii="方正仿宋_GBK" w:hAnsi="方正仿宋_GBK" w:eastAsia="方正仿宋_GBK" w:cs="方正仿宋_GBK"/>
                <w:b w:val="0"/>
                <w:bCs w:val="0"/>
                <w:color w:val="auto"/>
                <w:sz w:val="24"/>
                <w:szCs w:val="24"/>
                <w:highlight w:val="none"/>
                <w:lang w:val="en-US" w:eastAsia="zh-CN"/>
              </w:rPr>
              <w:t>；</w:t>
            </w:r>
          </w:p>
          <w:p w14:paraId="0B7ADFCC">
            <w:pPr>
              <w:keepNext w:val="0"/>
              <w:keepLines w:val="0"/>
              <w:pageBreakBefore w:val="0"/>
              <w:widowControl/>
              <w:numPr>
                <w:ilvl w:val="0"/>
                <w:numId w:val="30"/>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床架材质</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中纤板</w:t>
            </w:r>
            <w:r>
              <w:rPr>
                <w:rFonts w:hint="eastAsia" w:ascii="方正仿宋_GBK" w:hAnsi="方正仿宋_GBK" w:eastAsia="方正仿宋_GBK" w:cs="方正仿宋_GBK"/>
                <w:b w:val="0"/>
                <w:bCs w:val="0"/>
                <w:color w:val="auto"/>
                <w:sz w:val="24"/>
                <w:szCs w:val="24"/>
                <w:highlight w:val="none"/>
                <w:lang w:val="en-US" w:eastAsia="zh-CN"/>
              </w:rPr>
              <w:t>；</w:t>
            </w:r>
          </w:p>
          <w:p w14:paraId="661AA205">
            <w:pPr>
              <w:keepNext w:val="0"/>
              <w:keepLines w:val="0"/>
              <w:pageBreakBefore w:val="0"/>
              <w:widowControl/>
              <w:numPr>
                <w:ilvl w:val="0"/>
                <w:numId w:val="30"/>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床板材质</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中纤板</w:t>
            </w:r>
            <w:r>
              <w:rPr>
                <w:rFonts w:hint="eastAsia" w:ascii="方正仿宋_GBK" w:hAnsi="方正仿宋_GBK" w:eastAsia="方正仿宋_GBK" w:cs="方正仿宋_GBK"/>
                <w:b w:val="0"/>
                <w:bCs w:val="0"/>
                <w:color w:val="auto"/>
                <w:sz w:val="24"/>
                <w:szCs w:val="24"/>
                <w:highlight w:val="none"/>
                <w:lang w:val="en-US" w:eastAsia="zh-CN"/>
              </w:rPr>
              <w:t>；</w:t>
            </w:r>
          </w:p>
          <w:p w14:paraId="32BDB72A">
            <w:pPr>
              <w:keepNext w:val="0"/>
              <w:keepLines w:val="0"/>
              <w:pageBreakBefore w:val="0"/>
              <w:widowControl/>
              <w:numPr>
                <w:ilvl w:val="0"/>
                <w:numId w:val="30"/>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基材甲醛释放限量等级</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E1</w:t>
            </w:r>
            <w:r>
              <w:rPr>
                <w:rFonts w:hint="eastAsia" w:ascii="方正仿宋_GBK" w:hAnsi="方正仿宋_GBK" w:eastAsia="方正仿宋_GBK" w:cs="方正仿宋_GBK"/>
                <w:b w:val="0"/>
                <w:bCs w:val="0"/>
                <w:color w:val="auto"/>
                <w:sz w:val="24"/>
                <w:szCs w:val="24"/>
                <w:highlight w:val="none"/>
                <w:lang w:val="en-US" w:eastAsia="zh-CN"/>
              </w:rPr>
              <w:t>；</w:t>
            </w:r>
          </w:p>
          <w:p w14:paraId="09E8FE79">
            <w:pPr>
              <w:keepNext w:val="0"/>
              <w:keepLines w:val="0"/>
              <w:pageBreakBefore w:val="0"/>
              <w:widowControl/>
              <w:numPr>
                <w:ilvl w:val="0"/>
                <w:numId w:val="30"/>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饰面材质</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实木皮</w:t>
            </w:r>
            <w:r>
              <w:rPr>
                <w:rFonts w:hint="eastAsia" w:ascii="方正仿宋_GBK" w:hAnsi="方正仿宋_GBK" w:eastAsia="方正仿宋_GBK" w:cs="方正仿宋_GBK"/>
                <w:b w:val="0"/>
                <w:bCs w:val="0"/>
                <w:color w:val="auto"/>
                <w:sz w:val="24"/>
                <w:szCs w:val="24"/>
                <w:highlight w:val="none"/>
                <w:lang w:val="en-US" w:eastAsia="zh-CN"/>
              </w:rPr>
              <w:t>；</w:t>
            </w:r>
          </w:p>
          <w:p w14:paraId="1414805F">
            <w:pPr>
              <w:keepNext w:val="0"/>
              <w:keepLines w:val="0"/>
              <w:pageBreakBefore w:val="0"/>
              <w:widowControl/>
              <w:numPr>
                <w:ilvl w:val="0"/>
                <w:numId w:val="30"/>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封边材质</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实木皮</w:t>
            </w:r>
            <w:r>
              <w:rPr>
                <w:rFonts w:hint="eastAsia" w:ascii="方正仿宋_GBK" w:hAnsi="方正仿宋_GBK" w:eastAsia="方正仿宋_GBK" w:cs="方正仿宋_GBK"/>
                <w:b w:val="0"/>
                <w:bCs w:val="0"/>
                <w:color w:val="auto"/>
                <w:sz w:val="24"/>
                <w:szCs w:val="24"/>
                <w:highlight w:val="none"/>
                <w:lang w:val="en-US" w:eastAsia="zh-CN"/>
              </w:rPr>
              <w:t>；</w:t>
            </w:r>
          </w:p>
          <w:p w14:paraId="15A0DBFC">
            <w:pPr>
              <w:keepNext w:val="0"/>
              <w:keepLines w:val="0"/>
              <w:pageBreakBefore w:val="0"/>
              <w:widowControl/>
              <w:numPr>
                <w:ilvl w:val="0"/>
                <w:numId w:val="30"/>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五金配件</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普通铰链</w:t>
            </w:r>
            <w:r>
              <w:rPr>
                <w:rFonts w:hint="eastAsia" w:ascii="方正仿宋_GBK" w:hAnsi="方正仿宋_GBK" w:eastAsia="方正仿宋_GBK" w:cs="方正仿宋_GBK"/>
                <w:b w:val="0"/>
                <w:bCs w:val="0"/>
                <w:color w:val="auto"/>
                <w:sz w:val="24"/>
                <w:szCs w:val="24"/>
                <w:highlight w:val="none"/>
                <w:lang w:val="en-US" w:eastAsia="zh-CN"/>
              </w:rPr>
              <w:t>；</w:t>
            </w:r>
          </w:p>
          <w:p w14:paraId="79BD45BB">
            <w:pPr>
              <w:keepNext w:val="0"/>
              <w:keepLines w:val="0"/>
              <w:pageBreakBefore w:val="0"/>
              <w:widowControl/>
              <w:numPr>
                <w:ilvl w:val="0"/>
                <w:numId w:val="30"/>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油漆工艺</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聚氨酯涂料(PU)</w:t>
            </w:r>
            <w:r>
              <w:rPr>
                <w:rFonts w:hint="eastAsia" w:ascii="方正仿宋_GBK" w:hAnsi="方正仿宋_GBK" w:eastAsia="方正仿宋_GBK" w:cs="方正仿宋_GBK"/>
                <w:b w:val="0"/>
                <w:bCs w:val="0"/>
                <w:color w:val="auto"/>
                <w:sz w:val="24"/>
                <w:szCs w:val="24"/>
                <w:highlight w:val="none"/>
                <w:lang w:val="en-US" w:eastAsia="zh-CN"/>
              </w:rPr>
              <w:t>；</w:t>
            </w:r>
          </w:p>
          <w:p w14:paraId="0C484DCC">
            <w:pPr>
              <w:keepNext w:val="0"/>
              <w:keepLines w:val="0"/>
              <w:pageBreakBefore w:val="0"/>
              <w:widowControl/>
              <w:numPr>
                <w:ilvl w:val="0"/>
                <w:numId w:val="30"/>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抽屉</w:t>
            </w:r>
            <w:r>
              <w:rPr>
                <w:rFonts w:hint="default" w:ascii="方正仿宋_GBK" w:hAnsi="方正仿宋_GBK" w:eastAsia="方正仿宋_GBK" w:cs="方正仿宋_GBK"/>
                <w:b w:val="0"/>
                <w:bCs w:val="0"/>
                <w:color w:val="auto"/>
                <w:sz w:val="24"/>
                <w:szCs w:val="24"/>
                <w:highlight w:val="none"/>
                <w:lang w:val="en-US" w:eastAsia="zh-CN"/>
              </w:rPr>
              <w:t>功能</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带滚轮</w:t>
            </w:r>
            <w:r>
              <w:rPr>
                <w:rFonts w:hint="eastAsia" w:ascii="方正仿宋_GBK" w:hAnsi="方正仿宋_GBK" w:eastAsia="方正仿宋_GBK" w:cs="方正仿宋_GBK"/>
                <w:b w:val="0"/>
                <w:bCs w:val="0"/>
                <w:color w:val="auto"/>
                <w:sz w:val="24"/>
                <w:szCs w:val="24"/>
                <w:highlight w:val="none"/>
                <w:lang w:val="en-US" w:eastAsia="zh-CN"/>
              </w:rPr>
              <w:t>；</w:t>
            </w:r>
          </w:p>
          <w:p w14:paraId="50CCE79A">
            <w:pPr>
              <w:keepNext w:val="0"/>
              <w:keepLines w:val="0"/>
              <w:pageBreakBefore w:val="0"/>
              <w:widowControl/>
              <w:numPr>
                <w:ilvl w:val="0"/>
                <w:numId w:val="30"/>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带抽屉3个以上，楼梯。</w:t>
            </w:r>
          </w:p>
        </w:tc>
        <w:tc>
          <w:tcPr>
            <w:tcW w:w="1000" w:type="dxa"/>
            <w:noWrap w:val="0"/>
            <w:vAlign w:val="center"/>
          </w:tcPr>
          <w:p w14:paraId="2E6FAC11">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2</w:t>
            </w:r>
          </w:p>
        </w:tc>
        <w:tc>
          <w:tcPr>
            <w:tcW w:w="937" w:type="dxa"/>
            <w:noWrap w:val="0"/>
            <w:vAlign w:val="center"/>
          </w:tcPr>
          <w:p w14:paraId="28F93174">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张</w:t>
            </w:r>
          </w:p>
        </w:tc>
        <w:tc>
          <w:tcPr>
            <w:tcW w:w="905" w:type="dxa"/>
            <w:noWrap w:val="0"/>
            <w:vAlign w:val="top"/>
          </w:tcPr>
          <w:p w14:paraId="5BE0FE8E">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sz w:val="28"/>
                <w:szCs w:val="28"/>
                <w:highlight w:val="lightGray"/>
                <w:vertAlign w:val="baseline"/>
                <w:lang w:val="en-US" w:eastAsia="zh-CN"/>
              </w:rPr>
            </w:pPr>
          </w:p>
        </w:tc>
      </w:tr>
      <w:tr w14:paraId="2000D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noWrap w:val="0"/>
            <w:vAlign w:val="center"/>
          </w:tcPr>
          <w:p w14:paraId="43323A9B">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sz w:val="28"/>
                <w:szCs w:val="28"/>
                <w:highlight w:val="none"/>
                <w:vertAlign w:val="baseline"/>
                <w:lang w:val="en-US" w:eastAsia="zh-CN"/>
              </w:rPr>
            </w:pPr>
          </w:p>
        </w:tc>
        <w:tc>
          <w:tcPr>
            <w:tcW w:w="1900" w:type="dxa"/>
            <w:noWrap w:val="0"/>
            <w:vAlign w:val="center"/>
          </w:tcPr>
          <w:p w14:paraId="17E85D5E">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中药柜</w:t>
            </w:r>
          </w:p>
        </w:tc>
        <w:tc>
          <w:tcPr>
            <w:tcW w:w="5223" w:type="dxa"/>
            <w:noWrap w:val="0"/>
            <w:vAlign w:val="center"/>
          </w:tcPr>
          <w:p w14:paraId="0707A468">
            <w:pPr>
              <w:keepNext w:val="0"/>
              <w:keepLines w:val="0"/>
              <w:pageBreakBefore w:val="0"/>
              <w:widowControl/>
              <w:numPr>
                <w:ilvl w:val="0"/>
                <w:numId w:val="31"/>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层数9层</w:t>
            </w:r>
            <w:r>
              <w:rPr>
                <w:rFonts w:hint="eastAsia" w:ascii="方正仿宋_GBK" w:hAnsi="方正仿宋_GBK" w:eastAsia="方正仿宋_GBK" w:cs="方正仿宋_GBK"/>
                <w:b w:val="0"/>
                <w:bCs w:val="0"/>
                <w:color w:val="auto"/>
                <w:sz w:val="24"/>
                <w:szCs w:val="24"/>
                <w:highlight w:val="none"/>
                <w:lang w:val="en-US" w:eastAsia="zh-CN"/>
              </w:rPr>
              <w:t>，每层抽屉6个以上；</w:t>
            </w:r>
          </w:p>
          <w:p w14:paraId="5966864B">
            <w:pPr>
              <w:keepNext w:val="0"/>
              <w:keepLines w:val="0"/>
              <w:pageBreakBefore w:val="0"/>
              <w:widowControl/>
              <w:numPr>
                <w:ilvl w:val="0"/>
                <w:numId w:val="31"/>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门数量</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3门</w:t>
            </w:r>
            <w:r>
              <w:rPr>
                <w:rFonts w:hint="eastAsia" w:ascii="方正仿宋_GBK" w:hAnsi="方正仿宋_GBK" w:eastAsia="方正仿宋_GBK" w:cs="方正仿宋_GBK"/>
                <w:b w:val="0"/>
                <w:bCs w:val="0"/>
                <w:color w:val="auto"/>
                <w:sz w:val="24"/>
                <w:szCs w:val="24"/>
                <w:highlight w:val="none"/>
                <w:lang w:val="en-US" w:eastAsia="zh-CN"/>
              </w:rPr>
              <w:t>；</w:t>
            </w:r>
          </w:p>
          <w:p w14:paraId="018BFD9F">
            <w:pPr>
              <w:keepNext w:val="0"/>
              <w:keepLines w:val="0"/>
              <w:pageBreakBefore w:val="0"/>
              <w:widowControl/>
              <w:numPr>
                <w:ilvl w:val="0"/>
                <w:numId w:val="31"/>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基材材质</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中纤板</w:t>
            </w:r>
            <w:r>
              <w:rPr>
                <w:rFonts w:hint="eastAsia" w:ascii="方正仿宋_GBK" w:hAnsi="方正仿宋_GBK" w:eastAsia="方正仿宋_GBK" w:cs="方正仿宋_GBK"/>
                <w:b w:val="0"/>
                <w:bCs w:val="0"/>
                <w:color w:val="auto"/>
                <w:sz w:val="24"/>
                <w:szCs w:val="24"/>
                <w:highlight w:val="none"/>
                <w:lang w:val="en-US" w:eastAsia="zh-CN"/>
              </w:rPr>
              <w:t>；</w:t>
            </w:r>
          </w:p>
          <w:p w14:paraId="02644388">
            <w:pPr>
              <w:keepNext w:val="0"/>
              <w:keepLines w:val="0"/>
              <w:pageBreakBefore w:val="0"/>
              <w:widowControl/>
              <w:numPr>
                <w:ilvl w:val="0"/>
                <w:numId w:val="31"/>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基材甲醛释放限量等级</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E1</w:t>
            </w:r>
            <w:r>
              <w:rPr>
                <w:rFonts w:hint="eastAsia" w:ascii="方正仿宋_GBK" w:hAnsi="方正仿宋_GBK" w:eastAsia="方正仿宋_GBK" w:cs="方正仿宋_GBK"/>
                <w:b w:val="0"/>
                <w:bCs w:val="0"/>
                <w:color w:val="auto"/>
                <w:sz w:val="24"/>
                <w:szCs w:val="24"/>
                <w:highlight w:val="none"/>
                <w:lang w:val="en-US" w:eastAsia="zh-CN"/>
              </w:rPr>
              <w:t>；</w:t>
            </w:r>
          </w:p>
          <w:p w14:paraId="64C7F7F4">
            <w:pPr>
              <w:keepNext w:val="0"/>
              <w:keepLines w:val="0"/>
              <w:pageBreakBefore w:val="0"/>
              <w:widowControl/>
              <w:numPr>
                <w:ilvl w:val="0"/>
                <w:numId w:val="31"/>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饰面材质</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实木皮</w:t>
            </w:r>
            <w:r>
              <w:rPr>
                <w:rFonts w:hint="eastAsia" w:ascii="方正仿宋_GBK" w:hAnsi="方正仿宋_GBK" w:eastAsia="方正仿宋_GBK" w:cs="方正仿宋_GBK"/>
                <w:b w:val="0"/>
                <w:bCs w:val="0"/>
                <w:color w:val="auto"/>
                <w:sz w:val="24"/>
                <w:szCs w:val="24"/>
                <w:highlight w:val="none"/>
                <w:lang w:val="en-US" w:eastAsia="zh-CN"/>
              </w:rPr>
              <w:t>；</w:t>
            </w:r>
          </w:p>
          <w:p w14:paraId="02EA8301">
            <w:pPr>
              <w:keepNext w:val="0"/>
              <w:keepLines w:val="0"/>
              <w:pageBreakBefore w:val="0"/>
              <w:widowControl/>
              <w:numPr>
                <w:ilvl w:val="0"/>
                <w:numId w:val="31"/>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台面材质</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环氧树脂板</w:t>
            </w:r>
            <w:r>
              <w:rPr>
                <w:rFonts w:hint="eastAsia" w:ascii="方正仿宋_GBK" w:hAnsi="方正仿宋_GBK" w:eastAsia="方正仿宋_GBK" w:cs="方正仿宋_GBK"/>
                <w:b w:val="0"/>
                <w:bCs w:val="0"/>
                <w:color w:val="auto"/>
                <w:sz w:val="24"/>
                <w:szCs w:val="24"/>
                <w:highlight w:val="none"/>
                <w:lang w:val="en-US" w:eastAsia="zh-CN"/>
              </w:rPr>
              <w:t>；</w:t>
            </w:r>
          </w:p>
          <w:p w14:paraId="60A8452E">
            <w:pPr>
              <w:keepNext w:val="0"/>
              <w:keepLines w:val="0"/>
              <w:pageBreakBefore w:val="0"/>
              <w:widowControl/>
              <w:numPr>
                <w:ilvl w:val="0"/>
                <w:numId w:val="31"/>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五金配件</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普通铰链</w:t>
            </w:r>
            <w:r>
              <w:rPr>
                <w:rFonts w:hint="eastAsia" w:ascii="方正仿宋_GBK" w:hAnsi="方正仿宋_GBK" w:eastAsia="方正仿宋_GBK" w:cs="方正仿宋_GBK"/>
                <w:b w:val="0"/>
                <w:bCs w:val="0"/>
                <w:color w:val="auto"/>
                <w:sz w:val="24"/>
                <w:szCs w:val="24"/>
                <w:highlight w:val="none"/>
                <w:lang w:val="en-US" w:eastAsia="zh-CN"/>
              </w:rPr>
              <w:t>；</w:t>
            </w:r>
          </w:p>
          <w:p w14:paraId="517CF5EE">
            <w:pPr>
              <w:keepNext w:val="0"/>
              <w:keepLines w:val="0"/>
              <w:pageBreakBefore w:val="0"/>
              <w:widowControl/>
              <w:numPr>
                <w:ilvl w:val="0"/>
                <w:numId w:val="31"/>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default" w:ascii="方正仿宋_GBK" w:hAnsi="方正仿宋_GBK" w:eastAsia="方正仿宋_GBK" w:cs="方正仿宋_GBK"/>
                <w:b w:val="0"/>
                <w:bCs w:val="0"/>
                <w:color w:val="auto"/>
                <w:sz w:val="24"/>
                <w:szCs w:val="24"/>
                <w:highlight w:val="none"/>
                <w:lang w:val="en-US" w:eastAsia="zh-CN"/>
              </w:rPr>
              <w:t>油漆甲醛释放量</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0</w:t>
            </w:r>
            <w:r>
              <w:rPr>
                <w:rFonts w:hint="eastAsia" w:ascii="方正仿宋_GBK" w:hAnsi="方正仿宋_GBK" w:eastAsia="方正仿宋_GBK" w:cs="方正仿宋_GBK"/>
                <w:b w:val="0"/>
                <w:bCs w:val="0"/>
                <w:color w:val="auto"/>
                <w:sz w:val="24"/>
                <w:szCs w:val="24"/>
                <w:highlight w:val="none"/>
                <w:lang w:val="en-US" w:eastAsia="zh-CN"/>
              </w:rPr>
              <w:t>；</w:t>
            </w:r>
          </w:p>
          <w:p w14:paraId="09F9A909">
            <w:pPr>
              <w:keepNext w:val="0"/>
              <w:keepLines w:val="0"/>
              <w:pageBreakBefore w:val="0"/>
              <w:widowControl/>
              <w:numPr>
                <w:ilvl w:val="0"/>
                <w:numId w:val="31"/>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default" w:ascii="方正仿宋_GBK" w:hAnsi="方正仿宋_GBK" w:eastAsia="方正仿宋_GBK" w:cs="方正仿宋_GBK"/>
                <w:b w:val="0"/>
                <w:bCs w:val="0"/>
                <w:color w:val="auto"/>
                <w:sz w:val="24"/>
                <w:szCs w:val="24"/>
                <w:highlight w:val="none"/>
                <w:lang w:val="en-US" w:eastAsia="zh-CN"/>
              </w:rPr>
              <w:t>产品带抽屉、可组合、可拆装</w:t>
            </w:r>
            <w:r>
              <w:rPr>
                <w:rFonts w:hint="eastAsia" w:ascii="方正仿宋_GBK" w:hAnsi="方正仿宋_GBK" w:eastAsia="方正仿宋_GBK" w:cs="方正仿宋_GBK"/>
                <w:b w:val="0"/>
                <w:bCs w:val="0"/>
                <w:color w:val="auto"/>
                <w:sz w:val="24"/>
                <w:szCs w:val="24"/>
                <w:highlight w:val="none"/>
                <w:lang w:val="en-US" w:eastAsia="zh-CN"/>
              </w:rPr>
              <w:t>。</w:t>
            </w:r>
          </w:p>
        </w:tc>
        <w:tc>
          <w:tcPr>
            <w:tcW w:w="1000" w:type="dxa"/>
            <w:noWrap w:val="0"/>
            <w:vAlign w:val="center"/>
          </w:tcPr>
          <w:p w14:paraId="6DFDDE2B">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2</w:t>
            </w:r>
          </w:p>
        </w:tc>
        <w:tc>
          <w:tcPr>
            <w:tcW w:w="937" w:type="dxa"/>
            <w:noWrap w:val="0"/>
            <w:vAlign w:val="center"/>
          </w:tcPr>
          <w:p w14:paraId="1C53A614">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套</w:t>
            </w:r>
          </w:p>
        </w:tc>
        <w:tc>
          <w:tcPr>
            <w:tcW w:w="905" w:type="dxa"/>
            <w:noWrap w:val="0"/>
            <w:vAlign w:val="top"/>
          </w:tcPr>
          <w:p w14:paraId="2EA4220C">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sz w:val="28"/>
                <w:szCs w:val="28"/>
                <w:highlight w:val="lightGray"/>
                <w:vertAlign w:val="baseline"/>
                <w:lang w:val="en-US" w:eastAsia="zh-CN"/>
              </w:rPr>
            </w:pPr>
          </w:p>
        </w:tc>
      </w:tr>
      <w:tr w14:paraId="4EBE2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noWrap w:val="0"/>
            <w:vAlign w:val="center"/>
          </w:tcPr>
          <w:p w14:paraId="40E13DAF">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sz w:val="28"/>
                <w:szCs w:val="28"/>
                <w:highlight w:val="none"/>
                <w:vertAlign w:val="baseline"/>
                <w:lang w:val="en-US" w:eastAsia="zh-CN"/>
              </w:rPr>
            </w:pPr>
          </w:p>
        </w:tc>
        <w:tc>
          <w:tcPr>
            <w:tcW w:w="1900" w:type="dxa"/>
            <w:noWrap w:val="0"/>
            <w:vAlign w:val="center"/>
          </w:tcPr>
          <w:p w14:paraId="41548800">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保险柜</w:t>
            </w:r>
          </w:p>
        </w:tc>
        <w:tc>
          <w:tcPr>
            <w:tcW w:w="5223" w:type="dxa"/>
            <w:noWrap w:val="0"/>
            <w:vAlign w:val="center"/>
          </w:tcPr>
          <w:p w14:paraId="71E44A9D">
            <w:pPr>
              <w:keepNext w:val="0"/>
              <w:keepLines w:val="0"/>
              <w:pageBreakBefore w:val="0"/>
              <w:widowControl/>
              <w:numPr>
                <w:ilvl w:val="0"/>
                <w:numId w:val="32"/>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门型</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单开门</w:t>
            </w:r>
            <w:r>
              <w:rPr>
                <w:rFonts w:hint="eastAsia" w:ascii="方正仿宋_GBK" w:hAnsi="方正仿宋_GBK" w:eastAsia="方正仿宋_GBK" w:cs="方正仿宋_GBK"/>
                <w:b w:val="0"/>
                <w:bCs w:val="0"/>
                <w:color w:val="auto"/>
                <w:sz w:val="24"/>
                <w:szCs w:val="24"/>
                <w:highlight w:val="none"/>
                <w:lang w:val="en-US" w:eastAsia="zh-CN"/>
              </w:rPr>
              <w:t>；</w:t>
            </w:r>
          </w:p>
          <w:p w14:paraId="65BD48C3">
            <w:pPr>
              <w:keepNext w:val="0"/>
              <w:keepLines w:val="0"/>
              <w:pageBreakBefore w:val="0"/>
              <w:widowControl/>
              <w:numPr>
                <w:ilvl w:val="0"/>
                <w:numId w:val="32"/>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门栓数量(个)</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1</w:t>
            </w:r>
            <w:r>
              <w:rPr>
                <w:rFonts w:hint="eastAsia" w:ascii="方正仿宋_GBK" w:hAnsi="方正仿宋_GBK" w:eastAsia="方正仿宋_GBK" w:cs="方正仿宋_GBK"/>
                <w:b w:val="0"/>
                <w:bCs w:val="0"/>
                <w:color w:val="auto"/>
                <w:sz w:val="24"/>
                <w:szCs w:val="24"/>
                <w:highlight w:val="none"/>
                <w:lang w:val="en-US" w:eastAsia="zh-CN"/>
              </w:rPr>
              <w:t>；</w:t>
            </w:r>
          </w:p>
          <w:p w14:paraId="023006F3">
            <w:pPr>
              <w:keepNext w:val="0"/>
              <w:keepLines w:val="0"/>
              <w:pageBreakBefore w:val="0"/>
              <w:widowControl/>
              <w:numPr>
                <w:ilvl w:val="0"/>
                <w:numId w:val="32"/>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产品类型</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电子保险箱/柜</w:t>
            </w:r>
            <w:r>
              <w:rPr>
                <w:rFonts w:hint="eastAsia" w:ascii="方正仿宋_GBK" w:hAnsi="方正仿宋_GBK" w:eastAsia="方正仿宋_GBK" w:cs="方正仿宋_GBK"/>
                <w:b w:val="0"/>
                <w:bCs w:val="0"/>
                <w:color w:val="auto"/>
                <w:sz w:val="24"/>
                <w:szCs w:val="24"/>
                <w:highlight w:val="none"/>
                <w:lang w:val="en-US" w:eastAsia="zh-CN"/>
              </w:rPr>
              <w:t>；</w:t>
            </w:r>
          </w:p>
          <w:p w14:paraId="779D6177">
            <w:pPr>
              <w:keepNext w:val="0"/>
              <w:keepLines w:val="0"/>
              <w:pageBreakBefore w:val="0"/>
              <w:widowControl/>
              <w:numPr>
                <w:ilvl w:val="0"/>
                <w:numId w:val="32"/>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产品功能</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防火、防盗、带智能控制系统、带双重锁控功能</w:t>
            </w:r>
            <w:r>
              <w:rPr>
                <w:rFonts w:hint="eastAsia" w:ascii="方正仿宋_GBK" w:hAnsi="方正仿宋_GBK" w:eastAsia="方正仿宋_GBK" w:cs="方正仿宋_GBK"/>
                <w:b w:val="0"/>
                <w:bCs w:val="0"/>
                <w:color w:val="auto"/>
                <w:sz w:val="24"/>
                <w:szCs w:val="24"/>
                <w:highlight w:val="none"/>
                <w:lang w:val="en-US" w:eastAsia="zh-CN"/>
              </w:rPr>
              <w:t>；</w:t>
            </w:r>
          </w:p>
          <w:p w14:paraId="4606BF27">
            <w:pPr>
              <w:keepNext w:val="0"/>
              <w:keepLines w:val="0"/>
              <w:pageBreakBefore w:val="0"/>
              <w:widowControl/>
              <w:numPr>
                <w:ilvl w:val="0"/>
                <w:numId w:val="32"/>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箱体材质</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钢材</w:t>
            </w:r>
            <w:r>
              <w:rPr>
                <w:rFonts w:hint="eastAsia" w:ascii="方正仿宋_GBK" w:hAnsi="方正仿宋_GBK" w:eastAsia="方正仿宋_GBK" w:cs="方正仿宋_GBK"/>
                <w:b w:val="0"/>
                <w:bCs w:val="0"/>
                <w:color w:val="auto"/>
                <w:sz w:val="24"/>
                <w:szCs w:val="24"/>
                <w:highlight w:val="none"/>
                <w:lang w:val="en-US" w:eastAsia="zh-CN"/>
              </w:rPr>
              <w:t>；</w:t>
            </w:r>
          </w:p>
          <w:p w14:paraId="703E8BB2">
            <w:pPr>
              <w:keepNext w:val="0"/>
              <w:keepLines w:val="0"/>
              <w:pageBreakBefore w:val="0"/>
              <w:widowControl/>
              <w:numPr>
                <w:ilvl w:val="0"/>
                <w:numId w:val="32"/>
              </w:numPr>
              <w:kinsoku/>
              <w:wordWrap/>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开锁方式</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密码+指纹、钥匙</w:t>
            </w:r>
            <w:r>
              <w:rPr>
                <w:rFonts w:hint="eastAsia" w:ascii="方正仿宋_GBK" w:hAnsi="方正仿宋_GBK" w:eastAsia="方正仿宋_GBK" w:cs="方正仿宋_GBK"/>
                <w:b w:val="0"/>
                <w:bCs w:val="0"/>
                <w:color w:val="auto"/>
                <w:sz w:val="24"/>
                <w:szCs w:val="24"/>
                <w:highlight w:val="none"/>
                <w:lang w:val="en-US" w:eastAsia="zh-CN"/>
              </w:rPr>
              <w:t>；</w:t>
            </w:r>
          </w:p>
          <w:p w14:paraId="5929C914">
            <w:pPr>
              <w:keepNext w:val="0"/>
              <w:keepLines w:val="0"/>
              <w:pageBreakBefore w:val="0"/>
              <w:widowControl/>
              <w:numPr>
                <w:ilvl w:val="0"/>
                <w:numId w:val="32"/>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应急开启方式</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密码+指纹+应急钥匙</w:t>
            </w:r>
            <w:r>
              <w:rPr>
                <w:rFonts w:hint="eastAsia" w:ascii="方正仿宋_GBK" w:hAnsi="方正仿宋_GBK" w:eastAsia="方正仿宋_GBK" w:cs="方正仿宋_GBK"/>
                <w:b w:val="0"/>
                <w:bCs w:val="0"/>
                <w:color w:val="auto"/>
                <w:sz w:val="24"/>
                <w:szCs w:val="24"/>
                <w:highlight w:val="none"/>
                <w:lang w:val="en-US" w:eastAsia="zh-CN"/>
              </w:rPr>
              <w:t>；</w:t>
            </w:r>
          </w:p>
          <w:p w14:paraId="65E96666">
            <w:pPr>
              <w:keepNext w:val="0"/>
              <w:keepLines w:val="0"/>
              <w:pageBreakBefore w:val="0"/>
              <w:widowControl/>
              <w:numPr>
                <w:ilvl w:val="0"/>
                <w:numId w:val="32"/>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内部尺寸(长*宽*高)</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380</w:t>
            </w:r>
            <w:r>
              <w:rPr>
                <w:rFonts w:hint="eastAsia" w:ascii="方正仿宋_GBK" w:hAnsi="方正仿宋_GBK" w:eastAsia="方正仿宋_GBK" w:cs="方正仿宋_GBK"/>
                <w:b w:val="0"/>
                <w:bCs w:val="0"/>
                <w:color w:val="auto"/>
                <w:sz w:val="24"/>
                <w:szCs w:val="24"/>
                <w:highlight w:val="none"/>
                <w:lang w:val="en-US" w:eastAsia="zh-CN"/>
              </w:rPr>
              <w:t>mm</w:t>
            </w:r>
            <w:r>
              <w:rPr>
                <w:rFonts w:hint="default" w:ascii="方正仿宋_GBK" w:hAnsi="方正仿宋_GBK" w:eastAsia="方正仿宋_GBK" w:cs="方正仿宋_GBK"/>
                <w:b w:val="0"/>
                <w:bCs w:val="0"/>
                <w:color w:val="auto"/>
                <w:sz w:val="24"/>
                <w:szCs w:val="24"/>
                <w:highlight w:val="none"/>
                <w:lang w:val="en-US" w:eastAsia="zh-CN"/>
              </w:rPr>
              <w:t>*430</w:t>
            </w:r>
            <w:r>
              <w:rPr>
                <w:rFonts w:hint="eastAsia" w:ascii="方正仿宋_GBK" w:hAnsi="方正仿宋_GBK" w:eastAsia="方正仿宋_GBK" w:cs="方正仿宋_GBK"/>
                <w:b w:val="0"/>
                <w:bCs w:val="0"/>
                <w:color w:val="auto"/>
                <w:sz w:val="24"/>
                <w:szCs w:val="24"/>
                <w:highlight w:val="none"/>
                <w:lang w:val="en-US" w:eastAsia="zh-CN"/>
              </w:rPr>
              <w:t>mm</w:t>
            </w:r>
            <w:r>
              <w:rPr>
                <w:rFonts w:hint="default" w:ascii="方正仿宋_GBK" w:hAnsi="方正仿宋_GBK" w:eastAsia="方正仿宋_GBK" w:cs="方正仿宋_GBK"/>
                <w:b w:val="0"/>
                <w:bCs w:val="0"/>
                <w:color w:val="auto"/>
                <w:sz w:val="24"/>
                <w:szCs w:val="24"/>
                <w:highlight w:val="none"/>
                <w:lang w:val="en-US" w:eastAsia="zh-CN"/>
              </w:rPr>
              <w:t>*700</w:t>
            </w:r>
            <w:r>
              <w:rPr>
                <w:rFonts w:hint="eastAsia" w:ascii="方正仿宋_GBK" w:hAnsi="方正仿宋_GBK" w:eastAsia="方正仿宋_GBK" w:cs="方正仿宋_GBK"/>
                <w:b w:val="0"/>
                <w:bCs w:val="0"/>
                <w:color w:val="auto"/>
                <w:sz w:val="24"/>
                <w:szCs w:val="24"/>
                <w:highlight w:val="none"/>
                <w:lang w:val="en-US" w:eastAsia="zh-CN"/>
              </w:rPr>
              <w:t>mm；</w:t>
            </w:r>
          </w:p>
          <w:p w14:paraId="50D3AC2B">
            <w:pPr>
              <w:keepNext w:val="0"/>
              <w:keepLines w:val="0"/>
              <w:pageBreakBefore w:val="0"/>
              <w:widowControl/>
              <w:numPr>
                <w:ilvl w:val="0"/>
                <w:numId w:val="32"/>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内饰材质</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钢</w:t>
            </w:r>
            <w:r>
              <w:rPr>
                <w:rFonts w:hint="eastAsia" w:ascii="方正仿宋_GBK" w:hAnsi="方正仿宋_GBK" w:eastAsia="方正仿宋_GBK" w:cs="方正仿宋_GBK"/>
                <w:b w:val="0"/>
                <w:bCs w:val="0"/>
                <w:color w:val="auto"/>
                <w:sz w:val="24"/>
                <w:szCs w:val="24"/>
                <w:highlight w:val="none"/>
                <w:lang w:val="en-US" w:eastAsia="zh-CN"/>
              </w:rPr>
              <w:t>。</w:t>
            </w:r>
          </w:p>
        </w:tc>
        <w:tc>
          <w:tcPr>
            <w:tcW w:w="1000" w:type="dxa"/>
            <w:noWrap w:val="0"/>
            <w:vAlign w:val="center"/>
          </w:tcPr>
          <w:p w14:paraId="178C0D0B">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2</w:t>
            </w:r>
          </w:p>
        </w:tc>
        <w:tc>
          <w:tcPr>
            <w:tcW w:w="937" w:type="dxa"/>
            <w:noWrap w:val="0"/>
            <w:vAlign w:val="center"/>
          </w:tcPr>
          <w:p w14:paraId="3FB31F7A">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个</w:t>
            </w:r>
          </w:p>
        </w:tc>
        <w:tc>
          <w:tcPr>
            <w:tcW w:w="905" w:type="dxa"/>
            <w:noWrap w:val="0"/>
            <w:vAlign w:val="top"/>
          </w:tcPr>
          <w:p w14:paraId="2494438F">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sz w:val="28"/>
                <w:szCs w:val="28"/>
                <w:highlight w:val="lightGray"/>
                <w:vertAlign w:val="baseline"/>
                <w:lang w:val="en-US" w:eastAsia="zh-CN"/>
              </w:rPr>
            </w:pPr>
          </w:p>
        </w:tc>
      </w:tr>
      <w:tr w14:paraId="3175F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noWrap w:val="0"/>
            <w:vAlign w:val="center"/>
          </w:tcPr>
          <w:p w14:paraId="37E8FE5C">
            <w:pPr>
              <w:pageBreakBefore w:val="0"/>
              <w:widowControl w:val="0"/>
              <w:numPr>
                <w:ilvl w:val="0"/>
                <w:numId w:val="7"/>
              </w:numPr>
              <w:kinsoku/>
              <w:wordWrap/>
              <w:overflowPunct/>
              <w:topLinePunct w:val="0"/>
              <w:autoSpaceDE/>
              <w:autoSpaceDN/>
              <w:bidi w:val="0"/>
              <w:spacing w:line="560" w:lineRule="exact"/>
              <w:ind w:left="0" w:leftChars="0" w:right="0" w:rightChars="0" w:firstLine="403" w:firstLineChars="0"/>
              <w:jc w:val="both"/>
              <w:textAlignment w:val="auto"/>
              <w:rPr>
                <w:rFonts w:hint="eastAsia" w:ascii="宋体" w:hAnsi="宋体" w:eastAsia="宋体" w:cs="宋体"/>
                <w:b w:val="0"/>
                <w:bCs w:val="0"/>
                <w:sz w:val="28"/>
                <w:szCs w:val="28"/>
                <w:highlight w:val="none"/>
                <w:vertAlign w:val="baseline"/>
                <w:lang w:val="en-US" w:eastAsia="zh-CN"/>
              </w:rPr>
            </w:pPr>
          </w:p>
        </w:tc>
        <w:tc>
          <w:tcPr>
            <w:tcW w:w="1900" w:type="dxa"/>
            <w:noWrap w:val="0"/>
            <w:vAlign w:val="center"/>
          </w:tcPr>
          <w:p w14:paraId="707F7149">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更衣柜</w:t>
            </w:r>
          </w:p>
        </w:tc>
        <w:tc>
          <w:tcPr>
            <w:tcW w:w="5223" w:type="dxa"/>
            <w:noWrap w:val="0"/>
            <w:vAlign w:val="center"/>
          </w:tcPr>
          <w:p w14:paraId="6EE32AA2">
            <w:pPr>
              <w:keepNext w:val="0"/>
              <w:keepLines w:val="0"/>
              <w:pageBreakBefore w:val="0"/>
              <w:widowControl/>
              <w:numPr>
                <w:ilvl w:val="0"/>
                <w:numId w:val="33"/>
              </w:numPr>
              <w:kinsoku/>
              <w:wordWrap/>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层数4层</w:t>
            </w:r>
            <w:r>
              <w:rPr>
                <w:rFonts w:hint="eastAsia" w:ascii="方正仿宋_GBK" w:hAnsi="方正仿宋_GBK" w:eastAsia="方正仿宋_GBK" w:cs="方正仿宋_GBK"/>
                <w:b w:val="0"/>
                <w:bCs w:val="0"/>
                <w:color w:val="auto"/>
                <w:sz w:val="24"/>
                <w:szCs w:val="24"/>
                <w:highlight w:val="none"/>
                <w:lang w:val="en-US" w:eastAsia="zh-CN"/>
              </w:rPr>
              <w:t>；</w:t>
            </w:r>
          </w:p>
          <w:p w14:paraId="7805D6E5">
            <w:pPr>
              <w:keepNext w:val="0"/>
              <w:keepLines w:val="0"/>
              <w:pageBreakBefore w:val="0"/>
              <w:widowControl/>
              <w:numPr>
                <w:ilvl w:val="0"/>
                <w:numId w:val="33"/>
              </w:numPr>
              <w:kinsoku/>
              <w:wordWrap/>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开合方式</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平开门</w:t>
            </w:r>
            <w:r>
              <w:rPr>
                <w:rFonts w:hint="eastAsia" w:ascii="方正仿宋_GBK" w:hAnsi="方正仿宋_GBK" w:eastAsia="方正仿宋_GBK" w:cs="方正仿宋_GBK"/>
                <w:b w:val="0"/>
                <w:bCs w:val="0"/>
                <w:color w:val="auto"/>
                <w:sz w:val="24"/>
                <w:szCs w:val="24"/>
                <w:highlight w:val="none"/>
                <w:lang w:val="en-US" w:eastAsia="zh-CN"/>
              </w:rPr>
              <w:t>，四门；</w:t>
            </w:r>
          </w:p>
          <w:p w14:paraId="5E1D0EBA">
            <w:pPr>
              <w:keepNext w:val="0"/>
              <w:keepLines w:val="0"/>
              <w:pageBreakBefore w:val="0"/>
              <w:widowControl/>
              <w:numPr>
                <w:ilvl w:val="0"/>
                <w:numId w:val="33"/>
              </w:numPr>
              <w:kinsoku/>
              <w:wordWrap/>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基材材质</w:t>
            </w:r>
            <w:r>
              <w:rPr>
                <w:rFonts w:hint="eastAsia" w:ascii="方正仿宋_GBK" w:hAnsi="方正仿宋_GBK" w:eastAsia="方正仿宋_GBK" w:cs="方正仿宋_GBK"/>
                <w:b w:val="0"/>
                <w:bCs w:val="0"/>
                <w:color w:val="auto"/>
                <w:sz w:val="24"/>
                <w:szCs w:val="24"/>
                <w:highlight w:val="none"/>
                <w:lang w:val="en-US" w:eastAsia="zh-CN"/>
              </w:rPr>
              <w:t>：加厚</w:t>
            </w:r>
            <w:r>
              <w:rPr>
                <w:rFonts w:hint="default" w:ascii="方正仿宋_GBK" w:hAnsi="方正仿宋_GBK" w:eastAsia="方正仿宋_GBK" w:cs="方正仿宋_GBK"/>
                <w:b w:val="0"/>
                <w:bCs w:val="0"/>
                <w:color w:val="auto"/>
                <w:sz w:val="24"/>
                <w:szCs w:val="24"/>
                <w:highlight w:val="none"/>
                <w:lang w:val="en-US" w:eastAsia="zh-CN"/>
              </w:rPr>
              <w:t>冷轧钢板</w:t>
            </w:r>
            <w:r>
              <w:rPr>
                <w:rFonts w:hint="eastAsia" w:ascii="方正仿宋_GBK" w:hAnsi="方正仿宋_GBK" w:eastAsia="方正仿宋_GBK" w:cs="方正仿宋_GBK"/>
                <w:b w:val="0"/>
                <w:bCs w:val="0"/>
                <w:color w:val="auto"/>
                <w:sz w:val="24"/>
                <w:szCs w:val="24"/>
                <w:highlight w:val="none"/>
                <w:lang w:val="en-US" w:eastAsia="zh-CN"/>
              </w:rPr>
              <w:t>；</w:t>
            </w:r>
          </w:p>
          <w:p w14:paraId="7C6BBB55">
            <w:pPr>
              <w:keepNext w:val="0"/>
              <w:keepLines w:val="0"/>
              <w:pageBreakBefore w:val="0"/>
              <w:widowControl/>
              <w:numPr>
                <w:ilvl w:val="0"/>
                <w:numId w:val="33"/>
              </w:numPr>
              <w:kinsoku/>
              <w:wordWrap/>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基材甲醛释放限量等级</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E1</w:t>
            </w:r>
            <w:r>
              <w:rPr>
                <w:rFonts w:hint="eastAsia" w:ascii="方正仿宋_GBK" w:hAnsi="方正仿宋_GBK" w:eastAsia="方正仿宋_GBK" w:cs="方正仿宋_GBK"/>
                <w:b w:val="0"/>
                <w:bCs w:val="0"/>
                <w:color w:val="auto"/>
                <w:sz w:val="24"/>
                <w:szCs w:val="24"/>
                <w:highlight w:val="none"/>
                <w:lang w:val="en-US" w:eastAsia="zh-CN"/>
              </w:rPr>
              <w:t>；</w:t>
            </w:r>
          </w:p>
          <w:p w14:paraId="2FAA4772">
            <w:pPr>
              <w:keepNext w:val="0"/>
              <w:keepLines w:val="0"/>
              <w:pageBreakBefore w:val="0"/>
              <w:widowControl/>
              <w:numPr>
                <w:ilvl w:val="0"/>
                <w:numId w:val="33"/>
              </w:numPr>
              <w:kinsoku/>
              <w:wordWrap/>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五金配件</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螺丝五金</w:t>
            </w:r>
            <w:r>
              <w:rPr>
                <w:rFonts w:hint="eastAsia" w:ascii="方正仿宋_GBK" w:hAnsi="方正仿宋_GBK" w:eastAsia="方正仿宋_GBK" w:cs="方正仿宋_GBK"/>
                <w:b w:val="0"/>
                <w:bCs w:val="0"/>
                <w:color w:val="auto"/>
                <w:sz w:val="24"/>
                <w:szCs w:val="24"/>
                <w:highlight w:val="none"/>
                <w:lang w:val="en-US" w:eastAsia="zh-CN"/>
              </w:rPr>
              <w:t>；</w:t>
            </w:r>
          </w:p>
          <w:p w14:paraId="19C2367C">
            <w:pPr>
              <w:keepNext w:val="0"/>
              <w:keepLines w:val="0"/>
              <w:pageBreakBefore w:val="0"/>
              <w:widowControl/>
              <w:numPr>
                <w:ilvl w:val="0"/>
                <w:numId w:val="33"/>
              </w:numPr>
              <w:kinsoku/>
              <w:wordWrap/>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油漆工艺</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环氧树脂粉末静电喷涂</w:t>
            </w:r>
            <w:r>
              <w:rPr>
                <w:rFonts w:hint="eastAsia" w:ascii="方正仿宋_GBK" w:hAnsi="方正仿宋_GBK" w:eastAsia="方正仿宋_GBK" w:cs="方正仿宋_GBK"/>
                <w:b w:val="0"/>
                <w:bCs w:val="0"/>
                <w:color w:val="auto"/>
                <w:sz w:val="24"/>
                <w:szCs w:val="24"/>
                <w:highlight w:val="none"/>
                <w:lang w:val="en-US" w:eastAsia="zh-CN"/>
              </w:rPr>
              <w:t>；</w:t>
            </w:r>
          </w:p>
          <w:p w14:paraId="71A0F651">
            <w:pPr>
              <w:keepNext w:val="0"/>
              <w:keepLines w:val="0"/>
              <w:pageBreakBefore w:val="0"/>
              <w:widowControl/>
              <w:numPr>
                <w:ilvl w:val="0"/>
                <w:numId w:val="33"/>
              </w:numPr>
              <w:kinsoku/>
              <w:wordWrap/>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油漆甲醛释放量</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0</w:t>
            </w:r>
            <w:r>
              <w:rPr>
                <w:rFonts w:hint="eastAsia" w:ascii="方正仿宋_GBK" w:hAnsi="方正仿宋_GBK" w:eastAsia="方正仿宋_GBK" w:cs="方正仿宋_GBK"/>
                <w:b w:val="0"/>
                <w:bCs w:val="0"/>
                <w:color w:val="auto"/>
                <w:sz w:val="24"/>
                <w:szCs w:val="24"/>
                <w:highlight w:val="none"/>
                <w:lang w:val="en-US" w:eastAsia="zh-CN"/>
              </w:rPr>
              <w:t>；</w:t>
            </w:r>
          </w:p>
          <w:p w14:paraId="72011E9D">
            <w:pPr>
              <w:keepNext w:val="0"/>
              <w:keepLines w:val="0"/>
              <w:pageBreakBefore w:val="0"/>
              <w:widowControl/>
              <w:numPr>
                <w:ilvl w:val="0"/>
                <w:numId w:val="33"/>
              </w:numPr>
              <w:kinsoku/>
              <w:wordWrap/>
              <w:overflowPunct/>
              <w:topLinePunct w:val="0"/>
              <w:autoSpaceDE/>
              <w:autoSpaceDN/>
              <w:bidi w:val="0"/>
              <w:adjustRightInd/>
              <w:snapToGrid/>
              <w:spacing w:line="320" w:lineRule="exact"/>
              <w:ind w:left="0" w:leftChars="0" w:firstLine="400"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是否带锁</w:t>
            </w:r>
            <w:r>
              <w:rPr>
                <w:rFonts w:hint="eastAsia" w:ascii="方正仿宋_GBK" w:hAnsi="方正仿宋_GBK" w:eastAsia="方正仿宋_GBK" w:cs="方正仿宋_GBK"/>
                <w:b w:val="0"/>
                <w:bCs w:val="0"/>
                <w:color w:val="auto"/>
                <w:sz w:val="24"/>
                <w:szCs w:val="24"/>
                <w:highlight w:val="none"/>
                <w:lang w:val="en-US" w:eastAsia="zh-CN"/>
              </w:rPr>
              <w:t>:</w:t>
            </w:r>
            <w:r>
              <w:rPr>
                <w:rFonts w:hint="default" w:ascii="方正仿宋_GBK" w:hAnsi="方正仿宋_GBK" w:eastAsia="方正仿宋_GBK" w:cs="方正仿宋_GBK"/>
                <w:b w:val="0"/>
                <w:bCs w:val="0"/>
                <w:color w:val="auto"/>
                <w:sz w:val="24"/>
                <w:szCs w:val="24"/>
                <w:highlight w:val="none"/>
                <w:lang w:val="en-US" w:eastAsia="zh-CN"/>
              </w:rPr>
              <w:t>是</w:t>
            </w:r>
            <w:r>
              <w:rPr>
                <w:rFonts w:hint="eastAsia" w:ascii="方正仿宋_GBK" w:hAnsi="方正仿宋_GBK" w:eastAsia="方正仿宋_GBK" w:cs="方正仿宋_GBK"/>
                <w:b w:val="0"/>
                <w:bCs w:val="0"/>
                <w:color w:val="auto"/>
                <w:sz w:val="24"/>
                <w:szCs w:val="24"/>
                <w:highlight w:val="none"/>
                <w:lang w:val="en-US" w:eastAsia="zh-CN"/>
              </w:rPr>
              <w:t>；</w:t>
            </w:r>
          </w:p>
          <w:p w14:paraId="0C34B843">
            <w:pPr>
              <w:keepNext w:val="0"/>
              <w:keepLines w:val="0"/>
              <w:pageBreakBefore w:val="0"/>
              <w:widowControl/>
              <w:numPr>
                <w:ilvl w:val="0"/>
                <w:numId w:val="33"/>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color w:val="auto"/>
                <w:sz w:val="24"/>
                <w:szCs w:val="24"/>
                <w:highlight w:val="none"/>
                <w:lang w:val="en-US" w:eastAsia="zh-CN"/>
              </w:rPr>
            </w:pPr>
            <w:r>
              <w:rPr>
                <w:rFonts w:hint="default" w:ascii="方正仿宋_GBK" w:hAnsi="方正仿宋_GBK" w:eastAsia="方正仿宋_GBK" w:cs="方正仿宋_GBK"/>
                <w:b w:val="0"/>
                <w:bCs w:val="0"/>
                <w:color w:val="auto"/>
                <w:sz w:val="24"/>
                <w:szCs w:val="24"/>
                <w:highlight w:val="none"/>
                <w:lang w:val="en-US" w:eastAsia="zh-CN"/>
              </w:rPr>
              <w:t>上门安装、调试</w:t>
            </w:r>
            <w:r>
              <w:rPr>
                <w:rFonts w:hint="eastAsia" w:ascii="方正仿宋_GBK" w:hAnsi="方正仿宋_GBK" w:eastAsia="方正仿宋_GBK" w:cs="方正仿宋_GBK"/>
                <w:b w:val="0"/>
                <w:bCs w:val="0"/>
                <w:color w:val="auto"/>
                <w:sz w:val="24"/>
                <w:szCs w:val="24"/>
                <w:highlight w:val="none"/>
                <w:lang w:val="en-US" w:eastAsia="zh-CN"/>
              </w:rPr>
              <w:t>；</w:t>
            </w:r>
          </w:p>
          <w:p w14:paraId="302FD2CD">
            <w:pPr>
              <w:keepNext w:val="0"/>
              <w:keepLines w:val="0"/>
              <w:pageBreakBefore w:val="0"/>
              <w:widowControl/>
              <w:numPr>
                <w:ilvl w:val="0"/>
                <w:numId w:val="33"/>
              </w:numPr>
              <w:kinsoku/>
              <w:wordWrap w:val="0"/>
              <w:overflowPunct/>
              <w:topLinePunct w:val="0"/>
              <w:autoSpaceDE/>
              <w:autoSpaceDN/>
              <w:bidi w:val="0"/>
              <w:adjustRightInd/>
              <w:snapToGrid/>
              <w:spacing w:line="320" w:lineRule="exact"/>
              <w:ind w:left="0" w:leftChars="0" w:firstLine="403" w:firstLineChars="0"/>
              <w:jc w:val="left"/>
              <w:textAlignment w:val="auto"/>
              <w:rPr>
                <w:rFonts w:hint="default" w:ascii="方正仿宋_GBK" w:hAnsi="方正仿宋_GBK" w:eastAsia="方正仿宋_GBK" w:cs="方正仿宋_GBK"/>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尺寸(高</w:t>
            </w:r>
            <w:r>
              <w:rPr>
                <w:rFonts w:hint="default" w:ascii="方正仿宋_GBK" w:hAnsi="方正仿宋_GBK" w:eastAsia="方正仿宋_GBK" w:cs="方正仿宋_GBK"/>
                <w:b w:val="0"/>
                <w:bCs w:val="0"/>
                <w:color w:val="auto"/>
                <w:sz w:val="24"/>
                <w:szCs w:val="24"/>
                <w:highlight w:val="none"/>
                <w:lang w:val="en-US" w:eastAsia="zh-CN"/>
              </w:rPr>
              <w:t>*</w:t>
            </w:r>
            <w:r>
              <w:rPr>
                <w:rFonts w:hint="eastAsia" w:ascii="方正仿宋_GBK" w:hAnsi="方正仿宋_GBK" w:eastAsia="方正仿宋_GBK" w:cs="方正仿宋_GBK"/>
                <w:b w:val="0"/>
                <w:bCs w:val="0"/>
                <w:color w:val="auto"/>
                <w:sz w:val="24"/>
                <w:szCs w:val="24"/>
                <w:highlight w:val="none"/>
                <w:lang w:val="en-US" w:eastAsia="zh-CN"/>
              </w:rPr>
              <w:t>宽</w:t>
            </w:r>
            <w:r>
              <w:rPr>
                <w:rFonts w:hint="default" w:ascii="方正仿宋_GBK" w:hAnsi="方正仿宋_GBK" w:eastAsia="方正仿宋_GBK" w:cs="方正仿宋_GBK"/>
                <w:b w:val="0"/>
                <w:bCs w:val="0"/>
                <w:color w:val="auto"/>
                <w:sz w:val="24"/>
                <w:szCs w:val="24"/>
                <w:highlight w:val="none"/>
                <w:lang w:val="en-US" w:eastAsia="zh-CN"/>
              </w:rPr>
              <w:t>*</w:t>
            </w:r>
            <w:r>
              <w:rPr>
                <w:rFonts w:hint="eastAsia" w:ascii="方正仿宋_GBK" w:hAnsi="方正仿宋_GBK" w:eastAsia="方正仿宋_GBK" w:cs="方正仿宋_GBK"/>
                <w:b w:val="0"/>
                <w:bCs w:val="0"/>
                <w:color w:val="auto"/>
                <w:sz w:val="24"/>
                <w:szCs w:val="24"/>
                <w:highlight w:val="none"/>
                <w:lang w:val="en-US" w:eastAsia="zh-CN"/>
              </w:rPr>
              <w:t>深)：≥1800mm</w:t>
            </w:r>
            <w:r>
              <w:rPr>
                <w:rFonts w:hint="default" w:ascii="方正仿宋_GBK" w:hAnsi="方正仿宋_GBK" w:eastAsia="方正仿宋_GBK" w:cs="方正仿宋_GBK"/>
                <w:b w:val="0"/>
                <w:bCs w:val="0"/>
                <w:color w:val="auto"/>
                <w:sz w:val="24"/>
                <w:szCs w:val="24"/>
                <w:highlight w:val="none"/>
                <w:lang w:val="en-US" w:eastAsia="zh-CN"/>
              </w:rPr>
              <w:t>*</w:t>
            </w:r>
            <w:r>
              <w:rPr>
                <w:rFonts w:hint="eastAsia" w:ascii="方正仿宋_GBK" w:hAnsi="方正仿宋_GBK" w:eastAsia="方正仿宋_GBK" w:cs="方正仿宋_GBK"/>
                <w:b w:val="0"/>
                <w:bCs w:val="0"/>
                <w:color w:val="auto"/>
                <w:sz w:val="24"/>
                <w:szCs w:val="24"/>
                <w:highlight w:val="none"/>
                <w:lang w:val="en-US" w:eastAsia="zh-CN"/>
              </w:rPr>
              <w:t>850mm</w:t>
            </w:r>
            <w:r>
              <w:rPr>
                <w:rFonts w:hint="default" w:ascii="方正仿宋_GBK" w:hAnsi="方正仿宋_GBK" w:eastAsia="方正仿宋_GBK" w:cs="方正仿宋_GBK"/>
                <w:b w:val="0"/>
                <w:bCs w:val="0"/>
                <w:color w:val="auto"/>
                <w:sz w:val="24"/>
                <w:szCs w:val="24"/>
                <w:highlight w:val="none"/>
                <w:lang w:val="en-US" w:eastAsia="zh-CN"/>
              </w:rPr>
              <w:t>*</w:t>
            </w:r>
            <w:r>
              <w:rPr>
                <w:rFonts w:hint="eastAsia" w:ascii="方正仿宋_GBK" w:hAnsi="方正仿宋_GBK" w:eastAsia="方正仿宋_GBK" w:cs="方正仿宋_GBK"/>
                <w:b w:val="0"/>
                <w:bCs w:val="0"/>
                <w:color w:val="auto"/>
                <w:sz w:val="24"/>
                <w:szCs w:val="24"/>
                <w:highlight w:val="none"/>
                <w:lang w:val="en-US" w:eastAsia="zh-CN"/>
              </w:rPr>
              <w:t>420mm。</w:t>
            </w:r>
          </w:p>
        </w:tc>
        <w:tc>
          <w:tcPr>
            <w:tcW w:w="1000" w:type="dxa"/>
            <w:noWrap w:val="0"/>
            <w:vAlign w:val="center"/>
          </w:tcPr>
          <w:p w14:paraId="15E5C0C5">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default"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sz w:val="24"/>
                <w:szCs w:val="24"/>
                <w:highlight w:val="none"/>
                <w:lang w:val="en-US" w:eastAsia="zh-CN"/>
              </w:rPr>
              <w:t>5</w:t>
            </w:r>
          </w:p>
        </w:tc>
        <w:tc>
          <w:tcPr>
            <w:tcW w:w="937" w:type="dxa"/>
            <w:noWrap w:val="0"/>
            <w:vAlign w:val="center"/>
          </w:tcPr>
          <w:p w14:paraId="539D5B51">
            <w:pPr>
              <w:pageBreakBefore w:val="0"/>
              <w:widowControl w:val="0"/>
              <w:kinsoku/>
              <w:wordWrap/>
              <w:overflowPunct/>
              <w:topLinePunct w:val="0"/>
              <w:autoSpaceDE/>
              <w:autoSpaceDN/>
              <w:bidi w:val="0"/>
              <w:spacing w:line="560" w:lineRule="exact"/>
              <w:ind w:left="0" w:leftChars="0" w:right="0" w:rightChars="0" w:firstLine="480" w:firstLineChars="200"/>
              <w:jc w:val="center"/>
              <w:textAlignment w:val="auto"/>
              <w:rPr>
                <w:rFonts w:hint="eastAsia" w:ascii="宋体" w:hAnsi="宋体" w:eastAsia="宋体" w:cs="宋体"/>
                <w:b w:val="0"/>
                <w:bCs w:val="0"/>
                <w:sz w:val="24"/>
                <w:szCs w:val="24"/>
                <w:highlight w:val="none"/>
                <w:vertAlign w:val="baseli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个</w:t>
            </w:r>
          </w:p>
        </w:tc>
        <w:tc>
          <w:tcPr>
            <w:tcW w:w="905" w:type="dxa"/>
            <w:noWrap w:val="0"/>
            <w:vAlign w:val="top"/>
          </w:tcPr>
          <w:p w14:paraId="5924E9BA">
            <w:pPr>
              <w:pStyle w:val="2"/>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b w:val="0"/>
                <w:bCs w:val="0"/>
                <w:sz w:val="28"/>
                <w:szCs w:val="28"/>
                <w:highlight w:val="lightGray"/>
                <w:vertAlign w:val="baseline"/>
                <w:lang w:val="en-US" w:eastAsia="zh-CN"/>
              </w:rPr>
            </w:pPr>
          </w:p>
        </w:tc>
      </w:tr>
    </w:tbl>
    <w:p w14:paraId="2E97E6C8">
      <w:pPr>
        <w:numPr>
          <w:ilvl w:val="0"/>
          <w:numId w:val="0"/>
        </w:numPr>
        <w:ind w:leftChars="0"/>
        <w:rPr>
          <w:rFonts w:hint="eastAsia"/>
          <w:lang w:val="en-US" w:eastAsia="zh-CN"/>
        </w:rPr>
      </w:pPr>
    </w:p>
    <w:p w14:paraId="22628267">
      <w:pPr>
        <w:pStyle w:val="6"/>
        <w:pageBreakBefore w:val="0"/>
        <w:widowControl w:val="0"/>
        <w:kinsoku/>
        <w:wordWrap/>
        <w:overflowPunct/>
        <w:topLinePunct w:val="0"/>
        <w:autoSpaceDE/>
        <w:autoSpaceDN/>
        <w:bidi w:val="0"/>
        <w:adjustRightInd/>
        <w:snapToGrid/>
        <w:spacing w:before="0" w:after="0" w:line="560" w:lineRule="exact"/>
        <w:ind w:left="0" w:leftChars="0" w:right="0" w:rightChars="0" w:firstLine="0" w:firstLineChars="0"/>
        <w:jc w:val="both"/>
        <w:textAlignment w:val="auto"/>
        <w:rPr>
          <w:rFonts w:hint="eastAsia"/>
          <w:sz w:val="28"/>
          <w:szCs w:val="28"/>
          <w:lang w:val="en-US" w:eastAsia="zh-CN"/>
        </w:rPr>
      </w:pPr>
      <w:bookmarkStart w:id="229" w:name="_Toc15857"/>
      <w:bookmarkStart w:id="230" w:name="_Toc8672"/>
      <w:bookmarkStart w:id="231" w:name="_Toc85122595"/>
      <w:bookmarkStart w:id="232" w:name="_Toc87449852"/>
      <w:bookmarkStart w:id="233" w:name="_Toc25328"/>
      <w:bookmarkStart w:id="234" w:name="_Toc12369_WPSOffice_Level2"/>
      <w:bookmarkStart w:id="235" w:name="_Toc11375"/>
      <w:r>
        <w:rPr>
          <w:rFonts w:hint="eastAsia"/>
          <w:sz w:val="28"/>
          <w:szCs w:val="28"/>
          <w:lang w:val="en-US" w:eastAsia="zh-CN"/>
        </w:rPr>
        <w:t>四、商务要求</w:t>
      </w:r>
      <w:bookmarkEnd w:id="229"/>
      <w:bookmarkEnd w:id="230"/>
      <w:bookmarkEnd w:id="231"/>
      <w:bookmarkEnd w:id="232"/>
      <w:bookmarkEnd w:id="233"/>
      <w:bookmarkEnd w:id="234"/>
      <w:bookmarkEnd w:id="235"/>
    </w:p>
    <w:p w14:paraId="276CF2F1">
      <w:pPr>
        <w:pStyle w:val="7"/>
        <w:pageBreakBefore w:val="0"/>
        <w:widowControl w:val="0"/>
        <w:kinsoku/>
        <w:wordWrap/>
        <w:overflowPunct/>
        <w:topLinePunct w:val="0"/>
        <w:autoSpaceDE/>
        <w:autoSpaceDN/>
        <w:bidi w:val="0"/>
        <w:adjustRightInd/>
        <w:snapToGrid/>
        <w:spacing w:before="0" w:after="0" w:line="480" w:lineRule="exact"/>
        <w:ind w:left="0" w:leftChars="0" w:right="0" w:rightChars="0" w:firstLine="0" w:firstLineChars="0"/>
        <w:jc w:val="both"/>
        <w:textAlignment w:val="auto"/>
        <w:rPr>
          <w:rFonts w:hint="eastAsia" w:ascii="方正仿宋_GBK" w:hAnsi="方正仿宋_GBK" w:eastAsia="方正仿宋_GBK" w:cs="方正仿宋_GBK"/>
          <w:b w:val="0"/>
          <w:bCs w:val="0"/>
          <w:color w:val="auto"/>
          <w:sz w:val="28"/>
          <w:szCs w:val="28"/>
          <w:highlight w:val="none"/>
          <w:lang w:val="en-US" w:eastAsia="zh-CN"/>
        </w:rPr>
      </w:pPr>
      <w:r>
        <w:rPr>
          <w:rFonts w:hint="eastAsia" w:ascii="宋体" w:hAnsi="宋体" w:eastAsia="宋体" w:cs="宋体"/>
          <w:sz w:val="24"/>
          <w:szCs w:val="24"/>
          <w:lang w:val="en-US" w:eastAsia="zh-CN"/>
        </w:rPr>
        <w:t>★4.1交货时间</w:t>
      </w:r>
    </w:p>
    <w:p w14:paraId="42A9A4E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合同签订后30日历天内安装完成并交付使用</w:t>
      </w:r>
    </w:p>
    <w:p w14:paraId="7F75AF06">
      <w:pPr>
        <w:pStyle w:val="7"/>
        <w:pageBreakBefore w:val="0"/>
        <w:widowControl w:val="0"/>
        <w:kinsoku/>
        <w:wordWrap/>
        <w:overflowPunct/>
        <w:topLinePunct w:val="0"/>
        <w:autoSpaceDE/>
        <w:autoSpaceDN/>
        <w:bidi w:val="0"/>
        <w:adjustRightInd/>
        <w:snapToGrid/>
        <w:spacing w:before="0" w:after="0" w:line="480" w:lineRule="exact"/>
        <w:ind w:left="0" w:leftChars="0" w:right="0" w:rightChars="0" w:firstLine="0" w:firstLine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4.2交货地点和方式</w:t>
      </w:r>
    </w:p>
    <w:p w14:paraId="302DEFF4">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val="en-US" w:eastAsia="zh-CN"/>
        </w:rPr>
      </w:pPr>
      <w:r>
        <w:rPr>
          <w:rFonts w:hint="eastAsia" w:ascii="宋体" w:hAnsi="宋体" w:cs="宋体"/>
          <w:b w:val="0"/>
          <w:bCs/>
          <w:sz w:val="24"/>
          <w:szCs w:val="24"/>
          <w:vertAlign w:val="baseline"/>
          <w:lang w:val="en-US" w:eastAsia="zh-CN"/>
        </w:rPr>
        <w:t>文山市望华路7号（壹然天辰小区）</w:t>
      </w:r>
    </w:p>
    <w:p w14:paraId="7DDC3E2C">
      <w:pPr>
        <w:pStyle w:val="7"/>
        <w:pageBreakBefore w:val="0"/>
        <w:widowControl w:val="0"/>
        <w:kinsoku/>
        <w:wordWrap/>
        <w:overflowPunct/>
        <w:topLinePunct w:val="0"/>
        <w:autoSpaceDE/>
        <w:autoSpaceDN/>
        <w:bidi w:val="0"/>
        <w:adjustRightInd/>
        <w:snapToGrid/>
        <w:spacing w:before="0" w:after="0" w:line="480" w:lineRule="exact"/>
        <w:ind w:left="0" w:leftChars="0" w:right="0" w:rightChars="0" w:firstLine="0" w:firstLine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4.3付款进度和支付方式</w:t>
      </w:r>
    </w:p>
    <w:p w14:paraId="3ADA9A2C">
      <w:pPr>
        <w:pStyle w:val="9"/>
        <w:spacing w:line="400" w:lineRule="exact"/>
        <w:ind w:firstLine="480" w:firstLineChars="200"/>
        <w:rPr>
          <w:rFonts w:hint="eastAsia" w:ascii="宋体" w:hAnsi="宋体" w:eastAsia="宋体" w:cs="宋体"/>
          <w:sz w:val="24"/>
          <w:szCs w:val="24"/>
          <w:highlight w:val="none"/>
        </w:rPr>
      </w:pPr>
      <w:r>
        <w:rPr>
          <w:rFonts w:hint="eastAsia" w:ascii="宋体" w:hAnsi="宋体" w:cs="宋体"/>
          <w:b w:val="0"/>
          <w:bCs w:val="0"/>
          <w:kern w:val="0"/>
          <w:sz w:val="24"/>
        </w:rPr>
        <w:t>安装</w:t>
      </w:r>
      <w:r>
        <w:rPr>
          <w:rFonts w:hint="eastAsia" w:ascii="宋体" w:hAnsi="宋体" w:cs="宋体"/>
          <w:b w:val="0"/>
          <w:bCs w:val="0"/>
          <w:kern w:val="0"/>
          <w:sz w:val="24"/>
          <w:lang w:val="en-US" w:eastAsia="zh-CN"/>
        </w:rPr>
        <w:t>调试</w:t>
      </w:r>
      <w:r>
        <w:rPr>
          <w:rFonts w:hint="eastAsia" w:ascii="宋体" w:hAnsi="宋体" w:cs="宋体"/>
          <w:b w:val="0"/>
          <w:bCs w:val="0"/>
          <w:kern w:val="0"/>
          <w:sz w:val="24"/>
        </w:rPr>
        <w:t>完成验收合格后一次性支付</w:t>
      </w:r>
      <w:r>
        <w:rPr>
          <w:rFonts w:hint="eastAsia" w:ascii="宋体" w:hAnsi="宋体" w:cs="宋体"/>
          <w:b w:val="0"/>
          <w:bCs w:val="0"/>
          <w:kern w:val="0"/>
          <w:sz w:val="24"/>
          <w:lang w:eastAsia="zh-CN"/>
        </w:rPr>
        <w:t>。</w:t>
      </w:r>
    </w:p>
    <w:p w14:paraId="5D1B9931">
      <w:pPr>
        <w:pStyle w:val="7"/>
        <w:pageBreakBefore w:val="0"/>
        <w:widowControl w:val="0"/>
        <w:kinsoku/>
        <w:wordWrap/>
        <w:overflowPunct/>
        <w:topLinePunct w:val="0"/>
        <w:autoSpaceDE/>
        <w:autoSpaceDN/>
        <w:bidi w:val="0"/>
        <w:adjustRightInd/>
        <w:snapToGrid/>
        <w:spacing w:before="0" w:after="0" w:line="480" w:lineRule="exact"/>
        <w:ind w:left="0" w:leftChars="0" w:right="0" w:rightChars="0" w:firstLine="0" w:firstLine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4.4验收标准和方法</w:t>
      </w:r>
    </w:p>
    <w:p w14:paraId="3480E82A">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bottom"/>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1.设备标准：厂商的设备说明书与相关国际行业标准是否相符。检查设备与附件是否与出厂装箱单匹配，是否与采购信息匹配，是否与设备型号匹配等信息。</w:t>
      </w:r>
    </w:p>
    <w:p w14:paraId="20ACC839">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bottom"/>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2.规格检查：检查设备的规格，如包装、标签、合格证、三包凭证、封签、尺寸、重量、固定接口，设备装箱单等是否相符。</w:t>
      </w:r>
    </w:p>
    <w:p w14:paraId="023848A0">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bottom"/>
        <w:rPr>
          <w:rFonts w:hint="eastAsia"/>
          <w:lang w:eastAsia="zh-CN"/>
        </w:rPr>
      </w:pPr>
      <w:r>
        <w:rPr>
          <w:rFonts w:hint="eastAsia" w:ascii="宋体" w:hAnsi="宋体" w:eastAsia="宋体" w:cs="宋体"/>
          <w:b w:val="0"/>
          <w:bCs w:val="0"/>
          <w:sz w:val="24"/>
          <w:szCs w:val="24"/>
          <w:lang w:val="en-US" w:eastAsia="zh-CN"/>
        </w:rPr>
        <w:t>3.安装调试是否符合需要求。</w:t>
      </w:r>
    </w:p>
    <w:p w14:paraId="43C47201">
      <w:pPr>
        <w:pStyle w:val="7"/>
        <w:pageBreakBefore w:val="0"/>
        <w:widowControl w:val="0"/>
        <w:kinsoku/>
        <w:wordWrap/>
        <w:overflowPunct/>
        <w:topLinePunct w:val="0"/>
        <w:autoSpaceDE/>
        <w:autoSpaceDN/>
        <w:bidi w:val="0"/>
        <w:adjustRightInd/>
        <w:snapToGrid/>
        <w:spacing w:before="0" w:after="0" w:line="480" w:lineRule="exact"/>
        <w:ind w:left="0" w:leftChars="0" w:right="0" w:rightChars="0" w:firstLine="0" w:firstLine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4.5包装方式及运输</w:t>
      </w:r>
    </w:p>
    <w:p w14:paraId="61ECBC80">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原封包装，送货上门。</w:t>
      </w:r>
    </w:p>
    <w:p w14:paraId="3E062191">
      <w:pPr>
        <w:pStyle w:val="7"/>
        <w:pageBreakBefore w:val="0"/>
        <w:widowControl w:val="0"/>
        <w:kinsoku/>
        <w:wordWrap/>
        <w:overflowPunct/>
        <w:topLinePunct w:val="0"/>
        <w:autoSpaceDE/>
        <w:autoSpaceDN/>
        <w:bidi w:val="0"/>
        <w:adjustRightInd/>
        <w:snapToGrid/>
        <w:spacing w:before="0" w:after="0" w:line="480" w:lineRule="exact"/>
        <w:ind w:left="0" w:leftChars="0" w:right="0" w:rightChars="0" w:firstLine="0" w:firstLineChars="0"/>
        <w:jc w:val="both"/>
        <w:textAlignment w:val="auto"/>
        <w:rPr>
          <w:rFonts w:hint="eastAsia" w:ascii="宋体" w:hAnsi="宋体" w:cs="宋体"/>
          <w:color w:val="auto"/>
          <w:sz w:val="24"/>
          <w:szCs w:val="24"/>
          <w:lang w:val="en-US" w:eastAsia="zh-CN"/>
        </w:rPr>
      </w:pPr>
      <w:r>
        <w:rPr>
          <w:rFonts w:hint="eastAsia" w:ascii="宋体" w:hAnsi="宋体" w:eastAsia="宋体" w:cs="宋体"/>
          <w:color w:val="auto"/>
          <w:sz w:val="24"/>
          <w:szCs w:val="24"/>
          <w:lang w:val="en-US" w:eastAsia="zh-CN"/>
        </w:rPr>
        <w:t>4.6质量保修范围和保修期</w:t>
      </w:r>
    </w:p>
    <w:p w14:paraId="25C2B7F1">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480" w:firstLineChars="200"/>
        <w:jc w:val="left"/>
        <w:textAlignment w:val="bottom"/>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质量要求：符合国产现行有关规范要求，并达到合格标准。提供的设备必须为原装正品，能通过有效途径确认出厂配置和用户信息，并提供采购产品的原厂服务承诺书。投标价格已含增值税、运输费、保险费等全部费用。</w:t>
      </w:r>
    </w:p>
    <w:p w14:paraId="6CBC9D7E">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bottom"/>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2.现场安装调试服务。</w:t>
      </w:r>
    </w:p>
    <w:p w14:paraId="58C0AF4B">
      <w:pPr>
        <w:pStyle w:val="7"/>
        <w:pageBreakBefore w:val="0"/>
        <w:widowControl w:val="0"/>
        <w:kinsoku/>
        <w:wordWrap/>
        <w:overflowPunct/>
        <w:topLinePunct w:val="0"/>
        <w:autoSpaceDE/>
        <w:autoSpaceDN/>
        <w:bidi w:val="0"/>
        <w:adjustRightInd/>
        <w:snapToGrid/>
        <w:spacing w:before="0" w:after="0" w:line="480" w:lineRule="exact"/>
        <w:ind w:left="0" w:leftChars="0" w:right="0" w:rightChars="0" w:firstLine="0" w:firstLine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4.7售后服务要求</w:t>
      </w:r>
    </w:p>
    <w:p w14:paraId="475E6F6C">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bottom"/>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全部设备硬件提供3年原厂现场、远程、电话等技术支持服务，在服务期内，中标单位对用户相关服务做到1小时响应。如出现系统故障，需要做到4小时内对故障定位，并在规定时间内派遣工程师到达现场解决问题。</w:t>
      </w:r>
    </w:p>
    <w:p w14:paraId="6F3F925C">
      <w:pPr>
        <w:pStyle w:val="7"/>
        <w:pageBreakBefore w:val="0"/>
        <w:widowControl w:val="0"/>
        <w:kinsoku/>
        <w:wordWrap/>
        <w:overflowPunct/>
        <w:topLinePunct w:val="0"/>
        <w:autoSpaceDE/>
        <w:autoSpaceDN/>
        <w:bidi w:val="0"/>
        <w:adjustRightInd/>
        <w:snapToGrid/>
        <w:spacing w:before="0" w:after="0" w:line="480" w:lineRule="exact"/>
        <w:ind w:left="0" w:leftChars="0" w:right="0" w:rightChars="0" w:firstLine="0" w:firstLine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4.8违约责任</w:t>
      </w:r>
    </w:p>
    <w:p w14:paraId="2382C694">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因采购人原因导致变更、中止或者终止政府采购合同的，采购人应对供应商受到的损失据实给予赔偿或者补偿。</w:t>
      </w:r>
    </w:p>
    <w:p w14:paraId="27260D94">
      <w:pPr>
        <w:pStyle w:val="7"/>
        <w:pageBreakBefore w:val="0"/>
        <w:widowControl w:val="0"/>
        <w:kinsoku/>
        <w:wordWrap/>
        <w:overflowPunct/>
        <w:topLinePunct w:val="0"/>
        <w:autoSpaceDE/>
        <w:autoSpaceDN/>
        <w:bidi w:val="0"/>
        <w:adjustRightInd/>
        <w:snapToGrid/>
        <w:spacing w:before="0" w:after="0" w:line="480" w:lineRule="exact"/>
        <w:ind w:left="0" w:leftChars="0" w:right="0" w:rightChars="0" w:firstLine="0" w:firstLine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4.9解决争议的方式</w:t>
      </w:r>
    </w:p>
    <w:p w14:paraId="1A58F146">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4.9.1 产品出现问题及时处理售后服务，并且上门解决。</w:t>
      </w:r>
    </w:p>
    <w:p w14:paraId="277834E6">
      <w:pPr>
        <w:pStyle w:val="2"/>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color w:val="auto"/>
          <w:lang w:val="en-US" w:eastAsia="zh-CN"/>
        </w:rPr>
      </w:pPr>
      <w:r>
        <w:rPr>
          <w:rFonts w:hint="eastAsia" w:ascii="宋体" w:hAnsi="宋体" w:eastAsia="宋体" w:cs="宋体"/>
          <w:color w:val="auto"/>
          <w:spacing w:val="0"/>
          <w:kern w:val="2"/>
          <w:sz w:val="24"/>
          <w:szCs w:val="24"/>
          <w:lang w:val="en-US" w:eastAsia="zh-CN" w:bidi="ar-SA"/>
        </w:rPr>
        <w:t xml:space="preserve">4.9.2 </w:t>
      </w:r>
      <w:r>
        <w:rPr>
          <w:rFonts w:hint="eastAsia" w:ascii="宋体" w:hAnsi="宋体" w:eastAsia="宋体" w:cs="宋体"/>
          <w:b w:val="0"/>
          <w:bCs w:val="0"/>
          <w:color w:val="auto"/>
          <w:sz w:val="24"/>
          <w:szCs w:val="24"/>
          <w:lang w:val="en-US" w:eastAsia="zh-CN"/>
        </w:rPr>
        <w:t>合同在履行过程中发生的争议，由双方当事人协商解决，协商不成的，依法向项目所在地人民法院起诉。</w:t>
      </w:r>
    </w:p>
    <w:p w14:paraId="329D9311">
      <w:pPr>
        <w:pStyle w:val="6"/>
        <w:pageBreakBefore w:val="0"/>
        <w:widowControl w:val="0"/>
        <w:kinsoku/>
        <w:wordWrap/>
        <w:overflowPunct/>
        <w:topLinePunct w:val="0"/>
        <w:autoSpaceDE/>
        <w:autoSpaceDN/>
        <w:bidi w:val="0"/>
        <w:adjustRightInd/>
        <w:snapToGrid/>
        <w:spacing w:before="0" w:after="0" w:line="560" w:lineRule="exact"/>
        <w:ind w:left="0" w:leftChars="0" w:right="0" w:rightChars="0" w:firstLine="0" w:firstLineChars="0"/>
        <w:jc w:val="both"/>
        <w:textAlignment w:val="auto"/>
        <w:rPr>
          <w:rFonts w:hint="eastAsia"/>
          <w:sz w:val="28"/>
          <w:szCs w:val="28"/>
          <w:lang w:val="en-US" w:eastAsia="zh-CN"/>
        </w:rPr>
      </w:pPr>
      <w:bookmarkStart w:id="236" w:name="_Toc6118_WPSOffice_Level2"/>
      <w:bookmarkStart w:id="237" w:name="_Toc1146"/>
      <w:bookmarkStart w:id="238" w:name="_Toc1886"/>
      <w:bookmarkStart w:id="239" w:name="_Toc18618"/>
      <w:bookmarkStart w:id="240" w:name="_Toc32254"/>
      <w:r>
        <w:rPr>
          <w:rFonts w:hint="eastAsia"/>
          <w:sz w:val="28"/>
          <w:szCs w:val="28"/>
          <w:lang w:val="en-US" w:eastAsia="zh-CN"/>
        </w:rPr>
        <w:t>五、</w:t>
      </w:r>
      <w:bookmarkEnd w:id="236"/>
      <w:bookmarkStart w:id="241" w:name="_Toc24832_WPSOffice_Level2"/>
      <w:r>
        <w:rPr>
          <w:rFonts w:hint="eastAsia"/>
          <w:sz w:val="28"/>
          <w:szCs w:val="28"/>
          <w:lang w:val="en-US" w:eastAsia="zh-CN"/>
        </w:rPr>
        <w:t>可实质性变动的实质性要求</w:t>
      </w:r>
      <w:bookmarkEnd w:id="237"/>
      <w:bookmarkEnd w:id="238"/>
      <w:bookmarkEnd w:id="239"/>
      <w:bookmarkEnd w:id="240"/>
      <w:bookmarkEnd w:id="241"/>
    </w:p>
    <w:p w14:paraId="5765FE7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rPr>
          <w:rFonts w:hint="eastAsia" w:ascii="宋体" w:hAnsi="宋体" w:eastAsia="宋体" w:cs="宋体"/>
          <w:b/>
          <w:sz w:val="28"/>
          <w:szCs w:val="28"/>
          <w:highlight w:val="yellow"/>
        </w:rPr>
      </w:pPr>
      <w:r>
        <w:rPr>
          <w:rFonts w:hint="eastAsia" w:ascii="宋体" w:hAnsi="宋体" w:eastAsia="宋体" w:cs="宋体"/>
          <w:sz w:val="24"/>
          <w:szCs w:val="24"/>
          <w:lang w:val="en-US" w:eastAsia="zh-CN"/>
        </w:rPr>
        <w:t>项目需求部分</w:t>
      </w:r>
      <w:r>
        <w:rPr>
          <w:rFonts w:hint="eastAsia" w:ascii="宋体" w:hAnsi="宋体" w:eastAsia="宋体" w:cs="宋体"/>
          <w:sz w:val="24"/>
          <w:szCs w:val="24"/>
        </w:rPr>
        <w:t>加◆号的要求为本项目可实质性变动的实质性要求</w:t>
      </w:r>
      <w:r>
        <w:rPr>
          <w:rFonts w:hint="eastAsia" w:ascii="宋体" w:hAnsi="宋体" w:eastAsia="宋体" w:cs="宋体"/>
          <w:sz w:val="24"/>
          <w:szCs w:val="24"/>
          <w:lang w:eastAsia="zh-CN"/>
        </w:rPr>
        <w:t>。</w:t>
      </w:r>
    </w:p>
    <w:p w14:paraId="1515CA7E">
      <w:pPr>
        <w:tabs>
          <w:tab w:val="left" w:pos="7665"/>
        </w:tabs>
        <w:spacing w:line="400" w:lineRule="exact"/>
        <w:ind w:firstLine="480"/>
        <w:rPr>
          <w:rFonts w:hint="eastAsia" w:ascii="宋体" w:hAnsi="宋体"/>
          <w:bCs/>
          <w:color w:val="000000"/>
          <w:sz w:val="24"/>
        </w:rPr>
      </w:pPr>
    </w:p>
    <w:p w14:paraId="3AE68A40">
      <w:pPr>
        <w:rPr>
          <w:rFonts w:hint="eastAsia"/>
          <w:lang w:eastAsia="zh-CN"/>
        </w:rPr>
      </w:pPr>
      <w:bookmarkStart w:id="242" w:name="_Toc32299"/>
      <w:bookmarkStart w:id="243" w:name="_Toc3153"/>
      <w:bookmarkStart w:id="244" w:name="_Toc23175"/>
      <w:bookmarkStart w:id="245" w:name="_Toc12826_WPSOffice_Level1"/>
    </w:p>
    <w:p w14:paraId="1E4E9954">
      <w:pPr>
        <w:rPr>
          <w:rFonts w:hint="eastAsia"/>
          <w:lang w:eastAsia="zh-CN"/>
        </w:rPr>
      </w:pPr>
    </w:p>
    <w:p w14:paraId="45360AFE">
      <w:pPr>
        <w:rPr>
          <w:rFonts w:hint="eastAsia"/>
          <w:lang w:eastAsia="zh-CN"/>
        </w:rPr>
      </w:pPr>
    </w:p>
    <w:p w14:paraId="65432EA4">
      <w:pPr>
        <w:rPr>
          <w:rFonts w:hint="eastAsia"/>
          <w:lang w:eastAsia="zh-CN"/>
        </w:rPr>
      </w:pPr>
    </w:p>
    <w:p w14:paraId="1AE48B8C">
      <w:pPr>
        <w:rPr>
          <w:rFonts w:hint="eastAsia"/>
          <w:lang w:eastAsia="zh-CN"/>
        </w:rPr>
      </w:pPr>
    </w:p>
    <w:p w14:paraId="4B1D84A2">
      <w:pPr>
        <w:rPr>
          <w:rFonts w:hint="eastAsia"/>
          <w:lang w:eastAsia="zh-CN"/>
        </w:rPr>
      </w:pPr>
    </w:p>
    <w:p w14:paraId="0E898695">
      <w:pPr>
        <w:rPr>
          <w:rFonts w:hint="eastAsia"/>
          <w:lang w:eastAsia="zh-CN"/>
        </w:rPr>
      </w:pPr>
    </w:p>
    <w:p w14:paraId="5B17BC41">
      <w:pPr>
        <w:rPr>
          <w:rFonts w:hint="eastAsia"/>
          <w:lang w:eastAsia="zh-CN"/>
        </w:rPr>
      </w:pPr>
    </w:p>
    <w:p w14:paraId="3B15AD40">
      <w:pPr>
        <w:rPr>
          <w:rFonts w:hint="eastAsia"/>
          <w:lang w:eastAsia="zh-CN"/>
        </w:rPr>
      </w:pPr>
    </w:p>
    <w:p w14:paraId="2BE6B136">
      <w:pPr>
        <w:rPr>
          <w:rFonts w:hint="eastAsia"/>
          <w:lang w:eastAsia="zh-CN"/>
        </w:rPr>
      </w:pPr>
    </w:p>
    <w:p w14:paraId="06CC3B65">
      <w:pPr>
        <w:rPr>
          <w:rFonts w:hint="eastAsia"/>
          <w:lang w:eastAsia="zh-CN"/>
        </w:rPr>
      </w:pPr>
    </w:p>
    <w:p w14:paraId="63F52D4B">
      <w:pPr>
        <w:rPr>
          <w:rFonts w:hint="eastAsia"/>
          <w:lang w:eastAsia="zh-CN"/>
        </w:rPr>
      </w:pPr>
    </w:p>
    <w:p w14:paraId="063CA865">
      <w:pPr>
        <w:rPr>
          <w:rFonts w:hint="eastAsia"/>
          <w:lang w:eastAsia="zh-CN"/>
        </w:rPr>
      </w:pPr>
    </w:p>
    <w:p w14:paraId="4F0E60F6">
      <w:pPr>
        <w:rPr>
          <w:rFonts w:hint="eastAsia"/>
          <w:lang w:eastAsia="zh-CN"/>
        </w:rPr>
      </w:pPr>
    </w:p>
    <w:p w14:paraId="2BA052DC">
      <w:pPr>
        <w:rPr>
          <w:rFonts w:hint="eastAsia"/>
          <w:lang w:eastAsia="zh-CN"/>
        </w:rPr>
      </w:pPr>
    </w:p>
    <w:p w14:paraId="2856B631">
      <w:pPr>
        <w:rPr>
          <w:rFonts w:hint="eastAsia"/>
          <w:lang w:eastAsia="zh-CN"/>
        </w:rPr>
      </w:pPr>
    </w:p>
    <w:p w14:paraId="31DA619B">
      <w:pPr>
        <w:rPr>
          <w:rFonts w:hint="eastAsia"/>
          <w:lang w:eastAsia="zh-CN"/>
        </w:rPr>
      </w:pPr>
    </w:p>
    <w:p w14:paraId="5FA981CE">
      <w:pPr>
        <w:rPr>
          <w:rFonts w:hint="eastAsia"/>
          <w:lang w:eastAsia="zh-CN"/>
        </w:rPr>
      </w:pPr>
    </w:p>
    <w:p w14:paraId="29D185BA">
      <w:pPr>
        <w:rPr>
          <w:rFonts w:hint="eastAsia"/>
          <w:lang w:eastAsia="zh-CN"/>
        </w:rPr>
      </w:pPr>
    </w:p>
    <w:p w14:paraId="420189AA">
      <w:pPr>
        <w:rPr>
          <w:rFonts w:hint="eastAsia"/>
          <w:lang w:eastAsia="zh-CN"/>
        </w:rPr>
      </w:pPr>
    </w:p>
    <w:p w14:paraId="4D8665EF">
      <w:pPr>
        <w:rPr>
          <w:rFonts w:hint="eastAsia"/>
          <w:lang w:eastAsia="zh-CN"/>
        </w:rPr>
      </w:pPr>
    </w:p>
    <w:p w14:paraId="0868DF7D">
      <w:pPr>
        <w:rPr>
          <w:rFonts w:hint="eastAsia"/>
          <w:lang w:eastAsia="zh-CN"/>
        </w:rPr>
      </w:pPr>
    </w:p>
    <w:p w14:paraId="494A6678">
      <w:pPr>
        <w:rPr>
          <w:rFonts w:hint="eastAsia"/>
          <w:lang w:eastAsia="zh-CN"/>
        </w:rPr>
      </w:pPr>
    </w:p>
    <w:p w14:paraId="65766D8B">
      <w:pPr>
        <w:rPr>
          <w:rFonts w:hint="eastAsia"/>
          <w:lang w:eastAsia="zh-CN"/>
        </w:rPr>
      </w:pPr>
    </w:p>
    <w:p w14:paraId="6EB08716">
      <w:pPr>
        <w:rPr>
          <w:rFonts w:hint="eastAsia"/>
          <w:lang w:eastAsia="zh-CN"/>
        </w:rPr>
      </w:pPr>
    </w:p>
    <w:p w14:paraId="07EF53B4">
      <w:pPr>
        <w:rPr>
          <w:rFonts w:hint="eastAsia"/>
          <w:lang w:eastAsia="zh-CN"/>
        </w:rPr>
      </w:pPr>
    </w:p>
    <w:p w14:paraId="7516687D">
      <w:pPr>
        <w:rPr>
          <w:rFonts w:hint="eastAsia"/>
          <w:lang w:eastAsia="zh-CN"/>
        </w:rPr>
      </w:pPr>
    </w:p>
    <w:p w14:paraId="6AC5DFC1">
      <w:pPr>
        <w:rPr>
          <w:rFonts w:hint="eastAsia"/>
          <w:lang w:eastAsia="zh-CN"/>
        </w:rPr>
      </w:pPr>
    </w:p>
    <w:p w14:paraId="4530A1F5">
      <w:pPr>
        <w:rPr>
          <w:rFonts w:hint="eastAsia"/>
          <w:lang w:eastAsia="zh-CN"/>
        </w:rPr>
      </w:pPr>
    </w:p>
    <w:p w14:paraId="1BDCDE61">
      <w:pPr>
        <w:rPr>
          <w:rFonts w:hint="eastAsia"/>
          <w:lang w:eastAsia="zh-CN"/>
        </w:rPr>
      </w:pPr>
    </w:p>
    <w:p w14:paraId="44C1CF60">
      <w:pPr>
        <w:rPr>
          <w:rFonts w:hint="eastAsia"/>
          <w:lang w:eastAsia="zh-CN"/>
        </w:rPr>
      </w:pPr>
    </w:p>
    <w:p w14:paraId="2ADA7D71">
      <w:pPr>
        <w:rPr>
          <w:rFonts w:hint="eastAsia"/>
          <w:lang w:eastAsia="zh-CN"/>
        </w:rPr>
      </w:pPr>
    </w:p>
    <w:p w14:paraId="79103856">
      <w:pPr>
        <w:rPr>
          <w:rFonts w:hint="eastAsia"/>
          <w:lang w:eastAsia="zh-CN"/>
        </w:rPr>
      </w:pPr>
    </w:p>
    <w:p w14:paraId="113EF367">
      <w:pPr>
        <w:rPr>
          <w:rFonts w:hint="eastAsia"/>
          <w:lang w:eastAsia="zh-CN"/>
        </w:rPr>
      </w:pPr>
    </w:p>
    <w:p w14:paraId="40E36606">
      <w:pPr>
        <w:rPr>
          <w:rFonts w:hint="eastAsia"/>
          <w:lang w:eastAsia="zh-CN"/>
        </w:rPr>
      </w:pPr>
    </w:p>
    <w:p w14:paraId="2E70E7F0">
      <w:pPr>
        <w:rPr>
          <w:rFonts w:hint="eastAsia"/>
          <w:lang w:eastAsia="zh-CN"/>
        </w:rPr>
      </w:pPr>
    </w:p>
    <w:p w14:paraId="019D8868">
      <w:pPr>
        <w:rPr>
          <w:rFonts w:hint="eastAsia"/>
          <w:lang w:eastAsia="zh-CN"/>
        </w:rPr>
      </w:pPr>
    </w:p>
    <w:p w14:paraId="600A71F6">
      <w:pPr>
        <w:pStyle w:val="5"/>
        <w:ind w:firstLine="1760" w:firstLineChars="400"/>
        <w:rPr>
          <w:rFonts w:hint="eastAsia"/>
        </w:rPr>
      </w:pPr>
      <w:bookmarkStart w:id="246" w:name="_Toc28772"/>
      <w:bookmarkStart w:id="247" w:name="_Toc22652"/>
      <w:bookmarkStart w:id="248" w:name="_Toc7730"/>
      <w:r>
        <w:rPr>
          <w:rFonts w:hint="eastAsia"/>
          <w:lang w:eastAsia="zh-CN"/>
        </w:rPr>
        <w:t>第四章</w:t>
      </w:r>
      <w:r>
        <w:rPr>
          <w:rFonts w:hint="eastAsia"/>
        </w:rPr>
        <w:t xml:space="preserve">  政府采购合同（草案）</w:t>
      </w:r>
      <w:bookmarkEnd w:id="242"/>
      <w:bookmarkEnd w:id="243"/>
      <w:bookmarkEnd w:id="244"/>
      <w:bookmarkEnd w:id="246"/>
      <w:bookmarkEnd w:id="247"/>
      <w:bookmarkEnd w:id="248"/>
    </w:p>
    <w:p w14:paraId="032C3793">
      <w:pPr>
        <w:autoSpaceDE w:val="0"/>
        <w:autoSpaceDN w:val="0"/>
        <w:adjustRightInd w:val="0"/>
        <w:spacing w:line="300" w:lineRule="auto"/>
        <w:jc w:val="center"/>
        <w:rPr>
          <w:rFonts w:hint="eastAsia" w:ascii="楷体_GB2312" w:eastAsia="楷体_GB2312" w:cs="楷体_GB2312"/>
          <w:b/>
          <w:bCs/>
          <w:color w:val="000000"/>
          <w:kern w:val="0"/>
          <w:sz w:val="44"/>
          <w:szCs w:val="44"/>
        </w:rPr>
      </w:pPr>
      <w:bookmarkStart w:id="249" w:name="_Toc25025"/>
      <w:bookmarkStart w:id="250" w:name="_Toc8607"/>
      <w:r>
        <w:rPr>
          <w:rFonts w:hint="eastAsia" w:ascii="楷体_GB2312" w:eastAsia="楷体_GB2312" w:cs="楷体_GB2312"/>
          <w:b/>
          <w:bCs/>
          <w:color w:val="000000"/>
          <w:kern w:val="0"/>
          <w:sz w:val="44"/>
          <w:szCs w:val="44"/>
        </w:rPr>
        <w:t>文山市政府采购和出让中心（政府采购）</w:t>
      </w:r>
      <w:bookmarkEnd w:id="249"/>
      <w:bookmarkEnd w:id="250"/>
    </w:p>
    <w:p w14:paraId="171F6706">
      <w:pPr>
        <w:autoSpaceDE w:val="0"/>
        <w:autoSpaceDN w:val="0"/>
        <w:adjustRightInd w:val="0"/>
        <w:spacing w:line="300" w:lineRule="auto"/>
        <w:jc w:val="center"/>
        <w:rPr>
          <w:rFonts w:ascii="楷体_GB2312" w:eastAsia="楷体_GB2312"/>
          <w:b/>
          <w:bCs/>
          <w:color w:val="000000"/>
          <w:kern w:val="0"/>
          <w:sz w:val="44"/>
          <w:szCs w:val="44"/>
        </w:rPr>
      </w:pPr>
    </w:p>
    <w:p w14:paraId="126FBE3B">
      <w:pPr>
        <w:autoSpaceDE w:val="0"/>
        <w:autoSpaceDN w:val="0"/>
        <w:adjustRightInd w:val="0"/>
        <w:spacing w:line="300" w:lineRule="auto"/>
        <w:jc w:val="center"/>
        <w:rPr>
          <w:rFonts w:ascii="楷体_GB2312" w:eastAsia="楷体_GB2312"/>
          <w:b/>
          <w:bCs/>
          <w:color w:val="000000"/>
          <w:kern w:val="0"/>
          <w:sz w:val="44"/>
          <w:szCs w:val="44"/>
        </w:rPr>
      </w:pPr>
      <w:r>
        <w:rPr>
          <w:rFonts w:hint="eastAsia" w:ascii="楷体_GB2312" w:eastAsia="楷体_GB2312" w:cs="楷体_GB2312"/>
          <w:b/>
          <w:bCs/>
          <w:color w:val="000000"/>
          <w:kern w:val="0"/>
          <w:sz w:val="44"/>
          <w:szCs w:val="44"/>
        </w:rPr>
        <w:t>货　物　类</w:t>
      </w:r>
    </w:p>
    <w:p w14:paraId="1B20017B">
      <w:pPr>
        <w:autoSpaceDE w:val="0"/>
        <w:autoSpaceDN w:val="0"/>
        <w:adjustRightInd w:val="0"/>
        <w:spacing w:line="300" w:lineRule="auto"/>
        <w:jc w:val="center"/>
        <w:rPr>
          <w:rFonts w:ascii="黑体" w:eastAsia="黑体"/>
          <w:color w:val="000000"/>
          <w:kern w:val="0"/>
          <w:sz w:val="18"/>
          <w:szCs w:val="18"/>
        </w:rPr>
      </w:pPr>
    </w:p>
    <w:p w14:paraId="6E519E71">
      <w:pPr>
        <w:autoSpaceDE w:val="0"/>
        <w:autoSpaceDN w:val="0"/>
        <w:adjustRightInd w:val="0"/>
        <w:spacing w:line="300" w:lineRule="auto"/>
        <w:jc w:val="center"/>
        <w:rPr>
          <w:rFonts w:ascii="黑体" w:eastAsia="黑体"/>
          <w:color w:val="000000"/>
          <w:kern w:val="0"/>
          <w:sz w:val="18"/>
          <w:szCs w:val="18"/>
        </w:rPr>
      </w:pPr>
    </w:p>
    <w:p w14:paraId="7D962C16">
      <w:pPr>
        <w:autoSpaceDE w:val="0"/>
        <w:autoSpaceDN w:val="0"/>
        <w:adjustRightInd w:val="0"/>
        <w:spacing w:line="300" w:lineRule="auto"/>
        <w:jc w:val="center"/>
        <w:rPr>
          <w:rFonts w:hint="eastAsia" w:ascii="黑体" w:eastAsia="黑体" w:cs="黑体"/>
          <w:color w:val="000000"/>
          <w:kern w:val="0"/>
          <w:sz w:val="84"/>
          <w:szCs w:val="84"/>
        </w:rPr>
      </w:pPr>
      <w:r>
        <w:rPr>
          <w:rFonts w:hint="eastAsia" w:ascii="黑体" w:eastAsia="黑体" w:cs="黑体"/>
          <w:color w:val="000000"/>
          <w:kern w:val="0"/>
          <w:sz w:val="84"/>
          <w:szCs w:val="84"/>
        </w:rPr>
        <w:t>合</w:t>
      </w:r>
    </w:p>
    <w:p w14:paraId="7679CC94">
      <w:pPr>
        <w:autoSpaceDE w:val="0"/>
        <w:autoSpaceDN w:val="0"/>
        <w:adjustRightInd w:val="0"/>
        <w:spacing w:line="300" w:lineRule="auto"/>
        <w:jc w:val="center"/>
        <w:rPr>
          <w:rFonts w:ascii="黑体" w:eastAsia="黑体" w:cs="黑体"/>
          <w:color w:val="000000"/>
          <w:kern w:val="0"/>
          <w:sz w:val="84"/>
          <w:szCs w:val="84"/>
        </w:rPr>
      </w:pPr>
      <w:r>
        <w:rPr>
          <w:rFonts w:ascii="黑体" w:eastAsia="黑体" w:cs="黑体"/>
          <w:color w:val="000000"/>
          <w:kern w:val="0"/>
          <w:sz w:val="84"/>
          <w:szCs w:val="84"/>
        </w:rPr>
        <w:t xml:space="preserve"> </w:t>
      </w:r>
    </w:p>
    <w:p w14:paraId="48D07BBC">
      <w:pPr>
        <w:autoSpaceDE w:val="0"/>
        <w:autoSpaceDN w:val="0"/>
        <w:adjustRightInd w:val="0"/>
        <w:spacing w:line="300" w:lineRule="auto"/>
        <w:jc w:val="center"/>
        <w:rPr>
          <w:rFonts w:hint="eastAsia" w:ascii="黑体" w:eastAsia="黑体" w:cs="黑体"/>
          <w:color w:val="000000"/>
          <w:kern w:val="0"/>
          <w:sz w:val="84"/>
          <w:szCs w:val="84"/>
        </w:rPr>
      </w:pPr>
      <w:r>
        <w:rPr>
          <w:rFonts w:hint="eastAsia" w:ascii="黑体" w:eastAsia="黑体" w:cs="黑体"/>
          <w:color w:val="000000"/>
          <w:kern w:val="0"/>
          <w:sz w:val="84"/>
          <w:szCs w:val="84"/>
        </w:rPr>
        <w:t>同</w:t>
      </w:r>
    </w:p>
    <w:p w14:paraId="7BF95DC8">
      <w:pPr>
        <w:autoSpaceDE w:val="0"/>
        <w:autoSpaceDN w:val="0"/>
        <w:adjustRightInd w:val="0"/>
        <w:spacing w:line="300" w:lineRule="auto"/>
        <w:jc w:val="center"/>
        <w:rPr>
          <w:rFonts w:ascii="黑体" w:eastAsia="黑体"/>
          <w:color w:val="000000"/>
          <w:kern w:val="0"/>
          <w:sz w:val="72"/>
          <w:szCs w:val="72"/>
        </w:rPr>
      </w:pPr>
      <w:r>
        <w:rPr>
          <w:rFonts w:ascii="黑体" w:eastAsia="黑体" w:cs="黑体"/>
          <w:color w:val="000000"/>
          <w:kern w:val="0"/>
          <w:sz w:val="84"/>
          <w:szCs w:val="84"/>
        </w:rPr>
        <w:t xml:space="preserve"> </w:t>
      </w:r>
    </w:p>
    <w:p w14:paraId="45D1DEC2">
      <w:pPr>
        <w:autoSpaceDE w:val="0"/>
        <w:autoSpaceDN w:val="0"/>
        <w:adjustRightInd w:val="0"/>
        <w:spacing w:line="300" w:lineRule="auto"/>
        <w:jc w:val="center"/>
        <w:rPr>
          <w:rFonts w:ascii="黑体" w:eastAsia="黑体" w:cs="黑体"/>
          <w:color w:val="000000"/>
          <w:kern w:val="0"/>
          <w:sz w:val="84"/>
          <w:szCs w:val="84"/>
        </w:rPr>
      </w:pPr>
      <w:r>
        <w:rPr>
          <w:rFonts w:hint="eastAsia" w:ascii="黑体" w:eastAsia="黑体" w:cs="黑体"/>
          <w:color w:val="000000"/>
          <w:kern w:val="0"/>
          <w:sz w:val="84"/>
          <w:szCs w:val="84"/>
        </w:rPr>
        <w:t>书</w:t>
      </w:r>
      <w:r>
        <w:rPr>
          <w:rFonts w:ascii="黑体" w:eastAsia="黑体" w:cs="黑体"/>
          <w:color w:val="000000"/>
          <w:kern w:val="0"/>
          <w:sz w:val="84"/>
          <w:szCs w:val="84"/>
        </w:rPr>
        <w:t xml:space="preserve"> </w:t>
      </w:r>
    </w:p>
    <w:p w14:paraId="56102FF7">
      <w:pPr>
        <w:autoSpaceDE w:val="0"/>
        <w:autoSpaceDN w:val="0"/>
        <w:adjustRightInd w:val="0"/>
        <w:spacing w:line="300" w:lineRule="auto"/>
        <w:ind w:firstLine="1962" w:firstLineChars="545"/>
        <w:rPr>
          <w:rFonts w:ascii="宋体"/>
          <w:b/>
          <w:bCs/>
          <w:kern w:val="0"/>
          <w:sz w:val="36"/>
          <w:szCs w:val="36"/>
          <w:lang w:val="zh-CN"/>
        </w:rPr>
      </w:pPr>
      <w:r>
        <w:rPr>
          <w:rFonts w:hint="eastAsia" w:ascii="宋体" w:hAnsi="宋体" w:cs="宋体"/>
          <w:b/>
          <w:bCs/>
          <w:kern w:val="0"/>
          <w:sz w:val="36"/>
          <w:szCs w:val="36"/>
          <w:lang w:val="zh-CN"/>
        </w:rPr>
        <w:t>签订地点：</w:t>
      </w:r>
    </w:p>
    <w:p w14:paraId="221CA88B">
      <w:pPr>
        <w:autoSpaceDE w:val="0"/>
        <w:autoSpaceDN w:val="0"/>
        <w:adjustRightInd w:val="0"/>
        <w:spacing w:line="300" w:lineRule="auto"/>
        <w:ind w:firstLine="1962" w:firstLineChars="545"/>
        <w:rPr>
          <w:rFonts w:ascii="宋体"/>
          <w:b/>
          <w:bCs/>
          <w:kern w:val="0"/>
          <w:sz w:val="36"/>
          <w:szCs w:val="36"/>
          <w:lang w:val="zh-CN"/>
        </w:rPr>
      </w:pPr>
      <w:r>
        <w:rPr>
          <w:rFonts w:hint="eastAsia" w:ascii="宋体" w:hAnsi="宋体" w:cs="宋体"/>
          <w:b/>
          <w:bCs/>
          <w:kern w:val="0"/>
          <w:sz w:val="36"/>
          <w:szCs w:val="36"/>
          <w:lang w:val="zh-CN"/>
        </w:rPr>
        <w:t>签订日期：</w:t>
      </w:r>
      <w:r>
        <w:rPr>
          <w:rFonts w:ascii="宋体" w:hAnsi="宋体" w:cs="宋体"/>
          <w:b/>
          <w:bCs/>
          <w:kern w:val="0"/>
          <w:sz w:val="36"/>
          <w:szCs w:val="36"/>
          <w:lang w:val="zh-CN"/>
        </w:rPr>
        <w:t xml:space="preserve">   </w:t>
      </w:r>
      <w:r>
        <w:rPr>
          <w:rFonts w:hint="eastAsia" w:ascii="宋体" w:hAnsi="宋体" w:cs="宋体"/>
          <w:b/>
          <w:bCs/>
          <w:kern w:val="0"/>
          <w:sz w:val="36"/>
          <w:szCs w:val="36"/>
          <w:lang w:val="zh-CN"/>
        </w:rPr>
        <w:t>年</w:t>
      </w:r>
      <w:r>
        <w:rPr>
          <w:rFonts w:ascii="宋体" w:hAnsi="宋体" w:cs="宋体"/>
          <w:b/>
          <w:bCs/>
          <w:kern w:val="0"/>
          <w:sz w:val="36"/>
          <w:szCs w:val="36"/>
          <w:lang w:val="zh-CN"/>
        </w:rPr>
        <w:t xml:space="preserve"> </w:t>
      </w:r>
      <w:r>
        <w:rPr>
          <w:rFonts w:hint="eastAsia" w:ascii="宋体" w:hAnsi="宋体" w:cs="宋体"/>
          <w:b/>
          <w:bCs/>
          <w:kern w:val="0"/>
          <w:sz w:val="36"/>
          <w:szCs w:val="36"/>
          <w:lang w:val="zh-CN"/>
        </w:rPr>
        <w:t>　月</w:t>
      </w:r>
      <w:r>
        <w:rPr>
          <w:rFonts w:ascii="宋体" w:hAnsi="宋体" w:cs="宋体"/>
          <w:b/>
          <w:bCs/>
          <w:kern w:val="0"/>
          <w:sz w:val="36"/>
          <w:szCs w:val="36"/>
          <w:lang w:val="zh-CN"/>
        </w:rPr>
        <w:t xml:space="preserve"> </w:t>
      </w:r>
      <w:r>
        <w:rPr>
          <w:rFonts w:hint="eastAsia" w:ascii="宋体" w:hAnsi="宋体" w:cs="宋体"/>
          <w:b/>
          <w:bCs/>
          <w:kern w:val="0"/>
          <w:sz w:val="36"/>
          <w:szCs w:val="36"/>
          <w:lang w:val="zh-CN"/>
        </w:rPr>
        <w:t>　日</w:t>
      </w:r>
    </w:p>
    <w:p w14:paraId="4E9D266E">
      <w:pPr>
        <w:autoSpaceDE w:val="0"/>
        <w:autoSpaceDN w:val="0"/>
        <w:adjustRightInd w:val="0"/>
        <w:spacing w:line="300" w:lineRule="auto"/>
        <w:jc w:val="center"/>
        <w:rPr>
          <w:rFonts w:hint="eastAsia" w:ascii="宋体" w:hAnsi="宋体" w:cs="宋体"/>
          <w:b/>
          <w:bCs/>
          <w:kern w:val="0"/>
          <w:sz w:val="36"/>
          <w:szCs w:val="36"/>
          <w:lang w:val="zh-CN"/>
        </w:rPr>
      </w:pPr>
    </w:p>
    <w:p w14:paraId="72AC3888">
      <w:pPr>
        <w:autoSpaceDE w:val="0"/>
        <w:autoSpaceDN w:val="0"/>
        <w:adjustRightInd w:val="0"/>
        <w:spacing w:line="300" w:lineRule="auto"/>
        <w:jc w:val="center"/>
        <w:rPr>
          <w:rFonts w:hint="eastAsia" w:ascii="宋体" w:hAnsi="宋体" w:cs="宋体"/>
          <w:b/>
          <w:bCs/>
          <w:kern w:val="0"/>
          <w:sz w:val="36"/>
          <w:szCs w:val="36"/>
          <w:lang w:val="zh-CN"/>
        </w:rPr>
      </w:pPr>
    </w:p>
    <w:p w14:paraId="360E5A06">
      <w:pPr>
        <w:autoSpaceDE w:val="0"/>
        <w:autoSpaceDN w:val="0"/>
        <w:adjustRightInd w:val="0"/>
        <w:spacing w:line="300" w:lineRule="auto"/>
        <w:ind w:firstLine="2160" w:firstLineChars="600"/>
        <w:jc w:val="both"/>
        <w:rPr>
          <w:rFonts w:ascii="宋体"/>
          <w:b/>
          <w:bCs/>
          <w:kern w:val="0"/>
          <w:sz w:val="36"/>
          <w:szCs w:val="36"/>
          <w:lang w:val="zh-CN"/>
        </w:rPr>
      </w:pPr>
      <w:r>
        <w:rPr>
          <w:rFonts w:hint="eastAsia" w:ascii="宋体" w:hAnsi="宋体" w:cs="宋体"/>
          <w:b/>
          <w:bCs/>
          <w:kern w:val="0"/>
          <w:sz w:val="36"/>
          <w:szCs w:val="36"/>
          <w:lang w:val="zh-CN"/>
        </w:rPr>
        <w:t>文山</w:t>
      </w:r>
      <w:r>
        <w:rPr>
          <w:rFonts w:hint="eastAsia" w:ascii="宋体" w:hAnsi="宋体" w:cs="宋体"/>
          <w:b/>
          <w:bCs/>
          <w:kern w:val="0"/>
          <w:sz w:val="36"/>
          <w:szCs w:val="36"/>
        </w:rPr>
        <w:t>市</w:t>
      </w:r>
      <w:r>
        <w:rPr>
          <w:rFonts w:hint="eastAsia" w:ascii="宋体" w:hAnsi="宋体" w:cs="宋体"/>
          <w:b/>
          <w:bCs/>
          <w:kern w:val="0"/>
          <w:sz w:val="36"/>
          <w:szCs w:val="36"/>
          <w:lang w:val="zh-CN"/>
        </w:rPr>
        <w:t>政府采购和出让中心　制</w:t>
      </w:r>
    </w:p>
    <w:p w14:paraId="6F781216"/>
    <w:p w14:paraId="5598917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一、合同编号：　　　　　　　　　　　</w:t>
      </w:r>
    </w:p>
    <w:p w14:paraId="0B1AAFE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二、合同名称：　　　　　　　　　　　</w:t>
      </w:r>
    </w:p>
    <w:p w14:paraId="52E253C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三、项目编号（或招标编号、政府采购计划编号、采购计划备案文号等，如有）：　　　　　　　　　　　</w:t>
      </w:r>
    </w:p>
    <w:p w14:paraId="30B81E9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四、项目名称：　　　　　　　　　　　</w:t>
      </w:r>
    </w:p>
    <w:p w14:paraId="3DA29C2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五、合同主体</w:t>
      </w:r>
    </w:p>
    <w:p w14:paraId="1FBE8BF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采购人（甲方）：　　　　　　　　　　　</w:t>
      </w:r>
    </w:p>
    <w:p w14:paraId="44B219E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地  址：　　　　　　　　　　　</w:t>
      </w:r>
    </w:p>
    <w:p w14:paraId="22F4BCD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联系方式：　　　　　　　　　　　</w:t>
      </w:r>
    </w:p>
    <w:p w14:paraId="5C1B850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供应商（乙方）：　　　　　　　　　　　</w:t>
      </w:r>
    </w:p>
    <w:p w14:paraId="56FBE0F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地  址：　　　　　　　　　　　</w:t>
      </w:r>
    </w:p>
    <w:p w14:paraId="4B5AD31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联系方式：　　　　　　　　　　　</w:t>
      </w:r>
    </w:p>
    <w:p w14:paraId="7842763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bookmarkStart w:id="251" w:name="_Toc13222"/>
      <w:bookmarkStart w:id="252" w:name="_Toc26757"/>
      <w:r>
        <w:rPr>
          <w:rFonts w:hint="eastAsia" w:ascii="宋体" w:hAnsi="宋体" w:eastAsia="宋体" w:cs="宋体"/>
          <w:sz w:val="24"/>
          <w:szCs w:val="24"/>
          <w:lang w:eastAsia="zh-CN"/>
        </w:rPr>
        <w:t>六、合同主要信息</w:t>
      </w:r>
      <w:bookmarkEnd w:id="251"/>
      <w:bookmarkEnd w:id="252"/>
    </w:p>
    <w:p w14:paraId="6684346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主要标的名称：　　　　　　　　　　　</w:t>
      </w:r>
    </w:p>
    <w:p w14:paraId="2ECDBFE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规格型号（或服务要求）：须附合同清单明细表(包含且不限于：商品名称、设备型号、计量单位、生产厂商名称（是否为小微企业）)　　　　　　　　　　　</w:t>
      </w:r>
    </w:p>
    <w:p w14:paraId="54BA059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主要标的数量：　　　　　　　　　　　</w:t>
      </w:r>
    </w:p>
    <w:p w14:paraId="4A37110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主要标的单价：　　　　　　　　　　　</w:t>
      </w:r>
    </w:p>
    <w:p w14:paraId="4DA1F8A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合同金额：</w:t>
      </w:r>
    </w:p>
    <w:p w14:paraId="4706EAD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合同约定的验收时间：</w:t>
      </w:r>
    </w:p>
    <w:p w14:paraId="033109E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合同约定的完成支付时间：      或验收交付后      天（日历日），完成支付</w:t>
      </w:r>
    </w:p>
    <w:p w14:paraId="0D958B1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计划付款金额：</w:t>
      </w:r>
    </w:p>
    <w:p w14:paraId="39B10CD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计划付款时间：</w:t>
      </w:r>
    </w:p>
    <w:p w14:paraId="577FB48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供应商银行账号：</w:t>
      </w:r>
    </w:p>
    <w:p w14:paraId="49928B6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供应商开户行：</w:t>
      </w:r>
    </w:p>
    <w:p w14:paraId="2C38852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供应商开户名：　　　　　　　　　　　</w:t>
      </w:r>
    </w:p>
    <w:p w14:paraId="7117E77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双方需履约条款、期限、售后服务要求、付款方式等信息：　　　　　　　　　　　</w:t>
      </w:r>
    </w:p>
    <w:p w14:paraId="56BFF65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采购方式：（如公开招标、竞争性磋商、单一来源采购等）</w:t>
      </w:r>
    </w:p>
    <w:p w14:paraId="15A60CF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七、合同签订日期：  　　　　　　　　　　</w:t>
      </w:r>
    </w:p>
    <w:p w14:paraId="480036C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八、合同公告日期：　　　　　　　　　　　</w:t>
      </w:r>
    </w:p>
    <w:p w14:paraId="2129721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九、其他补充事宜：(是否为小微企业，如中标公司为小微企业请提供相关资料以便合同备案时上传)　　　　　　　　　　　</w:t>
      </w:r>
    </w:p>
    <w:p w14:paraId="49CEFBB7">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附件：上传合同（采购人应当按照《政府采购法实施条例》有关要求，将政府采购合同中涉及国家秘密、商业秘密的内容删除后予以公开）</w:t>
      </w:r>
    </w:p>
    <w:p w14:paraId="2850E1F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注：格式规范文本中标注斜体的部分是对文件相关内容提示或说明。</w:t>
      </w:r>
    </w:p>
    <w:p w14:paraId="578DC77F">
      <w:pPr>
        <w:pStyle w:val="5"/>
        <w:pageBreakBefore w:val="0"/>
        <w:widowControl w:val="0"/>
        <w:kinsoku/>
        <w:wordWrap/>
        <w:overflowPunct/>
        <w:topLinePunct w:val="0"/>
        <w:autoSpaceDE/>
        <w:autoSpaceDN/>
        <w:bidi w:val="0"/>
        <w:adjustRightInd/>
        <w:snapToGrid/>
        <w:spacing w:before="0" w:after="0" w:line="560" w:lineRule="exact"/>
        <w:ind w:left="0" w:leftChars="0" w:right="0" w:rightChars="0" w:firstLine="0" w:firstLineChars="0"/>
        <w:jc w:val="center"/>
        <w:textAlignment w:val="auto"/>
        <w:rPr>
          <w:rFonts w:hint="eastAsia" w:ascii="宋体" w:hAnsi="宋体" w:eastAsia="宋体" w:cs="宋体"/>
          <w:color w:val="000000"/>
          <w:sz w:val="44"/>
          <w:szCs w:val="44"/>
          <w:highlight w:val="none"/>
        </w:rPr>
      </w:pPr>
      <w:r>
        <w:rPr>
          <w:rFonts w:hint="eastAsia" w:ascii="宋体" w:hAnsi="宋体" w:eastAsia="宋体" w:cs="宋体"/>
          <w:i/>
          <w:iCs/>
          <w:color w:val="0000FF"/>
          <w:sz w:val="28"/>
          <w:szCs w:val="28"/>
          <w:lang w:val="en-US" w:eastAsia="zh-CN"/>
        </w:rPr>
        <w:br w:type="page"/>
      </w:r>
      <w:bookmarkStart w:id="253" w:name="_Toc17302"/>
      <w:bookmarkStart w:id="254" w:name="_Toc8254"/>
      <w:bookmarkStart w:id="255" w:name="_Toc5426"/>
      <w:bookmarkStart w:id="256" w:name="_Toc23841"/>
      <w:r>
        <w:rPr>
          <w:rFonts w:hint="eastAsia" w:ascii="宋体" w:hAnsi="宋体" w:eastAsia="宋体" w:cs="宋体"/>
          <w:color w:val="000000"/>
          <w:sz w:val="44"/>
          <w:szCs w:val="44"/>
          <w:highlight w:val="none"/>
          <w:lang w:val="en-US" w:eastAsia="zh-CN"/>
        </w:rPr>
        <w:t>第五章</w:t>
      </w:r>
      <w:r>
        <w:rPr>
          <w:rFonts w:hint="eastAsia" w:ascii="宋体" w:hAnsi="宋体" w:eastAsia="宋体" w:cs="宋体"/>
          <w:color w:val="000000"/>
          <w:sz w:val="44"/>
          <w:szCs w:val="44"/>
          <w:highlight w:val="none"/>
        </w:rPr>
        <w:t xml:space="preserve"> 评审方法</w:t>
      </w:r>
      <w:bookmarkEnd w:id="245"/>
      <w:bookmarkEnd w:id="253"/>
      <w:bookmarkEnd w:id="254"/>
      <w:bookmarkEnd w:id="255"/>
      <w:bookmarkEnd w:id="256"/>
    </w:p>
    <w:p w14:paraId="0E4E61E8">
      <w:pPr>
        <w:pageBreakBefore w:val="0"/>
        <w:kinsoku/>
        <w:wordWrap/>
        <w:overflowPunct/>
        <w:topLinePunct w:val="0"/>
        <w:bidi w:val="0"/>
        <w:adjustRightInd w:val="0"/>
        <w:snapToGrid w:val="0"/>
        <w:spacing w:line="560" w:lineRule="exact"/>
        <w:textAlignment w:val="auto"/>
        <w:rPr>
          <w:rFonts w:hint="eastAsia" w:ascii="宋体" w:hAnsi="宋体" w:eastAsia="宋体" w:cs="宋体"/>
          <w:bCs/>
          <w:color w:val="000000"/>
          <w:sz w:val="24"/>
          <w:szCs w:val="24"/>
        </w:rPr>
      </w:pPr>
    </w:p>
    <w:p w14:paraId="451DF89A">
      <w:pPr>
        <w:keepNext w:val="0"/>
        <w:keepLines w:val="0"/>
        <w:pageBreakBefore w:val="0"/>
        <w:widowControl w:val="0"/>
        <w:kinsoku/>
        <w:wordWrap/>
        <w:overflowPunct/>
        <w:topLinePunct w:val="0"/>
        <w:autoSpaceDE/>
        <w:autoSpaceDN/>
        <w:bidi w:val="0"/>
        <w:adjustRightInd w:val="0"/>
        <w:snapToGrid w:val="0"/>
        <w:spacing w:line="560" w:lineRule="exact"/>
        <w:ind w:right="0" w:rightChars="0" w:firstLine="480" w:firstLineChars="200"/>
        <w:jc w:val="both"/>
        <w:textAlignment w:val="auto"/>
        <w:rPr>
          <w:rFonts w:hint="eastAsia" w:ascii="宋体" w:hAnsi="宋体" w:eastAsia="宋体" w:cs="宋体"/>
          <w:sz w:val="24"/>
          <w:szCs w:val="24"/>
        </w:rPr>
      </w:pPr>
      <w:r>
        <w:rPr>
          <w:rFonts w:hint="eastAsia" w:ascii="宋体" w:hAnsi="宋体" w:eastAsia="宋体" w:cs="宋体"/>
          <w:bCs/>
          <w:color w:val="000000"/>
          <w:sz w:val="24"/>
          <w:szCs w:val="24"/>
          <w:lang w:eastAsia="zh-CN"/>
        </w:rPr>
        <w:t>谈判</w:t>
      </w:r>
      <w:r>
        <w:rPr>
          <w:rFonts w:hint="eastAsia" w:ascii="宋体" w:hAnsi="宋体" w:eastAsia="宋体" w:cs="宋体"/>
          <w:bCs/>
          <w:color w:val="000000"/>
          <w:sz w:val="24"/>
          <w:szCs w:val="24"/>
        </w:rPr>
        <w:t>小组在评审过程中，应当按照</w:t>
      </w:r>
      <w:r>
        <w:rPr>
          <w:rFonts w:hint="eastAsia" w:ascii="宋体" w:hAnsi="宋体" w:eastAsia="宋体" w:cs="宋体"/>
          <w:color w:val="000000"/>
          <w:kern w:val="0"/>
          <w:sz w:val="24"/>
          <w:szCs w:val="24"/>
        </w:rPr>
        <w:t>《中华人民共和国政府采购法实施条例》（国务院令第658号）《</w:t>
      </w:r>
      <w:r>
        <w:rPr>
          <w:rFonts w:hint="eastAsia" w:ascii="宋体" w:hAnsi="宋体" w:eastAsia="宋体" w:cs="宋体"/>
          <w:color w:val="000000"/>
          <w:kern w:val="0"/>
          <w:sz w:val="24"/>
          <w:szCs w:val="24"/>
          <w:lang w:eastAsia="zh-CN"/>
        </w:rPr>
        <w:t>政</w:t>
      </w:r>
      <w:r>
        <w:rPr>
          <w:rFonts w:hint="eastAsia" w:ascii="宋体" w:hAnsi="宋体" w:eastAsia="宋体" w:cs="宋体"/>
          <w:color w:val="0D0D0D"/>
          <w:kern w:val="0"/>
          <w:sz w:val="24"/>
          <w:szCs w:val="24"/>
        </w:rPr>
        <w:t>府采购非招标采购方式管理办法</w:t>
      </w:r>
      <w:r>
        <w:rPr>
          <w:rFonts w:hint="eastAsia" w:ascii="宋体" w:hAnsi="宋体" w:eastAsia="宋体" w:cs="宋体"/>
          <w:color w:val="000000"/>
          <w:kern w:val="0"/>
          <w:sz w:val="24"/>
          <w:szCs w:val="24"/>
        </w:rPr>
        <w:t>》（国务院第令74号）</w:t>
      </w:r>
      <w:r>
        <w:rPr>
          <w:rFonts w:hint="eastAsia" w:ascii="宋体" w:hAnsi="宋体" w:eastAsia="宋体" w:cs="宋体"/>
          <w:bCs/>
          <w:color w:val="000000"/>
          <w:sz w:val="24"/>
          <w:szCs w:val="24"/>
        </w:rPr>
        <w:t>的规定履行职责和义务，不得违法评审、违反评审工作纪律。</w:t>
      </w:r>
    </w:p>
    <w:p w14:paraId="60F929EE">
      <w:pPr>
        <w:pStyle w:val="6"/>
        <w:pageBreakBefore w:val="0"/>
        <w:widowControl w:val="0"/>
        <w:kinsoku/>
        <w:wordWrap/>
        <w:overflowPunct/>
        <w:topLinePunct w:val="0"/>
        <w:autoSpaceDE/>
        <w:autoSpaceDN/>
        <w:bidi w:val="0"/>
        <w:spacing w:before="0" w:after="0" w:line="560" w:lineRule="exact"/>
        <w:ind w:right="0" w:rightChars="0"/>
        <w:jc w:val="both"/>
        <w:textAlignment w:val="auto"/>
        <w:rPr>
          <w:rFonts w:hint="eastAsia"/>
          <w:sz w:val="24"/>
          <w:szCs w:val="24"/>
          <w:lang w:eastAsia="zh-CN"/>
        </w:rPr>
      </w:pPr>
      <w:bookmarkStart w:id="257" w:name="_Toc26403"/>
      <w:bookmarkStart w:id="258" w:name="_Toc4658"/>
      <w:bookmarkStart w:id="259" w:name="_Toc28065_WPSOffice_Level2"/>
      <w:bookmarkStart w:id="260" w:name="_Toc20021"/>
      <w:bookmarkStart w:id="261" w:name="_Toc1499"/>
      <w:r>
        <w:rPr>
          <w:rFonts w:hint="eastAsia"/>
          <w:sz w:val="24"/>
          <w:szCs w:val="24"/>
          <w:lang w:val="en-US" w:eastAsia="zh-CN"/>
        </w:rPr>
        <w:t>一、总则</w:t>
      </w:r>
      <w:bookmarkEnd w:id="257"/>
      <w:bookmarkEnd w:id="258"/>
      <w:bookmarkEnd w:id="259"/>
      <w:bookmarkEnd w:id="260"/>
      <w:bookmarkEnd w:id="261"/>
    </w:p>
    <w:p w14:paraId="3122F36F">
      <w:pPr>
        <w:pStyle w:val="7"/>
        <w:pageBreakBefore w:val="0"/>
        <w:widowControl w:val="0"/>
        <w:kinsoku/>
        <w:wordWrap/>
        <w:overflowPunct/>
        <w:topLinePunct w:val="0"/>
        <w:autoSpaceDE/>
        <w:autoSpaceDN/>
        <w:bidi w:val="0"/>
        <w:spacing w:before="0" w:after="0"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1.谈判</w:t>
      </w:r>
      <w:r>
        <w:rPr>
          <w:rFonts w:hint="eastAsia" w:ascii="宋体" w:hAnsi="宋体" w:eastAsia="宋体" w:cs="宋体"/>
          <w:sz w:val="24"/>
          <w:szCs w:val="24"/>
        </w:rPr>
        <w:t>小组在采购活动过程中应当履行下列职责：</w:t>
      </w:r>
    </w:p>
    <w:p w14:paraId="137A4867">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确认或者制定</w:t>
      </w:r>
      <w:r>
        <w:rPr>
          <w:rFonts w:hint="eastAsia" w:ascii="宋体" w:hAnsi="宋体" w:eastAsia="宋体" w:cs="宋体"/>
          <w:sz w:val="24"/>
          <w:szCs w:val="24"/>
          <w:lang w:val="en-US" w:eastAsia="zh-CN"/>
        </w:rPr>
        <w:t>谈判文件</w:t>
      </w:r>
      <w:r>
        <w:rPr>
          <w:rFonts w:hint="eastAsia" w:ascii="宋体" w:hAnsi="宋体" w:eastAsia="宋体" w:cs="宋体"/>
          <w:sz w:val="24"/>
          <w:szCs w:val="24"/>
        </w:rPr>
        <w:t xml:space="preserve">； </w:t>
      </w:r>
    </w:p>
    <w:p w14:paraId="6FDBC4BF">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w:t>
      </w:r>
      <w:r>
        <w:rPr>
          <w:rFonts w:hint="eastAsia" w:ascii="宋体" w:hAnsi="宋体" w:eastAsia="宋体" w:cs="宋体"/>
          <w:sz w:val="24"/>
          <w:szCs w:val="24"/>
        </w:rPr>
        <w:t>从符合相应资格条件的供应商名单中确定不少于3家的供应商参加</w:t>
      </w:r>
      <w:r>
        <w:rPr>
          <w:rFonts w:hint="eastAsia" w:ascii="宋体" w:hAnsi="宋体" w:eastAsia="宋体" w:cs="宋体"/>
          <w:sz w:val="24"/>
          <w:szCs w:val="24"/>
          <w:lang w:val="en-US" w:eastAsia="zh-CN"/>
        </w:rPr>
        <w:t>谈判</w:t>
      </w:r>
      <w:r>
        <w:rPr>
          <w:rFonts w:hint="eastAsia" w:ascii="宋体" w:hAnsi="宋体" w:eastAsia="宋体" w:cs="宋体"/>
          <w:sz w:val="24"/>
          <w:szCs w:val="24"/>
        </w:rPr>
        <w:t>；</w:t>
      </w:r>
    </w:p>
    <w:p w14:paraId="7C6CEE1E">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1.3</w:t>
      </w:r>
      <w:r>
        <w:rPr>
          <w:rFonts w:hint="eastAsia" w:ascii="宋体" w:hAnsi="宋体" w:eastAsia="宋体" w:cs="宋体"/>
          <w:sz w:val="24"/>
          <w:szCs w:val="24"/>
        </w:rPr>
        <w:t>审查供应商的响应文件并作出评价；</w:t>
      </w:r>
    </w:p>
    <w:p w14:paraId="3F65AC00">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1.4</w:t>
      </w:r>
      <w:r>
        <w:rPr>
          <w:rFonts w:hint="eastAsia" w:ascii="宋体" w:hAnsi="宋体" w:eastAsia="宋体" w:cs="宋体"/>
          <w:sz w:val="24"/>
          <w:szCs w:val="24"/>
        </w:rPr>
        <w:t>要求供应商解释或者澄清其响应文件；</w:t>
      </w:r>
    </w:p>
    <w:p w14:paraId="46FCE57C">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1.5</w:t>
      </w:r>
      <w:r>
        <w:rPr>
          <w:rFonts w:hint="eastAsia" w:ascii="宋体" w:hAnsi="宋体" w:eastAsia="宋体" w:cs="宋体"/>
          <w:sz w:val="24"/>
          <w:szCs w:val="24"/>
        </w:rPr>
        <w:t xml:space="preserve">编写评审报告； </w:t>
      </w:r>
    </w:p>
    <w:p w14:paraId="37B1F144">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1.6</w:t>
      </w:r>
      <w:r>
        <w:rPr>
          <w:rFonts w:hint="eastAsia" w:ascii="宋体" w:hAnsi="宋体" w:eastAsia="宋体" w:cs="宋体"/>
          <w:sz w:val="24"/>
          <w:szCs w:val="24"/>
        </w:rPr>
        <w:t>告知采购人、采购代理机构在评审过程中发现的供应商的违法违规行为。</w:t>
      </w:r>
    </w:p>
    <w:p w14:paraId="6E3B687F">
      <w:pPr>
        <w:pStyle w:val="7"/>
        <w:pageBreakBefore w:val="0"/>
        <w:widowControl w:val="0"/>
        <w:kinsoku/>
        <w:wordWrap/>
        <w:overflowPunct/>
        <w:topLinePunct w:val="0"/>
        <w:autoSpaceDE/>
        <w:autoSpaceDN/>
        <w:bidi w:val="0"/>
        <w:spacing w:before="0" w:after="0" w:line="560" w:lineRule="exact"/>
        <w:ind w:right="0" w:right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2.谈判小组成员应当履行下列义务：</w:t>
      </w:r>
    </w:p>
    <w:p w14:paraId="47E516AC">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2.1</w:t>
      </w:r>
      <w:r>
        <w:rPr>
          <w:rFonts w:hint="eastAsia" w:ascii="宋体" w:hAnsi="宋体" w:eastAsia="宋体" w:cs="宋体"/>
          <w:sz w:val="24"/>
          <w:szCs w:val="24"/>
        </w:rPr>
        <w:t>遵纪守法，客观、公正、廉洁地履行职责；</w:t>
      </w:r>
    </w:p>
    <w:p w14:paraId="1D55659E">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2.2</w:t>
      </w:r>
      <w:r>
        <w:rPr>
          <w:rFonts w:hint="eastAsia" w:ascii="宋体" w:hAnsi="宋体" w:eastAsia="宋体" w:cs="宋体"/>
          <w:sz w:val="24"/>
          <w:szCs w:val="24"/>
        </w:rPr>
        <w:t>根据采购文件的规定独立进行评审，对个人的评审意见承担法律责任；</w:t>
      </w:r>
    </w:p>
    <w:p w14:paraId="206D5125">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2.3</w:t>
      </w:r>
      <w:r>
        <w:rPr>
          <w:rFonts w:hint="eastAsia" w:ascii="宋体" w:hAnsi="宋体" w:eastAsia="宋体" w:cs="宋体"/>
          <w:sz w:val="24"/>
          <w:szCs w:val="24"/>
        </w:rPr>
        <w:t>参与评审报告的起草；</w:t>
      </w:r>
    </w:p>
    <w:p w14:paraId="4EABE615">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2.4</w:t>
      </w:r>
      <w:r>
        <w:rPr>
          <w:rFonts w:hint="eastAsia" w:ascii="宋体" w:hAnsi="宋体" w:eastAsia="宋体" w:cs="宋体"/>
          <w:sz w:val="24"/>
          <w:szCs w:val="24"/>
        </w:rPr>
        <w:t>配合采购人、采购代理机构答复供应商提出的质疑；</w:t>
      </w:r>
    </w:p>
    <w:p w14:paraId="203CCDD2">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2.5</w:t>
      </w:r>
      <w:r>
        <w:rPr>
          <w:rFonts w:hint="eastAsia" w:ascii="宋体" w:hAnsi="宋体" w:eastAsia="宋体" w:cs="宋体"/>
          <w:sz w:val="24"/>
          <w:szCs w:val="24"/>
        </w:rPr>
        <w:t>配合财政部门的投诉处理和监督检查工作。</w:t>
      </w:r>
    </w:p>
    <w:p w14:paraId="0E7105BE">
      <w:pPr>
        <w:pStyle w:val="9"/>
        <w:keepNext w:val="0"/>
        <w:keepLines w:val="0"/>
        <w:pageBreakBefore w:val="0"/>
        <w:widowControl w:val="0"/>
        <w:kinsoku/>
        <w:wordWrap/>
        <w:overflowPunct/>
        <w:topLinePunct w:val="0"/>
        <w:autoSpaceDE/>
        <w:autoSpaceDN/>
        <w:bidi w:val="0"/>
        <w:spacing w:line="560" w:lineRule="exact"/>
        <w:ind w:left="0" w:leftChars="0" w:right="0" w:rightChars="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2.6 </w:t>
      </w:r>
      <w:r>
        <w:rPr>
          <w:rFonts w:hint="eastAsia" w:ascii="宋体" w:hAnsi="宋体" w:eastAsia="宋体" w:cs="宋体"/>
          <w:sz w:val="24"/>
          <w:szCs w:val="24"/>
        </w:rPr>
        <w:t>评审过程独立、保密。供应商非法干预评审过程的行为将导致其响应文件作为无效处理。</w:t>
      </w:r>
    </w:p>
    <w:p w14:paraId="30A13A56">
      <w:pPr>
        <w:pStyle w:val="9"/>
        <w:keepNext w:val="0"/>
        <w:keepLines w:val="0"/>
        <w:pageBreakBefore w:val="0"/>
        <w:widowControl w:val="0"/>
        <w:kinsoku/>
        <w:wordWrap/>
        <w:overflowPunct/>
        <w:topLinePunct w:val="0"/>
        <w:autoSpaceDE/>
        <w:autoSpaceDN/>
        <w:bidi w:val="0"/>
        <w:spacing w:line="560" w:lineRule="exact"/>
        <w:ind w:left="0" w:leftChars="0" w:right="0" w:rightChars="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2.7</w:t>
      </w:r>
      <w:r>
        <w:rPr>
          <w:rFonts w:hint="eastAsia" w:ascii="宋体" w:hAnsi="宋体" w:eastAsia="宋体" w:cs="宋体"/>
          <w:sz w:val="24"/>
          <w:szCs w:val="24"/>
          <w:highlight w:val="none"/>
        </w:rPr>
        <w:t>谈判小组依据响应文件本身的内容决定响应文件的响应性，而不寻求外部的证据，谈判文件有明确约定的除外。</w:t>
      </w:r>
    </w:p>
    <w:p w14:paraId="444A9138">
      <w:pPr>
        <w:pStyle w:val="9"/>
        <w:keepNext w:val="0"/>
        <w:keepLines w:val="0"/>
        <w:pageBreakBefore w:val="0"/>
        <w:widowControl w:val="0"/>
        <w:kinsoku/>
        <w:wordWrap/>
        <w:overflowPunct/>
        <w:topLinePunct w:val="0"/>
        <w:autoSpaceDE/>
        <w:autoSpaceDN/>
        <w:bidi w:val="0"/>
        <w:spacing w:line="560" w:lineRule="exact"/>
        <w:ind w:left="0" w:leftChars="0" w:right="0" w:rightChars="0" w:firstLine="0" w:firstLineChars="0"/>
        <w:jc w:val="both"/>
        <w:textAlignment w:val="auto"/>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2.8 </w:t>
      </w:r>
      <w:r>
        <w:rPr>
          <w:rFonts w:hint="eastAsia" w:ascii="宋体" w:hAnsi="宋体" w:eastAsia="宋体" w:cs="宋体"/>
          <w:sz w:val="24"/>
          <w:szCs w:val="24"/>
        </w:rPr>
        <w:t>谈判小组发现谈判文件表述不明确或需要说明的事项，可提请采购人</w:t>
      </w:r>
      <w:r>
        <w:rPr>
          <w:rFonts w:hint="eastAsia" w:ascii="宋体" w:hAnsi="宋体" w:eastAsia="宋体" w:cs="宋体"/>
          <w:sz w:val="24"/>
          <w:szCs w:val="24"/>
          <w:lang w:val="en-US" w:eastAsia="zh-CN"/>
        </w:rPr>
        <w:t>或采购代理机</w:t>
      </w:r>
      <w:r>
        <w:rPr>
          <w:rFonts w:hint="eastAsia" w:ascii="宋体" w:hAnsi="宋体" w:eastAsia="宋体" w:cs="宋体"/>
          <w:sz w:val="24"/>
          <w:szCs w:val="24"/>
          <w:highlight w:val="none"/>
          <w:lang w:val="en-US" w:eastAsia="zh-CN"/>
        </w:rPr>
        <w:t>构</w:t>
      </w:r>
      <w:r>
        <w:rPr>
          <w:rFonts w:hint="eastAsia" w:ascii="宋体" w:hAnsi="宋体" w:eastAsia="宋体" w:cs="宋体"/>
          <w:sz w:val="24"/>
          <w:szCs w:val="24"/>
          <w:highlight w:val="none"/>
        </w:rPr>
        <w:t>书面解释说明。</w:t>
      </w:r>
    </w:p>
    <w:p w14:paraId="3E95A4B5">
      <w:pPr>
        <w:pStyle w:val="7"/>
        <w:pageBreakBefore w:val="0"/>
        <w:widowControl w:val="0"/>
        <w:kinsoku/>
        <w:wordWrap/>
        <w:overflowPunct/>
        <w:topLinePunct w:val="0"/>
        <w:autoSpaceDE/>
        <w:autoSpaceDN/>
        <w:bidi w:val="0"/>
        <w:spacing w:before="0" w:after="0" w:line="560" w:lineRule="exact"/>
        <w:ind w:right="0" w:right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 停止评审的要求</w:t>
      </w:r>
    </w:p>
    <w:p w14:paraId="0DBDB289">
      <w:pPr>
        <w:pStyle w:val="9"/>
        <w:keepNext w:val="0"/>
        <w:keepLines w:val="0"/>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b/>
          <w:bCs/>
          <w:sz w:val="24"/>
          <w:szCs w:val="24"/>
        </w:rPr>
      </w:pPr>
      <w:r>
        <w:rPr>
          <w:rFonts w:hint="eastAsia" w:ascii="宋体" w:hAnsi="宋体" w:eastAsia="宋体" w:cs="宋体"/>
          <w:b/>
          <w:bCs/>
          <w:sz w:val="24"/>
          <w:szCs w:val="24"/>
        </w:rPr>
        <w:t>本</w:t>
      </w:r>
      <w:r>
        <w:rPr>
          <w:rFonts w:hint="eastAsia" w:ascii="宋体" w:hAnsi="宋体" w:eastAsia="宋体" w:cs="宋体"/>
          <w:b/>
          <w:bCs/>
          <w:sz w:val="24"/>
          <w:szCs w:val="24"/>
          <w:lang w:eastAsia="zh-CN"/>
        </w:rPr>
        <w:t>谈判文件</w:t>
      </w:r>
      <w:r>
        <w:rPr>
          <w:rFonts w:hint="eastAsia" w:ascii="宋体" w:hAnsi="宋体" w:eastAsia="宋体" w:cs="宋体"/>
          <w:b/>
          <w:bCs/>
          <w:sz w:val="24"/>
          <w:szCs w:val="24"/>
        </w:rPr>
        <w:t>有下列情形之一的，</w:t>
      </w:r>
      <w:r>
        <w:rPr>
          <w:rFonts w:hint="eastAsia" w:ascii="宋体" w:hAnsi="宋体" w:eastAsia="宋体" w:cs="宋体"/>
          <w:b/>
          <w:bCs/>
          <w:sz w:val="24"/>
          <w:szCs w:val="24"/>
          <w:lang w:eastAsia="zh-CN"/>
        </w:rPr>
        <w:t>谈判</w:t>
      </w:r>
      <w:r>
        <w:rPr>
          <w:rFonts w:hint="eastAsia" w:ascii="宋体" w:hAnsi="宋体" w:eastAsia="宋体" w:cs="宋体"/>
          <w:b/>
          <w:bCs/>
          <w:sz w:val="24"/>
          <w:szCs w:val="24"/>
        </w:rPr>
        <w:t>小组应当停止评审：</w:t>
      </w:r>
    </w:p>
    <w:p w14:paraId="7117109F">
      <w:pPr>
        <w:pStyle w:val="9"/>
        <w:keepNext w:val="0"/>
        <w:keepLines w:val="0"/>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3.1</w:t>
      </w:r>
      <w:r>
        <w:rPr>
          <w:rFonts w:hint="eastAsia" w:ascii="宋体" w:hAnsi="宋体" w:eastAsia="宋体" w:cs="宋体"/>
          <w:sz w:val="24"/>
          <w:szCs w:val="24"/>
          <w:lang w:eastAsia="zh-CN"/>
        </w:rPr>
        <w:t>谈判文件</w:t>
      </w:r>
      <w:r>
        <w:rPr>
          <w:rFonts w:hint="eastAsia" w:ascii="宋体" w:hAnsi="宋体" w:eastAsia="宋体" w:cs="宋体"/>
          <w:sz w:val="24"/>
          <w:szCs w:val="24"/>
        </w:rPr>
        <w:t>的规定存在歧义、重大缺陷的；</w:t>
      </w:r>
    </w:p>
    <w:p w14:paraId="2717FCB8">
      <w:pPr>
        <w:pStyle w:val="9"/>
        <w:keepNext w:val="0"/>
        <w:keepLines w:val="0"/>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3.2</w:t>
      </w:r>
      <w:r>
        <w:rPr>
          <w:rFonts w:hint="eastAsia" w:ascii="宋体" w:hAnsi="宋体" w:eastAsia="宋体" w:cs="宋体"/>
          <w:sz w:val="24"/>
          <w:szCs w:val="24"/>
          <w:lang w:eastAsia="zh-CN"/>
        </w:rPr>
        <w:t>谈判文件</w:t>
      </w:r>
      <w:r>
        <w:rPr>
          <w:rFonts w:hint="eastAsia" w:ascii="宋体" w:hAnsi="宋体" w:eastAsia="宋体" w:cs="宋体"/>
          <w:sz w:val="24"/>
          <w:szCs w:val="24"/>
        </w:rPr>
        <w:t>明显以不合理条件对供应商实行差别待遇或者歧视待遇的；</w:t>
      </w:r>
    </w:p>
    <w:p w14:paraId="25E36983">
      <w:pPr>
        <w:pStyle w:val="9"/>
        <w:keepNext w:val="0"/>
        <w:keepLines w:val="0"/>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3.3</w:t>
      </w:r>
      <w:r>
        <w:rPr>
          <w:rFonts w:hint="eastAsia" w:ascii="宋体" w:hAnsi="宋体" w:eastAsia="宋体" w:cs="宋体"/>
          <w:sz w:val="24"/>
          <w:szCs w:val="24"/>
        </w:rPr>
        <w:t>采购项目属于国家规定的优先、强制采购范围，但是</w:t>
      </w:r>
      <w:r>
        <w:rPr>
          <w:rFonts w:hint="eastAsia" w:ascii="宋体" w:hAnsi="宋体" w:eastAsia="宋体" w:cs="宋体"/>
          <w:sz w:val="24"/>
          <w:szCs w:val="24"/>
          <w:lang w:eastAsia="zh-CN"/>
        </w:rPr>
        <w:t>谈判文件</w:t>
      </w:r>
      <w:r>
        <w:rPr>
          <w:rFonts w:hint="eastAsia" w:ascii="宋体" w:hAnsi="宋体" w:eastAsia="宋体" w:cs="宋体"/>
          <w:sz w:val="24"/>
          <w:szCs w:val="24"/>
        </w:rPr>
        <w:t>未依法体现优先、强制采购相关规定的；</w:t>
      </w:r>
    </w:p>
    <w:p w14:paraId="1AE04FDF">
      <w:pPr>
        <w:pStyle w:val="9"/>
        <w:keepNext w:val="0"/>
        <w:keepLines w:val="0"/>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3.4</w:t>
      </w:r>
      <w:r>
        <w:rPr>
          <w:rFonts w:hint="eastAsia" w:ascii="宋体" w:hAnsi="宋体" w:eastAsia="宋体" w:cs="宋体"/>
          <w:sz w:val="24"/>
          <w:szCs w:val="24"/>
        </w:rPr>
        <w:t>采购项目属于政府采购促进中小企业发展的范围，但是</w:t>
      </w:r>
      <w:r>
        <w:rPr>
          <w:rFonts w:hint="eastAsia" w:ascii="宋体" w:hAnsi="宋体" w:eastAsia="宋体" w:cs="宋体"/>
          <w:sz w:val="24"/>
          <w:szCs w:val="24"/>
          <w:lang w:eastAsia="zh-CN"/>
        </w:rPr>
        <w:t>谈判文件</w:t>
      </w:r>
      <w:r>
        <w:rPr>
          <w:rFonts w:hint="eastAsia" w:ascii="宋体" w:hAnsi="宋体" w:eastAsia="宋体" w:cs="宋体"/>
          <w:sz w:val="24"/>
          <w:szCs w:val="24"/>
        </w:rPr>
        <w:t>未依法体现促进中小企业发展相关规定的；</w:t>
      </w:r>
    </w:p>
    <w:p w14:paraId="4882CDB9">
      <w:pPr>
        <w:pStyle w:val="9"/>
        <w:keepNext w:val="0"/>
        <w:keepLines w:val="0"/>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3.5</w:t>
      </w:r>
      <w:r>
        <w:rPr>
          <w:rFonts w:hint="eastAsia" w:ascii="宋体" w:hAnsi="宋体" w:eastAsia="宋体" w:cs="宋体"/>
          <w:sz w:val="24"/>
          <w:szCs w:val="24"/>
          <w:lang w:eastAsia="zh-CN"/>
        </w:rPr>
        <w:t>谈判文件</w:t>
      </w:r>
      <w:r>
        <w:rPr>
          <w:rFonts w:hint="eastAsia" w:ascii="宋体" w:hAnsi="宋体" w:eastAsia="宋体" w:cs="宋体"/>
          <w:sz w:val="24"/>
          <w:szCs w:val="24"/>
        </w:rPr>
        <w:t>载明的成交原则不合法的；</w:t>
      </w:r>
    </w:p>
    <w:p w14:paraId="416CCF34">
      <w:pPr>
        <w:pStyle w:val="9"/>
        <w:keepNext w:val="0"/>
        <w:keepLines w:val="0"/>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3.6</w:t>
      </w:r>
      <w:r>
        <w:rPr>
          <w:rFonts w:hint="eastAsia" w:ascii="宋体" w:hAnsi="宋体" w:eastAsia="宋体" w:cs="宋体"/>
          <w:sz w:val="24"/>
          <w:szCs w:val="24"/>
          <w:lang w:eastAsia="zh-CN"/>
        </w:rPr>
        <w:t>谈判文件</w:t>
      </w:r>
      <w:r>
        <w:rPr>
          <w:rFonts w:hint="eastAsia" w:ascii="宋体" w:hAnsi="宋体" w:eastAsia="宋体" w:cs="宋体"/>
          <w:sz w:val="24"/>
          <w:szCs w:val="24"/>
        </w:rPr>
        <w:t>有违反国家其他有关强制性规定的情形。</w:t>
      </w:r>
    </w:p>
    <w:p w14:paraId="7D55938D">
      <w:pPr>
        <w:pStyle w:val="9"/>
        <w:keepNext w:val="0"/>
        <w:keepLines w:val="0"/>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sz w:val="24"/>
          <w:szCs w:val="24"/>
        </w:rPr>
      </w:pPr>
      <w:r>
        <w:rPr>
          <w:rFonts w:hint="eastAsia" w:ascii="宋体" w:hAnsi="宋体" w:eastAsia="宋体" w:cs="宋体"/>
          <w:sz w:val="24"/>
          <w:szCs w:val="24"/>
        </w:rPr>
        <w:t>出现本条规定应当停止评审情形的，</w:t>
      </w:r>
      <w:r>
        <w:rPr>
          <w:rFonts w:hint="eastAsia" w:ascii="宋体" w:hAnsi="宋体" w:eastAsia="宋体" w:cs="宋体"/>
          <w:sz w:val="24"/>
          <w:szCs w:val="24"/>
          <w:lang w:eastAsia="zh-CN"/>
        </w:rPr>
        <w:t>谈判</w:t>
      </w:r>
      <w:r>
        <w:rPr>
          <w:rFonts w:hint="eastAsia" w:ascii="宋体" w:hAnsi="宋体" w:eastAsia="宋体" w:cs="宋体"/>
          <w:sz w:val="24"/>
          <w:szCs w:val="24"/>
        </w:rPr>
        <w:t>小组应当向采购人书面说明情况。除本条规定的情形外，</w:t>
      </w:r>
      <w:r>
        <w:rPr>
          <w:rFonts w:hint="eastAsia" w:ascii="宋体" w:hAnsi="宋体" w:eastAsia="宋体" w:cs="宋体"/>
          <w:sz w:val="24"/>
          <w:szCs w:val="24"/>
          <w:lang w:eastAsia="zh-CN"/>
        </w:rPr>
        <w:t>谈判</w:t>
      </w:r>
      <w:r>
        <w:rPr>
          <w:rFonts w:hint="eastAsia" w:ascii="宋体" w:hAnsi="宋体" w:eastAsia="宋体" w:cs="宋体"/>
          <w:sz w:val="24"/>
          <w:szCs w:val="24"/>
        </w:rPr>
        <w:t>小组不得以任何方式和理由停止评审。</w:t>
      </w:r>
    </w:p>
    <w:p w14:paraId="5ED555F3">
      <w:pPr>
        <w:keepNext w:val="0"/>
        <w:keepLines w:val="0"/>
        <w:pageBreakBefore w:val="0"/>
        <w:widowControl w:val="0"/>
        <w:kinsoku/>
        <w:wordWrap/>
        <w:overflowPunct/>
        <w:topLinePunct w:val="0"/>
        <w:autoSpaceDE/>
        <w:autoSpaceDN/>
        <w:bidi w:val="0"/>
        <w:adjustRightInd w:val="0"/>
        <w:snapToGrid w:val="0"/>
        <w:spacing w:line="560" w:lineRule="exact"/>
        <w:ind w:right="0" w:rightChars="0"/>
        <w:jc w:val="both"/>
        <w:textAlignment w:val="auto"/>
        <w:outlineLvl w:val="1"/>
        <w:rPr>
          <w:rFonts w:hint="eastAsia" w:ascii="宋体" w:hAnsi="宋体" w:eastAsia="宋体" w:cs="宋体"/>
          <w:b/>
          <w:bCs w:val="0"/>
          <w:color w:val="000000"/>
          <w:sz w:val="24"/>
          <w:szCs w:val="24"/>
          <w:highlight w:val="none"/>
          <w:lang w:val="en-US" w:eastAsia="zh-CN"/>
        </w:rPr>
      </w:pPr>
      <w:bookmarkStart w:id="262" w:name="_Toc80"/>
      <w:bookmarkStart w:id="263" w:name="_Toc15923_WPSOffice_Level2"/>
      <w:bookmarkStart w:id="264" w:name="_Toc14690"/>
      <w:bookmarkStart w:id="265" w:name="_Toc17499"/>
      <w:bookmarkStart w:id="266" w:name="_Toc22660"/>
      <w:r>
        <w:rPr>
          <w:rFonts w:hint="eastAsia" w:ascii="宋体" w:hAnsi="宋体" w:eastAsia="宋体" w:cs="宋体"/>
          <w:b/>
          <w:bCs w:val="0"/>
          <w:color w:val="000000"/>
          <w:sz w:val="24"/>
          <w:szCs w:val="24"/>
          <w:highlight w:val="none"/>
          <w:lang w:val="en-US" w:eastAsia="zh-CN"/>
        </w:rPr>
        <w:t>二、 谈判程序</w:t>
      </w:r>
      <w:bookmarkEnd w:id="262"/>
      <w:bookmarkEnd w:id="263"/>
      <w:bookmarkEnd w:id="264"/>
      <w:bookmarkEnd w:id="265"/>
      <w:bookmarkEnd w:id="266"/>
    </w:p>
    <w:p w14:paraId="0021A278">
      <w:pPr>
        <w:pStyle w:val="2"/>
        <w:pageBreakBefore w:val="0"/>
        <w:widowControl w:val="0"/>
        <w:kinsoku/>
        <w:wordWrap/>
        <w:overflowPunct/>
        <w:topLinePunct w:val="0"/>
        <w:autoSpaceDE/>
        <w:autoSpaceDN/>
        <w:bidi w:val="0"/>
        <w:spacing w:line="560" w:lineRule="exact"/>
        <w:ind w:right="0" w:rightChars="0"/>
        <w:jc w:val="both"/>
        <w:textAlignment w:val="auto"/>
        <w:rPr>
          <w:rFonts w:hint="eastAsia" w:ascii="宋体" w:hAnsi="宋体" w:eastAsia="宋体" w:cs="宋体"/>
          <w:spacing w:val="0"/>
          <w:kern w:val="2"/>
          <w:sz w:val="24"/>
          <w:szCs w:val="24"/>
          <w:highlight w:val="none"/>
          <w:lang w:val="en-US" w:eastAsia="zh-CN" w:bidi="ar-SA"/>
        </w:rPr>
      </w:pPr>
      <w:r>
        <w:rPr>
          <w:rFonts w:hint="eastAsia" w:ascii="宋体" w:hAnsi="宋体" w:eastAsia="宋体" w:cs="宋体"/>
          <w:spacing w:val="0"/>
          <w:kern w:val="2"/>
          <w:sz w:val="24"/>
          <w:szCs w:val="24"/>
          <w:highlight w:val="none"/>
          <w:lang w:val="en-US" w:eastAsia="zh-CN" w:bidi="ar-SA"/>
        </w:rPr>
        <w:t>谈判程序包括：资格审查，符合性审查，谈判，最后报价，推荐成交供应商。</w:t>
      </w:r>
    </w:p>
    <w:p w14:paraId="171C4E97">
      <w:pPr>
        <w:pStyle w:val="7"/>
        <w:keepNext w:val="0"/>
        <w:keepLines w:val="0"/>
        <w:pageBreakBefore w:val="0"/>
        <w:widowControl w:val="0"/>
        <w:kinsoku/>
        <w:wordWrap/>
        <w:overflowPunct/>
        <w:topLinePunct w:val="0"/>
        <w:autoSpaceDE/>
        <w:autoSpaceDN/>
        <w:bidi w:val="0"/>
        <w:spacing w:before="0" w:after="0" w:line="560" w:lineRule="exact"/>
        <w:ind w:right="0" w:rightChars="0"/>
        <w:jc w:val="both"/>
        <w:textAlignment w:val="auto"/>
        <w:outlineLvl w:val="2"/>
        <w:rPr>
          <w:rFonts w:hint="eastAsia" w:ascii="宋体" w:hAnsi="宋体" w:eastAsia="宋体" w:cs="宋体"/>
          <w:b/>
          <w:bCs/>
          <w:color w:val="000000"/>
          <w:sz w:val="24"/>
          <w:szCs w:val="24"/>
          <w:lang w:val="en-US" w:eastAsia="zh-CN"/>
        </w:rPr>
      </w:pPr>
      <w:bookmarkStart w:id="267" w:name="_Toc364"/>
      <w:r>
        <w:rPr>
          <w:rFonts w:hint="eastAsia" w:ascii="宋体" w:hAnsi="宋体" w:eastAsia="宋体" w:cs="宋体"/>
          <w:b/>
          <w:bCs/>
          <w:color w:val="000000"/>
          <w:sz w:val="24"/>
          <w:szCs w:val="24"/>
          <w:lang w:val="en-US" w:eastAsia="zh-CN"/>
        </w:rPr>
        <w:t>1.资格审查</w:t>
      </w:r>
      <w:bookmarkEnd w:id="267"/>
    </w:p>
    <w:p w14:paraId="1DF5F17A">
      <w:pPr>
        <w:pageBreakBefore w:val="0"/>
        <w:widowControl w:val="0"/>
        <w:kinsoku/>
        <w:wordWrap/>
        <w:overflowPunct/>
        <w:topLinePunct w:val="0"/>
        <w:autoSpaceDE/>
        <w:autoSpaceDN/>
        <w:bidi w:val="0"/>
        <w:spacing w:line="560" w:lineRule="exact"/>
        <w:ind w:right="0" w:rightChars="0" w:firstLine="513" w:firstLineChars="214"/>
        <w:jc w:val="both"/>
        <w:textAlignment w:val="auto"/>
        <w:rPr>
          <w:rFonts w:hint="eastAsia" w:ascii="宋体" w:hAnsi="宋体" w:eastAsia="宋体" w:cs="宋体"/>
          <w:sz w:val="24"/>
          <w:szCs w:val="24"/>
        </w:rPr>
      </w:pPr>
      <w:r>
        <w:rPr>
          <w:rFonts w:hint="eastAsia" w:ascii="宋体" w:hAnsi="宋体" w:eastAsia="宋体" w:cs="宋体"/>
          <w:sz w:val="24"/>
          <w:szCs w:val="24"/>
        </w:rPr>
        <w:t>首次提交响应文件截止时间结束后，由谈判小组对提交响应文件的供应商进行资格审查。谈判小组在资格审查过程中，谈判小组成员对供应商资格是否符合规定存在争议的，应当以少数服从多数的原则处理，但不得违反政府采购法和谈判文件规定。</w:t>
      </w:r>
    </w:p>
    <w:p w14:paraId="70AA0711">
      <w:pPr>
        <w:keepNext w:val="0"/>
        <w:keepLines w:val="0"/>
        <w:pageBreakBefore w:val="0"/>
        <w:widowControl w:val="0"/>
        <w:kinsoku/>
        <w:wordWrap/>
        <w:overflowPunct/>
        <w:topLinePunct w:val="0"/>
        <w:autoSpaceDE/>
        <w:autoSpaceDN/>
        <w:bidi w:val="0"/>
        <w:snapToGrid w:val="0"/>
        <w:spacing w:line="560" w:lineRule="exact"/>
        <w:ind w:right="0" w:rightChars="0" w:firstLine="513" w:firstLineChars="214"/>
        <w:jc w:val="both"/>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供应商资格审查的标准：</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403"/>
        <w:gridCol w:w="1531"/>
        <w:gridCol w:w="6423"/>
        <w:gridCol w:w="1101"/>
      </w:tblGrid>
      <w:tr w14:paraId="08695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574" w:type="dxa"/>
            <w:gridSpan w:val="3"/>
            <w:tcBorders>
              <w:top w:val="single" w:color="auto" w:sz="2" w:space="0"/>
              <w:left w:val="single" w:color="auto" w:sz="2" w:space="0"/>
              <w:bottom w:val="single" w:color="auto" w:sz="4" w:space="0"/>
              <w:right w:val="single" w:color="auto" w:sz="2" w:space="0"/>
            </w:tcBorders>
            <w:noWrap w:val="0"/>
            <w:vAlign w:val="center"/>
          </w:tcPr>
          <w:p w14:paraId="3CA53A98">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sz w:val="24"/>
                <w:szCs w:val="24"/>
              </w:rPr>
            </w:pPr>
            <w:r>
              <w:rPr>
                <w:rFonts w:hint="eastAsia" w:ascii="宋体" w:hAnsi="宋体" w:eastAsia="宋体" w:cs="宋体"/>
                <w:b/>
                <w:sz w:val="24"/>
                <w:szCs w:val="24"/>
              </w:rPr>
              <w:t>资格性审查项</w:t>
            </w:r>
          </w:p>
        </w:tc>
        <w:tc>
          <w:tcPr>
            <w:tcW w:w="6423" w:type="dxa"/>
            <w:tcBorders>
              <w:top w:val="single" w:color="auto" w:sz="2" w:space="0"/>
              <w:left w:val="single" w:color="auto" w:sz="2" w:space="0"/>
              <w:bottom w:val="single" w:color="auto" w:sz="4" w:space="0"/>
              <w:right w:val="single" w:color="auto" w:sz="2" w:space="0"/>
            </w:tcBorders>
            <w:noWrap w:val="0"/>
            <w:vAlign w:val="center"/>
          </w:tcPr>
          <w:p w14:paraId="7AA91A5B">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b/>
                <w:sz w:val="24"/>
                <w:szCs w:val="24"/>
              </w:rPr>
              <w:t>通过条件</w:t>
            </w:r>
          </w:p>
        </w:tc>
        <w:tc>
          <w:tcPr>
            <w:tcW w:w="1101" w:type="dxa"/>
            <w:tcBorders>
              <w:top w:val="single" w:color="auto" w:sz="2" w:space="0"/>
              <w:left w:val="single" w:color="auto" w:sz="2" w:space="0"/>
              <w:bottom w:val="single" w:color="auto" w:sz="4" w:space="0"/>
              <w:right w:val="single" w:color="auto" w:sz="2" w:space="0"/>
            </w:tcBorders>
            <w:noWrap w:val="0"/>
            <w:vAlign w:val="center"/>
          </w:tcPr>
          <w:p w14:paraId="1402E2AC">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格式参考</w:t>
            </w:r>
          </w:p>
        </w:tc>
      </w:tr>
      <w:tr w14:paraId="16A7D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tcBorders>
              <w:top w:val="single" w:color="auto" w:sz="2" w:space="0"/>
              <w:left w:val="single" w:color="auto" w:sz="2" w:space="0"/>
              <w:right w:val="single" w:color="auto" w:sz="2" w:space="0"/>
            </w:tcBorders>
            <w:noWrap w:val="0"/>
            <w:vAlign w:val="center"/>
          </w:tcPr>
          <w:p w14:paraId="5B1EAAF1">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1934" w:type="dxa"/>
            <w:gridSpan w:val="2"/>
            <w:tcBorders>
              <w:top w:val="single" w:color="auto" w:sz="2" w:space="0"/>
              <w:left w:val="single" w:color="auto" w:sz="2" w:space="0"/>
              <w:right w:val="single" w:color="auto" w:sz="2" w:space="0"/>
            </w:tcBorders>
            <w:noWrap w:val="0"/>
            <w:vAlign w:val="center"/>
          </w:tcPr>
          <w:p w14:paraId="7A5DE1DA">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bookmarkStart w:id="268" w:name="OLE_LINK4"/>
            <w:r>
              <w:rPr>
                <w:rFonts w:hint="eastAsia" w:ascii="宋体" w:hAnsi="宋体" w:eastAsia="宋体" w:cs="宋体"/>
                <w:sz w:val="24"/>
                <w:szCs w:val="24"/>
              </w:rPr>
              <w:t>供应商应具有独立承担民事责任的能力</w:t>
            </w:r>
            <w:bookmarkEnd w:id="268"/>
          </w:p>
        </w:tc>
        <w:tc>
          <w:tcPr>
            <w:tcW w:w="6423" w:type="dxa"/>
            <w:tcBorders>
              <w:top w:val="single" w:color="auto" w:sz="2" w:space="0"/>
              <w:left w:val="single" w:color="auto" w:sz="2" w:space="0"/>
              <w:bottom w:val="single" w:color="auto" w:sz="2" w:space="0"/>
              <w:right w:val="single" w:color="auto" w:sz="2" w:space="0"/>
            </w:tcBorders>
            <w:noWrap w:val="0"/>
            <w:vAlign w:val="center"/>
          </w:tcPr>
          <w:p w14:paraId="17D4E35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kern w:val="0"/>
                <w:sz w:val="24"/>
                <w:szCs w:val="24"/>
              </w:rPr>
            </w:pPr>
            <w:bookmarkStart w:id="269" w:name="OLE_LINK5"/>
            <w:r>
              <w:rPr>
                <w:rFonts w:hint="eastAsia" w:ascii="宋体" w:hAnsi="宋体" w:eastAsia="宋体" w:cs="宋体"/>
                <w:kern w:val="0"/>
                <w:sz w:val="24"/>
                <w:szCs w:val="24"/>
                <w:lang w:val="en-US" w:eastAsia="zh-CN"/>
              </w:rPr>
              <w:t>提供</w:t>
            </w:r>
            <w:r>
              <w:rPr>
                <w:rFonts w:hint="eastAsia" w:ascii="宋体" w:hAnsi="宋体" w:eastAsia="宋体" w:cs="宋体"/>
                <w:kern w:val="0"/>
                <w:sz w:val="24"/>
                <w:szCs w:val="24"/>
              </w:rPr>
              <w:t>佐证材料：</w:t>
            </w:r>
          </w:p>
          <w:p w14:paraId="77AAC66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供应商为法人的，应提交营业执照或法人登记证书或批准文件；</w:t>
            </w:r>
          </w:p>
          <w:p w14:paraId="099A96A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供应商为非法人组织的，应提交依法登记证书；</w:t>
            </w:r>
          </w:p>
          <w:p w14:paraId="330ECBE7">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供应商为个体工商户的，应提交个体工商户营业执照；</w:t>
            </w:r>
          </w:p>
          <w:p w14:paraId="379E24C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供应商为自然人的，应提交自然人的身份证明。</w:t>
            </w:r>
          </w:p>
          <w:p w14:paraId="4AE2294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供应商为法人的分支机构的，应提交法人和分支机构的营业执照或法人登记证书或批准文件以及法人授权书</w:t>
            </w:r>
            <w:r>
              <w:rPr>
                <w:rFonts w:hint="eastAsia" w:ascii="宋体" w:hAnsi="宋体" w:eastAsia="宋体" w:cs="宋体"/>
                <w:kern w:val="0"/>
                <w:sz w:val="24"/>
                <w:szCs w:val="24"/>
                <w:lang w:eastAsia="zh-CN"/>
              </w:rPr>
              <w:t>；</w:t>
            </w:r>
          </w:p>
          <w:p w14:paraId="0C3885C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（6）若该项目接受联合体投标的，应提供联合体协议及联合体各方满足以上要求的证明文件。</w:t>
            </w:r>
            <w:bookmarkEnd w:id="269"/>
          </w:p>
          <w:p w14:paraId="7372E6E6">
            <w:pPr>
              <w:pStyle w:val="31"/>
              <w:rPr>
                <w:rFonts w:hint="default"/>
                <w:lang w:val="en-US"/>
              </w:rPr>
            </w:pPr>
            <w:r>
              <w:rPr>
                <w:rFonts w:hint="eastAsia" w:ascii="宋体" w:hAnsi="宋体" w:cs="宋体"/>
                <w:kern w:val="0"/>
                <w:sz w:val="24"/>
                <w:szCs w:val="24"/>
                <w:lang w:val="en-US" w:eastAsia="zh-CN"/>
              </w:rPr>
              <w:t>注：</w:t>
            </w:r>
            <w:r>
              <w:rPr>
                <w:rFonts w:hint="eastAsia"/>
                <w:lang w:val="en-US" w:eastAsia="zh-CN"/>
              </w:rPr>
              <w:t>供应商所提交的资料须加盖公章</w:t>
            </w:r>
          </w:p>
        </w:tc>
        <w:tc>
          <w:tcPr>
            <w:tcW w:w="1101" w:type="dxa"/>
            <w:tcBorders>
              <w:top w:val="single" w:color="auto" w:sz="2" w:space="0"/>
              <w:left w:val="single" w:color="auto" w:sz="2" w:space="0"/>
              <w:bottom w:val="single" w:color="auto" w:sz="2" w:space="0"/>
              <w:right w:val="single" w:color="auto" w:sz="2" w:space="0"/>
            </w:tcBorders>
            <w:noWrap w:val="0"/>
            <w:vAlign w:val="center"/>
          </w:tcPr>
          <w:p w14:paraId="3EFC8C7A">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eastAsia="zh-CN"/>
              </w:rPr>
              <w:t>第六章</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格式2-1</w:t>
            </w:r>
          </w:p>
        </w:tc>
      </w:tr>
      <w:tr w14:paraId="10F5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tcBorders>
              <w:top w:val="single" w:color="auto" w:sz="2" w:space="0"/>
              <w:left w:val="single" w:color="auto" w:sz="2" w:space="0"/>
              <w:right w:val="single" w:color="auto" w:sz="2" w:space="0"/>
            </w:tcBorders>
            <w:noWrap w:val="0"/>
            <w:vAlign w:val="center"/>
          </w:tcPr>
          <w:p w14:paraId="1CCA7F75">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934" w:type="dxa"/>
            <w:gridSpan w:val="2"/>
            <w:tcBorders>
              <w:top w:val="single" w:color="auto" w:sz="2" w:space="0"/>
              <w:left w:val="single" w:color="auto" w:sz="2" w:space="0"/>
              <w:right w:val="single" w:color="auto" w:sz="2" w:space="0"/>
            </w:tcBorders>
            <w:noWrap w:val="0"/>
            <w:vAlign w:val="center"/>
          </w:tcPr>
          <w:p w14:paraId="7C7E84CB">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w:t>
            </w:r>
            <w:r>
              <w:rPr>
                <w:rFonts w:hint="eastAsia" w:ascii="宋体" w:hAnsi="宋体" w:eastAsia="宋体" w:cs="宋体"/>
                <w:sz w:val="24"/>
                <w:szCs w:val="24"/>
              </w:rPr>
              <w:t>依法缴纳税收</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54FEF5C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kern w:val="0"/>
                <w:sz w:val="24"/>
                <w:szCs w:val="24"/>
                <w:lang w:eastAsia="zh-CN"/>
              </w:rPr>
            </w:pPr>
            <w:bookmarkStart w:id="270" w:name="OLE_LINK6"/>
            <w:r>
              <w:rPr>
                <w:rFonts w:hint="eastAsia" w:ascii="宋体" w:hAnsi="宋体" w:eastAsia="宋体" w:cs="宋体"/>
                <w:sz w:val="24"/>
                <w:szCs w:val="24"/>
              </w:rPr>
              <w:t>供应商具有依法缴纳</w:t>
            </w:r>
            <w:r>
              <w:rPr>
                <w:rFonts w:hint="eastAsia" w:ascii="宋体" w:hAnsi="宋体" w:eastAsia="宋体" w:cs="宋体"/>
                <w:sz w:val="24"/>
                <w:szCs w:val="24"/>
                <w:lang w:val="en-US" w:eastAsia="zh-CN"/>
              </w:rPr>
              <w:t>税收</w:t>
            </w:r>
            <w:r>
              <w:rPr>
                <w:rFonts w:hint="eastAsia" w:ascii="宋体" w:hAnsi="宋体" w:eastAsia="宋体" w:cs="宋体"/>
                <w:sz w:val="24"/>
                <w:szCs w:val="24"/>
              </w:rPr>
              <w:t>的</w:t>
            </w:r>
            <w:r>
              <w:rPr>
                <w:rFonts w:hint="eastAsia" w:ascii="宋体" w:hAnsi="宋体" w:eastAsia="宋体" w:cs="宋体"/>
                <w:kern w:val="0"/>
                <w:sz w:val="24"/>
                <w:szCs w:val="24"/>
              </w:rPr>
              <w:t>佐证材料：</w:t>
            </w:r>
          </w:p>
          <w:p w14:paraId="73DC68F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要求提供供应商缴税所属时间在</w:t>
            </w:r>
            <w:r>
              <w:rPr>
                <w:rFonts w:hint="eastAsia" w:ascii="宋体" w:hAnsi="宋体" w:eastAsia="宋体" w:cs="宋体"/>
                <w:color w:val="0000FF"/>
                <w:kern w:val="0"/>
                <w:sz w:val="24"/>
                <w:szCs w:val="24"/>
                <w:u w:val="single"/>
                <w:lang w:val="en-US" w:eastAsia="zh-CN"/>
              </w:rPr>
              <w:t>202</w:t>
            </w:r>
            <w:r>
              <w:rPr>
                <w:rFonts w:hint="eastAsia" w:ascii="宋体" w:hAnsi="宋体" w:cs="宋体"/>
                <w:color w:val="0000FF"/>
                <w:kern w:val="0"/>
                <w:sz w:val="24"/>
                <w:szCs w:val="24"/>
                <w:u w:val="single"/>
                <w:lang w:val="en-US" w:eastAsia="zh-CN"/>
              </w:rPr>
              <w:t>5</w:t>
            </w:r>
            <w:r>
              <w:rPr>
                <w:rFonts w:hint="eastAsia" w:ascii="宋体" w:hAnsi="宋体" w:eastAsia="宋体" w:cs="宋体"/>
                <w:color w:val="0000FF"/>
                <w:kern w:val="0"/>
                <w:sz w:val="24"/>
                <w:szCs w:val="24"/>
                <w:u w:val="single"/>
              </w:rPr>
              <w:t>年</w:t>
            </w:r>
            <w:r>
              <w:rPr>
                <w:rFonts w:hint="eastAsia" w:ascii="宋体" w:hAnsi="宋体" w:cs="宋体"/>
                <w:color w:val="0000FF"/>
                <w:kern w:val="0"/>
                <w:sz w:val="24"/>
                <w:szCs w:val="24"/>
                <w:u w:val="single"/>
                <w:lang w:val="en-US" w:eastAsia="zh-CN"/>
              </w:rPr>
              <w:t>1</w:t>
            </w:r>
            <w:r>
              <w:rPr>
                <w:rFonts w:hint="eastAsia" w:ascii="宋体" w:hAnsi="宋体" w:eastAsia="宋体" w:cs="宋体"/>
                <w:color w:val="0000FF"/>
                <w:kern w:val="0"/>
                <w:sz w:val="24"/>
                <w:szCs w:val="24"/>
                <w:u w:val="single"/>
              </w:rPr>
              <w:t>月至今任意</w:t>
            </w:r>
            <w:r>
              <w:rPr>
                <w:rFonts w:hint="eastAsia" w:ascii="宋体" w:hAnsi="宋体" w:cs="宋体"/>
                <w:color w:val="0000FF"/>
                <w:kern w:val="0"/>
                <w:sz w:val="24"/>
                <w:szCs w:val="24"/>
                <w:u w:val="single"/>
                <w:lang w:val="en-US" w:eastAsia="zh-CN"/>
              </w:rPr>
              <w:t>1</w:t>
            </w:r>
            <w:r>
              <w:rPr>
                <w:rFonts w:hint="eastAsia" w:ascii="宋体" w:hAnsi="宋体" w:eastAsia="宋体" w:cs="宋体"/>
                <w:color w:val="0000FF"/>
                <w:kern w:val="0"/>
                <w:sz w:val="24"/>
                <w:szCs w:val="24"/>
                <w:u w:val="single"/>
              </w:rPr>
              <w:t>个月</w:t>
            </w:r>
            <w:r>
              <w:rPr>
                <w:rFonts w:hint="eastAsia" w:ascii="宋体" w:hAnsi="宋体" w:eastAsia="宋体" w:cs="宋体"/>
                <w:kern w:val="0"/>
                <w:sz w:val="24"/>
                <w:szCs w:val="24"/>
              </w:rPr>
              <w:t>的税务局税收通用缴款书复印件或银行电子缴税（费）凭证复印件或税务局出具纳税情况的相关证明复印件。</w:t>
            </w:r>
          </w:p>
          <w:p w14:paraId="7EB20A3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依法免税或不需要</w:t>
            </w:r>
            <w:r>
              <w:rPr>
                <w:rFonts w:hint="eastAsia" w:ascii="宋体" w:hAnsi="宋体" w:eastAsia="宋体" w:cs="宋体"/>
                <w:kern w:val="0"/>
                <w:sz w:val="24"/>
                <w:szCs w:val="24"/>
                <w:lang w:val="en-US" w:eastAsia="zh-CN"/>
              </w:rPr>
              <w:t>纳税</w:t>
            </w:r>
            <w:r>
              <w:rPr>
                <w:rFonts w:hint="eastAsia" w:ascii="宋体" w:hAnsi="宋体" w:eastAsia="宋体" w:cs="宋体"/>
                <w:kern w:val="0"/>
                <w:sz w:val="24"/>
                <w:szCs w:val="24"/>
              </w:rPr>
              <w:t>的供应商，应提供</w:t>
            </w:r>
            <w:r>
              <w:rPr>
                <w:rFonts w:hint="eastAsia" w:ascii="宋体" w:hAnsi="宋体" w:eastAsia="宋体" w:cs="宋体"/>
                <w:kern w:val="0"/>
                <w:sz w:val="24"/>
                <w:szCs w:val="24"/>
                <w:lang w:val="en-US" w:eastAsia="zh-CN"/>
              </w:rPr>
              <w:t>相应</w:t>
            </w:r>
            <w:r>
              <w:rPr>
                <w:rFonts w:hint="eastAsia" w:ascii="宋体" w:hAnsi="宋体" w:eastAsia="宋体" w:cs="宋体"/>
                <w:kern w:val="0"/>
                <w:sz w:val="24"/>
                <w:szCs w:val="24"/>
              </w:rPr>
              <w:t>文件证明其依法免税或不需要</w:t>
            </w:r>
            <w:r>
              <w:rPr>
                <w:rFonts w:hint="eastAsia" w:ascii="宋体" w:hAnsi="宋体" w:eastAsia="宋体" w:cs="宋体"/>
                <w:kern w:val="0"/>
                <w:sz w:val="24"/>
                <w:szCs w:val="24"/>
                <w:lang w:val="en-US" w:eastAsia="zh-CN"/>
              </w:rPr>
              <w:t>缴纳税金</w:t>
            </w:r>
            <w:r>
              <w:rPr>
                <w:rFonts w:hint="eastAsia" w:ascii="宋体" w:hAnsi="宋体" w:eastAsia="宋体" w:cs="宋体"/>
                <w:kern w:val="0"/>
                <w:sz w:val="24"/>
                <w:szCs w:val="24"/>
                <w:lang w:eastAsia="zh-CN"/>
              </w:rPr>
              <w:t>。</w:t>
            </w:r>
          </w:p>
          <w:p w14:paraId="232607F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kern w:val="0"/>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自</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w:t>
            </w:r>
            <w:r>
              <w:rPr>
                <w:rFonts w:hint="eastAsia" w:ascii="宋体" w:hAnsi="宋体" w:eastAsia="宋体" w:cs="宋体"/>
                <w:color w:val="auto"/>
                <w:sz w:val="24"/>
                <w:szCs w:val="24"/>
                <w:lang w:val="en-US" w:eastAsia="zh-CN"/>
              </w:rPr>
              <w:t>递交</w:t>
            </w:r>
            <w:r>
              <w:rPr>
                <w:rFonts w:hint="eastAsia" w:ascii="宋体" w:hAnsi="宋体" w:eastAsia="宋体" w:cs="宋体"/>
                <w:color w:val="auto"/>
                <w:sz w:val="24"/>
                <w:szCs w:val="24"/>
              </w:rPr>
              <w:t>截止时间，供应商成立不足一个月的，可提供</w:t>
            </w:r>
            <w:r>
              <w:rPr>
                <w:rFonts w:hint="eastAsia" w:ascii="宋体" w:hAnsi="宋体" w:eastAsia="宋体" w:cs="宋体"/>
                <w:color w:val="auto"/>
                <w:sz w:val="24"/>
                <w:szCs w:val="24"/>
                <w:lang w:val="en-US" w:eastAsia="zh-CN"/>
              </w:rPr>
              <w:t>将依法缴纳税收的承诺函</w:t>
            </w:r>
            <w:r>
              <w:rPr>
                <w:rFonts w:hint="eastAsia" w:ascii="宋体" w:hAnsi="宋体" w:eastAsia="宋体" w:cs="宋体"/>
                <w:color w:val="auto"/>
                <w:sz w:val="24"/>
                <w:szCs w:val="24"/>
                <w:lang w:eastAsia="zh-CN"/>
              </w:rPr>
              <w:t>。</w:t>
            </w:r>
          </w:p>
          <w:p w14:paraId="4A9822B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）如果是联合体响应文件，联合体各方均需提供上述证明。</w:t>
            </w:r>
            <w:bookmarkEnd w:id="270"/>
          </w:p>
          <w:p w14:paraId="2B0E38CD">
            <w:pPr>
              <w:pStyle w:val="31"/>
              <w:rPr>
                <w:rFonts w:hint="eastAsia"/>
              </w:rPr>
            </w:pPr>
            <w:r>
              <w:rPr>
                <w:rFonts w:hint="eastAsia" w:ascii="宋体" w:hAnsi="宋体" w:cs="宋体"/>
                <w:kern w:val="0"/>
                <w:sz w:val="24"/>
                <w:szCs w:val="24"/>
                <w:lang w:val="en-US" w:eastAsia="zh-CN"/>
              </w:rPr>
              <w:t>注：</w:t>
            </w:r>
            <w:r>
              <w:rPr>
                <w:rFonts w:hint="eastAsia"/>
                <w:lang w:val="en-US" w:eastAsia="zh-CN"/>
              </w:rPr>
              <w:t>供应商所提交的资料须加盖公章</w:t>
            </w:r>
          </w:p>
        </w:tc>
        <w:tc>
          <w:tcPr>
            <w:tcW w:w="1101" w:type="dxa"/>
            <w:tcBorders>
              <w:top w:val="single" w:color="auto" w:sz="2" w:space="0"/>
              <w:left w:val="single" w:color="auto" w:sz="2" w:space="0"/>
              <w:bottom w:val="single" w:color="auto" w:sz="2" w:space="0"/>
              <w:right w:val="single" w:color="auto" w:sz="2" w:space="0"/>
            </w:tcBorders>
            <w:noWrap w:val="0"/>
            <w:vAlign w:val="center"/>
          </w:tcPr>
          <w:p w14:paraId="59628916">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lang w:val="en-US"/>
              </w:rPr>
            </w:pPr>
            <w:r>
              <w:rPr>
                <w:rFonts w:hint="eastAsia" w:ascii="宋体" w:hAnsi="宋体" w:eastAsia="宋体" w:cs="宋体"/>
                <w:sz w:val="24"/>
                <w:szCs w:val="24"/>
                <w:lang w:eastAsia="zh-CN"/>
              </w:rPr>
              <w:t>第六章</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格式2-2</w:t>
            </w:r>
          </w:p>
        </w:tc>
      </w:tr>
      <w:tr w14:paraId="796E3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tcBorders>
              <w:top w:val="single" w:color="auto" w:sz="2" w:space="0"/>
              <w:left w:val="single" w:color="auto" w:sz="2" w:space="0"/>
              <w:right w:val="single" w:color="auto" w:sz="2" w:space="0"/>
            </w:tcBorders>
            <w:noWrap w:val="0"/>
            <w:vAlign w:val="center"/>
          </w:tcPr>
          <w:p w14:paraId="75F399B4">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934" w:type="dxa"/>
            <w:gridSpan w:val="2"/>
            <w:tcBorders>
              <w:top w:val="single" w:color="auto" w:sz="2" w:space="0"/>
              <w:left w:val="single" w:color="auto" w:sz="2" w:space="0"/>
              <w:right w:val="single" w:color="auto" w:sz="2" w:space="0"/>
            </w:tcBorders>
            <w:noWrap w:val="0"/>
            <w:vAlign w:val="center"/>
          </w:tcPr>
          <w:p w14:paraId="480E438B">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w:t>
            </w:r>
            <w:r>
              <w:rPr>
                <w:rFonts w:hint="eastAsia" w:ascii="宋体" w:hAnsi="宋体" w:eastAsia="宋体" w:cs="宋体"/>
                <w:sz w:val="24"/>
                <w:szCs w:val="24"/>
              </w:rPr>
              <w:t>依法缴纳社会保障资金</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33DFA6C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sz w:val="24"/>
                <w:szCs w:val="24"/>
                <w:lang w:eastAsia="zh-CN"/>
              </w:rPr>
            </w:pPr>
            <w:bookmarkStart w:id="271" w:name="OLE_LINK7"/>
            <w:r>
              <w:rPr>
                <w:rFonts w:hint="eastAsia" w:ascii="宋体" w:hAnsi="宋体" w:eastAsia="宋体" w:cs="宋体"/>
                <w:sz w:val="24"/>
                <w:szCs w:val="24"/>
              </w:rPr>
              <w:t>供应商具有依法缴纳社会保障资金良好记录的</w:t>
            </w:r>
            <w:r>
              <w:rPr>
                <w:rFonts w:hint="eastAsia" w:ascii="宋体" w:hAnsi="宋体" w:eastAsia="宋体" w:cs="宋体"/>
                <w:sz w:val="24"/>
                <w:szCs w:val="24"/>
                <w:lang w:val="en-US" w:eastAsia="zh-CN"/>
              </w:rPr>
              <w:t>佐证</w:t>
            </w:r>
            <w:r>
              <w:rPr>
                <w:rFonts w:hint="eastAsia" w:ascii="宋体" w:hAnsi="宋体" w:eastAsia="宋体" w:cs="宋体"/>
                <w:sz w:val="24"/>
                <w:szCs w:val="24"/>
              </w:rPr>
              <w:t>材料</w:t>
            </w:r>
            <w:r>
              <w:rPr>
                <w:rFonts w:hint="eastAsia" w:ascii="宋体" w:hAnsi="宋体" w:eastAsia="宋体" w:cs="宋体"/>
                <w:sz w:val="24"/>
                <w:szCs w:val="24"/>
                <w:lang w:eastAsia="zh-CN"/>
              </w:rPr>
              <w:t>：</w:t>
            </w:r>
          </w:p>
          <w:p w14:paraId="45920BE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要求提供供应商缴费所属时间在</w:t>
            </w:r>
            <w:r>
              <w:rPr>
                <w:rFonts w:hint="eastAsia" w:ascii="宋体" w:hAnsi="宋体" w:eastAsia="宋体" w:cs="宋体"/>
                <w:color w:val="0000FF"/>
                <w:kern w:val="0"/>
                <w:sz w:val="24"/>
                <w:szCs w:val="24"/>
                <w:u w:val="single"/>
                <w:lang w:val="en-US" w:eastAsia="zh-CN"/>
              </w:rPr>
              <w:t>202</w:t>
            </w:r>
            <w:r>
              <w:rPr>
                <w:rFonts w:hint="eastAsia" w:ascii="宋体" w:hAnsi="宋体" w:cs="宋体"/>
                <w:color w:val="0000FF"/>
                <w:kern w:val="0"/>
                <w:sz w:val="24"/>
                <w:szCs w:val="24"/>
                <w:u w:val="single"/>
                <w:lang w:val="en-US" w:eastAsia="zh-CN"/>
              </w:rPr>
              <w:t>5</w:t>
            </w:r>
            <w:r>
              <w:rPr>
                <w:rFonts w:hint="eastAsia" w:ascii="宋体" w:hAnsi="宋体" w:eastAsia="宋体" w:cs="宋体"/>
                <w:color w:val="0000FF"/>
                <w:kern w:val="0"/>
                <w:sz w:val="24"/>
                <w:szCs w:val="24"/>
                <w:u w:val="single"/>
              </w:rPr>
              <w:t>年</w:t>
            </w:r>
            <w:r>
              <w:rPr>
                <w:rFonts w:hint="eastAsia" w:ascii="宋体" w:hAnsi="宋体" w:cs="宋体"/>
                <w:color w:val="0000FF"/>
                <w:kern w:val="0"/>
                <w:sz w:val="24"/>
                <w:szCs w:val="24"/>
                <w:u w:val="single"/>
                <w:lang w:val="en-US" w:eastAsia="zh-CN"/>
              </w:rPr>
              <w:t>1</w:t>
            </w:r>
            <w:r>
              <w:rPr>
                <w:rFonts w:hint="eastAsia" w:ascii="宋体" w:hAnsi="宋体" w:eastAsia="宋体" w:cs="宋体"/>
                <w:color w:val="0000FF"/>
                <w:kern w:val="0"/>
                <w:sz w:val="24"/>
                <w:szCs w:val="24"/>
                <w:u w:val="single"/>
              </w:rPr>
              <w:t>月至今任意</w:t>
            </w:r>
            <w:r>
              <w:rPr>
                <w:rFonts w:hint="eastAsia" w:ascii="宋体" w:hAnsi="宋体" w:cs="宋体"/>
                <w:color w:val="0000FF"/>
                <w:kern w:val="0"/>
                <w:sz w:val="24"/>
                <w:szCs w:val="24"/>
                <w:u w:val="single"/>
                <w:lang w:val="en-US" w:eastAsia="zh-CN"/>
              </w:rPr>
              <w:t>1</w:t>
            </w:r>
            <w:r>
              <w:rPr>
                <w:rFonts w:hint="eastAsia" w:ascii="宋体" w:hAnsi="宋体" w:eastAsia="宋体" w:cs="宋体"/>
                <w:color w:val="0000FF"/>
                <w:kern w:val="0"/>
                <w:sz w:val="24"/>
                <w:szCs w:val="24"/>
                <w:u w:val="single"/>
              </w:rPr>
              <w:t>个月</w:t>
            </w:r>
            <w:r>
              <w:rPr>
                <w:rFonts w:hint="eastAsia" w:ascii="宋体" w:hAnsi="宋体" w:eastAsia="宋体" w:cs="宋体"/>
                <w:kern w:val="0"/>
                <w:sz w:val="24"/>
                <w:szCs w:val="24"/>
              </w:rPr>
              <w:t>的社会保险费缴款书复印件或银行电子缴税（费）凭证复印件或社保管理部门出具的有效的缴款证明复印件。</w:t>
            </w:r>
          </w:p>
          <w:p w14:paraId="3AF03C5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依法不需要缴纳社会保障资金的供应商，应提供相应文件证明其依法不需要缴纳社会保障资金</w:t>
            </w:r>
            <w:r>
              <w:rPr>
                <w:rFonts w:hint="eastAsia" w:ascii="宋体" w:hAnsi="宋体" w:eastAsia="宋体" w:cs="宋体"/>
                <w:kern w:val="0"/>
                <w:sz w:val="24"/>
                <w:szCs w:val="24"/>
                <w:lang w:eastAsia="zh-CN"/>
              </w:rPr>
              <w:t>。</w:t>
            </w:r>
          </w:p>
          <w:p w14:paraId="1AB9170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自</w:t>
            </w:r>
            <w:r>
              <w:rPr>
                <w:rFonts w:hint="eastAsia" w:ascii="宋体" w:hAnsi="宋体" w:eastAsia="宋体" w:cs="宋体"/>
                <w:kern w:val="0"/>
                <w:sz w:val="24"/>
                <w:szCs w:val="24"/>
                <w:lang w:val="en-US" w:eastAsia="zh-CN"/>
              </w:rPr>
              <w:t>响应</w:t>
            </w:r>
            <w:r>
              <w:rPr>
                <w:rFonts w:hint="eastAsia" w:ascii="宋体" w:hAnsi="宋体" w:eastAsia="宋体" w:cs="宋体"/>
                <w:kern w:val="0"/>
                <w:sz w:val="24"/>
                <w:szCs w:val="24"/>
              </w:rPr>
              <w:t>文件</w:t>
            </w:r>
            <w:r>
              <w:rPr>
                <w:rFonts w:hint="eastAsia" w:ascii="宋体" w:hAnsi="宋体" w:eastAsia="宋体" w:cs="宋体"/>
                <w:kern w:val="0"/>
                <w:sz w:val="24"/>
                <w:szCs w:val="24"/>
                <w:lang w:val="en-US" w:eastAsia="zh-CN"/>
              </w:rPr>
              <w:t>递交</w:t>
            </w:r>
            <w:r>
              <w:rPr>
                <w:rFonts w:hint="eastAsia" w:ascii="宋体" w:hAnsi="宋体" w:eastAsia="宋体" w:cs="宋体"/>
                <w:kern w:val="0"/>
                <w:sz w:val="24"/>
                <w:szCs w:val="24"/>
              </w:rPr>
              <w:t>截止时间，供应商成立不足一个月的，</w:t>
            </w:r>
            <w:r>
              <w:rPr>
                <w:rFonts w:hint="eastAsia" w:ascii="宋体" w:hAnsi="宋体" w:eastAsia="宋体" w:cs="宋体"/>
                <w:color w:val="auto"/>
                <w:sz w:val="24"/>
                <w:szCs w:val="24"/>
              </w:rPr>
              <w:t>可提供</w:t>
            </w:r>
            <w:r>
              <w:rPr>
                <w:rFonts w:hint="eastAsia" w:ascii="宋体" w:hAnsi="宋体" w:eastAsia="宋体" w:cs="宋体"/>
                <w:color w:val="auto"/>
                <w:sz w:val="24"/>
                <w:szCs w:val="24"/>
                <w:lang w:val="en-US" w:eastAsia="zh-CN"/>
              </w:rPr>
              <w:t>将依法缴纳社会保障资金的承诺函</w:t>
            </w:r>
            <w:r>
              <w:rPr>
                <w:rFonts w:hint="eastAsia" w:ascii="宋体" w:hAnsi="宋体" w:eastAsia="宋体" w:cs="宋体"/>
                <w:kern w:val="0"/>
                <w:sz w:val="24"/>
                <w:szCs w:val="24"/>
                <w:lang w:eastAsia="zh-CN"/>
              </w:rPr>
              <w:t>。</w:t>
            </w:r>
          </w:p>
          <w:p w14:paraId="1B8C44C4">
            <w:pPr>
              <w:pStyle w:val="9"/>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lang w:eastAsia="zh-CN"/>
              </w:rPr>
              <w:t>）如果是联合体响应文件，联合体各方均需提供上述证明。</w:t>
            </w:r>
            <w:bookmarkEnd w:id="271"/>
          </w:p>
          <w:p w14:paraId="740D98F7">
            <w:pPr>
              <w:pStyle w:val="9"/>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kern w:val="0"/>
                <w:sz w:val="24"/>
                <w:szCs w:val="24"/>
                <w:lang w:eastAsia="zh-CN"/>
              </w:rPr>
            </w:pPr>
            <w:r>
              <w:rPr>
                <w:rFonts w:hint="eastAsia" w:ascii="宋体" w:hAnsi="宋体" w:cs="宋体"/>
                <w:b/>
                <w:bCs/>
                <w:kern w:val="0"/>
                <w:sz w:val="24"/>
                <w:szCs w:val="24"/>
                <w:lang w:val="en-US" w:eastAsia="zh-CN"/>
              </w:rPr>
              <w:t>注：</w:t>
            </w:r>
            <w:r>
              <w:rPr>
                <w:rFonts w:hint="eastAsia"/>
                <w:b/>
                <w:bCs/>
                <w:lang w:val="en-US" w:eastAsia="zh-CN"/>
              </w:rPr>
              <w:t>供应商所提交的资料须加盖公章</w:t>
            </w:r>
          </w:p>
        </w:tc>
        <w:tc>
          <w:tcPr>
            <w:tcW w:w="1101" w:type="dxa"/>
            <w:tcBorders>
              <w:top w:val="single" w:color="auto" w:sz="2" w:space="0"/>
              <w:left w:val="single" w:color="auto" w:sz="2" w:space="0"/>
              <w:bottom w:val="single" w:color="auto" w:sz="2" w:space="0"/>
              <w:right w:val="single" w:color="auto" w:sz="2" w:space="0"/>
            </w:tcBorders>
            <w:noWrap w:val="0"/>
            <w:vAlign w:val="center"/>
          </w:tcPr>
          <w:p w14:paraId="5C76B851">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lang w:val="en-US"/>
              </w:rPr>
            </w:pPr>
            <w:r>
              <w:rPr>
                <w:rFonts w:hint="eastAsia" w:ascii="宋体" w:hAnsi="宋体" w:eastAsia="宋体" w:cs="宋体"/>
                <w:sz w:val="24"/>
                <w:szCs w:val="24"/>
                <w:lang w:eastAsia="zh-CN"/>
              </w:rPr>
              <w:t>第六章</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格式2-3</w:t>
            </w:r>
          </w:p>
        </w:tc>
      </w:tr>
      <w:tr w14:paraId="1BE92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tcBorders>
              <w:top w:val="single" w:color="auto" w:sz="2" w:space="0"/>
              <w:left w:val="single" w:color="auto" w:sz="2" w:space="0"/>
              <w:right w:val="single" w:color="auto" w:sz="2" w:space="0"/>
            </w:tcBorders>
            <w:noWrap w:val="0"/>
            <w:vAlign w:val="center"/>
          </w:tcPr>
          <w:p w14:paraId="41D0540C">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1934" w:type="dxa"/>
            <w:gridSpan w:val="2"/>
            <w:tcBorders>
              <w:top w:val="single" w:color="auto" w:sz="2" w:space="0"/>
              <w:left w:val="single" w:color="auto" w:sz="2" w:space="0"/>
              <w:right w:val="single" w:color="auto" w:sz="2" w:space="0"/>
            </w:tcBorders>
            <w:noWrap w:val="0"/>
            <w:vAlign w:val="center"/>
          </w:tcPr>
          <w:p w14:paraId="686ED5F4">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供应</w:t>
            </w:r>
            <w:r>
              <w:rPr>
                <w:rFonts w:hint="eastAsia" w:ascii="宋体" w:hAnsi="宋体" w:eastAsia="宋体" w:cs="宋体"/>
                <w:sz w:val="24"/>
                <w:szCs w:val="24"/>
                <w:highlight w:val="none"/>
              </w:rPr>
              <w:t>商须具有</w:t>
            </w:r>
            <w:r>
              <w:rPr>
                <w:rFonts w:hint="eastAsia" w:ascii="宋体" w:hAnsi="宋体" w:eastAsia="宋体" w:cs="宋体"/>
                <w:sz w:val="24"/>
                <w:szCs w:val="24"/>
              </w:rPr>
              <w:t>健全的财务会计制度</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2A74AE03">
            <w:pPr>
              <w:pStyle w:val="58"/>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lang w:eastAsia="zh-CN"/>
              </w:rPr>
            </w:pPr>
            <w:bookmarkStart w:id="272" w:name="OLE_LINK8"/>
            <w:r>
              <w:rPr>
                <w:rFonts w:hint="eastAsia" w:ascii="宋体" w:hAnsi="宋体" w:eastAsia="宋体" w:cs="宋体"/>
                <w:sz w:val="24"/>
                <w:szCs w:val="24"/>
              </w:rPr>
              <w:t>佐证材料</w:t>
            </w:r>
            <w:r>
              <w:rPr>
                <w:rFonts w:hint="eastAsia" w:ascii="宋体" w:hAnsi="宋体" w:eastAsia="宋体" w:cs="宋体"/>
                <w:sz w:val="24"/>
                <w:szCs w:val="24"/>
                <w:lang w:eastAsia="zh-CN"/>
              </w:rPr>
              <w:t>（</w:t>
            </w:r>
            <w:r>
              <w:rPr>
                <w:rFonts w:hint="eastAsia" w:ascii="宋体" w:hAnsi="宋体" w:eastAsia="宋体" w:cs="宋体"/>
                <w:color w:val="auto"/>
                <w:sz w:val="24"/>
                <w:szCs w:val="24"/>
              </w:rPr>
              <w:t>以</w:t>
            </w:r>
            <w:r>
              <w:rPr>
                <w:rFonts w:hint="eastAsia" w:ascii="宋体" w:hAnsi="宋体" w:eastAsia="宋体" w:cs="宋体"/>
                <w:color w:val="auto"/>
                <w:sz w:val="24"/>
                <w:szCs w:val="24"/>
                <w:lang w:val="en-US" w:eastAsia="zh-CN"/>
              </w:rPr>
              <w:t>下</w:t>
            </w:r>
            <w:r>
              <w:rPr>
                <w:rFonts w:hint="eastAsia" w:ascii="宋体" w:hAnsi="宋体" w:eastAsia="宋体" w:cs="宋体"/>
                <w:color w:val="auto"/>
                <w:sz w:val="24"/>
                <w:szCs w:val="24"/>
              </w:rPr>
              <w:t>佐证材料提供其一即可。</w:t>
            </w:r>
            <w:r>
              <w:rPr>
                <w:rFonts w:hint="eastAsia" w:ascii="宋体" w:hAnsi="宋体" w:eastAsia="宋体" w:cs="宋体"/>
                <w:kern w:val="0"/>
                <w:sz w:val="24"/>
                <w:szCs w:val="24"/>
                <w:lang w:eastAsia="zh-CN"/>
              </w:rPr>
              <w:t>如果是联合体响应文件，联合体各方均</w:t>
            </w:r>
            <w:r>
              <w:rPr>
                <w:rFonts w:hint="eastAsia" w:ascii="宋体" w:hAnsi="宋体" w:eastAsia="宋体" w:cs="宋体"/>
                <w:kern w:val="0"/>
                <w:sz w:val="24"/>
                <w:szCs w:val="24"/>
                <w:lang w:val="en-US" w:eastAsia="zh-CN"/>
              </w:rPr>
              <w:t>须</w:t>
            </w:r>
            <w:r>
              <w:rPr>
                <w:rFonts w:hint="eastAsia" w:ascii="宋体" w:hAnsi="宋体" w:eastAsia="宋体" w:cs="宋体"/>
                <w:kern w:val="0"/>
                <w:sz w:val="24"/>
                <w:szCs w:val="24"/>
                <w:lang w:eastAsia="zh-CN"/>
              </w:rPr>
              <w:t>提供</w:t>
            </w:r>
            <w:r>
              <w:rPr>
                <w:rFonts w:hint="eastAsia" w:ascii="宋体" w:hAnsi="宋体" w:eastAsia="宋体" w:cs="宋体"/>
                <w:kern w:val="0"/>
                <w:sz w:val="24"/>
                <w:szCs w:val="24"/>
                <w:lang w:val="en-US" w:eastAsia="zh-CN"/>
              </w:rPr>
              <w:t>佐证材料</w:t>
            </w:r>
            <w:r>
              <w:rPr>
                <w:rFonts w:hint="eastAsia" w:ascii="宋体" w:hAnsi="宋体" w:eastAsia="宋体" w:cs="宋体"/>
                <w:sz w:val="24"/>
                <w:szCs w:val="24"/>
                <w:lang w:eastAsia="zh-CN"/>
              </w:rPr>
              <w:t>）：</w:t>
            </w:r>
          </w:p>
          <w:p w14:paraId="7503A86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供应商</w:t>
            </w:r>
            <w:r>
              <w:rPr>
                <w:rFonts w:hint="eastAsia" w:ascii="宋体" w:hAnsi="宋体" w:eastAsia="宋体" w:cs="宋体"/>
                <w:color w:val="0000FF"/>
                <w:sz w:val="24"/>
                <w:szCs w:val="24"/>
                <w:u w:val="single"/>
                <w:lang w:val="en-US" w:eastAsia="zh-CN"/>
              </w:rPr>
              <w:t>202</w:t>
            </w:r>
            <w:r>
              <w:rPr>
                <w:rFonts w:hint="eastAsia" w:ascii="宋体" w:hAnsi="宋体" w:cs="宋体"/>
                <w:color w:val="0000FF"/>
                <w:sz w:val="24"/>
                <w:szCs w:val="24"/>
                <w:u w:val="single"/>
                <w:lang w:val="en-US" w:eastAsia="zh-CN"/>
              </w:rPr>
              <w:t>3</w:t>
            </w:r>
            <w:r>
              <w:rPr>
                <w:rFonts w:hint="eastAsia" w:ascii="宋体" w:hAnsi="宋体" w:eastAsia="宋体" w:cs="宋体"/>
                <w:color w:val="0000FF"/>
                <w:sz w:val="24"/>
                <w:szCs w:val="24"/>
                <w:u w:val="single"/>
                <w:lang w:val="en-US" w:eastAsia="zh-CN"/>
              </w:rPr>
              <w:t>年</w:t>
            </w:r>
            <w:r>
              <w:rPr>
                <w:rFonts w:hint="eastAsia" w:ascii="宋体" w:hAnsi="宋体" w:eastAsia="宋体" w:cs="宋体"/>
                <w:color w:val="0000FF"/>
                <w:kern w:val="0"/>
                <w:sz w:val="24"/>
                <w:szCs w:val="24"/>
                <w:u w:val="single"/>
                <w:lang w:val="en-US" w:eastAsia="zh-CN"/>
              </w:rPr>
              <w:t>至今任意一年度</w:t>
            </w:r>
            <w:r>
              <w:rPr>
                <w:rFonts w:hint="eastAsia" w:ascii="宋体" w:hAnsi="宋体" w:eastAsia="宋体" w:cs="宋体"/>
                <w:sz w:val="24"/>
                <w:szCs w:val="24"/>
              </w:rPr>
              <w:t>经会计师事务所审计的财务报告（包括“四表一注”，即资产负债表、利润表、现金流量表、所有者权益变动表及其附注）；</w:t>
            </w:r>
          </w:p>
          <w:p w14:paraId="5A2434E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基本开户银行出具的近一个月的</w:t>
            </w:r>
            <w:r>
              <w:rPr>
                <w:rFonts w:hint="eastAsia" w:ascii="宋体" w:hAnsi="宋体" w:eastAsia="宋体" w:cs="宋体"/>
                <w:sz w:val="24"/>
                <w:szCs w:val="24"/>
                <w:lang w:val="en-US" w:eastAsia="zh-CN"/>
              </w:rPr>
              <w:t>证明文件</w:t>
            </w:r>
            <w:r>
              <w:rPr>
                <w:rFonts w:hint="eastAsia" w:ascii="宋体" w:hAnsi="宋体" w:eastAsia="宋体" w:cs="宋体"/>
                <w:sz w:val="24"/>
                <w:szCs w:val="24"/>
              </w:rPr>
              <w:t>，银行出具的证明文件应能说明该供应商与银行之间业务往来正常，企业信誉良好等</w:t>
            </w:r>
            <w:r>
              <w:rPr>
                <w:rFonts w:hint="eastAsia" w:ascii="宋体" w:hAnsi="宋体" w:eastAsia="宋体" w:cs="宋体"/>
                <w:sz w:val="24"/>
                <w:szCs w:val="24"/>
                <w:lang w:eastAsia="zh-CN"/>
              </w:rPr>
              <w:t>；</w:t>
            </w:r>
          </w:p>
          <w:p w14:paraId="20FAB91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专业担保机构出具的担保函；</w:t>
            </w:r>
          </w:p>
          <w:p w14:paraId="3A23CA61">
            <w:pPr>
              <w:pStyle w:val="58"/>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供应商自行编制的</w:t>
            </w:r>
            <w:r>
              <w:rPr>
                <w:rFonts w:hint="eastAsia" w:hAnsi="宋体" w:cs="宋体"/>
                <w:color w:val="0000FF"/>
                <w:sz w:val="24"/>
                <w:szCs w:val="24"/>
                <w:u w:val="single"/>
                <w:lang w:val="en-US" w:eastAsia="zh-CN"/>
              </w:rPr>
              <w:t>2023年至今任意一年度</w:t>
            </w:r>
            <w:r>
              <w:rPr>
                <w:rFonts w:hint="eastAsia" w:ascii="宋体" w:hAnsi="宋体" w:eastAsia="宋体" w:cs="宋体"/>
                <w:color w:val="auto"/>
                <w:sz w:val="24"/>
                <w:szCs w:val="24"/>
              </w:rPr>
              <w:t>的财务会计报告</w:t>
            </w:r>
            <w:r>
              <w:rPr>
                <w:rFonts w:hint="eastAsia" w:ascii="宋体" w:hAnsi="宋体" w:eastAsia="宋体" w:cs="宋体"/>
                <w:color w:val="auto"/>
                <w:sz w:val="24"/>
                <w:szCs w:val="24"/>
                <w:lang w:val="en-US" w:eastAsia="zh-CN"/>
              </w:rPr>
              <w:t>及</w:t>
            </w:r>
            <w:r>
              <w:rPr>
                <w:rFonts w:hint="eastAsia" w:ascii="宋体" w:hAnsi="宋体" w:eastAsia="宋体" w:cs="宋体"/>
                <w:color w:val="auto"/>
                <w:sz w:val="24"/>
                <w:szCs w:val="24"/>
              </w:rPr>
              <w:t>财务会计制度</w:t>
            </w:r>
            <w:r>
              <w:rPr>
                <w:rFonts w:hint="eastAsia" w:ascii="宋体" w:hAnsi="宋体" w:eastAsia="宋体" w:cs="宋体"/>
                <w:color w:val="auto"/>
                <w:sz w:val="24"/>
                <w:szCs w:val="24"/>
                <w:lang w:eastAsia="zh-CN"/>
              </w:rPr>
              <w:t>；</w:t>
            </w:r>
          </w:p>
          <w:p w14:paraId="64385A8D">
            <w:pPr>
              <w:pStyle w:val="58"/>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自</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w:t>
            </w:r>
            <w:r>
              <w:rPr>
                <w:rFonts w:hint="eastAsia" w:ascii="宋体" w:hAnsi="宋体" w:eastAsia="宋体" w:cs="宋体"/>
                <w:color w:val="auto"/>
                <w:sz w:val="24"/>
                <w:szCs w:val="24"/>
                <w:lang w:val="en-US" w:eastAsia="zh-CN"/>
              </w:rPr>
              <w:t>递交</w:t>
            </w:r>
            <w:r>
              <w:rPr>
                <w:rFonts w:hint="eastAsia" w:ascii="宋体" w:hAnsi="宋体" w:eastAsia="宋体" w:cs="宋体"/>
                <w:color w:val="auto"/>
                <w:sz w:val="24"/>
                <w:szCs w:val="24"/>
              </w:rPr>
              <w:t>截止时间，供应商成立不足一个月的，可提供供应商编制的财务会计制度作为佐证材料。</w:t>
            </w:r>
            <w:bookmarkEnd w:id="272"/>
          </w:p>
          <w:p w14:paraId="1CCA1E89">
            <w:pPr>
              <w:pStyle w:val="58"/>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b/>
                <w:bCs/>
                <w:color w:val="auto"/>
                <w:sz w:val="24"/>
                <w:szCs w:val="24"/>
              </w:rPr>
            </w:pPr>
            <w:r>
              <w:rPr>
                <w:rFonts w:hint="eastAsia" w:ascii="宋体" w:hAnsi="宋体" w:cs="宋体"/>
                <w:b/>
                <w:bCs/>
                <w:kern w:val="0"/>
                <w:sz w:val="24"/>
                <w:szCs w:val="24"/>
                <w:lang w:val="en-US" w:eastAsia="zh-CN"/>
              </w:rPr>
              <w:t>注：</w:t>
            </w:r>
            <w:r>
              <w:rPr>
                <w:rFonts w:hint="eastAsia"/>
                <w:b/>
                <w:bCs/>
                <w:lang w:val="en-US" w:eastAsia="zh-CN"/>
              </w:rPr>
              <w:t>供应商所提交的资料须加盖公章</w:t>
            </w:r>
          </w:p>
        </w:tc>
        <w:tc>
          <w:tcPr>
            <w:tcW w:w="1101" w:type="dxa"/>
            <w:tcBorders>
              <w:top w:val="single" w:color="auto" w:sz="2" w:space="0"/>
              <w:left w:val="single" w:color="auto" w:sz="2" w:space="0"/>
              <w:bottom w:val="single" w:color="auto" w:sz="2" w:space="0"/>
              <w:right w:val="single" w:color="auto" w:sz="2" w:space="0"/>
            </w:tcBorders>
            <w:noWrap w:val="0"/>
            <w:vAlign w:val="center"/>
          </w:tcPr>
          <w:p w14:paraId="73AACC07">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lang w:val="en-US"/>
              </w:rPr>
            </w:pPr>
            <w:r>
              <w:rPr>
                <w:rFonts w:hint="eastAsia" w:ascii="宋体" w:hAnsi="宋体" w:eastAsia="宋体" w:cs="宋体"/>
                <w:sz w:val="24"/>
                <w:szCs w:val="24"/>
                <w:lang w:eastAsia="zh-CN"/>
              </w:rPr>
              <w:t>第六章</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格式2-4</w:t>
            </w:r>
          </w:p>
        </w:tc>
      </w:tr>
      <w:tr w14:paraId="38951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vMerge w:val="restart"/>
            <w:tcBorders>
              <w:top w:val="single" w:color="auto" w:sz="2" w:space="0"/>
              <w:left w:val="single" w:color="auto" w:sz="2" w:space="0"/>
              <w:right w:val="single" w:color="auto" w:sz="2" w:space="0"/>
            </w:tcBorders>
            <w:noWrap w:val="0"/>
            <w:vAlign w:val="center"/>
          </w:tcPr>
          <w:p w14:paraId="106592C3">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1934" w:type="dxa"/>
            <w:gridSpan w:val="2"/>
            <w:tcBorders>
              <w:top w:val="single" w:color="auto" w:sz="2" w:space="0"/>
              <w:left w:val="single" w:color="auto" w:sz="2" w:space="0"/>
              <w:right w:val="single" w:color="auto" w:sz="2" w:space="0"/>
            </w:tcBorders>
            <w:noWrap w:val="0"/>
            <w:vAlign w:val="center"/>
          </w:tcPr>
          <w:p w14:paraId="000E90CF">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5.1具有良好商业信誉的有关声明</w:t>
            </w:r>
          </w:p>
        </w:tc>
        <w:tc>
          <w:tcPr>
            <w:tcW w:w="6423" w:type="dxa"/>
            <w:tcBorders>
              <w:top w:val="single" w:color="auto" w:sz="2" w:space="0"/>
              <w:left w:val="single" w:color="auto" w:sz="2" w:space="0"/>
              <w:bottom w:val="single" w:color="auto" w:sz="2" w:space="0"/>
              <w:right w:val="single" w:color="auto" w:sz="2" w:space="0"/>
            </w:tcBorders>
            <w:noWrap w:val="0"/>
            <w:vAlign w:val="top"/>
          </w:tcPr>
          <w:p w14:paraId="71EAD13D">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sz w:val="24"/>
                <w:szCs w:val="24"/>
                <w:lang w:val="en-US" w:eastAsia="zh-CN"/>
              </w:rPr>
            </w:pPr>
            <w:bookmarkStart w:id="273" w:name="OLE_LINK9"/>
            <w:r>
              <w:rPr>
                <w:rFonts w:hint="eastAsia" w:ascii="宋体" w:hAnsi="宋体" w:eastAsia="宋体" w:cs="宋体"/>
                <w:sz w:val="24"/>
                <w:szCs w:val="24"/>
              </w:rPr>
              <w:t>提供书面声明材料</w:t>
            </w:r>
            <w:r>
              <w:rPr>
                <w:rFonts w:hint="eastAsia" w:ascii="宋体" w:hAnsi="宋体" w:eastAsia="宋体" w:cs="宋体"/>
                <w:sz w:val="24"/>
                <w:szCs w:val="24"/>
                <w:lang w:val="en-US" w:eastAsia="zh-CN"/>
              </w:rPr>
              <w:t>:</w:t>
            </w:r>
          </w:p>
          <w:p w14:paraId="7FC94E7E">
            <w:pPr>
              <w:keepNext w:val="0"/>
              <w:keepLines w:val="0"/>
              <w:pageBreakBefore w:val="0"/>
              <w:widowControl w:val="0"/>
              <w:numPr>
                <w:ilvl w:val="0"/>
                <w:numId w:val="34"/>
              </w:numPr>
              <w:tabs>
                <w:tab w:val="left" w:pos="851"/>
              </w:tabs>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供应商参加政府采购活动前三年内，在经营活动中没有重大违法记录的书面声明材料。</w:t>
            </w:r>
          </w:p>
          <w:p w14:paraId="0DD3DA46">
            <w:pPr>
              <w:keepNext w:val="0"/>
              <w:keepLines w:val="0"/>
              <w:pageBreakBefore w:val="0"/>
              <w:widowControl w:val="0"/>
              <w:numPr>
                <w:ilvl w:val="0"/>
                <w:numId w:val="34"/>
              </w:numPr>
              <w:tabs>
                <w:tab w:val="left" w:pos="851"/>
              </w:tabs>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rPr>
              <w:t>负责人为同一人或者存在直接控股、管理关系的不同供应商未同时参加本项目书面声明材料。</w:t>
            </w:r>
          </w:p>
          <w:p w14:paraId="70A894D4">
            <w:pPr>
              <w:keepNext w:val="0"/>
              <w:keepLines w:val="0"/>
              <w:pageBreakBefore w:val="0"/>
              <w:widowControl w:val="0"/>
              <w:numPr>
                <w:ilvl w:val="0"/>
                <w:numId w:val="34"/>
              </w:numPr>
              <w:tabs>
                <w:tab w:val="left" w:pos="851"/>
              </w:tabs>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rPr>
              <w:t>供应商未处于被行政部门禁止参与政府采购活动的期限内。</w:t>
            </w:r>
          </w:p>
          <w:p w14:paraId="4A6D4560">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rPr>
              <w:t>【说明：按</w:t>
            </w:r>
            <w:r>
              <w:rPr>
                <w:rFonts w:hint="eastAsia" w:ascii="宋体" w:hAnsi="宋体" w:eastAsia="宋体" w:cs="宋体"/>
                <w:sz w:val="24"/>
                <w:szCs w:val="24"/>
                <w:lang w:eastAsia="zh-CN"/>
              </w:rPr>
              <w:t>谈判文件</w:t>
            </w:r>
            <w:r>
              <w:rPr>
                <w:rFonts w:hint="eastAsia" w:ascii="宋体" w:hAnsi="宋体" w:eastAsia="宋体" w:cs="宋体"/>
                <w:sz w:val="24"/>
                <w:szCs w:val="24"/>
                <w:lang w:val="en-US" w:eastAsia="zh-CN"/>
              </w:rPr>
              <w:t>格式2-5</w:t>
            </w:r>
            <w:r>
              <w:rPr>
                <w:rFonts w:hint="eastAsia" w:ascii="宋体" w:hAnsi="宋体" w:eastAsia="宋体" w:cs="宋体"/>
                <w:sz w:val="24"/>
                <w:szCs w:val="24"/>
              </w:rPr>
              <w:t>的内容提供书面声明材料】</w:t>
            </w:r>
            <w:bookmarkEnd w:id="273"/>
          </w:p>
          <w:p w14:paraId="3571B3EB">
            <w:pPr>
              <w:pStyle w:val="2"/>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left"/>
              <w:textAlignment w:val="auto"/>
              <w:outlineLvl w:val="9"/>
              <w:rPr>
                <w:rFonts w:hint="eastAsia" w:ascii="宋体" w:hAnsi="宋体" w:eastAsia="宋体" w:cs="宋体"/>
                <w:sz w:val="24"/>
                <w:szCs w:val="24"/>
                <w:lang w:val="en-US" w:eastAsia="zh-CN"/>
              </w:rPr>
            </w:pPr>
            <w:r>
              <w:rPr>
                <w:rFonts w:hint="eastAsia" w:ascii="宋体" w:hAnsi="宋体" w:cs="宋体"/>
                <w:b/>
                <w:bCs/>
                <w:kern w:val="0"/>
                <w:sz w:val="24"/>
                <w:szCs w:val="24"/>
                <w:lang w:val="en-US" w:eastAsia="zh-CN"/>
              </w:rPr>
              <w:t>注：</w:t>
            </w:r>
            <w:r>
              <w:rPr>
                <w:rFonts w:hint="eastAsia"/>
                <w:b/>
                <w:bCs/>
                <w:lang w:val="en-US" w:eastAsia="zh-CN"/>
              </w:rPr>
              <w:t>供应商所提交的资料须加盖公章</w:t>
            </w:r>
          </w:p>
        </w:tc>
        <w:tc>
          <w:tcPr>
            <w:tcW w:w="1101" w:type="dxa"/>
            <w:tcBorders>
              <w:top w:val="single" w:color="auto" w:sz="2" w:space="0"/>
              <w:left w:val="single" w:color="auto" w:sz="2" w:space="0"/>
              <w:bottom w:val="single" w:color="auto" w:sz="2" w:space="0"/>
              <w:right w:val="single" w:color="auto" w:sz="2" w:space="0"/>
            </w:tcBorders>
            <w:noWrap w:val="0"/>
            <w:vAlign w:val="center"/>
          </w:tcPr>
          <w:p w14:paraId="0DC4729F">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lang w:val="en-US"/>
              </w:rPr>
            </w:pPr>
            <w:r>
              <w:rPr>
                <w:rFonts w:hint="eastAsia" w:ascii="宋体" w:hAnsi="宋体" w:eastAsia="宋体" w:cs="宋体"/>
                <w:sz w:val="24"/>
                <w:szCs w:val="24"/>
                <w:lang w:eastAsia="zh-CN"/>
              </w:rPr>
              <w:t>第六章</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格式2-5</w:t>
            </w:r>
          </w:p>
        </w:tc>
      </w:tr>
      <w:tr w14:paraId="2EA12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vMerge w:val="continue"/>
            <w:tcBorders>
              <w:left w:val="single" w:color="auto" w:sz="2" w:space="0"/>
              <w:right w:val="single" w:color="auto" w:sz="2" w:space="0"/>
            </w:tcBorders>
            <w:noWrap w:val="0"/>
            <w:vAlign w:val="center"/>
          </w:tcPr>
          <w:p w14:paraId="5E3F994C">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sz w:val="24"/>
                <w:szCs w:val="24"/>
                <w:lang w:val="en-US" w:eastAsia="zh-CN"/>
              </w:rPr>
            </w:pPr>
          </w:p>
        </w:tc>
        <w:tc>
          <w:tcPr>
            <w:tcW w:w="1934" w:type="dxa"/>
            <w:gridSpan w:val="2"/>
            <w:tcBorders>
              <w:top w:val="single" w:color="auto" w:sz="2" w:space="0"/>
              <w:left w:val="single" w:color="auto" w:sz="2" w:space="0"/>
              <w:right w:val="single" w:color="auto" w:sz="2" w:space="0"/>
            </w:tcBorders>
            <w:noWrap w:val="0"/>
            <w:vAlign w:val="center"/>
          </w:tcPr>
          <w:p w14:paraId="01072DCC">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5.2</w:t>
            </w:r>
            <w:r>
              <w:rPr>
                <w:rFonts w:hint="eastAsia" w:ascii="宋体" w:hAnsi="宋体" w:eastAsia="宋体" w:cs="宋体"/>
                <w:sz w:val="24"/>
                <w:szCs w:val="24"/>
                <w:highlight w:val="none"/>
              </w:rPr>
              <w:t>未被列入失信被执行人</w:t>
            </w:r>
            <w:r>
              <w:rPr>
                <w:rFonts w:hint="eastAsia" w:ascii="宋体" w:hAnsi="宋体" w:eastAsia="宋体" w:cs="宋体"/>
                <w:sz w:val="24"/>
                <w:szCs w:val="24"/>
                <w:highlight w:val="none"/>
                <w:lang w:val="en-US" w:eastAsia="zh-CN"/>
              </w:rPr>
              <w:t>名单</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重大税收违法失信主体</w:t>
            </w:r>
            <w:r>
              <w:rPr>
                <w:rFonts w:hint="eastAsia" w:ascii="宋体" w:hAnsi="宋体" w:eastAsia="宋体" w:cs="宋体"/>
                <w:sz w:val="24"/>
                <w:szCs w:val="24"/>
                <w:highlight w:val="none"/>
              </w:rPr>
              <w:t>名单、政府采购严重违法失信行为记录名单</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6CE13010">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kern w:val="2"/>
                <w:sz w:val="24"/>
                <w:szCs w:val="24"/>
                <w:highlight w:val="none"/>
                <w:lang w:val="en-US" w:eastAsia="zh-CN" w:bidi="ar-SA"/>
              </w:rPr>
            </w:pPr>
            <w:bookmarkStart w:id="274" w:name="OLE_LINK57"/>
            <w:r>
              <w:rPr>
                <w:rFonts w:hint="default" w:ascii="Times New Roman" w:hAnsi="Times New Roman" w:eastAsia="宋体" w:cs="Times New Roman"/>
                <w:kern w:val="2"/>
                <w:sz w:val="24"/>
                <w:szCs w:val="24"/>
                <w:highlight w:val="none"/>
                <w:lang w:val="en-US" w:eastAsia="zh-CN" w:bidi="ar-SA"/>
              </w:rPr>
              <w:t>递交采购文件截止时间后在“信用中国”网站（www.creditchina.gov.cn）</w:t>
            </w:r>
            <w:r>
              <w:rPr>
                <w:rFonts w:hint="default" w:ascii="Times New Roman" w:hAnsi="Times New Roman" w:eastAsia="宋体" w:cs="Times New Roman"/>
                <w:b/>
                <w:bCs/>
                <w:kern w:val="2"/>
                <w:sz w:val="24"/>
                <w:szCs w:val="24"/>
                <w:highlight w:val="none"/>
                <w:lang w:val="en-US" w:eastAsia="zh-CN" w:bidi="ar-SA"/>
              </w:rPr>
              <w:t>失信被执行人、重大税收违法失信主体、政府采购严重违法失信行为记录名单</w:t>
            </w:r>
            <w:r>
              <w:rPr>
                <w:rFonts w:hint="default" w:ascii="Times New Roman" w:hAnsi="Times New Roman" w:eastAsia="宋体" w:cs="Times New Roman"/>
                <w:kern w:val="2"/>
                <w:sz w:val="24"/>
                <w:szCs w:val="24"/>
                <w:highlight w:val="none"/>
                <w:lang w:val="en-US" w:eastAsia="zh-CN" w:bidi="ar-SA"/>
              </w:rPr>
              <w:t>及中国政府采购网（www.ccgp.gov.cn）“</w:t>
            </w:r>
            <w:r>
              <w:rPr>
                <w:rFonts w:hint="default" w:ascii="Times New Roman" w:hAnsi="Times New Roman" w:eastAsia="宋体" w:cs="Times New Roman"/>
                <w:b/>
                <w:bCs/>
                <w:kern w:val="2"/>
                <w:sz w:val="24"/>
                <w:szCs w:val="24"/>
                <w:highlight w:val="none"/>
                <w:lang w:val="en-US" w:eastAsia="zh-CN" w:bidi="ar-SA"/>
              </w:rPr>
              <w:t>政府采购严重违法失信行为信息记录</w:t>
            </w:r>
            <w:r>
              <w:rPr>
                <w:rFonts w:hint="default" w:ascii="Times New Roman" w:hAnsi="Times New Roman" w:eastAsia="宋体" w:cs="Times New Roman"/>
                <w:kern w:val="2"/>
                <w:sz w:val="24"/>
                <w:szCs w:val="24"/>
                <w:highlight w:val="none"/>
                <w:lang w:val="en-US" w:eastAsia="zh-CN" w:bidi="ar-SA"/>
              </w:rPr>
              <w:t>” 对供应商进行信用信息查询。</w:t>
            </w:r>
            <w:r>
              <w:rPr>
                <w:rFonts w:hint="default" w:ascii="Times New Roman" w:hAnsi="Times New Roman" w:eastAsia="宋体" w:cs="Times New Roman"/>
                <w:sz w:val="24"/>
                <w:szCs w:val="24"/>
                <w:highlight w:val="none"/>
              </w:rPr>
              <w:t>【说明：</w:t>
            </w:r>
            <w:r>
              <w:rPr>
                <w:rFonts w:hint="default" w:ascii="Times New Roman" w:hAnsi="Times New Roman" w:eastAsia="宋体" w:cs="Times New Roman"/>
                <w:sz w:val="24"/>
                <w:szCs w:val="24"/>
                <w:highlight w:val="none"/>
                <w:lang w:eastAsia="zh-CN"/>
              </w:rPr>
              <w:t>投标人</w:t>
            </w:r>
            <w:r>
              <w:rPr>
                <w:rFonts w:hint="default" w:ascii="Times New Roman" w:hAnsi="Times New Roman" w:eastAsia="宋体" w:cs="Times New Roman"/>
                <w:sz w:val="24"/>
                <w:szCs w:val="24"/>
                <w:highlight w:val="none"/>
              </w:rPr>
              <w:t>未列入失信被执行人、重大税收违法案件当事人名单、政府采购严重违法失信行为记录名单。】</w:t>
            </w:r>
            <w:bookmarkEnd w:id="274"/>
          </w:p>
        </w:tc>
        <w:tc>
          <w:tcPr>
            <w:tcW w:w="1101" w:type="dxa"/>
            <w:tcBorders>
              <w:top w:val="single" w:color="auto" w:sz="2" w:space="0"/>
              <w:left w:val="single" w:color="auto" w:sz="2" w:space="0"/>
              <w:bottom w:val="single" w:color="auto" w:sz="2" w:space="0"/>
              <w:right w:val="single" w:color="auto" w:sz="2" w:space="0"/>
            </w:tcBorders>
            <w:noWrap w:val="0"/>
            <w:vAlign w:val="center"/>
          </w:tcPr>
          <w:p w14:paraId="4942B03C">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由评审小组查询后填写结果</w:t>
            </w:r>
          </w:p>
        </w:tc>
      </w:tr>
      <w:tr w14:paraId="13D59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tcBorders>
              <w:top w:val="single" w:color="auto" w:sz="2" w:space="0"/>
              <w:left w:val="single" w:color="auto" w:sz="2" w:space="0"/>
              <w:right w:val="single" w:color="auto" w:sz="2" w:space="0"/>
            </w:tcBorders>
            <w:noWrap w:val="0"/>
            <w:vAlign w:val="center"/>
          </w:tcPr>
          <w:p w14:paraId="6D39311C">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6</w:t>
            </w:r>
          </w:p>
        </w:tc>
        <w:tc>
          <w:tcPr>
            <w:tcW w:w="1934" w:type="dxa"/>
            <w:gridSpan w:val="2"/>
            <w:tcBorders>
              <w:top w:val="single" w:color="auto" w:sz="2" w:space="0"/>
              <w:left w:val="single" w:color="auto" w:sz="2" w:space="0"/>
              <w:right w:val="single" w:color="auto" w:sz="2" w:space="0"/>
            </w:tcBorders>
            <w:noWrap w:val="0"/>
            <w:vAlign w:val="center"/>
          </w:tcPr>
          <w:p w14:paraId="7D8BD907">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sz w:val="24"/>
                <w:szCs w:val="24"/>
              </w:rPr>
              <w:t>法定代表人或主要负责人身份证明书及法定代表人或主要负责人身份证复印件或护照复印件</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2512EAF4">
            <w:pPr>
              <w:keepNext w:val="0"/>
              <w:keepLines w:val="0"/>
              <w:pageBreakBefore w:val="0"/>
              <w:widowControl w:val="0"/>
              <w:numPr>
                <w:ilvl w:val="0"/>
                <w:numId w:val="35"/>
              </w:numPr>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bookmarkStart w:id="275" w:name="OLE_LINK10"/>
            <w:r>
              <w:rPr>
                <w:rFonts w:hint="eastAsia" w:ascii="宋体" w:hAnsi="宋体" w:eastAsia="宋体" w:cs="宋体"/>
                <w:sz w:val="24"/>
                <w:szCs w:val="24"/>
              </w:rPr>
              <w:t>供应商按</w:t>
            </w:r>
            <w:r>
              <w:rPr>
                <w:rFonts w:hint="eastAsia" w:ascii="宋体" w:hAnsi="宋体" w:eastAsia="宋体" w:cs="宋体"/>
                <w:sz w:val="24"/>
                <w:szCs w:val="24"/>
                <w:lang w:eastAsia="zh-CN"/>
              </w:rPr>
              <w:t>谈判文件</w:t>
            </w:r>
            <w:r>
              <w:rPr>
                <w:rFonts w:hint="eastAsia" w:ascii="宋体" w:hAnsi="宋体" w:eastAsia="宋体" w:cs="宋体"/>
                <w:sz w:val="24"/>
                <w:szCs w:val="24"/>
                <w:lang w:val="en-US" w:eastAsia="zh-CN"/>
              </w:rPr>
              <w:t>格式2-6要求提供</w:t>
            </w:r>
            <w:r>
              <w:rPr>
                <w:rFonts w:hint="eastAsia" w:ascii="宋体" w:hAnsi="宋体" w:eastAsia="宋体" w:cs="宋体"/>
                <w:sz w:val="24"/>
                <w:szCs w:val="24"/>
              </w:rPr>
              <w:t>法定代表人或主要负责人身份证明书；2、身份证复印件或护照复印件</w:t>
            </w:r>
            <w:r>
              <w:rPr>
                <w:rFonts w:hint="eastAsia" w:ascii="宋体" w:hAnsi="宋体" w:eastAsia="宋体" w:cs="宋体"/>
                <w:sz w:val="24"/>
                <w:szCs w:val="24"/>
                <w:lang w:eastAsia="zh-CN"/>
              </w:rPr>
              <w:t>。</w:t>
            </w:r>
          </w:p>
          <w:p w14:paraId="41E67CBF">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注：①法定代表人或主要负责人身份证复印件（身份证两面均应复印，在有效期内）或护照复印件（法定代表人或主要负责人为外籍人士的，按此提供）；②主要负责人为供应商提供的其具有独立承担民事责任的能力的证明材料中的主要负责人员】。</w:t>
            </w:r>
            <w:bookmarkEnd w:id="275"/>
          </w:p>
          <w:p w14:paraId="2B6070F7">
            <w:pPr>
              <w:pStyle w:val="31"/>
              <w:rPr>
                <w:rFonts w:hint="eastAsia"/>
                <w:lang w:val="en-US" w:eastAsia="zh-CN"/>
              </w:rPr>
            </w:pPr>
            <w:r>
              <w:rPr>
                <w:rFonts w:hint="eastAsia" w:ascii="宋体" w:hAnsi="宋体" w:cs="宋体"/>
                <w:kern w:val="0"/>
                <w:sz w:val="24"/>
                <w:szCs w:val="24"/>
                <w:lang w:val="en-US" w:eastAsia="zh-CN"/>
              </w:rPr>
              <w:t>注：</w:t>
            </w:r>
            <w:r>
              <w:rPr>
                <w:rFonts w:hint="eastAsia"/>
                <w:lang w:val="en-US" w:eastAsia="zh-CN"/>
              </w:rPr>
              <w:t>供应商所提交的资料须加盖公章</w:t>
            </w:r>
          </w:p>
        </w:tc>
        <w:tc>
          <w:tcPr>
            <w:tcW w:w="1101" w:type="dxa"/>
            <w:tcBorders>
              <w:top w:val="single" w:color="auto" w:sz="2" w:space="0"/>
              <w:left w:val="single" w:color="auto" w:sz="2" w:space="0"/>
              <w:bottom w:val="single" w:color="auto" w:sz="2" w:space="0"/>
              <w:right w:val="single" w:color="auto" w:sz="2" w:space="0"/>
            </w:tcBorders>
            <w:noWrap w:val="0"/>
            <w:vAlign w:val="center"/>
          </w:tcPr>
          <w:p w14:paraId="5720C5E9">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lang w:val="en-US"/>
              </w:rPr>
            </w:pPr>
            <w:r>
              <w:rPr>
                <w:rFonts w:hint="eastAsia" w:ascii="宋体" w:hAnsi="宋体" w:eastAsia="宋体" w:cs="宋体"/>
                <w:sz w:val="24"/>
                <w:szCs w:val="24"/>
                <w:lang w:eastAsia="zh-CN"/>
              </w:rPr>
              <w:t>第六章</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格式2-6</w:t>
            </w:r>
          </w:p>
        </w:tc>
      </w:tr>
      <w:tr w14:paraId="3EC35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tcBorders>
              <w:top w:val="single" w:color="auto" w:sz="2" w:space="0"/>
              <w:left w:val="single" w:color="auto" w:sz="2" w:space="0"/>
              <w:right w:val="single" w:color="auto" w:sz="2" w:space="0"/>
            </w:tcBorders>
            <w:noWrap w:val="0"/>
            <w:vAlign w:val="center"/>
          </w:tcPr>
          <w:p w14:paraId="4E677410">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1934" w:type="dxa"/>
            <w:gridSpan w:val="2"/>
            <w:tcBorders>
              <w:top w:val="single" w:color="auto" w:sz="2" w:space="0"/>
              <w:left w:val="single" w:color="auto" w:sz="2" w:space="0"/>
              <w:right w:val="single" w:color="auto" w:sz="2" w:space="0"/>
            </w:tcBorders>
            <w:noWrap w:val="0"/>
            <w:vAlign w:val="center"/>
          </w:tcPr>
          <w:p w14:paraId="652F91C6">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法定代表人或</w:t>
            </w:r>
            <w:r>
              <w:rPr>
                <w:rFonts w:hint="eastAsia" w:ascii="宋体" w:hAnsi="宋体" w:eastAsia="宋体" w:cs="宋体"/>
                <w:sz w:val="24"/>
                <w:szCs w:val="24"/>
                <w:lang w:val="en-US" w:eastAsia="zh-CN"/>
              </w:rPr>
              <w:t>主要</w:t>
            </w:r>
            <w:r>
              <w:rPr>
                <w:rFonts w:hint="eastAsia" w:ascii="宋体" w:hAnsi="宋体" w:eastAsia="宋体" w:cs="宋体"/>
                <w:sz w:val="24"/>
                <w:szCs w:val="24"/>
              </w:rPr>
              <w:t>负责人授权委托书</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05823AB8">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bookmarkStart w:id="276" w:name="OLE_LINK11"/>
            <w:r>
              <w:rPr>
                <w:rFonts w:hint="eastAsia" w:ascii="宋体" w:hAnsi="宋体" w:eastAsia="宋体" w:cs="宋体"/>
                <w:sz w:val="24"/>
                <w:szCs w:val="24"/>
                <w:lang w:val="en-US" w:eastAsia="zh-CN"/>
              </w:rPr>
              <w:t>1、</w:t>
            </w:r>
            <w:r>
              <w:rPr>
                <w:rFonts w:hint="eastAsia" w:ascii="宋体" w:hAnsi="宋体" w:eastAsia="宋体" w:cs="宋体"/>
                <w:sz w:val="24"/>
                <w:szCs w:val="24"/>
              </w:rPr>
              <w:t>供应商按</w:t>
            </w:r>
            <w:r>
              <w:rPr>
                <w:rFonts w:hint="eastAsia" w:ascii="宋体" w:hAnsi="宋体" w:eastAsia="宋体" w:cs="宋体"/>
                <w:sz w:val="24"/>
                <w:szCs w:val="24"/>
                <w:lang w:eastAsia="zh-CN"/>
              </w:rPr>
              <w:t>谈判文件</w:t>
            </w:r>
            <w:r>
              <w:rPr>
                <w:rFonts w:hint="eastAsia" w:ascii="宋体" w:hAnsi="宋体" w:eastAsia="宋体" w:cs="宋体"/>
                <w:sz w:val="24"/>
                <w:szCs w:val="24"/>
                <w:lang w:val="en-US" w:eastAsia="zh-CN"/>
              </w:rPr>
              <w:t>格式2-7要求提供</w:t>
            </w:r>
            <w:r>
              <w:rPr>
                <w:rFonts w:hint="eastAsia" w:ascii="宋体" w:hAnsi="宋体" w:eastAsia="宋体" w:cs="宋体"/>
                <w:sz w:val="24"/>
                <w:szCs w:val="24"/>
              </w:rPr>
              <w:t>法定代表人或主要负责人</w:t>
            </w:r>
            <w:r>
              <w:rPr>
                <w:rFonts w:hint="eastAsia" w:ascii="宋体" w:hAnsi="宋体" w:eastAsia="宋体" w:cs="宋体"/>
                <w:sz w:val="24"/>
                <w:szCs w:val="24"/>
                <w:lang w:val="en-US" w:eastAsia="zh-CN"/>
              </w:rPr>
              <w:t>授权委托书</w:t>
            </w:r>
            <w:r>
              <w:rPr>
                <w:rFonts w:hint="eastAsia" w:ascii="宋体" w:hAnsi="宋体" w:eastAsia="宋体" w:cs="宋体"/>
                <w:sz w:val="24"/>
                <w:szCs w:val="24"/>
              </w:rPr>
              <w:t>；2、委托代理人身份证复印件或扫描件；</w:t>
            </w:r>
          </w:p>
          <w:p w14:paraId="3EF3F2B6">
            <w:pPr>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【注：</w:t>
            </w:r>
            <w:r>
              <w:rPr>
                <w:rFonts w:hint="eastAsia" w:ascii="宋体" w:hAnsi="宋体" w:eastAsia="宋体" w:cs="宋体"/>
                <w:sz w:val="24"/>
                <w:szCs w:val="24"/>
                <w:lang w:val="en-US" w:eastAsia="zh-CN"/>
              </w:rPr>
              <w:t>①</w:t>
            </w:r>
            <w:r>
              <w:rPr>
                <w:rFonts w:hint="eastAsia" w:ascii="宋体" w:hAnsi="宋体" w:eastAsia="宋体" w:cs="宋体"/>
                <w:sz w:val="24"/>
                <w:szCs w:val="24"/>
              </w:rPr>
              <w:t>自然人响应文件的无需提供；</w:t>
            </w:r>
            <w:r>
              <w:rPr>
                <w:rFonts w:hint="eastAsia" w:ascii="宋体" w:hAnsi="宋体" w:eastAsia="宋体" w:cs="宋体"/>
                <w:sz w:val="24"/>
                <w:szCs w:val="24"/>
                <w:lang w:val="en-US" w:eastAsia="zh-CN"/>
              </w:rPr>
              <w:t>②法定代表人或主要负责人亲自参与谈判不委托其他人办理的不需提供</w:t>
            </w:r>
            <w:r>
              <w:rPr>
                <w:rFonts w:hint="eastAsia" w:ascii="宋体" w:hAnsi="宋体" w:eastAsia="宋体" w:cs="宋体"/>
                <w:sz w:val="24"/>
                <w:szCs w:val="24"/>
              </w:rPr>
              <w:t>】</w:t>
            </w:r>
            <w:r>
              <w:rPr>
                <w:rFonts w:hint="eastAsia" w:ascii="宋体" w:hAnsi="宋体" w:eastAsia="宋体" w:cs="宋体"/>
                <w:sz w:val="24"/>
                <w:szCs w:val="24"/>
                <w:lang w:eastAsia="zh-CN"/>
              </w:rPr>
              <w:t>。</w:t>
            </w:r>
            <w:bookmarkEnd w:id="276"/>
          </w:p>
          <w:p w14:paraId="27293BFC">
            <w:pPr>
              <w:pStyle w:val="31"/>
              <w:rPr>
                <w:rFonts w:hint="eastAsia"/>
              </w:rPr>
            </w:pPr>
            <w:r>
              <w:rPr>
                <w:rFonts w:hint="eastAsia" w:ascii="宋体" w:hAnsi="宋体" w:cs="宋体"/>
                <w:kern w:val="0"/>
                <w:sz w:val="24"/>
                <w:szCs w:val="24"/>
                <w:lang w:val="en-US" w:eastAsia="zh-CN"/>
              </w:rPr>
              <w:t>注：</w:t>
            </w:r>
            <w:r>
              <w:rPr>
                <w:rFonts w:hint="eastAsia"/>
                <w:lang w:val="en-US" w:eastAsia="zh-CN"/>
              </w:rPr>
              <w:t>供应商所提交的资料须加盖公章</w:t>
            </w:r>
          </w:p>
        </w:tc>
        <w:tc>
          <w:tcPr>
            <w:tcW w:w="1101" w:type="dxa"/>
            <w:tcBorders>
              <w:top w:val="single" w:color="auto" w:sz="2" w:space="0"/>
              <w:left w:val="single" w:color="auto" w:sz="2" w:space="0"/>
              <w:bottom w:val="single" w:color="auto" w:sz="2" w:space="0"/>
              <w:right w:val="single" w:color="auto" w:sz="2" w:space="0"/>
            </w:tcBorders>
            <w:noWrap w:val="0"/>
            <w:vAlign w:val="center"/>
          </w:tcPr>
          <w:p w14:paraId="3AE52CC1">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lang w:val="en-US"/>
              </w:rPr>
            </w:pPr>
            <w:r>
              <w:rPr>
                <w:rFonts w:hint="eastAsia" w:ascii="宋体" w:hAnsi="宋体" w:eastAsia="宋体" w:cs="宋体"/>
                <w:sz w:val="24"/>
                <w:szCs w:val="24"/>
                <w:lang w:eastAsia="zh-CN"/>
              </w:rPr>
              <w:t>第六章</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格式2-7</w:t>
            </w:r>
          </w:p>
        </w:tc>
      </w:tr>
      <w:tr w14:paraId="257DB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3" w:hRule="atLeast"/>
          <w:jc w:val="center"/>
        </w:trPr>
        <w:tc>
          <w:tcPr>
            <w:tcW w:w="640" w:type="dxa"/>
            <w:tcBorders>
              <w:top w:val="single" w:color="auto" w:sz="2" w:space="0"/>
              <w:left w:val="single" w:color="auto" w:sz="2" w:space="0"/>
              <w:right w:val="single" w:color="auto" w:sz="2" w:space="0"/>
            </w:tcBorders>
            <w:noWrap w:val="0"/>
            <w:vAlign w:val="center"/>
          </w:tcPr>
          <w:p w14:paraId="504A7974">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1934" w:type="dxa"/>
            <w:gridSpan w:val="2"/>
            <w:tcBorders>
              <w:top w:val="single" w:color="auto" w:sz="2" w:space="0"/>
              <w:left w:val="single" w:color="auto" w:sz="2" w:space="0"/>
              <w:right w:val="single" w:color="auto" w:sz="2" w:space="0"/>
            </w:tcBorders>
            <w:noWrap w:val="0"/>
            <w:vAlign w:val="center"/>
          </w:tcPr>
          <w:p w14:paraId="19A3F3C5">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本项目要求供应商应具备的特定条件</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74B1F646">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eastAsia="宋体"/>
                <w:lang w:val="en-US" w:eastAsia="zh-CN"/>
              </w:rPr>
            </w:pPr>
            <w:r>
              <w:rPr>
                <w:rFonts w:hint="eastAsia" w:ascii="宋体" w:hAnsi="宋体" w:cs="宋体"/>
                <w:sz w:val="24"/>
                <w:szCs w:val="24"/>
                <w:lang w:val="en-US" w:eastAsia="zh-CN"/>
              </w:rPr>
              <w:t>无</w:t>
            </w:r>
            <w:r>
              <w:rPr>
                <w:rFonts w:hint="eastAsia" w:ascii="宋体" w:hAnsi="宋体" w:eastAsia="宋体" w:cs="宋体"/>
                <w:sz w:val="24"/>
                <w:szCs w:val="24"/>
              </w:rPr>
              <w:t>。【说明：无须提供证明材料，上传空白页即可，不对本项上传的材料作资格审查】</w:t>
            </w:r>
          </w:p>
          <w:p w14:paraId="7B6CE211">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kern w:val="2"/>
                <w:sz w:val="24"/>
                <w:szCs w:val="24"/>
                <w:lang w:val="en-US" w:eastAsia="zh-CN" w:bidi="ar-SA"/>
              </w:rPr>
            </w:pPr>
          </w:p>
        </w:tc>
        <w:tc>
          <w:tcPr>
            <w:tcW w:w="1101" w:type="dxa"/>
            <w:tcBorders>
              <w:top w:val="single" w:color="auto" w:sz="2" w:space="0"/>
              <w:left w:val="single" w:color="auto" w:sz="2" w:space="0"/>
              <w:bottom w:val="single" w:color="auto" w:sz="2" w:space="0"/>
              <w:right w:val="single" w:color="auto" w:sz="2" w:space="0"/>
            </w:tcBorders>
            <w:noWrap w:val="0"/>
            <w:vAlign w:val="center"/>
          </w:tcPr>
          <w:p w14:paraId="4EAD6C34">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sz w:val="24"/>
                <w:szCs w:val="24"/>
                <w:lang w:eastAsia="zh-CN"/>
              </w:rPr>
              <w:t>第六章</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格式2-8</w:t>
            </w:r>
          </w:p>
        </w:tc>
      </w:tr>
      <w:tr w14:paraId="67770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vMerge w:val="restart"/>
            <w:tcBorders>
              <w:left w:val="single" w:color="auto" w:sz="2" w:space="0"/>
              <w:right w:val="single" w:color="auto" w:sz="2" w:space="0"/>
            </w:tcBorders>
            <w:noWrap w:val="0"/>
            <w:vAlign w:val="center"/>
          </w:tcPr>
          <w:p w14:paraId="37B4F599">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9</w:t>
            </w:r>
          </w:p>
        </w:tc>
        <w:tc>
          <w:tcPr>
            <w:tcW w:w="403" w:type="dxa"/>
            <w:vMerge w:val="restart"/>
            <w:tcBorders>
              <w:left w:val="single" w:color="auto" w:sz="2" w:space="0"/>
              <w:right w:val="single" w:color="auto" w:sz="2" w:space="0"/>
            </w:tcBorders>
            <w:noWrap w:val="0"/>
            <w:vAlign w:val="center"/>
          </w:tcPr>
          <w:p w14:paraId="2D373798">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其他</w:t>
            </w:r>
          </w:p>
        </w:tc>
        <w:tc>
          <w:tcPr>
            <w:tcW w:w="1531" w:type="dxa"/>
            <w:tcBorders>
              <w:top w:val="single" w:color="auto" w:sz="2" w:space="0"/>
              <w:left w:val="single" w:color="auto" w:sz="2" w:space="0"/>
              <w:bottom w:val="single" w:color="auto" w:sz="2" w:space="0"/>
              <w:right w:val="single" w:color="auto" w:sz="2" w:space="0"/>
            </w:tcBorders>
            <w:noWrap w:val="0"/>
            <w:vAlign w:val="center"/>
          </w:tcPr>
          <w:p w14:paraId="6B2B41C5">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具有履行合同所必须的设备和专业技术能力</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4DDB5854">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highlight w:val="none"/>
              </w:rPr>
            </w:pPr>
            <w:bookmarkStart w:id="277" w:name="OLE_LINK12"/>
            <w:r>
              <w:rPr>
                <w:rFonts w:hint="eastAsia" w:ascii="宋体" w:hAnsi="宋体" w:eastAsia="宋体" w:cs="宋体"/>
                <w:sz w:val="24"/>
                <w:szCs w:val="24"/>
                <w:highlight w:val="none"/>
              </w:rPr>
              <w:t>采购人对供应商履行合同所必须的设备和专业技术能力，供应商</w:t>
            </w:r>
            <w:r>
              <w:rPr>
                <w:rFonts w:hint="eastAsia" w:ascii="宋体" w:hAnsi="宋体" w:eastAsia="宋体" w:cs="宋体"/>
                <w:sz w:val="24"/>
                <w:szCs w:val="24"/>
                <w:highlight w:val="none"/>
                <w:lang w:val="en-US" w:eastAsia="zh-CN"/>
              </w:rPr>
              <w:t>根据实际情况</w:t>
            </w:r>
            <w:r>
              <w:rPr>
                <w:rFonts w:hint="eastAsia" w:ascii="宋体" w:hAnsi="宋体" w:eastAsia="宋体" w:cs="宋体"/>
                <w:sz w:val="24"/>
                <w:szCs w:val="24"/>
                <w:highlight w:val="none"/>
              </w:rPr>
              <w:t>提供证明材料</w:t>
            </w:r>
            <w:r>
              <w:rPr>
                <w:rFonts w:hint="eastAsia" w:ascii="宋体" w:hAnsi="宋体" w:eastAsia="宋体" w:cs="宋体"/>
                <w:sz w:val="24"/>
                <w:szCs w:val="24"/>
                <w:highlight w:val="none"/>
                <w:lang w:val="en-US" w:eastAsia="zh-CN"/>
              </w:rPr>
              <w:t>或承诺</w:t>
            </w:r>
            <w:r>
              <w:rPr>
                <w:rFonts w:hint="eastAsia" w:ascii="宋体" w:hAnsi="宋体" w:eastAsia="宋体" w:cs="宋体"/>
                <w:sz w:val="24"/>
                <w:szCs w:val="24"/>
                <w:highlight w:val="none"/>
              </w:rPr>
              <w:t>。</w:t>
            </w:r>
            <w:bookmarkEnd w:id="277"/>
          </w:p>
          <w:p w14:paraId="26397F07">
            <w:pPr>
              <w:pStyle w:val="31"/>
              <w:rPr>
                <w:rFonts w:hint="eastAsia"/>
              </w:rPr>
            </w:pPr>
            <w:r>
              <w:rPr>
                <w:rFonts w:hint="eastAsia" w:ascii="宋体" w:hAnsi="宋体" w:cs="宋体"/>
                <w:kern w:val="0"/>
                <w:sz w:val="24"/>
                <w:szCs w:val="24"/>
                <w:lang w:val="en-US" w:eastAsia="zh-CN"/>
              </w:rPr>
              <w:t>注：</w:t>
            </w:r>
            <w:r>
              <w:rPr>
                <w:rFonts w:hint="eastAsia"/>
                <w:lang w:val="en-US" w:eastAsia="zh-CN"/>
              </w:rPr>
              <w:t>供应商所提交的资料须加盖公章</w:t>
            </w:r>
          </w:p>
        </w:tc>
        <w:tc>
          <w:tcPr>
            <w:tcW w:w="1101" w:type="dxa"/>
            <w:tcBorders>
              <w:top w:val="single" w:color="auto" w:sz="2" w:space="0"/>
              <w:left w:val="single" w:color="auto" w:sz="2" w:space="0"/>
              <w:bottom w:val="single" w:color="auto" w:sz="2" w:space="0"/>
              <w:right w:val="single" w:color="auto" w:sz="2" w:space="0"/>
            </w:tcBorders>
            <w:noWrap w:val="0"/>
            <w:vAlign w:val="center"/>
          </w:tcPr>
          <w:p w14:paraId="24814CA0">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lang w:val="en-US"/>
              </w:rPr>
            </w:pPr>
            <w:r>
              <w:rPr>
                <w:rFonts w:hint="eastAsia" w:ascii="宋体" w:hAnsi="宋体" w:eastAsia="宋体" w:cs="宋体"/>
                <w:sz w:val="24"/>
                <w:szCs w:val="24"/>
                <w:lang w:eastAsia="zh-CN"/>
              </w:rPr>
              <w:t>第六章</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格式2-9</w:t>
            </w:r>
          </w:p>
        </w:tc>
      </w:tr>
      <w:tr w14:paraId="6F5C9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vMerge w:val="continue"/>
            <w:tcBorders>
              <w:left w:val="single" w:color="auto" w:sz="2" w:space="0"/>
              <w:right w:val="single" w:color="auto" w:sz="2" w:space="0"/>
            </w:tcBorders>
            <w:noWrap w:val="0"/>
            <w:vAlign w:val="center"/>
          </w:tcPr>
          <w:p w14:paraId="4B482685">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403" w:type="dxa"/>
            <w:vMerge w:val="continue"/>
            <w:tcBorders>
              <w:left w:val="single" w:color="auto" w:sz="2" w:space="0"/>
              <w:right w:val="single" w:color="auto" w:sz="2" w:space="0"/>
            </w:tcBorders>
            <w:noWrap w:val="0"/>
            <w:vAlign w:val="center"/>
          </w:tcPr>
          <w:p w14:paraId="37C3E5CF">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p>
        </w:tc>
        <w:tc>
          <w:tcPr>
            <w:tcW w:w="1531" w:type="dxa"/>
            <w:tcBorders>
              <w:top w:val="single" w:color="auto" w:sz="2" w:space="0"/>
              <w:left w:val="single" w:color="auto" w:sz="2" w:space="0"/>
              <w:bottom w:val="single" w:color="auto" w:sz="2" w:space="0"/>
              <w:right w:val="single" w:color="auto" w:sz="2" w:space="0"/>
            </w:tcBorders>
            <w:noWrap w:val="0"/>
            <w:vAlign w:val="center"/>
          </w:tcPr>
          <w:p w14:paraId="73ABF1F0">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bookmarkStart w:id="278" w:name="OLE_LINK15"/>
            <w:r>
              <w:rPr>
                <w:rFonts w:hint="eastAsia" w:ascii="宋体" w:hAnsi="宋体" w:eastAsia="宋体" w:cs="宋体"/>
                <w:sz w:val="24"/>
                <w:szCs w:val="24"/>
              </w:rPr>
              <w:t>不属于国家相关法律法规规定的其他禁止参加</w:t>
            </w:r>
            <w:r>
              <w:rPr>
                <w:rFonts w:hint="eastAsia" w:ascii="宋体" w:hAnsi="宋体" w:eastAsia="宋体" w:cs="宋体"/>
                <w:sz w:val="24"/>
                <w:szCs w:val="24"/>
                <w:lang w:eastAsia="zh-CN"/>
              </w:rPr>
              <w:t>谈判</w:t>
            </w:r>
            <w:r>
              <w:rPr>
                <w:rFonts w:hint="eastAsia" w:ascii="宋体" w:hAnsi="宋体" w:eastAsia="宋体" w:cs="宋体"/>
                <w:sz w:val="24"/>
                <w:szCs w:val="24"/>
              </w:rPr>
              <w:t>的情形</w:t>
            </w:r>
            <w:bookmarkEnd w:id="278"/>
          </w:p>
        </w:tc>
        <w:tc>
          <w:tcPr>
            <w:tcW w:w="6423" w:type="dxa"/>
            <w:tcBorders>
              <w:top w:val="single" w:color="auto" w:sz="2" w:space="0"/>
              <w:left w:val="single" w:color="auto" w:sz="2" w:space="0"/>
              <w:bottom w:val="single" w:color="auto" w:sz="2" w:space="0"/>
              <w:right w:val="single" w:color="auto" w:sz="2" w:space="0"/>
            </w:tcBorders>
            <w:noWrap w:val="0"/>
            <w:vAlign w:val="center"/>
          </w:tcPr>
          <w:p w14:paraId="35414507">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bookmarkStart w:id="279" w:name="OLE_LINK13"/>
            <w:r>
              <w:rPr>
                <w:rFonts w:hint="eastAsia" w:ascii="宋体" w:hAnsi="宋体" w:eastAsia="宋体" w:cs="宋体"/>
                <w:sz w:val="24"/>
                <w:szCs w:val="24"/>
                <w:lang w:val="en-US" w:eastAsia="zh-CN"/>
              </w:rPr>
              <w:t>①</w:t>
            </w:r>
            <w:r>
              <w:rPr>
                <w:rFonts w:hint="eastAsia" w:ascii="宋体" w:hAnsi="宋体" w:eastAsia="宋体" w:cs="宋体"/>
                <w:sz w:val="24"/>
                <w:szCs w:val="24"/>
              </w:rPr>
              <w:t>根据</w:t>
            </w:r>
            <w:r>
              <w:rPr>
                <w:rFonts w:hint="eastAsia" w:ascii="宋体" w:hAnsi="宋体" w:eastAsia="宋体" w:cs="宋体"/>
                <w:sz w:val="24"/>
                <w:szCs w:val="24"/>
                <w:lang w:eastAsia="zh-CN"/>
              </w:rPr>
              <w:t>谈判文件</w:t>
            </w:r>
            <w:r>
              <w:rPr>
                <w:rFonts w:hint="eastAsia" w:ascii="宋体" w:hAnsi="宋体" w:eastAsia="宋体" w:cs="宋体"/>
                <w:sz w:val="24"/>
                <w:szCs w:val="24"/>
              </w:rPr>
              <w:t>的要求不属于禁止参加</w:t>
            </w:r>
            <w:r>
              <w:rPr>
                <w:rFonts w:hint="eastAsia" w:ascii="宋体" w:hAnsi="宋体" w:eastAsia="宋体" w:cs="宋体"/>
                <w:sz w:val="24"/>
                <w:szCs w:val="24"/>
                <w:lang w:eastAsia="zh-CN"/>
              </w:rPr>
              <w:t>谈判</w:t>
            </w:r>
            <w:r>
              <w:rPr>
                <w:rFonts w:hint="eastAsia" w:ascii="宋体" w:hAnsi="宋体" w:eastAsia="宋体" w:cs="宋体"/>
                <w:sz w:val="24"/>
                <w:szCs w:val="24"/>
              </w:rPr>
              <w:t>采购活动或响应文件无效的供应商；</w:t>
            </w:r>
          </w:p>
          <w:p w14:paraId="6330B74A">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②</w:t>
            </w:r>
            <w:r>
              <w:rPr>
                <w:rFonts w:hint="eastAsia" w:ascii="宋体" w:hAnsi="宋体" w:eastAsia="宋体" w:cs="宋体"/>
                <w:sz w:val="24"/>
                <w:szCs w:val="24"/>
                <w:lang w:eastAsia="zh-CN"/>
              </w:rPr>
              <w:t>谈判</w:t>
            </w:r>
            <w:r>
              <w:rPr>
                <w:rFonts w:hint="eastAsia" w:ascii="宋体" w:hAnsi="宋体" w:eastAsia="宋体" w:cs="宋体"/>
                <w:sz w:val="24"/>
                <w:szCs w:val="24"/>
              </w:rPr>
              <w:t>小组未发现或者未知晓供应商存在属于国家相关法律法规规定的禁止参加</w:t>
            </w:r>
            <w:r>
              <w:rPr>
                <w:rFonts w:hint="eastAsia" w:ascii="宋体" w:hAnsi="宋体" w:eastAsia="宋体" w:cs="宋体"/>
                <w:sz w:val="24"/>
                <w:szCs w:val="24"/>
                <w:lang w:eastAsia="zh-CN"/>
              </w:rPr>
              <w:t>谈判</w:t>
            </w:r>
            <w:r>
              <w:rPr>
                <w:rFonts w:hint="eastAsia" w:ascii="宋体" w:hAnsi="宋体" w:eastAsia="宋体" w:cs="宋体"/>
                <w:sz w:val="24"/>
                <w:szCs w:val="24"/>
              </w:rPr>
              <w:t>采购活动或响应文件无效的供应商。</w:t>
            </w:r>
          </w:p>
          <w:p w14:paraId="2B6E4D75">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【说明：无须提供证明材料，上传空白页即可，不对本项上传的材料作资格审查】</w:t>
            </w:r>
            <w:bookmarkEnd w:id="279"/>
          </w:p>
        </w:tc>
        <w:tc>
          <w:tcPr>
            <w:tcW w:w="1101" w:type="dxa"/>
            <w:tcBorders>
              <w:top w:val="single" w:color="auto" w:sz="2" w:space="0"/>
              <w:left w:val="single" w:color="auto" w:sz="2" w:space="0"/>
              <w:bottom w:val="single" w:color="auto" w:sz="2" w:space="0"/>
              <w:right w:val="single" w:color="auto" w:sz="2" w:space="0"/>
            </w:tcBorders>
            <w:noWrap w:val="0"/>
            <w:vAlign w:val="center"/>
          </w:tcPr>
          <w:p w14:paraId="389271E6">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p>
        </w:tc>
      </w:tr>
      <w:tr w14:paraId="56BB0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vMerge w:val="continue"/>
            <w:tcBorders>
              <w:left w:val="single" w:color="auto" w:sz="2" w:space="0"/>
              <w:right w:val="single" w:color="auto" w:sz="2" w:space="0"/>
            </w:tcBorders>
            <w:noWrap w:val="0"/>
            <w:vAlign w:val="center"/>
          </w:tcPr>
          <w:p w14:paraId="7C13BDCB">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p>
        </w:tc>
        <w:tc>
          <w:tcPr>
            <w:tcW w:w="403" w:type="dxa"/>
            <w:vMerge w:val="continue"/>
            <w:tcBorders>
              <w:left w:val="single" w:color="auto" w:sz="2" w:space="0"/>
              <w:right w:val="single" w:color="auto" w:sz="2" w:space="0"/>
            </w:tcBorders>
            <w:noWrap w:val="0"/>
            <w:vAlign w:val="center"/>
          </w:tcPr>
          <w:p w14:paraId="2951D161">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p>
        </w:tc>
        <w:tc>
          <w:tcPr>
            <w:tcW w:w="1531" w:type="dxa"/>
            <w:tcBorders>
              <w:top w:val="single" w:color="auto" w:sz="2" w:space="0"/>
              <w:left w:val="single" w:color="auto" w:sz="2" w:space="0"/>
              <w:bottom w:val="single" w:color="auto" w:sz="2" w:space="0"/>
              <w:right w:val="single" w:color="auto" w:sz="2" w:space="0"/>
            </w:tcBorders>
            <w:noWrap w:val="0"/>
            <w:vAlign w:val="center"/>
          </w:tcPr>
          <w:p w14:paraId="06C74240">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联合体</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473977ED">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本项目不接受联合体</w:t>
            </w:r>
          </w:p>
        </w:tc>
        <w:tc>
          <w:tcPr>
            <w:tcW w:w="1101" w:type="dxa"/>
            <w:tcBorders>
              <w:top w:val="single" w:color="auto" w:sz="2" w:space="0"/>
              <w:left w:val="single" w:color="auto" w:sz="2" w:space="0"/>
              <w:bottom w:val="single" w:color="auto" w:sz="2" w:space="0"/>
              <w:right w:val="single" w:color="auto" w:sz="2" w:space="0"/>
            </w:tcBorders>
            <w:noWrap w:val="0"/>
            <w:vAlign w:val="center"/>
          </w:tcPr>
          <w:p w14:paraId="5665FC03">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p>
        </w:tc>
      </w:tr>
      <w:tr w14:paraId="216DC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0" w:type="dxa"/>
            <w:vMerge w:val="continue"/>
            <w:tcBorders>
              <w:left w:val="single" w:color="auto" w:sz="2" w:space="0"/>
              <w:right w:val="single" w:color="auto" w:sz="2" w:space="0"/>
            </w:tcBorders>
            <w:noWrap w:val="0"/>
            <w:vAlign w:val="center"/>
          </w:tcPr>
          <w:p w14:paraId="122566EA">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p>
        </w:tc>
        <w:tc>
          <w:tcPr>
            <w:tcW w:w="403" w:type="dxa"/>
            <w:vMerge w:val="continue"/>
            <w:tcBorders>
              <w:left w:val="single" w:color="auto" w:sz="2" w:space="0"/>
              <w:right w:val="single" w:color="auto" w:sz="2" w:space="0"/>
            </w:tcBorders>
            <w:noWrap w:val="0"/>
            <w:vAlign w:val="center"/>
          </w:tcPr>
          <w:p w14:paraId="2DED1EC6">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p>
        </w:tc>
        <w:tc>
          <w:tcPr>
            <w:tcW w:w="1531" w:type="dxa"/>
            <w:tcBorders>
              <w:top w:val="single" w:color="auto" w:sz="2" w:space="0"/>
              <w:left w:val="single" w:color="auto" w:sz="2" w:space="0"/>
              <w:bottom w:val="single" w:color="auto" w:sz="2" w:space="0"/>
              <w:right w:val="single" w:color="auto" w:sz="2" w:space="0"/>
            </w:tcBorders>
            <w:noWrap w:val="0"/>
            <w:vAlign w:val="center"/>
          </w:tcPr>
          <w:p w14:paraId="0D1A804C">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bookmarkStart w:id="280" w:name="OLE_LINK14"/>
            <w:r>
              <w:rPr>
                <w:rFonts w:hint="eastAsia" w:ascii="宋体" w:hAnsi="宋体" w:eastAsia="宋体" w:cs="宋体"/>
                <w:sz w:val="24"/>
                <w:szCs w:val="24"/>
                <w:lang w:eastAsia="zh-CN"/>
              </w:rPr>
              <w:t>谈判</w:t>
            </w:r>
            <w:r>
              <w:rPr>
                <w:rFonts w:hint="eastAsia" w:ascii="宋体" w:hAnsi="宋体" w:eastAsia="宋体" w:cs="宋体"/>
                <w:sz w:val="24"/>
                <w:szCs w:val="24"/>
              </w:rPr>
              <w:t>保证金</w:t>
            </w:r>
            <w:bookmarkEnd w:id="280"/>
          </w:p>
        </w:tc>
        <w:tc>
          <w:tcPr>
            <w:tcW w:w="6423" w:type="dxa"/>
            <w:tcBorders>
              <w:top w:val="single" w:color="auto" w:sz="2" w:space="0"/>
              <w:left w:val="single" w:color="auto" w:sz="2" w:space="0"/>
              <w:bottom w:val="single" w:color="auto" w:sz="2" w:space="0"/>
              <w:right w:val="single" w:color="auto" w:sz="2" w:space="0"/>
            </w:tcBorders>
            <w:noWrap w:val="0"/>
            <w:vAlign w:val="center"/>
          </w:tcPr>
          <w:p w14:paraId="2BABB321">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无【说明：无须提供证明材料，上传空白页即可，不对本项上传的材料作资格审查】</w:t>
            </w:r>
          </w:p>
        </w:tc>
        <w:tc>
          <w:tcPr>
            <w:tcW w:w="1101" w:type="dxa"/>
            <w:tcBorders>
              <w:top w:val="single" w:color="auto" w:sz="2" w:space="0"/>
              <w:left w:val="single" w:color="auto" w:sz="2" w:space="0"/>
              <w:bottom w:val="single" w:color="auto" w:sz="2" w:space="0"/>
              <w:right w:val="single" w:color="auto" w:sz="2" w:space="0"/>
            </w:tcBorders>
            <w:noWrap w:val="0"/>
            <w:vAlign w:val="center"/>
          </w:tcPr>
          <w:p w14:paraId="4336338C">
            <w:pPr>
              <w:keepNext w:val="0"/>
              <w:keepLines w:val="0"/>
              <w:pageBreakBefore w:val="0"/>
              <w:widowControl w:val="0"/>
              <w:tabs>
                <w:tab w:val="left" w:pos="851"/>
              </w:tabs>
              <w:kinsoku/>
              <w:wordWrap/>
              <w:overflowPunct/>
              <w:topLinePunct w:val="0"/>
              <w:autoSpaceDE/>
              <w:autoSpaceDN/>
              <w:bidi w:val="0"/>
              <w:adjustRightInd/>
              <w:snapToGrid/>
              <w:spacing w:line="560" w:lineRule="exact"/>
              <w:ind w:left="0" w:leftChars="0" w:right="0" w:rightChars="0" w:firstLine="0" w:firstLineChars="0"/>
              <w:textAlignment w:val="auto"/>
              <w:outlineLvl w:val="9"/>
              <w:rPr>
                <w:rFonts w:hint="eastAsia" w:ascii="宋体" w:hAnsi="宋体" w:eastAsia="宋体" w:cs="宋体"/>
                <w:sz w:val="24"/>
                <w:szCs w:val="24"/>
              </w:rPr>
            </w:pPr>
          </w:p>
        </w:tc>
      </w:tr>
    </w:tbl>
    <w:p w14:paraId="3A0EF446">
      <w:pPr>
        <w:keepNext w:val="0"/>
        <w:keepLines w:val="0"/>
        <w:pageBreakBefore w:val="0"/>
        <w:widowControl w:val="0"/>
        <w:tabs>
          <w:tab w:val="left" w:pos="851"/>
        </w:tabs>
        <w:kinsoku/>
        <w:wordWrap/>
        <w:overflowPunct/>
        <w:topLinePunct w:val="0"/>
        <w:autoSpaceDE/>
        <w:autoSpaceDN/>
        <w:bidi w:val="0"/>
        <w:adjustRightInd/>
        <w:spacing w:line="560" w:lineRule="exact"/>
        <w:ind w:left="0" w:leftChars="0" w:right="0" w:rightChars="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rPr>
        <w:t>注：</w:t>
      </w:r>
      <w:r>
        <w:rPr>
          <w:rFonts w:hint="eastAsia" w:ascii="宋体" w:hAnsi="宋体" w:eastAsia="宋体" w:cs="宋体"/>
          <w:sz w:val="24"/>
          <w:szCs w:val="24"/>
          <w:lang w:val="en-US" w:eastAsia="zh-CN"/>
        </w:rPr>
        <w:t>1.</w:t>
      </w:r>
      <w:r>
        <w:rPr>
          <w:rFonts w:hint="eastAsia" w:ascii="宋体" w:hAnsi="宋体" w:eastAsia="宋体" w:cs="宋体"/>
          <w:sz w:val="24"/>
          <w:szCs w:val="24"/>
        </w:rPr>
        <w:t>以上每一项结论均为“符合”的，则供应商的响应文件通过资格性审查；如有</w:t>
      </w:r>
      <w:r>
        <w:rPr>
          <w:rFonts w:hint="eastAsia" w:ascii="宋体" w:hAnsi="宋体" w:eastAsia="宋体" w:cs="宋体"/>
          <w:sz w:val="24"/>
          <w:szCs w:val="24"/>
          <w:highlight w:val="none"/>
        </w:rPr>
        <w:t>其中任意一项结论为“不符合”的，则供应商的响应文件按无效响应文件处理。</w:t>
      </w:r>
    </w:p>
    <w:p w14:paraId="262D7BBA">
      <w:pPr>
        <w:keepNext w:val="0"/>
        <w:keepLines w:val="0"/>
        <w:pageBreakBefore w:val="0"/>
        <w:widowControl w:val="0"/>
        <w:tabs>
          <w:tab w:val="left" w:pos="851"/>
        </w:tabs>
        <w:kinsoku/>
        <w:wordWrap/>
        <w:overflowPunct/>
        <w:topLinePunct w:val="0"/>
        <w:autoSpaceDE/>
        <w:autoSpaceDN/>
        <w:bidi w:val="0"/>
        <w:adjustRightInd/>
        <w:spacing w:line="560" w:lineRule="exact"/>
        <w:ind w:left="0" w:leftChars="0" w:right="0" w:rightChars="0" w:firstLine="484" w:firstLineChars="202"/>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2.“信用中国”、“中国政府采购网”网站由采购人或采购代理机构查询网页截图、打印，作为查询记录和证据。</w:t>
      </w:r>
    </w:p>
    <w:p w14:paraId="351DFDAD">
      <w:pPr>
        <w:keepNext w:val="0"/>
        <w:keepLines w:val="0"/>
        <w:pageBreakBefore w:val="0"/>
        <w:widowControl w:val="0"/>
        <w:tabs>
          <w:tab w:val="left" w:pos="851"/>
        </w:tabs>
        <w:kinsoku/>
        <w:wordWrap/>
        <w:overflowPunct/>
        <w:topLinePunct w:val="0"/>
        <w:autoSpaceDE/>
        <w:autoSpaceDN/>
        <w:bidi w:val="0"/>
        <w:adjustRightInd/>
        <w:spacing w:line="560" w:lineRule="exact"/>
        <w:ind w:left="0" w:leftChars="0" w:right="0" w:rightChars="0" w:firstLine="484" w:firstLineChars="20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没有通过资格审查的供应商，</w:t>
      </w:r>
      <w:r>
        <w:rPr>
          <w:rFonts w:hint="eastAsia" w:ascii="宋体" w:hAnsi="宋体" w:eastAsia="宋体" w:cs="宋体"/>
          <w:sz w:val="24"/>
          <w:szCs w:val="24"/>
          <w:lang w:eastAsia="zh-CN"/>
        </w:rPr>
        <w:t>谈判</w:t>
      </w:r>
      <w:r>
        <w:rPr>
          <w:rFonts w:hint="eastAsia" w:ascii="宋体" w:hAnsi="宋体" w:eastAsia="宋体" w:cs="宋体"/>
          <w:sz w:val="24"/>
          <w:szCs w:val="24"/>
        </w:rPr>
        <w:t>小组应当在</w:t>
      </w:r>
      <w:r>
        <w:rPr>
          <w:rFonts w:hint="eastAsia" w:ascii="宋体" w:hAnsi="宋体" w:eastAsia="宋体" w:cs="宋体"/>
          <w:sz w:val="24"/>
          <w:szCs w:val="24"/>
          <w:lang w:val="en-US" w:eastAsia="zh-CN"/>
        </w:rPr>
        <w:t>评审系统</w:t>
      </w:r>
      <w:r>
        <w:rPr>
          <w:rFonts w:hint="eastAsia" w:ascii="宋体" w:hAnsi="宋体" w:eastAsia="宋体" w:cs="宋体"/>
          <w:sz w:val="24"/>
          <w:szCs w:val="24"/>
        </w:rPr>
        <w:t>中载明未通过的原因。</w:t>
      </w:r>
    </w:p>
    <w:p w14:paraId="514E8E18">
      <w:pPr>
        <w:keepNext w:val="0"/>
        <w:keepLines w:val="0"/>
        <w:pageBreakBefore w:val="0"/>
        <w:widowControl w:val="0"/>
        <w:tabs>
          <w:tab w:val="left" w:pos="851"/>
        </w:tabs>
        <w:kinsoku/>
        <w:wordWrap/>
        <w:overflowPunct/>
        <w:topLinePunct w:val="0"/>
        <w:autoSpaceDE/>
        <w:autoSpaceDN/>
        <w:bidi w:val="0"/>
        <w:adjustRightInd/>
        <w:spacing w:line="560" w:lineRule="exact"/>
        <w:ind w:left="0" w:leftChars="0" w:right="0" w:rightChars="0" w:firstLine="484" w:firstLineChars="202"/>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rPr>
        <w:t>通过资格性审查的供应商</w:t>
      </w:r>
      <w:r>
        <w:rPr>
          <w:rFonts w:hint="eastAsia" w:ascii="宋体" w:hAnsi="宋体" w:eastAsia="宋体" w:cs="宋体"/>
          <w:sz w:val="24"/>
          <w:szCs w:val="24"/>
          <w:lang w:val="en-US" w:eastAsia="zh-CN"/>
        </w:rPr>
        <w:t>不足三家的</w:t>
      </w:r>
      <w:r>
        <w:rPr>
          <w:rFonts w:hint="eastAsia" w:ascii="宋体" w:hAnsi="宋体" w:eastAsia="宋体" w:cs="宋体"/>
          <w:sz w:val="24"/>
          <w:szCs w:val="24"/>
        </w:rPr>
        <w:t>，采购失败。</w:t>
      </w:r>
    </w:p>
    <w:p w14:paraId="25014C40">
      <w:pPr>
        <w:pStyle w:val="7"/>
        <w:keepNext w:val="0"/>
        <w:keepLines w:val="0"/>
        <w:pageBreakBefore w:val="0"/>
        <w:widowControl w:val="0"/>
        <w:kinsoku/>
        <w:wordWrap/>
        <w:overflowPunct/>
        <w:topLinePunct w:val="0"/>
        <w:autoSpaceDE/>
        <w:autoSpaceDN/>
        <w:bidi w:val="0"/>
        <w:adjustRightInd/>
        <w:spacing w:before="0" w:after="0" w:line="560" w:lineRule="exact"/>
        <w:ind w:left="0" w:leftChars="0" w:right="0" w:rightChars="0"/>
        <w:jc w:val="both"/>
        <w:textAlignment w:val="auto"/>
        <w:outlineLvl w:val="2"/>
        <w:rPr>
          <w:rFonts w:hint="eastAsia" w:ascii="宋体" w:hAnsi="宋体" w:eastAsia="宋体" w:cs="宋体"/>
          <w:b/>
          <w:bCs/>
          <w:color w:val="000000"/>
          <w:sz w:val="24"/>
          <w:szCs w:val="24"/>
          <w:highlight w:val="none"/>
          <w:lang w:val="en-US" w:eastAsia="zh-CN"/>
        </w:rPr>
      </w:pPr>
      <w:bookmarkStart w:id="281" w:name="_Toc19599"/>
      <w:r>
        <w:rPr>
          <w:rFonts w:hint="eastAsia" w:ascii="宋体" w:hAnsi="宋体" w:eastAsia="宋体" w:cs="宋体"/>
          <w:b/>
          <w:bCs/>
          <w:color w:val="000000"/>
          <w:sz w:val="24"/>
          <w:szCs w:val="24"/>
          <w:highlight w:val="none"/>
          <w:lang w:val="en-US" w:eastAsia="zh-CN"/>
        </w:rPr>
        <w:t>2.符合性审查</w:t>
      </w:r>
      <w:bookmarkEnd w:id="281"/>
    </w:p>
    <w:p w14:paraId="312883D1">
      <w:pPr>
        <w:keepNext w:val="0"/>
        <w:keepLines w:val="0"/>
        <w:pageBreakBefore w:val="0"/>
        <w:widowControl w:val="0"/>
        <w:tabs>
          <w:tab w:val="left" w:pos="851"/>
        </w:tabs>
        <w:kinsoku/>
        <w:wordWrap/>
        <w:overflowPunct/>
        <w:topLinePunct w:val="0"/>
        <w:autoSpaceDE/>
        <w:autoSpaceDN/>
        <w:bidi w:val="0"/>
        <w:adjustRightInd/>
        <w:spacing w:line="560" w:lineRule="exact"/>
        <w:ind w:left="0" w:leftChars="0" w:right="0" w:rightChars="0" w:firstLine="484" w:firstLineChars="202"/>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 供应商资格审查结束后，由谈判小组对供应商响应文件进行符合性审查。</w:t>
      </w:r>
    </w:p>
    <w:p w14:paraId="4F7AD791">
      <w:pPr>
        <w:keepNext w:val="0"/>
        <w:keepLines w:val="0"/>
        <w:pageBreakBefore w:val="0"/>
        <w:widowControl w:val="0"/>
        <w:tabs>
          <w:tab w:val="left" w:pos="851"/>
        </w:tabs>
        <w:kinsoku/>
        <w:wordWrap/>
        <w:overflowPunct/>
        <w:topLinePunct w:val="0"/>
        <w:autoSpaceDE/>
        <w:autoSpaceDN/>
        <w:bidi w:val="0"/>
        <w:adjustRightInd/>
        <w:spacing w:line="560" w:lineRule="exact"/>
        <w:ind w:left="0" w:leftChars="0" w:right="0" w:rightChars="0" w:firstLine="484" w:firstLineChars="202"/>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 谈判小组在符合性审查过程中，谈判小组成员对供应商是否符合规定存在争议的，应当以少数服从多数的原则处理，但不违背政府采购法和谈判文件规定。</w:t>
      </w:r>
    </w:p>
    <w:p w14:paraId="1B05767D">
      <w:pPr>
        <w:pStyle w:val="68"/>
        <w:keepNext w:val="0"/>
        <w:keepLines w:val="0"/>
        <w:pageBreakBefore w:val="0"/>
        <w:widowControl w:val="0"/>
        <w:numPr>
          <w:ilvl w:val="0"/>
          <w:numId w:val="0"/>
        </w:numPr>
        <w:tabs>
          <w:tab w:val="left" w:pos="1134"/>
          <w:tab w:val="left" w:pos="1276"/>
          <w:tab w:val="left" w:pos="1418"/>
        </w:tabs>
        <w:kinsoku/>
        <w:wordWrap/>
        <w:overflowPunct/>
        <w:topLinePunct w:val="0"/>
        <w:autoSpaceDE/>
        <w:autoSpaceDN/>
        <w:bidi w:val="0"/>
        <w:adjustRightInd/>
        <w:snapToGrid w:val="0"/>
        <w:spacing w:line="560" w:lineRule="exact"/>
        <w:ind w:left="0" w:leftChars="0" w:right="0" w:rightChars="0" w:firstLine="240" w:firstLineChars="100"/>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2.3 </w:t>
      </w:r>
      <w:r>
        <w:rPr>
          <w:rFonts w:hint="eastAsia" w:ascii="宋体" w:hAnsi="宋体" w:eastAsia="宋体" w:cs="宋体"/>
          <w:b/>
          <w:bCs/>
          <w:sz w:val="24"/>
          <w:szCs w:val="24"/>
          <w:highlight w:val="none"/>
        </w:rPr>
        <w:t>供应商符合性审查标准（按以下顺序审查）：</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272"/>
        <w:gridCol w:w="6509"/>
      </w:tblGrid>
      <w:tr w14:paraId="4344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0" w:type="dxa"/>
            <w:tcBorders>
              <w:top w:val="single" w:color="auto" w:sz="2" w:space="0"/>
              <w:left w:val="single" w:color="auto" w:sz="2" w:space="0"/>
              <w:bottom w:val="single" w:color="auto" w:sz="2" w:space="0"/>
              <w:right w:val="single" w:color="auto" w:sz="2" w:space="0"/>
            </w:tcBorders>
            <w:noWrap w:val="0"/>
            <w:vAlign w:val="center"/>
          </w:tcPr>
          <w:p w14:paraId="4BBFC6A5">
            <w:pPr>
              <w:keepNext w:val="0"/>
              <w:keepLines w:val="0"/>
              <w:pageBreakBefore w:val="0"/>
              <w:tabs>
                <w:tab w:val="left" w:pos="851"/>
              </w:tabs>
              <w:kinsoku/>
              <w:wordWrap/>
              <w:overflowPunct/>
              <w:topLinePunct w:val="0"/>
              <w:autoSpaceDE/>
              <w:autoSpaceDN/>
              <w:bidi w:val="0"/>
              <w:spacing w:line="560" w:lineRule="exact"/>
              <w:jc w:val="center"/>
              <w:textAlignment w:val="auto"/>
              <w:rPr>
                <w:rFonts w:hint="eastAsia" w:ascii="宋体" w:hAnsi="宋体" w:eastAsia="宋体" w:cs="宋体"/>
                <w:b/>
                <w:sz w:val="24"/>
                <w:szCs w:val="24"/>
              </w:rPr>
            </w:pPr>
            <w:r>
              <w:rPr>
                <w:rFonts w:hint="eastAsia" w:ascii="宋体" w:hAnsi="宋体" w:eastAsia="宋体" w:cs="宋体"/>
                <w:b/>
                <w:sz w:val="24"/>
                <w:szCs w:val="24"/>
              </w:rPr>
              <w:t>序号</w:t>
            </w:r>
          </w:p>
        </w:tc>
        <w:tc>
          <w:tcPr>
            <w:tcW w:w="2272" w:type="dxa"/>
            <w:tcBorders>
              <w:top w:val="single" w:color="auto" w:sz="2" w:space="0"/>
              <w:left w:val="single" w:color="auto" w:sz="2" w:space="0"/>
              <w:bottom w:val="single" w:color="auto" w:sz="2" w:space="0"/>
              <w:right w:val="single" w:color="auto" w:sz="2" w:space="0"/>
            </w:tcBorders>
            <w:noWrap w:val="0"/>
            <w:vAlign w:val="center"/>
          </w:tcPr>
          <w:p w14:paraId="6AE921CC">
            <w:pPr>
              <w:keepNext w:val="0"/>
              <w:keepLines w:val="0"/>
              <w:pageBreakBefore w:val="0"/>
              <w:tabs>
                <w:tab w:val="left" w:pos="851"/>
              </w:tabs>
              <w:kinsoku/>
              <w:wordWrap/>
              <w:overflowPunct/>
              <w:topLinePunct w:val="0"/>
              <w:autoSpaceDE/>
              <w:autoSpaceDN/>
              <w:bidi w:val="0"/>
              <w:spacing w:line="560" w:lineRule="exact"/>
              <w:jc w:val="center"/>
              <w:textAlignment w:val="auto"/>
              <w:rPr>
                <w:rFonts w:hint="eastAsia" w:ascii="宋体" w:hAnsi="宋体" w:eastAsia="宋体" w:cs="宋体"/>
                <w:b/>
                <w:sz w:val="24"/>
                <w:szCs w:val="24"/>
              </w:rPr>
            </w:pPr>
            <w:r>
              <w:rPr>
                <w:rFonts w:hint="eastAsia" w:ascii="宋体" w:hAnsi="宋体" w:eastAsia="宋体" w:cs="宋体"/>
                <w:b/>
                <w:sz w:val="24"/>
                <w:szCs w:val="24"/>
              </w:rPr>
              <w:t>符合性审查项</w:t>
            </w:r>
          </w:p>
        </w:tc>
        <w:tc>
          <w:tcPr>
            <w:tcW w:w="6509" w:type="dxa"/>
            <w:tcBorders>
              <w:top w:val="single" w:color="auto" w:sz="2" w:space="0"/>
              <w:left w:val="single" w:color="auto" w:sz="2" w:space="0"/>
              <w:bottom w:val="single" w:color="auto" w:sz="2" w:space="0"/>
              <w:right w:val="single" w:color="auto" w:sz="2" w:space="0"/>
            </w:tcBorders>
            <w:noWrap w:val="0"/>
            <w:vAlign w:val="center"/>
          </w:tcPr>
          <w:p w14:paraId="28122F4A">
            <w:pPr>
              <w:keepNext w:val="0"/>
              <w:keepLines w:val="0"/>
              <w:pageBreakBefore w:val="0"/>
              <w:tabs>
                <w:tab w:val="left" w:pos="851"/>
              </w:tabs>
              <w:kinsoku/>
              <w:wordWrap/>
              <w:overflowPunct/>
              <w:topLinePunct w:val="0"/>
              <w:autoSpaceDE/>
              <w:autoSpaceDN/>
              <w:bidi w:val="0"/>
              <w:spacing w:line="560" w:lineRule="exact"/>
              <w:ind w:firstLine="484" w:firstLineChars="202"/>
              <w:jc w:val="center"/>
              <w:textAlignment w:val="auto"/>
              <w:rPr>
                <w:rFonts w:hint="eastAsia" w:ascii="宋体" w:hAnsi="宋体" w:eastAsia="宋体" w:cs="宋体"/>
                <w:sz w:val="24"/>
                <w:szCs w:val="24"/>
              </w:rPr>
            </w:pPr>
            <w:r>
              <w:rPr>
                <w:rFonts w:hint="eastAsia" w:ascii="宋体" w:hAnsi="宋体" w:eastAsia="宋体" w:cs="宋体"/>
                <w:b/>
                <w:sz w:val="24"/>
                <w:szCs w:val="24"/>
              </w:rPr>
              <w:t>通过条件</w:t>
            </w:r>
          </w:p>
        </w:tc>
      </w:tr>
      <w:tr w14:paraId="03884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Borders>
              <w:top w:val="single" w:color="auto" w:sz="2" w:space="0"/>
              <w:left w:val="single" w:color="auto" w:sz="2" w:space="0"/>
              <w:bottom w:val="single" w:color="auto" w:sz="2" w:space="0"/>
              <w:right w:val="single" w:color="auto" w:sz="2" w:space="0"/>
            </w:tcBorders>
            <w:noWrap w:val="0"/>
            <w:vAlign w:val="center"/>
          </w:tcPr>
          <w:p w14:paraId="1C2ECCE9">
            <w:pPr>
              <w:keepNext w:val="0"/>
              <w:keepLines w:val="0"/>
              <w:pageBreakBefore w:val="0"/>
              <w:tabs>
                <w:tab w:val="left" w:pos="851"/>
              </w:tabs>
              <w:kinsoku/>
              <w:wordWrap/>
              <w:overflowPunct/>
              <w:topLinePunct w:val="0"/>
              <w:autoSpaceDE/>
              <w:autoSpaceDN/>
              <w:bidi w:val="0"/>
              <w:spacing w:line="56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2272" w:type="dxa"/>
            <w:tcBorders>
              <w:top w:val="single" w:color="auto" w:sz="2" w:space="0"/>
              <w:left w:val="single" w:color="auto" w:sz="2" w:space="0"/>
              <w:bottom w:val="single" w:color="auto" w:sz="2" w:space="0"/>
              <w:right w:val="single" w:color="auto" w:sz="2" w:space="0"/>
            </w:tcBorders>
            <w:noWrap w:val="0"/>
            <w:vAlign w:val="center"/>
          </w:tcPr>
          <w:p w14:paraId="3D5F41DA">
            <w:pPr>
              <w:keepNext w:val="0"/>
              <w:keepLines w:val="0"/>
              <w:pageBreakBefore w:val="0"/>
              <w:kinsoku/>
              <w:wordWrap/>
              <w:overflowPunct/>
              <w:topLinePunct w:val="0"/>
              <w:autoSpaceDE/>
              <w:autoSpaceDN/>
              <w:bidi w:val="0"/>
              <w:spacing w:line="560" w:lineRule="exact"/>
              <w:jc w:val="center"/>
              <w:textAlignment w:val="auto"/>
              <w:rPr>
                <w:rFonts w:hint="eastAsia" w:ascii="宋体" w:hAnsi="宋体" w:eastAsia="宋体" w:cs="宋体"/>
                <w:kern w:val="2"/>
                <w:sz w:val="24"/>
                <w:szCs w:val="24"/>
                <w:highlight w:val="none"/>
                <w:lang w:val="en-US" w:eastAsia="zh-CN" w:bidi="ar-SA"/>
              </w:rPr>
            </w:pPr>
            <w:bookmarkStart w:id="282" w:name="OLE_LINK16"/>
            <w:r>
              <w:rPr>
                <w:rFonts w:hint="eastAsia" w:ascii="宋体" w:hAnsi="宋体" w:eastAsia="宋体" w:cs="宋体"/>
                <w:sz w:val="24"/>
                <w:szCs w:val="24"/>
                <w:highlight w:val="none"/>
                <w:lang w:val="en-US" w:eastAsia="zh-CN"/>
              </w:rPr>
              <w:t>响应文件内的首次</w:t>
            </w:r>
            <w:r>
              <w:rPr>
                <w:rFonts w:hint="eastAsia" w:ascii="宋体" w:hAnsi="宋体" w:eastAsia="宋体" w:cs="宋体"/>
                <w:sz w:val="24"/>
                <w:szCs w:val="24"/>
                <w:highlight w:val="none"/>
              </w:rPr>
              <w:t>报价</w:t>
            </w:r>
            <w:bookmarkEnd w:id="282"/>
          </w:p>
        </w:tc>
        <w:tc>
          <w:tcPr>
            <w:tcW w:w="6509" w:type="dxa"/>
            <w:tcBorders>
              <w:top w:val="single" w:color="auto" w:sz="2" w:space="0"/>
              <w:left w:val="single" w:color="auto" w:sz="2" w:space="0"/>
              <w:bottom w:val="single" w:color="auto" w:sz="2" w:space="0"/>
              <w:right w:val="single" w:color="auto" w:sz="2" w:space="0"/>
            </w:tcBorders>
            <w:noWrap w:val="0"/>
            <w:vAlign w:val="center"/>
          </w:tcPr>
          <w:p w14:paraId="09F06A93">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24"/>
                <w:szCs w:val="24"/>
                <w:lang w:val="en-US" w:eastAsia="zh-CN"/>
              </w:rPr>
            </w:pPr>
            <w:bookmarkStart w:id="283" w:name="OLE_LINK17"/>
            <w:r>
              <w:rPr>
                <w:rFonts w:hint="eastAsia" w:ascii="宋体" w:hAnsi="宋体" w:eastAsia="宋体" w:cs="宋体"/>
                <w:sz w:val="24"/>
                <w:szCs w:val="24"/>
                <w:lang w:val="en-US" w:eastAsia="zh-CN"/>
              </w:rPr>
              <w:t>（1）按照谈判文件要求报价且不超过预算金额或最高限价。</w:t>
            </w:r>
          </w:p>
          <w:p w14:paraId="54FCD69D">
            <w:pPr>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谈判小组对供应商首次报价进行算术性复核，如果出现下列不一致的，按以下原则进行修正：</w:t>
            </w:r>
          </w:p>
          <w:p w14:paraId="259C1F7C">
            <w:pPr>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1、报价中的大写金额和小写金额不一致的，以大写金额为准，但大写金额出现文字错误，导致金额无法判断的除外；</w:t>
            </w:r>
          </w:p>
          <w:p w14:paraId="22536411">
            <w:pPr>
              <w:pageBreakBefore w:val="0"/>
              <w:kinsoku/>
              <w:wordWrap/>
              <w:overflowPunct/>
              <w:topLinePunct w:val="0"/>
              <w:autoSpaceDE/>
              <w:autoSpaceDN/>
              <w:bidi w:val="0"/>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2、单价金额小数点或者百分比有明显错位的，应以总价为准，并修改单价；</w:t>
            </w:r>
          </w:p>
          <w:p w14:paraId="77594BE7">
            <w:pPr>
              <w:pageBreakBefore w:val="0"/>
              <w:kinsoku/>
              <w:wordWrap/>
              <w:overflowPunct/>
              <w:topLinePunct w:val="0"/>
              <w:autoSpaceDE/>
              <w:autoSpaceDN/>
              <w:bidi w:val="0"/>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3、总价金额与按单价汇总金额不一致的，以单价汇总金额计算结果为准；</w:t>
            </w:r>
          </w:p>
          <w:p w14:paraId="4AB78BBA">
            <w:pPr>
              <w:pageBreakBefore w:val="0"/>
              <w:kinsoku/>
              <w:wordWrap/>
              <w:overflowPunct/>
              <w:topLinePunct w:val="0"/>
              <w:autoSpaceDE/>
              <w:autoSpaceDN/>
              <w:bidi w:val="0"/>
              <w:spacing w:line="56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同时出现两种以上不一致的，按照前款规定的顺序修正。</w:t>
            </w:r>
            <w:r>
              <w:rPr>
                <w:rFonts w:hint="eastAsia" w:ascii="宋体" w:hAnsi="宋体" w:eastAsia="宋体" w:cs="宋体"/>
                <w:bCs/>
                <w:color w:val="000000"/>
                <w:sz w:val="24"/>
                <w:szCs w:val="24"/>
                <w:highlight w:val="none"/>
              </w:rPr>
              <w:t>修正</w:t>
            </w:r>
            <w:r>
              <w:rPr>
                <w:rFonts w:hint="eastAsia" w:ascii="宋体" w:hAnsi="宋体" w:eastAsia="宋体" w:cs="宋体"/>
                <w:bCs/>
                <w:color w:val="000000"/>
                <w:kern w:val="2"/>
                <w:sz w:val="24"/>
                <w:szCs w:val="24"/>
                <w:highlight w:val="none"/>
                <w:lang w:val="en-US" w:eastAsia="zh-CN" w:bidi="ar-SA"/>
              </w:rPr>
              <w:t>后的报价经供应商确认后产生约束力，供应商不确认的，其响应文件作无效处理。</w:t>
            </w:r>
            <w:r>
              <w:rPr>
                <w:rFonts w:hint="eastAsia" w:ascii="宋体" w:hAnsi="宋体" w:eastAsia="宋体" w:cs="宋体"/>
                <w:bCs/>
                <w:color w:val="000000"/>
                <w:sz w:val="24"/>
                <w:szCs w:val="24"/>
                <w:highlight w:val="none"/>
              </w:rPr>
              <w:t>供应商确认采取书面且加盖单位公章或者供应商授权代表签字的方式。</w:t>
            </w:r>
            <w:r>
              <w:rPr>
                <w:rFonts w:hint="eastAsia" w:ascii="宋体" w:hAnsi="宋体" w:eastAsia="宋体" w:cs="宋体"/>
                <w:sz w:val="24"/>
                <w:szCs w:val="24"/>
              </w:rPr>
              <w:t>谈判小组不得未经要求供应商确认，直接将供应商响应文件作无效处理。</w:t>
            </w:r>
            <w:bookmarkEnd w:id="283"/>
          </w:p>
        </w:tc>
      </w:tr>
      <w:tr w14:paraId="2102E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Borders>
              <w:top w:val="single" w:color="auto" w:sz="2" w:space="0"/>
              <w:left w:val="single" w:color="auto" w:sz="2" w:space="0"/>
              <w:bottom w:val="single" w:color="auto" w:sz="2" w:space="0"/>
              <w:right w:val="single" w:color="auto" w:sz="2" w:space="0"/>
            </w:tcBorders>
            <w:noWrap w:val="0"/>
            <w:vAlign w:val="center"/>
          </w:tcPr>
          <w:p w14:paraId="6A0BAA80">
            <w:pPr>
              <w:keepNext w:val="0"/>
              <w:keepLines w:val="0"/>
              <w:pageBreakBefore w:val="0"/>
              <w:tabs>
                <w:tab w:val="left" w:pos="851"/>
              </w:tabs>
              <w:kinsoku/>
              <w:wordWrap/>
              <w:overflowPunct/>
              <w:topLinePunct w:val="0"/>
              <w:autoSpaceDE/>
              <w:autoSpaceDN/>
              <w:bidi w:val="0"/>
              <w:spacing w:line="560" w:lineRule="exact"/>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2</w:t>
            </w:r>
          </w:p>
        </w:tc>
        <w:tc>
          <w:tcPr>
            <w:tcW w:w="2272" w:type="dxa"/>
            <w:tcBorders>
              <w:top w:val="single" w:color="auto" w:sz="2" w:space="0"/>
              <w:left w:val="single" w:color="auto" w:sz="2" w:space="0"/>
              <w:bottom w:val="single" w:color="auto" w:sz="2" w:space="0"/>
              <w:right w:val="single" w:color="auto" w:sz="2" w:space="0"/>
            </w:tcBorders>
            <w:noWrap w:val="0"/>
            <w:vAlign w:val="center"/>
          </w:tcPr>
          <w:p w14:paraId="3C01708B">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kern w:val="2"/>
                <w:sz w:val="24"/>
                <w:szCs w:val="24"/>
                <w:lang w:val="en-US" w:eastAsia="zh-CN" w:bidi="ar-SA"/>
              </w:rPr>
            </w:pPr>
            <w:bookmarkStart w:id="284" w:name="OLE_LINK18"/>
            <w:r>
              <w:rPr>
                <w:rFonts w:hint="eastAsia" w:ascii="宋体" w:hAnsi="宋体" w:eastAsia="宋体" w:cs="宋体"/>
                <w:sz w:val="24"/>
                <w:szCs w:val="24"/>
              </w:rPr>
              <w:t>报价</w:t>
            </w:r>
            <w:r>
              <w:rPr>
                <w:rFonts w:hint="eastAsia" w:ascii="宋体" w:hAnsi="宋体" w:eastAsia="宋体" w:cs="宋体"/>
                <w:sz w:val="24"/>
                <w:szCs w:val="24"/>
                <w:lang w:val="en-US" w:eastAsia="zh-CN"/>
              </w:rPr>
              <w:t>要求</w:t>
            </w:r>
            <w:r>
              <w:rPr>
                <w:rFonts w:hint="eastAsia" w:ascii="宋体" w:hAnsi="宋体" w:eastAsia="宋体" w:cs="宋体"/>
                <w:sz w:val="24"/>
                <w:szCs w:val="24"/>
              </w:rPr>
              <w:t>响应文件组成</w:t>
            </w:r>
            <w:r>
              <w:rPr>
                <w:rFonts w:hint="eastAsia" w:ascii="宋体" w:hAnsi="宋体" w:eastAsia="宋体" w:cs="宋体"/>
                <w:sz w:val="24"/>
                <w:szCs w:val="24"/>
                <w:lang w:eastAsia="zh-CN"/>
              </w:rPr>
              <w:t>、</w:t>
            </w:r>
            <w:r>
              <w:rPr>
                <w:rFonts w:hint="eastAsia" w:ascii="宋体" w:hAnsi="宋体" w:eastAsia="宋体" w:cs="宋体"/>
                <w:sz w:val="24"/>
                <w:szCs w:val="24"/>
              </w:rPr>
              <w:t>商务技术响应文件</w:t>
            </w:r>
            <w:r>
              <w:rPr>
                <w:rFonts w:hint="eastAsia" w:ascii="宋体" w:hAnsi="宋体" w:eastAsia="宋体" w:cs="宋体"/>
                <w:sz w:val="24"/>
                <w:szCs w:val="24"/>
                <w:lang w:val="en-US" w:eastAsia="zh-CN"/>
              </w:rPr>
              <w:t>组成</w:t>
            </w:r>
            <w:bookmarkEnd w:id="284"/>
          </w:p>
        </w:tc>
        <w:tc>
          <w:tcPr>
            <w:tcW w:w="6509" w:type="dxa"/>
            <w:tcBorders>
              <w:top w:val="single" w:color="auto" w:sz="2" w:space="0"/>
              <w:left w:val="single" w:color="auto" w:sz="2" w:space="0"/>
              <w:bottom w:val="single" w:color="auto" w:sz="2" w:space="0"/>
              <w:right w:val="single" w:color="auto" w:sz="2" w:space="0"/>
            </w:tcBorders>
            <w:noWrap w:val="0"/>
            <w:vAlign w:val="center"/>
          </w:tcPr>
          <w:p w14:paraId="4646CEE5">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kern w:val="2"/>
                <w:sz w:val="24"/>
                <w:szCs w:val="24"/>
                <w:lang w:val="en-US" w:eastAsia="zh-CN" w:bidi="ar-SA"/>
              </w:rPr>
            </w:pPr>
            <w:bookmarkStart w:id="285" w:name="OLE_LINK19"/>
            <w:r>
              <w:rPr>
                <w:rFonts w:hint="eastAsia" w:ascii="宋体" w:hAnsi="宋体" w:eastAsia="宋体" w:cs="宋体"/>
                <w:sz w:val="24"/>
                <w:szCs w:val="24"/>
              </w:rPr>
              <w:t>报价</w:t>
            </w:r>
            <w:r>
              <w:rPr>
                <w:rFonts w:hint="eastAsia" w:ascii="宋体" w:hAnsi="宋体" w:eastAsia="宋体" w:cs="宋体"/>
                <w:sz w:val="24"/>
                <w:szCs w:val="24"/>
                <w:lang w:val="en-US" w:eastAsia="zh-CN"/>
              </w:rPr>
              <w:t>要求</w:t>
            </w:r>
            <w:r>
              <w:rPr>
                <w:rFonts w:hint="eastAsia" w:ascii="宋体" w:hAnsi="宋体" w:eastAsia="宋体" w:cs="宋体"/>
                <w:sz w:val="24"/>
                <w:szCs w:val="24"/>
              </w:rPr>
              <w:t>响应文件组成</w:t>
            </w:r>
            <w:r>
              <w:rPr>
                <w:rFonts w:hint="eastAsia" w:ascii="宋体" w:hAnsi="宋体" w:eastAsia="宋体" w:cs="宋体"/>
                <w:sz w:val="24"/>
                <w:szCs w:val="24"/>
                <w:lang w:eastAsia="zh-CN"/>
              </w:rPr>
              <w:t>、</w:t>
            </w:r>
            <w:r>
              <w:rPr>
                <w:rFonts w:hint="eastAsia" w:ascii="宋体" w:hAnsi="宋体" w:eastAsia="宋体" w:cs="宋体"/>
                <w:sz w:val="24"/>
                <w:szCs w:val="24"/>
              </w:rPr>
              <w:t>商务技术响应文件</w:t>
            </w:r>
            <w:r>
              <w:rPr>
                <w:rFonts w:hint="eastAsia" w:ascii="宋体" w:hAnsi="宋体" w:eastAsia="宋体" w:cs="宋体"/>
                <w:sz w:val="24"/>
                <w:szCs w:val="24"/>
                <w:lang w:val="en-US" w:eastAsia="zh-CN"/>
              </w:rPr>
              <w:t>组成均</w:t>
            </w:r>
            <w:r>
              <w:rPr>
                <w:rFonts w:hint="eastAsia" w:ascii="宋体" w:hAnsi="宋体" w:eastAsia="宋体" w:cs="宋体"/>
                <w:sz w:val="24"/>
                <w:szCs w:val="24"/>
              </w:rPr>
              <w:t>符合</w:t>
            </w:r>
            <w:r>
              <w:rPr>
                <w:rFonts w:hint="eastAsia" w:ascii="宋体" w:hAnsi="宋体" w:eastAsia="宋体" w:cs="宋体"/>
                <w:sz w:val="24"/>
                <w:szCs w:val="24"/>
                <w:lang w:eastAsia="zh-CN"/>
              </w:rPr>
              <w:t>谈判文件</w:t>
            </w: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第六章 </w:t>
            </w:r>
            <w:r>
              <w:rPr>
                <w:rFonts w:hint="eastAsia" w:ascii="宋体" w:hAnsi="宋体" w:eastAsia="宋体" w:cs="宋体"/>
                <w:sz w:val="24"/>
                <w:szCs w:val="24"/>
              </w:rPr>
              <w:t>响应文件</w:t>
            </w:r>
            <w:r>
              <w:rPr>
                <w:rFonts w:hint="eastAsia" w:ascii="宋体" w:hAnsi="宋体" w:eastAsia="宋体" w:cs="宋体"/>
                <w:sz w:val="24"/>
                <w:szCs w:val="24"/>
                <w:lang w:val="en-US" w:eastAsia="zh-CN"/>
              </w:rPr>
              <w:t>格式</w:t>
            </w:r>
            <w:r>
              <w:rPr>
                <w:rFonts w:hint="eastAsia" w:ascii="宋体" w:hAnsi="宋体" w:eastAsia="宋体" w:cs="宋体"/>
                <w:sz w:val="24"/>
                <w:szCs w:val="24"/>
              </w:rPr>
              <w:t>”</w:t>
            </w:r>
            <w:r>
              <w:rPr>
                <w:rFonts w:hint="eastAsia" w:ascii="宋体" w:hAnsi="宋体" w:eastAsia="宋体" w:cs="宋体"/>
                <w:sz w:val="24"/>
                <w:szCs w:val="24"/>
                <w:lang w:val="en-US" w:eastAsia="zh-CN"/>
              </w:rPr>
              <w:t>中</w:t>
            </w:r>
            <w:r>
              <w:rPr>
                <w:rFonts w:hint="eastAsia" w:ascii="宋体" w:hAnsi="宋体" w:eastAsia="宋体" w:cs="宋体"/>
                <w:sz w:val="24"/>
                <w:szCs w:val="24"/>
              </w:rPr>
              <w:t>加★号</w:t>
            </w:r>
            <w:r>
              <w:rPr>
                <w:rFonts w:hint="eastAsia" w:ascii="宋体" w:hAnsi="宋体" w:eastAsia="宋体" w:cs="宋体"/>
                <w:sz w:val="24"/>
                <w:szCs w:val="24"/>
                <w:lang w:val="en-US" w:eastAsia="zh-CN"/>
              </w:rPr>
              <w:t>格式</w:t>
            </w:r>
            <w:r>
              <w:rPr>
                <w:rFonts w:hint="eastAsia" w:ascii="宋体" w:hAnsi="宋体" w:eastAsia="宋体" w:cs="宋体"/>
                <w:sz w:val="24"/>
                <w:szCs w:val="24"/>
              </w:rPr>
              <w:t>规定</w:t>
            </w:r>
            <w:r>
              <w:rPr>
                <w:rFonts w:hint="eastAsia" w:ascii="宋体" w:hAnsi="宋体" w:eastAsia="宋体" w:cs="宋体"/>
                <w:sz w:val="24"/>
                <w:szCs w:val="24"/>
                <w:lang w:val="en-US" w:eastAsia="zh-CN"/>
              </w:rPr>
              <w:t>的</w:t>
            </w:r>
            <w:r>
              <w:rPr>
                <w:rFonts w:hint="eastAsia" w:ascii="宋体" w:hAnsi="宋体" w:eastAsia="宋体" w:cs="宋体"/>
                <w:sz w:val="24"/>
                <w:szCs w:val="24"/>
              </w:rPr>
              <w:t>要求。</w:t>
            </w:r>
            <w:bookmarkEnd w:id="285"/>
          </w:p>
        </w:tc>
      </w:tr>
      <w:tr w14:paraId="4EE63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Borders>
              <w:top w:val="single" w:color="auto" w:sz="2" w:space="0"/>
              <w:left w:val="single" w:color="auto" w:sz="2" w:space="0"/>
              <w:bottom w:val="single" w:color="auto" w:sz="2" w:space="0"/>
              <w:right w:val="single" w:color="auto" w:sz="2" w:space="0"/>
            </w:tcBorders>
            <w:noWrap w:val="0"/>
            <w:vAlign w:val="center"/>
          </w:tcPr>
          <w:p w14:paraId="22939104">
            <w:pPr>
              <w:keepNext w:val="0"/>
              <w:keepLines w:val="0"/>
              <w:pageBreakBefore w:val="0"/>
              <w:tabs>
                <w:tab w:val="left" w:pos="851"/>
              </w:tabs>
              <w:kinsoku/>
              <w:wordWrap/>
              <w:overflowPunct/>
              <w:topLinePunct w:val="0"/>
              <w:autoSpaceDE/>
              <w:autoSpaceDN/>
              <w:bidi w:val="0"/>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2272" w:type="dxa"/>
            <w:tcBorders>
              <w:top w:val="single" w:color="auto" w:sz="2" w:space="0"/>
              <w:left w:val="single" w:color="auto" w:sz="2" w:space="0"/>
              <w:bottom w:val="single" w:color="auto" w:sz="2" w:space="0"/>
              <w:right w:val="single" w:color="auto" w:sz="2" w:space="0"/>
            </w:tcBorders>
            <w:noWrap w:val="0"/>
            <w:vAlign w:val="center"/>
          </w:tcPr>
          <w:p w14:paraId="192BE4C4">
            <w:pPr>
              <w:keepNext w:val="0"/>
              <w:keepLines w:val="0"/>
              <w:pageBreakBefore w:val="0"/>
              <w:kinsoku/>
              <w:wordWrap/>
              <w:overflowPunct/>
              <w:topLinePunct w:val="0"/>
              <w:autoSpaceDE/>
              <w:autoSpaceDN/>
              <w:bidi w:val="0"/>
              <w:spacing w:line="560" w:lineRule="exact"/>
              <w:jc w:val="both"/>
              <w:textAlignment w:val="auto"/>
              <w:rPr>
                <w:rFonts w:hint="eastAsia" w:ascii="宋体" w:hAnsi="宋体" w:eastAsia="宋体" w:cs="宋体"/>
                <w:sz w:val="24"/>
                <w:szCs w:val="24"/>
              </w:rPr>
            </w:pPr>
            <w:bookmarkStart w:id="286" w:name="OLE_LINK20"/>
            <w:r>
              <w:rPr>
                <w:rFonts w:hint="eastAsia" w:ascii="宋体" w:hAnsi="宋体" w:eastAsia="宋体" w:cs="宋体"/>
                <w:sz w:val="24"/>
                <w:szCs w:val="24"/>
              </w:rPr>
              <w:t>响应文件有效期、知识产权</w:t>
            </w:r>
            <w:r>
              <w:rPr>
                <w:rFonts w:hint="eastAsia" w:ascii="宋体" w:hAnsi="宋体" w:eastAsia="宋体" w:cs="宋体"/>
                <w:sz w:val="24"/>
                <w:szCs w:val="24"/>
                <w:lang w:eastAsia="zh-CN"/>
              </w:rPr>
              <w:t>、</w:t>
            </w:r>
            <w:r>
              <w:rPr>
                <w:rFonts w:hint="eastAsia" w:ascii="宋体" w:hAnsi="宋体" w:eastAsia="宋体" w:cs="宋体"/>
                <w:sz w:val="24"/>
                <w:szCs w:val="24"/>
              </w:rPr>
              <w:t>计量单位、语言、报价货币等采购文件实质性要求是否应当作无效处理</w:t>
            </w:r>
            <w:bookmarkEnd w:id="286"/>
          </w:p>
        </w:tc>
        <w:tc>
          <w:tcPr>
            <w:tcW w:w="6509" w:type="dxa"/>
            <w:tcBorders>
              <w:top w:val="single" w:color="auto" w:sz="2" w:space="0"/>
              <w:left w:val="single" w:color="auto" w:sz="2" w:space="0"/>
              <w:bottom w:val="single" w:color="auto" w:sz="2" w:space="0"/>
              <w:right w:val="single" w:color="auto" w:sz="2" w:space="0"/>
            </w:tcBorders>
            <w:noWrap w:val="0"/>
            <w:vAlign w:val="center"/>
          </w:tcPr>
          <w:p w14:paraId="63BBAAE3">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24"/>
                <w:szCs w:val="24"/>
              </w:rPr>
            </w:pPr>
            <w:bookmarkStart w:id="287" w:name="OLE_LINK22"/>
            <w:r>
              <w:rPr>
                <w:rFonts w:hint="eastAsia" w:ascii="宋体" w:hAnsi="宋体" w:eastAsia="宋体" w:cs="宋体"/>
                <w:sz w:val="24"/>
                <w:szCs w:val="24"/>
              </w:rPr>
              <w:t>响</w:t>
            </w:r>
            <w:bookmarkStart w:id="288" w:name="OLE_LINK21"/>
            <w:r>
              <w:rPr>
                <w:rFonts w:hint="eastAsia" w:ascii="宋体" w:hAnsi="宋体" w:eastAsia="宋体" w:cs="宋体"/>
                <w:sz w:val="24"/>
                <w:szCs w:val="24"/>
              </w:rPr>
              <w:t>应文件有效期、知识产权</w:t>
            </w:r>
            <w:r>
              <w:rPr>
                <w:rFonts w:hint="eastAsia" w:ascii="宋体" w:hAnsi="宋体" w:eastAsia="宋体" w:cs="宋体"/>
                <w:sz w:val="24"/>
                <w:szCs w:val="24"/>
                <w:lang w:eastAsia="zh-CN"/>
              </w:rPr>
              <w:t>、</w:t>
            </w:r>
            <w:r>
              <w:rPr>
                <w:rFonts w:hint="eastAsia" w:ascii="宋体" w:hAnsi="宋体" w:eastAsia="宋体" w:cs="宋体"/>
                <w:sz w:val="24"/>
                <w:szCs w:val="24"/>
              </w:rPr>
              <w:t>计量单位、语言、报价货币等均符合</w:t>
            </w:r>
            <w:r>
              <w:rPr>
                <w:rFonts w:hint="eastAsia" w:ascii="宋体" w:hAnsi="宋体" w:eastAsia="宋体" w:cs="宋体"/>
                <w:sz w:val="24"/>
                <w:szCs w:val="24"/>
                <w:lang w:eastAsia="zh-CN"/>
              </w:rPr>
              <w:t>谈判文件</w:t>
            </w:r>
            <w:r>
              <w:rPr>
                <w:rFonts w:hint="eastAsia" w:ascii="宋体" w:hAnsi="宋体" w:eastAsia="宋体" w:cs="宋体"/>
                <w:sz w:val="24"/>
                <w:szCs w:val="24"/>
              </w:rPr>
              <w:t>的实质性要求以及不应当作无效处理</w:t>
            </w:r>
            <w:r>
              <w:rPr>
                <w:rFonts w:hint="eastAsia" w:ascii="宋体" w:hAnsi="宋体" w:eastAsia="宋体" w:cs="宋体"/>
                <w:sz w:val="24"/>
                <w:szCs w:val="24"/>
                <w:lang w:val="en-US" w:eastAsia="zh-CN"/>
              </w:rPr>
              <w:t>情形</w:t>
            </w:r>
            <w:r>
              <w:rPr>
                <w:rFonts w:hint="eastAsia" w:ascii="宋体" w:hAnsi="宋体" w:eastAsia="宋体" w:cs="宋体"/>
                <w:sz w:val="24"/>
                <w:szCs w:val="24"/>
              </w:rPr>
              <w:t>。</w:t>
            </w:r>
            <w:bookmarkEnd w:id="287"/>
            <w:bookmarkEnd w:id="288"/>
          </w:p>
        </w:tc>
      </w:tr>
      <w:tr w14:paraId="7EF53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Borders>
              <w:top w:val="single" w:color="auto" w:sz="2" w:space="0"/>
              <w:left w:val="single" w:color="auto" w:sz="2" w:space="0"/>
              <w:bottom w:val="single" w:color="auto" w:sz="2" w:space="0"/>
              <w:right w:val="single" w:color="auto" w:sz="2" w:space="0"/>
            </w:tcBorders>
            <w:noWrap w:val="0"/>
            <w:vAlign w:val="center"/>
          </w:tcPr>
          <w:p w14:paraId="2808A059">
            <w:pPr>
              <w:keepNext w:val="0"/>
              <w:keepLines w:val="0"/>
              <w:pageBreakBefore w:val="0"/>
              <w:tabs>
                <w:tab w:val="left" w:pos="851"/>
              </w:tabs>
              <w:kinsoku/>
              <w:wordWrap/>
              <w:overflowPunct/>
              <w:topLinePunct w:val="0"/>
              <w:autoSpaceDE/>
              <w:autoSpaceDN/>
              <w:bidi w:val="0"/>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2272" w:type="dxa"/>
            <w:tcBorders>
              <w:top w:val="single" w:color="auto" w:sz="2" w:space="0"/>
              <w:left w:val="single" w:color="auto" w:sz="2" w:space="0"/>
              <w:bottom w:val="single" w:color="auto" w:sz="2" w:space="0"/>
              <w:right w:val="single" w:color="auto" w:sz="2" w:space="0"/>
            </w:tcBorders>
            <w:noWrap w:val="0"/>
            <w:vAlign w:val="center"/>
          </w:tcPr>
          <w:p w14:paraId="0263615E">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sz w:val="24"/>
                <w:szCs w:val="24"/>
                <w:lang w:val="en-US" w:eastAsia="zh-CN"/>
              </w:rPr>
            </w:pPr>
            <w:bookmarkStart w:id="289" w:name="OLE_LINK23"/>
            <w:r>
              <w:rPr>
                <w:rFonts w:hint="eastAsia" w:ascii="宋体" w:hAnsi="宋体" w:eastAsia="宋体" w:cs="宋体"/>
                <w:sz w:val="24"/>
                <w:szCs w:val="24"/>
                <w:lang w:val="en-US" w:eastAsia="zh-CN"/>
              </w:rPr>
              <w:t>响应文件的签署</w:t>
            </w:r>
            <w:bookmarkEnd w:id="289"/>
          </w:p>
        </w:tc>
        <w:tc>
          <w:tcPr>
            <w:tcW w:w="6509" w:type="dxa"/>
            <w:tcBorders>
              <w:top w:val="single" w:color="auto" w:sz="2" w:space="0"/>
              <w:left w:val="single" w:color="auto" w:sz="2" w:space="0"/>
              <w:bottom w:val="single" w:color="auto" w:sz="2" w:space="0"/>
              <w:right w:val="single" w:color="auto" w:sz="2" w:space="0"/>
            </w:tcBorders>
            <w:noWrap w:val="0"/>
            <w:vAlign w:val="center"/>
          </w:tcPr>
          <w:p w14:paraId="46464F50">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sz w:val="24"/>
                <w:szCs w:val="24"/>
              </w:rPr>
            </w:pPr>
            <w:bookmarkStart w:id="290" w:name="OLE_LINK24"/>
            <w:r>
              <w:rPr>
                <w:rFonts w:hint="eastAsia" w:ascii="宋体" w:hAnsi="宋体" w:eastAsia="宋体" w:cs="宋体"/>
                <w:sz w:val="24"/>
                <w:szCs w:val="24"/>
              </w:rPr>
              <w:t>响应文件按</w:t>
            </w:r>
            <w:r>
              <w:rPr>
                <w:rFonts w:hint="eastAsia" w:ascii="宋体" w:hAnsi="宋体" w:eastAsia="宋体" w:cs="宋体"/>
                <w:sz w:val="24"/>
                <w:szCs w:val="24"/>
                <w:lang w:eastAsia="zh-CN"/>
              </w:rPr>
              <w:t>谈判文件</w:t>
            </w:r>
            <w:r>
              <w:rPr>
                <w:rFonts w:hint="eastAsia" w:ascii="宋体" w:hAnsi="宋体" w:eastAsia="宋体" w:cs="宋体"/>
                <w:sz w:val="24"/>
                <w:szCs w:val="24"/>
              </w:rPr>
              <w:t>格式及内容要求签署、盖章</w:t>
            </w:r>
            <w:bookmarkEnd w:id="290"/>
          </w:p>
        </w:tc>
      </w:tr>
      <w:tr w14:paraId="071E5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Borders>
              <w:top w:val="single" w:color="auto" w:sz="2" w:space="0"/>
              <w:left w:val="single" w:color="auto" w:sz="2" w:space="0"/>
              <w:bottom w:val="single" w:color="auto" w:sz="2" w:space="0"/>
              <w:right w:val="single" w:color="auto" w:sz="2" w:space="0"/>
            </w:tcBorders>
            <w:noWrap w:val="0"/>
            <w:vAlign w:val="center"/>
          </w:tcPr>
          <w:p w14:paraId="669F9545">
            <w:pPr>
              <w:keepNext w:val="0"/>
              <w:keepLines w:val="0"/>
              <w:pageBreakBefore w:val="0"/>
              <w:tabs>
                <w:tab w:val="left" w:pos="851"/>
              </w:tabs>
              <w:kinsoku/>
              <w:wordWrap/>
              <w:overflowPunct/>
              <w:topLinePunct w:val="0"/>
              <w:autoSpaceDE/>
              <w:autoSpaceDN/>
              <w:bidi w:val="0"/>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2272" w:type="dxa"/>
            <w:tcBorders>
              <w:top w:val="single" w:color="auto" w:sz="2" w:space="0"/>
              <w:left w:val="single" w:color="auto" w:sz="2" w:space="0"/>
              <w:bottom w:val="single" w:color="auto" w:sz="2" w:space="0"/>
              <w:right w:val="single" w:color="auto" w:sz="2" w:space="0"/>
            </w:tcBorders>
            <w:noWrap w:val="0"/>
            <w:vAlign w:val="center"/>
          </w:tcPr>
          <w:p w14:paraId="68EFCB64">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24"/>
                <w:szCs w:val="24"/>
                <w:lang w:val="en-US" w:eastAsia="zh-CN"/>
              </w:rPr>
            </w:pPr>
            <w:bookmarkStart w:id="291" w:name="OLE_LINK25"/>
            <w:r>
              <w:rPr>
                <w:rFonts w:hint="eastAsia" w:ascii="宋体" w:hAnsi="宋体" w:eastAsia="宋体" w:cs="宋体"/>
                <w:sz w:val="24"/>
                <w:szCs w:val="24"/>
              </w:rPr>
              <w:t>第</w:t>
            </w:r>
            <w:r>
              <w:rPr>
                <w:rFonts w:hint="eastAsia" w:ascii="宋体" w:hAnsi="宋体" w:eastAsia="宋体" w:cs="宋体"/>
                <w:sz w:val="24"/>
                <w:szCs w:val="24"/>
                <w:lang w:val="en-US" w:eastAsia="zh-CN"/>
              </w:rPr>
              <w:t>三</w:t>
            </w:r>
            <w:r>
              <w:rPr>
                <w:rFonts w:hint="eastAsia" w:ascii="宋体" w:hAnsi="宋体" w:eastAsia="宋体" w:cs="宋体"/>
                <w:sz w:val="24"/>
                <w:szCs w:val="24"/>
              </w:rPr>
              <w:t>章</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项目需求</w:t>
            </w:r>
            <w:r>
              <w:rPr>
                <w:rFonts w:hint="eastAsia" w:ascii="宋体" w:hAnsi="宋体" w:eastAsia="宋体" w:cs="宋体"/>
                <w:sz w:val="24"/>
                <w:szCs w:val="24"/>
                <w:lang w:eastAsia="zh-CN"/>
              </w:rPr>
              <w:t>”</w:t>
            </w:r>
            <w:r>
              <w:rPr>
                <w:rFonts w:hint="eastAsia" w:ascii="宋体" w:hAnsi="宋体" w:eastAsia="宋体" w:cs="宋体"/>
                <w:sz w:val="24"/>
                <w:szCs w:val="24"/>
              </w:rPr>
              <w:t>打★号的技术、服务、商务及其他要求</w:t>
            </w:r>
            <w:bookmarkEnd w:id="291"/>
          </w:p>
        </w:tc>
        <w:tc>
          <w:tcPr>
            <w:tcW w:w="6509" w:type="dxa"/>
            <w:tcBorders>
              <w:top w:val="single" w:color="auto" w:sz="2" w:space="0"/>
              <w:left w:val="single" w:color="auto" w:sz="2" w:space="0"/>
              <w:bottom w:val="single" w:color="auto" w:sz="2" w:space="0"/>
              <w:right w:val="single" w:color="auto" w:sz="2" w:space="0"/>
            </w:tcBorders>
            <w:noWrap w:val="0"/>
            <w:vAlign w:val="center"/>
          </w:tcPr>
          <w:p w14:paraId="59575A73">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lang w:eastAsia="zh-CN"/>
              </w:rPr>
              <w:t>（</w:t>
            </w:r>
            <w:bookmarkStart w:id="292" w:name="OLE_LINK26"/>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商务技术响应文件均实质性响应</w:t>
            </w:r>
            <w:r>
              <w:rPr>
                <w:rFonts w:hint="eastAsia" w:ascii="宋体" w:hAnsi="宋体" w:eastAsia="宋体" w:cs="宋体"/>
                <w:sz w:val="24"/>
                <w:szCs w:val="24"/>
                <w:lang w:eastAsia="zh-CN"/>
              </w:rPr>
              <w:t>谈判文件</w:t>
            </w:r>
            <w:r>
              <w:rPr>
                <w:rFonts w:hint="eastAsia" w:ascii="宋体" w:hAnsi="宋体" w:eastAsia="宋体" w:cs="宋体"/>
                <w:sz w:val="24"/>
                <w:szCs w:val="24"/>
              </w:rPr>
              <w:t>中加★号的技术、服</w:t>
            </w:r>
            <w:r>
              <w:rPr>
                <w:rFonts w:hint="eastAsia" w:ascii="宋体" w:hAnsi="宋体" w:eastAsia="宋体" w:cs="宋体"/>
                <w:sz w:val="24"/>
                <w:szCs w:val="24"/>
                <w:highlight w:val="none"/>
              </w:rPr>
              <w:t>务、商务及其他要求。</w:t>
            </w:r>
          </w:p>
          <w:p w14:paraId="74D5A65F">
            <w:pPr>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bookmarkEnd w:id="292"/>
            <w:r>
              <w:rPr>
                <w:rFonts w:hint="eastAsia" w:ascii="宋体" w:hAnsi="宋体" w:eastAsia="宋体" w:cs="宋体"/>
                <w:sz w:val="24"/>
                <w:szCs w:val="24"/>
                <w:highlight w:val="none"/>
              </w:rPr>
              <w:t>强制</w:t>
            </w:r>
            <w:r>
              <w:rPr>
                <w:rFonts w:hint="eastAsia" w:ascii="宋体" w:hAnsi="宋体" w:eastAsia="宋体" w:cs="宋体"/>
                <w:sz w:val="24"/>
                <w:szCs w:val="24"/>
                <w:highlight w:val="none"/>
                <w:lang w:val="en-US" w:eastAsia="zh-CN"/>
              </w:rPr>
              <w:t>采购</w:t>
            </w:r>
            <w:r>
              <w:rPr>
                <w:rFonts w:hint="eastAsia" w:ascii="宋体" w:hAnsi="宋体" w:eastAsia="宋体" w:cs="宋体"/>
                <w:sz w:val="24"/>
                <w:szCs w:val="24"/>
                <w:highlight w:val="none"/>
              </w:rPr>
              <w:t>产品，未提供产品认证证书或证书内产品型号与所报产品型号不完全一致的，将被认定为</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无效</w:t>
            </w:r>
            <w:r>
              <w:rPr>
                <w:rFonts w:hint="eastAsia" w:ascii="宋体" w:hAnsi="宋体" w:eastAsia="宋体" w:cs="宋体"/>
                <w:sz w:val="24"/>
                <w:szCs w:val="24"/>
                <w:highlight w:val="none"/>
                <w:lang w:eastAsia="zh-CN"/>
              </w:rPr>
              <w:t>。（</w:t>
            </w:r>
            <w:r>
              <w:rPr>
                <w:rFonts w:hint="eastAsia" w:ascii="宋体" w:hAnsi="宋体" w:eastAsia="宋体" w:cs="宋体"/>
                <w:b/>
                <w:bCs/>
                <w:sz w:val="24"/>
                <w:szCs w:val="24"/>
                <w:highlight w:val="none"/>
                <w:lang w:val="en-US" w:eastAsia="zh-CN"/>
              </w:rPr>
              <w:t>强制</w:t>
            </w:r>
            <w:r>
              <w:rPr>
                <w:rFonts w:hint="eastAsia" w:ascii="宋体" w:hAnsi="宋体" w:cs="宋体"/>
                <w:b/>
                <w:bCs/>
                <w:sz w:val="24"/>
                <w:szCs w:val="24"/>
                <w:highlight w:val="none"/>
                <w:lang w:val="en-US" w:eastAsia="zh-CN"/>
              </w:rPr>
              <w:t>采购</w:t>
            </w:r>
            <w:r>
              <w:rPr>
                <w:rFonts w:hint="eastAsia" w:ascii="宋体" w:hAnsi="宋体" w:eastAsia="宋体" w:cs="宋体"/>
                <w:b/>
                <w:bCs/>
                <w:sz w:val="24"/>
                <w:szCs w:val="24"/>
                <w:highlight w:val="none"/>
                <w:lang w:val="en-US" w:eastAsia="zh-CN"/>
              </w:rPr>
              <w:t>产品详看第三章采购内容</w:t>
            </w:r>
            <w:r>
              <w:rPr>
                <w:rFonts w:hint="eastAsia" w:ascii="宋体" w:hAnsi="宋体" w:eastAsia="宋体" w:cs="宋体"/>
                <w:sz w:val="24"/>
                <w:szCs w:val="24"/>
                <w:highlight w:val="none"/>
                <w:lang w:eastAsia="zh-CN"/>
              </w:rPr>
              <w:t>）</w:t>
            </w:r>
          </w:p>
        </w:tc>
      </w:tr>
      <w:tr w14:paraId="0B88E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Borders>
              <w:top w:val="single" w:color="auto" w:sz="2" w:space="0"/>
              <w:left w:val="single" w:color="auto" w:sz="2" w:space="0"/>
              <w:bottom w:val="single" w:color="auto" w:sz="2" w:space="0"/>
              <w:right w:val="single" w:color="auto" w:sz="2" w:space="0"/>
            </w:tcBorders>
            <w:noWrap w:val="0"/>
            <w:vAlign w:val="center"/>
          </w:tcPr>
          <w:p w14:paraId="49184A65">
            <w:pPr>
              <w:keepNext w:val="0"/>
              <w:keepLines w:val="0"/>
              <w:pageBreakBefore w:val="0"/>
              <w:tabs>
                <w:tab w:val="left" w:pos="851"/>
              </w:tabs>
              <w:kinsoku/>
              <w:wordWrap/>
              <w:overflowPunct/>
              <w:topLinePunct w:val="0"/>
              <w:autoSpaceDE/>
              <w:autoSpaceDN/>
              <w:bidi w:val="0"/>
              <w:spacing w:line="56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p>
        </w:tc>
        <w:tc>
          <w:tcPr>
            <w:tcW w:w="2272" w:type="dxa"/>
            <w:tcBorders>
              <w:top w:val="single" w:color="auto" w:sz="2" w:space="0"/>
              <w:left w:val="single" w:color="auto" w:sz="2" w:space="0"/>
              <w:bottom w:val="single" w:color="auto" w:sz="2" w:space="0"/>
              <w:right w:val="single" w:color="auto" w:sz="2" w:space="0"/>
            </w:tcBorders>
            <w:noWrap w:val="0"/>
            <w:vAlign w:val="center"/>
          </w:tcPr>
          <w:p w14:paraId="35E43AFC">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rPr>
              <w:t>进口产品</w:t>
            </w:r>
          </w:p>
        </w:tc>
        <w:tc>
          <w:tcPr>
            <w:tcW w:w="6509" w:type="dxa"/>
            <w:tcBorders>
              <w:top w:val="single" w:color="auto" w:sz="2" w:space="0"/>
              <w:left w:val="single" w:color="auto" w:sz="2" w:space="0"/>
              <w:bottom w:val="single" w:color="auto" w:sz="2" w:space="0"/>
              <w:right w:val="single" w:color="auto" w:sz="2" w:space="0"/>
            </w:tcBorders>
            <w:noWrap w:val="0"/>
            <w:vAlign w:val="center"/>
          </w:tcPr>
          <w:p w14:paraId="0853C590">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kern w:val="2"/>
                <w:sz w:val="24"/>
                <w:szCs w:val="24"/>
                <w:lang w:val="en-US" w:eastAsia="zh-CN" w:bidi="ar-SA"/>
              </w:rPr>
            </w:pPr>
            <w:bookmarkStart w:id="293" w:name="OLE_LINK27"/>
            <w:r>
              <w:rPr>
                <w:rFonts w:hint="eastAsia" w:ascii="宋体" w:hAnsi="宋体" w:eastAsia="宋体" w:cs="宋体"/>
                <w:sz w:val="24"/>
                <w:szCs w:val="24"/>
                <w:lang w:eastAsia="zh-CN"/>
              </w:rPr>
              <w:t>谈判文件</w:t>
            </w:r>
            <w:r>
              <w:rPr>
                <w:rFonts w:hint="eastAsia" w:ascii="宋体" w:hAnsi="宋体" w:eastAsia="宋体" w:cs="宋体"/>
                <w:sz w:val="24"/>
                <w:szCs w:val="24"/>
              </w:rPr>
              <w:t>中未载明“允许采购进口产品”的产品，报价产品为国产产品。</w:t>
            </w:r>
            <w:bookmarkEnd w:id="293"/>
          </w:p>
        </w:tc>
      </w:tr>
      <w:tr w14:paraId="600E1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Borders>
              <w:top w:val="single" w:color="auto" w:sz="2" w:space="0"/>
              <w:left w:val="single" w:color="auto" w:sz="2" w:space="0"/>
              <w:bottom w:val="single" w:color="auto" w:sz="2" w:space="0"/>
              <w:right w:val="single" w:color="auto" w:sz="2" w:space="0"/>
            </w:tcBorders>
            <w:noWrap w:val="0"/>
            <w:vAlign w:val="center"/>
          </w:tcPr>
          <w:p w14:paraId="05D2D2F7">
            <w:pPr>
              <w:keepNext w:val="0"/>
              <w:keepLines w:val="0"/>
              <w:pageBreakBefore w:val="0"/>
              <w:tabs>
                <w:tab w:val="left" w:pos="851"/>
              </w:tabs>
              <w:kinsoku/>
              <w:wordWrap/>
              <w:overflowPunct/>
              <w:topLinePunct w:val="0"/>
              <w:autoSpaceDE/>
              <w:autoSpaceDN/>
              <w:bidi w:val="0"/>
              <w:spacing w:line="56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7</w:t>
            </w:r>
          </w:p>
        </w:tc>
        <w:tc>
          <w:tcPr>
            <w:tcW w:w="2272" w:type="dxa"/>
            <w:tcBorders>
              <w:top w:val="single" w:color="auto" w:sz="2" w:space="0"/>
              <w:left w:val="single" w:color="auto" w:sz="2" w:space="0"/>
              <w:bottom w:val="single" w:color="auto" w:sz="2" w:space="0"/>
              <w:right w:val="single" w:color="auto" w:sz="2" w:space="0"/>
            </w:tcBorders>
            <w:noWrap w:val="0"/>
            <w:vAlign w:val="center"/>
          </w:tcPr>
          <w:p w14:paraId="01D193C7">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sz w:val="24"/>
                <w:szCs w:val="24"/>
              </w:rPr>
            </w:pPr>
            <w:bookmarkStart w:id="294" w:name="OLE_LINK28"/>
            <w:r>
              <w:rPr>
                <w:rFonts w:hint="eastAsia" w:ascii="宋体" w:hAnsi="宋体" w:eastAsia="宋体" w:cs="宋体"/>
                <w:sz w:val="24"/>
                <w:szCs w:val="24"/>
              </w:rPr>
              <w:t>不属于禁止参加</w:t>
            </w:r>
            <w:r>
              <w:rPr>
                <w:rFonts w:hint="eastAsia" w:ascii="宋体" w:hAnsi="宋体" w:eastAsia="宋体" w:cs="宋体"/>
                <w:sz w:val="24"/>
                <w:szCs w:val="24"/>
                <w:lang w:eastAsia="zh-CN"/>
              </w:rPr>
              <w:t>谈判</w:t>
            </w:r>
            <w:r>
              <w:rPr>
                <w:rFonts w:hint="eastAsia" w:ascii="宋体" w:hAnsi="宋体" w:eastAsia="宋体" w:cs="宋体"/>
                <w:sz w:val="24"/>
                <w:szCs w:val="24"/>
              </w:rPr>
              <w:t>采购活动或响应文件无效的供应商</w:t>
            </w:r>
            <w:bookmarkEnd w:id="294"/>
          </w:p>
        </w:tc>
        <w:tc>
          <w:tcPr>
            <w:tcW w:w="6509" w:type="dxa"/>
            <w:tcBorders>
              <w:top w:val="single" w:color="auto" w:sz="2" w:space="0"/>
              <w:left w:val="single" w:color="auto" w:sz="2" w:space="0"/>
              <w:bottom w:val="single" w:color="auto" w:sz="2" w:space="0"/>
              <w:right w:val="single" w:color="auto" w:sz="2" w:space="0"/>
            </w:tcBorders>
            <w:noWrap w:val="0"/>
            <w:vAlign w:val="center"/>
          </w:tcPr>
          <w:p w14:paraId="696D6706">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sz w:val="24"/>
                <w:szCs w:val="24"/>
              </w:rPr>
            </w:pPr>
            <w:bookmarkStart w:id="295" w:name="OLE_LINK29"/>
            <w:r>
              <w:rPr>
                <w:rFonts w:hint="eastAsia" w:ascii="宋体" w:hAnsi="宋体" w:eastAsia="宋体" w:cs="宋体"/>
                <w:sz w:val="24"/>
                <w:szCs w:val="24"/>
              </w:rPr>
              <w:t>（1）根据</w:t>
            </w:r>
            <w:r>
              <w:rPr>
                <w:rFonts w:hint="eastAsia" w:ascii="宋体" w:hAnsi="宋体" w:eastAsia="宋体" w:cs="宋体"/>
                <w:sz w:val="24"/>
                <w:szCs w:val="24"/>
                <w:lang w:eastAsia="zh-CN"/>
              </w:rPr>
              <w:t>谈判文件</w:t>
            </w:r>
            <w:r>
              <w:rPr>
                <w:rFonts w:hint="eastAsia" w:ascii="宋体" w:hAnsi="宋体" w:eastAsia="宋体" w:cs="宋体"/>
                <w:sz w:val="24"/>
                <w:szCs w:val="24"/>
              </w:rPr>
              <w:t>的要求不属于禁止参加</w:t>
            </w:r>
            <w:r>
              <w:rPr>
                <w:rFonts w:hint="eastAsia" w:ascii="宋体" w:hAnsi="宋体" w:eastAsia="宋体" w:cs="宋体"/>
                <w:sz w:val="24"/>
                <w:szCs w:val="24"/>
                <w:lang w:eastAsia="zh-CN"/>
              </w:rPr>
              <w:t>谈判</w:t>
            </w:r>
            <w:r>
              <w:rPr>
                <w:rFonts w:hint="eastAsia" w:ascii="宋体" w:hAnsi="宋体" w:eastAsia="宋体" w:cs="宋体"/>
                <w:sz w:val="24"/>
                <w:szCs w:val="24"/>
              </w:rPr>
              <w:t>采购活动或响应文件无效的供应商；</w:t>
            </w:r>
          </w:p>
          <w:p w14:paraId="1D5EC133">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谈判</w:t>
            </w:r>
            <w:r>
              <w:rPr>
                <w:rFonts w:hint="eastAsia" w:ascii="宋体" w:hAnsi="宋体" w:eastAsia="宋体" w:cs="宋体"/>
                <w:sz w:val="24"/>
                <w:szCs w:val="24"/>
              </w:rPr>
              <w:t>小组未发现或者未知晓供应商存在属于国家相关法律法规规定的禁止参加</w:t>
            </w:r>
            <w:r>
              <w:rPr>
                <w:rFonts w:hint="eastAsia" w:ascii="宋体" w:hAnsi="宋体" w:eastAsia="宋体" w:cs="宋体"/>
                <w:sz w:val="24"/>
                <w:szCs w:val="24"/>
                <w:lang w:eastAsia="zh-CN"/>
              </w:rPr>
              <w:t>谈判</w:t>
            </w:r>
            <w:r>
              <w:rPr>
                <w:rFonts w:hint="eastAsia" w:ascii="宋体" w:hAnsi="宋体" w:eastAsia="宋体" w:cs="宋体"/>
                <w:sz w:val="24"/>
                <w:szCs w:val="24"/>
              </w:rPr>
              <w:t>采购活动或响应文件无效的供应商。</w:t>
            </w:r>
            <w:bookmarkEnd w:id="295"/>
          </w:p>
        </w:tc>
      </w:tr>
      <w:tr w14:paraId="22EE6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Borders>
              <w:top w:val="single" w:color="auto" w:sz="2" w:space="0"/>
              <w:left w:val="single" w:color="auto" w:sz="2" w:space="0"/>
              <w:bottom w:val="single" w:color="auto" w:sz="2" w:space="0"/>
              <w:right w:val="single" w:color="auto" w:sz="2" w:space="0"/>
            </w:tcBorders>
            <w:noWrap w:val="0"/>
            <w:vAlign w:val="center"/>
          </w:tcPr>
          <w:p w14:paraId="765B9ADE">
            <w:pPr>
              <w:keepNext w:val="0"/>
              <w:keepLines w:val="0"/>
              <w:pageBreakBefore w:val="0"/>
              <w:tabs>
                <w:tab w:val="left" w:pos="851"/>
              </w:tabs>
              <w:kinsoku/>
              <w:wordWrap/>
              <w:overflowPunct/>
              <w:topLinePunct w:val="0"/>
              <w:autoSpaceDE/>
              <w:autoSpaceDN/>
              <w:bidi w:val="0"/>
              <w:spacing w:line="560" w:lineRule="exact"/>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8</w:t>
            </w:r>
          </w:p>
        </w:tc>
        <w:tc>
          <w:tcPr>
            <w:tcW w:w="2272" w:type="dxa"/>
            <w:tcBorders>
              <w:top w:val="single" w:color="auto" w:sz="2" w:space="0"/>
              <w:left w:val="single" w:color="auto" w:sz="2" w:space="0"/>
              <w:bottom w:val="single" w:color="auto" w:sz="2" w:space="0"/>
              <w:right w:val="single" w:color="auto" w:sz="2" w:space="0"/>
            </w:tcBorders>
            <w:noWrap w:val="0"/>
            <w:vAlign w:val="center"/>
          </w:tcPr>
          <w:p w14:paraId="73E16F15">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强化政府采购异常低价审查</w:t>
            </w:r>
          </w:p>
        </w:tc>
        <w:tc>
          <w:tcPr>
            <w:tcW w:w="6509" w:type="dxa"/>
            <w:tcBorders>
              <w:top w:val="single" w:color="auto" w:sz="2" w:space="0"/>
              <w:left w:val="single" w:color="auto" w:sz="2" w:space="0"/>
              <w:bottom w:val="single" w:color="auto" w:sz="2" w:space="0"/>
              <w:right w:val="single" w:color="auto" w:sz="2" w:space="0"/>
            </w:tcBorders>
            <w:noWrap w:val="0"/>
            <w:vAlign w:val="center"/>
          </w:tcPr>
          <w:p w14:paraId="34528B66">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政府采购评审中出现下列情形之一的，评审委员会应当启动异常低价投标（响应）审查程序：</w:t>
            </w:r>
          </w:p>
          <w:p w14:paraId="0DB46653">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投标（响应）报价低于全部通过符合性审查供应商投标（响应）报价平均值50%的，即投标（响应）报价&lt;全部通过符合性审查供应商投标（响应）报价平均值×50%；</w:t>
            </w:r>
          </w:p>
          <w:p w14:paraId="0C6D1247">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投标（响应）报价低于通过符合性审查的次低报价供应商投标（响应）报价50%的，即投标（响应）报价&lt;通过符合性审查的次低报价供应商投标（响应）报价×50%；</w:t>
            </w:r>
          </w:p>
          <w:p w14:paraId="6AD70284">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投标（响应）报价低于采购项目最高限价45%的，即投标（响应）报价&lt;采购项目最高限价×45%；</w:t>
            </w:r>
          </w:p>
          <w:p w14:paraId="2E6C9624">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 4.评审委员会基于专业判断，认为供应商报价过低，有可能影响产品质量或者不能诚信履约的其他情形。</w:t>
            </w:r>
          </w:p>
          <w:p w14:paraId="4F07306D">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0F608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Borders>
              <w:top w:val="single" w:color="auto" w:sz="2" w:space="0"/>
              <w:left w:val="single" w:color="auto" w:sz="2" w:space="0"/>
              <w:bottom w:val="single" w:color="auto" w:sz="2" w:space="0"/>
              <w:right w:val="single" w:color="auto" w:sz="2" w:space="0"/>
            </w:tcBorders>
            <w:noWrap w:val="0"/>
            <w:vAlign w:val="center"/>
          </w:tcPr>
          <w:p w14:paraId="71A0A128">
            <w:pPr>
              <w:keepNext w:val="0"/>
              <w:keepLines w:val="0"/>
              <w:pageBreakBefore w:val="0"/>
              <w:tabs>
                <w:tab w:val="left" w:pos="851"/>
              </w:tabs>
              <w:kinsoku/>
              <w:wordWrap/>
              <w:overflowPunct/>
              <w:topLinePunct w:val="0"/>
              <w:autoSpaceDE/>
              <w:autoSpaceDN/>
              <w:bidi w:val="0"/>
              <w:spacing w:line="560" w:lineRule="exact"/>
              <w:jc w:val="center"/>
              <w:textAlignment w:val="auto"/>
              <w:rPr>
                <w:rFonts w:hint="eastAsia" w:ascii="宋体" w:hAnsi="宋体" w:eastAsia="宋体" w:cs="宋体"/>
                <w:sz w:val="24"/>
                <w:szCs w:val="24"/>
                <w:lang w:eastAsia="zh-CN"/>
              </w:rPr>
            </w:pPr>
            <w:r>
              <w:rPr>
                <w:rFonts w:hint="eastAsia" w:ascii="宋体" w:hAnsi="宋体" w:cs="宋体"/>
                <w:sz w:val="24"/>
                <w:szCs w:val="24"/>
                <w:lang w:val="en-US" w:eastAsia="zh-CN"/>
              </w:rPr>
              <w:t>9</w:t>
            </w:r>
          </w:p>
        </w:tc>
        <w:tc>
          <w:tcPr>
            <w:tcW w:w="2272" w:type="dxa"/>
            <w:tcBorders>
              <w:top w:val="single" w:color="auto" w:sz="2" w:space="0"/>
              <w:left w:val="single" w:color="auto" w:sz="2" w:space="0"/>
              <w:bottom w:val="single" w:color="auto" w:sz="2" w:space="0"/>
              <w:right w:val="single" w:color="auto" w:sz="2" w:space="0"/>
            </w:tcBorders>
            <w:noWrap w:val="0"/>
            <w:vAlign w:val="center"/>
          </w:tcPr>
          <w:p w14:paraId="771DE710">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sz w:val="24"/>
                <w:szCs w:val="24"/>
              </w:rPr>
            </w:pPr>
            <w:bookmarkStart w:id="296" w:name="OLE_LINK30"/>
            <w:r>
              <w:rPr>
                <w:rFonts w:hint="eastAsia" w:ascii="宋体" w:hAnsi="宋体" w:eastAsia="宋体" w:cs="宋体"/>
                <w:sz w:val="24"/>
                <w:szCs w:val="24"/>
              </w:rPr>
              <w:t>除资格性审查要求的证明材料外，</w:t>
            </w:r>
            <w:r>
              <w:rPr>
                <w:rFonts w:hint="eastAsia" w:ascii="宋体" w:hAnsi="宋体" w:eastAsia="宋体" w:cs="宋体"/>
                <w:sz w:val="24"/>
                <w:szCs w:val="24"/>
                <w:lang w:eastAsia="zh-CN"/>
              </w:rPr>
              <w:t>谈判文件</w:t>
            </w:r>
            <w:r>
              <w:rPr>
                <w:rFonts w:hint="eastAsia" w:ascii="宋体" w:hAnsi="宋体" w:eastAsia="宋体" w:cs="宋体"/>
                <w:sz w:val="24"/>
                <w:szCs w:val="24"/>
              </w:rPr>
              <w:t>要求提供的其他证明材料</w:t>
            </w:r>
            <w:bookmarkEnd w:id="296"/>
          </w:p>
        </w:tc>
        <w:tc>
          <w:tcPr>
            <w:tcW w:w="6509" w:type="dxa"/>
            <w:tcBorders>
              <w:top w:val="single" w:color="auto" w:sz="2" w:space="0"/>
              <w:left w:val="single" w:color="auto" w:sz="2" w:space="0"/>
              <w:bottom w:val="single" w:color="auto" w:sz="2" w:space="0"/>
              <w:right w:val="single" w:color="auto" w:sz="2" w:space="0"/>
            </w:tcBorders>
            <w:noWrap w:val="0"/>
            <w:vAlign w:val="center"/>
          </w:tcPr>
          <w:p w14:paraId="0B59FE4C">
            <w:pPr>
              <w:keepNext w:val="0"/>
              <w:keepLines w:val="0"/>
              <w:pageBreakBefore w:val="0"/>
              <w:tabs>
                <w:tab w:val="left" w:pos="851"/>
              </w:tabs>
              <w:kinsoku/>
              <w:wordWrap/>
              <w:overflowPunct/>
              <w:topLinePunct w:val="0"/>
              <w:autoSpaceDE/>
              <w:autoSpaceDN/>
              <w:bidi w:val="0"/>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无</w:t>
            </w:r>
          </w:p>
        </w:tc>
      </w:tr>
    </w:tbl>
    <w:p w14:paraId="0C2334B6">
      <w:pPr>
        <w:pStyle w:val="68"/>
        <w:keepNext w:val="0"/>
        <w:keepLines w:val="0"/>
        <w:pageBreakBefore w:val="0"/>
        <w:widowControl w:val="0"/>
        <w:numPr>
          <w:ilvl w:val="0"/>
          <w:numId w:val="0"/>
        </w:numPr>
        <w:tabs>
          <w:tab w:val="left" w:pos="1134"/>
          <w:tab w:val="left" w:pos="1276"/>
          <w:tab w:val="left" w:pos="1418"/>
        </w:tabs>
        <w:kinsoku/>
        <w:wordWrap/>
        <w:overflowPunct/>
        <w:topLinePunct w:val="0"/>
        <w:autoSpaceDE/>
        <w:autoSpaceDN/>
        <w:bidi w:val="0"/>
        <w:snapToGrid w:val="0"/>
        <w:spacing w:line="56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注：</w:t>
      </w:r>
      <w:r>
        <w:rPr>
          <w:rFonts w:hint="eastAsia" w:ascii="宋体" w:hAnsi="宋体" w:cs="宋体"/>
          <w:sz w:val="24"/>
          <w:szCs w:val="24"/>
          <w:lang w:val="en-US" w:eastAsia="zh-CN"/>
        </w:rPr>
        <w:t>1.</w:t>
      </w:r>
      <w:r>
        <w:rPr>
          <w:rFonts w:hint="eastAsia" w:ascii="宋体" w:hAnsi="宋体" w:eastAsia="宋体" w:cs="宋体"/>
          <w:sz w:val="24"/>
          <w:szCs w:val="24"/>
        </w:rPr>
        <w:t>以上每一项结论均为“符合”的，则供应商的响应文件通过符合性审查，才能允许其参加报价；如有任意一项结论为“不符合”的，则供应商的响应文件按无效响应文件处理，不允许其参加报价。</w:t>
      </w:r>
    </w:p>
    <w:p w14:paraId="54215210">
      <w:pPr>
        <w:keepNext w:val="0"/>
        <w:keepLines w:val="0"/>
        <w:pageBreakBefore w:val="0"/>
        <w:widowControl w:val="0"/>
        <w:numPr>
          <w:ilvl w:val="0"/>
          <w:numId w:val="36"/>
        </w:numPr>
        <w:tabs>
          <w:tab w:val="left" w:pos="1134"/>
          <w:tab w:val="left" w:pos="1276"/>
          <w:tab w:val="left" w:pos="1418"/>
        </w:tabs>
        <w:kinsoku/>
        <w:wordWrap/>
        <w:overflowPunct/>
        <w:topLinePunct w:val="0"/>
        <w:autoSpaceDE/>
        <w:autoSpaceDN/>
        <w:bidi w:val="0"/>
        <w:snapToGrid w:val="0"/>
        <w:spacing w:line="560" w:lineRule="exact"/>
        <w:ind w:leftChars="200"/>
        <w:jc w:val="both"/>
        <w:textAlignment w:val="auto"/>
        <w:rPr>
          <w:rFonts w:hint="eastAsia" w:ascii="宋体" w:hAnsi="宋体" w:eastAsia="宋体" w:cs="宋体"/>
          <w:sz w:val="24"/>
          <w:szCs w:val="24"/>
        </w:rPr>
      </w:pPr>
      <w:r>
        <w:rPr>
          <w:rFonts w:hint="eastAsia" w:ascii="宋体" w:hAnsi="宋体" w:eastAsia="宋体" w:cs="宋体"/>
          <w:sz w:val="24"/>
          <w:szCs w:val="24"/>
        </w:rPr>
        <w:t>没有通过符合性审查的供应商，</w:t>
      </w:r>
      <w:r>
        <w:rPr>
          <w:rFonts w:hint="eastAsia" w:ascii="宋体" w:hAnsi="宋体" w:eastAsia="宋体" w:cs="宋体"/>
          <w:sz w:val="24"/>
          <w:szCs w:val="24"/>
          <w:lang w:eastAsia="zh-CN"/>
        </w:rPr>
        <w:t>谈判</w:t>
      </w:r>
      <w:r>
        <w:rPr>
          <w:rFonts w:hint="eastAsia" w:ascii="宋体" w:hAnsi="宋体" w:eastAsia="宋体" w:cs="宋体"/>
          <w:sz w:val="24"/>
          <w:szCs w:val="24"/>
        </w:rPr>
        <w:t>小组应当在</w:t>
      </w:r>
      <w:r>
        <w:rPr>
          <w:rFonts w:hint="eastAsia" w:ascii="宋体" w:hAnsi="宋体" w:eastAsia="宋体" w:cs="宋体"/>
          <w:sz w:val="24"/>
          <w:szCs w:val="24"/>
          <w:lang w:val="en-US" w:eastAsia="zh-CN"/>
        </w:rPr>
        <w:t>评审系统</w:t>
      </w:r>
      <w:r>
        <w:rPr>
          <w:rFonts w:hint="eastAsia" w:ascii="宋体" w:hAnsi="宋体" w:eastAsia="宋体" w:cs="宋体"/>
          <w:sz w:val="24"/>
          <w:szCs w:val="24"/>
        </w:rPr>
        <w:t>中载明不通过的原因。</w:t>
      </w:r>
    </w:p>
    <w:p w14:paraId="65ADD06E">
      <w:pPr>
        <w:keepNext w:val="0"/>
        <w:keepLines w:val="0"/>
        <w:pageBreakBefore w:val="0"/>
        <w:widowControl w:val="0"/>
        <w:numPr>
          <w:ilvl w:val="0"/>
          <w:numId w:val="0"/>
        </w:numPr>
        <w:tabs>
          <w:tab w:val="left" w:pos="1134"/>
          <w:tab w:val="left" w:pos="1276"/>
          <w:tab w:val="left" w:pos="1418"/>
        </w:tabs>
        <w:kinsoku/>
        <w:wordWrap/>
        <w:overflowPunct/>
        <w:topLinePunct w:val="0"/>
        <w:autoSpaceDE/>
        <w:autoSpaceDN/>
        <w:bidi w:val="0"/>
        <w:snapToGrid w:val="0"/>
        <w:spacing w:line="56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通过符合性审查的供应商不足三家的，采购失败。</w:t>
      </w:r>
    </w:p>
    <w:p w14:paraId="3B623B3F">
      <w:pPr>
        <w:keepNext w:val="0"/>
        <w:keepLines w:val="0"/>
        <w:pageBreakBefore w:val="0"/>
        <w:kinsoku/>
        <w:wordWrap/>
        <w:overflowPunct/>
        <w:topLinePunct w:val="0"/>
        <w:autoSpaceDE/>
        <w:autoSpaceDN/>
        <w:bidi w:val="0"/>
        <w:adjustRightInd w:val="0"/>
        <w:snapToGrid w:val="0"/>
        <w:spacing w:line="560" w:lineRule="exact"/>
        <w:textAlignment w:val="auto"/>
        <w:rPr>
          <w:rFonts w:hint="eastAsia" w:ascii="宋体" w:hAnsi="宋体" w:eastAsia="宋体" w:cs="宋体"/>
          <w:b w:val="0"/>
          <w:bCs w:val="0"/>
          <w:color w:val="000000"/>
          <w:sz w:val="24"/>
          <w:szCs w:val="24"/>
          <w:highlight w:val="none"/>
          <w:lang w:val="en-US" w:eastAsia="zh-CN"/>
        </w:rPr>
      </w:pPr>
    </w:p>
    <w:p w14:paraId="4EB4E47B">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2.4 无效响应情况</w:t>
      </w:r>
    </w:p>
    <w:p w14:paraId="63CA43DE">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在比较与评价之前，谈判小组要审查每份响应文件是否实质上响应了竞争性谈判文件的要求，未实质性响应谈判文件的响应文件按无效响应处理。</w:t>
      </w:r>
    </w:p>
    <w:p w14:paraId="1848CA3C">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如发现下列情况之一的，其响应将被认定为无效响应：</w:t>
      </w:r>
    </w:p>
    <w:p w14:paraId="068E5F94">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2.4.1未按照谈判文件规定要求签署、盖章的；</w:t>
      </w:r>
    </w:p>
    <w:p w14:paraId="1ED00406">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2.4.2未满足谈判文件商务和技术条款的实质性要求的；</w:t>
      </w:r>
    </w:p>
    <w:p w14:paraId="6304E0A7">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2.4.3违反谈判文件规定提供进口产品的；</w:t>
      </w:r>
    </w:p>
    <w:p w14:paraId="2F88627F">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2.4.4未按谈判文件规定提供政府强制采购节能产品的认证证明材料的；</w:t>
      </w:r>
    </w:p>
    <w:p w14:paraId="3F5D2266">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2.4.5报价超过项目预算或最高限价的；</w:t>
      </w:r>
    </w:p>
    <w:p w14:paraId="2FEA4693">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2.4.6响应有效期不足的；</w:t>
      </w:r>
    </w:p>
    <w:p w14:paraId="0C873E10">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2.4.7联合体响应文件未附联合体响应协议书的；</w:t>
      </w:r>
    </w:p>
    <w:p w14:paraId="1CCB09DC">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2.4.8不符合谈判文件中有关分包规定的；</w:t>
      </w:r>
    </w:p>
    <w:p w14:paraId="684E34CD">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2.4.9属于串通响应，或者依法被视为串通响应；</w:t>
      </w:r>
    </w:p>
    <w:p w14:paraId="2F9C7BEB">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2.4.10响应文件含有采购人不能接受的附加条件的；</w:t>
      </w:r>
    </w:p>
    <w:p w14:paraId="08F3FF57">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2.4.11属于谈判文件规定的其他无效响应情形的；</w:t>
      </w:r>
    </w:p>
    <w:p w14:paraId="4B8D3636">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2.4.12不符合法规和谈判文件中规定的其他实质性要求的。</w:t>
      </w:r>
    </w:p>
    <w:p w14:paraId="3D06EBD1">
      <w:pPr>
        <w:pStyle w:val="9"/>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2.5 澄清有关问题</w:t>
      </w:r>
    </w:p>
    <w:p w14:paraId="0AE57C30">
      <w:pPr>
        <w:pStyle w:val="9"/>
        <w:keepNext w:val="0"/>
        <w:keepLines w:val="0"/>
        <w:pageBreakBefore w:val="0"/>
        <w:kinsoku/>
        <w:wordWrap/>
        <w:overflowPunct/>
        <w:topLinePunct w:val="0"/>
        <w:autoSpaceDE/>
        <w:autoSpaceDN/>
        <w:bidi w:val="0"/>
        <w:spacing w:line="56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要求供应商澄清、说明或者更正响应文件应当以书面形式作出。供应商的澄清、说明或者更正应当由</w:t>
      </w:r>
      <w:r>
        <w:rPr>
          <w:rFonts w:hint="eastAsia" w:ascii="宋体" w:hAnsi="宋体" w:eastAsia="宋体" w:cs="宋体"/>
          <w:bCs/>
          <w:color w:val="000000"/>
          <w:sz w:val="24"/>
          <w:szCs w:val="24"/>
        </w:rPr>
        <w:t>法定代表人/主要负责人/本人或其授权代表</w:t>
      </w:r>
      <w:r>
        <w:rPr>
          <w:rFonts w:hint="eastAsia" w:ascii="宋体" w:hAnsi="宋体" w:eastAsia="宋体" w:cs="宋体"/>
          <w:bCs/>
          <w:color w:val="000000"/>
          <w:sz w:val="24"/>
          <w:szCs w:val="24"/>
          <w:highlight w:val="none"/>
        </w:rPr>
        <w:t>签字或者加盖公章</w:t>
      </w:r>
      <w:r>
        <w:rPr>
          <w:rFonts w:hint="eastAsia" w:ascii="宋体" w:hAnsi="宋体" w:eastAsia="宋体" w:cs="宋体"/>
          <w:sz w:val="24"/>
          <w:szCs w:val="24"/>
          <w:lang w:val="en-US" w:eastAsia="zh-CN"/>
        </w:rPr>
        <w:t>。由授权代表签字的，应当附法定代表人授权书。供应商为自然人的，应当由本人签字并附身份证明。</w:t>
      </w:r>
    </w:p>
    <w:p w14:paraId="2668F553">
      <w:pPr>
        <w:pStyle w:val="7"/>
        <w:pageBreakBefore w:val="0"/>
        <w:kinsoku/>
        <w:wordWrap/>
        <w:overflowPunct/>
        <w:topLinePunct w:val="0"/>
        <w:autoSpaceDE/>
        <w:autoSpaceDN/>
        <w:bidi w:val="0"/>
        <w:spacing w:before="0" w:after="0" w:line="560" w:lineRule="exact"/>
        <w:textAlignment w:val="auto"/>
        <w:rPr>
          <w:rFonts w:hint="eastAsia" w:ascii="宋体" w:hAnsi="宋体" w:eastAsia="宋体" w:cs="宋体"/>
          <w:b/>
          <w:bCs/>
          <w:sz w:val="24"/>
          <w:szCs w:val="24"/>
          <w:lang w:val="en-US" w:eastAsia="zh-CN"/>
        </w:rPr>
      </w:pPr>
      <w:bookmarkStart w:id="297" w:name="_Toc399"/>
      <w:r>
        <w:rPr>
          <w:rFonts w:hint="eastAsia" w:ascii="宋体" w:hAnsi="宋体" w:eastAsia="宋体" w:cs="宋体"/>
          <w:b/>
          <w:bCs/>
          <w:sz w:val="24"/>
          <w:szCs w:val="24"/>
          <w:lang w:val="en-US" w:eastAsia="zh-CN"/>
        </w:rPr>
        <w:t>3.谈判</w:t>
      </w:r>
      <w:bookmarkEnd w:id="297"/>
    </w:p>
    <w:p w14:paraId="0F8A52AD">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Cs/>
          <w:color w:val="000000"/>
          <w:kern w:val="2"/>
          <w:sz w:val="24"/>
          <w:szCs w:val="24"/>
          <w:lang w:val="en-US" w:eastAsia="zh-CN" w:bidi="ar-SA"/>
        </w:rPr>
      </w:pPr>
      <w:r>
        <w:rPr>
          <w:rFonts w:hint="eastAsia" w:ascii="宋体" w:hAnsi="宋体" w:eastAsia="宋体" w:cs="宋体"/>
          <w:bCs/>
          <w:color w:val="000000"/>
          <w:kern w:val="2"/>
          <w:sz w:val="24"/>
          <w:szCs w:val="24"/>
          <w:lang w:val="en-US" w:eastAsia="zh-CN" w:bidi="ar-SA"/>
        </w:rPr>
        <w:t>谈判小组应当对响应文件进行评审，并根据谈判文件规定的程序、评定成交的标准等事项与实质性响应谈判文件要求的供应商进行谈判。未实质性响应谈判文件的响应文件按无效处理，谈判小组应当告知有关供应商。</w:t>
      </w:r>
    </w:p>
    <w:p w14:paraId="3E4C2A15">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Cs/>
          <w:color w:val="000000"/>
          <w:kern w:val="2"/>
          <w:sz w:val="24"/>
          <w:szCs w:val="24"/>
          <w:lang w:val="en-US" w:eastAsia="zh-CN" w:bidi="ar-SA"/>
        </w:rPr>
      </w:pPr>
      <w:r>
        <w:rPr>
          <w:rFonts w:hint="eastAsia" w:ascii="宋体" w:hAnsi="宋体" w:eastAsia="宋体" w:cs="宋体"/>
          <w:bCs/>
          <w:color w:val="000000"/>
          <w:kern w:val="2"/>
          <w:sz w:val="24"/>
          <w:szCs w:val="24"/>
          <w:lang w:val="en-US" w:eastAsia="zh-CN" w:bidi="ar-SA"/>
        </w:rPr>
        <w:t>3.1 谈判小组所有成员与单一供应商分别进行一轮或多轮谈判，并给予所有参加谈判的供应商平等的谈判机会。谈判顺序由谈判小组确定。</w:t>
      </w:r>
    </w:p>
    <w:p w14:paraId="4925F4E8">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Cs/>
          <w:color w:val="000000"/>
          <w:kern w:val="2"/>
          <w:sz w:val="24"/>
          <w:szCs w:val="24"/>
          <w:lang w:val="en-US" w:eastAsia="zh-CN" w:bidi="ar-SA"/>
        </w:rPr>
      </w:pPr>
      <w:r>
        <w:rPr>
          <w:rFonts w:hint="eastAsia" w:ascii="宋体" w:hAnsi="宋体" w:eastAsia="宋体" w:cs="宋体"/>
          <w:bCs/>
          <w:color w:val="000000"/>
          <w:kern w:val="2"/>
          <w:sz w:val="24"/>
          <w:szCs w:val="24"/>
          <w:lang w:val="en-US" w:eastAsia="zh-CN" w:bidi="ar-SA"/>
        </w:rPr>
        <w:t>3.2 在谈判过程中，谈判小组可以根据谈判文件和谈判情况实质性变动采购需求中的技术、服务要求以及合同草案条款，但不得变动谈判文件中的其他内容。实质性变动的内容，须经采购人代表确认，谈判小组应当及时以书面形式同时通知所有参加谈判的供应商，并要求其重新提交由法定代表人/主要负责人/本人或其授权代表签字或者加盖公章的响应文件。由其授权代表签字的，应当附法定代表人授权书。供应商为自然人的，应当由本人签字并附身份证明。</w:t>
      </w:r>
    </w:p>
    <w:p w14:paraId="25D7C2F8">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Cs/>
          <w:color w:val="000000"/>
          <w:kern w:val="2"/>
          <w:sz w:val="24"/>
          <w:szCs w:val="24"/>
          <w:lang w:val="en-US" w:eastAsia="zh-CN" w:bidi="ar-SA"/>
        </w:rPr>
      </w:pPr>
      <w:r>
        <w:rPr>
          <w:rFonts w:hint="eastAsia" w:ascii="宋体" w:hAnsi="宋体" w:eastAsia="宋体" w:cs="宋体"/>
          <w:bCs/>
          <w:color w:val="000000"/>
          <w:kern w:val="2"/>
          <w:sz w:val="24"/>
          <w:szCs w:val="24"/>
          <w:lang w:val="en-US" w:eastAsia="zh-CN" w:bidi="ar-SA"/>
        </w:rPr>
        <w:t>3.3 谈判过程中，谈判小组可以根据谈判情况调整谈判轮次。</w:t>
      </w:r>
    </w:p>
    <w:p w14:paraId="3DA81147">
      <w:pPr>
        <w:pStyle w:val="2"/>
        <w:pageBreakBefore w:val="0"/>
        <w:kinsoku/>
        <w:wordWrap/>
        <w:overflowPunct/>
        <w:topLinePunct w:val="0"/>
        <w:autoSpaceDE/>
        <w:autoSpaceDN/>
        <w:bidi w:val="0"/>
        <w:spacing w:line="560" w:lineRule="exact"/>
        <w:ind w:left="0" w:leftChars="0" w:firstLine="480" w:firstLineChars="200"/>
        <w:textAlignment w:val="auto"/>
        <w:rPr>
          <w:rFonts w:hint="eastAsia" w:ascii="宋体" w:hAnsi="宋体" w:eastAsia="宋体" w:cs="宋体"/>
          <w:bCs/>
          <w:color w:val="000000"/>
          <w:kern w:val="2"/>
          <w:sz w:val="24"/>
          <w:szCs w:val="24"/>
          <w:lang w:val="en-US" w:eastAsia="zh-CN" w:bidi="ar-SA"/>
        </w:rPr>
      </w:pPr>
      <w:r>
        <w:rPr>
          <w:rFonts w:hint="eastAsia" w:ascii="宋体" w:hAnsi="宋体" w:eastAsia="宋体" w:cs="宋体"/>
          <w:bCs/>
          <w:color w:val="000000"/>
          <w:kern w:val="2"/>
          <w:sz w:val="24"/>
          <w:szCs w:val="24"/>
          <w:lang w:val="en-US" w:eastAsia="zh-CN" w:bidi="ar-SA"/>
        </w:rPr>
        <w:t>3.4 谈判过程中，谈判的任何一方不得透露与谈判有关的其他供应商的技术资料、价格和其他信息。</w:t>
      </w:r>
    </w:p>
    <w:p w14:paraId="6163F734">
      <w:pPr>
        <w:pStyle w:val="2"/>
        <w:pageBreakBefore w:val="0"/>
        <w:kinsoku/>
        <w:wordWrap/>
        <w:overflowPunct/>
        <w:topLinePunct w:val="0"/>
        <w:autoSpaceDE/>
        <w:autoSpaceDN/>
        <w:bidi w:val="0"/>
        <w:spacing w:line="560" w:lineRule="exact"/>
        <w:ind w:left="0" w:leftChars="0" w:firstLine="480" w:firstLineChars="200"/>
        <w:textAlignment w:val="auto"/>
        <w:rPr>
          <w:rFonts w:hint="eastAsia" w:ascii="宋体" w:hAnsi="宋体" w:eastAsia="宋体" w:cs="宋体"/>
          <w:bCs/>
          <w:color w:val="000000"/>
          <w:kern w:val="2"/>
          <w:sz w:val="24"/>
          <w:szCs w:val="24"/>
          <w:lang w:val="en-US" w:eastAsia="zh-CN" w:bidi="ar-SA"/>
        </w:rPr>
      </w:pPr>
      <w:r>
        <w:rPr>
          <w:rFonts w:hint="eastAsia" w:ascii="宋体" w:hAnsi="宋体" w:eastAsia="宋体" w:cs="宋体"/>
          <w:bCs/>
          <w:color w:val="000000"/>
          <w:kern w:val="2"/>
          <w:sz w:val="24"/>
          <w:szCs w:val="24"/>
          <w:lang w:val="en-US" w:eastAsia="zh-CN" w:bidi="ar-SA"/>
        </w:rPr>
        <w:t>3.5 谈判过程中，谈判小组发现或者知晓供应商存在违法行为的，应当评审报告中予以记录，并向财政部门报告，依法应将该供应商响应文件作无效处理的，应当作无效处理。</w:t>
      </w:r>
    </w:p>
    <w:p w14:paraId="5B4C9ECE">
      <w:pPr>
        <w:pStyle w:val="7"/>
        <w:pageBreakBefore w:val="0"/>
        <w:kinsoku/>
        <w:wordWrap/>
        <w:overflowPunct/>
        <w:topLinePunct w:val="0"/>
        <w:autoSpaceDE/>
        <w:autoSpaceDN/>
        <w:bidi w:val="0"/>
        <w:spacing w:before="0" w:after="0" w:line="560" w:lineRule="exact"/>
        <w:textAlignment w:val="auto"/>
        <w:rPr>
          <w:rFonts w:hint="eastAsia" w:ascii="宋体" w:hAnsi="宋体" w:eastAsia="宋体" w:cs="宋体"/>
          <w:b/>
          <w:bCs/>
          <w:sz w:val="24"/>
          <w:szCs w:val="24"/>
          <w:lang w:val="en-US" w:eastAsia="zh-CN"/>
        </w:rPr>
      </w:pPr>
      <w:bookmarkStart w:id="298" w:name="_Toc24259"/>
      <w:r>
        <w:rPr>
          <w:rFonts w:hint="eastAsia" w:ascii="宋体" w:hAnsi="宋体" w:eastAsia="宋体" w:cs="宋体"/>
          <w:b/>
          <w:bCs/>
          <w:sz w:val="24"/>
          <w:szCs w:val="24"/>
          <w:lang w:val="en-US" w:eastAsia="zh-CN"/>
        </w:rPr>
        <w:t>4.供应商提交最后报价</w:t>
      </w:r>
      <w:bookmarkEnd w:id="298"/>
    </w:p>
    <w:p w14:paraId="67AA92FB">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4.1 </w:t>
      </w:r>
      <w:r>
        <w:rPr>
          <w:rFonts w:hint="eastAsia" w:ascii="宋体" w:hAnsi="宋体" w:eastAsia="宋体" w:cs="宋体"/>
          <w:sz w:val="24"/>
          <w:szCs w:val="24"/>
        </w:rPr>
        <w:t>谈判文件能够详细列明采购标的的技术、服务要求的，谈判结束后，谈判小组应当要求所有继续参加谈判的供应商在规定时间内提交最后报价，提交最后报价的供应商不得少于3家。</w:t>
      </w:r>
    </w:p>
    <w:p w14:paraId="7B509BF7">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4.2 </w:t>
      </w:r>
      <w:r>
        <w:rPr>
          <w:rFonts w:hint="eastAsia" w:ascii="宋体" w:hAnsi="宋体" w:eastAsia="宋体" w:cs="宋体"/>
          <w:sz w:val="24"/>
          <w:szCs w:val="24"/>
        </w:rPr>
        <w:t>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p>
    <w:p w14:paraId="676E7298">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4.3 </w:t>
      </w:r>
      <w:r>
        <w:rPr>
          <w:rFonts w:hint="eastAsia" w:ascii="宋体" w:hAnsi="宋体" w:eastAsia="宋体" w:cs="宋体"/>
          <w:sz w:val="24"/>
          <w:szCs w:val="24"/>
        </w:rPr>
        <w:t>已提交响应文件的供应商，供应商在提交最后报价之前，可以</w:t>
      </w:r>
      <w:r>
        <w:rPr>
          <w:rFonts w:hint="eastAsia" w:ascii="宋体" w:hAnsi="宋体" w:eastAsia="宋体" w:cs="宋体"/>
          <w:sz w:val="24"/>
          <w:szCs w:val="24"/>
          <w:highlight w:val="none"/>
        </w:rPr>
        <w:t>根据谈判情况退出谈判。对于未在</w:t>
      </w:r>
      <w:r>
        <w:rPr>
          <w:rFonts w:hint="eastAsia" w:ascii="宋体" w:hAnsi="宋体" w:eastAsia="宋体" w:cs="宋体"/>
          <w:sz w:val="24"/>
          <w:szCs w:val="24"/>
          <w:highlight w:val="none"/>
          <w:lang w:val="en-US" w:eastAsia="zh-CN"/>
        </w:rPr>
        <w:t>规定时间</w:t>
      </w:r>
      <w:r>
        <w:rPr>
          <w:rFonts w:hint="eastAsia" w:ascii="宋体" w:hAnsi="宋体" w:eastAsia="宋体" w:cs="宋体"/>
          <w:sz w:val="24"/>
          <w:szCs w:val="24"/>
          <w:highlight w:val="none"/>
        </w:rPr>
        <w:t>内提交最后报价</w:t>
      </w:r>
      <w:r>
        <w:rPr>
          <w:rFonts w:hint="eastAsia" w:ascii="宋体" w:hAnsi="宋体" w:eastAsia="宋体" w:cs="宋体"/>
          <w:sz w:val="24"/>
          <w:szCs w:val="24"/>
          <w:highlight w:val="none"/>
          <w:lang w:val="en-US" w:eastAsia="zh-CN"/>
        </w:rPr>
        <w:t>的供应商，</w:t>
      </w:r>
      <w:r>
        <w:rPr>
          <w:rFonts w:hint="eastAsia" w:ascii="宋体" w:hAnsi="宋体" w:eastAsia="宋体" w:cs="宋体"/>
          <w:sz w:val="24"/>
          <w:szCs w:val="24"/>
          <w:highlight w:val="none"/>
        </w:rPr>
        <w:t>视为其退出谈判。退出谈判的供应商，</w:t>
      </w:r>
      <w:r>
        <w:rPr>
          <w:rFonts w:hint="eastAsia" w:ascii="宋体" w:hAnsi="宋体" w:eastAsia="宋体" w:cs="宋体"/>
          <w:sz w:val="24"/>
          <w:szCs w:val="24"/>
          <w:highlight w:val="none"/>
          <w:lang w:val="en-US" w:eastAsia="zh-CN"/>
        </w:rPr>
        <w:t>其响应文件无效</w:t>
      </w:r>
      <w:r>
        <w:rPr>
          <w:rFonts w:hint="eastAsia" w:ascii="宋体" w:hAnsi="宋体" w:eastAsia="宋体" w:cs="宋体"/>
          <w:sz w:val="24"/>
          <w:szCs w:val="24"/>
          <w:highlight w:val="none"/>
        </w:rPr>
        <w:t>。最后报价一旦提交后，供应商不得以任何理由撤回。</w:t>
      </w:r>
    </w:p>
    <w:p w14:paraId="51E8EE45">
      <w:pPr>
        <w:pStyle w:val="2"/>
        <w:pageBreakBefore w:val="0"/>
        <w:kinsoku/>
        <w:wordWrap/>
        <w:overflowPunct/>
        <w:topLinePunct w:val="0"/>
        <w:autoSpaceDE/>
        <w:autoSpaceDN/>
        <w:bidi w:val="0"/>
        <w:spacing w:line="560" w:lineRule="exact"/>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4.4 最后报价为有效报价应符合下列条件：</w:t>
      </w:r>
    </w:p>
    <w:p w14:paraId="06BB8E34">
      <w:pPr>
        <w:pStyle w:val="2"/>
        <w:pageBreakBefore w:val="0"/>
        <w:kinsoku/>
        <w:wordWrap/>
        <w:overflowPunct/>
        <w:topLinePunct w:val="0"/>
        <w:autoSpaceDE/>
        <w:autoSpaceDN/>
        <w:bidi w:val="0"/>
        <w:spacing w:line="560" w:lineRule="exact"/>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4.4.1供应商所提供</w:t>
      </w:r>
      <w:r>
        <w:rPr>
          <w:rFonts w:hint="eastAsia" w:ascii="宋体" w:hAnsi="宋体" w:eastAsia="宋体" w:cs="宋体"/>
          <w:sz w:val="24"/>
          <w:szCs w:val="24"/>
          <w:highlight w:val="none"/>
          <w:lang w:val="en-US" w:eastAsia="zh-CN"/>
        </w:rPr>
        <w:t>的最后报价以及最后报价明细表（若有）在规</w:t>
      </w:r>
      <w:r>
        <w:rPr>
          <w:rFonts w:hint="eastAsia" w:ascii="宋体" w:hAnsi="宋体" w:eastAsia="宋体" w:cs="宋体"/>
          <w:sz w:val="24"/>
          <w:szCs w:val="24"/>
          <w:lang w:val="en-US" w:eastAsia="zh-CN"/>
        </w:rPr>
        <w:t>定的时间内提交。</w:t>
      </w:r>
    </w:p>
    <w:p w14:paraId="0B44D4D4">
      <w:pPr>
        <w:pStyle w:val="2"/>
        <w:pageBreakBefore w:val="0"/>
        <w:kinsoku/>
        <w:wordWrap/>
        <w:overflowPunct/>
        <w:topLinePunct w:val="0"/>
        <w:autoSpaceDE/>
        <w:autoSpaceDN/>
        <w:bidi w:val="0"/>
        <w:spacing w:line="560" w:lineRule="exact"/>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4.4.2供应商的最</w:t>
      </w:r>
      <w:r>
        <w:rPr>
          <w:rFonts w:hint="eastAsia" w:ascii="宋体" w:hAnsi="宋体" w:eastAsia="宋体" w:cs="宋体"/>
          <w:sz w:val="24"/>
          <w:szCs w:val="24"/>
          <w:highlight w:val="none"/>
          <w:lang w:val="en-US" w:eastAsia="zh-CN"/>
        </w:rPr>
        <w:t>后报价应由</w:t>
      </w:r>
      <w:r>
        <w:rPr>
          <w:rFonts w:hint="eastAsia" w:ascii="宋体" w:hAnsi="宋体" w:eastAsia="宋体" w:cs="宋体"/>
          <w:bCs/>
          <w:color w:val="000000"/>
          <w:sz w:val="24"/>
          <w:szCs w:val="24"/>
        </w:rPr>
        <w:t>法定代表人/主要负责人/本人或其授权代表</w:t>
      </w:r>
      <w:r>
        <w:rPr>
          <w:rFonts w:hint="eastAsia" w:ascii="宋体" w:hAnsi="宋体" w:eastAsia="宋体" w:cs="宋体"/>
          <w:bCs/>
          <w:color w:val="000000"/>
          <w:sz w:val="24"/>
          <w:szCs w:val="24"/>
          <w:highlight w:val="none"/>
        </w:rPr>
        <w:t>签字或者加盖公章</w:t>
      </w:r>
      <w:r>
        <w:rPr>
          <w:rFonts w:hint="eastAsia" w:ascii="宋体" w:hAnsi="宋体" w:eastAsia="宋体" w:cs="宋体"/>
          <w:sz w:val="24"/>
          <w:szCs w:val="24"/>
          <w:highlight w:val="none"/>
          <w:lang w:val="en-US" w:eastAsia="zh-CN"/>
        </w:rPr>
        <w:t>。</w:t>
      </w:r>
    </w:p>
    <w:p w14:paraId="4B4245A2">
      <w:pPr>
        <w:pStyle w:val="2"/>
        <w:pageBreakBefore w:val="0"/>
        <w:kinsoku/>
        <w:wordWrap/>
        <w:overflowPunct/>
        <w:topLinePunct w:val="0"/>
        <w:autoSpaceDE/>
        <w:autoSpaceDN/>
        <w:bidi w:val="0"/>
        <w:spacing w:line="560" w:lineRule="exact"/>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4.4.3供应商的最后报价符合谈判文件的要求。</w:t>
      </w:r>
    </w:p>
    <w:p w14:paraId="0CF0B603">
      <w:pPr>
        <w:pStyle w:val="2"/>
        <w:pageBreakBefore w:val="0"/>
        <w:kinsoku/>
        <w:wordWrap/>
        <w:overflowPunct/>
        <w:topLinePunct w:val="0"/>
        <w:autoSpaceDE/>
        <w:autoSpaceDN/>
        <w:bidi w:val="0"/>
        <w:spacing w:line="560" w:lineRule="exact"/>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4.4.4最后报价唯一，且不高于最高限价。</w:t>
      </w:r>
    </w:p>
    <w:p w14:paraId="67BC219F">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rPr>
        <w:t>在评审过程中，供应商</w:t>
      </w:r>
      <w:r>
        <w:rPr>
          <w:rFonts w:hint="eastAsia" w:ascii="宋体" w:hAnsi="宋体" w:eastAsia="宋体" w:cs="宋体"/>
          <w:color w:val="000000"/>
          <w:sz w:val="24"/>
          <w:szCs w:val="24"/>
          <w:lang w:val="en-US" w:eastAsia="zh-CN"/>
        </w:rPr>
        <w:t>最后</w:t>
      </w:r>
      <w:r>
        <w:rPr>
          <w:rFonts w:hint="eastAsia" w:ascii="宋体" w:hAnsi="宋体" w:eastAsia="宋体" w:cs="宋体"/>
          <w:color w:val="000000"/>
          <w:sz w:val="24"/>
          <w:szCs w:val="24"/>
          <w:lang w:val="zh-CN"/>
        </w:rPr>
        <w:t>报价明显低于其他通过符合性审查供应商的</w:t>
      </w:r>
      <w:r>
        <w:rPr>
          <w:rFonts w:hint="eastAsia" w:ascii="宋体" w:hAnsi="宋体" w:eastAsia="宋体" w:cs="宋体"/>
          <w:color w:val="000000"/>
          <w:sz w:val="24"/>
          <w:szCs w:val="24"/>
          <w:lang w:val="en-US" w:eastAsia="zh-CN"/>
        </w:rPr>
        <w:t>最后</w:t>
      </w:r>
      <w:r>
        <w:rPr>
          <w:rFonts w:hint="eastAsia" w:ascii="宋体" w:hAnsi="宋体" w:eastAsia="宋体" w:cs="宋体"/>
          <w:color w:val="000000"/>
          <w:sz w:val="24"/>
          <w:szCs w:val="24"/>
          <w:lang w:val="zh-CN"/>
        </w:rPr>
        <w:t>报价，有可能影响产品质量或者不能诚信履约的，</w:t>
      </w:r>
      <w:r>
        <w:rPr>
          <w:rFonts w:hint="eastAsia" w:ascii="宋体" w:hAnsi="宋体" w:eastAsia="宋体" w:cs="宋体"/>
          <w:color w:val="000000"/>
          <w:sz w:val="24"/>
          <w:szCs w:val="24"/>
          <w:lang w:val="en-US" w:eastAsia="zh-CN"/>
        </w:rPr>
        <w:t>谈判</w:t>
      </w:r>
      <w:r>
        <w:rPr>
          <w:rFonts w:hint="eastAsia" w:ascii="宋体" w:hAnsi="宋体" w:eastAsia="宋体" w:cs="宋体"/>
          <w:color w:val="000000"/>
          <w:sz w:val="24"/>
          <w:szCs w:val="24"/>
          <w:lang w:val="zh-CN"/>
        </w:rPr>
        <w:t>小组应当要求其在合理的时间内提供书面说明，并提交相关证明材料，供应商不能证明其报价合理性的，</w:t>
      </w:r>
      <w:r>
        <w:rPr>
          <w:rFonts w:hint="eastAsia" w:ascii="宋体" w:hAnsi="宋体" w:eastAsia="宋体" w:cs="宋体"/>
          <w:color w:val="000000"/>
          <w:sz w:val="24"/>
          <w:szCs w:val="24"/>
          <w:lang w:val="en-US" w:eastAsia="zh-CN"/>
        </w:rPr>
        <w:t>谈判</w:t>
      </w:r>
      <w:r>
        <w:rPr>
          <w:rFonts w:hint="eastAsia" w:ascii="宋体" w:hAnsi="宋体" w:eastAsia="宋体" w:cs="宋体"/>
          <w:color w:val="000000"/>
          <w:sz w:val="24"/>
          <w:szCs w:val="24"/>
          <w:lang w:val="zh-CN"/>
        </w:rPr>
        <w:t>小组应当将其作为无效处理。</w:t>
      </w:r>
      <w:r>
        <w:rPr>
          <w:rFonts w:hint="eastAsia" w:ascii="宋体" w:hAnsi="宋体" w:eastAsia="宋体" w:cs="宋体"/>
          <w:color w:val="000000"/>
          <w:sz w:val="24"/>
          <w:szCs w:val="24"/>
          <w:lang w:val="en-US" w:eastAsia="zh-CN"/>
        </w:rPr>
        <w:t>具体要求详见“供应商须知前附表”。</w:t>
      </w:r>
    </w:p>
    <w:p w14:paraId="406519A8">
      <w:pPr>
        <w:pStyle w:val="2"/>
        <w:pageBreakBefore w:val="0"/>
        <w:kinsoku/>
        <w:wordWrap/>
        <w:overflowPunct/>
        <w:topLinePunct w:val="0"/>
        <w:autoSpaceDE/>
        <w:autoSpaceDN/>
        <w:bidi w:val="0"/>
        <w:spacing w:line="560" w:lineRule="exact"/>
        <w:ind w:left="0" w:leftChars="0" w:firstLine="720" w:firstLineChars="3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4.5 在未提高响应文件中承诺的实质性要求的情况下，最后报价不高于上轮（次）的报价，否则，谈判小组应当对其响应文件按无效处理；谈判中改变采购需求以及合同草案条款的情况除外。</w:t>
      </w:r>
    </w:p>
    <w:p w14:paraId="1D56A43B">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4.6 最后</w:t>
      </w:r>
      <w:r>
        <w:rPr>
          <w:rFonts w:hint="eastAsia" w:ascii="宋体" w:hAnsi="宋体" w:eastAsia="宋体" w:cs="宋体"/>
          <w:b/>
          <w:bCs/>
          <w:color w:val="000000"/>
          <w:sz w:val="24"/>
          <w:szCs w:val="24"/>
          <w:lang w:eastAsia="zh-CN"/>
        </w:rPr>
        <w:t>报价</w:t>
      </w:r>
      <w:r>
        <w:rPr>
          <w:rFonts w:hint="eastAsia" w:ascii="宋体" w:hAnsi="宋体" w:eastAsia="宋体" w:cs="宋体"/>
          <w:b/>
          <w:bCs/>
          <w:color w:val="000000"/>
          <w:sz w:val="24"/>
          <w:szCs w:val="24"/>
          <w:lang w:val="en-US" w:eastAsia="zh-CN"/>
        </w:rPr>
        <w:t>的算术修正规则</w:t>
      </w:r>
    </w:p>
    <w:p w14:paraId="32AD1CEC">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bCs w:val="0"/>
          <w:color w:val="000000"/>
          <w:sz w:val="24"/>
          <w:szCs w:val="24"/>
          <w:lang w:eastAsia="zh-CN"/>
        </w:rPr>
      </w:pPr>
      <w:r>
        <w:rPr>
          <w:rFonts w:hint="eastAsia" w:ascii="宋体" w:hAnsi="宋体" w:eastAsia="宋体" w:cs="宋体"/>
          <w:b w:val="0"/>
          <w:bCs w:val="0"/>
          <w:color w:val="000000"/>
          <w:sz w:val="24"/>
          <w:szCs w:val="24"/>
          <w:lang w:val="en-US" w:eastAsia="zh-CN"/>
        </w:rPr>
        <w:t>最后</w:t>
      </w:r>
      <w:r>
        <w:rPr>
          <w:rFonts w:hint="eastAsia" w:ascii="宋体" w:hAnsi="宋体" w:eastAsia="宋体" w:cs="宋体"/>
          <w:b w:val="0"/>
          <w:bCs w:val="0"/>
          <w:color w:val="000000"/>
          <w:sz w:val="24"/>
          <w:szCs w:val="24"/>
          <w:lang w:eastAsia="zh-CN"/>
        </w:rPr>
        <w:t>报</w:t>
      </w:r>
      <w:r>
        <w:rPr>
          <w:rFonts w:hint="eastAsia" w:ascii="宋体" w:hAnsi="宋体" w:eastAsia="宋体" w:cs="宋体"/>
          <w:b w:val="0"/>
          <w:bCs w:val="0"/>
          <w:color w:val="000000"/>
          <w:sz w:val="24"/>
          <w:szCs w:val="24"/>
          <w:lang w:val="en-US" w:eastAsia="zh-CN"/>
        </w:rPr>
        <w:t>价如果出现下列不一致的，不需要供应商澄清，可按以下原则进行处理：</w:t>
      </w:r>
    </w:p>
    <w:p w14:paraId="24AB6ECD">
      <w:pPr>
        <w:pStyle w:val="59"/>
        <w:pageBreakBefore w:val="0"/>
        <w:numPr>
          <w:ilvl w:val="0"/>
          <w:numId w:val="0"/>
        </w:numPr>
        <w:tabs>
          <w:tab w:val="left" w:pos="1134"/>
        </w:tabs>
        <w:kinsoku/>
        <w:wordWrap/>
        <w:overflowPunct/>
        <w:topLinePunct w:val="0"/>
        <w:autoSpaceDE/>
        <w:autoSpaceDN/>
        <w:bidi w:val="0"/>
        <w:snapToGrid w:val="0"/>
        <w:spacing w:line="560" w:lineRule="exact"/>
        <w:ind w:left="7" w:leftChars="0" w:firstLine="720" w:firstLineChars="300"/>
        <w:textAlignment w:val="auto"/>
        <w:rPr>
          <w:rFonts w:hint="eastAsia" w:ascii="宋体" w:hAnsi="宋体" w:eastAsia="宋体" w:cs="宋体"/>
          <w:sz w:val="24"/>
          <w:szCs w:val="24"/>
        </w:rPr>
      </w:pPr>
      <w:r>
        <w:rPr>
          <w:rFonts w:hint="eastAsia" w:ascii="宋体" w:hAnsi="宋体" w:cs="宋体"/>
          <w:sz w:val="24"/>
          <w:szCs w:val="24"/>
          <w:lang w:val="en-US" w:eastAsia="zh-CN"/>
        </w:rPr>
        <w:t>4.6.1</w:t>
      </w:r>
      <w:r>
        <w:rPr>
          <w:rFonts w:hint="eastAsia" w:ascii="宋体" w:hAnsi="宋体" w:eastAsia="宋体" w:cs="宋体"/>
          <w:sz w:val="24"/>
          <w:szCs w:val="24"/>
        </w:rPr>
        <w:t>最后报价中的大写金额和小写金额不一致的，以大写金额为准，但大写金额出现文字错误，导致金额无法判断的除外；</w:t>
      </w:r>
    </w:p>
    <w:p w14:paraId="5A9131BB">
      <w:pPr>
        <w:pStyle w:val="59"/>
        <w:pageBreakBefore w:val="0"/>
        <w:numPr>
          <w:ilvl w:val="0"/>
          <w:numId w:val="0"/>
        </w:numPr>
        <w:tabs>
          <w:tab w:val="left" w:pos="1134"/>
        </w:tabs>
        <w:kinsoku/>
        <w:wordWrap/>
        <w:overflowPunct/>
        <w:topLinePunct w:val="0"/>
        <w:autoSpaceDE/>
        <w:autoSpaceDN/>
        <w:bidi w:val="0"/>
        <w:snapToGrid w:val="0"/>
        <w:spacing w:line="560" w:lineRule="exact"/>
        <w:ind w:left="525" w:leftChars="0" w:firstLine="240" w:firstLineChars="100"/>
        <w:textAlignment w:val="auto"/>
        <w:rPr>
          <w:rFonts w:hint="eastAsia" w:ascii="宋体" w:hAnsi="宋体" w:eastAsia="宋体" w:cs="宋体"/>
          <w:sz w:val="24"/>
          <w:szCs w:val="24"/>
        </w:rPr>
      </w:pPr>
      <w:r>
        <w:rPr>
          <w:rFonts w:hint="eastAsia" w:ascii="宋体" w:hAnsi="宋体" w:cs="宋体"/>
          <w:sz w:val="24"/>
          <w:szCs w:val="24"/>
          <w:lang w:val="en-US" w:eastAsia="zh-CN"/>
        </w:rPr>
        <w:t>4.6.2</w:t>
      </w:r>
      <w:r>
        <w:rPr>
          <w:rFonts w:hint="eastAsia" w:ascii="宋体" w:hAnsi="宋体" w:eastAsia="宋体" w:cs="宋体"/>
          <w:sz w:val="24"/>
          <w:szCs w:val="24"/>
        </w:rPr>
        <w:t>单价金额小数点或者百分比有明显错位的，应以总价为准，并修改单价；</w:t>
      </w:r>
    </w:p>
    <w:p w14:paraId="09C59859">
      <w:pPr>
        <w:pStyle w:val="59"/>
        <w:pageBreakBefore w:val="0"/>
        <w:numPr>
          <w:ilvl w:val="0"/>
          <w:numId w:val="0"/>
        </w:numPr>
        <w:tabs>
          <w:tab w:val="left" w:pos="1134"/>
        </w:tabs>
        <w:kinsoku/>
        <w:wordWrap/>
        <w:overflowPunct/>
        <w:topLinePunct w:val="0"/>
        <w:autoSpaceDE/>
        <w:autoSpaceDN/>
        <w:bidi w:val="0"/>
        <w:snapToGrid w:val="0"/>
        <w:spacing w:line="560" w:lineRule="exact"/>
        <w:ind w:left="525" w:leftChars="0" w:firstLine="240" w:firstLineChars="100"/>
        <w:textAlignment w:val="auto"/>
        <w:rPr>
          <w:rFonts w:hint="eastAsia" w:ascii="宋体" w:hAnsi="宋体" w:eastAsia="宋体" w:cs="宋体"/>
          <w:sz w:val="24"/>
          <w:szCs w:val="24"/>
        </w:rPr>
      </w:pPr>
      <w:r>
        <w:rPr>
          <w:rFonts w:hint="eastAsia" w:ascii="宋体" w:hAnsi="宋体" w:cs="宋体"/>
          <w:sz w:val="24"/>
          <w:szCs w:val="24"/>
          <w:lang w:val="en-US" w:eastAsia="zh-CN"/>
        </w:rPr>
        <w:t>4.6.3</w:t>
      </w:r>
      <w:r>
        <w:rPr>
          <w:rFonts w:hint="eastAsia" w:ascii="宋体" w:hAnsi="宋体" w:eastAsia="宋体" w:cs="宋体"/>
          <w:sz w:val="24"/>
          <w:szCs w:val="24"/>
        </w:rPr>
        <w:t>总价金额与按单价汇总金额不一致的，以单价汇总金额计算结果为准；</w:t>
      </w:r>
    </w:p>
    <w:p w14:paraId="32AD12B3">
      <w:pPr>
        <w:pStyle w:val="59"/>
        <w:pageBreakBefore w:val="0"/>
        <w:numPr>
          <w:ilvl w:val="0"/>
          <w:numId w:val="0"/>
        </w:numPr>
        <w:tabs>
          <w:tab w:val="left" w:pos="1134"/>
        </w:tabs>
        <w:kinsoku/>
        <w:wordWrap/>
        <w:overflowPunct/>
        <w:topLinePunct w:val="0"/>
        <w:autoSpaceDE/>
        <w:autoSpaceDN/>
        <w:bidi w:val="0"/>
        <w:snapToGrid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bCs/>
          <w:color w:val="000000"/>
          <w:sz w:val="24"/>
          <w:szCs w:val="24"/>
          <w:highlight w:val="none"/>
        </w:rPr>
        <w:t>同时出现两种以上不一致的，按照上述规定的顺序修正。修正后的</w:t>
      </w:r>
      <w:r>
        <w:rPr>
          <w:rFonts w:hint="eastAsia" w:ascii="宋体" w:hAnsi="宋体" w:eastAsia="宋体" w:cs="宋体"/>
          <w:bCs/>
          <w:color w:val="000000"/>
          <w:sz w:val="24"/>
          <w:szCs w:val="24"/>
          <w:highlight w:val="none"/>
          <w:lang w:val="en-US" w:eastAsia="zh-CN"/>
        </w:rPr>
        <w:t>最后</w:t>
      </w:r>
      <w:r>
        <w:rPr>
          <w:rFonts w:hint="eastAsia" w:ascii="宋体" w:hAnsi="宋体" w:eastAsia="宋体" w:cs="宋体"/>
          <w:bCs/>
          <w:color w:val="000000"/>
          <w:sz w:val="24"/>
          <w:szCs w:val="24"/>
          <w:highlight w:val="none"/>
        </w:rPr>
        <w:t>报价经供应商确认后产生约束力，供应商不确认的，其</w:t>
      </w:r>
      <w:r>
        <w:rPr>
          <w:rFonts w:hint="eastAsia" w:ascii="宋体" w:hAnsi="宋体" w:eastAsia="宋体" w:cs="宋体"/>
          <w:bCs/>
          <w:color w:val="000000"/>
          <w:sz w:val="24"/>
          <w:szCs w:val="24"/>
          <w:highlight w:val="none"/>
          <w:lang w:val="en-US" w:eastAsia="zh-CN"/>
        </w:rPr>
        <w:t>最后报价无效</w:t>
      </w:r>
      <w:r>
        <w:rPr>
          <w:rFonts w:hint="eastAsia" w:ascii="宋体" w:hAnsi="宋体" w:eastAsia="宋体" w:cs="宋体"/>
          <w:bCs/>
          <w:color w:val="000000"/>
          <w:sz w:val="24"/>
          <w:szCs w:val="24"/>
          <w:highlight w:val="none"/>
        </w:rPr>
        <w:t>。供应商确认采取书面且加盖单位公章或者供应商授权代表签字的方式。</w:t>
      </w:r>
      <w:r>
        <w:rPr>
          <w:rFonts w:hint="eastAsia" w:ascii="宋体" w:hAnsi="宋体" w:eastAsia="宋体" w:cs="宋体"/>
          <w:sz w:val="24"/>
          <w:szCs w:val="24"/>
        </w:rPr>
        <w:t>谈判小组不得未经要求供应商确认，直接将供应商响应文件作无效处理。</w:t>
      </w:r>
    </w:p>
    <w:p w14:paraId="252D9E7D">
      <w:pPr>
        <w:keepNext w:val="0"/>
        <w:keepLines w:val="0"/>
        <w:pageBreakBefore w:val="0"/>
        <w:kinsoku/>
        <w:wordWrap/>
        <w:overflowPunct/>
        <w:topLinePunct w:val="0"/>
        <w:autoSpaceDE/>
        <w:autoSpaceDN/>
        <w:bidi w:val="0"/>
        <w:adjustRightInd w:val="0"/>
        <w:snapToGrid w:val="0"/>
        <w:spacing w:line="560" w:lineRule="exact"/>
        <w:ind w:firstLine="720" w:firstLineChars="300"/>
        <w:textAlignment w:val="auto"/>
        <w:rPr>
          <w:rFonts w:hint="eastAsia" w:ascii="宋体" w:hAnsi="宋体" w:eastAsia="宋体" w:cs="宋体"/>
          <w:b/>
          <w:bCs w:val="0"/>
          <w:color w:val="FF0000"/>
          <w:sz w:val="24"/>
          <w:szCs w:val="24"/>
          <w:lang w:val="en-US" w:eastAsia="zh-CN"/>
        </w:rPr>
      </w:pPr>
      <w:r>
        <w:rPr>
          <w:rFonts w:hint="eastAsia" w:ascii="宋体" w:hAnsi="宋体" w:eastAsia="宋体" w:cs="宋体"/>
          <w:b/>
          <w:bCs w:val="0"/>
          <w:color w:val="FF0000"/>
          <w:sz w:val="24"/>
          <w:szCs w:val="24"/>
          <w:lang w:val="en-US" w:eastAsia="zh-CN"/>
        </w:rPr>
        <w:t>4.7 落实政府采购政策进行价格扣除的计算方法</w:t>
      </w:r>
    </w:p>
    <w:p w14:paraId="2E62F4F3">
      <w:pPr>
        <w:keepNext w:val="0"/>
        <w:keepLines w:val="0"/>
        <w:pageBreakBefore w:val="0"/>
        <w:kinsoku/>
        <w:wordWrap/>
        <w:overflowPunct/>
        <w:topLinePunct w:val="0"/>
        <w:autoSpaceDE/>
        <w:autoSpaceDN/>
        <w:bidi w:val="0"/>
        <w:adjustRightInd w:val="0"/>
        <w:snapToGrid w:val="0"/>
        <w:spacing w:line="560" w:lineRule="exact"/>
        <w:ind w:firstLine="720" w:firstLineChars="300"/>
        <w:textAlignment w:val="auto"/>
        <w:rPr>
          <w:rFonts w:hint="eastAsia" w:ascii="宋体" w:hAnsi="宋体" w:eastAsia="宋体" w:cs="宋体"/>
          <w:b/>
          <w:bCs w:val="0"/>
          <w:color w:val="FF0000"/>
          <w:sz w:val="24"/>
          <w:szCs w:val="24"/>
          <w:lang w:val="en-US" w:eastAsia="zh-CN"/>
        </w:rPr>
      </w:pPr>
      <w:r>
        <w:rPr>
          <w:rFonts w:hint="eastAsia" w:ascii="宋体" w:hAnsi="宋体" w:eastAsia="宋体" w:cs="宋体"/>
          <w:b/>
          <w:bCs w:val="0"/>
          <w:color w:val="FF0000"/>
          <w:sz w:val="24"/>
          <w:szCs w:val="24"/>
          <w:lang w:val="en-US" w:eastAsia="zh-CN"/>
        </w:rPr>
        <w:t>关于小微型企业（残疾人福利性单位、监狱企业）产品、服务的报价扣除标准</w:t>
      </w:r>
    </w:p>
    <w:p w14:paraId="72643F08">
      <w:pPr>
        <w:keepNext w:val="0"/>
        <w:keepLines w:val="0"/>
        <w:pageBreakBefore w:val="0"/>
        <w:kinsoku/>
        <w:wordWrap/>
        <w:overflowPunct/>
        <w:topLinePunct w:val="0"/>
        <w:autoSpaceDE/>
        <w:autoSpaceDN/>
        <w:bidi w:val="0"/>
        <w:adjustRightInd w:val="0"/>
        <w:snapToGrid w:val="0"/>
        <w:spacing w:line="560" w:lineRule="exact"/>
        <w:ind w:firstLine="720" w:firstLineChars="300"/>
        <w:textAlignment w:val="auto"/>
        <w:rPr>
          <w:rFonts w:hint="eastAsia" w:ascii="宋体" w:hAnsi="宋体" w:eastAsia="宋体" w:cs="宋体"/>
          <w:bCs/>
          <w:color w:val="FF0000"/>
          <w:sz w:val="24"/>
          <w:szCs w:val="24"/>
          <w:lang w:val="en-US" w:eastAsia="zh-CN"/>
        </w:rPr>
      </w:pPr>
      <w:r>
        <w:rPr>
          <w:rFonts w:hint="eastAsia" w:ascii="宋体" w:hAnsi="宋体" w:eastAsia="宋体" w:cs="宋体"/>
          <w:bCs/>
          <w:color w:val="FF0000"/>
          <w:sz w:val="24"/>
          <w:szCs w:val="24"/>
          <w:lang w:val="en-US" w:eastAsia="zh-CN"/>
        </w:rPr>
        <w:t>4.7.1因落实政府采购政策进行价格调整的，以调整后的价格计算最后报价；</w:t>
      </w:r>
    </w:p>
    <w:p w14:paraId="06C71227">
      <w:pPr>
        <w:keepNext w:val="0"/>
        <w:keepLines w:val="0"/>
        <w:pageBreakBefore w:val="0"/>
        <w:kinsoku/>
        <w:wordWrap/>
        <w:overflowPunct/>
        <w:topLinePunct w:val="0"/>
        <w:autoSpaceDE/>
        <w:autoSpaceDN/>
        <w:bidi w:val="0"/>
        <w:adjustRightInd w:val="0"/>
        <w:snapToGrid w:val="0"/>
        <w:spacing w:line="560" w:lineRule="exact"/>
        <w:ind w:firstLine="720" w:firstLineChars="300"/>
        <w:textAlignment w:val="auto"/>
        <w:rPr>
          <w:rFonts w:hint="eastAsia" w:ascii="宋体" w:hAnsi="宋体" w:eastAsia="宋体" w:cs="宋体"/>
          <w:b/>
          <w:bCs w:val="0"/>
          <w:color w:val="FF0000"/>
          <w:sz w:val="24"/>
          <w:szCs w:val="24"/>
          <w:lang w:val="en-US" w:eastAsia="zh-CN"/>
        </w:rPr>
      </w:pPr>
      <w:r>
        <w:rPr>
          <w:rFonts w:hint="eastAsia" w:ascii="宋体" w:hAnsi="宋体" w:eastAsia="宋体" w:cs="宋体"/>
          <w:bCs/>
          <w:color w:val="FF0000"/>
          <w:sz w:val="24"/>
          <w:szCs w:val="24"/>
          <w:lang w:val="en-US" w:eastAsia="zh-CN"/>
        </w:rPr>
        <w:t>4.7.2</w:t>
      </w:r>
      <w:r>
        <w:rPr>
          <w:rFonts w:hint="eastAsia" w:ascii="宋体" w:hAnsi="宋体" w:eastAsia="宋体" w:cs="宋体"/>
          <w:b w:val="0"/>
          <w:bCs/>
          <w:color w:val="FF0000"/>
          <w:sz w:val="24"/>
          <w:szCs w:val="24"/>
          <w:lang w:val="en-US" w:eastAsia="zh-CN"/>
        </w:rPr>
        <w:t>若货物为小微型企业（残疾人福利性单位、监狱企业）产品、服务，供应商应填写相关样表并提供证明材料（格式3-7、3-8），内容填写完整、准确方可获得价格扣除（针对非专门面向中小企业采购项目</w:t>
      </w:r>
      <w:r>
        <w:rPr>
          <w:rFonts w:hint="eastAsia" w:ascii="宋体" w:hAnsi="宋体" w:eastAsia="宋体" w:cs="宋体"/>
          <w:b/>
          <w:bCs w:val="0"/>
          <w:color w:val="FF0000"/>
          <w:sz w:val="24"/>
          <w:szCs w:val="24"/>
          <w:lang w:val="en-US" w:eastAsia="zh-CN"/>
        </w:rPr>
        <w:t>）；</w:t>
      </w:r>
    </w:p>
    <w:p w14:paraId="34010262">
      <w:pPr>
        <w:keepNext w:val="0"/>
        <w:keepLines w:val="0"/>
        <w:pageBreakBefore w:val="0"/>
        <w:kinsoku/>
        <w:wordWrap/>
        <w:overflowPunct/>
        <w:topLinePunct w:val="0"/>
        <w:autoSpaceDE/>
        <w:autoSpaceDN/>
        <w:bidi w:val="0"/>
        <w:adjustRightInd w:val="0"/>
        <w:snapToGrid w:val="0"/>
        <w:spacing w:line="560" w:lineRule="exact"/>
        <w:ind w:firstLine="720" w:firstLineChars="300"/>
        <w:textAlignment w:val="auto"/>
        <w:rPr>
          <w:rFonts w:hint="eastAsia" w:ascii="宋体" w:hAnsi="宋体" w:eastAsia="宋体" w:cs="宋体"/>
          <w:bCs/>
          <w:color w:val="FF0000"/>
          <w:sz w:val="24"/>
          <w:szCs w:val="24"/>
          <w:lang w:val="en-US" w:eastAsia="zh-CN"/>
        </w:rPr>
      </w:pPr>
      <w:r>
        <w:rPr>
          <w:rFonts w:hint="eastAsia" w:ascii="宋体" w:hAnsi="宋体" w:eastAsia="宋体" w:cs="宋体"/>
          <w:bCs/>
          <w:color w:val="FF0000"/>
          <w:sz w:val="24"/>
          <w:szCs w:val="24"/>
          <w:lang w:val="en-US" w:eastAsia="zh-CN"/>
        </w:rPr>
        <w:t>4.7.3本项目对小型和微型企业产品的价格给予</w:t>
      </w:r>
      <w:r>
        <w:rPr>
          <w:rFonts w:hint="eastAsia" w:ascii="宋体" w:hAnsi="宋体" w:eastAsia="宋体" w:cs="宋体"/>
          <w:b w:val="0"/>
          <w:bCs/>
          <w:color w:val="FF0000"/>
          <w:sz w:val="24"/>
          <w:szCs w:val="24"/>
          <w:lang w:val="en-US" w:eastAsia="zh-CN"/>
        </w:rPr>
        <w:t>一定比例的扣除（</w:t>
      </w:r>
      <w:r>
        <w:rPr>
          <w:rFonts w:hint="eastAsia" w:ascii="宋体" w:hAnsi="宋体" w:eastAsia="宋体" w:cs="宋体"/>
          <w:b/>
          <w:bCs w:val="0"/>
          <w:color w:val="FF0000"/>
          <w:sz w:val="24"/>
          <w:szCs w:val="24"/>
          <w:lang w:val="en-US" w:eastAsia="zh-CN"/>
        </w:rPr>
        <w:t>具体比例详见“供应商须知前附表”</w:t>
      </w:r>
      <w:r>
        <w:rPr>
          <w:rFonts w:hint="eastAsia" w:ascii="宋体" w:hAnsi="宋体" w:eastAsia="宋体" w:cs="宋体"/>
          <w:b w:val="0"/>
          <w:bCs/>
          <w:color w:val="FF0000"/>
          <w:sz w:val="24"/>
          <w:szCs w:val="24"/>
          <w:lang w:val="en-US" w:eastAsia="zh-CN"/>
        </w:rPr>
        <w:t>）</w:t>
      </w:r>
      <w:r>
        <w:rPr>
          <w:rFonts w:hint="eastAsia" w:ascii="宋体" w:hAnsi="宋体" w:eastAsia="宋体" w:cs="宋体"/>
          <w:bCs/>
          <w:color w:val="FF0000"/>
          <w:sz w:val="24"/>
          <w:szCs w:val="24"/>
          <w:lang w:val="en-US" w:eastAsia="zh-CN"/>
        </w:rPr>
        <w:t>，用扣除后的价格参与评审；</w:t>
      </w:r>
    </w:p>
    <w:p w14:paraId="1A5D9E30">
      <w:pPr>
        <w:keepNext w:val="0"/>
        <w:keepLines w:val="0"/>
        <w:pageBreakBefore w:val="0"/>
        <w:kinsoku/>
        <w:wordWrap/>
        <w:overflowPunct/>
        <w:topLinePunct w:val="0"/>
        <w:autoSpaceDE/>
        <w:autoSpaceDN/>
        <w:bidi w:val="0"/>
        <w:adjustRightInd w:val="0"/>
        <w:snapToGrid w:val="0"/>
        <w:spacing w:line="560" w:lineRule="exact"/>
        <w:ind w:firstLine="720" w:firstLineChars="300"/>
        <w:textAlignment w:val="auto"/>
        <w:rPr>
          <w:rFonts w:hint="eastAsia" w:ascii="宋体" w:hAnsi="宋体" w:eastAsia="宋体" w:cs="宋体"/>
          <w:bCs/>
          <w:color w:val="FF0000"/>
          <w:sz w:val="24"/>
          <w:szCs w:val="24"/>
          <w:lang w:val="en-US" w:eastAsia="zh-CN"/>
        </w:rPr>
      </w:pPr>
      <w:r>
        <w:rPr>
          <w:rFonts w:hint="eastAsia" w:ascii="宋体" w:hAnsi="宋体" w:eastAsia="宋体" w:cs="宋体"/>
          <w:bCs/>
          <w:color w:val="FF0000"/>
          <w:sz w:val="24"/>
          <w:szCs w:val="24"/>
          <w:lang w:val="en-US" w:eastAsia="zh-CN"/>
        </w:rPr>
        <w:t>4.7.4残疾人福利性单位（监狱企业）产品、服务视同小型、微型企业产品、服务，享受同等价格扣除；</w:t>
      </w:r>
    </w:p>
    <w:p w14:paraId="151299F1">
      <w:pPr>
        <w:keepNext w:val="0"/>
        <w:keepLines w:val="0"/>
        <w:pageBreakBefore w:val="0"/>
        <w:kinsoku/>
        <w:wordWrap/>
        <w:overflowPunct/>
        <w:topLinePunct w:val="0"/>
        <w:autoSpaceDE/>
        <w:autoSpaceDN/>
        <w:bidi w:val="0"/>
        <w:adjustRightInd w:val="0"/>
        <w:snapToGrid w:val="0"/>
        <w:spacing w:line="560" w:lineRule="exact"/>
        <w:ind w:firstLine="720" w:firstLineChars="300"/>
        <w:textAlignment w:val="auto"/>
        <w:rPr>
          <w:rFonts w:hint="eastAsia" w:ascii="宋体" w:hAnsi="宋体" w:eastAsia="宋体" w:cs="宋体"/>
          <w:bCs/>
          <w:color w:val="FF0000"/>
          <w:sz w:val="24"/>
          <w:szCs w:val="24"/>
          <w:highlight w:val="none"/>
          <w:lang w:val="en-US" w:eastAsia="zh-CN"/>
        </w:rPr>
      </w:pPr>
      <w:r>
        <w:rPr>
          <w:rFonts w:hint="eastAsia" w:ascii="宋体" w:hAnsi="宋体" w:eastAsia="宋体" w:cs="宋体"/>
          <w:bCs/>
          <w:color w:val="FF0000"/>
          <w:sz w:val="24"/>
          <w:szCs w:val="24"/>
          <w:lang w:val="en-US" w:eastAsia="zh-CN"/>
        </w:rPr>
        <w:t>4.7.5</w:t>
      </w:r>
      <w:r>
        <w:rPr>
          <w:rFonts w:hint="eastAsia" w:ascii="宋体" w:hAnsi="宋体" w:cs="宋体"/>
          <w:bCs/>
          <w:color w:val="FF0000"/>
          <w:sz w:val="24"/>
          <w:szCs w:val="24"/>
          <w:lang w:val="en-US" w:eastAsia="zh-CN"/>
        </w:rPr>
        <w:t>以上政策</w:t>
      </w:r>
      <w:r>
        <w:rPr>
          <w:rFonts w:hint="eastAsia" w:ascii="宋体" w:hAnsi="宋体" w:eastAsia="宋体" w:cs="宋体"/>
          <w:bCs/>
          <w:color w:val="FF0000"/>
          <w:sz w:val="24"/>
          <w:szCs w:val="24"/>
          <w:lang w:val="en-US" w:eastAsia="zh-CN"/>
        </w:rPr>
        <w:t>供应商仅能获得一种政策的价格扣除，不重复享受。</w:t>
      </w:r>
    </w:p>
    <w:p w14:paraId="7E93C002">
      <w:pPr>
        <w:pStyle w:val="7"/>
        <w:pageBreakBefore w:val="0"/>
        <w:kinsoku/>
        <w:wordWrap/>
        <w:overflowPunct/>
        <w:topLinePunct w:val="0"/>
        <w:bidi w:val="0"/>
        <w:snapToGrid/>
        <w:spacing w:before="0" w:after="0" w:line="560" w:lineRule="exact"/>
        <w:ind w:left="0" w:leftChars="0" w:right="0" w:rightChars="0" w:firstLine="720" w:firstLineChars="300"/>
        <w:textAlignment w:val="auto"/>
        <w:rPr>
          <w:rFonts w:hint="eastAsia" w:ascii="宋体" w:hAnsi="宋体" w:eastAsia="宋体" w:cs="宋体"/>
          <w:color w:val="FF0000"/>
          <w:sz w:val="24"/>
          <w:szCs w:val="24"/>
          <w:lang w:val="en-US" w:eastAsia="zh-CN"/>
        </w:rPr>
      </w:pPr>
      <w:r>
        <w:rPr>
          <w:rFonts w:hint="eastAsia" w:ascii="宋体" w:hAnsi="宋体" w:cs="宋体"/>
          <w:b/>
          <w:bCs w:val="0"/>
          <w:color w:val="FF0000"/>
          <w:sz w:val="24"/>
          <w:szCs w:val="24"/>
          <w:highlight w:val="none"/>
          <w:lang w:val="en-US" w:eastAsia="zh-CN"/>
        </w:rPr>
        <w:t>4.7.6</w:t>
      </w:r>
      <w:r>
        <w:rPr>
          <w:rFonts w:hint="eastAsia" w:ascii="宋体" w:hAnsi="宋体" w:eastAsia="宋体" w:cs="宋体"/>
          <w:color w:val="FF0000"/>
          <w:sz w:val="24"/>
          <w:szCs w:val="24"/>
          <w:lang w:val="en-US" w:eastAsia="zh-CN"/>
        </w:rPr>
        <w:t>本国产品支持政策</w:t>
      </w:r>
    </w:p>
    <w:p w14:paraId="1B7A62B2">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t>4.7.6.1本国产品应当符合以下条件：在中国境内生产；在中国境内生产的组件成本占比达到规定比例；特定产品的关键组件、关键工序符合相关要求。</w:t>
      </w:r>
    </w:p>
    <w:p w14:paraId="65BD6709">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t>4.7.6.2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D39AB8C">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t>4.7.6.3对本国产品的支持政策</w:t>
      </w:r>
    </w:p>
    <w:p w14:paraId="179A717E">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t>政府采购活动中既有本国产品又有非本国产品参与竞争的，依法对本国产品给予价格评审优惠，对本国产品的报价给予</w:t>
      </w:r>
      <w:r>
        <w:rPr>
          <w:rFonts w:hint="eastAsia" w:ascii="宋体" w:hAnsi="宋体" w:eastAsia="宋体" w:cs="宋体"/>
          <w:b/>
          <w:bCs/>
          <w:color w:val="FF0000"/>
          <w:sz w:val="24"/>
          <w:szCs w:val="24"/>
          <w:lang w:val="en-US" w:eastAsia="zh-CN"/>
        </w:rPr>
        <w:t>20%</w:t>
      </w:r>
      <w:r>
        <w:rPr>
          <w:rFonts w:hint="eastAsia" w:ascii="宋体" w:hAnsi="宋体" w:eastAsia="宋体" w:cs="宋体"/>
          <w:color w:val="FF0000"/>
          <w:sz w:val="24"/>
          <w:szCs w:val="24"/>
          <w:lang w:val="en-US" w:eastAsia="zh-CN"/>
        </w:rPr>
        <w:t>的价格扣除，用扣除后的价格参与评审。</w:t>
      </w:r>
    </w:p>
    <w:p w14:paraId="73BC70E1">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4146584">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t>4.7.6.4有关证明文件</w:t>
      </w:r>
    </w:p>
    <w:p w14:paraId="246864AF">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t>供应商应在投标文件中出具所投产品的《关于符合本国产品标准的声明函》（样式见“第四章投标文件格式”，以下简称《声明函》）或财政部会同有关部门规定的有关证明文件。出具符合要求的《声明函》或有关证明文件的，该产品视为本国产品，供应商不再提供其他证明材料。供应商提供虚假《声明函》、虚假证明文件谋取中标、成交的，依照《中华人民共和国政府采购法》等法律法规规定追究相应责任。</w:t>
      </w:r>
    </w:p>
    <w:p w14:paraId="499EAEA5">
      <w:pPr>
        <w:pageBreakBefore w:val="0"/>
        <w:kinsoku/>
        <w:wordWrap/>
        <w:overflowPunct/>
        <w:topLinePunct w:val="0"/>
        <w:bidi w:val="0"/>
        <w:snapToGrid/>
        <w:spacing w:line="560" w:lineRule="exact"/>
        <w:ind w:left="0" w:leftChars="0" w:right="0" w:rightChars="0" w:firstLine="420"/>
        <w:jc w:val="left"/>
        <w:textAlignment w:val="auto"/>
        <w:outlineLvl w:val="9"/>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t>中标、成交供应商提供的《声明函》或有关证明文件随中标、成交结果同时公告。</w:t>
      </w:r>
    </w:p>
    <w:p w14:paraId="10D8909C">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default" w:ascii="宋体" w:hAnsi="宋体" w:eastAsia="宋体" w:cs="宋体"/>
          <w:b/>
          <w:bCs w:val="0"/>
          <w:color w:val="FF0000"/>
          <w:sz w:val="24"/>
          <w:szCs w:val="24"/>
          <w:highlight w:val="none"/>
          <w:lang w:val="en-US" w:eastAsia="zh-CN"/>
        </w:rPr>
      </w:pPr>
      <w:r>
        <w:rPr>
          <w:rFonts w:hint="eastAsia" w:ascii="宋体" w:hAnsi="宋体" w:eastAsia="宋体" w:cs="宋体"/>
          <w:color w:val="FF0000"/>
          <w:sz w:val="24"/>
          <w:szCs w:val="24"/>
          <w:lang w:val="en-US" w:eastAsia="zh-CN"/>
        </w:rPr>
        <w:t>注：采购文件未尽事宜，详见《国务院办公厅关于在政府采购中实施本国产品标准及相关政策的通知》（国办发〔2025〕34号）。</w:t>
      </w:r>
    </w:p>
    <w:p w14:paraId="571B9D29">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4.8 </w:t>
      </w:r>
      <w:r>
        <w:rPr>
          <w:rFonts w:hint="eastAsia" w:ascii="宋体" w:hAnsi="宋体" w:eastAsia="宋体" w:cs="宋体"/>
          <w:b/>
          <w:bCs w:val="0"/>
          <w:color w:val="000000"/>
          <w:sz w:val="24"/>
          <w:szCs w:val="24"/>
          <w:highlight w:val="none"/>
        </w:rPr>
        <w:t>复核</w:t>
      </w:r>
    </w:p>
    <w:p w14:paraId="13D7467D">
      <w:pPr>
        <w:pageBreakBefore w:val="0"/>
        <w:widowControl w:val="0"/>
        <w:tabs>
          <w:tab w:val="left" w:pos="1134"/>
        </w:tabs>
        <w:kinsoku/>
        <w:wordWrap/>
        <w:overflowPunct/>
        <w:topLinePunct w:val="0"/>
        <w:autoSpaceDE/>
        <w:autoSpaceDN/>
        <w:bidi w:val="0"/>
        <w:spacing w:line="56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评审结束后，谈判小组应当进行复核，特别要对拟推荐为成交候选供应商的、报价最低的、响应文件被认定为无效的进行重点复核。</w:t>
      </w:r>
    </w:p>
    <w:p w14:paraId="2C7F62E3">
      <w:pPr>
        <w:pStyle w:val="7"/>
        <w:pageBreakBefore w:val="0"/>
        <w:kinsoku/>
        <w:wordWrap/>
        <w:overflowPunct/>
        <w:topLinePunct w:val="0"/>
        <w:autoSpaceDE/>
        <w:autoSpaceDN/>
        <w:bidi w:val="0"/>
        <w:spacing w:before="0" w:after="0" w:line="560" w:lineRule="exact"/>
        <w:textAlignment w:val="auto"/>
        <w:rPr>
          <w:rFonts w:hint="eastAsia" w:ascii="宋体" w:hAnsi="宋体" w:eastAsia="宋体" w:cs="宋体"/>
          <w:b/>
          <w:bCs/>
          <w:sz w:val="24"/>
          <w:szCs w:val="24"/>
          <w:lang w:val="en-US" w:eastAsia="zh-CN"/>
        </w:rPr>
      </w:pPr>
      <w:bookmarkStart w:id="299" w:name="_Toc21562"/>
      <w:r>
        <w:rPr>
          <w:rFonts w:hint="eastAsia" w:ascii="宋体" w:hAnsi="宋体" w:eastAsia="宋体" w:cs="宋体"/>
          <w:b/>
          <w:bCs/>
          <w:sz w:val="24"/>
          <w:szCs w:val="24"/>
          <w:lang w:val="en-US" w:eastAsia="zh-CN"/>
        </w:rPr>
        <w:t>5.推荐成交供应商</w:t>
      </w:r>
      <w:bookmarkEnd w:id="299"/>
    </w:p>
    <w:p w14:paraId="6BB1AFAC">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谈判小组应从质量和服务均能满足采购文件实质性响应要求的供应商中，按照最后报价有低到高的顺序提出3名以上成交候选人，并编写评审报告。</w:t>
      </w:r>
      <w:r>
        <w:rPr>
          <w:rFonts w:hint="eastAsia" w:ascii="宋体" w:hAnsi="宋体" w:eastAsia="宋体" w:cs="宋体"/>
          <w:bCs/>
          <w:color w:val="000000"/>
          <w:sz w:val="24"/>
          <w:szCs w:val="24"/>
          <w:lang w:val="en-US" w:eastAsia="zh-CN"/>
        </w:rPr>
        <w:t>因</w:t>
      </w:r>
      <w:r>
        <w:rPr>
          <w:rFonts w:hint="eastAsia" w:ascii="宋体" w:hAnsi="宋体" w:eastAsia="宋体" w:cs="宋体"/>
          <w:sz w:val="24"/>
          <w:szCs w:val="24"/>
          <w:lang w:val="en-US" w:eastAsia="zh-CN"/>
        </w:rPr>
        <w:t>落实政府采购政策进行价格调整的，以调整后的价格计算最后报价。评审得分相同的，按照最后报价由低到高的顺序推荐，供应商评审得分且最后报价相同的，依次按节能环保产品多优先、主要技术指标高优先、质保期长优先、交货时间短优先、故障到达时间短优先的顺序，排列各供应商的次序，推荐成交候选人。</w:t>
      </w:r>
    </w:p>
    <w:p w14:paraId="7771BECF">
      <w:pPr>
        <w:pStyle w:val="7"/>
        <w:pageBreakBefore w:val="0"/>
        <w:kinsoku/>
        <w:wordWrap/>
        <w:overflowPunct/>
        <w:topLinePunct w:val="0"/>
        <w:autoSpaceDE/>
        <w:autoSpaceDN/>
        <w:bidi w:val="0"/>
        <w:spacing w:before="0" w:after="0" w:line="560" w:lineRule="exact"/>
        <w:textAlignment w:val="auto"/>
        <w:rPr>
          <w:rFonts w:hint="eastAsia" w:ascii="宋体" w:hAnsi="宋体" w:eastAsia="宋体" w:cs="宋体"/>
          <w:b/>
          <w:bCs/>
          <w:sz w:val="24"/>
          <w:szCs w:val="24"/>
          <w:lang w:val="en-US" w:eastAsia="zh-CN"/>
        </w:rPr>
      </w:pPr>
      <w:bookmarkStart w:id="300" w:name="_Toc1936"/>
      <w:r>
        <w:rPr>
          <w:rFonts w:hint="eastAsia" w:ascii="宋体" w:hAnsi="宋体" w:eastAsia="宋体" w:cs="宋体"/>
          <w:b/>
          <w:bCs/>
          <w:sz w:val="24"/>
          <w:szCs w:val="24"/>
          <w:lang w:val="en-US" w:eastAsia="zh-CN"/>
        </w:rPr>
        <w:t>6.出具评审报告</w:t>
      </w:r>
      <w:bookmarkEnd w:id="300"/>
    </w:p>
    <w:p w14:paraId="02787AB8">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6.1</w:t>
      </w:r>
      <w:r>
        <w:rPr>
          <w:rFonts w:hint="eastAsia" w:ascii="宋体" w:hAnsi="宋体" w:eastAsia="宋体" w:cs="宋体"/>
          <w:sz w:val="24"/>
          <w:szCs w:val="24"/>
        </w:rPr>
        <w:t>评审报告是谈判小组根据全体成员签字的原始评审记录和评审结果编写的报告，其主要内容包括：</w:t>
      </w:r>
    </w:p>
    <w:p w14:paraId="76BE3A62">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6.1.1</w:t>
      </w:r>
      <w:r>
        <w:rPr>
          <w:rFonts w:hint="eastAsia" w:ascii="宋体" w:hAnsi="宋体" w:eastAsia="宋体" w:cs="宋体"/>
          <w:sz w:val="24"/>
          <w:szCs w:val="24"/>
        </w:rPr>
        <w:t>邀请供应商参加采购活动的具体方式和相关情况；</w:t>
      </w:r>
    </w:p>
    <w:p w14:paraId="23BFB5F3">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6.1.2</w:t>
      </w:r>
      <w:r>
        <w:rPr>
          <w:rFonts w:hint="eastAsia" w:ascii="宋体" w:hAnsi="宋体" w:eastAsia="宋体" w:cs="宋体"/>
          <w:sz w:val="24"/>
          <w:szCs w:val="24"/>
        </w:rPr>
        <w:t>响应文件开启日期和地点；</w:t>
      </w:r>
    </w:p>
    <w:p w14:paraId="308F0F9E">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6.1.3</w:t>
      </w:r>
      <w:r>
        <w:rPr>
          <w:rFonts w:hint="eastAsia" w:ascii="宋体" w:hAnsi="宋体" w:eastAsia="宋体" w:cs="宋体"/>
          <w:sz w:val="24"/>
          <w:szCs w:val="24"/>
        </w:rPr>
        <w:t>获取谈判文件的供应商名单和谈判小组成员名单；</w:t>
      </w:r>
    </w:p>
    <w:p w14:paraId="2E584936">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6.1.4</w:t>
      </w:r>
      <w:r>
        <w:rPr>
          <w:rFonts w:hint="eastAsia" w:ascii="宋体" w:hAnsi="宋体" w:eastAsia="宋体" w:cs="宋体"/>
          <w:sz w:val="24"/>
          <w:szCs w:val="24"/>
        </w:rPr>
        <w:t>评审情况记录和说明，包括对供应商的资格审查情况、供应商响应文件审查情况、谈判情况、报价情况等；</w:t>
      </w:r>
    </w:p>
    <w:p w14:paraId="085A381F">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6.1.5</w:t>
      </w:r>
      <w:r>
        <w:rPr>
          <w:rFonts w:hint="eastAsia" w:ascii="宋体" w:hAnsi="宋体" w:eastAsia="宋体" w:cs="宋体"/>
          <w:sz w:val="24"/>
          <w:szCs w:val="24"/>
        </w:rPr>
        <w:t>提出的成交候选供应商的排序名单及理由。</w:t>
      </w:r>
    </w:p>
    <w:p w14:paraId="715516FD">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谈判报告应当由谈判小组全体人员签字认可。谈判小组成员对谈判报告有异议的，谈判小组按照少数服从多数的原则推荐成交候选供应商，采购程序继续进行。对谈判报告有异议的谈判小组成员，应当在报告上签署不同意见并说明理由，由谈判小组书面记录相关情况。谈判小组成员拒绝在报告上签字又不书面说明其不同意见和理由的，视为同意谈判报告。</w:t>
      </w:r>
    </w:p>
    <w:p w14:paraId="6E712272">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6.2</w:t>
      </w:r>
      <w:bookmarkStart w:id="301" w:name="_Toc88573273"/>
      <w:bookmarkStart w:id="302" w:name="_Toc63084332"/>
      <w:bookmarkStart w:id="303" w:name="_Toc63437918"/>
      <w:bookmarkStart w:id="304" w:name="_Toc54948232"/>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谈判异议处理规则</w:t>
      </w:r>
      <w:bookmarkEnd w:id="301"/>
      <w:bookmarkEnd w:id="302"/>
      <w:bookmarkEnd w:id="303"/>
      <w:bookmarkEnd w:id="304"/>
    </w:p>
    <w:p w14:paraId="69069DAC">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b/>
          <w:bCs w:val="0"/>
          <w:color w:val="000000"/>
          <w:sz w:val="24"/>
          <w:szCs w:val="24"/>
          <w:highlight w:val="none"/>
        </w:rPr>
      </w:pPr>
      <w:r>
        <w:rPr>
          <w:rFonts w:hint="eastAsia" w:ascii="宋体" w:hAnsi="宋体" w:eastAsia="宋体" w:cs="宋体"/>
          <w:sz w:val="24"/>
          <w:szCs w:val="24"/>
        </w:rPr>
        <w:t>在谈判过程中，谈判小组成员对响应文件是否符合谈判文件规定存在争议的，应当以少数服从多数的原则处理，但不得违背谈判文件规定。有不同意见的谈判小组成员认为认定过程和结果不符合法律法规或者谈判文件规定的，应当在谈判报告中予以反映。</w:t>
      </w:r>
    </w:p>
    <w:p w14:paraId="66CAD935">
      <w:pPr>
        <w:pStyle w:val="7"/>
        <w:pageBreakBefore w:val="0"/>
        <w:kinsoku/>
        <w:wordWrap/>
        <w:overflowPunct/>
        <w:topLinePunct w:val="0"/>
        <w:autoSpaceDE/>
        <w:autoSpaceDN/>
        <w:bidi w:val="0"/>
        <w:spacing w:before="0" w:after="0" w:line="560" w:lineRule="exact"/>
        <w:textAlignment w:val="auto"/>
        <w:rPr>
          <w:rFonts w:hint="eastAsia" w:ascii="宋体" w:hAnsi="宋体" w:eastAsia="宋体" w:cs="宋体"/>
          <w:b/>
          <w:bCs/>
          <w:sz w:val="24"/>
          <w:szCs w:val="24"/>
          <w:lang w:val="en-US" w:eastAsia="zh-CN"/>
        </w:rPr>
      </w:pPr>
      <w:bookmarkStart w:id="305" w:name="_Toc16784"/>
      <w:bookmarkStart w:id="306" w:name="_Toc54948234"/>
      <w:bookmarkStart w:id="307" w:name="_Toc88573274"/>
      <w:r>
        <w:rPr>
          <w:rFonts w:hint="eastAsia" w:ascii="宋体" w:hAnsi="宋体" w:eastAsia="宋体" w:cs="宋体"/>
          <w:b/>
          <w:bCs/>
          <w:sz w:val="24"/>
          <w:szCs w:val="24"/>
          <w:lang w:val="en-US" w:eastAsia="zh-CN"/>
        </w:rPr>
        <w:t>7.采购失败情形</w:t>
      </w:r>
      <w:bookmarkEnd w:id="305"/>
      <w:bookmarkEnd w:id="306"/>
      <w:bookmarkEnd w:id="307"/>
    </w:p>
    <w:p w14:paraId="3B6B615E">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有下列情形之一的，本项目采购失败：</w:t>
      </w:r>
    </w:p>
    <w:p w14:paraId="79F7EC4B">
      <w:pPr>
        <w:pageBreakBefore w:val="0"/>
        <w:kinsoku/>
        <w:wordWrap/>
        <w:overflowPunct/>
        <w:topLinePunct w:val="0"/>
        <w:autoSpaceDE/>
        <w:autoSpaceDN/>
        <w:bidi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7.1</w:t>
      </w:r>
      <w:r>
        <w:rPr>
          <w:rFonts w:hint="eastAsia" w:ascii="宋体" w:hAnsi="宋体" w:eastAsia="宋体" w:cs="宋体"/>
          <w:sz w:val="24"/>
          <w:szCs w:val="24"/>
        </w:rPr>
        <w:t>因情况变化，不再符合规定的竞争性谈判采购方式适用情形的；</w:t>
      </w:r>
    </w:p>
    <w:p w14:paraId="1C4471E9">
      <w:pPr>
        <w:pageBreakBefore w:val="0"/>
        <w:tabs>
          <w:tab w:val="left" w:pos="851"/>
        </w:tabs>
        <w:kinsoku/>
        <w:wordWrap/>
        <w:overflowPunct/>
        <w:topLinePunct w:val="0"/>
        <w:autoSpaceDE/>
        <w:autoSpaceDN/>
        <w:bidi w:val="0"/>
        <w:snapToGrid w:val="0"/>
        <w:spacing w:line="560" w:lineRule="exact"/>
        <w:ind w:firstLine="484" w:firstLineChars="202"/>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7.2</w:t>
      </w:r>
      <w:r>
        <w:rPr>
          <w:rFonts w:hint="eastAsia" w:ascii="宋体" w:hAnsi="宋体" w:eastAsia="宋体" w:cs="宋体"/>
          <w:sz w:val="24"/>
          <w:szCs w:val="24"/>
        </w:rPr>
        <w:t>出现影响采购公正的违法、违规行为的；</w:t>
      </w:r>
    </w:p>
    <w:p w14:paraId="42F3ECD8">
      <w:pPr>
        <w:pageBreakBefore w:val="0"/>
        <w:tabs>
          <w:tab w:val="left" w:pos="851"/>
        </w:tabs>
        <w:kinsoku/>
        <w:wordWrap/>
        <w:overflowPunct/>
        <w:topLinePunct w:val="0"/>
        <w:autoSpaceDE/>
        <w:autoSpaceDN/>
        <w:bidi w:val="0"/>
        <w:snapToGrid w:val="0"/>
        <w:spacing w:line="560" w:lineRule="exact"/>
        <w:ind w:firstLine="484" w:firstLineChars="202"/>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7.3</w:t>
      </w:r>
      <w:r>
        <w:rPr>
          <w:rFonts w:hint="eastAsia" w:ascii="宋体" w:hAnsi="宋体" w:eastAsia="宋体" w:cs="宋体"/>
          <w:sz w:val="24"/>
          <w:szCs w:val="24"/>
        </w:rPr>
        <w:t>提交首次响应文件的供应商不足三家的；</w:t>
      </w:r>
    </w:p>
    <w:p w14:paraId="2A6AC412">
      <w:pPr>
        <w:pageBreakBefore w:val="0"/>
        <w:tabs>
          <w:tab w:val="left" w:pos="851"/>
        </w:tabs>
        <w:kinsoku/>
        <w:wordWrap/>
        <w:overflowPunct/>
        <w:topLinePunct w:val="0"/>
        <w:autoSpaceDE/>
        <w:autoSpaceDN/>
        <w:bidi w:val="0"/>
        <w:snapToGrid w:val="0"/>
        <w:spacing w:line="560" w:lineRule="exact"/>
        <w:ind w:firstLine="484" w:firstLineChars="202"/>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7.4</w:t>
      </w:r>
      <w:r>
        <w:rPr>
          <w:rFonts w:hint="eastAsia" w:ascii="宋体" w:hAnsi="宋体" w:eastAsia="宋体" w:cs="宋体"/>
          <w:sz w:val="24"/>
          <w:szCs w:val="24"/>
        </w:rPr>
        <w:t>通过资格性审查的供应商不足三家的；</w:t>
      </w:r>
    </w:p>
    <w:p w14:paraId="2A3D3B1C">
      <w:pPr>
        <w:pageBreakBefore w:val="0"/>
        <w:tabs>
          <w:tab w:val="left" w:pos="851"/>
        </w:tabs>
        <w:kinsoku/>
        <w:wordWrap/>
        <w:overflowPunct/>
        <w:topLinePunct w:val="0"/>
        <w:autoSpaceDE/>
        <w:autoSpaceDN/>
        <w:bidi w:val="0"/>
        <w:snapToGrid w:val="0"/>
        <w:spacing w:line="560" w:lineRule="exact"/>
        <w:ind w:firstLine="484" w:firstLineChars="202"/>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7.5</w:t>
      </w:r>
      <w:r>
        <w:rPr>
          <w:rFonts w:hint="eastAsia" w:ascii="宋体" w:hAnsi="宋体" w:eastAsia="宋体" w:cs="宋体"/>
          <w:sz w:val="24"/>
          <w:szCs w:val="24"/>
        </w:rPr>
        <w:t>通过符合性审查的供应商不足三家的；</w:t>
      </w:r>
    </w:p>
    <w:p w14:paraId="13AA994D">
      <w:pPr>
        <w:pageBreakBefore w:val="0"/>
        <w:tabs>
          <w:tab w:val="left" w:pos="851"/>
        </w:tabs>
        <w:kinsoku/>
        <w:wordWrap/>
        <w:overflowPunct/>
        <w:topLinePunct w:val="0"/>
        <w:autoSpaceDE/>
        <w:autoSpaceDN/>
        <w:bidi w:val="0"/>
        <w:snapToGrid w:val="0"/>
        <w:spacing w:line="560" w:lineRule="exact"/>
        <w:ind w:firstLine="484" w:firstLineChars="202"/>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7.6</w:t>
      </w:r>
      <w:r>
        <w:rPr>
          <w:rFonts w:hint="eastAsia" w:ascii="宋体" w:hAnsi="宋体" w:eastAsia="宋体" w:cs="宋体"/>
          <w:sz w:val="24"/>
          <w:szCs w:val="24"/>
        </w:rPr>
        <w:t>提交最后报价的供应商不足三家的；</w:t>
      </w:r>
    </w:p>
    <w:p w14:paraId="00213552">
      <w:pPr>
        <w:pageBreakBefore w:val="0"/>
        <w:tabs>
          <w:tab w:val="left" w:pos="851"/>
        </w:tabs>
        <w:kinsoku/>
        <w:wordWrap/>
        <w:overflowPunct/>
        <w:topLinePunct w:val="0"/>
        <w:autoSpaceDE/>
        <w:autoSpaceDN/>
        <w:bidi w:val="0"/>
        <w:snapToGrid w:val="0"/>
        <w:spacing w:line="560" w:lineRule="exact"/>
        <w:ind w:firstLine="484" w:firstLineChars="202"/>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7.7</w:t>
      </w:r>
      <w:r>
        <w:rPr>
          <w:rFonts w:hint="eastAsia" w:ascii="宋体" w:hAnsi="宋体" w:eastAsia="宋体" w:cs="宋体"/>
          <w:sz w:val="24"/>
          <w:szCs w:val="24"/>
        </w:rPr>
        <w:t>通过最后报价审查的供应商不足三家的。</w:t>
      </w:r>
    </w:p>
    <w:p w14:paraId="0FECA05A">
      <w:pPr>
        <w:pStyle w:val="7"/>
        <w:pageBreakBefore w:val="0"/>
        <w:kinsoku/>
        <w:wordWrap/>
        <w:overflowPunct/>
        <w:topLinePunct w:val="0"/>
        <w:autoSpaceDE/>
        <w:autoSpaceDN/>
        <w:bidi w:val="0"/>
        <w:spacing w:before="0" w:after="0" w:line="560" w:lineRule="exact"/>
        <w:textAlignment w:val="auto"/>
        <w:rPr>
          <w:rFonts w:hint="eastAsia" w:ascii="宋体" w:hAnsi="宋体" w:eastAsia="宋体" w:cs="宋体"/>
          <w:b/>
          <w:bCs/>
          <w:sz w:val="24"/>
          <w:szCs w:val="24"/>
          <w:lang w:val="en-US" w:eastAsia="zh-CN"/>
        </w:rPr>
      </w:pPr>
      <w:bookmarkStart w:id="308" w:name="_Toc10747"/>
      <w:r>
        <w:rPr>
          <w:rFonts w:hint="eastAsia" w:ascii="宋体" w:hAnsi="宋体" w:eastAsia="宋体" w:cs="宋体"/>
          <w:b/>
          <w:bCs/>
          <w:sz w:val="24"/>
          <w:szCs w:val="24"/>
          <w:lang w:val="en-US" w:eastAsia="zh-CN"/>
        </w:rPr>
        <w:t>8.评审纪律</w:t>
      </w:r>
      <w:bookmarkEnd w:id="203"/>
      <w:bookmarkEnd w:id="204"/>
      <w:bookmarkEnd w:id="205"/>
      <w:bookmarkEnd w:id="308"/>
      <w:bookmarkStart w:id="309" w:name="_Hlt101846155"/>
      <w:bookmarkEnd w:id="309"/>
      <w:bookmarkStart w:id="310" w:name="_Toc217446059"/>
      <w:bookmarkStart w:id="311" w:name="_Toc217446099"/>
    </w:p>
    <w:p w14:paraId="3BB6B700">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8.1</w:t>
      </w:r>
      <w:r>
        <w:rPr>
          <w:rFonts w:hint="eastAsia" w:ascii="宋体" w:hAnsi="宋体" w:eastAsia="宋体" w:cs="宋体"/>
          <w:sz w:val="24"/>
          <w:szCs w:val="24"/>
        </w:rPr>
        <w:t>不得参加与自己有《中华人民共和国政府采购法实施条例》第九条规定的利害关系的政府采购项目的评审活动。发现参加了与自己有利害关系的评审活动，须主动提出回避，退出评审；</w:t>
      </w:r>
    </w:p>
    <w:p w14:paraId="651723E0">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8.2</w:t>
      </w:r>
      <w:r>
        <w:rPr>
          <w:rFonts w:hint="eastAsia" w:ascii="宋体" w:hAnsi="宋体" w:eastAsia="宋体" w:cs="宋体"/>
          <w:sz w:val="24"/>
          <w:szCs w:val="24"/>
        </w:rPr>
        <w:t>进入评标区之前应将所有的通信设备存入指定的存放处。评审专家不得以任何方式将通信设备带入评标区，否则将被取消其当次项目的评审资格</w:t>
      </w:r>
      <w:r>
        <w:rPr>
          <w:rFonts w:hint="eastAsia" w:ascii="宋体" w:hAnsi="宋体" w:eastAsia="宋体" w:cs="宋体"/>
          <w:sz w:val="24"/>
          <w:szCs w:val="24"/>
          <w:lang w:eastAsia="zh-CN"/>
        </w:rPr>
        <w:t>；</w:t>
      </w:r>
    </w:p>
    <w:p w14:paraId="6B509E1A">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8.3</w:t>
      </w:r>
      <w:r>
        <w:rPr>
          <w:rFonts w:hint="eastAsia" w:ascii="宋体" w:hAnsi="宋体" w:eastAsia="宋体" w:cs="宋体"/>
          <w:sz w:val="24"/>
          <w:szCs w:val="24"/>
        </w:rPr>
        <w:t>遇特殊情况不能出席或途中遇阻不能按时参加评审或咨询的，应及时告知采购</w:t>
      </w:r>
      <w:r>
        <w:rPr>
          <w:rFonts w:hint="eastAsia" w:ascii="宋体" w:hAnsi="宋体" w:eastAsia="宋体" w:cs="宋体"/>
          <w:sz w:val="24"/>
          <w:szCs w:val="24"/>
          <w:lang w:val="en-US" w:eastAsia="zh-CN"/>
        </w:rPr>
        <w:t>代理机构</w:t>
      </w:r>
      <w:r>
        <w:rPr>
          <w:rFonts w:hint="eastAsia" w:ascii="宋体" w:hAnsi="宋体" w:eastAsia="宋体" w:cs="宋体"/>
          <w:sz w:val="24"/>
          <w:szCs w:val="24"/>
        </w:rPr>
        <w:t>，不得私自转托他人</w:t>
      </w:r>
      <w:r>
        <w:rPr>
          <w:rFonts w:hint="eastAsia" w:ascii="宋体" w:hAnsi="宋体" w:eastAsia="宋体" w:cs="宋体"/>
          <w:sz w:val="24"/>
          <w:szCs w:val="24"/>
          <w:lang w:eastAsia="zh-CN"/>
        </w:rPr>
        <w:t>；</w:t>
      </w:r>
    </w:p>
    <w:p w14:paraId="44A49D47">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8.4</w:t>
      </w:r>
      <w:r>
        <w:rPr>
          <w:rFonts w:hint="eastAsia" w:ascii="宋体" w:hAnsi="宋体" w:eastAsia="宋体" w:cs="宋体"/>
          <w:sz w:val="24"/>
          <w:szCs w:val="24"/>
        </w:rPr>
        <w:t>在评审过程中不得擅离职守，影响评审程序正常进行；</w:t>
      </w:r>
    </w:p>
    <w:p w14:paraId="5CBABAB6">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8.5</w:t>
      </w:r>
      <w:r>
        <w:rPr>
          <w:rFonts w:hint="eastAsia" w:ascii="宋体" w:hAnsi="宋体" w:eastAsia="宋体" w:cs="宋体"/>
          <w:sz w:val="24"/>
          <w:szCs w:val="24"/>
        </w:rPr>
        <w:t>评审过程中，不得与外界联系，因发生不可预见情况，确实需要与外界联系的，应当在监督人员监督之下办理；</w:t>
      </w:r>
    </w:p>
    <w:p w14:paraId="076129C2">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8.6</w:t>
      </w:r>
      <w:r>
        <w:rPr>
          <w:rFonts w:hint="eastAsia" w:ascii="宋体" w:hAnsi="宋体" w:eastAsia="宋体" w:cs="宋体"/>
          <w:sz w:val="24"/>
          <w:szCs w:val="24"/>
        </w:rPr>
        <w:t>评审过程中，不得发表影响评审公正的倾向性、歧视性言论，不得征询或者接受采购人的倾向性意见，不得明示或暗示供应商在澄清时表达与其响应文件原义不同的意见，不得以采购文件没有规定的评审方法和标准作为评审的依据，不得修改或者细化评审程序、评审方法、评审因素和评审标准，不得违规撰写评审意见，不得拒绝对自己的评审意见签字确认；</w:t>
      </w:r>
    </w:p>
    <w:p w14:paraId="1D4B4FA4">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8.7</w:t>
      </w:r>
      <w:r>
        <w:rPr>
          <w:rFonts w:hint="eastAsia" w:ascii="宋体" w:hAnsi="宋体" w:eastAsia="宋体" w:cs="宋体"/>
          <w:sz w:val="24"/>
          <w:szCs w:val="24"/>
        </w:rPr>
        <w:t>在评审过程中和评审结束后，不得记录、复制或带走任何评审资料，不得向外界透露评审内容；</w:t>
      </w:r>
    </w:p>
    <w:p w14:paraId="7335E0B0">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8.8</w:t>
      </w:r>
      <w:r>
        <w:rPr>
          <w:rFonts w:hint="eastAsia" w:ascii="宋体" w:hAnsi="宋体" w:eastAsia="宋体" w:cs="宋体"/>
          <w:sz w:val="24"/>
          <w:szCs w:val="24"/>
        </w:rPr>
        <w:t>评审现场服从采购代理机构工作人员的管理，接受现场监督人员的合法监督；</w:t>
      </w:r>
    </w:p>
    <w:p w14:paraId="7EEEFEA2">
      <w:pPr>
        <w:keepNext w:val="0"/>
        <w:keepLines w:val="0"/>
        <w:pageBreakBefore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8.9</w:t>
      </w:r>
      <w:r>
        <w:rPr>
          <w:rFonts w:hint="eastAsia" w:ascii="宋体" w:hAnsi="宋体" w:eastAsia="宋体" w:cs="宋体"/>
          <w:sz w:val="24"/>
          <w:szCs w:val="24"/>
        </w:rPr>
        <w:t>遵守有关廉洁自律规定，不得私下接触供应商，不得收受供应商及有关业务单位和个人的财物或好处，不得接受采购代理机构的请托。</w:t>
      </w:r>
    </w:p>
    <w:bookmarkEnd w:id="310"/>
    <w:bookmarkEnd w:id="311"/>
    <w:p w14:paraId="0B3B4848">
      <w:pPr>
        <w:pStyle w:val="61"/>
        <w:pageBreakBefore w:val="0"/>
        <w:kinsoku/>
        <w:wordWrap/>
        <w:overflowPunct/>
        <w:topLinePunct w:val="0"/>
        <w:autoSpaceDE/>
        <w:autoSpaceDN/>
        <w:bidi w:val="0"/>
        <w:spacing w:line="560" w:lineRule="exact"/>
        <w:ind w:left="0" w:leftChars="0" w:firstLine="0" w:firstLineChars="0"/>
        <w:jc w:val="both"/>
        <w:textAlignment w:val="auto"/>
        <w:rPr>
          <w:rFonts w:hint="eastAsia"/>
          <w:sz w:val="44"/>
          <w:szCs w:val="44"/>
          <w:lang w:eastAsia="zh-CN"/>
        </w:rPr>
      </w:pPr>
      <w:bookmarkStart w:id="312" w:name="_Toc367_WPSOffice_Level1"/>
      <w:bookmarkStart w:id="313" w:name="_Toc13867"/>
    </w:p>
    <w:p w14:paraId="02C87AA0">
      <w:pPr>
        <w:pStyle w:val="61"/>
        <w:pageBreakBefore w:val="0"/>
        <w:kinsoku/>
        <w:wordWrap/>
        <w:overflowPunct/>
        <w:topLinePunct w:val="0"/>
        <w:bidi w:val="0"/>
        <w:spacing w:line="560" w:lineRule="exact"/>
        <w:ind w:left="0" w:leftChars="0" w:firstLine="0" w:firstLineChars="0"/>
        <w:jc w:val="both"/>
        <w:textAlignment w:val="auto"/>
        <w:rPr>
          <w:rFonts w:hint="eastAsia"/>
          <w:sz w:val="44"/>
          <w:szCs w:val="44"/>
          <w:lang w:eastAsia="zh-CN"/>
        </w:rPr>
      </w:pPr>
    </w:p>
    <w:p w14:paraId="144AB0E9">
      <w:pPr>
        <w:pStyle w:val="5"/>
        <w:jc w:val="center"/>
        <w:rPr>
          <w:rFonts w:hint="eastAsia"/>
        </w:rPr>
      </w:pPr>
      <w:bookmarkStart w:id="314" w:name="_Toc31753"/>
      <w:bookmarkStart w:id="315" w:name="_Toc3045"/>
      <w:bookmarkStart w:id="316" w:name="_Toc1275"/>
      <w:r>
        <w:rPr>
          <w:rFonts w:hint="eastAsia"/>
          <w:lang w:eastAsia="zh-CN"/>
        </w:rPr>
        <w:t>第六章</w:t>
      </w:r>
      <w:r>
        <w:rPr>
          <w:rFonts w:hint="eastAsia"/>
        </w:rPr>
        <w:t xml:space="preserve">  响应文件格式</w:t>
      </w:r>
      <w:bookmarkEnd w:id="312"/>
      <w:bookmarkEnd w:id="313"/>
      <w:bookmarkEnd w:id="314"/>
      <w:bookmarkEnd w:id="315"/>
      <w:bookmarkEnd w:id="316"/>
    </w:p>
    <w:p w14:paraId="09896E6F">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一、本章所制响应文件格式，除格式中明确将该格式作为实质性要求的，一律不具有强制性。</w:t>
      </w:r>
    </w:p>
    <w:p w14:paraId="75253CC7">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二、本章所制响应文件格式有关表格中的备注栏，由供应商根据自身响应情况作解释性说明，不作为必填项。</w:t>
      </w:r>
    </w:p>
    <w:p w14:paraId="0F352F4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三、本章所制响应文件格式中需要填写的相关内容事项，可能会与本采购项目无关，在不改变响应文件原义、不影响本项目采购需求的情况下，供应商可以不予填写，但应当注明。</w:t>
      </w:r>
    </w:p>
    <w:p w14:paraId="723D879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四、</w:t>
      </w:r>
      <w:r>
        <w:rPr>
          <w:rFonts w:hint="eastAsia" w:ascii="宋体" w:hAnsi="宋体" w:eastAsia="宋体" w:cs="宋体"/>
          <w:sz w:val="24"/>
          <w:szCs w:val="24"/>
          <w:lang w:val="en-US" w:eastAsia="zh-CN"/>
        </w:rPr>
        <w:t>若格式中要求加盖单位公章的，自然人无需盖章，但需要签字。要求法定代表人签字的，适用于主要负责人。</w:t>
      </w:r>
    </w:p>
    <w:p w14:paraId="4BB1829F">
      <w:pPr>
        <w:pStyle w:val="2"/>
        <w:pageBreakBefore w:val="0"/>
        <w:kinsoku/>
        <w:wordWrap/>
        <w:overflowPunct/>
        <w:topLinePunct w:val="0"/>
        <w:bidi w:val="0"/>
        <w:spacing w:line="560" w:lineRule="exact"/>
        <w:textAlignment w:val="auto"/>
        <w:rPr>
          <w:rFonts w:hint="eastAsia" w:ascii="宋体" w:hAnsi="宋体" w:eastAsia="宋体" w:cs="宋体"/>
          <w:sz w:val="24"/>
          <w:szCs w:val="24"/>
          <w:lang w:val="en-US" w:eastAsia="zh-CN"/>
        </w:rPr>
      </w:pPr>
    </w:p>
    <w:p w14:paraId="4581EA7A">
      <w:pPr>
        <w:keepNext w:val="0"/>
        <w:keepLines w:val="0"/>
        <w:pageBreakBefore w:val="0"/>
        <w:widowControl w:val="0"/>
        <w:kinsoku/>
        <w:wordWrap/>
        <w:overflowPunct/>
        <w:topLinePunct w:val="0"/>
        <w:autoSpaceDE/>
        <w:autoSpaceDN/>
        <w:bidi w:val="0"/>
        <w:adjustRightInd/>
        <w:snapToGrid/>
        <w:spacing w:line="560" w:lineRule="exact"/>
        <w:ind w:right="0" w:rightChars="0" w:firstLine="480" w:firstLineChars="200"/>
        <w:jc w:val="center"/>
        <w:textAlignment w:val="auto"/>
        <w:rPr>
          <w:rFonts w:hint="eastAsia" w:ascii="宋体" w:hAnsi="宋体" w:eastAsia="宋体" w:cs="宋体"/>
          <w:b/>
          <w:bCs/>
          <w:color w:val="000000"/>
          <w:sz w:val="30"/>
          <w:szCs w:val="30"/>
          <w:lang w:val="en-US" w:eastAsia="zh-CN"/>
        </w:rPr>
      </w:pPr>
      <w:r>
        <w:rPr>
          <w:rFonts w:hint="eastAsia" w:ascii="宋体" w:hAnsi="宋体" w:eastAsia="宋体" w:cs="宋体"/>
          <w:color w:val="000000"/>
          <w:sz w:val="24"/>
          <w:szCs w:val="24"/>
        </w:rPr>
        <w:br w:type="page"/>
      </w:r>
    </w:p>
    <w:p w14:paraId="737BCF63">
      <w:pPr>
        <w:keepNext w:val="0"/>
        <w:keepLines w:val="0"/>
        <w:pageBreakBefore w:val="0"/>
        <w:widowControl w:val="0"/>
        <w:kinsoku/>
        <w:wordWrap/>
        <w:overflowPunct/>
        <w:topLinePunct w:val="0"/>
        <w:autoSpaceDE/>
        <w:autoSpaceDN/>
        <w:bidi w:val="0"/>
        <w:spacing w:line="560" w:lineRule="exact"/>
        <w:ind w:left="1080" w:hanging="1260" w:hangingChars="450"/>
        <w:jc w:val="center"/>
        <w:textAlignment w:val="auto"/>
        <w:rPr>
          <w:rFonts w:hint="default" w:ascii="宋体" w:hAnsi="宋体" w:eastAsia="宋体" w:cs="宋体"/>
          <w:b/>
          <w:bCs/>
          <w:sz w:val="28"/>
          <w:szCs w:val="28"/>
          <w:lang w:val="en-US" w:eastAsia="zh-CN"/>
        </w:rPr>
      </w:pPr>
      <w:bookmarkStart w:id="317" w:name="_Toc26424"/>
      <w:bookmarkStart w:id="318" w:name="_Toc17774"/>
      <w:bookmarkStart w:id="319" w:name="_Toc25829"/>
      <w:bookmarkStart w:id="320" w:name="_Toc5712"/>
      <w:bookmarkStart w:id="321" w:name="_Toc24176_WPSOffice_Level2"/>
      <w:r>
        <w:rPr>
          <w:rFonts w:hint="eastAsia" w:ascii="宋体" w:hAnsi="宋体" w:eastAsia="宋体" w:cs="宋体"/>
          <w:b/>
          <w:bCs/>
          <w:sz w:val="28"/>
          <w:szCs w:val="28"/>
          <w:lang w:val="en-US" w:eastAsia="zh-CN"/>
        </w:rPr>
        <w:t>响应文件格式目录</w:t>
      </w:r>
    </w:p>
    <w:p w14:paraId="332020C6">
      <w:pPr>
        <w:bidi w:val="0"/>
        <w:jc w:val="center"/>
        <w:rPr>
          <w:rFonts w:hint="eastAsia"/>
          <w:b/>
          <w:bCs/>
          <w:sz w:val="28"/>
          <w:szCs w:val="28"/>
          <w:lang w:val="en-US" w:eastAsia="zh-CN"/>
        </w:rPr>
      </w:pPr>
      <w:r>
        <w:rPr>
          <w:rFonts w:hint="eastAsia"/>
          <w:b/>
          <w:bCs/>
          <w:sz w:val="28"/>
          <w:szCs w:val="28"/>
          <w:lang w:val="en-US" w:eastAsia="zh-CN"/>
        </w:rPr>
        <w:t>第一部分 报价要求响应文件</w:t>
      </w:r>
      <w:bookmarkEnd w:id="317"/>
      <w:bookmarkEnd w:id="318"/>
      <w:bookmarkEnd w:id="319"/>
      <w:bookmarkEnd w:id="320"/>
      <w:bookmarkEnd w:id="321"/>
    </w:p>
    <w:p w14:paraId="13642C74">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sz w:val="24"/>
          <w:szCs w:val="24"/>
          <w:lang w:val="en-US" w:eastAsia="zh-CN"/>
        </w:rPr>
      </w:pPr>
      <w:bookmarkStart w:id="322" w:name="_Toc8552"/>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格式1-1：报价表（实质性要求）</w:t>
      </w:r>
      <w:bookmarkEnd w:id="322"/>
    </w:p>
    <w:p w14:paraId="6FCFDFB9">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sz w:val="24"/>
          <w:szCs w:val="24"/>
          <w:lang w:val="en-US" w:eastAsia="zh-CN"/>
        </w:rPr>
      </w:pPr>
      <w:bookmarkStart w:id="323" w:name="_Toc24643"/>
      <w:r>
        <w:rPr>
          <w:rFonts w:hint="eastAsia" w:ascii="宋体" w:hAnsi="宋体" w:eastAsia="宋体" w:cs="宋体"/>
          <w:sz w:val="24"/>
          <w:szCs w:val="24"/>
          <w:lang w:val="zh-CN" w:eastAsia="zh-CN"/>
        </w:rPr>
        <w:t>★格式</w:t>
      </w:r>
      <w:r>
        <w:rPr>
          <w:rFonts w:hint="eastAsia" w:ascii="宋体" w:hAnsi="宋体" w:eastAsia="宋体" w:cs="宋体"/>
          <w:sz w:val="24"/>
          <w:szCs w:val="24"/>
          <w:lang w:val="en-US" w:eastAsia="zh-CN"/>
        </w:rPr>
        <w:t>1-2</w:t>
      </w: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分项价格明细</w:t>
      </w:r>
      <w:r>
        <w:rPr>
          <w:rFonts w:hint="eastAsia" w:ascii="宋体" w:hAnsi="宋体" w:eastAsia="宋体" w:cs="宋体"/>
          <w:sz w:val="24"/>
          <w:szCs w:val="24"/>
          <w:lang w:val="zh-CN" w:eastAsia="zh-CN"/>
        </w:rPr>
        <w:t>表</w:t>
      </w:r>
      <w:r>
        <w:rPr>
          <w:rFonts w:hint="eastAsia" w:ascii="宋体" w:hAnsi="宋体" w:eastAsia="宋体" w:cs="宋体"/>
          <w:sz w:val="24"/>
          <w:szCs w:val="24"/>
          <w:lang w:val="en-US" w:eastAsia="zh-CN"/>
        </w:rPr>
        <w:t>（实质性要求）</w:t>
      </w:r>
      <w:bookmarkEnd w:id="323"/>
    </w:p>
    <w:p w14:paraId="594B8417">
      <w:pPr>
        <w:bidi w:val="0"/>
        <w:jc w:val="center"/>
        <w:rPr>
          <w:rFonts w:hint="eastAsia"/>
          <w:b/>
          <w:bCs/>
          <w:sz w:val="28"/>
          <w:szCs w:val="28"/>
          <w:lang w:val="en-US" w:eastAsia="zh-CN"/>
        </w:rPr>
      </w:pPr>
      <w:bookmarkStart w:id="324" w:name="_Toc15180_WPSOffice_Level2"/>
      <w:bookmarkStart w:id="325" w:name="_Toc22783"/>
      <w:bookmarkStart w:id="326" w:name="_Toc16400"/>
      <w:bookmarkStart w:id="327" w:name="_Toc6940"/>
      <w:bookmarkStart w:id="328" w:name="_Toc9090"/>
      <w:r>
        <w:rPr>
          <w:rFonts w:hint="eastAsia"/>
          <w:b/>
          <w:bCs/>
          <w:sz w:val="28"/>
          <w:szCs w:val="28"/>
          <w:lang w:val="en-US" w:eastAsia="zh-CN"/>
        </w:rPr>
        <w:t>第二部分 资格证明文件</w:t>
      </w:r>
      <w:bookmarkEnd w:id="324"/>
      <w:bookmarkEnd w:id="325"/>
      <w:bookmarkEnd w:id="326"/>
      <w:bookmarkEnd w:id="327"/>
      <w:bookmarkEnd w:id="328"/>
    </w:p>
    <w:p w14:paraId="1ACDFBD4">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sz w:val="24"/>
          <w:szCs w:val="24"/>
          <w:lang w:val="en-US" w:eastAsia="zh-CN"/>
        </w:rPr>
      </w:pPr>
      <w:bookmarkStart w:id="329" w:name="_Toc1343"/>
      <w:r>
        <w:rPr>
          <w:rFonts w:hint="eastAsia" w:ascii="宋体" w:hAnsi="宋体" w:eastAsia="宋体" w:cs="宋体"/>
          <w:sz w:val="24"/>
          <w:szCs w:val="24"/>
          <w:lang w:val="en-US" w:eastAsia="zh-CN"/>
        </w:rPr>
        <w:t>格式2-1：供应商应具有独立承担民事责任的能力的证明材料</w:t>
      </w:r>
      <w:bookmarkEnd w:id="329"/>
    </w:p>
    <w:p w14:paraId="42758B39">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sz w:val="24"/>
          <w:szCs w:val="24"/>
          <w:lang w:val="en-US" w:eastAsia="zh-CN"/>
        </w:rPr>
      </w:pPr>
      <w:bookmarkStart w:id="330" w:name="_Toc13310"/>
      <w:r>
        <w:rPr>
          <w:rFonts w:hint="eastAsia" w:ascii="宋体" w:hAnsi="宋体" w:eastAsia="宋体" w:cs="宋体"/>
          <w:sz w:val="24"/>
          <w:szCs w:val="24"/>
          <w:lang w:val="en-US" w:eastAsia="zh-CN"/>
        </w:rPr>
        <w:t>格式2-2：供应商缴纳税收证明材料</w:t>
      </w:r>
      <w:bookmarkEnd w:id="330"/>
    </w:p>
    <w:p w14:paraId="22FFAE93">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sz w:val="24"/>
          <w:szCs w:val="24"/>
          <w:lang w:val="en-US" w:eastAsia="zh-CN"/>
        </w:rPr>
      </w:pPr>
      <w:bookmarkStart w:id="331" w:name="_Toc26813"/>
      <w:r>
        <w:rPr>
          <w:rFonts w:hint="eastAsia" w:ascii="宋体" w:hAnsi="宋体" w:eastAsia="宋体" w:cs="宋体"/>
          <w:sz w:val="24"/>
          <w:szCs w:val="24"/>
          <w:lang w:val="en-US" w:eastAsia="zh-CN"/>
        </w:rPr>
        <w:t>格式2-3：供应商缴纳社保证明材料</w:t>
      </w:r>
      <w:bookmarkEnd w:id="331"/>
    </w:p>
    <w:p w14:paraId="4E7CC037">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sz w:val="24"/>
          <w:szCs w:val="24"/>
          <w:lang w:val="en-US" w:eastAsia="zh-CN"/>
        </w:rPr>
      </w:pPr>
      <w:bookmarkStart w:id="332" w:name="_Toc11841"/>
      <w:r>
        <w:rPr>
          <w:rFonts w:hint="eastAsia" w:ascii="宋体" w:hAnsi="宋体" w:eastAsia="宋体" w:cs="宋体"/>
          <w:sz w:val="24"/>
          <w:szCs w:val="24"/>
          <w:lang w:val="en-US" w:eastAsia="zh-CN"/>
        </w:rPr>
        <w:t>格式2-4：具有健全的财务会计制度</w:t>
      </w:r>
      <w:bookmarkEnd w:id="332"/>
    </w:p>
    <w:p w14:paraId="27F1F7D8">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sz w:val="24"/>
          <w:szCs w:val="24"/>
          <w:lang w:val="en-US" w:eastAsia="zh-CN"/>
        </w:rPr>
      </w:pPr>
      <w:bookmarkStart w:id="333" w:name="_Toc32349"/>
      <w:r>
        <w:rPr>
          <w:rFonts w:hint="eastAsia" w:ascii="宋体" w:hAnsi="宋体" w:eastAsia="宋体" w:cs="宋体"/>
          <w:sz w:val="24"/>
          <w:szCs w:val="24"/>
          <w:lang w:val="en-US" w:eastAsia="zh-CN"/>
        </w:rPr>
        <w:t>格式2-5：具有良好的商业信誉</w:t>
      </w:r>
      <w:bookmarkEnd w:id="333"/>
    </w:p>
    <w:p w14:paraId="69DFE226">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sz w:val="24"/>
          <w:szCs w:val="24"/>
          <w:lang w:val="zh-CN" w:eastAsia="zh-CN"/>
        </w:rPr>
      </w:pPr>
      <w:bookmarkStart w:id="334" w:name="_Toc2111"/>
      <w:r>
        <w:rPr>
          <w:rFonts w:hint="eastAsia" w:ascii="宋体" w:hAnsi="宋体" w:eastAsia="宋体" w:cs="宋体"/>
          <w:sz w:val="24"/>
          <w:szCs w:val="24"/>
          <w:lang w:val="zh-CN" w:eastAsia="zh-CN"/>
        </w:rPr>
        <w:t>格式2-</w:t>
      </w:r>
      <w:r>
        <w:rPr>
          <w:rFonts w:hint="eastAsia" w:ascii="宋体" w:hAnsi="宋体" w:eastAsia="宋体" w:cs="宋体"/>
          <w:sz w:val="24"/>
          <w:szCs w:val="24"/>
          <w:lang w:val="en-US" w:eastAsia="zh-CN"/>
        </w:rPr>
        <w:t>6</w:t>
      </w:r>
      <w:r>
        <w:rPr>
          <w:rFonts w:hint="eastAsia" w:ascii="宋体" w:hAnsi="宋体" w:eastAsia="宋体" w:cs="宋体"/>
          <w:sz w:val="24"/>
          <w:szCs w:val="24"/>
          <w:lang w:val="zh-CN" w:eastAsia="zh-CN"/>
        </w:rPr>
        <w:t>：法定代表人</w:t>
      </w:r>
      <w:r>
        <w:rPr>
          <w:rFonts w:hint="eastAsia" w:ascii="宋体" w:hAnsi="宋体" w:eastAsia="宋体" w:cs="宋体"/>
          <w:sz w:val="24"/>
          <w:szCs w:val="24"/>
          <w:lang w:val="en-US" w:eastAsia="zh-CN"/>
        </w:rPr>
        <w:t>或主要负责人</w:t>
      </w:r>
      <w:r>
        <w:rPr>
          <w:rFonts w:hint="eastAsia" w:ascii="宋体" w:hAnsi="宋体" w:eastAsia="宋体" w:cs="宋体"/>
          <w:sz w:val="24"/>
          <w:szCs w:val="24"/>
          <w:lang w:val="zh-CN" w:eastAsia="zh-CN"/>
        </w:rPr>
        <w:t>资格证明书</w:t>
      </w:r>
      <w:bookmarkEnd w:id="334"/>
    </w:p>
    <w:p w14:paraId="09791C21">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sz w:val="24"/>
          <w:szCs w:val="24"/>
          <w:lang w:val="en-US" w:eastAsia="zh-CN"/>
        </w:rPr>
      </w:pPr>
      <w:bookmarkStart w:id="335" w:name="_Toc10093"/>
      <w:r>
        <w:rPr>
          <w:rFonts w:hint="eastAsia" w:ascii="宋体" w:hAnsi="宋体" w:eastAsia="宋体" w:cs="宋体"/>
          <w:sz w:val="24"/>
          <w:szCs w:val="24"/>
          <w:lang w:val="en-US" w:eastAsia="zh-CN"/>
        </w:rPr>
        <w:t>格式2-7：法定代表人或负责人授权委托书</w:t>
      </w:r>
      <w:bookmarkEnd w:id="335"/>
    </w:p>
    <w:p w14:paraId="47333A77">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sz w:val="24"/>
          <w:szCs w:val="24"/>
          <w:lang w:val="zh-CN" w:eastAsia="zh-CN"/>
        </w:rPr>
      </w:pPr>
      <w:bookmarkStart w:id="336" w:name="_Toc20760"/>
      <w:r>
        <w:rPr>
          <w:rFonts w:hint="eastAsia" w:ascii="宋体" w:hAnsi="宋体" w:eastAsia="宋体" w:cs="宋体"/>
          <w:sz w:val="24"/>
          <w:szCs w:val="24"/>
          <w:lang w:val="zh-CN" w:eastAsia="zh-CN"/>
        </w:rPr>
        <w:t>格式2-</w:t>
      </w:r>
      <w:r>
        <w:rPr>
          <w:rFonts w:hint="eastAsia" w:ascii="宋体" w:hAnsi="宋体" w:eastAsia="宋体" w:cs="宋体"/>
          <w:sz w:val="24"/>
          <w:szCs w:val="24"/>
          <w:lang w:val="en-US" w:eastAsia="zh-CN"/>
        </w:rPr>
        <w:t>8</w:t>
      </w:r>
      <w:r>
        <w:rPr>
          <w:rFonts w:hint="eastAsia" w:ascii="宋体" w:hAnsi="宋体" w:eastAsia="宋体" w:cs="宋体"/>
          <w:sz w:val="24"/>
          <w:szCs w:val="24"/>
          <w:lang w:val="zh-CN" w:eastAsia="zh-CN"/>
        </w:rPr>
        <w:t>：本项目要求供应商应具备的特定条件</w:t>
      </w:r>
      <w:bookmarkEnd w:id="336"/>
      <w:r>
        <w:rPr>
          <w:rFonts w:hint="eastAsia" w:ascii="宋体" w:hAnsi="宋体" w:eastAsia="宋体" w:cs="宋体"/>
          <w:b/>
          <w:bCs/>
          <w:sz w:val="24"/>
          <w:szCs w:val="24"/>
          <w:lang w:val="en-US" w:eastAsia="zh-CN"/>
        </w:rPr>
        <w:t>(如不涉及请忽略此项)</w:t>
      </w:r>
    </w:p>
    <w:p w14:paraId="402750D0">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sz w:val="24"/>
          <w:szCs w:val="24"/>
          <w:lang w:val="en-US" w:eastAsia="zh-CN"/>
        </w:rPr>
      </w:pPr>
      <w:bookmarkStart w:id="337" w:name="_Toc17767"/>
      <w:r>
        <w:rPr>
          <w:rFonts w:hint="eastAsia" w:ascii="宋体" w:hAnsi="宋体" w:eastAsia="宋体" w:cs="宋体"/>
          <w:sz w:val="24"/>
          <w:szCs w:val="24"/>
          <w:lang w:val="zh-CN" w:eastAsia="zh-CN"/>
        </w:rPr>
        <w:t>格式2-</w:t>
      </w:r>
      <w:r>
        <w:rPr>
          <w:rFonts w:hint="eastAsia" w:ascii="宋体" w:hAnsi="宋体" w:eastAsia="宋体" w:cs="宋体"/>
          <w:sz w:val="24"/>
          <w:szCs w:val="24"/>
          <w:lang w:val="en-US" w:eastAsia="zh-CN"/>
        </w:rPr>
        <w:t>9</w:t>
      </w: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其他</w:t>
      </w:r>
      <w:bookmarkEnd w:id="337"/>
      <w:bookmarkStart w:id="338" w:name="_Toc27707"/>
      <w:bookmarkStart w:id="339" w:name="_Toc2436"/>
      <w:bookmarkStart w:id="340" w:name="_Toc26756_WPSOffice_Level2"/>
      <w:bookmarkStart w:id="341" w:name="_Toc13888"/>
      <w:bookmarkStart w:id="342" w:name="_Toc16768"/>
    </w:p>
    <w:p w14:paraId="2EFA6EBA">
      <w:pPr>
        <w:bidi w:val="0"/>
        <w:jc w:val="center"/>
        <w:rPr>
          <w:rFonts w:hint="eastAsia" w:eastAsia="宋体"/>
          <w:b/>
          <w:bCs/>
          <w:sz w:val="28"/>
          <w:szCs w:val="28"/>
          <w:lang w:val="en-US" w:eastAsia="zh-CN"/>
        </w:rPr>
      </w:pPr>
      <w:r>
        <w:rPr>
          <w:rFonts w:hint="eastAsia" w:eastAsia="宋体"/>
          <w:b/>
          <w:bCs/>
          <w:sz w:val="28"/>
          <w:szCs w:val="28"/>
          <w:lang w:val="en-US" w:eastAsia="zh-CN"/>
        </w:rPr>
        <w:t>第三部分 商务技术响应文件</w:t>
      </w:r>
      <w:bookmarkEnd w:id="338"/>
      <w:bookmarkEnd w:id="339"/>
      <w:bookmarkEnd w:id="340"/>
      <w:bookmarkEnd w:id="341"/>
      <w:bookmarkEnd w:id="342"/>
    </w:p>
    <w:p w14:paraId="57FAC4F7">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sz w:val="24"/>
          <w:szCs w:val="24"/>
          <w:lang w:val="en-US" w:eastAsia="zh-CN"/>
        </w:rPr>
      </w:pPr>
      <w:bookmarkStart w:id="343" w:name="_Toc1691"/>
      <w:r>
        <w:rPr>
          <w:rFonts w:hint="eastAsia" w:ascii="宋体" w:hAnsi="宋体" w:eastAsia="宋体" w:cs="宋体"/>
          <w:sz w:val="24"/>
          <w:szCs w:val="24"/>
          <w:lang w:val="en-US" w:eastAsia="zh-CN"/>
        </w:rPr>
        <w:t>★格式3-1：承诺函（实质性要求）</w:t>
      </w:r>
      <w:bookmarkEnd w:id="343"/>
    </w:p>
    <w:p w14:paraId="62E851FE">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sz w:val="24"/>
          <w:szCs w:val="24"/>
          <w:lang w:val="en-US" w:eastAsia="zh-CN"/>
        </w:rPr>
      </w:pPr>
      <w:bookmarkStart w:id="344" w:name="_Toc12732"/>
      <w:r>
        <w:rPr>
          <w:rFonts w:hint="eastAsia" w:ascii="宋体" w:hAnsi="宋体" w:eastAsia="宋体" w:cs="宋体"/>
          <w:sz w:val="24"/>
          <w:szCs w:val="24"/>
          <w:lang w:val="en-US" w:eastAsia="zh-CN"/>
        </w:rPr>
        <w:t>格式3-2：供应商信息表</w:t>
      </w:r>
      <w:bookmarkEnd w:id="344"/>
    </w:p>
    <w:p w14:paraId="1620CEDD">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sz w:val="24"/>
          <w:szCs w:val="24"/>
          <w:lang w:val="en-US" w:eastAsia="zh-CN"/>
        </w:rPr>
      </w:pPr>
      <w:bookmarkStart w:id="345" w:name="_Toc29532"/>
      <w:r>
        <w:rPr>
          <w:rFonts w:hint="eastAsia" w:ascii="宋体" w:hAnsi="宋体" w:eastAsia="宋体" w:cs="宋体"/>
          <w:sz w:val="24"/>
          <w:szCs w:val="24"/>
          <w:lang w:val="en-US" w:eastAsia="zh-CN"/>
        </w:rPr>
        <w:t>★格式3-3：技术、服务要求应答表（实质性要求）</w:t>
      </w:r>
      <w:bookmarkEnd w:id="345"/>
    </w:p>
    <w:p w14:paraId="5AEE41B3">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sz w:val="24"/>
          <w:szCs w:val="24"/>
          <w:lang w:val="en-US" w:eastAsia="zh-CN"/>
        </w:rPr>
      </w:pPr>
      <w:bookmarkStart w:id="346" w:name="_Toc9957"/>
      <w:r>
        <w:rPr>
          <w:rFonts w:hint="eastAsia" w:ascii="宋体" w:hAnsi="宋体" w:eastAsia="宋体" w:cs="宋体"/>
          <w:sz w:val="24"/>
          <w:szCs w:val="24"/>
          <w:lang w:val="en-US" w:eastAsia="zh-CN"/>
        </w:rPr>
        <w:t>★格式3-4：商务条款偏离表（实质性要求）</w:t>
      </w:r>
      <w:bookmarkEnd w:id="346"/>
    </w:p>
    <w:p w14:paraId="5B626522">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sz w:val="24"/>
          <w:szCs w:val="24"/>
          <w:lang w:val="en-US" w:eastAsia="zh-CN"/>
        </w:rPr>
      </w:pPr>
      <w:bookmarkStart w:id="347" w:name="_Toc7866"/>
      <w:r>
        <w:rPr>
          <w:rFonts w:hint="eastAsia" w:ascii="宋体" w:hAnsi="宋体" w:eastAsia="宋体" w:cs="宋体"/>
          <w:sz w:val="24"/>
          <w:szCs w:val="24"/>
          <w:lang w:val="en-US" w:eastAsia="zh-CN"/>
        </w:rPr>
        <w:t>格式3-5：供应商类似项目业绩一览表</w:t>
      </w:r>
      <w:bookmarkEnd w:id="347"/>
    </w:p>
    <w:p w14:paraId="6E524283">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sz w:val="24"/>
          <w:szCs w:val="24"/>
          <w:lang w:val="en-US" w:eastAsia="zh-CN"/>
        </w:rPr>
      </w:pPr>
      <w:bookmarkStart w:id="348" w:name="_Toc19679"/>
      <w:r>
        <w:rPr>
          <w:rFonts w:hint="eastAsia" w:ascii="宋体" w:hAnsi="宋体" w:eastAsia="宋体" w:cs="宋体"/>
          <w:sz w:val="24"/>
          <w:szCs w:val="24"/>
          <w:lang w:val="en-US" w:eastAsia="zh-CN"/>
        </w:rPr>
        <w:t>格式3-6：供应商本项目管理、技术、服务人员情况表</w:t>
      </w:r>
      <w:bookmarkEnd w:id="348"/>
    </w:p>
    <w:p w14:paraId="443A7DC5">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sz w:val="24"/>
          <w:szCs w:val="24"/>
          <w:lang w:val="en-US" w:eastAsia="zh-CN"/>
        </w:rPr>
      </w:pPr>
      <w:bookmarkStart w:id="349" w:name="_Toc23218"/>
      <w:r>
        <w:rPr>
          <w:rFonts w:hint="eastAsia" w:ascii="宋体" w:hAnsi="宋体" w:eastAsia="宋体" w:cs="宋体"/>
          <w:sz w:val="24"/>
          <w:szCs w:val="24"/>
          <w:lang w:val="en-US" w:eastAsia="zh-CN"/>
        </w:rPr>
        <w:t>格式3-7：中小企业声明函、残疾人福利性单位声明函、监狱企业声明函</w:t>
      </w:r>
      <w:bookmarkEnd w:id="349"/>
    </w:p>
    <w:p w14:paraId="702864BF">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sz w:val="24"/>
          <w:szCs w:val="24"/>
          <w:lang w:val="en-US" w:eastAsia="zh-CN"/>
        </w:rPr>
      </w:pPr>
      <w:bookmarkStart w:id="350" w:name="_Toc7394"/>
      <w:r>
        <w:rPr>
          <w:rFonts w:hint="eastAsia" w:ascii="宋体" w:hAnsi="宋体" w:eastAsia="宋体" w:cs="宋体"/>
          <w:sz w:val="24"/>
          <w:szCs w:val="24"/>
          <w:lang w:val="en-US" w:eastAsia="zh-CN"/>
        </w:rPr>
        <w:t>格式3-8：小型微型企业产品、环境标志产品、节能产品、进口产品明细表</w:t>
      </w:r>
      <w:bookmarkEnd w:id="350"/>
    </w:p>
    <w:p w14:paraId="2A497141">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sz w:val="24"/>
          <w:szCs w:val="24"/>
          <w:lang w:val="en-US" w:eastAsia="zh-CN"/>
        </w:rPr>
      </w:pPr>
      <w:bookmarkStart w:id="351" w:name="_Toc13832"/>
      <w:r>
        <w:rPr>
          <w:rFonts w:hint="eastAsia" w:ascii="宋体" w:hAnsi="宋体" w:eastAsia="宋体" w:cs="宋体"/>
          <w:sz w:val="24"/>
          <w:szCs w:val="24"/>
          <w:lang w:val="en-US" w:eastAsia="zh-CN"/>
        </w:rPr>
        <w:t>格式3-9：项目实施方案</w:t>
      </w:r>
      <w:bookmarkEnd w:id="351"/>
    </w:p>
    <w:p w14:paraId="27EE22A9">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sz w:val="24"/>
          <w:szCs w:val="24"/>
          <w:lang w:val="en-US" w:eastAsia="zh-CN"/>
        </w:rPr>
      </w:pPr>
      <w:bookmarkStart w:id="352" w:name="_Toc9061"/>
      <w:r>
        <w:rPr>
          <w:rFonts w:hint="eastAsia" w:ascii="宋体" w:hAnsi="宋体" w:eastAsia="宋体" w:cs="宋体"/>
          <w:sz w:val="24"/>
          <w:szCs w:val="24"/>
          <w:lang w:val="en-US" w:eastAsia="zh-CN"/>
        </w:rPr>
        <w:t>格式3-10:售后服务及承诺</w:t>
      </w:r>
      <w:bookmarkEnd w:id="352"/>
    </w:p>
    <w:p w14:paraId="169CC0CD">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default" w:ascii="宋体" w:hAnsi="宋体" w:eastAsia="宋体" w:cs="宋体"/>
          <w:sz w:val="24"/>
          <w:szCs w:val="24"/>
          <w:lang w:val="en-US" w:eastAsia="zh-CN"/>
        </w:rPr>
      </w:pPr>
      <w:bookmarkStart w:id="353" w:name="_Toc26894"/>
      <w:r>
        <w:rPr>
          <w:rFonts w:hint="eastAsia" w:ascii="宋体" w:hAnsi="宋体" w:eastAsia="宋体" w:cs="宋体"/>
          <w:sz w:val="24"/>
          <w:szCs w:val="24"/>
          <w:lang w:val="en-US" w:eastAsia="zh-CN"/>
        </w:rPr>
        <w:t>格式3-11：</w:t>
      </w:r>
      <w:r>
        <w:rPr>
          <w:rFonts w:hint="eastAsia" w:ascii="宋体" w:hAnsi="宋体" w:cs="宋体"/>
          <w:sz w:val="24"/>
          <w:szCs w:val="24"/>
          <w:lang w:val="en-US" w:eastAsia="zh-CN"/>
        </w:rPr>
        <w:t>报价表</w:t>
      </w:r>
    </w:p>
    <w:p w14:paraId="51A72E39">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格式3-1</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：其他需要补充的证明材料</w:t>
      </w:r>
      <w:bookmarkEnd w:id="353"/>
    </w:p>
    <w:p w14:paraId="0DC19483">
      <w:pPr>
        <w:pStyle w:val="9"/>
        <w:pageBreakBefore w:val="0"/>
        <w:widowControl w:val="0"/>
        <w:kinsoku/>
        <w:wordWrap/>
        <w:overflowPunct/>
        <w:topLinePunct w:val="0"/>
        <w:autoSpaceDE/>
        <w:autoSpaceDN/>
        <w:bidi w:val="0"/>
        <w:adjustRightInd/>
        <w:snapToGrid/>
        <w:spacing w:line="560" w:lineRule="exact"/>
        <w:ind w:right="0" w:rightChars="0"/>
        <w:textAlignment w:val="auto"/>
        <w:rPr>
          <w:rFonts w:hint="eastAsia" w:ascii="宋体" w:hAnsi="宋体" w:eastAsia="宋体" w:cs="宋体"/>
          <w:b w:val="0"/>
          <w:bCs w:val="0"/>
          <w:sz w:val="24"/>
          <w:szCs w:val="24"/>
          <w:lang w:val="en-US" w:eastAsia="zh-CN"/>
        </w:rPr>
      </w:pPr>
    </w:p>
    <w:p w14:paraId="2E540FDD">
      <w:pPr>
        <w:pStyle w:val="6"/>
        <w:pageBreakBefore w:val="0"/>
        <w:kinsoku/>
        <w:wordWrap/>
        <w:overflowPunct/>
        <w:topLinePunct w:val="0"/>
        <w:bidi w:val="0"/>
        <w:spacing w:before="0" w:after="0" w:line="560" w:lineRule="exact"/>
        <w:jc w:val="center"/>
        <w:textAlignment w:val="auto"/>
        <w:rPr>
          <w:rFonts w:hint="eastAsia" w:ascii="宋体" w:hAnsi="宋体" w:eastAsia="宋体" w:cs="宋体"/>
          <w:b/>
          <w:bCs/>
          <w:kern w:val="2"/>
          <w:sz w:val="24"/>
          <w:szCs w:val="24"/>
          <w:lang w:val="en-US" w:eastAsia="zh-CN" w:bidi="ar-SA"/>
        </w:rPr>
      </w:pPr>
      <w:bookmarkStart w:id="354" w:name="_Toc1606"/>
      <w:bookmarkStart w:id="355" w:name="_Toc30197"/>
      <w:bookmarkStart w:id="356" w:name="_Toc8879"/>
      <w:bookmarkStart w:id="357" w:name="_Toc22171"/>
      <w:bookmarkStart w:id="358" w:name="_Toc8660"/>
      <w:r>
        <w:rPr>
          <w:rFonts w:hint="eastAsia" w:ascii="宋体" w:hAnsi="宋体" w:eastAsia="宋体" w:cs="宋体"/>
          <w:b/>
          <w:bCs/>
          <w:kern w:val="2"/>
          <w:sz w:val="24"/>
          <w:szCs w:val="24"/>
          <w:lang w:val="en-US" w:eastAsia="zh-CN" w:bidi="ar-SA"/>
        </w:rPr>
        <w:t>一、报价要求响应文件</w:t>
      </w:r>
      <w:bookmarkEnd w:id="354"/>
      <w:bookmarkEnd w:id="355"/>
      <w:bookmarkEnd w:id="356"/>
      <w:bookmarkEnd w:id="357"/>
      <w:bookmarkEnd w:id="358"/>
    </w:p>
    <w:p w14:paraId="1D2411D9">
      <w:pPr>
        <w:pStyle w:val="7"/>
        <w:pageBreakBefore w:val="0"/>
        <w:kinsoku/>
        <w:wordWrap/>
        <w:overflowPunct/>
        <w:topLinePunct w:val="0"/>
        <w:bidi w:val="0"/>
        <w:spacing w:before="0" w:after="0" w:line="560" w:lineRule="exact"/>
        <w:textAlignment w:val="auto"/>
        <w:rPr>
          <w:rFonts w:hint="eastAsia" w:ascii="宋体" w:hAnsi="宋体" w:eastAsia="宋体" w:cs="宋体"/>
          <w:sz w:val="24"/>
          <w:szCs w:val="24"/>
          <w:lang w:val="en-US" w:eastAsia="zh-CN"/>
        </w:rPr>
      </w:pPr>
      <w:bookmarkStart w:id="359" w:name="_Toc23989"/>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格式1-1：报价表（实质性要求）</w:t>
      </w:r>
      <w:bookmarkEnd w:id="359"/>
    </w:p>
    <w:p w14:paraId="63D256C3">
      <w:pPr>
        <w:keepNext w:val="0"/>
        <w:keepLines w:val="0"/>
        <w:pageBreakBefore w:val="0"/>
        <w:widowControl w:val="0"/>
        <w:kinsoku/>
        <w:wordWrap/>
        <w:overflowPunct/>
        <w:topLinePunct w:val="0"/>
        <w:autoSpaceDE/>
        <w:autoSpaceDN/>
        <w:bidi w:val="0"/>
        <w:spacing w:line="560" w:lineRule="exact"/>
        <w:ind w:left="1080" w:hanging="1080" w:hangingChars="450"/>
        <w:textAlignment w:val="auto"/>
        <w:rPr>
          <w:rFonts w:hint="eastAsia" w:ascii="宋体" w:hAnsi="宋体" w:eastAsia="宋体" w:cs="宋体"/>
          <w:bCs/>
          <w:sz w:val="24"/>
          <w:szCs w:val="24"/>
        </w:rPr>
      </w:pPr>
      <w:r>
        <w:rPr>
          <w:rFonts w:hint="eastAsia" w:ascii="宋体" w:hAnsi="宋体" w:eastAsia="宋体" w:cs="宋体"/>
          <w:sz w:val="24"/>
          <w:szCs w:val="24"/>
        </w:rPr>
        <w:t>项目名称：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项目编号：</w:t>
      </w:r>
    </w:p>
    <w:tbl>
      <w:tblPr>
        <w:tblStyle w:val="32"/>
        <w:tblW w:w="10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6"/>
        <w:gridCol w:w="5452"/>
        <w:gridCol w:w="2093"/>
        <w:gridCol w:w="1469"/>
      </w:tblGrid>
      <w:tr w14:paraId="24D95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1" w:hRule="atLeast"/>
        </w:trPr>
        <w:tc>
          <w:tcPr>
            <w:tcW w:w="1266" w:type="dxa"/>
            <w:noWrap w:val="0"/>
            <w:vAlign w:val="center"/>
          </w:tcPr>
          <w:p w14:paraId="6B2D66BD">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包件号</w:t>
            </w:r>
          </w:p>
        </w:tc>
        <w:tc>
          <w:tcPr>
            <w:tcW w:w="5452" w:type="dxa"/>
            <w:noWrap w:val="0"/>
            <w:vAlign w:val="center"/>
          </w:tcPr>
          <w:p w14:paraId="453B0AE8">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rPr>
              <w:t>总报价</w:t>
            </w:r>
            <w:r>
              <w:rPr>
                <w:rFonts w:hint="eastAsia" w:ascii="宋体" w:hAnsi="宋体" w:eastAsia="宋体" w:cs="宋体"/>
                <w:b/>
                <w:bCs/>
                <w:color w:val="FF0000"/>
                <w:sz w:val="24"/>
                <w:szCs w:val="24"/>
                <w:lang w:val="en-US" w:eastAsia="zh-CN"/>
              </w:rPr>
              <w:t xml:space="preserve"> </w:t>
            </w:r>
          </w:p>
        </w:tc>
        <w:tc>
          <w:tcPr>
            <w:tcW w:w="2093" w:type="dxa"/>
            <w:noWrap w:val="0"/>
            <w:vAlign w:val="center"/>
          </w:tcPr>
          <w:p w14:paraId="59AC3B1C">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交货期（完工期/服务期）</w:t>
            </w:r>
          </w:p>
        </w:tc>
        <w:tc>
          <w:tcPr>
            <w:tcW w:w="1469" w:type="dxa"/>
            <w:noWrap w:val="0"/>
            <w:vAlign w:val="center"/>
          </w:tcPr>
          <w:p w14:paraId="3A11BB05">
            <w:pPr>
              <w:keepNext w:val="0"/>
              <w:keepLines w:val="0"/>
              <w:pageBreakBefore w:val="0"/>
              <w:widowControl w:val="0"/>
              <w:kinsoku/>
              <w:wordWrap/>
              <w:overflowPunct/>
              <w:topLinePunct w:val="0"/>
              <w:autoSpaceDE/>
              <w:autoSpaceDN/>
              <w:bidi w:val="0"/>
              <w:adjustRightInd w:val="0"/>
              <w:snapToGrid w:val="0"/>
              <w:spacing w:line="560" w:lineRule="exact"/>
              <w:ind w:left="-1" w:leftChars="-36" w:right="-10" w:rightChars="-5" w:hanging="74" w:hangingChars="31"/>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备注</w:t>
            </w:r>
          </w:p>
        </w:tc>
      </w:tr>
      <w:tr w14:paraId="45E2E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5" w:hRule="atLeast"/>
        </w:trPr>
        <w:tc>
          <w:tcPr>
            <w:tcW w:w="1266" w:type="dxa"/>
            <w:vMerge w:val="restart"/>
            <w:noWrap w:val="0"/>
            <w:vAlign w:val="center"/>
          </w:tcPr>
          <w:p w14:paraId="37EF5C2A">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Cs/>
                <w:sz w:val="24"/>
                <w:szCs w:val="24"/>
              </w:rPr>
            </w:pPr>
          </w:p>
        </w:tc>
        <w:tc>
          <w:tcPr>
            <w:tcW w:w="5452" w:type="dxa"/>
            <w:noWrap w:val="0"/>
            <w:vAlign w:val="center"/>
          </w:tcPr>
          <w:p w14:paraId="4508468D">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人民币</w:t>
            </w:r>
            <w:r>
              <w:rPr>
                <w:rFonts w:hint="eastAsia" w:ascii="宋体" w:hAnsi="宋体" w:eastAsia="宋体" w:cs="宋体"/>
                <w:bCs/>
                <w:sz w:val="24"/>
                <w:szCs w:val="24"/>
              </w:rPr>
              <w:t>小写</w:t>
            </w: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元</w:t>
            </w:r>
            <w:r>
              <w:rPr>
                <w:rFonts w:hint="eastAsia" w:ascii="宋体" w:hAnsi="宋体" w:eastAsia="宋体" w:cs="宋体"/>
                <w:bCs/>
                <w:sz w:val="24"/>
                <w:szCs w:val="24"/>
                <w:lang w:eastAsia="zh-CN"/>
              </w:rPr>
              <w:t>）</w:t>
            </w:r>
            <w:r>
              <w:rPr>
                <w:rFonts w:hint="eastAsia" w:ascii="宋体" w:hAnsi="宋体" w:eastAsia="宋体" w:cs="宋体"/>
                <w:bCs/>
                <w:sz w:val="24"/>
                <w:szCs w:val="24"/>
              </w:rPr>
              <w:t>：</w:t>
            </w:r>
          </w:p>
        </w:tc>
        <w:tc>
          <w:tcPr>
            <w:tcW w:w="2093" w:type="dxa"/>
            <w:vMerge w:val="restart"/>
            <w:noWrap w:val="0"/>
            <w:vAlign w:val="center"/>
          </w:tcPr>
          <w:p w14:paraId="776151B1">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Cs/>
                <w:sz w:val="24"/>
                <w:szCs w:val="24"/>
              </w:rPr>
            </w:pPr>
          </w:p>
        </w:tc>
        <w:tc>
          <w:tcPr>
            <w:tcW w:w="1469" w:type="dxa"/>
            <w:vMerge w:val="restart"/>
            <w:noWrap w:val="0"/>
            <w:vAlign w:val="center"/>
          </w:tcPr>
          <w:p w14:paraId="17D8070A">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Cs/>
                <w:sz w:val="24"/>
                <w:szCs w:val="24"/>
              </w:rPr>
            </w:pPr>
          </w:p>
        </w:tc>
      </w:tr>
      <w:tr w14:paraId="01392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5" w:hRule="atLeast"/>
        </w:trPr>
        <w:tc>
          <w:tcPr>
            <w:tcW w:w="1266" w:type="dxa"/>
            <w:vMerge w:val="continue"/>
            <w:noWrap w:val="0"/>
            <w:vAlign w:val="center"/>
          </w:tcPr>
          <w:p w14:paraId="02AD85FE">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Cs/>
                <w:sz w:val="24"/>
                <w:szCs w:val="24"/>
              </w:rPr>
            </w:pPr>
          </w:p>
        </w:tc>
        <w:tc>
          <w:tcPr>
            <w:tcW w:w="5452" w:type="dxa"/>
            <w:noWrap w:val="0"/>
            <w:vAlign w:val="center"/>
          </w:tcPr>
          <w:p w14:paraId="4C10C996">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人民币</w:t>
            </w:r>
            <w:r>
              <w:rPr>
                <w:rFonts w:hint="eastAsia" w:ascii="宋体" w:hAnsi="宋体" w:eastAsia="宋体" w:cs="宋体"/>
                <w:bCs/>
                <w:sz w:val="24"/>
                <w:szCs w:val="24"/>
              </w:rPr>
              <w:t>大写：</w:t>
            </w:r>
          </w:p>
        </w:tc>
        <w:tc>
          <w:tcPr>
            <w:tcW w:w="2093" w:type="dxa"/>
            <w:vMerge w:val="continue"/>
            <w:noWrap w:val="0"/>
            <w:vAlign w:val="center"/>
          </w:tcPr>
          <w:p w14:paraId="140CEC7A">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Cs/>
                <w:sz w:val="24"/>
                <w:szCs w:val="24"/>
              </w:rPr>
            </w:pPr>
          </w:p>
        </w:tc>
        <w:tc>
          <w:tcPr>
            <w:tcW w:w="1469" w:type="dxa"/>
            <w:vMerge w:val="continue"/>
            <w:noWrap w:val="0"/>
            <w:vAlign w:val="center"/>
          </w:tcPr>
          <w:p w14:paraId="05AFF871">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Cs/>
                <w:sz w:val="24"/>
                <w:szCs w:val="24"/>
              </w:rPr>
            </w:pPr>
          </w:p>
        </w:tc>
      </w:tr>
      <w:tr w14:paraId="4D516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6" w:hRule="atLeast"/>
        </w:trPr>
        <w:tc>
          <w:tcPr>
            <w:tcW w:w="10280" w:type="dxa"/>
            <w:gridSpan w:val="4"/>
            <w:noWrap w:val="0"/>
            <w:vAlign w:val="center"/>
          </w:tcPr>
          <w:p w14:paraId="297D0E7C">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供应商名称（加盖</w:t>
            </w:r>
            <w:r>
              <w:rPr>
                <w:rFonts w:hint="eastAsia" w:ascii="宋体" w:hAnsi="宋体" w:eastAsia="宋体" w:cs="宋体"/>
                <w:sz w:val="24"/>
                <w:szCs w:val="24"/>
                <w:lang w:val="en-US" w:eastAsia="zh-CN"/>
              </w:rPr>
              <w:t>单位电子</w:t>
            </w:r>
            <w:r>
              <w:rPr>
                <w:rFonts w:hint="eastAsia" w:ascii="宋体" w:hAnsi="宋体" w:eastAsia="宋体" w:cs="宋体"/>
                <w:sz w:val="24"/>
                <w:szCs w:val="24"/>
              </w:rPr>
              <w:t>公章）：</w:t>
            </w:r>
          </w:p>
          <w:p w14:paraId="154D8E22">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宋体"/>
                <w:sz w:val="24"/>
                <w:szCs w:val="24"/>
              </w:rPr>
            </w:pPr>
          </w:p>
          <w:p w14:paraId="278B52C1">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r>
              <w:rPr>
                <w:rFonts w:hint="eastAsia" w:ascii="宋体" w:hAnsi="宋体" w:eastAsia="宋体" w:cs="宋体"/>
                <w:sz w:val="24"/>
                <w:szCs w:val="24"/>
                <w:lang w:val="en-US" w:eastAsia="zh-CN"/>
              </w:rPr>
              <w:t>电子签名</w:t>
            </w:r>
            <w:r>
              <w:rPr>
                <w:rFonts w:hint="eastAsia" w:ascii="宋体" w:hAnsi="宋体" w:eastAsia="宋体" w:cs="宋体"/>
                <w:sz w:val="24"/>
                <w:szCs w:val="24"/>
              </w:rPr>
              <w:t>）：                    联系电话：</w:t>
            </w:r>
          </w:p>
          <w:p w14:paraId="4672DFFF">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宋体" w:hAnsi="宋体" w:eastAsia="宋体" w:cs="宋体"/>
                <w:sz w:val="24"/>
                <w:szCs w:val="24"/>
              </w:rPr>
            </w:pPr>
          </w:p>
          <w:p w14:paraId="1F8EFF8D">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日期：年月日</w:t>
            </w:r>
          </w:p>
        </w:tc>
      </w:tr>
    </w:tbl>
    <w:p w14:paraId="64C580F3">
      <w:pPr>
        <w:pStyle w:val="12"/>
        <w:pageBreakBefore w:val="0"/>
        <w:kinsoku/>
        <w:wordWrap/>
        <w:overflowPunct/>
        <w:topLinePunct w:val="0"/>
        <w:bidi w:val="0"/>
        <w:spacing w:after="0" w:line="560" w:lineRule="exact"/>
        <w:textAlignment w:val="auto"/>
        <w:rPr>
          <w:rFonts w:hint="eastAsia"/>
          <w:sz w:val="24"/>
          <w:szCs w:val="24"/>
          <w:lang w:val="zh-CN" w:eastAsia="zh-CN"/>
        </w:rPr>
      </w:pPr>
    </w:p>
    <w:p w14:paraId="28015B6A">
      <w:pPr>
        <w:pStyle w:val="7"/>
        <w:pageBreakBefore w:val="0"/>
        <w:kinsoku/>
        <w:wordWrap/>
        <w:overflowPunct/>
        <w:topLinePunct w:val="0"/>
        <w:bidi w:val="0"/>
        <w:spacing w:before="0" w:after="0" w:line="560" w:lineRule="exact"/>
        <w:textAlignment w:val="auto"/>
        <w:rPr>
          <w:rFonts w:hint="eastAsia"/>
          <w:b/>
          <w:bCs/>
          <w:sz w:val="24"/>
          <w:szCs w:val="24"/>
          <w:lang w:val="zh-CN" w:eastAsia="zh-CN"/>
        </w:rPr>
      </w:pPr>
      <w:r>
        <w:rPr>
          <w:rFonts w:hint="eastAsia"/>
          <w:b/>
          <w:bCs/>
          <w:sz w:val="24"/>
          <w:szCs w:val="24"/>
          <w:lang w:val="zh-CN" w:eastAsia="zh-CN"/>
        </w:rPr>
        <w:t>★格式</w:t>
      </w:r>
      <w:r>
        <w:rPr>
          <w:rFonts w:hint="eastAsia"/>
          <w:b/>
          <w:bCs/>
          <w:sz w:val="24"/>
          <w:szCs w:val="24"/>
          <w:lang w:val="en-US" w:eastAsia="zh-CN"/>
        </w:rPr>
        <w:t>1-2</w:t>
      </w:r>
      <w:r>
        <w:rPr>
          <w:rFonts w:hint="eastAsia"/>
          <w:b/>
          <w:bCs/>
          <w:sz w:val="24"/>
          <w:szCs w:val="24"/>
          <w:lang w:val="zh-CN" w:eastAsia="zh-CN"/>
        </w:rPr>
        <w:t>：</w:t>
      </w:r>
      <w:r>
        <w:rPr>
          <w:rFonts w:hint="eastAsia"/>
          <w:b/>
          <w:bCs/>
          <w:sz w:val="24"/>
          <w:szCs w:val="24"/>
          <w:lang w:val="en-US" w:eastAsia="zh-CN"/>
        </w:rPr>
        <w:t>分项价格明细</w:t>
      </w:r>
      <w:r>
        <w:rPr>
          <w:rFonts w:hint="eastAsia"/>
          <w:b/>
          <w:bCs/>
          <w:sz w:val="24"/>
          <w:szCs w:val="24"/>
          <w:lang w:val="zh-CN" w:eastAsia="zh-CN"/>
        </w:rPr>
        <w:t>表</w:t>
      </w:r>
      <w:r>
        <w:rPr>
          <w:rFonts w:hint="eastAsia"/>
          <w:b/>
          <w:bCs/>
          <w:sz w:val="24"/>
          <w:szCs w:val="24"/>
          <w:lang w:val="en-US" w:eastAsia="zh-CN"/>
        </w:rPr>
        <w:t>（实质性要求）</w:t>
      </w:r>
    </w:p>
    <w:p w14:paraId="49A92B92">
      <w:pPr>
        <w:pageBreakBefore w:val="0"/>
        <w:kinsoku/>
        <w:wordWrap/>
        <w:overflowPunct/>
        <w:topLinePunct w:val="0"/>
        <w:bidi w:val="0"/>
        <w:spacing w:line="560" w:lineRule="exact"/>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项目编号</w:t>
      </w:r>
      <w:r>
        <w:rPr>
          <w:rFonts w:hint="eastAsia" w:ascii="宋体" w:hAnsi="宋体" w:cs="宋体"/>
          <w:sz w:val="24"/>
          <w:szCs w:val="24"/>
          <w:lang w:eastAsia="zh-CN"/>
        </w:rPr>
        <w:t>、</w:t>
      </w:r>
      <w:r>
        <w:rPr>
          <w:rFonts w:hint="eastAsia" w:ascii="宋体" w:hAnsi="宋体" w:eastAsia="宋体" w:cs="宋体"/>
          <w:sz w:val="24"/>
          <w:szCs w:val="24"/>
        </w:rPr>
        <w:t xml:space="preserve">项目名称：    </w:t>
      </w:r>
      <w:r>
        <w:rPr>
          <w:rFonts w:hint="eastAsia" w:ascii="宋体" w:hAnsi="宋体" w:eastAsia="宋体" w:cs="宋体"/>
          <w:sz w:val="24"/>
          <w:szCs w:val="24"/>
          <w:lang w:val="en-US" w:eastAsia="zh-CN"/>
        </w:rPr>
        <w:t xml:space="preserve">                                    </w:t>
      </w:r>
    </w:p>
    <w:tbl>
      <w:tblPr>
        <w:tblStyle w:val="32"/>
        <w:tblW w:w="11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1508"/>
        <w:gridCol w:w="1363"/>
        <w:gridCol w:w="1068"/>
        <w:gridCol w:w="1695"/>
        <w:gridCol w:w="742"/>
        <w:gridCol w:w="250"/>
        <w:gridCol w:w="886"/>
        <w:gridCol w:w="1063"/>
        <w:gridCol w:w="1807"/>
      </w:tblGrid>
      <w:tr w14:paraId="7F1B6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6" w:hRule="atLeast"/>
          <w:jc w:val="center"/>
        </w:trPr>
        <w:tc>
          <w:tcPr>
            <w:tcW w:w="813" w:type="dxa"/>
            <w:noWrap w:val="0"/>
            <w:vAlign w:val="center"/>
          </w:tcPr>
          <w:p w14:paraId="236B5FC2">
            <w:pPr>
              <w:pStyle w:val="15"/>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1508" w:type="dxa"/>
            <w:noWrap w:val="0"/>
            <w:vAlign w:val="center"/>
          </w:tcPr>
          <w:p w14:paraId="141DBADD">
            <w:pPr>
              <w:pStyle w:val="15"/>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货物名称</w:t>
            </w:r>
          </w:p>
        </w:tc>
        <w:tc>
          <w:tcPr>
            <w:tcW w:w="1363" w:type="dxa"/>
            <w:noWrap w:val="0"/>
            <w:vAlign w:val="center"/>
          </w:tcPr>
          <w:p w14:paraId="2B46BEFB">
            <w:pPr>
              <w:pStyle w:val="15"/>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型号和规格</w:t>
            </w:r>
          </w:p>
        </w:tc>
        <w:tc>
          <w:tcPr>
            <w:tcW w:w="1068" w:type="dxa"/>
            <w:noWrap w:val="0"/>
            <w:vAlign w:val="center"/>
          </w:tcPr>
          <w:p w14:paraId="01759E35">
            <w:pPr>
              <w:pStyle w:val="15"/>
              <w:pageBreakBefore w:val="0"/>
              <w:kinsoku/>
              <w:wordWrap/>
              <w:overflowPunct/>
              <w:topLinePunct w:val="0"/>
              <w:bidi w:val="0"/>
              <w:spacing w:line="560" w:lineRule="exact"/>
              <w:jc w:val="center"/>
              <w:textAlignment w:val="auto"/>
              <w:outlineLvl w:val="9"/>
              <w:rPr>
                <w:rFonts w:hint="default" w:ascii="宋体" w:hAnsi="宋体" w:eastAsia="宋体" w:cs="宋体"/>
                <w:sz w:val="24"/>
                <w:szCs w:val="24"/>
                <w:lang w:val="en-US" w:eastAsia="zh-CN"/>
              </w:rPr>
            </w:pPr>
            <w:r>
              <w:rPr>
                <w:rFonts w:hint="eastAsia" w:hAnsi="宋体" w:cs="宋体"/>
                <w:sz w:val="24"/>
                <w:szCs w:val="24"/>
                <w:lang w:val="en-US" w:eastAsia="zh-CN"/>
              </w:rPr>
              <w:t>品牌</w:t>
            </w:r>
          </w:p>
        </w:tc>
        <w:tc>
          <w:tcPr>
            <w:tcW w:w="1695" w:type="dxa"/>
            <w:noWrap w:val="0"/>
            <w:vAlign w:val="center"/>
          </w:tcPr>
          <w:p w14:paraId="06AFAF07">
            <w:pPr>
              <w:pStyle w:val="15"/>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制造商/生产厂商名称</w:t>
            </w:r>
          </w:p>
        </w:tc>
        <w:tc>
          <w:tcPr>
            <w:tcW w:w="742" w:type="dxa"/>
            <w:noWrap w:val="0"/>
            <w:vAlign w:val="center"/>
          </w:tcPr>
          <w:p w14:paraId="35BCAD75">
            <w:pPr>
              <w:pStyle w:val="15"/>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数量</w:t>
            </w:r>
          </w:p>
        </w:tc>
        <w:tc>
          <w:tcPr>
            <w:tcW w:w="1136" w:type="dxa"/>
            <w:gridSpan w:val="2"/>
            <w:noWrap w:val="0"/>
            <w:vAlign w:val="center"/>
          </w:tcPr>
          <w:p w14:paraId="326D84EF">
            <w:pPr>
              <w:pStyle w:val="15"/>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单价</w:t>
            </w:r>
          </w:p>
          <w:p w14:paraId="45968BCE">
            <w:pPr>
              <w:pStyle w:val="15"/>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（元）</w:t>
            </w:r>
          </w:p>
        </w:tc>
        <w:tc>
          <w:tcPr>
            <w:tcW w:w="1063" w:type="dxa"/>
            <w:noWrap w:val="0"/>
            <w:vAlign w:val="center"/>
          </w:tcPr>
          <w:p w14:paraId="28D7E17B">
            <w:pPr>
              <w:pStyle w:val="15"/>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总价</w:t>
            </w:r>
          </w:p>
          <w:p w14:paraId="3439D2AF">
            <w:pPr>
              <w:pStyle w:val="15"/>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（元）</w:t>
            </w:r>
          </w:p>
        </w:tc>
        <w:tc>
          <w:tcPr>
            <w:tcW w:w="1807" w:type="dxa"/>
            <w:noWrap w:val="0"/>
            <w:vAlign w:val="center"/>
          </w:tcPr>
          <w:p w14:paraId="1C2EDB4F">
            <w:pPr>
              <w:pStyle w:val="15"/>
              <w:pageBreakBefore w:val="0"/>
              <w:kinsoku/>
              <w:wordWrap/>
              <w:overflowPunct/>
              <w:topLinePunct w:val="0"/>
              <w:bidi w:val="0"/>
              <w:spacing w:line="560" w:lineRule="exact"/>
              <w:ind w:left="72"/>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备注</w:t>
            </w:r>
          </w:p>
        </w:tc>
      </w:tr>
      <w:tr w14:paraId="3D93D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813" w:type="dxa"/>
            <w:noWrap w:val="0"/>
            <w:vAlign w:val="center"/>
          </w:tcPr>
          <w:p w14:paraId="2BAAE3D8">
            <w:pPr>
              <w:pStyle w:val="15"/>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1508" w:type="dxa"/>
            <w:noWrap w:val="0"/>
            <w:vAlign w:val="center"/>
          </w:tcPr>
          <w:p w14:paraId="218B648B">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363" w:type="dxa"/>
            <w:noWrap w:val="0"/>
            <w:vAlign w:val="center"/>
          </w:tcPr>
          <w:p w14:paraId="057DB9A7">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068" w:type="dxa"/>
            <w:noWrap w:val="0"/>
            <w:vAlign w:val="center"/>
          </w:tcPr>
          <w:p w14:paraId="3BC3BA04">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695" w:type="dxa"/>
            <w:noWrap w:val="0"/>
            <w:vAlign w:val="center"/>
          </w:tcPr>
          <w:p w14:paraId="600CB437">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742" w:type="dxa"/>
            <w:noWrap w:val="0"/>
            <w:vAlign w:val="center"/>
          </w:tcPr>
          <w:p w14:paraId="78A8547C">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36" w:type="dxa"/>
            <w:gridSpan w:val="2"/>
            <w:noWrap w:val="0"/>
            <w:vAlign w:val="center"/>
          </w:tcPr>
          <w:p w14:paraId="48160191">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063" w:type="dxa"/>
            <w:noWrap w:val="0"/>
            <w:vAlign w:val="center"/>
          </w:tcPr>
          <w:p w14:paraId="47C49E1C">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807" w:type="dxa"/>
            <w:noWrap w:val="0"/>
            <w:vAlign w:val="center"/>
          </w:tcPr>
          <w:p w14:paraId="2E0A311F">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r>
      <w:tr w14:paraId="6492B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813" w:type="dxa"/>
            <w:noWrap w:val="0"/>
            <w:vAlign w:val="center"/>
          </w:tcPr>
          <w:p w14:paraId="53A9F812">
            <w:pPr>
              <w:pStyle w:val="15"/>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1508" w:type="dxa"/>
            <w:noWrap w:val="0"/>
            <w:vAlign w:val="center"/>
          </w:tcPr>
          <w:p w14:paraId="1478D317">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363" w:type="dxa"/>
            <w:noWrap w:val="0"/>
            <w:vAlign w:val="center"/>
          </w:tcPr>
          <w:p w14:paraId="22B3D763">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068" w:type="dxa"/>
            <w:noWrap w:val="0"/>
            <w:vAlign w:val="center"/>
          </w:tcPr>
          <w:p w14:paraId="46990638">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695" w:type="dxa"/>
            <w:noWrap w:val="0"/>
            <w:vAlign w:val="center"/>
          </w:tcPr>
          <w:p w14:paraId="20BC34CC">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742" w:type="dxa"/>
            <w:noWrap w:val="0"/>
            <w:vAlign w:val="center"/>
          </w:tcPr>
          <w:p w14:paraId="451D9745">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36" w:type="dxa"/>
            <w:gridSpan w:val="2"/>
            <w:noWrap w:val="0"/>
            <w:vAlign w:val="center"/>
          </w:tcPr>
          <w:p w14:paraId="73B70E3C">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063" w:type="dxa"/>
            <w:noWrap w:val="0"/>
            <w:vAlign w:val="center"/>
          </w:tcPr>
          <w:p w14:paraId="1E1F8893">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807" w:type="dxa"/>
            <w:noWrap w:val="0"/>
            <w:vAlign w:val="center"/>
          </w:tcPr>
          <w:p w14:paraId="654F1BC5">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r>
      <w:tr w14:paraId="7F628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813" w:type="dxa"/>
            <w:noWrap w:val="0"/>
            <w:vAlign w:val="center"/>
          </w:tcPr>
          <w:p w14:paraId="12EB4612">
            <w:pPr>
              <w:pStyle w:val="15"/>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1508" w:type="dxa"/>
            <w:noWrap w:val="0"/>
            <w:vAlign w:val="center"/>
          </w:tcPr>
          <w:p w14:paraId="404B1D84">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363" w:type="dxa"/>
            <w:noWrap w:val="0"/>
            <w:vAlign w:val="center"/>
          </w:tcPr>
          <w:p w14:paraId="2521D2FA">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068" w:type="dxa"/>
            <w:noWrap w:val="0"/>
            <w:vAlign w:val="center"/>
          </w:tcPr>
          <w:p w14:paraId="1BA1AACB">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695" w:type="dxa"/>
            <w:noWrap w:val="0"/>
            <w:vAlign w:val="center"/>
          </w:tcPr>
          <w:p w14:paraId="390F0F05">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742" w:type="dxa"/>
            <w:noWrap w:val="0"/>
            <w:vAlign w:val="center"/>
          </w:tcPr>
          <w:p w14:paraId="4ADFFA7D">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36" w:type="dxa"/>
            <w:gridSpan w:val="2"/>
            <w:noWrap w:val="0"/>
            <w:vAlign w:val="center"/>
          </w:tcPr>
          <w:p w14:paraId="0B3293B5">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063" w:type="dxa"/>
            <w:noWrap w:val="0"/>
            <w:vAlign w:val="center"/>
          </w:tcPr>
          <w:p w14:paraId="4250A841">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807" w:type="dxa"/>
            <w:noWrap w:val="0"/>
            <w:vAlign w:val="center"/>
          </w:tcPr>
          <w:p w14:paraId="505007AD">
            <w:pPr>
              <w:pStyle w:val="15"/>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r>
      <w:tr w14:paraId="566F9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7439" w:type="dxa"/>
            <w:gridSpan w:val="7"/>
            <w:noWrap w:val="0"/>
            <w:vAlign w:val="center"/>
          </w:tcPr>
          <w:p w14:paraId="7B39E055">
            <w:pPr>
              <w:pStyle w:val="15"/>
              <w:pageBreakBefore w:val="0"/>
              <w:kinsoku/>
              <w:wordWrap/>
              <w:overflowPunct/>
              <w:topLinePunct w:val="0"/>
              <w:bidi w:val="0"/>
              <w:spacing w:line="560" w:lineRule="exact"/>
              <w:jc w:val="center"/>
              <w:textAlignment w:val="auto"/>
              <w:outlineLvl w:val="9"/>
              <w:rPr>
                <w:rFonts w:hint="eastAsia" w:ascii="宋体" w:hAnsi="宋体" w:eastAsia="宋体" w:cs="宋体"/>
                <w:b/>
                <w:sz w:val="24"/>
                <w:szCs w:val="24"/>
              </w:rPr>
            </w:pPr>
            <w:r>
              <w:rPr>
                <w:rFonts w:hint="eastAsia" w:ascii="宋体" w:hAnsi="宋体" w:eastAsia="宋体" w:cs="宋体"/>
                <w:b/>
                <w:sz w:val="24"/>
                <w:szCs w:val="24"/>
              </w:rPr>
              <w:t>合    计</w:t>
            </w:r>
          </w:p>
        </w:tc>
        <w:tc>
          <w:tcPr>
            <w:tcW w:w="886" w:type="dxa"/>
            <w:noWrap w:val="0"/>
            <w:vAlign w:val="center"/>
          </w:tcPr>
          <w:p w14:paraId="0BFC7033">
            <w:pPr>
              <w:pStyle w:val="15"/>
              <w:pageBreakBefore w:val="0"/>
              <w:kinsoku/>
              <w:wordWrap/>
              <w:overflowPunct/>
              <w:topLinePunct w:val="0"/>
              <w:bidi w:val="0"/>
              <w:spacing w:line="560" w:lineRule="exact"/>
              <w:jc w:val="center"/>
              <w:textAlignment w:val="auto"/>
              <w:outlineLvl w:val="9"/>
              <w:rPr>
                <w:rFonts w:hint="eastAsia" w:ascii="宋体" w:hAnsi="宋体" w:eastAsia="宋体" w:cs="宋体"/>
                <w:b/>
                <w:sz w:val="24"/>
                <w:szCs w:val="24"/>
              </w:rPr>
            </w:pPr>
          </w:p>
        </w:tc>
        <w:tc>
          <w:tcPr>
            <w:tcW w:w="1063" w:type="dxa"/>
            <w:noWrap w:val="0"/>
            <w:vAlign w:val="center"/>
          </w:tcPr>
          <w:p w14:paraId="0D5341F8">
            <w:pPr>
              <w:pStyle w:val="15"/>
              <w:pageBreakBefore w:val="0"/>
              <w:kinsoku/>
              <w:wordWrap/>
              <w:overflowPunct/>
              <w:topLinePunct w:val="0"/>
              <w:bidi w:val="0"/>
              <w:spacing w:line="560" w:lineRule="exact"/>
              <w:textAlignment w:val="auto"/>
              <w:outlineLvl w:val="9"/>
              <w:rPr>
                <w:rFonts w:hint="eastAsia" w:ascii="宋体" w:hAnsi="宋体" w:eastAsia="宋体" w:cs="宋体"/>
                <w:b/>
                <w:sz w:val="24"/>
                <w:szCs w:val="24"/>
              </w:rPr>
            </w:pPr>
          </w:p>
        </w:tc>
        <w:tc>
          <w:tcPr>
            <w:tcW w:w="1807" w:type="dxa"/>
            <w:noWrap w:val="0"/>
            <w:vAlign w:val="center"/>
          </w:tcPr>
          <w:p w14:paraId="14819FA2">
            <w:pPr>
              <w:pStyle w:val="15"/>
              <w:pageBreakBefore w:val="0"/>
              <w:kinsoku/>
              <w:wordWrap/>
              <w:overflowPunct/>
              <w:topLinePunct w:val="0"/>
              <w:bidi w:val="0"/>
              <w:spacing w:line="560" w:lineRule="exact"/>
              <w:textAlignment w:val="auto"/>
              <w:outlineLvl w:val="9"/>
              <w:rPr>
                <w:rFonts w:hint="eastAsia" w:ascii="宋体" w:hAnsi="宋体" w:eastAsia="宋体" w:cs="宋体"/>
                <w:b/>
                <w:sz w:val="24"/>
                <w:szCs w:val="24"/>
              </w:rPr>
            </w:pPr>
          </w:p>
        </w:tc>
      </w:tr>
      <w:tr w14:paraId="5B5F7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7439" w:type="dxa"/>
            <w:gridSpan w:val="7"/>
            <w:noWrap w:val="0"/>
            <w:vAlign w:val="center"/>
          </w:tcPr>
          <w:p w14:paraId="3CF5A34E">
            <w:pPr>
              <w:pStyle w:val="15"/>
              <w:pageBreakBefore w:val="0"/>
              <w:kinsoku/>
              <w:wordWrap/>
              <w:overflowPunct/>
              <w:topLinePunct w:val="0"/>
              <w:bidi w:val="0"/>
              <w:spacing w:line="560" w:lineRule="exact"/>
              <w:jc w:val="center"/>
              <w:textAlignment w:val="auto"/>
              <w:outlineLvl w:val="9"/>
              <w:rPr>
                <w:rFonts w:hint="eastAsia" w:ascii="宋体" w:hAnsi="宋体" w:eastAsia="宋体" w:cs="宋体"/>
                <w:b/>
                <w:sz w:val="24"/>
                <w:szCs w:val="24"/>
              </w:rPr>
            </w:pPr>
            <w:r>
              <w:rPr>
                <w:rFonts w:hint="eastAsia" w:ascii="宋体" w:hAnsi="宋体" w:eastAsia="宋体" w:cs="宋体"/>
                <w:b/>
                <w:sz w:val="24"/>
                <w:szCs w:val="24"/>
              </w:rPr>
              <w:t>交 货 期</w:t>
            </w:r>
          </w:p>
        </w:tc>
        <w:tc>
          <w:tcPr>
            <w:tcW w:w="886" w:type="dxa"/>
            <w:noWrap w:val="0"/>
            <w:vAlign w:val="center"/>
          </w:tcPr>
          <w:p w14:paraId="7F9024C4">
            <w:pPr>
              <w:pStyle w:val="15"/>
              <w:pageBreakBefore w:val="0"/>
              <w:kinsoku/>
              <w:wordWrap/>
              <w:overflowPunct/>
              <w:topLinePunct w:val="0"/>
              <w:bidi w:val="0"/>
              <w:spacing w:line="560" w:lineRule="exact"/>
              <w:jc w:val="center"/>
              <w:textAlignment w:val="auto"/>
              <w:outlineLvl w:val="9"/>
              <w:rPr>
                <w:rFonts w:hint="eastAsia" w:ascii="宋体" w:hAnsi="宋体" w:eastAsia="宋体" w:cs="宋体"/>
                <w:b/>
                <w:sz w:val="24"/>
                <w:szCs w:val="24"/>
              </w:rPr>
            </w:pPr>
          </w:p>
        </w:tc>
        <w:tc>
          <w:tcPr>
            <w:tcW w:w="1063" w:type="dxa"/>
            <w:noWrap w:val="0"/>
            <w:vAlign w:val="center"/>
          </w:tcPr>
          <w:p w14:paraId="256D1190">
            <w:pPr>
              <w:pStyle w:val="15"/>
              <w:pageBreakBefore w:val="0"/>
              <w:kinsoku/>
              <w:wordWrap/>
              <w:overflowPunct/>
              <w:topLinePunct w:val="0"/>
              <w:bidi w:val="0"/>
              <w:spacing w:line="560" w:lineRule="exact"/>
              <w:textAlignment w:val="auto"/>
              <w:outlineLvl w:val="9"/>
              <w:rPr>
                <w:rFonts w:hint="eastAsia" w:ascii="宋体" w:hAnsi="宋体" w:eastAsia="宋体" w:cs="宋体"/>
                <w:b/>
                <w:sz w:val="24"/>
                <w:szCs w:val="24"/>
              </w:rPr>
            </w:pPr>
          </w:p>
        </w:tc>
        <w:tc>
          <w:tcPr>
            <w:tcW w:w="1807" w:type="dxa"/>
            <w:noWrap w:val="0"/>
            <w:vAlign w:val="center"/>
          </w:tcPr>
          <w:p w14:paraId="2BBA68E5">
            <w:pPr>
              <w:pStyle w:val="15"/>
              <w:pageBreakBefore w:val="0"/>
              <w:kinsoku/>
              <w:wordWrap/>
              <w:overflowPunct/>
              <w:topLinePunct w:val="0"/>
              <w:bidi w:val="0"/>
              <w:spacing w:line="560" w:lineRule="exact"/>
              <w:textAlignment w:val="auto"/>
              <w:outlineLvl w:val="9"/>
              <w:rPr>
                <w:rFonts w:hint="eastAsia" w:ascii="宋体" w:hAnsi="宋体" w:eastAsia="宋体" w:cs="宋体"/>
                <w:b/>
                <w:sz w:val="24"/>
                <w:szCs w:val="24"/>
              </w:rPr>
            </w:pPr>
          </w:p>
        </w:tc>
      </w:tr>
      <w:tr w14:paraId="1BC46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jc w:val="center"/>
        </w:trPr>
        <w:tc>
          <w:tcPr>
            <w:tcW w:w="7439" w:type="dxa"/>
            <w:gridSpan w:val="7"/>
            <w:noWrap w:val="0"/>
            <w:vAlign w:val="center"/>
          </w:tcPr>
          <w:p w14:paraId="1D4A48B6">
            <w:pPr>
              <w:pStyle w:val="15"/>
              <w:pageBreakBefore w:val="0"/>
              <w:kinsoku/>
              <w:wordWrap/>
              <w:overflowPunct/>
              <w:topLinePunct w:val="0"/>
              <w:bidi w:val="0"/>
              <w:spacing w:line="560" w:lineRule="exact"/>
              <w:jc w:val="center"/>
              <w:textAlignment w:val="auto"/>
              <w:outlineLvl w:val="9"/>
              <w:rPr>
                <w:rFonts w:hint="eastAsia" w:ascii="宋体" w:hAnsi="宋体" w:eastAsia="宋体" w:cs="宋体"/>
                <w:b/>
                <w:sz w:val="24"/>
                <w:szCs w:val="24"/>
              </w:rPr>
            </w:pPr>
            <w:r>
              <w:rPr>
                <w:rFonts w:hint="eastAsia" w:ascii="宋体" w:hAnsi="宋体" w:eastAsia="宋体" w:cs="宋体"/>
                <w:b/>
                <w:sz w:val="24"/>
                <w:szCs w:val="24"/>
              </w:rPr>
              <w:t>交货地点</w:t>
            </w:r>
          </w:p>
        </w:tc>
        <w:tc>
          <w:tcPr>
            <w:tcW w:w="886" w:type="dxa"/>
            <w:noWrap w:val="0"/>
            <w:vAlign w:val="center"/>
          </w:tcPr>
          <w:p w14:paraId="77EBAD4D">
            <w:pPr>
              <w:pStyle w:val="15"/>
              <w:pageBreakBefore w:val="0"/>
              <w:kinsoku/>
              <w:wordWrap/>
              <w:overflowPunct/>
              <w:topLinePunct w:val="0"/>
              <w:bidi w:val="0"/>
              <w:spacing w:line="560" w:lineRule="exact"/>
              <w:jc w:val="center"/>
              <w:textAlignment w:val="auto"/>
              <w:outlineLvl w:val="9"/>
              <w:rPr>
                <w:rFonts w:hint="eastAsia" w:ascii="宋体" w:hAnsi="宋体" w:eastAsia="宋体" w:cs="宋体"/>
                <w:b/>
                <w:sz w:val="24"/>
                <w:szCs w:val="24"/>
              </w:rPr>
            </w:pPr>
          </w:p>
        </w:tc>
        <w:tc>
          <w:tcPr>
            <w:tcW w:w="1063" w:type="dxa"/>
            <w:noWrap w:val="0"/>
            <w:vAlign w:val="center"/>
          </w:tcPr>
          <w:p w14:paraId="7E3064F4">
            <w:pPr>
              <w:pStyle w:val="15"/>
              <w:pageBreakBefore w:val="0"/>
              <w:kinsoku/>
              <w:wordWrap/>
              <w:overflowPunct/>
              <w:topLinePunct w:val="0"/>
              <w:bidi w:val="0"/>
              <w:spacing w:line="560" w:lineRule="exact"/>
              <w:textAlignment w:val="auto"/>
              <w:outlineLvl w:val="9"/>
              <w:rPr>
                <w:rFonts w:hint="eastAsia" w:ascii="宋体" w:hAnsi="宋体" w:eastAsia="宋体" w:cs="宋体"/>
                <w:b/>
                <w:sz w:val="24"/>
                <w:szCs w:val="24"/>
              </w:rPr>
            </w:pPr>
          </w:p>
        </w:tc>
        <w:tc>
          <w:tcPr>
            <w:tcW w:w="1807" w:type="dxa"/>
            <w:noWrap w:val="0"/>
            <w:vAlign w:val="center"/>
          </w:tcPr>
          <w:p w14:paraId="15DFAB2D">
            <w:pPr>
              <w:pStyle w:val="15"/>
              <w:pageBreakBefore w:val="0"/>
              <w:kinsoku/>
              <w:wordWrap/>
              <w:overflowPunct/>
              <w:topLinePunct w:val="0"/>
              <w:bidi w:val="0"/>
              <w:spacing w:line="560" w:lineRule="exact"/>
              <w:textAlignment w:val="auto"/>
              <w:outlineLvl w:val="9"/>
              <w:rPr>
                <w:rFonts w:hint="eastAsia" w:ascii="宋体" w:hAnsi="宋体" w:eastAsia="宋体" w:cs="宋体"/>
                <w:b/>
                <w:sz w:val="24"/>
                <w:szCs w:val="24"/>
              </w:rPr>
            </w:pPr>
          </w:p>
        </w:tc>
      </w:tr>
    </w:tbl>
    <w:p w14:paraId="59762EAF">
      <w:pPr>
        <w:pageBreakBefore w:val="0"/>
        <w:kinsoku/>
        <w:wordWrap/>
        <w:overflowPunct/>
        <w:topLinePunct w:val="0"/>
        <w:bidi w:val="0"/>
        <w:spacing w:line="560" w:lineRule="exact"/>
        <w:ind w:firstLine="2" w:firstLineChars="1"/>
        <w:textAlignment w:val="auto"/>
        <w:outlineLvl w:val="9"/>
        <w:rPr>
          <w:rFonts w:hint="eastAsia" w:ascii="宋体" w:hAnsi="宋体" w:eastAsia="宋体" w:cs="宋体"/>
          <w:sz w:val="24"/>
          <w:szCs w:val="24"/>
        </w:rPr>
      </w:pPr>
    </w:p>
    <w:p w14:paraId="2E0DD9C8">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供应商：（全称）（加盖电子公章）</w:t>
      </w:r>
    </w:p>
    <w:p w14:paraId="6DB5C334">
      <w:pPr>
        <w:pageBreakBefore w:val="0"/>
        <w:kinsoku/>
        <w:wordWrap/>
        <w:overflowPunct/>
        <w:topLinePunct w:val="0"/>
        <w:bidi w:val="0"/>
        <w:spacing w:line="560" w:lineRule="exact"/>
        <w:ind w:firstLine="2" w:firstLineChars="1"/>
        <w:textAlignment w:val="auto"/>
        <w:outlineLvl w:val="9"/>
        <w:rPr>
          <w:rFonts w:hint="eastAsia" w:ascii="宋体" w:hAnsi="宋体" w:eastAsia="宋体" w:cs="宋体"/>
          <w:sz w:val="24"/>
          <w:szCs w:val="24"/>
        </w:rPr>
      </w:pPr>
      <w:r>
        <w:rPr>
          <w:rFonts w:hint="eastAsia" w:ascii="宋体" w:hAnsi="宋体" w:eastAsia="宋体" w:cs="宋体"/>
          <w:sz w:val="24"/>
          <w:szCs w:val="24"/>
        </w:rPr>
        <w:t>法定代表人：（电子签名）</w:t>
      </w:r>
    </w:p>
    <w:p w14:paraId="3BD3D75E">
      <w:pPr>
        <w:pageBreakBefore w:val="0"/>
        <w:kinsoku/>
        <w:wordWrap/>
        <w:overflowPunct/>
        <w:topLinePunct w:val="0"/>
        <w:bidi w:val="0"/>
        <w:spacing w:line="560" w:lineRule="exact"/>
        <w:ind w:firstLine="2" w:firstLineChars="1"/>
        <w:textAlignment w:val="auto"/>
        <w:outlineLvl w:val="9"/>
        <w:rPr>
          <w:rFonts w:hint="eastAsia" w:ascii="宋体" w:hAnsi="宋体" w:eastAsia="宋体" w:cs="宋体"/>
          <w:sz w:val="24"/>
          <w:szCs w:val="24"/>
        </w:rPr>
      </w:pPr>
      <w:r>
        <w:rPr>
          <w:rFonts w:hint="eastAsia" w:ascii="宋体" w:hAnsi="宋体" w:eastAsia="宋体" w:cs="宋体"/>
          <w:sz w:val="24"/>
          <w:szCs w:val="24"/>
        </w:rPr>
        <w:t>年月日</w:t>
      </w:r>
    </w:p>
    <w:p w14:paraId="2EF6EA92">
      <w:pPr>
        <w:pageBreakBefore w:val="0"/>
        <w:kinsoku/>
        <w:wordWrap/>
        <w:overflowPunct/>
        <w:topLinePunct w:val="0"/>
        <w:bidi w:val="0"/>
        <w:spacing w:line="560" w:lineRule="exact"/>
        <w:ind w:firstLine="2" w:firstLineChars="1"/>
        <w:textAlignment w:val="auto"/>
        <w:outlineLvl w:val="9"/>
        <w:rPr>
          <w:rFonts w:hint="eastAsia" w:ascii="宋体" w:hAnsi="宋体" w:eastAsia="宋体" w:cs="宋体"/>
          <w:sz w:val="24"/>
          <w:szCs w:val="24"/>
        </w:rPr>
      </w:pPr>
    </w:p>
    <w:p w14:paraId="5CC82E57">
      <w:pPr>
        <w:pageBreakBefore w:val="0"/>
        <w:kinsoku/>
        <w:wordWrap/>
        <w:overflowPunct/>
        <w:topLinePunct w:val="0"/>
        <w:bidi w:val="0"/>
        <w:spacing w:line="560" w:lineRule="exact"/>
        <w:ind w:firstLine="2" w:firstLineChars="1"/>
        <w:textAlignment w:val="auto"/>
        <w:outlineLvl w:val="9"/>
        <w:rPr>
          <w:rFonts w:hint="eastAsia" w:ascii="宋体" w:hAnsi="宋体" w:eastAsia="宋体" w:cs="宋体"/>
          <w:b w:val="0"/>
          <w:bCs w:val="0"/>
          <w:color w:val="000000"/>
          <w:sz w:val="24"/>
          <w:szCs w:val="24"/>
        </w:rPr>
      </w:pPr>
      <w:r>
        <w:rPr>
          <w:rFonts w:hint="eastAsia" w:ascii="宋体" w:hAnsi="宋体" w:eastAsia="宋体" w:cs="宋体"/>
          <w:b/>
          <w:bCs/>
          <w:sz w:val="24"/>
          <w:szCs w:val="24"/>
          <w:lang w:val="en-US" w:eastAsia="zh-CN"/>
        </w:rPr>
        <w:t>说明：</w:t>
      </w:r>
      <w:r>
        <w:rPr>
          <w:rFonts w:hint="eastAsia" w:ascii="宋体" w:hAnsi="宋体" w:eastAsia="宋体" w:cs="宋体"/>
          <w:b w:val="0"/>
          <w:bCs w:val="0"/>
          <w:color w:val="000000"/>
          <w:sz w:val="24"/>
          <w:szCs w:val="24"/>
          <w:lang w:val="en-US" w:eastAsia="zh-CN"/>
        </w:rPr>
        <w:t>1</w:t>
      </w:r>
      <w:r>
        <w:rPr>
          <w:rFonts w:hint="eastAsia" w:ascii="宋体" w:hAnsi="宋体" w:eastAsia="宋体" w:cs="宋体"/>
          <w:b w:val="0"/>
          <w:bCs w:val="0"/>
          <w:color w:val="000000"/>
          <w:sz w:val="24"/>
          <w:szCs w:val="24"/>
        </w:rPr>
        <w:t>.所有报价均用人民币表示,所报价格是交货地的验收价格，其总价即为履行合同的固定价格。运输、安装、调试、检验、培训、税金和保险等费用以及</w:t>
      </w:r>
      <w:r>
        <w:rPr>
          <w:rFonts w:hint="eastAsia" w:ascii="宋体" w:hAnsi="宋体" w:eastAsia="宋体" w:cs="宋体"/>
          <w:b w:val="0"/>
          <w:bCs w:val="0"/>
          <w:color w:val="000000"/>
          <w:sz w:val="24"/>
          <w:szCs w:val="24"/>
          <w:lang w:eastAsia="zh-CN"/>
        </w:rPr>
        <w:t>谈判文件</w:t>
      </w:r>
      <w:r>
        <w:rPr>
          <w:rFonts w:hint="eastAsia" w:ascii="宋体" w:hAnsi="宋体" w:eastAsia="宋体" w:cs="宋体"/>
          <w:b w:val="0"/>
          <w:bCs w:val="0"/>
          <w:color w:val="000000"/>
          <w:sz w:val="24"/>
          <w:szCs w:val="24"/>
        </w:rPr>
        <w:t>规定的其他费用均应包含在报价中；进口货物请列明含关税、进口环节税的报价和不含关税、进口环节税的报价。</w:t>
      </w:r>
    </w:p>
    <w:p w14:paraId="0E5A4EEA">
      <w:pPr>
        <w:pageBreakBefore w:val="0"/>
        <w:kinsoku/>
        <w:wordWrap/>
        <w:overflowPunct/>
        <w:topLinePunct w:val="0"/>
        <w:bidi w:val="0"/>
        <w:spacing w:line="560" w:lineRule="exact"/>
        <w:ind w:firstLine="2" w:firstLineChars="1"/>
        <w:textAlignment w:val="auto"/>
        <w:outlineLvl w:val="9"/>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color w:val="000000"/>
          <w:sz w:val="24"/>
          <w:szCs w:val="24"/>
        </w:rPr>
        <w:t>应完整填写产品的品牌和型号或项目内容。</w:t>
      </w:r>
    </w:p>
    <w:p w14:paraId="42B5D08C">
      <w:pPr>
        <w:pageBreakBefore w:val="0"/>
        <w:kinsoku/>
        <w:wordWrap/>
        <w:overflowPunct/>
        <w:topLinePunct w:val="0"/>
        <w:bidi w:val="0"/>
        <w:spacing w:line="560" w:lineRule="exact"/>
        <w:ind w:firstLine="2" w:firstLineChars="1"/>
        <w:textAlignment w:val="auto"/>
        <w:outlineLvl w:val="9"/>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3.</w:t>
      </w:r>
      <w:r>
        <w:rPr>
          <w:rFonts w:hint="eastAsia" w:ascii="宋体" w:hAnsi="宋体" w:eastAsia="宋体" w:cs="宋体"/>
          <w:b w:val="0"/>
          <w:bCs w:val="0"/>
          <w:color w:val="000000"/>
          <w:sz w:val="24"/>
          <w:szCs w:val="24"/>
        </w:rPr>
        <w:t>表格长度可根据需要自行调整，表中所列内容为必须填写项目，</w:t>
      </w:r>
      <w:r>
        <w:rPr>
          <w:rFonts w:hint="eastAsia" w:ascii="宋体" w:hAnsi="宋体" w:eastAsia="宋体" w:cs="宋体"/>
          <w:b w:val="0"/>
          <w:bCs w:val="0"/>
          <w:color w:val="000000"/>
          <w:sz w:val="24"/>
          <w:szCs w:val="24"/>
          <w:lang w:val="en-US" w:eastAsia="zh-CN"/>
        </w:rPr>
        <w:t>供应商</w:t>
      </w:r>
      <w:r>
        <w:rPr>
          <w:rFonts w:hint="eastAsia" w:ascii="宋体" w:hAnsi="宋体" w:eastAsia="宋体" w:cs="宋体"/>
          <w:b w:val="0"/>
          <w:bCs w:val="0"/>
          <w:color w:val="000000"/>
          <w:sz w:val="24"/>
          <w:szCs w:val="24"/>
        </w:rPr>
        <w:t>可根据自身情况增加内容。</w:t>
      </w:r>
    </w:p>
    <w:p w14:paraId="226A0087">
      <w:pPr>
        <w:pStyle w:val="12"/>
        <w:pageBreakBefore w:val="0"/>
        <w:kinsoku/>
        <w:wordWrap/>
        <w:overflowPunct/>
        <w:topLinePunct w:val="0"/>
        <w:bidi w:val="0"/>
        <w:spacing w:after="0" w:line="560" w:lineRule="exact"/>
        <w:textAlignment w:val="auto"/>
        <w:rPr>
          <w:rFonts w:hint="eastAsia" w:ascii="宋体" w:hAnsi="宋体" w:eastAsia="宋体" w:cs="宋体"/>
          <w:b/>
          <w:bCs/>
          <w:kern w:val="2"/>
          <w:sz w:val="24"/>
          <w:szCs w:val="24"/>
          <w:lang w:val="en-US" w:eastAsia="zh-CN" w:bidi="ar-SA"/>
        </w:rPr>
      </w:pPr>
    </w:p>
    <w:p w14:paraId="335BC04E">
      <w:pPr>
        <w:pStyle w:val="6"/>
        <w:pageBreakBefore w:val="0"/>
        <w:kinsoku/>
        <w:wordWrap/>
        <w:overflowPunct/>
        <w:topLinePunct w:val="0"/>
        <w:bidi w:val="0"/>
        <w:spacing w:before="0" w:after="0" w:line="560" w:lineRule="exact"/>
        <w:jc w:val="center"/>
        <w:textAlignment w:val="auto"/>
        <w:rPr>
          <w:rFonts w:hint="eastAsia"/>
          <w:sz w:val="24"/>
          <w:szCs w:val="24"/>
          <w:lang w:val="en-US" w:eastAsia="zh-CN"/>
        </w:rPr>
      </w:pPr>
      <w:bookmarkStart w:id="360" w:name="_Toc24845"/>
      <w:bookmarkStart w:id="361" w:name="_Toc6525"/>
      <w:bookmarkStart w:id="362" w:name="_Toc25947"/>
      <w:bookmarkStart w:id="363" w:name="_Toc15203"/>
      <w:r>
        <w:rPr>
          <w:rFonts w:hint="eastAsia"/>
          <w:sz w:val="24"/>
          <w:szCs w:val="24"/>
          <w:lang w:val="en-US" w:eastAsia="zh-CN"/>
        </w:rPr>
        <w:t>二、资格证明文件</w:t>
      </w:r>
      <w:bookmarkEnd w:id="360"/>
      <w:bookmarkEnd w:id="361"/>
      <w:bookmarkEnd w:id="362"/>
      <w:bookmarkEnd w:id="363"/>
    </w:p>
    <w:p w14:paraId="390DE56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供应商</w:t>
      </w:r>
      <w:r>
        <w:rPr>
          <w:rFonts w:hint="eastAsia" w:ascii="宋体" w:hAnsi="宋体" w:eastAsia="宋体" w:cs="宋体"/>
          <w:sz w:val="24"/>
          <w:szCs w:val="24"/>
        </w:rPr>
        <w:t>应填写和提交下述规定的有关证明材料以及其他有关资料。</w:t>
      </w:r>
    </w:p>
    <w:p w14:paraId="412B76F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2.所附格式要求填写的全部内容都必须填写。</w:t>
      </w:r>
    </w:p>
    <w:p w14:paraId="17C1C57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供应商</w:t>
      </w:r>
      <w:r>
        <w:rPr>
          <w:rFonts w:hint="eastAsia" w:ascii="宋体" w:hAnsi="宋体" w:eastAsia="宋体" w:cs="宋体"/>
          <w:sz w:val="24"/>
          <w:szCs w:val="24"/>
        </w:rPr>
        <w:t>资格声明的签字人应保证全部声明和填写的内容是真实的和正确的。</w:t>
      </w:r>
    </w:p>
    <w:p w14:paraId="07868E6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供应商</w:t>
      </w:r>
      <w:r>
        <w:rPr>
          <w:rFonts w:hint="eastAsia" w:ascii="宋体" w:hAnsi="宋体" w:eastAsia="宋体" w:cs="宋体"/>
          <w:sz w:val="24"/>
          <w:szCs w:val="24"/>
        </w:rPr>
        <w:t>提交的材料将被保密。</w:t>
      </w:r>
    </w:p>
    <w:p w14:paraId="344FD6E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lang w:val="en-US" w:eastAsia="zh-CN"/>
        </w:rPr>
        <w:t>5</w:t>
      </w:r>
      <w:r>
        <w:rPr>
          <w:rFonts w:hint="eastAsia" w:ascii="宋体" w:hAnsi="宋体" w:eastAsia="宋体" w:cs="宋体"/>
          <w:b/>
          <w:bCs/>
          <w:sz w:val="24"/>
          <w:szCs w:val="24"/>
          <w:lang w:eastAsia="zh-CN"/>
        </w:rPr>
        <w:t>.</w:t>
      </w:r>
      <w:r>
        <w:rPr>
          <w:rFonts w:hint="eastAsia" w:ascii="宋体" w:hAnsi="宋体" w:eastAsia="宋体" w:cs="宋体"/>
          <w:b/>
          <w:bCs/>
          <w:sz w:val="24"/>
          <w:szCs w:val="24"/>
        </w:rPr>
        <w:t>该部分资格证明文件将作为对</w:t>
      </w:r>
      <w:r>
        <w:rPr>
          <w:rFonts w:hint="eastAsia" w:ascii="宋体" w:hAnsi="宋体" w:eastAsia="宋体" w:cs="宋体"/>
          <w:b/>
          <w:bCs/>
          <w:sz w:val="24"/>
          <w:szCs w:val="24"/>
          <w:lang w:val="en-US" w:eastAsia="zh-CN"/>
        </w:rPr>
        <w:t>供应商</w:t>
      </w:r>
      <w:r>
        <w:rPr>
          <w:rFonts w:hint="eastAsia" w:ascii="宋体" w:hAnsi="宋体" w:eastAsia="宋体" w:cs="宋体"/>
          <w:b/>
          <w:bCs/>
          <w:sz w:val="24"/>
          <w:szCs w:val="24"/>
        </w:rPr>
        <w:t>资格要求部分的评审依据，未按要求提交的</w:t>
      </w:r>
      <w:r>
        <w:rPr>
          <w:rFonts w:hint="eastAsia" w:ascii="宋体" w:hAnsi="宋体" w:eastAsia="宋体" w:cs="宋体"/>
          <w:b/>
          <w:bCs/>
          <w:sz w:val="24"/>
          <w:szCs w:val="24"/>
          <w:lang w:val="en-US" w:eastAsia="zh-CN"/>
        </w:rPr>
        <w:t>供应商</w:t>
      </w:r>
      <w:r>
        <w:rPr>
          <w:rFonts w:hint="eastAsia" w:ascii="宋体" w:hAnsi="宋体" w:eastAsia="宋体" w:cs="宋体"/>
          <w:b/>
          <w:bCs/>
          <w:sz w:val="24"/>
          <w:szCs w:val="24"/>
        </w:rPr>
        <w:t>将不能通过资格性审查。</w:t>
      </w:r>
    </w:p>
    <w:p w14:paraId="6EB10452">
      <w:pPr>
        <w:keepNext w:val="0"/>
        <w:keepLines w:val="0"/>
        <w:pageBreakBefore w:val="0"/>
        <w:kinsoku/>
        <w:wordWrap/>
        <w:overflowPunct/>
        <w:topLinePunct w:val="0"/>
        <w:bidi w:val="0"/>
        <w:spacing w:line="560" w:lineRule="exact"/>
        <w:ind w:firstLine="470" w:firstLineChars="196"/>
        <w:textAlignment w:val="auto"/>
        <w:outlineLvl w:val="9"/>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6.资格审查通过条件详见第五章“第二条谈判程序第一点资格审查”部分。</w:t>
      </w:r>
    </w:p>
    <w:p w14:paraId="69C70587">
      <w:pPr>
        <w:pStyle w:val="2"/>
        <w:pageBreakBefore w:val="0"/>
        <w:kinsoku/>
        <w:wordWrap/>
        <w:overflowPunct/>
        <w:topLinePunct w:val="0"/>
        <w:bidi w:val="0"/>
        <w:spacing w:line="560" w:lineRule="exact"/>
        <w:ind w:left="0" w:leftChars="0" w:firstLine="0" w:firstLineChars="0"/>
        <w:textAlignment w:val="auto"/>
        <w:outlineLvl w:val="9"/>
        <w:rPr>
          <w:rFonts w:hint="eastAsia" w:ascii="宋体" w:hAnsi="宋体" w:eastAsia="宋体" w:cs="宋体"/>
          <w:sz w:val="24"/>
          <w:szCs w:val="24"/>
          <w:lang w:val="en-US" w:eastAsia="zh-CN"/>
        </w:rPr>
      </w:pPr>
    </w:p>
    <w:p w14:paraId="157A6E92">
      <w:pPr>
        <w:pStyle w:val="7"/>
        <w:pageBreakBefore w:val="0"/>
        <w:kinsoku/>
        <w:wordWrap/>
        <w:overflowPunct/>
        <w:topLinePunct w:val="0"/>
        <w:autoSpaceDE/>
        <w:autoSpaceDN/>
        <w:bidi w:val="0"/>
        <w:adjustRightInd/>
        <w:snapToGrid/>
        <w:spacing w:before="0" w:after="0" w:line="560" w:lineRule="exact"/>
        <w:ind w:left="0" w:leftChars="0" w:right="0" w:rightChars="0"/>
        <w:textAlignment w:val="auto"/>
        <w:rPr>
          <w:rFonts w:hint="eastAsia" w:ascii="宋体" w:hAnsi="宋体" w:eastAsia="宋体" w:cs="宋体"/>
          <w:sz w:val="24"/>
          <w:szCs w:val="24"/>
        </w:rPr>
      </w:pPr>
      <w:r>
        <w:rPr>
          <w:rFonts w:hint="eastAsia" w:ascii="宋体" w:hAnsi="宋体" w:eastAsia="宋体" w:cs="宋体"/>
          <w:szCs w:val="24"/>
        </w:rPr>
        <w:br w:type="page"/>
      </w:r>
      <w:bookmarkStart w:id="364" w:name="_Toc6943"/>
      <w:bookmarkStart w:id="365" w:name="_Toc16077"/>
      <w:bookmarkStart w:id="366" w:name="_Toc16322"/>
      <w:r>
        <w:rPr>
          <w:rFonts w:hint="eastAsia" w:ascii="宋体" w:hAnsi="宋体" w:eastAsia="宋体" w:cs="宋体"/>
          <w:sz w:val="24"/>
          <w:szCs w:val="24"/>
        </w:rPr>
        <w:t>格式2-1：</w:t>
      </w:r>
      <w:bookmarkEnd w:id="364"/>
      <w:r>
        <w:rPr>
          <w:rFonts w:hint="eastAsia" w:ascii="宋体" w:hAnsi="宋体" w:eastAsia="宋体" w:cs="宋体"/>
          <w:sz w:val="24"/>
          <w:szCs w:val="24"/>
        </w:rPr>
        <w:t>供应商应具有独立承担民事责任的能力</w:t>
      </w:r>
      <w:bookmarkEnd w:id="365"/>
      <w:bookmarkStart w:id="367" w:name="_Toc21315"/>
      <w:r>
        <w:rPr>
          <w:rFonts w:hint="eastAsia" w:ascii="宋体" w:hAnsi="宋体" w:eastAsia="宋体" w:cs="宋体"/>
          <w:sz w:val="24"/>
          <w:szCs w:val="24"/>
          <w:lang w:val="en-US" w:eastAsia="zh-CN"/>
        </w:rPr>
        <w:t>的证明材料</w:t>
      </w:r>
      <w:bookmarkEnd w:id="366"/>
      <w:bookmarkEnd w:id="367"/>
      <w:bookmarkStart w:id="368" w:name="_Toc30737"/>
      <w:bookmarkStart w:id="369" w:name="_Toc3302"/>
    </w:p>
    <w:p w14:paraId="2A03757F">
      <w:pPr>
        <w:pStyle w:val="7"/>
        <w:pageBreakBefore w:val="0"/>
        <w:kinsoku/>
        <w:wordWrap/>
        <w:overflowPunct/>
        <w:topLinePunct w:val="0"/>
        <w:autoSpaceDE/>
        <w:autoSpaceDN/>
        <w:bidi w:val="0"/>
        <w:adjustRightInd/>
        <w:snapToGrid/>
        <w:spacing w:before="0" w:after="0" w:line="560" w:lineRule="exact"/>
        <w:ind w:left="0" w:leftChars="0" w:right="0" w:rightChars="0"/>
        <w:textAlignment w:val="auto"/>
        <w:rPr>
          <w:rFonts w:hint="eastAsia" w:ascii="宋体" w:hAnsi="宋体" w:eastAsia="宋体" w:cs="宋体"/>
          <w:sz w:val="24"/>
          <w:szCs w:val="24"/>
        </w:rPr>
      </w:pPr>
      <w:r>
        <w:rPr>
          <w:rFonts w:hint="eastAsia" w:ascii="宋体" w:hAnsi="宋体" w:eastAsia="宋体" w:cs="宋体"/>
          <w:sz w:val="24"/>
          <w:szCs w:val="24"/>
        </w:rPr>
        <w:t>格式2-2：供应商缴纳税收证明材料</w:t>
      </w:r>
      <w:bookmarkEnd w:id="368"/>
      <w:bookmarkEnd w:id="369"/>
    </w:p>
    <w:p w14:paraId="33747A6C">
      <w:pPr>
        <w:pStyle w:val="7"/>
        <w:pageBreakBefore w:val="0"/>
        <w:kinsoku/>
        <w:wordWrap/>
        <w:overflowPunct/>
        <w:topLinePunct w:val="0"/>
        <w:autoSpaceDE/>
        <w:autoSpaceDN/>
        <w:bidi w:val="0"/>
        <w:adjustRightInd/>
        <w:snapToGrid/>
        <w:spacing w:before="0" w:after="0" w:line="560" w:lineRule="exact"/>
        <w:ind w:left="0" w:leftChars="0" w:right="0" w:rightChars="0"/>
        <w:textAlignment w:val="auto"/>
        <w:rPr>
          <w:rFonts w:hint="eastAsia" w:ascii="宋体" w:hAnsi="宋体" w:eastAsia="宋体" w:cs="宋体"/>
          <w:sz w:val="24"/>
          <w:szCs w:val="24"/>
        </w:rPr>
      </w:pPr>
      <w:bookmarkStart w:id="370" w:name="_Toc21488"/>
      <w:bookmarkStart w:id="371" w:name="_Toc27105"/>
      <w:bookmarkStart w:id="372" w:name="_Toc11286"/>
      <w:r>
        <w:rPr>
          <w:rFonts w:hint="eastAsia" w:ascii="宋体" w:hAnsi="宋体" w:eastAsia="宋体" w:cs="宋体"/>
          <w:sz w:val="24"/>
          <w:szCs w:val="24"/>
        </w:rPr>
        <w:t>格式2-3：供应商缴纳社保证明材料</w:t>
      </w:r>
      <w:bookmarkEnd w:id="370"/>
      <w:bookmarkEnd w:id="371"/>
      <w:bookmarkEnd w:id="372"/>
    </w:p>
    <w:p w14:paraId="2CB3EFE2">
      <w:pPr>
        <w:pStyle w:val="7"/>
        <w:pageBreakBefore w:val="0"/>
        <w:kinsoku/>
        <w:wordWrap/>
        <w:overflowPunct/>
        <w:topLinePunct w:val="0"/>
        <w:autoSpaceDE/>
        <w:autoSpaceDN/>
        <w:bidi w:val="0"/>
        <w:adjustRightInd/>
        <w:snapToGrid/>
        <w:spacing w:before="0" w:after="0" w:line="560" w:lineRule="exact"/>
        <w:ind w:left="0" w:leftChars="0" w:right="0" w:rightChars="0"/>
        <w:textAlignment w:val="auto"/>
        <w:rPr>
          <w:rFonts w:hint="eastAsia" w:ascii="宋体" w:hAnsi="宋体" w:eastAsia="宋体" w:cs="宋体"/>
          <w:sz w:val="24"/>
          <w:szCs w:val="24"/>
        </w:rPr>
      </w:pPr>
      <w:bookmarkStart w:id="373" w:name="_Toc6493"/>
      <w:bookmarkStart w:id="374" w:name="_Toc481656342"/>
      <w:bookmarkStart w:id="375" w:name="_Toc417378692"/>
      <w:bookmarkStart w:id="376" w:name="_Toc424283044"/>
      <w:bookmarkStart w:id="377" w:name="_Toc18934"/>
      <w:bookmarkStart w:id="378" w:name="_Toc413162755"/>
      <w:bookmarkStart w:id="379" w:name="_Toc417995149"/>
      <w:bookmarkStart w:id="380" w:name="_Toc30464"/>
      <w:r>
        <w:rPr>
          <w:rFonts w:hint="eastAsia" w:ascii="宋体" w:hAnsi="宋体" w:eastAsia="宋体" w:cs="宋体"/>
          <w:sz w:val="24"/>
          <w:szCs w:val="24"/>
        </w:rPr>
        <w:t>格式2-4：</w:t>
      </w:r>
      <w:bookmarkEnd w:id="373"/>
      <w:bookmarkEnd w:id="374"/>
      <w:bookmarkEnd w:id="375"/>
      <w:bookmarkEnd w:id="376"/>
      <w:bookmarkEnd w:id="377"/>
      <w:bookmarkEnd w:id="378"/>
      <w:bookmarkEnd w:id="379"/>
      <w:bookmarkStart w:id="381" w:name="_Toc481656344"/>
      <w:bookmarkStart w:id="382" w:name="_Toc2200"/>
      <w:bookmarkStart w:id="383" w:name="_Toc25136"/>
      <w:r>
        <w:rPr>
          <w:rFonts w:hint="eastAsia" w:ascii="宋体" w:hAnsi="宋体" w:eastAsia="宋体" w:cs="宋体"/>
          <w:sz w:val="24"/>
          <w:szCs w:val="24"/>
        </w:rPr>
        <w:t>具有健全的财务会计制度</w:t>
      </w:r>
      <w:bookmarkEnd w:id="380"/>
    </w:p>
    <w:p w14:paraId="58BDDCF4">
      <w:pPr>
        <w:pStyle w:val="7"/>
        <w:pageBreakBefore w:val="0"/>
        <w:kinsoku/>
        <w:wordWrap/>
        <w:overflowPunct/>
        <w:topLinePunct w:val="0"/>
        <w:autoSpaceDE/>
        <w:autoSpaceDN/>
        <w:bidi w:val="0"/>
        <w:adjustRightInd/>
        <w:snapToGrid/>
        <w:spacing w:before="0" w:after="0" w:line="560" w:lineRule="exact"/>
        <w:ind w:left="0" w:leftChars="0" w:right="0" w:rightChars="0"/>
        <w:textAlignment w:val="auto"/>
        <w:rPr>
          <w:rFonts w:hint="eastAsia" w:ascii="宋体" w:hAnsi="宋体" w:eastAsia="宋体" w:cs="宋体"/>
          <w:sz w:val="24"/>
          <w:szCs w:val="24"/>
        </w:rPr>
      </w:pPr>
      <w:bookmarkStart w:id="384" w:name="_Toc16560"/>
      <w:bookmarkStart w:id="385" w:name="_Toc23698"/>
      <w:r>
        <w:rPr>
          <w:rFonts w:hint="eastAsia" w:ascii="宋体" w:hAnsi="宋体" w:eastAsia="宋体" w:cs="宋体"/>
          <w:sz w:val="24"/>
          <w:szCs w:val="24"/>
        </w:rPr>
        <w:t>格式2-5：</w:t>
      </w:r>
      <w:bookmarkStart w:id="386" w:name="_Toc448136022"/>
      <w:bookmarkStart w:id="387" w:name="_Toc413162756"/>
      <w:r>
        <w:rPr>
          <w:rFonts w:hint="eastAsia" w:ascii="宋体" w:hAnsi="宋体" w:eastAsia="宋体" w:cs="宋体"/>
          <w:sz w:val="24"/>
          <w:szCs w:val="24"/>
          <w:lang w:val="en-US" w:eastAsia="zh-CN"/>
        </w:rPr>
        <w:t>具有</w:t>
      </w:r>
      <w:r>
        <w:rPr>
          <w:rFonts w:hint="eastAsia" w:ascii="宋体" w:hAnsi="宋体" w:eastAsia="宋体" w:cs="宋体"/>
          <w:sz w:val="24"/>
          <w:szCs w:val="24"/>
        </w:rPr>
        <w:t>良好的商业信誉</w:t>
      </w:r>
    </w:p>
    <w:p w14:paraId="59C18EBA">
      <w:pPr>
        <w:keepNext w:val="0"/>
        <w:keepLines w:val="0"/>
        <w:pageBreakBefore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宋体" w:hAnsi="宋体" w:eastAsia="宋体" w:cs="宋体"/>
          <w:sz w:val="24"/>
          <w:szCs w:val="24"/>
        </w:rPr>
      </w:pPr>
      <w:bookmarkStart w:id="388" w:name="_Toc17124_WPSOffice_Level2"/>
      <w:r>
        <w:rPr>
          <w:rFonts w:hint="eastAsia" w:ascii="宋体" w:hAnsi="宋体" w:eastAsia="宋体" w:cs="宋体"/>
          <w:b/>
          <w:bCs/>
          <w:sz w:val="24"/>
          <w:szCs w:val="24"/>
          <w:lang w:val="en-US" w:eastAsia="zh-CN"/>
        </w:rPr>
        <w:t>供应商</w:t>
      </w:r>
      <w:r>
        <w:rPr>
          <w:rFonts w:hint="eastAsia" w:ascii="宋体" w:hAnsi="宋体" w:eastAsia="宋体" w:cs="宋体"/>
          <w:b/>
          <w:bCs/>
          <w:sz w:val="24"/>
          <w:szCs w:val="24"/>
        </w:rPr>
        <w:t>声明</w:t>
      </w:r>
      <w:bookmarkEnd w:id="381"/>
      <w:bookmarkEnd w:id="382"/>
      <w:bookmarkEnd w:id="383"/>
      <w:bookmarkEnd w:id="384"/>
      <w:bookmarkEnd w:id="385"/>
      <w:bookmarkEnd w:id="388"/>
    </w:p>
    <w:bookmarkEnd w:id="386"/>
    <w:bookmarkEnd w:id="387"/>
    <w:p w14:paraId="1F57CC29">
      <w:pPr>
        <w:pageBreakBefore w:val="0"/>
        <w:kinsoku/>
        <w:wordWrap/>
        <w:overflowPunct/>
        <w:topLinePunct w:val="0"/>
        <w:autoSpaceDE/>
        <w:autoSpaceDN/>
        <w:bidi w:val="0"/>
        <w:adjustRightInd/>
        <w:snapToGrid/>
        <w:spacing w:line="560" w:lineRule="exact"/>
        <w:ind w:left="0" w:leftChars="0" w:right="0" w:rightChars="0"/>
        <w:textAlignment w:val="auto"/>
        <w:outlineLvl w:val="9"/>
        <w:rPr>
          <w:rFonts w:hint="default" w:ascii="宋体" w:hAnsi="宋体" w:eastAsia="宋体" w:cs="宋体"/>
          <w:b w:val="0"/>
          <w:bCs/>
          <w:sz w:val="24"/>
          <w:szCs w:val="24"/>
          <w:lang w:val="en-US" w:eastAsia="zh-CN"/>
        </w:rPr>
      </w:pPr>
      <w:r>
        <w:rPr>
          <w:rFonts w:hint="eastAsia" w:ascii="宋体" w:hAnsi="宋体" w:eastAsia="宋体" w:cs="宋体"/>
          <w:b w:val="0"/>
          <w:bCs/>
          <w:sz w:val="24"/>
          <w:szCs w:val="24"/>
        </w:rPr>
        <w:t>致：</w:t>
      </w:r>
      <w:r>
        <w:rPr>
          <w:rFonts w:hint="eastAsia" w:ascii="宋体" w:hAnsi="宋体" w:cs="宋体"/>
          <w:b w:val="0"/>
          <w:bCs/>
          <w:sz w:val="24"/>
          <w:szCs w:val="24"/>
          <w:lang w:val="en-US" w:eastAsia="zh-CN"/>
        </w:rPr>
        <w:t>采购人、采购代理机构</w:t>
      </w:r>
    </w:p>
    <w:p w14:paraId="09D0B876">
      <w:pPr>
        <w:pageBreakBefore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我单位作为</w:t>
      </w:r>
      <w:r>
        <w:rPr>
          <w:rFonts w:hint="eastAsia" w:ascii="宋体" w:hAnsi="宋体" w:eastAsia="宋体" w:cs="宋体"/>
          <w:b/>
          <w:sz w:val="24"/>
          <w:szCs w:val="24"/>
        </w:rPr>
        <w:t>XXX采购项目</w:t>
      </w:r>
      <w:r>
        <w:rPr>
          <w:rFonts w:hint="eastAsia" w:ascii="宋体" w:hAnsi="宋体" w:eastAsia="宋体" w:cs="宋体"/>
          <w:sz w:val="24"/>
          <w:szCs w:val="24"/>
        </w:rPr>
        <w:t>的供应商，在此郑重声明：</w:t>
      </w:r>
    </w:p>
    <w:p w14:paraId="315831E7">
      <w:pPr>
        <w:pageBreakBefore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一、我单位参加政府采购活动前三年内，在经营活动中</w:t>
      </w:r>
      <w:r>
        <w:rPr>
          <w:rFonts w:hint="eastAsia" w:ascii="宋体" w:hAnsi="宋体" w:eastAsia="宋体" w:cs="宋体"/>
          <w:b/>
          <w:sz w:val="24"/>
          <w:szCs w:val="24"/>
          <w:u w:val="single"/>
        </w:rPr>
        <w:t>（说明：填写“无”或“有”</w:t>
      </w:r>
      <w:r>
        <w:rPr>
          <w:rFonts w:hint="eastAsia" w:ascii="宋体" w:hAnsi="宋体" w:eastAsia="宋体" w:cs="宋体"/>
          <w:sz w:val="24"/>
          <w:szCs w:val="24"/>
          <w:u w:val="single"/>
        </w:rPr>
        <w:t>）</w:t>
      </w:r>
      <w:r>
        <w:rPr>
          <w:rFonts w:hint="eastAsia" w:ascii="宋体" w:hAnsi="宋体" w:eastAsia="宋体" w:cs="宋体"/>
          <w:sz w:val="24"/>
          <w:szCs w:val="24"/>
        </w:rPr>
        <w:t>重大违法记录。</w:t>
      </w:r>
    </w:p>
    <w:p w14:paraId="6CD36B2D">
      <w:pPr>
        <w:pageBreakBefore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b/>
          <w:sz w:val="24"/>
          <w:szCs w:val="24"/>
        </w:rPr>
      </w:pPr>
      <w:r>
        <w:rPr>
          <w:rFonts w:hint="eastAsia" w:ascii="宋体" w:hAnsi="宋体" w:eastAsia="宋体" w:cs="宋体"/>
          <w:sz w:val="24"/>
          <w:szCs w:val="24"/>
        </w:rPr>
        <w:t>二、与我单位存在单位负责人为同一人、直接控股、管理关系的不同供应商：</w:t>
      </w:r>
      <w:r>
        <w:rPr>
          <w:rFonts w:hint="eastAsia" w:ascii="宋体" w:hAnsi="宋体" w:eastAsia="宋体" w:cs="宋体"/>
          <w:b/>
          <w:sz w:val="24"/>
          <w:szCs w:val="24"/>
          <w:u w:val="single"/>
        </w:rPr>
        <w:t>（说明：填写“无”或“（一）供应商名称１；（二）供应商名称２ ；（三）……”）</w:t>
      </w:r>
      <w:r>
        <w:rPr>
          <w:rFonts w:hint="eastAsia" w:ascii="宋体" w:hAnsi="宋体" w:eastAsia="宋体" w:cs="宋体"/>
          <w:b/>
          <w:sz w:val="24"/>
          <w:szCs w:val="24"/>
        </w:rPr>
        <w:t>。</w:t>
      </w:r>
    </w:p>
    <w:p w14:paraId="5622609B">
      <w:pPr>
        <w:pageBreakBefore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三</w:t>
      </w:r>
      <w:r>
        <w:rPr>
          <w:rFonts w:hint="eastAsia" w:ascii="宋体" w:hAnsi="宋体" w:eastAsia="宋体" w:cs="宋体"/>
          <w:sz w:val="24"/>
          <w:szCs w:val="24"/>
        </w:rPr>
        <w:t>、我单位</w:t>
      </w:r>
      <w:r>
        <w:rPr>
          <w:rFonts w:hint="eastAsia" w:ascii="宋体" w:hAnsi="宋体" w:eastAsia="宋体" w:cs="宋体"/>
          <w:b/>
          <w:sz w:val="24"/>
          <w:szCs w:val="24"/>
          <w:u w:val="single"/>
        </w:rPr>
        <w:t>（说明：填写“未处于”或“处于”）</w:t>
      </w:r>
      <w:r>
        <w:rPr>
          <w:rFonts w:hint="eastAsia" w:ascii="宋体" w:hAnsi="宋体" w:eastAsia="宋体" w:cs="宋体"/>
          <w:bCs/>
          <w:sz w:val="24"/>
          <w:szCs w:val="24"/>
        </w:rPr>
        <w:t>被行政部门禁止参与政府采购活动的期限内</w:t>
      </w:r>
      <w:r>
        <w:rPr>
          <w:rFonts w:hint="eastAsia" w:ascii="宋体" w:hAnsi="宋体" w:eastAsia="宋体" w:cs="宋体"/>
          <w:sz w:val="24"/>
          <w:szCs w:val="24"/>
        </w:rPr>
        <w:t>。</w:t>
      </w:r>
    </w:p>
    <w:p w14:paraId="5D06E74D">
      <w:pPr>
        <w:pageBreakBefore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sz w:val="24"/>
          <w:szCs w:val="24"/>
        </w:rPr>
      </w:pPr>
    </w:p>
    <w:p w14:paraId="468C208F">
      <w:pPr>
        <w:pageBreakBefore w:val="0"/>
        <w:kinsoku/>
        <w:wordWrap/>
        <w:overflowPunct/>
        <w:topLinePunct w:val="0"/>
        <w:autoSpaceDE/>
        <w:autoSpaceDN/>
        <w:bidi w:val="0"/>
        <w:adjustRightInd/>
        <w:snapToGrid/>
        <w:spacing w:line="560" w:lineRule="exact"/>
        <w:ind w:left="0" w:leftChars="0" w:right="0" w:rightChars="0" w:firstLine="460" w:firstLineChars="192"/>
        <w:textAlignment w:val="auto"/>
        <w:outlineLvl w:val="9"/>
        <w:rPr>
          <w:rFonts w:hint="eastAsia" w:ascii="宋体" w:hAnsi="宋体" w:eastAsia="宋体" w:cs="宋体"/>
          <w:sz w:val="24"/>
          <w:szCs w:val="24"/>
        </w:rPr>
      </w:pPr>
      <w:r>
        <w:rPr>
          <w:rFonts w:hint="eastAsia" w:ascii="宋体" w:hAnsi="宋体" w:eastAsia="宋体" w:cs="宋体"/>
          <w:sz w:val="24"/>
          <w:szCs w:val="24"/>
        </w:rPr>
        <w:t>特此声明。</w:t>
      </w:r>
    </w:p>
    <w:p w14:paraId="07B10EF5">
      <w:pPr>
        <w:pStyle w:val="9"/>
        <w:pageBreakBefore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sz w:val="24"/>
          <w:szCs w:val="24"/>
        </w:rPr>
      </w:pPr>
    </w:p>
    <w:p w14:paraId="36E107AE">
      <w:pPr>
        <w:pageBreakBefore w:val="0"/>
        <w:kinsoku/>
        <w:wordWrap/>
        <w:overflowPunct/>
        <w:topLinePunct w:val="0"/>
        <w:autoSpaceDE/>
        <w:autoSpaceDN/>
        <w:bidi w:val="0"/>
        <w:adjustRightInd/>
        <w:snapToGrid/>
        <w:spacing w:line="560" w:lineRule="exact"/>
        <w:ind w:left="0" w:leftChars="0" w:right="0" w:rightChars="0" w:firstLine="460" w:firstLineChars="192"/>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供应商名称：</w:t>
      </w:r>
      <w:r>
        <w:rPr>
          <w:rFonts w:hint="eastAsia" w:ascii="宋体" w:hAnsi="宋体" w:eastAsia="宋体" w:cs="宋体"/>
          <w:sz w:val="24"/>
          <w:szCs w:val="24"/>
          <w:u w:val="single"/>
        </w:rPr>
        <w:t>XXXX</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lang w:val="en-US" w:eastAsia="zh-CN"/>
        </w:rPr>
        <w:t>加盖电子公章</w:t>
      </w:r>
      <w:r>
        <w:rPr>
          <w:rFonts w:hint="eastAsia" w:ascii="宋体" w:hAnsi="宋体" w:eastAsia="宋体" w:cs="宋体"/>
          <w:sz w:val="24"/>
          <w:szCs w:val="24"/>
          <w:u w:val="single"/>
          <w:lang w:eastAsia="zh-CN"/>
        </w:rPr>
        <w:t>）</w:t>
      </w:r>
    </w:p>
    <w:p w14:paraId="65227CE2">
      <w:pPr>
        <w:pageBreakBefore w:val="0"/>
        <w:kinsoku/>
        <w:wordWrap/>
        <w:overflowPunct/>
        <w:topLinePunct w:val="0"/>
        <w:autoSpaceDE/>
        <w:autoSpaceDN/>
        <w:bidi w:val="0"/>
        <w:adjustRightInd/>
        <w:snapToGrid/>
        <w:spacing w:line="560" w:lineRule="exact"/>
        <w:ind w:left="0" w:leftChars="0" w:right="0" w:rightChars="0" w:firstLine="525"/>
        <w:textAlignment w:val="auto"/>
        <w:outlineLvl w:val="9"/>
        <w:rPr>
          <w:rFonts w:hint="eastAsia" w:ascii="宋体" w:hAnsi="宋体" w:eastAsia="宋体" w:cs="宋体"/>
          <w:bCs/>
          <w:sz w:val="24"/>
          <w:szCs w:val="24"/>
        </w:rPr>
      </w:pPr>
      <w:r>
        <w:rPr>
          <w:rFonts w:hint="eastAsia" w:ascii="宋体" w:hAnsi="宋体" w:eastAsia="宋体" w:cs="宋体"/>
          <w:bCs/>
          <w:sz w:val="24"/>
          <w:szCs w:val="24"/>
        </w:rPr>
        <w:t>日      期：XX年XX月XX日</w:t>
      </w:r>
    </w:p>
    <w:p w14:paraId="286E99B5">
      <w:pPr>
        <w:pStyle w:val="9"/>
        <w:pageBreakBefore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sz w:val="24"/>
          <w:szCs w:val="24"/>
        </w:rPr>
      </w:pPr>
    </w:p>
    <w:p w14:paraId="6FF0735F">
      <w:pPr>
        <w:pageBreakBefore w:val="0"/>
        <w:kinsoku/>
        <w:wordWrap/>
        <w:overflowPunct/>
        <w:topLinePunct w:val="0"/>
        <w:autoSpaceDE/>
        <w:autoSpaceDN/>
        <w:bidi w:val="0"/>
        <w:adjustRightInd/>
        <w:snapToGrid/>
        <w:spacing w:line="560" w:lineRule="exact"/>
        <w:ind w:left="0" w:leftChars="0" w:right="0" w:rightChars="0" w:firstLine="525"/>
        <w:textAlignment w:val="auto"/>
        <w:outlineLvl w:val="9"/>
        <w:rPr>
          <w:rFonts w:hint="eastAsia" w:ascii="宋体" w:hAnsi="宋体" w:eastAsia="宋体" w:cs="宋体"/>
          <w:sz w:val="24"/>
          <w:szCs w:val="24"/>
        </w:rPr>
      </w:pPr>
      <w:r>
        <w:rPr>
          <w:rFonts w:hint="eastAsia" w:ascii="宋体" w:hAnsi="宋体" w:eastAsia="宋体" w:cs="宋体"/>
          <w:bCs/>
          <w:sz w:val="24"/>
          <w:szCs w:val="24"/>
        </w:rPr>
        <w:t>说明：</w:t>
      </w:r>
    </w:p>
    <w:p w14:paraId="2152C57C">
      <w:pPr>
        <w:pageBreakBefore w:val="0"/>
        <w:tabs>
          <w:tab w:val="left" w:pos="1260"/>
        </w:tabs>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 xml:space="preserve"> 对声明中第一条的说明：如供应商在参加政府采购活动前三年内，在经营活动中有重大违法记录的，应填写“有”，供应商响应文件将被认定为无效。重大违法记录是指供应商因违法经营受到刑事处罚或者责令停产停业、吊销许可证或者执照、较大数额罚款等行政处罚。对于“较大数额罚款”，认定为200万元以上的罚款，法律、行政法规以及国务院有关部门明确规定相关领域“较大数额罚款”标准高于200万元的，从其规定。</w:t>
      </w:r>
    </w:p>
    <w:p w14:paraId="16700C9F">
      <w:pPr>
        <w:pageBreakBefore w:val="0"/>
        <w:tabs>
          <w:tab w:val="left" w:pos="1260"/>
        </w:tabs>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对声明中第</w:t>
      </w:r>
      <w:r>
        <w:rPr>
          <w:rFonts w:hint="eastAsia" w:ascii="宋体" w:hAnsi="宋体" w:eastAsia="宋体" w:cs="宋体"/>
          <w:sz w:val="24"/>
          <w:szCs w:val="24"/>
          <w:lang w:val="en-US" w:eastAsia="zh-CN"/>
        </w:rPr>
        <w:t>二</w:t>
      </w:r>
      <w:r>
        <w:rPr>
          <w:rFonts w:hint="eastAsia" w:ascii="宋体" w:hAnsi="宋体" w:eastAsia="宋体" w:cs="宋体"/>
          <w:sz w:val="24"/>
          <w:szCs w:val="24"/>
        </w:rPr>
        <w:t>条的说明：单位负责人为同一人或者存在直接控股、管理关系的不同供应商，不得参加同一合同项下的政府采购活动；</w:t>
      </w:r>
    </w:p>
    <w:p w14:paraId="3522F1B8">
      <w:pPr>
        <w:pageBreakBefore w:val="0"/>
        <w:tabs>
          <w:tab w:val="left" w:pos="1260"/>
        </w:tabs>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对声明中第</w:t>
      </w:r>
      <w:r>
        <w:rPr>
          <w:rFonts w:hint="eastAsia" w:ascii="宋体" w:hAnsi="宋体" w:eastAsia="宋体" w:cs="宋体"/>
          <w:sz w:val="24"/>
          <w:szCs w:val="24"/>
          <w:lang w:val="en-US" w:eastAsia="zh-CN"/>
        </w:rPr>
        <w:t>三</w:t>
      </w:r>
      <w:r>
        <w:rPr>
          <w:rFonts w:hint="eastAsia" w:ascii="宋体" w:hAnsi="宋体" w:eastAsia="宋体" w:cs="宋体"/>
          <w:sz w:val="24"/>
          <w:szCs w:val="24"/>
        </w:rPr>
        <w:t>条的说明：如供应商处于被行政部门禁止参加政府采购活动期限内的，该声明填“处于”，供应商将被认定响应无效。</w:t>
      </w:r>
    </w:p>
    <w:p w14:paraId="1E0D812B">
      <w:pPr>
        <w:keepNext w:val="0"/>
        <w:keepLines w:val="0"/>
        <w:pageBreakBefore w:val="0"/>
        <w:widowControl w:val="0"/>
        <w:tabs>
          <w:tab w:val="left" w:pos="1260"/>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）供应商应按照相关法规规定如实作出说明。</w:t>
      </w:r>
    </w:p>
    <w:p w14:paraId="5292B3CD">
      <w:pPr>
        <w:pageBreakBefore w:val="0"/>
        <w:tabs>
          <w:tab w:val="left" w:pos="1260"/>
        </w:tabs>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）如果是联合体响应文件，联合体各方均需提供上述证明。</w:t>
      </w:r>
      <w:bookmarkStart w:id="389" w:name="_Toc2073"/>
      <w:bookmarkStart w:id="390" w:name="_Toc3388"/>
      <w:bookmarkStart w:id="391" w:name="_Toc14514"/>
      <w:bookmarkStart w:id="392" w:name="_Toc866"/>
      <w:bookmarkStart w:id="393" w:name="_Toc25647"/>
    </w:p>
    <w:p w14:paraId="6515AA14">
      <w:pPr>
        <w:pStyle w:val="7"/>
        <w:rPr>
          <w:rFonts w:hint="eastAsia" w:ascii="宋体" w:hAnsi="宋体" w:eastAsia="宋体" w:cs="宋体"/>
          <w:sz w:val="24"/>
          <w:szCs w:val="24"/>
          <w:lang w:val="en-US" w:eastAsia="zh-CN"/>
        </w:rPr>
      </w:pPr>
      <w:bookmarkStart w:id="394" w:name="_Toc17750_WPSOffice_Level2"/>
      <w:r>
        <w:rPr>
          <w:rFonts w:hint="eastAsia" w:ascii="宋体" w:hAnsi="宋体" w:eastAsia="宋体" w:cs="宋体"/>
          <w:sz w:val="24"/>
          <w:szCs w:val="24"/>
          <w:lang w:val="en-US" w:eastAsia="zh-CN"/>
        </w:rPr>
        <w:t>格式2-6：法定代表人或主要负责人资格证明书</w:t>
      </w:r>
      <w:bookmarkEnd w:id="389"/>
      <w:bookmarkEnd w:id="390"/>
      <w:bookmarkEnd w:id="394"/>
    </w:p>
    <w:p w14:paraId="57EEE5C9">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lang w:val="en-US" w:eastAsia="zh-CN"/>
        </w:rPr>
        <w:t>或主要负责人</w:t>
      </w:r>
      <w:r>
        <w:rPr>
          <w:rFonts w:hint="eastAsia" w:ascii="宋体" w:hAnsi="宋体" w:eastAsia="宋体" w:cs="宋体"/>
          <w:sz w:val="24"/>
          <w:szCs w:val="24"/>
        </w:rPr>
        <w:t>资格证明书</w:t>
      </w:r>
    </w:p>
    <w:p w14:paraId="6D789AFB">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eastAsia="宋体" w:cs="宋体"/>
          <w:b/>
          <w:bCs/>
          <w:sz w:val="24"/>
          <w:szCs w:val="24"/>
        </w:rPr>
      </w:pPr>
    </w:p>
    <w:p w14:paraId="7ADF1338">
      <w:pPr>
        <w:keepNext w:val="0"/>
        <w:keepLines w:val="0"/>
        <w:pageBreakBefore w:val="0"/>
        <w:widowControl w:val="0"/>
        <w:kinsoku/>
        <w:wordWrap/>
        <w:overflowPunct/>
        <w:topLinePunct w:val="0"/>
        <w:autoSpaceDE/>
        <w:autoSpaceDN/>
        <w:bidi w:val="0"/>
        <w:adjustRightInd/>
        <w:snapToGrid/>
        <w:spacing w:line="560" w:lineRule="exact"/>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供应商</w:t>
      </w:r>
      <w:r>
        <w:rPr>
          <w:rFonts w:hint="eastAsia" w:ascii="宋体" w:hAnsi="宋体" w:eastAsia="宋体" w:cs="宋体"/>
          <w:sz w:val="24"/>
          <w:szCs w:val="24"/>
        </w:rPr>
        <w:t>名称：</w:t>
      </w:r>
    </w:p>
    <w:p w14:paraId="38B89888">
      <w:pPr>
        <w:keepNext w:val="0"/>
        <w:keepLines w:val="0"/>
        <w:pageBreakBefore w:val="0"/>
        <w:widowControl w:val="0"/>
        <w:kinsoku/>
        <w:wordWrap/>
        <w:overflowPunct/>
        <w:topLinePunct w:val="0"/>
        <w:autoSpaceDE/>
        <w:autoSpaceDN/>
        <w:bidi w:val="0"/>
        <w:adjustRightInd/>
        <w:snapToGrid/>
        <w:spacing w:line="560" w:lineRule="exact"/>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单位性质：</w:t>
      </w:r>
    </w:p>
    <w:p w14:paraId="0858EB7D">
      <w:pPr>
        <w:keepNext w:val="0"/>
        <w:keepLines w:val="0"/>
        <w:pageBreakBefore w:val="0"/>
        <w:widowControl w:val="0"/>
        <w:kinsoku/>
        <w:wordWrap/>
        <w:overflowPunct/>
        <w:topLinePunct w:val="0"/>
        <w:autoSpaceDE/>
        <w:autoSpaceDN/>
        <w:bidi w:val="0"/>
        <w:adjustRightInd/>
        <w:snapToGrid/>
        <w:spacing w:line="560" w:lineRule="exact"/>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成立时间：年月日</w:t>
      </w:r>
    </w:p>
    <w:p w14:paraId="0DA6FE1B">
      <w:pPr>
        <w:keepNext w:val="0"/>
        <w:keepLines w:val="0"/>
        <w:pageBreakBefore w:val="0"/>
        <w:widowControl w:val="0"/>
        <w:kinsoku/>
        <w:wordWrap/>
        <w:overflowPunct/>
        <w:topLinePunct w:val="0"/>
        <w:autoSpaceDE/>
        <w:autoSpaceDN/>
        <w:bidi w:val="0"/>
        <w:adjustRightInd/>
        <w:snapToGrid/>
        <w:spacing w:line="560" w:lineRule="exact"/>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经营期限：</w:t>
      </w:r>
    </w:p>
    <w:p w14:paraId="28BECF72">
      <w:pPr>
        <w:keepNext w:val="0"/>
        <w:keepLines w:val="0"/>
        <w:pageBreakBefore w:val="0"/>
        <w:widowControl w:val="0"/>
        <w:kinsoku/>
        <w:wordWrap/>
        <w:overflowPunct/>
        <w:topLinePunct w:val="0"/>
        <w:autoSpaceDE/>
        <w:autoSpaceDN/>
        <w:bidi w:val="0"/>
        <w:adjustRightInd/>
        <w:snapToGrid/>
        <w:spacing w:line="560" w:lineRule="exact"/>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姓名：性别：年龄：职务：</w:t>
      </w:r>
    </w:p>
    <w:p w14:paraId="2C48148C">
      <w:pPr>
        <w:keepNext w:val="0"/>
        <w:keepLines w:val="0"/>
        <w:pageBreakBefore w:val="0"/>
        <w:widowControl w:val="0"/>
        <w:kinsoku/>
        <w:wordWrap/>
        <w:overflowPunct/>
        <w:topLinePunct w:val="0"/>
        <w:autoSpaceDE/>
        <w:autoSpaceDN/>
        <w:bidi w:val="0"/>
        <w:adjustRightInd/>
        <w:snapToGrid/>
        <w:spacing w:line="560" w:lineRule="exact"/>
        <w:ind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rPr>
        <w:t>系（供应商名称）的法定代表人</w:t>
      </w:r>
      <w:r>
        <w:rPr>
          <w:rFonts w:hint="eastAsia" w:ascii="宋体" w:hAnsi="宋体" w:eastAsia="宋体" w:cs="宋体"/>
          <w:sz w:val="24"/>
          <w:szCs w:val="24"/>
          <w:lang w:val="en-US" w:eastAsia="zh-CN"/>
        </w:rPr>
        <w:t>或主要负责人</w:t>
      </w:r>
      <w:r>
        <w:rPr>
          <w:rFonts w:hint="eastAsia" w:ascii="宋体" w:hAnsi="宋体" w:eastAsia="宋体" w:cs="宋体"/>
          <w:sz w:val="24"/>
          <w:szCs w:val="24"/>
        </w:rPr>
        <w:t>。</w:t>
      </w:r>
    </w:p>
    <w:p w14:paraId="3C880A0B">
      <w:pPr>
        <w:keepNext w:val="0"/>
        <w:keepLines w:val="0"/>
        <w:pageBreakBefore w:val="0"/>
        <w:widowControl w:val="0"/>
        <w:kinsoku/>
        <w:wordWrap/>
        <w:overflowPunct/>
        <w:topLinePunct w:val="0"/>
        <w:autoSpaceDE/>
        <w:autoSpaceDN/>
        <w:bidi w:val="0"/>
        <w:adjustRightInd/>
        <w:snapToGrid/>
        <w:spacing w:line="560" w:lineRule="exact"/>
        <w:ind w:right="0" w:rightChars="0" w:firstLine="480" w:firstLineChars="200"/>
        <w:textAlignment w:val="auto"/>
        <w:outlineLvl w:val="9"/>
        <w:rPr>
          <w:rFonts w:hint="eastAsia" w:ascii="宋体" w:hAnsi="宋体" w:eastAsia="宋体" w:cs="宋体"/>
          <w:sz w:val="24"/>
          <w:szCs w:val="24"/>
        </w:rPr>
      </w:pPr>
    </w:p>
    <w:p w14:paraId="14366B33">
      <w:pPr>
        <w:keepNext w:val="0"/>
        <w:keepLines w:val="0"/>
        <w:pageBreakBefore w:val="0"/>
        <w:widowControl w:val="0"/>
        <w:kinsoku/>
        <w:wordWrap/>
        <w:overflowPunct/>
        <w:topLinePunct w:val="0"/>
        <w:autoSpaceDE/>
        <w:autoSpaceDN/>
        <w:bidi w:val="0"/>
        <w:adjustRightInd/>
        <w:snapToGrid/>
        <w:spacing w:line="560" w:lineRule="exact"/>
        <w:ind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特此证明。</w:t>
      </w:r>
    </w:p>
    <w:p w14:paraId="30555A0D">
      <w:pPr>
        <w:keepNext w:val="0"/>
        <w:keepLines w:val="0"/>
        <w:pageBreakBefore w:val="0"/>
        <w:widowControl w:val="0"/>
        <w:kinsoku/>
        <w:wordWrap/>
        <w:overflowPunct/>
        <w:topLinePunct w:val="0"/>
        <w:autoSpaceDE/>
        <w:autoSpaceDN/>
        <w:bidi w:val="0"/>
        <w:adjustRightInd/>
        <w:snapToGrid/>
        <w:spacing w:line="560" w:lineRule="exact"/>
        <w:ind w:right="0" w:rightChars="0"/>
        <w:textAlignment w:val="auto"/>
        <w:outlineLvl w:val="9"/>
        <w:rPr>
          <w:rFonts w:hint="eastAsia" w:ascii="宋体" w:hAnsi="宋体" w:eastAsia="宋体" w:cs="宋体"/>
          <w:sz w:val="24"/>
          <w:szCs w:val="24"/>
        </w:rPr>
      </w:pPr>
    </w:p>
    <w:p w14:paraId="6B003979">
      <w:pPr>
        <w:keepNext w:val="0"/>
        <w:keepLines w:val="0"/>
        <w:pageBreakBefore w:val="0"/>
        <w:widowControl w:val="0"/>
        <w:kinsoku/>
        <w:wordWrap/>
        <w:overflowPunct/>
        <w:topLinePunct w:val="0"/>
        <w:autoSpaceDE/>
        <w:autoSpaceDN/>
        <w:bidi w:val="0"/>
        <w:adjustRightInd/>
        <w:snapToGrid/>
        <w:spacing w:line="560" w:lineRule="exact"/>
        <w:ind w:right="0" w:rightChars="0"/>
        <w:textAlignment w:val="auto"/>
        <w:outlineLvl w:val="9"/>
        <w:rPr>
          <w:rFonts w:hint="eastAsia" w:ascii="宋体" w:hAnsi="宋体" w:eastAsia="宋体" w:cs="宋体"/>
          <w:sz w:val="24"/>
          <w:szCs w:val="24"/>
        </w:rPr>
      </w:pPr>
    </w:p>
    <w:p w14:paraId="1C93117A">
      <w:pPr>
        <w:keepNext w:val="0"/>
        <w:keepLines w:val="0"/>
        <w:pageBreakBefore w:val="0"/>
        <w:widowControl w:val="0"/>
        <w:kinsoku/>
        <w:wordWrap/>
        <w:overflowPunct/>
        <w:topLinePunct w:val="0"/>
        <w:autoSpaceDE/>
        <w:autoSpaceDN/>
        <w:bidi w:val="0"/>
        <w:adjustRightInd/>
        <w:snapToGrid/>
        <w:spacing w:line="560" w:lineRule="exact"/>
        <w:ind w:left="3780" w:leftChars="1800" w:right="0" w:rightChars="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供应商</w:t>
      </w:r>
      <w:r>
        <w:rPr>
          <w:rFonts w:hint="eastAsia" w:ascii="宋体" w:hAnsi="宋体" w:eastAsia="宋体" w:cs="宋体"/>
          <w:sz w:val="24"/>
          <w:szCs w:val="24"/>
        </w:rPr>
        <w:t>：（盖单位电子公章）</w:t>
      </w:r>
    </w:p>
    <w:p w14:paraId="258B869D">
      <w:pPr>
        <w:keepNext w:val="0"/>
        <w:keepLines w:val="0"/>
        <w:pageBreakBefore w:val="0"/>
        <w:widowControl w:val="0"/>
        <w:kinsoku/>
        <w:wordWrap/>
        <w:overflowPunct/>
        <w:topLinePunct w:val="0"/>
        <w:autoSpaceDE/>
        <w:autoSpaceDN/>
        <w:bidi w:val="0"/>
        <w:adjustRightInd/>
        <w:snapToGrid/>
        <w:spacing w:line="560" w:lineRule="exact"/>
        <w:ind w:left="3780" w:leftChars="1800" w:right="0" w:rightChars="0" w:firstLine="720" w:firstLineChars="300"/>
        <w:textAlignment w:val="auto"/>
        <w:outlineLvl w:val="9"/>
        <w:rPr>
          <w:rFonts w:hint="eastAsia" w:ascii="宋体" w:hAnsi="宋体" w:eastAsia="宋体" w:cs="宋体"/>
          <w:sz w:val="24"/>
          <w:szCs w:val="24"/>
        </w:rPr>
      </w:pPr>
      <w:r>
        <w:rPr>
          <w:rFonts w:hint="eastAsia" w:ascii="宋体" w:hAnsi="宋体" w:eastAsia="宋体" w:cs="宋体"/>
          <w:sz w:val="24"/>
          <w:szCs w:val="24"/>
        </w:rPr>
        <w:t>年  月  日</w:t>
      </w:r>
    </w:p>
    <w:p w14:paraId="4212A969">
      <w:pPr>
        <w:keepNext w:val="0"/>
        <w:keepLines w:val="0"/>
        <w:pageBreakBefore w:val="0"/>
        <w:widowControl w:val="0"/>
        <w:kinsoku/>
        <w:wordWrap/>
        <w:overflowPunct/>
        <w:topLinePunct w:val="0"/>
        <w:autoSpaceDE/>
        <w:autoSpaceDN/>
        <w:bidi w:val="0"/>
        <w:adjustRightInd/>
        <w:snapToGrid/>
        <w:spacing w:line="560" w:lineRule="exact"/>
        <w:ind w:left="3780" w:leftChars="1800" w:right="0" w:rightChars="0" w:firstLine="720" w:firstLineChars="300"/>
        <w:textAlignment w:val="auto"/>
        <w:outlineLvl w:val="9"/>
        <w:rPr>
          <w:rFonts w:hint="eastAsia" w:ascii="宋体" w:hAnsi="宋体" w:eastAsia="宋体" w:cs="宋体"/>
          <w:sz w:val="24"/>
          <w:szCs w:val="24"/>
        </w:rPr>
      </w:pPr>
    </w:p>
    <w:p w14:paraId="7FB8CDDE">
      <w:pPr>
        <w:keepNext w:val="0"/>
        <w:keepLines w:val="0"/>
        <w:pageBreakBefore w:val="0"/>
        <w:widowControl w:val="0"/>
        <w:kinsoku/>
        <w:wordWrap/>
        <w:overflowPunct/>
        <w:topLinePunct w:val="0"/>
        <w:autoSpaceDE/>
        <w:autoSpaceDN/>
        <w:bidi w:val="0"/>
        <w:adjustRightInd/>
        <w:snapToGrid/>
        <w:spacing w:line="560" w:lineRule="exact"/>
        <w:ind w:right="0" w:rightChars="0"/>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附：身份证复印件或护照（法定代表人或主要负责人为外籍人士的，按此提供）复印件或扫描件。</w:t>
      </w:r>
    </w:p>
    <w:p w14:paraId="7A84D9CD">
      <w:pPr>
        <w:pStyle w:val="7"/>
        <w:rPr>
          <w:rFonts w:hint="eastAsia" w:ascii="宋体" w:hAnsi="宋体" w:eastAsia="宋体" w:cs="宋体"/>
          <w:sz w:val="24"/>
          <w:szCs w:val="24"/>
          <w:lang w:val="en-US" w:eastAsia="zh-CN"/>
        </w:rPr>
      </w:pPr>
      <w:bookmarkStart w:id="395" w:name="_Toc4427"/>
      <w:r>
        <w:rPr>
          <w:rFonts w:hint="eastAsia" w:ascii="宋体" w:hAnsi="宋体" w:eastAsia="宋体" w:cs="宋体"/>
          <w:sz w:val="24"/>
          <w:szCs w:val="24"/>
          <w:lang w:val="en-US" w:eastAsia="zh-CN"/>
        </w:rPr>
        <w:t>格式2-7：法定代表人或负责人授权委托书</w:t>
      </w:r>
      <w:bookmarkEnd w:id="395"/>
    </w:p>
    <w:p w14:paraId="08E1E83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授权委托书</w:t>
      </w:r>
    </w:p>
    <w:p w14:paraId="3ED3A21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default" w:ascii="宋体" w:hAnsi="宋体" w:eastAsia="宋体" w:cs="宋体"/>
          <w:b/>
          <w:bCs/>
          <w:sz w:val="24"/>
          <w:szCs w:val="24"/>
          <w:lang w:val="en-US" w:eastAsia="zh-CN"/>
        </w:rPr>
      </w:pPr>
      <w:r>
        <w:rPr>
          <w:rFonts w:hint="eastAsia" w:ascii="宋体" w:hAnsi="宋体" w:eastAsia="宋体" w:cs="宋体"/>
          <w:sz w:val="24"/>
          <w:szCs w:val="24"/>
        </w:rPr>
        <w:t>致：</w:t>
      </w:r>
      <w:r>
        <w:rPr>
          <w:rFonts w:hint="eastAsia" w:ascii="宋体" w:hAnsi="宋体" w:cs="宋体"/>
          <w:sz w:val="24"/>
          <w:szCs w:val="24"/>
          <w:u w:val="single"/>
          <w:lang w:val="en-US" w:eastAsia="zh-CN"/>
        </w:rPr>
        <w:t>采购人 采购代理机构</w:t>
      </w:r>
    </w:p>
    <w:p w14:paraId="1545AA2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本授权书声明：</w:t>
      </w:r>
      <w:r>
        <w:rPr>
          <w:rFonts w:hint="eastAsia" w:ascii="宋体" w:hAnsi="宋体" w:eastAsia="宋体" w:cs="宋体"/>
          <w:sz w:val="24"/>
          <w:szCs w:val="24"/>
          <w:u w:val="single"/>
        </w:rPr>
        <w:t>（</w:t>
      </w:r>
      <w:r>
        <w:rPr>
          <w:rFonts w:hint="eastAsia" w:ascii="宋体" w:hAnsi="宋体" w:eastAsia="宋体" w:cs="宋体"/>
          <w:sz w:val="24"/>
          <w:szCs w:val="24"/>
          <w:u w:val="single"/>
          <w:lang w:val="en-US" w:eastAsia="zh-CN"/>
        </w:rPr>
        <w:t>供应商</w:t>
      </w:r>
      <w:r>
        <w:rPr>
          <w:rFonts w:hint="eastAsia" w:ascii="宋体" w:hAnsi="宋体" w:eastAsia="宋体" w:cs="宋体"/>
          <w:sz w:val="24"/>
          <w:szCs w:val="24"/>
          <w:u w:val="single"/>
        </w:rPr>
        <w:t>全称）</w:t>
      </w:r>
      <w:r>
        <w:rPr>
          <w:rFonts w:hint="eastAsia" w:ascii="宋体" w:hAnsi="宋体" w:eastAsia="宋体" w:cs="宋体"/>
          <w:sz w:val="24"/>
          <w:szCs w:val="24"/>
        </w:rPr>
        <w:t>的法定代表人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主要负责人</w:t>
      </w:r>
      <w:r>
        <w:rPr>
          <w:rFonts w:hint="eastAsia" w:ascii="宋体" w:hAnsi="宋体" w:eastAsia="宋体" w:cs="宋体"/>
          <w:sz w:val="24"/>
          <w:szCs w:val="24"/>
          <w:lang w:eastAsia="zh-CN"/>
        </w:rPr>
        <w:t>）</w:t>
      </w:r>
      <w:r>
        <w:rPr>
          <w:rFonts w:hint="eastAsia" w:ascii="宋体" w:hAnsi="宋体" w:eastAsia="宋体" w:cs="宋体"/>
          <w:sz w:val="24"/>
          <w:szCs w:val="24"/>
        </w:rPr>
        <w:t>代表本公司授权</w:t>
      </w:r>
      <w:r>
        <w:rPr>
          <w:rFonts w:hint="eastAsia" w:ascii="宋体" w:hAnsi="宋体" w:eastAsia="宋体" w:cs="宋体"/>
          <w:sz w:val="24"/>
          <w:szCs w:val="24"/>
          <w:u w:val="single"/>
        </w:rPr>
        <w:t>（委托代理人姓名）</w:t>
      </w:r>
      <w:r>
        <w:rPr>
          <w:rFonts w:hint="eastAsia" w:ascii="宋体" w:hAnsi="宋体" w:eastAsia="宋体" w:cs="宋体"/>
          <w:sz w:val="24"/>
          <w:szCs w:val="24"/>
        </w:rPr>
        <w:t>为本公司合法代理人，以本单位名义参加贵方组织的</w:t>
      </w:r>
      <w:r>
        <w:rPr>
          <w:rFonts w:hint="eastAsia" w:ascii="宋体" w:hAnsi="宋体" w:eastAsia="宋体" w:cs="宋体"/>
          <w:sz w:val="24"/>
          <w:szCs w:val="24"/>
          <w:u w:val="single"/>
        </w:rPr>
        <w:t>（采购项目名称）</w:t>
      </w:r>
      <w:r>
        <w:rPr>
          <w:rFonts w:hint="eastAsia" w:ascii="宋体" w:hAnsi="宋体" w:eastAsia="宋体" w:cs="宋体"/>
          <w:sz w:val="24"/>
          <w:szCs w:val="24"/>
        </w:rPr>
        <w:t>项目（项目编号：</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）的</w:t>
      </w:r>
      <w:r>
        <w:rPr>
          <w:rFonts w:hint="eastAsia" w:ascii="宋体" w:hAnsi="宋体" w:eastAsia="宋体" w:cs="宋体"/>
          <w:sz w:val="24"/>
          <w:szCs w:val="24"/>
          <w:lang w:val="en-US" w:eastAsia="zh-CN"/>
        </w:rPr>
        <w:t>谈判</w:t>
      </w:r>
      <w:r>
        <w:rPr>
          <w:rFonts w:hint="eastAsia" w:ascii="宋体" w:hAnsi="宋体" w:eastAsia="宋体" w:cs="宋体"/>
          <w:sz w:val="24"/>
          <w:szCs w:val="24"/>
        </w:rPr>
        <w:t>。代理人在本项目</w:t>
      </w:r>
      <w:r>
        <w:rPr>
          <w:rFonts w:hint="eastAsia" w:ascii="宋体" w:hAnsi="宋体" w:eastAsia="宋体" w:cs="宋体"/>
          <w:sz w:val="24"/>
          <w:szCs w:val="24"/>
          <w:lang w:val="en-US" w:eastAsia="zh-CN"/>
        </w:rPr>
        <w:t>谈判</w:t>
      </w:r>
      <w:r>
        <w:rPr>
          <w:rFonts w:hint="eastAsia" w:ascii="宋体" w:hAnsi="宋体" w:eastAsia="宋体" w:cs="宋体"/>
          <w:sz w:val="24"/>
          <w:szCs w:val="24"/>
        </w:rPr>
        <w:t>过程中所签署的一切文件和处理与之有关的一切事务，我方均予承认。</w:t>
      </w:r>
    </w:p>
    <w:p w14:paraId="5A4D3C7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b/>
          <w:bCs/>
          <w:sz w:val="24"/>
          <w:szCs w:val="24"/>
        </w:rPr>
      </w:pPr>
      <w:r>
        <w:rPr>
          <w:rFonts w:hint="eastAsia" w:ascii="宋体" w:hAnsi="宋体" w:eastAsia="宋体" w:cs="宋体"/>
          <w:sz w:val="24"/>
          <w:szCs w:val="24"/>
        </w:rPr>
        <w:t>代理人无转委托权。</w:t>
      </w:r>
    </w:p>
    <w:p w14:paraId="301A683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b/>
          <w:bCs/>
          <w:sz w:val="24"/>
          <w:szCs w:val="24"/>
        </w:rPr>
      </w:pPr>
    </w:p>
    <w:p w14:paraId="78BEF25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供应商</w:t>
      </w:r>
      <w:r>
        <w:rPr>
          <w:rFonts w:hint="eastAsia" w:ascii="宋体" w:hAnsi="宋体" w:eastAsia="宋体" w:cs="宋体"/>
          <w:b w:val="0"/>
          <w:bCs w:val="0"/>
          <w:sz w:val="24"/>
          <w:szCs w:val="24"/>
        </w:rPr>
        <w:t>：</w:t>
      </w:r>
      <w:r>
        <w:rPr>
          <w:rFonts w:hint="eastAsia" w:ascii="宋体" w:hAnsi="宋体" w:eastAsia="宋体" w:cs="宋体"/>
          <w:b w:val="0"/>
          <w:bCs w:val="0"/>
          <w:sz w:val="24"/>
          <w:szCs w:val="24"/>
          <w:u w:val="single"/>
        </w:rPr>
        <w:t>（全称）（加盖电子公章）</w:t>
      </w:r>
    </w:p>
    <w:p w14:paraId="3E1AC23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rPr>
        <w:t>法定代表人：（电子签名）</w:t>
      </w:r>
    </w:p>
    <w:p w14:paraId="193D9F5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日  期：        年    月    日</w:t>
      </w:r>
    </w:p>
    <w:p w14:paraId="174A92BF">
      <w:pPr>
        <w:pStyle w:val="9"/>
        <w:keepNext w:val="0"/>
        <w:keepLines w:val="0"/>
        <w:pageBreakBefore w:val="0"/>
        <w:widowControl w:val="0"/>
        <w:tabs>
          <w:tab w:val="left" w:pos="750"/>
          <w:tab w:val="right" w:pos="8190"/>
        </w:tabs>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sz w:val="24"/>
          <w:szCs w:val="24"/>
        </w:rPr>
      </w:pPr>
    </w:p>
    <w:tbl>
      <w:tblPr>
        <w:tblStyle w:val="32"/>
        <w:tblW w:w="0" w:type="auto"/>
        <w:tblInd w:w="2" w:type="dxa"/>
        <w:tblLayout w:type="fixed"/>
        <w:tblCellMar>
          <w:top w:w="0" w:type="dxa"/>
          <w:left w:w="108" w:type="dxa"/>
          <w:bottom w:w="0" w:type="dxa"/>
          <w:right w:w="108" w:type="dxa"/>
        </w:tblCellMar>
      </w:tblPr>
      <w:tblGrid>
        <w:gridCol w:w="2874"/>
        <w:gridCol w:w="6505"/>
      </w:tblGrid>
      <w:tr w14:paraId="28BEE157">
        <w:tblPrEx>
          <w:tblCellMar>
            <w:top w:w="0" w:type="dxa"/>
            <w:left w:w="108" w:type="dxa"/>
            <w:bottom w:w="0" w:type="dxa"/>
            <w:right w:w="108" w:type="dxa"/>
          </w:tblCellMar>
        </w:tblPrEx>
        <w:trPr>
          <w:trHeight w:val="215" w:hRule="atLeast"/>
        </w:trPr>
        <w:tc>
          <w:tcPr>
            <w:tcW w:w="2874" w:type="dxa"/>
            <w:tcBorders>
              <w:top w:val="nil"/>
              <w:left w:val="nil"/>
              <w:bottom w:val="nil"/>
              <w:right w:val="nil"/>
            </w:tcBorders>
            <w:noWrap w:val="0"/>
            <w:vAlign w:val="top"/>
          </w:tcPr>
          <w:p w14:paraId="0728221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distribute"/>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附：</w:t>
            </w:r>
          </w:p>
        </w:tc>
        <w:tc>
          <w:tcPr>
            <w:tcW w:w="6505" w:type="dxa"/>
            <w:tcBorders>
              <w:top w:val="nil"/>
              <w:left w:val="nil"/>
              <w:bottom w:val="nil"/>
              <w:right w:val="nil"/>
            </w:tcBorders>
            <w:noWrap w:val="0"/>
            <w:vAlign w:val="top"/>
          </w:tcPr>
          <w:p w14:paraId="0A7C0BD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sz w:val="24"/>
                <w:szCs w:val="24"/>
              </w:rPr>
            </w:pPr>
          </w:p>
        </w:tc>
      </w:tr>
      <w:tr w14:paraId="26A68C98">
        <w:tblPrEx>
          <w:tblCellMar>
            <w:top w:w="0" w:type="dxa"/>
            <w:left w:w="108" w:type="dxa"/>
            <w:bottom w:w="0" w:type="dxa"/>
            <w:right w:w="108" w:type="dxa"/>
          </w:tblCellMar>
        </w:tblPrEx>
        <w:trPr>
          <w:trHeight w:val="215" w:hRule="atLeast"/>
        </w:trPr>
        <w:tc>
          <w:tcPr>
            <w:tcW w:w="2874" w:type="dxa"/>
            <w:tcBorders>
              <w:top w:val="nil"/>
              <w:left w:val="nil"/>
              <w:bottom w:val="nil"/>
              <w:right w:val="nil"/>
            </w:tcBorders>
            <w:noWrap w:val="0"/>
            <w:vAlign w:val="top"/>
          </w:tcPr>
          <w:p w14:paraId="40E84D6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distribute"/>
              <w:textAlignment w:val="auto"/>
              <w:outlineLvl w:val="9"/>
              <w:rPr>
                <w:rFonts w:hint="eastAsia" w:ascii="宋体" w:hAnsi="宋体" w:eastAsia="宋体" w:cs="宋体"/>
                <w:sz w:val="24"/>
                <w:szCs w:val="24"/>
              </w:rPr>
            </w:pPr>
            <w:r>
              <w:rPr>
                <w:rFonts w:hint="eastAsia" w:ascii="宋体" w:hAnsi="宋体" w:eastAsia="宋体" w:cs="宋体"/>
                <w:sz w:val="24"/>
                <w:szCs w:val="24"/>
              </w:rPr>
              <w:t>委托代理人姓名：</w:t>
            </w:r>
          </w:p>
        </w:tc>
        <w:tc>
          <w:tcPr>
            <w:tcW w:w="6505" w:type="dxa"/>
            <w:tcBorders>
              <w:top w:val="nil"/>
              <w:left w:val="nil"/>
              <w:bottom w:val="nil"/>
              <w:right w:val="nil"/>
            </w:tcBorders>
            <w:noWrap w:val="0"/>
            <w:vAlign w:val="top"/>
          </w:tcPr>
          <w:p w14:paraId="4BD094C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sz w:val="24"/>
                <w:szCs w:val="24"/>
              </w:rPr>
            </w:pPr>
          </w:p>
        </w:tc>
      </w:tr>
      <w:tr w14:paraId="1182AF6C">
        <w:tblPrEx>
          <w:tblCellMar>
            <w:top w:w="0" w:type="dxa"/>
            <w:left w:w="108" w:type="dxa"/>
            <w:bottom w:w="0" w:type="dxa"/>
            <w:right w:w="108" w:type="dxa"/>
          </w:tblCellMar>
        </w:tblPrEx>
        <w:trPr>
          <w:trHeight w:val="215" w:hRule="atLeast"/>
        </w:trPr>
        <w:tc>
          <w:tcPr>
            <w:tcW w:w="2874" w:type="dxa"/>
            <w:tcBorders>
              <w:top w:val="nil"/>
              <w:left w:val="nil"/>
              <w:bottom w:val="nil"/>
              <w:right w:val="nil"/>
            </w:tcBorders>
            <w:noWrap w:val="0"/>
            <w:vAlign w:val="top"/>
          </w:tcPr>
          <w:p w14:paraId="6E2F7DE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distribute"/>
              <w:textAlignment w:val="auto"/>
              <w:outlineLvl w:val="9"/>
              <w:rPr>
                <w:rFonts w:hint="eastAsia" w:ascii="宋体" w:hAnsi="宋体" w:eastAsia="宋体" w:cs="宋体"/>
                <w:sz w:val="24"/>
                <w:szCs w:val="24"/>
              </w:rPr>
            </w:pPr>
            <w:r>
              <w:rPr>
                <w:rFonts w:hint="eastAsia" w:ascii="宋体" w:hAnsi="宋体" w:eastAsia="宋体" w:cs="宋体"/>
                <w:sz w:val="24"/>
                <w:szCs w:val="24"/>
              </w:rPr>
              <w:t>职       务：</w:t>
            </w:r>
          </w:p>
        </w:tc>
        <w:tc>
          <w:tcPr>
            <w:tcW w:w="6505" w:type="dxa"/>
            <w:tcBorders>
              <w:top w:val="nil"/>
              <w:left w:val="nil"/>
              <w:bottom w:val="nil"/>
              <w:right w:val="nil"/>
            </w:tcBorders>
            <w:noWrap w:val="0"/>
            <w:vAlign w:val="top"/>
          </w:tcPr>
          <w:p w14:paraId="359CD00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sz w:val="24"/>
                <w:szCs w:val="24"/>
              </w:rPr>
            </w:pPr>
          </w:p>
        </w:tc>
      </w:tr>
      <w:tr w14:paraId="68C65898">
        <w:tblPrEx>
          <w:tblCellMar>
            <w:top w:w="0" w:type="dxa"/>
            <w:left w:w="108" w:type="dxa"/>
            <w:bottom w:w="0" w:type="dxa"/>
            <w:right w:w="108" w:type="dxa"/>
          </w:tblCellMar>
        </w:tblPrEx>
        <w:trPr>
          <w:trHeight w:val="215" w:hRule="atLeast"/>
        </w:trPr>
        <w:tc>
          <w:tcPr>
            <w:tcW w:w="2874" w:type="dxa"/>
            <w:tcBorders>
              <w:top w:val="nil"/>
              <w:left w:val="nil"/>
              <w:bottom w:val="nil"/>
              <w:right w:val="nil"/>
            </w:tcBorders>
            <w:noWrap w:val="0"/>
            <w:vAlign w:val="top"/>
          </w:tcPr>
          <w:p w14:paraId="499FB85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distribute"/>
              <w:textAlignment w:val="auto"/>
              <w:outlineLvl w:val="9"/>
              <w:rPr>
                <w:rFonts w:hint="eastAsia" w:ascii="宋体" w:hAnsi="宋体" w:eastAsia="宋体" w:cs="宋体"/>
                <w:sz w:val="24"/>
                <w:szCs w:val="24"/>
              </w:rPr>
            </w:pPr>
            <w:r>
              <w:rPr>
                <w:rFonts w:hint="eastAsia" w:ascii="宋体" w:hAnsi="宋体" w:eastAsia="宋体" w:cs="宋体"/>
                <w:sz w:val="24"/>
                <w:szCs w:val="24"/>
              </w:rPr>
              <w:t>身份证号码：</w:t>
            </w:r>
          </w:p>
        </w:tc>
        <w:tc>
          <w:tcPr>
            <w:tcW w:w="6505" w:type="dxa"/>
            <w:tcBorders>
              <w:top w:val="nil"/>
              <w:left w:val="nil"/>
              <w:bottom w:val="nil"/>
              <w:right w:val="nil"/>
            </w:tcBorders>
            <w:noWrap w:val="0"/>
            <w:vAlign w:val="top"/>
          </w:tcPr>
          <w:p w14:paraId="0E48A59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sz w:val="24"/>
                <w:szCs w:val="24"/>
              </w:rPr>
            </w:pPr>
          </w:p>
        </w:tc>
      </w:tr>
      <w:tr w14:paraId="2C71BD6D">
        <w:tblPrEx>
          <w:tblCellMar>
            <w:top w:w="0" w:type="dxa"/>
            <w:left w:w="108" w:type="dxa"/>
            <w:bottom w:w="0" w:type="dxa"/>
            <w:right w:w="108" w:type="dxa"/>
          </w:tblCellMar>
        </w:tblPrEx>
        <w:trPr>
          <w:trHeight w:val="215" w:hRule="atLeast"/>
        </w:trPr>
        <w:tc>
          <w:tcPr>
            <w:tcW w:w="2874" w:type="dxa"/>
            <w:tcBorders>
              <w:top w:val="nil"/>
              <w:left w:val="nil"/>
              <w:bottom w:val="nil"/>
              <w:right w:val="nil"/>
            </w:tcBorders>
            <w:noWrap w:val="0"/>
            <w:vAlign w:val="top"/>
          </w:tcPr>
          <w:p w14:paraId="120442A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distribute"/>
              <w:textAlignment w:val="auto"/>
              <w:outlineLvl w:val="9"/>
              <w:rPr>
                <w:rFonts w:hint="eastAsia" w:ascii="宋体" w:hAnsi="宋体" w:eastAsia="宋体" w:cs="宋体"/>
                <w:sz w:val="24"/>
                <w:szCs w:val="24"/>
              </w:rPr>
            </w:pPr>
            <w:r>
              <w:rPr>
                <w:rFonts w:hint="eastAsia" w:ascii="宋体" w:hAnsi="宋体" w:eastAsia="宋体" w:cs="宋体"/>
                <w:sz w:val="24"/>
                <w:szCs w:val="24"/>
              </w:rPr>
              <w:t>详 细  地 址：</w:t>
            </w:r>
          </w:p>
        </w:tc>
        <w:tc>
          <w:tcPr>
            <w:tcW w:w="6505" w:type="dxa"/>
            <w:tcBorders>
              <w:top w:val="nil"/>
              <w:left w:val="nil"/>
              <w:bottom w:val="nil"/>
              <w:right w:val="nil"/>
            </w:tcBorders>
            <w:noWrap w:val="0"/>
            <w:vAlign w:val="top"/>
          </w:tcPr>
          <w:p w14:paraId="4AF8066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sz w:val="24"/>
                <w:szCs w:val="24"/>
              </w:rPr>
            </w:pPr>
          </w:p>
        </w:tc>
      </w:tr>
      <w:tr w14:paraId="0CA5AB1C">
        <w:tblPrEx>
          <w:tblCellMar>
            <w:top w:w="0" w:type="dxa"/>
            <w:left w:w="108" w:type="dxa"/>
            <w:bottom w:w="0" w:type="dxa"/>
            <w:right w:w="108" w:type="dxa"/>
          </w:tblCellMar>
        </w:tblPrEx>
        <w:trPr>
          <w:trHeight w:val="215" w:hRule="atLeast"/>
        </w:trPr>
        <w:tc>
          <w:tcPr>
            <w:tcW w:w="2874" w:type="dxa"/>
            <w:tcBorders>
              <w:top w:val="nil"/>
              <w:left w:val="nil"/>
              <w:bottom w:val="nil"/>
              <w:right w:val="nil"/>
            </w:tcBorders>
            <w:noWrap w:val="0"/>
            <w:vAlign w:val="top"/>
          </w:tcPr>
          <w:p w14:paraId="117C8A2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distribute"/>
              <w:textAlignment w:val="auto"/>
              <w:outlineLvl w:val="9"/>
              <w:rPr>
                <w:rFonts w:hint="eastAsia" w:ascii="宋体" w:hAnsi="宋体" w:eastAsia="宋体" w:cs="宋体"/>
                <w:sz w:val="24"/>
                <w:szCs w:val="24"/>
              </w:rPr>
            </w:pPr>
            <w:r>
              <w:rPr>
                <w:rFonts w:hint="eastAsia" w:ascii="宋体" w:hAnsi="宋体" w:eastAsia="宋体" w:cs="宋体"/>
                <w:sz w:val="24"/>
                <w:szCs w:val="24"/>
              </w:rPr>
              <w:t>电       话：</w:t>
            </w:r>
          </w:p>
        </w:tc>
        <w:tc>
          <w:tcPr>
            <w:tcW w:w="6505" w:type="dxa"/>
            <w:tcBorders>
              <w:top w:val="nil"/>
              <w:left w:val="nil"/>
              <w:bottom w:val="nil"/>
              <w:right w:val="nil"/>
            </w:tcBorders>
            <w:noWrap w:val="0"/>
            <w:vAlign w:val="top"/>
          </w:tcPr>
          <w:p w14:paraId="4717FC6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sz w:val="24"/>
                <w:szCs w:val="24"/>
              </w:rPr>
            </w:pPr>
          </w:p>
        </w:tc>
      </w:tr>
    </w:tbl>
    <w:p w14:paraId="0A24BA1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w:t>
      </w:r>
    </w:p>
    <w:p w14:paraId="7BA2EC3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20"/>
        <w:textAlignment w:val="auto"/>
        <w:outlineLvl w:val="9"/>
        <w:rPr>
          <w:rFonts w:hint="eastAsia" w:ascii="宋体" w:hAnsi="宋体" w:eastAsia="宋体" w:cs="宋体"/>
          <w:b/>
          <w:bCs/>
          <w:sz w:val="24"/>
          <w:szCs w:val="24"/>
          <w:lang w:val="en-US" w:eastAsia="zh-CN"/>
        </w:rPr>
      </w:pPr>
      <w:r>
        <w:rPr>
          <w:rFonts w:hint="eastAsia" w:ascii="宋体" w:hAnsi="宋体" w:eastAsia="宋体" w:cs="宋体"/>
          <w:b/>
          <w:bCs/>
          <w:sz w:val="24"/>
          <w:szCs w:val="24"/>
        </w:rPr>
        <w:t>注:</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须</w:t>
      </w:r>
      <w:r>
        <w:rPr>
          <w:rFonts w:hint="eastAsia" w:ascii="宋体" w:hAnsi="宋体" w:eastAsia="宋体" w:cs="宋体"/>
          <w:b/>
          <w:bCs/>
          <w:sz w:val="24"/>
          <w:szCs w:val="24"/>
        </w:rPr>
        <w:t>附委托代理人身份证复印件</w:t>
      </w:r>
      <w:r>
        <w:rPr>
          <w:rFonts w:hint="eastAsia" w:ascii="宋体" w:hAnsi="宋体" w:eastAsia="宋体" w:cs="宋体"/>
          <w:b/>
          <w:bCs/>
          <w:sz w:val="24"/>
          <w:szCs w:val="24"/>
          <w:lang w:val="en-US" w:eastAsia="zh-CN"/>
        </w:rPr>
        <w:t>或扫描件；</w:t>
      </w:r>
    </w:p>
    <w:p w14:paraId="638C267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720" w:firstLineChars="300"/>
        <w:jc w:val="left"/>
        <w:textAlignment w:val="auto"/>
        <w:outlineLvl w:val="9"/>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（2）自然人响应文件的无需提供；</w:t>
      </w:r>
    </w:p>
    <w:p w14:paraId="6389C206">
      <w:pPr>
        <w:pStyle w:val="7"/>
        <w:pageBreakBefore w:val="0"/>
        <w:widowControl w:val="0"/>
        <w:kinsoku/>
        <w:wordWrap/>
        <w:overflowPunct/>
        <w:topLinePunct w:val="0"/>
        <w:autoSpaceDE/>
        <w:autoSpaceDN/>
        <w:bidi w:val="0"/>
        <w:adjustRightInd/>
        <w:snapToGrid/>
        <w:spacing w:before="0" w:after="0" w:line="560" w:lineRule="exact"/>
        <w:ind w:left="0" w:leftChars="0" w:right="0" w:rightChars="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格式2-8：</w:t>
      </w:r>
      <w:bookmarkEnd w:id="391"/>
      <w:r>
        <w:rPr>
          <w:rFonts w:hint="eastAsia" w:ascii="宋体" w:hAnsi="宋体" w:eastAsia="宋体" w:cs="宋体"/>
          <w:sz w:val="24"/>
          <w:szCs w:val="24"/>
          <w:lang w:val="en-US" w:eastAsia="zh-CN"/>
        </w:rPr>
        <w:t>本项目要求供应商应具备的特定条件</w:t>
      </w:r>
      <w:r>
        <w:rPr>
          <w:rFonts w:hint="eastAsia" w:ascii="宋体" w:hAnsi="宋体" w:cs="宋体"/>
          <w:sz w:val="24"/>
          <w:szCs w:val="24"/>
          <w:lang w:val="en-US" w:eastAsia="zh-CN"/>
        </w:rPr>
        <w:t>(如不涉及请忽略此项)</w:t>
      </w:r>
    </w:p>
    <w:p w14:paraId="0AF6FB4F">
      <w:pPr>
        <w:pStyle w:val="7"/>
        <w:pageBreakBefore w:val="0"/>
        <w:widowControl w:val="0"/>
        <w:kinsoku/>
        <w:wordWrap/>
        <w:overflowPunct/>
        <w:topLinePunct w:val="0"/>
        <w:autoSpaceDE/>
        <w:autoSpaceDN/>
        <w:bidi w:val="0"/>
        <w:adjustRightInd/>
        <w:snapToGrid/>
        <w:spacing w:before="0" w:after="0" w:line="560" w:lineRule="exact"/>
        <w:ind w:left="0" w:leftChars="0" w:right="0" w:rightChars="0"/>
        <w:textAlignment w:val="auto"/>
        <w:rPr>
          <w:rFonts w:hint="eastAsia" w:ascii="宋体" w:hAnsi="宋体" w:eastAsia="宋体" w:cs="宋体"/>
          <w:sz w:val="24"/>
          <w:szCs w:val="24"/>
          <w:lang w:eastAsia="zh-CN"/>
        </w:rPr>
      </w:pPr>
      <w:bookmarkStart w:id="396" w:name="_Toc18538"/>
      <w:r>
        <w:rPr>
          <w:rFonts w:hint="eastAsia" w:ascii="宋体" w:hAnsi="宋体" w:eastAsia="宋体" w:cs="宋体"/>
          <w:sz w:val="24"/>
          <w:szCs w:val="24"/>
        </w:rPr>
        <w:t>格式2-</w:t>
      </w:r>
      <w:r>
        <w:rPr>
          <w:rFonts w:hint="eastAsia" w:ascii="宋体" w:hAnsi="宋体" w:eastAsia="宋体" w:cs="宋体"/>
          <w:sz w:val="24"/>
          <w:szCs w:val="24"/>
          <w:lang w:val="en-US" w:eastAsia="zh-CN"/>
        </w:rPr>
        <w:t>9</w:t>
      </w:r>
      <w:r>
        <w:rPr>
          <w:rFonts w:hint="eastAsia" w:ascii="宋体" w:hAnsi="宋体" w:eastAsia="宋体" w:cs="宋体"/>
          <w:sz w:val="24"/>
          <w:szCs w:val="24"/>
        </w:rPr>
        <w:t>：</w:t>
      </w:r>
      <w:bookmarkEnd w:id="392"/>
      <w:bookmarkEnd w:id="393"/>
      <w:bookmarkEnd w:id="396"/>
      <w:r>
        <w:rPr>
          <w:rFonts w:hint="eastAsia" w:ascii="宋体" w:hAnsi="宋体" w:eastAsia="宋体" w:cs="宋体"/>
          <w:sz w:val="24"/>
          <w:szCs w:val="24"/>
          <w:lang w:val="en-US" w:eastAsia="zh-CN"/>
        </w:rPr>
        <w:t>其他</w:t>
      </w:r>
    </w:p>
    <w:p w14:paraId="2FA31FA1">
      <w:pPr>
        <w:pStyle w:val="6"/>
        <w:pageBreakBefore w:val="0"/>
        <w:widowControl w:val="0"/>
        <w:kinsoku/>
        <w:wordWrap/>
        <w:overflowPunct/>
        <w:topLinePunct w:val="0"/>
        <w:autoSpaceDE/>
        <w:autoSpaceDN/>
        <w:bidi w:val="0"/>
        <w:adjustRightInd/>
        <w:snapToGrid/>
        <w:spacing w:before="0" w:after="0" w:line="560" w:lineRule="exact"/>
        <w:ind w:left="0" w:leftChars="0" w:right="0" w:rightChars="0"/>
        <w:jc w:val="center"/>
        <w:textAlignment w:val="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br w:type="page"/>
      </w:r>
      <w:bookmarkStart w:id="397" w:name="_Toc7442"/>
      <w:bookmarkStart w:id="398" w:name="_Toc24032"/>
      <w:bookmarkStart w:id="399" w:name="_Toc10801"/>
      <w:bookmarkStart w:id="400" w:name="_Toc26526"/>
      <w:bookmarkStart w:id="401" w:name="_Toc17863"/>
      <w:r>
        <w:rPr>
          <w:rFonts w:hint="eastAsia" w:ascii="宋体" w:hAnsi="宋体" w:eastAsia="宋体" w:cs="宋体"/>
          <w:b/>
          <w:bCs w:val="0"/>
          <w:color w:val="000000"/>
          <w:sz w:val="24"/>
          <w:szCs w:val="24"/>
          <w:lang w:val="en-US" w:eastAsia="zh-CN"/>
        </w:rPr>
        <w:t>三、商务技术响应文件</w:t>
      </w:r>
      <w:bookmarkEnd w:id="397"/>
      <w:bookmarkEnd w:id="398"/>
      <w:bookmarkEnd w:id="399"/>
      <w:bookmarkEnd w:id="400"/>
      <w:bookmarkEnd w:id="401"/>
    </w:p>
    <w:p w14:paraId="574ACBD1">
      <w:pPr>
        <w:pStyle w:val="2"/>
        <w:pageBreakBefore w:val="0"/>
        <w:numPr>
          <w:ilvl w:val="0"/>
          <w:numId w:val="0"/>
        </w:numPr>
        <w:kinsoku/>
        <w:wordWrap/>
        <w:overflowPunct/>
        <w:topLinePunct w:val="0"/>
        <w:bidi w:val="0"/>
        <w:spacing w:line="560" w:lineRule="exact"/>
        <w:ind w:leftChars="0"/>
        <w:textAlignment w:val="auto"/>
        <w:rPr>
          <w:rFonts w:hint="eastAsia" w:ascii="宋体" w:hAnsi="宋体" w:eastAsia="宋体" w:cs="宋体"/>
          <w:sz w:val="24"/>
          <w:szCs w:val="24"/>
          <w:lang w:val="en-US" w:eastAsia="zh-CN"/>
        </w:rPr>
      </w:pPr>
    </w:p>
    <w:p w14:paraId="3644836C">
      <w:pPr>
        <w:pStyle w:val="7"/>
        <w:pageBreakBefore w:val="0"/>
        <w:widowControl w:val="0"/>
        <w:kinsoku/>
        <w:wordWrap/>
        <w:overflowPunct/>
        <w:topLinePunct w:val="0"/>
        <w:autoSpaceDE/>
        <w:autoSpaceDN/>
        <w:bidi w:val="0"/>
        <w:adjustRightInd/>
        <w:snapToGrid/>
        <w:spacing w:before="0" w:after="0" w:line="560" w:lineRule="exact"/>
        <w:ind w:left="0" w:leftChars="0" w:right="0" w:rightChars="0"/>
        <w:textAlignment w:val="auto"/>
        <w:rPr>
          <w:rFonts w:hint="eastAsia" w:ascii="宋体" w:hAnsi="宋体" w:eastAsia="宋体" w:cs="宋体"/>
          <w:sz w:val="24"/>
          <w:szCs w:val="24"/>
          <w:lang w:val="en-US" w:eastAsia="zh-CN"/>
        </w:rPr>
      </w:pPr>
      <w:bookmarkStart w:id="402" w:name="_Toc16958"/>
      <w:r>
        <w:rPr>
          <w:rFonts w:hint="eastAsia" w:ascii="宋体" w:hAnsi="宋体" w:eastAsia="宋体" w:cs="宋体"/>
          <w:sz w:val="24"/>
          <w:szCs w:val="24"/>
        </w:rPr>
        <w:t>★格式</w:t>
      </w:r>
      <w:r>
        <w:rPr>
          <w:rFonts w:hint="eastAsia" w:ascii="宋体" w:hAnsi="宋体" w:eastAsia="宋体" w:cs="宋体"/>
          <w:sz w:val="24"/>
          <w:szCs w:val="24"/>
          <w:lang w:val="en-US" w:eastAsia="zh-CN"/>
        </w:rPr>
        <w:t>3-1</w:t>
      </w:r>
      <w:r>
        <w:rPr>
          <w:rFonts w:hint="eastAsia" w:ascii="宋体" w:hAnsi="宋体" w:eastAsia="宋体" w:cs="宋体"/>
          <w:sz w:val="24"/>
          <w:szCs w:val="24"/>
        </w:rPr>
        <w:t>：承诺函</w:t>
      </w:r>
      <w:r>
        <w:rPr>
          <w:rFonts w:hint="eastAsia" w:ascii="宋体" w:hAnsi="宋体" w:eastAsia="宋体" w:cs="宋体"/>
          <w:sz w:val="24"/>
          <w:szCs w:val="24"/>
          <w:lang w:val="en-US" w:eastAsia="zh-CN"/>
        </w:rPr>
        <w:t>（实质性要求）</w:t>
      </w:r>
    </w:p>
    <w:p w14:paraId="6FB1A84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w:t>
      </w:r>
      <w:r>
        <w:rPr>
          <w:rFonts w:hint="eastAsia" w:ascii="宋体" w:hAnsi="宋体" w:cs="宋体"/>
          <w:sz w:val="24"/>
          <w:szCs w:val="24"/>
          <w:u w:val="single"/>
          <w:lang w:val="en-US" w:eastAsia="zh-CN"/>
        </w:rPr>
        <w:t>采购人 、</w:t>
      </w:r>
      <w:r>
        <w:rPr>
          <w:rFonts w:hint="eastAsia" w:ascii="宋体" w:hAnsi="宋体" w:eastAsia="宋体" w:cs="宋体"/>
          <w:sz w:val="24"/>
          <w:szCs w:val="24"/>
          <w:u w:val="single"/>
        </w:rPr>
        <w:t>采购代理机构名称）</w:t>
      </w:r>
    </w:p>
    <w:p w14:paraId="3303995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根据贵方</w:t>
      </w:r>
      <w:r>
        <w:rPr>
          <w:rFonts w:hint="eastAsia" w:ascii="宋体" w:hAnsi="宋体" w:eastAsia="宋体" w:cs="宋体"/>
          <w:sz w:val="24"/>
          <w:szCs w:val="24"/>
          <w:u w:val="single"/>
        </w:rPr>
        <w:t xml:space="preserve">      （采购项目名称）       </w:t>
      </w:r>
      <w:r>
        <w:rPr>
          <w:rFonts w:hint="eastAsia" w:ascii="宋体" w:hAnsi="宋体" w:eastAsia="宋体" w:cs="宋体"/>
          <w:sz w:val="24"/>
          <w:szCs w:val="24"/>
        </w:rPr>
        <w:t>（项目编号：）的</w:t>
      </w:r>
      <w:r>
        <w:rPr>
          <w:rFonts w:hint="eastAsia" w:ascii="宋体" w:hAnsi="宋体" w:eastAsia="宋体" w:cs="宋体"/>
          <w:sz w:val="24"/>
          <w:szCs w:val="24"/>
          <w:lang w:eastAsia="zh-CN"/>
        </w:rPr>
        <w:t>谈判文件</w:t>
      </w:r>
      <w:r>
        <w:rPr>
          <w:rFonts w:hint="eastAsia" w:ascii="宋体" w:hAnsi="宋体" w:eastAsia="宋体" w:cs="宋体"/>
          <w:sz w:val="24"/>
          <w:szCs w:val="24"/>
        </w:rPr>
        <w:t>，我方正式授权</w:t>
      </w:r>
      <w:r>
        <w:rPr>
          <w:rFonts w:hint="eastAsia" w:ascii="宋体" w:hAnsi="宋体" w:eastAsia="宋体" w:cs="宋体"/>
          <w:sz w:val="24"/>
          <w:szCs w:val="24"/>
          <w:u w:val="single"/>
        </w:rPr>
        <w:t xml:space="preserve">   （姓名和职务）     </w:t>
      </w:r>
      <w:r>
        <w:rPr>
          <w:rFonts w:hint="eastAsia" w:ascii="宋体" w:hAnsi="宋体" w:eastAsia="宋体" w:cs="宋体"/>
          <w:sz w:val="24"/>
          <w:szCs w:val="24"/>
        </w:rPr>
        <w:t>代表</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谈判</w:t>
      </w:r>
      <w:r>
        <w:rPr>
          <w:rFonts w:hint="eastAsia" w:ascii="宋体" w:hAnsi="宋体" w:eastAsia="宋体" w:cs="宋体"/>
          <w:sz w:val="24"/>
          <w:szCs w:val="24"/>
          <w:u w:val="single"/>
        </w:rPr>
        <w:t xml:space="preserve">供应商全称）   </w:t>
      </w:r>
      <w:r>
        <w:rPr>
          <w:rFonts w:hint="eastAsia" w:ascii="宋体" w:hAnsi="宋体" w:eastAsia="宋体" w:cs="宋体"/>
          <w:sz w:val="24"/>
          <w:szCs w:val="24"/>
          <w:u w:val="none"/>
          <w:lang w:val="en-US" w:eastAsia="zh-CN"/>
        </w:rPr>
        <w:t>全权处理</w:t>
      </w:r>
      <w:r>
        <w:rPr>
          <w:rFonts w:hint="eastAsia" w:ascii="宋体" w:hAnsi="宋体" w:eastAsia="宋体" w:cs="宋体"/>
          <w:sz w:val="24"/>
          <w:szCs w:val="24"/>
          <w:lang w:val="en-US" w:eastAsia="zh-CN"/>
        </w:rPr>
        <w:t>本项目的有关事宜</w:t>
      </w:r>
      <w:r>
        <w:rPr>
          <w:rFonts w:hint="eastAsia" w:ascii="宋体" w:hAnsi="宋体" w:eastAsia="宋体" w:cs="宋体"/>
          <w:sz w:val="24"/>
          <w:szCs w:val="24"/>
        </w:rPr>
        <w:t>，并作如下承诺：</w:t>
      </w:r>
    </w:p>
    <w:p w14:paraId="479EA3A9">
      <w:pPr>
        <w:keepNext w:val="0"/>
        <w:keepLines w:val="0"/>
        <w:pageBreakBefore w:val="0"/>
        <w:widowControl w:val="0"/>
        <w:numPr>
          <w:ilvl w:val="0"/>
          <w:numId w:val="37"/>
        </w:numPr>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b w:val="0"/>
          <w:bCs w:val="0"/>
          <w:color w:val="000000"/>
          <w:kern w:val="2"/>
          <w:sz w:val="24"/>
          <w:szCs w:val="24"/>
          <w:lang w:val="en-US" w:eastAsia="zh-CN" w:bidi="ar-SA"/>
        </w:rPr>
        <w:t>本响应文件有效</w:t>
      </w:r>
      <w:r>
        <w:rPr>
          <w:rFonts w:hint="eastAsia" w:ascii="宋体" w:hAnsi="宋体" w:eastAsia="宋体" w:cs="宋体"/>
          <w:b w:val="0"/>
          <w:bCs w:val="0"/>
          <w:color w:val="000000"/>
          <w:kern w:val="2"/>
          <w:sz w:val="24"/>
          <w:szCs w:val="24"/>
          <w:highlight w:val="none"/>
          <w:lang w:val="en-US" w:eastAsia="zh-CN" w:bidi="ar-SA"/>
        </w:rPr>
        <w:t>期为自响应文件截止之日起</w:t>
      </w:r>
      <w:r>
        <w:rPr>
          <w:rFonts w:hint="eastAsia" w:ascii="宋体" w:hAnsi="宋体" w:eastAsia="宋体" w:cs="宋体"/>
          <w:b w:val="0"/>
          <w:bCs w:val="0"/>
          <w:color w:val="000000"/>
          <w:kern w:val="2"/>
          <w:sz w:val="24"/>
          <w:szCs w:val="24"/>
          <w:highlight w:val="none"/>
          <w:u w:val="single"/>
          <w:lang w:val="en-US" w:eastAsia="zh-CN" w:bidi="ar-SA"/>
        </w:rPr>
        <w:t xml:space="preserve">      个日历天</w:t>
      </w:r>
      <w:r>
        <w:rPr>
          <w:rFonts w:hint="eastAsia" w:ascii="宋体" w:hAnsi="宋体" w:eastAsia="宋体" w:cs="宋体"/>
          <w:b w:val="0"/>
          <w:bCs w:val="0"/>
          <w:color w:val="000000"/>
          <w:kern w:val="2"/>
          <w:sz w:val="24"/>
          <w:szCs w:val="24"/>
          <w:highlight w:val="none"/>
          <w:lang w:val="en-US" w:eastAsia="zh-CN" w:bidi="ar-SA"/>
        </w:rPr>
        <w:t>。</w:t>
      </w:r>
    </w:p>
    <w:p w14:paraId="71811AA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二、我方已详细审查全部采购文件，包括所有补充通知（如有），</w:t>
      </w:r>
      <w:r>
        <w:rPr>
          <w:rFonts w:hint="eastAsia" w:ascii="宋体" w:hAnsi="宋体" w:eastAsia="宋体" w:cs="宋体"/>
          <w:sz w:val="24"/>
          <w:szCs w:val="24"/>
        </w:rPr>
        <w:t>并对上述文件均无异议</w:t>
      </w:r>
      <w:r>
        <w:rPr>
          <w:rFonts w:hint="eastAsia" w:ascii="宋体" w:hAnsi="宋体" w:eastAsia="宋体" w:cs="宋体"/>
          <w:color w:val="000000"/>
          <w:sz w:val="24"/>
          <w:szCs w:val="24"/>
          <w:highlight w:val="none"/>
        </w:rPr>
        <w:t>。</w:t>
      </w:r>
    </w:p>
    <w:p w14:paraId="554C4F2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三、我方不是为本项目提供整体设计、规范编制或者项目管理、监理、检测等服务的供应商，我方不是采购代理机构的附属机构。</w:t>
      </w:r>
    </w:p>
    <w:p w14:paraId="2C4F722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四、</w:t>
      </w:r>
      <w:r>
        <w:rPr>
          <w:rFonts w:hint="eastAsia" w:ascii="宋体" w:hAnsi="宋体" w:eastAsia="宋体" w:cs="宋体"/>
          <w:color w:val="000000"/>
          <w:sz w:val="24"/>
          <w:szCs w:val="24"/>
        </w:rPr>
        <w:t>响应文件中提供的任何资料和技术、服务、商务等响应承诺情况都是真实的、有效的、合法的。</w:t>
      </w:r>
    </w:p>
    <w:p w14:paraId="5C953C6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lang w:val="en-US" w:eastAsia="zh-CN"/>
        </w:rPr>
        <w:t>五、</w:t>
      </w:r>
      <w:r>
        <w:rPr>
          <w:rFonts w:hint="eastAsia" w:ascii="宋体" w:hAnsi="宋体" w:eastAsia="宋体" w:cs="宋体"/>
          <w:sz w:val="24"/>
          <w:szCs w:val="24"/>
          <w:lang w:val="en-US" w:eastAsia="zh-CN"/>
        </w:rPr>
        <w:t>我方</w:t>
      </w:r>
      <w:r>
        <w:rPr>
          <w:rFonts w:hint="eastAsia" w:ascii="宋体" w:hAnsi="宋体" w:eastAsia="宋体" w:cs="宋体"/>
          <w:sz w:val="24"/>
          <w:szCs w:val="24"/>
        </w:rPr>
        <w:t>为本项目提供的所有产品、辅材中属于《国家强制性产品认证目录》范围内产品的，均通过国家强制性产品认证并取得认证证书。为本项目提供的所有产品、辅材符合现行的强制性国家相关标准、行业标准。</w:t>
      </w:r>
    </w:p>
    <w:p w14:paraId="6C3783D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六、</w:t>
      </w:r>
      <w:r>
        <w:rPr>
          <w:rFonts w:hint="eastAsia" w:ascii="宋体" w:hAnsi="宋体" w:eastAsia="宋体" w:cs="宋体"/>
          <w:sz w:val="24"/>
          <w:szCs w:val="24"/>
        </w:rPr>
        <w:t>为本项目实施涉及的商品包装和快递包装，均符合</w:t>
      </w:r>
      <w:r>
        <w:rPr>
          <w:rFonts w:hint="eastAsia" w:ascii="宋体" w:hAnsi="宋体" w:eastAsia="宋体" w:cs="宋体"/>
          <w:sz w:val="24"/>
          <w:szCs w:val="24"/>
          <w:lang w:eastAsia="zh-CN"/>
        </w:rPr>
        <w:t>《</w:t>
      </w:r>
      <w:r>
        <w:rPr>
          <w:rFonts w:hint="eastAsia" w:ascii="宋体" w:hAnsi="宋体" w:eastAsia="宋体" w:cs="宋体"/>
          <w:sz w:val="24"/>
          <w:szCs w:val="24"/>
        </w:rPr>
        <w:t>财政部等三部门联合印发商品包装和快递包装政府采购需求标准（试行）</w:t>
      </w:r>
      <w:r>
        <w:rPr>
          <w:rFonts w:hint="eastAsia" w:ascii="宋体" w:hAnsi="宋体" w:eastAsia="宋体" w:cs="宋体"/>
          <w:sz w:val="24"/>
          <w:szCs w:val="24"/>
          <w:lang w:eastAsia="zh-CN"/>
        </w:rPr>
        <w:t>》</w:t>
      </w:r>
      <w:r>
        <w:rPr>
          <w:rFonts w:hint="eastAsia" w:ascii="宋体" w:hAnsi="宋体" w:eastAsia="宋体" w:cs="宋体"/>
          <w:sz w:val="24"/>
          <w:szCs w:val="24"/>
        </w:rPr>
        <w:t>（财办库[2020]123号）的要求，包装适应于远距离运输、防潮、防震、防锈和防野蛮装卸，确保货物安全无损运抵指定地点。由于包装不善所引起的货物损失均由我公司承担。</w:t>
      </w:r>
    </w:p>
    <w:p w14:paraId="01C34CF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七、</w:t>
      </w:r>
      <w:r>
        <w:rPr>
          <w:rFonts w:hint="eastAsia" w:ascii="宋体" w:hAnsi="宋体" w:eastAsia="宋体" w:cs="宋体"/>
          <w:sz w:val="24"/>
          <w:szCs w:val="24"/>
        </w:rPr>
        <w:t>参加本次采购活动，我方完全同意</w:t>
      </w:r>
      <w:r>
        <w:rPr>
          <w:rFonts w:hint="eastAsia" w:ascii="宋体" w:hAnsi="宋体" w:eastAsia="宋体" w:cs="宋体"/>
          <w:sz w:val="24"/>
          <w:szCs w:val="24"/>
          <w:lang w:eastAsia="zh-CN"/>
        </w:rPr>
        <w:t>谈判文件</w:t>
      </w:r>
      <w:r>
        <w:rPr>
          <w:rFonts w:hint="eastAsia" w:ascii="宋体" w:hAnsi="宋体" w:eastAsia="宋体" w:cs="宋体"/>
          <w:sz w:val="24"/>
          <w:szCs w:val="24"/>
        </w:rPr>
        <w:t>第二章关</w:t>
      </w:r>
      <w:r>
        <w:rPr>
          <w:rFonts w:hint="eastAsia" w:ascii="宋体" w:hAnsi="宋体" w:eastAsia="宋体" w:cs="宋体"/>
          <w:sz w:val="24"/>
          <w:szCs w:val="24"/>
          <w:highlight w:val="none"/>
        </w:rPr>
        <w:t>于 “参加</w:t>
      </w:r>
      <w:r>
        <w:rPr>
          <w:rFonts w:hint="eastAsia" w:ascii="宋体" w:hAnsi="宋体" w:eastAsia="宋体" w:cs="宋体"/>
          <w:sz w:val="24"/>
          <w:szCs w:val="24"/>
          <w:highlight w:val="none"/>
          <w:lang w:eastAsia="zh-CN"/>
        </w:rPr>
        <w:t>谈判</w:t>
      </w:r>
      <w:r>
        <w:rPr>
          <w:rFonts w:hint="eastAsia" w:ascii="宋体" w:hAnsi="宋体" w:eastAsia="宋体" w:cs="宋体"/>
          <w:sz w:val="24"/>
          <w:szCs w:val="24"/>
          <w:highlight w:val="none"/>
        </w:rPr>
        <w:t>采购的费用”、“知识产权”、“合同分包和转包”、“履约保证金”等</w:t>
      </w:r>
      <w:r>
        <w:rPr>
          <w:rFonts w:hint="eastAsia" w:ascii="宋体" w:hAnsi="宋体" w:eastAsia="宋体" w:cs="宋体"/>
          <w:sz w:val="24"/>
          <w:szCs w:val="24"/>
        </w:rPr>
        <w:t>实质性要求，并承诺严格按照</w:t>
      </w:r>
      <w:r>
        <w:rPr>
          <w:rFonts w:hint="eastAsia" w:ascii="宋体" w:hAnsi="宋体" w:eastAsia="宋体" w:cs="宋体"/>
          <w:sz w:val="24"/>
          <w:szCs w:val="24"/>
          <w:lang w:eastAsia="zh-CN"/>
        </w:rPr>
        <w:t>谈判文件</w:t>
      </w:r>
      <w:r>
        <w:rPr>
          <w:rFonts w:hint="eastAsia" w:ascii="宋体" w:hAnsi="宋体" w:eastAsia="宋体" w:cs="宋体"/>
          <w:sz w:val="24"/>
          <w:szCs w:val="24"/>
        </w:rPr>
        <w:t>要求履行。</w:t>
      </w:r>
    </w:p>
    <w:p w14:paraId="17372BB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000000"/>
          <w:sz w:val="24"/>
          <w:szCs w:val="24"/>
        </w:rPr>
      </w:pPr>
      <w:r>
        <w:rPr>
          <w:rFonts w:hint="eastAsia" w:ascii="宋体" w:hAnsi="宋体" w:eastAsia="宋体" w:cs="宋体"/>
          <w:sz w:val="24"/>
          <w:szCs w:val="24"/>
          <w:lang w:val="en-US" w:eastAsia="zh-CN"/>
        </w:rPr>
        <w:t>八、</w:t>
      </w:r>
      <w:r>
        <w:rPr>
          <w:rFonts w:hint="eastAsia" w:ascii="宋体" w:hAnsi="宋体" w:eastAsia="宋体" w:cs="宋体"/>
          <w:color w:val="000000"/>
          <w:sz w:val="24"/>
          <w:szCs w:val="24"/>
        </w:rPr>
        <w:t>如本项目</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采购过程中需要提供样品，则我方提供的样品即为成交后将要提供的成交产品，我方对提供样品的性能和质量负责，因样品存在缺陷或者不符合</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文件要求导致未能成交的，我方愿意承担相应不利后果。</w:t>
      </w:r>
    </w:p>
    <w:p w14:paraId="3008055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九、</w:t>
      </w:r>
      <w:r>
        <w:rPr>
          <w:rFonts w:hint="eastAsia" w:ascii="宋体" w:hAnsi="宋体" w:eastAsia="宋体" w:cs="宋体"/>
          <w:color w:val="000000"/>
          <w:sz w:val="24"/>
          <w:szCs w:val="24"/>
        </w:rPr>
        <w:t>我方同意在《</w:t>
      </w:r>
      <w:r>
        <w:rPr>
          <w:rFonts w:hint="eastAsia" w:ascii="宋体" w:hAnsi="宋体" w:eastAsia="宋体" w:cs="宋体"/>
          <w:color w:val="000000"/>
          <w:sz w:val="24"/>
          <w:szCs w:val="24"/>
          <w:lang w:eastAsia="zh-CN"/>
        </w:rPr>
        <w:t>谈判文件</w:t>
      </w:r>
      <w:r>
        <w:rPr>
          <w:rFonts w:hint="eastAsia" w:ascii="宋体" w:hAnsi="宋体" w:eastAsia="宋体" w:cs="宋体"/>
          <w:color w:val="000000"/>
          <w:sz w:val="24"/>
          <w:szCs w:val="24"/>
        </w:rPr>
        <w:t>》规定的递交响应文件截止日期起遵循本</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文件，并在</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文件有效期满之前均具有约束力。如果我方报价被接受，则至合同履行完毕、质保期满为止，本承诺书保持有效。如果在</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文件有效期内撤回</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申请或者有其他违约行为，我方的保证金可被贵方全部或部分没收。</w:t>
      </w:r>
    </w:p>
    <w:p w14:paraId="7AF048B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000000"/>
          <w:sz w:val="24"/>
          <w:szCs w:val="24"/>
        </w:rPr>
      </w:pPr>
    </w:p>
    <w:p w14:paraId="54E72A1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本方对上述承诺的内容事项真实性负责。如经查实上述承诺的内容事项存在虚假，我方愿意接受以提供虚假材料谋取成交的法律责任。若贵方需要，我方愿意提供我方作出的一切承诺的证明材料。</w:t>
      </w:r>
    </w:p>
    <w:p w14:paraId="39EDD7E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000000"/>
          <w:sz w:val="24"/>
          <w:szCs w:val="24"/>
        </w:rPr>
      </w:pPr>
    </w:p>
    <w:p w14:paraId="539E063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color w:val="000000"/>
          <w:sz w:val="24"/>
          <w:szCs w:val="24"/>
        </w:rPr>
      </w:pPr>
    </w:p>
    <w:p w14:paraId="6FAAB6A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与本次</w:t>
      </w:r>
      <w:r>
        <w:rPr>
          <w:rFonts w:hint="eastAsia" w:ascii="宋体" w:hAnsi="宋体" w:eastAsia="宋体" w:cs="宋体"/>
          <w:sz w:val="24"/>
          <w:szCs w:val="24"/>
          <w:lang w:eastAsia="zh-CN"/>
        </w:rPr>
        <w:t>谈判</w:t>
      </w:r>
      <w:r>
        <w:rPr>
          <w:rFonts w:hint="eastAsia" w:ascii="宋体" w:hAnsi="宋体" w:eastAsia="宋体" w:cs="宋体"/>
          <w:sz w:val="24"/>
          <w:szCs w:val="24"/>
        </w:rPr>
        <w:t>有关的正式通讯地址为：</w:t>
      </w:r>
    </w:p>
    <w:p w14:paraId="1CD2470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地    址：           邮政编码：</w:t>
      </w:r>
    </w:p>
    <w:p w14:paraId="234F268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电    话：           传    真：</w:t>
      </w:r>
    </w:p>
    <w:p w14:paraId="1DDFB4B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sz w:val="24"/>
          <w:szCs w:val="24"/>
        </w:rPr>
      </w:pPr>
    </w:p>
    <w:p w14:paraId="7E3DE40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供应商：（全称）（加盖电子公章）</w:t>
      </w:r>
    </w:p>
    <w:p w14:paraId="20ACBF7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法定代表人：（电子签名</w:t>
      </w:r>
      <w:r>
        <w:rPr>
          <w:rFonts w:hint="eastAsia" w:ascii="宋体" w:hAnsi="宋体" w:eastAsia="宋体" w:cs="宋体"/>
          <w:sz w:val="24"/>
          <w:szCs w:val="24"/>
          <w:lang w:eastAsia="zh-CN"/>
        </w:rPr>
        <w:t>）</w:t>
      </w:r>
    </w:p>
    <w:p w14:paraId="6FDF0D2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日期：年月日</w:t>
      </w:r>
    </w:p>
    <w:p w14:paraId="4696AFE7">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b/>
          <w:sz w:val="24"/>
          <w:szCs w:val="24"/>
        </w:rPr>
      </w:pPr>
      <w:r>
        <w:rPr>
          <w:rFonts w:hint="eastAsia" w:ascii="宋体" w:hAnsi="宋体" w:eastAsia="宋体" w:cs="宋体"/>
          <w:b/>
          <w:sz w:val="24"/>
          <w:szCs w:val="24"/>
        </w:rPr>
        <w:t>说明：本承诺函内容不得擅自修改。</w:t>
      </w:r>
    </w:p>
    <w:p w14:paraId="301D4472">
      <w:pPr>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hAnsi="宋体" w:eastAsia="宋体" w:cs="宋体"/>
          <w:b/>
          <w:sz w:val="24"/>
          <w:szCs w:val="24"/>
          <w:lang w:val="en-US" w:eastAsia="zh-CN"/>
        </w:rPr>
      </w:pPr>
    </w:p>
    <w:p w14:paraId="697532B9">
      <w:pPr>
        <w:pageBreakBefore w:val="0"/>
        <w:kinsoku/>
        <w:wordWrap/>
        <w:overflowPunct/>
        <w:topLinePunct w:val="0"/>
        <w:bidi w:val="0"/>
        <w:spacing w:line="560" w:lineRule="exact"/>
        <w:textAlignment w:val="auto"/>
        <w:outlineLvl w:val="9"/>
        <w:rPr>
          <w:rFonts w:hint="eastAsia" w:ascii="宋体" w:hAnsi="宋体" w:eastAsia="宋体" w:cs="宋体"/>
          <w:b/>
          <w:sz w:val="24"/>
          <w:szCs w:val="24"/>
          <w:lang w:val="en-US" w:eastAsia="zh-CN"/>
        </w:rPr>
      </w:pPr>
    </w:p>
    <w:p w14:paraId="7BF536A4">
      <w:pPr>
        <w:pageBreakBefore w:val="0"/>
        <w:kinsoku/>
        <w:wordWrap/>
        <w:overflowPunct/>
        <w:topLinePunct w:val="0"/>
        <w:bidi w:val="0"/>
        <w:spacing w:line="560" w:lineRule="exact"/>
        <w:textAlignment w:val="auto"/>
        <w:outlineLvl w:val="9"/>
        <w:rPr>
          <w:rFonts w:hint="eastAsia" w:ascii="宋体" w:hAnsi="宋体" w:eastAsia="宋体" w:cs="宋体"/>
          <w:b/>
          <w:sz w:val="24"/>
          <w:szCs w:val="24"/>
          <w:lang w:val="en-US" w:eastAsia="zh-CN"/>
        </w:rPr>
      </w:pPr>
    </w:p>
    <w:p w14:paraId="58C8EC4A">
      <w:pPr>
        <w:pStyle w:val="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格式3-2：供应商信息表</w:t>
      </w:r>
      <w:bookmarkEnd w:id="402"/>
    </w:p>
    <w:p w14:paraId="77F4EA84">
      <w:pPr>
        <w:keepNext w:val="0"/>
        <w:keepLines w:val="0"/>
        <w:pageBreakBefore w:val="0"/>
        <w:kinsoku/>
        <w:wordWrap/>
        <w:overflowPunct/>
        <w:topLinePunct w:val="0"/>
        <w:bidi w:val="0"/>
        <w:spacing w:line="560" w:lineRule="exact"/>
        <w:jc w:val="center"/>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供应商</w:t>
      </w:r>
      <w:r>
        <w:rPr>
          <w:rFonts w:hint="eastAsia" w:ascii="宋体" w:hAnsi="宋体" w:eastAsia="宋体" w:cs="宋体"/>
          <w:kern w:val="0"/>
          <w:sz w:val="24"/>
          <w:szCs w:val="24"/>
        </w:rPr>
        <w:t>信息表</w:t>
      </w:r>
    </w:p>
    <w:p w14:paraId="348AB7B4">
      <w:pPr>
        <w:keepLines w:val="0"/>
        <w:pageBreakBefore w:val="0"/>
        <w:kinsoku/>
        <w:wordWrap/>
        <w:overflowPunct/>
        <w:topLinePunct w:val="0"/>
        <w:bidi w:val="0"/>
        <w:adjustRightInd w:val="0"/>
        <w:snapToGrid w:val="0"/>
        <w:spacing w:line="560" w:lineRule="exact"/>
        <w:ind w:firstLine="480" w:firstLineChars="200"/>
        <w:jc w:val="center"/>
        <w:textAlignment w:val="auto"/>
        <w:outlineLvl w:val="9"/>
        <w:rPr>
          <w:rFonts w:hint="eastAsia" w:ascii="宋体" w:hAnsi="宋体" w:eastAsia="宋体" w:cs="宋体"/>
          <w:b/>
          <w:bCs/>
          <w:sz w:val="24"/>
          <w:szCs w:val="24"/>
        </w:rPr>
      </w:pPr>
      <w:bookmarkStart w:id="403" w:name="_Toc8764_WPSOffice_Level2"/>
      <w:r>
        <w:rPr>
          <w:rFonts w:hint="eastAsia" w:ascii="宋体" w:hAnsi="宋体" w:eastAsia="宋体" w:cs="宋体"/>
          <w:b/>
          <w:bCs/>
          <w:sz w:val="24"/>
          <w:szCs w:val="24"/>
        </w:rPr>
        <w:t>(请</w:t>
      </w:r>
      <w:r>
        <w:rPr>
          <w:rFonts w:hint="eastAsia" w:ascii="宋体" w:hAnsi="宋体" w:eastAsia="宋体" w:cs="宋体"/>
          <w:b/>
          <w:bCs/>
          <w:sz w:val="24"/>
          <w:szCs w:val="24"/>
          <w:lang w:val="en-US" w:eastAsia="zh-CN"/>
        </w:rPr>
        <w:t>供应商</w:t>
      </w:r>
      <w:r>
        <w:rPr>
          <w:rFonts w:hint="eastAsia" w:ascii="宋体" w:hAnsi="宋体" w:eastAsia="宋体" w:cs="宋体"/>
          <w:b/>
          <w:bCs/>
          <w:sz w:val="24"/>
          <w:szCs w:val="24"/>
        </w:rPr>
        <w:t>如实填写本表信息)</w:t>
      </w:r>
      <w:bookmarkEnd w:id="403"/>
    </w:p>
    <w:p w14:paraId="48118725">
      <w:pPr>
        <w:keepLines w:val="0"/>
        <w:pageBreakBefore w:val="0"/>
        <w:kinsoku/>
        <w:wordWrap/>
        <w:overflowPunct/>
        <w:topLinePunct w:val="0"/>
        <w:bidi w:val="0"/>
        <w:spacing w:line="560" w:lineRule="exact"/>
        <w:textAlignment w:val="auto"/>
        <w:outlineLvl w:val="9"/>
        <w:rPr>
          <w:rFonts w:hint="eastAsia" w:ascii="宋体" w:hAnsi="宋体" w:eastAsia="宋体" w:cs="宋体"/>
          <w:sz w:val="24"/>
          <w:szCs w:val="24"/>
          <w:u w:val="single"/>
        </w:rPr>
      </w:pPr>
      <w:r>
        <w:rPr>
          <w:rFonts w:hint="eastAsia" w:ascii="宋体" w:hAnsi="宋体" w:eastAsia="宋体" w:cs="宋体"/>
          <w:b/>
          <w:bCs/>
          <w:sz w:val="24"/>
          <w:szCs w:val="24"/>
        </w:rPr>
        <w:t>项目名称：</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            </w:t>
      </w:r>
      <w:r>
        <w:rPr>
          <w:rFonts w:hint="eastAsia" w:ascii="宋体" w:hAnsi="宋体" w:eastAsia="宋体" w:cs="宋体"/>
          <w:b/>
          <w:bCs/>
          <w:sz w:val="24"/>
          <w:szCs w:val="24"/>
          <w:lang w:val="en-US" w:eastAsia="zh-CN"/>
        </w:rPr>
        <w:t>项目</w:t>
      </w:r>
      <w:r>
        <w:rPr>
          <w:rFonts w:hint="eastAsia" w:ascii="宋体" w:hAnsi="宋体" w:eastAsia="宋体" w:cs="宋体"/>
          <w:b/>
          <w:bCs/>
          <w:sz w:val="24"/>
          <w:szCs w:val="24"/>
        </w:rPr>
        <w:t>编号：</w:t>
      </w:r>
      <w:r>
        <w:rPr>
          <w:rFonts w:hint="eastAsia" w:ascii="宋体" w:hAnsi="宋体" w:eastAsia="宋体" w:cs="宋体"/>
          <w:sz w:val="24"/>
          <w:szCs w:val="24"/>
          <w:u w:val="single"/>
        </w:rPr>
        <w:t xml:space="preserve">           </w:t>
      </w:r>
    </w:p>
    <w:tbl>
      <w:tblPr>
        <w:tblStyle w:val="32"/>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5"/>
        <w:gridCol w:w="1942"/>
        <w:gridCol w:w="2580"/>
        <w:gridCol w:w="2117"/>
      </w:tblGrid>
      <w:tr w14:paraId="6204D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6EE2E4DF">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供应商名称：</w:t>
            </w:r>
          </w:p>
        </w:tc>
        <w:tc>
          <w:tcPr>
            <w:tcW w:w="6639" w:type="dxa"/>
            <w:gridSpan w:val="3"/>
            <w:tcBorders>
              <w:left w:val="nil"/>
            </w:tcBorders>
            <w:noWrap w:val="0"/>
            <w:vAlign w:val="center"/>
          </w:tcPr>
          <w:p w14:paraId="0A2C1063">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p>
        </w:tc>
      </w:tr>
      <w:tr w14:paraId="736BC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660371AA">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营业执照注册号：</w:t>
            </w:r>
          </w:p>
        </w:tc>
        <w:tc>
          <w:tcPr>
            <w:tcW w:w="6639" w:type="dxa"/>
            <w:gridSpan w:val="3"/>
            <w:tcBorders>
              <w:left w:val="nil"/>
            </w:tcBorders>
            <w:noWrap w:val="0"/>
            <w:vAlign w:val="center"/>
          </w:tcPr>
          <w:p w14:paraId="2352536A">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p>
        </w:tc>
      </w:tr>
      <w:tr w14:paraId="75261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4FE7B4B4">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组织机构代码：</w:t>
            </w:r>
          </w:p>
        </w:tc>
        <w:tc>
          <w:tcPr>
            <w:tcW w:w="6639" w:type="dxa"/>
            <w:gridSpan w:val="3"/>
            <w:tcBorders>
              <w:left w:val="nil"/>
            </w:tcBorders>
            <w:noWrap w:val="0"/>
            <w:vAlign w:val="center"/>
          </w:tcPr>
          <w:p w14:paraId="0CBF254A">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p>
        </w:tc>
      </w:tr>
      <w:tr w14:paraId="1CB20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30B01B62">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税务登记证号：</w:t>
            </w:r>
          </w:p>
        </w:tc>
        <w:tc>
          <w:tcPr>
            <w:tcW w:w="6639" w:type="dxa"/>
            <w:gridSpan w:val="3"/>
            <w:tcBorders>
              <w:left w:val="nil"/>
            </w:tcBorders>
            <w:noWrap w:val="0"/>
            <w:vAlign w:val="center"/>
          </w:tcPr>
          <w:p w14:paraId="65DB2F8B">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p>
        </w:tc>
      </w:tr>
      <w:tr w14:paraId="0BC22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07FAC0DA">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注册资金：</w:t>
            </w:r>
          </w:p>
        </w:tc>
        <w:tc>
          <w:tcPr>
            <w:tcW w:w="1942" w:type="dxa"/>
            <w:tcBorders>
              <w:left w:val="nil"/>
            </w:tcBorders>
            <w:noWrap w:val="0"/>
            <w:vAlign w:val="center"/>
          </w:tcPr>
          <w:p w14:paraId="3AB80FBC">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p>
        </w:tc>
        <w:tc>
          <w:tcPr>
            <w:tcW w:w="2580" w:type="dxa"/>
            <w:tcBorders>
              <w:left w:val="nil"/>
            </w:tcBorders>
            <w:noWrap w:val="0"/>
            <w:vAlign w:val="center"/>
          </w:tcPr>
          <w:p w14:paraId="4CE4C222">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邮政编码：</w:t>
            </w:r>
          </w:p>
        </w:tc>
        <w:tc>
          <w:tcPr>
            <w:tcW w:w="2117" w:type="dxa"/>
            <w:tcBorders>
              <w:left w:val="nil"/>
            </w:tcBorders>
            <w:noWrap w:val="0"/>
            <w:vAlign w:val="center"/>
          </w:tcPr>
          <w:p w14:paraId="447E57FD">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p>
        </w:tc>
      </w:tr>
      <w:tr w14:paraId="2D79B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6CD915DD">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公司成立日期：</w:t>
            </w:r>
          </w:p>
        </w:tc>
        <w:tc>
          <w:tcPr>
            <w:tcW w:w="1942" w:type="dxa"/>
            <w:tcBorders>
              <w:left w:val="nil"/>
            </w:tcBorders>
            <w:noWrap w:val="0"/>
            <w:vAlign w:val="center"/>
          </w:tcPr>
          <w:p w14:paraId="140B449C">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p>
        </w:tc>
        <w:tc>
          <w:tcPr>
            <w:tcW w:w="2580" w:type="dxa"/>
            <w:tcBorders>
              <w:left w:val="nil"/>
            </w:tcBorders>
            <w:noWrap w:val="0"/>
            <w:vAlign w:val="center"/>
          </w:tcPr>
          <w:p w14:paraId="341F94FC">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企业网站网址(如有)：</w:t>
            </w:r>
          </w:p>
        </w:tc>
        <w:tc>
          <w:tcPr>
            <w:tcW w:w="2117" w:type="dxa"/>
            <w:tcBorders>
              <w:left w:val="nil"/>
            </w:tcBorders>
            <w:noWrap w:val="0"/>
            <w:vAlign w:val="center"/>
          </w:tcPr>
          <w:p w14:paraId="20705F92">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p>
        </w:tc>
      </w:tr>
      <w:tr w14:paraId="02ED7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46D9512E">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企业电话：</w:t>
            </w:r>
          </w:p>
        </w:tc>
        <w:tc>
          <w:tcPr>
            <w:tcW w:w="1942" w:type="dxa"/>
            <w:tcBorders>
              <w:left w:val="nil"/>
            </w:tcBorders>
            <w:noWrap w:val="0"/>
            <w:vAlign w:val="center"/>
          </w:tcPr>
          <w:p w14:paraId="3CBB7B42">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p>
        </w:tc>
        <w:tc>
          <w:tcPr>
            <w:tcW w:w="2580" w:type="dxa"/>
            <w:tcBorders>
              <w:left w:val="nil"/>
            </w:tcBorders>
            <w:noWrap w:val="0"/>
            <w:vAlign w:val="center"/>
          </w:tcPr>
          <w:p w14:paraId="09D10F0C">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通讯地址：</w:t>
            </w:r>
          </w:p>
        </w:tc>
        <w:tc>
          <w:tcPr>
            <w:tcW w:w="2117" w:type="dxa"/>
            <w:tcBorders>
              <w:left w:val="nil"/>
            </w:tcBorders>
            <w:noWrap w:val="0"/>
            <w:vAlign w:val="center"/>
          </w:tcPr>
          <w:p w14:paraId="479F51DE">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p>
        </w:tc>
      </w:tr>
      <w:tr w14:paraId="12268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6DEE51A0">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公司简介：</w:t>
            </w:r>
          </w:p>
        </w:tc>
        <w:tc>
          <w:tcPr>
            <w:tcW w:w="6639" w:type="dxa"/>
            <w:gridSpan w:val="3"/>
            <w:tcBorders>
              <w:left w:val="nil"/>
            </w:tcBorders>
            <w:noWrap w:val="0"/>
            <w:vAlign w:val="center"/>
          </w:tcPr>
          <w:p w14:paraId="039D539C">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p>
        </w:tc>
      </w:tr>
      <w:tr w14:paraId="4D045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519F5EFF">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经营范围：</w:t>
            </w:r>
          </w:p>
        </w:tc>
        <w:tc>
          <w:tcPr>
            <w:tcW w:w="6639" w:type="dxa"/>
            <w:gridSpan w:val="3"/>
            <w:tcBorders>
              <w:left w:val="nil"/>
            </w:tcBorders>
            <w:noWrap w:val="0"/>
            <w:vAlign w:val="center"/>
          </w:tcPr>
          <w:p w14:paraId="7B313D88">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rPr>
            </w:pPr>
          </w:p>
        </w:tc>
      </w:tr>
      <w:tr w14:paraId="713EE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15C3F4CF">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法定代表人：</w:t>
            </w:r>
          </w:p>
        </w:tc>
        <w:tc>
          <w:tcPr>
            <w:tcW w:w="1942" w:type="dxa"/>
            <w:tcBorders>
              <w:left w:val="nil"/>
            </w:tcBorders>
            <w:noWrap w:val="0"/>
            <w:vAlign w:val="center"/>
          </w:tcPr>
          <w:p w14:paraId="224A47BA">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highlight w:val="none"/>
              </w:rPr>
            </w:pPr>
          </w:p>
        </w:tc>
        <w:tc>
          <w:tcPr>
            <w:tcW w:w="2580" w:type="dxa"/>
            <w:tcBorders>
              <w:left w:val="single" w:color="auto" w:sz="4" w:space="0"/>
            </w:tcBorders>
            <w:noWrap w:val="0"/>
            <w:vAlign w:val="center"/>
          </w:tcPr>
          <w:p w14:paraId="4B522ED2">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法人身份证号：</w:t>
            </w:r>
          </w:p>
        </w:tc>
        <w:tc>
          <w:tcPr>
            <w:tcW w:w="2117" w:type="dxa"/>
            <w:tcBorders>
              <w:left w:val="single" w:color="auto" w:sz="4" w:space="0"/>
            </w:tcBorders>
            <w:noWrap w:val="0"/>
            <w:vAlign w:val="center"/>
          </w:tcPr>
          <w:p w14:paraId="57AAA74B">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highlight w:val="none"/>
              </w:rPr>
            </w:pPr>
          </w:p>
        </w:tc>
      </w:tr>
      <w:tr w14:paraId="18039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5B0416F0">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本项目经办人:</w:t>
            </w:r>
          </w:p>
        </w:tc>
        <w:tc>
          <w:tcPr>
            <w:tcW w:w="1942" w:type="dxa"/>
            <w:tcBorders>
              <w:left w:val="nil"/>
            </w:tcBorders>
            <w:noWrap w:val="0"/>
            <w:vAlign w:val="center"/>
          </w:tcPr>
          <w:p w14:paraId="3C9DA2D3">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highlight w:val="none"/>
              </w:rPr>
            </w:pPr>
          </w:p>
        </w:tc>
        <w:tc>
          <w:tcPr>
            <w:tcW w:w="2580" w:type="dxa"/>
            <w:tcBorders>
              <w:left w:val="single" w:color="auto" w:sz="4" w:space="0"/>
            </w:tcBorders>
            <w:noWrap w:val="0"/>
            <w:vAlign w:val="center"/>
          </w:tcPr>
          <w:p w14:paraId="1D52DF48">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联系电话、工作邮箱：</w:t>
            </w:r>
          </w:p>
        </w:tc>
        <w:tc>
          <w:tcPr>
            <w:tcW w:w="2117" w:type="dxa"/>
            <w:tcBorders>
              <w:left w:val="single" w:color="auto" w:sz="4" w:space="0"/>
            </w:tcBorders>
            <w:noWrap w:val="0"/>
            <w:vAlign w:val="center"/>
          </w:tcPr>
          <w:p w14:paraId="2A721708">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highlight w:val="none"/>
              </w:rPr>
            </w:pPr>
          </w:p>
        </w:tc>
      </w:tr>
      <w:tr w14:paraId="18AE2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915" w:type="dxa"/>
            <w:noWrap w:val="0"/>
            <w:vAlign w:val="center"/>
          </w:tcPr>
          <w:p w14:paraId="768D957E">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开户银行：</w:t>
            </w:r>
          </w:p>
        </w:tc>
        <w:tc>
          <w:tcPr>
            <w:tcW w:w="1942" w:type="dxa"/>
            <w:tcBorders>
              <w:left w:val="nil"/>
            </w:tcBorders>
            <w:noWrap w:val="0"/>
            <w:vAlign w:val="center"/>
          </w:tcPr>
          <w:p w14:paraId="5EC30EB4">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highlight w:val="none"/>
              </w:rPr>
            </w:pPr>
          </w:p>
        </w:tc>
        <w:tc>
          <w:tcPr>
            <w:tcW w:w="2580" w:type="dxa"/>
            <w:tcBorders>
              <w:left w:val="single" w:color="auto" w:sz="4" w:space="0"/>
            </w:tcBorders>
            <w:noWrap w:val="0"/>
            <w:vAlign w:val="center"/>
          </w:tcPr>
          <w:p w14:paraId="1B4B3357">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银行账号：</w:t>
            </w:r>
          </w:p>
        </w:tc>
        <w:tc>
          <w:tcPr>
            <w:tcW w:w="2117" w:type="dxa"/>
            <w:tcBorders>
              <w:left w:val="single" w:color="auto" w:sz="4" w:space="0"/>
            </w:tcBorders>
            <w:noWrap w:val="0"/>
            <w:vAlign w:val="center"/>
          </w:tcPr>
          <w:p w14:paraId="5B3048A8">
            <w:pPr>
              <w:keepLines w:val="0"/>
              <w:pageBreakBefore w:val="0"/>
              <w:kinsoku/>
              <w:wordWrap/>
              <w:overflowPunct/>
              <w:topLinePunct w:val="0"/>
              <w:bidi w:val="0"/>
              <w:adjustRightInd w:val="0"/>
              <w:snapToGrid w:val="0"/>
              <w:spacing w:line="560" w:lineRule="exact"/>
              <w:jc w:val="center"/>
              <w:textAlignment w:val="auto"/>
              <w:outlineLvl w:val="9"/>
              <w:rPr>
                <w:rFonts w:hint="eastAsia" w:ascii="宋体" w:hAnsi="宋体" w:eastAsia="宋体" w:cs="宋体"/>
                <w:b/>
                <w:bCs/>
                <w:sz w:val="24"/>
                <w:szCs w:val="24"/>
                <w:highlight w:val="none"/>
              </w:rPr>
            </w:pPr>
          </w:p>
        </w:tc>
      </w:tr>
    </w:tbl>
    <w:p w14:paraId="3C4D3F9D">
      <w:pPr>
        <w:keepLines w:val="0"/>
        <w:pageBreakBefore w:val="0"/>
        <w:kinsoku/>
        <w:wordWrap/>
        <w:overflowPunct/>
        <w:topLinePunct w:val="0"/>
        <w:bidi w:val="0"/>
        <w:spacing w:line="560" w:lineRule="exact"/>
        <w:textAlignment w:val="auto"/>
        <w:outlineLvl w:val="9"/>
        <w:rPr>
          <w:rFonts w:hint="eastAsia" w:ascii="宋体" w:hAnsi="宋体" w:eastAsia="宋体" w:cs="宋体"/>
          <w:b/>
          <w:bCs/>
          <w:sz w:val="24"/>
          <w:szCs w:val="24"/>
        </w:rPr>
      </w:pPr>
    </w:p>
    <w:p w14:paraId="144E47A9">
      <w:pPr>
        <w:keepLines w:val="0"/>
        <w:pageBreakBefore w:val="0"/>
        <w:kinsoku/>
        <w:wordWrap/>
        <w:overflowPunct/>
        <w:topLinePunct w:val="0"/>
        <w:bidi w:val="0"/>
        <w:spacing w:line="560" w:lineRule="exact"/>
        <w:ind w:firstLine="2" w:firstLineChars="1"/>
        <w:textAlignment w:val="auto"/>
        <w:outlineLvl w:val="9"/>
        <w:rPr>
          <w:rFonts w:hint="eastAsia" w:ascii="宋体" w:hAnsi="宋体" w:eastAsia="宋体" w:cs="宋体"/>
          <w:b/>
          <w:bCs/>
          <w:sz w:val="24"/>
          <w:szCs w:val="24"/>
        </w:rPr>
      </w:pPr>
      <w:r>
        <w:rPr>
          <w:rFonts w:hint="eastAsia" w:ascii="宋体" w:hAnsi="宋体" w:eastAsia="宋体" w:cs="宋体"/>
          <w:b/>
          <w:bCs/>
          <w:sz w:val="24"/>
          <w:szCs w:val="24"/>
          <w:lang w:val="en-US" w:eastAsia="zh-CN"/>
        </w:rPr>
        <w:t>供应商</w:t>
      </w:r>
      <w:r>
        <w:rPr>
          <w:rFonts w:hint="eastAsia" w:ascii="宋体" w:hAnsi="宋体" w:eastAsia="宋体" w:cs="宋体"/>
          <w:b/>
          <w:bCs/>
          <w:sz w:val="24"/>
          <w:szCs w:val="24"/>
        </w:rPr>
        <w:t>：</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（加盖电子公章）</w:t>
      </w:r>
    </w:p>
    <w:p w14:paraId="0CD77DE3">
      <w:pPr>
        <w:keepLines w:val="0"/>
        <w:pageBreakBefore w:val="0"/>
        <w:kinsoku/>
        <w:wordWrap/>
        <w:overflowPunct/>
        <w:topLinePunct w:val="0"/>
        <w:bidi w:val="0"/>
        <w:spacing w:line="560" w:lineRule="exact"/>
        <w:ind w:firstLine="2" w:firstLineChars="1"/>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 xml:space="preserve"> </w:t>
      </w:r>
    </w:p>
    <w:p w14:paraId="35AC4275">
      <w:pPr>
        <w:keepLines w:val="0"/>
        <w:pageBreakBefore w:val="0"/>
        <w:kinsoku/>
        <w:wordWrap/>
        <w:overflowPunct/>
        <w:topLinePunct w:val="0"/>
        <w:bidi w:val="0"/>
        <w:spacing w:line="560" w:lineRule="exact"/>
        <w:ind w:firstLine="2" w:firstLineChars="1"/>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法定代表人（电子签名）：</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 </w:t>
      </w:r>
    </w:p>
    <w:p w14:paraId="17C4247F">
      <w:pPr>
        <w:keepLines w:val="0"/>
        <w:pageBreakBefore w:val="0"/>
        <w:kinsoku/>
        <w:wordWrap/>
        <w:overflowPunct/>
        <w:topLinePunct w:val="0"/>
        <w:bidi w:val="0"/>
        <w:spacing w:line="560" w:lineRule="exact"/>
        <w:ind w:firstLine="2" w:firstLineChars="1"/>
        <w:textAlignment w:val="auto"/>
        <w:outlineLvl w:val="9"/>
        <w:rPr>
          <w:rFonts w:hint="eastAsia" w:ascii="宋体" w:hAnsi="宋体" w:eastAsia="宋体" w:cs="宋体"/>
          <w:b/>
          <w:bCs/>
          <w:sz w:val="24"/>
          <w:szCs w:val="24"/>
        </w:rPr>
      </w:pPr>
    </w:p>
    <w:p w14:paraId="657A59FC">
      <w:pPr>
        <w:keepLines w:val="0"/>
        <w:pageBreakBefore w:val="0"/>
        <w:kinsoku/>
        <w:wordWrap/>
        <w:overflowPunct/>
        <w:topLinePunct w:val="0"/>
        <w:bidi w:val="0"/>
        <w:spacing w:line="560" w:lineRule="exact"/>
        <w:ind w:firstLine="2" w:firstLineChars="1"/>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日   期：</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年</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月</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日</w:t>
      </w:r>
    </w:p>
    <w:p w14:paraId="790C2A80">
      <w:pPr>
        <w:keepLines w:val="0"/>
        <w:pageBreakBefore w:val="0"/>
        <w:kinsoku/>
        <w:wordWrap/>
        <w:overflowPunct/>
        <w:topLinePunct w:val="0"/>
        <w:bidi w:val="0"/>
        <w:spacing w:line="560" w:lineRule="exact"/>
        <w:ind w:firstLine="2" w:firstLineChars="1"/>
        <w:textAlignment w:val="auto"/>
        <w:outlineLvl w:val="9"/>
        <w:rPr>
          <w:rFonts w:hint="eastAsia" w:ascii="宋体" w:hAnsi="宋体" w:eastAsia="宋体" w:cs="宋体"/>
          <w:b/>
          <w:bCs/>
          <w:sz w:val="24"/>
          <w:szCs w:val="24"/>
          <w:lang w:val="en-US" w:eastAsia="zh-CN"/>
        </w:rPr>
      </w:pPr>
    </w:p>
    <w:p w14:paraId="5830830C">
      <w:pPr>
        <w:keepLines w:val="0"/>
        <w:pageBreakBefore w:val="0"/>
        <w:kinsoku/>
        <w:wordWrap/>
        <w:overflowPunct/>
        <w:topLinePunct w:val="0"/>
        <w:bidi w:val="0"/>
        <w:spacing w:line="560" w:lineRule="exact"/>
        <w:ind w:firstLine="2" w:firstLineChars="1"/>
        <w:textAlignment w:val="auto"/>
        <w:outlineLvl w:val="9"/>
        <w:rPr>
          <w:rFonts w:hint="eastAsia" w:ascii="宋体" w:hAnsi="宋体" w:eastAsia="宋体" w:cs="宋体"/>
          <w:b/>
          <w:bCs/>
          <w:sz w:val="24"/>
          <w:szCs w:val="24"/>
          <w:lang w:val="en-US" w:eastAsia="zh-CN"/>
        </w:rPr>
      </w:pPr>
    </w:p>
    <w:p w14:paraId="7DC47F36">
      <w:pPr>
        <w:keepLines w:val="0"/>
        <w:pageBreakBefore w:val="0"/>
        <w:kinsoku/>
        <w:wordWrap/>
        <w:overflowPunct/>
        <w:topLinePunct w:val="0"/>
        <w:bidi w:val="0"/>
        <w:spacing w:line="560" w:lineRule="exact"/>
        <w:ind w:firstLine="2" w:firstLineChars="1"/>
        <w:textAlignment w:val="auto"/>
        <w:outlineLvl w:val="9"/>
        <w:rPr>
          <w:rFonts w:hint="eastAsia" w:ascii="宋体" w:hAnsi="宋体" w:eastAsia="宋体" w:cs="宋体"/>
          <w:b/>
          <w:bCs/>
          <w:sz w:val="24"/>
          <w:szCs w:val="24"/>
          <w:lang w:val="en-US" w:eastAsia="zh-CN"/>
        </w:rPr>
      </w:pPr>
    </w:p>
    <w:p w14:paraId="01902153">
      <w:pPr>
        <w:pStyle w:val="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★格式3-3：技术、服务要求应答表（实质性要求）</w:t>
      </w:r>
    </w:p>
    <w:p w14:paraId="4D29B6D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供应商应按所投产品的实际技术参数</w:t>
      </w:r>
      <w:r>
        <w:rPr>
          <w:rFonts w:hint="eastAsia" w:ascii="宋体" w:hAnsi="宋体" w:eastAsia="宋体" w:cs="宋体"/>
          <w:color w:val="000000"/>
          <w:sz w:val="24"/>
          <w:szCs w:val="24"/>
          <w:lang w:eastAsia="zh-CN"/>
        </w:rPr>
        <w:t>和服务要求</w:t>
      </w:r>
      <w:r>
        <w:rPr>
          <w:rFonts w:hint="eastAsia" w:ascii="宋体" w:hAnsi="宋体" w:eastAsia="宋体" w:cs="宋体"/>
          <w:color w:val="000000"/>
          <w:sz w:val="24"/>
          <w:szCs w:val="24"/>
        </w:rPr>
        <w:t>，逐条对应</w:t>
      </w:r>
      <w:r>
        <w:rPr>
          <w:rFonts w:hint="eastAsia" w:ascii="宋体" w:hAnsi="宋体" w:eastAsia="宋体" w:cs="宋体"/>
          <w:color w:val="000000"/>
          <w:sz w:val="24"/>
          <w:szCs w:val="24"/>
          <w:lang w:eastAsia="zh-CN"/>
        </w:rPr>
        <w:t>谈判</w:t>
      </w:r>
      <w:r>
        <w:rPr>
          <w:rFonts w:hint="eastAsia" w:ascii="宋体" w:hAnsi="宋体" w:eastAsia="宋体" w:cs="宋体"/>
          <w:color w:val="000000"/>
          <w:sz w:val="24"/>
          <w:szCs w:val="24"/>
        </w:rPr>
        <w:t>文</w:t>
      </w:r>
      <w:r>
        <w:rPr>
          <w:rFonts w:hint="eastAsia" w:ascii="宋体" w:hAnsi="宋体" w:eastAsia="宋体" w:cs="宋体"/>
          <w:color w:val="000000"/>
          <w:sz w:val="24"/>
          <w:szCs w:val="24"/>
          <w:highlight w:val="none"/>
        </w:rPr>
        <w:t>件的第</w:t>
      </w:r>
      <w:r>
        <w:rPr>
          <w:rFonts w:hint="eastAsia" w:ascii="宋体" w:hAnsi="宋体" w:eastAsia="宋体" w:cs="宋体"/>
          <w:color w:val="000000"/>
          <w:sz w:val="24"/>
          <w:szCs w:val="24"/>
          <w:highlight w:val="none"/>
          <w:lang w:val="en-US" w:eastAsia="zh-CN"/>
        </w:rPr>
        <w:t>三</w:t>
      </w:r>
      <w:r>
        <w:rPr>
          <w:rFonts w:hint="eastAsia" w:ascii="宋体" w:hAnsi="宋体" w:eastAsia="宋体" w:cs="宋体"/>
          <w:color w:val="000000"/>
          <w:sz w:val="24"/>
          <w:szCs w:val="24"/>
          <w:highlight w:val="none"/>
        </w:rPr>
        <w:t>章“</w:t>
      </w:r>
      <w:r>
        <w:rPr>
          <w:rFonts w:hint="eastAsia" w:ascii="宋体" w:hAnsi="宋体" w:eastAsia="宋体" w:cs="宋体"/>
          <w:b/>
          <w:bCs/>
          <w:color w:val="000000"/>
          <w:sz w:val="24"/>
          <w:szCs w:val="24"/>
          <w:highlight w:val="none"/>
          <w:lang w:val="en-US" w:eastAsia="zh-CN"/>
        </w:rPr>
        <w:t>项目需求</w:t>
      </w:r>
      <w:r>
        <w:rPr>
          <w:rFonts w:hint="eastAsia" w:ascii="宋体" w:hAnsi="宋体" w:eastAsia="宋体" w:cs="宋体"/>
          <w:color w:val="000000"/>
          <w:sz w:val="24"/>
          <w:szCs w:val="24"/>
          <w:highlight w:val="none"/>
        </w:rPr>
        <w:t>”中要求的</w:t>
      </w:r>
      <w:r>
        <w:rPr>
          <w:rFonts w:hint="eastAsia" w:ascii="宋体" w:hAnsi="宋体" w:eastAsia="宋体" w:cs="宋体"/>
          <w:color w:val="000000"/>
          <w:sz w:val="24"/>
          <w:szCs w:val="24"/>
        </w:rPr>
        <w:t>技术</w:t>
      </w:r>
      <w:r>
        <w:rPr>
          <w:rFonts w:hint="eastAsia" w:ascii="宋体" w:hAnsi="宋体" w:eastAsia="宋体" w:cs="宋体"/>
          <w:color w:val="000000"/>
          <w:sz w:val="24"/>
          <w:szCs w:val="24"/>
          <w:lang w:eastAsia="zh-CN"/>
        </w:rPr>
        <w:t>和服务</w:t>
      </w:r>
      <w:r>
        <w:rPr>
          <w:rFonts w:hint="eastAsia" w:ascii="宋体" w:hAnsi="宋体" w:eastAsia="宋体" w:cs="宋体"/>
          <w:color w:val="000000"/>
          <w:sz w:val="24"/>
          <w:szCs w:val="24"/>
        </w:rPr>
        <w:t>规范如实、完整、准确的填写该表。</w:t>
      </w:r>
    </w:p>
    <w:p w14:paraId="7B97831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00" w:firstLineChars="250"/>
        <w:jc w:val="both"/>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本表格将作为</w:t>
      </w:r>
      <w:r>
        <w:rPr>
          <w:rFonts w:hint="eastAsia" w:ascii="宋体" w:hAnsi="宋体" w:eastAsia="宋体" w:cs="宋体"/>
          <w:b/>
          <w:bCs/>
          <w:color w:val="000000"/>
          <w:sz w:val="24"/>
          <w:szCs w:val="24"/>
          <w:lang w:eastAsia="zh-CN"/>
        </w:rPr>
        <w:t>评审委员会</w:t>
      </w:r>
      <w:r>
        <w:rPr>
          <w:rFonts w:hint="eastAsia" w:ascii="宋体" w:hAnsi="宋体" w:eastAsia="宋体" w:cs="宋体"/>
          <w:b/>
          <w:bCs/>
          <w:color w:val="000000"/>
          <w:sz w:val="24"/>
          <w:szCs w:val="24"/>
        </w:rPr>
        <w:t>对</w:t>
      </w:r>
      <w:r>
        <w:rPr>
          <w:rFonts w:hint="eastAsia" w:ascii="宋体" w:hAnsi="宋体" w:eastAsia="宋体" w:cs="宋体"/>
          <w:b/>
          <w:bCs/>
          <w:sz w:val="24"/>
          <w:szCs w:val="24"/>
        </w:rPr>
        <w:t>供应商</w:t>
      </w:r>
      <w:r>
        <w:rPr>
          <w:rFonts w:hint="eastAsia" w:ascii="宋体" w:hAnsi="宋体" w:eastAsia="宋体" w:cs="宋体"/>
          <w:b/>
          <w:bCs/>
          <w:color w:val="000000"/>
          <w:sz w:val="24"/>
          <w:szCs w:val="24"/>
        </w:rPr>
        <w:t>技术部分的评审依据，未按填写要求填写本表格的</w:t>
      </w:r>
      <w:r>
        <w:rPr>
          <w:rFonts w:hint="eastAsia" w:ascii="宋体" w:hAnsi="宋体" w:eastAsia="宋体" w:cs="宋体"/>
          <w:b/>
          <w:bCs/>
          <w:sz w:val="24"/>
          <w:szCs w:val="24"/>
        </w:rPr>
        <w:t>供应商</w:t>
      </w:r>
      <w:r>
        <w:rPr>
          <w:rFonts w:hint="eastAsia" w:ascii="宋体" w:hAnsi="宋体" w:eastAsia="宋体" w:cs="宋体"/>
          <w:b/>
          <w:bCs/>
          <w:color w:val="000000"/>
          <w:sz w:val="24"/>
          <w:szCs w:val="24"/>
        </w:rPr>
        <w:t>将不能通过初步评审。</w:t>
      </w:r>
    </w:p>
    <w:p w14:paraId="3DAA9169">
      <w:pPr>
        <w:pStyle w:val="2"/>
        <w:pageBreakBefore w:val="0"/>
        <w:kinsoku/>
        <w:wordWrap/>
        <w:overflowPunct/>
        <w:topLinePunct w:val="0"/>
        <w:bidi w:val="0"/>
        <w:spacing w:line="560" w:lineRule="exact"/>
        <w:textAlignment w:val="auto"/>
        <w:outlineLvl w:val="9"/>
        <w:rPr>
          <w:rFonts w:hint="eastAsia" w:ascii="宋体" w:hAnsi="宋体" w:eastAsia="宋体" w:cs="宋体"/>
          <w:b/>
          <w:bCs/>
          <w:color w:val="000000"/>
          <w:sz w:val="24"/>
          <w:szCs w:val="24"/>
        </w:rPr>
      </w:pP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145"/>
        <w:gridCol w:w="2720"/>
        <w:gridCol w:w="3424"/>
        <w:gridCol w:w="1144"/>
        <w:gridCol w:w="787"/>
      </w:tblGrid>
      <w:tr w14:paraId="20D31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03" w:type="dxa"/>
            <w:noWrap w:val="0"/>
            <w:vAlign w:val="center"/>
          </w:tcPr>
          <w:p w14:paraId="64113CE6">
            <w:pPr>
              <w:pageBreakBefore w:val="0"/>
              <w:kinsoku/>
              <w:wordWrap/>
              <w:overflowPunct/>
              <w:topLinePunct w:val="0"/>
              <w:bidi w:val="0"/>
              <w:spacing w:line="560" w:lineRule="exact"/>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145" w:type="dxa"/>
            <w:noWrap w:val="0"/>
            <w:vAlign w:val="center"/>
          </w:tcPr>
          <w:p w14:paraId="382984F4">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货物</w:t>
            </w:r>
          </w:p>
          <w:p w14:paraId="6830680C">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名称</w:t>
            </w:r>
          </w:p>
        </w:tc>
        <w:tc>
          <w:tcPr>
            <w:tcW w:w="2720" w:type="dxa"/>
            <w:noWrap w:val="0"/>
            <w:vAlign w:val="center"/>
          </w:tcPr>
          <w:p w14:paraId="67D2BA60">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谈判文件</w:t>
            </w:r>
            <w:r>
              <w:rPr>
                <w:rFonts w:hint="eastAsia" w:ascii="宋体" w:hAnsi="宋体" w:cs="宋体"/>
                <w:color w:val="000000"/>
                <w:sz w:val="24"/>
                <w:szCs w:val="24"/>
                <w:lang w:val="en-US" w:eastAsia="zh-CN"/>
              </w:rPr>
              <w:t>技术规范、</w:t>
            </w:r>
            <w:r>
              <w:rPr>
                <w:rFonts w:hint="eastAsia" w:ascii="宋体" w:hAnsi="宋体" w:eastAsia="宋体" w:cs="宋体"/>
                <w:color w:val="000000"/>
                <w:sz w:val="24"/>
                <w:szCs w:val="24"/>
              </w:rPr>
              <w:t>要求</w:t>
            </w:r>
          </w:p>
        </w:tc>
        <w:tc>
          <w:tcPr>
            <w:tcW w:w="3424" w:type="dxa"/>
            <w:noWrap w:val="0"/>
            <w:vAlign w:val="center"/>
          </w:tcPr>
          <w:p w14:paraId="4558C23A">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响应文件响应</w:t>
            </w:r>
            <w:r>
              <w:rPr>
                <w:rFonts w:hint="eastAsia" w:cs="Times New Roman"/>
                <w:sz w:val="28"/>
                <w:szCs w:val="28"/>
                <w:lang w:eastAsia="zh-CN"/>
              </w:rPr>
              <w:t>（</w:t>
            </w:r>
            <w:r>
              <w:rPr>
                <w:rFonts w:hint="eastAsia" w:ascii="宋体"/>
                <w:color w:val="000000" w:themeColor="text1"/>
                <w:szCs w:val="21"/>
                <w14:textFill>
                  <w14:solidFill>
                    <w14:schemeClr w14:val="tx1"/>
                  </w14:solidFill>
                </w14:textFill>
              </w:rPr>
              <w:t>投标品牌、型号、技术参数及配置</w:t>
            </w:r>
            <w:r>
              <w:rPr>
                <w:rFonts w:hint="eastAsia" w:cs="Times New Roman"/>
                <w:sz w:val="28"/>
                <w:szCs w:val="28"/>
                <w:lang w:eastAsia="zh-CN"/>
              </w:rPr>
              <w:t>）</w:t>
            </w:r>
          </w:p>
        </w:tc>
        <w:tc>
          <w:tcPr>
            <w:tcW w:w="1144" w:type="dxa"/>
            <w:noWrap w:val="0"/>
            <w:vAlign w:val="center"/>
          </w:tcPr>
          <w:p w14:paraId="69DFF57E">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偏离</w:t>
            </w:r>
          </w:p>
        </w:tc>
        <w:tc>
          <w:tcPr>
            <w:tcW w:w="787" w:type="dxa"/>
            <w:noWrap w:val="0"/>
            <w:vAlign w:val="center"/>
          </w:tcPr>
          <w:p w14:paraId="2F0C0397">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说明</w:t>
            </w:r>
          </w:p>
        </w:tc>
      </w:tr>
      <w:tr w14:paraId="4738A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03" w:type="dxa"/>
            <w:noWrap w:val="0"/>
            <w:vAlign w:val="center"/>
          </w:tcPr>
          <w:p w14:paraId="56CA2DC2">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145" w:type="dxa"/>
            <w:noWrap w:val="0"/>
            <w:vAlign w:val="center"/>
          </w:tcPr>
          <w:p w14:paraId="279B9973">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2720" w:type="dxa"/>
            <w:noWrap w:val="0"/>
            <w:vAlign w:val="center"/>
          </w:tcPr>
          <w:p w14:paraId="575E0E92">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3424" w:type="dxa"/>
            <w:noWrap w:val="0"/>
            <w:vAlign w:val="center"/>
          </w:tcPr>
          <w:p w14:paraId="647EA92A">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144" w:type="dxa"/>
            <w:noWrap w:val="0"/>
            <w:vAlign w:val="center"/>
          </w:tcPr>
          <w:p w14:paraId="020D716A">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787" w:type="dxa"/>
            <w:noWrap w:val="0"/>
            <w:vAlign w:val="center"/>
          </w:tcPr>
          <w:p w14:paraId="009A7DB3">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r>
      <w:tr w14:paraId="1E50C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03" w:type="dxa"/>
            <w:noWrap w:val="0"/>
            <w:vAlign w:val="center"/>
          </w:tcPr>
          <w:p w14:paraId="66FC52A7">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145" w:type="dxa"/>
            <w:noWrap w:val="0"/>
            <w:vAlign w:val="center"/>
          </w:tcPr>
          <w:p w14:paraId="6A855E1D">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2720" w:type="dxa"/>
            <w:noWrap w:val="0"/>
            <w:vAlign w:val="center"/>
          </w:tcPr>
          <w:p w14:paraId="42D33F0B">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3424" w:type="dxa"/>
            <w:noWrap w:val="0"/>
            <w:vAlign w:val="center"/>
          </w:tcPr>
          <w:p w14:paraId="029E1A6C">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144" w:type="dxa"/>
            <w:noWrap w:val="0"/>
            <w:vAlign w:val="center"/>
          </w:tcPr>
          <w:p w14:paraId="455F301E">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787" w:type="dxa"/>
            <w:noWrap w:val="0"/>
            <w:vAlign w:val="center"/>
          </w:tcPr>
          <w:p w14:paraId="76597B72">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r>
      <w:tr w14:paraId="1E506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03" w:type="dxa"/>
            <w:noWrap w:val="0"/>
            <w:vAlign w:val="center"/>
          </w:tcPr>
          <w:p w14:paraId="21A80B2C">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145" w:type="dxa"/>
            <w:noWrap w:val="0"/>
            <w:vAlign w:val="center"/>
          </w:tcPr>
          <w:p w14:paraId="753C7B14">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2720" w:type="dxa"/>
            <w:noWrap w:val="0"/>
            <w:vAlign w:val="center"/>
          </w:tcPr>
          <w:p w14:paraId="37571591">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3424" w:type="dxa"/>
            <w:noWrap w:val="0"/>
            <w:vAlign w:val="center"/>
          </w:tcPr>
          <w:p w14:paraId="57060DB7">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144" w:type="dxa"/>
            <w:noWrap w:val="0"/>
            <w:vAlign w:val="center"/>
          </w:tcPr>
          <w:p w14:paraId="5DE76A84">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787" w:type="dxa"/>
            <w:noWrap w:val="0"/>
            <w:vAlign w:val="center"/>
          </w:tcPr>
          <w:p w14:paraId="45DC6E36">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r>
      <w:tr w14:paraId="58A22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03" w:type="dxa"/>
            <w:noWrap w:val="0"/>
            <w:vAlign w:val="center"/>
          </w:tcPr>
          <w:p w14:paraId="39B3AB99">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145" w:type="dxa"/>
            <w:noWrap w:val="0"/>
            <w:vAlign w:val="center"/>
          </w:tcPr>
          <w:p w14:paraId="7A0816AE">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2720" w:type="dxa"/>
            <w:noWrap w:val="0"/>
            <w:vAlign w:val="center"/>
          </w:tcPr>
          <w:p w14:paraId="2EF9DB8D">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3424" w:type="dxa"/>
            <w:noWrap w:val="0"/>
            <w:vAlign w:val="center"/>
          </w:tcPr>
          <w:p w14:paraId="78BB35F0">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144" w:type="dxa"/>
            <w:noWrap w:val="0"/>
            <w:vAlign w:val="center"/>
          </w:tcPr>
          <w:p w14:paraId="0F322118">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787" w:type="dxa"/>
            <w:noWrap w:val="0"/>
            <w:vAlign w:val="center"/>
          </w:tcPr>
          <w:p w14:paraId="770FC816">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r>
      <w:tr w14:paraId="58E6A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03" w:type="dxa"/>
            <w:noWrap w:val="0"/>
            <w:vAlign w:val="center"/>
          </w:tcPr>
          <w:p w14:paraId="1DA3DE5B">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145" w:type="dxa"/>
            <w:noWrap w:val="0"/>
            <w:vAlign w:val="center"/>
          </w:tcPr>
          <w:p w14:paraId="0721BD10">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2720" w:type="dxa"/>
            <w:noWrap w:val="0"/>
            <w:vAlign w:val="center"/>
          </w:tcPr>
          <w:p w14:paraId="55246C07">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3424" w:type="dxa"/>
            <w:noWrap w:val="0"/>
            <w:vAlign w:val="center"/>
          </w:tcPr>
          <w:p w14:paraId="58906BB5">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144" w:type="dxa"/>
            <w:noWrap w:val="0"/>
            <w:vAlign w:val="center"/>
          </w:tcPr>
          <w:p w14:paraId="2F4EFACF">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787" w:type="dxa"/>
            <w:noWrap w:val="0"/>
            <w:vAlign w:val="center"/>
          </w:tcPr>
          <w:p w14:paraId="00DFE3CB">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r>
    </w:tbl>
    <w:p w14:paraId="2C8B1383">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000000"/>
          <w:sz w:val="24"/>
          <w:szCs w:val="24"/>
          <w:lang w:val="en-US" w:eastAsia="zh-CN"/>
        </w:rPr>
      </w:pPr>
    </w:p>
    <w:p w14:paraId="7E3AF993">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供应商</w:t>
      </w:r>
      <w:r>
        <w:rPr>
          <w:rFonts w:hint="eastAsia" w:ascii="宋体" w:hAnsi="宋体" w:eastAsia="宋体" w:cs="宋体"/>
          <w:color w:val="000000"/>
          <w:sz w:val="24"/>
          <w:szCs w:val="24"/>
        </w:rPr>
        <w:t xml:space="preserve">：                                 （加盖电子公章） </w:t>
      </w:r>
    </w:p>
    <w:p w14:paraId="03CAE382">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法定代表人（电子签名）：                </w:t>
      </w:r>
    </w:p>
    <w:p w14:paraId="5F75EB6A">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日</w:t>
      </w:r>
    </w:p>
    <w:p w14:paraId="50AE282D">
      <w:pPr>
        <w:pStyle w:val="9"/>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p w14:paraId="3D19B4FC">
      <w:pPr>
        <w:pStyle w:val="15"/>
        <w:pageBreakBefore w:val="0"/>
        <w:kinsoku/>
        <w:wordWrap/>
        <w:overflowPunct/>
        <w:topLinePunct w:val="0"/>
        <w:bidi w:val="0"/>
        <w:spacing w:line="560" w:lineRule="exact"/>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表格填写说明：</w:t>
      </w:r>
    </w:p>
    <w:p w14:paraId="65320307">
      <w:pPr>
        <w:pStyle w:val="15"/>
        <w:keepNext w:val="0"/>
        <w:keepLines w:val="0"/>
        <w:pageBreakBefore w:val="0"/>
        <w:widowControl w:val="0"/>
        <w:kinsoku/>
        <w:wordWrap/>
        <w:overflowPunct/>
        <w:topLinePunct w:val="0"/>
        <w:bidi w:val="0"/>
        <w:snapToGrid/>
        <w:spacing w:line="560" w:lineRule="exact"/>
        <w:ind w:left="0" w:leftChars="0" w:right="0" w:rightChars="0" w:firstLine="0" w:firstLineChars="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1、表格中“货物名称”及“</w:t>
      </w:r>
      <w:r>
        <w:rPr>
          <w:rFonts w:hint="eastAsia" w:ascii="宋体" w:hAnsi="宋体" w:eastAsia="宋体" w:cs="宋体"/>
          <w:color w:val="000000"/>
          <w:sz w:val="24"/>
          <w:szCs w:val="24"/>
          <w:lang w:eastAsia="zh-CN"/>
        </w:rPr>
        <w:t>谈判文件</w:t>
      </w:r>
      <w:r>
        <w:rPr>
          <w:rFonts w:hint="eastAsia" w:ascii="宋体" w:hAnsi="宋体" w:eastAsia="宋体" w:cs="宋体"/>
          <w:color w:val="000000"/>
          <w:sz w:val="24"/>
          <w:szCs w:val="24"/>
        </w:rPr>
        <w:t>要求”可按“</w:t>
      </w:r>
      <w:r>
        <w:rPr>
          <w:rFonts w:hint="eastAsia" w:ascii="宋体" w:hAnsi="宋体" w:eastAsia="宋体" w:cs="宋体"/>
          <w:color w:val="000000"/>
          <w:sz w:val="24"/>
          <w:szCs w:val="24"/>
          <w:lang w:val="en-US" w:eastAsia="zh-CN"/>
        </w:rPr>
        <w:t>项目需求</w:t>
      </w:r>
      <w:r>
        <w:rPr>
          <w:rFonts w:hint="eastAsia" w:ascii="宋体" w:hAnsi="宋体" w:eastAsia="宋体" w:cs="宋体"/>
          <w:color w:val="000000"/>
          <w:sz w:val="24"/>
          <w:szCs w:val="24"/>
        </w:rPr>
        <w:t>”内容复制。</w:t>
      </w:r>
    </w:p>
    <w:p w14:paraId="7993A653">
      <w:pPr>
        <w:pStyle w:val="15"/>
        <w:keepNext w:val="0"/>
        <w:keepLines w:val="0"/>
        <w:pageBreakBefore w:val="0"/>
        <w:widowControl w:val="0"/>
        <w:kinsoku/>
        <w:wordWrap/>
        <w:overflowPunct/>
        <w:topLinePunct w:val="0"/>
        <w:bidi w:val="0"/>
        <w:snapToGrid/>
        <w:spacing w:line="560" w:lineRule="exact"/>
        <w:ind w:left="0" w:leftChars="0" w:right="0" w:rightChars="0" w:firstLine="0" w:firstLineChars="0"/>
        <w:jc w:val="both"/>
        <w:textAlignment w:val="auto"/>
        <w:outlineLvl w:val="9"/>
        <w:rPr>
          <w:rFonts w:hint="eastAsia" w:ascii="宋体" w:hAnsi="宋体" w:eastAsia="宋体" w:cs="宋体"/>
          <w:b/>
          <w:bCs/>
          <w:color w:val="auto"/>
          <w:sz w:val="24"/>
          <w:szCs w:val="24"/>
        </w:rPr>
      </w:pPr>
      <w:r>
        <w:rPr>
          <w:rFonts w:hint="eastAsia" w:ascii="宋体" w:hAnsi="宋体" w:eastAsia="宋体" w:cs="宋体"/>
          <w:color w:val="000000"/>
          <w:sz w:val="24"/>
          <w:szCs w:val="24"/>
        </w:rPr>
        <w:t>2、表格中“</w:t>
      </w:r>
      <w:r>
        <w:rPr>
          <w:rFonts w:hint="eastAsia" w:ascii="宋体" w:hAnsi="宋体" w:eastAsia="宋体" w:cs="宋体"/>
          <w:color w:val="000000"/>
          <w:sz w:val="24"/>
          <w:szCs w:val="24"/>
          <w:lang w:eastAsia="zh-CN"/>
        </w:rPr>
        <w:t>响应</w:t>
      </w:r>
      <w:r>
        <w:rPr>
          <w:rFonts w:hint="eastAsia" w:ascii="宋体" w:hAnsi="宋体" w:eastAsia="宋体" w:cs="宋体"/>
          <w:color w:val="auto"/>
          <w:sz w:val="24"/>
          <w:szCs w:val="24"/>
          <w:lang w:eastAsia="zh-CN"/>
        </w:rPr>
        <w:t>文件响应</w:t>
      </w:r>
      <w:r>
        <w:rPr>
          <w:rFonts w:hint="eastAsia" w:ascii="宋体" w:hAnsi="宋体" w:eastAsia="宋体" w:cs="宋体"/>
          <w:color w:val="auto"/>
          <w:sz w:val="24"/>
          <w:szCs w:val="24"/>
        </w:rPr>
        <w:t>”请</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根据实际</w:t>
      </w: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情况如实、完整、准确地填写，请勿复制、粘贴</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要求。</w:t>
      </w:r>
      <w:r>
        <w:rPr>
          <w:rFonts w:hint="eastAsia" w:ascii="宋体" w:hAnsi="宋体" w:eastAsia="宋体" w:cs="宋体"/>
          <w:b/>
          <w:bCs/>
          <w:color w:val="auto"/>
          <w:sz w:val="24"/>
          <w:szCs w:val="24"/>
        </w:rPr>
        <w:t>若由于</w:t>
      </w:r>
      <w:r>
        <w:rPr>
          <w:rFonts w:hint="eastAsia" w:ascii="宋体" w:hAnsi="宋体" w:eastAsia="宋体" w:cs="宋体"/>
          <w:b/>
          <w:bCs/>
          <w:color w:val="auto"/>
          <w:sz w:val="24"/>
          <w:szCs w:val="24"/>
          <w:lang w:val="en-US" w:eastAsia="zh-CN"/>
        </w:rPr>
        <w:t>供应商</w:t>
      </w:r>
      <w:r>
        <w:rPr>
          <w:rFonts w:hint="eastAsia" w:ascii="宋体" w:hAnsi="宋体" w:eastAsia="宋体" w:cs="宋体"/>
          <w:b/>
          <w:bCs/>
          <w:color w:val="auto"/>
          <w:sz w:val="24"/>
          <w:szCs w:val="24"/>
        </w:rPr>
        <w:t>的疏忽大意或未能完整、如实填写，导致的一切后果由</w:t>
      </w:r>
      <w:r>
        <w:rPr>
          <w:rFonts w:hint="eastAsia" w:ascii="宋体" w:hAnsi="宋体" w:eastAsia="宋体" w:cs="宋体"/>
          <w:b/>
          <w:bCs/>
          <w:color w:val="auto"/>
          <w:sz w:val="24"/>
          <w:szCs w:val="24"/>
          <w:lang w:val="en-US" w:eastAsia="zh-CN"/>
        </w:rPr>
        <w:t>供应商</w:t>
      </w:r>
      <w:r>
        <w:rPr>
          <w:rFonts w:hint="eastAsia" w:ascii="宋体" w:hAnsi="宋体" w:eastAsia="宋体" w:cs="宋体"/>
          <w:b/>
          <w:bCs/>
          <w:color w:val="auto"/>
          <w:sz w:val="24"/>
          <w:szCs w:val="24"/>
        </w:rPr>
        <w:t>自行承担。供应商必须根据</w:t>
      </w:r>
      <w:r>
        <w:rPr>
          <w:rFonts w:hint="eastAsia" w:ascii="宋体" w:hAnsi="宋体" w:eastAsia="宋体" w:cs="宋体"/>
          <w:b/>
          <w:bCs/>
          <w:color w:val="auto"/>
          <w:sz w:val="24"/>
          <w:szCs w:val="24"/>
          <w:lang w:eastAsia="zh-CN"/>
        </w:rPr>
        <w:t>谈判文件</w:t>
      </w:r>
      <w:r>
        <w:rPr>
          <w:rFonts w:hint="eastAsia" w:ascii="宋体" w:hAnsi="宋体" w:eastAsia="宋体" w:cs="宋体"/>
          <w:b/>
          <w:bCs/>
          <w:color w:val="auto"/>
          <w:sz w:val="24"/>
          <w:szCs w:val="24"/>
        </w:rPr>
        <w:t>要求据实逐条填写，不得虚假响应，否则报价无效并按规定追究其相关责任。</w:t>
      </w:r>
    </w:p>
    <w:p w14:paraId="0B3D852D">
      <w:pPr>
        <w:pStyle w:val="15"/>
        <w:keepNext w:val="0"/>
        <w:keepLines w:val="0"/>
        <w:pageBreakBefore w:val="0"/>
        <w:widowControl w:val="0"/>
        <w:kinsoku/>
        <w:wordWrap/>
        <w:overflowPunct/>
        <w:topLinePunct w:val="0"/>
        <w:bidi w:val="0"/>
        <w:snapToGrid/>
        <w:spacing w:line="560" w:lineRule="exact"/>
        <w:ind w:left="0" w:leftChars="0" w:right="0" w:rightChars="0" w:firstLine="0" w:firstLineChars="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auto"/>
          <w:sz w:val="24"/>
          <w:szCs w:val="24"/>
        </w:rPr>
        <w:t>3、表格中“偏离”部分，</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只能如实填写“有偏离”或“无偏离”。凡</w:t>
      </w: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内</w:t>
      </w:r>
      <w:r>
        <w:rPr>
          <w:rFonts w:hint="eastAsia" w:ascii="宋体" w:hAnsi="宋体" w:eastAsia="宋体" w:cs="宋体"/>
          <w:color w:val="000000"/>
          <w:sz w:val="24"/>
          <w:szCs w:val="24"/>
        </w:rPr>
        <w:t>容与</w:t>
      </w:r>
      <w:r>
        <w:rPr>
          <w:rFonts w:hint="eastAsia" w:ascii="宋体" w:hAnsi="宋体" w:eastAsia="宋体" w:cs="宋体"/>
          <w:color w:val="000000"/>
          <w:sz w:val="24"/>
          <w:szCs w:val="24"/>
          <w:lang w:eastAsia="zh-CN"/>
        </w:rPr>
        <w:t>谈判文件</w:t>
      </w:r>
      <w:r>
        <w:rPr>
          <w:rFonts w:hint="eastAsia" w:ascii="宋体" w:hAnsi="宋体" w:eastAsia="宋体" w:cs="宋体"/>
          <w:color w:val="000000"/>
          <w:sz w:val="24"/>
          <w:szCs w:val="24"/>
        </w:rPr>
        <w:t>要求有区别的均按“有偏离“填写，并在说明栏中写明技术指标。</w:t>
      </w:r>
    </w:p>
    <w:p w14:paraId="6D3AF561">
      <w:pPr>
        <w:pStyle w:val="15"/>
        <w:keepNext w:val="0"/>
        <w:keepLines w:val="0"/>
        <w:pageBreakBefore w:val="0"/>
        <w:widowControl w:val="0"/>
        <w:kinsoku/>
        <w:wordWrap/>
        <w:overflowPunct/>
        <w:topLinePunct w:val="0"/>
        <w:bidi w:val="0"/>
        <w:snapToGrid/>
        <w:spacing w:line="560" w:lineRule="exact"/>
        <w:ind w:left="0" w:leftChars="0" w:right="0" w:rightChars="0" w:firstLine="0" w:firstLineChars="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4、表格中“说明”部分，若有偏离，则填写偏离指标。若无偏离，则不填写内容。</w:t>
      </w:r>
    </w:p>
    <w:p w14:paraId="4D923FF2">
      <w:pPr>
        <w:pStyle w:val="15"/>
        <w:keepNext w:val="0"/>
        <w:keepLines w:val="0"/>
        <w:pageBreakBefore w:val="0"/>
        <w:widowControl w:val="0"/>
        <w:kinsoku/>
        <w:wordWrap/>
        <w:overflowPunct/>
        <w:topLinePunct w:val="0"/>
        <w:bidi w:val="0"/>
        <w:snapToGrid/>
        <w:spacing w:line="560" w:lineRule="exact"/>
        <w:ind w:left="0" w:leftChars="0" w:right="0" w:rightChars="0" w:firstLine="0" w:firstLineChars="0"/>
        <w:jc w:val="both"/>
        <w:textAlignment w:val="auto"/>
        <w:outlineLvl w:val="9"/>
        <w:rPr>
          <w:rFonts w:hint="eastAsia" w:ascii="宋体" w:hAnsi="宋体" w:eastAsia="宋体" w:cs="宋体"/>
          <w:b/>
          <w:bCs/>
          <w:color w:val="000000"/>
          <w:sz w:val="24"/>
          <w:szCs w:val="24"/>
        </w:rPr>
      </w:pPr>
      <w:r>
        <w:rPr>
          <w:rFonts w:hint="eastAsia" w:ascii="宋体" w:hAnsi="宋体" w:eastAsia="宋体" w:cs="宋体"/>
          <w:color w:val="000000"/>
          <w:sz w:val="24"/>
          <w:szCs w:val="24"/>
        </w:rPr>
        <w:t>5、</w:t>
      </w:r>
      <w:r>
        <w:rPr>
          <w:rFonts w:hint="eastAsia" w:ascii="宋体" w:hAnsi="宋体" w:eastAsia="宋体" w:cs="宋体"/>
          <w:b/>
          <w:bCs/>
          <w:color w:val="000000"/>
          <w:sz w:val="24"/>
          <w:szCs w:val="24"/>
        </w:rPr>
        <w:t>本表格中内容与</w:t>
      </w:r>
      <w:r>
        <w:rPr>
          <w:rFonts w:hint="eastAsia" w:ascii="宋体" w:hAnsi="宋体" w:eastAsia="宋体" w:cs="宋体"/>
          <w:b/>
          <w:bCs/>
          <w:color w:val="000000"/>
          <w:sz w:val="24"/>
          <w:szCs w:val="24"/>
          <w:lang w:eastAsia="zh-CN"/>
        </w:rPr>
        <w:t>响应</w:t>
      </w:r>
      <w:r>
        <w:rPr>
          <w:rFonts w:hint="eastAsia" w:ascii="宋体" w:hAnsi="宋体" w:eastAsia="宋体" w:cs="宋体"/>
          <w:b/>
          <w:bCs/>
          <w:color w:val="000000"/>
          <w:sz w:val="24"/>
          <w:szCs w:val="24"/>
        </w:rPr>
        <w:t>文件其余部分不一致的，以本表格为准。</w:t>
      </w:r>
    </w:p>
    <w:p w14:paraId="0CD76C2B">
      <w:pPr>
        <w:pStyle w:val="7"/>
        <w:rPr>
          <w:rFonts w:hint="eastAsia" w:ascii="宋体" w:hAnsi="宋体" w:eastAsia="宋体" w:cs="宋体"/>
          <w:b/>
          <w:bCs/>
          <w:sz w:val="24"/>
          <w:szCs w:val="24"/>
          <w:lang w:val="en-US" w:eastAsia="zh-CN"/>
        </w:rPr>
      </w:pPr>
      <w:r>
        <w:rPr>
          <w:rFonts w:hint="eastAsia" w:ascii="宋体" w:hAnsi="宋体" w:eastAsia="宋体" w:cs="宋体"/>
          <w:b/>
          <w:bCs/>
          <w:kern w:val="2"/>
          <w:sz w:val="24"/>
          <w:szCs w:val="24"/>
          <w:lang w:val="en-US" w:eastAsia="zh-CN" w:bidi="ar-SA"/>
        </w:rPr>
        <w:t>★格式3-4：商务条款偏离表（实质性要求）</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2341"/>
        <w:gridCol w:w="2341"/>
        <w:gridCol w:w="2341"/>
        <w:gridCol w:w="2341"/>
      </w:tblGrid>
      <w:tr w14:paraId="67519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801" w:type="dxa"/>
            <w:noWrap w:val="0"/>
            <w:vAlign w:val="center"/>
          </w:tcPr>
          <w:p w14:paraId="3F7B90CD">
            <w:pPr>
              <w:pStyle w:val="21"/>
              <w:pageBreakBefore w:val="0"/>
              <w:pBdr>
                <w:bottom w:val="none" w:color="auto" w:sz="0" w:space="0"/>
              </w:pBdr>
              <w:tabs>
                <w:tab w:val="clear" w:pos="4153"/>
                <w:tab w:val="clear" w:pos="8306"/>
              </w:tabs>
              <w:kinsoku/>
              <w:wordWrap/>
              <w:overflowPunct/>
              <w:topLinePunct w:val="0"/>
              <w:bidi w:val="0"/>
              <w:snapToGrid/>
              <w:spacing w:line="560" w:lineRule="exact"/>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2341" w:type="dxa"/>
            <w:noWrap w:val="0"/>
            <w:vAlign w:val="center"/>
          </w:tcPr>
          <w:p w14:paraId="7B6DB4AA">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谈判文件</w:t>
            </w:r>
            <w:r>
              <w:rPr>
                <w:rFonts w:hint="eastAsia" w:ascii="宋体" w:hAnsi="宋体" w:eastAsia="宋体" w:cs="宋体"/>
                <w:sz w:val="24"/>
                <w:szCs w:val="24"/>
              </w:rPr>
              <w:t>要求</w:t>
            </w:r>
          </w:p>
        </w:tc>
        <w:tc>
          <w:tcPr>
            <w:tcW w:w="2341" w:type="dxa"/>
            <w:noWrap w:val="0"/>
            <w:vAlign w:val="center"/>
          </w:tcPr>
          <w:p w14:paraId="39052FB7">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响应文件响应</w:t>
            </w:r>
          </w:p>
        </w:tc>
        <w:tc>
          <w:tcPr>
            <w:tcW w:w="2341" w:type="dxa"/>
            <w:noWrap w:val="0"/>
            <w:vAlign w:val="center"/>
          </w:tcPr>
          <w:p w14:paraId="06FFA14F">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偏离</w:t>
            </w:r>
          </w:p>
        </w:tc>
        <w:tc>
          <w:tcPr>
            <w:tcW w:w="2341" w:type="dxa"/>
            <w:noWrap w:val="0"/>
            <w:vAlign w:val="center"/>
          </w:tcPr>
          <w:p w14:paraId="4676A263">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说明</w:t>
            </w:r>
          </w:p>
        </w:tc>
      </w:tr>
      <w:tr w14:paraId="5B705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801" w:type="dxa"/>
            <w:noWrap w:val="0"/>
            <w:vAlign w:val="top"/>
          </w:tcPr>
          <w:p w14:paraId="048082E3">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2341" w:type="dxa"/>
            <w:noWrap w:val="0"/>
            <w:vAlign w:val="top"/>
          </w:tcPr>
          <w:p w14:paraId="1491DBC8">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2341" w:type="dxa"/>
            <w:noWrap w:val="0"/>
            <w:vAlign w:val="top"/>
          </w:tcPr>
          <w:p w14:paraId="7146D349">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2341" w:type="dxa"/>
            <w:noWrap w:val="0"/>
            <w:vAlign w:val="top"/>
          </w:tcPr>
          <w:p w14:paraId="4449121A">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2341" w:type="dxa"/>
            <w:noWrap w:val="0"/>
            <w:vAlign w:val="top"/>
          </w:tcPr>
          <w:p w14:paraId="5F59E852">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r>
      <w:tr w14:paraId="526A2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801" w:type="dxa"/>
            <w:noWrap w:val="0"/>
            <w:vAlign w:val="top"/>
          </w:tcPr>
          <w:p w14:paraId="0515F110">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2341" w:type="dxa"/>
            <w:noWrap w:val="0"/>
            <w:vAlign w:val="top"/>
          </w:tcPr>
          <w:p w14:paraId="023C8047">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2341" w:type="dxa"/>
            <w:noWrap w:val="0"/>
            <w:vAlign w:val="top"/>
          </w:tcPr>
          <w:p w14:paraId="6718A9B1">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2341" w:type="dxa"/>
            <w:noWrap w:val="0"/>
            <w:vAlign w:val="top"/>
          </w:tcPr>
          <w:p w14:paraId="5FCF2EB0">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2341" w:type="dxa"/>
            <w:noWrap w:val="0"/>
            <w:vAlign w:val="top"/>
          </w:tcPr>
          <w:p w14:paraId="445EBFBD">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r>
      <w:tr w14:paraId="0A512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801" w:type="dxa"/>
            <w:noWrap w:val="0"/>
            <w:vAlign w:val="top"/>
          </w:tcPr>
          <w:p w14:paraId="7C48C8D3">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2341" w:type="dxa"/>
            <w:noWrap w:val="0"/>
            <w:vAlign w:val="top"/>
          </w:tcPr>
          <w:p w14:paraId="432AB714">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2341" w:type="dxa"/>
            <w:noWrap w:val="0"/>
            <w:vAlign w:val="top"/>
          </w:tcPr>
          <w:p w14:paraId="4768A4C1">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2341" w:type="dxa"/>
            <w:noWrap w:val="0"/>
            <w:vAlign w:val="top"/>
          </w:tcPr>
          <w:p w14:paraId="397C6A7B">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2341" w:type="dxa"/>
            <w:noWrap w:val="0"/>
            <w:vAlign w:val="top"/>
          </w:tcPr>
          <w:p w14:paraId="00D8EDCC">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r>
      <w:tr w14:paraId="4FEB2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801" w:type="dxa"/>
            <w:noWrap w:val="0"/>
            <w:vAlign w:val="top"/>
          </w:tcPr>
          <w:p w14:paraId="3209CB2C">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2341" w:type="dxa"/>
            <w:noWrap w:val="0"/>
            <w:vAlign w:val="top"/>
          </w:tcPr>
          <w:p w14:paraId="23ED14E8">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2341" w:type="dxa"/>
            <w:noWrap w:val="0"/>
            <w:vAlign w:val="top"/>
          </w:tcPr>
          <w:p w14:paraId="75C473BB">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2341" w:type="dxa"/>
            <w:noWrap w:val="0"/>
            <w:vAlign w:val="top"/>
          </w:tcPr>
          <w:p w14:paraId="602BC75D">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2341" w:type="dxa"/>
            <w:noWrap w:val="0"/>
            <w:vAlign w:val="top"/>
          </w:tcPr>
          <w:p w14:paraId="1F7A680B">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r>
    </w:tbl>
    <w:p w14:paraId="0F00BBA2">
      <w:pPr>
        <w:pageBreakBefore w:val="0"/>
        <w:kinsoku/>
        <w:wordWrap/>
        <w:overflowPunct/>
        <w:topLinePunct w:val="0"/>
        <w:bidi w:val="0"/>
        <w:spacing w:line="560" w:lineRule="exact"/>
        <w:ind w:firstLine="480" w:firstLineChars="200"/>
        <w:textAlignment w:val="auto"/>
        <w:outlineLvl w:val="9"/>
        <w:rPr>
          <w:rFonts w:hint="eastAsia" w:ascii="宋体" w:hAnsi="宋体" w:eastAsia="宋体" w:cs="宋体"/>
          <w:b/>
          <w:sz w:val="24"/>
          <w:szCs w:val="24"/>
        </w:rPr>
      </w:pPr>
    </w:p>
    <w:p w14:paraId="68977D01">
      <w:pPr>
        <w:keepNext w:val="0"/>
        <w:keepLines w:val="0"/>
        <w:pageBreakBefore w:val="0"/>
        <w:widowControl w:val="0"/>
        <w:kinsoku/>
        <w:wordWrap/>
        <w:overflowPunct/>
        <w:topLinePunct w:val="0"/>
        <w:autoSpaceDE/>
        <w:autoSpaceDN/>
        <w:bidi w:val="0"/>
        <w:snapToGrid/>
        <w:spacing w:line="560" w:lineRule="exact"/>
        <w:ind w:left="0" w:leftChars="0" w:right="0" w:rightChars="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注意：1.本表只填写响应文件中与</w:t>
      </w:r>
      <w:r>
        <w:rPr>
          <w:rFonts w:hint="eastAsia" w:ascii="宋体" w:hAnsi="宋体" w:eastAsia="宋体" w:cs="宋体"/>
          <w:sz w:val="24"/>
          <w:szCs w:val="24"/>
          <w:lang w:eastAsia="zh-CN"/>
        </w:rPr>
        <w:t>谈判文件</w:t>
      </w:r>
      <w:r>
        <w:rPr>
          <w:rFonts w:hint="eastAsia" w:ascii="宋体" w:hAnsi="宋体" w:eastAsia="宋体" w:cs="宋体"/>
          <w:sz w:val="24"/>
          <w:szCs w:val="24"/>
        </w:rPr>
        <w:t>要求有偏离（包括正偏离及负偏离）的内容，响应文件中与</w:t>
      </w:r>
      <w:r>
        <w:rPr>
          <w:rFonts w:hint="eastAsia" w:ascii="宋体" w:hAnsi="宋体" w:eastAsia="宋体" w:cs="宋体"/>
          <w:sz w:val="24"/>
          <w:szCs w:val="24"/>
          <w:lang w:eastAsia="zh-CN"/>
        </w:rPr>
        <w:t>谈判文件</w:t>
      </w:r>
      <w:r>
        <w:rPr>
          <w:rFonts w:hint="eastAsia" w:ascii="宋体" w:hAnsi="宋体" w:eastAsia="宋体" w:cs="宋体"/>
          <w:sz w:val="24"/>
          <w:szCs w:val="24"/>
        </w:rPr>
        <w:t>要求完全一致的内容，不用在此表中逐一列出</w:t>
      </w:r>
    </w:p>
    <w:p w14:paraId="51F44B9F">
      <w:pPr>
        <w:keepNext w:val="0"/>
        <w:keepLines w:val="0"/>
        <w:pageBreakBefore w:val="0"/>
        <w:widowControl w:val="0"/>
        <w:kinsoku/>
        <w:wordWrap/>
        <w:overflowPunct/>
        <w:topLinePunct w:val="0"/>
        <w:autoSpaceDE/>
        <w:autoSpaceDN/>
        <w:bidi w:val="0"/>
        <w:snapToGrid/>
        <w:spacing w:line="560" w:lineRule="exact"/>
        <w:ind w:left="0" w:leftChars="0" w:right="0" w:rightChars="0" w:firstLine="480" w:firstLineChars="200"/>
        <w:textAlignment w:val="auto"/>
        <w:outlineLvl w:val="9"/>
        <w:rPr>
          <w:rFonts w:hint="eastAsia" w:ascii="宋体" w:hAnsi="宋体" w:eastAsia="宋体" w:cs="宋体"/>
          <w:b/>
          <w:sz w:val="24"/>
          <w:szCs w:val="24"/>
        </w:rPr>
      </w:pPr>
      <w:r>
        <w:rPr>
          <w:rFonts w:hint="eastAsia" w:ascii="宋体" w:hAnsi="宋体" w:eastAsia="宋体" w:cs="宋体"/>
          <w:sz w:val="24"/>
          <w:szCs w:val="24"/>
        </w:rPr>
        <w:t>2．响应文件中与</w:t>
      </w:r>
      <w:r>
        <w:rPr>
          <w:rFonts w:hint="eastAsia" w:ascii="宋体" w:hAnsi="宋体" w:eastAsia="宋体" w:cs="宋体"/>
          <w:sz w:val="24"/>
          <w:szCs w:val="24"/>
          <w:lang w:eastAsia="zh-CN"/>
        </w:rPr>
        <w:t>谈判文件</w:t>
      </w:r>
      <w:r>
        <w:rPr>
          <w:rFonts w:hint="eastAsia" w:ascii="宋体" w:hAnsi="宋体" w:eastAsia="宋体" w:cs="宋体"/>
          <w:sz w:val="24"/>
          <w:szCs w:val="24"/>
        </w:rPr>
        <w:t>要求有负偏离的内容必须在此表中列出，否则视为无效报价。供应商必须据实填写，不得虚假响应，否则报价无效并按规定追究其相关责任。</w:t>
      </w:r>
    </w:p>
    <w:p w14:paraId="4AA7B77E">
      <w:pPr>
        <w:keepNext w:val="0"/>
        <w:keepLines w:val="0"/>
        <w:pageBreakBefore w:val="0"/>
        <w:widowControl w:val="0"/>
        <w:kinsoku/>
        <w:wordWrap/>
        <w:overflowPunct/>
        <w:topLinePunct w:val="0"/>
        <w:autoSpaceDE/>
        <w:autoSpaceDN/>
        <w:bidi w:val="0"/>
        <w:adjustRightInd w:val="0"/>
        <w:snapToGrid/>
        <w:spacing w:line="560" w:lineRule="exact"/>
        <w:ind w:left="0" w:leftChars="0" w:right="0" w:rightChars="0" w:firstLine="480" w:firstLineChars="200"/>
        <w:jc w:val="left"/>
        <w:textAlignment w:val="auto"/>
        <w:outlineLvl w:val="9"/>
        <w:rPr>
          <w:rFonts w:hint="eastAsia" w:ascii="宋体" w:hAnsi="宋体" w:eastAsia="宋体" w:cs="宋体"/>
          <w:color w:val="000000"/>
          <w:sz w:val="24"/>
          <w:szCs w:val="24"/>
        </w:rPr>
      </w:pPr>
    </w:p>
    <w:p w14:paraId="5C3B7FBE">
      <w:pPr>
        <w:keepNext w:val="0"/>
        <w:keepLines w:val="0"/>
        <w:pageBreakBefore w:val="0"/>
        <w:widowControl w:val="0"/>
        <w:kinsoku/>
        <w:wordWrap/>
        <w:overflowPunct/>
        <w:topLinePunct w:val="0"/>
        <w:autoSpaceDE/>
        <w:autoSpaceDN/>
        <w:bidi w:val="0"/>
        <w:snapToGrid/>
        <w:spacing w:line="560" w:lineRule="exact"/>
        <w:ind w:left="0" w:leftChars="0" w:right="0" w:rightChars="0" w:firstLine="240" w:firstLineChars="1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供应商</w:t>
      </w:r>
      <w:r>
        <w:rPr>
          <w:rFonts w:hint="eastAsia" w:ascii="宋体" w:hAnsi="宋体" w:eastAsia="宋体" w:cs="宋体"/>
          <w:color w:val="000000"/>
          <w:sz w:val="24"/>
          <w:szCs w:val="24"/>
        </w:rPr>
        <w:t xml:space="preserve">：                                 （加盖电子公章） </w:t>
      </w:r>
    </w:p>
    <w:p w14:paraId="1ADEA1E3">
      <w:pPr>
        <w:keepNext w:val="0"/>
        <w:keepLines w:val="0"/>
        <w:pageBreakBefore w:val="0"/>
        <w:widowControl w:val="0"/>
        <w:kinsoku/>
        <w:wordWrap/>
        <w:overflowPunct/>
        <w:topLinePunct w:val="0"/>
        <w:autoSpaceDE/>
        <w:autoSpaceDN/>
        <w:bidi w:val="0"/>
        <w:snapToGrid/>
        <w:spacing w:line="560" w:lineRule="exact"/>
        <w:ind w:left="0" w:leftChars="0" w:right="0" w:rightChars="0" w:firstLine="240" w:firstLineChars="1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法定代表人（电子签名）：                </w:t>
      </w:r>
    </w:p>
    <w:p w14:paraId="778A136D">
      <w:pPr>
        <w:keepNext w:val="0"/>
        <w:keepLines w:val="0"/>
        <w:pageBreakBefore w:val="0"/>
        <w:widowControl w:val="0"/>
        <w:kinsoku/>
        <w:wordWrap/>
        <w:overflowPunct/>
        <w:topLinePunct w:val="0"/>
        <w:autoSpaceDE/>
        <w:autoSpaceDN/>
        <w:bidi w:val="0"/>
        <w:snapToGrid/>
        <w:spacing w:line="560" w:lineRule="exact"/>
        <w:ind w:left="0" w:leftChars="0" w:right="0" w:rightChars="0" w:firstLine="240" w:firstLineChars="1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日</w:t>
      </w:r>
      <w:bookmarkStart w:id="404" w:name="_Toc21512_WPSOffice_Level2"/>
    </w:p>
    <w:p w14:paraId="6E1E944D">
      <w:pPr>
        <w:pStyle w:val="7"/>
        <w:rPr>
          <w:rFonts w:hint="eastAsia" w:ascii="宋体" w:hAnsi="宋体" w:eastAsia="宋体" w:cs="宋体"/>
          <w:color w:val="000000"/>
          <w:sz w:val="24"/>
          <w:szCs w:val="24"/>
        </w:rPr>
      </w:pPr>
      <w:r>
        <w:rPr>
          <w:rFonts w:hint="eastAsia" w:ascii="宋体" w:hAnsi="宋体" w:eastAsia="宋体" w:cs="宋体"/>
          <w:sz w:val="24"/>
          <w:szCs w:val="24"/>
          <w:lang w:val="en-US" w:eastAsia="zh-CN"/>
        </w:rPr>
        <w:t>格式3-5：供应商类似项目业绩一览表</w:t>
      </w:r>
      <w:bookmarkEnd w:id="404"/>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1284"/>
        <w:gridCol w:w="1579"/>
        <w:gridCol w:w="1447"/>
        <w:gridCol w:w="1273"/>
        <w:gridCol w:w="1553"/>
        <w:gridCol w:w="7"/>
        <w:gridCol w:w="1754"/>
        <w:gridCol w:w="17"/>
        <w:gridCol w:w="1511"/>
        <w:gridCol w:w="11"/>
      </w:tblGrid>
      <w:tr w14:paraId="1DED781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1034" w:hRule="atLeast"/>
          <w:jc w:val="center"/>
        </w:trPr>
        <w:tc>
          <w:tcPr>
            <w:tcW w:w="1284" w:type="dxa"/>
            <w:tcBorders>
              <w:top w:val="single" w:color="auto" w:sz="4" w:space="0"/>
            </w:tcBorders>
            <w:noWrap w:val="0"/>
            <w:vAlign w:val="center"/>
          </w:tcPr>
          <w:p w14:paraId="7C795631">
            <w:pPr>
              <w:pageBreakBefore w:val="0"/>
              <w:kinsoku/>
              <w:wordWrap/>
              <w:overflowPunct/>
              <w:topLinePunct w:val="0"/>
              <w:bidi w:val="0"/>
              <w:spacing w:line="560" w:lineRule="exact"/>
              <w:ind w:firstLine="120" w:firstLineChars="50"/>
              <w:jc w:val="center"/>
              <w:textAlignment w:val="auto"/>
              <w:outlineLvl w:val="9"/>
              <w:rPr>
                <w:rFonts w:hint="eastAsia" w:ascii="宋体" w:hAnsi="宋体" w:eastAsia="宋体" w:cs="宋体"/>
                <w:b/>
                <w:color w:val="000000"/>
                <w:sz w:val="24"/>
                <w:szCs w:val="24"/>
              </w:rPr>
            </w:pPr>
            <w:r>
              <w:rPr>
                <w:rFonts w:hint="eastAsia" w:ascii="宋体" w:hAnsi="宋体" w:eastAsia="宋体" w:cs="宋体"/>
                <w:b/>
                <w:color w:val="000000"/>
                <w:sz w:val="24"/>
                <w:szCs w:val="24"/>
              </w:rPr>
              <w:t>年份</w:t>
            </w:r>
          </w:p>
        </w:tc>
        <w:tc>
          <w:tcPr>
            <w:tcW w:w="1579" w:type="dxa"/>
            <w:noWrap w:val="0"/>
            <w:vAlign w:val="center"/>
          </w:tcPr>
          <w:p w14:paraId="552F9AB6">
            <w:pPr>
              <w:pageBreakBefore w:val="0"/>
              <w:kinsoku/>
              <w:wordWrap/>
              <w:overflowPunct/>
              <w:topLinePunct w:val="0"/>
              <w:bidi w:val="0"/>
              <w:spacing w:line="560" w:lineRule="exact"/>
              <w:jc w:val="center"/>
              <w:textAlignment w:val="auto"/>
              <w:outlineLvl w:val="9"/>
              <w:rPr>
                <w:rFonts w:hint="eastAsia" w:ascii="宋体" w:hAnsi="宋体" w:eastAsia="宋体" w:cs="宋体"/>
                <w:b/>
                <w:color w:val="000000"/>
                <w:sz w:val="24"/>
                <w:szCs w:val="24"/>
              </w:rPr>
            </w:pPr>
            <w:r>
              <w:rPr>
                <w:rFonts w:hint="eastAsia" w:ascii="宋体" w:hAnsi="宋体" w:eastAsia="宋体" w:cs="宋体"/>
                <w:b/>
                <w:color w:val="000000"/>
                <w:sz w:val="24"/>
                <w:szCs w:val="24"/>
              </w:rPr>
              <w:t>用户名称</w:t>
            </w:r>
          </w:p>
        </w:tc>
        <w:tc>
          <w:tcPr>
            <w:tcW w:w="1447" w:type="dxa"/>
            <w:noWrap w:val="0"/>
            <w:vAlign w:val="center"/>
          </w:tcPr>
          <w:p w14:paraId="550DAEC8">
            <w:pPr>
              <w:pageBreakBefore w:val="0"/>
              <w:kinsoku/>
              <w:wordWrap/>
              <w:overflowPunct/>
              <w:topLinePunct w:val="0"/>
              <w:bidi w:val="0"/>
              <w:spacing w:line="560" w:lineRule="exact"/>
              <w:jc w:val="center"/>
              <w:textAlignment w:val="auto"/>
              <w:outlineLvl w:val="9"/>
              <w:rPr>
                <w:rFonts w:hint="eastAsia" w:ascii="宋体" w:hAnsi="宋体" w:eastAsia="宋体" w:cs="宋体"/>
                <w:b/>
                <w:color w:val="000000"/>
                <w:sz w:val="24"/>
                <w:szCs w:val="24"/>
              </w:rPr>
            </w:pPr>
            <w:r>
              <w:rPr>
                <w:rFonts w:hint="eastAsia" w:ascii="宋体" w:hAnsi="宋体" w:eastAsia="宋体" w:cs="宋体"/>
                <w:b/>
                <w:color w:val="000000"/>
                <w:sz w:val="24"/>
                <w:szCs w:val="24"/>
              </w:rPr>
              <w:t>项目名称</w:t>
            </w:r>
          </w:p>
        </w:tc>
        <w:tc>
          <w:tcPr>
            <w:tcW w:w="1273" w:type="dxa"/>
            <w:noWrap w:val="0"/>
            <w:vAlign w:val="center"/>
          </w:tcPr>
          <w:p w14:paraId="530A5D6F">
            <w:pPr>
              <w:pageBreakBefore w:val="0"/>
              <w:kinsoku/>
              <w:wordWrap/>
              <w:overflowPunct/>
              <w:topLinePunct w:val="0"/>
              <w:bidi w:val="0"/>
              <w:spacing w:line="560" w:lineRule="exact"/>
              <w:jc w:val="center"/>
              <w:textAlignment w:val="auto"/>
              <w:outlineLvl w:val="9"/>
              <w:rPr>
                <w:rFonts w:hint="eastAsia" w:ascii="宋体" w:hAnsi="宋体" w:eastAsia="宋体" w:cs="宋体"/>
                <w:b/>
                <w:color w:val="000000"/>
                <w:sz w:val="24"/>
                <w:szCs w:val="24"/>
              </w:rPr>
            </w:pPr>
            <w:r>
              <w:rPr>
                <w:rFonts w:hint="eastAsia" w:ascii="宋体" w:hAnsi="宋体" w:eastAsia="宋体" w:cs="宋体"/>
                <w:b/>
                <w:color w:val="000000"/>
                <w:sz w:val="24"/>
                <w:szCs w:val="24"/>
              </w:rPr>
              <w:t>完成时间</w:t>
            </w:r>
          </w:p>
        </w:tc>
        <w:tc>
          <w:tcPr>
            <w:tcW w:w="1560" w:type="dxa"/>
            <w:gridSpan w:val="2"/>
            <w:noWrap w:val="0"/>
            <w:vAlign w:val="center"/>
          </w:tcPr>
          <w:p w14:paraId="0145955C">
            <w:pPr>
              <w:pageBreakBefore w:val="0"/>
              <w:kinsoku/>
              <w:wordWrap/>
              <w:overflowPunct/>
              <w:topLinePunct w:val="0"/>
              <w:bidi w:val="0"/>
              <w:spacing w:line="560" w:lineRule="exact"/>
              <w:ind w:firstLine="120" w:firstLineChars="50"/>
              <w:jc w:val="center"/>
              <w:textAlignment w:val="auto"/>
              <w:outlineLvl w:val="9"/>
              <w:rPr>
                <w:rFonts w:hint="eastAsia" w:ascii="宋体" w:hAnsi="宋体" w:eastAsia="宋体" w:cs="宋体"/>
                <w:b/>
                <w:color w:val="000000"/>
                <w:sz w:val="24"/>
                <w:szCs w:val="24"/>
              </w:rPr>
            </w:pPr>
            <w:r>
              <w:rPr>
                <w:rFonts w:hint="eastAsia" w:ascii="宋体" w:hAnsi="宋体" w:eastAsia="宋体" w:cs="宋体"/>
                <w:b/>
                <w:color w:val="000000"/>
                <w:sz w:val="24"/>
                <w:szCs w:val="24"/>
              </w:rPr>
              <w:t>合同金额</w:t>
            </w:r>
          </w:p>
        </w:tc>
        <w:tc>
          <w:tcPr>
            <w:tcW w:w="1771" w:type="dxa"/>
            <w:gridSpan w:val="2"/>
            <w:tcBorders>
              <w:right w:val="single" w:color="auto" w:sz="4" w:space="0"/>
            </w:tcBorders>
            <w:noWrap w:val="0"/>
            <w:vAlign w:val="center"/>
          </w:tcPr>
          <w:p w14:paraId="565E0AB2">
            <w:pPr>
              <w:pageBreakBefore w:val="0"/>
              <w:kinsoku/>
              <w:wordWrap/>
              <w:overflowPunct/>
              <w:topLinePunct w:val="0"/>
              <w:bidi w:val="0"/>
              <w:spacing w:line="560" w:lineRule="exact"/>
              <w:jc w:val="center"/>
              <w:textAlignment w:val="auto"/>
              <w:outlineLvl w:val="9"/>
              <w:rPr>
                <w:rFonts w:hint="eastAsia" w:ascii="宋体" w:hAnsi="宋体" w:eastAsia="宋体" w:cs="宋体"/>
                <w:b/>
                <w:color w:val="000000"/>
                <w:sz w:val="24"/>
                <w:szCs w:val="24"/>
              </w:rPr>
            </w:pPr>
            <w:r>
              <w:rPr>
                <w:rFonts w:hint="eastAsia" w:ascii="宋体" w:hAnsi="宋体" w:eastAsia="宋体" w:cs="宋体"/>
                <w:b/>
                <w:color w:val="000000"/>
                <w:sz w:val="24"/>
                <w:szCs w:val="24"/>
              </w:rPr>
              <w:t>是否通过验收</w:t>
            </w:r>
          </w:p>
        </w:tc>
        <w:tc>
          <w:tcPr>
            <w:tcW w:w="1522" w:type="dxa"/>
            <w:gridSpan w:val="2"/>
            <w:tcBorders>
              <w:left w:val="single" w:color="auto" w:sz="4" w:space="0"/>
            </w:tcBorders>
            <w:noWrap w:val="0"/>
            <w:vAlign w:val="center"/>
          </w:tcPr>
          <w:p w14:paraId="2AA0DEFA">
            <w:pPr>
              <w:pageBreakBefore w:val="0"/>
              <w:kinsoku/>
              <w:wordWrap/>
              <w:overflowPunct/>
              <w:topLinePunct w:val="0"/>
              <w:bidi w:val="0"/>
              <w:spacing w:line="560" w:lineRule="exact"/>
              <w:jc w:val="center"/>
              <w:textAlignment w:val="auto"/>
              <w:outlineLvl w:val="9"/>
              <w:rPr>
                <w:rFonts w:hint="eastAsia" w:ascii="宋体" w:hAnsi="宋体" w:eastAsia="宋体" w:cs="宋体"/>
                <w:b/>
                <w:color w:val="000000"/>
                <w:sz w:val="24"/>
                <w:szCs w:val="24"/>
              </w:rPr>
            </w:pPr>
            <w:r>
              <w:rPr>
                <w:rFonts w:hint="eastAsia" w:ascii="宋体" w:hAnsi="宋体" w:eastAsia="宋体" w:cs="宋体"/>
                <w:b/>
                <w:color w:val="000000"/>
                <w:sz w:val="24"/>
                <w:szCs w:val="24"/>
              </w:rPr>
              <w:t>备注</w:t>
            </w:r>
          </w:p>
        </w:tc>
      </w:tr>
      <w:tr w14:paraId="3724B22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27" w:hRule="atLeast"/>
          <w:jc w:val="center"/>
        </w:trPr>
        <w:tc>
          <w:tcPr>
            <w:tcW w:w="1284" w:type="dxa"/>
            <w:noWrap w:val="0"/>
            <w:vAlign w:val="center"/>
          </w:tcPr>
          <w:p w14:paraId="4EA24B76">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579" w:type="dxa"/>
            <w:noWrap w:val="0"/>
            <w:vAlign w:val="center"/>
          </w:tcPr>
          <w:p w14:paraId="611FFAEA">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447" w:type="dxa"/>
            <w:noWrap w:val="0"/>
            <w:vAlign w:val="center"/>
          </w:tcPr>
          <w:p w14:paraId="4C5F6423">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273" w:type="dxa"/>
            <w:noWrap w:val="0"/>
            <w:vAlign w:val="center"/>
          </w:tcPr>
          <w:p w14:paraId="4C66D9C9">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560" w:type="dxa"/>
            <w:gridSpan w:val="2"/>
            <w:noWrap w:val="0"/>
            <w:vAlign w:val="center"/>
          </w:tcPr>
          <w:p w14:paraId="2853887D">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771" w:type="dxa"/>
            <w:gridSpan w:val="2"/>
            <w:tcBorders>
              <w:right w:val="single" w:color="auto" w:sz="4" w:space="0"/>
            </w:tcBorders>
            <w:noWrap w:val="0"/>
            <w:vAlign w:val="center"/>
          </w:tcPr>
          <w:p w14:paraId="66C3BA6E">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522" w:type="dxa"/>
            <w:gridSpan w:val="2"/>
            <w:tcBorders>
              <w:left w:val="single" w:color="auto" w:sz="4" w:space="0"/>
            </w:tcBorders>
            <w:noWrap w:val="0"/>
            <w:vAlign w:val="center"/>
          </w:tcPr>
          <w:p w14:paraId="666C0871">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r>
      <w:tr w14:paraId="32D09CF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27" w:hRule="atLeast"/>
          <w:jc w:val="center"/>
        </w:trPr>
        <w:tc>
          <w:tcPr>
            <w:tcW w:w="1284" w:type="dxa"/>
            <w:noWrap w:val="0"/>
            <w:vAlign w:val="center"/>
          </w:tcPr>
          <w:p w14:paraId="34EDDDB0">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579" w:type="dxa"/>
            <w:noWrap w:val="0"/>
            <w:vAlign w:val="center"/>
          </w:tcPr>
          <w:p w14:paraId="0076DF29">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447" w:type="dxa"/>
            <w:noWrap w:val="0"/>
            <w:vAlign w:val="center"/>
          </w:tcPr>
          <w:p w14:paraId="1FC497A9">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273" w:type="dxa"/>
            <w:noWrap w:val="0"/>
            <w:vAlign w:val="center"/>
          </w:tcPr>
          <w:p w14:paraId="52297B60">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560" w:type="dxa"/>
            <w:gridSpan w:val="2"/>
            <w:noWrap w:val="0"/>
            <w:vAlign w:val="center"/>
          </w:tcPr>
          <w:p w14:paraId="51DE284D">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771" w:type="dxa"/>
            <w:gridSpan w:val="2"/>
            <w:tcBorders>
              <w:right w:val="single" w:color="auto" w:sz="4" w:space="0"/>
            </w:tcBorders>
            <w:noWrap w:val="0"/>
            <w:vAlign w:val="center"/>
          </w:tcPr>
          <w:p w14:paraId="3E387A22">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522" w:type="dxa"/>
            <w:gridSpan w:val="2"/>
            <w:tcBorders>
              <w:left w:val="single" w:color="auto" w:sz="4" w:space="0"/>
            </w:tcBorders>
            <w:noWrap w:val="0"/>
            <w:vAlign w:val="center"/>
          </w:tcPr>
          <w:p w14:paraId="5DBA2098">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r>
      <w:tr w14:paraId="0A7E41B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27" w:hRule="atLeast"/>
          <w:jc w:val="center"/>
        </w:trPr>
        <w:tc>
          <w:tcPr>
            <w:tcW w:w="1284" w:type="dxa"/>
            <w:noWrap w:val="0"/>
            <w:vAlign w:val="center"/>
          </w:tcPr>
          <w:p w14:paraId="5CF9A516">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579" w:type="dxa"/>
            <w:noWrap w:val="0"/>
            <w:vAlign w:val="center"/>
          </w:tcPr>
          <w:p w14:paraId="2BDB5D3B">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447" w:type="dxa"/>
            <w:noWrap w:val="0"/>
            <w:vAlign w:val="center"/>
          </w:tcPr>
          <w:p w14:paraId="73AE3044">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273" w:type="dxa"/>
            <w:noWrap w:val="0"/>
            <w:vAlign w:val="center"/>
          </w:tcPr>
          <w:p w14:paraId="24092D60">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560" w:type="dxa"/>
            <w:gridSpan w:val="2"/>
            <w:noWrap w:val="0"/>
            <w:vAlign w:val="center"/>
          </w:tcPr>
          <w:p w14:paraId="3C431F54">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771" w:type="dxa"/>
            <w:gridSpan w:val="2"/>
            <w:tcBorders>
              <w:right w:val="single" w:color="auto" w:sz="4" w:space="0"/>
            </w:tcBorders>
            <w:noWrap w:val="0"/>
            <w:vAlign w:val="center"/>
          </w:tcPr>
          <w:p w14:paraId="218E0E11">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522" w:type="dxa"/>
            <w:gridSpan w:val="2"/>
            <w:tcBorders>
              <w:left w:val="single" w:color="auto" w:sz="4" w:space="0"/>
            </w:tcBorders>
            <w:noWrap w:val="0"/>
            <w:vAlign w:val="center"/>
          </w:tcPr>
          <w:p w14:paraId="341B2F63">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r>
      <w:tr w14:paraId="329ECE5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27" w:hRule="atLeast"/>
          <w:jc w:val="center"/>
        </w:trPr>
        <w:tc>
          <w:tcPr>
            <w:tcW w:w="1284" w:type="dxa"/>
            <w:noWrap w:val="0"/>
            <w:vAlign w:val="center"/>
          </w:tcPr>
          <w:p w14:paraId="45DB4640">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579" w:type="dxa"/>
            <w:tcBorders>
              <w:right w:val="single" w:color="auto" w:sz="4" w:space="0"/>
            </w:tcBorders>
            <w:noWrap w:val="0"/>
            <w:vAlign w:val="center"/>
          </w:tcPr>
          <w:p w14:paraId="10806480">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447" w:type="dxa"/>
            <w:tcBorders>
              <w:left w:val="single" w:color="auto" w:sz="4" w:space="0"/>
            </w:tcBorders>
            <w:noWrap w:val="0"/>
            <w:vAlign w:val="center"/>
          </w:tcPr>
          <w:p w14:paraId="4AFA5823">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273" w:type="dxa"/>
            <w:noWrap w:val="0"/>
            <w:vAlign w:val="center"/>
          </w:tcPr>
          <w:p w14:paraId="24090E37">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560" w:type="dxa"/>
            <w:gridSpan w:val="2"/>
            <w:noWrap w:val="0"/>
            <w:vAlign w:val="center"/>
          </w:tcPr>
          <w:p w14:paraId="3A6697FE">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771" w:type="dxa"/>
            <w:gridSpan w:val="2"/>
            <w:tcBorders>
              <w:right w:val="single" w:color="auto" w:sz="4" w:space="0"/>
            </w:tcBorders>
            <w:noWrap w:val="0"/>
            <w:vAlign w:val="center"/>
          </w:tcPr>
          <w:p w14:paraId="12937D27">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522" w:type="dxa"/>
            <w:gridSpan w:val="2"/>
            <w:tcBorders>
              <w:left w:val="single" w:color="auto" w:sz="4" w:space="0"/>
            </w:tcBorders>
            <w:noWrap w:val="0"/>
            <w:vAlign w:val="center"/>
          </w:tcPr>
          <w:p w14:paraId="1CDB94A3">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r>
      <w:tr w14:paraId="53F9FD9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1" w:type="dxa"/>
          <w:cantSplit/>
          <w:trHeight w:val="527" w:hRule="atLeast"/>
          <w:jc w:val="center"/>
        </w:trPr>
        <w:tc>
          <w:tcPr>
            <w:tcW w:w="1284" w:type="dxa"/>
            <w:tcBorders>
              <w:right w:val="single" w:color="auto" w:sz="4" w:space="0"/>
            </w:tcBorders>
            <w:noWrap w:val="0"/>
            <w:vAlign w:val="center"/>
          </w:tcPr>
          <w:p w14:paraId="2948B530">
            <w:pPr>
              <w:pageBreakBefore w:val="0"/>
              <w:kinsoku/>
              <w:wordWrap/>
              <w:overflowPunct/>
              <w:topLinePunct w:val="0"/>
              <w:bidi w:val="0"/>
              <w:spacing w:line="560" w:lineRule="exact"/>
              <w:textAlignment w:val="auto"/>
              <w:outlineLvl w:val="9"/>
              <w:rPr>
                <w:rFonts w:hint="eastAsia" w:ascii="宋体" w:hAnsi="宋体" w:eastAsia="宋体" w:cs="宋体"/>
                <w:color w:val="000000"/>
                <w:sz w:val="24"/>
                <w:szCs w:val="24"/>
              </w:rPr>
            </w:pPr>
          </w:p>
        </w:tc>
        <w:tc>
          <w:tcPr>
            <w:tcW w:w="1579" w:type="dxa"/>
            <w:tcBorders>
              <w:left w:val="single" w:color="auto" w:sz="4" w:space="0"/>
              <w:right w:val="single" w:color="auto" w:sz="4" w:space="0"/>
            </w:tcBorders>
            <w:noWrap w:val="0"/>
            <w:vAlign w:val="center"/>
          </w:tcPr>
          <w:p w14:paraId="46C26CE2">
            <w:pPr>
              <w:pageBreakBefore w:val="0"/>
              <w:kinsoku/>
              <w:wordWrap/>
              <w:overflowPunct/>
              <w:topLinePunct w:val="0"/>
              <w:bidi w:val="0"/>
              <w:spacing w:line="560" w:lineRule="exact"/>
              <w:textAlignment w:val="auto"/>
              <w:outlineLvl w:val="9"/>
              <w:rPr>
                <w:rFonts w:hint="eastAsia" w:ascii="宋体" w:hAnsi="宋体" w:eastAsia="宋体" w:cs="宋体"/>
                <w:color w:val="000000"/>
                <w:sz w:val="24"/>
                <w:szCs w:val="24"/>
              </w:rPr>
            </w:pPr>
          </w:p>
        </w:tc>
        <w:tc>
          <w:tcPr>
            <w:tcW w:w="1447" w:type="dxa"/>
            <w:tcBorders>
              <w:left w:val="single" w:color="auto" w:sz="4" w:space="0"/>
              <w:right w:val="single" w:color="auto" w:sz="4" w:space="0"/>
            </w:tcBorders>
            <w:noWrap w:val="0"/>
            <w:vAlign w:val="center"/>
          </w:tcPr>
          <w:p w14:paraId="7D52716D">
            <w:pPr>
              <w:pageBreakBefore w:val="0"/>
              <w:kinsoku/>
              <w:wordWrap/>
              <w:overflowPunct/>
              <w:topLinePunct w:val="0"/>
              <w:bidi w:val="0"/>
              <w:spacing w:line="560" w:lineRule="exact"/>
              <w:textAlignment w:val="auto"/>
              <w:outlineLvl w:val="9"/>
              <w:rPr>
                <w:rFonts w:hint="eastAsia" w:ascii="宋体" w:hAnsi="宋体" w:eastAsia="宋体" w:cs="宋体"/>
                <w:color w:val="000000"/>
                <w:sz w:val="24"/>
                <w:szCs w:val="24"/>
              </w:rPr>
            </w:pPr>
          </w:p>
        </w:tc>
        <w:tc>
          <w:tcPr>
            <w:tcW w:w="1273" w:type="dxa"/>
            <w:tcBorders>
              <w:left w:val="single" w:color="auto" w:sz="4" w:space="0"/>
              <w:right w:val="single" w:color="auto" w:sz="4" w:space="0"/>
            </w:tcBorders>
            <w:noWrap w:val="0"/>
            <w:vAlign w:val="center"/>
          </w:tcPr>
          <w:p w14:paraId="566465B3">
            <w:pPr>
              <w:pageBreakBefore w:val="0"/>
              <w:kinsoku/>
              <w:wordWrap/>
              <w:overflowPunct/>
              <w:topLinePunct w:val="0"/>
              <w:bidi w:val="0"/>
              <w:spacing w:line="560" w:lineRule="exact"/>
              <w:textAlignment w:val="auto"/>
              <w:outlineLvl w:val="9"/>
              <w:rPr>
                <w:rFonts w:hint="eastAsia" w:ascii="宋体" w:hAnsi="宋体" w:eastAsia="宋体" w:cs="宋体"/>
                <w:color w:val="000000"/>
                <w:sz w:val="24"/>
                <w:szCs w:val="24"/>
              </w:rPr>
            </w:pPr>
          </w:p>
        </w:tc>
        <w:tc>
          <w:tcPr>
            <w:tcW w:w="1553" w:type="dxa"/>
            <w:tcBorders>
              <w:left w:val="single" w:color="auto" w:sz="4" w:space="0"/>
              <w:right w:val="single" w:color="auto" w:sz="4" w:space="0"/>
            </w:tcBorders>
            <w:noWrap w:val="0"/>
            <w:vAlign w:val="center"/>
          </w:tcPr>
          <w:p w14:paraId="24ABB608">
            <w:pPr>
              <w:pageBreakBefore w:val="0"/>
              <w:kinsoku/>
              <w:wordWrap/>
              <w:overflowPunct/>
              <w:topLinePunct w:val="0"/>
              <w:bidi w:val="0"/>
              <w:spacing w:line="560" w:lineRule="exact"/>
              <w:textAlignment w:val="auto"/>
              <w:outlineLvl w:val="9"/>
              <w:rPr>
                <w:rFonts w:hint="eastAsia" w:ascii="宋体" w:hAnsi="宋体" w:eastAsia="宋体" w:cs="宋体"/>
                <w:color w:val="000000"/>
                <w:sz w:val="24"/>
                <w:szCs w:val="24"/>
              </w:rPr>
            </w:pPr>
          </w:p>
        </w:tc>
        <w:tc>
          <w:tcPr>
            <w:tcW w:w="1761" w:type="dxa"/>
            <w:gridSpan w:val="2"/>
            <w:tcBorders>
              <w:left w:val="single" w:color="auto" w:sz="4" w:space="0"/>
              <w:right w:val="single" w:color="auto" w:sz="4" w:space="0"/>
            </w:tcBorders>
            <w:noWrap w:val="0"/>
            <w:vAlign w:val="center"/>
          </w:tcPr>
          <w:p w14:paraId="3AE2ABCD">
            <w:pPr>
              <w:pageBreakBefore w:val="0"/>
              <w:kinsoku/>
              <w:wordWrap/>
              <w:overflowPunct/>
              <w:topLinePunct w:val="0"/>
              <w:bidi w:val="0"/>
              <w:spacing w:line="560" w:lineRule="exact"/>
              <w:textAlignment w:val="auto"/>
              <w:outlineLvl w:val="9"/>
              <w:rPr>
                <w:rFonts w:hint="eastAsia" w:ascii="宋体" w:hAnsi="宋体" w:eastAsia="宋体" w:cs="宋体"/>
                <w:color w:val="000000"/>
                <w:sz w:val="24"/>
                <w:szCs w:val="24"/>
              </w:rPr>
            </w:pPr>
          </w:p>
        </w:tc>
        <w:tc>
          <w:tcPr>
            <w:tcW w:w="1528" w:type="dxa"/>
            <w:gridSpan w:val="2"/>
            <w:tcBorders>
              <w:left w:val="single" w:color="auto" w:sz="4" w:space="0"/>
            </w:tcBorders>
            <w:noWrap w:val="0"/>
            <w:vAlign w:val="center"/>
          </w:tcPr>
          <w:p w14:paraId="69C3DE7E">
            <w:pPr>
              <w:pageBreakBefore w:val="0"/>
              <w:kinsoku/>
              <w:wordWrap/>
              <w:overflowPunct/>
              <w:topLinePunct w:val="0"/>
              <w:bidi w:val="0"/>
              <w:spacing w:line="560" w:lineRule="exact"/>
              <w:textAlignment w:val="auto"/>
              <w:outlineLvl w:val="9"/>
              <w:rPr>
                <w:rFonts w:hint="eastAsia" w:ascii="宋体" w:hAnsi="宋体" w:eastAsia="宋体" w:cs="宋体"/>
                <w:color w:val="000000"/>
                <w:sz w:val="24"/>
                <w:szCs w:val="24"/>
              </w:rPr>
            </w:pPr>
          </w:p>
        </w:tc>
      </w:tr>
      <w:tr w14:paraId="25D1AC5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27" w:hRule="atLeast"/>
          <w:jc w:val="center"/>
        </w:trPr>
        <w:tc>
          <w:tcPr>
            <w:tcW w:w="1284" w:type="dxa"/>
            <w:tcBorders>
              <w:top w:val="single" w:color="auto" w:sz="4" w:space="0"/>
              <w:bottom w:val="single" w:color="auto" w:sz="4" w:space="0"/>
            </w:tcBorders>
            <w:noWrap w:val="0"/>
            <w:vAlign w:val="center"/>
          </w:tcPr>
          <w:p w14:paraId="547C04D5">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579" w:type="dxa"/>
            <w:tcBorders>
              <w:top w:val="single" w:color="auto" w:sz="4" w:space="0"/>
              <w:bottom w:val="single" w:color="auto" w:sz="4" w:space="0"/>
            </w:tcBorders>
            <w:noWrap w:val="0"/>
            <w:vAlign w:val="center"/>
          </w:tcPr>
          <w:p w14:paraId="1F8EFABA">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447" w:type="dxa"/>
            <w:tcBorders>
              <w:top w:val="single" w:color="auto" w:sz="4" w:space="0"/>
              <w:bottom w:val="single" w:color="auto" w:sz="4" w:space="0"/>
            </w:tcBorders>
            <w:noWrap w:val="0"/>
            <w:vAlign w:val="center"/>
          </w:tcPr>
          <w:p w14:paraId="5B25015F">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273" w:type="dxa"/>
            <w:tcBorders>
              <w:top w:val="single" w:color="auto" w:sz="4" w:space="0"/>
              <w:bottom w:val="single" w:color="auto" w:sz="4" w:space="0"/>
            </w:tcBorders>
            <w:noWrap w:val="0"/>
            <w:vAlign w:val="center"/>
          </w:tcPr>
          <w:p w14:paraId="3E842A4E">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560" w:type="dxa"/>
            <w:gridSpan w:val="2"/>
            <w:tcBorders>
              <w:top w:val="single" w:color="auto" w:sz="4" w:space="0"/>
              <w:bottom w:val="single" w:color="auto" w:sz="4" w:space="0"/>
              <w:right w:val="single" w:color="auto" w:sz="4" w:space="0"/>
            </w:tcBorders>
            <w:noWrap w:val="0"/>
            <w:vAlign w:val="center"/>
          </w:tcPr>
          <w:p w14:paraId="2C5861D1">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771" w:type="dxa"/>
            <w:gridSpan w:val="2"/>
            <w:tcBorders>
              <w:top w:val="single" w:color="auto" w:sz="4" w:space="0"/>
              <w:left w:val="single" w:color="auto" w:sz="4" w:space="0"/>
              <w:bottom w:val="single" w:color="auto" w:sz="4" w:space="0"/>
              <w:right w:val="single" w:color="auto" w:sz="4" w:space="0"/>
            </w:tcBorders>
            <w:noWrap w:val="0"/>
            <w:vAlign w:val="center"/>
          </w:tcPr>
          <w:p w14:paraId="0DFE469B">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522" w:type="dxa"/>
            <w:gridSpan w:val="2"/>
            <w:tcBorders>
              <w:top w:val="single" w:color="auto" w:sz="4" w:space="0"/>
              <w:left w:val="single" w:color="auto" w:sz="4" w:space="0"/>
              <w:bottom w:val="single" w:color="auto" w:sz="4" w:space="0"/>
            </w:tcBorders>
            <w:noWrap w:val="0"/>
            <w:vAlign w:val="center"/>
          </w:tcPr>
          <w:p w14:paraId="2FF91BE6">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r>
      <w:tr w14:paraId="4AAC1AE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22" w:hRule="atLeast"/>
          <w:jc w:val="center"/>
        </w:trPr>
        <w:tc>
          <w:tcPr>
            <w:tcW w:w="1284" w:type="dxa"/>
            <w:tcBorders>
              <w:top w:val="single" w:color="auto" w:sz="4" w:space="0"/>
              <w:bottom w:val="single" w:color="auto" w:sz="4" w:space="0"/>
            </w:tcBorders>
            <w:noWrap w:val="0"/>
            <w:vAlign w:val="center"/>
          </w:tcPr>
          <w:p w14:paraId="664D3579">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579" w:type="dxa"/>
            <w:tcBorders>
              <w:top w:val="single" w:color="auto" w:sz="4" w:space="0"/>
              <w:bottom w:val="single" w:color="auto" w:sz="4" w:space="0"/>
            </w:tcBorders>
            <w:noWrap w:val="0"/>
            <w:vAlign w:val="center"/>
          </w:tcPr>
          <w:p w14:paraId="66996FFB">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447" w:type="dxa"/>
            <w:tcBorders>
              <w:top w:val="single" w:color="auto" w:sz="4" w:space="0"/>
              <w:bottom w:val="single" w:color="auto" w:sz="4" w:space="0"/>
            </w:tcBorders>
            <w:noWrap w:val="0"/>
            <w:vAlign w:val="center"/>
          </w:tcPr>
          <w:p w14:paraId="7F58744A">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273" w:type="dxa"/>
            <w:tcBorders>
              <w:top w:val="single" w:color="auto" w:sz="4" w:space="0"/>
              <w:bottom w:val="single" w:color="auto" w:sz="4" w:space="0"/>
            </w:tcBorders>
            <w:noWrap w:val="0"/>
            <w:vAlign w:val="center"/>
          </w:tcPr>
          <w:p w14:paraId="554DC892">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560" w:type="dxa"/>
            <w:gridSpan w:val="2"/>
            <w:tcBorders>
              <w:top w:val="single" w:color="auto" w:sz="4" w:space="0"/>
              <w:bottom w:val="single" w:color="auto" w:sz="4" w:space="0"/>
              <w:right w:val="single" w:color="auto" w:sz="4" w:space="0"/>
            </w:tcBorders>
            <w:noWrap w:val="0"/>
            <w:vAlign w:val="center"/>
          </w:tcPr>
          <w:p w14:paraId="518AD3A8">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771" w:type="dxa"/>
            <w:gridSpan w:val="2"/>
            <w:tcBorders>
              <w:top w:val="single" w:color="auto" w:sz="4" w:space="0"/>
              <w:left w:val="single" w:color="auto" w:sz="4" w:space="0"/>
              <w:bottom w:val="single" w:color="auto" w:sz="4" w:space="0"/>
              <w:right w:val="single" w:color="auto" w:sz="4" w:space="0"/>
            </w:tcBorders>
            <w:noWrap w:val="0"/>
            <w:vAlign w:val="center"/>
          </w:tcPr>
          <w:p w14:paraId="6318F416">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522" w:type="dxa"/>
            <w:gridSpan w:val="2"/>
            <w:tcBorders>
              <w:top w:val="single" w:color="auto" w:sz="4" w:space="0"/>
              <w:left w:val="single" w:color="auto" w:sz="4" w:space="0"/>
              <w:bottom w:val="single" w:color="auto" w:sz="4" w:space="0"/>
            </w:tcBorders>
            <w:noWrap w:val="0"/>
            <w:vAlign w:val="center"/>
          </w:tcPr>
          <w:p w14:paraId="023C9FA8">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r>
      <w:tr w14:paraId="3D69779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31" w:hRule="atLeast"/>
          <w:jc w:val="center"/>
        </w:trPr>
        <w:tc>
          <w:tcPr>
            <w:tcW w:w="1284" w:type="dxa"/>
            <w:tcBorders>
              <w:top w:val="single" w:color="auto" w:sz="4" w:space="0"/>
            </w:tcBorders>
            <w:noWrap w:val="0"/>
            <w:vAlign w:val="center"/>
          </w:tcPr>
          <w:p w14:paraId="59841D1F">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579" w:type="dxa"/>
            <w:tcBorders>
              <w:top w:val="single" w:color="auto" w:sz="4" w:space="0"/>
            </w:tcBorders>
            <w:noWrap w:val="0"/>
            <w:vAlign w:val="center"/>
          </w:tcPr>
          <w:p w14:paraId="1A6F9E43">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447" w:type="dxa"/>
            <w:tcBorders>
              <w:top w:val="single" w:color="auto" w:sz="4" w:space="0"/>
            </w:tcBorders>
            <w:noWrap w:val="0"/>
            <w:vAlign w:val="center"/>
          </w:tcPr>
          <w:p w14:paraId="24A0D6F1">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273" w:type="dxa"/>
            <w:tcBorders>
              <w:top w:val="single" w:color="auto" w:sz="4" w:space="0"/>
            </w:tcBorders>
            <w:noWrap w:val="0"/>
            <w:vAlign w:val="center"/>
          </w:tcPr>
          <w:p w14:paraId="03C73578">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560" w:type="dxa"/>
            <w:gridSpan w:val="2"/>
            <w:tcBorders>
              <w:top w:val="single" w:color="auto" w:sz="4" w:space="0"/>
              <w:right w:val="single" w:color="auto" w:sz="4" w:space="0"/>
            </w:tcBorders>
            <w:noWrap w:val="0"/>
            <w:vAlign w:val="center"/>
          </w:tcPr>
          <w:p w14:paraId="3CF803EC">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771" w:type="dxa"/>
            <w:gridSpan w:val="2"/>
            <w:tcBorders>
              <w:top w:val="single" w:color="auto" w:sz="4" w:space="0"/>
              <w:left w:val="single" w:color="auto" w:sz="4" w:space="0"/>
              <w:right w:val="single" w:color="auto" w:sz="4" w:space="0"/>
            </w:tcBorders>
            <w:noWrap w:val="0"/>
            <w:vAlign w:val="center"/>
          </w:tcPr>
          <w:p w14:paraId="52E22392">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c>
          <w:tcPr>
            <w:tcW w:w="1522" w:type="dxa"/>
            <w:gridSpan w:val="2"/>
            <w:tcBorders>
              <w:top w:val="single" w:color="auto" w:sz="4" w:space="0"/>
              <w:left w:val="single" w:color="auto" w:sz="4" w:space="0"/>
            </w:tcBorders>
            <w:noWrap w:val="0"/>
            <w:vAlign w:val="center"/>
          </w:tcPr>
          <w:p w14:paraId="4A872A6C">
            <w:pPr>
              <w:pageBreakBefore w:val="0"/>
              <w:kinsoku/>
              <w:wordWrap/>
              <w:overflowPunct/>
              <w:topLinePunct w:val="0"/>
              <w:bidi w:val="0"/>
              <w:spacing w:line="560" w:lineRule="exact"/>
              <w:jc w:val="center"/>
              <w:textAlignment w:val="auto"/>
              <w:outlineLvl w:val="9"/>
              <w:rPr>
                <w:rFonts w:hint="eastAsia" w:ascii="宋体" w:hAnsi="宋体" w:eastAsia="宋体" w:cs="宋体"/>
                <w:color w:val="000000"/>
                <w:sz w:val="24"/>
                <w:szCs w:val="24"/>
              </w:rPr>
            </w:pPr>
          </w:p>
        </w:tc>
      </w:tr>
    </w:tbl>
    <w:p w14:paraId="2D759ED9">
      <w:pPr>
        <w:pageBreakBefore w:val="0"/>
        <w:tabs>
          <w:tab w:val="left" w:pos="555"/>
          <w:tab w:val="left" w:pos="2214"/>
          <w:tab w:val="left" w:pos="3774"/>
          <w:tab w:val="left" w:pos="4854"/>
          <w:tab w:val="left" w:pos="5934"/>
          <w:tab w:val="left" w:pos="7014"/>
          <w:tab w:val="left" w:pos="8214"/>
          <w:tab w:val="left" w:pos="10134"/>
          <w:tab w:val="left" w:pos="11124"/>
        </w:tabs>
        <w:kinsoku/>
        <w:wordWrap/>
        <w:overflowPunct/>
        <w:topLinePunct w:val="0"/>
        <w:bidi w:val="0"/>
        <w:spacing w:line="560" w:lineRule="exact"/>
        <w:ind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注：供应商（仅限于供应商自己的）以上业绩需提供有关书面证明材料。“合同金额”需提供合同复印件；“是否通过验收”需提供合同验收合格或用户单位书面证明材料。</w:t>
      </w:r>
    </w:p>
    <w:p w14:paraId="7933F463">
      <w:pPr>
        <w:pageBreakBefore w:val="0"/>
        <w:kinsoku/>
        <w:wordWrap/>
        <w:overflowPunct/>
        <w:topLinePunct w:val="0"/>
        <w:bidi w:val="0"/>
        <w:spacing w:line="560" w:lineRule="exact"/>
        <w:ind w:left="360"/>
        <w:jc w:val="center"/>
        <w:textAlignment w:val="auto"/>
        <w:outlineLvl w:val="9"/>
        <w:rPr>
          <w:rFonts w:hint="eastAsia" w:ascii="宋体" w:hAnsi="宋体" w:eastAsia="宋体" w:cs="宋体"/>
          <w:color w:val="000000"/>
          <w:sz w:val="24"/>
          <w:szCs w:val="24"/>
        </w:rPr>
      </w:pPr>
    </w:p>
    <w:p w14:paraId="7A08CF5B">
      <w:pPr>
        <w:pageBreakBefore w:val="0"/>
        <w:kinsoku/>
        <w:wordWrap/>
        <w:overflowPunct/>
        <w:topLinePunct w:val="0"/>
        <w:bidi w:val="0"/>
        <w:spacing w:line="560" w:lineRule="exact"/>
        <w:jc w:val="left"/>
        <w:textAlignment w:val="auto"/>
        <w:outlineLvl w:val="9"/>
        <w:rPr>
          <w:rFonts w:hint="eastAsia" w:ascii="宋体" w:hAnsi="宋体" w:eastAsia="宋体" w:cs="宋体"/>
          <w:color w:val="000000"/>
          <w:sz w:val="24"/>
          <w:szCs w:val="24"/>
        </w:rPr>
      </w:pPr>
    </w:p>
    <w:p w14:paraId="48AE9098">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供应商</w:t>
      </w:r>
      <w:r>
        <w:rPr>
          <w:rFonts w:hint="eastAsia" w:ascii="宋体" w:hAnsi="宋体" w:eastAsia="宋体" w:cs="宋体"/>
          <w:color w:val="000000"/>
          <w:sz w:val="24"/>
          <w:szCs w:val="24"/>
        </w:rPr>
        <w:t xml:space="preserve">：                                 （加盖电子公章） </w:t>
      </w:r>
    </w:p>
    <w:p w14:paraId="0E6634AF">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法定代表人（电子签名）：                </w:t>
      </w:r>
    </w:p>
    <w:p w14:paraId="1F6684E4">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日</w:t>
      </w:r>
      <w:bookmarkStart w:id="405" w:name="_Toc17821_WPSOffice_Level2"/>
    </w:p>
    <w:p w14:paraId="0C87124E">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000000"/>
          <w:sz w:val="24"/>
          <w:szCs w:val="24"/>
        </w:rPr>
      </w:pPr>
    </w:p>
    <w:p w14:paraId="29C90723">
      <w:pPr>
        <w:pStyle w:val="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格式3-6：供应商本项目管理、技术、服务人员情况表</w:t>
      </w:r>
      <w:bookmarkEnd w:id="405"/>
    </w:p>
    <w:p w14:paraId="5C28CCEA">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r>
        <w:rPr>
          <w:rFonts w:hint="eastAsia" w:ascii="宋体" w:hAnsi="宋体" w:cs="宋体"/>
          <w:sz w:val="24"/>
          <w:szCs w:val="24"/>
          <w:lang w:val="en-US" w:eastAsia="zh-CN"/>
        </w:rPr>
        <w:t>项目</w:t>
      </w:r>
      <w:r>
        <w:rPr>
          <w:rFonts w:hint="eastAsia" w:ascii="宋体" w:hAnsi="宋体" w:eastAsia="宋体" w:cs="宋体"/>
          <w:sz w:val="24"/>
          <w:szCs w:val="24"/>
        </w:rPr>
        <w:t>编号</w:t>
      </w:r>
      <w:r>
        <w:rPr>
          <w:rFonts w:hint="eastAsia" w:ascii="宋体" w:hAnsi="宋体" w:cs="宋体"/>
          <w:sz w:val="24"/>
          <w:szCs w:val="24"/>
          <w:lang w:eastAsia="zh-CN"/>
        </w:rPr>
        <w:t>、</w:t>
      </w:r>
      <w:r>
        <w:rPr>
          <w:rFonts w:hint="eastAsia" w:ascii="宋体" w:hAnsi="宋体" w:cs="宋体"/>
          <w:sz w:val="24"/>
          <w:szCs w:val="24"/>
          <w:lang w:val="en-US" w:eastAsia="zh-CN"/>
        </w:rPr>
        <w:t>项目名称</w:t>
      </w:r>
      <w:r>
        <w:rPr>
          <w:rFonts w:hint="eastAsia" w:ascii="宋体" w:hAnsi="宋体" w:eastAsia="宋体" w:cs="宋体"/>
          <w:sz w:val="24"/>
          <w:szCs w:val="24"/>
        </w:rPr>
        <w:t>：</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5"/>
        <w:gridCol w:w="1126"/>
        <w:gridCol w:w="1126"/>
        <w:gridCol w:w="1126"/>
        <w:gridCol w:w="1126"/>
        <w:gridCol w:w="1126"/>
        <w:gridCol w:w="1126"/>
        <w:gridCol w:w="1126"/>
        <w:gridCol w:w="1129"/>
      </w:tblGrid>
      <w:tr w14:paraId="0F7AD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125" w:type="dxa"/>
            <w:vMerge w:val="restart"/>
            <w:noWrap w:val="0"/>
            <w:vAlign w:val="center"/>
          </w:tcPr>
          <w:p w14:paraId="3354614F">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类别</w:t>
            </w:r>
          </w:p>
        </w:tc>
        <w:tc>
          <w:tcPr>
            <w:tcW w:w="1126" w:type="dxa"/>
            <w:vMerge w:val="restart"/>
            <w:noWrap w:val="0"/>
            <w:vAlign w:val="center"/>
          </w:tcPr>
          <w:p w14:paraId="12BAB74B">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职务</w:t>
            </w:r>
          </w:p>
        </w:tc>
        <w:tc>
          <w:tcPr>
            <w:tcW w:w="1126" w:type="dxa"/>
            <w:vMerge w:val="restart"/>
            <w:noWrap w:val="0"/>
            <w:vAlign w:val="center"/>
          </w:tcPr>
          <w:p w14:paraId="671CEEFB">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姓名</w:t>
            </w:r>
          </w:p>
        </w:tc>
        <w:tc>
          <w:tcPr>
            <w:tcW w:w="1126" w:type="dxa"/>
            <w:vMerge w:val="restart"/>
            <w:noWrap w:val="0"/>
            <w:vAlign w:val="center"/>
          </w:tcPr>
          <w:p w14:paraId="1604B030">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职称</w:t>
            </w:r>
          </w:p>
        </w:tc>
        <w:tc>
          <w:tcPr>
            <w:tcW w:w="1126" w:type="dxa"/>
            <w:vMerge w:val="restart"/>
            <w:noWrap w:val="0"/>
            <w:vAlign w:val="center"/>
          </w:tcPr>
          <w:p w14:paraId="2844FA28">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常住地</w:t>
            </w:r>
          </w:p>
        </w:tc>
        <w:tc>
          <w:tcPr>
            <w:tcW w:w="4507" w:type="dxa"/>
            <w:gridSpan w:val="4"/>
            <w:noWrap w:val="0"/>
            <w:vAlign w:val="center"/>
          </w:tcPr>
          <w:p w14:paraId="2AC1DD65">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资格证明（附复印件）</w:t>
            </w:r>
          </w:p>
        </w:tc>
      </w:tr>
      <w:tr w14:paraId="2603A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1125" w:type="dxa"/>
            <w:vMerge w:val="continue"/>
            <w:noWrap w:val="0"/>
            <w:vAlign w:val="center"/>
          </w:tcPr>
          <w:p w14:paraId="45C96B53">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1126" w:type="dxa"/>
            <w:vMerge w:val="continue"/>
            <w:noWrap w:val="0"/>
            <w:vAlign w:val="center"/>
          </w:tcPr>
          <w:p w14:paraId="01B732A9">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1126" w:type="dxa"/>
            <w:vMerge w:val="continue"/>
            <w:noWrap w:val="0"/>
            <w:vAlign w:val="center"/>
          </w:tcPr>
          <w:p w14:paraId="7E6FA5CF">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1126" w:type="dxa"/>
            <w:vMerge w:val="continue"/>
            <w:noWrap w:val="0"/>
            <w:vAlign w:val="center"/>
          </w:tcPr>
          <w:p w14:paraId="00F317C2">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1126" w:type="dxa"/>
            <w:vMerge w:val="continue"/>
            <w:noWrap w:val="0"/>
            <w:vAlign w:val="center"/>
          </w:tcPr>
          <w:p w14:paraId="2413EDEA">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1126" w:type="dxa"/>
            <w:noWrap w:val="0"/>
            <w:vAlign w:val="center"/>
          </w:tcPr>
          <w:p w14:paraId="4D86F261">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证书</w:t>
            </w:r>
          </w:p>
          <w:p w14:paraId="67400D39">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名称</w:t>
            </w:r>
          </w:p>
        </w:tc>
        <w:tc>
          <w:tcPr>
            <w:tcW w:w="1126" w:type="dxa"/>
            <w:noWrap w:val="0"/>
            <w:vAlign w:val="center"/>
          </w:tcPr>
          <w:p w14:paraId="23004DEF">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级别</w:t>
            </w:r>
          </w:p>
        </w:tc>
        <w:tc>
          <w:tcPr>
            <w:tcW w:w="1126" w:type="dxa"/>
            <w:noWrap w:val="0"/>
            <w:vAlign w:val="center"/>
          </w:tcPr>
          <w:p w14:paraId="4749EB62">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证号</w:t>
            </w:r>
          </w:p>
        </w:tc>
        <w:tc>
          <w:tcPr>
            <w:tcW w:w="1129" w:type="dxa"/>
            <w:noWrap w:val="0"/>
            <w:vAlign w:val="center"/>
          </w:tcPr>
          <w:p w14:paraId="6455A7DF">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专业</w:t>
            </w:r>
          </w:p>
        </w:tc>
      </w:tr>
      <w:tr w14:paraId="2EE74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125" w:type="dxa"/>
            <w:vMerge w:val="restart"/>
            <w:noWrap w:val="0"/>
            <w:vAlign w:val="center"/>
          </w:tcPr>
          <w:p w14:paraId="25674122">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管理</w:t>
            </w:r>
          </w:p>
          <w:p w14:paraId="56E7E8DA">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人员</w:t>
            </w:r>
          </w:p>
        </w:tc>
        <w:tc>
          <w:tcPr>
            <w:tcW w:w="1126" w:type="dxa"/>
            <w:noWrap w:val="0"/>
            <w:vAlign w:val="top"/>
          </w:tcPr>
          <w:p w14:paraId="010F82AA">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03FA87F2">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004B5C66">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68F6BE00">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04FE8D7E">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32C030BA">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19CC50DA">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9" w:type="dxa"/>
            <w:noWrap w:val="0"/>
            <w:vAlign w:val="top"/>
          </w:tcPr>
          <w:p w14:paraId="3F530E80">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r>
      <w:tr w14:paraId="1DA00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125" w:type="dxa"/>
            <w:vMerge w:val="continue"/>
            <w:noWrap w:val="0"/>
            <w:vAlign w:val="center"/>
          </w:tcPr>
          <w:p w14:paraId="67B73439">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1126" w:type="dxa"/>
            <w:noWrap w:val="0"/>
            <w:vAlign w:val="top"/>
          </w:tcPr>
          <w:p w14:paraId="084774B2">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0FAF3059">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645EC370">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431607DD">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1A4C2F99">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5ED524E3">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489C6118">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9" w:type="dxa"/>
            <w:noWrap w:val="0"/>
            <w:vAlign w:val="top"/>
          </w:tcPr>
          <w:p w14:paraId="082E6C79">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r>
      <w:tr w14:paraId="55026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125" w:type="dxa"/>
            <w:vMerge w:val="continue"/>
            <w:noWrap w:val="0"/>
            <w:vAlign w:val="center"/>
          </w:tcPr>
          <w:p w14:paraId="661CE061">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1126" w:type="dxa"/>
            <w:noWrap w:val="0"/>
            <w:vAlign w:val="top"/>
          </w:tcPr>
          <w:p w14:paraId="55894C96">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7D88A92F">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4EDB9248">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6E9E324D">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0E12F4A6">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07F403AD">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5C1B5B46">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9" w:type="dxa"/>
            <w:noWrap w:val="0"/>
            <w:vAlign w:val="top"/>
          </w:tcPr>
          <w:p w14:paraId="3C63D0C0">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r>
      <w:tr w14:paraId="2F23F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125" w:type="dxa"/>
            <w:vMerge w:val="restart"/>
            <w:noWrap w:val="0"/>
            <w:vAlign w:val="center"/>
          </w:tcPr>
          <w:p w14:paraId="1144B6F5">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技术</w:t>
            </w:r>
          </w:p>
          <w:p w14:paraId="09EDC673">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人员</w:t>
            </w:r>
          </w:p>
        </w:tc>
        <w:tc>
          <w:tcPr>
            <w:tcW w:w="1126" w:type="dxa"/>
            <w:noWrap w:val="0"/>
            <w:vAlign w:val="top"/>
          </w:tcPr>
          <w:p w14:paraId="04AC94B9">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1EC69ED1">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046904D4">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70DF3F9F">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7701EE26">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3FB3D08F">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310023AF">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9" w:type="dxa"/>
            <w:noWrap w:val="0"/>
            <w:vAlign w:val="top"/>
          </w:tcPr>
          <w:p w14:paraId="5126CC06">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r>
      <w:tr w14:paraId="06555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125" w:type="dxa"/>
            <w:vMerge w:val="continue"/>
            <w:noWrap w:val="0"/>
            <w:vAlign w:val="center"/>
          </w:tcPr>
          <w:p w14:paraId="5054278E">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1126" w:type="dxa"/>
            <w:noWrap w:val="0"/>
            <w:vAlign w:val="top"/>
          </w:tcPr>
          <w:p w14:paraId="78DDEF83">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730187C5">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778CAD01">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2C322B49">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46B912E0">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6765B133">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6C39AB0B">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9" w:type="dxa"/>
            <w:noWrap w:val="0"/>
            <w:vAlign w:val="top"/>
          </w:tcPr>
          <w:p w14:paraId="1E597F24">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r>
      <w:tr w14:paraId="1E890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125" w:type="dxa"/>
            <w:vMerge w:val="continue"/>
            <w:noWrap w:val="0"/>
            <w:vAlign w:val="center"/>
          </w:tcPr>
          <w:p w14:paraId="31412124">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p>
        </w:tc>
        <w:tc>
          <w:tcPr>
            <w:tcW w:w="1126" w:type="dxa"/>
            <w:noWrap w:val="0"/>
            <w:vAlign w:val="top"/>
          </w:tcPr>
          <w:p w14:paraId="29E07A7F">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4BB5F8D5">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6F7D8840">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247D3F2E">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75397C8C">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1E1C8EBE">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51ECFE05">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9" w:type="dxa"/>
            <w:noWrap w:val="0"/>
            <w:vAlign w:val="top"/>
          </w:tcPr>
          <w:p w14:paraId="6D07967B">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r>
      <w:tr w14:paraId="1784C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125" w:type="dxa"/>
            <w:vMerge w:val="restart"/>
            <w:noWrap w:val="0"/>
            <w:vAlign w:val="center"/>
          </w:tcPr>
          <w:p w14:paraId="67BFC436">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售后服务人员</w:t>
            </w:r>
          </w:p>
        </w:tc>
        <w:tc>
          <w:tcPr>
            <w:tcW w:w="1126" w:type="dxa"/>
            <w:noWrap w:val="0"/>
            <w:vAlign w:val="top"/>
          </w:tcPr>
          <w:p w14:paraId="44A8C685">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5F81F4A4">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47AA1DEB">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37C4103D">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35179C47">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3FF4CAC7">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064E73AF">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9" w:type="dxa"/>
            <w:noWrap w:val="0"/>
            <w:vAlign w:val="top"/>
          </w:tcPr>
          <w:p w14:paraId="06922788">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r>
      <w:tr w14:paraId="663CF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125" w:type="dxa"/>
            <w:vMerge w:val="continue"/>
            <w:noWrap w:val="0"/>
            <w:vAlign w:val="top"/>
          </w:tcPr>
          <w:p w14:paraId="0BA246FC">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3856910F">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250AF446">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06E0DC86">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349B8751">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037176F6">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50BC8723">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3AA2B76C">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9" w:type="dxa"/>
            <w:noWrap w:val="0"/>
            <w:vAlign w:val="top"/>
          </w:tcPr>
          <w:p w14:paraId="49570922">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r>
      <w:tr w14:paraId="3C994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1125" w:type="dxa"/>
            <w:vMerge w:val="continue"/>
            <w:noWrap w:val="0"/>
            <w:vAlign w:val="top"/>
          </w:tcPr>
          <w:p w14:paraId="6127964D">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3616DA8F">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21288BDC">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379D7E06">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189A7872">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4FBB97B9">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20EF42FB">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6" w:type="dxa"/>
            <w:noWrap w:val="0"/>
            <w:vAlign w:val="top"/>
          </w:tcPr>
          <w:p w14:paraId="706E5F68">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c>
          <w:tcPr>
            <w:tcW w:w="1129" w:type="dxa"/>
            <w:noWrap w:val="0"/>
            <w:vAlign w:val="top"/>
          </w:tcPr>
          <w:p w14:paraId="4822B3B0">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tc>
      </w:tr>
    </w:tbl>
    <w:p w14:paraId="3CFD6B90">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p w14:paraId="0D9EDBEE">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供应商</w:t>
      </w:r>
      <w:r>
        <w:rPr>
          <w:rFonts w:hint="eastAsia" w:ascii="宋体" w:hAnsi="宋体" w:eastAsia="宋体" w:cs="宋体"/>
          <w:color w:val="000000"/>
          <w:sz w:val="24"/>
          <w:szCs w:val="24"/>
        </w:rPr>
        <w:t xml:space="preserve">：     （加盖电子公章） </w:t>
      </w:r>
    </w:p>
    <w:p w14:paraId="2F0F8E73">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法定代表人（电子签名）：                </w:t>
      </w:r>
    </w:p>
    <w:p w14:paraId="1500ADDF">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日</w:t>
      </w:r>
      <w:bookmarkStart w:id="406" w:name="_Toc31398_WPSOffice_Level2"/>
    </w:p>
    <w:p w14:paraId="6FE31A14">
      <w:pPr>
        <w:pStyle w:val="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格式3-7：中小企业声明函、残疾人福利性单位声明函、监狱企业声明函</w:t>
      </w:r>
      <w:bookmarkEnd w:id="406"/>
    </w:p>
    <w:p w14:paraId="203618C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中小企业声明函（货物）</w:t>
      </w:r>
    </w:p>
    <w:p w14:paraId="6C39997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本公司（联合体）郑重声明，根据《政府采购促进中小企业发展管理办法》（财库〔2020〕46号）的规定，本公司（联合体）参加</w:t>
      </w:r>
      <w:r>
        <w:rPr>
          <w:rFonts w:hint="eastAsia" w:ascii="宋体" w:hAnsi="宋体" w:eastAsia="宋体" w:cs="宋体"/>
          <w:i/>
          <w:iCs/>
          <w:sz w:val="24"/>
          <w:szCs w:val="24"/>
          <w:highlight w:val="none"/>
          <w:u w:val="single"/>
          <w:lang w:val="en-US" w:eastAsia="zh-CN"/>
        </w:rPr>
        <w:t>（单位名称）</w:t>
      </w:r>
      <w:r>
        <w:rPr>
          <w:rFonts w:hint="eastAsia" w:ascii="宋体" w:hAnsi="宋体" w:eastAsia="宋体" w:cs="宋体"/>
          <w:sz w:val="24"/>
          <w:szCs w:val="24"/>
          <w:highlight w:val="none"/>
          <w:lang w:val="en-US" w:eastAsia="zh-CN"/>
        </w:rPr>
        <w:t>的</w:t>
      </w:r>
      <w:r>
        <w:rPr>
          <w:rFonts w:hint="eastAsia" w:ascii="宋体" w:hAnsi="宋体" w:eastAsia="宋体" w:cs="宋体"/>
          <w:i/>
          <w:iCs/>
          <w:sz w:val="24"/>
          <w:szCs w:val="24"/>
          <w:highlight w:val="none"/>
          <w:u w:val="single"/>
          <w:lang w:val="en-US" w:eastAsia="zh-CN"/>
        </w:rPr>
        <w:t>（项目名称）</w:t>
      </w:r>
      <w:r>
        <w:rPr>
          <w:rFonts w:hint="eastAsia" w:ascii="宋体" w:hAnsi="宋体" w:eastAsia="宋体" w:cs="宋体"/>
          <w:sz w:val="24"/>
          <w:szCs w:val="24"/>
          <w:highlight w:val="none"/>
          <w:lang w:val="en-US" w:eastAsia="zh-CN"/>
        </w:rPr>
        <w:t>采购活动，提供的货物全部由符合政策要求的中小企业制造。相关企业（含联合体中的中小企业、签订分包意向协议的中小企业）的具体情况如下：</w:t>
      </w:r>
    </w:p>
    <w:p w14:paraId="74111F6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eastAsia="宋体" w:cs="宋体"/>
          <w:i/>
          <w:iCs/>
          <w:sz w:val="24"/>
          <w:szCs w:val="24"/>
          <w:highlight w:val="none"/>
          <w:u w:val="single"/>
          <w:lang w:val="en-US" w:eastAsia="zh-CN"/>
        </w:rPr>
        <w:t>（标的名称）</w:t>
      </w:r>
      <w:r>
        <w:rPr>
          <w:rStyle w:val="39"/>
          <w:rFonts w:hint="eastAsia" w:ascii="宋体" w:hAnsi="宋体" w:eastAsia="宋体" w:cs="宋体"/>
          <w:i/>
          <w:iCs/>
          <w:sz w:val="24"/>
          <w:szCs w:val="24"/>
          <w:highlight w:val="none"/>
          <w:u w:val="single"/>
          <w:lang w:val="en-US" w:eastAsia="zh-CN"/>
        </w:rPr>
        <w:footnoteReference w:id="0"/>
      </w:r>
      <w:r>
        <w:rPr>
          <w:rFonts w:hint="eastAsia" w:ascii="宋体" w:hAnsi="宋体" w:eastAsia="宋体" w:cs="宋体"/>
          <w:sz w:val="24"/>
          <w:szCs w:val="24"/>
          <w:highlight w:val="none"/>
          <w:lang w:val="en-US" w:eastAsia="zh-CN"/>
        </w:rPr>
        <w:t>，属于</w:t>
      </w:r>
      <w:r>
        <w:rPr>
          <w:rFonts w:hint="eastAsia" w:ascii="宋体" w:hAnsi="宋体" w:eastAsia="宋体" w:cs="宋体"/>
          <w:i/>
          <w:iCs/>
          <w:sz w:val="24"/>
          <w:szCs w:val="24"/>
          <w:highlight w:val="none"/>
          <w:u w:val="single"/>
          <w:lang w:val="en-US" w:eastAsia="zh-CN"/>
        </w:rPr>
        <w:t>（采购文件中明确的所属行业）</w:t>
      </w:r>
      <w:r>
        <w:rPr>
          <w:rFonts w:hint="eastAsia" w:ascii="宋体" w:hAnsi="宋体" w:eastAsia="宋体" w:cs="宋体"/>
          <w:sz w:val="24"/>
          <w:szCs w:val="24"/>
          <w:highlight w:val="none"/>
          <w:lang w:val="en-US" w:eastAsia="zh-CN"/>
        </w:rPr>
        <w:t>行业；制造商为</w:t>
      </w:r>
      <w:r>
        <w:rPr>
          <w:rFonts w:hint="eastAsia" w:ascii="宋体" w:hAnsi="宋体" w:eastAsia="宋体" w:cs="宋体"/>
          <w:i/>
          <w:iCs/>
          <w:sz w:val="24"/>
          <w:szCs w:val="24"/>
          <w:highlight w:val="none"/>
          <w:u w:val="single"/>
          <w:lang w:val="en-US" w:eastAsia="zh-CN"/>
        </w:rPr>
        <w:t>（企业名称）</w:t>
      </w:r>
      <w:r>
        <w:rPr>
          <w:rFonts w:hint="eastAsia" w:ascii="宋体" w:hAnsi="宋体" w:eastAsia="宋体" w:cs="宋体"/>
          <w:sz w:val="24"/>
          <w:szCs w:val="24"/>
          <w:highlight w:val="none"/>
          <w:lang w:val="en-US" w:eastAsia="zh-CN"/>
        </w:rPr>
        <w:t>，从业人员</w:t>
      </w:r>
      <w:r>
        <w:rPr>
          <w:rFonts w:hint="eastAsia" w:ascii="宋体" w:hAnsi="宋体" w:eastAsia="宋体" w:cs="宋体"/>
          <w:i w:val="0"/>
          <w:iCs w:val="0"/>
          <w:sz w:val="24"/>
          <w:szCs w:val="24"/>
          <w:highlight w:val="none"/>
          <w:u w:val="single"/>
          <w:lang w:val="en-US" w:eastAsia="zh-CN"/>
        </w:rPr>
        <w:t>（    ）</w:t>
      </w:r>
      <w:r>
        <w:rPr>
          <w:rFonts w:hint="eastAsia" w:ascii="宋体" w:hAnsi="宋体" w:eastAsia="宋体" w:cs="宋体"/>
          <w:sz w:val="24"/>
          <w:szCs w:val="24"/>
          <w:highlight w:val="none"/>
          <w:lang w:val="en-US" w:eastAsia="zh-CN"/>
        </w:rPr>
        <w:t>人，营业收入为</w:t>
      </w:r>
      <w:r>
        <w:rPr>
          <w:rFonts w:hint="eastAsia" w:ascii="宋体" w:hAnsi="宋体" w:eastAsia="宋体" w:cs="宋体"/>
          <w:sz w:val="24"/>
          <w:szCs w:val="24"/>
          <w:highlight w:val="none"/>
          <w:u w:val="single"/>
          <w:lang w:val="en-US" w:eastAsia="zh-CN"/>
        </w:rPr>
        <w:t>（    ）</w:t>
      </w:r>
      <w:r>
        <w:rPr>
          <w:rFonts w:hint="eastAsia" w:ascii="宋体" w:hAnsi="宋体" w:eastAsia="宋体" w:cs="宋体"/>
          <w:sz w:val="24"/>
          <w:szCs w:val="24"/>
          <w:highlight w:val="none"/>
          <w:lang w:val="en-US" w:eastAsia="zh-CN"/>
        </w:rPr>
        <w:t>万元，资产总额为</w:t>
      </w:r>
      <w:r>
        <w:rPr>
          <w:rFonts w:hint="eastAsia" w:ascii="宋体" w:hAnsi="宋体" w:eastAsia="宋体" w:cs="宋体"/>
          <w:sz w:val="24"/>
          <w:szCs w:val="24"/>
          <w:highlight w:val="none"/>
          <w:u w:val="single"/>
          <w:lang w:val="en-US" w:eastAsia="zh-CN"/>
        </w:rPr>
        <w:t>（    ）</w:t>
      </w:r>
      <w:r>
        <w:rPr>
          <w:rFonts w:hint="eastAsia" w:ascii="宋体" w:hAnsi="宋体" w:eastAsia="宋体" w:cs="宋体"/>
          <w:sz w:val="24"/>
          <w:szCs w:val="24"/>
          <w:highlight w:val="none"/>
          <w:lang w:val="en-US" w:eastAsia="zh-CN"/>
        </w:rPr>
        <w:t>万元</w:t>
      </w:r>
      <w:r>
        <w:rPr>
          <w:rStyle w:val="39"/>
          <w:rFonts w:hint="eastAsia" w:ascii="宋体" w:hAnsi="宋体" w:eastAsia="宋体" w:cs="宋体"/>
          <w:sz w:val="24"/>
          <w:szCs w:val="24"/>
          <w:highlight w:val="none"/>
          <w:lang w:val="en-US" w:eastAsia="zh-CN"/>
        </w:rPr>
        <w:footnoteReference w:id="1"/>
      </w:r>
      <w:r>
        <w:rPr>
          <w:rFonts w:hint="eastAsia" w:ascii="宋体" w:hAnsi="宋体" w:eastAsia="宋体" w:cs="宋体"/>
          <w:sz w:val="24"/>
          <w:szCs w:val="24"/>
          <w:highlight w:val="none"/>
          <w:lang w:val="en-US" w:eastAsia="zh-CN"/>
        </w:rPr>
        <w:t>，属于</w:t>
      </w:r>
      <w:r>
        <w:rPr>
          <w:rFonts w:hint="eastAsia" w:ascii="宋体" w:hAnsi="宋体" w:eastAsia="宋体" w:cs="宋体"/>
          <w:i/>
          <w:iCs/>
          <w:sz w:val="24"/>
          <w:szCs w:val="24"/>
          <w:highlight w:val="none"/>
          <w:u w:val="single"/>
          <w:lang w:val="en-US" w:eastAsia="zh-CN"/>
        </w:rPr>
        <w:t>（中型企业、小型企业、微型企业）</w:t>
      </w:r>
      <w:r>
        <w:rPr>
          <w:rFonts w:hint="eastAsia" w:ascii="宋体" w:hAnsi="宋体" w:eastAsia="宋体" w:cs="宋体"/>
          <w:sz w:val="24"/>
          <w:szCs w:val="24"/>
          <w:highlight w:val="none"/>
          <w:lang w:val="en-US" w:eastAsia="zh-CN"/>
        </w:rPr>
        <w:t>；</w:t>
      </w:r>
    </w:p>
    <w:p w14:paraId="6D9D0ADB">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eastAsia="宋体" w:cs="宋体"/>
          <w:i/>
          <w:iCs/>
          <w:sz w:val="24"/>
          <w:szCs w:val="24"/>
          <w:highlight w:val="none"/>
          <w:u w:val="single"/>
          <w:lang w:val="en-US" w:eastAsia="zh-CN"/>
        </w:rPr>
        <w:t>（标的名称）</w:t>
      </w:r>
      <w:r>
        <w:rPr>
          <w:rFonts w:hint="eastAsia" w:ascii="宋体" w:hAnsi="宋体" w:eastAsia="宋体" w:cs="宋体"/>
          <w:sz w:val="24"/>
          <w:szCs w:val="24"/>
          <w:highlight w:val="none"/>
          <w:lang w:val="en-US" w:eastAsia="zh-CN"/>
        </w:rPr>
        <w:t>，属于</w:t>
      </w:r>
      <w:r>
        <w:rPr>
          <w:rFonts w:hint="eastAsia" w:ascii="宋体" w:hAnsi="宋体" w:eastAsia="宋体" w:cs="宋体"/>
          <w:i/>
          <w:iCs/>
          <w:sz w:val="24"/>
          <w:szCs w:val="24"/>
          <w:highlight w:val="none"/>
          <w:u w:val="single"/>
          <w:lang w:val="en-US" w:eastAsia="zh-CN"/>
        </w:rPr>
        <w:t>（采购文件中明确的所属行业）</w:t>
      </w:r>
      <w:r>
        <w:rPr>
          <w:rFonts w:hint="eastAsia" w:ascii="宋体" w:hAnsi="宋体" w:eastAsia="宋体" w:cs="宋体"/>
          <w:sz w:val="24"/>
          <w:szCs w:val="24"/>
          <w:highlight w:val="none"/>
          <w:lang w:val="en-US" w:eastAsia="zh-CN"/>
        </w:rPr>
        <w:t>行业；制造商为</w:t>
      </w:r>
      <w:r>
        <w:rPr>
          <w:rFonts w:hint="eastAsia" w:ascii="宋体" w:hAnsi="宋体" w:eastAsia="宋体" w:cs="宋体"/>
          <w:i/>
          <w:iCs/>
          <w:sz w:val="24"/>
          <w:szCs w:val="24"/>
          <w:highlight w:val="none"/>
          <w:u w:val="single"/>
          <w:lang w:val="en-US" w:eastAsia="zh-CN"/>
        </w:rPr>
        <w:t>（企业名称）</w:t>
      </w:r>
      <w:r>
        <w:rPr>
          <w:rFonts w:hint="eastAsia" w:ascii="宋体" w:hAnsi="宋体" w:eastAsia="宋体" w:cs="宋体"/>
          <w:sz w:val="24"/>
          <w:szCs w:val="24"/>
          <w:highlight w:val="none"/>
          <w:lang w:val="en-US" w:eastAsia="zh-CN"/>
        </w:rPr>
        <w:t>，从业人员</w:t>
      </w:r>
      <w:r>
        <w:rPr>
          <w:rFonts w:hint="eastAsia" w:ascii="宋体" w:hAnsi="宋体" w:eastAsia="宋体" w:cs="宋体"/>
          <w:i w:val="0"/>
          <w:iCs w:val="0"/>
          <w:sz w:val="24"/>
          <w:szCs w:val="24"/>
          <w:highlight w:val="none"/>
          <w:u w:val="single"/>
          <w:lang w:val="en-US" w:eastAsia="zh-CN"/>
        </w:rPr>
        <w:t>（    ）</w:t>
      </w:r>
      <w:r>
        <w:rPr>
          <w:rFonts w:hint="eastAsia" w:ascii="宋体" w:hAnsi="宋体" w:eastAsia="宋体" w:cs="宋体"/>
          <w:sz w:val="24"/>
          <w:szCs w:val="24"/>
          <w:highlight w:val="none"/>
          <w:lang w:val="en-US" w:eastAsia="zh-CN"/>
        </w:rPr>
        <w:t>人，营业收入为</w:t>
      </w:r>
      <w:r>
        <w:rPr>
          <w:rFonts w:hint="eastAsia" w:ascii="宋体" w:hAnsi="宋体" w:eastAsia="宋体" w:cs="宋体"/>
          <w:sz w:val="24"/>
          <w:szCs w:val="24"/>
          <w:highlight w:val="none"/>
          <w:u w:val="single"/>
          <w:lang w:val="en-US" w:eastAsia="zh-CN"/>
        </w:rPr>
        <w:t>（    ）</w:t>
      </w:r>
      <w:r>
        <w:rPr>
          <w:rFonts w:hint="eastAsia" w:ascii="宋体" w:hAnsi="宋体" w:eastAsia="宋体" w:cs="宋体"/>
          <w:sz w:val="24"/>
          <w:szCs w:val="24"/>
          <w:highlight w:val="none"/>
          <w:lang w:val="en-US" w:eastAsia="zh-CN"/>
        </w:rPr>
        <w:t>万元，资产总额为</w:t>
      </w:r>
      <w:r>
        <w:rPr>
          <w:rFonts w:hint="eastAsia" w:ascii="宋体" w:hAnsi="宋体" w:eastAsia="宋体" w:cs="宋体"/>
          <w:sz w:val="24"/>
          <w:szCs w:val="24"/>
          <w:highlight w:val="none"/>
          <w:u w:val="single"/>
          <w:lang w:val="en-US" w:eastAsia="zh-CN"/>
        </w:rPr>
        <w:t>（    ）</w:t>
      </w:r>
      <w:r>
        <w:rPr>
          <w:rFonts w:hint="eastAsia" w:ascii="宋体" w:hAnsi="宋体" w:eastAsia="宋体" w:cs="宋体"/>
          <w:sz w:val="24"/>
          <w:szCs w:val="24"/>
          <w:highlight w:val="none"/>
          <w:lang w:val="en-US" w:eastAsia="zh-CN"/>
        </w:rPr>
        <w:t>万元，属于</w:t>
      </w:r>
      <w:r>
        <w:rPr>
          <w:rFonts w:hint="eastAsia" w:ascii="宋体" w:hAnsi="宋体" w:eastAsia="宋体" w:cs="宋体"/>
          <w:i/>
          <w:iCs/>
          <w:sz w:val="24"/>
          <w:szCs w:val="24"/>
          <w:highlight w:val="none"/>
          <w:u w:val="single"/>
          <w:lang w:val="en-US" w:eastAsia="zh-CN"/>
        </w:rPr>
        <w:t>（中型企业、小型企业、微型企业）</w:t>
      </w:r>
      <w:r>
        <w:rPr>
          <w:rFonts w:hint="eastAsia" w:ascii="宋体" w:hAnsi="宋体" w:eastAsia="宋体" w:cs="宋体"/>
          <w:sz w:val="24"/>
          <w:szCs w:val="24"/>
          <w:highlight w:val="none"/>
          <w:lang w:val="en-US" w:eastAsia="zh-CN"/>
        </w:rPr>
        <w:t>；</w:t>
      </w:r>
    </w:p>
    <w:p w14:paraId="350B9AE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p>
    <w:p w14:paraId="3EB916F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以上企业，不属于大企业的分支机构，不存在控股股东为大企业的情形，也不存在与大企业的负责人为同一人的情形。</w:t>
      </w:r>
    </w:p>
    <w:p w14:paraId="243D58C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本企业对上述声明内容的真实性负责。如有虚假，将依法承担相应责任。</w:t>
      </w:r>
    </w:p>
    <w:p w14:paraId="524FAE4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2640" w:firstLineChars="110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企业名称（盖章）：</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eastAsia="zh-CN"/>
        </w:rPr>
        <w:t>日期：</w:t>
      </w:r>
    </w:p>
    <w:p w14:paraId="1B4E719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2640" w:firstLineChars="110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r>
    </w:p>
    <w:p w14:paraId="2379A00B">
      <w:pPr>
        <w:pStyle w:val="12"/>
        <w:jc w:val="center"/>
        <w:rPr>
          <w:rFonts w:hint="eastAsia"/>
          <w:b/>
          <w:bCs/>
          <w:sz w:val="24"/>
          <w:szCs w:val="24"/>
        </w:rPr>
      </w:pPr>
      <w:bookmarkStart w:id="407" w:name="_Toc8737_WPSOffice_Level2"/>
      <w:r>
        <w:rPr>
          <w:rFonts w:hint="eastAsia"/>
          <w:b/>
          <w:bCs/>
          <w:sz w:val="24"/>
          <w:szCs w:val="24"/>
        </w:rPr>
        <w:t>残疾人福利性单位声明函</w:t>
      </w:r>
      <w:bookmarkEnd w:id="407"/>
    </w:p>
    <w:p w14:paraId="67A8D61D">
      <w:pPr>
        <w:pageBreakBefore w:val="0"/>
        <w:kinsoku/>
        <w:wordWrap/>
        <w:overflowPunct/>
        <w:topLinePunct w:val="0"/>
        <w:bidi w:val="0"/>
        <w:spacing w:line="560" w:lineRule="exact"/>
        <w:ind w:firstLine="504" w:firstLineChars="200"/>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本单位郑重声明，根据《财政部 民政部 中国残疾人联合会关于促进残疾人就业政府采购政策的通知》（财库</w:t>
      </w:r>
      <w:r>
        <w:rPr>
          <w:rFonts w:hint="eastAsia" w:ascii="宋体" w:hAnsi="宋体" w:eastAsia="宋体" w:cs="宋体"/>
          <w:sz w:val="24"/>
          <w:szCs w:val="24"/>
        </w:rPr>
        <w:t>〔2017〕 141</w:t>
      </w:r>
      <w:r>
        <w:rPr>
          <w:rFonts w:hint="eastAsia" w:ascii="宋体" w:hAnsi="宋体" w:eastAsia="宋体" w:cs="宋体"/>
          <w:spacing w:val="6"/>
          <w:sz w:val="24"/>
          <w:szCs w:val="24"/>
        </w:rPr>
        <w:t>号）的规定，本单位为符合条件的残疾人福利性单位，且本单位参加</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单位的______项目采购活动提供本单位制造的货物（由本单位承担工程/提供服务），或者提供其他残疾人福利性单位制造的货物（不包括使用非残疾人福利性单位注册商标的货物）。</w:t>
      </w:r>
    </w:p>
    <w:p w14:paraId="42B2283F">
      <w:pPr>
        <w:pageBreakBefore w:val="0"/>
        <w:kinsoku/>
        <w:wordWrap/>
        <w:overflowPunct/>
        <w:topLinePunct w:val="0"/>
        <w:bidi w:val="0"/>
        <w:spacing w:line="560" w:lineRule="exact"/>
        <w:ind w:firstLine="504" w:firstLineChars="200"/>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本单位对上述声明的真实性负责。如有虚假，将依法承担相应责任。</w:t>
      </w:r>
    </w:p>
    <w:p w14:paraId="443B3EB7">
      <w:pPr>
        <w:pStyle w:val="9"/>
        <w:pageBreakBefore w:val="0"/>
        <w:widowControl/>
        <w:kinsoku/>
        <w:wordWrap/>
        <w:overflowPunct/>
        <w:topLinePunct w:val="0"/>
        <w:bidi w:val="0"/>
        <w:snapToGrid w:val="0"/>
        <w:spacing w:line="560" w:lineRule="exact"/>
        <w:ind w:firstLine="967" w:firstLineChars="384"/>
        <w:textAlignment w:val="auto"/>
        <w:rPr>
          <w:rFonts w:hint="eastAsia" w:ascii="宋体" w:hAnsi="宋体" w:eastAsia="宋体" w:cs="宋体"/>
          <w:sz w:val="24"/>
          <w:szCs w:val="24"/>
        </w:rPr>
      </w:pPr>
      <w:r>
        <w:rPr>
          <w:rFonts w:hint="eastAsia" w:ascii="宋体" w:hAnsi="宋体" w:eastAsia="宋体" w:cs="宋体"/>
          <w:spacing w:val="6"/>
          <w:sz w:val="24"/>
          <w:szCs w:val="24"/>
        </w:rPr>
        <w:t xml:space="preserve"> </w:t>
      </w:r>
      <w:r>
        <w:rPr>
          <w:rFonts w:hint="eastAsia" w:ascii="宋体" w:hAnsi="宋体" w:eastAsia="宋体" w:cs="宋体"/>
          <w:spacing w:val="6"/>
          <w:sz w:val="24"/>
          <w:szCs w:val="24"/>
          <w:lang w:val="en-US" w:eastAsia="zh-CN"/>
        </w:rPr>
        <w:t xml:space="preserve">   </w:t>
      </w:r>
      <w:r>
        <w:rPr>
          <w:rFonts w:hint="eastAsia" w:ascii="宋体" w:hAnsi="宋体" w:eastAsia="宋体" w:cs="宋体"/>
          <w:spacing w:val="6"/>
          <w:sz w:val="24"/>
          <w:szCs w:val="24"/>
          <w:lang w:eastAsia="zh-CN"/>
        </w:rPr>
        <w:t>单位</w:t>
      </w:r>
      <w:r>
        <w:rPr>
          <w:rFonts w:hint="eastAsia" w:ascii="宋体" w:hAnsi="宋体" w:eastAsia="宋体" w:cs="宋体"/>
          <w:sz w:val="24"/>
          <w:szCs w:val="24"/>
        </w:rPr>
        <w:t>名称：（盖章）</w:t>
      </w:r>
      <w:r>
        <w:rPr>
          <w:rFonts w:hint="eastAsia" w:ascii="宋体" w:hAnsi="宋体" w:eastAsia="宋体" w:cs="宋体"/>
          <w:sz w:val="24"/>
          <w:szCs w:val="24"/>
          <w:u w:val="single"/>
        </w:rPr>
        <w:t xml:space="preserve">            </w:t>
      </w:r>
    </w:p>
    <w:p w14:paraId="0B167F55">
      <w:pPr>
        <w:pStyle w:val="9"/>
        <w:pageBreakBefore w:val="0"/>
        <w:widowControl/>
        <w:kinsoku/>
        <w:wordWrap/>
        <w:overflowPunct/>
        <w:topLinePunct w:val="0"/>
        <w:bidi w:val="0"/>
        <w:snapToGrid w:val="0"/>
        <w:spacing w:line="560" w:lineRule="exact"/>
        <w:ind w:firstLine="1440" w:firstLineChars="600"/>
        <w:textAlignment w:val="auto"/>
        <w:rPr>
          <w:rFonts w:hint="eastAsia" w:ascii="宋体" w:hAnsi="宋体" w:eastAsia="宋体" w:cs="宋体"/>
          <w:sz w:val="24"/>
          <w:szCs w:val="24"/>
          <w:u w:val="single"/>
        </w:rPr>
      </w:pPr>
      <w:r>
        <w:rPr>
          <w:rFonts w:hint="eastAsia" w:ascii="宋体" w:hAnsi="宋体" w:eastAsia="宋体" w:cs="宋体"/>
          <w:sz w:val="24"/>
          <w:szCs w:val="24"/>
          <w:u w:val="none"/>
          <w:lang w:eastAsia="zh-CN"/>
        </w:rPr>
        <w:t>日</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lang w:eastAsia="zh-CN"/>
        </w:rPr>
        <w:t>期：</w:t>
      </w:r>
      <w:r>
        <w:rPr>
          <w:rFonts w:hint="eastAsia" w:ascii="宋体" w:hAnsi="宋体" w:eastAsia="宋体" w:cs="宋体"/>
          <w:sz w:val="24"/>
          <w:szCs w:val="24"/>
          <w:u w:val="single"/>
        </w:rPr>
        <w:t xml:space="preserve">          </w:t>
      </w:r>
    </w:p>
    <w:p w14:paraId="0866C840">
      <w:pPr>
        <w:pageBreakBefore w:val="0"/>
        <w:kinsoku/>
        <w:wordWrap/>
        <w:overflowPunct/>
        <w:topLinePunct w:val="0"/>
        <w:bidi w:val="0"/>
        <w:spacing w:line="560" w:lineRule="exact"/>
        <w:ind w:firstLine="3120" w:firstLineChars="1300"/>
        <w:textAlignment w:val="auto"/>
        <w:rPr>
          <w:rFonts w:hint="eastAsia" w:ascii="宋体" w:hAnsi="宋体" w:eastAsia="宋体" w:cs="宋体"/>
          <w:sz w:val="24"/>
          <w:szCs w:val="24"/>
        </w:rPr>
      </w:pPr>
    </w:p>
    <w:p w14:paraId="7CE95F26">
      <w:pPr>
        <w:pageBreakBefore w:val="0"/>
        <w:kinsoku/>
        <w:wordWrap/>
        <w:overflowPunct/>
        <w:topLinePunct w:val="0"/>
        <w:bidi w:val="0"/>
        <w:spacing w:line="560" w:lineRule="exact"/>
        <w:textAlignment w:val="auto"/>
        <w:rPr>
          <w:rFonts w:hint="eastAsia" w:ascii="宋体" w:hAnsi="宋体" w:eastAsia="宋体" w:cs="宋体"/>
          <w:sz w:val="24"/>
          <w:szCs w:val="24"/>
        </w:rPr>
      </w:pPr>
    </w:p>
    <w:p w14:paraId="5312ECA4">
      <w:pPr>
        <w:pStyle w:val="12"/>
        <w:jc w:val="center"/>
        <w:rPr>
          <w:rFonts w:hint="eastAsia"/>
          <w:b/>
          <w:bCs/>
          <w:sz w:val="24"/>
          <w:szCs w:val="24"/>
        </w:rPr>
      </w:pPr>
      <w:bookmarkStart w:id="408" w:name="_Toc27673_WPSOffice_Level2"/>
      <w:r>
        <w:rPr>
          <w:rFonts w:hint="eastAsia"/>
          <w:b/>
          <w:bCs/>
          <w:sz w:val="24"/>
          <w:szCs w:val="24"/>
        </w:rPr>
        <w:t>监狱企业声明函</w:t>
      </w:r>
      <w:bookmarkEnd w:id="408"/>
    </w:p>
    <w:p w14:paraId="487ECA39">
      <w:pPr>
        <w:pageBreakBefore w:val="0"/>
        <w:kinsoku/>
        <w:wordWrap/>
        <w:overflowPunct/>
        <w:topLinePunct w:val="0"/>
        <w:bidi w:val="0"/>
        <w:spacing w:line="560" w:lineRule="exact"/>
        <w:ind w:firstLine="480" w:firstLineChars="200"/>
        <w:textAlignment w:val="auto"/>
        <w:rPr>
          <w:rFonts w:hint="eastAsia" w:ascii="宋体" w:hAnsi="宋体" w:eastAsia="宋体" w:cs="宋体"/>
          <w:spacing w:val="6"/>
          <w:sz w:val="24"/>
          <w:szCs w:val="24"/>
        </w:rPr>
      </w:pPr>
      <w:r>
        <w:rPr>
          <w:rFonts w:hint="eastAsia" w:ascii="宋体" w:hAnsi="宋体" w:eastAsia="宋体" w:cs="宋体"/>
          <w:kern w:val="0"/>
          <w:sz w:val="24"/>
          <w:szCs w:val="24"/>
        </w:rPr>
        <w:t>本单位郑重声明</w:t>
      </w:r>
      <w:r>
        <w:rPr>
          <w:rFonts w:hint="eastAsia" w:ascii="宋体" w:hAnsi="宋体" w:eastAsia="宋体" w:cs="宋体"/>
          <w:kern w:val="0"/>
          <w:sz w:val="24"/>
          <w:szCs w:val="24"/>
          <w:lang w:eastAsia="zh-CN"/>
        </w:rPr>
        <w:t>，根据</w:t>
      </w:r>
      <w:r>
        <w:rPr>
          <w:rFonts w:hint="eastAsia" w:ascii="宋体" w:hAnsi="宋体" w:eastAsia="宋体" w:cs="宋体"/>
          <w:kern w:val="0"/>
          <w:sz w:val="24"/>
          <w:szCs w:val="24"/>
        </w:rPr>
        <w:t>《财政部 司法部关于政府采购支持监狱企业发展有关问题的通知》（财库〔2014〕68号）</w:t>
      </w:r>
      <w:r>
        <w:rPr>
          <w:rFonts w:hint="eastAsia" w:ascii="宋体" w:hAnsi="宋体" w:eastAsia="宋体" w:cs="宋体"/>
          <w:kern w:val="0"/>
          <w:sz w:val="24"/>
          <w:szCs w:val="24"/>
          <w:lang w:eastAsia="zh-CN"/>
        </w:rPr>
        <w:t>的规定，本单位为符合条件的监狱企业，</w:t>
      </w:r>
      <w:r>
        <w:rPr>
          <w:rFonts w:hint="eastAsia" w:ascii="宋体" w:hAnsi="宋体" w:eastAsia="宋体" w:cs="宋体"/>
          <w:spacing w:val="6"/>
          <w:sz w:val="24"/>
          <w:szCs w:val="24"/>
        </w:rPr>
        <w:t>且本单位参加</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单位的______项目采购活动提供本单位制造的货物（由本单位承担工程/提供服务）。</w:t>
      </w:r>
    </w:p>
    <w:p w14:paraId="16EE66B8">
      <w:pPr>
        <w:pageBreakBefore w:val="0"/>
        <w:widowControl/>
        <w:kinsoku/>
        <w:wordWrap/>
        <w:overflowPunct/>
        <w:topLinePunct w:val="0"/>
        <w:autoSpaceDE/>
        <w:autoSpaceDN/>
        <w:bidi w:val="0"/>
        <w:adjustRightInd/>
        <w:snapToGrid/>
        <w:spacing w:beforeAutospacing="0" w:afterAutospacing="0" w:line="560" w:lineRule="exact"/>
        <w:ind w:firstLine="480" w:firstLineChars="200"/>
        <w:jc w:val="left"/>
        <w:textAlignment w:val="auto"/>
        <w:rPr>
          <w:rFonts w:hint="eastAsia" w:ascii="宋体" w:hAnsi="宋体" w:eastAsia="宋体" w:cs="宋体"/>
          <w:kern w:val="0"/>
          <w:sz w:val="24"/>
          <w:szCs w:val="24"/>
          <w:lang w:eastAsia="zh-CN"/>
        </w:rPr>
      </w:pPr>
    </w:p>
    <w:p w14:paraId="200F4D96">
      <w:pPr>
        <w:pageBreakBefore w:val="0"/>
        <w:widowControl/>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spacing w:val="6"/>
          <w:sz w:val="24"/>
          <w:szCs w:val="24"/>
        </w:rPr>
      </w:pPr>
      <w:r>
        <w:rPr>
          <w:rFonts w:hint="eastAsia" w:ascii="宋体" w:hAnsi="宋体" w:eastAsia="宋体" w:cs="宋体"/>
          <w:kern w:val="0"/>
          <w:sz w:val="24"/>
          <w:szCs w:val="24"/>
        </w:rPr>
        <w:t>　</w:t>
      </w: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rPr>
        <w:t>本单位对上述声明的真实性负责。如有虚假，将依法承担相应责任。</w:t>
      </w:r>
    </w:p>
    <w:p w14:paraId="59C7A880">
      <w:pPr>
        <w:pageBreakBefore w:val="0"/>
        <w:kinsoku/>
        <w:wordWrap/>
        <w:overflowPunct/>
        <w:topLinePunct w:val="0"/>
        <w:bidi w:val="0"/>
        <w:spacing w:line="560" w:lineRule="exact"/>
        <w:ind w:firstLine="504" w:firstLineChars="200"/>
        <w:textAlignment w:val="auto"/>
        <w:rPr>
          <w:rFonts w:hint="eastAsia" w:ascii="宋体" w:hAnsi="宋体" w:eastAsia="宋体" w:cs="宋体"/>
          <w:spacing w:val="6"/>
          <w:sz w:val="24"/>
          <w:szCs w:val="24"/>
        </w:rPr>
      </w:pPr>
    </w:p>
    <w:p w14:paraId="48F54046">
      <w:pPr>
        <w:pageBreakBefore w:val="0"/>
        <w:kinsoku/>
        <w:wordWrap/>
        <w:overflowPunct/>
        <w:topLinePunct w:val="0"/>
        <w:bidi w:val="0"/>
        <w:spacing w:line="560" w:lineRule="exact"/>
        <w:ind w:firstLine="504" w:firstLineChars="200"/>
        <w:textAlignment w:val="auto"/>
        <w:rPr>
          <w:rFonts w:hint="eastAsia" w:ascii="宋体" w:hAnsi="宋体" w:eastAsia="宋体" w:cs="宋体"/>
          <w:spacing w:val="6"/>
          <w:sz w:val="24"/>
          <w:szCs w:val="24"/>
        </w:rPr>
      </w:pPr>
    </w:p>
    <w:p w14:paraId="6E6F15DB">
      <w:pPr>
        <w:pStyle w:val="9"/>
        <w:pageBreakBefore w:val="0"/>
        <w:widowControl/>
        <w:kinsoku/>
        <w:wordWrap/>
        <w:overflowPunct/>
        <w:topLinePunct w:val="0"/>
        <w:bidi w:val="0"/>
        <w:snapToGrid w:val="0"/>
        <w:spacing w:line="560" w:lineRule="exact"/>
        <w:ind w:firstLine="967" w:firstLineChars="384"/>
        <w:textAlignment w:val="auto"/>
        <w:rPr>
          <w:rFonts w:hint="eastAsia" w:ascii="宋体" w:hAnsi="宋体" w:eastAsia="宋体" w:cs="宋体"/>
          <w:sz w:val="24"/>
          <w:szCs w:val="24"/>
        </w:rPr>
      </w:pPr>
      <w:r>
        <w:rPr>
          <w:rFonts w:hint="eastAsia" w:ascii="宋体" w:hAnsi="宋体" w:eastAsia="宋体" w:cs="宋体"/>
          <w:spacing w:val="6"/>
          <w:sz w:val="24"/>
          <w:szCs w:val="24"/>
        </w:rPr>
        <w:t xml:space="preserve"> </w:t>
      </w:r>
      <w:r>
        <w:rPr>
          <w:rFonts w:hint="eastAsia" w:ascii="宋体" w:hAnsi="宋体" w:eastAsia="宋体" w:cs="宋体"/>
          <w:spacing w:val="6"/>
          <w:sz w:val="24"/>
          <w:szCs w:val="24"/>
          <w:lang w:val="en-US" w:eastAsia="zh-CN"/>
        </w:rPr>
        <w:t xml:space="preserve">   </w:t>
      </w:r>
      <w:r>
        <w:rPr>
          <w:rFonts w:hint="eastAsia" w:ascii="宋体" w:hAnsi="宋体" w:eastAsia="宋体" w:cs="宋体"/>
          <w:spacing w:val="6"/>
          <w:sz w:val="24"/>
          <w:szCs w:val="24"/>
          <w:lang w:eastAsia="zh-CN"/>
        </w:rPr>
        <w:t>单位</w:t>
      </w:r>
      <w:r>
        <w:rPr>
          <w:rFonts w:hint="eastAsia" w:ascii="宋体" w:hAnsi="宋体" w:eastAsia="宋体" w:cs="宋体"/>
          <w:sz w:val="24"/>
          <w:szCs w:val="24"/>
        </w:rPr>
        <w:t>名称：（盖章）</w:t>
      </w:r>
      <w:r>
        <w:rPr>
          <w:rFonts w:hint="eastAsia" w:ascii="宋体" w:hAnsi="宋体" w:eastAsia="宋体" w:cs="宋体"/>
          <w:sz w:val="24"/>
          <w:szCs w:val="24"/>
          <w:u w:val="single"/>
        </w:rPr>
        <w:t xml:space="preserve">            </w:t>
      </w:r>
    </w:p>
    <w:p w14:paraId="4A4AD083">
      <w:pPr>
        <w:pStyle w:val="9"/>
        <w:pageBreakBefore w:val="0"/>
        <w:widowControl/>
        <w:kinsoku/>
        <w:wordWrap/>
        <w:overflowPunct/>
        <w:topLinePunct w:val="0"/>
        <w:bidi w:val="0"/>
        <w:snapToGrid w:val="0"/>
        <w:spacing w:line="560" w:lineRule="exact"/>
        <w:ind w:firstLine="1440" w:firstLineChars="600"/>
        <w:textAlignment w:val="auto"/>
        <w:rPr>
          <w:rFonts w:hint="eastAsia" w:ascii="宋体" w:hAnsi="宋体" w:eastAsia="宋体" w:cs="宋体"/>
          <w:sz w:val="24"/>
          <w:szCs w:val="24"/>
          <w:u w:val="single"/>
        </w:rPr>
      </w:pPr>
      <w:r>
        <w:rPr>
          <w:rFonts w:hint="eastAsia" w:ascii="宋体" w:hAnsi="宋体" w:eastAsia="宋体" w:cs="宋体"/>
          <w:sz w:val="24"/>
          <w:szCs w:val="24"/>
          <w:u w:val="none"/>
          <w:lang w:eastAsia="zh-CN"/>
        </w:rPr>
        <w:t>日</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lang w:eastAsia="zh-CN"/>
        </w:rPr>
        <w:t>期：</w:t>
      </w:r>
      <w:r>
        <w:rPr>
          <w:rFonts w:hint="eastAsia" w:ascii="宋体" w:hAnsi="宋体" w:eastAsia="宋体" w:cs="宋体"/>
          <w:sz w:val="24"/>
          <w:szCs w:val="24"/>
          <w:u w:val="single"/>
        </w:rPr>
        <w:t xml:space="preserve">       </w:t>
      </w:r>
    </w:p>
    <w:p w14:paraId="2A8C4C38">
      <w:pPr>
        <w:pStyle w:val="9"/>
        <w:pageBreakBefore w:val="0"/>
        <w:widowControl/>
        <w:kinsoku/>
        <w:wordWrap/>
        <w:overflowPunct/>
        <w:topLinePunct w:val="0"/>
        <w:bidi w:val="0"/>
        <w:snapToGrid w:val="0"/>
        <w:spacing w:line="560" w:lineRule="exact"/>
        <w:ind w:firstLine="1440" w:firstLineChars="600"/>
        <w:textAlignment w:val="auto"/>
        <w:rPr>
          <w:rFonts w:hint="eastAsia" w:ascii="宋体" w:hAnsi="宋体" w:eastAsia="宋体" w:cs="宋体"/>
          <w:sz w:val="24"/>
          <w:szCs w:val="24"/>
          <w:u w:val="single"/>
        </w:rPr>
      </w:pPr>
    </w:p>
    <w:p w14:paraId="2EAC9C9D">
      <w:pPr>
        <w:pStyle w:val="9"/>
        <w:pageBreakBefore w:val="0"/>
        <w:widowControl/>
        <w:kinsoku/>
        <w:wordWrap/>
        <w:overflowPunct/>
        <w:topLinePunct w:val="0"/>
        <w:bidi w:val="0"/>
        <w:snapToGrid w:val="0"/>
        <w:spacing w:line="560" w:lineRule="exact"/>
        <w:ind w:firstLine="1440" w:firstLineChars="600"/>
        <w:textAlignment w:val="auto"/>
        <w:rPr>
          <w:rFonts w:hint="eastAsia" w:ascii="宋体" w:hAnsi="宋体" w:eastAsia="宋体" w:cs="宋体"/>
          <w:sz w:val="24"/>
          <w:szCs w:val="24"/>
          <w:u w:val="single"/>
        </w:rPr>
      </w:pPr>
    </w:p>
    <w:p w14:paraId="4754F4D0">
      <w:pPr>
        <w:keepNext w:val="0"/>
        <w:keepLines w:val="0"/>
        <w:pageBreakBefore w:val="0"/>
        <w:kinsoku/>
        <w:wordWrap/>
        <w:overflowPunct/>
        <w:topLinePunct w:val="0"/>
        <w:autoSpaceDE/>
        <w:autoSpaceDN/>
        <w:bidi w:val="0"/>
        <w:spacing w:line="560" w:lineRule="exact"/>
        <w:ind w:left="0" w:leftChars="0" w:right="0" w:rightChars="0" w:firstLine="0" w:firstLineChars="0"/>
        <w:jc w:val="center"/>
        <w:textAlignment w:val="auto"/>
        <w:outlineLvl w:val="9"/>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关于符合本国产品标准的声明函</w:t>
      </w:r>
    </w:p>
    <w:p w14:paraId="2D66CE5F">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ind w:left="0" w:right="0" w:firstLine="420"/>
        <w:rPr>
          <w:color w:val="auto"/>
        </w:rPr>
      </w:pPr>
      <w:r>
        <w:rPr>
          <w:rFonts w:hint="eastAsia" w:ascii="微软雅黑" w:hAnsi="微软雅黑" w:eastAsia="微软雅黑" w:cs="微软雅黑"/>
          <w:i w:val="0"/>
          <w:iCs w:val="0"/>
          <w:caps w:val="0"/>
          <w:color w:val="auto"/>
          <w:spacing w:val="0"/>
          <w:sz w:val="21"/>
          <w:szCs w:val="21"/>
        </w:rPr>
        <w:t> </w:t>
      </w:r>
    </w:p>
    <w:p w14:paraId="02B9884D">
      <w:pPr>
        <w:pageBreakBefore w:val="0"/>
        <w:widowControl/>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本公司（单位）郑重声明，根据《国务院办公厅关于在政府采购中实施本国产品标准及相关政策的通知》（国办发〔2025〕34号）的规定，本公司（单位）提供的以下产品属于本国产品。具体情况如下：</w:t>
      </w:r>
    </w:p>
    <w:p w14:paraId="3B3816B1">
      <w:pPr>
        <w:pageBreakBefore w:val="0"/>
        <w:widowControl/>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1.（产品名称1）1，生产厂为（厂名）2，厂址为（生产厂址）。（产品名称1）的中国境内生产的组件成本占比≥（规定比例）3。（产品名称1）的（关键组件）4在中国境内生产。（产品名称1）的（关键工序）5在中国境内完成。</w:t>
      </w:r>
    </w:p>
    <w:p w14:paraId="067DFD5D">
      <w:pPr>
        <w:pageBreakBefore w:val="0"/>
        <w:widowControl/>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2.（产品名称2），生产厂为（厂名），厂址为（生产厂址）。（产品名称2）的中国境内生产的组件成本占比≥（规定比例）。（产品名称2）的（关键组件）在中国境内生产。（产品名称2）的（关键工序）在中国境内完成。</w:t>
      </w:r>
    </w:p>
    <w:p w14:paraId="71F8AB34">
      <w:pPr>
        <w:pageBreakBefore w:val="0"/>
        <w:widowControl/>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w:t>
      </w:r>
    </w:p>
    <w:p w14:paraId="4D61E48B">
      <w:pPr>
        <w:pageBreakBefore w:val="0"/>
        <w:widowControl/>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本公司（单位）对上述声明内容的真实性负责。如有虚假，愿承担相应法律责任。</w:t>
      </w:r>
    </w:p>
    <w:p w14:paraId="456B236A">
      <w:pPr>
        <w:pageBreakBefore w:val="0"/>
        <w:widowControl/>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 </w:t>
      </w:r>
    </w:p>
    <w:p w14:paraId="4EC5E559">
      <w:pPr>
        <w:pageBreakBefore w:val="0"/>
        <w:widowControl/>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公司（单位）名称（盖章）：　        </w:t>
      </w:r>
    </w:p>
    <w:p w14:paraId="7F794D0A">
      <w:pPr>
        <w:pageBreakBefore w:val="0"/>
        <w:widowControl/>
        <w:kinsoku/>
        <w:wordWrap/>
        <w:overflowPunct/>
        <w:topLinePunct w:val="0"/>
        <w:autoSpaceDE/>
        <w:autoSpaceDN/>
        <w:bidi w:val="0"/>
        <w:adjustRightInd/>
        <w:snapToGrid/>
        <w:spacing w:beforeAutospacing="0" w:afterAutospacing="0" w:line="560" w:lineRule="exact"/>
        <w:jc w:val="left"/>
        <w:textAlignment w:val="auto"/>
        <w:rPr>
          <w:color w:val="auto"/>
        </w:rPr>
      </w:pPr>
      <w:r>
        <w:rPr>
          <w:rFonts w:hint="eastAsia" w:ascii="宋体" w:hAnsi="宋体" w:eastAsia="宋体" w:cs="宋体"/>
          <w:color w:val="auto"/>
          <w:kern w:val="0"/>
          <w:sz w:val="28"/>
          <w:szCs w:val="28"/>
        </w:rPr>
        <w:t>日期：　     年　  月　  日   </w:t>
      </w:r>
      <w:r>
        <w:rPr>
          <w:rFonts w:hint="eastAsia" w:ascii="微软雅黑" w:hAnsi="微软雅黑" w:eastAsia="微软雅黑" w:cs="微软雅黑"/>
          <w:i w:val="0"/>
          <w:iCs w:val="0"/>
          <w:caps w:val="0"/>
          <w:color w:val="auto"/>
          <w:spacing w:val="0"/>
          <w:sz w:val="21"/>
          <w:szCs w:val="21"/>
        </w:rPr>
        <w:t>      </w:t>
      </w:r>
    </w:p>
    <w:p w14:paraId="2E7E209A">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ind w:left="0" w:right="0" w:firstLine="0"/>
        <w:jc w:val="both"/>
        <w:rPr>
          <w:color w:val="auto"/>
        </w:rPr>
      </w:pPr>
      <w:r>
        <w:rPr>
          <w:rFonts w:hint="eastAsia" w:ascii="微软雅黑" w:hAnsi="微软雅黑" w:eastAsia="微软雅黑" w:cs="微软雅黑"/>
          <w:i w:val="0"/>
          <w:iCs w:val="0"/>
          <w:caps w:val="0"/>
          <w:color w:val="auto"/>
          <w:spacing w:val="0"/>
          <w:sz w:val="21"/>
          <w:szCs w:val="21"/>
        </w:rPr>
        <w:t>__________________</w:t>
      </w:r>
    </w:p>
    <w:p w14:paraId="6D72D73C">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1.产品如有型号，请在“产品名称”栏一并填写。</w:t>
      </w:r>
    </w:p>
    <w:p w14:paraId="5662C938">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2.生产厂名与厂址应与生产厂营业执照载明的相关信息保持一致。</w:t>
      </w:r>
    </w:p>
    <w:p w14:paraId="200CA111">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3.该产品的中国境内生产的组件成本占比相关要求实施前，“规定比例”栏可不填，下同。</w:t>
      </w:r>
    </w:p>
    <w:p w14:paraId="43B40BD2">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4.该产品的关键组件要求实施前，“关键组件”栏可不填，下同。</w:t>
      </w:r>
    </w:p>
    <w:p w14:paraId="60EE3295">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sz w:val="24"/>
          <w:szCs w:val="24"/>
          <w:u w:val="single"/>
        </w:rPr>
      </w:pPr>
      <w:r>
        <w:rPr>
          <w:rFonts w:hint="eastAsia" w:ascii="宋体" w:hAnsi="宋体" w:eastAsia="宋体" w:cs="宋体"/>
          <w:kern w:val="0"/>
          <w:sz w:val="24"/>
          <w:szCs w:val="24"/>
          <w:lang w:val="en-US" w:eastAsia="zh-CN"/>
        </w:rPr>
        <w:t xml:space="preserve">5.该产品的关键工序要求实施前，“关键工序”栏可不填，下同。 </w:t>
      </w:r>
      <w:r>
        <w:rPr>
          <w:rFonts w:hint="eastAsia" w:ascii="宋体" w:hAnsi="宋体" w:eastAsia="宋体" w:cs="宋体"/>
          <w:sz w:val="24"/>
          <w:szCs w:val="24"/>
          <w:u w:val="single"/>
        </w:rPr>
        <w:t xml:space="preserve">  </w:t>
      </w:r>
      <w:bookmarkStart w:id="409" w:name="_Toc20580_WPSOffice_Level2"/>
    </w:p>
    <w:p w14:paraId="5A455EAB">
      <w:pPr>
        <w:pStyle w:val="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格式3-8：小型微型企业产品、环境标志产品、节能产品、进口产品明细表</w:t>
      </w:r>
      <w:bookmarkEnd w:id="409"/>
    </w:p>
    <w:p w14:paraId="3790993D">
      <w:pPr>
        <w:pStyle w:val="2"/>
        <w:pageBreakBefore w:val="0"/>
        <w:kinsoku/>
        <w:wordWrap/>
        <w:overflowPunct/>
        <w:topLinePunct w:val="0"/>
        <w:bidi w:val="0"/>
        <w:spacing w:line="560" w:lineRule="exact"/>
        <w:jc w:val="center"/>
        <w:textAlignment w:val="auto"/>
        <w:outlineLvl w:val="9"/>
        <w:rPr>
          <w:rFonts w:hint="eastAsia" w:ascii="宋体" w:hAnsi="宋体" w:eastAsia="宋体" w:cs="宋体"/>
          <w:b/>
          <w:bCs/>
          <w:spacing w:val="0"/>
          <w:kern w:val="0"/>
          <w:sz w:val="24"/>
          <w:szCs w:val="24"/>
          <w:lang w:val="en-US" w:eastAsia="zh-CN" w:bidi="ar-SA"/>
        </w:rPr>
      </w:pPr>
      <w:r>
        <w:rPr>
          <w:rFonts w:hint="eastAsia" w:ascii="宋体" w:hAnsi="宋体" w:eastAsia="宋体" w:cs="宋体"/>
          <w:b/>
          <w:bCs/>
          <w:spacing w:val="0"/>
          <w:kern w:val="0"/>
          <w:sz w:val="24"/>
          <w:szCs w:val="24"/>
          <w:lang w:val="en-US" w:eastAsia="zh-CN" w:bidi="ar-SA"/>
        </w:rPr>
        <w:t>小型、微型企业产品</w:t>
      </w:r>
    </w:p>
    <w:p w14:paraId="0D8B6707">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项目编号</w:t>
      </w:r>
      <w:r>
        <w:rPr>
          <w:rFonts w:hint="eastAsia" w:ascii="宋体" w:hAnsi="宋体" w:cs="宋体"/>
          <w:kern w:val="0"/>
          <w:sz w:val="24"/>
          <w:szCs w:val="24"/>
          <w:lang w:eastAsia="zh-CN"/>
        </w:rPr>
        <w:t>、</w:t>
      </w:r>
      <w:r>
        <w:rPr>
          <w:rFonts w:hint="eastAsia" w:ascii="宋体" w:hAnsi="宋体" w:cs="宋体"/>
          <w:kern w:val="0"/>
          <w:sz w:val="24"/>
          <w:szCs w:val="24"/>
          <w:lang w:val="en-US" w:eastAsia="zh-CN"/>
        </w:rPr>
        <w:t>项目名称</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rPr>
        <w:t xml:space="preserve"> 报价单位：人民币元       </w:t>
      </w:r>
    </w:p>
    <w:tbl>
      <w:tblPr>
        <w:tblStyle w:val="32"/>
        <w:tblpPr w:leftFromText="180" w:rightFromText="180" w:vertAnchor="text" w:horzAnchor="margin" w:tblpXSpec="center" w:tblpY="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418"/>
        <w:gridCol w:w="1275"/>
        <w:gridCol w:w="1970"/>
        <w:gridCol w:w="1528"/>
        <w:gridCol w:w="1050"/>
        <w:gridCol w:w="1140"/>
        <w:gridCol w:w="1057"/>
      </w:tblGrid>
      <w:tr w14:paraId="70489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817" w:type="dxa"/>
            <w:vMerge w:val="restart"/>
            <w:tcBorders>
              <w:top w:val="single" w:color="auto" w:sz="12" w:space="0"/>
              <w:left w:val="single" w:color="auto" w:sz="12" w:space="0"/>
              <w:bottom w:val="single" w:color="auto" w:sz="4" w:space="0"/>
              <w:right w:val="single" w:color="auto" w:sz="4" w:space="0"/>
            </w:tcBorders>
            <w:noWrap w:val="0"/>
            <w:vAlign w:val="center"/>
          </w:tcPr>
          <w:p w14:paraId="54167F3B">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编号</w:t>
            </w:r>
          </w:p>
        </w:tc>
        <w:tc>
          <w:tcPr>
            <w:tcW w:w="1418" w:type="dxa"/>
            <w:vMerge w:val="restart"/>
            <w:tcBorders>
              <w:top w:val="single" w:color="auto" w:sz="12" w:space="0"/>
              <w:left w:val="single" w:color="auto" w:sz="4" w:space="0"/>
              <w:bottom w:val="single" w:color="auto" w:sz="4" w:space="0"/>
              <w:right w:val="single" w:color="auto" w:sz="4" w:space="0"/>
            </w:tcBorders>
            <w:noWrap w:val="0"/>
            <w:vAlign w:val="center"/>
          </w:tcPr>
          <w:p w14:paraId="2C86E689">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货物名称</w:t>
            </w:r>
          </w:p>
        </w:tc>
        <w:tc>
          <w:tcPr>
            <w:tcW w:w="1275" w:type="dxa"/>
            <w:vMerge w:val="restart"/>
            <w:tcBorders>
              <w:top w:val="single" w:color="auto" w:sz="12" w:space="0"/>
              <w:left w:val="single" w:color="auto" w:sz="4" w:space="0"/>
              <w:bottom w:val="single" w:color="auto" w:sz="4" w:space="0"/>
              <w:right w:val="single" w:color="auto" w:sz="4" w:space="0"/>
            </w:tcBorders>
            <w:noWrap w:val="0"/>
            <w:vAlign w:val="center"/>
          </w:tcPr>
          <w:p w14:paraId="7356A3D9">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制造商</w:t>
            </w:r>
          </w:p>
        </w:tc>
        <w:tc>
          <w:tcPr>
            <w:tcW w:w="1970" w:type="dxa"/>
            <w:vMerge w:val="restart"/>
            <w:tcBorders>
              <w:top w:val="single" w:color="auto" w:sz="12" w:space="0"/>
              <w:left w:val="single" w:color="auto" w:sz="4" w:space="0"/>
              <w:bottom w:val="single" w:color="auto" w:sz="4" w:space="0"/>
              <w:right w:val="single" w:color="auto" w:sz="4" w:space="0"/>
            </w:tcBorders>
            <w:noWrap w:val="0"/>
            <w:vAlign w:val="center"/>
          </w:tcPr>
          <w:p w14:paraId="2B466F95">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品牌</w:t>
            </w:r>
          </w:p>
        </w:tc>
        <w:tc>
          <w:tcPr>
            <w:tcW w:w="1528" w:type="dxa"/>
            <w:vMerge w:val="restart"/>
            <w:tcBorders>
              <w:top w:val="single" w:color="auto" w:sz="12" w:space="0"/>
              <w:left w:val="single" w:color="auto" w:sz="4" w:space="0"/>
              <w:bottom w:val="single" w:color="auto" w:sz="4" w:space="0"/>
              <w:right w:val="single" w:color="auto" w:sz="4" w:space="0"/>
            </w:tcBorders>
            <w:noWrap w:val="0"/>
            <w:vAlign w:val="center"/>
          </w:tcPr>
          <w:p w14:paraId="7AC63B9A">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产品型号</w:t>
            </w:r>
          </w:p>
        </w:tc>
        <w:tc>
          <w:tcPr>
            <w:tcW w:w="3247" w:type="dxa"/>
            <w:gridSpan w:val="3"/>
            <w:tcBorders>
              <w:top w:val="single" w:color="auto" w:sz="12" w:space="0"/>
              <w:left w:val="single" w:color="auto" w:sz="4" w:space="0"/>
              <w:bottom w:val="single" w:color="auto" w:sz="4" w:space="0"/>
              <w:right w:val="single" w:color="auto" w:sz="12" w:space="0"/>
            </w:tcBorders>
            <w:noWrap w:val="0"/>
            <w:vAlign w:val="center"/>
          </w:tcPr>
          <w:p w14:paraId="35C457A6">
            <w:pPr>
              <w:pageBreakBefore w:val="0"/>
              <w:kinsoku/>
              <w:wordWrap/>
              <w:overflowPunct/>
              <w:topLinePunct w:val="0"/>
              <w:autoSpaceDE w:val="0"/>
              <w:autoSpaceDN w:val="0"/>
              <w:bidi w:val="0"/>
              <w:adjustRightInd w:val="0"/>
              <w:spacing w:line="560" w:lineRule="exact"/>
              <w:ind w:firstLine="1200" w:firstLineChars="50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价格</w:t>
            </w:r>
          </w:p>
        </w:tc>
      </w:tr>
      <w:tr w14:paraId="3D993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817" w:type="dxa"/>
            <w:vMerge w:val="continue"/>
            <w:tcBorders>
              <w:top w:val="single" w:color="auto" w:sz="12" w:space="0"/>
              <w:left w:val="single" w:color="auto" w:sz="12" w:space="0"/>
              <w:bottom w:val="single" w:color="auto" w:sz="4" w:space="0"/>
              <w:right w:val="single" w:color="auto" w:sz="4" w:space="0"/>
            </w:tcBorders>
            <w:noWrap w:val="0"/>
            <w:vAlign w:val="center"/>
          </w:tcPr>
          <w:p w14:paraId="522B8E27">
            <w:pPr>
              <w:pageBreakBefore w:val="0"/>
              <w:widowControl/>
              <w:kinsoku/>
              <w:wordWrap/>
              <w:overflowPunct/>
              <w:topLinePunct w:val="0"/>
              <w:bidi w:val="0"/>
              <w:spacing w:line="560" w:lineRule="exact"/>
              <w:jc w:val="left"/>
              <w:textAlignment w:val="auto"/>
              <w:outlineLvl w:val="9"/>
              <w:rPr>
                <w:rFonts w:hint="eastAsia" w:ascii="宋体" w:hAnsi="宋体" w:eastAsia="宋体" w:cs="宋体"/>
                <w:kern w:val="0"/>
                <w:sz w:val="24"/>
                <w:szCs w:val="24"/>
              </w:rPr>
            </w:pPr>
          </w:p>
        </w:tc>
        <w:tc>
          <w:tcPr>
            <w:tcW w:w="1418" w:type="dxa"/>
            <w:vMerge w:val="continue"/>
            <w:tcBorders>
              <w:top w:val="single" w:color="auto" w:sz="12" w:space="0"/>
              <w:left w:val="single" w:color="auto" w:sz="4" w:space="0"/>
              <w:bottom w:val="single" w:color="auto" w:sz="4" w:space="0"/>
              <w:right w:val="single" w:color="auto" w:sz="4" w:space="0"/>
            </w:tcBorders>
            <w:noWrap w:val="0"/>
            <w:vAlign w:val="center"/>
          </w:tcPr>
          <w:p w14:paraId="7EDA6683">
            <w:pPr>
              <w:pageBreakBefore w:val="0"/>
              <w:widowControl/>
              <w:kinsoku/>
              <w:wordWrap/>
              <w:overflowPunct/>
              <w:topLinePunct w:val="0"/>
              <w:bidi w:val="0"/>
              <w:spacing w:line="560" w:lineRule="exact"/>
              <w:jc w:val="left"/>
              <w:textAlignment w:val="auto"/>
              <w:outlineLvl w:val="9"/>
              <w:rPr>
                <w:rFonts w:hint="eastAsia" w:ascii="宋体" w:hAnsi="宋体" w:eastAsia="宋体" w:cs="宋体"/>
                <w:kern w:val="0"/>
                <w:sz w:val="24"/>
                <w:szCs w:val="24"/>
              </w:rPr>
            </w:pPr>
          </w:p>
        </w:tc>
        <w:tc>
          <w:tcPr>
            <w:tcW w:w="1275" w:type="dxa"/>
            <w:vMerge w:val="continue"/>
            <w:tcBorders>
              <w:top w:val="single" w:color="auto" w:sz="12" w:space="0"/>
              <w:left w:val="single" w:color="auto" w:sz="4" w:space="0"/>
              <w:bottom w:val="single" w:color="auto" w:sz="4" w:space="0"/>
              <w:right w:val="single" w:color="auto" w:sz="4" w:space="0"/>
            </w:tcBorders>
            <w:noWrap w:val="0"/>
            <w:vAlign w:val="center"/>
          </w:tcPr>
          <w:p w14:paraId="28B1C842">
            <w:pPr>
              <w:pageBreakBefore w:val="0"/>
              <w:widowControl/>
              <w:kinsoku/>
              <w:wordWrap/>
              <w:overflowPunct/>
              <w:topLinePunct w:val="0"/>
              <w:bidi w:val="0"/>
              <w:spacing w:line="560" w:lineRule="exact"/>
              <w:jc w:val="left"/>
              <w:textAlignment w:val="auto"/>
              <w:outlineLvl w:val="9"/>
              <w:rPr>
                <w:rFonts w:hint="eastAsia" w:ascii="宋体" w:hAnsi="宋体" w:eastAsia="宋体" w:cs="宋体"/>
                <w:kern w:val="0"/>
                <w:sz w:val="24"/>
                <w:szCs w:val="24"/>
              </w:rPr>
            </w:pPr>
          </w:p>
        </w:tc>
        <w:tc>
          <w:tcPr>
            <w:tcW w:w="1970" w:type="dxa"/>
            <w:vMerge w:val="continue"/>
            <w:tcBorders>
              <w:top w:val="single" w:color="auto" w:sz="12" w:space="0"/>
              <w:left w:val="single" w:color="auto" w:sz="4" w:space="0"/>
              <w:bottom w:val="single" w:color="auto" w:sz="4" w:space="0"/>
              <w:right w:val="single" w:color="auto" w:sz="4" w:space="0"/>
            </w:tcBorders>
            <w:noWrap w:val="0"/>
            <w:vAlign w:val="center"/>
          </w:tcPr>
          <w:p w14:paraId="09CB69C8">
            <w:pPr>
              <w:pageBreakBefore w:val="0"/>
              <w:widowControl/>
              <w:kinsoku/>
              <w:wordWrap/>
              <w:overflowPunct/>
              <w:topLinePunct w:val="0"/>
              <w:bidi w:val="0"/>
              <w:spacing w:line="560" w:lineRule="exact"/>
              <w:jc w:val="left"/>
              <w:textAlignment w:val="auto"/>
              <w:outlineLvl w:val="9"/>
              <w:rPr>
                <w:rFonts w:hint="eastAsia" w:ascii="宋体" w:hAnsi="宋体" w:eastAsia="宋体" w:cs="宋体"/>
                <w:kern w:val="0"/>
                <w:sz w:val="24"/>
                <w:szCs w:val="24"/>
              </w:rPr>
            </w:pPr>
          </w:p>
        </w:tc>
        <w:tc>
          <w:tcPr>
            <w:tcW w:w="1528" w:type="dxa"/>
            <w:vMerge w:val="continue"/>
            <w:tcBorders>
              <w:top w:val="single" w:color="auto" w:sz="12" w:space="0"/>
              <w:left w:val="single" w:color="auto" w:sz="4" w:space="0"/>
              <w:bottom w:val="single" w:color="auto" w:sz="4" w:space="0"/>
              <w:right w:val="single" w:color="auto" w:sz="4" w:space="0"/>
            </w:tcBorders>
            <w:noWrap w:val="0"/>
            <w:vAlign w:val="center"/>
          </w:tcPr>
          <w:p w14:paraId="60284FCD">
            <w:pPr>
              <w:pageBreakBefore w:val="0"/>
              <w:widowControl/>
              <w:kinsoku/>
              <w:wordWrap/>
              <w:overflowPunct/>
              <w:topLinePunct w:val="0"/>
              <w:bidi w:val="0"/>
              <w:spacing w:line="560" w:lineRule="exact"/>
              <w:jc w:val="left"/>
              <w:textAlignment w:val="auto"/>
              <w:outlineLvl w:val="9"/>
              <w:rPr>
                <w:rFonts w:hint="eastAsia" w:ascii="宋体" w:hAnsi="宋体" w:eastAsia="宋体" w:cs="宋体"/>
                <w:kern w:val="0"/>
                <w:sz w:val="24"/>
                <w:szCs w:val="24"/>
              </w:rPr>
            </w:pPr>
          </w:p>
        </w:tc>
        <w:tc>
          <w:tcPr>
            <w:tcW w:w="1050" w:type="dxa"/>
            <w:tcBorders>
              <w:top w:val="single" w:color="auto" w:sz="4" w:space="0"/>
              <w:left w:val="single" w:color="auto" w:sz="4" w:space="0"/>
              <w:bottom w:val="single" w:color="auto" w:sz="4" w:space="0"/>
              <w:right w:val="single" w:color="auto" w:sz="4" w:space="0"/>
            </w:tcBorders>
            <w:noWrap w:val="0"/>
            <w:vAlign w:val="center"/>
          </w:tcPr>
          <w:p w14:paraId="69A10BDF">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单价</w:t>
            </w:r>
          </w:p>
        </w:tc>
        <w:tc>
          <w:tcPr>
            <w:tcW w:w="1140" w:type="dxa"/>
            <w:tcBorders>
              <w:top w:val="single" w:color="auto" w:sz="4" w:space="0"/>
              <w:left w:val="single" w:color="auto" w:sz="4" w:space="0"/>
              <w:bottom w:val="single" w:color="auto" w:sz="4" w:space="0"/>
              <w:right w:val="single" w:color="auto" w:sz="4" w:space="0"/>
            </w:tcBorders>
            <w:noWrap w:val="0"/>
            <w:vAlign w:val="center"/>
          </w:tcPr>
          <w:p w14:paraId="37624C3A">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数量</w:t>
            </w:r>
          </w:p>
        </w:tc>
        <w:tc>
          <w:tcPr>
            <w:tcW w:w="1057" w:type="dxa"/>
            <w:tcBorders>
              <w:top w:val="single" w:color="auto" w:sz="4" w:space="0"/>
              <w:left w:val="single" w:color="auto" w:sz="4" w:space="0"/>
              <w:bottom w:val="single" w:color="auto" w:sz="4" w:space="0"/>
              <w:right w:val="single" w:color="auto" w:sz="12" w:space="0"/>
            </w:tcBorders>
            <w:noWrap w:val="0"/>
            <w:vAlign w:val="center"/>
          </w:tcPr>
          <w:p w14:paraId="24F9F07B">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小计</w:t>
            </w:r>
          </w:p>
        </w:tc>
      </w:tr>
      <w:tr w14:paraId="11AA1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817" w:type="dxa"/>
            <w:tcBorders>
              <w:top w:val="single" w:color="auto" w:sz="4" w:space="0"/>
              <w:left w:val="single" w:color="auto" w:sz="12" w:space="0"/>
              <w:bottom w:val="single" w:color="auto" w:sz="4" w:space="0"/>
              <w:right w:val="single" w:color="auto" w:sz="4" w:space="0"/>
            </w:tcBorders>
            <w:noWrap w:val="0"/>
            <w:vAlign w:val="top"/>
          </w:tcPr>
          <w:p w14:paraId="322DDC71">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p w14:paraId="1C0A4DCC">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418" w:type="dxa"/>
            <w:tcBorders>
              <w:top w:val="single" w:color="auto" w:sz="4" w:space="0"/>
              <w:left w:val="single" w:color="auto" w:sz="4" w:space="0"/>
              <w:bottom w:val="single" w:color="auto" w:sz="4" w:space="0"/>
              <w:right w:val="single" w:color="auto" w:sz="4" w:space="0"/>
            </w:tcBorders>
            <w:noWrap w:val="0"/>
            <w:vAlign w:val="top"/>
          </w:tcPr>
          <w:p w14:paraId="17B124C7">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275" w:type="dxa"/>
            <w:tcBorders>
              <w:top w:val="single" w:color="auto" w:sz="4" w:space="0"/>
              <w:left w:val="single" w:color="auto" w:sz="4" w:space="0"/>
              <w:bottom w:val="single" w:color="auto" w:sz="4" w:space="0"/>
              <w:right w:val="single" w:color="auto" w:sz="4" w:space="0"/>
            </w:tcBorders>
            <w:noWrap w:val="0"/>
            <w:vAlign w:val="top"/>
          </w:tcPr>
          <w:p w14:paraId="22F3E5A6">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top"/>
          </w:tcPr>
          <w:p w14:paraId="23109757">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528" w:type="dxa"/>
            <w:tcBorders>
              <w:top w:val="single" w:color="auto" w:sz="4" w:space="0"/>
              <w:left w:val="single" w:color="auto" w:sz="4" w:space="0"/>
              <w:bottom w:val="single" w:color="auto" w:sz="4" w:space="0"/>
              <w:right w:val="single" w:color="auto" w:sz="4" w:space="0"/>
            </w:tcBorders>
            <w:noWrap w:val="0"/>
            <w:vAlign w:val="top"/>
          </w:tcPr>
          <w:p w14:paraId="7368E4BC">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050" w:type="dxa"/>
            <w:tcBorders>
              <w:top w:val="single" w:color="auto" w:sz="4" w:space="0"/>
              <w:left w:val="single" w:color="auto" w:sz="4" w:space="0"/>
              <w:bottom w:val="single" w:color="auto" w:sz="4" w:space="0"/>
              <w:right w:val="single" w:color="auto" w:sz="4" w:space="0"/>
            </w:tcBorders>
            <w:noWrap w:val="0"/>
            <w:vAlign w:val="top"/>
          </w:tcPr>
          <w:p w14:paraId="22C7C7E9">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140" w:type="dxa"/>
            <w:tcBorders>
              <w:top w:val="single" w:color="auto" w:sz="4" w:space="0"/>
              <w:left w:val="single" w:color="auto" w:sz="4" w:space="0"/>
              <w:bottom w:val="single" w:color="auto" w:sz="4" w:space="0"/>
              <w:right w:val="single" w:color="auto" w:sz="4" w:space="0"/>
            </w:tcBorders>
            <w:noWrap w:val="0"/>
            <w:vAlign w:val="top"/>
          </w:tcPr>
          <w:p w14:paraId="2FD46184">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057" w:type="dxa"/>
            <w:tcBorders>
              <w:top w:val="single" w:color="auto" w:sz="4" w:space="0"/>
              <w:left w:val="single" w:color="auto" w:sz="4" w:space="0"/>
              <w:bottom w:val="single" w:color="auto" w:sz="4" w:space="0"/>
              <w:right w:val="single" w:color="auto" w:sz="12" w:space="0"/>
            </w:tcBorders>
            <w:noWrap w:val="0"/>
            <w:vAlign w:val="top"/>
          </w:tcPr>
          <w:p w14:paraId="3E934A5B">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r>
      <w:tr w14:paraId="0E89E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817" w:type="dxa"/>
            <w:tcBorders>
              <w:top w:val="single" w:color="auto" w:sz="4" w:space="0"/>
              <w:left w:val="single" w:color="auto" w:sz="12" w:space="0"/>
              <w:bottom w:val="single" w:color="auto" w:sz="4" w:space="0"/>
              <w:right w:val="single" w:color="auto" w:sz="4" w:space="0"/>
            </w:tcBorders>
            <w:noWrap w:val="0"/>
            <w:vAlign w:val="top"/>
          </w:tcPr>
          <w:p w14:paraId="100D0754">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p w14:paraId="1927CA73">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1418" w:type="dxa"/>
            <w:tcBorders>
              <w:top w:val="single" w:color="auto" w:sz="4" w:space="0"/>
              <w:left w:val="single" w:color="auto" w:sz="4" w:space="0"/>
              <w:bottom w:val="single" w:color="auto" w:sz="4" w:space="0"/>
              <w:right w:val="single" w:color="auto" w:sz="4" w:space="0"/>
            </w:tcBorders>
            <w:noWrap w:val="0"/>
            <w:vAlign w:val="top"/>
          </w:tcPr>
          <w:p w14:paraId="35961D9B">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275" w:type="dxa"/>
            <w:tcBorders>
              <w:top w:val="single" w:color="auto" w:sz="4" w:space="0"/>
              <w:left w:val="single" w:color="auto" w:sz="4" w:space="0"/>
              <w:bottom w:val="single" w:color="auto" w:sz="4" w:space="0"/>
              <w:right w:val="single" w:color="auto" w:sz="4" w:space="0"/>
            </w:tcBorders>
            <w:noWrap w:val="0"/>
            <w:vAlign w:val="top"/>
          </w:tcPr>
          <w:p w14:paraId="2FB755BA">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top"/>
          </w:tcPr>
          <w:p w14:paraId="652ACC31">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528" w:type="dxa"/>
            <w:tcBorders>
              <w:top w:val="single" w:color="auto" w:sz="4" w:space="0"/>
              <w:left w:val="single" w:color="auto" w:sz="4" w:space="0"/>
              <w:bottom w:val="single" w:color="auto" w:sz="4" w:space="0"/>
              <w:right w:val="single" w:color="auto" w:sz="4" w:space="0"/>
            </w:tcBorders>
            <w:noWrap w:val="0"/>
            <w:vAlign w:val="top"/>
          </w:tcPr>
          <w:p w14:paraId="0126F6AC">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050" w:type="dxa"/>
            <w:tcBorders>
              <w:top w:val="single" w:color="auto" w:sz="4" w:space="0"/>
              <w:left w:val="single" w:color="auto" w:sz="4" w:space="0"/>
              <w:bottom w:val="single" w:color="auto" w:sz="4" w:space="0"/>
              <w:right w:val="single" w:color="auto" w:sz="4" w:space="0"/>
            </w:tcBorders>
            <w:noWrap w:val="0"/>
            <w:vAlign w:val="top"/>
          </w:tcPr>
          <w:p w14:paraId="50723046">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140" w:type="dxa"/>
            <w:tcBorders>
              <w:top w:val="single" w:color="auto" w:sz="4" w:space="0"/>
              <w:left w:val="single" w:color="auto" w:sz="4" w:space="0"/>
              <w:bottom w:val="single" w:color="auto" w:sz="4" w:space="0"/>
              <w:right w:val="single" w:color="auto" w:sz="4" w:space="0"/>
            </w:tcBorders>
            <w:noWrap w:val="0"/>
            <w:vAlign w:val="top"/>
          </w:tcPr>
          <w:p w14:paraId="59A8475B">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057" w:type="dxa"/>
            <w:tcBorders>
              <w:top w:val="single" w:color="auto" w:sz="4" w:space="0"/>
              <w:left w:val="single" w:color="auto" w:sz="4" w:space="0"/>
              <w:bottom w:val="single" w:color="auto" w:sz="4" w:space="0"/>
              <w:right w:val="single" w:color="auto" w:sz="12" w:space="0"/>
            </w:tcBorders>
            <w:noWrap w:val="0"/>
            <w:vAlign w:val="top"/>
          </w:tcPr>
          <w:p w14:paraId="3320E853">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r>
      <w:tr w14:paraId="153E4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817" w:type="dxa"/>
            <w:tcBorders>
              <w:top w:val="single" w:color="auto" w:sz="4" w:space="0"/>
              <w:left w:val="single" w:color="auto" w:sz="12" w:space="0"/>
              <w:bottom w:val="single" w:color="auto" w:sz="4" w:space="0"/>
              <w:right w:val="single" w:color="auto" w:sz="4" w:space="0"/>
            </w:tcBorders>
            <w:noWrap w:val="0"/>
            <w:vAlign w:val="top"/>
          </w:tcPr>
          <w:p w14:paraId="6ADF56C5">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p w14:paraId="03832164">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418" w:type="dxa"/>
            <w:tcBorders>
              <w:top w:val="single" w:color="auto" w:sz="4" w:space="0"/>
              <w:left w:val="single" w:color="auto" w:sz="4" w:space="0"/>
              <w:bottom w:val="single" w:color="auto" w:sz="4" w:space="0"/>
              <w:right w:val="single" w:color="auto" w:sz="4" w:space="0"/>
            </w:tcBorders>
            <w:noWrap w:val="0"/>
            <w:vAlign w:val="top"/>
          </w:tcPr>
          <w:p w14:paraId="4EE9723B">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p w14:paraId="40739287">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1275" w:type="dxa"/>
            <w:tcBorders>
              <w:top w:val="single" w:color="auto" w:sz="4" w:space="0"/>
              <w:left w:val="single" w:color="auto" w:sz="4" w:space="0"/>
              <w:bottom w:val="single" w:color="auto" w:sz="4" w:space="0"/>
              <w:right w:val="single" w:color="auto" w:sz="4" w:space="0"/>
            </w:tcBorders>
            <w:noWrap w:val="0"/>
            <w:vAlign w:val="top"/>
          </w:tcPr>
          <w:p w14:paraId="2A23FCDD">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top"/>
          </w:tcPr>
          <w:p w14:paraId="2A64CE7E">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528" w:type="dxa"/>
            <w:tcBorders>
              <w:top w:val="single" w:color="auto" w:sz="4" w:space="0"/>
              <w:left w:val="single" w:color="auto" w:sz="4" w:space="0"/>
              <w:bottom w:val="single" w:color="auto" w:sz="4" w:space="0"/>
              <w:right w:val="single" w:color="auto" w:sz="4" w:space="0"/>
            </w:tcBorders>
            <w:noWrap w:val="0"/>
            <w:vAlign w:val="top"/>
          </w:tcPr>
          <w:p w14:paraId="39C3F974">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050" w:type="dxa"/>
            <w:tcBorders>
              <w:top w:val="single" w:color="auto" w:sz="4" w:space="0"/>
              <w:left w:val="single" w:color="auto" w:sz="4" w:space="0"/>
              <w:bottom w:val="single" w:color="auto" w:sz="4" w:space="0"/>
              <w:right w:val="single" w:color="auto" w:sz="4" w:space="0"/>
            </w:tcBorders>
            <w:noWrap w:val="0"/>
            <w:vAlign w:val="top"/>
          </w:tcPr>
          <w:p w14:paraId="3D19141C">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140" w:type="dxa"/>
            <w:tcBorders>
              <w:top w:val="single" w:color="auto" w:sz="4" w:space="0"/>
              <w:left w:val="single" w:color="auto" w:sz="4" w:space="0"/>
              <w:bottom w:val="single" w:color="auto" w:sz="4" w:space="0"/>
              <w:right w:val="single" w:color="auto" w:sz="4" w:space="0"/>
            </w:tcBorders>
            <w:noWrap w:val="0"/>
            <w:vAlign w:val="top"/>
          </w:tcPr>
          <w:p w14:paraId="0C4D9530">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057" w:type="dxa"/>
            <w:tcBorders>
              <w:top w:val="single" w:color="auto" w:sz="4" w:space="0"/>
              <w:left w:val="single" w:color="auto" w:sz="4" w:space="0"/>
              <w:bottom w:val="single" w:color="auto" w:sz="4" w:space="0"/>
              <w:right w:val="single" w:color="auto" w:sz="12" w:space="0"/>
            </w:tcBorders>
            <w:noWrap w:val="0"/>
            <w:vAlign w:val="top"/>
          </w:tcPr>
          <w:p w14:paraId="684DE2F5">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r>
    </w:tbl>
    <w:p w14:paraId="0A850966">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说明：如所报货物为小型、微型企业产品，必须按要求逐项填写，否则评</w:t>
      </w:r>
      <w:r>
        <w:rPr>
          <w:rFonts w:hint="eastAsia" w:ascii="宋体" w:hAnsi="宋体" w:eastAsia="宋体" w:cs="宋体"/>
          <w:kern w:val="0"/>
          <w:sz w:val="24"/>
          <w:szCs w:val="24"/>
          <w:lang w:val="en-US" w:eastAsia="zh-CN"/>
        </w:rPr>
        <w:t>审</w:t>
      </w:r>
      <w:r>
        <w:rPr>
          <w:rFonts w:hint="eastAsia" w:ascii="宋体" w:hAnsi="宋体" w:eastAsia="宋体" w:cs="宋体"/>
          <w:kern w:val="0"/>
          <w:sz w:val="24"/>
          <w:szCs w:val="24"/>
        </w:rPr>
        <w:t>时不予价格扣除。</w:t>
      </w:r>
    </w:p>
    <w:p w14:paraId="7DA83440">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14:paraId="2E8DBDBF">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u w:val="none"/>
        </w:rPr>
      </w:pPr>
      <w:bookmarkStart w:id="410" w:name="_Toc46136868"/>
      <w:bookmarkStart w:id="411" w:name="_Toc7026"/>
      <w:bookmarkStart w:id="412" w:name="_Toc46238285"/>
      <w:bookmarkStart w:id="413" w:name="_Toc4767_WPSOffice_Level2"/>
      <w:r>
        <w:rPr>
          <w:rFonts w:hint="eastAsia" w:ascii="宋体" w:hAnsi="宋体" w:eastAsia="宋体" w:cs="宋体"/>
          <w:b/>
          <w:bCs/>
          <w:sz w:val="24"/>
          <w:szCs w:val="24"/>
          <w:u w:val="none"/>
        </w:rPr>
        <w:t>环境标志产品明细表</w:t>
      </w:r>
      <w:bookmarkEnd w:id="410"/>
      <w:bookmarkEnd w:id="411"/>
      <w:bookmarkEnd w:id="412"/>
      <w:bookmarkEnd w:id="413"/>
    </w:p>
    <w:p w14:paraId="71F3DB6B">
      <w:pPr>
        <w:pageBreakBefore w:val="0"/>
        <w:kinsoku/>
        <w:wordWrap/>
        <w:overflowPunct/>
        <w:topLinePunct w:val="0"/>
        <w:autoSpaceDE w:val="0"/>
        <w:autoSpaceDN w:val="0"/>
        <w:bidi w:val="0"/>
        <w:adjustRightInd w:val="0"/>
        <w:spacing w:line="560" w:lineRule="exact"/>
        <w:jc w:val="center"/>
        <w:textAlignment w:val="auto"/>
        <w:outlineLvl w:val="9"/>
        <w:rPr>
          <w:rFonts w:hint="eastAsia" w:ascii="宋体" w:hAnsi="宋体" w:eastAsia="宋体" w:cs="宋体"/>
          <w:b/>
          <w:kern w:val="0"/>
          <w:sz w:val="24"/>
          <w:szCs w:val="24"/>
        </w:rPr>
      </w:pPr>
    </w:p>
    <w:p w14:paraId="6B1D1C2A">
      <w:pPr>
        <w:pageBreakBefore w:val="0"/>
        <w:kinsoku/>
        <w:wordWrap/>
        <w:overflowPunct/>
        <w:topLinePunct w:val="0"/>
        <w:autoSpaceDE w:val="0"/>
        <w:autoSpaceDN w:val="0"/>
        <w:bidi w:val="0"/>
        <w:adjustRightInd w:val="0"/>
        <w:spacing w:line="560" w:lineRule="exact"/>
        <w:jc w:val="center"/>
        <w:textAlignment w:val="auto"/>
        <w:outlineLvl w:val="9"/>
        <w:rPr>
          <w:rFonts w:hint="eastAsia" w:ascii="宋体" w:hAnsi="宋体" w:eastAsia="宋体" w:cs="宋体"/>
          <w:b/>
          <w:kern w:val="0"/>
          <w:sz w:val="24"/>
          <w:szCs w:val="24"/>
        </w:rPr>
      </w:pPr>
    </w:p>
    <w:p w14:paraId="030B2CE5">
      <w:pPr>
        <w:pageBreakBefore w:val="0"/>
        <w:kinsoku/>
        <w:wordWrap/>
        <w:overflowPunct/>
        <w:topLinePunct w:val="0"/>
        <w:autoSpaceDE w:val="0"/>
        <w:autoSpaceDN w:val="0"/>
        <w:bidi w:val="0"/>
        <w:adjustRightInd w:val="0"/>
        <w:spacing w:line="560" w:lineRule="exact"/>
        <w:ind w:firstLine="240" w:firstLineChars="10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项目编号</w:t>
      </w:r>
      <w:r>
        <w:rPr>
          <w:rFonts w:hint="eastAsia" w:ascii="宋体" w:hAnsi="宋体" w:cs="宋体"/>
          <w:kern w:val="0"/>
          <w:sz w:val="24"/>
          <w:szCs w:val="24"/>
          <w:lang w:eastAsia="zh-CN"/>
        </w:rPr>
        <w:t>、</w:t>
      </w:r>
      <w:r>
        <w:rPr>
          <w:rFonts w:hint="eastAsia" w:ascii="宋体" w:hAnsi="宋体" w:cs="宋体"/>
          <w:kern w:val="0"/>
          <w:sz w:val="24"/>
          <w:szCs w:val="24"/>
          <w:lang w:val="en-US" w:eastAsia="zh-CN"/>
        </w:rPr>
        <w:t>项目名称</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rPr>
        <w:t>报价单位：人民币元</w:t>
      </w:r>
    </w:p>
    <w:tbl>
      <w:tblPr>
        <w:tblStyle w:val="32"/>
        <w:tblpPr w:leftFromText="180" w:rightFromText="180" w:vertAnchor="text" w:horzAnchor="margin" w:tblpXSpec="center" w:tblpY="6"/>
        <w:tblW w:w="10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384"/>
        <w:gridCol w:w="1525"/>
        <w:gridCol w:w="1479"/>
        <w:gridCol w:w="1730"/>
        <w:gridCol w:w="2224"/>
        <w:gridCol w:w="837"/>
        <w:gridCol w:w="838"/>
      </w:tblGrid>
      <w:tr w14:paraId="7D629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759" w:type="dxa"/>
            <w:vMerge w:val="restart"/>
            <w:tcBorders>
              <w:top w:val="single" w:color="auto" w:sz="12" w:space="0"/>
              <w:left w:val="single" w:color="auto" w:sz="12" w:space="0"/>
              <w:bottom w:val="single" w:color="auto" w:sz="4" w:space="0"/>
              <w:right w:val="single" w:color="auto" w:sz="4" w:space="0"/>
            </w:tcBorders>
            <w:noWrap w:val="0"/>
            <w:vAlign w:val="center"/>
          </w:tcPr>
          <w:p w14:paraId="6B2ED461">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编号</w:t>
            </w:r>
          </w:p>
        </w:tc>
        <w:tc>
          <w:tcPr>
            <w:tcW w:w="1384" w:type="dxa"/>
            <w:vMerge w:val="restart"/>
            <w:tcBorders>
              <w:top w:val="single" w:color="auto" w:sz="12" w:space="0"/>
              <w:left w:val="single" w:color="auto" w:sz="4" w:space="0"/>
              <w:bottom w:val="single" w:color="auto" w:sz="4" w:space="0"/>
              <w:right w:val="single" w:color="auto" w:sz="4" w:space="0"/>
            </w:tcBorders>
            <w:noWrap w:val="0"/>
            <w:vAlign w:val="center"/>
          </w:tcPr>
          <w:p w14:paraId="58640FE6">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货物名称</w:t>
            </w:r>
          </w:p>
        </w:tc>
        <w:tc>
          <w:tcPr>
            <w:tcW w:w="1525" w:type="dxa"/>
            <w:vMerge w:val="restart"/>
            <w:tcBorders>
              <w:top w:val="single" w:color="auto" w:sz="12" w:space="0"/>
              <w:left w:val="single" w:color="auto" w:sz="4" w:space="0"/>
              <w:bottom w:val="single" w:color="auto" w:sz="4" w:space="0"/>
              <w:right w:val="single" w:color="auto" w:sz="4" w:space="0"/>
            </w:tcBorders>
            <w:noWrap w:val="0"/>
            <w:vAlign w:val="center"/>
          </w:tcPr>
          <w:p w14:paraId="1062D002">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cs="宋体"/>
                <w:kern w:val="0"/>
                <w:sz w:val="24"/>
                <w:szCs w:val="24"/>
                <w:lang w:val="en-US" w:eastAsia="zh-CN"/>
              </w:rPr>
              <w:t>品牌、</w:t>
            </w:r>
            <w:r>
              <w:rPr>
                <w:rFonts w:hint="eastAsia" w:ascii="宋体" w:hAnsi="宋体" w:eastAsia="宋体" w:cs="宋体"/>
                <w:kern w:val="0"/>
                <w:sz w:val="24"/>
                <w:szCs w:val="24"/>
              </w:rPr>
              <w:t>规格型号</w:t>
            </w:r>
          </w:p>
        </w:tc>
        <w:tc>
          <w:tcPr>
            <w:tcW w:w="1479" w:type="dxa"/>
            <w:vMerge w:val="restart"/>
            <w:tcBorders>
              <w:top w:val="single" w:color="auto" w:sz="12" w:space="0"/>
              <w:left w:val="single" w:color="auto" w:sz="4" w:space="0"/>
              <w:right w:val="single" w:color="auto" w:sz="4" w:space="0"/>
            </w:tcBorders>
            <w:noWrap w:val="0"/>
            <w:vAlign w:val="center"/>
          </w:tcPr>
          <w:p w14:paraId="434736DB">
            <w:pPr>
              <w:pageBreakBefore w:val="0"/>
              <w:kinsoku/>
              <w:wordWrap/>
              <w:overflowPunct/>
              <w:topLinePunct w:val="0"/>
              <w:autoSpaceDE w:val="0"/>
              <w:autoSpaceDN w:val="0"/>
              <w:bidi w:val="0"/>
              <w:adjustRightInd w:val="0"/>
              <w:spacing w:line="560" w:lineRule="exact"/>
              <w:ind w:firstLine="240" w:firstLineChars="100"/>
              <w:jc w:val="left"/>
              <w:textAlignment w:val="auto"/>
              <w:outlineLvl w:val="9"/>
              <w:rPr>
                <w:rFonts w:hint="default" w:ascii="宋体" w:hAnsi="宋体" w:cs="宋体"/>
                <w:kern w:val="0"/>
                <w:sz w:val="24"/>
                <w:szCs w:val="24"/>
                <w:lang w:val="en-US" w:eastAsia="zh-CN"/>
              </w:rPr>
            </w:pPr>
            <w:r>
              <w:rPr>
                <w:rFonts w:hint="eastAsia" w:ascii="宋体" w:hAnsi="宋体" w:cs="宋体"/>
                <w:kern w:val="0"/>
                <w:sz w:val="24"/>
                <w:szCs w:val="24"/>
                <w:lang w:val="en-US" w:eastAsia="zh-CN"/>
              </w:rPr>
              <w:t>制造商</w:t>
            </w:r>
          </w:p>
        </w:tc>
        <w:tc>
          <w:tcPr>
            <w:tcW w:w="1730" w:type="dxa"/>
            <w:vMerge w:val="restart"/>
            <w:tcBorders>
              <w:top w:val="single" w:color="auto" w:sz="12" w:space="0"/>
              <w:left w:val="single" w:color="auto" w:sz="4" w:space="0"/>
              <w:bottom w:val="single" w:color="auto" w:sz="4" w:space="0"/>
              <w:right w:val="single" w:color="auto" w:sz="4" w:space="0"/>
            </w:tcBorders>
            <w:noWrap w:val="0"/>
            <w:vAlign w:val="center"/>
          </w:tcPr>
          <w:p w14:paraId="22EC27E0">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中国环境标志</w:t>
            </w:r>
          </w:p>
          <w:p w14:paraId="5FFDA8CF">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认证证书编号</w:t>
            </w:r>
          </w:p>
        </w:tc>
        <w:tc>
          <w:tcPr>
            <w:tcW w:w="3899" w:type="dxa"/>
            <w:gridSpan w:val="3"/>
            <w:tcBorders>
              <w:top w:val="single" w:color="auto" w:sz="12" w:space="0"/>
              <w:left w:val="single" w:color="auto" w:sz="4" w:space="0"/>
              <w:bottom w:val="single" w:color="auto" w:sz="4" w:space="0"/>
              <w:right w:val="single" w:color="auto" w:sz="12" w:space="0"/>
            </w:tcBorders>
            <w:noWrap w:val="0"/>
            <w:vAlign w:val="center"/>
          </w:tcPr>
          <w:p w14:paraId="6A4A91D0">
            <w:pPr>
              <w:pageBreakBefore w:val="0"/>
              <w:kinsoku/>
              <w:wordWrap/>
              <w:overflowPunct/>
              <w:topLinePunct w:val="0"/>
              <w:autoSpaceDE w:val="0"/>
              <w:autoSpaceDN w:val="0"/>
              <w:bidi w:val="0"/>
              <w:adjustRightInd w:val="0"/>
              <w:spacing w:line="560" w:lineRule="exact"/>
              <w:ind w:firstLine="840" w:firstLineChars="35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价格</w:t>
            </w:r>
          </w:p>
        </w:tc>
      </w:tr>
      <w:tr w14:paraId="51A56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59" w:type="dxa"/>
            <w:vMerge w:val="continue"/>
            <w:tcBorders>
              <w:top w:val="single" w:color="auto" w:sz="12" w:space="0"/>
              <w:left w:val="single" w:color="auto" w:sz="12" w:space="0"/>
              <w:bottom w:val="single" w:color="auto" w:sz="4" w:space="0"/>
              <w:right w:val="single" w:color="auto" w:sz="4" w:space="0"/>
            </w:tcBorders>
            <w:noWrap w:val="0"/>
            <w:vAlign w:val="center"/>
          </w:tcPr>
          <w:p w14:paraId="6291A3AF">
            <w:pPr>
              <w:pageBreakBefore w:val="0"/>
              <w:widowControl/>
              <w:kinsoku/>
              <w:wordWrap/>
              <w:overflowPunct/>
              <w:topLinePunct w:val="0"/>
              <w:bidi w:val="0"/>
              <w:spacing w:line="560" w:lineRule="exact"/>
              <w:jc w:val="left"/>
              <w:textAlignment w:val="auto"/>
              <w:outlineLvl w:val="9"/>
              <w:rPr>
                <w:rFonts w:hint="eastAsia" w:ascii="宋体" w:hAnsi="宋体" w:eastAsia="宋体" w:cs="宋体"/>
                <w:kern w:val="0"/>
                <w:sz w:val="24"/>
                <w:szCs w:val="24"/>
              </w:rPr>
            </w:pPr>
          </w:p>
        </w:tc>
        <w:tc>
          <w:tcPr>
            <w:tcW w:w="1384" w:type="dxa"/>
            <w:vMerge w:val="continue"/>
            <w:tcBorders>
              <w:top w:val="single" w:color="auto" w:sz="12" w:space="0"/>
              <w:left w:val="single" w:color="auto" w:sz="4" w:space="0"/>
              <w:bottom w:val="single" w:color="auto" w:sz="4" w:space="0"/>
              <w:right w:val="single" w:color="auto" w:sz="4" w:space="0"/>
            </w:tcBorders>
            <w:noWrap w:val="0"/>
            <w:vAlign w:val="center"/>
          </w:tcPr>
          <w:p w14:paraId="15586A1C">
            <w:pPr>
              <w:pageBreakBefore w:val="0"/>
              <w:widowControl/>
              <w:kinsoku/>
              <w:wordWrap/>
              <w:overflowPunct/>
              <w:topLinePunct w:val="0"/>
              <w:bidi w:val="0"/>
              <w:spacing w:line="560" w:lineRule="exact"/>
              <w:jc w:val="left"/>
              <w:textAlignment w:val="auto"/>
              <w:outlineLvl w:val="9"/>
              <w:rPr>
                <w:rFonts w:hint="eastAsia" w:ascii="宋体" w:hAnsi="宋体" w:eastAsia="宋体" w:cs="宋体"/>
                <w:kern w:val="0"/>
                <w:sz w:val="24"/>
                <w:szCs w:val="24"/>
              </w:rPr>
            </w:pPr>
          </w:p>
        </w:tc>
        <w:tc>
          <w:tcPr>
            <w:tcW w:w="1525" w:type="dxa"/>
            <w:vMerge w:val="continue"/>
            <w:tcBorders>
              <w:top w:val="single" w:color="auto" w:sz="12" w:space="0"/>
              <w:left w:val="single" w:color="auto" w:sz="4" w:space="0"/>
              <w:bottom w:val="single" w:color="auto" w:sz="4" w:space="0"/>
              <w:right w:val="single" w:color="auto" w:sz="4" w:space="0"/>
            </w:tcBorders>
            <w:noWrap w:val="0"/>
            <w:vAlign w:val="center"/>
          </w:tcPr>
          <w:p w14:paraId="72BC5404">
            <w:pPr>
              <w:pageBreakBefore w:val="0"/>
              <w:widowControl/>
              <w:kinsoku/>
              <w:wordWrap/>
              <w:overflowPunct/>
              <w:topLinePunct w:val="0"/>
              <w:bidi w:val="0"/>
              <w:spacing w:line="560" w:lineRule="exact"/>
              <w:jc w:val="left"/>
              <w:textAlignment w:val="auto"/>
              <w:outlineLvl w:val="9"/>
              <w:rPr>
                <w:rFonts w:hint="eastAsia" w:ascii="宋体" w:hAnsi="宋体" w:eastAsia="宋体" w:cs="宋体"/>
                <w:kern w:val="0"/>
                <w:sz w:val="24"/>
                <w:szCs w:val="24"/>
              </w:rPr>
            </w:pPr>
          </w:p>
        </w:tc>
        <w:tc>
          <w:tcPr>
            <w:tcW w:w="1479" w:type="dxa"/>
            <w:vMerge w:val="continue"/>
            <w:tcBorders>
              <w:left w:val="single" w:color="auto" w:sz="4" w:space="0"/>
              <w:bottom w:val="single" w:color="auto" w:sz="4" w:space="0"/>
              <w:right w:val="single" w:color="auto" w:sz="4" w:space="0"/>
            </w:tcBorders>
            <w:noWrap w:val="0"/>
            <w:vAlign w:val="center"/>
          </w:tcPr>
          <w:p w14:paraId="4841A61C">
            <w:pPr>
              <w:pageBreakBefore w:val="0"/>
              <w:widowControl/>
              <w:kinsoku/>
              <w:wordWrap/>
              <w:overflowPunct/>
              <w:topLinePunct w:val="0"/>
              <w:bidi w:val="0"/>
              <w:spacing w:line="560" w:lineRule="exact"/>
              <w:jc w:val="left"/>
              <w:textAlignment w:val="auto"/>
              <w:outlineLvl w:val="9"/>
              <w:rPr>
                <w:rFonts w:hint="eastAsia" w:ascii="宋体" w:hAnsi="宋体" w:eastAsia="宋体" w:cs="宋体"/>
                <w:kern w:val="0"/>
                <w:sz w:val="24"/>
                <w:szCs w:val="24"/>
              </w:rPr>
            </w:pPr>
          </w:p>
        </w:tc>
        <w:tc>
          <w:tcPr>
            <w:tcW w:w="1730" w:type="dxa"/>
            <w:vMerge w:val="continue"/>
            <w:tcBorders>
              <w:top w:val="single" w:color="auto" w:sz="12" w:space="0"/>
              <w:left w:val="single" w:color="auto" w:sz="4" w:space="0"/>
              <w:bottom w:val="single" w:color="auto" w:sz="4" w:space="0"/>
              <w:right w:val="single" w:color="auto" w:sz="4" w:space="0"/>
            </w:tcBorders>
            <w:noWrap w:val="0"/>
            <w:vAlign w:val="center"/>
          </w:tcPr>
          <w:p w14:paraId="1420369C">
            <w:pPr>
              <w:pageBreakBefore w:val="0"/>
              <w:widowControl/>
              <w:kinsoku/>
              <w:wordWrap/>
              <w:overflowPunct/>
              <w:topLinePunct w:val="0"/>
              <w:bidi w:val="0"/>
              <w:spacing w:line="560" w:lineRule="exact"/>
              <w:jc w:val="left"/>
              <w:textAlignment w:val="auto"/>
              <w:outlineLvl w:val="9"/>
              <w:rPr>
                <w:rFonts w:hint="eastAsia" w:ascii="宋体" w:hAnsi="宋体" w:eastAsia="宋体" w:cs="宋体"/>
                <w:kern w:val="0"/>
                <w:sz w:val="24"/>
                <w:szCs w:val="24"/>
              </w:rPr>
            </w:pPr>
          </w:p>
        </w:tc>
        <w:tc>
          <w:tcPr>
            <w:tcW w:w="2224" w:type="dxa"/>
            <w:tcBorders>
              <w:top w:val="single" w:color="auto" w:sz="4" w:space="0"/>
              <w:left w:val="single" w:color="auto" w:sz="4" w:space="0"/>
              <w:bottom w:val="single" w:color="auto" w:sz="4" w:space="0"/>
              <w:right w:val="single" w:color="auto" w:sz="4" w:space="0"/>
            </w:tcBorders>
            <w:noWrap w:val="0"/>
            <w:vAlign w:val="center"/>
          </w:tcPr>
          <w:p w14:paraId="06D89CDD">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单价</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599BA164">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数量</w:t>
            </w:r>
          </w:p>
        </w:tc>
        <w:tc>
          <w:tcPr>
            <w:tcW w:w="838" w:type="dxa"/>
            <w:tcBorders>
              <w:top w:val="single" w:color="auto" w:sz="4" w:space="0"/>
              <w:left w:val="single" w:color="auto" w:sz="4" w:space="0"/>
              <w:bottom w:val="single" w:color="auto" w:sz="4" w:space="0"/>
              <w:right w:val="single" w:color="auto" w:sz="12" w:space="0"/>
            </w:tcBorders>
            <w:noWrap w:val="0"/>
            <w:vAlign w:val="center"/>
          </w:tcPr>
          <w:p w14:paraId="10B33F7B">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小计</w:t>
            </w:r>
          </w:p>
        </w:tc>
      </w:tr>
      <w:tr w14:paraId="0F6A9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59" w:type="dxa"/>
            <w:tcBorders>
              <w:top w:val="single" w:color="auto" w:sz="4" w:space="0"/>
              <w:left w:val="single" w:color="auto" w:sz="12" w:space="0"/>
              <w:bottom w:val="single" w:color="auto" w:sz="4" w:space="0"/>
              <w:right w:val="single" w:color="auto" w:sz="4" w:space="0"/>
            </w:tcBorders>
            <w:noWrap w:val="0"/>
            <w:vAlign w:val="center"/>
          </w:tcPr>
          <w:p w14:paraId="5994144D">
            <w:pPr>
              <w:pageBreakBefore w:val="0"/>
              <w:kinsoku/>
              <w:wordWrap/>
              <w:overflowPunct/>
              <w:topLinePunct w:val="0"/>
              <w:autoSpaceDE w:val="0"/>
              <w:autoSpaceDN w:val="0"/>
              <w:bidi w:val="0"/>
              <w:adjustRightInd w:val="0"/>
              <w:spacing w:line="560" w:lineRule="exac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384" w:type="dxa"/>
            <w:tcBorders>
              <w:top w:val="single" w:color="auto" w:sz="4" w:space="0"/>
              <w:left w:val="single" w:color="auto" w:sz="4" w:space="0"/>
              <w:bottom w:val="single" w:color="auto" w:sz="4" w:space="0"/>
              <w:right w:val="single" w:color="auto" w:sz="4" w:space="0"/>
            </w:tcBorders>
            <w:noWrap w:val="0"/>
            <w:vAlign w:val="center"/>
          </w:tcPr>
          <w:p w14:paraId="2A31DDAE">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525" w:type="dxa"/>
            <w:tcBorders>
              <w:top w:val="single" w:color="auto" w:sz="4" w:space="0"/>
              <w:left w:val="single" w:color="auto" w:sz="4" w:space="0"/>
              <w:bottom w:val="single" w:color="auto" w:sz="4" w:space="0"/>
              <w:right w:val="single" w:color="auto" w:sz="4" w:space="0"/>
            </w:tcBorders>
            <w:noWrap w:val="0"/>
            <w:vAlign w:val="center"/>
          </w:tcPr>
          <w:p w14:paraId="1B4A0228">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479" w:type="dxa"/>
            <w:tcBorders>
              <w:top w:val="single" w:color="auto" w:sz="4" w:space="0"/>
              <w:left w:val="single" w:color="auto" w:sz="4" w:space="0"/>
              <w:bottom w:val="single" w:color="auto" w:sz="4" w:space="0"/>
              <w:right w:val="single" w:color="auto" w:sz="4" w:space="0"/>
            </w:tcBorders>
            <w:noWrap w:val="0"/>
            <w:vAlign w:val="center"/>
          </w:tcPr>
          <w:p w14:paraId="58308619">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730" w:type="dxa"/>
            <w:tcBorders>
              <w:top w:val="single" w:color="auto" w:sz="4" w:space="0"/>
              <w:left w:val="single" w:color="auto" w:sz="4" w:space="0"/>
              <w:bottom w:val="single" w:color="auto" w:sz="4" w:space="0"/>
              <w:right w:val="single" w:color="auto" w:sz="4" w:space="0"/>
            </w:tcBorders>
            <w:noWrap w:val="0"/>
            <w:vAlign w:val="center"/>
          </w:tcPr>
          <w:p w14:paraId="50798548">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2224" w:type="dxa"/>
            <w:tcBorders>
              <w:top w:val="single" w:color="auto" w:sz="4" w:space="0"/>
              <w:left w:val="single" w:color="auto" w:sz="4" w:space="0"/>
              <w:bottom w:val="single" w:color="auto" w:sz="4" w:space="0"/>
              <w:right w:val="single" w:color="auto" w:sz="4" w:space="0"/>
            </w:tcBorders>
            <w:noWrap w:val="0"/>
            <w:vAlign w:val="center"/>
          </w:tcPr>
          <w:p w14:paraId="4BB67E32">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837" w:type="dxa"/>
            <w:tcBorders>
              <w:top w:val="single" w:color="auto" w:sz="4" w:space="0"/>
              <w:left w:val="single" w:color="auto" w:sz="4" w:space="0"/>
              <w:bottom w:val="single" w:color="auto" w:sz="4" w:space="0"/>
              <w:right w:val="single" w:color="auto" w:sz="4" w:space="0"/>
            </w:tcBorders>
            <w:noWrap w:val="0"/>
            <w:vAlign w:val="center"/>
          </w:tcPr>
          <w:p w14:paraId="189A9C65">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838" w:type="dxa"/>
            <w:tcBorders>
              <w:top w:val="single" w:color="auto" w:sz="4" w:space="0"/>
              <w:left w:val="single" w:color="auto" w:sz="4" w:space="0"/>
              <w:bottom w:val="single" w:color="auto" w:sz="4" w:space="0"/>
              <w:right w:val="single" w:color="auto" w:sz="12" w:space="0"/>
            </w:tcBorders>
            <w:noWrap w:val="0"/>
            <w:vAlign w:val="center"/>
          </w:tcPr>
          <w:p w14:paraId="20FFE465">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r>
      <w:tr w14:paraId="31E3B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59" w:type="dxa"/>
            <w:tcBorders>
              <w:top w:val="single" w:color="auto" w:sz="4" w:space="0"/>
              <w:left w:val="single" w:color="auto" w:sz="12" w:space="0"/>
              <w:bottom w:val="single" w:color="auto" w:sz="4" w:space="0"/>
              <w:right w:val="single" w:color="auto" w:sz="4" w:space="0"/>
            </w:tcBorders>
            <w:noWrap w:val="0"/>
            <w:vAlign w:val="center"/>
          </w:tcPr>
          <w:p w14:paraId="453D7555">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1384" w:type="dxa"/>
            <w:tcBorders>
              <w:top w:val="single" w:color="auto" w:sz="4" w:space="0"/>
              <w:left w:val="single" w:color="auto" w:sz="4" w:space="0"/>
              <w:bottom w:val="single" w:color="auto" w:sz="4" w:space="0"/>
              <w:right w:val="single" w:color="auto" w:sz="4" w:space="0"/>
            </w:tcBorders>
            <w:noWrap w:val="0"/>
            <w:vAlign w:val="center"/>
          </w:tcPr>
          <w:p w14:paraId="1491C0E6">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525" w:type="dxa"/>
            <w:tcBorders>
              <w:top w:val="single" w:color="auto" w:sz="4" w:space="0"/>
              <w:left w:val="single" w:color="auto" w:sz="4" w:space="0"/>
              <w:bottom w:val="single" w:color="auto" w:sz="4" w:space="0"/>
              <w:right w:val="single" w:color="auto" w:sz="4" w:space="0"/>
            </w:tcBorders>
            <w:noWrap w:val="0"/>
            <w:vAlign w:val="center"/>
          </w:tcPr>
          <w:p w14:paraId="65479004">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479" w:type="dxa"/>
            <w:tcBorders>
              <w:top w:val="single" w:color="auto" w:sz="4" w:space="0"/>
              <w:left w:val="single" w:color="auto" w:sz="4" w:space="0"/>
              <w:bottom w:val="single" w:color="auto" w:sz="4" w:space="0"/>
              <w:right w:val="single" w:color="auto" w:sz="4" w:space="0"/>
            </w:tcBorders>
            <w:noWrap w:val="0"/>
            <w:vAlign w:val="center"/>
          </w:tcPr>
          <w:p w14:paraId="0FBFBBDC">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730" w:type="dxa"/>
            <w:tcBorders>
              <w:top w:val="single" w:color="auto" w:sz="4" w:space="0"/>
              <w:left w:val="single" w:color="auto" w:sz="4" w:space="0"/>
              <w:bottom w:val="single" w:color="auto" w:sz="4" w:space="0"/>
              <w:right w:val="single" w:color="auto" w:sz="4" w:space="0"/>
            </w:tcBorders>
            <w:noWrap w:val="0"/>
            <w:vAlign w:val="center"/>
          </w:tcPr>
          <w:p w14:paraId="368971D4">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2224" w:type="dxa"/>
            <w:tcBorders>
              <w:top w:val="single" w:color="auto" w:sz="4" w:space="0"/>
              <w:left w:val="single" w:color="auto" w:sz="4" w:space="0"/>
              <w:bottom w:val="single" w:color="auto" w:sz="4" w:space="0"/>
              <w:right w:val="single" w:color="auto" w:sz="4" w:space="0"/>
            </w:tcBorders>
            <w:noWrap w:val="0"/>
            <w:vAlign w:val="center"/>
          </w:tcPr>
          <w:p w14:paraId="4F93567A">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837" w:type="dxa"/>
            <w:tcBorders>
              <w:top w:val="single" w:color="auto" w:sz="4" w:space="0"/>
              <w:left w:val="single" w:color="auto" w:sz="4" w:space="0"/>
              <w:bottom w:val="single" w:color="auto" w:sz="4" w:space="0"/>
              <w:right w:val="single" w:color="auto" w:sz="4" w:space="0"/>
            </w:tcBorders>
            <w:noWrap w:val="0"/>
            <w:vAlign w:val="center"/>
          </w:tcPr>
          <w:p w14:paraId="5326D1DE">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838" w:type="dxa"/>
            <w:tcBorders>
              <w:top w:val="single" w:color="auto" w:sz="4" w:space="0"/>
              <w:left w:val="single" w:color="auto" w:sz="4" w:space="0"/>
              <w:bottom w:val="single" w:color="auto" w:sz="4" w:space="0"/>
              <w:right w:val="single" w:color="auto" w:sz="12" w:space="0"/>
            </w:tcBorders>
            <w:noWrap w:val="0"/>
            <w:vAlign w:val="center"/>
          </w:tcPr>
          <w:p w14:paraId="1F145F6B">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r>
      <w:tr w14:paraId="08E25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59" w:type="dxa"/>
            <w:tcBorders>
              <w:top w:val="single" w:color="auto" w:sz="4" w:space="0"/>
              <w:left w:val="single" w:color="auto" w:sz="12" w:space="0"/>
              <w:bottom w:val="single" w:color="auto" w:sz="4" w:space="0"/>
              <w:right w:val="single" w:color="auto" w:sz="4" w:space="0"/>
            </w:tcBorders>
            <w:noWrap w:val="0"/>
            <w:vAlign w:val="center"/>
          </w:tcPr>
          <w:p w14:paraId="61C409BE">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384" w:type="dxa"/>
            <w:tcBorders>
              <w:top w:val="single" w:color="auto" w:sz="4" w:space="0"/>
              <w:left w:val="single" w:color="auto" w:sz="4" w:space="0"/>
              <w:bottom w:val="single" w:color="auto" w:sz="4" w:space="0"/>
              <w:right w:val="single" w:color="auto" w:sz="4" w:space="0"/>
            </w:tcBorders>
            <w:noWrap w:val="0"/>
            <w:vAlign w:val="center"/>
          </w:tcPr>
          <w:p w14:paraId="714DCB8A">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1525" w:type="dxa"/>
            <w:tcBorders>
              <w:top w:val="single" w:color="auto" w:sz="4" w:space="0"/>
              <w:left w:val="single" w:color="auto" w:sz="4" w:space="0"/>
              <w:bottom w:val="single" w:color="auto" w:sz="4" w:space="0"/>
              <w:right w:val="single" w:color="auto" w:sz="4" w:space="0"/>
            </w:tcBorders>
            <w:noWrap w:val="0"/>
            <w:vAlign w:val="center"/>
          </w:tcPr>
          <w:p w14:paraId="36B593AE">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479" w:type="dxa"/>
            <w:tcBorders>
              <w:top w:val="single" w:color="auto" w:sz="4" w:space="0"/>
              <w:left w:val="single" w:color="auto" w:sz="4" w:space="0"/>
              <w:bottom w:val="single" w:color="auto" w:sz="4" w:space="0"/>
              <w:right w:val="single" w:color="auto" w:sz="4" w:space="0"/>
            </w:tcBorders>
            <w:noWrap w:val="0"/>
            <w:vAlign w:val="center"/>
          </w:tcPr>
          <w:p w14:paraId="1CC824C5">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730" w:type="dxa"/>
            <w:tcBorders>
              <w:top w:val="single" w:color="auto" w:sz="4" w:space="0"/>
              <w:left w:val="single" w:color="auto" w:sz="4" w:space="0"/>
              <w:bottom w:val="single" w:color="auto" w:sz="4" w:space="0"/>
              <w:right w:val="single" w:color="auto" w:sz="4" w:space="0"/>
            </w:tcBorders>
            <w:noWrap w:val="0"/>
            <w:vAlign w:val="center"/>
          </w:tcPr>
          <w:p w14:paraId="6371CD21">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2224" w:type="dxa"/>
            <w:tcBorders>
              <w:top w:val="single" w:color="auto" w:sz="4" w:space="0"/>
              <w:left w:val="single" w:color="auto" w:sz="4" w:space="0"/>
              <w:bottom w:val="single" w:color="auto" w:sz="4" w:space="0"/>
              <w:right w:val="single" w:color="auto" w:sz="4" w:space="0"/>
            </w:tcBorders>
            <w:noWrap w:val="0"/>
            <w:vAlign w:val="center"/>
          </w:tcPr>
          <w:p w14:paraId="006B2FDA">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837" w:type="dxa"/>
            <w:tcBorders>
              <w:top w:val="single" w:color="auto" w:sz="4" w:space="0"/>
              <w:left w:val="single" w:color="auto" w:sz="4" w:space="0"/>
              <w:bottom w:val="single" w:color="auto" w:sz="4" w:space="0"/>
              <w:right w:val="single" w:color="auto" w:sz="4" w:space="0"/>
            </w:tcBorders>
            <w:noWrap w:val="0"/>
            <w:vAlign w:val="center"/>
          </w:tcPr>
          <w:p w14:paraId="4F92BBBB">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838" w:type="dxa"/>
            <w:tcBorders>
              <w:top w:val="single" w:color="auto" w:sz="4" w:space="0"/>
              <w:left w:val="single" w:color="auto" w:sz="4" w:space="0"/>
              <w:bottom w:val="single" w:color="auto" w:sz="4" w:space="0"/>
              <w:right w:val="single" w:color="auto" w:sz="12" w:space="0"/>
            </w:tcBorders>
            <w:noWrap w:val="0"/>
            <w:vAlign w:val="center"/>
          </w:tcPr>
          <w:p w14:paraId="65C6566A">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r>
    </w:tbl>
    <w:p w14:paraId="70C645EC">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 xml:space="preserve">说明：1、如所报产品为环保产品，请按要求逐项填写； </w:t>
      </w:r>
    </w:p>
    <w:p w14:paraId="5B3F3ED1">
      <w:pPr>
        <w:pageBreakBefore w:val="0"/>
        <w:kinsoku/>
        <w:wordWrap/>
        <w:overflowPunct/>
        <w:topLinePunct w:val="0"/>
        <w:autoSpaceDE w:val="0"/>
        <w:autoSpaceDN w:val="0"/>
        <w:bidi w:val="0"/>
        <w:adjustRightInd w:val="0"/>
        <w:spacing w:line="560" w:lineRule="exact"/>
        <w:ind w:firstLine="720" w:firstLineChars="30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2、需</w:t>
      </w:r>
      <w:r>
        <w:rPr>
          <w:rFonts w:hint="eastAsia" w:ascii="宋体" w:hAnsi="宋体" w:eastAsia="宋体" w:cs="宋体"/>
          <w:kern w:val="0"/>
          <w:sz w:val="24"/>
          <w:szCs w:val="24"/>
          <w:lang w:val="en-US" w:eastAsia="zh-CN"/>
        </w:rPr>
        <w:t>附</w:t>
      </w:r>
      <w:r>
        <w:rPr>
          <w:rFonts w:hint="eastAsia" w:ascii="宋体" w:hAnsi="宋体" w:eastAsia="宋体" w:cs="宋体"/>
          <w:kern w:val="0"/>
          <w:sz w:val="24"/>
          <w:szCs w:val="24"/>
        </w:rPr>
        <w:t>环境标志产品认证证书，且证书内产品型号与所报产品型号完全一致，否则评审时不予</w:t>
      </w:r>
      <w:r>
        <w:rPr>
          <w:rFonts w:hint="eastAsia" w:ascii="宋体" w:hAnsi="宋体" w:eastAsia="宋体" w:cs="宋体"/>
          <w:kern w:val="0"/>
          <w:sz w:val="24"/>
          <w:szCs w:val="24"/>
          <w:lang w:val="en-US" w:eastAsia="zh-CN"/>
        </w:rPr>
        <w:t>认可</w:t>
      </w:r>
      <w:r>
        <w:rPr>
          <w:rFonts w:hint="eastAsia" w:ascii="宋体" w:hAnsi="宋体" w:eastAsia="宋体" w:cs="宋体"/>
          <w:kern w:val="0"/>
          <w:sz w:val="24"/>
          <w:szCs w:val="24"/>
        </w:rPr>
        <w:t>。</w:t>
      </w:r>
    </w:p>
    <w:p w14:paraId="65D35C51">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14:paraId="25DAC48F">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u w:val="none"/>
        </w:rPr>
      </w:pPr>
      <w:bookmarkStart w:id="414" w:name="_Toc46238286"/>
      <w:bookmarkStart w:id="415" w:name="_Toc46136869"/>
      <w:bookmarkStart w:id="416" w:name="_Toc7565_WPSOffice_Level2"/>
      <w:bookmarkStart w:id="417" w:name="_Toc422"/>
      <w:r>
        <w:rPr>
          <w:rFonts w:hint="eastAsia" w:ascii="宋体" w:hAnsi="宋体" w:eastAsia="宋体" w:cs="宋体"/>
          <w:b/>
          <w:bCs/>
          <w:sz w:val="24"/>
          <w:szCs w:val="24"/>
          <w:u w:val="none"/>
        </w:rPr>
        <w:t>节能产品明细表</w:t>
      </w:r>
      <w:bookmarkEnd w:id="414"/>
      <w:bookmarkEnd w:id="415"/>
      <w:bookmarkEnd w:id="416"/>
      <w:bookmarkEnd w:id="417"/>
    </w:p>
    <w:p w14:paraId="0DEFEBE0">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p w14:paraId="5E1E2AD3">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项目编号</w:t>
      </w:r>
      <w:r>
        <w:rPr>
          <w:rFonts w:hint="eastAsia" w:ascii="宋体" w:hAnsi="宋体" w:cs="宋体"/>
          <w:kern w:val="0"/>
          <w:sz w:val="24"/>
          <w:szCs w:val="24"/>
          <w:lang w:eastAsia="zh-CN"/>
        </w:rPr>
        <w:t>、</w:t>
      </w:r>
      <w:r>
        <w:rPr>
          <w:rFonts w:hint="eastAsia" w:ascii="宋体" w:hAnsi="宋体" w:cs="宋体"/>
          <w:kern w:val="0"/>
          <w:sz w:val="24"/>
          <w:szCs w:val="24"/>
          <w:lang w:val="en-US" w:eastAsia="zh-CN"/>
        </w:rPr>
        <w:t>项目名称</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rPr>
        <w:t>报价单位：人民币元</w:t>
      </w:r>
    </w:p>
    <w:tbl>
      <w:tblPr>
        <w:tblStyle w:val="32"/>
        <w:tblpPr w:leftFromText="180" w:rightFromText="180" w:vertAnchor="text" w:horzAnchor="margin" w:tblpXSpec="center" w:tblpY="6"/>
        <w:tblW w:w="11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1325"/>
        <w:gridCol w:w="2304"/>
        <w:gridCol w:w="1645"/>
        <w:gridCol w:w="1645"/>
        <w:gridCol w:w="1885"/>
        <w:gridCol w:w="977"/>
        <w:gridCol w:w="980"/>
      </w:tblGrid>
      <w:tr w14:paraId="71DE1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836" w:type="dxa"/>
            <w:vMerge w:val="restart"/>
            <w:tcBorders>
              <w:top w:val="single" w:color="auto" w:sz="12" w:space="0"/>
              <w:left w:val="single" w:color="auto" w:sz="12" w:space="0"/>
              <w:bottom w:val="single" w:color="auto" w:sz="4" w:space="0"/>
              <w:right w:val="single" w:color="auto" w:sz="4" w:space="0"/>
            </w:tcBorders>
            <w:noWrap w:val="0"/>
            <w:vAlign w:val="center"/>
          </w:tcPr>
          <w:p w14:paraId="038837A8">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编号</w:t>
            </w:r>
          </w:p>
        </w:tc>
        <w:tc>
          <w:tcPr>
            <w:tcW w:w="1325" w:type="dxa"/>
            <w:vMerge w:val="restart"/>
            <w:tcBorders>
              <w:top w:val="single" w:color="auto" w:sz="12" w:space="0"/>
              <w:left w:val="single" w:color="auto" w:sz="4" w:space="0"/>
              <w:bottom w:val="single" w:color="auto" w:sz="4" w:space="0"/>
              <w:right w:val="single" w:color="auto" w:sz="4" w:space="0"/>
            </w:tcBorders>
            <w:noWrap w:val="0"/>
            <w:vAlign w:val="center"/>
          </w:tcPr>
          <w:p w14:paraId="69253969">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货物名称</w:t>
            </w:r>
          </w:p>
        </w:tc>
        <w:tc>
          <w:tcPr>
            <w:tcW w:w="2304" w:type="dxa"/>
            <w:vMerge w:val="restart"/>
            <w:tcBorders>
              <w:top w:val="single" w:color="auto" w:sz="12" w:space="0"/>
              <w:left w:val="single" w:color="auto" w:sz="4" w:space="0"/>
              <w:bottom w:val="single" w:color="auto" w:sz="4" w:space="0"/>
              <w:right w:val="single" w:color="auto" w:sz="4" w:space="0"/>
            </w:tcBorders>
            <w:noWrap w:val="0"/>
            <w:vAlign w:val="center"/>
          </w:tcPr>
          <w:p w14:paraId="602DE672">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cs="宋体"/>
                <w:kern w:val="0"/>
                <w:sz w:val="24"/>
                <w:szCs w:val="24"/>
                <w:lang w:val="en-US" w:eastAsia="zh-CN"/>
              </w:rPr>
              <w:t>品牌、</w:t>
            </w:r>
            <w:r>
              <w:rPr>
                <w:rFonts w:hint="eastAsia" w:ascii="宋体" w:hAnsi="宋体" w:eastAsia="宋体" w:cs="宋体"/>
                <w:kern w:val="0"/>
                <w:sz w:val="24"/>
                <w:szCs w:val="24"/>
              </w:rPr>
              <w:t>规格型号</w:t>
            </w:r>
          </w:p>
        </w:tc>
        <w:tc>
          <w:tcPr>
            <w:tcW w:w="1645" w:type="dxa"/>
            <w:vMerge w:val="restart"/>
            <w:tcBorders>
              <w:top w:val="single" w:color="auto" w:sz="12" w:space="0"/>
              <w:left w:val="single" w:color="auto" w:sz="4" w:space="0"/>
              <w:right w:val="single" w:color="auto" w:sz="4" w:space="0"/>
            </w:tcBorders>
            <w:noWrap w:val="0"/>
            <w:vAlign w:val="center"/>
          </w:tcPr>
          <w:p w14:paraId="432E3546">
            <w:pPr>
              <w:pageBreakBefore w:val="0"/>
              <w:kinsoku/>
              <w:wordWrap/>
              <w:overflowPunct/>
              <w:topLinePunct w:val="0"/>
              <w:autoSpaceDE w:val="0"/>
              <w:autoSpaceDN w:val="0"/>
              <w:bidi w:val="0"/>
              <w:adjustRightInd w:val="0"/>
              <w:spacing w:line="560" w:lineRule="exact"/>
              <w:ind w:firstLine="240" w:firstLineChars="100"/>
              <w:jc w:val="left"/>
              <w:textAlignment w:val="auto"/>
              <w:outlineLvl w:val="9"/>
              <w:rPr>
                <w:rFonts w:hint="default" w:ascii="宋体" w:hAnsi="宋体" w:cs="宋体"/>
                <w:kern w:val="0"/>
                <w:sz w:val="24"/>
                <w:szCs w:val="24"/>
                <w:lang w:val="en-US" w:eastAsia="zh-CN"/>
              </w:rPr>
            </w:pPr>
            <w:r>
              <w:rPr>
                <w:rFonts w:hint="eastAsia" w:ascii="宋体" w:hAnsi="宋体" w:cs="宋体"/>
                <w:kern w:val="0"/>
                <w:sz w:val="24"/>
                <w:szCs w:val="24"/>
                <w:lang w:val="en-US" w:eastAsia="zh-CN"/>
              </w:rPr>
              <w:t>制造商</w:t>
            </w:r>
          </w:p>
        </w:tc>
        <w:tc>
          <w:tcPr>
            <w:tcW w:w="1645" w:type="dxa"/>
            <w:vMerge w:val="restart"/>
            <w:tcBorders>
              <w:top w:val="single" w:color="auto" w:sz="12" w:space="0"/>
              <w:left w:val="single" w:color="auto" w:sz="4" w:space="0"/>
              <w:bottom w:val="single" w:color="auto" w:sz="4" w:space="0"/>
              <w:right w:val="single" w:color="auto" w:sz="4" w:space="0"/>
            </w:tcBorders>
            <w:noWrap w:val="0"/>
            <w:vAlign w:val="center"/>
          </w:tcPr>
          <w:p w14:paraId="178BF0ED">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节字标志认证</w:t>
            </w:r>
          </w:p>
          <w:p w14:paraId="6288BB88">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证书编号</w:t>
            </w:r>
          </w:p>
        </w:tc>
        <w:tc>
          <w:tcPr>
            <w:tcW w:w="3842" w:type="dxa"/>
            <w:gridSpan w:val="3"/>
            <w:tcBorders>
              <w:top w:val="single" w:color="auto" w:sz="12" w:space="0"/>
              <w:left w:val="single" w:color="auto" w:sz="4" w:space="0"/>
              <w:bottom w:val="single" w:color="auto" w:sz="4" w:space="0"/>
              <w:right w:val="single" w:color="auto" w:sz="12" w:space="0"/>
            </w:tcBorders>
            <w:noWrap w:val="0"/>
            <w:vAlign w:val="center"/>
          </w:tcPr>
          <w:p w14:paraId="47B22F2E">
            <w:pPr>
              <w:pageBreakBefore w:val="0"/>
              <w:kinsoku/>
              <w:wordWrap/>
              <w:overflowPunct/>
              <w:topLinePunct w:val="0"/>
              <w:autoSpaceDE w:val="0"/>
              <w:autoSpaceDN w:val="0"/>
              <w:bidi w:val="0"/>
              <w:adjustRightInd w:val="0"/>
              <w:spacing w:line="560" w:lineRule="exact"/>
              <w:ind w:firstLine="960" w:firstLineChars="40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价格</w:t>
            </w:r>
          </w:p>
        </w:tc>
      </w:tr>
      <w:tr w14:paraId="525A5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836" w:type="dxa"/>
            <w:vMerge w:val="continue"/>
            <w:tcBorders>
              <w:top w:val="single" w:color="auto" w:sz="12" w:space="0"/>
              <w:left w:val="single" w:color="auto" w:sz="12" w:space="0"/>
              <w:bottom w:val="single" w:color="auto" w:sz="4" w:space="0"/>
              <w:right w:val="single" w:color="auto" w:sz="4" w:space="0"/>
            </w:tcBorders>
            <w:noWrap w:val="0"/>
            <w:vAlign w:val="center"/>
          </w:tcPr>
          <w:p w14:paraId="4244FB1E">
            <w:pPr>
              <w:pageBreakBefore w:val="0"/>
              <w:widowControl/>
              <w:kinsoku/>
              <w:wordWrap/>
              <w:overflowPunct/>
              <w:topLinePunct w:val="0"/>
              <w:bidi w:val="0"/>
              <w:spacing w:line="560" w:lineRule="exact"/>
              <w:jc w:val="left"/>
              <w:textAlignment w:val="auto"/>
              <w:outlineLvl w:val="9"/>
              <w:rPr>
                <w:rFonts w:hint="eastAsia" w:ascii="宋体" w:hAnsi="宋体" w:eastAsia="宋体" w:cs="宋体"/>
                <w:kern w:val="0"/>
                <w:sz w:val="24"/>
                <w:szCs w:val="24"/>
              </w:rPr>
            </w:pPr>
          </w:p>
        </w:tc>
        <w:tc>
          <w:tcPr>
            <w:tcW w:w="1325" w:type="dxa"/>
            <w:vMerge w:val="continue"/>
            <w:tcBorders>
              <w:top w:val="single" w:color="auto" w:sz="12" w:space="0"/>
              <w:left w:val="single" w:color="auto" w:sz="4" w:space="0"/>
              <w:bottom w:val="single" w:color="auto" w:sz="4" w:space="0"/>
              <w:right w:val="single" w:color="auto" w:sz="4" w:space="0"/>
            </w:tcBorders>
            <w:noWrap w:val="0"/>
            <w:vAlign w:val="center"/>
          </w:tcPr>
          <w:p w14:paraId="7CF3B71B">
            <w:pPr>
              <w:pageBreakBefore w:val="0"/>
              <w:widowControl/>
              <w:kinsoku/>
              <w:wordWrap/>
              <w:overflowPunct/>
              <w:topLinePunct w:val="0"/>
              <w:bidi w:val="0"/>
              <w:spacing w:line="560" w:lineRule="exact"/>
              <w:jc w:val="left"/>
              <w:textAlignment w:val="auto"/>
              <w:outlineLvl w:val="9"/>
              <w:rPr>
                <w:rFonts w:hint="eastAsia" w:ascii="宋体" w:hAnsi="宋体" w:eastAsia="宋体" w:cs="宋体"/>
                <w:kern w:val="0"/>
                <w:sz w:val="24"/>
                <w:szCs w:val="24"/>
              </w:rPr>
            </w:pPr>
          </w:p>
        </w:tc>
        <w:tc>
          <w:tcPr>
            <w:tcW w:w="2304" w:type="dxa"/>
            <w:vMerge w:val="continue"/>
            <w:tcBorders>
              <w:top w:val="single" w:color="auto" w:sz="12" w:space="0"/>
              <w:left w:val="single" w:color="auto" w:sz="4" w:space="0"/>
              <w:bottom w:val="single" w:color="auto" w:sz="4" w:space="0"/>
              <w:right w:val="single" w:color="auto" w:sz="4" w:space="0"/>
            </w:tcBorders>
            <w:noWrap w:val="0"/>
            <w:vAlign w:val="center"/>
          </w:tcPr>
          <w:p w14:paraId="381F70E2">
            <w:pPr>
              <w:pageBreakBefore w:val="0"/>
              <w:widowControl/>
              <w:kinsoku/>
              <w:wordWrap/>
              <w:overflowPunct/>
              <w:topLinePunct w:val="0"/>
              <w:bidi w:val="0"/>
              <w:spacing w:line="560" w:lineRule="exact"/>
              <w:jc w:val="left"/>
              <w:textAlignment w:val="auto"/>
              <w:outlineLvl w:val="9"/>
              <w:rPr>
                <w:rFonts w:hint="eastAsia" w:ascii="宋体" w:hAnsi="宋体" w:eastAsia="宋体" w:cs="宋体"/>
                <w:kern w:val="0"/>
                <w:sz w:val="24"/>
                <w:szCs w:val="24"/>
              </w:rPr>
            </w:pPr>
          </w:p>
        </w:tc>
        <w:tc>
          <w:tcPr>
            <w:tcW w:w="1645" w:type="dxa"/>
            <w:vMerge w:val="continue"/>
            <w:tcBorders>
              <w:left w:val="single" w:color="auto" w:sz="4" w:space="0"/>
              <w:bottom w:val="single" w:color="auto" w:sz="4" w:space="0"/>
              <w:right w:val="single" w:color="auto" w:sz="4" w:space="0"/>
            </w:tcBorders>
            <w:noWrap w:val="0"/>
            <w:vAlign w:val="center"/>
          </w:tcPr>
          <w:p w14:paraId="4ECE14F3">
            <w:pPr>
              <w:pageBreakBefore w:val="0"/>
              <w:widowControl/>
              <w:kinsoku/>
              <w:wordWrap/>
              <w:overflowPunct/>
              <w:topLinePunct w:val="0"/>
              <w:bidi w:val="0"/>
              <w:spacing w:line="560" w:lineRule="exact"/>
              <w:jc w:val="left"/>
              <w:textAlignment w:val="auto"/>
              <w:outlineLvl w:val="9"/>
              <w:rPr>
                <w:rFonts w:hint="eastAsia" w:ascii="宋体" w:hAnsi="宋体" w:eastAsia="宋体" w:cs="宋体"/>
                <w:kern w:val="0"/>
                <w:sz w:val="24"/>
                <w:szCs w:val="24"/>
              </w:rPr>
            </w:pPr>
          </w:p>
        </w:tc>
        <w:tc>
          <w:tcPr>
            <w:tcW w:w="1645" w:type="dxa"/>
            <w:vMerge w:val="continue"/>
            <w:tcBorders>
              <w:top w:val="single" w:color="auto" w:sz="12" w:space="0"/>
              <w:left w:val="single" w:color="auto" w:sz="4" w:space="0"/>
              <w:bottom w:val="single" w:color="auto" w:sz="4" w:space="0"/>
              <w:right w:val="single" w:color="auto" w:sz="4" w:space="0"/>
            </w:tcBorders>
            <w:noWrap w:val="0"/>
            <w:vAlign w:val="center"/>
          </w:tcPr>
          <w:p w14:paraId="1215AB70">
            <w:pPr>
              <w:pageBreakBefore w:val="0"/>
              <w:widowControl/>
              <w:kinsoku/>
              <w:wordWrap/>
              <w:overflowPunct/>
              <w:topLinePunct w:val="0"/>
              <w:bidi w:val="0"/>
              <w:spacing w:line="560" w:lineRule="exact"/>
              <w:jc w:val="left"/>
              <w:textAlignment w:val="auto"/>
              <w:outlineLvl w:val="9"/>
              <w:rPr>
                <w:rFonts w:hint="eastAsia" w:ascii="宋体" w:hAnsi="宋体" w:eastAsia="宋体" w:cs="宋体"/>
                <w:kern w:val="0"/>
                <w:sz w:val="24"/>
                <w:szCs w:val="24"/>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35286A9E">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单价</w:t>
            </w:r>
          </w:p>
        </w:tc>
        <w:tc>
          <w:tcPr>
            <w:tcW w:w="977" w:type="dxa"/>
            <w:tcBorders>
              <w:top w:val="single" w:color="auto" w:sz="4" w:space="0"/>
              <w:left w:val="single" w:color="auto" w:sz="4" w:space="0"/>
              <w:bottom w:val="single" w:color="auto" w:sz="4" w:space="0"/>
              <w:right w:val="single" w:color="auto" w:sz="4" w:space="0"/>
            </w:tcBorders>
            <w:noWrap w:val="0"/>
            <w:vAlign w:val="center"/>
          </w:tcPr>
          <w:p w14:paraId="28CF1239">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数量</w:t>
            </w:r>
          </w:p>
        </w:tc>
        <w:tc>
          <w:tcPr>
            <w:tcW w:w="980" w:type="dxa"/>
            <w:tcBorders>
              <w:top w:val="single" w:color="auto" w:sz="4" w:space="0"/>
              <w:left w:val="single" w:color="auto" w:sz="4" w:space="0"/>
              <w:bottom w:val="single" w:color="auto" w:sz="4" w:space="0"/>
              <w:right w:val="single" w:color="auto" w:sz="12" w:space="0"/>
            </w:tcBorders>
            <w:noWrap w:val="0"/>
            <w:vAlign w:val="center"/>
          </w:tcPr>
          <w:p w14:paraId="6E41D8B5">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小计</w:t>
            </w:r>
          </w:p>
        </w:tc>
      </w:tr>
      <w:tr w14:paraId="340D2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36" w:type="dxa"/>
            <w:tcBorders>
              <w:top w:val="single" w:color="auto" w:sz="4" w:space="0"/>
              <w:left w:val="single" w:color="auto" w:sz="12" w:space="0"/>
              <w:bottom w:val="single" w:color="auto" w:sz="4" w:space="0"/>
              <w:right w:val="single" w:color="auto" w:sz="4" w:space="0"/>
            </w:tcBorders>
            <w:noWrap w:val="0"/>
            <w:vAlign w:val="center"/>
          </w:tcPr>
          <w:p w14:paraId="2E02ED9F">
            <w:pPr>
              <w:pageBreakBefore w:val="0"/>
              <w:kinsoku/>
              <w:wordWrap/>
              <w:overflowPunct/>
              <w:topLinePunct w:val="0"/>
              <w:autoSpaceDE w:val="0"/>
              <w:autoSpaceDN w:val="0"/>
              <w:bidi w:val="0"/>
              <w:adjustRightInd w:val="0"/>
              <w:spacing w:line="560" w:lineRule="exac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325" w:type="dxa"/>
            <w:tcBorders>
              <w:top w:val="single" w:color="auto" w:sz="4" w:space="0"/>
              <w:left w:val="single" w:color="auto" w:sz="4" w:space="0"/>
              <w:bottom w:val="single" w:color="auto" w:sz="4" w:space="0"/>
              <w:right w:val="single" w:color="auto" w:sz="4" w:space="0"/>
            </w:tcBorders>
            <w:noWrap w:val="0"/>
            <w:vAlign w:val="center"/>
          </w:tcPr>
          <w:p w14:paraId="3F16F234">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2304" w:type="dxa"/>
            <w:tcBorders>
              <w:top w:val="single" w:color="auto" w:sz="4" w:space="0"/>
              <w:left w:val="single" w:color="auto" w:sz="4" w:space="0"/>
              <w:bottom w:val="single" w:color="auto" w:sz="4" w:space="0"/>
              <w:right w:val="single" w:color="auto" w:sz="4" w:space="0"/>
            </w:tcBorders>
            <w:noWrap w:val="0"/>
            <w:vAlign w:val="center"/>
          </w:tcPr>
          <w:p w14:paraId="00D1C973">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645" w:type="dxa"/>
            <w:tcBorders>
              <w:top w:val="single" w:color="auto" w:sz="4" w:space="0"/>
              <w:left w:val="single" w:color="auto" w:sz="4" w:space="0"/>
              <w:bottom w:val="single" w:color="auto" w:sz="4" w:space="0"/>
              <w:right w:val="single" w:color="auto" w:sz="4" w:space="0"/>
            </w:tcBorders>
            <w:noWrap w:val="0"/>
            <w:vAlign w:val="center"/>
          </w:tcPr>
          <w:p w14:paraId="09404181">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645" w:type="dxa"/>
            <w:tcBorders>
              <w:top w:val="single" w:color="auto" w:sz="4" w:space="0"/>
              <w:left w:val="single" w:color="auto" w:sz="4" w:space="0"/>
              <w:bottom w:val="single" w:color="auto" w:sz="4" w:space="0"/>
              <w:right w:val="single" w:color="auto" w:sz="4" w:space="0"/>
            </w:tcBorders>
            <w:noWrap w:val="0"/>
            <w:vAlign w:val="center"/>
          </w:tcPr>
          <w:p w14:paraId="0DF3034E">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154F49DB">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384D03ED">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980" w:type="dxa"/>
            <w:tcBorders>
              <w:top w:val="single" w:color="auto" w:sz="4" w:space="0"/>
              <w:left w:val="single" w:color="auto" w:sz="4" w:space="0"/>
              <w:bottom w:val="single" w:color="auto" w:sz="4" w:space="0"/>
              <w:right w:val="single" w:color="auto" w:sz="12" w:space="0"/>
            </w:tcBorders>
            <w:noWrap w:val="0"/>
            <w:vAlign w:val="center"/>
          </w:tcPr>
          <w:p w14:paraId="238B64D4">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r>
      <w:tr w14:paraId="1D422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36" w:type="dxa"/>
            <w:tcBorders>
              <w:top w:val="single" w:color="auto" w:sz="4" w:space="0"/>
              <w:left w:val="single" w:color="auto" w:sz="12" w:space="0"/>
              <w:bottom w:val="single" w:color="auto" w:sz="4" w:space="0"/>
              <w:right w:val="single" w:color="auto" w:sz="4" w:space="0"/>
            </w:tcBorders>
            <w:noWrap w:val="0"/>
            <w:vAlign w:val="center"/>
          </w:tcPr>
          <w:p w14:paraId="30C4E5E8">
            <w:pPr>
              <w:pageBreakBefore w:val="0"/>
              <w:kinsoku/>
              <w:wordWrap/>
              <w:overflowPunct/>
              <w:topLinePunct w:val="0"/>
              <w:autoSpaceDE w:val="0"/>
              <w:autoSpaceDN w:val="0"/>
              <w:bidi w:val="0"/>
              <w:adjustRightInd w:val="0"/>
              <w:spacing w:line="560" w:lineRule="exac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1325" w:type="dxa"/>
            <w:tcBorders>
              <w:top w:val="single" w:color="auto" w:sz="4" w:space="0"/>
              <w:left w:val="single" w:color="auto" w:sz="4" w:space="0"/>
              <w:bottom w:val="single" w:color="auto" w:sz="4" w:space="0"/>
              <w:right w:val="single" w:color="auto" w:sz="4" w:space="0"/>
            </w:tcBorders>
            <w:noWrap w:val="0"/>
            <w:vAlign w:val="center"/>
          </w:tcPr>
          <w:p w14:paraId="1F97BB07">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2304" w:type="dxa"/>
            <w:tcBorders>
              <w:top w:val="single" w:color="auto" w:sz="4" w:space="0"/>
              <w:left w:val="single" w:color="auto" w:sz="4" w:space="0"/>
              <w:bottom w:val="single" w:color="auto" w:sz="4" w:space="0"/>
              <w:right w:val="single" w:color="auto" w:sz="4" w:space="0"/>
            </w:tcBorders>
            <w:noWrap w:val="0"/>
            <w:vAlign w:val="center"/>
          </w:tcPr>
          <w:p w14:paraId="03DD6A36">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645" w:type="dxa"/>
            <w:tcBorders>
              <w:top w:val="single" w:color="auto" w:sz="4" w:space="0"/>
              <w:left w:val="single" w:color="auto" w:sz="4" w:space="0"/>
              <w:bottom w:val="single" w:color="auto" w:sz="4" w:space="0"/>
              <w:right w:val="single" w:color="auto" w:sz="4" w:space="0"/>
            </w:tcBorders>
            <w:noWrap w:val="0"/>
            <w:vAlign w:val="center"/>
          </w:tcPr>
          <w:p w14:paraId="40AF51B3">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645" w:type="dxa"/>
            <w:tcBorders>
              <w:top w:val="single" w:color="auto" w:sz="4" w:space="0"/>
              <w:left w:val="single" w:color="auto" w:sz="4" w:space="0"/>
              <w:bottom w:val="single" w:color="auto" w:sz="4" w:space="0"/>
              <w:right w:val="single" w:color="auto" w:sz="4" w:space="0"/>
            </w:tcBorders>
            <w:noWrap w:val="0"/>
            <w:vAlign w:val="center"/>
          </w:tcPr>
          <w:p w14:paraId="51590BCA">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4299B6F8">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64F38244">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980" w:type="dxa"/>
            <w:tcBorders>
              <w:top w:val="single" w:color="auto" w:sz="4" w:space="0"/>
              <w:left w:val="single" w:color="auto" w:sz="4" w:space="0"/>
              <w:bottom w:val="single" w:color="auto" w:sz="4" w:space="0"/>
              <w:right w:val="single" w:color="auto" w:sz="12" w:space="0"/>
            </w:tcBorders>
            <w:noWrap w:val="0"/>
            <w:vAlign w:val="center"/>
          </w:tcPr>
          <w:p w14:paraId="0277A077">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r>
      <w:tr w14:paraId="07040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36" w:type="dxa"/>
            <w:tcBorders>
              <w:top w:val="single" w:color="auto" w:sz="4" w:space="0"/>
              <w:left w:val="single" w:color="auto" w:sz="12" w:space="0"/>
              <w:bottom w:val="single" w:color="auto" w:sz="4" w:space="0"/>
              <w:right w:val="single" w:color="auto" w:sz="4" w:space="0"/>
            </w:tcBorders>
            <w:noWrap w:val="0"/>
            <w:vAlign w:val="center"/>
          </w:tcPr>
          <w:p w14:paraId="40FC55AC">
            <w:pPr>
              <w:pageBreakBefore w:val="0"/>
              <w:kinsoku/>
              <w:wordWrap/>
              <w:overflowPunct/>
              <w:topLinePunct w:val="0"/>
              <w:autoSpaceDE w:val="0"/>
              <w:autoSpaceDN w:val="0"/>
              <w:bidi w:val="0"/>
              <w:adjustRightInd w:val="0"/>
              <w:spacing w:line="560" w:lineRule="exac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325" w:type="dxa"/>
            <w:tcBorders>
              <w:top w:val="single" w:color="auto" w:sz="4" w:space="0"/>
              <w:left w:val="single" w:color="auto" w:sz="4" w:space="0"/>
              <w:bottom w:val="single" w:color="auto" w:sz="4" w:space="0"/>
              <w:right w:val="single" w:color="auto" w:sz="4" w:space="0"/>
            </w:tcBorders>
            <w:noWrap w:val="0"/>
            <w:vAlign w:val="center"/>
          </w:tcPr>
          <w:p w14:paraId="05FC9061">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2304" w:type="dxa"/>
            <w:tcBorders>
              <w:top w:val="single" w:color="auto" w:sz="4" w:space="0"/>
              <w:left w:val="single" w:color="auto" w:sz="4" w:space="0"/>
              <w:bottom w:val="single" w:color="auto" w:sz="4" w:space="0"/>
              <w:right w:val="single" w:color="auto" w:sz="4" w:space="0"/>
            </w:tcBorders>
            <w:noWrap w:val="0"/>
            <w:vAlign w:val="center"/>
          </w:tcPr>
          <w:p w14:paraId="3BDC1AE4">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645" w:type="dxa"/>
            <w:tcBorders>
              <w:top w:val="single" w:color="auto" w:sz="4" w:space="0"/>
              <w:left w:val="single" w:color="auto" w:sz="4" w:space="0"/>
              <w:bottom w:val="single" w:color="auto" w:sz="4" w:space="0"/>
              <w:right w:val="single" w:color="auto" w:sz="4" w:space="0"/>
            </w:tcBorders>
            <w:noWrap w:val="0"/>
            <w:vAlign w:val="center"/>
          </w:tcPr>
          <w:p w14:paraId="5D0E9EF0">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645" w:type="dxa"/>
            <w:tcBorders>
              <w:top w:val="single" w:color="auto" w:sz="4" w:space="0"/>
              <w:left w:val="single" w:color="auto" w:sz="4" w:space="0"/>
              <w:bottom w:val="single" w:color="auto" w:sz="4" w:space="0"/>
              <w:right w:val="single" w:color="auto" w:sz="4" w:space="0"/>
            </w:tcBorders>
            <w:noWrap w:val="0"/>
            <w:vAlign w:val="center"/>
          </w:tcPr>
          <w:p w14:paraId="79605266">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54E85CFF">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117830D1">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980" w:type="dxa"/>
            <w:tcBorders>
              <w:top w:val="single" w:color="auto" w:sz="4" w:space="0"/>
              <w:left w:val="single" w:color="auto" w:sz="4" w:space="0"/>
              <w:bottom w:val="single" w:color="auto" w:sz="4" w:space="0"/>
              <w:right w:val="single" w:color="auto" w:sz="12" w:space="0"/>
            </w:tcBorders>
            <w:noWrap w:val="0"/>
            <w:vAlign w:val="center"/>
          </w:tcPr>
          <w:p w14:paraId="258391C2">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r>
    </w:tbl>
    <w:p w14:paraId="37EB32CD">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rPr>
        <w:t>说明：1</w:t>
      </w:r>
      <w:r>
        <w:rPr>
          <w:rFonts w:hint="eastAsia" w:ascii="宋体" w:hAnsi="宋体" w:eastAsia="宋体" w:cs="宋体"/>
          <w:kern w:val="0"/>
          <w:sz w:val="24"/>
          <w:szCs w:val="24"/>
          <w:highlight w:val="none"/>
        </w:rPr>
        <w:t xml:space="preserve">、如所报产品为节能产品，请按要求逐项填写； </w:t>
      </w:r>
    </w:p>
    <w:p w14:paraId="6422E558">
      <w:pPr>
        <w:pageBreakBefore w:val="0"/>
        <w:kinsoku/>
        <w:wordWrap/>
        <w:overflowPunct/>
        <w:topLinePunct w:val="0"/>
        <w:autoSpaceDE w:val="0"/>
        <w:autoSpaceDN w:val="0"/>
        <w:bidi w:val="0"/>
        <w:adjustRightInd w:val="0"/>
        <w:spacing w:line="560" w:lineRule="exact"/>
        <w:ind w:left="117" w:leftChars="56" w:firstLine="600" w:firstLineChars="250"/>
        <w:jc w:val="left"/>
        <w:textAlignment w:val="auto"/>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2、需</w:t>
      </w:r>
      <w:r>
        <w:rPr>
          <w:rFonts w:hint="eastAsia" w:ascii="宋体" w:hAnsi="宋体" w:eastAsia="宋体" w:cs="宋体"/>
          <w:kern w:val="0"/>
          <w:sz w:val="24"/>
          <w:szCs w:val="24"/>
          <w:highlight w:val="none"/>
          <w:lang w:val="en-US" w:eastAsia="zh-CN"/>
        </w:rPr>
        <w:t>附</w:t>
      </w:r>
      <w:r>
        <w:rPr>
          <w:rFonts w:hint="eastAsia" w:ascii="宋体" w:hAnsi="宋体" w:eastAsia="宋体" w:cs="宋体"/>
          <w:kern w:val="0"/>
          <w:sz w:val="24"/>
          <w:szCs w:val="24"/>
          <w:highlight w:val="none"/>
        </w:rPr>
        <w:t>节能产品认证证书，且证书内产品型号与所报产品型号完全一致，否则不予</w:t>
      </w:r>
      <w:r>
        <w:rPr>
          <w:rFonts w:hint="eastAsia" w:ascii="宋体" w:hAnsi="宋体" w:eastAsia="宋体" w:cs="宋体"/>
          <w:kern w:val="0"/>
          <w:sz w:val="24"/>
          <w:szCs w:val="24"/>
          <w:highlight w:val="none"/>
          <w:lang w:val="en-US" w:eastAsia="zh-CN"/>
        </w:rPr>
        <w:t>认可</w:t>
      </w:r>
      <w:r>
        <w:rPr>
          <w:rFonts w:hint="eastAsia" w:ascii="宋体" w:hAnsi="宋体" w:eastAsia="宋体" w:cs="宋体"/>
          <w:kern w:val="0"/>
          <w:sz w:val="24"/>
          <w:szCs w:val="24"/>
          <w:highlight w:val="none"/>
        </w:rPr>
        <w:t>（非强制节能产品）；</w:t>
      </w:r>
      <w:r>
        <w:rPr>
          <w:rFonts w:hint="eastAsia" w:ascii="宋体" w:hAnsi="宋体" w:eastAsia="宋体" w:cs="宋体"/>
          <w:b/>
          <w:bCs/>
          <w:kern w:val="0"/>
          <w:sz w:val="24"/>
          <w:szCs w:val="24"/>
          <w:highlight w:val="none"/>
        </w:rPr>
        <w:t>如为强制节能产品，未提供产品认证证书或证书内产品型号与所报产品型号不完全一致的，将被认定为</w:t>
      </w:r>
      <w:r>
        <w:rPr>
          <w:rFonts w:hint="eastAsia" w:ascii="宋体" w:hAnsi="宋体" w:eastAsia="宋体" w:cs="宋体"/>
          <w:b/>
          <w:bCs/>
          <w:kern w:val="0"/>
          <w:sz w:val="24"/>
          <w:szCs w:val="24"/>
          <w:highlight w:val="none"/>
          <w:lang w:val="en-US" w:eastAsia="zh-CN"/>
        </w:rPr>
        <w:t>响应</w:t>
      </w:r>
      <w:r>
        <w:rPr>
          <w:rFonts w:hint="eastAsia" w:ascii="宋体" w:hAnsi="宋体" w:eastAsia="宋体" w:cs="宋体"/>
          <w:b/>
          <w:bCs/>
          <w:kern w:val="0"/>
          <w:sz w:val="24"/>
          <w:szCs w:val="24"/>
          <w:highlight w:val="none"/>
        </w:rPr>
        <w:t>无效。</w:t>
      </w:r>
    </w:p>
    <w:p w14:paraId="7EFC9020">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p>
    <w:p w14:paraId="40FA8AF9">
      <w:pPr>
        <w:pStyle w:val="2"/>
        <w:outlineLvl w:val="9"/>
        <w:rPr>
          <w:rFonts w:hint="eastAsia" w:ascii="宋体" w:hAnsi="宋体" w:eastAsia="宋体" w:cs="宋体"/>
          <w:kern w:val="0"/>
          <w:sz w:val="24"/>
          <w:szCs w:val="24"/>
        </w:rPr>
      </w:pPr>
    </w:p>
    <w:p w14:paraId="172D9018">
      <w:pPr>
        <w:pStyle w:val="4"/>
        <w:outlineLvl w:val="9"/>
        <w:rPr>
          <w:rFonts w:hint="eastAsia" w:ascii="宋体" w:hAnsi="宋体" w:eastAsia="宋体" w:cs="宋体"/>
          <w:kern w:val="0"/>
          <w:sz w:val="24"/>
          <w:szCs w:val="24"/>
        </w:rPr>
      </w:pPr>
    </w:p>
    <w:p w14:paraId="3FEA548C">
      <w:pPr>
        <w:outlineLvl w:val="9"/>
        <w:rPr>
          <w:rFonts w:hint="eastAsia" w:ascii="宋体" w:hAnsi="宋体" w:eastAsia="宋体" w:cs="宋体"/>
          <w:kern w:val="0"/>
          <w:sz w:val="24"/>
          <w:szCs w:val="24"/>
        </w:rPr>
      </w:pPr>
    </w:p>
    <w:p w14:paraId="3E050C90">
      <w:pPr>
        <w:pStyle w:val="2"/>
        <w:outlineLvl w:val="9"/>
        <w:rPr>
          <w:rFonts w:hint="eastAsia"/>
        </w:rPr>
      </w:pPr>
    </w:p>
    <w:p w14:paraId="1601A40F">
      <w:pPr>
        <w:pageBreakBefore w:val="0"/>
        <w:kinsoku/>
        <w:wordWrap/>
        <w:overflowPunct/>
        <w:topLinePunct w:val="0"/>
        <w:bidi w:val="0"/>
        <w:spacing w:line="560" w:lineRule="exact"/>
        <w:jc w:val="center"/>
        <w:textAlignment w:val="auto"/>
        <w:outlineLvl w:val="9"/>
        <w:rPr>
          <w:rFonts w:hint="eastAsia" w:ascii="宋体" w:hAnsi="宋体" w:eastAsia="宋体" w:cs="宋体"/>
          <w:sz w:val="24"/>
          <w:szCs w:val="24"/>
          <w:u w:val="none"/>
        </w:rPr>
      </w:pPr>
      <w:bookmarkStart w:id="418" w:name="_Toc46238287"/>
      <w:bookmarkStart w:id="419" w:name="_Toc27413_WPSOffice_Level2"/>
      <w:bookmarkStart w:id="420" w:name="_Toc22269"/>
      <w:bookmarkStart w:id="421" w:name="_Toc46136870"/>
      <w:r>
        <w:rPr>
          <w:rFonts w:hint="eastAsia" w:ascii="宋体" w:hAnsi="宋体" w:eastAsia="宋体" w:cs="宋体"/>
          <w:b/>
          <w:bCs/>
          <w:sz w:val="24"/>
          <w:szCs w:val="24"/>
          <w:u w:val="none"/>
        </w:rPr>
        <w:t>进口产品明细表</w:t>
      </w:r>
      <w:bookmarkEnd w:id="418"/>
      <w:bookmarkEnd w:id="419"/>
      <w:bookmarkEnd w:id="420"/>
      <w:bookmarkEnd w:id="421"/>
    </w:p>
    <w:p w14:paraId="5670ADDE">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p>
    <w:p w14:paraId="173FEFDE">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项目编号</w:t>
      </w:r>
      <w:r>
        <w:rPr>
          <w:rFonts w:hint="eastAsia" w:ascii="宋体" w:hAnsi="宋体" w:cs="宋体"/>
          <w:kern w:val="0"/>
          <w:sz w:val="24"/>
          <w:szCs w:val="24"/>
          <w:lang w:eastAsia="zh-CN"/>
        </w:rPr>
        <w:t>、</w:t>
      </w:r>
      <w:r>
        <w:rPr>
          <w:rFonts w:hint="eastAsia" w:ascii="宋体" w:hAnsi="宋体" w:cs="宋体"/>
          <w:kern w:val="0"/>
          <w:sz w:val="24"/>
          <w:szCs w:val="24"/>
          <w:lang w:val="en-US" w:eastAsia="zh-CN"/>
        </w:rPr>
        <w:t>项目名称</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val="en-US" w:eastAsia="zh-CN"/>
        </w:rPr>
        <w:t xml:space="preserve">  </w:t>
      </w:r>
      <w:r>
        <w:rPr>
          <w:rFonts w:hint="eastAsia" w:ascii="宋体" w:hAnsi="宋体" w:cs="宋体"/>
          <w:kern w:val="0"/>
          <w:sz w:val="24"/>
          <w:szCs w:val="24"/>
          <w:lang w:val="en-US" w:eastAsia="zh-CN"/>
        </w:rPr>
        <w:t xml:space="preserve">     </w:t>
      </w: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rPr>
        <w:t>报价单位：人民币元</w:t>
      </w:r>
    </w:p>
    <w:tbl>
      <w:tblPr>
        <w:tblStyle w:val="32"/>
        <w:tblpPr w:leftFromText="180" w:rightFromText="180" w:vertAnchor="text" w:horzAnchor="margin" w:tblpXSpec="center" w:tblpY="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1245"/>
        <w:gridCol w:w="1267"/>
        <w:gridCol w:w="1479"/>
        <w:gridCol w:w="1759"/>
        <w:gridCol w:w="1126"/>
        <w:gridCol w:w="1126"/>
        <w:gridCol w:w="1275"/>
      </w:tblGrid>
      <w:tr w14:paraId="2B9EF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740" w:type="dxa"/>
            <w:vMerge w:val="restart"/>
            <w:tcBorders>
              <w:top w:val="single" w:color="auto" w:sz="12" w:space="0"/>
              <w:left w:val="single" w:color="auto" w:sz="12" w:space="0"/>
              <w:bottom w:val="single" w:color="auto" w:sz="4" w:space="0"/>
              <w:right w:val="single" w:color="auto" w:sz="4" w:space="0"/>
            </w:tcBorders>
            <w:noWrap w:val="0"/>
            <w:vAlign w:val="top"/>
          </w:tcPr>
          <w:p w14:paraId="29C11D27">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p w14:paraId="337ECA60">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序号</w:t>
            </w:r>
          </w:p>
          <w:p w14:paraId="11B56068">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p w14:paraId="2B6AA489">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245" w:type="dxa"/>
            <w:vMerge w:val="restart"/>
            <w:tcBorders>
              <w:top w:val="single" w:color="auto" w:sz="12" w:space="0"/>
              <w:left w:val="single" w:color="auto" w:sz="4" w:space="0"/>
              <w:bottom w:val="single" w:color="auto" w:sz="4" w:space="0"/>
              <w:right w:val="single" w:color="auto" w:sz="4" w:space="0"/>
            </w:tcBorders>
            <w:noWrap w:val="0"/>
            <w:vAlign w:val="top"/>
          </w:tcPr>
          <w:p w14:paraId="2AF7A0BD">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p>
          <w:p w14:paraId="3CECF180">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p>
          <w:p w14:paraId="6B968705">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货物名称</w:t>
            </w:r>
          </w:p>
        </w:tc>
        <w:tc>
          <w:tcPr>
            <w:tcW w:w="1267" w:type="dxa"/>
            <w:vMerge w:val="restart"/>
            <w:tcBorders>
              <w:top w:val="single" w:color="auto" w:sz="12" w:space="0"/>
              <w:left w:val="single" w:color="auto" w:sz="4" w:space="0"/>
              <w:bottom w:val="single" w:color="auto" w:sz="4" w:space="0"/>
              <w:right w:val="single" w:color="auto" w:sz="4" w:space="0"/>
            </w:tcBorders>
            <w:noWrap w:val="0"/>
            <w:vAlign w:val="top"/>
          </w:tcPr>
          <w:p w14:paraId="342BE988">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p w14:paraId="49F20975">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p w14:paraId="43C3B1C7">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制造商</w:t>
            </w:r>
          </w:p>
        </w:tc>
        <w:tc>
          <w:tcPr>
            <w:tcW w:w="1479" w:type="dxa"/>
            <w:vMerge w:val="restart"/>
            <w:tcBorders>
              <w:top w:val="single" w:color="auto" w:sz="12" w:space="0"/>
              <w:left w:val="single" w:color="auto" w:sz="4" w:space="0"/>
              <w:bottom w:val="single" w:color="auto" w:sz="4" w:space="0"/>
              <w:right w:val="single" w:color="auto" w:sz="4" w:space="0"/>
            </w:tcBorders>
            <w:noWrap w:val="0"/>
            <w:vAlign w:val="top"/>
          </w:tcPr>
          <w:p w14:paraId="448D364B">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p w14:paraId="3821AB53">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p>
          <w:p w14:paraId="6825F8D8">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品牌型号</w:t>
            </w:r>
          </w:p>
        </w:tc>
        <w:tc>
          <w:tcPr>
            <w:tcW w:w="1759" w:type="dxa"/>
            <w:vMerge w:val="restart"/>
            <w:tcBorders>
              <w:top w:val="single" w:color="auto" w:sz="12" w:space="0"/>
              <w:left w:val="single" w:color="auto" w:sz="4" w:space="0"/>
              <w:bottom w:val="single" w:color="auto" w:sz="4" w:space="0"/>
              <w:right w:val="single" w:color="auto" w:sz="4" w:space="0"/>
            </w:tcBorders>
            <w:noWrap w:val="0"/>
            <w:vAlign w:val="top"/>
          </w:tcPr>
          <w:p w14:paraId="11D0BB2E">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p w14:paraId="16395C41">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p w14:paraId="4E234F65">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产地</w:t>
            </w:r>
          </w:p>
        </w:tc>
        <w:tc>
          <w:tcPr>
            <w:tcW w:w="3527" w:type="dxa"/>
            <w:gridSpan w:val="3"/>
            <w:tcBorders>
              <w:top w:val="single" w:color="auto" w:sz="12" w:space="0"/>
              <w:left w:val="single" w:color="auto" w:sz="4" w:space="0"/>
              <w:bottom w:val="single" w:color="auto" w:sz="4" w:space="0"/>
              <w:right w:val="single" w:color="auto" w:sz="12" w:space="0"/>
            </w:tcBorders>
            <w:noWrap w:val="0"/>
            <w:vAlign w:val="top"/>
          </w:tcPr>
          <w:p w14:paraId="1D8AA216">
            <w:pPr>
              <w:pageBreakBefore w:val="0"/>
              <w:kinsoku/>
              <w:wordWrap/>
              <w:overflowPunct/>
              <w:topLinePunct w:val="0"/>
              <w:autoSpaceDE w:val="0"/>
              <w:autoSpaceDN w:val="0"/>
              <w:bidi w:val="0"/>
              <w:adjustRightInd w:val="0"/>
              <w:spacing w:line="560" w:lineRule="exact"/>
              <w:ind w:firstLine="1200" w:firstLineChars="50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价格</w:t>
            </w:r>
          </w:p>
        </w:tc>
      </w:tr>
      <w:tr w14:paraId="53381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740" w:type="dxa"/>
            <w:vMerge w:val="continue"/>
            <w:tcBorders>
              <w:top w:val="single" w:color="auto" w:sz="12" w:space="0"/>
              <w:left w:val="single" w:color="auto" w:sz="12" w:space="0"/>
              <w:bottom w:val="single" w:color="auto" w:sz="4" w:space="0"/>
              <w:right w:val="single" w:color="auto" w:sz="4" w:space="0"/>
            </w:tcBorders>
            <w:noWrap w:val="0"/>
            <w:vAlign w:val="center"/>
          </w:tcPr>
          <w:p w14:paraId="7F077AA4">
            <w:pPr>
              <w:pageBreakBefore w:val="0"/>
              <w:widowControl/>
              <w:kinsoku/>
              <w:wordWrap/>
              <w:overflowPunct/>
              <w:topLinePunct w:val="0"/>
              <w:bidi w:val="0"/>
              <w:spacing w:line="560" w:lineRule="exact"/>
              <w:jc w:val="left"/>
              <w:textAlignment w:val="auto"/>
              <w:outlineLvl w:val="9"/>
              <w:rPr>
                <w:rFonts w:hint="eastAsia" w:ascii="宋体" w:hAnsi="宋体" w:eastAsia="宋体" w:cs="宋体"/>
                <w:kern w:val="0"/>
                <w:sz w:val="24"/>
                <w:szCs w:val="24"/>
              </w:rPr>
            </w:pPr>
          </w:p>
        </w:tc>
        <w:tc>
          <w:tcPr>
            <w:tcW w:w="1245" w:type="dxa"/>
            <w:vMerge w:val="continue"/>
            <w:tcBorders>
              <w:top w:val="single" w:color="auto" w:sz="12" w:space="0"/>
              <w:left w:val="single" w:color="auto" w:sz="4" w:space="0"/>
              <w:bottom w:val="single" w:color="auto" w:sz="4" w:space="0"/>
              <w:right w:val="single" w:color="auto" w:sz="4" w:space="0"/>
            </w:tcBorders>
            <w:noWrap w:val="0"/>
            <w:vAlign w:val="center"/>
          </w:tcPr>
          <w:p w14:paraId="6CE7C69F">
            <w:pPr>
              <w:pageBreakBefore w:val="0"/>
              <w:widowControl/>
              <w:kinsoku/>
              <w:wordWrap/>
              <w:overflowPunct/>
              <w:topLinePunct w:val="0"/>
              <w:bidi w:val="0"/>
              <w:spacing w:line="560" w:lineRule="exact"/>
              <w:jc w:val="left"/>
              <w:textAlignment w:val="auto"/>
              <w:outlineLvl w:val="9"/>
              <w:rPr>
                <w:rFonts w:hint="eastAsia" w:ascii="宋体" w:hAnsi="宋体" w:eastAsia="宋体" w:cs="宋体"/>
                <w:kern w:val="0"/>
                <w:sz w:val="24"/>
                <w:szCs w:val="24"/>
              </w:rPr>
            </w:pPr>
          </w:p>
        </w:tc>
        <w:tc>
          <w:tcPr>
            <w:tcW w:w="1267" w:type="dxa"/>
            <w:vMerge w:val="continue"/>
            <w:tcBorders>
              <w:top w:val="single" w:color="auto" w:sz="12" w:space="0"/>
              <w:left w:val="single" w:color="auto" w:sz="4" w:space="0"/>
              <w:bottom w:val="single" w:color="auto" w:sz="4" w:space="0"/>
              <w:right w:val="single" w:color="auto" w:sz="4" w:space="0"/>
            </w:tcBorders>
            <w:noWrap w:val="0"/>
            <w:vAlign w:val="center"/>
          </w:tcPr>
          <w:p w14:paraId="42578794">
            <w:pPr>
              <w:pageBreakBefore w:val="0"/>
              <w:widowControl/>
              <w:kinsoku/>
              <w:wordWrap/>
              <w:overflowPunct/>
              <w:topLinePunct w:val="0"/>
              <w:bidi w:val="0"/>
              <w:spacing w:line="560" w:lineRule="exact"/>
              <w:jc w:val="left"/>
              <w:textAlignment w:val="auto"/>
              <w:outlineLvl w:val="9"/>
              <w:rPr>
                <w:rFonts w:hint="eastAsia" w:ascii="宋体" w:hAnsi="宋体" w:eastAsia="宋体" w:cs="宋体"/>
                <w:kern w:val="0"/>
                <w:sz w:val="24"/>
                <w:szCs w:val="24"/>
              </w:rPr>
            </w:pPr>
          </w:p>
        </w:tc>
        <w:tc>
          <w:tcPr>
            <w:tcW w:w="1479" w:type="dxa"/>
            <w:vMerge w:val="continue"/>
            <w:tcBorders>
              <w:top w:val="single" w:color="auto" w:sz="12" w:space="0"/>
              <w:left w:val="single" w:color="auto" w:sz="4" w:space="0"/>
              <w:bottom w:val="single" w:color="auto" w:sz="4" w:space="0"/>
              <w:right w:val="single" w:color="auto" w:sz="4" w:space="0"/>
            </w:tcBorders>
            <w:noWrap w:val="0"/>
            <w:vAlign w:val="center"/>
          </w:tcPr>
          <w:p w14:paraId="56C571C8">
            <w:pPr>
              <w:pageBreakBefore w:val="0"/>
              <w:widowControl/>
              <w:kinsoku/>
              <w:wordWrap/>
              <w:overflowPunct/>
              <w:topLinePunct w:val="0"/>
              <w:bidi w:val="0"/>
              <w:spacing w:line="560" w:lineRule="exact"/>
              <w:jc w:val="left"/>
              <w:textAlignment w:val="auto"/>
              <w:outlineLvl w:val="9"/>
              <w:rPr>
                <w:rFonts w:hint="eastAsia" w:ascii="宋体" w:hAnsi="宋体" w:eastAsia="宋体" w:cs="宋体"/>
                <w:kern w:val="0"/>
                <w:sz w:val="24"/>
                <w:szCs w:val="24"/>
              </w:rPr>
            </w:pPr>
          </w:p>
        </w:tc>
        <w:tc>
          <w:tcPr>
            <w:tcW w:w="1759" w:type="dxa"/>
            <w:vMerge w:val="continue"/>
            <w:tcBorders>
              <w:top w:val="single" w:color="auto" w:sz="12" w:space="0"/>
              <w:left w:val="single" w:color="auto" w:sz="4" w:space="0"/>
              <w:bottom w:val="single" w:color="auto" w:sz="4" w:space="0"/>
              <w:right w:val="single" w:color="auto" w:sz="4" w:space="0"/>
            </w:tcBorders>
            <w:noWrap w:val="0"/>
            <w:vAlign w:val="center"/>
          </w:tcPr>
          <w:p w14:paraId="3BA8397C">
            <w:pPr>
              <w:pageBreakBefore w:val="0"/>
              <w:widowControl/>
              <w:kinsoku/>
              <w:wordWrap/>
              <w:overflowPunct/>
              <w:topLinePunct w:val="0"/>
              <w:bidi w:val="0"/>
              <w:spacing w:line="560" w:lineRule="exact"/>
              <w:jc w:val="left"/>
              <w:textAlignment w:val="auto"/>
              <w:outlineLvl w:val="9"/>
              <w:rPr>
                <w:rFonts w:hint="eastAsia" w:ascii="宋体" w:hAnsi="宋体" w:eastAsia="宋体" w:cs="宋体"/>
                <w:kern w:val="0"/>
                <w:sz w:val="24"/>
                <w:szCs w:val="24"/>
              </w:rPr>
            </w:pPr>
          </w:p>
        </w:tc>
        <w:tc>
          <w:tcPr>
            <w:tcW w:w="1126" w:type="dxa"/>
            <w:tcBorders>
              <w:top w:val="single" w:color="auto" w:sz="4" w:space="0"/>
              <w:left w:val="single" w:color="auto" w:sz="4" w:space="0"/>
              <w:bottom w:val="single" w:color="auto" w:sz="4" w:space="0"/>
              <w:right w:val="single" w:color="auto" w:sz="4" w:space="0"/>
            </w:tcBorders>
            <w:noWrap w:val="0"/>
            <w:vAlign w:val="top"/>
          </w:tcPr>
          <w:p w14:paraId="5870F355">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p>
          <w:p w14:paraId="546F2888">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单价</w:t>
            </w:r>
          </w:p>
        </w:tc>
        <w:tc>
          <w:tcPr>
            <w:tcW w:w="1126" w:type="dxa"/>
            <w:tcBorders>
              <w:top w:val="single" w:color="auto" w:sz="4" w:space="0"/>
              <w:left w:val="single" w:color="auto" w:sz="4" w:space="0"/>
              <w:bottom w:val="single" w:color="auto" w:sz="4" w:space="0"/>
              <w:right w:val="single" w:color="auto" w:sz="4" w:space="0"/>
            </w:tcBorders>
            <w:noWrap w:val="0"/>
            <w:vAlign w:val="top"/>
          </w:tcPr>
          <w:p w14:paraId="02119D8C">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p>
          <w:p w14:paraId="377195BA">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数量</w:t>
            </w:r>
          </w:p>
        </w:tc>
        <w:tc>
          <w:tcPr>
            <w:tcW w:w="1275" w:type="dxa"/>
            <w:tcBorders>
              <w:top w:val="single" w:color="auto" w:sz="4" w:space="0"/>
              <w:left w:val="single" w:color="auto" w:sz="4" w:space="0"/>
              <w:bottom w:val="single" w:color="auto" w:sz="4" w:space="0"/>
              <w:right w:val="single" w:color="auto" w:sz="12" w:space="0"/>
            </w:tcBorders>
            <w:noWrap w:val="0"/>
            <w:vAlign w:val="top"/>
          </w:tcPr>
          <w:p w14:paraId="3783132A">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p>
          <w:p w14:paraId="432B2A1D">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小计</w:t>
            </w:r>
          </w:p>
        </w:tc>
      </w:tr>
      <w:tr w14:paraId="5D85F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40" w:type="dxa"/>
            <w:tcBorders>
              <w:top w:val="single" w:color="auto" w:sz="4" w:space="0"/>
              <w:left w:val="single" w:color="auto" w:sz="12" w:space="0"/>
              <w:bottom w:val="single" w:color="auto" w:sz="4" w:space="0"/>
              <w:right w:val="single" w:color="auto" w:sz="4" w:space="0"/>
            </w:tcBorders>
            <w:noWrap w:val="0"/>
            <w:vAlign w:val="center"/>
          </w:tcPr>
          <w:p w14:paraId="7212AF9A">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245" w:type="dxa"/>
            <w:tcBorders>
              <w:top w:val="single" w:color="auto" w:sz="4" w:space="0"/>
              <w:left w:val="single" w:color="auto" w:sz="4" w:space="0"/>
              <w:bottom w:val="single" w:color="auto" w:sz="4" w:space="0"/>
              <w:right w:val="single" w:color="auto" w:sz="4" w:space="0"/>
            </w:tcBorders>
            <w:noWrap w:val="0"/>
            <w:vAlign w:val="top"/>
          </w:tcPr>
          <w:p w14:paraId="1094C124">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267" w:type="dxa"/>
            <w:tcBorders>
              <w:top w:val="single" w:color="auto" w:sz="4" w:space="0"/>
              <w:left w:val="single" w:color="auto" w:sz="4" w:space="0"/>
              <w:bottom w:val="single" w:color="auto" w:sz="4" w:space="0"/>
              <w:right w:val="single" w:color="auto" w:sz="4" w:space="0"/>
            </w:tcBorders>
            <w:noWrap w:val="0"/>
            <w:vAlign w:val="top"/>
          </w:tcPr>
          <w:p w14:paraId="4AD7368C">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479" w:type="dxa"/>
            <w:tcBorders>
              <w:top w:val="single" w:color="auto" w:sz="4" w:space="0"/>
              <w:left w:val="single" w:color="auto" w:sz="4" w:space="0"/>
              <w:bottom w:val="single" w:color="auto" w:sz="4" w:space="0"/>
              <w:right w:val="single" w:color="auto" w:sz="4" w:space="0"/>
            </w:tcBorders>
            <w:noWrap w:val="0"/>
            <w:vAlign w:val="top"/>
          </w:tcPr>
          <w:p w14:paraId="39472536">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759" w:type="dxa"/>
            <w:tcBorders>
              <w:top w:val="single" w:color="auto" w:sz="4" w:space="0"/>
              <w:left w:val="single" w:color="auto" w:sz="4" w:space="0"/>
              <w:bottom w:val="single" w:color="auto" w:sz="4" w:space="0"/>
              <w:right w:val="single" w:color="auto" w:sz="4" w:space="0"/>
            </w:tcBorders>
            <w:noWrap w:val="0"/>
            <w:vAlign w:val="top"/>
          </w:tcPr>
          <w:p w14:paraId="27672C6B">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126" w:type="dxa"/>
            <w:tcBorders>
              <w:top w:val="single" w:color="auto" w:sz="4" w:space="0"/>
              <w:left w:val="single" w:color="auto" w:sz="4" w:space="0"/>
              <w:bottom w:val="single" w:color="auto" w:sz="4" w:space="0"/>
              <w:right w:val="single" w:color="auto" w:sz="4" w:space="0"/>
            </w:tcBorders>
            <w:noWrap w:val="0"/>
            <w:vAlign w:val="top"/>
          </w:tcPr>
          <w:p w14:paraId="2695C86A">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126" w:type="dxa"/>
            <w:tcBorders>
              <w:top w:val="single" w:color="auto" w:sz="4" w:space="0"/>
              <w:left w:val="single" w:color="auto" w:sz="4" w:space="0"/>
              <w:bottom w:val="single" w:color="auto" w:sz="4" w:space="0"/>
              <w:right w:val="single" w:color="auto" w:sz="4" w:space="0"/>
            </w:tcBorders>
            <w:noWrap w:val="0"/>
            <w:vAlign w:val="top"/>
          </w:tcPr>
          <w:p w14:paraId="2702463C">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275" w:type="dxa"/>
            <w:tcBorders>
              <w:top w:val="single" w:color="auto" w:sz="4" w:space="0"/>
              <w:left w:val="single" w:color="auto" w:sz="4" w:space="0"/>
              <w:bottom w:val="single" w:color="auto" w:sz="4" w:space="0"/>
              <w:right w:val="single" w:color="auto" w:sz="12" w:space="0"/>
            </w:tcBorders>
            <w:noWrap w:val="0"/>
            <w:vAlign w:val="top"/>
          </w:tcPr>
          <w:p w14:paraId="2E4D217E">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r>
      <w:tr w14:paraId="13F6B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40" w:type="dxa"/>
            <w:tcBorders>
              <w:top w:val="single" w:color="auto" w:sz="4" w:space="0"/>
              <w:left w:val="single" w:color="auto" w:sz="12" w:space="0"/>
              <w:bottom w:val="single" w:color="auto" w:sz="4" w:space="0"/>
              <w:right w:val="single" w:color="auto" w:sz="4" w:space="0"/>
            </w:tcBorders>
            <w:noWrap w:val="0"/>
            <w:vAlign w:val="center"/>
          </w:tcPr>
          <w:p w14:paraId="2088376D">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p w14:paraId="10AE155A">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1245" w:type="dxa"/>
            <w:tcBorders>
              <w:top w:val="single" w:color="auto" w:sz="4" w:space="0"/>
              <w:left w:val="single" w:color="auto" w:sz="4" w:space="0"/>
              <w:bottom w:val="single" w:color="auto" w:sz="4" w:space="0"/>
              <w:right w:val="single" w:color="auto" w:sz="4" w:space="0"/>
            </w:tcBorders>
            <w:noWrap w:val="0"/>
            <w:vAlign w:val="top"/>
          </w:tcPr>
          <w:p w14:paraId="697322D8">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267" w:type="dxa"/>
            <w:tcBorders>
              <w:top w:val="single" w:color="auto" w:sz="4" w:space="0"/>
              <w:left w:val="single" w:color="auto" w:sz="4" w:space="0"/>
              <w:bottom w:val="single" w:color="auto" w:sz="4" w:space="0"/>
              <w:right w:val="single" w:color="auto" w:sz="4" w:space="0"/>
            </w:tcBorders>
            <w:noWrap w:val="0"/>
            <w:vAlign w:val="top"/>
          </w:tcPr>
          <w:p w14:paraId="277EEFA6">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479" w:type="dxa"/>
            <w:tcBorders>
              <w:top w:val="single" w:color="auto" w:sz="4" w:space="0"/>
              <w:left w:val="single" w:color="auto" w:sz="4" w:space="0"/>
              <w:bottom w:val="single" w:color="auto" w:sz="4" w:space="0"/>
              <w:right w:val="single" w:color="auto" w:sz="4" w:space="0"/>
            </w:tcBorders>
            <w:noWrap w:val="0"/>
            <w:vAlign w:val="top"/>
          </w:tcPr>
          <w:p w14:paraId="3F709873">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759" w:type="dxa"/>
            <w:tcBorders>
              <w:top w:val="single" w:color="auto" w:sz="4" w:space="0"/>
              <w:left w:val="single" w:color="auto" w:sz="4" w:space="0"/>
              <w:bottom w:val="single" w:color="auto" w:sz="4" w:space="0"/>
              <w:right w:val="single" w:color="auto" w:sz="4" w:space="0"/>
            </w:tcBorders>
            <w:noWrap w:val="0"/>
            <w:vAlign w:val="top"/>
          </w:tcPr>
          <w:p w14:paraId="52F97659">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126" w:type="dxa"/>
            <w:tcBorders>
              <w:top w:val="single" w:color="auto" w:sz="4" w:space="0"/>
              <w:left w:val="single" w:color="auto" w:sz="4" w:space="0"/>
              <w:bottom w:val="single" w:color="auto" w:sz="4" w:space="0"/>
              <w:right w:val="single" w:color="auto" w:sz="4" w:space="0"/>
            </w:tcBorders>
            <w:noWrap w:val="0"/>
            <w:vAlign w:val="top"/>
          </w:tcPr>
          <w:p w14:paraId="2AD12594">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126" w:type="dxa"/>
            <w:tcBorders>
              <w:top w:val="single" w:color="auto" w:sz="4" w:space="0"/>
              <w:left w:val="single" w:color="auto" w:sz="4" w:space="0"/>
              <w:bottom w:val="single" w:color="auto" w:sz="4" w:space="0"/>
              <w:right w:val="single" w:color="auto" w:sz="4" w:space="0"/>
            </w:tcBorders>
            <w:noWrap w:val="0"/>
            <w:vAlign w:val="top"/>
          </w:tcPr>
          <w:p w14:paraId="24978085">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275" w:type="dxa"/>
            <w:tcBorders>
              <w:top w:val="single" w:color="auto" w:sz="4" w:space="0"/>
              <w:left w:val="single" w:color="auto" w:sz="4" w:space="0"/>
              <w:bottom w:val="single" w:color="auto" w:sz="4" w:space="0"/>
              <w:right w:val="single" w:color="auto" w:sz="12" w:space="0"/>
            </w:tcBorders>
            <w:noWrap w:val="0"/>
            <w:vAlign w:val="top"/>
          </w:tcPr>
          <w:p w14:paraId="30BC3377">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r>
      <w:tr w14:paraId="03204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40" w:type="dxa"/>
            <w:tcBorders>
              <w:top w:val="single" w:color="auto" w:sz="4" w:space="0"/>
              <w:left w:val="single" w:color="auto" w:sz="12" w:space="0"/>
              <w:bottom w:val="single" w:color="auto" w:sz="4" w:space="0"/>
              <w:right w:val="single" w:color="auto" w:sz="4" w:space="0"/>
            </w:tcBorders>
            <w:noWrap w:val="0"/>
            <w:vAlign w:val="center"/>
          </w:tcPr>
          <w:p w14:paraId="1C6CA102">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p w14:paraId="568AF73B">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245" w:type="dxa"/>
            <w:tcBorders>
              <w:top w:val="single" w:color="auto" w:sz="4" w:space="0"/>
              <w:left w:val="single" w:color="auto" w:sz="4" w:space="0"/>
              <w:bottom w:val="single" w:color="auto" w:sz="4" w:space="0"/>
              <w:right w:val="single" w:color="auto" w:sz="4" w:space="0"/>
            </w:tcBorders>
            <w:noWrap w:val="0"/>
            <w:vAlign w:val="top"/>
          </w:tcPr>
          <w:p w14:paraId="38A937B6">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p w14:paraId="69DB44D1">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1267" w:type="dxa"/>
            <w:tcBorders>
              <w:top w:val="single" w:color="auto" w:sz="4" w:space="0"/>
              <w:left w:val="single" w:color="auto" w:sz="4" w:space="0"/>
              <w:bottom w:val="single" w:color="auto" w:sz="4" w:space="0"/>
              <w:right w:val="single" w:color="auto" w:sz="4" w:space="0"/>
            </w:tcBorders>
            <w:noWrap w:val="0"/>
            <w:vAlign w:val="top"/>
          </w:tcPr>
          <w:p w14:paraId="124306A8">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479" w:type="dxa"/>
            <w:tcBorders>
              <w:top w:val="single" w:color="auto" w:sz="4" w:space="0"/>
              <w:left w:val="single" w:color="auto" w:sz="4" w:space="0"/>
              <w:bottom w:val="single" w:color="auto" w:sz="4" w:space="0"/>
              <w:right w:val="single" w:color="auto" w:sz="4" w:space="0"/>
            </w:tcBorders>
            <w:noWrap w:val="0"/>
            <w:vAlign w:val="top"/>
          </w:tcPr>
          <w:p w14:paraId="3A0D713D">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759" w:type="dxa"/>
            <w:tcBorders>
              <w:top w:val="single" w:color="auto" w:sz="4" w:space="0"/>
              <w:left w:val="single" w:color="auto" w:sz="4" w:space="0"/>
              <w:bottom w:val="single" w:color="auto" w:sz="4" w:space="0"/>
              <w:right w:val="single" w:color="auto" w:sz="4" w:space="0"/>
            </w:tcBorders>
            <w:noWrap w:val="0"/>
            <w:vAlign w:val="top"/>
          </w:tcPr>
          <w:p w14:paraId="3F2E6EE2">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126" w:type="dxa"/>
            <w:tcBorders>
              <w:top w:val="single" w:color="auto" w:sz="4" w:space="0"/>
              <w:left w:val="single" w:color="auto" w:sz="4" w:space="0"/>
              <w:bottom w:val="single" w:color="auto" w:sz="4" w:space="0"/>
              <w:right w:val="single" w:color="auto" w:sz="4" w:space="0"/>
            </w:tcBorders>
            <w:noWrap w:val="0"/>
            <w:vAlign w:val="top"/>
          </w:tcPr>
          <w:p w14:paraId="37DE8BD9">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126" w:type="dxa"/>
            <w:tcBorders>
              <w:top w:val="single" w:color="auto" w:sz="4" w:space="0"/>
              <w:left w:val="single" w:color="auto" w:sz="4" w:space="0"/>
              <w:bottom w:val="single" w:color="auto" w:sz="4" w:space="0"/>
              <w:right w:val="single" w:color="auto" w:sz="4" w:space="0"/>
            </w:tcBorders>
            <w:noWrap w:val="0"/>
            <w:vAlign w:val="top"/>
          </w:tcPr>
          <w:p w14:paraId="6EFF96FD">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275" w:type="dxa"/>
            <w:tcBorders>
              <w:top w:val="single" w:color="auto" w:sz="4" w:space="0"/>
              <w:left w:val="single" w:color="auto" w:sz="4" w:space="0"/>
              <w:bottom w:val="single" w:color="auto" w:sz="4" w:space="0"/>
              <w:right w:val="single" w:color="auto" w:sz="12" w:space="0"/>
            </w:tcBorders>
            <w:noWrap w:val="0"/>
            <w:vAlign w:val="top"/>
          </w:tcPr>
          <w:p w14:paraId="7EDBA697">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r>
      <w:tr w14:paraId="645FB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40" w:type="dxa"/>
            <w:tcBorders>
              <w:top w:val="single" w:color="auto" w:sz="4" w:space="0"/>
              <w:left w:val="single" w:color="auto" w:sz="12" w:space="0"/>
              <w:bottom w:val="single" w:color="auto" w:sz="12" w:space="0"/>
              <w:right w:val="single" w:color="auto" w:sz="4" w:space="0"/>
            </w:tcBorders>
            <w:noWrap w:val="0"/>
            <w:vAlign w:val="center"/>
          </w:tcPr>
          <w:p w14:paraId="7096077B">
            <w:pPr>
              <w:pageBreakBefore w:val="0"/>
              <w:kinsoku/>
              <w:wordWrap/>
              <w:overflowPunct/>
              <w:topLinePunct w:val="0"/>
              <w:autoSpaceDE w:val="0"/>
              <w:autoSpaceDN w:val="0"/>
              <w:bidi w:val="0"/>
              <w:adjustRightInd w:val="0"/>
              <w:spacing w:line="560" w:lineRule="exact"/>
              <w:ind w:firstLine="420" w:firstLineChars="175"/>
              <w:jc w:val="left"/>
              <w:textAlignment w:val="auto"/>
              <w:outlineLvl w:val="9"/>
              <w:rPr>
                <w:rFonts w:hint="eastAsia" w:ascii="宋体" w:hAnsi="宋体" w:eastAsia="宋体" w:cs="宋体"/>
                <w:kern w:val="0"/>
                <w:sz w:val="24"/>
                <w:szCs w:val="24"/>
              </w:rPr>
            </w:pPr>
          </w:p>
          <w:p w14:paraId="6F4D5A64">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5750" w:type="dxa"/>
            <w:gridSpan w:val="4"/>
            <w:tcBorders>
              <w:top w:val="single" w:color="auto" w:sz="4" w:space="0"/>
              <w:left w:val="single" w:color="auto" w:sz="4" w:space="0"/>
              <w:bottom w:val="single" w:color="auto" w:sz="12" w:space="0"/>
              <w:right w:val="single" w:color="auto" w:sz="4" w:space="0"/>
            </w:tcBorders>
            <w:noWrap w:val="0"/>
            <w:vAlign w:val="center"/>
          </w:tcPr>
          <w:p w14:paraId="0CA04963">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合计</w:t>
            </w:r>
          </w:p>
        </w:tc>
        <w:tc>
          <w:tcPr>
            <w:tcW w:w="1126" w:type="dxa"/>
            <w:tcBorders>
              <w:top w:val="single" w:color="auto" w:sz="4" w:space="0"/>
              <w:left w:val="single" w:color="auto" w:sz="4" w:space="0"/>
              <w:bottom w:val="single" w:color="auto" w:sz="12" w:space="0"/>
              <w:right w:val="single" w:color="auto" w:sz="4" w:space="0"/>
            </w:tcBorders>
            <w:noWrap w:val="0"/>
            <w:vAlign w:val="top"/>
          </w:tcPr>
          <w:p w14:paraId="3207B2FE">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126" w:type="dxa"/>
            <w:tcBorders>
              <w:top w:val="single" w:color="auto" w:sz="4" w:space="0"/>
              <w:left w:val="single" w:color="auto" w:sz="4" w:space="0"/>
              <w:bottom w:val="single" w:color="auto" w:sz="12" w:space="0"/>
              <w:right w:val="single" w:color="auto" w:sz="4" w:space="0"/>
            </w:tcBorders>
            <w:noWrap w:val="0"/>
            <w:vAlign w:val="top"/>
          </w:tcPr>
          <w:p w14:paraId="45C04137">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c>
          <w:tcPr>
            <w:tcW w:w="1275" w:type="dxa"/>
            <w:tcBorders>
              <w:top w:val="single" w:color="auto" w:sz="4" w:space="0"/>
              <w:left w:val="single" w:color="auto" w:sz="4" w:space="0"/>
              <w:bottom w:val="single" w:color="auto" w:sz="12" w:space="0"/>
              <w:right w:val="single" w:color="auto" w:sz="12" w:space="0"/>
            </w:tcBorders>
            <w:noWrap w:val="0"/>
            <w:vAlign w:val="top"/>
          </w:tcPr>
          <w:p w14:paraId="09C44BD4">
            <w:pPr>
              <w:pageBreakBefore w:val="0"/>
              <w:kinsoku/>
              <w:wordWrap/>
              <w:overflowPunct/>
              <w:topLinePunct w:val="0"/>
              <w:autoSpaceDE w:val="0"/>
              <w:autoSpaceDN w:val="0"/>
              <w:bidi w:val="0"/>
              <w:adjustRightInd w:val="0"/>
              <w:spacing w:line="560" w:lineRule="exact"/>
              <w:ind w:firstLine="480" w:firstLineChars="200"/>
              <w:jc w:val="left"/>
              <w:textAlignment w:val="auto"/>
              <w:outlineLvl w:val="9"/>
              <w:rPr>
                <w:rFonts w:hint="eastAsia" w:ascii="宋体" w:hAnsi="宋体" w:eastAsia="宋体" w:cs="宋体"/>
                <w:kern w:val="0"/>
                <w:sz w:val="24"/>
                <w:szCs w:val="24"/>
              </w:rPr>
            </w:pPr>
          </w:p>
        </w:tc>
      </w:tr>
    </w:tbl>
    <w:p w14:paraId="707AFC05">
      <w:pPr>
        <w:pageBreakBefore w:val="0"/>
        <w:kinsoku/>
        <w:wordWrap/>
        <w:overflowPunct/>
        <w:topLinePunct w:val="0"/>
        <w:autoSpaceDE w:val="0"/>
        <w:autoSpaceDN w:val="0"/>
        <w:bidi w:val="0"/>
        <w:adjustRightInd w:val="0"/>
        <w:spacing w:line="560" w:lineRule="exact"/>
        <w:jc w:val="left"/>
        <w:textAlignment w:val="auto"/>
        <w:outlineLvl w:val="9"/>
        <w:rPr>
          <w:rFonts w:hint="eastAsia" w:ascii="宋体" w:hAnsi="宋体" w:eastAsia="宋体" w:cs="宋体"/>
          <w:kern w:val="0"/>
          <w:sz w:val="24"/>
          <w:szCs w:val="24"/>
        </w:rPr>
      </w:pPr>
      <w:r>
        <w:rPr>
          <w:rFonts w:hint="eastAsia" w:ascii="宋体" w:hAnsi="宋体" w:eastAsia="宋体" w:cs="宋体"/>
          <w:kern w:val="0"/>
          <w:sz w:val="24"/>
          <w:szCs w:val="24"/>
        </w:rPr>
        <w:t>说明：如所报产品为进口产品，必须按要求逐项填写。</w:t>
      </w:r>
    </w:p>
    <w:p w14:paraId="5715F293">
      <w:pPr>
        <w:pStyle w:val="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格式3-9：</w:t>
      </w:r>
      <w:bookmarkStart w:id="422" w:name="_Toc46238290"/>
      <w:bookmarkStart w:id="423" w:name="_Toc46136873"/>
      <w:r>
        <w:rPr>
          <w:rFonts w:hint="eastAsia" w:ascii="宋体" w:hAnsi="宋体" w:eastAsia="宋体" w:cs="宋体"/>
          <w:sz w:val="24"/>
          <w:szCs w:val="24"/>
          <w:lang w:val="en-US" w:eastAsia="zh-CN"/>
        </w:rPr>
        <w:t>项目实施方案</w:t>
      </w:r>
    </w:p>
    <w:p w14:paraId="37995CB5">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p w14:paraId="1C49D832">
      <w:pPr>
        <w:pageBreakBefore w:val="0"/>
        <w:kinsoku/>
        <w:wordWrap/>
        <w:overflowPunct/>
        <w:topLinePunct w:val="0"/>
        <w:bidi w:val="0"/>
        <w:spacing w:line="560" w:lineRule="exact"/>
        <w:textAlignment w:val="auto"/>
        <w:outlineLvl w:val="9"/>
        <w:rPr>
          <w:rFonts w:hint="eastAsia" w:ascii="宋体" w:hAnsi="宋体" w:eastAsia="宋体" w:cs="宋体"/>
          <w:color w:val="auto"/>
          <w:sz w:val="24"/>
          <w:szCs w:val="24"/>
        </w:rPr>
      </w:pPr>
    </w:p>
    <w:p w14:paraId="352AC701">
      <w:pPr>
        <w:pStyle w:val="9"/>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p w14:paraId="00620246">
      <w:pPr>
        <w:pageBreakBefore w:val="0"/>
        <w:kinsoku/>
        <w:wordWrap/>
        <w:overflowPunct/>
        <w:topLinePunct w:val="0"/>
        <w:bidi w:val="0"/>
        <w:spacing w:line="560" w:lineRule="exact"/>
        <w:textAlignment w:val="auto"/>
        <w:outlineLvl w:val="9"/>
        <w:rPr>
          <w:rFonts w:hint="eastAsia" w:ascii="宋体" w:hAnsi="宋体" w:eastAsia="宋体" w:cs="宋体"/>
          <w:sz w:val="24"/>
          <w:szCs w:val="24"/>
        </w:rPr>
      </w:pPr>
    </w:p>
    <w:p w14:paraId="0A51EBCD">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供应商</w:t>
      </w:r>
      <w:r>
        <w:rPr>
          <w:rFonts w:hint="eastAsia" w:ascii="宋体" w:hAnsi="宋体" w:eastAsia="宋体" w:cs="宋体"/>
          <w:color w:val="000000"/>
          <w:sz w:val="24"/>
          <w:szCs w:val="24"/>
        </w:rPr>
        <w:t xml:space="preserve">：     （加盖电子公章） </w:t>
      </w:r>
    </w:p>
    <w:p w14:paraId="4FEF3665">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法定代表人（电子签名）：                </w:t>
      </w:r>
    </w:p>
    <w:p w14:paraId="7ED65598">
      <w:pPr>
        <w:pageBreakBefore w:val="0"/>
        <w:kinsoku/>
        <w:wordWrap/>
        <w:overflowPunct/>
        <w:topLinePunct w:val="0"/>
        <w:bidi w:val="0"/>
        <w:spacing w:line="560" w:lineRule="exact"/>
        <w:ind w:firstLine="240" w:firstLineChars="1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日</w:t>
      </w:r>
    </w:p>
    <w:p w14:paraId="607CB003">
      <w:pPr>
        <w:pStyle w:val="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格式3-10:售后服务及承诺</w:t>
      </w:r>
    </w:p>
    <w:p w14:paraId="50BCEA98">
      <w:pPr>
        <w:pageBreakBefore w:val="0"/>
        <w:widowControl w:val="0"/>
        <w:kinsoku/>
        <w:wordWrap/>
        <w:overflowPunct/>
        <w:topLinePunct w:val="0"/>
        <w:autoSpaceDE/>
        <w:autoSpaceDN/>
        <w:bidi w:val="0"/>
        <w:adjustRightInd/>
        <w:snapToGrid/>
        <w:spacing w:line="560" w:lineRule="exact"/>
        <w:ind w:left="0" w:leftChars="0" w:right="0" w:rightChars="0" w:firstLine="484" w:firstLineChars="202"/>
        <w:jc w:val="both"/>
        <w:textAlignment w:val="auto"/>
        <w:outlineLvl w:val="9"/>
        <w:rPr>
          <w:rFonts w:hint="eastAsia" w:ascii="宋体" w:hAnsi="宋体" w:eastAsia="宋体" w:cs="宋体"/>
          <w:sz w:val="24"/>
          <w:szCs w:val="24"/>
          <w:highlight w:val="none"/>
          <w:lang w:val="en-US" w:eastAsia="zh-CN"/>
        </w:rPr>
      </w:pPr>
      <w:bookmarkStart w:id="424" w:name="_Toc19957_WPSOffice_Level2"/>
      <w:r>
        <w:rPr>
          <w:rFonts w:hint="eastAsia" w:ascii="宋体" w:hAnsi="宋体" w:eastAsia="宋体" w:cs="宋体"/>
          <w:sz w:val="24"/>
          <w:szCs w:val="24"/>
          <w:highlight w:val="none"/>
          <w:lang w:val="en-US" w:eastAsia="zh-CN"/>
        </w:rPr>
        <w:t>（一）验收标准</w:t>
      </w:r>
      <w:bookmarkEnd w:id="424"/>
    </w:p>
    <w:p w14:paraId="7747B50F">
      <w:pPr>
        <w:pageBreakBefore w:val="0"/>
        <w:widowControl w:val="0"/>
        <w:kinsoku/>
        <w:wordWrap/>
        <w:overflowPunct/>
        <w:topLinePunct w:val="0"/>
        <w:autoSpaceDE/>
        <w:autoSpaceDN/>
        <w:bidi w:val="0"/>
        <w:adjustRightInd/>
        <w:snapToGrid/>
        <w:spacing w:line="560" w:lineRule="exact"/>
        <w:ind w:left="0" w:leftChars="0" w:right="0" w:rightChars="0" w:firstLine="484" w:firstLineChars="202"/>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（供应商提出详细的验收程序和所执行的验收标准）</w:t>
      </w:r>
    </w:p>
    <w:p w14:paraId="026AF940">
      <w:pPr>
        <w:pageBreakBefore w:val="0"/>
        <w:widowControl w:val="0"/>
        <w:kinsoku/>
        <w:wordWrap/>
        <w:overflowPunct/>
        <w:topLinePunct w:val="0"/>
        <w:autoSpaceDE/>
        <w:autoSpaceDN/>
        <w:bidi w:val="0"/>
        <w:adjustRightInd/>
        <w:snapToGrid/>
        <w:spacing w:line="560" w:lineRule="exact"/>
        <w:ind w:left="0" w:leftChars="0" w:right="0" w:rightChars="0" w:firstLine="484" w:firstLineChars="202"/>
        <w:jc w:val="both"/>
        <w:textAlignment w:val="auto"/>
        <w:outlineLvl w:val="9"/>
        <w:rPr>
          <w:rFonts w:hint="eastAsia" w:ascii="宋体" w:hAnsi="宋体" w:eastAsia="宋体" w:cs="宋体"/>
          <w:sz w:val="24"/>
          <w:szCs w:val="24"/>
          <w:highlight w:val="none"/>
        </w:rPr>
      </w:pPr>
    </w:p>
    <w:p w14:paraId="14211237">
      <w:pPr>
        <w:pageBreakBefore w:val="0"/>
        <w:widowControl w:val="0"/>
        <w:kinsoku/>
        <w:wordWrap/>
        <w:overflowPunct/>
        <w:topLinePunct w:val="0"/>
        <w:autoSpaceDE/>
        <w:autoSpaceDN/>
        <w:bidi w:val="0"/>
        <w:adjustRightInd/>
        <w:snapToGrid/>
        <w:spacing w:line="560" w:lineRule="exact"/>
        <w:ind w:left="0" w:leftChars="0" w:right="0" w:rightChars="0" w:firstLine="484" w:firstLineChars="202"/>
        <w:jc w:val="both"/>
        <w:textAlignment w:val="auto"/>
        <w:outlineLvl w:val="9"/>
        <w:rPr>
          <w:rFonts w:hint="eastAsia" w:ascii="宋体" w:hAnsi="宋体" w:eastAsia="宋体" w:cs="宋体"/>
          <w:sz w:val="24"/>
          <w:szCs w:val="24"/>
        </w:rPr>
      </w:pPr>
      <w:bookmarkStart w:id="425" w:name="_Toc16286_WPSOffice_Level2"/>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二</w:t>
      </w:r>
      <w:r>
        <w:rPr>
          <w:rFonts w:hint="eastAsia" w:ascii="宋体" w:hAnsi="宋体" w:eastAsia="宋体" w:cs="宋体"/>
          <w:sz w:val="24"/>
          <w:szCs w:val="24"/>
          <w:lang w:eastAsia="zh-CN"/>
        </w:rPr>
        <w:t>）</w:t>
      </w:r>
      <w:r>
        <w:rPr>
          <w:rFonts w:hint="eastAsia" w:ascii="宋体" w:hAnsi="宋体" w:eastAsia="宋体" w:cs="宋体"/>
          <w:sz w:val="24"/>
          <w:szCs w:val="24"/>
        </w:rPr>
        <w:t>交货进度计划及保障措施</w:t>
      </w:r>
      <w:bookmarkEnd w:id="425"/>
    </w:p>
    <w:p w14:paraId="21BBD52A">
      <w:pPr>
        <w:pageBreakBefore w:val="0"/>
        <w:widowControl w:val="0"/>
        <w:kinsoku/>
        <w:wordWrap/>
        <w:overflowPunct/>
        <w:topLinePunct w:val="0"/>
        <w:autoSpaceDE/>
        <w:autoSpaceDN/>
        <w:bidi w:val="0"/>
        <w:adjustRightInd/>
        <w:snapToGrid/>
        <w:spacing w:line="560" w:lineRule="exact"/>
        <w:ind w:left="0" w:leftChars="0" w:right="0" w:rightChars="0" w:firstLine="484" w:firstLineChars="202"/>
        <w:jc w:val="both"/>
        <w:textAlignment w:val="auto"/>
        <w:outlineLvl w:val="9"/>
        <w:rPr>
          <w:rFonts w:hint="eastAsia" w:ascii="宋体" w:hAnsi="宋体" w:eastAsia="宋体" w:cs="宋体"/>
          <w:sz w:val="24"/>
          <w:szCs w:val="24"/>
        </w:rPr>
      </w:pPr>
    </w:p>
    <w:p w14:paraId="0D29AD84">
      <w:pPr>
        <w:pageBreakBefore w:val="0"/>
        <w:widowControl w:val="0"/>
        <w:tabs>
          <w:tab w:val="left" w:pos="720"/>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sz w:val="24"/>
          <w:szCs w:val="24"/>
        </w:rPr>
      </w:pPr>
      <w:bookmarkStart w:id="426" w:name="_Toc26037_WPSOffice_Level2"/>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三</w:t>
      </w:r>
      <w:r>
        <w:rPr>
          <w:rFonts w:hint="eastAsia" w:ascii="宋体" w:hAnsi="宋体" w:eastAsia="宋体" w:cs="宋体"/>
          <w:sz w:val="24"/>
          <w:szCs w:val="24"/>
          <w:lang w:eastAsia="zh-CN"/>
        </w:rPr>
        <w:t>）</w:t>
      </w:r>
      <w:r>
        <w:rPr>
          <w:rFonts w:hint="eastAsia" w:ascii="宋体" w:hAnsi="宋体" w:eastAsia="宋体" w:cs="宋体"/>
          <w:sz w:val="24"/>
          <w:szCs w:val="24"/>
        </w:rPr>
        <w:t>售后服务承诺</w:t>
      </w:r>
      <w:bookmarkEnd w:id="426"/>
    </w:p>
    <w:p w14:paraId="7A9E6E8F">
      <w:pPr>
        <w:pageBreakBefore w:val="0"/>
        <w:widowControl w:val="0"/>
        <w:kinsoku/>
        <w:wordWrap/>
        <w:overflowPunct/>
        <w:topLinePunct w:val="0"/>
        <w:autoSpaceDE/>
        <w:autoSpaceDN/>
        <w:bidi w:val="0"/>
        <w:adjustRightInd/>
        <w:snapToGrid/>
        <w:spacing w:line="560" w:lineRule="exact"/>
        <w:ind w:left="0" w:leftChars="0" w:right="0" w:rightChars="0" w:firstLine="484" w:firstLineChars="202"/>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（售后服务承诺应包括但不限于以下内容）</w:t>
      </w:r>
    </w:p>
    <w:p w14:paraId="02AE2F45">
      <w:pPr>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eastAsia="宋体" w:cs="宋体"/>
          <w:sz w:val="24"/>
          <w:szCs w:val="24"/>
        </w:rPr>
        <w:t>）产品制造商或供应商设立的售后服务机构网点清单、服务电话和维修人员名单；</w:t>
      </w:r>
    </w:p>
    <w:p w14:paraId="35E53A72">
      <w:pPr>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）说明报价产品的保修时间、保修期内的保修内容与范围、维修响应时间等；</w:t>
      </w:r>
    </w:p>
    <w:p w14:paraId="53A99777">
      <w:pPr>
        <w:pageBreakBefore w:val="0"/>
        <w:widowControl w:val="0"/>
        <w:kinsoku/>
        <w:wordWrap/>
        <w:overflowPunct/>
        <w:topLinePunct w:val="0"/>
        <w:autoSpaceDE/>
        <w:autoSpaceDN/>
        <w:bidi w:val="0"/>
        <w:adjustRightInd/>
        <w:snapToGrid/>
        <w:spacing w:line="560" w:lineRule="exact"/>
        <w:ind w:left="0" w:leftChars="0" w:right="0" w:rightChars="0" w:firstLine="484" w:firstLineChars="202"/>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w:t>
      </w:r>
    </w:p>
    <w:p w14:paraId="1D20ABA0">
      <w:pPr>
        <w:pageBreakBefore w:val="0"/>
        <w:widowControl w:val="0"/>
        <w:kinsoku/>
        <w:wordWrap/>
        <w:overflowPunct/>
        <w:topLinePunct w:val="0"/>
        <w:autoSpaceDE/>
        <w:autoSpaceDN/>
        <w:bidi w:val="0"/>
        <w:adjustRightInd/>
        <w:snapToGrid/>
        <w:spacing w:line="560" w:lineRule="exact"/>
        <w:ind w:left="0" w:leftChars="0" w:right="0" w:rightChars="0" w:firstLine="484" w:firstLineChars="202"/>
        <w:jc w:val="both"/>
        <w:textAlignment w:val="auto"/>
        <w:outlineLvl w:val="9"/>
        <w:rPr>
          <w:rFonts w:hint="eastAsia" w:ascii="宋体" w:hAnsi="宋体" w:eastAsia="宋体" w:cs="宋体"/>
          <w:sz w:val="24"/>
          <w:szCs w:val="24"/>
        </w:rPr>
      </w:pPr>
      <w:bookmarkStart w:id="427" w:name="_Toc25703_WPSOffice_Level2"/>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四</w:t>
      </w:r>
      <w:r>
        <w:rPr>
          <w:rFonts w:hint="eastAsia" w:ascii="宋体" w:hAnsi="宋体" w:eastAsia="宋体" w:cs="宋体"/>
          <w:sz w:val="24"/>
          <w:szCs w:val="24"/>
          <w:lang w:eastAsia="zh-CN"/>
        </w:rPr>
        <w:t>）</w:t>
      </w:r>
      <w:r>
        <w:rPr>
          <w:rFonts w:hint="eastAsia" w:ascii="宋体" w:hAnsi="宋体" w:eastAsia="宋体" w:cs="宋体"/>
          <w:sz w:val="24"/>
          <w:szCs w:val="24"/>
        </w:rPr>
        <w:t>技术支持的能力及方案</w:t>
      </w:r>
      <w:bookmarkEnd w:id="427"/>
    </w:p>
    <w:p w14:paraId="43488EE8">
      <w:pPr>
        <w:pageBreakBefore w:val="0"/>
        <w:widowControl w:val="0"/>
        <w:kinsoku/>
        <w:wordWrap/>
        <w:overflowPunct/>
        <w:topLinePunct w:val="0"/>
        <w:autoSpaceDE/>
        <w:autoSpaceDN/>
        <w:bidi w:val="0"/>
        <w:adjustRightInd/>
        <w:snapToGrid/>
        <w:spacing w:line="560" w:lineRule="exact"/>
        <w:ind w:left="0" w:leftChars="0" w:right="0" w:rightChars="0" w:firstLine="484" w:firstLineChars="202"/>
        <w:jc w:val="both"/>
        <w:textAlignment w:val="auto"/>
        <w:outlineLvl w:val="9"/>
        <w:rPr>
          <w:rFonts w:hint="eastAsia" w:ascii="宋体" w:hAnsi="宋体" w:eastAsia="宋体" w:cs="宋体"/>
          <w:sz w:val="24"/>
          <w:szCs w:val="24"/>
        </w:rPr>
      </w:pPr>
    </w:p>
    <w:p w14:paraId="099FEB16">
      <w:pPr>
        <w:pageBreakBefore w:val="0"/>
        <w:widowControl w:val="0"/>
        <w:kinsoku/>
        <w:wordWrap/>
        <w:overflowPunct/>
        <w:topLinePunct w:val="0"/>
        <w:autoSpaceDE/>
        <w:autoSpaceDN/>
        <w:bidi w:val="0"/>
        <w:adjustRightInd/>
        <w:snapToGrid/>
        <w:spacing w:line="560" w:lineRule="exact"/>
        <w:ind w:left="0" w:leftChars="0" w:right="0" w:rightChars="0" w:firstLine="484" w:firstLineChars="202"/>
        <w:jc w:val="both"/>
        <w:textAlignment w:val="auto"/>
        <w:outlineLvl w:val="9"/>
        <w:rPr>
          <w:rFonts w:hint="eastAsia" w:ascii="宋体" w:hAnsi="宋体" w:eastAsia="宋体" w:cs="宋体"/>
          <w:sz w:val="24"/>
          <w:szCs w:val="24"/>
        </w:rPr>
      </w:pPr>
    </w:p>
    <w:p w14:paraId="3196134C">
      <w:pPr>
        <w:pageBreakBefore w:val="0"/>
        <w:widowControl w:val="0"/>
        <w:tabs>
          <w:tab w:val="left" w:pos="720"/>
        </w:tabs>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sz w:val="24"/>
          <w:szCs w:val="24"/>
        </w:rPr>
      </w:pPr>
      <w:bookmarkStart w:id="428" w:name="_Toc11995_WPSOffice_Level2"/>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五</w:t>
      </w:r>
      <w:r>
        <w:rPr>
          <w:rFonts w:hint="eastAsia" w:ascii="宋体" w:hAnsi="宋体" w:eastAsia="宋体" w:cs="宋体"/>
          <w:sz w:val="24"/>
          <w:szCs w:val="24"/>
          <w:lang w:eastAsia="zh-CN"/>
        </w:rPr>
        <w:t>）</w:t>
      </w:r>
      <w:r>
        <w:rPr>
          <w:rFonts w:hint="eastAsia" w:ascii="宋体" w:hAnsi="宋体" w:eastAsia="宋体" w:cs="宋体"/>
          <w:sz w:val="24"/>
          <w:szCs w:val="24"/>
        </w:rPr>
        <w:t>其他说明的内容</w:t>
      </w:r>
      <w:bookmarkEnd w:id="428"/>
    </w:p>
    <w:p w14:paraId="458C4EA2">
      <w:pPr>
        <w:pageBreakBefore w:val="0"/>
        <w:widowControl w:val="0"/>
        <w:kinsoku/>
        <w:wordWrap/>
        <w:overflowPunct/>
        <w:topLinePunct w:val="0"/>
        <w:autoSpaceDE/>
        <w:autoSpaceDN/>
        <w:bidi w:val="0"/>
        <w:adjustRightInd/>
        <w:snapToGrid/>
        <w:spacing w:line="560" w:lineRule="exact"/>
        <w:ind w:left="0" w:leftChars="0" w:right="0" w:rightChars="0"/>
        <w:jc w:val="both"/>
        <w:textAlignment w:val="auto"/>
        <w:outlineLvl w:val="9"/>
        <w:rPr>
          <w:rFonts w:hint="eastAsia" w:ascii="宋体" w:hAnsi="宋体" w:eastAsia="宋体" w:cs="宋体"/>
          <w:bCs/>
          <w:sz w:val="24"/>
          <w:szCs w:val="24"/>
        </w:rPr>
      </w:pPr>
    </w:p>
    <w:p w14:paraId="49724D17">
      <w:pPr>
        <w:pageBreakBefore w:val="0"/>
        <w:widowControl w:val="0"/>
        <w:kinsoku/>
        <w:wordWrap/>
        <w:overflowPunct/>
        <w:topLinePunct w:val="0"/>
        <w:autoSpaceDE/>
        <w:autoSpaceDN/>
        <w:bidi w:val="0"/>
        <w:adjustRightInd/>
        <w:snapToGrid/>
        <w:spacing w:line="560" w:lineRule="exact"/>
        <w:ind w:left="0" w:leftChars="0" w:right="0" w:rightChars="0"/>
        <w:jc w:val="both"/>
        <w:textAlignment w:val="auto"/>
        <w:outlineLvl w:val="9"/>
        <w:rPr>
          <w:rFonts w:hint="eastAsia" w:ascii="宋体" w:hAnsi="宋体" w:eastAsia="宋体" w:cs="宋体"/>
          <w:sz w:val="24"/>
          <w:szCs w:val="24"/>
        </w:rPr>
      </w:pPr>
    </w:p>
    <w:p w14:paraId="6B00A998">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供应商</w:t>
      </w:r>
      <w:r>
        <w:rPr>
          <w:rFonts w:hint="eastAsia" w:ascii="宋体" w:hAnsi="宋体" w:eastAsia="宋体" w:cs="宋体"/>
          <w:color w:val="000000"/>
          <w:sz w:val="24"/>
          <w:szCs w:val="24"/>
        </w:rPr>
        <w:t xml:space="preserve">：     （加盖电子公章） </w:t>
      </w:r>
    </w:p>
    <w:p w14:paraId="4682CDE2">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法定代表人（电子签名）：                </w:t>
      </w:r>
    </w:p>
    <w:p w14:paraId="2479D9B4">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日</w:t>
      </w:r>
      <w:bookmarkStart w:id="429" w:name="_Toc28564_WPSOffice_Level2"/>
    </w:p>
    <w:p w14:paraId="35EABFDF">
      <w:pPr>
        <w:pStyle w:val="7"/>
        <w:pageBreakBefore w:val="0"/>
        <w:widowControl w:val="0"/>
        <w:kinsoku/>
        <w:wordWrap/>
        <w:overflowPunct/>
        <w:topLinePunct w:val="0"/>
        <w:autoSpaceDE/>
        <w:autoSpaceDN/>
        <w:bidi w:val="0"/>
        <w:adjustRightInd/>
        <w:snapToGrid/>
        <w:spacing w:before="0" w:after="0" w:line="560" w:lineRule="exact"/>
        <w:ind w:right="0" w:rightChars="0"/>
        <w:textAlignment w:val="auto"/>
        <w:rPr>
          <w:rFonts w:hint="eastAsia" w:ascii="宋体" w:hAnsi="宋体" w:eastAsia="宋体" w:cs="宋体"/>
          <w:sz w:val="24"/>
          <w:szCs w:val="24"/>
          <w:lang w:val="en-US" w:eastAsia="zh-CN"/>
        </w:rPr>
      </w:pPr>
      <w:bookmarkStart w:id="430" w:name="_Toc7575"/>
      <w:bookmarkStart w:id="431" w:name="_Toc1651"/>
      <w:bookmarkStart w:id="432" w:name="_Toc1469"/>
      <w:r>
        <w:rPr>
          <w:rFonts w:hint="eastAsia" w:ascii="宋体" w:hAnsi="宋体" w:eastAsia="宋体" w:cs="宋体"/>
          <w:sz w:val="24"/>
          <w:szCs w:val="24"/>
          <w:lang w:val="en-US" w:eastAsia="zh-CN"/>
        </w:rPr>
        <w:t>格式3-11：报价表</w:t>
      </w:r>
    </w:p>
    <w:p w14:paraId="50C3B2A9">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项目编号：</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6"/>
        <w:gridCol w:w="5452"/>
        <w:gridCol w:w="2093"/>
        <w:gridCol w:w="1469"/>
        <w:gridCol w:w="18"/>
      </w:tblGrid>
      <w:tr w14:paraId="1185A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1" w:hRule="atLeast"/>
          <w:jc w:val="center"/>
        </w:trPr>
        <w:tc>
          <w:tcPr>
            <w:tcW w:w="1266" w:type="dxa"/>
            <w:noWrap w:val="0"/>
            <w:vAlign w:val="center"/>
          </w:tcPr>
          <w:p w14:paraId="6451A650">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包件号</w:t>
            </w:r>
          </w:p>
        </w:tc>
        <w:tc>
          <w:tcPr>
            <w:tcW w:w="5452" w:type="dxa"/>
            <w:noWrap w:val="0"/>
            <w:vAlign w:val="center"/>
          </w:tcPr>
          <w:p w14:paraId="69BF173A">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center"/>
              <w:textAlignment w:val="auto"/>
              <w:outlineLvl w:val="9"/>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rPr>
              <w:t>总报价</w:t>
            </w:r>
          </w:p>
        </w:tc>
        <w:tc>
          <w:tcPr>
            <w:tcW w:w="2093" w:type="dxa"/>
            <w:noWrap w:val="0"/>
            <w:vAlign w:val="center"/>
          </w:tcPr>
          <w:p w14:paraId="38AFAEFD">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center"/>
              <w:textAlignment w:val="auto"/>
              <w:outlineLvl w:val="9"/>
              <w:rPr>
                <w:rFonts w:hint="eastAsia" w:ascii="宋体" w:hAnsi="宋体" w:eastAsia="宋体" w:cs="宋体"/>
                <w:color w:val="000000"/>
                <w:sz w:val="24"/>
                <w:szCs w:val="24"/>
              </w:rPr>
            </w:pPr>
            <w:r>
              <w:rPr>
                <w:rFonts w:hint="eastAsia" w:ascii="宋体" w:hAnsi="宋体" w:eastAsia="宋体" w:cs="宋体"/>
                <w:b/>
                <w:bCs/>
                <w:color w:val="000000"/>
                <w:sz w:val="24"/>
                <w:szCs w:val="24"/>
              </w:rPr>
              <w:t>交货期（完工期/服务期）</w:t>
            </w:r>
          </w:p>
        </w:tc>
        <w:tc>
          <w:tcPr>
            <w:tcW w:w="1487" w:type="dxa"/>
            <w:gridSpan w:val="2"/>
            <w:noWrap w:val="0"/>
            <w:vAlign w:val="center"/>
          </w:tcPr>
          <w:p w14:paraId="2042A048">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备注</w:t>
            </w:r>
          </w:p>
        </w:tc>
      </w:tr>
      <w:tr w14:paraId="66252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5" w:hRule="atLeast"/>
          <w:jc w:val="center"/>
        </w:trPr>
        <w:tc>
          <w:tcPr>
            <w:tcW w:w="1266" w:type="dxa"/>
            <w:vMerge w:val="restart"/>
            <w:noWrap w:val="0"/>
            <w:vAlign w:val="center"/>
          </w:tcPr>
          <w:p w14:paraId="4FE91171">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both"/>
              <w:textAlignment w:val="auto"/>
              <w:outlineLvl w:val="9"/>
              <w:rPr>
                <w:rFonts w:hint="eastAsia" w:ascii="宋体" w:hAnsi="宋体" w:eastAsia="宋体" w:cs="宋体"/>
                <w:color w:val="000000"/>
                <w:sz w:val="24"/>
                <w:szCs w:val="24"/>
              </w:rPr>
            </w:pPr>
          </w:p>
        </w:tc>
        <w:tc>
          <w:tcPr>
            <w:tcW w:w="5452" w:type="dxa"/>
            <w:noWrap w:val="0"/>
            <w:vAlign w:val="center"/>
          </w:tcPr>
          <w:p w14:paraId="51A1DD1C">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人民币</w:t>
            </w:r>
            <w:r>
              <w:rPr>
                <w:rFonts w:hint="eastAsia" w:ascii="宋体" w:hAnsi="宋体" w:eastAsia="宋体" w:cs="宋体"/>
                <w:color w:val="000000"/>
                <w:sz w:val="24"/>
                <w:szCs w:val="24"/>
              </w:rPr>
              <w:t>小写</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元</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w:t>
            </w:r>
          </w:p>
        </w:tc>
        <w:tc>
          <w:tcPr>
            <w:tcW w:w="2093" w:type="dxa"/>
            <w:vMerge w:val="restart"/>
            <w:noWrap w:val="0"/>
            <w:vAlign w:val="center"/>
          </w:tcPr>
          <w:p w14:paraId="7ACB86C4">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both"/>
              <w:textAlignment w:val="auto"/>
              <w:outlineLvl w:val="9"/>
              <w:rPr>
                <w:rFonts w:hint="eastAsia" w:ascii="宋体" w:hAnsi="宋体" w:eastAsia="宋体" w:cs="宋体"/>
                <w:color w:val="000000"/>
                <w:sz w:val="24"/>
                <w:szCs w:val="24"/>
              </w:rPr>
            </w:pPr>
          </w:p>
        </w:tc>
        <w:tc>
          <w:tcPr>
            <w:tcW w:w="1487" w:type="dxa"/>
            <w:gridSpan w:val="2"/>
            <w:vMerge w:val="restart"/>
            <w:noWrap w:val="0"/>
            <w:vAlign w:val="center"/>
          </w:tcPr>
          <w:p w14:paraId="7A28F8D9">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both"/>
              <w:textAlignment w:val="auto"/>
              <w:outlineLvl w:val="9"/>
              <w:rPr>
                <w:rFonts w:hint="eastAsia" w:ascii="宋体" w:hAnsi="宋体" w:eastAsia="宋体" w:cs="宋体"/>
                <w:color w:val="000000"/>
                <w:sz w:val="24"/>
                <w:szCs w:val="24"/>
              </w:rPr>
            </w:pPr>
          </w:p>
        </w:tc>
      </w:tr>
      <w:tr w14:paraId="7E112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5" w:hRule="atLeast"/>
          <w:jc w:val="center"/>
        </w:trPr>
        <w:tc>
          <w:tcPr>
            <w:tcW w:w="1266" w:type="dxa"/>
            <w:vMerge w:val="continue"/>
            <w:noWrap w:val="0"/>
            <w:vAlign w:val="center"/>
          </w:tcPr>
          <w:p w14:paraId="1A2C4EEE">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both"/>
              <w:textAlignment w:val="auto"/>
              <w:outlineLvl w:val="9"/>
              <w:rPr>
                <w:rFonts w:hint="eastAsia" w:ascii="宋体" w:hAnsi="宋体" w:eastAsia="宋体" w:cs="宋体"/>
                <w:color w:val="000000"/>
                <w:sz w:val="24"/>
                <w:szCs w:val="24"/>
              </w:rPr>
            </w:pPr>
          </w:p>
        </w:tc>
        <w:tc>
          <w:tcPr>
            <w:tcW w:w="5452" w:type="dxa"/>
            <w:noWrap w:val="0"/>
            <w:vAlign w:val="center"/>
          </w:tcPr>
          <w:p w14:paraId="7DB1EA40">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人民币</w:t>
            </w:r>
            <w:r>
              <w:rPr>
                <w:rFonts w:hint="eastAsia" w:ascii="宋体" w:hAnsi="宋体" w:eastAsia="宋体" w:cs="宋体"/>
                <w:color w:val="000000"/>
                <w:sz w:val="24"/>
                <w:szCs w:val="24"/>
              </w:rPr>
              <w:t>大写：</w:t>
            </w:r>
          </w:p>
        </w:tc>
        <w:tc>
          <w:tcPr>
            <w:tcW w:w="2093" w:type="dxa"/>
            <w:vMerge w:val="continue"/>
            <w:noWrap w:val="0"/>
            <w:vAlign w:val="center"/>
          </w:tcPr>
          <w:p w14:paraId="45D85FF2">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both"/>
              <w:textAlignment w:val="auto"/>
              <w:outlineLvl w:val="9"/>
              <w:rPr>
                <w:rFonts w:hint="eastAsia" w:ascii="宋体" w:hAnsi="宋体" w:eastAsia="宋体" w:cs="宋体"/>
                <w:color w:val="000000"/>
                <w:sz w:val="24"/>
                <w:szCs w:val="24"/>
              </w:rPr>
            </w:pPr>
          </w:p>
        </w:tc>
        <w:tc>
          <w:tcPr>
            <w:tcW w:w="1487" w:type="dxa"/>
            <w:gridSpan w:val="2"/>
            <w:vMerge w:val="continue"/>
            <w:noWrap w:val="0"/>
            <w:vAlign w:val="center"/>
          </w:tcPr>
          <w:p w14:paraId="61DCA7C8">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both"/>
              <w:textAlignment w:val="auto"/>
              <w:outlineLvl w:val="9"/>
              <w:rPr>
                <w:rFonts w:hint="eastAsia" w:ascii="宋体" w:hAnsi="宋体" w:eastAsia="宋体" w:cs="宋体"/>
                <w:color w:val="000000"/>
                <w:sz w:val="24"/>
                <w:szCs w:val="24"/>
              </w:rPr>
            </w:pPr>
          </w:p>
        </w:tc>
      </w:tr>
      <w:tr w14:paraId="379FC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cantSplit/>
          <w:trHeight w:val="2646" w:hRule="atLeast"/>
          <w:jc w:val="center"/>
        </w:trPr>
        <w:tc>
          <w:tcPr>
            <w:tcW w:w="10280" w:type="dxa"/>
            <w:gridSpan w:val="4"/>
            <w:noWrap w:val="0"/>
            <w:vAlign w:val="center"/>
          </w:tcPr>
          <w:p w14:paraId="611046A7">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供应商名称（加盖</w:t>
            </w:r>
            <w:r>
              <w:rPr>
                <w:rFonts w:hint="eastAsia" w:ascii="宋体" w:hAnsi="宋体" w:eastAsia="宋体" w:cs="宋体"/>
                <w:color w:val="000000"/>
                <w:sz w:val="24"/>
                <w:szCs w:val="24"/>
                <w:lang w:val="en-US" w:eastAsia="zh-CN"/>
              </w:rPr>
              <w:t>单位电子</w:t>
            </w:r>
            <w:r>
              <w:rPr>
                <w:rFonts w:hint="eastAsia" w:ascii="宋体" w:hAnsi="宋体" w:eastAsia="宋体" w:cs="宋体"/>
                <w:color w:val="000000"/>
                <w:sz w:val="24"/>
                <w:szCs w:val="24"/>
              </w:rPr>
              <w:t>公章）：</w:t>
            </w:r>
          </w:p>
          <w:p w14:paraId="543DDC49">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both"/>
              <w:textAlignment w:val="auto"/>
              <w:outlineLvl w:val="9"/>
              <w:rPr>
                <w:rFonts w:hint="eastAsia" w:ascii="宋体" w:hAnsi="宋体" w:eastAsia="宋体" w:cs="宋体"/>
                <w:color w:val="000000"/>
                <w:sz w:val="24"/>
                <w:szCs w:val="24"/>
              </w:rPr>
            </w:pPr>
          </w:p>
          <w:p w14:paraId="1FF38BB3">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电子签名</w:t>
            </w:r>
            <w:r>
              <w:rPr>
                <w:rFonts w:hint="eastAsia" w:ascii="宋体" w:hAnsi="宋体" w:eastAsia="宋体" w:cs="宋体"/>
                <w:color w:val="000000"/>
                <w:sz w:val="24"/>
                <w:szCs w:val="24"/>
              </w:rPr>
              <w:t>）：                    联系电话：</w:t>
            </w:r>
          </w:p>
          <w:p w14:paraId="02B6CC01">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both"/>
              <w:textAlignment w:val="auto"/>
              <w:outlineLvl w:val="9"/>
              <w:rPr>
                <w:rFonts w:hint="eastAsia" w:ascii="宋体" w:hAnsi="宋体" w:eastAsia="宋体" w:cs="宋体"/>
                <w:color w:val="000000"/>
                <w:sz w:val="24"/>
                <w:szCs w:val="24"/>
              </w:rPr>
            </w:pPr>
          </w:p>
          <w:p w14:paraId="657459B9">
            <w:pPr>
              <w:pageBreakBefore w:val="0"/>
              <w:widowControl w:val="0"/>
              <w:kinsoku/>
              <w:wordWrap/>
              <w:overflowPunct/>
              <w:topLinePunct w:val="0"/>
              <w:autoSpaceDE/>
              <w:autoSpaceDN/>
              <w:bidi w:val="0"/>
              <w:adjustRightInd/>
              <w:snapToGrid/>
              <w:spacing w:line="560" w:lineRule="exact"/>
              <w:ind w:left="0" w:leftChars="0" w:right="0" w:rightChars="0" w:firstLine="240" w:firstLineChars="10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日期：年月日</w:t>
            </w:r>
          </w:p>
        </w:tc>
      </w:tr>
    </w:tbl>
    <w:p w14:paraId="0A5B435C">
      <w:pPr>
        <w:pStyle w:val="7"/>
        <w:pageBreakBefore w:val="0"/>
        <w:widowControl w:val="0"/>
        <w:kinsoku/>
        <w:wordWrap/>
        <w:overflowPunct/>
        <w:topLinePunct w:val="0"/>
        <w:autoSpaceDE/>
        <w:autoSpaceDN/>
        <w:bidi w:val="0"/>
        <w:adjustRightInd/>
        <w:snapToGrid/>
        <w:spacing w:before="0" w:after="0" w:line="560" w:lineRule="exact"/>
        <w:ind w:right="0" w:righ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格式3-12：:其他需要补充的证明材料</w:t>
      </w:r>
      <w:bookmarkEnd w:id="422"/>
      <w:bookmarkEnd w:id="423"/>
      <w:bookmarkEnd w:id="429"/>
      <w:bookmarkEnd w:id="430"/>
      <w:bookmarkEnd w:id="431"/>
      <w:bookmarkEnd w:id="432"/>
      <w:r>
        <w:rPr>
          <w:rFonts w:hint="eastAsia" w:ascii="宋体" w:hAnsi="宋体" w:eastAsia="宋体" w:cs="宋体"/>
          <w:sz w:val="24"/>
          <w:szCs w:val="24"/>
          <w:lang w:val="en-US" w:eastAsia="zh-CN"/>
        </w:rPr>
        <w:t xml:space="preserve">  </w:t>
      </w:r>
    </w:p>
    <w:sectPr>
      <w:footerReference r:id="rId6" w:type="first"/>
      <w:headerReference r:id="rId4" w:type="default"/>
      <w:footerReference r:id="rId5" w:type="default"/>
      <w:type w:val="continuous"/>
      <w:pgSz w:w="11906" w:h="16838"/>
      <w:pgMar w:top="2098" w:right="1474" w:bottom="1417" w:left="1587" w:header="850" w:footer="992" w:gutter="0"/>
      <w:pgNumType w:fmt="decimal"/>
      <w:cols w:space="720" w:num="1"/>
      <w:titlePg/>
      <w:rtlGutter w:val="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ms Rmn">
    <w:altName w:val="Segoe Print"/>
    <w:panose1 w:val="02020603040505020304"/>
    <w:charset w:val="00"/>
    <w:family w:val="roman"/>
    <w:pitch w:val="default"/>
    <w:sig w:usb0="00000000" w:usb1="00000000" w:usb2="00000000" w:usb3="00000000" w:csb0="00000001" w:csb1="00000000"/>
  </w:font>
  <w:font w:name="金山简黑体">
    <w:altName w:val="黑体"/>
    <w:panose1 w:val="00000000000000000000"/>
    <w:charset w:val="86"/>
    <w:family w:val="auto"/>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Segoe UI">
    <w:panose1 w:val="020B0502040204020203"/>
    <w:charset w:val="00"/>
    <w:family w:val="auto"/>
    <w:pitch w:val="default"/>
    <w:sig w:usb0="E4002EFF" w:usb1="C000E47F"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590DD">
    <w:pPr>
      <w:pStyle w:val="19"/>
      <w:jc w:val="center"/>
      <w:rPr>
        <w:rFonts w:ascii="宋体" w:hAns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posOffset>2919095</wp:posOffset>
              </wp:positionH>
              <wp:positionV relativeFrom="paragraph">
                <wp:posOffset>0</wp:posOffset>
              </wp:positionV>
              <wp:extent cx="1421130" cy="14795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421130" cy="147955"/>
                      </a:xfrm>
                      <a:prstGeom prst="rect">
                        <a:avLst/>
                      </a:prstGeom>
                      <a:noFill/>
                      <a:ln>
                        <a:noFill/>
                      </a:ln>
                    </wps:spPr>
                    <wps:txbx>
                      <w:txbxContent>
                        <w:p w14:paraId="3D9CA7B1">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- 2 -</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75</w:t>
                          </w:r>
                          <w:r>
                            <w:rPr>
                              <w:rFonts w:hint="eastAsia"/>
                              <w:sz w:val="18"/>
                              <w:lang w:eastAsia="zh-CN"/>
                            </w:rPr>
                            <w:fldChar w:fldCharType="end"/>
                          </w:r>
                          <w:r>
                            <w:rPr>
                              <w:rFonts w:hint="eastAsia"/>
                              <w:sz w:val="18"/>
                              <w:lang w:eastAsia="zh-CN"/>
                            </w:rPr>
                            <w:t xml:space="preserve"> 页</w:t>
                          </w:r>
                        </w:p>
                      </w:txbxContent>
                    </wps:txbx>
                    <wps:bodyPr vert="horz" wrap="square" lIns="0" tIns="0" rIns="0" bIns="0" anchor="t" anchorCtr="0" upright="0"/>
                  </wps:wsp>
                </a:graphicData>
              </a:graphic>
            </wp:anchor>
          </w:drawing>
        </mc:Choice>
        <mc:Fallback>
          <w:pict>
            <v:shape id="_x0000_s1026" o:spid="_x0000_s1026" o:spt="202" type="#_x0000_t202" style="position:absolute;left:0pt;margin-left:229.85pt;margin-top:0pt;height:11.65pt;width:111.9pt;mso-position-horizontal-relative:margin;z-index:251659264;mso-width-relative:page;mso-height-relative:page;" filled="f" stroked="f" coordsize="21600,21600" o:gfxdata="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J6FE1rXAAAABwEAAA8AAAAAAAAA&#10;AQAgAAAAIgAAAGRycy9kb3ducmV2LnhtbFBLAQIUABQAAAAIAIdO4kDLUBD92QEAAKUDAAAOAAAA&#10;AAAAAAEAIAAAACYBAABkcnMvZTJvRG9jLnhtbFBLBQYAAAAABgAGAFkBAABxBQAAAAA=&#10;">
              <v:fill on="f" focussize="0,0"/>
              <v:stroke on="f"/>
              <v:imagedata o:title=""/>
              <o:lock v:ext="edit" aspectratio="f"/>
              <v:textbox inset="0mm,0mm,0mm,0mm">
                <w:txbxContent>
                  <w:p w14:paraId="3D9CA7B1">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- 2 -</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75</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9C2F8">
    <w:pPr>
      <w:pStyle w:val="1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33145"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033145" cy="1828800"/>
                      </a:xfrm>
                      <a:prstGeom prst="rect">
                        <a:avLst/>
                      </a:prstGeom>
                      <a:noFill/>
                      <a:ln>
                        <a:noFill/>
                      </a:ln>
                    </wps:spPr>
                    <wps:txbx>
                      <w:txbxContent>
                        <w:p w14:paraId="5001D21C">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75</w:t>
                          </w:r>
                          <w:r>
                            <w:rPr>
                              <w:rFonts w:hint="eastAsia"/>
                              <w:sz w:val="18"/>
                              <w:lang w:eastAsia="zh-CN"/>
                            </w:rPr>
                            <w:fldChar w:fldCharType="end"/>
                          </w:r>
                          <w:r>
                            <w:rPr>
                              <w:rFonts w:hint="eastAsia"/>
                              <w:sz w:val="18"/>
                              <w:lang w:eastAsia="zh-CN"/>
                            </w:rPr>
                            <w:t xml:space="preserve"> 页</w:t>
                          </w:r>
                        </w:p>
                      </w:txbxContent>
                    </wps:txbx>
                    <wps:bodyPr vert="horz" wrap="square" lIns="0" tIns="0" rIns="0" bIns="0" anchor="t" anchorCtr="0" upright="0">
                      <a:spAutoFit/>
                    </wps:bodyPr>
                  </wps:wsp>
                </a:graphicData>
              </a:graphic>
            </wp:anchor>
          </w:drawing>
        </mc:Choice>
        <mc:Fallback>
          <w:pict>
            <v:shape id="_x0000_s1026" o:spid="_x0000_s1026" o:spt="202" type="#_x0000_t202" style="position:absolute;left:0pt;margin-top:0pt;height:144pt;width:81.35pt;mso-position-horizontal:center;mso-position-horizontal-relative:margin;z-index:251660288;mso-width-relative:page;mso-height-relative:page;" filled="f" stroked="f" coordsize="21600,21600" o:gfxdata="UEsDBAoAAAAAAIdO4kAAAAAAAAAAAAAAAAAEAAAAZHJzL1BLAwQUAAAACACHTuJAcj5MP9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I+TD/TAAAABQEA&#10;AA8AAAAAAAAAAQAgAAAAIgAAAGRycy9kb3ducmV2LnhtbFBLAQIUABQAAAAIAIdO4kBuF/JE5gEA&#10;AMADAAAOAAAAAAAAAAEAIAAAACIBAABkcnMvZTJvRG9jLnhtbFBLBQYAAAAABgAGAFkBAAB6BQAA&#10;AAA=&#10;">
              <v:fill on="f" focussize="0,0"/>
              <v:stroke on="f"/>
              <v:imagedata o:title=""/>
              <o:lock v:ext="edit" aspectratio="f"/>
              <v:textbox inset="0mm,0mm,0mm,0mm" style="mso-fit-shape-to-text:t;">
                <w:txbxContent>
                  <w:p w14:paraId="5001D21C">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75</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14:paraId="0E6AE283">
      <w:pPr>
        <w:pStyle w:val="24"/>
        <w:snapToGrid w:val="0"/>
        <w:rPr>
          <w:rFonts w:hint="eastAsia" w:eastAsia="宋体"/>
          <w:lang w:eastAsia="zh-CN"/>
        </w:rPr>
      </w:pPr>
      <w:r>
        <w:rPr>
          <w:rStyle w:val="39"/>
        </w:rPr>
        <w:footnoteRef/>
      </w:r>
      <w:r>
        <w:t xml:space="preserve"> </w:t>
      </w:r>
      <w:r>
        <w:rPr>
          <w:rFonts w:hint="eastAsia"/>
          <w:lang w:eastAsia="zh-CN"/>
        </w:rPr>
        <w:t>从业人员、营业收入、资产总额填报上一年度数据，无上一年度数据的新成立企业可不填报。</w:t>
      </w:r>
    </w:p>
  </w:footnote>
  <w:footnote w:id="1">
    <w:p w14:paraId="522B194A">
      <w:pPr>
        <w:pStyle w:val="24"/>
        <w:snapToGrid w:val="0"/>
        <w:rPr>
          <w:rFonts w:hint="eastAsia"/>
          <w:lang w:eastAsia="zh-CN"/>
        </w:rPr>
      </w:pPr>
      <w:r>
        <w:rPr>
          <w:rStyle w:val="39"/>
        </w:rPr>
        <w:footnoteRef/>
      </w:r>
      <w:r>
        <w:t xml:space="preserve"> </w:t>
      </w:r>
      <w:r>
        <w:rPr>
          <w:rFonts w:hint="eastAsia"/>
          <w:lang w:eastAsia="zh-CN"/>
        </w:rPr>
        <w:t>供应商需按提供的货物标的分别填写，未按规定填写的，视为未提供《中小企业</w:t>
      </w:r>
      <w:r>
        <w:rPr>
          <w:rFonts w:hint="eastAsia"/>
          <w:lang w:val="en-US" w:eastAsia="zh-CN"/>
        </w:rPr>
        <w:t>声明</w:t>
      </w:r>
      <w:r>
        <w:rPr>
          <w:rFonts w:hint="eastAsia"/>
          <w:lang w:eastAsia="zh-CN"/>
        </w:rPr>
        <w:t>函》。</w:t>
      </w:r>
    </w:p>
    <w:p w14:paraId="78DB380F">
      <w:pPr>
        <w:pStyle w:val="24"/>
        <w:snapToGrid w:val="0"/>
        <w:rPr>
          <w:rFonts w:hint="eastAsia"/>
          <w:lang w:val="en-US" w:eastAsia="zh-CN"/>
        </w:rPr>
      </w:pPr>
      <w:r>
        <w:rPr>
          <w:rFonts w:hint="eastAsia"/>
          <w:vertAlign w:val="superscript"/>
          <w:lang w:val="en-US" w:eastAsia="zh-CN"/>
        </w:rPr>
        <w:t>3</w:t>
      </w:r>
      <w:r>
        <w:rPr>
          <w:rFonts w:hint="eastAsia"/>
          <w:lang w:val="en-US" w:eastAsia="zh-CN"/>
        </w:rPr>
        <w:t>《中小企业声明函》由参加政府采购活动的供应商出具。以联合体形式参加政府采购活动或者合同分包的，声明函中需填写联合体中的中小企业或签订分包意向协议的中小企业相关信息，供应商应当在声明函“项目名称”部分标明联合体中中小企业承担的具体内容或者中小企业的具体分包内容。</w:t>
      </w:r>
    </w:p>
    <w:p w14:paraId="2C2A7E6B">
      <w:pPr>
        <w:pStyle w:val="24"/>
        <w:snapToGrid w:val="0"/>
        <w:rPr>
          <w:rFonts w:hint="default"/>
          <w:lang w:val="en-US" w:eastAsia="zh-CN"/>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35A9A">
    <w:pPr>
      <w:pStyle w:val="21"/>
      <w:pBdr>
        <w:bottom w:val="none" w:color="auto" w:sz="0" w:space="0"/>
      </w:pBdr>
      <w:jc w:val="left"/>
      <w:rPr>
        <w:rFonts w:hint="eastAsia" w:eastAsia="宋体"/>
        <w:lang w:val="en-US" w:eastAsia="zh-CN"/>
      </w:rPr>
    </w:pPr>
    <w:r>
      <w:rPr>
        <w:rFonts w:hint="eastAsia"/>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721F2A"/>
    <w:multiLevelType w:val="singleLevel"/>
    <w:tmpl w:val="82721F2A"/>
    <w:lvl w:ilvl="0" w:tentative="0">
      <w:start w:val="1"/>
      <w:numFmt w:val="decimal"/>
      <w:suff w:val="nothing"/>
      <w:lvlText w:val="%1．"/>
      <w:lvlJc w:val="left"/>
      <w:pPr>
        <w:ind w:left="0" w:firstLine="400"/>
      </w:pPr>
      <w:rPr>
        <w:rFonts w:hint="default"/>
      </w:rPr>
    </w:lvl>
  </w:abstractNum>
  <w:abstractNum w:abstractNumId="1">
    <w:nsid w:val="82B86481"/>
    <w:multiLevelType w:val="singleLevel"/>
    <w:tmpl w:val="82B86481"/>
    <w:lvl w:ilvl="0" w:tentative="0">
      <w:start w:val="1"/>
      <w:numFmt w:val="decimal"/>
      <w:suff w:val="nothing"/>
      <w:lvlText w:val="%1．"/>
      <w:lvlJc w:val="left"/>
      <w:pPr>
        <w:ind w:left="0" w:firstLine="400"/>
      </w:pPr>
      <w:rPr>
        <w:rFonts w:hint="default"/>
      </w:rPr>
    </w:lvl>
  </w:abstractNum>
  <w:abstractNum w:abstractNumId="2">
    <w:nsid w:val="873D172D"/>
    <w:multiLevelType w:val="singleLevel"/>
    <w:tmpl w:val="873D172D"/>
    <w:lvl w:ilvl="0" w:tentative="0">
      <w:start w:val="1"/>
      <w:numFmt w:val="decimal"/>
      <w:suff w:val="nothing"/>
      <w:lvlText w:val="%1．"/>
      <w:lvlJc w:val="left"/>
      <w:pPr>
        <w:ind w:left="0" w:firstLine="400"/>
      </w:pPr>
      <w:rPr>
        <w:rFonts w:hint="default"/>
      </w:rPr>
    </w:lvl>
  </w:abstractNum>
  <w:abstractNum w:abstractNumId="3">
    <w:nsid w:val="88FB6EA3"/>
    <w:multiLevelType w:val="singleLevel"/>
    <w:tmpl w:val="88FB6EA3"/>
    <w:lvl w:ilvl="0" w:tentative="0">
      <w:start w:val="1"/>
      <w:numFmt w:val="decimal"/>
      <w:suff w:val="nothing"/>
      <w:lvlText w:val="%1．"/>
      <w:lvlJc w:val="left"/>
      <w:pPr>
        <w:ind w:left="0" w:firstLine="400"/>
      </w:pPr>
      <w:rPr>
        <w:rFonts w:hint="default"/>
      </w:rPr>
    </w:lvl>
  </w:abstractNum>
  <w:abstractNum w:abstractNumId="4">
    <w:nsid w:val="89C69B97"/>
    <w:multiLevelType w:val="singleLevel"/>
    <w:tmpl w:val="89C69B97"/>
    <w:lvl w:ilvl="0" w:tentative="0">
      <w:start w:val="1"/>
      <w:numFmt w:val="decimal"/>
      <w:suff w:val="nothing"/>
      <w:lvlText w:val="%1．"/>
      <w:lvlJc w:val="left"/>
      <w:pPr>
        <w:ind w:left="0" w:firstLine="400"/>
      </w:pPr>
      <w:rPr>
        <w:rFonts w:hint="default"/>
      </w:rPr>
    </w:lvl>
  </w:abstractNum>
  <w:abstractNum w:abstractNumId="5">
    <w:nsid w:val="8D424BB8"/>
    <w:multiLevelType w:val="singleLevel"/>
    <w:tmpl w:val="8D424BB8"/>
    <w:lvl w:ilvl="0" w:tentative="0">
      <w:start w:val="1"/>
      <w:numFmt w:val="decimal"/>
      <w:suff w:val="nothing"/>
      <w:lvlText w:val="%1．"/>
      <w:lvlJc w:val="left"/>
      <w:pPr>
        <w:ind w:left="0" w:firstLine="400"/>
      </w:pPr>
      <w:rPr>
        <w:rFonts w:hint="default"/>
      </w:rPr>
    </w:lvl>
  </w:abstractNum>
  <w:abstractNum w:abstractNumId="6">
    <w:nsid w:val="97A2EBBF"/>
    <w:multiLevelType w:val="singleLevel"/>
    <w:tmpl w:val="97A2EBBF"/>
    <w:lvl w:ilvl="0" w:tentative="0">
      <w:start w:val="1"/>
      <w:numFmt w:val="decimal"/>
      <w:suff w:val="nothing"/>
      <w:lvlText w:val="%1．"/>
      <w:lvlJc w:val="left"/>
      <w:pPr>
        <w:ind w:left="0" w:firstLine="400"/>
      </w:pPr>
      <w:rPr>
        <w:rFonts w:hint="default"/>
      </w:rPr>
    </w:lvl>
  </w:abstractNum>
  <w:abstractNum w:abstractNumId="7">
    <w:nsid w:val="9F522DC6"/>
    <w:multiLevelType w:val="singleLevel"/>
    <w:tmpl w:val="9F522DC6"/>
    <w:lvl w:ilvl="0" w:tentative="0">
      <w:start w:val="1"/>
      <w:numFmt w:val="decimal"/>
      <w:suff w:val="nothing"/>
      <w:lvlText w:val="%1．"/>
      <w:lvlJc w:val="left"/>
      <w:pPr>
        <w:ind w:left="0" w:firstLine="400"/>
      </w:pPr>
      <w:rPr>
        <w:rFonts w:hint="default"/>
      </w:rPr>
    </w:lvl>
  </w:abstractNum>
  <w:abstractNum w:abstractNumId="8">
    <w:nsid w:val="ADD3A374"/>
    <w:multiLevelType w:val="singleLevel"/>
    <w:tmpl w:val="ADD3A374"/>
    <w:lvl w:ilvl="0" w:tentative="0">
      <w:start w:val="1"/>
      <w:numFmt w:val="decimal"/>
      <w:suff w:val="nothing"/>
      <w:lvlText w:val="%1．"/>
      <w:lvlJc w:val="left"/>
      <w:pPr>
        <w:ind w:left="0" w:firstLine="400"/>
      </w:pPr>
      <w:rPr>
        <w:rFonts w:hint="default"/>
      </w:rPr>
    </w:lvl>
  </w:abstractNum>
  <w:abstractNum w:abstractNumId="9">
    <w:nsid w:val="C7BA62C9"/>
    <w:multiLevelType w:val="singleLevel"/>
    <w:tmpl w:val="C7BA62C9"/>
    <w:lvl w:ilvl="0" w:tentative="0">
      <w:start w:val="53"/>
      <w:numFmt w:val="decimal"/>
      <w:suff w:val="nothing"/>
      <w:lvlText w:val="%1．"/>
      <w:lvlJc w:val="left"/>
      <w:pPr>
        <w:ind w:left="0" w:firstLine="403"/>
      </w:pPr>
      <w:rPr>
        <w:rFonts w:hint="default"/>
      </w:rPr>
    </w:lvl>
  </w:abstractNum>
  <w:abstractNum w:abstractNumId="10">
    <w:nsid w:val="D23A70E8"/>
    <w:multiLevelType w:val="singleLevel"/>
    <w:tmpl w:val="D23A70E8"/>
    <w:lvl w:ilvl="0" w:tentative="0">
      <w:start w:val="1"/>
      <w:numFmt w:val="decimal"/>
      <w:suff w:val="nothing"/>
      <w:lvlText w:val="%1．"/>
      <w:lvlJc w:val="left"/>
      <w:pPr>
        <w:ind w:left="0" w:firstLine="400"/>
      </w:pPr>
      <w:rPr>
        <w:rFonts w:hint="default"/>
      </w:rPr>
    </w:lvl>
  </w:abstractNum>
  <w:abstractNum w:abstractNumId="11">
    <w:nsid w:val="D384FBE5"/>
    <w:multiLevelType w:val="singleLevel"/>
    <w:tmpl w:val="D384FBE5"/>
    <w:lvl w:ilvl="0" w:tentative="0">
      <w:start w:val="4"/>
      <w:numFmt w:val="chineseCounting"/>
      <w:suff w:val="nothing"/>
      <w:lvlText w:val="%1、"/>
      <w:lvlJc w:val="left"/>
      <w:rPr>
        <w:rFonts w:hint="eastAsia"/>
      </w:rPr>
    </w:lvl>
  </w:abstractNum>
  <w:abstractNum w:abstractNumId="12">
    <w:nsid w:val="DE7F2E35"/>
    <w:multiLevelType w:val="singleLevel"/>
    <w:tmpl w:val="DE7F2E35"/>
    <w:lvl w:ilvl="0" w:tentative="0">
      <w:start w:val="1"/>
      <w:numFmt w:val="decimal"/>
      <w:suff w:val="nothing"/>
      <w:lvlText w:val="%1．"/>
      <w:lvlJc w:val="left"/>
      <w:pPr>
        <w:ind w:left="0" w:firstLine="400"/>
      </w:pPr>
      <w:rPr>
        <w:rFonts w:hint="default"/>
      </w:rPr>
    </w:lvl>
  </w:abstractNum>
  <w:abstractNum w:abstractNumId="13">
    <w:nsid w:val="E0DC60FC"/>
    <w:multiLevelType w:val="singleLevel"/>
    <w:tmpl w:val="E0DC60FC"/>
    <w:lvl w:ilvl="0" w:tentative="0">
      <w:start w:val="1"/>
      <w:numFmt w:val="decimal"/>
      <w:suff w:val="nothing"/>
      <w:lvlText w:val="%1．"/>
      <w:lvlJc w:val="left"/>
      <w:pPr>
        <w:ind w:left="0" w:firstLine="400"/>
      </w:pPr>
      <w:rPr>
        <w:rFonts w:hint="default"/>
      </w:rPr>
    </w:lvl>
  </w:abstractNum>
  <w:abstractNum w:abstractNumId="14">
    <w:nsid w:val="E54D885C"/>
    <w:multiLevelType w:val="singleLevel"/>
    <w:tmpl w:val="E54D885C"/>
    <w:lvl w:ilvl="0" w:tentative="0">
      <w:start w:val="1"/>
      <w:numFmt w:val="decimal"/>
      <w:suff w:val="nothing"/>
      <w:lvlText w:val="%1．"/>
      <w:lvlJc w:val="left"/>
      <w:pPr>
        <w:ind w:left="20" w:firstLine="400"/>
      </w:pPr>
      <w:rPr>
        <w:rFonts w:hint="default"/>
      </w:rPr>
    </w:lvl>
  </w:abstractNum>
  <w:abstractNum w:abstractNumId="15">
    <w:nsid w:val="EC5A6D5B"/>
    <w:multiLevelType w:val="singleLevel"/>
    <w:tmpl w:val="EC5A6D5B"/>
    <w:lvl w:ilvl="0" w:tentative="0">
      <w:start w:val="50"/>
      <w:numFmt w:val="decimal"/>
      <w:suff w:val="nothing"/>
      <w:lvlText w:val="%1．"/>
      <w:lvlJc w:val="left"/>
      <w:pPr>
        <w:ind w:left="0" w:firstLine="403"/>
      </w:pPr>
      <w:rPr>
        <w:rFonts w:hint="default"/>
      </w:rPr>
    </w:lvl>
  </w:abstractNum>
  <w:abstractNum w:abstractNumId="16">
    <w:nsid w:val="FB23E6F1"/>
    <w:multiLevelType w:val="singleLevel"/>
    <w:tmpl w:val="FB23E6F1"/>
    <w:lvl w:ilvl="0" w:tentative="0">
      <w:start w:val="1"/>
      <w:numFmt w:val="decimal"/>
      <w:suff w:val="nothing"/>
      <w:lvlText w:val="%1"/>
      <w:lvlJc w:val="left"/>
      <w:pPr>
        <w:ind w:left="0" w:firstLine="403"/>
      </w:pPr>
      <w:rPr>
        <w:rFonts w:hint="default"/>
      </w:rPr>
    </w:lvl>
  </w:abstractNum>
  <w:abstractNum w:abstractNumId="17">
    <w:nsid w:val="0B723498"/>
    <w:multiLevelType w:val="singleLevel"/>
    <w:tmpl w:val="0B723498"/>
    <w:lvl w:ilvl="0" w:tentative="0">
      <w:start w:val="1"/>
      <w:numFmt w:val="decimal"/>
      <w:suff w:val="nothing"/>
      <w:lvlText w:val="%1．"/>
      <w:lvlJc w:val="left"/>
      <w:pPr>
        <w:ind w:left="0" w:firstLine="400"/>
      </w:pPr>
      <w:rPr>
        <w:rFonts w:hint="default"/>
      </w:rPr>
    </w:lvl>
  </w:abstractNum>
  <w:abstractNum w:abstractNumId="18">
    <w:nsid w:val="0E90B967"/>
    <w:multiLevelType w:val="singleLevel"/>
    <w:tmpl w:val="0E90B967"/>
    <w:lvl w:ilvl="0" w:tentative="0">
      <w:start w:val="1"/>
      <w:numFmt w:val="decimal"/>
      <w:suff w:val="nothing"/>
      <w:lvlText w:val="%1．"/>
      <w:lvlJc w:val="left"/>
      <w:pPr>
        <w:ind w:left="0" w:firstLine="400"/>
      </w:pPr>
      <w:rPr>
        <w:rFonts w:hint="default"/>
      </w:rPr>
    </w:lvl>
  </w:abstractNum>
  <w:abstractNum w:abstractNumId="19">
    <w:nsid w:val="11A28B46"/>
    <w:multiLevelType w:val="singleLevel"/>
    <w:tmpl w:val="11A28B46"/>
    <w:lvl w:ilvl="0" w:tentative="0">
      <w:start w:val="51"/>
      <w:numFmt w:val="decimal"/>
      <w:suff w:val="nothing"/>
      <w:lvlText w:val="%1．"/>
      <w:lvlJc w:val="left"/>
      <w:pPr>
        <w:ind w:left="0" w:firstLine="403"/>
      </w:pPr>
      <w:rPr>
        <w:rFonts w:hint="default"/>
      </w:rPr>
    </w:lvl>
  </w:abstractNum>
  <w:abstractNum w:abstractNumId="20">
    <w:nsid w:val="2202B35A"/>
    <w:multiLevelType w:val="singleLevel"/>
    <w:tmpl w:val="2202B35A"/>
    <w:lvl w:ilvl="0" w:tentative="0">
      <w:start w:val="1"/>
      <w:numFmt w:val="decimal"/>
      <w:suff w:val="nothing"/>
      <w:lvlText w:val="%1．"/>
      <w:lvlJc w:val="left"/>
      <w:pPr>
        <w:ind w:left="0" w:firstLine="400"/>
      </w:pPr>
      <w:rPr>
        <w:rFonts w:hint="default"/>
      </w:rPr>
    </w:lvl>
  </w:abstractNum>
  <w:abstractNum w:abstractNumId="21">
    <w:nsid w:val="25A84E1D"/>
    <w:multiLevelType w:val="singleLevel"/>
    <w:tmpl w:val="25A84E1D"/>
    <w:lvl w:ilvl="0" w:tentative="0">
      <w:start w:val="1"/>
      <w:numFmt w:val="decimal"/>
      <w:suff w:val="nothing"/>
      <w:lvlText w:val="（%1）"/>
      <w:lvlJc w:val="left"/>
    </w:lvl>
  </w:abstractNum>
  <w:abstractNum w:abstractNumId="22">
    <w:nsid w:val="3C55CC13"/>
    <w:multiLevelType w:val="singleLevel"/>
    <w:tmpl w:val="3C55CC13"/>
    <w:lvl w:ilvl="0" w:tentative="0">
      <w:start w:val="78"/>
      <w:numFmt w:val="decimal"/>
      <w:suff w:val="nothing"/>
      <w:lvlText w:val="%1．"/>
      <w:lvlJc w:val="left"/>
      <w:pPr>
        <w:ind w:left="0" w:firstLine="403"/>
      </w:pPr>
      <w:rPr>
        <w:rFonts w:hint="default"/>
        <w:b w:val="0"/>
        <w:bCs w:val="0"/>
      </w:rPr>
    </w:lvl>
  </w:abstractNum>
  <w:abstractNum w:abstractNumId="23">
    <w:nsid w:val="3C59DC0B"/>
    <w:multiLevelType w:val="singleLevel"/>
    <w:tmpl w:val="3C59DC0B"/>
    <w:lvl w:ilvl="0" w:tentative="0">
      <w:start w:val="1"/>
      <w:numFmt w:val="decimal"/>
      <w:suff w:val="nothing"/>
      <w:lvlText w:val="%1．"/>
      <w:lvlJc w:val="left"/>
      <w:pPr>
        <w:ind w:left="0" w:firstLine="400"/>
      </w:pPr>
      <w:rPr>
        <w:rFonts w:hint="default"/>
      </w:rPr>
    </w:lvl>
  </w:abstractNum>
  <w:abstractNum w:abstractNumId="24">
    <w:nsid w:val="3F1C3E7F"/>
    <w:multiLevelType w:val="singleLevel"/>
    <w:tmpl w:val="3F1C3E7F"/>
    <w:lvl w:ilvl="0" w:tentative="0">
      <w:start w:val="1"/>
      <w:numFmt w:val="decimal"/>
      <w:suff w:val="nothing"/>
      <w:lvlText w:val="%1、"/>
      <w:lvlJc w:val="left"/>
    </w:lvl>
  </w:abstractNum>
  <w:abstractNum w:abstractNumId="25">
    <w:nsid w:val="3FC44092"/>
    <w:multiLevelType w:val="singleLevel"/>
    <w:tmpl w:val="3FC44092"/>
    <w:lvl w:ilvl="0" w:tentative="0">
      <w:start w:val="1"/>
      <w:numFmt w:val="decimal"/>
      <w:suff w:val="nothing"/>
      <w:lvlText w:val="%1．"/>
      <w:lvlJc w:val="left"/>
      <w:pPr>
        <w:ind w:left="0" w:firstLine="400"/>
      </w:pPr>
      <w:rPr>
        <w:rFonts w:hint="default"/>
      </w:rPr>
    </w:lvl>
  </w:abstractNum>
  <w:abstractNum w:abstractNumId="26">
    <w:nsid w:val="4065E8DA"/>
    <w:multiLevelType w:val="singleLevel"/>
    <w:tmpl w:val="4065E8DA"/>
    <w:lvl w:ilvl="0" w:tentative="0">
      <w:start w:val="1"/>
      <w:numFmt w:val="chineseCounting"/>
      <w:suff w:val="nothing"/>
      <w:lvlText w:val="%1、"/>
      <w:lvlJc w:val="left"/>
      <w:rPr>
        <w:rFonts w:hint="eastAsia"/>
      </w:rPr>
    </w:lvl>
  </w:abstractNum>
  <w:abstractNum w:abstractNumId="27">
    <w:nsid w:val="60E7B6C2"/>
    <w:multiLevelType w:val="singleLevel"/>
    <w:tmpl w:val="60E7B6C2"/>
    <w:lvl w:ilvl="0" w:tentative="0">
      <w:start w:val="1"/>
      <w:numFmt w:val="decimal"/>
      <w:suff w:val="nothing"/>
      <w:lvlText w:val="%1．"/>
      <w:lvlJc w:val="left"/>
      <w:pPr>
        <w:ind w:left="0" w:firstLine="400"/>
      </w:pPr>
      <w:rPr>
        <w:rFonts w:hint="default"/>
      </w:rPr>
    </w:lvl>
  </w:abstractNum>
  <w:abstractNum w:abstractNumId="28">
    <w:nsid w:val="61D7302C"/>
    <w:multiLevelType w:val="singleLevel"/>
    <w:tmpl w:val="61D7302C"/>
    <w:lvl w:ilvl="0" w:tentative="0">
      <w:start w:val="1"/>
      <w:numFmt w:val="decimal"/>
      <w:suff w:val="nothing"/>
      <w:lvlText w:val="%1"/>
      <w:lvlJc w:val="left"/>
      <w:pPr>
        <w:ind w:left="0" w:firstLine="403"/>
      </w:pPr>
      <w:rPr>
        <w:rFonts w:hint="default"/>
      </w:rPr>
    </w:lvl>
  </w:abstractNum>
  <w:abstractNum w:abstractNumId="29">
    <w:nsid w:val="64E2BDCE"/>
    <w:multiLevelType w:val="singleLevel"/>
    <w:tmpl w:val="64E2BDCE"/>
    <w:lvl w:ilvl="0" w:tentative="0">
      <w:start w:val="2"/>
      <w:numFmt w:val="decimal"/>
      <w:suff w:val="nothing"/>
      <w:lvlText w:val="%1."/>
      <w:lvlJc w:val="left"/>
    </w:lvl>
  </w:abstractNum>
  <w:abstractNum w:abstractNumId="30">
    <w:nsid w:val="64E47E0C"/>
    <w:multiLevelType w:val="singleLevel"/>
    <w:tmpl w:val="64E47E0C"/>
    <w:lvl w:ilvl="0" w:tentative="0">
      <w:start w:val="2"/>
      <w:numFmt w:val="decimal"/>
      <w:suff w:val="nothing"/>
      <w:lvlText w:val="%1."/>
      <w:lvlJc w:val="left"/>
    </w:lvl>
  </w:abstractNum>
  <w:abstractNum w:abstractNumId="31">
    <w:nsid w:val="64E58083"/>
    <w:multiLevelType w:val="singleLevel"/>
    <w:tmpl w:val="64E58083"/>
    <w:lvl w:ilvl="0" w:tentative="0">
      <w:start w:val="10"/>
      <w:numFmt w:val="chineseCounting"/>
      <w:suff w:val="nothing"/>
      <w:lvlText w:val="%1、"/>
      <w:lvlJc w:val="left"/>
    </w:lvl>
  </w:abstractNum>
  <w:abstractNum w:abstractNumId="32">
    <w:nsid w:val="64EEF56A"/>
    <w:multiLevelType w:val="singleLevel"/>
    <w:tmpl w:val="64EEF56A"/>
    <w:lvl w:ilvl="0" w:tentative="0">
      <w:start w:val="1"/>
      <w:numFmt w:val="chineseCounting"/>
      <w:suff w:val="nothing"/>
      <w:lvlText w:val="%1、"/>
      <w:lvlJc w:val="left"/>
    </w:lvl>
  </w:abstractNum>
  <w:abstractNum w:abstractNumId="33">
    <w:nsid w:val="6637DC97"/>
    <w:multiLevelType w:val="singleLevel"/>
    <w:tmpl w:val="6637DC97"/>
    <w:lvl w:ilvl="0" w:tentative="0">
      <w:start w:val="1"/>
      <w:numFmt w:val="decimal"/>
      <w:suff w:val="nothing"/>
      <w:lvlText w:val="%1"/>
      <w:lvlJc w:val="left"/>
      <w:pPr>
        <w:ind w:left="0" w:firstLine="403"/>
      </w:pPr>
      <w:rPr>
        <w:rFonts w:hint="default"/>
      </w:rPr>
    </w:lvl>
  </w:abstractNum>
  <w:abstractNum w:abstractNumId="34">
    <w:nsid w:val="67137DCB"/>
    <w:multiLevelType w:val="singleLevel"/>
    <w:tmpl w:val="67137DCB"/>
    <w:lvl w:ilvl="0" w:tentative="0">
      <w:start w:val="1"/>
      <w:numFmt w:val="decimal"/>
      <w:suff w:val="nothing"/>
      <w:lvlText w:val="%1．"/>
      <w:lvlJc w:val="left"/>
      <w:pPr>
        <w:ind w:left="0" w:firstLine="400"/>
      </w:pPr>
      <w:rPr>
        <w:rFonts w:hint="default"/>
      </w:rPr>
    </w:lvl>
  </w:abstractNum>
  <w:abstractNum w:abstractNumId="35">
    <w:nsid w:val="6F777632"/>
    <w:multiLevelType w:val="singleLevel"/>
    <w:tmpl w:val="6F777632"/>
    <w:lvl w:ilvl="0" w:tentative="0">
      <w:start w:val="1"/>
      <w:numFmt w:val="decimal"/>
      <w:suff w:val="nothing"/>
      <w:lvlText w:val="%1．"/>
      <w:lvlJc w:val="left"/>
      <w:pPr>
        <w:ind w:left="0" w:firstLine="400"/>
      </w:pPr>
      <w:rPr>
        <w:rFonts w:hint="default"/>
      </w:rPr>
    </w:lvl>
  </w:abstractNum>
  <w:abstractNum w:abstractNumId="36">
    <w:nsid w:val="759AEECD"/>
    <w:multiLevelType w:val="singleLevel"/>
    <w:tmpl w:val="759AEECD"/>
    <w:lvl w:ilvl="0" w:tentative="0">
      <w:start w:val="1"/>
      <w:numFmt w:val="decimal"/>
      <w:suff w:val="nothing"/>
      <w:lvlText w:val="%1．"/>
      <w:lvlJc w:val="left"/>
      <w:pPr>
        <w:ind w:left="0" w:firstLine="400"/>
      </w:pPr>
      <w:rPr>
        <w:rFonts w:hint="default"/>
      </w:rPr>
    </w:lvl>
  </w:abstractNum>
  <w:num w:numId="1">
    <w:abstractNumId w:val="16"/>
  </w:num>
  <w:num w:numId="2">
    <w:abstractNumId w:val="11"/>
  </w:num>
  <w:num w:numId="3">
    <w:abstractNumId w:val="29"/>
  </w:num>
  <w:num w:numId="4">
    <w:abstractNumId w:val="31"/>
  </w:num>
  <w:num w:numId="5">
    <w:abstractNumId w:val="32"/>
  </w:num>
  <w:num w:numId="6">
    <w:abstractNumId w:val="33"/>
  </w:num>
  <w:num w:numId="7">
    <w:abstractNumId w:val="28"/>
  </w:num>
  <w:num w:numId="8">
    <w:abstractNumId w:val="15"/>
  </w:num>
  <w:num w:numId="9">
    <w:abstractNumId w:val="19"/>
  </w:num>
  <w:num w:numId="10">
    <w:abstractNumId w:val="9"/>
  </w:num>
  <w:num w:numId="11">
    <w:abstractNumId w:val="22"/>
  </w:num>
  <w:num w:numId="12">
    <w:abstractNumId w:val="36"/>
  </w:num>
  <w:num w:numId="13">
    <w:abstractNumId w:val="13"/>
  </w:num>
  <w:num w:numId="14">
    <w:abstractNumId w:val="14"/>
  </w:num>
  <w:num w:numId="15">
    <w:abstractNumId w:val="3"/>
  </w:num>
  <w:num w:numId="16">
    <w:abstractNumId w:val="25"/>
  </w:num>
  <w:num w:numId="17">
    <w:abstractNumId w:val="27"/>
  </w:num>
  <w:num w:numId="18">
    <w:abstractNumId w:val="4"/>
  </w:num>
  <w:num w:numId="19">
    <w:abstractNumId w:val="2"/>
  </w:num>
  <w:num w:numId="20">
    <w:abstractNumId w:val="20"/>
  </w:num>
  <w:num w:numId="21">
    <w:abstractNumId w:val="34"/>
  </w:num>
  <w:num w:numId="22">
    <w:abstractNumId w:val="0"/>
  </w:num>
  <w:num w:numId="23">
    <w:abstractNumId w:val="23"/>
  </w:num>
  <w:num w:numId="24">
    <w:abstractNumId w:val="18"/>
  </w:num>
  <w:num w:numId="25">
    <w:abstractNumId w:val="10"/>
  </w:num>
  <w:num w:numId="26">
    <w:abstractNumId w:val="17"/>
  </w:num>
  <w:num w:numId="27">
    <w:abstractNumId w:val="12"/>
  </w:num>
  <w:num w:numId="28">
    <w:abstractNumId w:val="6"/>
  </w:num>
  <w:num w:numId="29">
    <w:abstractNumId w:val="5"/>
  </w:num>
  <w:num w:numId="30">
    <w:abstractNumId w:val="1"/>
  </w:num>
  <w:num w:numId="31">
    <w:abstractNumId w:val="8"/>
  </w:num>
  <w:num w:numId="32">
    <w:abstractNumId w:val="7"/>
  </w:num>
  <w:num w:numId="33">
    <w:abstractNumId w:val="35"/>
  </w:num>
  <w:num w:numId="34">
    <w:abstractNumId w:val="21"/>
  </w:num>
  <w:num w:numId="35">
    <w:abstractNumId w:val="24"/>
  </w:num>
  <w:num w:numId="36">
    <w:abstractNumId w:val="30"/>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10"/>
  <w:drawingGridVerticalSpacing w:val="156"/>
  <w:displayHorizontalDrawingGridEvery w:val="1"/>
  <w:displayVerticalDrawingGridEvery w:val="1"/>
  <w:noPunctuationKerning w:val="1"/>
  <w:characterSpacingControl w:val="compressPunctuation"/>
  <w:footnotePr>
    <w:footnote w:id="4"/>
    <w:footnote w:id="5"/>
  </w:footnotePr>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4YjA5YmRjNzU0Nzk5NjEzMmM2YWRlNTY1ZWQyZmIifQ=="/>
  </w:docVars>
  <w:rsids>
    <w:rsidRoot w:val="007C12CC"/>
    <w:rsid w:val="00000668"/>
    <w:rsid w:val="00001660"/>
    <w:rsid w:val="000036EF"/>
    <w:rsid w:val="00004B89"/>
    <w:rsid w:val="00007DA7"/>
    <w:rsid w:val="00011C70"/>
    <w:rsid w:val="00015AD4"/>
    <w:rsid w:val="000163D7"/>
    <w:rsid w:val="00017459"/>
    <w:rsid w:val="00021F2A"/>
    <w:rsid w:val="000222FA"/>
    <w:rsid w:val="00023E17"/>
    <w:rsid w:val="000246A1"/>
    <w:rsid w:val="00024A16"/>
    <w:rsid w:val="00026E80"/>
    <w:rsid w:val="00031558"/>
    <w:rsid w:val="00032335"/>
    <w:rsid w:val="00032783"/>
    <w:rsid w:val="00035948"/>
    <w:rsid w:val="000408C4"/>
    <w:rsid w:val="00041FE4"/>
    <w:rsid w:val="00046697"/>
    <w:rsid w:val="0004677D"/>
    <w:rsid w:val="00050590"/>
    <w:rsid w:val="00051366"/>
    <w:rsid w:val="000526C6"/>
    <w:rsid w:val="00052B12"/>
    <w:rsid w:val="00053337"/>
    <w:rsid w:val="00054BA4"/>
    <w:rsid w:val="00055C21"/>
    <w:rsid w:val="00056979"/>
    <w:rsid w:val="00057397"/>
    <w:rsid w:val="0006019C"/>
    <w:rsid w:val="00061464"/>
    <w:rsid w:val="0006264C"/>
    <w:rsid w:val="000657E0"/>
    <w:rsid w:val="0006634F"/>
    <w:rsid w:val="0006738D"/>
    <w:rsid w:val="0007059E"/>
    <w:rsid w:val="00072E78"/>
    <w:rsid w:val="000731F0"/>
    <w:rsid w:val="00074138"/>
    <w:rsid w:val="000743DD"/>
    <w:rsid w:val="0007588A"/>
    <w:rsid w:val="00081A37"/>
    <w:rsid w:val="00082B75"/>
    <w:rsid w:val="000839BF"/>
    <w:rsid w:val="00084183"/>
    <w:rsid w:val="00084F67"/>
    <w:rsid w:val="0008602F"/>
    <w:rsid w:val="00086A4E"/>
    <w:rsid w:val="00090600"/>
    <w:rsid w:val="00090A00"/>
    <w:rsid w:val="00092B4C"/>
    <w:rsid w:val="00093ABA"/>
    <w:rsid w:val="000958DC"/>
    <w:rsid w:val="0009654F"/>
    <w:rsid w:val="000A1518"/>
    <w:rsid w:val="000A1D01"/>
    <w:rsid w:val="000A2A84"/>
    <w:rsid w:val="000A32C6"/>
    <w:rsid w:val="000A3863"/>
    <w:rsid w:val="000A4196"/>
    <w:rsid w:val="000A42C7"/>
    <w:rsid w:val="000A4B2E"/>
    <w:rsid w:val="000A4EA5"/>
    <w:rsid w:val="000B07DD"/>
    <w:rsid w:val="000B0F4B"/>
    <w:rsid w:val="000B1C2C"/>
    <w:rsid w:val="000B58C4"/>
    <w:rsid w:val="000B7FD8"/>
    <w:rsid w:val="000C00DD"/>
    <w:rsid w:val="000C0146"/>
    <w:rsid w:val="000C22DB"/>
    <w:rsid w:val="000C405E"/>
    <w:rsid w:val="000C4129"/>
    <w:rsid w:val="000C4762"/>
    <w:rsid w:val="000C5D2D"/>
    <w:rsid w:val="000D03B4"/>
    <w:rsid w:val="000D0F0A"/>
    <w:rsid w:val="000D4EFB"/>
    <w:rsid w:val="000D501F"/>
    <w:rsid w:val="000D705A"/>
    <w:rsid w:val="000E583C"/>
    <w:rsid w:val="000F422B"/>
    <w:rsid w:val="00100B7D"/>
    <w:rsid w:val="00100C85"/>
    <w:rsid w:val="00100FCD"/>
    <w:rsid w:val="0010167E"/>
    <w:rsid w:val="001033D2"/>
    <w:rsid w:val="001114EB"/>
    <w:rsid w:val="001116C7"/>
    <w:rsid w:val="00111F41"/>
    <w:rsid w:val="00113423"/>
    <w:rsid w:val="0011411F"/>
    <w:rsid w:val="001145CD"/>
    <w:rsid w:val="00114DE5"/>
    <w:rsid w:val="00114EBA"/>
    <w:rsid w:val="001150A5"/>
    <w:rsid w:val="0012276E"/>
    <w:rsid w:val="00123E53"/>
    <w:rsid w:val="00126265"/>
    <w:rsid w:val="00126D87"/>
    <w:rsid w:val="00130034"/>
    <w:rsid w:val="00131F14"/>
    <w:rsid w:val="001329EB"/>
    <w:rsid w:val="001345C8"/>
    <w:rsid w:val="00136485"/>
    <w:rsid w:val="00136D53"/>
    <w:rsid w:val="00142470"/>
    <w:rsid w:val="001459D4"/>
    <w:rsid w:val="001464DD"/>
    <w:rsid w:val="001500D3"/>
    <w:rsid w:val="00150BFF"/>
    <w:rsid w:val="00151441"/>
    <w:rsid w:val="00153D4C"/>
    <w:rsid w:val="00156466"/>
    <w:rsid w:val="00156D44"/>
    <w:rsid w:val="001575FD"/>
    <w:rsid w:val="00161AEF"/>
    <w:rsid w:val="00162078"/>
    <w:rsid w:val="001648CD"/>
    <w:rsid w:val="00164BCE"/>
    <w:rsid w:val="001652F8"/>
    <w:rsid w:val="00165833"/>
    <w:rsid w:val="001659D8"/>
    <w:rsid w:val="00167ED2"/>
    <w:rsid w:val="00170C8C"/>
    <w:rsid w:val="001714B1"/>
    <w:rsid w:val="00175AEB"/>
    <w:rsid w:val="001763A5"/>
    <w:rsid w:val="00180A7F"/>
    <w:rsid w:val="0018291D"/>
    <w:rsid w:val="0018382C"/>
    <w:rsid w:val="0018390E"/>
    <w:rsid w:val="00183F9B"/>
    <w:rsid w:val="00185A39"/>
    <w:rsid w:val="00185F2C"/>
    <w:rsid w:val="00186AEA"/>
    <w:rsid w:val="001876EA"/>
    <w:rsid w:val="00187C36"/>
    <w:rsid w:val="00187D88"/>
    <w:rsid w:val="00193802"/>
    <w:rsid w:val="00193E56"/>
    <w:rsid w:val="00196B7A"/>
    <w:rsid w:val="001974BF"/>
    <w:rsid w:val="0019756E"/>
    <w:rsid w:val="001A0BE4"/>
    <w:rsid w:val="001A2203"/>
    <w:rsid w:val="001A4D34"/>
    <w:rsid w:val="001A67F1"/>
    <w:rsid w:val="001A761A"/>
    <w:rsid w:val="001B22E9"/>
    <w:rsid w:val="001B2AAD"/>
    <w:rsid w:val="001B3E78"/>
    <w:rsid w:val="001B4335"/>
    <w:rsid w:val="001B4B2D"/>
    <w:rsid w:val="001B5EFB"/>
    <w:rsid w:val="001B64AD"/>
    <w:rsid w:val="001C1F34"/>
    <w:rsid w:val="001C4A5B"/>
    <w:rsid w:val="001C5251"/>
    <w:rsid w:val="001C5AF6"/>
    <w:rsid w:val="001C6BC4"/>
    <w:rsid w:val="001D0F62"/>
    <w:rsid w:val="001D2331"/>
    <w:rsid w:val="001D3913"/>
    <w:rsid w:val="001D6A06"/>
    <w:rsid w:val="001D759C"/>
    <w:rsid w:val="001E0521"/>
    <w:rsid w:val="001E148C"/>
    <w:rsid w:val="001E2645"/>
    <w:rsid w:val="001E3B05"/>
    <w:rsid w:val="001E5BB0"/>
    <w:rsid w:val="001E6EF9"/>
    <w:rsid w:val="001F035E"/>
    <w:rsid w:val="001F1A9B"/>
    <w:rsid w:val="001F21D8"/>
    <w:rsid w:val="001F64F5"/>
    <w:rsid w:val="001F67E0"/>
    <w:rsid w:val="001F7DBD"/>
    <w:rsid w:val="00203068"/>
    <w:rsid w:val="00206D18"/>
    <w:rsid w:val="0021013C"/>
    <w:rsid w:val="002120D0"/>
    <w:rsid w:val="002125E6"/>
    <w:rsid w:val="00216424"/>
    <w:rsid w:val="00224333"/>
    <w:rsid w:val="00224CDC"/>
    <w:rsid w:val="002270B2"/>
    <w:rsid w:val="00230304"/>
    <w:rsid w:val="00230D10"/>
    <w:rsid w:val="002320BC"/>
    <w:rsid w:val="002332EA"/>
    <w:rsid w:val="002342C9"/>
    <w:rsid w:val="002404DA"/>
    <w:rsid w:val="00242277"/>
    <w:rsid w:val="00244015"/>
    <w:rsid w:val="002470DA"/>
    <w:rsid w:val="00247C91"/>
    <w:rsid w:val="00250692"/>
    <w:rsid w:val="00250C39"/>
    <w:rsid w:val="0025359C"/>
    <w:rsid w:val="00255D4B"/>
    <w:rsid w:val="002573C6"/>
    <w:rsid w:val="00262A61"/>
    <w:rsid w:val="00265F18"/>
    <w:rsid w:val="002726FB"/>
    <w:rsid w:val="0027449E"/>
    <w:rsid w:val="002771F5"/>
    <w:rsid w:val="00277B58"/>
    <w:rsid w:val="00280A47"/>
    <w:rsid w:val="00280D8F"/>
    <w:rsid w:val="00281347"/>
    <w:rsid w:val="002857AA"/>
    <w:rsid w:val="0029048E"/>
    <w:rsid w:val="00291539"/>
    <w:rsid w:val="00294EBC"/>
    <w:rsid w:val="0029626C"/>
    <w:rsid w:val="002A0B7A"/>
    <w:rsid w:val="002A0C82"/>
    <w:rsid w:val="002A2AD5"/>
    <w:rsid w:val="002A373E"/>
    <w:rsid w:val="002B067F"/>
    <w:rsid w:val="002B6D25"/>
    <w:rsid w:val="002B7D1D"/>
    <w:rsid w:val="002C008F"/>
    <w:rsid w:val="002C0964"/>
    <w:rsid w:val="002C3905"/>
    <w:rsid w:val="002C7DDE"/>
    <w:rsid w:val="002D402B"/>
    <w:rsid w:val="002D5D7E"/>
    <w:rsid w:val="002D73AE"/>
    <w:rsid w:val="002E09AB"/>
    <w:rsid w:val="002E2016"/>
    <w:rsid w:val="002E263A"/>
    <w:rsid w:val="002E372F"/>
    <w:rsid w:val="002E38A1"/>
    <w:rsid w:val="002E53EC"/>
    <w:rsid w:val="002E7B45"/>
    <w:rsid w:val="002F0D48"/>
    <w:rsid w:val="002F28CA"/>
    <w:rsid w:val="002F3919"/>
    <w:rsid w:val="002F5A38"/>
    <w:rsid w:val="002F5CBF"/>
    <w:rsid w:val="002F6A46"/>
    <w:rsid w:val="002F71FC"/>
    <w:rsid w:val="002F797B"/>
    <w:rsid w:val="002F7C1A"/>
    <w:rsid w:val="0030178C"/>
    <w:rsid w:val="00302602"/>
    <w:rsid w:val="0030262F"/>
    <w:rsid w:val="00306772"/>
    <w:rsid w:val="00306A59"/>
    <w:rsid w:val="00306F89"/>
    <w:rsid w:val="00307CE1"/>
    <w:rsid w:val="0031253B"/>
    <w:rsid w:val="00314009"/>
    <w:rsid w:val="0031795E"/>
    <w:rsid w:val="00321BCE"/>
    <w:rsid w:val="003230A0"/>
    <w:rsid w:val="00323546"/>
    <w:rsid w:val="00327B03"/>
    <w:rsid w:val="00331FC6"/>
    <w:rsid w:val="0033261E"/>
    <w:rsid w:val="003331D2"/>
    <w:rsid w:val="00334A11"/>
    <w:rsid w:val="00335BD1"/>
    <w:rsid w:val="003419CA"/>
    <w:rsid w:val="00346A47"/>
    <w:rsid w:val="0035016E"/>
    <w:rsid w:val="003502E7"/>
    <w:rsid w:val="0035067D"/>
    <w:rsid w:val="00350E02"/>
    <w:rsid w:val="00352BE5"/>
    <w:rsid w:val="003534C0"/>
    <w:rsid w:val="00354318"/>
    <w:rsid w:val="00354A64"/>
    <w:rsid w:val="00354DBD"/>
    <w:rsid w:val="00355FC0"/>
    <w:rsid w:val="00364647"/>
    <w:rsid w:val="00365CBF"/>
    <w:rsid w:val="00367111"/>
    <w:rsid w:val="0037029D"/>
    <w:rsid w:val="00370C8A"/>
    <w:rsid w:val="0037288F"/>
    <w:rsid w:val="00372E53"/>
    <w:rsid w:val="0037405F"/>
    <w:rsid w:val="00381E2B"/>
    <w:rsid w:val="00382165"/>
    <w:rsid w:val="003828C0"/>
    <w:rsid w:val="00383BFA"/>
    <w:rsid w:val="00384FE6"/>
    <w:rsid w:val="00395323"/>
    <w:rsid w:val="00395A66"/>
    <w:rsid w:val="00396042"/>
    <w:rsid w:val="00396685"/>
    <w:rsid w:val="003A0BC0"/>
    <w:rsid w:val="003A2FA7"/>
    <w:rsid w:val="003B035C"/>
    <w:rsid w:val="003B07A2"/>
    <w:rsid w:val="003B1AB5"/>
    <w:rsid w:val="003B4511"/>
    <w:rsid w:val="003B4C27"/>
    <w:rsid w:val="003B6F87"/>
    <w:rsid w:val="003C0054"/>
    <w:rsid w:val="003C0851"/>
    <w:rsid w:val="003C14AB"/>
    <w:rsid w:val="003C1E7C"/>
    <w:rsid w:val="003C2A86"/>
    <w:rsid w:val="003C3422"/>
    <w:rsid w:val="003C4E8A"/>
    <w:rsid w:val="003C668B"/>
    <w:rsid w:val="003D1437"/>
    <w:rsid w:val="003D51E5"/>
    <w:rsid w:val="003D629B"/>
    <w:rsid w:val="003D6FFA"/>
    <w:rsid w:val="003E35F5"/>
    <w:rsid w:val="003F1389"/>
    <w:rsid w:val="003F2938"/>
    <w:rsid w:val="003F4F88"/>
    <w:rsid w:val="003F647B"/>
    <w:rsid w:val="00400273"/>
    <w:rsid w:val="00400415"/>
    <w:rsid w:val="00400F8F"/>
    <w:rsid w:val="00401075"/>
    <w:rsid w:val="00403397"/>
    <w:rsid w:val="00405597"/>
    <w:rsid w:val="004056A0"/>
    <w:rsid w:val="00406F9F"/>
    <w:rsid w:val="004071DA"/>
    <w:rsid w:val="00420862"/>
    <w:rsid w:val="004233F9"/>
    <w:rsid w:val="004259A8"/>
    <w:rsid w:val="00427793"/>
    <w:rsid w:val="004277FA"/>
    <w:rsid w:val="00431295"/>
    <w:rsid w:val="0043527A"/>
    <w:rsid w:val="00436108"/>
    <w:rsid w:val="004368E1"/>
    <w:rsid w:val="00436A1E"/>
    <w:rsid w:val="00437F68"/>
    <w:rsid w:val="0044167C"/>
    <w:rsid w:val="00441691"/>
    <w:rsid w:val="004440D6"/>
    <w:rsid w:val="0044451B"/>
    <w:rsid w:val="0044660F"/>
    <w:rsid w:val="00446D5B"/>
    <w:rsid w:val="00447F5D"/>
    <w:rsid w:val="00451934"/>
    <w:rsid w:val="004522CD"/>
    <w:rsid w:val="00453DA2"/>
    <w:rsid w:val="00454103"/>
    <w:rsid w:val="00456FD9"/>
    <w:rsid w:val="00457964"/>
    <w:rsid w:val="004643AF"/>
    <w:rsid w:val="00464C62"/>
    <w:rsid w:val="00465A54"/>
    <w:rsid w:val="00474121"/>
    <w:rsid w:val="00474A2F"/>
    <w:rsid w:val="004753B1"/>
    <w:rsid w:val="00475A3B"/>
    <w:rsid w:val="00476556"/>
    <w:rsid w:val="004770FB"/>
    <w:rsid w:val="004837E8"/>
    <w:rsid w:val="00484A3D"/>
    <w:rsid w:val="0048581D"/>
    <w:rsid w:val="004859C3"/>
    <w:rsid w:val="00485EDF"/>
    <w:rsid w:val="00490A1F"/>
    <w:rsid w:val="004930E0"/>
    <w:rsid w:val="004967DA"/>
    <w:rsid w:val="004A11B8"/>
    <w:rsid w:val="004A2B4F"/>
    <w:rsid w:val="004A41B8"/>
    <w:rsid w:val="004A6596"/>
    <w:rsid w:val="004A7ED0"/>
    <w:rsid w:val="004B01DC"/>
    <w:rsid w:val="004B09D8"/>
    <w:rsid w:val="004B3660"/>
    <w:rsid w:val="004B42C6"/>
    <w:rsid w:val="004B4E67"/>
    <w:rsid w:val="004B58B4"/>
    <w:rsid w:val="004B7913"/>
    <w:rsid w:val="004B7CD4"/>
    <w:rsid w:val="004C1A76"/>
    <w:rsid w:val="004C2D18"/>
    <w:rsid w:val="004C37F4"/>
    <w:rsid w:val="004C3CC5"/>
    <w:rsid w:val="004C7D92"/>
    <w:rsid w:val="004D17B5"/>
    <w:rsid w:val="004D1CAF"/>
    <w:rsid w:val="004D1D4C"/>
    <w:rsid w:val="004D438D"/>
    <w:rsid w:val="004D6AA0"/>
    <w:rsid w:val="004D6EA3"/>
    <w:rsid w:val="004E095F"/>
    <w:rsid w:val="004E0ADC"/>
    <w:rsid w:val="004E0DC1"/>
    <w:rsid w:val="004E1DBF"/>
    <w:rsid w:val="004E2AF2"/>
    <w:rsid w:val="004E2BA2"/>
    <w:rsid w:val="004E3934"/>
    <w:rsid w:val="004E4ECE"/>
    <w:rsid w:val="004E55B9"/>
    <w:rsid w:val="004E7C5E"/>
    <w:rsid w:val="004F02CB"/>
    <w:rsid w:val="004F053A"/>
    <w:rsid w:val="004F2BA1"/>
    <w:rsid w:val="004F6640"/>
    <w:rsid w:val="00500EB1"/>
    <w:rsid w:val="00502229"/>
    <w:rsid w:val="005023EE"/>
    <w:rsid w:val="00506595"/>
    <w:rsid w:val="005112AC"/>
    <w:rsid w:val="00512F35"/>
    <w:rsid w:val="00516884"/>
    <w:rsid w:val="0051796C"/>
    <w:rsid w:val="00520D04"/>
    <w:rsid w:val="0052149F"/>
    <w:rsid w:val="005234C2"/>
    <w:rsid w:val="00523933"/>
    <w:rsid w:val="00524715"/>
    <w:rsid w:val="005275DB"/>
    <w:rsid w:val="00531E0F"/>
    <w:rsid w:val="00531EE8"/>
    <w:rsid w:val="00534655"/>
    <w:rsid w:val="00535D9F"/>
    <w:rsid w:val="0053654A"/>
    <w:rsid w:val="005365A9"/>
    <w:rsid w:val="00536D3A"/>
    <w:rsid w:val="005379D8"/>
    <w:rsid w:val="0054439D"/>
    <w:rsid w:val="005455D7"/>
    <w:rsid w:val="00545ACC"/>
    <w:rsid w:val="0054613F"/>
    <w:rsid w:val="00546F02"/>
    <w:rsid w:val="00547477"/>
    <w:rsid w:val="00550637"/>
    <w:rsid w:val="00551E54"/>
    <w:rsid w:val="00552A5B"/>
    <w:rsid w:val="0055493D"/>
    <w:rsid w:val="00555666"/>
    <w:rsid w:val="0055769A"/>
    <w:rsid w:val="005603D7"/>
    <w:rsid w:val="00560776"/>
    <w:rsid w:val="005651F2"/>
    <w:rsid w:val="00566BF2"/>
    <w:rsid w:val="00567FBF"/>
    <w:rsid w:val="0057009F"/>
    <w:rsid w:val="00575EC8"/>
    <w:rsid w:val="005770E1"/>
    <w:rsid w:val="00585C10"/>
    <w:rsid w:val="00585D18"/>
    <w:rsid w:val="005876D8"/>
    <w:rsid w:val="00590091"/>
    <w:rsid w:val="0059168E"/>
    <w:rsid w:val="00591E80"/>
    <w:rsid w:val="00592523"/>
    <w:rsid w:val="0059553F"/>
    <w:rsid w:val="005A0985"/>
    <w:rsid w:val="005A0C33"/>
    <w:rsid w:val="005A17B6"/>
    <w:rsid w:val="005A2897"/>
    <w:rsid w:val="005A6B6C"/>
    <w:rsid w:val="005B0EA2"/>
    <w:rsid w:val="005B3818"/>
    <w:rsid w:val="005B52B1"/>
    <w:rsid w:val="005C08FA"/>
    <w:rsid w:val="005C0E52"/>
    <w:rsid w:val="005C10F2"/>
    <w:rsid w:val="005C1831"/>
    <w:rsid w:val="005C3E17"/>
    <w:rsid w:val="005D1258"/>
    <w:rsid w:val="005D72BC"/>
    <w:rsid w:val="005E0927"/>
    <w:rsid w:val="005E0EB8"/>
    <w:rsid w:val="005E290B"/>
    <w:rsid w:val="005E61DB"/>
    <w:rsid w:val="005F14FD"/>
    <w:rsid w:val="005F16CD"/>
    <w:rsid w:val="005F267A"/>
    <w:rsid w:val="005F28F4"/>
    <w:rsid w:val="005F3424"/>
    <w:rsid w:val="005F39AC"/>
    <w:rsid w:val="00600642"/>
    <w:rsid w:val="00600F89"/>
    <w:rsid w:val="00605136"/>
    <w:rsid w:val="006063A3"/>
    <w:rsid w:val="0060753A"/>
    <w:rsid w:val="00607991"/>
    <w:rsid w:val="00610DCC"/>
    <w:rsid w:val="006120A9"/>
    <w:rsid w:val="00612C9E"/>
    <w:rsid w:val="00614B06"/>
    <w:rsid w:val="00614DE1"/>
    <w:rsid w:val="006169D0"/>
    <w:rsid w:val="00616C8F"/>
    <w:rsid w:val="00616EAA"/>
    <w:rsid w:val="0061768C"/>
    <w:rsid w:val="00621870"/>
    <w:rsid w:val="00626234"/>
    <w:rsid w:val="00626402"/>
    <w:rsid w:val="00627813"/>
    <w:rsid w:val="00633FA7"/>
    <w:rsid w:val="006426B9"/>
    <w:rsid w:val="00643045"/>
    <w:rsid w:val="00645C78"/>
    <w:rsid w:val="00646470"/>
    <w:rsid w:val="00646570"/>
    <w:rsid w:val="00650EC4"/>
    <w:rsid w:val="00652426"/>
    <w:rsid w:val="00653F99"/>
    <w:rsid w:val="0065519A"/>
    <w:rsid w:val="0065793E"/>
    <w:rsid w:val="00661B2B"/>
    <w:rsid w:val="00662776"/>
    <w:rsid w:val="006666FB"/>
    <w:rsid w:val="0066748C"/>
    <w:rsid w:val="00667F67"/>
    <w:rsid w:val="00670889"/>
    <w:rsid w:val="006708E4"/>
    <w:rsid w:val="00670BD0"/>
    <w:rsid w:val="006733AC"/>
    <w:rsid w:val="006762E2"/>
    <w:rsid w:val="00677EB4"/>
    <w:rsid w:val="00680F34"/>
    <w:rsid w:val="006815B2"/>
    <w:rsid w:val="00682060"/>
    <w:rsid w:val="006825D3"/>
    <w:rsid w:val="006826F0"/>
    <w:rsid w:val="00682AC8"/>
    <w:rsid w:val="0068510B"/>
    <w:rsid w:val="00687E71"/>
    <w:rsid w:val="00690343"/>
    <w:rsid w:val="006959B9"/>
    <w:rsid w:val="006A0C8E"/>
    <w:rsid w:val="006A43FF"/>
    <w:rsid w:val="006A45A1"/>
    <w:rsid w:val="006A4E33"/>
    <w:rsid w:val="006A6109"/>
    <w:rsid w:val="006A6791"/>
    <w:rsid w:val="006A7FB3"/>
    <w:rsid w:val="006A7FB6"/>
    <w:rsid w:val="006B1F57"/>
    <w:rsid w:val="006B23CA"/>
    <w:rsid w:val="006B3179"/>
    <w:rsid w:val="006B3693"/>
    <w:rsid w:val="006B43B6"/>
    <w:rsid w:val="006B6634"/>
    <w:rsid w:val="006B6F99"/>
    <w:rsid w:val="006B728F"/>
    <w:rsid w:val="006B7390"/>
    <w:rsid w:val="006B73C5"/>
    <w:rsid w:val="006B791C"/>
    <w:rsid w:val="006C2177"/>
    <w:rsid w:val="006C34E1"/>
    <w:rsid w:val="006C434D"/>
    <w:rsid w:val="006C5DBB"/>
    <w:rsid w:val="006D46D7"/>
    <w:rsid w:val="006D4D1C"/>
    <w:rsid w:val="006D4E10"/>
    <w:rsid w:val="006D539E"/>
    <w:rsid w:val="006D7AEE"/>
    <w:rsid w:val="006E08D1"/>
    <w:rsid w:val="006E0F4A"/>
    <w:rsid w:val="006E1B6F"/>
    <w:rsid w:val="006E280B"/>
    <w:rsid w:val="006E3610"/>
    <w:rsid w:val="006E3819"/>
    <w:rsid w:val="006E3977"/>
    <w:rsid w:val="006E3EA3"/>
    <w:rsid w:val="006E5673"/>
    <w:rsid w:val="006E57C3"/>
    <w:rsid w:val="006E6C7E"/>
    <w:rsid w:val="006F19FC"/>
    <w:rsid w:val="006F3A7D"/>
    <w:rsid w:val="006F6F4D"/>
    <w:rsid w:val="006F72D9"/>
    <w:rsid w:val="00700B4C"/>
    <w:rsid w:val="00706597"/>
    <w:rsid w:val="00706A8F"/>
    <w:rsid w:val="00707B59"/>
    <w:rsid w:val="007111A3"/>
    <w:rsid w:val="0071161C"/>
    <w:rsid w:val="007142A8"/>
    <w:rsid w:val="0071601D"/>
    <w:rsid w:val="00716115"/>
    <w:rsid w:val="00721582"/>
    <w:rsid w:val="007236E6"/>
    <w:rsid w:val="0072427E"/>
    <w:rsid w:val="007252FD"/>
    <w:rsid w:val="00730609"/>
    <w:rsid w:val="00731DA2"/>
    <w:rsid w:val="0073276D"/>
    <w:rsid w:val="00734122"/>
    <w:rsid w:val="00737F15"/>
    <w:rsid w:val="0074082A"/>
    <w:rsid w:val="007423F5"/>
    <w:rsid w:val="00742877"/>
    <w:rsid w:val="0074393D"/>
    <w:rsid w:val="00743991"/>
    <w:rsid w:val="00746AD4"/>
    <w:rsid w:val="0075032B"/>
    <w:rsid w:val="007515C4"/>
    <w:rsid w:val="007540CC"/>
    <w:rsid w:val="00754DC3"/>
    <w:rsid w:val="00755A08"/>
    <w:rsid w:val="00756231"/>
    <w:rsid w:val="00757287"/>
    <w:rsid w:val="00757D3C"/>
    <w:rsid w:val="00762466"/>
    <w:rsid w:val="00764146"/>
    <w:rsid w:val="007646F7"/>
    <w:rsid w:val="007663CC"/>
    <w:rsid w:val="00766C89"/>
    <w:rsid w:val="007673B6"/>
    <w:rsid w:val="007707AA"/>
    <w:rsid w:val="007708E0"/>
    <w:rsid w:val="00773B5E"/>
    <w:rsid w:val="00774962"/>
    <w:rsid w:val="00780DCA"/>
    <w:rsid w:val="007818C9"/>
    <w:rsid w:val="00781BFC"/>
    <w:rsid w:val="00782920"/>
    <w:rsid w:val="00785978"/>
    <w:rsid w:val="007865E1"/>
    <w:rsid w:val="007866F2"/>
    <w:rsid w:val="007935DE"/>
    <w:rsid w:val="007A009E"/>
    <w:rsid w:val="007A01F7"/>
    <w:rsid w:val="007A0AD8"/>
    <w:rsid w:val="007A0F8C"/>
    <w:rsid w:val="007A13C0"/>
    <w:rsid w:val="007A4490"/>
    <w:rsid w:val="007A4F56"/>
    <w:rsid w:val="007A7069"/>
    <w:rsid w:val="007A70D1"/>
    <w:rsid w:val="007A7526"/>
    <w:rsid w:val="007B14A8"/>
    <w:rsid w:val="007B283B"/>
    <w:rsid w:val="007B2F12"/>
    <w:rsid w:val="007B6900"/>
    <w:rsid w:val="007B7884"/>
    <w:rsid w:val="007C0294"/>
    <w:rsid w:val="007C12CC"/>
    <w:rsid w:val="007C3B0F"/>
    <w:rsid w:val="007C563E"/>
    <w:rsid w:val="007C6221"/>
    <w:rsid w:val="007C7B57"/>
    <w:rsid w:val="007D425A"/>
    <w:rsid w:val="007D5A19"/>
    <w:rsid w:val="007E193D"/>
    <w:rsid w:val="007E31A6"/>
    <w:rsid w:val="007E37B8"/>
    <w:rsid w:val="007E4F90"/>
    <w:rsid w:val="007E74AD"/>
    <w:rsid w:val="007E79B1"/>
    <w:rsid w:val="007F00ED"/>
    <w:rsid w:val="007F5FAD"/>
    <w:rsid w:val="007F620C"/>
    <w:rsid w:val="008004E8"/>
    <w:rsid w:val="00801B05"/>
    <w:rsid w:val="008025D3"/>
    <w:rsid w:val="00807A32"/>
    <w:rsid w:val="00807BB1"/>
    <w:rsid w:val="008102C8"/>
    <w:rsid w:val="00811C72"/>
    <w:rsid w:val="008127C3"/>
    <w:rsid w:val="00813B77"/>
    <w:rsid w:val="0081715B"/>
    <w:rsid w:val="00817D26"/>
    <w:rsid w:val="00821A14"/>
    <w:rsid w:val="0082398E"/>
    <w:rsid w:val="008266FA"/>
    <w:rsid w:val="00830484"/>
    <w:rsid w:val="00830A98"/>
    <w:rsid w:val="00831330"/>
    <w:rsid w:val="00831AF4"/>
    <w:rsid w:val="008373DB"/>
    <w:rsid w:val="00840D1C"/>
    <w:rsid w:val="00841CA6"/>
    <w:rsid w:val="00845524"/>
    <w:rsid w:val="00847236"/>
    <w:rsid w:val="008510BC"/>
    <w:rsid w:val="00851335"/>
    <w:rsid w:val="00851D92"/>
    <w:rsid w:val="00852E08"/>
    <w:rsid w:val="0085350D"/>
    <w:rsid w:val="00857EA5"/>
    <w:rsid w:val="0086159E"/>
    <w:rsid w:val="00870635"/>
    <w:rsid w:val="0087069A"/>
    <w:rsid w:val="0087135D"/>
    <w:rsid w:val="00871E09"/>
    <w:rsid w:val="00874451"/>
    <w:rsid w:val="00875714"/>
    <w:rsid w:val="008834FA"/>
    <w:rsid w:val="008836C9"/>
    <w:rsid w:val="00887A37"/>
    <w:rsid w:val="008944AF"/>
    <w:rsid w:val="0089587E"/>
    <w:rsid w:val="008970D5"/>
    <w:rsid w:val="008A1DE0"/>
    <w:rsid w:val="008A4078"/>
    <w:rsid w:val="008B0085"/>
    <w:rsid w:val="008B14A9"/>
    <w:rsid w:val="008B2B51"/>
    <w:rsid w:val="008B346E"/>
    <w:rsid w:val="008B4983"/>
    <w:rsid w:val="008B4E2A"/>
    <w:rsid w:val="008B5136"/>
    <w:rsid w:val="008B68FD"/>
    <w:rsid w:val="008B6F04"/>
    <w:rsid w:val="008C2E09"/>
    <w:rsid w:val="008C32D0"/>
    <w:rsid w:val="008C3677"/>
    <w:rsid w:val="008C3970"/>
    <w:rsid w:val="008C48F8"/>
    <w:rsid w:val="008D119C"/>
    <w:rsid w:val="008D3C61"/>
    <w:rsid w:val="008D6485"/>
    <w:rsid w:val="008D706D"/>
    <w:rsid w:val="008E1ADA"/>
    <w:rsid w:val="008E1C35"/>
    <w:rsid w:val="008E2427"/>
    <w:rsid w:val="008E46ED"/>
    <w:rsid w:val="008E512D"/>
    <w:rsid w:val="008E5891"/>
    <w:rsid w:val="008E5F09"/>
    <w:rsid w:val="008F0521"/>
    <w:rsid w:val="008F1DDA"/>
    <w:rsid w:val="008F39B8"/>
    <w:rsid w:val="00901748"/>
    <w:rsid w:val="009018E5"/>
    <w:rsid w:val="00901C1E"/>
    <w:rsid w:val="00902CF4"/>
    <w:rsid w:val="0090478A"/>
    <w:rsid w:val="009056D3"/>
    <w:rsid w:val="00905841"/>
    <w:rsid w:val="00907D77"/>
    <w:rsid w:val="00910A2F"/>
    <w:rsid w:val="00910F99"/>
    <w:rsid w:val="00914672"/>
    <w:rsid w:val="00916557"/>
    <w:rsid w:val="0092358B"/>
    <w:rsid w:val="009235E0"/>
    <w:rsid w:val="00924A8B"/>
    <w:rsid w:val="0092510C"/>
    <w:rsid w:val="0092521F"/>
    <w:rsid w:val="009252F3"/>
    <w:rsid w:val="00925562"/>
    <w:rsid w:val="00926E97"/>
    <w:rsid w:val="0092700A"/>
    <w:rsid w:val="00927144"/>
    <w:rsid w:val="009306D2"/>
    <w:rsid w:val="00933D99"/>
    <w:rsid w:val="009346ED"/>
    <w:rsid w:val="00935053"/>
    <w:rsid w:val="00937409"/>
    <w:rsid w:val="0093790A"/>
    <w:rsid w:val="00944D9B"/>
    <w:rsid w:val="00945A9B"/>
    <w:rsid w:val="00951290"/>
    <w:rsid w:val="009526AF"/>
    <w:rsid w:val="00952B22"/>
    <w:rsid w:val="009618EC"/>
    <w:rsid w:val="00961BBD"/>
    <w:rsid w:val="00962822"/>
    <w:rsid w:val="0096295D"/>
    <w:rsid w:val="00964479"/>
    <w:rsid w:val="00965FE0"/>
    <w:rsid w:val="0097195D"/>
    <w:rsid w:val="009721A4"/>
    <w:rsid w:val="009725F0"/>
    <w:rsid w:val="009752EE"/>
    <w:rsid w:val="00975602"/>
    <w:rsid w:val="00982994"/>
    <w:rsid w:val="00985EEB"/>
    <w:rsid w:val="0098675D"/>
    <w:rsid w:val="00990E2B"/>
    <w:rsid w:val="009923EB"/>
    <w:rsid w:val="0099514C"/>
    <w:rsid w:val="00996CE3"/>
    <w:rsid w:val="009A07C7"/>
    <w:rsid w:val="009A0958"/>
    <w:rsid w:val="009A1FE1"/>
    <w:rsid w:val="009A2DED"/>
    <w:rsid w:val="009A4BD5"/>
    <w:rsid w:val="009A5259"/>
    <w:rsid w:val="009A5F98"/>
    <w:rsid w:val="009A6CC8"/>
    <w:rsid w:val="009B00DA"/>
    <w:rsid w:val="009C17E0"/>
    <w:rsid w:val="009C21A8"/>
    <w:rsid w:val="009C457C"/>
    <w:rsid w:val="009C4B87"/>
    <w:rsid w:val="009D004A"/>
    <w:rsid w:val="009D0197"/>
    <w:rsid w:val="009D19AE"/>
    <w:rsid w:val="009D2805"/>
    <w:rsid w:val="009D3609"/>
    <w:rsid w:val="009D58BC"/>
    <w:rsid w:val="009D6957"/>
    <w:rsid w:val="009D73DB"/>
    <w:rsid w:val="009D7994"/>
    <w:rsid w:val="009E3963"/>
    <w:rsid w:val="009E46B1"/>
    <w:rsid w:val="009E7AD9"/>
    <w:rsid w:val="009F1992"/>
    <w:rsid w:val="009F1FFE"/>
    <w:rsid w:val="009F31B2"/>
    <w:rsid w:val="009F42E4"/>
    <w:rsid w:val="009F60DF"/>
    <w:rsid w:val="00A02373"/>
    <w:rsid w:val="00A0366E"/>
    <w:rsid w:val="00A04DCF"/>
    <w:rsid w:val="00A066BF"/>
    <w:rsid w:val="00A075EF"/>
    <w:rsid w:val="00A07CEB"/>
    <w:rsid w:val="00A100BF"/>
    <w:rsid w:val="00A1253B"/>
    <w:rsid w:val="00A130E7"/>
    <w:rsid w:val="00A17860"/>
    <w:rsid w:val="00A17FC8"/>
    <w:rsid w:val="00A21609"/>
    <w:rsid w:val="00A2174B"/>
    <w:rsid w:val="00A25B97"/>
    <w:rsid w:val="00A3179E"/>
    <w:rsid w:val="00A33051"/>
    <w:rsid w:val="00A331CA"/>
    <w:rsid w:val="00A33805"/>
    <w:rsid w:val="00A34DB9"/>
    <w:rsid w:val="00A3546D"/>
    <w:rsid w:val="00A35DEB"/>
    <w:rsid w:val="00A365D7"/>
    <w:rsid w:val="00A36E24"/>
    <w:rsid w:val="00A3731C"/>
    <w:rsid w:val="00A3757E"/>
    <w:rsid w:val="00A40262"/>
    <w:rsid w:val="00A40BCF"/>
    <w:rsid w:val="00A42A70"/>
    <w:rsid w:val="00A450A0"/>
    <w:rsid w:val="00A46D08"/>
    <w:rsid w:val="00A47CB3"/>
    <w:rsid w:val="00A51A79"/>
    <w:rsid w:val="00A5291B"/>
    <w:rsid w:val="00A53021"/>
    <w:rsid w:val="00A545EE"/>
    <w:rsid w:val="00A55909"/>
    <w:rsid w:val="00A605DD"/>
    <w:rsid w:val="00A6155A"/>
    <w:rsid w:val="00A65E47"/>
    <w:rsid w:val="00A67908"/>
    <w:rsid w:val="00A708C8"/>
    <w:rsid w:val="00A71F21"/>
    <w:rsid w:val="00A71F44"/>
    <w:rsid w:val="00A737B7"/>
    <w:rsid w:val="00A74034"/>
    <w:rsid w:val="00A77774"/>
    <w:rsid w:val="00A80B2E"/>
    <w:rsid w:val="00A8489E"/>
    <w:rsid w:val="00A85309"/>
    <w:rsid w:val="00A858C3"/>
    <w:rsid w:val="00A86488"/>
    <w:rsid w:val="00A86A21"/>
    <w:rsid w:val="00A87F68"/>
    <w:rsid w:val="00A94B75"/>
    <w:rsid w:val="00A97EBF"/>
    <w:rsid w:val="00AA04F9"/>
    <w:rsid w:val="00AA13B3"/>
    <w:rsid w:val="00AA2E6B"/>
    <w:rsid w:val="00AA551C"/>
    <w:rsid w:val="00AB1442"/>
    <w:rsid w:val="00AB56FB"/>
    <w:rsid w:val="00AB6EB6"/>
    <w:rsid w:val="00AB7755"/>
    <w:rsid w:val="00AC25B3"/>
    <w:rsid w:val="00AC301A"/>
    <w:rsid w:val="00AC3246"/>
    <w:rsid w:val="00AC3317"/>
    <w:rsid w:val="00AC35D7"/>
    <w:rsid w:val="00AC5C1B"/>
    <w:rsid w:val="00AC611F"/>
    <w:rsid w:val="00AC6B73"/>
    <w:rsid w:val="00AC6F1A"/>
    <w:rsid w:val="00AC7F17"/>
    <w:rsid w:val="00AD192B"/>
    <w:rsid w:val="00AD2B1E"/>
    <w:rsid w:val="00AD438F"/>
    <w:rsid w:val="00AD7006"/>
    <w:rsid w:val="00AD7780"/>
    <w:rsid w:val="00AE02D5"/>
    <w:rsid w:val="00AE0937"/>
    <w:rsid w:val="00AE0A4F"/>
    <w:rsid w:val="00AE2347"/>
    <w:rsid w:val="00AE32A1"/>
    <w:rsid w:val="00AE4129"/>
    <w:rsid w:val="00AE529B"/>
    <w:rsid w:val="00AE6F79"/>
    <w:rsid w:val="00AF02AD"/>
    <w:rsid w:val="00AF0EB1"/>
    <w:rsid w:val="00AF3D19"/>
    <w:rsid w:val="00AF7313"/>
    <w:rsid w:val="00AF77AF"/>
    <w:rsid w:val="00B00AA8"/>
    <w:rsid w:val="00B01D46"/>
    <w:rsid w:val="00B03325"/>
    <w:rsid w:val="00B03F3C"/>
    <w:rsid w:val="00B04E09"/>
    <w:rsid w:val="00B05431"/>
    <w:rsid w:val="00B06E7A"/>
    <w:rsid w:val="00B154C8"/>
    <w:rsid w:val="00B21AC2"/>
    <w:rsid w:val="00B21BC8"/>
    <w:rsid w:val="00B22D90"/>
    <w:rsid w:val="00B26143"/>
    <w:rsid w:val="00B26B85"/>
    <w:rsid w:val="00B27316"/>
    <w:rsid w:val="00B329DF"/>
    <w:rsid w:val="00B32CF4"/>
    <w:rsid w:val="00B34A5D"/>
    <w:rsid w:val="00B361A5"/>
    <w:rsid w:val="00B36583"/>
    <w:rsid w:val="00B372DE"/>
    <w:rsid w:val="00B37AFF"/>
    <w:rsid w:val="00B418E9"/>
    <w:rsid w:val="00B4292D"/>
    <w:rsid w:val="00B42D14"/>
    <w:rsid w:val="00B54429"/>
    <w:rsid w:val="00B54988"/>
    <w:rsid w:val="00B5583D"/>
    <w:rsid w:val="00B57119"/>
    <w:rsid w:val="00B60727"/>
    <w:rsid w:val="00B608FA"/>
    <w:rsid w:val="00B60C3D"/>
    <w:rsid w:val="00B64DE9"/>
    <w:rsid w:val="00B65206"/>
    <w:rsid w:val="00B66D3D"/>
    <w:rsid w:val="00B71560"/>
    <w:rsid w:val="00B71E95"/>
    <w:rsid w:val="00B75841"/>
    <w:rsid w:val="00B7599E"/>
    <w:rsid w:val="00B76C82"/>
    <w:rsid w:val="00B80DFC"/>
    <w:rsid w:val="00B80EDE"/>
    <w:rsid w:val="00B84254"/>
    <w:rsid w:val="00B859B8"/>
    <w:rsid w:val="00B87988"/>
    <w:rsid w:val="00B87B37"/>
    <w:rsid w:val="00B90574"/>
    <w:rsid w:val="00B90CBD"/>
    <w:rsid w:val="00B92E98"/>
    <w:rsid w:val="00B9529C"/>
    <w:rsid w:val="00B9543F"/>
    <w:rsid w:val="00B9553B"/>
    <w:rsid w:val="00BA3397"/>
    <w:rsid w:val="00BA597F"/>
    <w:rsid w:val="00BA7DC3"/>
    <w:rsid w:val="00BB1E29"/>
    <w:rsid w:val="00BB3ECA"/>
    <w:rsid w:val="00BB471C"/>
    <w:rsid w:val="00BB5D41"/>
    <w:rsid w:val="00BB61E6"/>
    <w:rsid w:val="00BB6415"/>
    <w:rsid w:val="00BB767C"/>
    <w:rsid w:val="00BC1890"/>
    <w:rsid w:val="00BC229A"/>
    <w:rsid w:val="00BC5C4C"/>
    <w:rsid w:val="00BC5CF2"/>
    <w:rsid w:val="00BC6B83"/>
    <w:rsid w:val="00BC6DAD"/>
    <w:rsid w:val="00BD2189"/>
    <w:rsid w:val="00BD40F4"/>
    <w:rsid w:val="00BD7565"/>
    <w:rsid w:val="00BE174B"/>
    <w:rsid w:val="00BE3E6D"/>
    <w:rsid w:val="00BE53FC"/>
    <w:rsid w:val="00BF0B98"/>
    <w:rsid w:val="00BF3D62"/>
    <w:rsid w:val="00BF5678"/>
    <w:rsid w:val="00BF6518"/>
    <w:rsid w:val="00BF7FC6"/>
    <w:rsid w:val="00C01DA2"/>
    <w:rsid w:val="00C032E8"/>
    <w:rsid w:val="00C03FE1"/>
    <w:rsid w:val="00C048B1"/>
    <w:rsid w:val="00C0539B"/>
    <w:rsid w:val="00C056EE"/>
    <w:rsid w:val="00C05C8D"/>
    <w:rsid w:val="00C117A2"/>
    <w:rsid w:val="00C12C73"/>
    <w:rsid w:val="00C15341"/>
    <w:rsid w:val="00C20E1F"/>
    <w:rsid w:val="00C215E3"/>
    <w:rsid w:val="00C23C3E"/>
    <w:rsid w:val="00C2419F"/>
    <w:rsid w:val="00C37429"/>
    <w:rsid w:val="00C37F16"/>
    <w:rsid w:val="00C37F6C"/>
    <w:rsid w:val="00C411E5"/>
    <w:rsid w:val="00C45262"/>
    <w:rsid w:val="00C452B7"/>
    <w:rsid w:val="00C45A12"/>
    <w:rsid w:val="00C468E2"/>
    <w:rsid w:val="00C46DC8"/>
    <w:rsid w:val="00C51F56"/>
    <w:rsid w:val="00C53837"/>
    <w:rsid w:val="00C53BA5"/>
    <w:rsid w:val="00C53E7F"/>
    <w:rsid w:val="00C53F5E"/>
    <w:rsid w:val="00C54DE0"/>
    <w:rsid w:val="00C56C4B"/>
    <w:rsid w:val="00C60BB5"/>
    <w:rsid w:val="00C62FBC"/>
    <w:rsid w:val="00C630C0"/>
    <w:rsid w:val="00C6392C"/>
    <w:rsid w:val="00C6488F"/>
    <w:rsid w:val="00C65FAA"/>
    <w:rsid w:val="00C66DF8"/>
    <w:rsid w:val="00C7317A"/>
    <w:rsid w:val="00C74A60"/>
    <w:rsid w:val="00C77B4B"/>
    <w:rsid w:val="00C77FD7"/>
    <w:rsid w:val="00C81ECD"/>
    <w:rsid w:val="00C84EF2"/>
    <w:rsid w:val="00C8530A"/>
    <w:rsid w:val="00C87CFF"/>
    <w:rsid w:val="00C87FE2"/>
    <w:rsid w:val="00C91EEF"/>
    <w:rsid w:val="00C92B04"/>
    <w:rsid w:val="00C93302"/>
    <w:rsid w:val="00C96476"/>
    <w:rsid w:val="00C966E5"/>
    <w:rsid w:val="00C97D01"/>
    <w:rsid w:val="00CA1862"/>
    <w:rsid w:val="00CA5271"/>
    <w:rsid w:val="00CB126E"/>
    <w:rsid w:val="00CB13F3"/>
    <w:rsid w:val="00CB53CC"/>
    <w:rsid w:val="00CB693C"/>
    <w:rsid w:val="00CC02B6"/>
    <w:rsid w:val="00CC0515"/>
    <w:rsid w:val="00CC1EDA"/>
    <w:rsid w:val="00CC218A"/>
    <w:rsid w:val="00CC4394"/>
    <w:rsid w:val="00CC44AE"/>
    <w:rsid w:val="00CC5556"/>
    <w:rsid w:val="00CC5671"/>
    <w:rsid w:val="00CC68F4"/>
    <w:rsid w:val="00CC776E"/>
    <w:rsid w:val="00CD1251"/>
    <w:rsid w:val="00CD1CF7"/>
    <w:rsid w:val="00CD1E58"/>
    <w:rsid w:val="00CD3365"/>
    <w:rsid w:val="00CD471E"/>
    <w:rsid w:val="00CD482D"/>
    <w:rsid w:val="00CD525B"/>
    <w:rsid w:val="00CD7A14"/>
    <w:rsid w:val="00CE0273"/>
    <w:rsid w:val="00CE2FCF"/>
    <w:rsid w:val="00CE318F"/>
    <w:rsid w:val="00CE6C4B"/>
    <w:rsid w:val="00CE6DA4"/>
    <w:rsid w:val="00CF36D8"/>
    <w:rsid w:val="00CF46D5"/>
    <w:rsid w:val="00CF7ADB"/>
    <w:rsid w:val="00D0033D"/>
    <w:rsid w:val="00D006B0"/>
    <w:rsid w:val="00D00BE4"/>
    <w:rsid w:val="00D02560"/>
    <w:rsid w:val="00D04121"/>
    <w:rsid w:val="00D077B1"/>
    <w:rsid w:val="00D111BB"/>
    <w:rsid w:val="00D115B1"/>
    <w:rsid w:val="00D12409"/>
    <w:rsid w:val="00D155CF"/>
    <w:rsid w:val="00D165BB"/>
    <w:rsid w:val="00D170E0"/>
    <w:rsid w:val="00D229F0"/>
    <w:rsid w:val="00D23291"/>
    <w:rsid w:val="00D24B67"/>
    <w:rsid w:val="00D25C54"/>
    <w:rsid w:val="00D3160B"/>
    <w:rsid w:val="00D32FD1"/>
    <w:rsid w:val="00D338D3"/>
    <w:rsid w:val="00D33F03"/>
    <w:rsid w:val="00D35ACB"/>
    <w:rsid w:val="00D360C6"/>
    <w:rsid w:val="00D365C0"/>
    <w:rsid w:val="00D40B48"/>
    <w:rsid w:val="00D42D0E"/>
    <w:rsid w:val="00D445DC"/>
    <w:rsid w:val="00D44DDC"/>
    <w:rsid w:val="00D45287"/>
    <w:rsid w:val="00D4573D"/>
    <w:rsid w:val="00D46EEB"/>
    <w:rsid w:val="00D475F2"/>
    <w:rsid w:val="00D4768A"/>
    <w:rsid w:val="00D5094C"/>
    <w:rsid w:val="00D519FF"/>
    <w:rsid w:val="00D5274E"/>
    <w:rsid w:val="00D53693"/>
    <w:rsid w:val="00D537A9"/>
    <w:rsid w:val="00D547AC"/>
    <w:rsid w:val="00D5490A"/>
    <w:rsid w:val="00D557A0"/>
    <w:rsid w:val="00D5644D"/>
    <w:rsid w:val="00D60A82"/>
    <w:rsid w:val="00D61169"/>
    <w:rsid w:val="00D61F43"/>
    <w:rsid w:val="00D63F07"/>
    <w:rsid w:val="00D664D5"/>
    <w:rsid w:val="00D66C0A"/>
    <w:rsid w:val="00D72E5B"/>
    <w:rsid w:val="00D745C3"/>
    <w:rsid w:val="00D76FB8"/>
    <w:rsid w:val="00D8053D"/>
    <w:rsid w:val="00D828CE"/>
    <w:rsid w:val="00D85C6B"/>
    <w:rsid w:val="00D90CAD"/>
    <w:rsid w:val="00D92A5C"/>
    <w:rsid w:val="00D93167"/>
    <w:rsid w:val="00D93747"/>
    <w:rsid w:val="00D93C60"/>
    <w:rsid w:val="00D93FCC"/>
    <w:rsid w:val="00D944F3"/>
    <w:rsid w:val="00DA1269"/>
    <w:rsid w:val="00DA2236"/>
    <w:rsid w:val="00DA2485"/>
    <w:rsid w:val="00DA3338"/>
    <w:rsid w:val="00DA4B9C"/>
    <w:rsid w:val="00DA4D00"/>
    <w:rsid w:val="00DB307A"/>
    <w:rsid w:val="00DB4DA3"/>
    <w:rsid w:val="00DB7FC5"/>
    <w:rsid w:val="00DC1D5F"/>
    <w:rsid w:val="00DC1FAD"/>
    <w:rsid w:val="00DC20F9"/>
    <w:rsid w:val="00DC56ED"/>
    <w:rsid w:val="00DC7F24"/>
    <w:rsid w:val="00DE28C4"/>
    <w:rsid w:val="00DE29A8"/>
    <w:rsid w:val="00DE4225"/>
    <w:rsid w:val="00DE7A57"/>
    <w:rsid w:val="00DE7C1A"/>
    <w:rsid w:val="00DE7D34"/>
    <w:rsid w:val="00DF1747"/>
    <w:rsid w:val="00DF43EA"/>
    <w:rsid w:val="00DF5FB1"/>
    <w:rsid w:val="00DF7126"/>
    <w:rsid w:val="00DF781B"/>
    <w:rsid w:val="00DF79CE"/>
    <w:rsid w:val="00E009F3"/>
    <w:rsid w:val="00E00DDC"/>
    <w:rsid w:val="00E01FA7"/>
    <w:rsid w:val="00E0432C"/>
    <w:rsid w:val="00E048E5"/>
    <w:rsid w:val="00E07574"/>
    <w:rsid w:val="00E07B26"/>
    <w:rsid w:val="00E07F21"/>
    <w:rsid w:val="00E13FB6"/>
    <w:rsid w:val="00E1487A"/>
    <w:rsid w:val="00E16DAB"/>
    <w:rsid w:val="00E2006D"/>
    <w:rsid w:val="00E25815"/>
    <w:rsid w:val="00E26F1D"/>
    <w:rsid w:val="00E3140F"/>
    <w:rsid w:val="00E31A51"/>
    <w:rsid w:val="00E3275C"/>
    <w:rsid w:val="00E33021"/>
    <w:rsid w:val="00E33342"/>
    <w:rsid w:val="00E3344C"/>
    <w:rsid w:val="00E34F51"/>
    <w:rsid w:val="00E35CC1"/>
    <w:rsid w:val="00E42B06"/>
    <w:rsid w:val="00E43C88"/>
    <w:rsid w:val="00E45060"/>
    <w:rsid w:val="00E46C4D"/>
    <w:rsid w:val="00E47625"/>
    <w:rsid w:val="00E543F8"/>
    <w:rsid w:val="00E55DD8"/>
    <w:rsid w:val="00E57F4D"/>
    <w:rsid w:val="00E57FDC"/>
    <w:rsid w:val="00E600D2"/>
    <w:rsid w:val="00E60ED6"/>
    <w:rsid w:val="00E611C6"/>
    <w:rsid w:val="00E62037"/>
    <w:rsid w:val="00E65773"/>
    <w:rsid w:val="00E65A5A"/>
    <w:rsid w:val="00E6719F"/>
    <w:rsid w:val="00E72946"/>
    <w:rsid w:val="00E757E9"/>
    <w:rsid w:val="00E7593F"/>
    <w:rsid w:val="00E768F9"/>
    <w:rsid w:val="00E771B0"/>
    <w:rsid w:val="00E77F8A"/>
    <w:rsid w:val="00E826CD"/>
    <w:rsid w:val="00E829CB"/>
    <w:rsid w:val="00E8554D"/>
    <w:rsid w:val="00E859F8"/>
    <w:rsid w:val="00E87C9B"/>
    <w:rsid w:val="00E9018A"/>
    <w:rsid w:val="00E93090"/>
    <w:rsid w:val="00E93C34"/>
    <w:rsid w:val="00E9444E"/>
    <w:rsid w:val="00EA2BCA"/>
    <w:rsid w:val="00EA2C71"/>
    <w:rsid w:val="00EA32F0"/>
    <w:rsid w:val="00EA5EF4"/>
    <w:rsid w:val="00EA76A4"/>
    <w:rsid w:val="00EA7E56"/>
    <w:rsid w:val="00EB021E"/>
    <w:rsid w:val="00EB0C4B"/>
    <w:rsid w:val="00EB0E52"/>
    <w:rsid w:val="00EB122C"/>
    <w:rsid w:val="00EB1F77"/>
    <w:rsid w:val="00EB75E0"/>
    <w:rsid w:val="00EC20DB"/>
    <w:rsid w:val="00EC63A7"/>
    <w:rsid w:val="00ED0D35"/>
    <w:rsid w:val="00ED1E20"/>
    <w:rsid w:val="00ED2FB9"/>
    <w:rsid w:val="00ED41DC"/>
    <w:rsid w:val="00ED4D48"/>
    <w:rsid w:val="00ED67AF"/>
    <w:rsid w:val="00ED70B4"/>
    <w:rsid w:val="00EE2DA4"/>
    <w:rsid w:val="00EE4005"/>
    <w:rsid w:val="00EE40E0"/>
    <w:rsid w:val="00EE4C19"/>
    <w:rsid w:val="00EE60AA"/>
    <w:rsid w:val="00EE6812"/>
    <w:rsid w:val="00EF19BF"/>
    <w:rsid w:val="00EF1F0F"/>
    <w:rsid w:val="00EF23AC"/>
    <w:rsid w:val="00EF36DF"/>
    <w:rsid w:val="00EF65C0"/>
    <w:rsid w:val="00EF7534"/>
    <w:rsid w:val="00EF7B68"/>
    <w:rsid w:val="00F00972"/>
    <w:rsid w:val="00F03CD9"/>
    <w:rsid w:val="00F05511"/>
    <w:rsid w:val="00F066A8"/>
    <w:rsid w:val="00F06C75"/>
    <w:rsid w:val="00F0715F"/>
    <w:rsid w:val="00F071CD"/>
    <w:rsid w:val="00F10C7F"/>
    <w:rsid w:val="00F124CD"/>
    <w:rsid w:val="00F127FE"/>
    <w:rsid w:val="00F14DB7"/>
    <w:rsid w:val="00F14F6E"/>
    <w:rsid w:val="00F21086"/>
    <w:rsid w:val="00F22ED1"/>
    <w:rsid w:val="00F24866"/>
    <w:rsid w:val="00F30258"/>
    <w:rsid w:val="00F32B6C"/>
    <w:rsid w:val="00F407D9"/>
    <w:rsid w:val="00F41844"/>
    <w:rsid w:val="00F41E24"/>
    <w:rsid w:val="00F45A66"/>
    <w:rsid w:val="00F47A5A"/>
    <w:rsid w:val="00F504AD"/>
    <w:rsid w:val="00F5287A"/>
    <w:rsid w:val="00F54EDC"/>
    <w:rsid w:val="00F56479"/>
    <w:rsid w:val="00F57D79"/>
    <w:rsid w:val="00F60526"/>
    <w:rsid w:val="00F6130E"/>
    <w:rsid w:val="00F61EE2"/>
    <w:rsid w:val="00F65C61"/>
    <w:rsid w:val="00F66421"/>
    <w:rsid w:val="00F72551"/>
    <w:rsid w:val="00F748B8"/>
    <w:rsid w:val="00F75123"/>
    <w:rsid w:val="00F76090"/>
    <w:rsid w:val="00F80464"/>
    <w:rsid w:val="00F80B63"/>
    <w:rsid w:val="00F8342E"/>
    <w:rsid w:val="00F8456D"/>
    <w:rsid w:val="00F847C6"/>
    <w:rsid w:val="00F87CC2"/>
    <w:rsid w:val="00F9063F"/>
    <w:rsid w:val="00F90B81"/>
    <w:rsid w:val="00F912E2"/>
    <w:rsid w:val="00F91DD6"/>
    <w:rsid w:val="00F92C3A"/>
    <w:rsid w:val="00F9354F"/>
    <w:rsid w:val="00F9528D"/>
    <w:rsid w:val="00F96F2A"/>
    <w:rsid w:val="00F97818"/>
    <w:rsid w:val="00FA1933"/>
    <w:rsid w:val="00FA3012"/>
    <w:rsid w:val="00FB0E0E"/>
    <w:rsid w:val="00FB0EBD"/>
    <w:rsid w:val="00FB27E2"/>
    <w:rsid w:val="00FB2D03"/>
    <w:rsid w:val="00FB2DAC"/>
    <w:rsid w:val="00FB44B4"/>
    <w:rsid w:val="00FB44BC"/>
    <w:rsid w:val="00FB4F69"/>
    <w:rsid w:val="00FB73F4"/>
    <w:rsid w:val="00FB784C"/>
    <w:rsid w:val="00FC130B"/>
    <w:rsid w:val="00FC271A"/>
    <w:rsid w:val="00FC2891"/>
    <w:rsid w:val="00FC3252"/>
    <w:rsid w:val="00FC4A60"/>
    <w:rsid w:val="00FC532D"/>
    <w:rsid w:val="00FC53E1"/>
    <w:rsid w:val="00FD0FA7"/>
    <w:rsid w:val="00FD1B1A"/>
    <w:rsid w:val="00FD3C9B"/>
    <w:rsid w:val="00FD3D7B"/>
    <w:rsid w:val="00FD4076"/>
    <w:rsid w:val="00FD497E"/>
    <w:rsid w:val="00FE0B80"/>
    <w:rsid w:val="00FE21DA"/>
    <w:rsid w:val="00FE2D09"/>
    <w:rsid w:val="00FE37C0"/>
    <w:rsid w:val="00FE3B94"/>
    <w:rsid w:val="00FE3E44"/>
    <w:rsid w:val="00FE4E97"/>
    <w:rsid w:val="00FE5708"/>
    <w:rsid w:val="00FE5D7D"/>
    <w:rsid w:val="00FE7244"/>
    <w:rsid w:val="00FE75B5"/>
    <w:rsid w:val="00FF122E"/>
    <w:rsid w:val="00FF1DE6"/>
    <w:rsid w:val="00FF44B7"/>
    <w:rsid w:val="00FF45BF"/>
    <w:rsid w:val="00FF5CD6"/>
    <w:rsid w:val="00FF5E86"/>
    <w:rsid w:val="012C72F9"/>
    <w:rsid w:val="0157532F"/>
    <w:rsid w:val="01A378BA"/>
    <w:rsid w:val="01DE3B3A"/>
    <w:rsid w:val="01E46DD2"/>
    <w:rsid w:val="01EA06B4"/>
    <w:rsid w:val="02233590"/>
    <w:rsid w:val="02235280"/>
    <w:rsid w:val="026856F1"/>
    <w:rsid w:val="02E8306D"/>
    <w:rsid w:val="03724F8C"/>
    <w:rsid w:val="03932724"/>
    <w:rsid w:val="03CA7B53"/>
    <w:rsid w:val="03F84E28"/>
    <w:rsid w:val="04082AD7"/>
    <w:rsid w:val="04396BF3"/>
    <w:rsid w:val="045C0FA1"/>
    <w:rsid w:val="04994041"/>
    <w:rsid w:val="04BA465E"/>
    <w:rsid w:val="04D42960"/>
    <w:rsid w:val="04F9432E"/>
    <w:rsid w:val="0544679E"/>
    <w:rsid w:val="056C740B"/>
    <w:rsid w:val="058A3504"/>
    <w:rsid w:val="05C428BD"/>
    <w:rsid w:val="05CD356E"/>
    <w:rsid w:val="06452825"/>
    <w:rsid w:val="06717C57"/>
    <w:rsid w:val="069B7A22"/>
    <w:rsid w:val="06B238FA"/>
    <w:rsid w:val="06B9024C"/>
    <w:rsid w:val="06CE6A61"/>
    <w:rsid w:val="06D73361"/>
    <w:rsid w:val="06F26A84"/>
    <w:rsid w:val="06F459AE"/>
    <w:rsid w:val="077E2BF8"/>
    <w:rsid w:val="07A957C8"/>
    <w:rsid w:val="07B35B25"/>
    <w:rsid w:val="084E1123"/>
    <w:rsid w:val="087D379A"/>
    <w:rsid w:val="08B05D91"/>
    <w:rsid w:val="09141425"/>
    <w:rsid w:val="09145608"/>
    <w:rsid w:val="093C3EB9"/>
    <w:rsid w:val="09906774"/>
    <w:rsid w:val="09E64F0E"/>
    <w:rsid w:val="0A2400D3"/>
    <w:rsid w:val="0A2739B9"/>
    <w:rsid w:val="0A640A60"/>
    <w:rsid w:val="0A9F53FE"/>
    <w:rsid w:val="0AF1680A"/>
    <w:rsid w:val="0B1810BC"/>
    <w:rsid w:val="0B4B4DC7"/>
    <w:rsid w:val="0B88247C"/>
    <w:rsid w:val="0BC311BF"/>
    <w:rsid w:val="0BCB5EA8"/>
    <w:rsid w:val="0BF04982"/>
    <w:rsid w:val="0C06333C"/>
    <w:rsid w:val="0C413C87"/>
    <w:rsid w:val="0CC84B34"/>
    <w:rsid w:val="0CEF7F72"/>
    <w:rsid w:val="0D537D22"/>
    <w:rsid w:val="0D56446E"/>
    <w:rsid w:val="0D63273B"/>
    <w:rsid w:val="0D7B3E13"/>
    <w:rsid w:val="0E6516BD"/>
    <w:rsid w:val="0EDD68B5"/>
    <w:rsid w:val="0F1107CD"/>
    <w:rsid w:val="0F445666"/>
    <w:rsid w:val="0F6E2D33"/>
    <w:rsid w:val="0F7A2FA5"/>
    <w:rsid w:val="0F7C62EE"/>
    <w:rsid w:val="0FE14621"/>
    <w:rsid w:val="0FF7304E"/>
    <w:rsid w:val="10106711"/>
    <w:rsid w:val="102E5F51"/>
    <w:rsid w:val="10487264"/>
    <w:rsid w:val="107A6B0B"/>
    <w:rsid w:val="109C6786"/>
    <w:rsid w:val="10F07DEC"/>
    <w:rsid w:val="111B5972"/>
    <w:rsid w:val="11323CAC"/>
    <w:rsid w:val="114A755E"/>
    <w:rsid w:val="11527C58"/>
    <w:rsid w:val="11821D3D"/>
    <w:rsid w:val="11943A9B"/>
    <w:rsid w:val="11A829EF"/>
    <w:rsid w:val="12065538"/>
    <w:rsid w:val="12091822"/>
    <w:rsid w:val="123478B9"/>
    <w:rsid w:val="12493FCA"/>
    <w:rsid w:val="125D7CFC"/>
    <w:rsid w:val="12B5568B"/>
    <w:rsid w:val="12BF35C6"/>
    <w:rsid w:val="131B2782"/>
    <w:rsid w:val="132D6B13"/>
    <w:rsid w:val="13395CD5"/>
    <w:rsid w:val="13D166F4"/>
    <w:rsid w:val="13EB2640"/>
    <w:rsid w:val="140C26C4"/>
    <w:rsid w:val="142B2B94"/>
    <w:rsid w:val="145A6D0F"/>
    <w:rsid w:val="14700951"/>
    <w:rsid w:val="149620CC"/>
    <w:rsid w:val="15110F82"/>
    <w:rsid w:val="15207195"/>
    <w:rsid w:val="15415788"/>
    <w:rsid w:val="157B6D9D"/>
    <w:rsid w:val="158E3078"/>
    <w:rsid w:val="15B61CF7"/>
    <w:rsid w:val="160A431F"/>
    <w:rsid w:val="16463F81"/>
    <w:rsid w:val="168B745A"/>
    <w:rsid w:val="16AA0B8D"/>
    <w:rsid w:val="16E318B9"/>
    <w:rsid w:val="16F60DCC"/>
    <w:rsid w:val="171E6A9F"/>
    <w:rsid w:val="17235D3A"/>
    <w:rsid w:val="1756720A"/>
    <w:rsid w:val="176E561B"/>
    <w:rsid w:val="178302A6"/>
    <w:rsid w:val="17831D1D"/>
    <w:rsid w:val="17876FC0"/>
    <w:rsid w:val="17954DCE"/>
    <w:rsid w:val="18295BCE"/>
    <w:rsid w:val="186C1C55"/>
    <w:rsid w:val="18AB490E"/>
    <w:rsid w:val="18C15639"/>
    <w:rsid w:val="18C748B7"/>
    <w:rsid w:val="18D54036"/>
    <w:rsid w:val="18DC4D80"/>
    <w:rsid w:val="18FE6404"/>
    <w:rsid w:val="19261715"/>
    <w:rsid w:val="1977108C"/>
    <w:rsid w:val="198721A8"/>
    <w:rsid w:val="198757C9"/>
    <w:rsid w:val="198961D7"/>
    <w:rsid w:val="19C16A43"/>
    <w:rsid w:val="1A2767FD"/>
    <w:rsid w:val="1A7D7923"/>
    <w:rsid w:val="1AE147AC"/>
    <w:rsid w:val="1AEF6A85"/>
    <w:rsid w:val="1B161128"/>
    <w:rsid w:val="1B3E6DBA"/>
    <w:rsid w:val="1BCB5B2F"/>
    <w:rsid w:val="1BFF1D08"/>
    <w:rsid w:val="1C7034EE"/>
    <w:rsid w:val="1C89348B"/>
    <w:rsid w:val="1C911FA0"/>
    <w:rsid w:val="1CA13D9D"/>
    <w:rsid w:val="1CDB0F99"/>
    <w:rsid w:val="1CE108A9"/>
    <w:rsid w:val="1D4610E6"/>
    <w:rsid w:val="1D630079"/>
    <w:rsid w:val="1D880AB9"/>
    <w:rsid w:val="1DC435D6"/>
    <w:rsid w:val="1E0C3FCB"/>
    <w:rsid w:val="1E1B7769"/>
    <w:rsid w:val="1E212251"/>
    <w:rsid w:val="1E6E7FE9"/>
    <w:rsid w:val="1E721BDD"/>
    <w:rsid w:val="1E8D3973"/>
    <w:rsid w:val="1EC73863"/>
    <w:rsid w:val="1ED20D96"/>
    <w:rsid w:val="1FCE74B4"/>
    <w:rsid w:val="1FD639E8"/>
    <w:rsid w:val="1FDD77DD"/>
    <w:rsid w:val="200827EC"/>
    <w:rsid w:val="203033D2"/>
    <w:rsid w:val="20344F28"/>
    <w:rsid w:val="207421BF"/>
    <w:rsid w:val="207E2418"/>
    <w:rsid w:val="20DA0310"/>
    <w:rsid w:val="21020B82"/>
    <w:rsid w:val="21086499"/>
    <w:rsid w:val="21465BA4"/>
    <w:rsid w:val="214C62A1"/>
    <w:rsid w:val="21AA59A0"/>
    <w:rsid w:val="21E97317"/>
    <w:rsid w:val="21F81C7C"/>
    <w:rsid w:val="22166994"/>
    <w:rsid w:val="221967A5"/>
    <w:rsid w:val="22252FC1"/>
    <w:rsid w:val="22636C97"/>
    <w:rsid w:val="2294222A"/>
    <w:rsid w:val="231C68CD"/>
    <w:rsid w:val="23240C19"/>
    <w:rsid w:val="23433F37"/>
    <w:rsid w:val="2368007E"/>
    <w:rsid w:val="237155C0"/>
    <w:rsid w:val="23D762F6"/>
    <w:rsid w:val="23FF584D"/>
    <w:rsid w:val="2447128A"/>
    <w:rsid w:val="245B133E"/>
    <w:rsid w:val="245F4025"/>
    <w:rsid w:val="24917277"/>
    <w:rsid w:val="24B11C2B"/>
    <w:rsid w:val="24D740D4"/>
    <w:rsid w:val="24FD311E"/>
    <w:rsid w:val="251C743B"/>
    <w:rsid w:val="256A1B76"/>
    <w:rsid w:val="25E606F4"/>
    <w:rsid w:val="25FD6F74"/>
    <w:rsid w:val="262E2AA0"/>
    <w:rsid w:val="26B00448"/>
    <w:rsid w:val="26C6591E"/>
    <w:rsid w:val="26C80DBF"/>
    <w:rsid w:val="26E063A6"/>
    <w:rsid w:val="273A6691"/>
    <w:rsid w:val="27513E1A"/>
    <w:rsid w:val="280C709B"/>
    <w:rsid w:val="28412D97"/>
    <w:rsid w:val="285A12A4"/>
    <w:rsid w:val="285B0DD2"/>
    <w:rsid w:val="28BE1BBC"/>
    <w:rsid w:val="28E06CB8"/>
    <w:rsid w:val="29172BD5"/>
    <w:rsid w:val="29362931"/>
    <w:rsid w:val="294835A4"/>
    <w:rsid w:val="29880CB5"/>
    <w:rsid w:val="29951F3C"/>
    <w:rsid w:val="29BE7825"/>
    <w:rsid w:val="2A7118AB"/>
    <w:rsid w:val="2A8970EB"/>
    <w:rsid w:val="2AAA5B9B"/>
    <w:rsid w:val="2AD2678F"/>
    <w:rsid w:val="2B1C0AF0"/>
    <w:rsid w:val="2B986287"/>
    <w:rsid w:val="2BCF532D"/>
    <w:rsid w:val="2BD1345B"/>
    <w:rsid w:val="2BF2179A"/>
    <w:rsid w:val="2C121A74"/>
    <w:rsid w:val="2C397261"/>
    <w:rsid w:val="2C7B297A"/>
    <w:rsid w:val="2D775041"/>
    <w:rsid w:val="2D8B50ED"/>
    <w:rsid w:val="2DA50F4C"/>
    <w:rsid w:val="2DD63B1F"/>
    <w:rsid w:val="2DE17B7E"/>
    <w:rsid w:val="2E313537"/>
    <w:rsid w:val="2E7A1657"/>
    <w:rsid w:val="2E8E4543"/>
    <w:rsid w:val="2E930F7E"/>
    <w:rsid w:val="2E9B588C"/>
    <w:rsid w:val="2EFE4199"/>
    <w:rsid w:val="2F0038B4"/>
    <w:rsid w:val="2F5401AD"/>
    <w:rsid w:val="2FC2414B"/>
    <w:rsid w:val="2FCE1E53"/>
    <w:rsid w:val="2FFB5962"/>
    <w:rsid w:val="300223C5"/>
    <w:rsid w:val="301A19EB"/>
    <w:rsid w:val="302317E6"/>
    <w:rsid w:val="306B1A30"/>
    <w:rsid w:val="30874363"/>
    <w:rsid w:val="30F80930"/>
    <w:rsid w:val="31007530"/>
    <w:rsid w:val="31104E97"/>
    <w:rsid w:val="31305F5D"/>
    <w:rsid w:val="314463AF"/>
    <w:rsid w:val="319A14C2"/>
    <w:rsid w:val="31BC6AA5"/>
    <w:rsid w:val="32443D8F"/>
    <w:rsid w:val="325C4B54"/>
    <w:rsid w:val="327C771F"/>
    <w:rsid w:val="337A507B"/>
    <w:rsid w:val="33BC15CB"/>
    <w:rsid w:val="33CF0199"/>
    <w:rsid w:val="3418599B"/>
    <w:rsid w:val="341B6A4C"/>
    <w:rsid w:val="34A95AD1"/>
    <w:rsid w:val="34C82203"/>
    <w:rsid w:val="350C3281"/>
    <w:rsid w:val="352275BA"/>
    <w:rsid w:val="35300211"/>
    <w:rsid w:val="35655C86"/>
    <w:rsid w:val="35767511"/>
    <w:rsid w:val="357C29CD"/>
    <w:rsid w:val="35993C3A"/>
    <w:rsid w:val="35E833E3"/>
    <w:rsid w:val="360C29B2"/>
    <w:rsid w:val="3624130E"/>
    <w:rsid w:val="36C134E9"/>
    <w:rsid w:val="372507A1"/>
    <w:rsid w:val="37510318"/>
    <w:rsid w:val="37544AC7"/>
    <w:rsid w:val="375C0B95"/>
    <w:rsid w:val="3765424A"/>
    <w:rsid w:val="37B94726"/>
    <w:rsid w:val="37BD38F6"/>
    <w:rsid w:val="37C36C60"/>
    <w:rsid w:val="37D14052"/>
    <w:rsid w:val="384D1E10"/>
    <w:rsid w:val="38582CC5"/>
    <w:rsid w:val="38723D96"/>
    <w:rsid w:val="387A56B5"/>
    <w:rsid w:val="387C0DC3"/>
    <w:rsid w:val="38A50D04"/>
    <w:rsid w:val="38D90543"/>
    <w:rsid w:val="399C5807"/>
    <w:rsid w:val="39C76189"/>
    <w:rsid w:val="3A2468A0"/>
    <w:rsid w:val="3A580668"/>
    <w:rsid w:val="3ABF5A29"/>
    <w:rsid w:val="3AD4203A"/>
    <w:rsid w:val="3B496C2E"/>
    <w:rsid w:val="3B525F8D"/>
    <w:rsid w:val="3B8223C6"/>
    <w:rsid w:val="3BDA652C"/>
    <w:rsid w:val="3C1C1F3E"/>
    <w:rsid w:val="3C7A575B"/>
    <w:rsid w:val="3C9338B0"/>
    <w:rsid w:val="3CA27265"/>
    <w:rsid w:val="3CFE2F67"/>
    <w:rsid w:val="3CFE3A1D"/>
    <w:rsid w:val="3D5A3AD8"/>
    <w:rsid w:val="3D5F4321"/>
    <w:rsid w:val="3DA63EA2"/>
    <w:rsid w:val="3E103C7E"/>
    <w:rsid w:val="3E2B7127"/>
    <w:rsid w:val="3E2B7541"/>
    <w:rsid w:val="3E4F0ED9"/>
    <w:rsid w:val="3E706B87"/>
    <w:rsid w:val="3F07082E"/>
    <w:rsid w:val="3F5A7A05"/>
    <w:rsid w:val="3F6D76B7"/>
    <w:rsid w:val="3F7F2514"/>
    <w:rsid w:val="40BF5D6B"/>
    <w:rsid w:val="40E434F7"/>
    <w:rsid w:val="41715084"/>
    <w:rsid w:val="41901BC3"/>
    <w:rsid w:val="41CC013A"/>
    <w:rsid w:val="41FD49FF"/>
    <w:rsid w:val="420A0DB2"/>
    <w:rsid w:val="423050F8"/>
    <w:rsid w:val="42507548"/>
    <w:rsid w:val="42530402"/>
    <w:rsid w:val="42782813"/>
    <w:rsid w:val="428D319E"/>
    <w:rsid w:val="42AD4AB9"/>
    <w:rsid w:val="42E85560"/>
    <w:rsid w:val="42F6477C"/>
    <w:rsid w:val="436E470C"/>
    <w:rsid w:val="437159C8"/>
    <w:rsid w:val="438F5389"/>
    <w:rsid w:val="43A90E39"/>
    <w:rsid w:val="43A92970"/>
    <w:rsid w:val="43B60A35"/>
    <w:rsid w:val="43B63EF8"/>
    <w:rsid w:val="43B970F5"/>
    <w:rsid w:val="43BB30E7"/>
    <w:rsid w:val="43C720E8"/>
    <w:rsid w:val="440E76BA"/>
    <w:rsid w:val="446B42D5"/>
    <w:rsid w:val="449524C3"/>
    <w:rsid w:val="44B43840"/>
    <w:rsid w:val="44BA24EF"/>
    <w:rsid w:val="44D05BC3"/>
    <w:rsid w:val="44E87DB7"/>
    <w:rsid w:val="457C60E9"/>
    <w:rsid w:val="4598790C"/>
    <w:rsid w:val="46164604"/>
    <w:rsid w:val="46315CB6"/>
    <w:rsid w:val="467742C2"/>
    <w:rsid w:val="468144E6"/>
    <w:rsid w:val="46B833FF"/>
    <w:rsid w:val="46F8378A"/>
    <w:rsid w:val="47107E3C"/>
    <w:rsid w:val="47574ED5"/>
    <w:rsid w:val="479012B6"/>
    <w:rsid w:val="47A47D96"/>
    <w:rsid w:val="47BB36A1"/>
    <w:rsid w:val="47E3360E"/>
    <w:rsid w:val="485A31EC"/>
    <w:rsid w:val="48807653"/>
    <w:rsid w:val="48EC1FEF"/>
    <w:rsid w:val="48EC5CE1"/>
    <w:rsid w:val="48F85E9A"/>
    <w:rsid w:val="49163C1D"/>
    <w:rsid w:val="493F1FB5"/>
    <w:rsid w:val="4974322E"/>
    <w:rsid w:val="49763A7A"/>
    <w:rsid w:val="49C33FCF"/>
    <w:rsid w:val="49FC6971"/>
    <w:rsid w:val="4A215C07"/>
    <w:rsid w:val="4A2D518C"/>
    <w:rsid w:val="4A653021"/>
    <w:rsid w:val="4AF03348"/>
    <w:rsid w:val="4B260B31"/>
    <w:rsid w:val="4B532524"/>
    <w:rsid w:val="4B94506B"/>
    <w:rsid w:val="4BAE27EE"/>
    <w:rsid w:val="4BF66FAC"/>
    <w:rsid w:val="4C2D0BAD"/>
    <w:rsid w:val="4C68100F"/>
    <w:rsid w:val="4C6F0F12"/>
    <w:rsid w:val="4CAA3CF8"/>
    <w:rsid w:val="4CF270B1"/>
    <w:rsid w:val="4CFE50C9"/>
    <w:rsid w:val="4D380365"/>
    <w:rsid w:val="4D5A4A24"/>
    <w:rsid w:val="4DC06033"/>
    <w:rsid w:val="4DD43BE7"/>
    <w:rsid w:val="4DFD2B33"/>
    <w:rsid w:val="4E325642"/>
    <w:rsid w:val="4E47572A"/>
    <w:rsid w:val="4E884B2D"/>
    <w:rsid w:val="4EDC0EFF"/>
    <w:rsid w:val="4EE32CAA"/>
    <w:rsid w:val="4F504145"/>
    <w:rsid w:val="4FC746F5"/>
    <w:rsid w:val="502411A9"/>
    <w:rsid w:val="505A7540"/>
    <w:rsid w:val="505A77E4"/>
    <w:rsid w:val="50895F5C"/>
    <w:rsid w:val="50934F86"/>
    <w:rsid w:val="510E5149"/>
    <w:rsid w:val="5137070E"/>
    <w:rsid w:val="514F4E6E"/>
    <w:rsid w:val="51C953F2"/>
    <w:rsid w:val="51E84433"/>
    <w:rsid w:val="51FB473A"/>
    <w:rsid w:val="523E4584"/>
    <w:rsid w:val="5258516F"/>
    <w:rsid w:val="5281747E"/>
    <w:rsid w:val="528A3CB7"/>
    <w:rsid w:val="52F85F08"/>
    <w:rsid w:val="53002392"/>
    <w:rsid w:val="530A2FBD"/>
    <w:rsid w:val="531E65D1"/>
    <w:rsid w:val="536317BE"/>
    <w:rsid w:val="53FF4F9C"/>
    <w:rsid w:val="54005765"/>
    <w:rsid w:val="54016E61"/>
    <w:rsid w:val="54383DF1"/>
    <w:rsid w:val="545117C6"/>
    <w:rsid w:val="54643E4C"/>
    <w:rsid w:val="547E01A6"/>
    <w:rsid w:val="548F5167"/>
    <w:rsid w:val="54B36981"/>
    <w:rsid w:val="54E06E04"/>
    <w:rsid w:val="55060979"/>
    <w:rsid w:val="555C5C8D"/>
    <w:rsid w:val="558624CE"/>
    <w:rsid w:val="55A96B6D"/>
    <w:rsid w:val="55AF7A70"/>
    <w:rsid w:val="55BA21E7"/>
    <w:rsid w:val="56592A5E"/>
    <w:rsid w:val="56616819"/>
    <w:rsid w:val="568625CC"/>
    <w:rsid w:val="569F7B49"/>
    <w:rsid w:val="56E71A4B"/>
    <w:rsid w:val="5705319F"/>
    <w:rsid w:val="57816763"/>
    <w:rsid w:val="57DC43D5"/>
    <w:rsid w:val="58462588"/>
    <w:rsid w:val="58831FCD"/>
    <w:rsid w:val="58E70919"/>
    <w:rsid w:val="59025AE4"/>
    <w:rsid w:val="596E202C"/>
    <w:rsid w:val="597D0D79"/>
    <w:rsid w:val="59BB7545"/>
    <w:rsid w:val="59DE1FAE"/>
    <w:rsid w:val="59ED5C18"/>
    <w:rsid w:val="5A2918D5"/>
    <w:rsid w:val="5A3F0FF3"/>
    <w:rsid w:val="5A414812"/>
    <w:rsid w:val="5A5A367E"/>
    <w:rsid w:val="5A6D2416"/>
    <w:rsid w:val="5A706E03"/>
    <w:rsid w:val="5A857E6B"/>
    <w:rsid w:val="5A863D53"/>
    <w:rsid w:val="5A93084C"/>
    <w:rsid w:val="5A9B6DEF"/>
    <w:rsid w:val="5B1641C5"/>
    <w:rsid w:val="5B375F86"/>
    <w:rsid w:val="5B6A2FD1"/>
    <w:rsid w:val="5BBE42F8"/>
    <w:rsid w:val="5BC32443"/>
    <w:rsid w:val="5C6A3981"/>
    <w:rsid w:val="5D4D6FFA"/>
    <w:rsid w:val="5D672A25"/>
    <w:rsid w:val="5D687B0B"/>
    <w:rsid w:val="5DE60E2F"/>
    <w:rsid w:val="5E2B5808"/>
    <w:rsid w:val="5E3A6165"/>
    <w:rsid w:val="5E830B81"/>
    <w:rsid w:val="5F17532F"/>
    <w:rsid w:val="5F723263"/>
    <w:rsid w:val="5F7B430F"/>
    <w:rsid w:val="5FE815DF"/>
    <w:rsid w:val="604E0F36"/>
    <w:rsid w:val="606469E6"/>
    <w:rsid w:val="60923885"/>
    <w:rsid w:val="60A00F13"/>
    <w:rsid w:val="60CC3E9A"/>
    <w:rsid w:val="613A51F3"/>
    <w:rsid w:val="61751108"/>
    <w:rsid w:val="619745F8"/>
    <w:rsid w:val="619B24AC"/>
    <w:rsid w:val="61D27243"/>
    <w:rsid w:val="61F0301B"/>
    <w:rsid w:val="61FE4372"/>
    <w:rsid w:val="62062C34"/>
    <w:rsid w:val="62200119"/>
    <w:rsid w:val="62854AEF"/>
    <w:rsid w:val="62A16231"/>
    <w:rsid w:val="62DB7CAF"/>
    <w:rsid w:val="634E2D56"/>
    <w:rsid w:val="637B4CFE"/>
    <w:rsid w:val="637E2D0B"/>
    <w:rsid w:val="63905278"/>
    <w:rsid w:val="63FD6E5E"/>
    <w:rsid w:val="64577186"/>
    <w:rsid w:val="6464729D"/>
    <w:rsid w:val="64D03F43"/>
    <w:rsid w:val="64DB03C5"/>
    <w:rsid w:val="64FD0B3D"/>
    <w:rsid w:val="65382F3E"/>
    <w:rsid w:val="657C0938"/>
    <w:rsid w:val="65856C59"/>
    <w:rsid w:val="65931A70"/>
    <w:rsid w:val="65A31AB6"/>
    <w:rsid w:val="65B80DDC"/>
    <w:rsid w:val="65BB3D5F"/>
    <w:rsid w:val="660354D1"/>
    <w:rsid w:val="662A78CF"/>
    <w:rsid w:val="66344907"/>
    <w:rsid w:val="663C32BA"/>
    <w:rsid w:val="66CC6F22"/>
    <w:rsid w:val="66E111AA"/>
    <w:rsid w:val="66F07AE2"/>
    <w:rsid w:val="66FF63A4"/>
    <w:rsid w:val="67252299"/>
    <w:rsid w:val="672652D7"/>
    <w:rsid w:val="673C6E31"/>
    <w:rsid w:val="6762165E"/>
    <w:rsid w:val="67AF5FFF"/>
    <w:rsid w:val="680A0499"/>
    <w:rsid w:val="682E285C"/>
    <w:rsid w:val="68A37B22"/>
    <w:rsid w:val="68BF6344"/>
    <w:rsid w:val="68C02C9E"/>
    <w:rsid w:val="68DC1286"/>
    <w:rsid w:val="69A07950"/>
    <w:rsid w:val="69F52A11"/>
    <w:rsid w:val="6A056ADA"/>
    <w:rsid w:val="6A2B3C81"/>
    <w:rsid w:val="6A702AFA"/>
    <w:rsid w:val="6AC86472"/>
    <w:rsid w:val="6B0936A1"/>
    <w:rsid w:val="6B0A0800"/>
    <w:rsid w:val="6B503617"/>
    <w:rsid w:val="6B783FC0"/>
    <w:rsid w:val="6B916694"/>
    <w:rsid w:val="6BAC11BA"/>
    <w:rsid w:val="6BBD4DA7"/>
    <w:rsid w:val="6C37455C"/>
    <w:rsid w:val="6CD314F8"/>
    <w:rsid w:val="6CE90E22"/>
    <w:rsid w:val="6D1A6FA7"/>
    <w:rsid w:val="6D33656E"/>
    <w:rsid w:val="6D371741"/>
    <w:rsid w:val="6E245CE4"/>
    <w:rsid w:val="6E2E172D"/>
    <w:rsid w:val="6E332FA8"/>
    <w:rsid w:val="6E3F653F"/>
    <w:rsid w:val="6E4F6056"/>
    <w:rsid w:val="6ECA6BC6"/>
    <w:rsid w:val="6EFE0A05"/>
    <w:rsid w:val="6F6E155F"/>
    <w:rsid w:val="6F785EF4"/>
    <w:rsid w:val="6FC808DD"/>
    <w:rsid w:val="6FEA37CF"/>
    <w:rsid w:val="6FF17A47"/>
    <w:rsid w:val="702A5F16"/>
    <w:rsid w:val="70504A13"/>
    <w:rsid w:val="70714729"/>
    <w:rsid w:val="70D568D4"/>
    <w:rsid w:val="70F604F0"/>
    <w:rsid w:val="711D4BB9"/>
    <w:rsid w:val="71351653"/>
    <w:rsid w:val="71391A42"/>
    <w:rsid w:val="715918A1"/>
    <w:rsid w:val="717103CD"/>
    <w:rsid w:val="717F35D3"/>
    <w:rsid w:val="719730EE"/>
    <w:rsid w:val="719775EC"/>
    <w:rsid w:val="71A37046"/>
    <w:rsid w:val="71EB4A5A"/>
    <w:rsid w:val="725A7714"/>
    <w:rsid w:val="728306A6"/>
    <w:rsid w:val="72A0799B"/>
    <w:rsid w:val="72BA0D0C"/>
    <w:rsid w:val="731062C0"/>
    <w:rsid w:val="73363C9D"/>
    <w:rsid w:val="73CF0E9D"/>
    <w:rsid w:val="73CF676B"/>
    <w:rsid w:val="73D60121"/>
    <w:rsid w:val="73E02B3D"/>
    <w:rsid w:val="74216210"/>
    <w:rsid w:val="749F2C09"/>
    <w:rsid w:val="74B91BAD"/>
    <w:rsid w:val="74F97A85"/>
    <w:rsid w:val="751F3561"/>
    <w:rsid w:val="75323FBE"/>
    <w:rsid w:val="75932270"/>
    <w:rsid w:val="75B14049"/>
    <w:rsid w:val="75D223B0"/>
    <w:rsid w:val="75FF5CB1"/>
    <w:rsid w:val="760B38A9"/>
    <w:rsid w:val="76291D08"/>
    <w:rsid w:val="766A676F"/>
    <w:rsid w:val="770A3632"/>
    <w:rsid w:val="7730341B"/>
    <w:rsid w:val="77304C77"/>
    <w:rsid w:val="774C5829"/>
    <w:rsid w:val="7767567E"/>
    <w:rsid w:val="77760F4A"/>
    <w:rsid w:val="777A4144"/>
    <w:rsid w:val="778F17DF"/>
    <w:rsid w:val="77B15E27"/>
    <w:rsid w:val="77CA545A"/>
    <w:rsid w:val="77DE0B76"/>
    <w:rsid w:val="77F66F2E"/>
    <w:rsid w:val="783F2BE9"/>
    <w:rsid w:val="78685F3E"/>
    <w:rsid w:val="7883171E"/>
    <w:rsid w:val="7890749E"/>
    <w:rsid w:val="78B83A5A"/>
    <w:rsid w:val="78B84B5B"/>
    <w:rsid w:val="78F62961"/>
    <w:rsid w:val="79117EA3"/>
    <w:rsid w:val="79226841"/>
    <w:rsid w:val="794020AC"/>
    <w:rsid w:val="797E32F4"/>
    <w:rsid w:val="798449BF"/>
    <w:rsid w:val="79964F85"/>
    <w:rsid w:val="7A17139E"/>
    <w:rsid w:val="7AE66264"/>
    <w:rsid w:val="7AF75F2C"/>
    <w:rsid w:val="7B317ACB"/>
    <w:rsid w:val="7B55204D"/>
    <w:rsid w:val="7BA55E2F"/>
    <w:rsid w:val="7BB018F0"/>
    <w:rsid w:val="7BC84884"/>
    <w:rsid w:val="7BD81108"/>
    <w:rsid w:val="7BE36117"/>
    <w:rsid w:val="7C1A2306"/>
    <w:rsid w:val="7C4D1DDB"/>
    <w:rsid w:val="7C5400DA"/>
    <w:rsid w:val="7CB12DBF"/>
    <w:rsid w:val="7D506CE6"/>
    <w:rsid w:val="7D6C159C"/>
    <w:rsid w:val="7D8348A6"/>
    <w:rsid w:val="7E0A4ADC"/>
    <w:rsid w:val="7E193711"/>
    <w:rsid w:val="7E454021"/>
    <w:rsid w:val="7E7B7FD7"/>
    <w:rsid w:val="7EBB16E8"/>
    <w:rsid w:val="7F122C39"/>
    <w:rsid w:val="7F5F6CF5"/>
    <w:rsid w:val="7F9D625E"/>
    <w:rsid w:val="7FC6768D"/>
    <w:rsid w:val="7FCB251C"/>
    <w:rsid w:val="7FF74E73"/>
    <w:rsid w:val="7FF836A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qFormat/>
    <w:uiPriority w:val="0"/>
    <w:pPr>
      <w:keepNext/>
      <w:keepLines/>
      <w:spacing w:before="340" w:after="330" w:line="578" w:lineRule="auto"/>
      <w:outlineLvl w:val="0"/>
    </w:pPr>
    <w:rPr>
      <w:b/>
      <w:bCs/>
      <w:kern w:val="44"/>
      <w:sz w:val="44"/>
      <w:szCs w:val="44"/>
    </w:rPr>
  </w:style>
  <w:style w:type="paragraph" w:styleId="6">
    <w:name w:val="heading 2"/>
    <w:basedOn w:val="1"/>
    <w:next w:val="1"/>
    <w:link w:val="44"/>
    <w:qFormat/>
    <w:uiPriority w:val="0"/>
    <w:pPr>
      <w:keepNext/>
      <w:keepLines/>
      <w:spacing w:before="260" w:after="260" w:line="416" w:lineRule="auto"/>
      <w:outlineLvl w:val="1"/>
    </w:pPr>
    <w:rPr>
      <w:rFonts w:ascii="Arial" w:hAnsi="Arial" w:eastAsia="黑体"/>
      <w:b/>
      <w:bCs/>
      <w:sz w:val="32"/>
      <w:szCs w:val="32"/>
    </w:rPr>
  </w:style>
  <w:style w:type="paragraph" w:styleId="7">
    <w:name w:val="heading 3"/>
    <w:basedOn w:val="1"/>
    <w:next w:val="1"/>
    <w:link w:val="45"/>
    <w:qFormat/>
    <w:uiPriority w:val="0"/>
    <w:pPr>
      <w:keepNext/>
      <w:keepLines/>
      <w:spacing w:before="260" w:after="260" w:line="416" w:lineRule="auto"/>
      <w:outlineLvl w:val="2"/>
    </w:pPr>
    <w:rPr>
      <w:b/>
      <w:bCs/>
      <w:sz w:val="32"/>
      <w:szCs w:val="32"/>
    </w:rPr>
  </w:style>
  <w:style w:type="character" w:default="1" w:styleId="34">
    <w:name w:val="Default Paragraph Font"/>
    <w:semiHidden/>
    <w:qFormat/>
    <w:uiPriority w:val="0"/>
  </w:style>
  <w:style w:type="table" w:default="1" w:styleId="32">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4"/>
    <w:qFormat/>
    <w:uiPriority w:val="0"/>
    <w:pPr>
      <w:spacing w:line="240" w:lineRule="auto"/>
      <w:ind w:left="420" w:leftChars="200" w:firstLine="420" w:firstLineChars="200"/>
    </w:pPr>
    <w:rPr>
      <w:rFonts w:ascii="Times New Roman" w:cs="Times New Roman"/>
      <w:spacing w:val="0"/>
      <w:sz w:val="21"/>
      <w:szCs w:val="21"/>
    </w:rPr>
  </w:style>
  <w:style w:type="paragraph" w:styleId="3">
    <w:name w:val="Body Text Indent"/>
    <w:basedOn w:val="1"/>
    <w:link w:val="40"/>
    <w:qFormat/>
    <w:uiPriority w:val="0"/>
    <w:pPr>
      <w:ind w:firstLine="630"/>
    </w:pPr>
    <w:rPr>
      <w:sz w:val="32"/>
      <w:szCs w:val="20"/>
    </w:rPr>
  </w:style>
  <w:style w:type="paragraph" w:styleId="4">
    <w:name w:val="Block Text"/>
    <w:basedOn w:val="1"/>
    <w:qFormat/>
    <w:uiPriority w:val="0"/>
    <w:pPr>
      <w:widowControl/>
      <w:ind w:left="1440" w:leftChars="700" w:right="1440" w:rightChars="700"/>
      <w:jc w:val="left"/>
    </w:pPr>
    <w:rPr>
      <w:rFonts w:ascii="Calibri" w:hAnsi="Calibri" w:cs="Calibri"/>
      <w:kern w:val="0"/>
      <w:sz w:val="20"/>
      <w:szCs w:val="20"/>
    </w:rPr>
  </w:style>
  <w:style w:type="paragraph" w:styleId="8">
    <w:name w:val="toc 7"/>
    <w:basedOn w:val="1"/>
    <w:next w:val="1"/>
    <w:qFormat/>
    <w:uiPriority w:val="0"/>
    <w:pPr>
      <w:ind w:left="2520" w:leftChars="1200"/>
    </w:pPr>
  </w:style>
  <w:style w:type="paragraph" w:styleId="9">
    <w:name w:val="Normal Indent"/>
    <w:basedOn w:val="1"/>
    <w:link w:val="57"/>
    <w:qFormat/>
    <w:uiPriority w:val="0"/>
    <w:pPr>
      <w:ind w:firstLine="420" w:firstLineChars="200"/>
    </w:pPr>
  </w:style>
  <w:style w:type="paragraph" w:styleId="10">
    <w:name w:val="Document Map"/>
    <w:basedOn w:val="1"/>
    <w:qFormat/>
    <w:uiPriority w:val="0"/>
    <w:pPr>
      <w:shd w:val="clear" w:color="auto" w:fill="000080"/>
    </w:pPr>
  </w:style>
  <w:style w:type="paragraph" w:styleId="11">
    <w:name w:val="annotation text"/>
    <w:basedOn w:val="1"/>
    <w:link w:val="43"/>
    <w:qFormat/>
    <w:uiPriority w:val="0"/>
    <w:pPr>
      <w:jc w:val="left"/>
    </w:pPr>
    <w:rPr>
      <w:sz w:val="18"/>
      <w:szCs w:val="20"/>
    </w:rPr>
  </w:style>
  <w:style w:type="paragraph" w:styleId="12">
    <w:name w:val="Body Text"/>
    <w:basedOn w:val="1"/>
    <w:next w:val="1"/>
    <w:link w:val="50"/>
    <w:qFormat/>
    <w:uiPriority w:val="99"/>
    <w:pPr>
      <w:widowControl/>
      <w:spacing w:after="120"/>
      <w:jc w:val="left"/>
    </w:pPr>
  </w:style>
  <w:style w:type="paragraph" w:styleId="13">
    <w:name w:val="toc 5"/>
    <w:basedOn w:val="1"/>
    <w:next w:val="1"/>
    <w:qFormat/>
    <w:uiPriority w:val="0"/>
    <w:pPr>
      <w:ind w:left="1680" w:leftChars="800"/>
    </w:pPr>
  </w:style>
  <w:style w:type="paragraph" w:styleId="14">
    <w:name w:val="toc 3"/>
    <w:basedOn w:val="1"/>
    <w:next w:val="1"/>
    <w:qFormat/>
    <w:uiPriority w:val="0"/>
    <w:pPr>
      <w:ind w:left="840" w:leftChars="400"/>
    </w:pPr>
  </w:style>
  <w:style w:type="paragraph" w:styleId="15">
    <w:name w:val="Plain Text"/>
    <w:basedOn w:val="1"/>
    <w:next w:val="1"/>
    <w:link w:val="55"/>
    <w:qFormat/>
    <w:uiPriority w:val="0"/>
    <w:pPr>
      <w:autoSpaceDE w:val="0"/>
      <w:autoSpaceDN w:val="0"/>
      <w:adjustRightInd w:val="0"/>
    </w:pPr>
    <w:rPr>
      <w:rFonts w:ascii="宋体" w:hAnsi="Tms Rmn"/>
      <w:kern w:val="0"/>
      <w:szCs w:val="20"/>
    </w:rPr>
  </w:style>
  <w:style w:type="paragraph" w:styleId="16">
    <w:name w:val="toc 8"/>
    <w:basedOn w:val="1"/>
    <w:next w:val="1"/>
    <w:qFormat/>
    <w:uiPriority w:val="0"/>
    <w:pPr>
      <w:ind w:left="2940" w:leftChars="1400"/>
    </w:pPr>
  </w:style>
  <w:style w:type="paragraph" w:styleId="17">
    <w:name w:val="Body Text Indent 2"/>
    <w:basedOn w:val="1"/>
    <w:qFormat/>
    <w:uiPriority w:val="0"/>
    <w:pPr>
      <w:spacing w:after="120" w:line="480" w:lineRule="auto"/>
      <w:ind w:left="420" w:leftChars="200"/>
    </w:pPr>
  </w:style>
  <w:style w:type="paragraph" w:styleId="18">
    <w:name w:val="Balloon Text"/>
    <w:basedOn w:val="1"/>
    <w:semiHidden/>
    <w:qFormat/>
    <w:uiPriority w:val="0"/>
    <w:rPr>
      <w:sz w:val="18"/>
      <w:szCs w:val="18"/>
    </w:rPr>
  </w:style>
  <w:style w:type="paragraph" w:styleId="19">
    <w:name w:val="footer"/>
    <w:basedOn w:val="1"/>
    <w:link w:val="46"/>
    <w:qFormat/>
    <w:uiPriority w:val="99"/>
    <w:pPr>
      <w:tabs>
        <w:tab w:val="center" w:pos="4153"/>
        <w:tab w:val="right" w:pos="8306"/>
      </w:tabs>
      <w:snapToGrid w:val="0"/>
      <w:jc w:val="left"/>
    </w:pPr>
    <w:rPr>
      <w:sz w:val="18"/>
      <w:szCs w:val="20"/>
    </w:rPr>
  </w:style>
  <w:style w:type="paragraph" w:styleId="20">
    <w:name w:val="envelope return"/>
    <w:basedOn w:val="1"/>
    <w:qFormat/>
    <w:uiPriority w:val="0"/>
    <w:pPr>
      <w:snapToGrid w:val="0"/>
    </w:pPr>
    <w:rPr>
      <w:rFonts w:ascii="Arial" w:hAnsi="Arial"/>
    </w:rPr>
  </w:style>
  <w:style w:type="paragraph" w:styleId="21">
    <w:name w:val="header"/>
    <w:basedOn w:val="1"/>
    <w:link w:val="56"/>
    <w:qFormat/>
    <w:uiPriority w:val="0"/>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uiPriority w:val="0"/>
  </w:style>
  <w:style w:type="paragraph" w:styleId="23">
    <w:name w:val="toc 4"/>
    <w:basedOn w:val="1"/>
    <w:next w:val="1"/>
    <w:qFormat/>
    <w:uiPriority w:val="0"/>
    <w:pPr>
      <w:ind w:left="1260" w:leftChars="600"/>
    </w:pPr>
  </w:style>
  <w:style w:type="paragraph" w:styleId="24">
    <w:name w:val="footnote text"/>
    <w:basedOn w:val="1"/>
    <w:qFormat/>
    <w:uiPriority w:val="0"/>
    <w:pPr>
      <w:snapToGrid w:val="0"/>
      <w:jc w:val="left"/>
    </w:pPr>
    <w:rPr>
      <w:sz w:val="18"/>
    </w:rPr>
  </w:style>
  <w:style w:type="paragraph" w:styleId="25">
    <w:name w:val="toc 6"/>
    <w:basedOn w:val="1"/>
    <w:next w:val="1"/>
    <w:qFormat/>
    <w:uiPriority w:val="0"/>
    <w:pPr>
      <w:ind w:left="2100" w:leftChars="1000"/>
    </w:pPr>
  </w:style>
  <w:style w:type="paragraph" w:styleId="26">
    <w:name w:val="Body Text Indent 3"/>
    <w:basedOn w:val="1"/>
    <w:link w:val="51"/>
    <w:qFormat/>
    <w:uiPriority w:val="0"/>
    <w:pPr>
      <w:spacing w:after="120"/>
      <w:ind w:left="420" w:leftChars="200"/>
    </w:pPr>
    <w:rPr>
      <w:sz w:val="16"/>
      <w:szCs w:val="16"/>
    </w:rPr>
  </w:style>
  <w:style w:type="paragraph" w:styleId="27">
    <w:name w:val="toc 2"/>
    <w:basedOn w:val="1"/>
    <w:next w:val="1"/>
    <w:qFormat/>
    <w:uiPriority w:val="0"/>
    <w:pPr>
      <w:ind w:left="420" w:leftChars="200"/>
    </w:pPr>
  </w:style>
  <w:style w:type="paragraph" w:styleId="28">
    <w:name w:val="toc 9"/>
    <w:basedOn w:val="1"/>
    <w:next w:val="1"/>
    <w:qFormat/>
    <w:uiPriority w:val="0"/>
    <w:pPr>
      <w:ind w:left="3360" w:leftChars="1600"/>
    </w:pPr>
  </w:style>
  <w:style w:type="paragraph" w:styleId="29">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30">
    <w:name w:val="annotation subject"/>
    <w:basedOn w:val="11"/>
    <w:next w:val="11"/>
    <w:link w:val="54"/>
    <w:qFormat/>
    <w:uiPriority w:val="0"/>
    <w:rPr>
      <w:rFonts w:eastAsia="宋体"/>
      <w:b/>
      <w:bCs/>
      <w:sz w:val="21"/>
      <w:szCs w:val="24"/>
      <w:lang w:val="en-US" w:eastAsia="zh-CN"/>
    </w:rPr>
  </w:style>
  <w:style w:type="paragraph" w:styleId="31">
    <w:name w:val="Body Text First Indent"/>
    <w:basedOn w:val="12"/>
    <w:next w:val="1"/>
    <w:qFormat/>
    <w:uiPriority w:val="0"/>
    <w:pPr>
      <w:ind w:firstLine="420" w:firstLineChars="100"/>
    </w:pPr>
    <w:rPr>
      <w:rFonts w:ascii="金山简黑体"/>
      <w:b/>
      <w:bCs/>
      <w:color w:val="auto"/>
      <w:spacing w:val="-8"/>
      <w:sz w:val="21"/>
      <w:szCs w:val="21"/>
    </w:r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qFormat/>
    <w:uiPriority w:val="22"/>
    <w:rPr>
      <w:b/>
    </w:rPr>
  </w:style>
  <w:style w:type="character" w:styleId="36">
    <w:name w:val="page number"/>
    <w:basedOn w:val="34"/>
    <w:qFormat/>
    <w:uiPriority w:val="0"/>
  </w:style>
  <w:style w:type="character" w:styleId="37">
    <w:name w:val="Hyperlink"/>
    <w:qFormat/>
    <w:uiPriority w:val="0"/>
    <w:rPr>
      <w:color w:val="0000FF"/>
      <w:u w:val="single"/>
    </w:rPr>
  </w:style>
  <w:style w:type="character" w:styleId="38">
    <w:name w:val="annotation reference"/>
    <w:basedOn w:val="34"/>
    <w:qFormat/>
    <w:uiPriority w:val="0"/>
    <w:rPr>
      <w:sz w:val="21"/>
      <w:szCs w:val="21"/>
    </w:rPr>
  </w:style>
  <w:style w:type="character" w:styleId="39">
    <w:name w:val="footnote reference"/>
    <w:basedOn w:val="34"/>
    <w:qFormat/>
    <w:uiPriority w:val="0"/>
    <w:rPr>
      <w:vertAlign w:val="superscript"/>
    </w:rPr>
  </w:style>
  <w:style w:type="character" w:customStyle="1" w:styleId="40">
    <w:name w:val="正文文字首行缩进 Char"/>
    <w:link w:val="3"/>
    <w:qFormat/>
    <w:uiPriority w:val="0"/>
    <w:rPr>
      <w:rFonts w:eastAsia="宋体"/>
      <w:kern w:val="2"/>
      <w:sz w:val="32"/>
      <w:lang w:val="en-US" w:eastAsia="zh-CN" w:bidi="ar-SA"/>
    </w:rPr>
  </w:style>
  <w:style w:type="character" w:customStyle="1" w:styleId="41">
    <w:name w:val=" Char Char9"/>
    <w:qFormat/>
    <w:uiPriority w:val="0"/>
    <w:rPr>
      <w:kern w:val="2"/>
      <w:sz w:val="21"/>
    </w:rPr>
  </w:style>
  <w:style w:type="character" w:customStyle="1" w:styleId="42">
    <w:name w:val="批注文字 Char1"/>
    <w:qFormat/>
    <w:uiPriority w:val="0"/>
    <w:rPr>
      <w:kern w:val="2"/>
      <w:sz w:val="18"/>
      <w:lang w:bidi="ar-SA"/>
    </w:rPr>
  </w:style>
  <w:style w:type="character" w:customStyle="1" w:styleId="43">
    <w:name w:val=" Char Char2"/>
    <w:link w:val="11"/>
    <w:qFormat/>
    <w:uiPriority w:val="0"/>
    <w:rPr>
      <w:kern w:val="2"/>
      <w:sz w:val="18"/>
      <w:lang w:bidi="ar-SA"/>
    </w:rPr>
  </w:style>
  <w:style w:type="character" w:customStyle="1" w:styleId="44">
    <w:name w:val="Heading 2 Hidden Char"/>
    <w:basedOn w:val="34"/>
    <w:link w:val="6"/>
    <w:qFormat/>
    <w:uiPriority w:val="0"/>
    <w:rPr>
      <w:rFonts w:ascii="Arial" w:hAnsi="Arial" w:eastAsia="黑体"/>
      <w:b/>
      <w:bCs/>
      <w:kern w:val="2"/>
      <w:sz w:val="32"/>
      <w:szCs w:val="32"/>
      <w:lang w:val="en-US" w:eastAsia="zh-CN" w:bidi="ar-SA"/>
    </w:rPr>
  </w:style>
  <w:style w:type="character" w:customStyle="1" w:styleId="45">
    <w:name w:val=" Char Char4"/>
    <w:basedOn w:val="34"/>
    <w:link w:val="7"/>
    <w:semiHidden/>
    <w:qFormat/>
    <w:uiPriority w:val="0"/>
    <w:rPr>
      <w:rFonts w:eastAsia="宋体"/>
      <w:b/>
      <w:bCs/>
      <w:kern w:val="2"/>
      <w:sz w:val="32"/>
      <w:szCs w:val="32"/>
      <w:lang w:val="en-US" w:eastAsia="zh-CN" w:bidi="ar-SA"/>
    </w:rPr>
  </w:style>
  <w:style w:type="character" w:customStyle="1" w:styleId="46">
    <w:name w:val="fo Char"/>
    <w:link w:val="19"/>
    <w:qFormat/>
    <w:uiPriority w:val="99"/>
    <w:rPr>
      <w:rFonts w:eastAsia="宋体"/>
      <w:kern w:val="2"/>
      <w:sz w:val="18"/>
      <w:lang w:val="en-US" w:eastAsia="zh-CN" w:bidi="ar-SA"/>
    </w:rPr>
  </w:style>
  <w:style w:type="character" w:customStyle="1" w:styleId="47">
    <w:name w:val="列出段落 Char"/>
    <w:link w:val="48"/>
    <w:qFormat/>
    <w:uiPriority w:val="0"/>
    <w:rPr>
      <w:rFonts w:eastAsia="宋体"/>
      <w:kern w:val="2"/>
      <w:sz w:val="21"/>
      <w:szCs w:val="24"/>
      <w:lang w:val="en-US" w:eastAsia="zh-CN" w:bidi="ar-SA"/>
    </w:rPr>
  </w:style>
  <w:style w:type="paragraph" w:customStyle="1" w:styleId="48">
    <w:name w:val="列出段落"/>
    <w:basedOn w:val="1"/>
    <w:link w:val="47"/>
    <w:qFormat/>
    <w:uiPriority w:val="0"/>
    <w:pPr>
      <w:ind w:firstLine="420" w:firstLineChars="200"/>
    </w:pPr>
  </w:style>
  <w:style w:type="character" w:customStyle="1" w:styleId="49">
    <w:name w:val="（符号）邀请函中一、"/>
    <w:basedOn w:val="34"/>
    <w:qFormat/>
    <w:uiPriority w:val="0"/>
    <w:rPr>
      <w:rFonts w:ascii="黑体" w:hAnsi="黑体" w:eastAsia="黑体"/>
      <w:b/>
      <w:bCs/>
      <w:sz w:val="24"/>
    </w:rPr>
  </w:style>
  <w:style w:type="character" w:customStyle="1" w:styleId="50">
    <w:name w:val="正文文本 Char"/>
    <w:link w:val="12"/>
    <w:qFormat/>
    <w:uiPriority w:val="99"/>
  </w:style>
  <w:style w:type="character" w:customStyle="1" w:styleId="51">
    <w:name w:val=" Char Char3"/>
    <w:basedOn w:val="34"/>
    <w:link w:val="26"/>
    <w:qFormat/>
    <w:uiPriority w:val="0"/>
    <w:rPr>
      <w:kern w:val="2"/>
      <w:sz w:val="16"/>
      <w:szCs w:val="16"/>
    </w:rPr>
  </w:style>
  <w:style w:type="character" w:customStyle="1" w:styleId="52">
    <w:name w:val="GW-正文 Char"/>
    <w:link w:val="53"/>
    <w:qFormat/>
    <w:uiPriority w:val="0"/>
    <w:rPr>
      <w:rFonts w:eastAsia="仿宋_GB2312"/>
      <w:kern w:val="2"/>
      <w:sz w:val="24"/>
      <w:szCs w:val="24"/>
      <w:lang w:val="en-US" w:eastAsia="zh-CN" w:bidi="ar-SA"/>
    </w:rPr>
  </w:style>
  <w:style w:type="paragraph" w:customStyle="1" w:styleId="53">
    <w:name w:val="GW-正文"/>
    <w:basedOn w:val="1"/>
    <w:link w:val="52"/>
    <w:qFormat/>
    <w:uiPriority w:val="0"/>
    <w:pPr>
      <w:spacing w:line="360" w:lineRule="auto"/>
      <w:ind w:firstLine="200" w:firstLineChars="200"/>
    </w:pPr>
    <w:rPr>
      <w:rFonts w:eastAsia="仿宋_GB2312"/>
      <w:sz w:val="24"/>
    </w:rPr>
  </w:style>
  <w:style w:type="character" w:customStyle="1" w:styleId="54">
    <w:name w:val=" Char Char"/>
    <w:basedOn w:val="43"/>
    <w:link w:val="30"/>
    <w:qFormat/>
    <w:uiPriority w:val="0"/>
    <w:rPr>
      <w:b/>
      <w:bCs/>
      <w:sz w:val="21"/>
      <w:szCs w:val="24"/>
    </w:rPr>
  </w:style>
  <w:style w:type="character" w:customStyle="1" w:styleId="55">
    <w:name w:val=" Char Char1"/>
    <w:link w:val="15"/>
    <w:unhideWhenUsed/>
    <w:qFormat/>
    <w:uiPriority w:val="0"/>
    <w:rPr>
      <w:rFonts w:ascii="宋体" w:hAnsi="Tms Rmn" w:eastAsia="宋体"/>
      <w:sz w:val="21"/>
      <w:lang w:val="en-US" w:eastAsia="zh-CN" w:bidi="ar-SA"/>
    </w:rPr>
  </w:style>
  <w:style w:type="character" w:customStyle="1" w:styleId="56">
    <w:name w:val="h Char"/>
    <w:link w:val="21"/>
    <w:qFormat/>
    <w:uiPriority w:val="0"/>
    <w:rPr>
      <w:rFonts w:eastAsia="宋体"/>
      <w:kern w:val="2"/>
      <w:sz w:val="18"/>
      <w:lang w:val="en-US" w:eastAsia="zh-CN" w:bidi="ar-SA"/>
    </w:rPr>
  </w:style>
  <w:style w:type="character" w:customStyle="1" w:styleId="57">
    <w:name w:val="表正文 Char1"/>
    <w:link w:val="9"/>
    <w:qFormat/>
    <w:uiPriority w:val="0"/>
    <w:rPr>
      <w:rFonts w:eastAsia="宋体"/>
      <w:kern w:val="2"/>
      <w:sz w:val="21"/>
      <w:szCs w:val="24"/>
      <w:lang w:val="en-US" w:eastAsia="zh-CN" w:bidi="ar-SA"/>
    </w:rPr>
  </w:style>
  <w:style w:type="paragraph" w:customStyle="1" w:styleId="5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9">
    <w:name w:val="彩色列表 - 强调文字颜色 11"/>
    <w:basedOn w:val="1"/>
    <w:qFormat/>
    <w:uiPriority w:val="0"/>
    <w:pPr>
      <w:widowControl w:val="0"/>
      <w:ind w:firstLine="420" w:firstLineChars="200"/>
      <w:jc w:val="both"/>
    </w:pPr>
    <w:rPr>
      <w:rFonts w:ascii="Calibri" w:hAnsi="Calibri" w:eastAsia="宋体" w:cs="Times New Roman"/>
      <w:kern w:val="2"/>
      <w:sz w:val="21"/>
      <w:szCs w:val="22"/>
    </w:rPr>
  </w:style>
  <w:style w:type="paragraph" w:customStyle="1" w:styleId="60">
    <w:name w:val="Normal"/>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61">
    <w:name w:val="样式 首行缩进:  2 字符"/>
    <w:basedOn w:val="1"/>
    <w:qFormat/>
    <w:uiPriority w:val="0"/>
    <w:pPr>
      <w:spacing w:line="400" w:lineRule="exact"/>
      <w:ind w:firstLine="200" w:firstLineChars="200"/>
    </w:pPr>
    <w:rPr>
      <w:rFonts w:cs="宋体"/>
      <w:sz w:val="24"/>
    </w:rPr>
  </w:style>
  <w:style w:type="paragraph" w:customStyle="1" w:styleId="62">
    <w:name w:val="WPSOffice手动目录 1"/>
    <w:qFormat/>
    <w:uiPriority w:val="0"/>
    <w:pPr>
      <w:ind w:leftChars="0"/>
    </w:pPr>
    <w:rPr>
      <w:rFonts w:ascii="Times New Roman" w:hAnsi="Times New Roman" w:eastAsia="宋体" w:cs="Times New Roman"/>
      <w:sz w:val="20"/>
      <w:szCs w:val="20"/>
    </w:rPr>
  </w:style>
  <w:style w:type="paragraph" w:customStyle="1" w:styleId="63">
    <w:name w:val="Char Char Char Char Char Char Char Char Char Char Char Char Char Char1 Char Char Char Char"/>
    <w:basedOn w:val="1"/>
    <w:qFormat/>
    <w:uiPriority w:val="0"/>
    <w:rPr>
      <w:szCs w:val="21"/>
    </w:rPr>
  </w:style>
  <w:style w:type="paragraph" w:customStyle="1" w:styleId="64">
    <w:name w:val="样式 仿宋 行距: 1.5 倍行距"/>
    <w:basedOn w:val="1"/>
    <w:qFormat/>
    <w:uiPriority w:val="0"/>
    <w:pPr>
      <w:spacing w:line="360" w:lineRule="auto"/>
    </w:pPr>
    <w:rPr>
      <w:rFonts w:ascii="仿宋" w:hAnsi="仿宋" w:eastAsia="仿宋" w:cs="宋体"/>
      <w:sz w:val="24"/>
      <w:szCs w:val="20"/>
    </w:rPr>
  </w:style>
  <w:style w:type="paragraph" w:customStyle="1" w:styleId="65">
    <w:name w:val="p2"/>
    <w:basedOn w:val="1"/>
    <w:qFormat/>
    <w:uiPriority w:val="99"/>
    <w:pPr>
      <w:widowControl/>
      <w:spacing w:line="480" w:lineRule="auto"/>
      <w:ind w:firstLine="420"/>
      <w:jc w:val="left"/>
    </w:pPr>
    <w:rPr>
      <w:rFonts w:ascii="宋体" w:hAnsi="宋体" w:cs="宋体"/>
      <w:kern w:val="0"/>
    </w:rPr>
  </w:style>
  <w:style w:type="paragraph" w:customStyle="1" w:styleId="66">
    <w:name w:val="表格"/>
    <w:basedOn w:val="1"/>
    <w:qFormat/>
    <w:uiPriority w:val="0"/>
    <w:pPr>
      <w:spacing w:line="400" w:lineRule="exact"/>
    </w:pPr>
    <w:rPr>
      <w:sz w:val="24"/>
    </w:rPr>
  </w:style>
  <w:style w:type="paragraph" w:customStyle="1" w:styleId="67">
    <w:name w:val="正文首行缩进两字符"/>
    <w:basedOn w:val="1"/>
    <w:qFormat/>
    <w:uiPriority w:val="0"/>
    <w:pPr>
      <w:spacing w:line="360" w:lineRule="auto"/>
      <w:ind w:firstLine="200" w:firstLineChars="200"/>
    </w:pPr>
  </w:style>
  <w:style w:type="paragraph" w:customStyle="1" w:styleId="68">
    <w:name w:val="列出段落1"/>
    <w:basedOn w:val="1"/>
    <w:qFormat/>
    <w:uiPriority w:val="99"/>
    <w:pPr>
      <w:ind w:firstLine="420" w:firstLineChars="200"/>
    </w:pPr>
    <w:rPr>
      <w:rFonts w:ascii="Calibri" w:hAnsi="Calibri" w:eastAsia="宋体" w:cs="Times New Roman"/>
      <w:kern w:val="2"/>
    </w:rPr>
  </w:style>
  <w:style w:type="paragraph" w:customStyle="1" w:styleId="6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70">
    <w:name w:val="列出段落111"/>
    <w:basedOn w:val="1"/>
    <w:qFormat/>
    <w:uiPriority w:val="99"/>
    <w:pPr>
      <w:ind w:firstLine="420" w:firstLineChars="200"/>
    </w:pPr>
    <w:rPr>
      <w:lang w:val="zh-CN"/>
    </w:rPr>
  </w:style>
  <w:style w:type="paragraph" w:customStyle="1" w:styleId="71">
    <w:name w:val="WPSOffice手动目录 2"/>
    <w:qFormat/>
    <w:uiPriority w:val="0"/>
    <w:pPr>
      <w:ind w:leftChars="200"/>
    </w:pPr>
    <w:rPr>
      <w:rFonts w:ascii="Times New Roman" w:hAnsi="Times New Roman" w:eastAsia="宋体" w:cs="Times New Roman"/>
      <w:sz w:val="20"/>
      <w:szCs w:val="20"/>
    </w:rPr>
  </w:style>
  <w:style w:type="paragraph" w:customStyle="1" w:styleId="72">
    <w:name w:val="Table Text"/>
    <w:basedOn w:val="1"/>
    <w:semiHidden/>
    <w:qFormat/>
    <w:uiPriority w:val="0"/>
    <w:rPr>
      <w:rFonts w:ascii="黑体" w:hAnsi="黑体" w:eastAsia="黑体" w:cs="黑体"/>
      <w:sz w:val="18"/>
      <w:szCs w:val="1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www.levovo.com</Company>
  <Pages>101</Pages>
  <Words>45132</Words>
  <Characters>48322</Characters>
  <Lines>204</Lines>
  <Paragraphs>57</Paragraphs>
  <TotalTime>2</TotalTime>
  <ScaleCrop>false</ScaleCrop>
  <LinksUpToDate>false</LinksUpToDate>
  <CharactersWithSpaces>50139</CharactersWithSpaces>
  <Application>WPS Office_12.1.0.17140_F1E327BC-269C-435d-A152-05C5408002CA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2017-11-12T11:09:00Z</dcterms:created>
  <dc:creator>吴正新</dc:creator>
  <cp:lastModifiedBy>王娟</cp:lastModifiedBy>
  <cp:lastPrinted>2025-11-03T02:58:00Z</cp:lastPrinted>
  <dcterms:modified xsi:type="dcterms:W3CDTF">2026-06-11T02:00:46Z</dcterms:modified>
  <dc:title>招标编号：xx政采招[xxxx] xxx号</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2052-12.1.0.17140</vt:lpwstr>
  </property>
  <property fmtid="{D5CDD505-2E9C-101B-9397-08002B2CF9AE}" pid="3" name="ICV">
    <vt:lpwstr>CCF6FA263BAF483EB3EEC2FFB8745715_13</vt:lpwstr>
  </property>
  <property fmtid="{D5CDD505-2E9C-101B-9397-08002B2CF9AE}" pid="4" name="KSOTemplateDocerSaveRecord">
    <vt:lpwstr>eyJoZGlkIjoiN2Q4ZThiMjk3MDRjNmQ2MzFhZTE0NzVlMjY1N2M1NmEiLCJ1c2VySWQiOiIxNDUyMDU5ODI3In0=</vt:lpwstr>
  </property>
</Properties>
</file>