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版本号：N511901202600005420260525001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四川省巴中市国有林场管护用房建设配套设施（空调）采购项目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N5119012026000054</w:t>
      </w:r>
    </w:p>
    <w:p>
      <w:pPr>
        <w:pStyle w:val="null3"/>
        <w:jc w:val="left"/>
        <w:outlineLvl w:val="2"/>
      </w:pPr>
      <w:r>
        <w:rPr>
          <w:rFonts w:ascii="仿宋_GB2312" w:hAnsi="仿宋_GB2312" w:cs="仿宋_GB2312" w:eastAsia="仿宋_GB2312"/>
          <w:sz w:val="28"/>
          <w:b/>
        </w:rPr>
        <w:t>巴中市林业局</w:t>
      </w:r>
    </w:p>
    <w:p>
      <w:pPr>
        <w:pStyle w:val="null3"/>
        <w:jc w:val="center"/>
        <w:outlineLvl w:val="2"/>
      </w:pPr>
      <w:r>
        <w:rPr>
          <w:rFonts w:ascii="仿宋_GB2312" w:hAnsi="仿宋_GB2312" w:cs="仿宋_GB2312" w:eastAsia="仿宋_GB2312"/>
          <w:sz w:val="28"/>
          <w:b/>
        </w:rPr>
        <w:t>巴中市政府采购中心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巴中市政府采购中心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巴中市林业局</w:t>
      </w:r>
      <w:r>
        <w:rPr>
          <w:rFonts w:ascii="仿宋_GB2312" w:hAnsi="仿宋_GB2312" w:cs="仿宋_GB2312" w:eastAsia="仿宋_GB2312"/>
        </w:rPr>
        <w:t xml:space="preserve"> 委托，拟对 </w:t>
      </w:r>
      <w:r>
        <w:rPr>
          <w:rFonts w:ascii="仿宋_GB2312" w:hAnsi="仿宋_GB2312" w:cs="仿宋_GB2312" w:eastAsia="仿宋_GB2312"/>
        </w:rPr>
        <w:t>四川省巴中市国有林场管护用房建设配套设施（空调）采购项目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巴中市市本级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N5119012026000054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四川省巴中市国有林场管护用房建设配套设施（空调）采购项目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本项目共一个包，需采购一批空调，用于建设四川省巴中市国有林场管护用房</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巴中市林业局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巴州区云台街109号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0827-5260913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巴中市政府采购中心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四川省巴中市经济开发区红星街70号市民之家4楼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0827-3339062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采购包1：366,000.00元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巴中市林业局</w:t>
      </w:r>
      <w:r>
        <w:rPr>
          <w:rFonts w:ascii="仿宋_GB2312" w:hAnsi="仿宋_GB2312" w:cs="仿宋_GB2312" w:eastAsia="仿宋_GB2312"/>
        </w:rPr>
        <w:t xml:space="preserve"> 和 </w:t>
      </w:r>
      <w:r>
        <w:rPr>
          <w:rFonts w:ascii="仿宋_GB2312" w:hAnsi="仿宋_GB2312" w:cs="仿宋_GB2312" w:eastAsia="仿宋_GB2312"/>
        </w:rPr>
        <w:t>巴中市政府采购中心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巴中市林业局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巴中市政府采购中心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交付标准和方法：按国家有关规定以及甲方招标文件的质量要求和技术指标、乙方的投标文件及承诺与本合同约定标准进行验收；甲乙双方如对质量要求和技术指标的约定标准有相互抵触或异议的事项，由甲方在招标文件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质量保修范围和保修期：1、本项目质保期为验收合格后一年，质保期内出现质量问题，成交方在接到通知后，半小时内响应，2小时内到现场，24小时内完成维修或更换不合格的产品，并承担维修更换的费用；如货物经成交方2次维修仍不能正常使用的，由成交方更换全新产品。2、在质保期后出现质量问题，成交方在接到通知后4小时内响应，12小时内到达现场，24小时内完成维修或更换合格的产品，确保正常使用，维修人工免费，材料等费用统一按此次成本价进行结算。3、免费安装调试、人员培训、技术支持。定期进行用户回访，及时处理用户意见</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严格按照《财政部关于进一步加强政府采购需求和履约验收管理的指导意见》（财库【2016】205号）的要求、行业要求、采购文件规定的要求和供应商响应文件及合同承诺的内容进行验收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巴中市林业局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巴中市政府采购中心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巴中市政府采购中心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联系电话：0827-5260913</w:t>
      </w:r>
    </w:p>
    <w:p>
      <w:pPr>
        <w:pStyle w:val="null3"/>
        <w:jc w:val="left"/>
      </w:pPr>
      <w:r>
        <w:rPr>
          <w:rFonts w:ascii="仿宋_GB2312" w:hAnsi="仿宋_GB2312" w:cs="仿宋_GB2312" w:eastAsia="仿宋_GB2312"/>
        </w:rPr>
        <w:t>地址：巴州区云台街109号</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联系人：巴中市政府采购中心</w:t>
      </w:r>
    </w:p>
    <w:p>
      <w:pPr>
        <w:pStyle w:val="null3"/>
        <w:jc w:val="left"/>
      </w:pPr>
      <w:r>
        <w:rPr>
          <w:rFonts w:ascii="仿宋_GB2312" w:hAnsi="仿宋_GB2312" w:cs="仿宋_GB2312" w:eastAsia="仿宋_GB2312"/>
        </w:rPr>
        <w:t>联系电话：0827-3339062</w:t>
      </w:r>
    </w:p>
    <w:p>
      <w:pPr>
        <w:pStyle w:val="null3"/>
        <w:jc w:val="left"/>
      </w:pPr>
      <w:r>
        <w:rPr>
          <w:rFonts w:ascii="仿宋_GB2312" w:hAnsi="仿宋_GB2312" w:cs="仿宋_GB2312" w:eastAsia="仿宋_GB2312"/>
        </w:rPr>
        <w:t>地址：四川省巴中市经济开发区红星街70号市民之家4楼</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366,000.00</w:t>
      </w:r>
    </w:p>
    <w:p>
      <w:pPr>
        <w:pStyle w:val="null3"/>
        <w:jc w:val="left"/>
      </w:pPr>
      <w:r>
        <w:rPr>
          <w:rFonts w:ascii="仿宋_GB2312" w:hAnsi="仿宋_GB2312" w:cs="仿宋_GB2312" w:eastAsia="仿宋_GB2312"/>
        </w:rPr>
        <w:t>采购包最高限价（元）: 366,000.00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壁挂式1.5匹变频冷暖空调</w:t>
            </w:r>
          </w:p>
        </w:tc>
        <w:tc>
          <w:tcPr>
            <w:tcW w:type="dxa" w:w="821"/>
          </w:tcPr>
          <w:p>
            <w:pPr>
              <w:pStyle w:val="null3"/>
              <w:jc w:val="right"/>
            </w:pPr>
            <w:r>
              <w:rPr>
                <w:rFonts w:ascii="仿宋_GB2312" w:hAnsi="仿宋_GB2312" w:cs="仿宋_GB2312" w:eastAsia="仿宋_GB2312"/>
              </w:rPr>
              <w:t>90.00（台）</w:t>
            </w:r>
          </w:p>
        </w:tc>
        <w:tc>
          <w:tcPr>
            <w:tcW w:type="dxa" w:w="821"/>
          </w:tcPr>
          <w:p>
            <w:pPr>
              <w:pStyle w:val="null3"/>
              <w:jc w:val="right"/>
            </w:pPr>
            <w:r>
              <w:rPr>
                <w:rFonts w:ascii="仿宋_GB2312" w:hAnsi="仿宋_GB2312" w:cs="仿宋_GB2312" w:eastAsia="仿宋_GB2312"/>
              </w:rPr>
              <w:t>270,000.00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立式大3匹变频冷暖空调</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96,000.00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壁挂式1.5匹变频冷暖空调</w:t>
            </w:r>
          </w:p>
        </w:tc>
        <w:tc>
          <w:tcPr>
            <w:tcW w:type="dxa" w:w="1138"/>
          </w:tcPr>
          <w:p>
            <w:pPr>
              <w:pStyle w:val="null3"/>
              <w:jc w:val="center"/>
            </w:pPr>
            <w:r>
              <w:rPr>
                <w:rFonts w:ascii="仿宋_GB2312" w:hAnsi="仿宋_GB2312" w:cs="仿宋_GB2312" w:eastAsia="仿宋_GB2312"/>
              </w:rPr>
              <w:t>90.00（台）</w:t>
            </w:r>
          </w:p>
        </w:tc>
        <w:tc>
          <w:tcPr>
            <w:tcW w:type="dxa" w:w="1365"/>
          </w:tcPr>
          <w:p>
            <w:pPr>
              <w:pStyle w:val="null3"/>
              <w:jc w:val="center"/>
            </w:pPr>
            <w:r>
              <w:rPr>
                <w:rFonts w:ascii="仿宋_GB2312" w:hAnsi="仿宋_GB2312" w:cs="仿宋_GB2312" w:eastAsia="仿宋_GB2312"/>
              </w:rPr>
              <w:t>270,000.00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立式大3匹变频冷暖空调</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立式大3匹变频冷暖空调</w:t>
            </w:r>
          </w:p>
        </w:tc>
        <w:tc>
          <w:tcPr>
            <w:tcW w:type="dxa" w:w="2492"/>
          </w:tcPr>
          <w:p>
            <w:pPr>
              <w:pStyle w:val="null3"/>
              <w:jc w:val="left"/>
            </w:pPr>
            <w:r>
              <w:rPr>
                <w:rFonts w:ascii="仿宋_GB2312" w:hAnsi="仿宋_GB2312" w:cs="仿宋_GB2312" w:eastAsia="仿宋_GB2312"/>
              </w:rPr>
              <w:t>立式大3匹变频冷暖空调</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壁挂式1.5匹变频冷暖空调</w:t>
            </w:r>
          </w:p>
        </w:tc>
        <w:tc>
          <w:tcPr>
            <w:tcW w:type="dxa" w:w="2492"/>
          </w:tcPr>
          <w:p>
            <w:pPr>
              <w:pStyle w:val="null3"/>
              <w:jc w:val="left"/>
            </w:pPr>
            <w:r>
              <w:rPr>
                <w:rFonts w:ascii="仿宋_GB2312" w:hAnsi="仿宋_GB2312" w:cs="仿宋_GB2312" w:eastAsia="仿宋_GB2312"/>
              </w:rPr>
              <w:t>壁挂式1.5匹变频冷暖空调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立式大3匹变频冷暖空调</w:t>
            </w:r>
          </w:p>
        </w:tc>
        <w:tc>
          <w:tcPr>
            <w:tcW w:type="dxa" w:w="2492"/>
          </w:tcPr>
          <w:p>
            <w:pPr>
              <w:pStyle w:val="null3"/>
              <w:jc w:val="left"/>
            </w:pPr>
            <w:r>
              <w:rPr>
                <w:rFonts w:ascii="仿宋_GB2312" w:hAnsi="仿宋_GB2312" w:cs="仿宋_GB2312" w:eastAsia="仿宋_GB2312"/>
              </w:rPr>
              <w:t>立式大3匹变频冷暖空调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壁挂式1.5匹变频冷暖空调</w:t>
            </w:r>
          </w:p>
        </w:tc>
        <w:tc>
          <w:tcPr>
            <w:tcW w:type="dxa" w:w="2492"/>
          </w:tcPr>
          <w:p>
            <w:pPr>
              <w:pStyle w:val="null3"/>
              <w:jc w:val="left"/>
            </w:pPr>
            <w:r>
              <w:rPr>
                <w:rFonts w:ascii="仿宋_GB2312" w:hAnsi="仿宋_GB2312" w:cs="仿宋_GB2312" w:eastAsia="仿宋_GB2312"/>
              </w:rPr>
              <w:t>壁挂式1.5匹变频冷暖空调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立式大3匹变频冷暖空调</w:t>
            </w:r>
          </w:p>
        </w:tc>
        <w:tc>
          <w:tcPr>
            <w:tcW w:type="dxa" w:w="2492"/>
          </w:tcPr>
          <w:p>
            <w:pPr>
              <w:pStyle w:val="null3"/>
              <w:jc w:val="left"/>
            </w:pPr>
            <w:r>
              <w:rPr>
                <w:rFonts w:ascii="仿宋_GB2312" w:hAnsi="仿宋_GB2312" w:cs="仿宋_GB2312" w:eastAsia="仿宋_GB2312"/>
              </w:rPr>
              <w:t>立式大3匹变频冷暖空调</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标的名称：壁挂式1.5匹变频冷暖空调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壁挂式1.5匹变频冷暖空调</w:t>
            </w:r>
          </w:p>
        </w:tc>
        <w:tc>
          <w:tcPr>
            <w:tcW w:type="dxa" w:w="5814"/>
          </w:tcPr>
          <w:p>
            <w:pPr>
              <w:pStyle w:val="null3"/>
              <w:jc w:val="left"/>
            </w:pPr>
            <w:r>
              <w:rPr>
                <w:rFonts w:ascii="仿宋_GB2312" w:hAnsi="仿宋_GB2312" w:cs="仿宋_GB2312" w:eastAsia="仿宋_GB2312"/>
                <w:sz w:val="24"/>
              </w:rPr>
              <w:t xml:space="preserve">1.能效等级:1级（GB21455-2019）   </w:t>
            </w:r>
            <w:r>
              <w:br/>
            </w:r>
            <w:r>
              <w:rPr>
                <w:rFonts w:ascii="仿宋_GB2312" w:hAnsi="仿宋_GB2312" w:cs="仿宋_GB2312" w:eastAsia="仿宋_GB2312"/>
                <w:sz w:val="24"/>
              </w:rPr>
              <w:t xml:space="preserve"> 2.能效比(APF):</w:t>
            </w:r>
            <w:r>
              <w:rPr>
                <w:rFonts w:ascii="仿宋_GB2312" w:hAnsi="仿宋_GB2312" w:cs="仿宋_GB2312" w:eastAsia="仿宋_GB2312"/>
                <w:sz w:val="24"/>
                <w:color w:val="000000"/>
              </w:rPr>
              <w:t>≥5.28；制冷季节耗电量（KW.h)≤347、制热季节耗电量（KW.h)≤290;</w:t>
            </w:r>
          </w:p>
          <w:p>
            <w:pPr>
              <w:pStyle w:val="null3"/>
              <w:jc w:val="left"/>
            </w:pPr>
            <w:r>
              <w:rPr>
                <w:rFonts w:ascii="仿宋_GB2312" w:hAnsi="仿宋_GB2312" w:cs="仿宋_GB2312" w:eastAsia="仿宋_GB2312"/>
                <w:sz w:val="24"/>
                <w:color w:val="000000"/>
              </w:rPr>
              <w:t>3.额定制冷量(W):≥3530.额定制热量(W):≥5010；</w:t>
            </w:r>
          </w:p>
          <w:p>
            <w:pPr>
              <w:pStyle w:val="null3"/>
              <w:jc w:val="left"/>
            </w:pPr>
            <w:r>
              <w:rPr>
                <w:rFonts w:ascii="仿宋_GB2312" w:hAnsi="仿宋_GB2312" w:cs="仿宋_GB2312" w:eastAsia="仿宋_GB2312"/>
                <w:sz w:val="24"/>
                <w:color w:val="000000"/>
              </w:rPr>
              <w:t>4.制冷功率(W):≤845、5.制热功率(W):≤1245；</w:t>
            </w:r>
          </w:p>
          <w:p>
            <w:pPr>
              <w:pStyle w:val="null3"/>
              <w:jc w:val="left"/>
            </w:pPr>
            <w:r>
              <w:rPr>
                <w:rFonts w:ascii="仿宋_GB2312" w:hAnsi="仿宋_GB2312" w:cs="仿宋_GB2312" w:eastAsia="仿宋_GB2312"/>
                <w:sz w:val="24"/>
                <w:color w:val="000000"/>
              </w:rPr>
              <w:t>5.室内机噪音(dB(A)):≤41,室外机噪音(dB(A)):≤51；</w:t>
            </w:r>
          </w:p>
          <w:p>
            <w:pPr>
              <w:pStyle w:val="null3"/>
              <w:jc w:val="left"/>
            </w:pPr>
            <w:r>
              <w:rPr>
                <w:rFonts w:ascii="仿宋_GB2312" w:hAnsi="仿宋_GB2312" w:cs="仿宋_GB2312" w:eastAsia="仿宋_GB2312"/>
                <w:sz w:val="24"/>
                <w:color w:val="000000"/>
              </w:rPr>
              <w:t>6.电辅热功率(W):≤850；</w:t>
            </w:r>
          </w:p>
          <w:p>
            <w:pPr>
              <w:pStyle w:val="null3"/>
              <w:jc w:val="left"/>
            </w:pPr>
            <w:r>
              <w:rPr>
                <w:rFonts w:ascii="仿宋_GB2312" w:hAnsi="仿宋_GB2312" w:cs="仿宋_GB2312" w:eastAsia="仿宋_GB2312"/>
                <w:sz w:val="24"/>
                <w:color w:val="000000"/>
              </w:rPr>
              <w:t>7.循环风量(m³/h):≥720；</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主</w:t>
            </w:r>
            <w:r>
              <w:rPr>
                <w:rFonts w:ascii="仿宋_GB2312" w:hAnsi="仿宋_GB2312" w:cs="仿宋_GB2312" w:eastAsia="仿宋_GB2312"/>
                <w:sz w:val="24"/>
                <w:color w:val="000000"/>
              </w:rPr>
              <w:t>要部件均为纯铜管路且铜含量≥99.9%（包含不限于：内外机连机管、冷凝器、蒸发器、截止阀等）；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4"/>
              </w:rPr>
              <w:t>9.空调具备物联网模块组件，通电后自动完成网络接入，配套云服务与软件管理平台以实现本项目所有空调统一端口界面集中管理。至少可以实现下列功能①空调设备运行状态实时显示（含空调开关机状态、设定温度、模式）②集中控制（含空调开关机、模式、温度、风速）③能源管理：系统能统计分析空调的用电量。能按日/周/月/年等维度生成能耗分析报告（分区域、楼栋、房间、设备）④对设定的最高/最低温度限定⑤批量定时任务设定和下发；【说明：提供彩页或系统截图进行逐条佐证】；</w:t>
            </w:r>
            <w:r>
              <w:br/>
            </w:r>
            <w:r>
              <w:rPr>
                <w:rFonts w:ascii="仿宋_GB2312" w:hAnsi="仿宋_GB2312" w:cs="仿宋_GB2312" w:eastAsia="仿宋_GB2312"/>
                <w:sz w:val="24"/>
              </w:rPr>
              <w:t xml:space="preserve"> 10.物联网组件适配空调原厂电路板实现即插即用，不得额外接电改装/焊接/修改空调原厂电脑板（含电路），不得影响原厂保修。物联网软件系统可显示具体房间的具体故障（包含压缩机故障、传感器故障、通讯故障、设备功能故障、显示故障等）并自动上报至空调厂家售后，同时支持空调固件远程OTA升级【说明：提供具体物联网组件品牌、型号、软件系统全称】。</w:t>
            </w:r>
            <w:r>
              <w:br/>
            </w:r>
            <w:r>
              <w:rPr>
                <w:rFonts w:ascii="仿宋_GB2312" w:hAnsi="仿宋_GB2312" w:cs="仿宋_GB2312" w:eastAsia="仿宋_GB2312"/>
                <w:sz w:val="24"/>
              </w:rPr>
              <w:t xml:space="preserve"> 11.系统支持空调批量上锁/解锁；支持辅助电加热禁/启、支持遥控禁/启用；系统支持一键导入集中控制指令（如作息时间表、课程表）且空调可自动执行禁用时段和空调运行指令；系统日志支持表格导出。</w:t>
            </w:r>
            <w:r>
              <w:br/>
            </w:r>
            <w:r>
              <w:rPr>
                <w:rFonts w:ascii="仿宋_GB2312" w:hAnsi="仿宋_GB2312" w:cs="仿宋_GB2312" w:eastAsia="仿宋_GB2312"/>
                <w:sz w:val="24"/>
              </w:rPr>
              <w:t xml:space="preserve"> 12.系统支持查看空调是否已执行远程控制指令并实时反馈指令执行结果，空调蜂鸣器可反应指令是否下达，管理账号支持分级与权限自定义下发。支持空调设备定位功能，方便设备盘点和资产管理。</w:t>
            </w:r>
          </w:p>
          <w:p>
            <w:pPr>
              <w:pStyle w:val="null3"/>
              <w:jc w:val="left"/>
            </w:pPr>
            <w:r>
              <w:rPr>
                <w:rFonts w:ascii="仿宋_GB2312" w:hAnsi="仿宋_GB2312" w:cs="仿宋_GB2312" w:eastAsia="仿宋_GB2312"/>
                <w:sz w:val="24"/>
              </w:rPr>
              <w:t>【说明：参数要求第1-3条佐证资料以“中国能效标识网”最新备案截图为准；参数要求第4-7条提供厂家官网截图或彩页或说明书作为证明材料(应在公开渠道可查询核实,响应文件提供查询方法路径)（</w:t>
            </w:r>
            <w:r>
              <w:rPr>
                <w:rFonts w:ascii="仿宋_GB2312" w:hAnsi="仿宋_GB2312" w:cs="仿宋_GB2312" w:eastAsia="仿宋_GB2312"/>
                <w:sz w:val="24"/>
              </w:rPr>
              <w:t>也可提供国家认可的第三方检测机构出具的带CMA标识的检测报告复印件予以佐证，参数值判定以铭牌值为准，检</w:t>
            </w:r>
            <w:r>
              <w:rPr>
                <w:rFonts w:ascii="仿宋_GB2312" w:hAnsi="仿宋_GB2312" w:cs="仿宋_GB2312" w:eastAsia="仿宋_GB2312"/>
                <w:sz w:val="24"/>
              </w:rPr>
              <w:t>测报告的标准依据GB21455-2019、GB/T7725-2022等相关国标。响应文件应提供“全国认证认可信息公共服务平台”联网查询的“报告编号”截图）】。</w:t>
            </w:r>
          </w:p>
        </w:tc>
      </w:tr>
    </w:tbl>
    <w:p>
      <w:pPr>
        <w:pStyle w:val="null3"/>
        <w:jc w:val="left"/>
      </w:pPr>
      <w:r>
        <w:rPr>
          <w:rFonts w:ascii="仿宋_GB2312" w:hAnsi="仿宋_GB2312" w:cs="仿宋_GB2312" w:eastAsia="仿宋_GB2312"/>
        </w:rPr>
        <w:t>标的名称：立式大3匹变频冷暖空调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立式大3匹变频冷暖空调</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能耗等级</w:t>
            </w:r>
            <w:r>
              <w:rPr>
                <w:rFonts w:ascii="仿宋_GB2312" w:hAnsi="仿宋_GB2312" w:cs="仿宋_GB2312" w:eastAsia="仿宋_GB2312"/>
                <w:sz w:val="24"/>
              </w:rPr>
              <w:t>:1级（GB21455-2019）</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APF能效比≥4.35、制冷季节耗电量≤1035KW·H、制热季节耗电量≤870KW·H。</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额定制冷量</w:t>
            </w:r>
            <w:r>
              <w:rPr>
                <w:rFonts w:ascii="仿宋_GB2312" w:hAnsi="仿宋_GB2312" w:cs="仿宋_GB2312" w:eastAsia="仿宋_GB2312"/>
                <w:sz w:val="24"/>
              </w:rPr>
              <w:t>≥7610W，额定制热量≥10210W。</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额定制冷功率</w:t>
            </w:r>
            <w:r>
              <w:rPr>
                <w:rFonts w:ascii="仿宋_GB2312" w:hAnsi="仿宋_GB2312" w:cs="仿宋_GB2312" w:eastAsia="仿宋_GB2312"/>
                <w:sz w:val="24"/>
              </w:rPr>
              <w:t>≤2900W。额定制热功率≤3200W。</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室内机循环风量</w:t>
            </w:r>
            <w:r>
              <w:rPr>
                <w:rFonts w:ascii="仿宋_GB2312" w:hAnsi="仿宋_GB2312" w:cs="仿宋_GB2312" w:eastAsia="仿宋_GB2312"/>
                <w:sz w:val="24"/>
              </w:rPr>
              <w:t>≥1500m³/h。</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电辅热</w:t>
            </w:r>
            <w:r>
              <w:rPr>
                <w:rFonts w:ascii="仿宋_GB2312" w:hAnsi="仿宋_GB2312" w:cs="仿宋_GB2312" w:eastAsia="仿宋_GB2312"/>
                <w:sz w:val="24"/>
              </w:rPr>
              <w:t>1800-2500W，</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内机噪音最大值</w:t>
            </w:r>
            <w:r>
              <w:rPr>
                <w:rFonts w:ascii="仿宋_GB2312" w:hAnsi="仿宋_GB2312" w:cs="仿宋_GB2312" w:eastAsia="仿宋_GB2312"/>
                <w:sz w:val="24"/>
              </w:rPr>
              <w:t>≤49dB(A)。外机噪音最大值≤58dB(A)。</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主要部件均为纯铜管路且铜含量</w:t>
            </w:r>
            <w:r>
              <w:rPr>
                <w:rFonts w:ascii="仿宋_GB2312" w:hAnsi="仿宋_GB2312" w:cs="仿宋_GB2312" w:eastAsia="仿宋_GB2312"/>
                <w:sz w:val="24"/>
              </w:rPr>
              <w:t>≥99.9%（包含不限于：内外机连机管、冷凝器、蒸发器、截止阀等）；室内机出风口盖板具备自动防夹功能（如遇手指被夹等危险情况可自动打开）</w:t>
            </w:r>
          </w:p>
          <w:p>
            <w:pPr>
              <w:pStyle w:val="null3"/>
              <w:jc w:val="left"/>
            </w:pPr>
            <w:r>
              <w:rPr>
                <w:rFonts w:ascii="仿宋_GB2312" w:hAnsi="仿宋_GB2312" w:cs="仿宋_GB2312" w:eastAsia="仿宋_GB2312"/>
                <w:sz w:val="24"/>
              </w:rPr>
              <w:t>9.空调具备物联网模块组件，通电后自动完成网络接入，配套云服务与软件管理平台以实现本项目所有空调统一端口界面集中管理。至少可以实现下列功能①空调设备运行状态实时显示（含空调开关机状态、设定温度、模式）②集中控制（含空调开关机、模式、温度、风速）③能源管理：系统能统计分析空调的用电量。能按日/周/月/年等维度生成能耗分析报告（分区域、楼栋、房间、设备）④对设定的最高/最低温度限定⑤批量定时任务设定和下发；【说明：提供彩页或系统截图进行逐条佐证】；</w:t>
            </w:r>
            <w:r>
              <w:br/>
            </w:r>
            <w:r>
              <w:rPr>
                <w:rFonts w:ascii="仿宋_GB2312" w:hAnsi="仿宋_GB2312" w:cs="仿宋_GB2312" w:eastAsia="仿宋_GB2312"/>
                <w:sz w:val="24"/>
              </w:rPr>
              <w:t>10.物联网组件适配空调原厂电路板实现即插即用，不得额外接电改装/焊接/修改空调原厂电脑板（含电路），不得影响原厂保修。物联网软件系统可显示具体房间的具体故障（包含压缩机故障、传感器故障、通讯故障、设备功能故障、显示故障等）并自动上报至空调厂家售后，同时支持空调固件远程OTA升级【说明：提供具体物联网组件品牌、型号、软件系统全称】。</w:t>
            </w:r>
            <w:r>
              <w:br/>
            </w:r>
            <w:r>
              <w:rPr>
                <w:rFonts w:ascii="仿宋_GB2312" w:hAnsi="仿宋_GB2312" w:cs="仿宋_GB2312" w:eastAsia="仿宋_GB2312"/>
                <w:sz w:val="24"/>
              </w:rPr>
              <w:t>11.系统支持空调批量上锁/解锁；支持辅助电加热禁/启、支持遥控禁/启用；系统支持一键导入集中控制指令（如作息时间表、课程表）且空调可自动执行禁用时段和空调运行指令；系统日志支持表格导出。</w:t>
            </w:r>
            <w:r>
              <w:br/>
            </w:r>
            <w:r>
              <w:rPr>
                <w:rFonts w:ascii="仿宋_GB2312" w:hAnsi="仿宋_GB2312" w:cs="仿宋_GB2312" w:eastAsia="仿宋_GB2312"/>
                <w:sz w:val="24"/>
              </w:rPr>
              <w:t>12.系统支持查看空调是否已执行远程控制指令并实时反馈指令执行结果，空调蜂鸣器可反应指令是否下达，管理账号支持分级与权限自定义下发。支持空调设备定位功能，方便设备盘点和资产管理。</w:t>
            </w:r>
          </w:p>
          <w:p>
            <w:pPr>
              <w:pStyle w:val="null3"/>
              <w:jc w:val="left"/>
            </w:pPr>
            <w:r>
              <w:rPr>
                <w:rFonts w:ascii="仿宋_GB2312" w:hAnsi="仿宋_GB2312" w:cs="仿宋_GB2312" w:eastAsia="仿宋_GB2312"/>
                <w:sz w:val="24"/>
              </w:rPr>
              <w:t>【说明：参数要求第</w:t>
            </w:r>
            <w:r>
              <w:rPr>
                <w:rFonts w:ascii="仿宋_GB2312" w:hAnsi="仿宋_GB2312" w:cs="仿宋_GB2312" w:eastAsia="仿宋_GB2312"/>
                <w:sz w:val="24"/>
              </w:rPr>
              <w:t>1-3条佐证资料以“中国能效标识网”最新备案截图为准；参数要求第4-7条提供厂家官网截图或彩页或说明书作为证明材料(应在公开渠道可查询核实,响应文件提供查询方法路径)（也可提供国家认可的第三方检测机构出具的带CMA标识的检测报告复印件予以佐证，参数值判定以铭牌值为准，检测报告的标准依据GB21455-2019、GB/T7725-2022等相关国标。响应文件应提供“全国认证认可信息公共服务平台”联网查询的“报告编号”截图）】</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南江县大坝国有林场、南江县沙坝国有林场、南江县大江口国有林场、通江县海鹰寺国有林场、通江县黄柏国有林场、通江县空山国有林场、通江县南教城国有林场、巴州区南阳国有林场。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预付款，合同签订后，供应商开具发票，达到付款条件起7个工作日内，支付合同总金额的40.0%</w:t>
            </w:r>
            <w:r>
              <w:br/>
            </w:r>
            <w:r>
              <w:rPr>
                <w:rFonts w:ascii="仿宋_GB2312" w:hAnsi="仿宋_GB2312" w:cs="仿宋_GB2312" w:eastAsia="仿宋_GB2312"/>
              </w:rPr>
              <w:t>2、</w:t>
            </w:r>
            <w:r>
              <w:rPr>
                <w:rFonts w:ascii="仿宋_GB2312" w:hAnsi="仿宋_GB2312" w:cs="仿宋_GB2312" w:eastAsia="仿宋_GB2312"/>
              </w:rPr>
              <w:t>尾款， 完成供货和安装调试并经验收合格，供应商开具发票后，达到付款条件起7个工作日内，支付合同总金额的60.0%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按国家有关规定以及甲方采购文件的质量要求和技术指标、乙方的响应文件文件及承诺与本合同约定标准进行验收；甲乙双方如对质量要求和技术指标的约定标准有相互抵触或异议的事项，由甲方在采购文件与响应文件中按质量要求和技术指标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保修范围和保修期：1、本项目质保期为验收合格后一年，质保期内出现质量问题，成交方在接到通知后，半小时内响应，2小时内到现场，24小时内完成维修或更换不合格的产品，并承担维修更换的费用；如货物经成交方2次维修仍不能正常使用的，由成交方更换全新产品。2、在质保期后出现质量问题，成交方在接到通知后4小时内响应，12小时内到达现场，24小时内完成维修或更换合格的产品，确保正常使用，维修人工免费，材料等费用统一按此次成本价进行结算。3、免费安装调试、人员培训、技术支持。定期进行用户回访，及时处理用户意见。</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与解决争议的方法：1、因货物的质量问题发生争议，由质量技术监督部门或其指定的质量鉴定机构进行质量鉴定。货物符合标准的，鉴定费由甲方承担；货物不符合质量标准的，鉴定费由乙方承担。2、在执行本合同中发生的或与本合同有关的争端，双方应通过友好协商解决，经协商在90天内不能达成协议时，应提交项目所在地人民法院提起诉讼。3、在诉讼期间，乙方不得停止服务，并应保证政府采购合同的继续履行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（1）若为企业法人：提供“统一社会信用代码营业执照”扫描件，未换证的提供“营业执照、税务登记证、组织机构代码证或三证合一的营业执照扫描件； （2）若为事业法人：提供“统一社会信用代码法人登记证书”扫描件；未换证的提供“事业法人登记证书、组织机构代码证”扫描件。 （3）若为其他组织：提供“对应主管部门颁发的准许执业证明文件或营业执照”扫描件。 （4）若为自然人：提供其身份证扫描件。 （5）法人单位和其他组织单位还应提供法定代表人（或负责人）身份证扫描件。 注：供应商需在项目电子化交易系统中按要求填写《投标（响应）函》完成承诺并在响应文件封面进行电子签章。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提供财务状况报告（以下四者任选其一均可）： a.可提供近两年任一年度经审计的财务报告（包含审计报告和审计报告中所涉及的财务报表和报表附注）扫描件； b.可提供近两年任一年度供应商完整的全套财务报表（应当包括资产负债表、利润表、现金流量表）扫描件； c.可提供截至响应截止日一年内银行出具的资信证明扫描件； d.供应商注册时间截至响应截止日不足一年的，也可提供在工商管理部门备案的公司章程扫描件。 （注：不得要求供应商提供证明财务报告中签字签章人或者第三方机构的身份证明、财务报告中数据信息真实性有效性的证明材料）注：供应商可以提供上述材料其中之一或《投标（响应）函》。</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技术、服务响应</w:t>
            </w:r>
          </w:p>
        </w:tc>
        <w:tc>
          <w:tcPr>
            <w:tcW w:type="dxa" w:w="3322"/>
          </w:tcPr>
          <w:p>
            <w:pPr>
              <w:pStyle w:val="null3"/>
              <w:jc w:val="left"/>
            </w:pPr>
            <w:r>
              <w:rPr>
                <w:rFonts w:ascii="仿宋_GB2312" w:hAnsi="仿宋_GB2312" w:cs="仿宋_GB2312" w:eastAsia="仿宋_GB2312"/>
              </w:rPr>
              <w:t>供应商需在项目电子化交易系统中按要求上传相应文件（供应商需逐项进行响应）。</w:t>
            </w:r>
          </w:p>
        </w:tc>
        <w:tc>
          <w:tcPr>
            <w:tcW w:type="dxa" w:w="1661"/>
          </w:tcPr>
          <w:p>
            <w:pPr>
              <w:pStyle w:val="null3"/>
              <w:jc w:val="left"/>
            </w:pPr>
            <w:r>
              <w:rPr>
                <w:rFonts w:ascii="仿宋_GB2312" w:hAnsi="仿宋_GB2312" w:cs="仿宋_GB2312" w:eastAsia="仿宋_GB2312"/>
              </w:rPr>
              <w:t>产品技术参数响应表,关于符合本国产品标准的声明函,服务应答表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按供应商最后报价从低到高顺序排列，保留至小数点后2位。</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