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92E1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jc w:val="center"/>
        <w:outlineLvl w:val="9"/>
        <w:rPr>
          <w:rFonts w:hint="eastAsia" w:ascii="仿宋" w:hAnsi="仿宋" w:eastAsia="仿宋" w:cs="仿宋"/>
          <w:b/>
          <w:bCs/>
          <w:caps w:val="0"/>
          <w:color w:val="000000"/>
          <w:spacing w:val="0"/>
          <w:kern w:val="0"/>
          <w:sz w:val="52"/>
          <w:szCs w:val="52"/>
          <w:lang w:eastAsia="zh-CN"/>
        </w:rPr>
      </w:pPr>
    </w:p>
    <w:p w14:paraId="090672F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jc w:val="center"/>
        <w:outlineLvl w:val="9"/>
        <w:rPr>
          <w:rFonts w:hint="eastAsia" w:ascii="仿宋" w:hAnsi="仿宋" w:eastAsia="仿宋" w:cs="仿宋"/>
          <w:b/>
          <w:bCs/>
          <w:caps w:val="0"/>
          <w:color w:val="000000"/>
          <w:spacing w:val="0"/>
          <w:kern w:val="0"/>
          <w:sz w:val="52"/>
          <w:szCs w:val="52"/>
          <w:lang w:eastAsia="zh-CN"/>
        </w:rPr>
      </w:pPr>
    </w:p>
    <w:p w14:paraId="3D0CF4A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jc w:val="center"/>
        <w:outlineLvl w:val="9"/>
        <w:rPr>
          <w:rFonts w:hint="eastAsia" w:ascii="仿宋" w:hAnsi="仿宋" w:eastAsia="仿宋" w:cs="仿宋"/>
          <w:b/>
          <w:bCs/>
          <w:caps w:val="0"/>
          <w:color w:val="000000"/>
          <w:spacing w:val="0"/>
          <w:kern w:val="0"/>
          <w:sz w:val="52"/>
          <w:szCs w:val="52"/>
          <w:lang w:eastAsia="zh-CN"/>
        </w:rPr>
      </w:pPr>
    </w:p>
    <w:p w14:paraId="3F49C15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jc w:val="center"/>
        <w:outlineLvl w:val="9"/>
        <w:rPr>
          <w:rFonts w:hint="eastAsia" w:ascii="仿宋" w:hAnsi="仿宋" w:eastAsia="仿宋" w:cs="仿宋"/>
          <w:b/>
          <w:bCs/>
          <w:caps w:val="0"/>
          <w:color w:val="000000"/>
          <w:spacing w:val="0"/>
          <w:kern w:val="0"/>
          <w:sz w:val="52"/>
          <w:szCs w:val="52"/>
          <w:lang w:eastAsia="zh-CN"/>
        </w:rPr>
      </w:pPr>
    </w:p>
    <w:p w14:paraId="74E5F5C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jc w:val="center"/>
        <w:outlineLvl w:val="9"/>
        <w:rPr>
          <w:rFonts w:hint="eastAsia" w:ascii="仿宋" w:hAnsi="仿宋" w:eastAsia="仿宋" w:cs="仿宋"/>
          <w:b/>
          <w:bCs/>
          <w:caps w:val="0"/>
          <w:color w:val="000000"/>
          <w:spacing w:val="0"/>
          <w:kern w:val="0"/>
          <w:sz w:val="52"/>
          <w:szCs w:val="52"/>
          <w:lang w:eastAsia="zh-CN"/>
        </w:rPr>
      </w:pPr>
      <w:r>
        <w:rPr>
          <w:rFonts w:hint="eastAsia" w:ascii="仿宋" w:hAnsi="仿宋" w:eastAsia="仿宋" w:cs="仿宋"/>
          <w:b/>
          <w:bCs/>
          <w:caps w:val="0"/>
          <w:color w:val="000000"/>
          <w:spacing w:val="0"/>
          <w:kern w:val="0"/>
          <w:sz w:val="52"/>
          <w:szCs w:val="52"/>
          <w:lang w:eastAsia="zh-CN"/>
        </w:rPr>
        <w:t>2026年度IDC托管机房服务项目</w:t>
      </w:r>
    </w:p>
    <w:p w14:paraId="638B4C4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jc w:val="center"/>
        <w:outlineLvl w:val="9"/>
        <w:rPr>
          <w:rFonts w:hint="eastAsia" w:ascii="仿宋" w:hAnsi="仿宋" w:eastAsia="仿宋" w:cs="仿宋"/>
          <w:b/>
          <w:bCs/>
          <w:caps w:val="0"/>
          <w:color w:val="000000"/>
          <w:spacing w:val="0"/>
          <w:kern w:val="0"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caps w:val="0"/>
          <w:color w:val="000000"/>
          <w:spacing w:val="0"/>
          <w:kern w:val="0"/>
          <w:sz w:val="52"/>
          <w:szCs w:val="52"/>
          <w:lang w:val="en-US" w:eastAsia="zh-CN"/>
        </w:rPr>
        <w:t>合同</w:t>
      </w:r>
    </w:p>
    <w:p w14:paraId="489D5DE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jc w:val="center"/>
        <w:outlineLvl w:val="9"/>
        <w:rPr>
          <w:rFonts w:hint="eastAsia" w:ascii="仿宋" w:hAnsi="仿宋" w:eastAsia="仿宋" w:cs="仿宋"/>
          <w:caps w:val="0"/>
          <w:spacing w:val="0"/>
          <w:kern w:val="0"/>
          <w:sz w:val="44"/>
          <w:szCs w:val="44"/>
        </w:rPr>
      </w:pPr>
    </w:p>
    <w:p w14:paraId="7691D5C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jc w:val="center"/>
        <w:outlineLvl w:val="9"/>
        <w:rPr>
          <w:rFonts w:hint="eastAsia" w:ascii="仿宋" w:hAnsi="仿宋" w:eastAsia="仿宋" w:cs="仿宋"/>
          <w:caps w:val="0"/>
          <w:spacing w:val="0"/>
          <w:kern w:val="0"/>
          <w:sz w:val="44"/>
          <w:szCs w:val="44"/>
        </w:rPr>
      </w:pPr>
    </w:p>
    <w:p w14:paraId="7AAFE88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spacing w:before="156" w:beforeLines="50" w:line="400" w:lineRule="exact"/>
        <w:jc w:val="center"/>
        <w:outlineLvl w:val="9"/>
        <w:rPr>
          <w:rFonts w:hint="eastAsia" w:ascii="仿宋" w:hAnsi="仿宋" w:eastAsia="仿宋" w:cs="仿宋"/>
          <w:bCs/>
          <w:caps w:val="0"/>
          <w:spacing w:val="0"/>
          <w:kern w:val="0"/>
          <w:sz w:val="48"/>
          <w:szCs w:val="48"/>
        </w:rPr>
      </w:pPr>
    </w:p>
    <w:p w14:paraId="23DC01F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spacing w:before="156" w:beforeLines="50" w:line="400" w:lineRule="exact"/>
        <w:jc w:val="center"/>
        <w:outlineLvl w:val="9"/>
        <w:rPr>
          <w:rFonts w:hint="eastAsia" w:ascii="仿宋" w:hAnsi="仿宋" w:eastAsia="仿宋" w:cs="仿宋"/>
          <w:bCs/>
          <w:caps w:val="0"/>
          <w:spacing w:val="0"/>
          <w:kern w:val="0"/>
          <w:sz w:val="48"/>
          <w:szCs w:val="48"/>
        </w:rPr>
      </w:pPr>
    </w:p>
    <w:p w14:paraId="1B938ED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spacing w:before="156" w:beforeLines="50" w:line="400" w:lineRule="exact"/>
        <w:jc w:val="center"/>
        <w:outlineLvl w:val="9"/>
        <w:rPr>
          <w:rFonts w:hint="eastAsia" w:ascii="仿宋" w:hAnsi="仿宋" w:eastAsia="仿宋" w:cs="仿宋"/>
          <w:bCs/>
          <w:caps w:val="0"/>
          <w:spacing w:val="0"/>
          <w:kern w:val="0"/>
          <w:sz w:val="48"/>
          <w:szCs w:val="48"/>
        </w:rPr>
      </w:pPr>
      <w:bookmarkStart w:id="0" w:name="_GoBack"/>
      <w:bookmarkEnd w:id="0"/>
    </w:p>
    <w:p w14:paraId="572B7C4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outlineLvl w:val="9"/>
        <w:rPr>
          <w:rFonts w:hint="eastAsia" w:ascii="仿宋" w:hAnsi="仿宋" w:eastAsia="仿宋" w:cs="仿宋"/>
          <w:bCs/>
          <w:caps w:val="0"/>
          <w:spacing w:val="0"/>
          <w:kern w:val="0"/>
          <w:sz w:val="48"/>
          <w:szCs w:val="48"/>
        </w:rPr>
      </w:pPr>
    </w:p>
    <w:p w14:paraId="10786D1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outlineLvl w:val="9"/>
        <w:rPr>
          <w:rFonts w:hint="eastAsia" w:ascii="仿宋" w:hAnsi="仿宋" w:eastAsia="仿宋" w:cs="仿宋"/>
          <w:bCs/>
          <w:caps w:val="0"/>
          <w:spacing w:val="0"/>
          <w:kern w:val="0"/>
          <w:sz w:val="48"/>
          <w:szCs w:val="48"/>
        </w:rPr>
      </w:pPr>
    </w:p>
    <w:p w14:paraId="76011C8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outlineLvl w:val="9"/>
        <w:rPr>
          <w:rFonts w:hint="eastAsia" w:ascii="仿宋" w:hAnsi="仿宋" w:eastAsia="仿宋" w:cs="仿宋"/>
          <w:bCs/>
          <w:caps w:val="0"/>
          <w:spacing w:val="0"/>
          <w:kern w:val="0"/>
          <w:sz w:val="48"/>
          <w:szCs w:val="48"/>
        </w:rPr>
      </w:pPr>
    </w:p>
    <w:p w14:paraId="788CCEA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59" w:lineRule="auto"/>
        <w:ind w:left="0" w:leftChars="0" w:firstLine="1606" w:firstLineChars="500"/>
        <w:jc w:val="both"/>
        <w:rPr>
          <w:rFonts w:hint="eastAsia" w:ascii="仿宋" w:hAnsi="仿宋" w:eastAsia="仿宋" w:cs="仿宋"/>
          <w:b/>
          <w:bCs/>
          <w:caps w:val="0"/>
          <w:spacing w:val="0"/>
          <w:w w:val="100"/>
          <w:kern w:val="0"/>
          <w:position w:val="0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caps w:val="0"/>
          <w:spacing w:val="0"/>
          <w:w w:val="100"/>
          <w:kern w:val="0"/>
          <w:position w:val="0"/>
          <w:sz w:val="32"/>
          <w:szCs w:val="32"/>
        </w:rPr>
        <w:t>采购人（甲方全称）：</w:t>
      </w:r>
      <w:r>
        <w:rPr>
          <w:rFonts w:hint="eastAsia" w:ascii="仿宋" w:hAnsi="仿宋" w:eastAsia="仿宋" w:cs="仿宋"/>
          <w:b/>
          <w:bCs/>
          <w:caps w:val="0"/>
          <w:spacing w:val="0"/>
          <w:w w:val="100"/>
          <w:kern w:val="0"/>
          <w:position w:val="0"/>
          <w:sz w:val="32"/>
          <w:szCs w:val="32"/>
          <w:u w:val="single"/>
          <w:lang w:val="en-US" w:eastAsia="zh-CN"/>
        </w:rPr>
        <w:t xml:space="preserve">            </w:t>
      </w:r>
    </w:p>
    <w:p w14:paraId="777985D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59" w:lineRule="auto"/>
        <w:ind w:left="0" w:leftChars="0" w:firstLine="1606" w:firstLineChars="500"/>
        <w:jc w:val="both"/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aps w:val="0"/>
          <w:spacing w:val="0"/>
          <w:w w:val="100"/>
          <w:kern w:val="0"/>
          <w:position w:val="0"/>
          <w:sz w:val="32"/>
          <w:szCs w:val="32"/>
        </w:rPr>
        <w:t>供应商（乙方全称）：</w:t>
      </w:r>
      <w:r>
        <w:rPr>
          <w:rFonts w:hint="eastAsia" w:ascii="仿宋" w:hAnsi="仿宋" w:eastAsia="仿宋" w:cs="仿宋"/>
          <w:b/>
          <w:bCs/>
          <w:caps w:val="0"/>
          <w:spacing w:val="0"/>
          <w:w w:val="100"/>
          <w:kern w:val="0"/>
          <w:position w:val="0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bCs/>
          <w:caps w:val="0"/>
          <w:spacing w:val="0"/>
          <w:kern w:val="0"/>
          <w:sz w:val="48"/>
          <w:szCs w:val="48"/>
          <w:u w:val="single"/>
        </w:rPr>
        <w:br w:type="page"/>
      </w:r>
      <w:r>
        <w:rPr>
          <w:rFonts w:hint="eastAsia" w:ascii="仿宋" w:hAnsi="仿宋" w:eastAsia="仿宋" w:cs="仿宋"/>
          <w:bCs/>
          <w:caps w:val="0"/>
          <w:spacing w:val="0"/>
          <w:kern w:val="0"/>
          <w:sz w:val="48"/>
          <w:szCs w:val="4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  <w:t>采购人（</w:t>
      </w: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  <w:t>全称）：</w:t>
      </w: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  <w:lang w:val="en-US" w:eastAsia="zh-CN"/>
        </w:rPr>
        <w:t xml:space="preserve"> </w:t>
      </w:r>
    </w:p>
    <w:p w14:paraId="238C410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  <w:t>供应商（</w:t>
      </w: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  <w:t>全称）：</w:t>
      </w: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  <w:u w:val="single"/>
        </w:rPr>
        <w:t xml:space="preserve">                    </w:t>
      </w:r>
    </w:p>
    <w:p w14:paraId="59EAB61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根据《中华人民共和国政府采购法》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《中华人民共和国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val="en-US" w:eastAsia="zh-CN"/>
        </w:rPr>
        <w:t>民法典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》及其他有关法律、法规，遵循平等、自愿、公平和诚信的原则，双方就下述项目范围与相关服务事项协商一致，订立本合同。</w:t>
      </w:r>
    </w:p>
    <w:p w14:paraId="4651A2A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  <w:t>一、项目概况</w:t>
      </w:r>
    </w:p>
    <w:p w14:paraId="64FE1D8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75" w:firstLineChars="198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1.项目名称：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  <w:lang w:eastAsia="zh-CN"/>
        </w:rPr>
        <w:t>2026年度IDC托管机房服务项目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</w:rPr>
        <w:t xml:space="preserve">                 </w:t>
      </w:r>
    </w:p>
    <w:p w14:paraId="757495D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75" w:firstLineChars="198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2.项目地点：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  <w:lang w:val="en-US" w:eastAsia="zh-CN"/>
        </w:rPr>
        <w:t>采购人指定地点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</w:rPr>
        <w:t xml:space="preserve">       </w:t>
      </w:r>
    </w:p>
    <w:p w14:paraId="050C5F6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  <w:t>二、组成本合同的文件</w:t>
      </w:r>
    </w:p>
    <w:p w14:paraId="09C9786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75" w:firstLineChars="198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.成交通知书、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eastAsia="zh-CN"/>
        </w:rPr>
        <w:t>响应文件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、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eastAsia="zh-CN"/>
        </w:rPr>
        <w:t>单一来源采购文件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、澄清、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eastAsia="zh-CN"/>
        </w:rPr>
        <w:t>补充文件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（或委托书）；</w:t>
      </w:r>
    </w:p>
    <w:p w14:paraId="41D5488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.相关服务建议书；</w:t>
      </w:r>
    </w:p>
    <w:p w14:paraId="211133D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.附录，即：附表内相关服务的范围和内容；</w:t>
      </w:r>
    </w:p>
    <w:p w14:paraId="49259CD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75" w:firstLineChars="198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本合同签订后，双方依法签订的补充协议也是本合同文件的组成部分。</w:t>
      </w:r>
    </w:p>
    <w:p w14:paraId="6ED91C8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  <w:t>三、合同价款</w:t>
      </w:r>
    </w:p>
    <w:p w14:paraId="45567E2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75" w:firstLineChars="198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1.合同金额（大写）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（¥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val="en-US" w:eastAsia="zh-CN"/>
        </w:rPr>
        <w:t>元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）。</w:t>
      </w:r>
    </w:p>
    <w:p w14:paraId="15C2DC0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75" w:firstLineChars="198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2.合同总价即成交价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合同价格为含税价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，不受市场价变化或实际工作量变化的影响。</w:t>
      </w:r>
    </w:p>
    <w:p w14:paraId="2F6F7D1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41" w:hanging="241" w:hangingChars="100"/>
        <w:textAlignment w:val="auto"/>
        <w:outlineLvl w:val="9"/>
        <w:rPr>
          <w:rFonts w:hint="eastAsia" w:ascii="仿宋" w:hAnsi="仿宋" w:eastAsia="仿宋" w:cs="仿宋"/>
          <w:b w:val="0"/>
          <w:bCs/>
          <w:caps w:val="0"/>
          <w:spacing w:val="0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  <w:highlight w:val="none"/>
        </w:rPr>
        <w:t>四、服务期</w:t>
      </w: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  <w:highlight w:val="none"/>
          <w:lang w:eastAsia="zh-CN"/>
        </w:rPr>
        <w:t>限</w:t>
      </w: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 w:val="0"/>
          <w:bCs/>
          <w:caps w:val="0"/>
          <w:spacing w:val="0"/>
          <w:kern w:val="0"/>
          <w:sz w:val="24"/>
          <w:szCs w:val="24"/>
          <w:highlight w:val="none"/>
          <w:u w:val="single"/>
          <w:lang w:eastAsia="zh-CN"/>
        </w:rPr>
        <w:t>2026年8月18日至2027年8月17日。</w:t>
      </w:r>
    </w:p>
    <w:p w14:paraId="43DCB5B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  <w:t>五、付款方式：</w:t>
      </w:r>
    </w:p>
    <w:p w14:paraId="6D035FB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  <w:highlight w:val="none"/>
          <w:lang w:val="en-US" w:eastAsia="zh-CN"/>
        </w:rPr>
        <w:t>付款条件说明1：服务期开始之日起，供应商提供发票，达到付款条件起30个工作日内，支付合同总金额的40.00%；</w:t>
      </w:r>
    </w:p>
    <w:p w14:paraId="48274C8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  <w:highlight w:val="none"/>
          <w:lang w:val="en-US" w:eastAsia="zh-CN"/>
        </w:rPr>
        <w:t>付款条件说明2：服务期满半年，供应商提供发票 ，达到付款条件起30个工作日内，支付合同总金额的30.00%；</w:t>
      </w:r>
    </w:p>
    <w:p w14:paraId="1F4637E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  <w:highlight w:val="none"/>
          <w:lang w:val="en-US" w:eastAsia="zh-CN"/>
        </w:rPr>
        <w:t>付款条件说明3：服务期满一年后，供应商提供发票，达到付款条件起30个工作日内，支付合同总金额的30.00%；</w:t>
      </w:r>
    </w:p>
    <w:p w14:paraId="6E962A7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支付方式：银行转账。</w:t>
      </w:r>
    </w:p>
    <w:p w14:paraId="7BF9D58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caps w:val="0"/>
          <w:spacing w:val="0"/>
          <w:kern w:val="0"/>
          <w:sz w:val="28"/>
        </w:rPr>
      </w:pP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  <w:lang w:eastAsia="zh-CN"/>
        </w:rPr>
        <w:t>项目要求</w:t>
      </w: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  <w:t>：</w:t>
      </w:r>
    </w:p>
    <w:p w14:paraId="5279802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baseline"/>
        <w:outlineLvl w:val="9"/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  <w:t>、项目</w:t>
      </w: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  <w:lang w:val="en-US" w:eastAsia="zh-CN"/>
        </w:rPr>
        <w:t>要求及</w:t>
      </w: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  <w:t>标准</w:t>
      </w:r>
    </w:p>
    <w:p w14:paraId="7F37D45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outlineLvl w:val="9"/>
        <w:rPr>
          <w:rFonts w:hint="eastAsia" w:ascii="仿宋" w:hAnsi="仿宋" w:eastAsia="仿宋" w:cs="仿宋"/>
          <w:b w:val="0"/>
          <w:bCs/>
          <w:caps w:val="0"/>
          <w:color w:val="00000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caps w:val="0"/>
          <w:color w:val="000000"/>
          <w:spacing w:val="0"/>
          <w:kern w:val="0"/>
          <w:sz w:val="24"/>
          <w:szCs w:val="24"/>
        </w:rPr>
        <w:t>详见单一来源采购文件第三章</w:t>
      </w:r>
    </w:p>
    <w:p w14:paraId="7B8EC5E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baseline"/>
        <w:outlineLvl w:val="9"/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caps w:val="0"/>
          <w:color w:val="000000"/>
          <w:spacing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b/>
          <w:caps w:val="0"/>
          <w:color w:val="000000"/>
          <w:spacing w:val="0"/>
          <w:kern w:val="0"/>
          <w:sz w:val="24"/>
          <w:szCs w:val="24"/>
        </w:rPr>
        <w:t>、双方承诺</w:t>
      </w:r>
    </w:p>
    <w:p w14:paraId="3E10D39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 w:val="0"/>
        <w:spacing w:line="360" w:lineRule="auto"/>
        <w:ind w:firstLine="475" w:firstLineChars="198"/>
        <w:textAlignment w:val="auto"/>
        <w:outlineLvl w:val="9"/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</w:rPr>
        <w:t>1.服务商向采购人承诺</w:t>
      </w:r>
      <w:r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</w:rPr>
        <w:t>我</w:t>
      </w:r>
      <w:r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  <w:lang w:eastAsia="zh-CN"/>
        </w:rPr>
        <w:t>机构</w:t>
      </w:r>
      <w:r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</w:rPr>
        <w:t>承诺所提供之服务质量、数量绝不假冒、短少，并接受贵单位检查指导。严格按照合同要求提供服务。严格执行供应商应尽的义务。认可贵单位的项目验收制度，自愿严格遵守贵单位的项目验收制度。</w:t>
      </w:r>
    </w:p>
    <w:p w14:paraId="05A0A8E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 w:val="0"/>
        <w:spacing w:line="360" w:lineRule="auto"/>
        <w:ind w:firstLine="475" w:firstLineChars="198"/>
        <w:textAlignment w:val="auto"/>
        <w:outlineLvl w:val="9"/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</w:rPr>
        <w:t>2.采购人向服务商承诺</w:t>
      </w:r>
      <w:r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</w:rPr>
        <w:t>按照合同约定拨付资金，并提供好相关事宜的组织协调。</w:t>
      </w:r>
    </w:p>
    <w:p w14:paraId="53CA772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 w:val="0"/>
        <w:spacing w:line="360" w:lineRule="auto"/>
        <w:ind w:firstLine="475" w:firstLineChars="198"/>
        <w:textAlignment w:val="auto"/>
        <w:outlineLvl w:val="9"/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</w:rPr>
        <w:t>3.服务商向采购人承诺：</w:t>
      </w:r>
      <w:r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  <w:lang w:eastAsia="zh-CN"/>
        </w:rPr>
        <w:t>照护服务规范、保质保量，服务对象满意</w:t>
      </w:r>
      <w:r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</w:rPr>
        <w:t>。</w:t>
      </w:r>
    </w:p>
    <w:p w14:paraId="03F5C9BA"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 w:val="0"/>
        <w:spacing w:after="0"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</w:rPr>
        <w:t>.服务商向采购人承诺：</w:t>
      </w:r>
      <w:r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  <w:lang w:eastAsia="zh-CN"/>
        </w:rPr>
        <w:t>对照护服务对象先期进行评估，确定服务标准，超出采购标准的与家属协商，收取相关费用，否则，不予收取</w:t>
      </w:r>
      <w:r>
        <w:rPr>
          <w:rFonts w:hint="eastAsia" w:ascii="仿宋" w:hAnsi="仿宋" w:eastAsia="仿宋" w:cs="仿宋"/>
          <w:caps w:val="0"/>
          <w:color w:val="000000"/>
          <w:spacing w:val="0"/>
          <w:kern w:val="0"/>
          <w:sz w:val="24"/>
          <w:szCs w:val="24"/>
        </w:rPr>
        <w:t>。</w:t>
      </w:r>
    </w:p>
    <w:p w14:paraId="3379511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  <w:t>验收：</w:t>
      </w:r>
    </w:p>
    <w:p w14:paraId="72F048F4"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ind w:left="0" w:firstLine="480" w:firstLineChars="200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项目由采购人或其邀请的专家或第三方机构进行验收，验收时成交人应无条件予以配合并提供验收所需的全部资料。</w:t>
      </w:r>
    </w:p>
    <w:p w14:paraId="2E61115A"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ind w:left="0" w:firstLine="480" w:firstLineChars="200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2.验收标准：按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eastAsia="zh-CN"/>
        </w:rPr>
        <w:t>单一来源采购文件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、响应文件及澄清函等技术指标进行验收。各项指标均应符合验收标准及要求。</w:t>
      </w:r>
    </w:p>
    <w:p w14:paraId="35D4AB3E">
      <w:pPr>
        <w:pStyle w:val="5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ind w:firstLine="480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3.验收合格后，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eastAsia="zh-CN"/>
        </w:rPr>
        <w:t>汇总资料，装订成册备案留存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。</w:t>
      </w:r>
    </w:p>
    <w:p w14:paraId="70D8B91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  <w:t>九、合同争议的解决</w:t>
      </w:r>
    </w:p>
    <w:p w14:paraId="5312045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合同执行中发生争议的，当事人双方应协商解决，协商达不成一致时，可向采购人所在地人民法院提请诉讼。</w:t>
      </w:r>
    </w:p>
    <w:p w14:paraId="459DCCA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aps w:val="0"/>
          <w:spacing w:val="0"/>
          <w:kern w:val="0"/>
          <w:sz w:val="24"/>
          <w:szCs w:val="24"/>
        </w:rPr>
        <w:t>十、不可抗力情况下的免责约定</w:t>
      </w:r>
    </w:p>
    <w:p w14:paraId="7F865F5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双方约定不可抗力情况指：双方不可预见、不可避免、不可克服的客观情况，但不包括双方的违约或疏忽。这些事件包括但不限于：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eastAsia="zh-CN"/>
        </w:rPr>
        <w:t>自然灾害、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严重火灾、洪水、台风、地震等。</w:t>
      </w:r>
    </w:p>
    <w:p w14:paraId="1A3A351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  <w:t>违约责任：</w:t>
      </w:r>
    </w:p>
    <w:p w14:paraId="57B6E70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按《中华人民共和国政府采购法》、《中华人民共和国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val="en-US" w:eastAsia="zh-CN"/>
        </w:rPr>
        <w:t>民法典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》中的相关条款执行。</w:t>
      </w:r>
    </w:p>
    <w:p w14:paraId="6869B10D"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ind w:left="0" w:firstLine="480" w:firstLineChars="200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2.未按合同或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eastAsia="zh-CN"/>
        </w:rPr>
        <w:t>单一来源采购文件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要求提供服务或服务质量不能满足采购人的技术要求，经双方协商后，采购单位有权终止合同，同时报请陕西省财政厅政府采购监管部门对其违约行为进行追究。</w:t>
      </w:r>
    </w:p>
    <w:p w14:paraId="09DB84B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  <w:t>十二、其他（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在合同中具体明确）</w:t>
      </w:r>
    </w:p>
    <w:p w14:paraId="437F981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  <w:t>十三、合同订立</w:t>
      </w:r>
    </w:p>
    <w:p w14:paraId="3A4EC14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75" w:firstLineChars="198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1. 订立时间：</w:t>
      </w:r>
    </w:p>
    <w:p w14:paraId="354B5D0C">
      <w:pPr>
        <w:keepNext w:val="0"/>
        <w:keepLines w:val="0"/>
        <w:pageBreakBefore w:val="0"/>
        <w:widowControl w:val="0"/>
        <w:tabs>
          <w:tab w:val="left" w:pos="480"/>
        </w:tabs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2. 订立地点：</w:t>
      </w:r>
    </w:p>
    <w:p w14:paraId="15217D02">
      <w:pPr>
        <w:keepNext w:val="0"/>
        <w:keepLines w:val="0"/>
        <w:pageBreakBefore w:val="0"/>
        <w:widowControl w:val="0"/>
        <w:tabs>
          <w:tab w:val="left" w:pos="980"/>
        </w:tabs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3. 本合同一式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份，具有同等法律效力，双方各执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份。当事人双方签字盖章后生效，合同执行完毕自动失效。</w:t>
      </w:r>
    </w:p>
    <w:p w14:paraId="4262B92D">
      <w:pPr>
        <w:keepNext w:val="0"/>
        <w:keepLines w:val="0"/>
        <w:pageBreakBefore w:val="0"/>
        <w:widowControl w:val="0"/>
        <w:tabs>
          <w:tab w:val="left" w:pos="480"/>
        </w:tabs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</w:pPr>
    </w:p>
    <w:p w14:paraId="482B7CA1">
      <w:pPr>
        <w:keepNext w:val="0"/>
        <w:keepLines w:val="0"/>
        <w:pageBreakBefore w:val="0"/>
        <w:widowControl w:val="0"/>
        <w:tabs>
          <w:tab w:val="left" w:pos="480"/>
        </w:tabs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  <w:t>甲</w:t>
      </w: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  <w:t>方（公章）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 xml:space="preserve">                      </w:t>
      </w: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  <w:t xml:space="preserve">乙  方（公章）            </w:t>
      </w:r>
    </w:p>
    <w:p w14:paraId="7CC3BF4D">
      <w:pPr>
        <w:keepNext w:val="0"/>
        <w:keepLines w:val="0"/>
        <w:pageBreakBefore w:val="0"/>
        <w:widowControl w:val="0"/>
        <w:tabs>
          <w:tab w:val="left" w:pos="480"/>
        </w:tabs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单位名称：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 xml:space="preserve">      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单位名称：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 xml:space="preserve">                </w:t>
      </w:r>
    </w:p>
    <w:p w14:paraId="2F4BF5B3">
      <w:pPr>
        <w:keepNext w:val="0"/>
        <w:keepLines w:val="0"/>
        <w:pageBreakBefore w:val="0"/>
        <w:widowControl w:val="0"/>
        <w:tabs>
          <w:tab w:val="left" w:pos="480"/>
        </w:tabs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</w:p>
    <w:p w14:paraId="313C4C0B">
      <w:pPr>
        <w:keepNext w:val="0"/>
        <w:keepLines w:val="0"/>
        <w:pageBreakBefore w:val="0"/>
        <w:widowControl w:val="0"/>
        <w:tabs>
          <w:tab w:val="left" w:pos="480"/>
        </w:tabs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 xml:space="preserve">地 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址：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地    址：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 xml:space="preserve">               </w:t>
      </w:r>
    </w:p>
    <w:p w14:paraId="4F0CD88A">
      <w:pPr>
        <w:keepNext w:val="0"/>
        <w:keepLines w:val="0"/>
        <w:pageBreakBefore w:val="0"/>
        <w:widowControl w:val="0"/>
        <w:tabs>
          <w:tab w:val="left" w:pos="480"/>
        </w:tabs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ind w:firstLine="1200" w:firstLineChars="500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</w:p>
    <w:p w14:paraId="1848E704">
      <w:pPr>
        <w:keepNext w:val="0"/>
        <w:keepLines w:val="0"/>
        <w:pageBreakBefore w:val="0"/>
        <w:widowControl w:val="0"/>
        <w:tabs>
          <w:tab w:val="left" w:pos="480"/>
        </w:tabs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eastAsia="zh-CN"/>
        </w:rPr>
        <w:t>法人（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代理人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 xml:space="preserve">：                  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eastAsia="zh-CN"/>
        </w:rPr>
        <w:t>法人（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代理人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 xml:space="preserve">：                </w:t>
      </w:r>
    </w:p>
    <w:p w14:paraId="7ED8E1F1">
      <w:pPr>
        <w:keepNext w:val="0"/>
        <w:keepLines w:val="0"/>
        <w:pageBreakBefore w:val="0"/>
        <w:widowControl w:val="0"/>
        <w:tabs>
          <w:tab w:val="left" w:pos="480"/>
        </w:tabs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</w:p>
    <w:p w14:paraId="0FC26062">
      <w:pPr>
        <w:keepNext w:val="0"/>
        <w:keepLines w:val="0"/>
        <w:pageBreakBefore w:val="0"/>
        <w:widowControl w:val="0"/>
        <w:tabs>
          <w:tab w:val="left" w:pos="480"/>
        </w:tabs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联系电话：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 xml:space="preserve">              联系电话：                </w:t>
      </w:r>
    </w:p>
    <w:p w14:paraId="6C71FB7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u w:val="none" w:color="auto"/>
          <w:lang w:eastAsia="zh-CN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u w:val="none" w:color="auto"/>
          <w:lang w:eastAsia="zh-CN"/>
        </w:rPr>
        <w:t>户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u w:val="non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u w:val="none" w:color="auto"/>
          <w:lang w:eastAsia="zh-CN"/>
        </w:rPr>
        <w:t>名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u w:val="none" w:color="auto"/>
          <w:lang w:val="en-US" w:eastAsia="zh-CN"/>
        </w:rPr>
        <w:t xml:space="preserve">:                             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u w:val="none" w:color="auto"/>
          <w:lang w:eastAsia="zh-CN"/>
        </w:rPr>
        <w:t>户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u w:val="non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u w:val="none" w:color="auto"/>
          <w:lang w:eastAsia="zh-CN"/>
        </w:rPr>
        <w:t>名：</w:t>
      </w:r>
      <w:r>
        <w:rPr>
          <w:rFonts w:hint="eastAsia" w:ascii="楷体" w:hAnsi="楷体" w:eastAsia="楷体" w:cs="楷体"/>
        </w:rPr>
        <w:t xml:space="preserve">  </w:t>
      </w:r>
    </w:p>
    <w:p w14:paraId="3CF9CFD7">
      <w:pPr>
        <w:tabs>
          <w:tab w:val="left" w:pos="480"/>
        </w:tabs>
        <w:spacing w:line="360" w:lineRule="auto"/>
        <w:ind w:left="6000" w:hanging="6000" w:hangingChars="2500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u w:val="none" w:color="auto"/>
          <w:lang w:eastAsia="zh-CN"/>
        </w:rPr>
        <w:t>开户行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u w:val="none" w:color="auto"/>
          <w:lang w:val="en-US" w:eastAsia="zh-CN"/>
        </w:rPr>
        <w:t>: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开户银行：</w:t>
      </w:r>
      <w:r>
        <w:rPr>
          <w:rFonts w:hint="eastAsia" w:ascii="楷体" w:hAnsi="楷体" w:eastAsia="楷体" w:cs="楷体"/>
        </w:rPr>
        <w:t xml:space="preserve"> </w:t>
      </w:r>
    </w:p>
    <w:p w14:paraId="7FFB655C">
      <w:pPr>
        <w:tabs>
          <w:tab w:val="left" w:pos="480"/>
        </w:tabs>
        <w:spacing w:line="360" w:lineRule="auto"/>
        <w:ind w:firstLine="5670" w:firstLineChars="2700"/>
        <w:rPr>
          <w:rFonts w:ascii="楷体" w:hAnsi="楷体" w:eastAsia="楷体" w:cs="楷体"/>
        </w:rPr>
      </w:pPr>
    </w:p>
    <w:p w14:paraId="493AE84C">
      <w:pPr>
        <w:tabs>
          <w:tab w:val="left" w:pos="480"/>
        </w:tabs>
        <w:spacing w:line="360" w:lineRule="auto"/>
        <w:rPr>
          <w:rFonts w:ascii="楷体" w:hAnsi="楷体" w:eastAsia="楷体" w:cs="楷体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u w:val="none" w:color="auto"/>
          <w:lang w:eastAsia="zh-CN"/>
        </w:rPr>
        <w:t>银行帐号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u w:val="none" w:color="auto"/>
          <w:lang w:val="en-US" w:eastAsia="zh-CN"/>
        </w:rPr>
        <w:t xml:space="preserve">:   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帐    号：</w:t>
      </w:r>
    </w:p>
    <w:p w14:paraId="5A69801C">
      <w:pPr>
        <w:keepNext w:val="0"/>
        <w:keepLines w:val="0"/>
        <w:pageBreakBefore w:val="0"/>
        <w:widowControl w:val="0"/>
        <w:tabs>
          <w:tab w:val="left" w:pos="480"/>
        </w:tabs>
        <w:kinsoku/>
        <w:wordWrap w:val="0"/>
        <w:overflowPunct/>
        <w:topLinePunct w:val="0"/>
        <w:autoSpaceDE w:val="0"/>
        <w:autoSpaceDN w:val="0"/>
        <w:bidi w:val="0"/>
        <w:snapToGrid w:val="0"/>
        <w:spacing w:line="360" w:lineRule="auto"/>
        <w:ind w:left="6480" w:hanging="6480" w:hangingChars="2700"/>
        <w:textAlignment w:val="auto"/>
        <w:outlineLvl w:val="9"/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签订日期：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val="en-US" w:eastAsia="zh-CN"/>
        </w:rPr>
        <w:t xml:space="preserve">   年  月  日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 xml:space="preserve">       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签订日期：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val="en-US" w:eastAsia="zh-CN"/>
        </w:rPr>
        <w:t xml:space="preserve"> 年  月  日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 xml:space="preserve"> </w:t>
      </w:r>
    </w:p>
    <w:p w14:paraId="5B3A6A03"/>
    <w:p w14:paraId="110B5A3D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4EB421">
    <w:pPr>
      <w:spacing w:line="280" w:lineRule="exact"/>
      <w:jc w:val="center"/>
      <w:rPr>
        <w:rFonts w:hint="eastAsia" w:ascii="宋体" w:hAnsi="宋体" w:eastAsia="宋体" w:cs="宋体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4EA90B">
    <w:pPr>
      <w:pStyle w:val="6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55A8BE"/>
    <w:multiLevelType w:val="singleLevel"/>
    <w:tmpl w:val="D955A8BE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E84370"/>
    <w:multiLevelType w:val="singleLevel"/>
    <w:tmpl w:val="26E84370"/>
    <w:lvl w:ilvl="0" w:tentative="0">
      <w:start w:val="1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2F2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3">
    <w:name w:val="一级条标题"/>
    <w:basedOn w:val="4"/>
    <w:next w:val="5"/>
    <w:qFormat/>
    <w:uiPriority w:val="99"/>
    <w:pPr>
      <w:spacing w:line="240" w:lineRule="auto"/>
      <w:ind w:left="420"/>
      <w:outlineLvl w:val="2"/>
    </w:pPr>
  </w:style>
  <w:style w:type="paragraph" w:customStyle="1" w:styleId="4">
    <w:name w:val="章标题"/>
    <w:next w:val="1"/>
    <w:qFormat/>
    <w:uiPriority w:val="99"/>
    <w:pPr>
      <w:spacing w:line="360" w:lineRule="auto"/>
      <w:jc w:val="both"/>
      <w:outlineLvl w:val="1"/>
    </w:pPr>
    <w:rPr>
      <w:rFonts w:ascii="黑体" w:hAnsi="Times New Roman" w:eastAsia="黑体" w:cs="黑体"/>
      <w:sz w:val="21"/>
      <w:szCs w:val="21"/>
      <w:lang w:val="en-US" w:eastAsia="zh-CN" w:bidi="ar-SA"/>
    </w:rPr>
  </w:style>
  <w:style w:type="paragraph" w:customStyle="1" w:styleId="5">
    <w:name w:val="段"/>
    <w:next w:val="1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宋体"/>
      <w:sz w:val="21"/>
      <w:szCs w:val="21"/>
      <w:lang w:val="en-US" w:eastAsia="zh-CN" w:bidi="ar-SA"/>
    </w:rPr>
  </w:style>
  <w:style w:type="paragraph" w:styleId="6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2026-05-28T07:44:13Z</dcterms:created>
  <dc:creator>Administrator</dc:creator>
  <cp:lastModifiedBy>bling  bling</cp:lastModifiedBy>
  <dcterms:modified xsi:type="dcterms:W3CDTF">2026-05-28T07:44:48Z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eyJoZGlkIjoiMzUzNjhhZjUxY2NjNTcxNGZjMDRiMDVmOGViYmM1NTYiLCJ1c2VySWQiOiI1NTAzMTkyMTcifQ==</vt:lpwstr>
  </property>
  <property fmtid="{D5CDD505-2E9C-101B-9397-08002B2CF9AE}" pid="4" name="ICV">
    <vt:lpwstr>8F6F59D5DE0641FBB8AA86A507FB55A3_12</vt:lpwstr>
  </property>
</Properties>
</file>