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版本号：HSGJ2026-14420260528001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2026年度IDC托管机房服务项目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HSGJ2026-144</w:t>
      </w:r>
      <w:r>
        <w:br/>
      </w:r>
      <w:r>
        <w:br/>
      </w:r>
      <w:r>
        <w:br/>
      </w:r>
    </w:p>
    <w:p>
      <w:pPr>
        <w:pStyle w:val="null3"/>
        <w:jc w:val="center"/>
        <w:outlineLvl w:val="5"/>
      </w:pPr>
      <w:r>
        <w:rPr>
          <w:rFonts w:ascii="仿宋_GB2312" w:hAnsi="仿宋_GB2312" w:cs="仿宋_GB2312" w:eastAsia="仿宋_GB2312"/>
          <w:sz w:val="15"/>
          <w:b/>
        </w:rPr>
        <w:t>陕西省福利彩票发行中心</w:t>
      </w:r>
    </w:p>
    <w:p>
      <w:pPr>
        <w:pStyle w:val="null3"/>
        <w:jc w:val="center"/>
        <w:outlineLvl w:val="5"/>
      </w:pPr>
      <w:r>
        <w:rPr>
          <w:rFonts w:ascii="仿宋_GB2312" w:hAnsi="仿宋_GB2312" w:cs="仿宋_GB2312" w:eastAsia="仿宋_GB2312"/>
          <w:sz w:val="15"/>
          <w:b/>
        </w:rPr>
        <w:t>华晟国际项目管理有限公司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陕西省福利彩票发行中心</w:t>
      </w:r>
      <w:r>
        <w:rPr>
          <w:rFonts w:ascii="仿宋_GB2312" w:hAnsi="仿宋_GB2312" w:cs="仿宋_GB2312" w:eastAsia="仿宋_GB2312"/>
        </w:rPr>
        <w:t>委托，拟对</w:t>
      </w:r>
      <w:r>
        <w:rPr>
          <w:rFonts w:ascii="仿宋_GB2312" w:hAnsi="仿宋_GB2312" w:cs="仿宋_GB2312" w:eastAsia="仿宋_GB2312"/>
        </w:rPr>
        <w:t>2026年度IDC托管机房服务项目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HSGJ2026-144</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2026年度IDC托管机房服务项目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2026年度IDC托管机房服务项目，具体采购内容详见第三章。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2、财务状况报告：提供2024年度或2025年度的财务审计报告或开标前六个月内其基本存款账户开户银行出具的资信证明（附开户许可证或开户备案证明或基本账户信息）；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4、税收缴纳证明：提供2025年7月至今已缴纳的至少一个月的纳税证明，依法免税的单位应提供相关证明材料；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开标当天代理机构核查为准）；</w:t>
      </w:r>
    </w:p>
    <w:p>
      <w:pPr>
        <w:pStyle w:val="null3"/>
      </w:pPr>
      <w:r>
        <w:rPr>
          <w:rFonts w:ascii="仿宋_GB2312" w:hAnsi="仿宋_GB2312" w:cs="仿宋_GB2312" w:eastAsia="仿宋_GB2312"/>
        </w:rPr>
        <w:t>8、法定代表人（负责人）委托授权书\身份证明：供应商应授权合法的人员参加单一来源采购全过程，其中法定代表人（负责人）直接参加投标的，须出具法定代表人（负责人）身份证，并与营业执照上信息一致。法定代表人（负责人）授权代表参加投标的，须出具法定代表人（负责人）授权书及授权代表身份证。（其他组织或自然人参照执行）；</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陕西省福利彩票发行中心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西安市未央路副102号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029-65652521</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029-81779899转8009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代理服务费收费标准：按照国家计委颁布的《招标代理服务收费管理暂行办法》（计价格『2002』1980号）及发改办价格『2003』857号文规定按标准收取代理服务费。 银行户名：华晟国际项目管理有限公司 开户银行：建设银行西安劳动路支行 账 号：610501 740015 00000 427 转账事由：HSGJ2026-144项目代理服务费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陕西省福利彩票发行中心</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陕西省福利彩票发行中心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2026年度IDC托管机房服务项目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IDC托管机房服务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标的名称：IDC托管机房服务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我省福利彩票主机房目前托管于凤城四路省电信</w:t>
            </w:r>
            <w:r>
              <w:rPr>
                <w:rFonts w:ascii="仿宋_GB2312" w:hAnsi="仿宋_GB2312" w:cs="仿宋_GB2312" w:eastAsia="仿宋_GB2312"/>
                <w:sz w:val="24"/>
              </w:rPr>
              <w:t>IDC机房14层，IDC托管机房承担着彩票生产的主要任务，是各种彩票系统运行的主要环境和场所之一，为系统的正常运行提供不间断的电力、空调、网络、安保等保障，IDC托管机房与省中心25楼数据机房形成容灾备份。根据国家《彩票管理条例》及其实施细则，以及中彩中心关于加强技术系统管理相关工作要求，彩票数据须实现备份存储，为确保全省业务系统和数据的安全、平稳、高效运行，根据今年工作计划，计划开展2026年度IDC托管机房服务采购工作。</w:t>
            </w:r>
          </w:p>
          <w:p>
            <w:pPr>
              <w:pStyle w:val="null3"/>
              <w:jc w:val="both"/>
            </w:pPr>
            <w:r>
              <w:rPr>
                <w:rFonts w:ascii="仿宋_GB2312" w:hAnsi="仿宋_GB2312" w:cs="仿宋_GB2312" w:eastAsia="仿宋_GB2312"/>
                <w:sz w:val="24"/>
                <w:b/>
              </w:rPr>
              <w:t>二、服务要求</w:t>
            </w:r>
          </w:p>
          <w:tbl>
            <w:tblPr>
              <w:tblBorders>
                <w:top w:val="none" w:color="000000" w:sz="4"/>
                <w:left w:val="none" w:color="000000" w:sz="4"/>
                <w:bottom w:val="none" w:color="000000" w:sz="4"/>
                <w:right w:val="none" w:color="000000" w:sz="4"/>
                <w:insideH w:val="none"/>
                <w:insideV w:val="none"/>
              </w:tblBorders>
            </w:tblPr>
            <w:tblGrid>
              <w:gridCol w:w="478"/>
              <w:gridCol w:w="656"/>
              <w:gridCol w:w="1419"/>
            </w:tblGrid>
            <w:tr>
              <w:tc>
                <w:tcPr>
                  <w:tcW w:type="dxa" w:w="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w:t>
                  </w:r>
                </w:p>
              </w:tc>
              <w:tc>
                <w:tcPr>
                  <w:tcW w:type="dxa" w:w="1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要求</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机房面积</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可用面积不小于</w:t>
                  </w:r>
                  <w:r>
                    <w:rPr>
                      <w:rFonts w:ascii="仿宋_GB2312" w:hAnsi="仿宋_GB2312" w:cs="仿宋_GB2312" w:eastAsia="仿宋_GB2312"/>
                      <w:sz w:val="24"/>
                    </w:rPr>
                    <w:t>12平方米（提供独立VIP空间）</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机柜</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数量不少于</w:t>
                  </w:r>
                  <w:r>
                    <w:rPr>
                      <w:rFonts w:ascii="仿宋_GB2312" w:hAnsi="仿宋_GB2312" w:cs="仿宋_GB2312" w:eastAsia="仿宋_GB2312"/>
                      <w:sz w:val="24"/>
                    </w:rPr>
                    <w:t>5个，总机位数不少于210U。</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1条共享互联网，带宽≥100M，公网IP地址≥2个</w:t>
                  </w:r>
                </w:p>
              </w:tc>
            </w:tr>
          </w:tbl>
          <w:p>
            <w:pPr>
              <w:pStyle w:val="null3"/>
              <w:jc w:val="both"/>
            </w:pPr>
            <w:r>
              <w:rPr>
                <w:rFonts w:ascii="仿宋_GB2312" w:hAnsi="仿宋_GB2312" w:cs="仿宋_GB2312" w:eastAsia="仿宋_GB2312"/>
                <w:sz w:val="24"/>
              </w:rPr>
              <w:t>根据相关的技术和管理要求，拟对</w:t>
            </w:r>
            <w:r>
              <w:rPr>
                <w:rFonts w:ascii="仿宋_GB2312" w:hAnsi="仿宋_GB2312" w:cs="仿宋_GB2312" w:eastAsia="仿宋_GB2312"/>
                <w:sz w:val="24"/>
              </w:rPr>
              <w:t>IDC托管机房服务提出如下具体要求：</w:t>
            </w:r>
          </w:p>
          <w:p>
            <w:pPr>
              <w:pStyle w:val="null3"/>
              <w:ind w:firstLine="480"/>
              <w:jc w:val="both"/>
            </w:pPr>
            <w:r>
              <w:rPr>
                <w:rFonts w:ascii="仿宋_GB2312" w:hAnsi="仿宋_GB2312" w:cs="仿宋_GB2312" w:eastAsia="仿宋_GB2312"/>
                <w:sz w:val="24"/>
              </w:rPr>
              <w:t>（一）整体要求：</w:t>
            </w:r>
          </w:p>
          <w:p>
            <w:pPr>
              <w:pStyle w:val="null3"/>
              <w:ind w:firstLine="645"/>
              <w:jc w:val="both"/>
            </w:pPr>
            <w:r>
              <w:rPr>
                <w:rFonts w:ascii="仿宋_GB2312" w:hAnsi="仿宋_GB2312" w:cs="仿宋_GB2312" w:eastAsia="仿宋_GB2312"/>
                <w:sz w:val="24"/>
              </w:rPr>
              <w:t>1、IDC托管机房应达到B级机房建设标准。</w:t>
            </w:r>
          </w:p>
          <w:p>
            <w:pPr>
              <w:pStyle w:val="null3"/>
              <w:ind w:firstLine="645"/>
              <w:jc w:val="both"/>
            </w:pPr>
            <w:r>
              <w:rPr>
                <w:rFonts w:ascii="仿宋_GB2312" w:hAnsi="仿宋_GB2312" w:cs="仿宋_GB2312" w:eastAsia="仿宋_GB2312"/>
                <w:sz w:val="24"/>
              </w:rPr>
              <w:t>2、IDC托管机房应达到四星级IDC机房星级标准。</w:t>
            </w:r>
          </w:p>
          <w:p>
            <w:pPr>
              <w:pStyle w:val="null3"/>
              <w:ind w:firstLine="645"/>
              <w:jc w:val="both"/>
            </w:pPr>
            <w:r>
              <w:rPr>
                <w:rFonts w:ascii="仿宋_GB2312" w:hAnsi="仿宋_GB2312" w:cs="仿宋_GB2312" w:eastAsia="仿宋_GB2312"/>
                <w:sz w:val="24"/>
              </w:rPr>
              <w:t>3、IDC托管机房主体结构应具有耐久、抗震、防火、防止不均匀沉陷等性能和变形缝、伸缩缝不应穿过机房的规范要求；机房净高不小于3m，装修材料应为阻燃材料。</w:t>
            </w:r>
          </w:p>
          <w:p>
            <w:pPr>
              <w:pStyle w:val="null3"/>
              <w:ind w:firstLine="645"/>
              <w:jc w:val="both"/>
            </w:pPr>
            <w:r>
              <w:rPr>
                <w:rFonts w:ascii="仿宋_GB2312" w:hAnsi="仿宋_GB2312" w:cs="仿宋_GB2312" w:eastAsia="仿宋_GB2312"/>
                <w:sz w:val="24"/>
              </w:rPr>
              <w:t>4、IDC托管机房应满足以下标准：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1）《电子计算机机房设计规范》（GB50174—2017）</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2）《电子计算机场地通用规范》（GB/T2887—2011）</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3）《民用建筑供暖通风与空气调节设计规范》（GB50736—2012）</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4）《计算机场地安全要求》（GB/T9361—2011）</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5）《火灾自动报警系统设计规范》（GB50116—2013）</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6）《低压配电设计规范》（GB50054—2011）</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7）《安全防范工程程序与要求》（GA/T75—94）</w:t>
            </w:r>
          </w:p>
          <w:p>
            <w:pPr>
              <w:pStyle w:val="null3"/>
              <w:ind w:firstLine="480"/>
              <w:jc w:val="both"/>
            </w:pPr>
            <w:r>
              <w:rPr>
                <w:rFonts w:ascii="仿宋_GB2312" w:hAnsi="仿宋_GB2312" w:cs="仿宋_GB2312" w:eastAsia="仿宋_GB2312"/>
                <w:sz w:val="24"/>
              </w:rPr>
              <w:t>（二）机柜部分：</w:t>
            </w:r>
          </w:p>
          <w:p>
            <w:pPr>
              <w:pStyle w:val="null3"/>
              <w:ind w:firstLine="645"/>
              <w:jc w:val="both"/>
            </w:pPr>
            <w:r>
              <w:rPr>
                <w:rFonts w:ascii="仿宋_GB2312" w:hAnsi="仿宋_GB2312" w:cs="仿宋_GB2312" w:eastAsia="仿宋_GB2312"/>
                <w:sz w:val="24"/>
              </w:rPr>
              <w:t>1.14A标准交流机柜（42U）</w:t>
            </w:r>
          </w:p>
          <w:p>
            <w:pPr>
              <w:pStyle w:val="null3"/>
              <w:ind w:firstLine="645"/>
              <w:jc w:val="both"/>
            </w:pPr>
            <w:r>
              <w:rPr>
                <w:rFonts w:ascii="仿宋_GB2312" w:hAnsi="仿宋_GB2312" w:cs="仿宋_GB2312" w:eastAsia="仿宋_GB2312"/>
                <w:sz w:val="24"/>
              </w:rPr>
              <w:t>2.每个机柜至少设置16个L型托架，单个承重大于40KG。</w:t>
            </w:r>
          </w:p>
          <w:p>
            <w:pPr>
              <w:pStyle w:val="null3"/>
              <w:ind w:firstLine="645"/>
              <w:jc w:val="both"/>
            </w:pPr>
            <w:r>
              <w:rPr>
                <w:rFonts w:ascii="仿宋_GB2312" w:hAnsi="仿宋_GB2312" w:cs="仿宋_GB2312" w:eastAsia="仿宋_GB2312"/>
                <w:sz w:val="24"/>
              </w:rPr>
              <w:t>3.机架安装区域，库房、消防钢瓶等机房区域的楼层活荷载不小于600kN/m²。</w:t>
            </w:r>
          </w:p>
          <w:p>
            <w:pPr>
              <w:pStyle w:val="null3"/>
              <w:ind w:firstLine="645"/>
              <w:jc w:val="both"/>
            </w:pPr>
            <w:r>
              <w:rPr>
                <w:rFonts w:ascii="仿宋_GB2312" w:hAnsi="仿宋_GB2312" w:cs="仿宋_GB2312" w:eastAsia="仿宋_GB2312"/>
                <w:sz w:val="24"/>
              </w:rPr>
              <w:t>4.机房和建筑物内部其他区域隔墙，耐火极限不低于2h。</w:t>
            </w:r>
          </w:p>
          <w:p>
            <w:pPr>
              <w:pStyle w:val="null3"/>
              <w:ind w:firstLine="645"/>
              <w:jc w:val="both"/>
            </w:pPr>
            <w:r>
              <w:rPr>
                <w:rFonts w:ascii="仿宋_GB2312" w:hAnsi="仿宋_GB2312" w:cs="仿宋_GB2312" w:eastAsia="仿宋_GB2312"/>
                <w:sz w:val="24"/>
              </w:rPr>
              <w:t>5.机房的顶棚、壁板（包括夹芯材料）和隔断为不燃烧体，且不应采用有机复合材料。</w:t>
            </w:r>
          </w:p>
          <w:p>
            <w:pPr>
              <w:pStyle w:val="null3"/>
              <w:ind w:firstLine="645"/>
              <w:jc w:val="both"/>
            </w:pPr>
            <w:r>
              <w:rPr>
                <w:rFonts w:ascii="仿宋_GB2312" w:hAnsi="仿宋_GB2312" w:cs="仿宋_GB2312" w:eastAsia="仿宋_GB2312"/>
                <w:sz w:val="24"/>
              </w:rPr>
              <w:t>6.服务器机柜配置前置挡板，服务器机柜顶部至少有4个100mm直径的下线孔，桥架下线口处安装导线板，桥架下线口处及机柜进线口处，做毛边处理等相关保护，服务器机柜内部有单独固定线缆的立柱。</w:t>
            </w:r>
          </w:p>
          <w:p>
            <w:pPr>
              <w:pStyle w:val="null3"/>
              <w:ind w:firstLine="480"/>
              <w:jc w:val="both"/>
            </w:pPr>
            <w:r>
              <w:rPr>
                <w:rFonts w:ascii="仿宋_GB2312" w:hAnsi="仿宋_GB2312" w:cs="仿宋_GB2312" w:eastAsia="仿宋_GB2312"/>
                <w:sz w:val="24"/>
              </w:rPr>
              <w:t>（三）空调系统：</w:t>
            </w:r>
          </w:p>
          <w:p>
            <w:pPr>
              <w:pStyle w:val="null3"/>
              <w:ind w:firstLine="645"/>
              <w:jc w:val="both"/>
            </w:pPr>
            <w:r>
              <w:rPr>
                <w:rFonts w:ascii="仿宋_GB2312" w:hAnsi="仿宋_GB2312" w:cs="仿宋_GB2312" w:eastAsia="仿宋_GB2312"/>
                <w:sz w:val="24"/>
              </w:rPr>
              <w:t>1.IDC机房能够提供良好的运行环境，保障机房制冷和恒温。温度在21℃-27℃，相对湿度不大于60%。温度变化率≤5%不凝露。</w:t>
            </w:r>
          </w:p>
          <w:p>
            <w:pPr>
              <w:pStyle w:val="null3"/>
              <w:ind w:firstLine="645"/>
              <w:jc w:val="both"/>
            </w:pPr>
            <w:r>
              <w:rPr>
                <w:rFonts w:ascii="仿宋_GB2312" w:hAnsi="仿宋_GB2312" w:cs="仿宋_GB2312" w:eastAsia="仿宋_GB2312"/>
                <w:sz w:val="24"/>
              </w:rPr>
              <w:t>2.为了保证机房的正常运行，空调系统为N+1冗余方式配置，</w:t>
            </w:r>
          </w:p>
          <w:p>
            <w:pPr>
              <w:pStyle w:val="null3"/>
              <w:ind w:firstLine="645"/>
              <w:jc w:val="both"/>
            </w:pPr>
            <w:r>
              <w:rPr>
                <w:rFonts w:ascii="仿宋_GB2312" w:hAnsi="仿宋_GB2312" w:cs="仿宋_GB2312" w:eastAsia="仿宋_GB2312"/>
                <w:sz w:val="24"/>
              </w:rPr>
              <w:t>3.不间断电源系统电池室温度20°C ~30°C，机房空气粒子浓度，粒径≥0.5μm，每升个数应≤18000粒</w:t>
            </w:r>
          </w:p>
          <w:p>
            <w:pPr>
              <w:pStyle w:val="null3"/>
              <w:ind w:firstLine="645"/>
              <w:jc w:val="both"/>
            </w:pPr>
            <w:r>
              <w:rPr>
                <w:rFonts w:ascii="仿宋_GB2312" w:hAnsi="仿宋_GB2312" w:cs="仿宋_GB2312" w:eastAsia="仿宋_GB2312"/>
                <w:sz w:val="24"/>
              </w:rPr>
              <w:t>4.IDC机房整个空调系统符合《数据中心设计规范》（GB50174_2017）B级数据中心技术要求。</w:t>
            </w:r>
          </w:p>
          <w:p>
            <w:pPr>
              <w:pStyle w:val="null3"/>
              <w:ind w:firstLine="645"/>
              <w:jc w:val="both"/>
            </w:pPr>
            <w:r>
              <w:rPr>
                <w:rFonts w:ascii="仿宋_GB2312" w:hAnsi="仿宋_GB2312" w:cs="仿宋_GB2312" w:eastAsia="仿宋_GB2312"/>
                <w:sz w:val="24"/>
              </w:rPr>
              <w:t>5、机房新风系统应采用高效新风净化机，并配备保证计算机机房室内正压所需的余压控制装置。送进机房的空气必须是处理过的空气，新风在空调系统中含量应约占送风量的5~10%。</w:t>
            </w:r>
          </w:p>
          <w:p>
            <w:pPr>
              <w:pStyle w:val="null3"/>
              <w:ind w:firstLine="645"/>
              <w:jc w:val="both"/>
            </w:pPr>
            <w:r>
              <w:rPr>
                <w:rFonts w:ascii="仿宋_GB2312" w:hAnsi="仿宋_GB2312" w:cs="仿宋_GB2312" w:eastAsia="仿宋_GB2312"/>
                <w:sz w:val="24"/>
              </w:rPr>
              <w:t>6、机房空调系统无故障率须≥90%。</w:t>
            </w:r>
          </w:p>
          <w:p>
            <w:pPr>
              <w:pStyle w:val="null3"/>
              <w:ind w:firstLine="480"/>
              <w:jc w:val="both"/>
            </w:pPr>
            <w:r>
              <w:rPr>
                <w:rFonts w:ascii="仿宋_GB2312" w:hAnsi="仿宋_GB2312" w:cs="仿宋_GB2312" w:eastAsia="仿宋_GB2312"/>
                <w:sz w:val="24"/>
              </w:rPr>
              <w:t>（四）电力供配系统：</w:t>
            </w:r>
          </w:p>
          <w:p>
            <w:pPr>
              <w:pStyle w:val="null3"/>
              <w:ind w:firstLine="645"/>
              <w:jc w:val="both"/>
            </w:pPr>
            <w:r>
              <w:rPr>
                <w:rFonts w:ascii="仿宋_GB2312" w:hAnsi="仿宋_GB2312" w:cs="仿宋_GB2312" w:eastAsia="仿宋_GB2312"/>
                <w:sz w:val="24"/>
              </w:rPr>
              <w:t>1、IDC机房采用两路市电供电方式。两路10KVA市电从两个独立变电站引入。</w:t>
            </w:r>
          </w:p>
          <w:p>
            <w:pPr>
              <w:pStyle w:val="null3"/>
              <w:ind w:firstLine="645"/>
              <w:jc w:val="both"/>
            </w:pPr>
            <w:r>
              <w:rPr>
                <w:rFonts w:ascii="仿宋_GB2312" w:hAnsi="仿宋_GB2312" w:cs="仿宋_GB2312" w:eastAsia="仿宋_GB2312"/>
                <w:sz w:val="24"/>
              </w:rPr>
              <w:t>2、IDC设备供电配备3套（N+1）UPS系统实现冗余电源，蓄电池组应急供电＞30分钟。</w:t>
            </w:r>
          </w:p>
          <w:p>
            <w:pPr>
              <w:pStyle w:val="null3"/>
              <w:ind w:firstLine="645"/>
              <w:jc w:val="both"/>
            </w:pPr>
            <w:r>
              <w:rPr>
                <w:rFonts w:ascii="仿宋_GB2312" w:hAnsi="仿宋_GB2312" w:cs="仿宋_GB2312" w:eastAsia="仿宋_GB2312"/>
                <w:sz w:val="24"/>
              </w:rPr>
              <w:t>3、机房配电系统采用50Hz、220/380V电源，采用放射式和树干式相结合的方式。同时要留有备用电路和备用发电机组，作为机房设备扩充和紧急供电使用。</w:t>
            </w:r>
          </w:p>
          <w:p>
            <w:pPr>
              <w:pStyle w:val="null3"/>
              <w:ind w:firstLine="645"/>
              <w:jc w:val="both"/>
            </w:pPr>
            <w:r>
              <w:rPr>
                <w:rFonts w:ascii="仿宋_GB2312" w:hAnsi="仿宋_GB2312" w:cs="仿宋_GB2312" w:eastAsia="仿宋_GB2312"/>
                <w:sz w:val="24"/>
              </w:rPr>
              <w:t>4、机房内设备电源电压变化应在200V±5%之内，频率变化应在50Hz±0.5Hz之内。</w:t>
            </w:r>
          </w:p>
          <w:p>
            <w:pPr>
              <w:pStyle w:val="null3"/>
              <w:ind w:firstLine="645"/>
              <w:jc w:val="both"/>
            </w:pPr>
            <w:r>
              <w:rPr>
                <w:rFonts w:ascii="仿宋_GB2312" w:hAnsi="仿宋_GB2312" w:cs="仿宋_GB2312" w:eastAsia="仿宋_GB2312"/>
                <w:sz w:val="24"/>
              </w:rPr>
              <w:t>5、机房内照明装置宜采用无炫光灯盘，照明亮度≥400LUX。</w:t>
            </w:r>
          </w:p>
          <w:p>
            <w:pPr>
              <w:pStyle w:val="null3"/>
              <w:ind w:firstLine="645"/>
              <w:jc w:val="both"/>
            </w:pPr>
            <w:r>
              <w:rPr>
                <w:rFonts w:ascii="仿宋_GB2312" w:hAnsi="仿宋_GB2312" w:cs="仿宋_GB2312" w:eastAsia="仿宋_GB2312"/>
                <w:sz w:val="24"/>
              </w:rPr>
              <w:t>6、机房装修所采用的导线应符合消防安全。室内导线全部采用国际免检的阻燃电线。为防止漏电危及人身安全和防电磁干扰，所有金属线槽、金属线管必须全部可靠连成一体并可靠接地，接地电阻：R≤1Ω，零地电位差≤1V</w:t>
            </w:r>
          </w:p>
          <w:p>
            <w:pPr>
              <w:pStyle w:val="null3"/>
              <w:ind w:firstLine="645"/>
              <w:jc w:val="both"/>
            </w:pPr>
            <w:r>
              <w:rPr>
                <w:rFonts w:ascii="仿宋_GB2312" w:hAnsi="仿宋_GB2312" w:cs="仿宋_GB2312" w:eastAsia="仿宋_GB2312"/>
                <w:sz w:val="24"/>
              </w:rPr>
              <w:t>7、机房电源应符合但不限于CCC、UL、CE等认证标准要求。</w:t>
            </w:r>
          </w:p>
          <w:p>
            <w:pPr>
              <w:pStyle w:val="null3"/>
              <w:ind w:firstLine="645"/>
              <w:jc w:val="both"/>
            </w:pPr>
            <w:r>
              <w:rPr>
                <w:rFonts w:ascii="仿宋_GB2312" w:hAnsi="仿宋_GB2312" w:cs="仿宋_GB2312" w:eastAsia="仿宋_GB2312"/>
                <w:sz w:val="24"/>
              </w:rPr>
              <w:t>8、机房电力供配电系统无故障率须达到100%。</w:t>
            </w:r>
          </w:p>
          <w:p>
            <w:pPr>
              <w:pStyle w:val="null3"/>
              <w:ind w:firstLine="480"/>
              <w:jc w:val="both"/>
            </w:pPr>
            <w:r>
              <w:rPr>
                <w:rFonts w:ascii="仿宋_GB2312" w:hAnsi="仿宋_GB2312" w:cs="仿宋_GB2312" w:eastAsia="仿宋_GB2312"/>
                <w:sz w:val="24"/>
              </w:rPr>
              <w:t>（五）消防系统：</w:t>
            </w:r>
          </w:p>
          <w:p>
            <w:pPr>
              <w:pStyle w:val="null3"/>
              <w:ind w:firstLine="645"/>
              <w:jc w:val="both"/>
            </w:pPr>
            <w:r>
              <w:rPr>
                <w:rFonts w:ascii="仿宋_GB2312" w:hAnsi="仿宋_GB2312" w:cs="仿宋_GB2312" w:eastAsia="仿宋_GB2312"/>
                <w:sz w:val="24"/>
              </w:rPr>
              <w:t>1、机房配置烟感报警系统，并配备有手动报警按钮。</w:t>
            </w:r>
          </w:p>
          <w:p>
            <w:pPr>
              <w:pStyle w:val="null3"/>
              <w:ind w:firstLine="645"/>
              <w:jc w:val="both"/>
            </w:pPr>
            <w:r>
              <w:rPr>
                <w:rFonts w:ascii="仿宋_GB2312" w:hAnsi="仿宋_GB2312" w:cs="仿宋_GB2312" w:eastAsia="仿宋_GB2312"/>
                <w:sz w:val="24"/>
              </w:rPr>
              <w:t>2、消防系统采用的器材和设备必须是国家指定的检验中心确认合格的产品。</w:t>
            </w:r>
          </w:p>
          <w:p>
            <w:pPr>
              <w:pStyle w:val="null3"/>
              <w:ind w:firstLine="645"/>
              <w:jc w:val="both"/>
            </w:pPr>
            <w:r>
              <w:rPr>
                <w:rFonts w:ascii="仿宋_GB2312" w:hAnsi="仿宋_GB2312" w:cs="仿宋_GB2312" w:eastAsia="仿宋_GB2312"/>
                <w:sz w:val="24"/>
              </w:rPr>
              <w:t>3、机房区域选用无污染的气体消防</w:t>
            </w:r>
            <w:r>
              <w:rPr>
                <w:rFonts w:ascii="仿宋_GB2312" w:hAnsi="仿宋_GB2312" w:cs="仿宋_GB2312" w:eastAsia="仿宋_GB2312"/>
                <w:sz w:val="24"/>
              </w:rPr>
              <w:t>监控管理系统</w:t>
            </w:r>
            <w:r>
              <w:rPr>
                <w:rFonts w:ascii="仿宋_GB2312" w:hAnsi="仿宋_GB2312" w:cs="仿宋_GB2312" w:eastAsia="仿宋_GB2312"/>
                <w:sz w:val="24"/>
              </w:rPr>
              <w:t>。</w:t>
            </w:r>
          </w:p>
          <w:p>
            <w:pPr>
              <w:pStyle w:val="null3"/>
              <w:ind w:firstLine="645"/>
              <w:jc w:val="both"/>
            </w:pPr>
            <w:r>
              <w:rPr>
                <w:rFonts w:ascii="仿宋_GB2312" w:hAnsi="仿宋_GB2312" w:cs="仿宋_GB2312" w:eastAsia="仿宋_GB2312"/>
                <w:sz w:val="24"/>
              </w:rPr>
              <w:t>4、增设推车式干粉灭火器（磷酸铵盐）</w:t>
            </w:r>
          </w:p>
          <w:p>
            <w:pPr>
              <w:pStyle w:val="null3"/>
              <w:ind w:firstLine="480"/>
              <w:jc w:val="both"/>
            </w:pPr>
            <w:r>
              <w:rPr>
                <w:rFonts w:ascii="仿宋_GB2312" w:hAnsi="仿宋_GB2312" w:cs="仿宋_GB2312" w:eastAsia="仿宋_GB2312"/>
                <w:sz w:val="24"/>
              </w:rPr>
              <w:t>（六）机房的日常巡检：</w:t>
            </w:r>
          </w:p>
          <w:p>
            <w:pPr>
              <w:pStyle w:val="null3"/>
              <w:ind w:firstLine="645"/>
              <w:jc w:val="both"/>
            </w:pPr>
            <w:r>
              <w:rPr>
                <w:rFonts w:ascii="仿宋_GB2312" w:hAnsi="仿宋_GB2312" w:cs="仿宋_GB2312" w:eastAsia="仿宋_GB2312"/>
                <w:sz w:val="24"/>
              </w:rPr>
              <w:t>1、每天有专业维护人员对所托管机房的温湿度空调系统、电力供配电系统和消防系统等机房运行环境进行巡检，并观察设备运行情况有无异常报警，并将异常情况及时通知给采购方，并做好详细的巡检记录，保障机房内部的环境安全。</w:t>
            </w:r>
          </w:p>
          <w:p>
            <w:pPr>
              <w:pStyle w:val="null3"/>
              <w:ind w:firstLine="645"/>
              <w:jc w:val="both"/>
            </w:pPr>
            <w:r>
              <w:rPr>
                <w:rFonts w:ascii="仿宋_GB2312" w:hAnsi="仿宋_GB2312" w:cs="仿宋_GB2312" w:eastAsia="仿宋_GB2312"/>
                <w:sz w:val="24"/>
              </w:rPr>
              <w:t>2、机房所在大楼7*24小时保安巡逻，来宾登记，视频监控，保障托管机房外部的环境安全。</w:t>
            </w:r>
          </w:p>
          <w:p>
            <w:pPr>
              <w:pStyle w:val="null3"/>
              <w:ind w:firstLine="480"/>
              <w:jc w:val="both"/>
            </w:pPr>
            <w:r>
              <w:rPr>
                <w:rFonts w:ascii="仿宋_GB2312" w:hAnsi="仿宋_GB2312" w:cs="仿宋_GB2312" w:eastAsia="仿宋_GB2312"/>
                <w:sz w:val="24"/>
              </w:rPr>
              <w:t>（七）监控管理系统：</w:t>
            </w:r>
          </w:p>
          <w:p>
            <w:pPr>
              <w:pStyle w:val="null3"/>
              <w:ind w:firstLine="645"/>
              <w:jc w:val="both"/>
            </w:pPr>
            <w:r>
              <w:rPr>
                <w:rFonts w:ascii="仿宋_GB2312" w:hAnsi="仿宋_GB2312" w:cs="仿宋_GB2312" w:eastAsia="仿宋_GB2312"/>
                <w:sz w:val="24"/>
              </w:rPr>
              <w:t>1.数据中心场地</w:t>
            </w:r>
            <w:r>
              <w:rPr>
                <w:rFonts w:ascii="仿宋_GB2312" w:hAnsi="仿宋_GB2312" w:cs="仿宋_GB2312" w:eastAsia="仿宋_GB2312"/>
                <w:sz w:val="24"/>
              </w:rPr>
              <w:t>监控管理系统</w:t>
            </w:r>
            <w:r>
              <w:rPr>
                <w:rFonts w:ascii="仿宋_GB2312" w:hAnsi="仿宋_GB2312" w:cs="仿宋_GB2312" w:eastAsia="仿宋_GB2312"/>
                <w:sz w:val="24"/>
              </w:rPr>
              <w:t>配备</w:t>
            </w:r>
            <w:r>
              <w:rPr>
                <w:rFonts w:ascii="仿宋_GB2312" w:hAnsi="仿宋_GB2312" w:cs="仿宋_GB2312" w:eastAsia="仿宋_GB2312"/>
                <w:sz w:val="24"/>
              </w:rPr>
              <w:t>24小时视频</w:t>
            </w:r>
            <w:r>
              <w:rPr>
                <w:rFonts w:ascii="仿宋_GB2312" w:hAnsi="仿宋_GB2312" w:cs="仿宋_GB2312" w:eastAsia="仿宋_GB2312"/>
                <w:sz w:val="24"/>
              </w:rPr>
              <w:t>监控</w:t>
            </w:r>
            <w:r>
              <w:rPr>
                <w:rFonts w:ascii="仿宋_GB2312" w:hAnsi="仿宋_GB2312" w:cs="仿宋_GB2312" w:eastAsia="仿宋_GB2312"/>
                <w:sz w:val="24"/>
              </w:rPr>
              <w:t>、机房动环（艾默生）及温湿度</w:t>
            </w:r>
            <w:r>
              <w:rPr>
                <w:rFonts w:ascii="仿宋_GB2312" w:hAnsi="仿宋_GB2312" w:cs="仿宋_GB2312" w:eastAsia="仿宋_GB2312"/>
                <w:sz w:val="24"/>
              </w:rPr>
              <w:t>监控</w:t>
            </w:r>
            <w:r>
              <w:rPr>
                <w:rFonts w:ascii="仿宋_GB2312" w:hAnsi="仿宋_GB2312" w:cs="仿宋_GB2312" w:eastAsia="仿宋_GB2312"/>
                <w:sz w:val="24"/>
              </w:rPr>
              <w:t>。</w:t>
            </w:r>
          </w:p>
          <w:p>
            <w:pPr>
              <w:pStyle w:val="null3"/>
              <w:ind w:firstLine="645"/>
              <w:jc w:val="both"/>
            </w:pPr>
            <w:r>
              <w:rPr>
                <w:rFonts w:ascii="仿宋_GB2312" w:hAnsi="仿宋_GB2312" w:cs="仿宋_GB2312" w:eastAsia="仿宋_GB2312"/>
                <w:sz w:val="24"/>
              </w:rPr>
              <w:t>2.IDC机房场地应配备门禁分权分域系统。机房主要出入口在机房外门及主要通道上设门禁系统，既有机械锁功能，又有门禁控制功能。</w:t>
            </w:r>
          </w:p>
          <w:p>
            <w:pPr>
              <w:pStyle w:val="null3"/>
              <w:ind w:firstLine="645"/>
              <w:jc w:val="both"/>
            </w:pPr>
            <w:r>
              <w:rPr>
                <w:rFonts w:ascii="仿宋_GB2312" w:hAnsi="仿宋_GB2312" w:cs="仿宋_GB2312" w:eastAsia="仿宋_GB2312"/>
                <w:sz w:val="24"/>
              </w:rPr>
              <w:t>3.机房设有24小时门卫，且具有完善的出入管理登记。</w:t>
            </w:r>
          </w:p>
          <w:p>
            <w:pPr>
              <w:pStyle w:val="null3"/>
              <w:ind w:firstLine="645"/>
              <w:jc w:val="both"/>
            </w:pPr>
            <w:r>
              <w:rPr>
                <w:rFonts w:ascii="仿宋_GB2312" w:hAnsi="仿宋_GB2312" w:cs="仿宋_GB2312" w:eastAsia="仿宋_GB2312"/>
                <w:sz w:val="24"/>
              </w:rPr>
              <w:t>4.机房内配备24小时视频监控，监控数据保存1个月以上。</w:t>
            </w:r>
          </w:p>
          <w:p>
            <w:pPr>
              <w:pStyle w:val="null3"/>
              <w:ind w:firstLine="645"/>
              <w:jc w:val="both"/>
            </w:pPr>
            <w:r>
              <w:rPr>
                <w:rFonts w:ascii="仿宋_GB2312" w:hAnsi="仿宋_GB2312" w:cs="仿宋_GB2312" w:eastAsia="仿宋_GB2312"/>
                <w:sz w:val="24"/>
              </w:rPr>
              <w:t>5.设备、动力环境有专业的</w:t>
            </w:r>
            <w:r>
              <w:rPr>
                <w:rFonts w:ascii="仿宋_GB2312" w:hAnsi="仿宋_GB2312" w:cs="仿宋_GB2312" w:eastAsia="仿宋_GB2312"/>
                <w:sz w:val="24"/>
              </w:rPr>
              <w:t>监控管理系统</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（八）技术和服务要求：</w:t>
            </w:r>
          </w:p>
          <w:p>
            <w:pPr>
              <w:pStyle w:val="null3"/>
              <w:ind w:firstLine="645"/>
              <w:jc w:val="both"/>
            </w:pPr>
            <w:r>
              <w:rPr>
                <w:rFonts w:ascii="仿宋_GB2312" w:hAnsi="仿宋_GB2312" w:cs="仿宋_GB2312" w:eastAsia="仿宋_GB2312"/>
                <w:sz w:val="24"/>
              </w:rPr>
              <w:t>1、供应商须具备完善的技术团队，能够指导采购工作人员参与设备的安装、调试、诊断及解决问题等各项工作，在托管机房发生突发事故、设备上下架，系统升级改造施工等情况下供应商须配备专业人员给予采购方必要的人力物力的配合协助和技术支持。</w:t>
            </w:r>
          </w:p>
          <w:p>
            <w:pPr>
              <w:pStyle w:val="null3"/>
              <w:ind w:firstLine="645"/>
              <w:jc w:val="both"/>
            </w:pPr>
            <w:r>
              <w:rPr>
                <w:rFonts w:ascii="仿宋_GB2312" w:hAnsi="仿宋_GB2312" w:cs="仿宋_GB2312" w:eastAsia="仿宋_GB2312"/>
                <w:sz w:val="24"/>
              </w:rPr>
              <w:t>2、供应商须提供至少一名服务联系人，负责处理采购人的服务请求等相关事宜。</w:t>
            </w:r>
          </w:p>
          <w:p>
            <w:pPr>
              <w:pStyle w:val="null3"/>
              <w:ind w:firstLine="645"/>
              <w:jc w:val="both"/>
            </w:pPr>
            <w:r>
              <w:rPr>
                <w:rFonts w:ascii="仿宋_GB2312" w:hAnsi="仿宋_GB2312" w:cs="仿宋_GB2312" w:eastAsia="仿宋_GB2312"/>
                <w:sz w:val="24"/>
              </w:rPr>
              <w:t>3、供应商应向采购方提供7*24小时的响应服务，采购方工作人员按照约定流程申请人员进入托管机房时，供应商须给予及时响应并办理入室手续，办理时间从采购方发出入室申请开始计算30分钟内办理完入室审批手续；采购方工作人员按照约定流程申请设备进入或带出托管机房时，供应商须给予及时响应并办理入室手续，办理时间从采购方发出设备上下架申请开始计算60分钟内办理完设备上下架审批手续。</w:t>
            </w:r>
          </w:p>
          <w:p>
            <w:pPr>
              <w:pStyle w:val="null3"/>
              <w:ind w:firstLine="645"/>
              <w:jc w:val="both"/>
            </w:pPr>
            <w:r>
              <w:rPr>
                <w:rFonts w:ascii="仿宋_GB2312" w:hAnsi="仿宋_GB2312" w:cs="仿宋_GB2312" w:eastAsia="仿宋_GB2312"/>
                <w:sz w:val="24"/>
              </w:rPr>
              <w:t>5、在服务期内采购人因业务调整需求有权提前终止租赁服务，供应商在收到采购人的服务终止申请后须在30个自然日之内办理完相关终止手续并停止计费。</w:t>
            </w:r>
          </w:p>
          <w:p>
            <w:pPr>
              <w:pStyle w:val="null3"/>
              <w:ind w:firstLine="480"/>
              <w:jc w:val="both"/>
            </w:pPr>
            <w:r>
              <w:rPr>
                <w:rFonts w:ascii="仿宋_GB2312" w:hAnsi="仿宋_GB2312" w:cs="仿宋_GB2312" w:eastAsia="仿宋_GB2312"/>
                <w:sz w:val="24"/>
              </w:rPr>
              <w:t>（九）其他要求：</w:t>
            </w:r>
          </w:p>
          <w:p>
            <w:pPr>
              <w:pStyle w:val="null3"/>
              <w:ind w:firstLine="645"/>
              <w:jc w:val="both"/>
            </w:pPr>
            <w:r>
              <w:rPr>
                <w:rFonts w:ascii="仿宋_GB2312" w:hAnsi="仿宋_GB2312" w:cs="仿宋_GB2312" w:eastAsia="仿宋_GB2312"/>
                <w:sz w:val="24"/>
              </w:rPr>
              <w:t>1、机房具备同城灾备条件。</w:t>
            </w:r>
          </w:p>
          <w:p>
            <w:pPr>
              <w:pStyle w:val="null3"/>
              <w:ind w:firstLine="645"/>
              <w:jc w:val="both"/>
            </w:pPr>
            <w:r>
              <w:rPr>
                <w:rFonts w:ascii="仿宋_GB2312" w:hAnsi="仿宋_GB2312" w:cs="仿宋_GB2312" w:eastAsia="仿宋_GB2312"/>
                <w:sz w:val="24"/>
              </w:rPr>
              <w:t>2、机房所用的网络、电力、控制线缆能进行必要的冗余，以便今后扩展需要。</w:t>
            </w:r>
          </w:p>
          <w:p>
            <w:pPr>
              <w:pStyle w:val="null3"/>
              <w:ind w:firstLine="645"/>
              <w:jc w:val="both"/>
            </w:pPr>
            <w:r>
              <w:rPr>
                <w:rFonts w:ascii="仿宋_GB2312" w:hAnsi="仿宋_GB2312" w:cs="仿宋_GB2312" w:eastAsia="仿宋_GB2312"/>
                <w:sz w:val="24"/>
              </w:rPr>
              <w:t>3、机房噪音小于65dB。</w:t>
            </w:r>
          </w:p>
          <w:p>
            <w:pPr>
              <w:pStyle w:val="null3"/>
              <w:ind w:firstLine="645"/>
              <w:jc w:val="both"/>
            </w:pPr>
            <w:r>
              <w:rPr>
                <w:rFonts w:ascii="仿宋_GB2312" w:hAnsi="仿宋_GB2312" w:cs="仿宋_GB2312" w:eastAsia="仿宋_GB2312"/>
                <w:sz w:val="24"/>
              </w:rPr>
              <w:t>4、能够按照采购方的要求提供IDC机房的平面图、演练数据、核心设备品牌型号清单等相关材料以及人员资料。</w:t>
            </w:r>
          </w:p>
          <w:p>
            <w:pPr>
              <w:pStyle w:val="null3"/>
              <w:ind w:firstLine="645"/>
              <w:jc w:val="both"/>
            </w:pPr>
            <w:r>
              <w:rPr>
                <w:rFonts w:ascii="仿宋_GB2312" w:hAnsi="仿宋_GB2312" w:cs="仿宋_GB2312" w:eastAsia="仿宋_GB2312"/>
                <w:sz w:val="24"/>
              </w:rPr>
              <w:t>5、提供机房托管运行报告，每年度至少提供一次。</w:t>
            </w:r>
          </w:p>
          <w:p>
            <w:pPr>
              <w:pStyle w:val="null3"/>
              <w:ind w:firstLine="645"/>
              <w:jc w:val="both"/>
            </w:pPr>
            <w:r>
              <w:rPr>
                <w:rFonts w:ascii="仿宋_GB2312" w:hAnsi="仿宋_GB2312" w:cs="仿宋_GB2312" w:eastAsia="仿宋_GB2312"/>
                <w:sz w:val="24"/>
              </w:rPr>
              <w:t>6、在服务期内采购人因业务需求机房需接入新的线路时，供应商应无条件配合并在30自然日内办理完相关手续，供应商因此产生的费用由自身承担。</w:t>
            </w:r>
          </w:p>
          <w:p>
            <w:pPr>
              <w:pStyle w:val="null3"/>
            </w:pPr>
            <w:r>
              <w:rPr>
                <w:rFonts w:ascii="仿宋_GB2312" w:hAnsi="仿宋_GB2312" w:cs="仿宋_GB2312" w:eastAsia="仿宋_GB2312"/>
                <w:sz w:val="24"/>
                <w:b/>
              </w:rPr>
              <w:t>三、服务标准：</w:t>
            </w:r>
            <w:r>
              <w:rPr>
                <w:rFonts w:ascii="仿宋_GB2312" w:hAnsi="仿宋_GB2312" w:cs="仿宋_GB2312" w:eastAsia="仿宋_GB2312"/>
                <w:sz w:val="24"/>
              </w:rPr>
              <w:t>符合国家及行业有关现行规范、标准的要求。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2026年8月18日至2027年8月17日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进度款，服务期开始之日起，供应商提供发票，达到付款条件起30个工作日内，支付合同总金额的40.0%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进度款，服务期满半年，供应商提供发票，达到付款条件起30个工作日内，支付合同总金额的30.0%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进度款，服务期满一年后，供应商提供发票，达到付款条件起30个工作日内，支付合同总金额的30.0%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参照《财政部关于进一步加强政府采购需求和履约验收管理的指导意见》(财库(2016) 205号，经采购人组织验收。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（1）服务范围：2026年度IDC托管机房服务项目；（2）服务要求：满足采购需求及采购文件要求 ；（3）服务标准：符合国家及行业有关现行规范、标准的要求。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4资质证明文件（参考格式）.docx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开标当天代理机构核查为准）；</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法定代表人（负责人）委托授权书\身份证明</w:t>
            </w:r>
          </w:p>
        </w:tc>
        <w:tc>
          <w:tcPr>
            <w:tcW w:type="dxa" w:w="3322"/>
          </w:tcPr>
          <w:p>
            <w:pPr>
              <w:pStyle w:val="null3"/>
            </w:pPr>
            <w:r>
              <w:rPr>
                <w:rFonts w:ascii="仿宋_GB2312" w:hAnsi="仿宋_GB2312" w:cs="仿宋_GB2312" w:eastAsia="仿宋_GB2312"/>
              </w:rPr>
              <w:t>供应商应授权合法的人员参加单一来源采购全过程，其中法定代表人（负责人）直接参加投标的，须出具法定代表人（负责人）身份证，并与营业执照上信息一致。法定代表人（负责人）授权代表参加投标的，须出具法定代表人（负责人）授权书及授权代表身份证。（其他组织或自然人参照执行）；</w:t>
            </w:r>
          </w:p>
        </w:tc>
        <w:tc>
          <w:tcPr>
            <w:tcW w:type="dxa" w:w="1661"/>
          </w:tcPr>
          <w:p>
            <w:pPr>
              <w:pStyle w:val="null3"/>
            </w:pPr>
            <w:r>
              <w:rPr>
                <w:rFonts w:ascii="仿宋_GB2312" w:hAnsi="仿宋_GB2312" w:cs="仿宋_GB2312" w:eastAsia="仿宋_GB2312"/>
              </w:rPr>
              <w:t>4资质证明文件（参考格式）.docx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协商内容未出现漏项或数量与要求不符，未出现重大负偏差；</w:t>
            </w:r>
          </w:p>
        </w:tc>
        <w:tc>
          <w:tcPr>
            <w:tcW w:type="dxa" w:w="1661"/>
          </w:tcPr>
          <w:p>
            <w:pPr>
              <w:pStyle w:val="null3"/>
            </w:pPr>
            <w:r>
              <w:rPr>
                <w:rFonts w:ascii="仿宋_GB2312" w:hAnsi="仿宋_GB2312" w:cs="仿宋_GB2312" w:eastAsia="仿宋_GB2312"/>
              </w:rPr>
              <w:t>响应函 3商务响应表.docx 2服务要求响应表.docx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完全理解并接受法律法规和单一来源采购文件对供应商合法经营的各类规约和责任义务要求，未出现法律、法规或单一来源文件规定的其他无效情形的；</w:t>
            </w:r>
          </w:p>
        </w:tc>
        <w:tc>
          <w:tcPr>
            <w:tcW w:type="dxa" w:w="1661"/>
          </w:tcPr>
          <w:p>
            <w:pPr>
              <w:pStyle w:val="null3"/>
            </w:pPr>
            <w:r>
              <w:rPr>
                <w:rFonts w:ascii="仿宋_GB2312" w:hAnsi="仿宋_GB2312" w:cs="仿宋_GB2312" w:eastAsia="仿宋_GB2312"/>
              </w:rPr>
              <w:t>响应文件封面 6供应商拒绝政府采购领域商业贿赂承诺书.docx 1分项报价表.docx 4资质证明文件（参考格式）.docx 标的清单 报价表 5服务方案.docx 响应函 3商务响应表.docx 2服务要求响应表.docx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响应文件的签署、加盖公章有效；</w:t>
            </w:r>
          </w:p>
        </w:tc>
        <w:tc>
          <w:tcPr>
            <w:tcW w:type="dxa" w:w="1661"/>
          </w:tcPr>
          <w:p>
            <w:pPr>
              <w:pStyle w:val="null3"/>
            </w:pPr>
            <w:r>
              <w:rPr>
                <w:rFonts w:ascii="仿宋_GB2312" w:hAnsi="仿宋_GB2312" w:cs="仿宋_GB2312" w:eastAsia="仿宋_GB2312"/>
              </w:rPr>
              <w:t>响应文件封面 6供应商拒绝政府采购领域商业贿赂承诺书.docx 1分项报价表.docx 中小企业声明函 残疾人福利性单位声明函 4资质证明文件（参考格式）.docx 标的清单 报价表 响应函 3商务响应表.docx 监狱企业的证明文件 2服务要求响应表.docx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响应文件按有效期达到单一来源采购文件的要求；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单一来源采购文件报价</w:t>
            </w:r>
          </w:p>
        </w:tc>
        <w:tc>
          <w:tcPr>
            <w:tcW w:type="dxa" w:w="3322"/>
          </w:tcPr>
          <w:p>
            <w:pPr>
              <w:pStyle w:val="null3"/>
            </w:pPr>
            <w:r>
              <w:rPr>
                <w:rFonts w:ascii="仿宋_GB2312" w:hAnsi="仿宋_GB2312" w:cs="仿宋_GB2312" w:eastAsia="仿宋_GB2312"/>
              </w:rPr>
              <w:t>报价未超过单一来源采购文件中规定的最高限价的</w:t>
            </w:r>
          </w:p>
        </w:tc>
        <w:tc>
          <w:tcPr>
            <w:tcW w:type="dxa" w:w="1661"/>
          </w:tcPr>
          <w:p>
            <w:pPr>
              <w:pStyle w:val="null3"/>
            </w:pPr>
            <w:r>
              <w:rPr>
                <w:rFonts w:ascii="仿宋_GB2312" w:hAnsi="仿宋_GB2312" w:cs="仿宋_GB2312" w:eastAsia="仿宋_GB2312"/>
              </w:rPr>
              <w:t>1分项报价表.docx 标的清单 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详见附件：2服务要求响应表.docx</w:t>
      </w:r>
    </w:p>
    <w:p>
      <w:pPr>
        <w:pStyle w:val="null3"/>
        <w:ind w:firstLine="960"/>
      </w:pPr>
      <w:r>
        <w:rPr>
          <w:rFonts w:ascii="仿宋_GB2312" w:hAnsi="仿宋_GB2312" w:cs="仿宋_GB2312" w:eastAsia="仿宋_GB2312"/>
        </w:rPr>
        <w:t>详见附件：3商务响应表.docx</w:t>
      </w:r>
    </w:p>
    <w:p>
      <w:pPr>
        <w:pStyle w:val="null3"/>
        <w:ind w:firstLine="960"/>
      </w:pPr>
      <w:r>
        <w:rPr>
          <w:rFonts w:ascii="仿宋_GB2312" w:hAnsi="仿宋_GB2312" w:cs="仿宋_GB2312" w:eastAsia="仿宋_GB2312"/>
        </w:rPr>
        <w:t>详见附件：4资质证明文件（参考格式）.docx</w:t>
      </w:r>
    </w:p>
    <w:p>
      <w:pPr>
        <w:pStyle w:val="null3"/>
        <w:ind w:firstLine="960"/>
      </w:pPr>
      <w:r>
        <w:rPr>
          <w:rFonts w:ascii="仿宋_GB2312" w:hAnsi="仿宋_GB2312" w:cs="仿宋_GB2312" w:eastAsia="仿宋_GB2312"/>
        </w:rPr>
        <w:t>详见附件：5服务方案.docx</w:t>
      </w:r>
    </w:p>
    <w:p>
      <w:pPr>
        <w:pStyle w:val="null3"/>
        <w:ind w:firstLine="960"/>
      </w:pPr>
      <w:r>
        <w:rPr>
          <w:rFonts w:ascii="仿宋_GB2312" w:hAnsi="仿宋_GB2312" w:cs="仿宋_GB2312" w:eastAsia="仿宋_GB2312"/>
        </w:rPr>
        <w:t>详见附件：6供应商拒绝政府采购领域商业贿赂承诺书.docx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