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371A6">
      <w:pPr>
        <w:pStyle w:val="8"/>
        <w:jc w:val="center"/>
        <w:rPr>
          <w:rFonts w:hint="eastAsia" w:ascii="宋体" w:hAnsi="宋体"/>
          <w:b/>
          <w:bCs/>
          <w:sz w:val="52"/>
          <w:szCs w:val="52"/>
          <w:highlight w:val="none"/>
          <w:lang w:eastAsia="zh-CN"/>
        </w:rPr>
      </w:pPr>
      <w:r>
        <w:rPr>
          <w:rFonts w:hint="eastAsia" w:ascii="宋体" w:hAnsi="宋体"/>
          <w:b/>
          <w:bCs/>
          <w:sz w:val="52"/>
          <w:szCs w:val="52"/>
          <w:highlight w:val="none"/>
          <w:lang w:eastAsia="zh-CN"/>
        </w:rPr>
        <w:t>香格里拉市2025年困难家庭居家适老化改造项目</w:t>
      </w:r>
    </w:p>
    <w:p w14:paraId="5EABAD4B">
      <w:pPr>
        <w:pStyle w:val="8"/>
        <w:jc w:val="center"/>
        <w:rPr>
          <w:rFonts w:hint="eastAsia" w:ascii="宋体" w:hAnsi="宋体" w:eastAsiaTheme="minorEastAsia"/>
          <w:b/>
          <w:bCs/>
          <w:sz w:val="28"/>
          <w:szCs w:val="28"/>
          <w:highlight w:val="none"/>
          <w:u w:val="none"/>
          <w:lang w:val="en-US" w:eastAsia="zh-CN"/>
        </w:rPr>
      </w:pPr>
      <w:r>
        <w:rPr>
          <w:rFonts w:hint="eastAsia" w:ascii="宋体" w:hAnsi="宋体"/>
          <w:b/>
          <w:bCs/>
          <w:sz w:val="28"/>
          <w:szCs w:val="28"/>
          <w:highlight w:val="none"/>
        </w:rPr>
        <w:t>项目编号</w:t>
      </w:r>
      <w:r>
        <w:rPr>
          <w:rFonts w:hint="eastAsia" w:ascii="宋体" w:hAnsi="宋体"/>
          <w:b/>
          <w:bCs/>
          <w:sz w:val="28"/>
          <w:szCs w:val="28"/>
        </w:rPr>
        <w:t>：</w:t>
      </w:r>
      <w:r>
        <w:rPr>
          <w:rFonts w:hint="eastAsia" w:ascii="宋体" w:hAnsi="宋体"/>
          <w:b/>
          <w:bCs/>
          <w:sz w:val="28"/>
          <w:szCs w:val="28"/>
          <w:lang w:eastAsia="zh-CN"/>
        </w:rPr>
        <w:t>DQZC2025-C2-00522-YNYZ-0039</w:t>
      </w:r>
    </w:p>
    <w:p w14:paraId="0D2A29A7">
      <w:pPr>
        <w:pStyle w:val="8"/>
        <w:jc w:val="center"/>
        <w:rPr>
          <w:rFonts w:hint="eastAsia" w:ascii="宋体" w:hAnsi="宋体"/>
          <w:b/>
          <w:bCs/>
          <w:sz w:val="52"/>
          <w:szCs w:val="52"/>
          <w:highlight w:val="none"/>
          <w:lang w:eastAsia="zh-CN"/>
        </w:rPr>
      </w:pPr>
    </w:p>
    <w:p w14:paraId="7427C651">
      <w:pPr>
        <w:pStyle w:val="8"/>
        <w:rPr>
          <w:rFonts w:hint="eastAsia" w:ascii="宋体" w:hAnsi="宋体"/>
          <w:sz w:val="28"/>
          <w:szCs w:val="28"/>
        </w:rPr>
      </w:pPr>
    </w:p>
    <w:p w14:paraId="16A7B6A6">
      <w:pPr>
        <w:pStyle w:val="8"/>
        <w:rPr>
          <w:rFonts w:hint="eastAsia" w:ascii="宋体" w:hAnsi="宋体"/>
          <w:sz w:val="28"/>
          <w:szCs w:val="28"/>
        </w:rPr>
      </w:pPr>
    </w:p>
    <w:p w14:paraId="42D4755F">
      <w:pPr>
        <w:pStyle w:val="8"/>
        <w:rPr>
          <w:rFonts w:hint="eastAsia" w:ascii="宋体" w:hAnsi="宋体"/>
          <w:sz w:val="28"/>
          <w:szCs w:val="28"/>
        </w:rPr>
      </w:pPr>
    </w:p>
    <w:p w14:paraId="616EC4D3">
      <w:pPr>
        <w:pStyle w:val="8"/>
        <w:rPr>
          <w:rFonts w:hint="eastAsia" w:ascii="宋体" w:hAnsi="宋体"/>
          <w:sz w:val="28"/>
          <w:szCs w:val="28"/>
        </w:rPr>
      </w:pPr>
    </w:p>
    <w:p w14:paraId="0D8BF64D">
      <w:pPr>
        <w:jc w:val="center"/>
        <w:rPr>
          <w:rFonts w:hint="eastAsia" w:ascii="宋体" w:hAnsi="宋体"/>
          <w:sz w:val="28"/>
          <w:szCs w:val="28"/>
        </w:rPr>
      </w:pPr>
      <w:r>
        <w:rPr>
          <w:rFonts w:hint="eastAsia"/>
          <w:b/>
          <w:bCs/>
          <w:sz w:val="96"/>
          <w:szCs w:val="96"/>
        </w:rPr>
        <w:t>竞争性磋商文件</w:t>
      </w:r>
      <w:r>
        <w:rPr>
          <w:rFonts w:hint="eastAsia" w:ascii="宋体" w:hAnsi="宋体"/>
          <w:sz w:val="28"/>
          <w:szCs w:val="28"/>
        </w:rPr>
        <w:t xml:space="preserve">  </w:t>
      </w:r>
    </w:p>
    <w:p w14:paraId="7098CB06">
      <w:pPr>
        <w:pStyle w:val="8"/>
        <w:rPr>
          <w:rFonts w:hint="eastAsia" w:ascii="宋体" w:hAnsi="宋体"/>
          <w:b/>
          <w:sz w:val="36"/>
          <w:szCs w:val="36"/>
        </w:rPr>
      </w:pPr>
    </w:p>
    <w:p w14:paraId="0371BF54">
      <w:pPr>
        <w:pStyle w:val="8"/>
        <w:rPr>
          <w:rFonts w:hint="eastAsia" w:ascii="宋体" w:hAnsi="宋体"/>
          <w:b/>
          <w:sz w:val="36"/>
          <w:szCs w:val="36"/>
        </w:rPr>
      </w:pPr>
    </w:p>
    <w:p w14:paraId="6A6B453A">
      <w:pPr>
        <w:pStyle w:val="8"/>
        <w:rPr>
          <w:rFonts w:hint="eastAsia" w:ascii="宋体" w:hAnsi="宋体"/>
          <w:b/>
          <w:sz w:val="36"/>
          <w:szCs w:val="36"/>
        </w:rPr>
      </w:pPr>
    </w:p>
    <w:p w14:paraId="59D938C3">
      <w:pPr>
        <w:pStyle w:val="8"/>
        <w:rPr>
          <w:rFonts w:hint="eastAsia" w:ascii="宋体" w:hAnsi="宋体"/>
          <w:b/>
          <w:sz w:val="36"/>
          <w:szCs w:val="36"/>
        </w:rPr>
      </w:pPr>
    </w:p>
    <w:p w14:paraId="7D3CE358">
      <w:pPr>
        <w:pStyle w:val="8"/>
        <w:rPr>
          <w:rFonts w:hint="eastAsia" w:ascii="宋体" w:hAnsi="宋体"/>
          <w:b/>
          <w:sz w:val="36"/>
          <w:szCs w:val="36"/>
        </w:rPr>
      </w:pPr>
    </w:p>
    <w:p w14:paraId="2D851207">
      <w:pPr>
        <w:pStyle w:val="8"/>
        <w:spacing w:line="480" w:lineRule="auto"/>
        <w:ind w:firstLine="1084" w:firstLineChars="300"/>
        <w:rPr>
          <w:rFonts w:hint="eastAsia" w:ascii="宋体" w:hAnsi="宋体"/>
          <w:b/>
          <w:sz w:val="36"/>
          <w:szCs w:val="36"/>
          <w:highlight w:val="none"/>
          <w:u w:val="single"/>
        </w:rPr>
      </w:pPr>
      <w:r>
        <w:rPr>
          <w:rFonts w:hint="eastAsia" w:ascii="宋体" w:hAnsi="宋体"/>
          <w:b/>
          <w:sz w:val="36"/>
          <w:szCs w:val="36"/>
          <w:highlight w:val="none"/>
        </w:rPr>
        <w:t>采   购   人：</w:t>
      </w:r>
      <w:r>
        <w:rPr>
          <w:rFonts w:hint="eastAsia" w:ascii="宋体" w:hAnsi="宋体"/>
          <w:b/>
          <w:sz w:val="36"/>
          <w:szCs w:val="36"/>
          <w:highlight w:val="none"/>
          <w:u w:val="none"/>
          <w:lang w:eastAsia="zh-CN"/>
        </w:rPr>
        <w:t>香格里拉市民政局</w:t>
      </w:r>
    </w:p>
    <w:p w14:paraId="36B71170">
      <w:pPr>
        <w:pStyle w:val="8"/>
        <w:spacing w:line="480" w:lineRule="auto"/>
        <w:ind w:firstLine="1084" w:firstLineChars="300"/>
        <w:rPr>
          <w:rFonts w:hint="eastAsia" w:ascii="宋体" w:hAnsi="宋体" w:eastAsia="宋体"/>
          <w:b/>
          <w:sz w:val="36"/>
          <w:szCs w:val="36"/>
          <w:highlight w:val="none"/>
          <w:u w:val="none"/>
          <w:lang w:eastAsia="zh-CN"/>
        </w:rPr>
      </w:pPr>
      <w:r>
        <w:rPr>
          <w:rFonts w:hint="eastAsia" w:ascii="宋体" w:hAnsi="宋体"/>
          <w:b/>
          <w:sz w:val="36"/>
          <w:szCs w:val="36"/>
          <w:highlight w:val="none"/>
        </w:rPr>
        <w:t>采购代理机构</w:t>
      </w:r>
      <w:r>
        <w:rPr>
          <w:rFonts w:hint="eastAsia" w:ascii="宋体" w:hAnsi="宋体"/>
          <w:b/>
          <w:sz w:val="36"/>
          <w:szCs w:val="36"/>
          <w:highlight w:val="none"/>
          <w:u w:val="none"/>
        </w:rPr>
        <w:t>：</w:t>
      </w:r>
      <w:r>
        <w:rPr>
          <w:rFonts w:hint="eastAsia" w:ascii="宋体" w:hAnsi="宋体"/>
          <w:b/>
          <w:sz w:val="36"/>
          <w:szCs w:val="36"/>
          <w:highlight w:val="none"/>
          <w:u w:val="none"/>
          <w:lang w:eastAsia="zh-CN"/>
        </w:rPr>
        <w:t>云南玉昭工程咨询有限公司</w:t>
      </w:r>
    </w:p>
    <w:p w14:paraId="2F54CB0F">
      <w:pPr>
        <w:pStyle w:val="8"/>
        <w:spacing w:line="480" w:lineRule="auto"/>
        <w:ind w:firstLine="1084" w:firstLineChars="300"/>
        <w:rPr>
          <w:rFonts w:hint="eastAsia" w:ascii="宋体" w:hAnsi="宋体"/>
          <w:b/>
          <w:sz w:val="36"/>
          <w:szCs w:val="36"/>
          <w:highlight w:val="none"/>
          <w:u w:val="none"/>
        </w:rPr>
      </w:pPr>
      <w:r>
        <w:rPr>
          <w:rFonts w:hint="eastAsia" w:ascii="宋体" w:hAnsi="宋体"/>
          <w:b/>
          <w:sz w:val="36"/>
          <w:szCs w:val="36"/>
          <w:highlight w:val="none"/>
          <w:u w:val="none"/>
        </w:rPr>
        <w:t>日        期：</w:t>
      </w:r>
      <w:r>
        <w:rPr>
          <w:rFonts w:hint="eastAsia" w:ascii="宋体" w:hAnsi="宋体"/>
          <w:b/>
          <w:sz w:val="36"/>
          <w:szCs w:val="36"/>
          <w:highlight w:val="none"/>
          <w:u w:val="none"/>
          <w:lang w:val="en-US" w:eastAsia="zh-CN"/>
        </w:rPr>
        <w:t>2025</w:t>
      </w:r>
      <w:r>
        <w:rPr>
          <w:rFonts w:hint="eastAsia" w:ascii="宋体" w:hAnsi="宋体"/>
          <w:b/>
          <w:sz w:val="36"/>
          <w:szCs w:val="36"/>
          <w:highlight w:val="none"/>
          <w:u w:val="none"/>
        </w:rPr>
        <w:t>年</w:t>
      </w:r>
      <w:r>
        <w:rPr>
          <w:rFonts w:hint="eastAsia" w:ascii="宋体" w:hAnsi="宋体"/>
          <w:b/>
          <w:sz w:val="36"/>
          <w:szCs w:val="36"/>
          <w:highlight w:val="none"/>
          <w:u w:val="none"/>
          <w:lang w:val="en-US" w:eastAsia="zh-CN"/>
        </w:rPr>
        <w:t>12</w:t>
      </w:r>
      <w:r>
        <w:rPr>
          <w:rFonts w:hint="eastAsia" w:ascii="宋体" w:hAnsi="宋体"/>
          <w:b/>
          <w:sz w:val="36"/>
          <w:szCs w:val="36"/>
          <w:highlight w:val="none"/>
          <w:u w:val="none"/>
        </w:rPr>
        <w:t>月</w:t>
      </w:r>
    </w:p>
    <w:p w14:paraId="4F89BF70">
      <w:pPr>
        <w:jc w:val="center"/>
        <w:rPr>
          <w:rFonts w:hint="eastAsia" w:ascii="宋体" w:hAnsi="宋体"/>
          <w:b/>
          <w:bCs/>
          <w:sz w:val="44"/>
          <w:szCs w:val="44"/>
        </w:rPr>
      </w:pPr>
      <w:r>
        <w:rPr>
          <w:rFonts w:ascii="宋体" w:hAnsi="宋体"/>
          <w:b/>
          <w:bCs/>
          <w:sz w:val="44"/>
          <w:szCs w:val="44"/>
        </w:rPr>
        <w:br w:type="page"/>
      </w:r>
      <w:r>
        <w:rPr>
          <w:rFonts w:hint="eastAsia" w:ascii="宋体" w:hAnsi="宋体"/>
          <w:b/>
          <w:bCs/>
          <w:sz w:val="44"/>
          <w:szCs w:val="44"/>
        </w:rPr>
        <w:t>目  录</w:t>
      </w:r>
    </w:p>
    <w:p w14:paraId="28FBBB40">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bookmarkStart w:id="0" w:name="_Toc25108"/>
      <w:bookmarkEnd w:id="0"/>
      <w:bookmarkStart w:id="1" w:name="_Toc29067"/>
      <w:bookmarkEnd w:id="1"/>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TOC \o "1-3" \h \z \u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_Toc30486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第一章 竞争性磋商公告</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_Toc30486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377B5E5">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_Toc25127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一、项目基本情况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_Toc25127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C6325EA">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_Toc20275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二、申请人的资格要求：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_Toc20275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13B1258">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_Toc13318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三、获取采购文件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_Toc13318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7E144B8">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_Toc7578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四、响应文件提交</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_Toc7578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4576BB0A">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_Toc1255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五、开启</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_Toc1255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30D6F8B">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_Toc24152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六、公告期限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_Toc24152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ED07CFC">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_Toc29101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八、凡对本次采购提出询问，请按以下方式联系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_Toc29101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73F38AF2">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_Toc12196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sz w:val="24"/>
          <w:szCs w:val="24"/>
        </w:rPr>
        <w:t>第二章 供应商须知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_Toc12196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2F0D01A8">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_Toc18702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供应商须知前附表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_Toc18702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D00E387">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_Toc4429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1.总则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_Toc4429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12</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7790573C">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_Toc4041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2.竞争性磋商文件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_Toc4041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9F2CEAA">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_Toc4254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3.响应文件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_Toc4254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2AB5A50A">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_Toc21365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4.磋商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_Toc21365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7496F26">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_Toc19550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5.开启时间和地点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_Toc19550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98FB401">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_Toc10501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6.评审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_Toc10501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704044EC">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_Toc23000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7.成交和合同</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_Toc23000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17</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477AF3DE">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_Toc23605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8.询问与答复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_Toc23605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17</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E6522A3">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_Toc6924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9.质疑接收、回复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_Toc6924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18</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7A1DE9B">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_Toc16242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10.纪律和监督</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_Toc16242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18</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90D14EF">
      <w:pPr>
        <w:pStyle w:val="15"/>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_Toc22387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11.需要补充的其他内容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_Toc22387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244AB6E0">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_Toc18434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第三章 评审方法（综合评分法）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_Toc18434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6938E8B">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_Toc13324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第四章 合同草案条款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_Toc13324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401573EB">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_Toc16505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 xml:space="preserve">第五章 </w:t>
      </w:r>
      <w:r>
        <w:rPr>
          <w:rFonts w:hint="eastAsia" w:ascii="宋体" w:hAnsi="宋体" w:eastAsia="宋体" w:cs="宋体"/>
          <w:i w:val="0"/>
          <w:iCs w:val="0"/>
          <w:sz w:val="24"/>
          <w:szCs w:val="24"/>
          <w:lang w:val="en-US" w:eastAsia="zh-CN"/>
        </w:rPr>
        <w:t>采购需求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_Toc16505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68</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1A2CC2E5">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_Toc19583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第</w:t>
      </w:r>
      <w:r>
        <w:rPr>
          <w:rFonts w:hint="eastAsia" w:ascii="宋体" w:hAnsi="宋体" w:eastAsia="宋体" w:cs="宋体"/>
          <w:i w:val="0"/>
          <w:iCs w:val="0"/>
          <w:sz w:val="24"/>
          <w:szCs w:val="24"/>
          <w:lang w:eastAsia="zh-CN"/>
        </w:rPr>
        <w:t>六</w:t>
      </w:r>
      <w:r>
        <w:rPr>
          <w:rFonts w:hint="eastAsia" w:ascii="宋体" w:hAnsi="宋体" w:eastAsia="宋体" w:cs="宋体"/>
          <w:i w:val="0"/>
          <w:iCs w:val="0"/>
          <w:sz w:val="24"/>
          <w:szCs w:val="24"/>
        </w:rPr>
        <w:t xml:space="preserve">章 </w:t>
      </w:r>
      <w:r>
        <w:rPr>
          <w:rFonts w:hint="eastAsia" w:ascii="宋体" w:hAnsi="宋体" w:eastAsia="宋体" w:cs="宋体"/>
          <w:i w:val="0"/>
          <w:iCs w:val="0"/>
          <w:sz w:val="24"/>
          <w:szCs w:val="24"/>
          <w:lang w:eastAsia="zh-CN"/>
        </w:rPr>
        <w:t>技术标准及要求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_Toc19583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70</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138DB914">
      <w:pPr>
        <w:pStyle w:val="14"/>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_Toc27579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第</w:t>
      </w:r>
      <w:r>
        <w:rPr>
          <w:rFonts w:hint="eastAsia" w:ascii="宋体" w:hAnsi="宋体" w:eastAsia="宋体" w:cs="宋体"/>
          <w:i w:val="0"/>
          <w:iCs w:val="0"/>
          <w:sz w:val="24"/>
          <w:szCs w:val="24"/>
          <w:lang w:eastAsia="zh-CN"/>
        </w:rPr>
        <w:t>七</w:t>
      </w:r>
      <w:r>
        <w:rPr>
          <w:rFonts w:hint="eastAsia" w:ascii="宋体" w:hAnsi="宋体" w:eastAsia="宋体" w:cs="宋体"/>
          <w:i w:val="0"/>
          <w:iCs w:val="0"/>
          <w:sz w:val="24"/>
          <w:szCs w:val="24"/>
        </w:rPr>
        <w:t>章 响应文件格式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_Toc27579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D29EA8D">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_Toc32403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sz w:val="24"/>
          <w:szCs w:val="24"/>
        </w:rPr>
        <w:t>资格审查部分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_Toc32403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9BF9BF0">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_Toc1301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一、具有独立承担民事责任的能力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_Toc1301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706A0829">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_Toc16992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二、具有良好的商业信誉和健全的财务会计制度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_Toc16992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AEC4ADE">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_Toc11838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三、</w:t>
      </w:r>
      <w:r>
        <w:rPr>
          <w:rFonts w:hint="eastAsia" w:ascii="宋体" w:hAnsi="宋体" w:eastAsia="宋体" w:cs="宋体"/>
          <w:i w:val="0"/>
          <w:iCs w:val="0"/>
          <w:sz w:val="24"/>
          <w:szCs w:val="24"/>
          <w:highlight w:val="none"/>
          <w:lang w:eastAsia="zh-CN"/>
        </w:rPr>
        <w:t>具有履行合同所必需的设备和专业技术能力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_Toc11838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75</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7537550A">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_Toc31953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四、</w:t>
      </w:r>
      <w:r>
        <w:rPr>
          <w:rFonts w:hint="eastAsia" w:ascii="宋体" w:hAnsi="宋体" w:eastAsia="宋体" w:cs="宋体"/>
          <w:i w:val="0"/>
          <w:iCs w:val="0"/>
          <w:sz w:val="24"/>
          <w:szCs w:val="24"/>
          <w:highlight w:val="none"/>
          <w:lang w:eastAsia="zh-CN"/>
        </w:rPr>
        <w:t>有依法缴纳税收和社会保障资金的良好记录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_Toc31953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08492C1">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_Toc8767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五、参加政府采购活动前三年内，在经营活动中没有重大违法记录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_Toc8767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77</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C9B3206">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_Toc26486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六</w:t>
      </w:r>
      <w:r>
        <w:rPr>
          <w:rFonts w:hint="eastAsia" w:ascii="宋体" w:hAnsi="宋体" w:eastAsia="宋体" w:cs="宋体"/>
          <w:i w:val="0"/>
          <w:iCs w:val="0"/>
          <w:sz w:val="24"/>
          <w:szCs w:val="24"/>
          <w:highlight w:val="none"/>
        </w:rPr>
        <w:t>、其他</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_Toc26486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78</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2DB254A7">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_Toc31873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sz w:val="24"/>
          <w:szCs w:val="24"/>
        </w:rPr>
        <w:t>商务技术部分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_Toc31873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42F45669">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_Toc16315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一、初次报价表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_Toc16315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86BB387">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_Toc7593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二、磋商函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_Toc7593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82</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112E2EFB">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_Toc16637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三、法定代表人身份证明书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_Toc16637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E3FA888">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_Toc17375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四、授权委托书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_Toc17375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135C7A9B">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_Toc18446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rPr>
        <w:t>五、供应商基本情况表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_Toc18446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27B7A842">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_Toc23214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六、磋商保证金</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_Toc23214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E7351CA">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_Toc13361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lang w:val="en-US" w:eastAsia="zh-CN"/>
        </w:rPr>
        <w:t>七</w:t>
      </w:r>
      <w:r>
        <w:rPr>
          <w:rFonts w:hint="eastAsia" w:ascii="宋体" w:hAnsi="宋体" w:eastAsia="宋体" w:cs="宋体"/>
          <w:i w:val="0"/>
          <w:iCs w:val="0"/>
          <w:sz w:val="24"/>
          <w:szCs w:val="24"/>
        </w:rPr>
        <w:t>、商务条款偏离表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_Toc13361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87</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6F7354B">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_Toc26287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lang w:val="en-US" w:eastAsia="zh-CN"/>
        </w:rPr>
        <w:t>八</w:t>
      </w:r>
      <w:r>
        <w:rPr>
          <w:rFonts w:hint="eastAsia" w:ascii="宋体" w:hAnsi="宋体" w:eastAsia="宋体" w:cs="宋体"/>
          <w:i w:val="0"/>
          <w:iCs w:val="0"/>
          <w:sz w:val="24"/>
          <w:szCs w:val="24"/>
        </w:rPr>
        <w:t>、工程量清单报价</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_Toc26287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88</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4A521FD">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_Toc30865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rPr>
        <w:t>、施工技术方案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_Toc30865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D51E3DA">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_Toc21385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、施工主要工序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_Toc21385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D102D5B">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_Toc10934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一</w:t>
      </w:r>
      <w:r>
        <w:rPr>
          <w:rFonts w:hint="eastAsia" w:ascii="宋体" w:hAnsi="宋体" w:eastAsia="宋体" w:cs="宋体"/>
          <w:i w:val="0"/>
          <w:iCs w:val="0"/>
          <w:sz w:val="24"/>
          <w:szCs w:val="24"/>
          <w:highlight w:val="none"/>
        </w:rPr>
        <w:t>、质量承诺及保证措施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_Toc10934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C45A530">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_Toc24347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二</w:t>
      </w:r>
      <w:r>
        <w:rPr>
          <w:rFonts w:hint="eastAsia" w:ascii="宋体" w:hAnsi="宋体" w:eastAsia="宋体" w:cs="宋体"/>
          <w:i w:val="0"/>
          <w:iCs w:val="0"/>
          <w:sz w:val="24"/>
          <w:szCs w:val="24"/>
          <w:highlight w:val="none"/>
        </w:rPr>
        <w:t>、工期承诺及保证措施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_Toc24347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79408E85">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_Toc32154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sz w:val="24"/>
          <w:szCs w:val="24"/>
          <w:highlight w:val="none"/>
          <w:lang w:val="en-US" w:eastAsia="zh-CN" w:bidi="ar-SA"/>
        </w:rPr>
        <w:t>十三、材料投入保证措施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_Toc32154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90</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8C6B095">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_Toc29382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四</w:t>
      </w:r>
      <w:r>
        <w:rPr>
          <w:rFonts w:hint="eastAsia" w:ascii="宋体" w:hAnsi="宋体" w:eastAsia="宋体" w:cs="宋体"/>
          <w:i w:val="0"/>
          <w:iCs w:val="0"/>
          <w:sz w:val="24"/>
          <w:szCs w:val="24"/>
          <w:highlight w:val="none"/>
        </w:rPr>
        <w:t>、施工机械投入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_Toc29382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90</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EC19A76">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_Toc22072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五</w:t>
      </w:r>
      <w:r>
        <w:rPr>
          <w:rFonts w:hint="eastAsia" w:ascii="宋体" w:hAnsi="宋体" w:eastAsia="宋体" w:cs="宋体"/>
          <w:i w:val="0"/>
          <w:iCs w:val="0"/>
          <w:sz w:val="24"/>
          <w:szCs w:val="24"/>
          <w:highlight w:val="none"/>
        </w:rPr>
        <w:t>、安全文明生产措施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_Toc22072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90</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5CB4C4D1">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_Toc1072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十六</w:t>
      </w:r>
      <w:r>
        <w:rPr>
          <w:rFonts w:hint="eastAsia" w:ascii="宋体" w:hAnsi="宋体" w:eastAsia="宋体" w:cs="宋体"/>
          <w:i w:val="0"/>
          <w:iCs w:val="0"/>
          <w:sz w:val="24"/>
          <w:szCs w:val="24"/>
          <w:highlight w:val="none"/>
        </w:rPr>
        <w:t>、项目管理机构配置</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_Toc1072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41D1D670">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_Toc19923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(一)项目组织机构组成表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_Toc19923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91</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66544F82">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_Toc8439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(二)主要人员简历表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_Toc8439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92</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486302FA">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_Toc22351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七</w:t>
      </w:r>
      <w:r>
        <w:rPr>
          <w:rFonts w:hint="eastAsia" w:ascii="宋体" w:hAnsi="宋体" w:eastAsia="宋体" w:cs="宋体"/>
          <w:i w:val="0"/>
          <w:iCs w:val="0"/>
          <w:sz w:val="24"/>
          <w:szCs w:val="24"/>
          <w:highlight w:val="none"/>
        </w:rPr>
        <w:t>、后期服务方案、承诺及保证措施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_Toc22351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0C688383">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_Toc9521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八</w:t>
      </w:r>
      <w:r>
        <w:rPr>
          <w:rFonts w:hint="eastAsia" w:ascii="宋体" w:hAnsi="宋体" w:eastAsia="宋体" w:cs="宋体"/>
          <w:i w:val="0"/>
          <w:iCs w:val="0"/>
          <w:sz w:val="24"/>
          <w:szCs w:val="24"/>
          <w:highlight w:val="none"/>
        </w:rPr>
        <w:t>、事故应急预案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_Toc9521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93</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131676DE">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_Toc10302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rPr>
        <w:t>、供应商类似项目业绩表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_Toc10302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6591C08">
      <w:pPr>
        <w:pStyle w:val="10"/>
        <w:keepNext w:val="0"/>
        <w:keepLines w:val="0"/>
        <w:pageBreakBefore w:val="0"/>
        <w:widowControl/>
        <w:tabs>
          <w:tab w:val="right" w:leader="dot" w:pos="9740"/>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_Toc23208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二十</w:t>
      </w:r>
      <w:r>
        <w:rPr>
          <w:rFonts w:hint="eastAsia" w:ascii="宋体" w:hAnsi="宋体" w:eastAsia="宋体" w:cs="宋体"/>
          <w:bCs/>
          <w:i w:val="0"/>
          <w:iCs w:val="0"/>
          <w:sz w:val="24"/>
          <w:szCs w:val="24"/>
          <w:highlight w:val="none"/>
          <w:lang w:val="en-US" w:eastAsia="zh-CN" w:bidi="ar-SA"/>
        </w:rPr>
        <w:t>、其他资料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_Toc23208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95</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highlight w:val="none"/>
        </w:rPr>
        <w:fldChar w:fldCharType="end"/>
      </w:r>
    </w:p>
    <w:p w14:paraId="3190C9E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cs="宋体"/>
          <w:i w:val="0"/>
          <w:iCs w:val="0"/>
          <w:sz w:val="24"/>
          <w:szCs w:val="24"/>
        </w:rPr>
      </w:pPr>
      <w:r>
        <w:rPr>
          <w:rFonts w:hint="eastAsia" w:ascii="宋体" w:hAnsi="宋体" w:eastAsia="宋体" w:cs="宋体"/>
          <w:i w:val="0"/>
          <w:iCs w:val="0"/>
          <w:szCs w:val="24"/>
          <w:highlight w:val="none"/>
        </w:rPr>
        <w:fldChar w:fldCharType="end"/>
      </w:r>
      <w:r>
        <w:rPr>
          <w:rFonts w:hint="eastAsia" w:ascii="宋体" w:hAnsi="宋体" w:cs="宋体"/>
          <w:i w:val="0"/>
          <w:iCs w:val="0"/>
          <w:sz w:val="24"/>
          <w:szCs w:val="24"/>
        </w:rPr>
        <w:t xml:space="preserve"> </w:t>
      </w:r>
    </w:p>
    <w:p w14:paraId="07891827">
      <w:pPr>
        <w:tabs>
          <w:tab w:val="left" w:pos="3489"/>
        </w:tabs>
        <w:bidi w:val="0"/>
        <w:jc w:val="left"/>
        <w:rPr>
          <w:rFonts w:hint="eastAsia" w:eastAsia="宋体"/>
          <w:lang w:eastAsia="zh-CN"/>
        </w:rPr>
        <w:sectPr>
          <w:footerReference r:id="rId3" w:type="default"/>
          <w:pgSz w:w="11906" w:h="16838"/>
          <w:pgMar w:top="1440" w:right="799" w:bottom="1440" w:left="1080" w:header="720" w:footer="720" w:gutter="0"/>
          <w:pgNumType w:fmt="numberInDash"/>
          <w:cols w:space="720" w:num="1"/>
          <w:titlePg/>
          <w:docGrid w:type="lines" w:linePitch="317" w:charSpace="0"/>
        </w:sectPr>
      </w:pPr>
      <w:bookmarkStart w:id="2" w:name="_Toc12916"/>
      <w:bookmarkEnd w:id="2"/>
      <w:bookmarkStart w:id="3" w:name="_Toc3039"/>
      <w:bookmarkEnd w:id="3"/>
      <w:bookmarkStart w:id="4" w:name="_Toc24776"/>
    </w:p>
    <w:p w14:paraId="705715EE">
      <w:pPr>
        <w:pStyle w:val="2"/>
        <w:spacing w:before="0" w:after="0" w:line="360" w:lineRule="auto"/>
        <w:jc w:val="center"/>
        <w:rPr>
          <w:rFonts w:hint="eastAsia" w:ascii="宋体" w:hAnsi="宋体"/>
        </w:rPr>
      </w:pPr>
      <w:bookmarkStart w:id="5" w:name="_Toc17376"/>
      <w:bookmarkStart w:id="6" w:name="_Toc30486"/>
      <w:bookmarkStart w:id="7" w:name="_Toc3896271"/>
      <w:r>
        <w:rPr>
          <w:rFonts w:hint="eastAsia" w:ascii="宋体" w:hAnsi="宋体"/>
        </w:rPr>
        <w:t>第一章 竞争性磋商公告</w:t>
      </w:r>
      <w:bookmarkEnd w:id="4"/>
      <w:bookmarkEnd w:id="5"/>
      <w:bookmarkEnd w:id="6"/>
      <w:bookmarkEnd w:id="7"/>
    </w:p>
    <w:p w14:paraId="41238347">
      <w:pPr>
        <w:spacing w:line="360" w:lineRule="auto"/>
        <w:jc w:val="center"/>
        <w:rPr>
          <w:rFonts w:hint="eastAsia" w:ascii="宋体" w:hAnsi="宋体"/>
          <w:b/>
          <w:sz w:val="32"/>
          <w:szCs w:val="32"/>
          <w:highlight w:val="none"/>
          <w:lang w:eastAsia="zh-CN"/>
        </w:rPr>
      </w:pPr>
      <w:bookmarkStart w:id="8" w:name="_Toc18212"/>
      <w:bookmarkStart w:id="9" w:name="_Toc3896280"/>
      <w:r>
        <w:rPr>
          <w:rFonts w:hint="eastAsia" w:ascii="宋体" w:hAnsi="宋体"/>
          <w:b/>
          <w:sz w:val="32"/>
          <w:szCs w:val="32"/>
          <w:highlight w:val="none"/>
          <w:lang w:eastAsia="zh-CN"/>
        </w:rPr>
        <w:t>香格里拉市2025年困难家庭居家适老化改造项目</w:t>
      </w:r>
    </w:p>
    <w:p w14:paraId="7DBDCF6B">
      <w:pPr>
        <w:spacing w:line="360" w:lineRule="auto"/>
        <w:jc w:val="center"/>
        <w:rPr>
          <w:rFonts w:hint="eastAsia" w:ascii="宋体" w:hAnsi="宋体"/>
          <w:sz w:val="32"/>
          <w:szCs w:val="32"/>
        </w:rPr>
      </w:pPr>
      <w:r>
        <w:rPr>
          <w:rFonts w:hint="eastAsia" w:ascii="宋体" w:hAnsi="宋体"/>
          <w:b/>
          <w:sz w:val="32"/>
          <w:szCs w:val="32"/>
        </w:rPr>
        <w:t>竞争性磋商公告</w:t>
      </w:r>
    </w:p>
    <w:p w14:paraId="301A3EB5">
      <w:pPr>
        <w:spacing w:line="360" w:lineRule="auto"/>
        <w:jc w:val="center"/>
        <w:rPr>
          <w:rFonts w:hint="eastAsia" w:ascii="宋体" w:hAnsi="宋体"/>
          <w:b/>
          <w:sz w:val="28"/>
          <w:szCs w:val="28"/>
        </w:rPr>
      </w:pPr>
      <w:r>
        <w:rPr>
          <w:rFonts w:hint="eastAsia" w:ascii="宋体" w:hAnsi="宋体"/>
          <w:b/>
          <w:sz w:val="28"/>
          <w:szCs w:val="28"/>
        </w:rPr>
        <w:t>（</w:t>
      </w:r>
      <w:r>
        <w:rPr>
          <w:rFonts w:hint="eastAsia" w:ascii="宋体" w:hAnsi="宋体"/>
          <w:b/>
          <w:sz w:val="28"/>
          <w:szCs w:val="28"/>
          <w:highlight w:val="none"/>
        </w:rPr>
        <w:t>项目编号</w:t>
      </w:r>
      <w:r>
        <w:rPr>
          <w:rFonts w:hint="eastAsia" w:ascii="宋体" w:hAnsi="宋体"/>
          <w:b/>
          <w:sz w:val="28"/>
          <w:szCs w:val="28"/>
        </w:rPr>
        <w:t>：</w:t>
      </w:r>
      <w:r>
        <w:rPr>
          <w:rFonts w:hint="eastAsia" w:ascii="宋体" w:hAnsi="宋体"/>
          <w:b/>
          <w:sz w:val="28"/>
          <w:szCs w:val="28"/>
          <w:lang w:eastAsia="zh-CN"/>
        </w:rPr>
        <w:t>DQZC2025-C2-00522-YNYZ-0039</w:t>
      </w:r>
      <w:r>
        <w:rPr>
          <w:rFonts w:hint="eastAsia" w:ascii="宋体" w:hAnsi="宋体"/>
          <w:b/>
          <w:sz w:val="28"/>
          <w:szCs w:val="28"/>
        </w:rPr>
        <w:t>）</w:t>
      </w:r>
    </w:p>
    <w:p w14:paraId="2BBF4489">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bookmarkStart w:id="10" w:name="_Toc29108"/>
      <w:bookmarkEnd w:id="10"/>
      <w:bookmarkStart w:id="11" w:name="_Toc32031"/>
      <w:bookmarkEnd w:id="11"/>
      <w:r>
        <w:rPr>
          <w:rFonts w:hint="eastAsia" w:ascii="宋体" w:hAnsi="宋体" w:eastAsia="宋体" w:cs="宋体"/>
          <w:i w:val="0"/>
          <w:iCs w:val="0"/>
          <w:sz w:val="24"/>
          <w:szCs w:val="24"/>
        </w:rPr>
        <w:t>项目概况</w:t>
      </w:r>
    </w:p>
    <w:p w14:paraId="5226D92D">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r>
        <w:rPr>
          <w:rFonts w:hint="eastAsia" w:ascii="宋体" w:hAnsi="宋体" w:cs="宋体"/>
          <w:i w:val="0"/>
          <w:iCs w:val="0"/>
          <w:sz w:val="24"/>
          <w:szCs w:val="24"/>
          <w:lang w:eastAsia="zh-CN"/>
        </w:rPr>
        <w:t>香格里拉市2025年困难家庭居家适老化改造项目</w:t>
      </w:r>
      <w:r>
        <w:rPr>
          <w:rFonts w:hint="eastAsia" w:ascii="宋体" w:hAnsi="宋体" w:eastAsia="宋体" w:cs="宋体"/>
          <w:i w:val="0"/>
          <w:iCs w:val="0"/>
          <w:sz w:val="24"/>
          <w:szCs w:val="24"/>
        </w:rPr>
        <w:t>的潜在供应商应在</w:t>
      </w:r>
      <w:r>
        <w:rPr>
          <w:rFonts w:hint="eastAsia" w:ascii="宋体" w:hAnsi="宋体" w:cs="宋体"/>
          <w:sz w:val="24"/>
          <w:szCs w:val="24"/>
          <w:highlight w:val="none"/>
          <w:u w:val="single"/>
        </w:rPr>
        <w:t>政采云平台（https://www.zcygov.cn/）</w:t>
      </w:r>
      <w:r>
        <w:rPr>
          <w:rFonts w:hint="eastAsia" w:ascii="宋体" w:hAnsi="宋体" w:eastAsia="宋体" w:cs="宋体"/>
          <w:i w:val="0"/>
          <w:iCs w:val="0"/>
          <w:sz w:val="24"/>
          <w:szCs w:val="24"/>
        </w:rPr>
        <w:t>获取采购文件，并于</w:t>
      </w:r>
      <w:r>
        <w:rPr>
          <w:rFonts w:hint="eastAsia" w:ascii="宋体" w:hAnsi="宋体" w:eastAsia="宋体" w:cs="宋体"/>
          <w:i w:val="0"/>
          <w:iCs w:val="0"/>
          <w:sz w:val="24"/>
          <w:szCs w:val="24"/>
          <w:highlight w:val="none"/>
          <w:u w:val="single"/>
          <w:lang w:val="en-US" w:eastAsia="zh-CN"/>
        </w:rPr>
        <w:t>2025年1月6日</w:t>
      </w:r>
      <w:r>
        <w:rPr>
          <w:rFonts w:hint="eastAsia" w:ascii="宋体" w:hAnsi="宋体" w:eastAsia="宋体" w:cs="宋体"/>
          <w:bCs/>
          <w:i w:val="0"/>
          <w:iCs w:val="0"/>
          <w:sz w:val="24"/>
          <w:szCs w:val="24"/>
          <w:highlight w:val="none"/>
          <w:u w:val="single"/>
          <w:lang w:val="en-US" w:eastAsia="zh-CN"/>
        </w:rPr>
        <w:t>09点30分</w:t>
      </w:r>
      <w:r>
        <w:rPr>
          <w:rFonts w:hint="eastAsia" w:ascii="宋体" w:hAnsi="宋体" w:eastAsia="宋体" w:cs="宋体"/>
          <w:bCs/>
          <w:i w:val="0"/>
          <w:iCs w:val="0"/>
          <w:sz w:val="24"/>
          <w:szCs w:val="24"/>
          <w:highlight w:val="none"/>
        </w:rPr>
        <w:t>（</w:t>
      </w:r>
      <w:r>
        <w:rPr>
          <w:rFonts w:hint="eastAsia" w:ascii="宋体" w:hAnsi="宋体" w:eastAsia="宋体" w:cs="宋体"/>
          <w:bCs/>
          <w:i w:val="0"/>
          <w:iCs w:val="0"/>
          <w:sz w:val="24"/>
          <w:szCs w:val="24"/>
        </w:rPr>
        <w:t>北京时间）前提交响应文件</w:t>
      </w:r>
      <w:r>
        <w:rPr>
          <w:rFonts w:hint="eastAsia" w:ascii="宋体" w:hAnsi="宋体" w:eastAsia="宋体" w:cs="宋体"/>
          <w:i w:val="0"/>
          <w:iCs w:val="0"/>
          <w:sz w:val="24"/>
          <w:szCs w:val="24"/>
        </w:rPr>
        <w:t>。</w:t>
      </w:r>
    </w:p>
    <w:p w14:paraId="2C7CCEDD">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val="0"/>
          <w:i w:val="0"/>
          <w:iCs w:val="0"/>
          <w:sz w:val="24"/>
          <w:szCs w:val="24"/>
        </w:rPr>
      </w:pPr>
      <w:bookmarkStart w:id="12" w:name="_Toc4829"/>
      <w:bookmarkStart w:id="13" w:name="_Toc28359012"/>
      <w:bookmarkStart w:id="14" w:name="_Toc35393629"/>
      <w:bookmarkStart w:id="15" w:name="_Toc28359089"/>
      <w:bookmarkStart w:id="16" w:name="_Toc6080"/>
      <w:bookmarkStart w:id="17" w:name="_Toc2740"/>
      <w:bookmarkStart w:id="18" w:name="_Toc21195"/>
      <w:bookmarkStart w:id="19" w:name="_Toc25127"/>
      <w:bookmarkStart w:id="20" w:name="_Toc2948"/>
      <w:bookmarkStart w:id="21" w:name="_Toc5373"/>
      <w:bookmarkStart w:id="22" w:name="_Toc35393798"/>
      <w:r>
        <w:rPr>
          <w:rFonts w:hint="eastAsia" w:ascii="宋体" w:hAnsi="宋体" w:eastAsia="宋体" w:cs="宋体"/>
          <w:b w:val="0"/>
          <w:i w:val="0"/>
          <w:iCs w:val="0"/>
          <w:sz w:val="24"/>
          <w:szCs w:val="24"/>
        </w:rPr>
        <w:t>一、项目基本情况</w:t>
      </w:r>
      <w:bookmarkEnd w:id="12"/>
      <w:bookmarkEnd w:id="13"/>
      <w:bookmarkEnd w:id="14"/>
      <w:bookmarkEnd w:id="15"/>
      <w:bookmarkEnd w:id="16"/>
      <w:bookmarkEnd w:id="17"/>
      <w:bookmarkEnd w:id="18"/>
      <w:bookmarkEnd w:id="19"/>
      <w:bookmarkEnd w:id="20"/>
      <w:bookmarkEnd w:id="21"/>
      <w:bookmarkEnd w:id="22"/>
    </w:p>
    <w:p w14:paraId="72E303EB">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highlight w:val="none"/>
        </w:rPr>
        <w:t>项目编号</w:t>
      </w:r>
      <w:r>
        <w:rPr>
          <w:rFonts w:hint="eastAsia" w:ascii="宋体" w:hAnsi="宋体" w:eastAsia="宋体" w:cs="宋体"/>
          <w:i w:val="0"/>
          <w:iCs w:val="0"/>
          <w:sz w:val="24"/>
          <w:szCs w:val="24"/>
        </w:rPr>
        <w:t>：</w:t>
      </w:r>
      <w:r>
        <w:rPr>
          <w:rFonts w:hint="eastAsia" w:ascii="宋体" w:hAnsi="宋体" w:eastAsia="宋体" w:cs="宋体"/>
          <w:i w:val="0"/>
          <w:iCs w:val="0"/>
          <w:sz w:val="24"/>
          <w:szCs w:val="24"/>
          <w:lang w:eastAsia="zh-CN"/>
        </w:rPr>
        <w:t>DQZC2025-C2-00522-YNYZ-0039</w:t>
      </w:r>
    </w:p>
    <w:p w14:paraId="6FA5B2A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项目名称：</w:t>
      </w:r>
      <w:r>
        <w:rPr>
          <w:rFonts w:hint="eastAsia" w:ascii="宋体" w:hAnsi="宋体" w:cs="宋体"/>
          <w:i w:val="0"/>
          <w:iCs w:val="0"/>
          <w:sz w:val="24"/>
          <w:szCs w:val="24"/>
          <w:lang w:eastAsia="zh-CN"/>
        </w:rPr>
        <w:t>香格里拉市2025年困难家庭居家适老化改造项目</w:t>
      </w:r>
    </w:p>
    <w:p w14:paraId="2A8A0A6E">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 </w:t>
      </w:r>
    </w:p>
    <w:p w14:paraId="10F24E38">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t>预算金额：</w:t>
      </w:r>
      <w:r>
        <w:rPr>
          <w:rFonts w:hint="eastAsia" w:ascii="宋体" w:hAnsi="宋体" w:eastAsia="宋体" w:cs="宋体"/>
          <w:i w:val="0"/>
          <w:iCs w:val="0"/>
          <w:sz w:val="24"/>
          <w:szCs w:val="24"/>
          <w:highlight w:val="none"/>
          <w:lang w:val="en-US" w:eastAsia="zh-CN"/>
        </w:rPr>
        <w:t>603400.00元</w:t>
      </w:r>
    </w:p>
    <w:p w14:paraId="7F94ED3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i w:val="0"/>
          <w:iCs w:val="0"/>
          <w:sz w:val="24"/>
          <w:szCs w:val="24"/>
          <w:highlight w:val="none"/>
          <w:lang w:val="en-US"/>
        </w:rPr>
      </w:pPr>
      <w:r>
        <w:rPr>
          <w:rFonts w:hint="eastAsia" w:ascii="宋体" w:hAnsi="宋体" w:eastAsia="宋体" w:cs="宋体"/>
          <w:i w:val="0"/>
          <w:iCs w:val="0"/>
          <w:sz w:val="24"/>
          <w:szCs w:val="24"/>
          <w:highlight w:val="none"/>
        </w:rPr>
        <w:t>最高限价：</w:t>
      </w:r>
      <w:r>
        <w:rPr>
          <w:rFonts w:hint="eastAsia" w:ascii="宋体" w:hAnsi="宋体" w:eastAsia="宋体" w:cs="宋体"/>
          <w:i w:val="0"/>
          <w:iCs w:val="0"/>
          <w:sz w:val="24"/>
          <w:szCs w:val="24"/>
          <w:highlight w:val="none"/>
          <w:lang w:val="en-US" w:eastAsia="zh-CN"/>
        </w:rPr>
        <w:t>1762.16元，供应商每项单价报价不允许超过采购清单中的单价限价，否则按无效标处理。</w:t>
      </w:r>
    </w:p>
    <w:p w14:paraId="5F5015C0">
      <w:pPr>
        <w:keepNext w:val="0"/>
        <w:keepLines w:val="0"/>
        <w:widowControl/>
        <w:suppressLineNumbers w:val="0"/>
        <w:ind w:firstLine="480" w:firstLineChars="200"/>
        <w:jc w:val="left"/>
        <w:rPr>
          <w:rFonts w:hint="default" w:ascii="宋体" w:hAnsi="宋体" w:eastAsia="宋体" w:cs="宋体"/>
          <w:i w:val="0"/>
          <w:iCs w:val="0"/>
          <w:sz w:val="24"/>
          <w:szCs w:val="24"/>
          <w:lang w:val="en-US" w:eastAsia="zh-CN"/>
        </w:rPr>
      </w:pPr>
      <w:r>
        <w:rPr>
          <w:rFonts w:hint="eastAsia" w:ascii="宋体" w:hAnsi="宋体" w:eastAsia="宋体" w:cs="宋体"/>
          <w:i w:val="0"/>
          <w:iCs w:val="0"/>
          <w:sz w:val="24"/>
          <w:szCs w:val="24"/>
          <w:highlight w:val="none"/>
        </w:rPr>
        <w:t>采购需求：</w:t>
      </w:r>
      <w:r>
        <w:rPr>
          <w:rFonts w:hint="eastAsia" w:ascii="宋体" w:hAnsi="宋体" w:cs="宋体"/>
          <w:i w:val="0"/>
          <w:iCs w:val="0"/>
          <w:sz w:val="24"/>
          <w:szCs w:val="24"/>
          <w:lang w:eastAsia="zh-CN"/>
        </w:rPr>
        <w:t>香格里拉市2025年困难家庭居家适老化改造项目</w:t>
      </w:r>
      <w:r>
        <w:rPr>
          <w:rFonts w:hint="eastAsia" w:ascii="宋体" w:hAnsi="宋体" w:cs="宋体"/>
          <w:i w:val="0"/>
          <w:iCs w:val="0"/>
          <w:sz w:val="24"/>
          <w:szCs w:val="24"/>
          <w:lang w:val="en-US" w:eastAsia="zh-CN"/>
        </w:rPr>
        <w:t>一项</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lang w:val="en-US" w:eastAsia="zh-CN"/>
        </w:rPr>
        <w:t>共计200户，因每户实际需求存在差异，供应商需自行入户统计每户需求项目及数量。</w:t>
      </w:r>
      <w:r>
        <w:rPr>
          <w:rFonts w:hint="eastAsia" w:ascii="宋体" w:hAnsi="宋体" w:eastAsia="宋体" w:cs="宋体"/>
          <w:i w:val="0"/>
          <w:iCs w:val="0"/>
          <w:sz w:val="24"/>
          <w:szCs w:val="24"/>
          <w:lang w:eastAsia="zh-CN"/>
        </w:rPr>
        <w:t>建设内容包含：</w:t>
      </w:r>
      <w:r>
        <w:rPr>
          <w:rFonts w:hint="eastAsia" w:ascii="宋体" w:hAnsi="宋体" w:eastAsia="宋体" w:cs="宋体"/>
          <w:i w:val="0"/>
          <w:iCs w:val="0"/>
          <w:sz w:val="24"/>
          <w:szCs w:val="24"/>
          <w:lang w:val="en-US" w:eastAsia="zh-CN"/>
        </w:rPr>
        <w:t>地面改造工程</w:t>
      </w:r>
      <w:r>
        <w:rPr>
          <w:rFonts w:hint="eastAsia" w:ascii="宋体" w:hAnsi="宋体" w:eastAsia="宋体" w:cs="宋体"/>
          <w:i w:val="0"/>
          <w:iCs w:val="0"/>
          <w:sz w:val="24"/>
          <w:szCs w:val="24"/>
        </w:rPr>
        <w:t>：</w:t>
      </w:r>
      <w:r>
        <w:rPr>
          <w:rFonts w:hint="eastAsia" w:ascii="宋体" w:hAnsi="宋体" w:eastAsia="宋体" w:cs="宋体"/>
          <w:i w:val="0"/>
          <w:iCs w:val="0"/>
          <w:sz w:val="24"/>
          <w:szCs w:val="24"/>
          <w:lang w:val="en-US" w:eastAsia="zh-CN"/>
        </w:rPr>
        <w:t>混凝土地坪</w:t>
      </w:r>
      <w:r>
        <w:rPr>
          <w:rFonts w:hint="eastAsia" w:ascii="宋体" w:hAnsi="宋体" w:eastAsia="宋体" w:cs="宋体"/>
          <w:i w:val="0"/>
          <w:iCs w:val="0"/>
          <w:sz w:val="24"/>
          <w:szCs w:val="24"/>
        </w:rPr>
        <w:t>、</w:t>
      </w:r>
      <w:r>
        <w:rPr>
          <w:rFonts w:hint="eastAsia" w:ascii="宋体" w:hAnsi="宋体" w:eastAsia="宋体" w:cs="宋体"/>
          <w:i w:val="0"/>
          <w:iCs w:val="0"/>
          <w:sz w:val="24"/>
          <w:szCs w:val="24"/>
          <w:lang w:val="en-US" w:eastAsia="zh-CN"/>
        </w:rPr>
        <w:t>防滑砖地面</w:t>
      </w:r>
      <w:r>
        <w:rPr>
          <w:rFonts w:hint="eastAsia" w:ascii="宋体" w:hAnsi="宋体" w:eastAsia="宋体" w:cs="宋体"/>
          <w:i w:val="0"/>
          <w:iCs w:val="0"/>
          <w:sz w:val="24"/>
          <w:szCs w:val="24"/>
        </w:rPr>
        <w:t>；安装</w:t>
      </w:r>
      <w:r>
        <w:rPr>
          <w:rFonts w:hint="eastAsia" w:ascii="宋体" w:hAnsi="宋体" w:eastAsia="宋体" w:cs="宋体"/>
          <w:i w:val="0"/>
          <w:iCs w:val="0"/>
          <w:sz w:val="24"/>
          <w:szCs w:val="24"/>
          <w:lang w:val="en-US" w:eastAsia="zh-CN"/>
        </w:rPr>
        <w:t>改造</w:t>
      </w:r>
      <w:r>
        <w:rPr>
          <w:rFonts w:hint="eastAsia" w:ascii="宋体" w:hAnsi="宋体" w:eastAsia="宋体" w:cs="宋体"/>
          <w:i w:val="0"/>
          <w:iCs w:val="0"/>
          <w:sz w:val="24"/>
          <w:szCs w:val="24"/>
        </w:rPr>
        <w:t>工程：</w:t>
      </w:r>
      <w:r>
        <w:rPr>
          <w:rFonts w:hint="eastAsia" w:ascii="宋体" w:hAnsi="宋体" w:eastAsia="宋体" w:cs="宋体"/>
          <w:i w:val="0"/>
          <w:iCs w:val="0"/>
          <w:sz w:val="24"/>
          <w:szCs w:val="24"/>
          <w:lang w:val="en-US" w:eastAsia="zh-CN"/>
        </w:rPr>
        <w:t>感应灯安装</w:t>
      </w:r>
      <w:r>
        <w:rPr>
          <w:rFonts w:hint="eastAsia" w:ascii="宋体" w:hAnsi="宋体" w:eastAsia="宋体" w:cs="宋体"/>
          <w:i w:val="0"/>
          <w:iCs w:val="0"/>
          <w:sz w:val="24"/>
          <w:szCs w:val="24"/>
        </w:rPr>
        <w:t>、</w:t>
      </w:r>
      <w:r>
        <w:rPr>
          <w:rFonts w:hint="eastAsia" w:ascii="宋体" w:hAnsi="宋体" w:eastAsia="宋体" w:cs="宋体"/>
          <w:i w:val="0"/>
          <w:iCs w:val="0"/>
          <w:sz w:val="24"/>
          <w:szCs w:val="24"/>
          <w:lang w:val="en-US" w:eastAsia="zh-CN"/>
        </w:rPr>
        <w:t>扶手安装、配置淋浴椅、手杖、防走丢装置</w:t>
      </w:r>
      <w:r>
        <w:rPr>
          <w:rFonts w:hint="eastAsia" w:ascii="宋体" w:hAnsi="宋体" w:eastAsia="宋体" w:cs="宋体"/>
          <w:i w:val="0"/>
          <w:iCs w:val="0"/>
          <w:sz w:val="24"/>
          <w:szCs w:val="24"/>
        </w:rPr>
        <w:t>。</w:t>
      </w:r>
      <w:r>
        <w:rPr>
          <w:rFonts w:hint="eastAsia" w:ascii="宋体" w:hAnsi="宋体" w:eastAsia="宋体" w:cs="宋体"/>
          <w:i w:val="0"/>
          <w:iCs w:val="0"/>
          <w:sz w:val="24"/>
          <w:szCs w:val="24"/>
          <w:lang w:val="en-US" w:eastAsia="zh-CN"/>
        </w:rPr>
        <w:t>具体详见第五章采购需求。</w:t>
      </w:r>
    </w:p>
    <w:p w14:paraId="36894AF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sz w:val="24"/>
          <w:szCs w:val="24"/>
          <w:highlight w:val="none"/>
        </w:rPr>
        <w:t>合同履行期限：</w:t>
      </w:r>
      <w:r>
        <w:rPr>
          <w:rFonts w:hint="eastAsia" w:ascii="宋体" w:hAnsi="宋体"/>
          <w:color w:val="auto"/>
          <w:kern w:val="0"/>
          <w:sz w:val="24"/>
          <w:highlight w:val="none"/>
          <w:lang w:val="en-US" w:eastAsia="zh-CN"/>
        </w:rPr>
        <w:t>90日历天。</w:t>
      </w:r>
      <w:r>
        <w:rPr>
          <w:rFonts w:hint="eastAsia" w:ascii="宋体" w:hAnsi="宋体"/>
          <w:color w:val="auto"/>
          <w:kern w:val="0"/>
          <w:sz w:val="24"/>
          <w:highlight w:val="none"/>
        </w:rPr>
        <w:t>开工日以</w:t>
      </w:r>
      <w:r>
        <w:rPr>
          <w:rFonts w:hint="eastAsia" w:ascii="宋体" w:hAnsi="宋体"/>
          <w:color w:val="auto"/>
          <w:kern w:val="0"/>
          <w:sz w:val="24"/>
          <w:highlight w:val="none"/>
          <w:lang w:eastAsia="zh-CN"/>
        </w:rPr>
        <w:t>采购人</w:t>
      </w:r>
      <w:r>
        <w:rPr>
          <w:rFonts w:hint="eastAsia" w:ascii="宋体" w:hAnsi="宋体"/>
          <w:color w:val="auto"/>
          <w:kern w:val="0"/>
          <w:sz w:val="24"/>
          <w:highlight w:val="none"/>
        </w:rPr>
        <w:t>通知为准，施工总工期以开工之日起算，竣工日期以</w:t>
      </w:r>
      <w:r>
        <w:rPr>
          <w:rFonts w:hint="eastAsia" w:ascii="宋体" w:hAnsi="宋体"/>
          <w:color w:val="auto"/>
          <w:kern w:val="0"/>
          <w:sz w:val="24"/>
          <w:highlight w:val="none"/>
          <w:lang w:eastAsia="zh-CN"/>
        </w:rPr>
        <w:t>成交人</w:t>
      </w:r>
      <w:r>
        <w:rPr>
          <w:rFonts w:hint="eastAsia" w:ascii="宋体" w:hAnsi="宋体"/>
          <w:color w:val="auto"/>
          <w:kern w:val="0"/>
          <w:sz w:val="24"/>
          <w:highlight w:val="none"/>
        </w:rPr>
        <w:t>完成合同的全部工程内容后竣工验收合格为</w:t>
      </w:r>
      <w:r>
        <w:rPr>
          <w:rFonts w:hint="eastAsia" w:ascii="宋体" w:hAnsi="宋体"/>
          <w:color w:val="auto"/>
          <w:kern w:val="0"/>
          <w:sz w:val="24"/>
          <w:highlight w:val="none"/>
          <w:lang w:val="en-US" w:eastAsia="zh-CN"/>
        </w:rPr>
        <w:t>止</w:t>
      </w:r>
      <w:r>
        <w:rPr>
          <w:rFonts w:hint="eastAsia" w:ascii="宋体" w:hAnsi="宋体" w:eastAsia="宋体" w:cs="宋体"/>
          <w:color w:val="auto"/>
          <w:sz w:val="24"/>
          <w:szCs w:val="24"/>
          <w:highlight w:val="none"/>
          <w:lang w:val="en-US" w:eastAsia="zh-CN"/>
        </w:rPr>
        <w:t>。</w:t>
      </w:r>
    </w:p>
    <w:p w14:paraId="4B4BAF1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olor w:val="auto"/>
          <w:kern w:val="0"/>
          <w:sz w:val="24"/>
          <w:highlight w:val="none"/>
          <w:lang w:val="en-US" w:eastAsia="zh-CN"/>
        </w:rPr>
        <w:t>保修期：本项目保修期为工程竣工验收合格后1年。</w:t>
      </w:r>
    </w:p>
    <w:p w14:paraId="27CB8BD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本项目（否）接受联合体。</w:t>
      </w:r>
    </w:p>
    <w:p w14:paraId="69CDD8D9">
      <w:pPr>
        <w:pStyle w:val="3"/>
        <w:keepNext w:val="0"/>
        <w:keepLines w:val="0"/>
        <w:pageBreakBefore w:val="0"/>
        <w:kinsoku/>
        <w:wordWrap/>
        <w:overflowPunct/>
        <w:topLinePunct w:val="0"/>
        <w:autoSpaceDE/>
        <w:autoSpaceDN/>
        <w:bidi w:val="0"/>
        <w:adjustRightInd/>
        <w:snapToGrid/>
        <w:spacing w:before="0" w:after="0" w:line="360" w:lineRule="auto"/>
        <w:ind w:left="0" w:leftChars="0" w:right="0" w:firstLine="420" w:firstLineChars="0"/>
        <w:textAlignment w:val="auto"/>
        <w:rPr>
          <w:rFonts w:hint="eastAsia" w:ascii="宋体" w:hAnsi="宋体" w:eastAsia="宋体" w:cs="宋体"/>
          <w:b w:val="0"/>
          <w:i w:val="0"/>
          <w:iCs w:val="0"/>
          <w:sz w:val="24"/>
          <w:szCs w:val="24"/>
        </w:rPr>
      </w:pPr>
      <w:bookmarkStart w:id="23" w:name="_Toc13415"/>
      <w:bookmarkStart w:id="24" w:name="_Toc28359013"/>
      <w:bookmarkStart w:id="25" w:name="_Toc17151"/>
      <w:bookmarkStart w:id="26" w:name="_Toc5293"/>
      <w:bookmarkStart w:id="27" w:name="_Toc35393630"/>
      <w:bookmarkStart w:id="28" w:name="_Toc31411"/>
      <w:bookmarkStart w:id="29" w:name="_Toc21141"/>
      <w:bookmarkStart w:id="30" w:name="_Toc16743"/>
      <w:bookmarkStart w:id="31" w:name="_Toc28359090"/>
      <w:bookmarkStart w:id="32" w:name="_Toc35393799"/>
      <w:bookmarkStart w:id="33" w:name="_Toc20275"/>
      <w:r>
        <w:rPr>
          <w:rFonts w:hint="eastAsia" w:ascii="宋体" w:hAnsi="宋体" w:eastAsia="宋体" w:cs="宋体"/>
          <w:b w:val="0"/>
          <w:i w:val="0"/>
          <w:iCs w:val="0"/>
          <w:sz w:val="24"/>
          <w:szCs w:val="24"/>
        </w:rPr>
        <w:t>二、申请人的资格要求：</w:t>
      </w:r>
      <w:bookmarkEnd w:id="23"/>
      <w:bookmarkEnd w:id="24"/>
      <w:bookmarkEnd w:id="25"/>
      <w:bookmarkEnd w:id="26"/>
      <w:bookmarkEnd w:id="27"/>
      <w:bookmarkEnd w:id="28"/>
      <w:bookmarkEnd w:id="29"/>
      <w:bookmarkEnd w:id="30"/>
      <w:bookmarkEnd w:id="31"/>
      <w:bookmarkEnd w:id="32"/>
      <w:bookmarkEnd w:id="33"/>
    </w:p>
    <w:p w14:paraId="6A6F463E">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1.满足《中华人民共和国政府采购法》第二十二条规定；</w:t>
      </w:r>
    </w:p>
    <w:p w14:paraId="47ACE798">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1.1具有独立承担民事责任的能力。提供法人或者其他组织的营业执照等证明文件。</w:t>
      </w:r>
    </w:p>
    <w:p w14:paraId="1440C3BA">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1.2具有良好的商业信誉和健全的财务会计制度。投标人须提供2023年或2024年经审计的财务报告(包括资产负债表、利润表、现金流量表)，新成立不满1年的投标人提供自成立至今的财务报表；</w:t>
      </w:r>
    </w:p>
    <w:p w14:paraId="3E479D9C">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1.3具有履行合同所必需的设备和专业技术能力。提供具备履行合同所必需的设备和专业技术能力的证明材料。</w:t>
      </w:r>
    </w:p>
    <w:p w14:paraId="3B4DBC95">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1.4有依法缴纳税收和社会保障资金的良好记录。提供2025年1月至今任意3个月依法缴纳税收和缴纳社会保障资金的证明(成立未满3个月的提供成立以来的税收和社会保障资金缴纳凭据；依法免税或不需要缴纳社会保障资金的供应商，应提供相应文件证明其依法免税或不需要缴纳社会保障资金)。</w:t>
      </w:r>
    </w:p>
    <w:p w14:paraId="648F1FE6">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1.5参加政府采购活动前三年内，在经营活动中没有重大违法记录。提供参加政府采购活动前三年内在经营活动中没有重大违法记录的书面声明。</w:t>
      </w:r>
    </w:p>
    <w:p w14:paraId="2C530CC6">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1.6法律、行政法规规定的其他条件。</w:t>
      </w:r>
    </w:p>
    <w:p w14:paraId="6573A129">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1.6.1 单位负责人为同一人或者存在直接控股、管理关系的不同供应商，不得参加同一合同项下的政府采购活动。</w:t>
      </w:r>
    </w:p>
    <w:p w14:paraId="248F8FD7">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为采购项目提供整体设计、规范编制或者项目管理、监理、检测等服务的供应商，不得再参加该采购项目的其他采购活动。</w:t>
      </w:r>
    </w:p>
    <w:p w14:paraId="60155A41">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1.6.2投标人应在“信用中国”网站(www.creditchina.gov.cn)未被列入失信被执行人记录、重大税收违法失信主体且在中国政府采购网(www.ccgp.gov.cn)没有政府采购严重违法失信行为记录。</w:t>
      </w:r>
    </w:p>
    <w:p w14:paraId="1CBF977E">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u w:val="single"/>
          <w:lang w:eastAsia="zh-CN"/>
        </w:rPr>
      </w:pPr>
      <w:bookmarkStart w:id="34" w:name="_Toc28359014"/>
      <w:bookmarkStart w:id="35" w:name="_Toc28359091"/>
      <w:r>
        <w:rPr>
          <w:rFonts w:hint="eastAsia" w:ascii="宋体" w:hAnsi="宋体" w:eastAsia="宋体" w:cs="宋体"/>
          <w:i w:val="0"/>
          <w:iCs w:val="0"/>
          <w:sz w:val="24"/>
          <w:szCs w:val="24"/>
        </w:rPr>
        <w:t>2.</w:t>
      </w:r>
      <w:r>
        <w:rPr>
          <w:rFonts w:hint="eastAsia" w:ascii="宋体" w:hAnsi="宋体" w:eastAsia="宋体" w:cs="宋体"/>
          <w:i w:val="0"/>
          <w:iCs w:val="0"/>
          <w:sz w:val="24"/>
          <w:szCs w:val="24"/>
          <w:highlight w:val="none"/>
        </w:rPr>
        <w:t>落实政府采购政策需满足的资格要</w:t>
      </w:r>
      <w:r>
        <w:rPr>
          <w:rFonts w:hint="eastAsia" w:ascii="宋体" w:hAnsi="宋体" w:eastAsia="宋体" w:cs="宋体"/>
          <w:kern w:val="2"/>
          <w:sz w:val="24"/>
          <w:szCs w:val="24"/>
          <w:highlight w:val="none"/>
          <w:lang w:val="en-US" w:eastAsia="zh-CN" w:bidi="ar-SA"/>
        </w:rPr>
        <w:t>求：</w:t>
      </w:r>
      <w:r>
        <w:rPr>
          <w:rFonts w:hint="eastAsia" w:ascii="宋体" w:hAnsi="宋体" w:cs="宋体"/>
          <w:kern w:val="2"/>
          <w:sz w:val="24"/>
          <w:szCs w:val="24"/>
          <w:highlight w:val="none"/>
          <w:lang w:val="en-US" w:eastAsia="zh-CN" w:bidi="ar-SA"/>
        </w:rPr>
        <w:t>本项目专门面向中小微企业</w:t>
      </w:r>
    </w:p>
    <w:p w14:paraId="559A44D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3.本项目的特定资格要求：</w:t>
      </w:r>
    </w:p>
    <w:p w14:paraId="10BFC39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3.1资质要求：</w:t>
      </w:r>
      <w:r>
        <w:rPr>
          <w:rFonts w:hint="eastAsia" w:ascii="宋体" w:hAnsi="宋体" w:cs="宋体"/>
          <w:color w:val="auto"/>
          <w:sz w:val="24"/>
          <w:szCs w:val="24"/>
          <w:highlight w:val="none"/>
        </w:rPr>
        <w:t>具有有效的</w:t>
      </w:r>
      <w:r>
        <w:rPr>
          <w:rFonts w:hint="eastAsia" w:ascii="宋体" w:hAnsi="宋体" w:cs="宋体"/>
          <w:color w:val="auto"/>
          <w:sz w:val="24"/>
          <w:szCs w:val="24"/>
          <w:highlight w:val="none"/>
          <w:lang w:eastAsia="zh-CN"/>
        </w:rPr>
        <w:t>建筑工程施工总承包叁级（含叁级）</w:t>
      </w:r>
      <w:r>
        <w:rPr>
          <w:rFonts w:hint="eastAsia" w:ascii="宋体" w:hAnsi="宋体" w:cs="宋体"/>
          <w:color w:val="auto"/>
          <w:sz w:val="24"/>
          <w:szCs w:val="24"/>
          <w:highlight w:val="none"/>
        </w:rPr>
        <w:t>及以上资质</w:t>
      </w:r>
      <w:r>
        <w:rPr>
          <w:rFonts w:hint="eastAsia" w:ascii="宋体" w:hAnsi="宋体" w:eastAsia="宋体" w:cs="宋体"/>
          <w:b w:val="0"/>
          <w:bCs w:val="0"/>
          <w:color w:val="auto"/>
          <w:kern w:val="0"/>
          <w:sz w:val="24"/>
          <w:szCs w:val="24"/>
          <w:highlight w:val="none"/>
          <w:lang w:val="en-US" w:eastAsia="zh-CN" w:bidi="ar-SA"/>
        </w:rPr>
        <w:t>，具备有效的安全生产许可证。</w:t>
      </w:r>
    </w:p>
    <w:p w14:paraId="4224DBBB">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b w:val="0"/>
          <w:bCs w:val="0"/>
          <w:color w:val="auto"/>
          <w:sz w:val="24"/>
          <w:szCs w:val="24"/>
          <w:highlight w:val="none"/>
          <w:u w:val="none"/>
          <w:lang w:val="en-US"/>
        </w:rPr>
      </w:pPr>
      <w:r>
        <w:rPr>
          <w:rFonts w:hint="eastAsia" w:ascii="宋体" w:hAnsi="宋体" w:eastAsia="宋体" w:cs="宋体"/>
          <w:i w:val="0"/>
          <w:iCs w:val="0"/>
          <w:color w:val="auto"/>
          <w:sz w:val="24"/>
          <w:szCs w:val="24"/>
          <w:highlight w:val="none"/>
          <w:lang w:val="en-US" w:eastAsia="zh-CN"/>
        </w:rPr>
        <w:t>3.2</w:t>
      </w:r>
      <w:bookmarkStart w:id="36" w:name="_Toc4466"/>
      <w:bookmarkStart w:id="37" w:name="_Toc32619"/>
      <w:bookmarkStart w:id="38" w:name="_Toc35393800"/>
      <w:bookmarkStart w:id="39" w:name="_Toc6342"/>
      <w:bookmarkStart w:id="40" w:name="_Toc15494"/>
      <w:bookmarkStart w:id="41" w:name="_Toc35393631"/>
      <w:bookmarkStart w:id="42" w:name="_Toc17800"/>
      <w:r>
        <w:rPr>
          <w:rFonts w:hint="eastAsia" w:ascii="宋体" w:hAnsi="宋体" w:eastAsia="宋体" w:cs="宋体"/>
          <w:i w:val="0"/>
          <w:iCs w:val="0"/>
          <w:color w:val="auto"/>
          <w:sz w:val="24"/>
          <w:szCs w:val="24"/>
          <w:highlight w:val="none"/>
          <w:lang w:val="en-US" w:eastAsia="zh-CN"/>
        </w:rPr>
        <w:t>项目负责人：具备建设行政主管部门核发的注册建造师二级（建筑工程专业）及其以上资格并具备有效的安全生产考核合格证书。</w:t>
      </w:r>
    </w:p>
    <w:p w14:paraId="02AE821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i w:val="0"/>
          <w:iCs w:val="0"/>
          <w:sz w:val="24"/>
          <w:szCs w:val="24"/>
          <w:lang w:val="en-US" w:eastAsia="zh-CN"/>
        </w:rPr>
      </w:pPr>
      <w:r>
        <w:rPr>
          <w:rFonts w:hint="eastAsia" w:ascii="宋体" w:hAnsi="宋体" w:eastAsia="宋体" w:cs="宋体"/>
          <w:b w:val="0"/>
          <w:i w:val="0"/>
          <w:iCs w:val="0"/>
          <w:sz w:val="24"/>
          <w:szCs w:val="24"/>
          <w:lang w:val="en-US" w:eastAsia="zh-CN"/>
        </w:rPr>
        <w:t>3.3</w:t>
      </w:r>
      <w:r>
        <w:rPr>
          <w:rFonts w:hint="eastAsia" w:ascii="宋体" w:hAnsi="宋体" w:cs="宋体"/>
          <w:sz w:val="24"/>
          <w:szCs w:val="24"/>
          <w:highlight w:val="none"/>
        </w:rPr>
        <w:t>本项目不接受联合体磋商。</w:t>
      </w:r>
    </w:p>
    <w:p w14:paraId="086D4FF0">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val="0"/>
          <w:i w:val="0"/>
          <w:iCs w:val="0"/>
          <w:sz w:val="24"/>
          <w:szCs w:val="24"/>
        </w:rPr>
      </w:pPr>
      <w:bookmarkStart w:id="43" w:name="_Toc8113"/>
      <w:bookmarkStart w:id="44" w:name="_Toc13318"/>
      <w:r>
        <w:rPr>
          <w:rFonts w:hint="eastAsia" w:ascii="宋体" w:hAnsi="宋体" w:eastAsia="宋体" w:cs="宋体"/>
          <w:b w:val="0"/>
          <w:i w:val="0"/>
          <w:iCs w:val="0"/>
          <w:sz w:val="24"/>
          <w:szCs w:val="24"/>
        </w:rPr>
        <w:t>三、获取采购文件</w:t>
      </w:r>
      <w:bookmarkEnd w:id="34"/>
      <w:bookmarkEnd w:id="35"/>
      <w:bookmarkEnd w:id="36"/>
      <w:bookmarkEnd w:id="37"/>
      <w:bookmarkEnd w:id="38"/>
      <w:bookmarkEnd w:id="39"/>
      <w:bookmarkEnd w:id="40"/>
      <w:bookmarkEnd w:id="41"/>
      <w:bookmarkEnd w:id="42"/>
      <w:bookmarkEnd w:id="43"/>
      <w:bookmarkEnd w:id="44"/>
    </w:p>
    <w:p w14:paraId="324AF6C3">
      <w:pPr>
        <w:spacing w:line="360" w:lineRule="auto"/>
        <w:ind w:firstLine="480" w:firstLineChars="200"/>
        <w:rPr>
          <w:rFonts w:hint="eastAsia" w:ascii="宋体" w:hAnsi="宋体" w:cs="宋体"/>
          <w:color w:val="auto"/>
          <w:sz w:val="24"/>
          <w:szCs w:val="24"/>
        </w:rPr>
      </w:pPr>
      <w:bookmarkStart w:id="45" w:name="_Toc28359015"/>
      <w:bookmarkStart w:id="46" w:name="_Toc24026"/>
      <w:bookmarkStart w:id="47" w:name="_Toc10287"/>
      <w:bookmarkStart w:id="48" w:name="_Toc35393801"/>
      <w:bookmarkStart w:id="49" w:name="_Toc28359092"/>
      <w:bookmarkStart w:id="50" w:name="_Toc35393632"/>
      <w:bookmarkStart w:id="51" w:name="_Toc7578"/>
      <w:bookmarkStart w:id="52" w:name="_Toc7328"/>
      <w:bookmarkStart w:id="53" w:name="_Toc9060"/>
      <w:bookmarkStart w:id="54" w:name="_Toc25636"/>
      <w:bookmarkStart w:id="55" w:name="_Toc14853"/>
      <w:r>
        <w:rPr>
          <w:rFonts w:hint="eastAsia" w:ascii="宋体" w:hAnsi="宋体" w:cs="宋体"/>
          <w:color w:val="auto"/>
          <w:sz w:val="24"/>
          <w:szCs w:val="24"/>
        </w:rPr>
        <w:t>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日至2025年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日</w:t>
      </w:r>
      <w:r>
        <w:rPr>
          <w:rFonts w:hint="eastAsia" w:ascii="宋体" w:hAnsi="宋体" w:cs="宋体"/>
          <w:color w:val="auto"/>
          <w:sz w:val="24"/>
          <w:szCs w:val="24"/>
        </w:rPr>
        <w:t>,每天上午0</w:t>
      </w:r>
      <w:r>
        <w:rPr>
          <w:rFonts w:hint="eastAsia" w:ascii="宋体" w:hAnsi="宋体" w:cs="宋体"/>
          <w:color w:val="auto"/>
          <w:sz w:val="24"/>
          <w:szCs w:val="24"/>
          <w:lang w:val="en-US" w:eastAsia="zh-CN"/>
        </w:rPr>
        <w:t>6</w:t>
      </w:r>
      <w:r>
        <w:rPr>
          <w:rFonts w:hint="eastAsia" w:ascii="宋体" w:hAnsi="宋体" w:cs="宋体"/>
          <w:color w:val="auto"/>
          <w:sz w:val="24"/>
          <w:szCs w:val="24"/>
        </w:rPr>
        <w:t>时00分至12时00分，下午12时00分至23时59分（北京时间）。</w:t>
      </w:r>
    </w:p>
    <w:p w14:paraId="21E5A6C0">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地点：政采云平台线上获取（https://www.zcygov.cn/）。</w:t>
      </w:r>
    </w:p>
    <w:p w14:paraId="65E7FF66">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方式：网上下载。本项目不发放纸质采购文件，</w:t>
      </w:r>
      <w:r>
        <w:rPr>
          <w:rFonts w:hint="eastAsia" w:ascii="宋体" w:hAnsi="宋体" w:cs="宋体"/>
          <w:color w:val="auto"/>
          <w:sz w:val="24"/>
          <w:szCs w:val="24"/>
          <w:lang w:eastAsia="zh-CN"/>
        </w:rPr>
        <w:t>供应商</w:t>
      </w:r>
      <w:r>
        <w:rPr>
          <w:rFonts w:hint="eastAsia" w:ascii="宋体" w:hAnsi="宋体" w:cs="宋体"/>
          <w:color w:val="auto"/>
          <w:sz w:val="24"/>
          <w:szCs w:val="24"/>
        </w:rPr>
        <w:t xml:space="preserve">可自行在“政采云”平台（http：//www.zcygov.cn）下载采购文件（操作路径：登录“政采云”平台-项目采购-获取采购文件-找到本项目-点击“申请获取采购文件”），电子投标文件制作需要基于“政采云”平台（http：//www.zcygov.cn）获取的采购文件编制。 </w:t>
      </w:r>
    </w:p>
    <w:p w14:paraId="7AFDF1C3">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售价：</w:t>
      </w:r>
      <w:r>
        <w:rPr>
          <w:rFonts w:hint="eastAsia" w:ascii="宋体" w:hAnsi="宋体" w:cs="宋体"/>
          <w:color w:val="auto"/>
          <w:sz w:val="24"/>
          <w:szCs w:val="24"/>
          <w:lang w:val="en-US" w:eastAsia="zh-CN"/>
        </w:rPr>
        <w:t>0.00</w:t>
      </w:r>
      <w:r>
        <w:rPr>
          <w:rFonts w:hint="eastAsia" w:ascii="宋体" w:hAnsi="宋体" w:cs="宋体"/>
          <w:color w:val="auto"/>
          <w:sz w:val="24"/>
          <w:szCs w:val="24"/>
        </w:rPr>
        <w:t>元。</w:t>
      </w:r>
    </w:p>
    <w:p w14:paraId="78CE83F3">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val="0"/>
          <w:i w:val="0"/>
          <w:iCs w:val="0"/>
          <w:sz w:val="24"/>
          <w:szCs w:val="24"/>
        </w:rPr>
      </w:pPr>
      <w:r>
        <w:rPr>
          <w:rFonts w:hint="eastAsia" w:ascii="宋体" w:hAnsi="宋体" w:eastAsia="宋体" w:cs="宋体"/>
          <w:b w:val="0"/>
          <w:i w:val="0"/>
          <w:iCs w:val="0"/>
          <w:sz w:val="24"/>
          <w:szCs w:val="24"/>
        </w:rPr>
        <w:t>四、响应文件提交</w:t>
      </w:r>
      <w:bookmarkEnd w:id="45"/>
      <w:bookmarkEnd w:id="46"/>
      <w:bookmarkEnd w:id="47"/>
      <w:bookmarkEnd w:id="48"/>
      <w:bookmarkEnd w:id="49"/>
      <w:bookmarkEnd w:id="50"/>
      <w:bookmarkEnd w:id="51"/>
      <w:bookmarkEnd w:id="52"/>
      <w:bookmarkEnd w:id="53"/>
      <w:bookmarkEnd w:id="54"/>
      <w:bookmarkEnd w:id="55"/>
    </w:p>
    <w:p w14:paraId="0EB32990">
      <w:pPr>
        <w:spacing w:line="360" w:lineRule="auto"/>
        <w:ind w:firstLine="480" w:firstLineChars="200"/>
        <w:rPr>
          <w:rFonts w:hint="eastAsia" w:ascii="宋体" w:hAnsi="宋体" w:cs="宋体"/>
          <w:bCs/>
          <w:sz w:val="24"/>
          <w:szCs w:val="24"/>
          <w:highlight w:val="none"/>
        </w:rPr>
      </w:pPr>
      <w:bookmarkStart w:id="56" w:name="_Toc35393802"/>
      <w:bookmarkStart w:id="57" w:name="_Toc22119"/>
      <w:bookmarkStart w:id="58" w:name="_Toc28359016"/>
      <w:bookmarkStart w:id="59" w:name="_Toc18082"/>
      <w:bookmarkStart w:id="60" w:name="_Toc24133"/>
      <w:bookmarkStart w:id="61" w:name="_Toc12446"/>
      <w:bookmarkStart w:id="62" w:name="_Toc28359093"/>
      <w:bookmarkStart w:id="63" w:name="_Toc35393633"/>
      <w:r>
        <w:rPr>
          <w:rFonts w:hint="eastAsia" w:ascii="宋体" w:hAnsi="宋体" w:cs="宋体"/>
          <w:sz w:val="24"/>
          <w:szCs w:val="24"/>
          <w:highlight w:val="none"/>
        </w:rPr>
        <w:t>1.截止时间：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lang w:val="en-US" w:eastAsia="zh-CN"/>
        </w:rPr>
        <w:t>年</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lang w:val="en-US" w:eastAsia="zh-CN"/>
        </w:rPr>
        <w:t>月</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lang w:val="en-US" w:eastAsia="zh-CN"/>
        </w:rPr>
        <w:t>日</w:t>
      </w:r>
      <w:r>
        <w:rPr>
          <w:rFonts w:hint="eastAsia" w:ascii="宋体" w:hAnsi="宋体" w:cs="宋体"/>
          <w:sz w:val="24"/>
          <w:szCs w:val="24"/>
          <w:highlight w:val="none"/>
          <w:u w:val="single"/>
          <w:lang w:val="en-US" w:eastAsia="zh-CN"/>
        </w:rPr>
        <w:t>09</w:t>
      </w:r>
      <w:r>
        <w:rPr>
          <w:rFonts w:hint="eastAsia" w:ascii="宋体" w:hAnsi="宋体" w:cs="宋体"/>
          <w:sz w:val="24"/>
          <w:szCs w:val="24"/>
          <w:highlight w:val="none"/>
          <w:lang w:val="en-US" w:eastAsia="zh-CN"/>
        </w:rPr>
        <w:t>时</w:t>
      </w:r>
      <w:r>
        <w:rPr>
          <w:rFonts w:hint="eastAsia" w:ascii="宋体" w:hAnsi="宋体" w:cs="宋体"/>
          <w:sz w:val="24"/>
          <w:szCs w:val="24"/>
          <w:highlight w:val="none"/>
          <w:u w:val="single"/>
          <w:lang w:val="en-US" w:eastAsia="zh-CN"/>
        </w:rPr>
        <w:t>3</w:t>
      </w:r>
      <w:r>
        <w:rPr>
          <w:rFonts w:hint="eastAsia" w:ascii="宋体" w:hAnsi="宋体" w:cs="宋体"/>
          <w:sz w:val="24"/>
          <w:szCs w:val="24"/>
          <w:highlight w:val="none"/>
          <w:u w:val="single"/>
        </w:rPr>
        <w:t>0</w:t>
      </w:r>
      <w:r>
        <w:rPr>
          <w:rFonts w:hint="eastAsia" w:ascii="宋体" w:hAnsi="宋体" w:cs="宋体"/>
          <w:sz w:val="24"/>
          <w:szCs w:val="24"/>
          <w:highlight w:val="none"/>
          <w:lang w:val="en-US" w:eastAsia="zh-CN"/>
        </w:rPr>
        <w:t>分</w:t>
      </w:r>
      <w:r>
        <w:rPr>
          <w:rFonts w:hint="eastAsia" w:ascii="宋体" w:hAnsi="宋体" w:cs="宋体"/>
          <w:bCs/>
          <w:sz w:val="24"/>
          <w:szCs w:val="24"/>
          <w:highlight w:val="none"/>
        </w:rPr>
        <w:t>（北京时间）</w:t>
      </w:r>
    </w:p>
    <w:p w14:paraId="7CBD227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2.地点：</w:t>
      </w:r>
      <w:r>
        <w:rPr>
          <w:rFonts w:hint="eastAsia" w:ascii="宋体" w:hAnsi="宋体" w:cs="宋体"/>
          <w:color w:val="auto"/>
          <w:sz w:val="24"/>
          <w:szCs w:val="24"/>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5760847C">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val="0"/>
          <w:i w:val="0"/>
          <w:iCs w:val="0"/>
          <w:sz w:val="24"/>
          <w:szCs w:val="24"/>
        </w:rPr>
      </w:pPr>
      <w:bookmarkStart w:id="64" w:name="_Toc1255"/>
      <w:bookmarkStart w:id="65" w:name="_Toc22334"/>
      <w:r>
        <w:rPr>
          <w:rFonts w:hint="eastAsia" w:ascii="宋体" w:hAnsi="宋体" w:eastAsia="宋体" w:cs="宋体"/>
          <w:b w:val="0"/>
          <w:i w:val="0"/>
          <w:iCs w:val="0"/>
          <w:sz w:val="24"/>
          <w:szCs w:val="24"/>
        </w:rPr>
        <w:t>五、开启</w:t>
      </w:r>
      <w:bookmarkEnd w:id="56"/>
      <w:bookmarkEnd w:id="57"/>
      <w:bookmarkEnd w:id="58"/>
      <w:bookmarkEnd w:id="59"/>
      <w:bookmarkEnd w:id="60"/>
      <w:bookmarkEnd w:id="61"/>
      <w:bookmarkEnd w:id="62"/>
      <w:bookmarkEnd w:id="63"/>
      <w:bookmarkEnd w:id="64"/>
      <w:bookmarkEnd w:id="65"/>
    </w:p>
    <w:p w14:paraId="6FC19830">
      <w:pPr>
        <w:spacing w:line="360" w:lineRule="auto"/>
        <w:ind w:firstLine="480" w:firstLineChars="200"/>
        <w:rPr>
          <w:rFonts w:hint="eastAsia" w:ascii="宋体" w:hAnsi="宋体" w:cs="宋体"/>
          <w:bCs/>
          <w:sz w:val="24"/>
          <w:szCs w:val="24"/>
          <w:highlight w:val="none"/>
        </w:rPr>
      </w:pPr>
      <w:bookmarkStart w:id="66" w:name="_Toc9028"/>
      <w:bookmarkStart w:id="67" w:name="_Toc35393803"/>
      <w:bookmarkStart w:id="68" w:name="_Toc5968"/>
      <w:bookmarkStart w:id="69" w:name="_Toc35393634"/>
      <w:bookmarkStart w:id="70" w:name="_Toc10530"/>
      <w:bookmarkStart w:id="71" w:name="_Toc19045"/>
      <w:bookmarkStart w:id="72" w:name="_Toc28359094"/>
      <w:bookmarkStart w:id="73" w:name="_Toc28359017"/>
      <w:r>
        <w:rPr>
          <w:rFonts w:hint="eastAsia" w:ascii="宋体" w:hAnsi="宋体" w:cs="宋体"/>
          <w:color w:val="000000"/>
          <w:sz w:val="24"/>
          <w:szCs w:val="24"/>
          <w:highlight w:val="none"/>
        </w:rPr>
        <w:t>1.时间：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lang w:val="en-US" w:eastAsia="zh-CN"/>
        </w:rPr>
        <w:t>年</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lang w:val="en-US" w:eastAsia="zh-CN"/>
        </w:rPr>
        <w:t>月</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lang w:val="en-US" w:eastAsia="zh-CN"/>
        </w:rPr>
        <w:t>日</w:t>
      </w:r>
      <w:r>
        <w:rPr>
          <w:rFonts w:hint="eastAsia" w:ascii="宋体" w:hAnsi="宋体" w:cs="宋体"/>
          <w:sz w:val="24"/>
          <w:szCs w:val="24"/>
          <w:highlight w:val="none"/>
          <w:u w:val="single"/>
          <w:lang w:val="en-US" w:eastAsia="zh-CN"/>
        </w:rPr>
        <w:t>09</w:t>
      </w:r>
      <w:r>
        <w:rPr>
          <w:rFonts w:hint="eastAsia" w:ascii="宋体" w:hAnsi="宋体" w:cs="宋体"/>
          <w:sz w:val="24"/>
          <w:szCs w:val="24"/>
          <w:highlight w:val="none"/>
          <w:lang w:val="en-US" w:eastAsia="zh-CN"/>
        </w:rPr>
        <w:t>时</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lang w:val="en-US" w:eastAsia="zh-CN"/>
        </w:rPr>
        <w:t>分</w:t>
      </w:r>
      <w:r>
        <w:rPr>
          <w:rFonts w:hint="eastAsia" w:ascii="宋体" w:hAnsi="宋体" w:cs="宋体"/>
          <w:bCs/>
          <w:sz w:val="24"/>
          <w:szCs w:val="24"/>
          <w:highlight w:val="none"/>
        </w:rPr>
        <w:t>（北京时间）</w:t>
      </w:r>
    </w:p>
    <w:p w14:paraId="56CC327C">
      <w:pPr>
        <w:spacing w:line="360" w:lineRule="auto"/>
        <w:ind w:firstLine="480" w:firstLineChars="200"/>
        <w:rPr>
          <w:rFonts w:hint="eastAsia" w:ascii="宋体" w:hAnsi="宋体" w:eastAsia="宋体" w:cs="宋体"/>
          <w:bCs/>
          <w:color w:val="000000"/>
          <w:sz w:val="24"/>
          <w:szCs w:val="24"/>
          <w:highlight w:val="none"/>
          <w:u w:val="single"/>
          <w:lang w:eastAsia="zh-CN"/>
        </w:rPr>
      </w:pPr>
      <w:r>
        <w:rPr>
          <w:rFonts w:hint="eastAsia" w:ascii="宋体" w:hAnsi="宋体" w:cs="宋体"/>
          <w:color w:val="000000"/>
          <w:sz w:val="24"/>
          <w:szCs w:val="24"/>
          <w:highlight w:val="none"/>
        </w:rPr>
        <w:t>2.地点：</w:t>
      </w:r>
      <w:r>
        <w:rPr>
          <w:rFonts w:hint="eastAsia" w:ascii="宋体" w:hAnsi="宋体" w:cs="宋体"/>
          <w:color w:val="auto"/>
          <w:sz w:val="24"/>
          <w:szCs w:val="24"/>
        </w:rPr>
        <w:t>“政采云”平台开标大厅</w:t>
      </w:r>
    </w:p>
    <w:p w14:paraId="614B4F67">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val="0"/>
          <w:i w:val="0"/>
          <w:iCs w:val="0"/>
          <w:sz w:val="24"/>
          <w:szCs w:val="24"/>
        </w:rPr>
      </w:pPr>
      <w:bookmarkStart w:id="74" w:name="_Toc14483"/>
      <w:bookmarkStart w:id="75" w:name="_Toc24152"/>
      <w:r>
        <w:rPr>
          <w:rFonts w:hint="eastAsia" w:ascii="宋体" w:hAnsi="宋体" w:eastAsia="宋体" w:cs="宋体"/>
          <w:b w:val="0"/>
          <w:i w:val="0"/>
          <w:iCs w:val="0"/>
          <w:sz w:val="24"/>
          <w:szCs w:val="24"/>
        </w:rPr>
        <w:t>六、公告期限</w:t>
      </w:r>
      <w:bookmarkEnd w:id="66"/>
      <w:bookmarkEnd w:id="67"/>
      <w:bookmarkEnd w:id="68"/>
      <w:bookmarkEnd w:id="69"/>
      <w:bookmarkEnd w:id="70"/>
      <w:bookmarkEnd w:id="71"/>
      <w:bookmarkEnd w:id="72"/>
      <w:bookmarkEnd w:id="73"/>
      <w:bookmarkEnd w:id="74"/>
      <w:bookmarkEnd w:id="75"/>
    </w:p>
    <w:p w14:paraId="5C69B2F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kern w:val="0"/>
          <w:sz w:val="24"/>
          <w:szCs w:val="24"/>
        </w:rPr>
      </w:pPr>
      <w:r>
        <w:rPr>
          <w:rFonts w:hint="eastAsia" w:ascii="宋体" w:hAnsi="宋体" w:eastAsia="宋体" w:cs="宋体"/>
          <w:i w:val="0"/>
          <w:iCs w:val="0"/>
          <w:kern w:val="0"/>
          <w:sz w:val="24"/>
          <w:szCs w:val="24"/>
        </w:rPr>
        <w:t>自本公告发布之日</w:t>
      </w:r>
      <w:r>
        <w:rPr>
          <w:rFonts w:hint="eastAsia" w:ascii="宋体" w:hAnsi="宋体" w:eastAsia="宋体" w:cs="宋体"/>
          <w:i w:val="0"/>
          <w:iCs w:val="0"/>
          <w:kern w:val="0"/>
          <w:sz w:val="24"/>
          <w:szCs w:val="24"/>
          <w:highlight w:val="none"/>
        </w:rPr>
        <w:t>起</w:t>
      </w:r>
      <w:r>
        <w:rPr>
          <w:rFonts w:hint="eastAsia" w:ascii="宋体" w:hAnsi="宋体" w:eastAsia="宋体" w:cs="宋体"/>
          <w:i w:val="0"/>
          <w:iCs w:val="0"/>
          <w:color w:val="auto"/>
          <w:kern w:val="0"/>
          <w:sz w:val="24"/>
          <w:szCs w:val="24"/>
          <w:highlight w:val="none"/>
          <w:lang w:val="en-US" w:eastAsia="zh-CN"/>
        </w:rPr>
        <w:t>5</w:t>
      </w:r>
      <w:r>
        <w:rPr>
          <w:rFonts w:hint="eastAsia" w:ascii="宋体" w:hAnsi="宋体" w:eastAsia="宋体" w:cs="宋体"/>
          <w:i w:val="0"/>
          <w:iCs w:val="0"/>
          <w:color w:val="auto"/>
          <w:kern w:val="0"/>
          <w:sz w:val="24"/>
          <w:szCs w:val="24"/>
          <w:highlight w:val="none"/>
        </w:rPr>
        <w:t>个工作日。</w:t>
      </w:r>
    </w:p>
    <w:p w14:paraId="0CD0420E">
      <w:pPr>
        <w:widowControl w:val="0"/>
        <w:spacing w:line="360" w:lineRule="auto"/>
        <w:rPr>
          <w:rFonts w:hint="eastAsia" w:ascii="宋体" w:hAnsi="宋体" w:eastAsia="宋体" w:cs="宋体"/>
          <w:sz w:val="24"/>
          <w:szCs w:val="24"/>
          <w:highlight w:val="none"/>
        </w:rPr>
      </w:pPr>
      <w:bookmarkStart w:id="76" w:name="_Toc3312"/>
      <w:bookmarkStart w:id="77" w:name="_Toc29435"/>
      <w:bookmarkStart w:id="78" w:name="_Toc7561"/>
      <w:bookmarkStart w:id="79" w:name="_Toc773"/>
      <w:bookmarkStart w:id="80" w:name="_Toc35393635"/>
      <w:bookmarkStart w:id="81" w:name="_Toc35393804"/>
      <w:bookmarkStart w:id="82" w:name="_Toc21391"/>
      <w:bookmarkStart w:id="83" w:name="_Toc13804"/>
      <w:bookmarkStart w:id="84" w:name="_Toc35393636"/>
      <w:bookmarkStart w:id="85" w:name="_Toc21315"/>
      <w:bookmarkStart w:id="86" w:name="_Toc35393805"/>
      <w:bookmarkStart w:id="87" w:name="_Toc4422"/>
      <w:bookmarkStart w:id="88" w:name="_Toc19070"/>
      <w:bookmarkStart w:id="89" w:name="_Toc28359018"/>
      <w:bookmarkStart w:id="90" w:name="_Toc28359095"/>
      <w:r>
        <w:rPr>
          <w:rFonts w:hint="eastAsia" w:ascii="宋体" w:hAnsi="宋体" w:eastAsia="宋体" w:cs="宋体"/>
          <w:sz w:val="24"/>
          <w:szCs w:val="24"/>
          <w:highlight w:val="none"/>
        </w:rPr>
        <w:t>七、其他补充事宜</w:t>
      </w:r>
      <w:bookmarkEnd w:id="76"/>
      <w:bookmarkEnd w:id="77"/>
      <w:bookmarkEnd w:id="78"/>
      <w:bookmarkEnd w:id="79"/>
      <w:bookmarkEnd w:id="80"/>
      <w:bookmarkEnd w:id="81"/>
    </w:p>
    <w:p w14:paraId="3DA31466">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1.开</w:t>
      </w:r>
      <w:r>
        <w:rPr>
          <w:rFonts w:hint="eastAsia" w:ascii="宋体" w:hAnsi="宋体" w:eastAsia="宋体" w:cs="宋体"/>
          <w:sz w:val="24"/>
          <w:szCs w:val="24"/>
          <w:highlight w:val="none"/>
          <w:lang w:val="en-US" w:eastAsia="zh-CN"/>
        </w:rPr>
        <w:t>启</w:t>
      </w:r>
      <w:r>
        <w:rPr>
          <w:rFonts w:hint="eastAsia" w:ascii="宋体" w:hAnsi="宋体" w:eastAsia="宋体" w:cs="宋体"/>
          <w:sz w:val="24"/>
          <w:szCs w:val="24"/>
          <w:highlight w:val="none"/>
        </w:rPr>
        <w:t>方式：网上智能开标</w:t>
      </w:r>
    </w:p>
    <w:p w14:paraId="115D9908">
      <w:pPr>
        <w:widowControl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2.是否需要缴纳磋商保证金：</w:t>
      </w:r>
      <w:r>
        <w:rPr>
          <w:rFonts w:hint="eastAsia" w:ascii="宋体" w:hAnsi="宋体" w:eastAsia="宋体" w:cs="宋体"/>
          <w:sz w:val="24"/>
          <w:szCs w:val="24"/>
          <w:highlight w:val="none"/>
          <w:lang w:val="en-US" w:eastAsia="zh-CN"/>
        </w:rPr>
        <w:t>否</w:t>
      </w:r>
    </w:p>
    <w:p w14:paraId="0B601018">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.其他：</w:t>
      </w:r>
    </w:p>
    <w:p w14:paraId="3023E14F">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.1本次竞争性磋商公告在《云南省政府采购网》</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政采云平台（https://www.zcygov.cn/）上发布，公告内容和时间以网发布的信息为准。</w:t>
      </w:r>
    </w:p>
    <w:p w14:paraId="3314AEC0">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.2本项目执行政府采购促进中小企业发展、支持监狱企业、促进残疾人就业、强制采购和优先采购节能、环保产品等政府采购政策。</w:t>
      </w:r>
    </w:p>
    <w:p w14:paraId="4FCF1397">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代理机构银行账户信息：</w:t>
      </w:r>
    </w:p>
    <w:p w14:paraId="4A277185">
      <w:pPr>
        <w:widowControl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账户名称：</w:t>
      </w:r>
      <w:r>
        <w:rPr>
          <w:rFonts w:hint="eastAsia" w:ascii="宋体" w:hAnsi="宋体" w:eastAsia="宋体" w:cs="宋体"/>
          <w:sz w:val="24"/>
          <w:szCs w:val="24"/>
          <w:highlight w:val="none"/>
          <w:lang w:eastAsia="zh-CN"/>
        </w:rPr>
        <w:t>云南玉昭工程咨询有限公司</w:t>
      </w:r>
    </w:p>
    <w:p w14:paraId="55C9E0AC">
      <w:pPr>
        <w:widowControl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lang w:eastAsia="zh-CN"/>
        </w:rPr>
        <w:t>招商银行昆明分行金江支行</w:t>
      </w:r>
    </w:p>
    <w:p w14:paraId="0889B35C">
      <w:pPr>
        <w:widowControl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账    号：</w:t>
      </w:r>
      <w:r>
        <w:rPr>
          <w:rFonts w:hint="eastAsia" w:ascii="宋体" w:hAnsi="宋体" w:eastAsia="宋体" w:cs="宋体"/>
          <w:sz w:val="24"/>
          <w:szCs w:val="24"/>
          <w:highlight w:val="none"/>
          <w:lang w:eastAsia="zh-CN"/>
        </w:rPr>
        <w:t>871908603010301</w:t>
      </w:r>
    </w:p>
    <w:p w14:paraId="5CF2A2EC">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.(1)本项目为不见面开标，供应商无需到达现场；</w:t>
      </w:r>
    </w:p>
    <w:p w14:paraId="4B612B1F">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(2)本项目实行网上投标，采用电子响应文件；</w:t>
      </w:r>
    </w:p>
    <w:p w14:paraId="4CC962E3">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(3)因未注册入库、未办理CA数字证书等原因造成无法投标或投标失败等后果由供应商自行承担。</w:t>
      </w:r>
    </w:p>
    <w:p w14:paraId="6F8CDD65">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将政采云电子交易客户端下载、安装完成后，可通过账号密码或CA登录客户端进行响应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w:t>
      </w:r>
    </w:p>
    <w:p w14:paraId="77EB84F1">
      <w:pPr>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获取采购文件的</w:t>
      </w:r>
      <w:r>
        <w:rPr>
          <w:rFonts w:hint="eastAsia" w:ascii="宋体" w:hAnsi="宋体" w:eastAsia="宋体" w:cs="宋体"/>
          <w:sz w:val="24"/>
          <w:szCs w:val="24"/>
          <w:highlight w:val="none"/>
        </w:rPr>
        <w:t>方式：有意参加投标的供应商需要在政采云平台办理数字证书（CA）。完成数字证书（CA）办理后，供应商需要在政采云平台绑定数字证书(CA)，并在平台上获取采购文件和其他相关采购资料。注：CA办理链接：http://yzt.ynsmartcert.cn/cms/yztmdkj.html或者https://middle.zcygov.cn/ca/apply/list?_app_=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68BA347F">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val="0"/>
          <w:i w:val="0"/>
          <w:iCs w:val="0"/>
          <w:sz w:val="24"/>
          <w:szCs w:val="24"/>
          <w:highlight w:val="none"/>
        </w:rPr>
      </w:pPr>
      <w:bookmarkStart w:id="91" w:name="_Toc29101"/>
      <w:bookmarkStart w:id="92" w:name="_Toc12467"/>
      <w:r>
        <w:rPr>
          <w:rFonts w:hint="eastAsia" w:ascii="宋体" w:hAnsi="宋体" w:eastAsia="宋体" w:cs="宋体"/>
          <w:b w:val="0"/>
          <w:i w:val="0"/>
          <w:iCs w:val="0"/>
          <w:sz w:val="24"/>
          <w:szCs w:val="24"/>
          <w:highlight w:val="none"/>
        </w:rPr>
        <w:t>八、凡对本次采购提出询问，请按以下方式联系</w:t>
      </w:r>
      <w:bookmarkEnd w:id="82"/>
      <w:bookmarkEnd w:id="83"/>
      <w:bookmarkEnd w:id="84"/>
      <w:bookmarkEnd w:id="85"/>
      <w:bookmarkEnd w:id="86"/>
      <w:bookmarkEnd w:id="87"/>
      <w:bookmarkEnd w:id="88"/>
      <w:bookmarkEnd w:id="89"/>
      <w:bookmarkEnd w:id="90"/>
      <w:bookmarkEnd w:id="91"/>
      <w:bookmarkEnd w:id="92"/>
    </w:p>
    <w:p w14:paraId="3E516F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en-US"/>
        </w:rPr>
      </w:pPr>
      <w:bookmarkStart w:id="93" w:name="_Toc35393637"/>
      <w:bookmarkStart w:id="94" w:name="_Toc28359096"/>
      <w:bookmarkStart w:id="95" w:name="_Toc28359019"/>
      <w:bookmarkStart w:id="96" w:name="_Toc35393806"/>
      <w:r>
        <w:rPr>
          <w:rFonts w:hint="eastAsia" w:ascii="宋体" w:hAnsi="宋体" w:eastAsia="宋体" w:cs="宋体"/>
          <w:sz w:val="24"/>
          <w:szCs w:val="24"/>
          <w:highlight w:val="none"/>
          <w:lang w:val="en-US" w:eastAsia="en-US"/>
        </w:rPr>
        <w:t>1.采购人信息</w:t>
      </w:r>
      <w:bookmarkEnd w:id="93"/>
      <w:bookmarkEnd w:id="94"/>
      <w:bookmarkEnd w:id="95"/>
      <w:bookmarkEnd w:id="96"/>
    </w:p>
    <w:p w14:paraId="3B3366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名    称：</w:t>
      </w:r>
      <w:r>
        <w:rPr>
          <w:rFonts w:hint="eastAsia" w:ascii="宋体" w:hAnsi="宋体"/>
          <w:sz w:val="24"/>
          <w:szCs w:val="24"/>
          <w:highlight w:val="none"/>
          <w:u w:val="none"/>
          <w:lang w:val="en-US" w:eastAsia="zh-CN"/>
        </w:rPr>
        <w:t>香格里拉市民政局</w:t>
      </w:r>
    </w:p>
    <w:p w14:paraId="72F8B7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en-US"/>
        </w:rPr>
        <w:t>地    址：</w:t>
      </w:r>
      <w:r>
        <w:rPr>
          <w:rFonts w:hint="eastAsia" w:ascii="宋体" w:hAnsi="宋体" w:cs="宋体"/>
          <w:sz w:val="24"/>
          <w:szCs w:val="24"/>
          <w:highlight w:val="none"/>
          <w:lang w:val="en-US" w:eastAsia="zh-CN"/>
        </w:rPr>
        <w:t>香格里拉市行政中心1号楼二楼　</w:t>
      </w:r>
    </w:p>
    <w:p w14:paraId="611722A3">
      <w:pPr>
        <w:pStyle w:val="8"/>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en-US"/>
        </w:rPr>
        <w:t>联系方式：</w:t>
      </w:r>
      <w:r>
        <w:rPr>
          <w:rFonts w:hint="eastAsia" w:ascii="宋体" w:hAnsi="宋体" w:cs="宋体"/>
          <w:bCs/>
          <w:color w:val="auto"/>
          <w:sz w:val="24"/>
          <w:szCs w:val="24"/>
          <w:highlight w:val="none"/>
          <w:lang w:val="en-US" w:eastAsia="zh-CN"/>
        </w:rPr>
        <w:t>0887-8823934</w:t>
      </w:r>
    </w:p>
    <w:p w14:paraId="41F659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97" w:name="_Toc35393638"/>
      <w:bookmarkStart w:id="98" w:name="_Toc28359020"/>
      <w:bookmarkStart w:id="99" w:name="_Toc28359097"/>
      <w:bookmarkStart w:id="100" w:name="_Toc35393807"/>
      <w:r>
        <w:rPr>
          <w:rFonts w:hint="eastAsia" w:ascii="宋体" w:hAnsi="宋体" w:eastAsia="宋体" w:cs="宋体"/>
          <w:sz w:val="24"/>
          <w:szCs w:val="24"/>
        </w:rPr>
        <w:t>2.采购代理机构信息</w:t>
      </w:r>
      <w:bookmarkEnd w:id="97"/>
      <w:bookmarkEnd w:id="98"/>
      <w:bookmarkEnd w:id="99"/>
      <w:bookmarkEnd w:id="100"/>
    </w:p>
    <w:p w14:paraId="70226F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u w:val="none"/>
          <w:lang w:eastAsia="zh-CN"/>
        </w:rPr>
      </w:pPr>
      <w:r>
        <w:rPr>
          <w:rFonts w:hint="eastAsia" w:ascii="宋体" w:hAnsi="宋体" w:eastAsia="宋体" w:cs="宋体"/>
          <w:sz w:val="24"/>
          <w:szCs w:val="24"/>
        </w:rPr>
        <w:t>名    称</w:t>
      </w:r>
      <w:r>
        <w:rPr>
          <w:rFonts w:hint="eastAsia" w:ascii="宋体" w:hAnsi="宋体" w:eastAsia="宋体" w:cs="宋体"/>
          <w:sz w:val="24"/>
          <w:szCs w:val="24"/>
          <w:u w:val="none"/>
        </w:rPr>
        <w:t>：</w:t>
      </w:r>
      <w:r>
        <w:rPr>
          <w:rFonts w:hint="eastAsia" w:ascii="宋体" w:hAnsi="宋体" w:eastAsia="宋体"/>
          <w:sz w:val="24"/>
          <w:szCs w:val="24"/>
          <w:highlight w:val="none"/>
          <w:u w:val="none"/>
          <w:lang w:eastAsia="zh-CN"/>
        </w:rPr>
        <w:t>云南玉昭工程咨询有限公司</w:t>
      </w:r>
    </w:p>
    <w:p w14:paraId="55A299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u w:val="none"/>
          <w:lang w:eastAsia="zh-CN"/>
        </w:rPr>
      </w:pPr>
      <w:r>
        <w:rPr>
          <w:rFonts w:hint="eastAsia" w:ascii="宋体" w:hAnsi="宋体" w:eastAsia="宋体" w:cs="宋体"/>
          <w:sz w:val="24"/>
          <w:szCs w:val="24"/>
          <w:u w:val="none"/>
        </w:rPr>
        <w:t>地　　址：</w:t>
      </w:r>
      <w:r>
        <w:rPr>
          <w:rFonts w:hint="eastAsia" w:ascii="宋体" w:hAnsi="宋体" w:eastAsia="宋体"/>
          <w:sz w:val="24"/>
          <w:highlight w:val="none"/>
          <w:u w:val="none"/>
          <w:lang w:eastAsia="zh-CN"/>
        </w:rPr>
        <w:t>云南省迪庆州香格里拉市环城北路26号</w:t>
      </w:r>
    </w:p>
    <w:p w14:paraId="2E7FCCC6">
      <w:pPr>
        <w:pStyle w:val="8"/>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sz w:val="24"/>
          <w:szCs w:val="24"/>
          <w:highlight w:val="none"/>
          <w:u w:val="none"/>
          <w:lang w:eastAsia="zh-CN"/>
        </w:rPr>
        <w:t>15752197058</w:t>
      </w:r>
    </w:p>
    <w:p w14:paraId="54E9F7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101" w:name="_Toc28359021"/>
      <w:bookmarkStart w:id="102" w:name="_Toc28359098"/>
      <w:bookmarkStart w:id="103" w:name="_Toc35393808"/>
      <w:bookmarkStart w:id="104" w:name="_Toc35393639"/>
      <w:r>
        <w:rPr>
          <w:rFonts w:hint="eastAsia" w:ascii="宋体" w:hAnsi="宋体" w:eastAsia="宋体" w:cs="宋体"/>
          <w:sz w:val="24"/>
          <w:szCs w:val="24"/>
        </w:rPr>
        <w:t>3.项目联系方式</w:t>
      </w:r>
      <w:bookmarkEnd w:id="101"/>
      <w:bookmarkEnd w:id="102"/>
      <w:bookmarkEnd w:id="103"/>
      <w:bookmarkEnd w:id="104"/>
    </w:p>
    <w:p w14:paraId="1ED9C754">
      <w:pPr>
        <w:pStyle w:val="8"/>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胡工</w:t>
      </w:r>
    </w:p>
    <w:p w14:paraId="41C7156D">
      <w:pPr>
        <w:pStyle w:val="8"/>
        <w:ind w:firstLine="480" w:firstLineChars="200"/>
        <w:rPr>
          <w:rFonts w:hint="eastAsia" w:ascii="宋体" w:hAnsi="宋体"/>
        </w:rPr>
      </w:pPr>
      <w:r>
        <w:rPr>
          <w:rFonts w:hint="eastAsia" w:ascii="宋体" w:hAnsi="宋体" w:eastAsia="宋体" w:cs="宋体"/>
          <w:sz w:val="24"/>
          <w:szCs w:val="24"/>
        </w:rPr>
        <w:t>电　　 话：</w:t>
      </w:r>
      <w:bookmarkStart w:id="105" w:name="_Toc16794"/>
      <w:bookmarkEnd w:id="105"/>
      <w:bookmarkStart w:id="106" w:name="_Toc8120"/>
      <w:bookmarkEnd w:id="106"/>
      <w:bookmarkStart w:id="107" w:name="_Toc23419"/>
      <w:bookmarkEnd w:id="107"/>
      <w:bookmarkStart w:id="108" w:name="_Toc5498"/>
      <w:bookmarkEnd w:id="108"/>
      <w:bookmarkStart w:id="109" w:name="_Toc13994"/>
      <w:bookmarkEnd w:id="109"/>
      <w:r>
        <w:rPr>
          <w:rFonts w:hint="eastAsia" w:ascii="宋体" w:hAnsi="宋体"/>
          <w:sz w:val="24"/>
          <w:szCs w:val="24"/>
          <w:highlight w:val="none"/>
          <w:u w:val="none"/>
          <w:lang w:eastAsia="zh-CN"/>
        </w:rPr>
        <w:t>15752197058</w:t>
      </w:r>
    </w:p>
    <w:p w14:paraId="13593938">
      <w:pPr>
        <w:pStyle w:val="2"/>
        <w:spacing w:before="0" w:after="0" w:line="360" w:lineRule="auto"/>
        <w:jc w:val="center"/>
        <w:rPr>
          <w:rStyle w:val="20"/>
          <w:rFonts w:hint="eastAsia" w:ascii="宋体" w:hAnsi="宋体"/>
          <w:b/>
          <w:bCs/>
        </w:rPr>
      </w:pPr>
      <w:r>
        <w:rPr>
          <w:rStyle w:val="20"/>
          <w:rFonts w:hint="eastAsia" w:ascii="宋体" w:hAnsi="宋体"/>
          <w:b/>
          <w:bCs/>
        </w:rPr>
        <w:br w:type="page"/>
      </w:r>
      <w:bookmarkStart w:id="110" w:name="_Toc12196"/>
      <w:bookmarkStart w:id="111" w:name="_Toc17637"/>
      <w:r>
        <w:rPr>
          <w:rStyle w:val="20"/>
          <w:rFonts w:hint="eastAsia" w:ascii="宋体" w:hAnsi="宋体"/>
          <w:b/>
          <w:bCs/>
        </w:rPr>
        <w:t>第二章 供应商须知</w:t>
      </w:r>
      <w:bookmarkEnd w:id="8"/>
      <w:bookmarkEnd w:id="9"/>
      <w:bookmarkEnd w:id="110"/>
      <w:bookmarkEnd w:id="111"/>
    </w:p>
    <w:p w14:paraId="3514D124">
      <w:pPr>
        <w:pStyle w:val="3"/>
        <w:bidi w:val="0"/>
        <w:rPr>
          <w:rFonts w:hint="eastAsia"/>
        </w:rPr>
      </w:pPr>
      <w:bookmarkStart w:id="112" w:name="_Toc21714"/>
      <w:bookmarkEnd w:id="112"/>
      <w:bookmarkStart w:id="113" w:name="_Toc13590"/>
      <w:bookmarkEnd w:id="113"/>
      <w:bookmarkStart w:id="114" w:name="_Toc18702"/>
      <w:bookmarkStart w:id="115" w:name="_Toc3896281"/>
      <w:bookmarkStart w:id="116" w:name="_Toc24524"/>
      <w:bookmarkStart w:id="117" w:name="_Toc26144"/>
      <w:r>
        <w:rPr>
          <w:rFonts w:hint="eastAsia"/>
        </w:rPr>
        <w:t>供应商须知前附表</w:t>
      </w:r>
      <w:bookmarkEnd w:id="114"/>
      <w:bookmarkEnd w:id="115"/>
      <w:bookmarkEnd w:id="116"/>
      <w:bookmarkEnd w:id="117"/>
    </w:p>
    <w:tbl>
      <w:tblPr>
        <w:tblStyle w:val="1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148"/>
        <w:gridCol w:w="6051"/>
      </w:tblGrid>
      <w:tr w14:paraId="413F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C1742A1">
            <w:pPr>
              <w:widowControl w:val="0"/>
              <w:spacing w:line="360" w:lineRule="auto"/>
              <w:ind w:left="210" w:leftChars="100"/>
              <w:jc w:val="center"/>
              <w:rPr>
                <w:rFonts w:ascii="宋体" w:hAnsi="宋体" w:eastAsia="Times New Roman"/>
                <w:b/>
                <w:bCs/>
                <w:kern w:val="2"/>
                <w:sz w:val="24"/>
                <w:szCs w:val="24"/>
                <w:highlight w:val="none"/>
              </w:rPr>
            </w:pPr>
            <w:r>
              <w:rPr>
                <w:rFonts w:hint="eastAsia" w:ascii="宋体" w:hAnsi="宋体" w:eastAsia="Times New Roman"/>
                <w:b/>
                <w:bCs/>
                <w:kern w:val="2"/>
                <w:sz w:val="24"/>
                <w:szCs w:val="24"/>
                <w:highlight w:val="none"/>
              </w:rPr>
              <w:t>条款号</w:t>
            </w:r>
          </w:p>
        </w:tc>
        <w:tc>
          <w:tcPr>
            <w:tcW w:w="2148" w:type="dxa"/>
            <w:noWrap w:val="0"/>
            <w:vAlign w:val="bottom"/>
          </w:tcPr>
          <w:p w14:paraId="2A2442F6">
            <w:pPr>
              <w:widowControl w:val="0"/>
              <w:spacing w:line="360" w:lineRule="auto"/>
              <w:ind w:left="210" w:leftChars="100"/>
              <w:jc w:val="center"/>
              <w:rPr>
                <w:rFonts w:ascii="宋体" w:hAnsi="宋体" w:eastAsia="Times New Roman"/>
                <w:b/>
                <w:bCs/>
                <w:kern w:val="2"/>
                <w:sz w:val="24"/>
                <w:szCs w:val="24"/>
                <w:highlight w:val="none"/>
              </w:rPr>
            </w:pPr>
            <w:r>
              <w:rPr>
                <w:rFonts w:hint="eastAsia" w:ascii="宋体" w:hAnsi="宋体" w:eastAsia="Times New Roman"/>
                <w:b/>
                <w:bCs/>
                <w:kern w:val="2"/>
                <w:sz w:val="24"/>
                <w:szCs w:val="24"/>
                <w:highlight w:val="none"/>
              </w:rPr>
              <w:t>条款名称</w:t>
            </w:r>
          </w:p>
        </w:tc>
        <w:tc>
          <w:tcPr>
            <w:tcW w:w="6051" w:type="dxa"/>
            <w:noWrap w:val="0"/>
            <w:vAlign w:val="bottom"/>
          </w:tcPr>
          <w:p w14:paraId="51F3EFD3">
            <w:pPr>
              <w:widowControl w:val="0"/>
              <w:spacing w:line="360" w:lineRule="auto"/>
              <w:ind w:left="210" w:leftChars="100"/>
              <w:jc w:val="center"/>
              <w:rPr>
                <w:rFonts w:ascii="宋体" w:hAnsi="宋体" w:eastAsia="Times New Roman"/>
                <w:b/>
                <w:bCs/>
                <w:kern w:val="2"/>
                <w:sz w:val="24"/>
                <w:szCs w:val="24"/>
                <w:highlight w:val="none"/>
              </w:rPr>
            </w:pPr>
            <w:r>
              <w:rPr>
                <w:rFonts w:hint="eastAsia" w:ascii="宋体" w:hAnsi="宋体" w:eastAsia="Times New Roman"/>
                <w:b/>
                <w:bCs/>
                <w:kern w:val="2"/>
                <w:sz w:val="24"/>
                <w:szCs w:val="24"/>
                <w:highlight w:val="none"/>
              </w:rPr>
              <w:t>编列内容</w:t>
            </w:r>
          </w:p>
        </w:tc>
      </w:tr>
      <w:tr w14:paraId="65555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CF0100F">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1.1.2</w:t>
            </w:r>
          </w:p>
        </w:tc>
        <w:tc>
          <w:tcPr>
            <w:tcW w:w="2148" w:type="dxa"/>
            <w:noWrap w:val="0"/>
            <w:vAlign w:val="center"/>
          </w:tcPr>
          <w:p w14:paraId="0C4D67DB">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采购人</w:t>
            </w:r>
          </w:p>
        </w:tc>
        <w:tc>
          <w:tcPr>
            <w:tcW w:w="6051" w:type="dxa"/>
            <w:noWrap w:val="0"/>
            <w:vAlign w:val="center"/>
          </w:tcPr>
          <w:p w14:paraId="482A6877">
            <w:pPr>
              <w:widowControl w:val="0"/>
              <w:spacing w:line="360" w:lineRule="auto"/>
              <w:jc w:val="both"/>
              <w:rPr>
                <w:rFonts w:hint="eastAsia" w:ascii="宋体" w:hAnsi="宋体" w:eastAsia="Times New Roman"/>
                <w:kern w:val="2"/>
                <w:sz w:val="24"/>
                <w:szCs w:val="24"/>
                <w:highlight w:val="none"/>
                <w:lang w:val="en-US" w:eastAsia="en-US"/>
              </w:rPr>
            </w:pPr>
            <w:r>
              <w:rPr>
                <w:rFonts w:hint="eastAsia" w:ascii="宋体" w:hAnsi="宋体" w:eastAsia="Times New Roman"/>
                <w:kern w:val="2"/>
                <w:sz w:val="24"/>
                <w:szCs w:val="24"/>
                <w:highlight w:val="none"/>
                <w:lang w:val="en-US" w:eastAsia="en-US"/>
              </w:rPr>
              <w:t>名    称：</w:t>
            </w:r>
            <w:r>
              <w:rPr>
                <w:rFonts w:hint="eastAsia" w:ascii="宋体" w:hAnsi="宋体" w:eastAsia="Times New Roman"/>
                <w:kern w:val="2"/>
                <w:sz w:val="24"/>
                <w:szCs w:val="24"/>
                <w:highlight w:val="none"/>
                <w:lang w:val="en-US" w:eastAsia="zh-CN"/>
              </w:rPr>
              <w:t>香格里拉市民政局</w:t>
            </w:r>
          </w:p>
          <w:p w14:paraId="31F4E15B">
            <w:pPr>
              <w:widowControl w:val="0"/>
              <w:spacing w:line="360" w:lineRule="auto"/>
              <w:jc w:val="both"/>
              <w:rPr>
                <w:rFonts w:hint="eastAsia" w:ascii="宋体" w:hAnsi="宋体" w:eastAsia="宋体"/>
                <w:kern w:val="2"/>
                <w:sz w:val="24"/>
                <w:szCs w:val="24"/>
                <w:highlight w:val="none"/>
                <w:lang w:val="en-US" w:eastAsia="zh-CN"/>
              </w:rPr>
            </w:pPr>
            <w:r>
              <w:rPr>
                <w:rFonts w:hint="eastAsia" w:ascii="宋体" w:hAnsi="宋体" w:eastAsia="Times New Roman"/>
                <w:kern w:val="2"/>
                <w:sz w:val="24"/>
                <w:szCs w:val="24"/>
                <w:highlight w:val="none"/>
                <w:lang w:val="en-US" w:eastAsia="en-US"/>
              </w:rPr>
              <w:t>地    址：</w:t>
            </w:r>
            <w:r>
              <w:rPr>
                <w:rFonts w:hint="eastAsia" w:ascii="宋体" w:hAnsi="宋体"/>
                <w:kern w:val="2"/>
                <w:sz w:val="24"/>
                <w:szCs w:val="24"/>
                <w:highlight w:val="none"/>
                <w:lang w:val="en-US" w:eastAsia="zh-CN"/>
              </w:rPr>
              <w:t>香格里拉市行政中心1号楼二楼　</w:t>
            </w:r>
          </w:p>
          <w:p w14:paraId="441755E8">
            <w:pPr>
              <w:widowControl w:val="0"/>
              <w:spacing w:line="360" w:lineRule="auto"/>
              <w:jc w:val="both"/>
              <w:rPr>
                <w:rFonts w:ascii="宋体" w:hAnsi="宋体" w:eastAsia="Times New Roman"/>
                <w:kern w:val="2"/>
                <w:sz w:val="24"/>
                <w:szCs w:val="24"/>
                <w:highlight w:val="none"/>
              </w:rPr>
            </w:pPr>
            <w:r>
              <w:rPr>
                <w:rFonts w:hint="eastAsia" w:ascii="宋体" w:hAnsi="宋体" w:eastAsia="Times New Roman"/>
                <w:kern w:val="2"/>
                <w:sz w:val="24"/>
                <w:szCs w:val="24"/>
                <w:highlight w:val="none"/>
                <w:lang w:val="en-US" w:eastAsia="en-US"/>
              </w:rPr>
              <w:t>联系方式：</w:t>
            </w:r>
            <w:r>
              <w:rPr>
                <w:rFonts w:hint="eastAsia" w:ascii="宋体" w:hAnsi="宋体" w:eastAsia="Times New Roman"/>
                <w:kern w:val="2"/>
                <w:sz w:val="24"/>
                <w:szCs w:val="24"/>
                <w:highlight w:val="none"/>
                <w:lang w:val="en-US" w:eastAsia="zh-CN"/>
              </w:rPr>
              <w:t>王武</w:t>
            </w:r>
            <w:r>
              <w:rPr>
                <w:rFonts w:hint="eastAsia" w:ascii="宋体" w:hAnsi="宋体" w:eastAsia="Times New Roman"/>
                <w:kern w:val="2"/>
                <w:sz w:val="24"/>
                <w:szCs w:val="24"/>
                <w:highlight w:val="none"/>
                <w:lang w:eastAsia="zh-CN"/>
              </w:rPr>
              <w:t>（0887-8823934）</w:t>
            </w:r>
          </w:p>
        </w:tc>
      </w:tr>
      <w:tr w14:paraId="03CA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5AEA74D">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1.1.3</w:t>
            </w:r>
          </w:p>
        </w:tc>
        <w:tc>
          <w:tcPr>
            <w:tcW w:w="2148" w:type="dxa"/>
            <w:noWrap w:val="0"/>
            <w:vAlign w:val="center"/>
          </w:tcPr>
          <w:p w14:paraId="539A917C">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采购代理机构</w:t>
            </w:r>
          </w:p>
        </w:tc>
        <w:tc>
          <w:tcPr>
            <w:tcW w:w="6051" w:type="dxa"/>
            <w:noWrap w:val="0"/>
            <w:vAlign w:val="center"/>
          </w:tcPr>
          <w:p w14:paraId="7C52E2BB">
            <w:pPr>
              <w:widowControl w:val="0"/>
              <w:spacing w:line="360" w:lineRule="auto"/>
              <w:jc w:val="left"/>
              <w:rPr>
                <w:rFonts w:hint="eastAsia" w:ascii="宋体" w:hAnsi="宋体" w:eastAsia="宋体" w:cs="Times New Roman"/>
                <w:kern w:val="2"/>
                <w:sz w:val="24"/>
                <w:szCs w:val="24"/>
                <w:highlight w:val="none"/>
                <w:lang w:eastAsia="zh-CN"/>
              </w:rPr>
            </w:pPr>
            <w:r>
              <w:rPr>
                <w:rFonts w:hint="eastAsia" w:ascii="宋体" w:hAnsi="宋体" w:eastAsia="Times New Roman" w:cs="Times New Roman"/>
                <w:kern w:val="2"/>
                <w:sz w:val="24"/>
                <w:szCs w:val="24"/>
                <w:highlight w:val="none"/>
              </w:rPr>
              <w:t>名    称：</w:t>
            </w:r>
            <w:r>
              <w:rPr>
                <w:rFonts w:hint="eastAsia" w:ascii="宋体" w:hAnsi="宋体" w:eastAsia="宋体" w:cs="Times New Roman"/>
                <w:kern w:val="2"/>
                <w:sz w:val="24"/>
                <w:szCs w:val="24"/>
                <w:highlight w:val="none"/>
                <w:lang w:eastAsia="zh-CN"/>
              </w:rPr>
              <w:t>云南玉昭工程咨询有限公司</w:t>
            </w:r>
          </w:p>
          <w:p w14:paraId="4A7B9890">
            <w:pPr>
              <w:widowControl w:val="0"/>
              <w:spacing w:line="360" w:lineRule="auto"/>
              <w:jc w:val="left"/>
              <w:rPr>
                <w:rFonts w:hint="eastAsia" w:ascii="宋体" w:hAnsi="宋体" w:eastAsia="宋体" w:cs="Times New Roman"/>
                <w:kern w:val="2"/>
                <w:sz w:val="24"/>
                <w:szCs w:val="24"/>
                <w:highlight w:val="none"/>
                <w:lang w:eastAsia="zh-CN"/>
              </w:rPr>
            </w:pPr>
            <w:r>
              <w:rPr>
                <w:rFonts w:hint="eastAsia" w:ascii="宋体" w:hAnsi="宋体" w:eastAsia="Times New Roman" w:cs="Times New Roman"/>
                <w:kern w:val="2"/>
                <w:sz w:val="24"/>
                <w:szCs w:val="24"/>
                <w:highlight w:val="none"/>
              </w:rPr>
              <w:t>地　　址：</w:t>
            </w:r>
            <w:r>
              <w:rPr>
                <w:rFonts w:hint="eastAsia" w:ascii="宋体" w:hAnsi="宋体" w:eastAsia="宋体" w:cs="Times New Roman"/>
                <w:kern w:val="2"/>
                <w:sz w:val="24"/>
                <w:szCs w:val="24"/>
                <w:highlight w:val="none"/>
                <w:lang w:eastAsia="zh-CN"/>
              </w:rPr>
              <w:t>云南省迪庆州香格里拉市环城北路26号</w:t>
            </w:r>
          </w:p>
          <w:p w14:paraId="02D77645">
            <w:pPr>
              <w:widowControl w:val="0"/>
              <w:spacing w:line="360" w:lineRule="auto"/>
              <w:jc w:val="left"/>
              <w:rPr>
                <w:rFonts w:hint="eastAsia" w:ascii="宋体" w:hAnsi="宋体" w:eastAsia="宋体" w:cs="Times New Roman"/>
                <w:kern w:val="2"/>
                <w:sz w:val="24"/>
                <w:szCs w:val="24"/>
                <w:highlight w:val="none"/>
                <w:lang w:eastAsia="zh-CN"/>
              </w:rPr>
            </w:pPr>
            <w:r>
              <w:rPr>
                <w:rFonts w:hint="eastAsia" w:ascii="宋体" w:hAnsi="宋体" w:eastAsia="Times New Roman" w:cs="Times New Roman"/>
                <w:kern w:val="2"/>
                <w:sz w:val="24"/>
                <w:szCs w:val="24"/>
                <w:highlight w:val="none"/>
              </w:rPr>
              <w:t>联系方式：</w:t>
            </w:r>
            <w:r>
              <w:rPr>
                <w:rFonts w:hint="eastAsia" w:ascii="宋体" w:hAnsi="宋体" w:eastAsia="宋体" w:cs="Times New Roman"/>
                <w:kern w:val="2"/>
                <w:sz w:val="24"/>
                <w:szCs w:val="24"/>
                <w:highlight w:val="none"/>
                <w:lang w:val="en-US" w:eastAsia="zh-CN"/>
              </w:rPr>
              <w:t>胡工（</w:t>
            </w:r>
            <w:r>
              <w:rPr>
                <w:rFonts w:hint="eastAsia" w:ascii="宋体" w:hAnsi="宋体" w:eastAsia="宋体" w:cs="Times New Roman"/>
                <w:kern w:val="2"/>
                <w:sz w:val="24"/>
                <w:szCs w:val="24"/>
                <w:highlight w:val="none"/>
                <w:lang w:eastAsia="zh-CN"/>
              </w:rPr>
              <w:t>15752197058</w:t>
            </w:r>
            <w:r>
              <w:rPr>
                <w:rFonts w:hint="eastAsia" w:ascii="宋体" w:hAnsi="宋体" w:eastAsia="宋体" w:cs="Times New Roman"/>
                <w:kern w:val="2"/>
                <w:sz w:val="24"/>
                <w:szCs w:val="24"/>
                <w:highlight w:val="none"/>
                <w:lang w:val="en-US" w:eastAsia="zh-CN"/>
              </w:rPr>
              <w:t>）</w:t>
            </w:r>
          </w:p>
        </w:tc>
      </w:tr>
      <w:tr w14:paraId="45F7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49332258">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1.1.4</w:t>
            </w:r>
          </w:p>
        </w:tc>
        <w:tc>
          <w:tcPr>
            <w:tcW w:w="2148" w:type="dxa"/>
            <w:noWrap w:val="0"/>
            <w:vAlign w:val="center"/>
          </w:tcPr>
          <w:p w14:paraId="4F63E9D7">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项目名称</w:t>
            </w:r>
          </w:p>
        </w:tc>
        <w:tc>
          <w:tcPr>
            <w:tcW w:w="6051" w:type="dxa"/>
            <w:noWrap w:val="0"/>
            <w:vAlign w:val="center"/>
          </w:tcPr>
          <w:p w14:paraId="240325BC">
            <w:pPr>
              <w:widowControl w:val="0"/>
              <w:spacing w:line="360" w:lineRule="auto"/>
              <w:jc w:val="left"/>
              <w:rPr>
                <w:rFonts w:hint="eastAsia" w:ascii="宋体" w:hAnsi="宋体" w:eastAsia="Times New Roman" w:cs="Times New Roman"/>
                <w:kern w:val="2"/>
                <w:sz w:val="24"/>
                <w:szCs w:val="24"/>
                <w:highlight w:val="none"/>
              </w:rPr>
            </w:pPr>
            <w:r>
              <w:rPr>
                <w:rFonts w:hint="eastAsia" w:ascii="宋体" w:hAnsi="宋体" w:eastAsia="Times New Roman" w:cs="Times New Roman"/>
                <w:kern w:val="2"/>
                <w:sz w:val="24"/>
                <w:szCs w:val="24"/>
                <w:highlight w:val="none"/>
                <w:lang w:eastAsia="zh-CN"/>
              </w:rPr>
              <w:t>香格里拉市2025年困难家庭居家适老化改造项目</w:t>
            </w:r>
          </w:p>
        </w:tc>
      </w:tr>
      <w:tr w14:paraId="31AD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06CE8B89">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1.2.1</w:t>
            </w:r>
          </w:p>
        </w:tc>
        <w:tc>
          <w:tcPr>
            <w:tcW w:w="2148" w:type="dxa"/>
            <w:noWrap w:val="0"/>
            <w:vAlign w:val="center"/>
          </w:tcPr>
          <w:p w14:paraId="19712699">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资金落实情况</w:t>
            </w:r>
          </w:p>
        </w:tc>
        <w:tc>
          <w:tcPr>
            <w:tcW w:w="6051" w:type="dxa"/>
            <w:noWrap w:val="0"/>
            <w:vAlign w:val="center"/>
          </w:tcPr>
          <w:p w14:paraId="14C5AB5A">
            <w:pPr>
              <w:widowControl w:val="0"/>
              <w:spacing w:line="360" w:lineRule="auto"/>
              <w:jc w:val="both"/>
              <w:rPr>
                <w:rFonts w:hint="eastAsia" w:ascii="宋体" w:hAnsi="宋体" w:eastAsia="宋体"/>
                <w:kern w:val="2"/>
                <w:sz w:val="24"/>
                <w:szCs w:val="24"/>
                <w:highlight w:val="none"/>
                <w:lang w:val="en-US" w:eastAsia="zh-CN"/>
              </w:rPr>
            </w:pPr>
            <w:r>
              <w:rPr>
                <w:rFonts w:hint="eastAsia" w:ascii="宋体" w:hAnsi="宋体"/>
                <w:kern w:val="2"/>
                <w:sz w:val="24"/>
                <w:szCs w:val="24"/>
                <w:highlight w:val="none"/>
                <w:lang w:val="en-US" w:eastAsia="zh-CN"/>
              </w:rPr>
              <w:t>已落实</w:t>
            </w:r>
          </w:p>
        </w:tc>
      </w:tr>
      <w:tr w14:paraId="6F90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923D84E">
            <w:pPr>
              <w:widowControl w:val="0"/>
              <w:spacing w:line="360" w:lineRule="auto"/>
              <w:jc w:val="center"/>
              <w:rPr>
                <w:rFonts w:hint="eastAsia" w:ascii="宋体" w:hAnsi="宋体" w:eastAsia="Times New Roman"/>
                <w:kern w:val="2"/>
                <w:sz w:val="24"/>
                <w:szCs w:val="24"/>
                <w:highlight w:val="none"/>
              </w:rPr>
            </w:pPr>
            <w:r>
              <w:rPr>
                <w:rFonts w:hint="eastAsia" w:ascii="宋体" w:hAnsi="宋体" w:eastAsia="Times New Roman"/>
                <w:kern w:val="2"/>
                <w:sz w:val="24"/>
                <w:szCs w:val="24"/>
                <w:highlight w:val="none"/>
              </w:rPr>
              <w:t>1.2.2</w:t>
            </w:r>
          </w:p>
        </w:tc>
        <w:tc>
          <w:tcPr>
            <w:tcW w:w="2148" w:type="dxa"/>
            <w:noWrap w:val="0"/>
            <w:vAlign w:val="center"/>
          </w:tcPr>
          <w:p w14:paraId="1A9498FC">
            <w:pPr>
              <w:widowControl w:val="0"/>
              <w:spacing w:line="360" w:lineRule="auto"/>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采购预算金额</w:t>
            </w:r>
          </w:p>
        </w:tc>
        <w:tc>
          <w:tcPr>
            <w:tcW w:w="6051" w:type="dxa"/>
            <w:noWrap w:val="0"/>
            <w:vAlign w:val="center"/>
          </w:tcPr>
          <w:p w14:paraId="61F3C8B7">
            <w:pPr>
              <w:widowControl w:val="0"/>
              <w:spacing w:line="360" w:lineRule="auto"/>
              <w:jc w:val="both"/>
              <w:rPr>
                <w:rFonts w:hint="eastAsia" w:ascii="宋体" w:hAnsi="宋体"/>
                <w:kern w:val="2"/>
                <w:sz w:val="24"/>
                <w:szCs w:val="24"/>
                <w:highlight w:val="none"/>
              </w:rPr>
            </w:pPr>
            <w:r>
              <w:rPr>
                <w:rFonts w:hint="eastAsia" w:ascii="宋体" w:hAnsi="宋体" w:eastAsia="宋体" w:cs="宋体"/>
                <w:kern w:val="2"/>
                <w:sz w:val="24"/>
                <w:szCs w:val="24"/>
                <w:highlight w:val="none"/>
                <w:lang w:val="en-US" w:eastAsia="zh-CN"/>
              </w:rPr>
              <w:t>详见第一章“竞争性磋商公告”</w:t>
            </w:r>
          </w:p>
        </w:tc>
      </w:tr>
      <w:tr w14:paraId="7805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13CEE8B2">
            <w:pPr>
              <w:widowControl w:val="0"/>
              <w:spacing w:line="360" w:lineRule="auto"/>
              <w:jc w:val="center"/>
              <w:rPr>
                <w:rFonts w:hint="eastAsia" w:ascii="宋体" w:hAnsi="宋体"/>
                <w:kern w:val="2"/>
                <w:sz w:val="24"/>
                <w:szCs w:val="24"/>
                <w:highlight w:val="none"/>
              </w:rPr>
            </w:pPr>
            <w:r>
              <w:rPr>
                <w:rFonts w:hint="eastAsia" w:ascii="宋体" w:hAnsi="宋体"/>
                <w:kern w:val="2"/>
                <w:sz w:val="24"/>
                <w:szCs w:val="24"/>
                <w:highlight w:val="none"/>
              </w:rPr>
              <w:t>1.2.3</w:t>
            </w:r>
          </w:p>
        </w:tc>
        <w:tc>
          <w:tcPr>
            <w:tcW w:w="2148" w:type="dxa"/>
            <w:noWrap w:val="0"/>
            <w:vAlign w:val="center"/>
          </w:tcPr>
          <w:p w14:paraId="05981932">
            <w:pPr>
              <w:widowControl w:val="0"/>
              <w:spacing w:line="360" w:lineRule="auto"/>
              <w:jc w:val="left"/>
              <w:rPr>
                <w:rFonts w:hint="eastAsia" w:ascii="宋体" w:hAnsi="宋体" w:eastAsia="宋体" w:cs="宋体"/>
                <w:color w:val="000000"/>
                <w:kern w:val="2"/>
                <w:sz w:val="24"/>
                <w:szCs w:val="24"/>
                <w:highlight w:val="yellow"/>
                <w:lang w:eastAsia="zh-CN"/>
              </w:rPr>
            </w:pPr>
            <w:r>
              <w:rPr>
                <w:rFonts w:hint="eastAsia" w:ascii="宋体" w:hAnsi="宋体" w:eastAsia="宋体" w:cs="宋体"/>
                <w:color w:val="000000"/>
                <w:kern w:val="2"/>
                <w:sz w:val="24"/>
                <w:szCs w:val="24"/>
                <w:highlight w:val="none"/>
                <w:lang w:eastAsia="zh-CN"/>
              </w:rPr>
              <w:t>最高限价</w:t>
            </w:r>
          </w:p>
        </w:tc>
        <w:tc>
          <w:tcPr>
            <w:tcW w:w="6051" w:type="dxa"/>
            <w:noWrap w:val="0"/>
            <w:vAlign w:val="center"/>
          </w:tcPr>
          <w:p w14:paraId="47CB9F1B">
            <w:pPr>
              <w:widowControl w:val="0"/>
              <w:spacing w:line="360" w:lineRule="auto"/>
              <w:jc w:val="both"/>
              <w:rPr>
                <w:rFonts w:hint="eastAsia" w:ascii="宋体" w:hAnsi="宋体" w:eastAsia="宋体"/>
                <w:kern w:val="2"/>
                <w:sz w:val="24"/>
                <w:szCs w:val="24"/>
                <w:highlight w:val="none"/>
                <w:lang w:eastAsia="zh-CN"/>
              </w:rPr>
            </w:pPr>
            <w:r>
              <w:rPr>
                <w:rFonts w:ascii="宋体" w:hAnsi="宋体"/>
                <w:kern w:val="2"/>
                <w:sz w:val="24"/>
                <w:szCs w:val="24"/>
                <w:highlight w:val="none"/>
              </w:rPr>
              <w:t>□不设</w:t>
            </w:r>
            <w:r>
              <w:rPr>
                <w:rFonts w:hint="eastAsia" w:ascii="宋体" w:hAnsi="宋体"/>
                <w:kern w:val="2"/>
                <w:sz w:val="24"/>
                <w:szCs w:val="24"/>
                <w:highlight w:val="none"/>
                <w:lang w:eastAsia="zh-CN"/>
              </w:rPr>
              <w:t>最高限价</w:t>
            </w:r>
          </w:p>
          <w:p w14:paraId="530E76E0">
            <w:pPr>
              <w:widowControl w:val="0"/>
              <w:spacing w:line="360" w:lineRule="auto"/>
              <w:jc w:val="both"/>
              <w:rPr>
                <w:rFonts w:hint="default" w:ascii="宋体" w:hAnsi="宋体"/>
                <w:kern w:val="2"/>
                <w:sz w:val="24"/>
                <w:szCs w:val="24"/>
                <w:highlight w:val="none"/>
                <w:lang w:val="en-US"/>
              </w:rPr>
            </w:pPr>
            <w:r>
              <w:rPr>
                <w:rFonts w:hint="eastAsia" w:ascii="宋体" w:hAnsi="宋体"/>
                <w:kern w:val="2"/>
                <w:sz w:val="24"/>
                <w:szCs w:val="24"/>
                <w:highlight w:val="none"/>
                <w:lang w:eastAsia="zh-CN"/>
              </w:rPr>
              <w:t>☑</w:t>
            </w:r>
            <w:r>
              <w:rPr>
                <w:rFonts w:ascii="宋体" w:hAnsi="宋体"/>
                <w:kern w:val="2"/>
                <w:sz w:val="24"/>
                <w:szCs w:val="24"/>
                <w:highlight w:val="none"/>
              </w:rPr>
              <w:t>设</w:t>
            </w:r>
            <w:r>
              <w:rPr>
                <w:rFonts w:hint="eastAsia" w:ascii="宋体" w:hAnsi="宋体"/>
                <w:kern w:val="2"/>
                <w:sz w:val="24"/>
                <w:szCs w:val="24"/>
                <w:highlight w:val="none"/>
                <w:lang w:eastAsia="zh-CN"/>
              </w:rPr>
              <w:t>最高限价</w:t>
            </w:r>
            <w:r>
              <w:rPr>
                <w:rFonts w:hint="eastAsia" w:ascii="宋体" w:hAnsi="宋体"/>
                <w:kern w:val="2"/>
                <w:sz w:val="24"/>
                <w:szCs w:val="24"/>
                <w:highlight w:val="none"/>
              </w:rPr>
              <w:t>，</w:t>
            </w:r>
            <w:r>
              <w:rPr>
                <w:rFonts w:hint="eastAsia" w:ascii="宋体" w:hAnsi="宋体"/>
                <w:kern w:val="2"/>
                <w:sz w:val="24"/>
                <w:szCs w:val="24"/>
                <w:highlight w:val="none"/>
                <w:lang w:val="en-US" w:eastAsia="zh-CN"/>
              </w:rPr>
              <w:t>1762.16元，</w:t>
            </w:r>
            <w:r>
              <w:rPr>
                <w:rFonts w:hint="eastAsia" w:ascii="宋体" w:hAnsi="宋体" w:eastAsia="宋体" w:cs="宋体"/>
                <w:i w:val="0"/>
                <w:iCs w:val="0"/>
                <w:sz w:val="24"/>
                <w:szCs w:val="24"/>
                <w:lang w:val="en-US" w:eastAsia="zh-CN"/>
              </w:rPr>
              <w:t>供应商每项单价报价不允许超过采购清单中的单价限价，否则按无效标处理。</w:t>
            </w:r>
          </w:p>
        </w:tc>
      </w:tr>
      <w:tr w14:paraId="2EECA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052F0595">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1.3.1</w:t>
            </w:r>
          </w:p>
        </w:tc>
        <w:tc>
          <w:tcPr>
            <w:tcW w:w="2148" w:type="dxa"/>
            <w:noWrap w:val="0"/>
            <w:vAlign w:val="center"/>
          </w:tcPr>
          <w:p w14:paraId="7FE9CB40">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项目范围</w:t>
            </w:r>
          </w:p>
        </w:tc>
        <w:tc>
          <w:tcPr>
            <w:tcW w:w="6051" w:type="dxa"/>
            <w:noWrap w:val="0"/>
            <w:vAlign w:val="center"/>
          </w:tcPr>
          <w:p w14:paraId="14D18902">
            <w:pPr>
              <w:widowControl w:val="0"/>
              <w:spacing w:line="360" w:lineRule="auto"/>
              <w:jc w:val="both"/>
              <w:rPr>
                <w:rFonts w:ascii="宋体" w:hAnsi="宋体" w:eastAsia="Times New Roman"/>
                <w:kern w:val="2"/>
                <w:sz w:val="24"/>
                <w:szCs w:val="24"/>
                <w:highlight w:val="none"/>
              </w:rPr>
            </w:pPr>
            <w:r>
              <w:rPr>
                <w:rFonts w:hint="eastAsia" w:ascii="宋体" w:hAnsi="宋体" w:eastAsia="Times New Roman"/>
                <w:kern w:val="2"/>
                <w:sz w:val="24"/>
                <w:szCs w:val="24"/>
                <w:highlight w:val="none"/>
              </w:rPr>
              <w:t>详见第五章《</w:t>
            </w:r>
            <w:r>
              <w:rPr>
                <w:rFonts w:hint="eastAsia" w:ascii="宋体" w:hAnsi="宋体" w:eastAsia="宋体"/>
                <w:kern w:val="2"/>
                <w:sz w:val="24"/>
                <w:szCs w:val="24"/>
                <w:highlight w:val="none"/>
                <w:lang w:val="en-US" w:eastAsia="zh-CN"/>
              </w:rPr>
              <w:t>采购需求</w:t>
            </w:r>
            <w:r>
              <w:rPr>
                <w:rFonts w:hint="eastAsia" w:ascii="宋体" w:hAnsi="宋体" w:eastAsia="Times New Roman"/>
                <w:kern w:val="2"/>
                <w:sz w:val="24"/>
                <w:szCs w:val="24"/>
                <w:highlight w:val="none"/>
              </w:rPr>
              <w:t>》的具体内容</w:t>
            </w:r>
          </w:p>
        </w:tc>
      </w:tr>
      <w:tr w14:paraId="5CE18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5DA494C2">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1.3.2</w:t>
            </w:r>
          </w:p>
        </w:tc>
        <w:tc>
          <w:tcPr>
            <w:tcW w:w="2148" w:type="dxa"/>
            <w:noWrap w:val="0"/>
            <w:vAlign w:val="center"/>
          </w:tcPr>
          <w:p w14:paraId="1914126F">
            <w:pPr>
              <w:widowControl w:val="0"/>
              <w:spacing w:line="360" w:lineRule="auto"/>
              <w:jc w:val="left"/>
              <w:rPr>
                <w:rFonts w:hint="eastAsia" w:ascii="宋体" w:hAnsi="宋体" w:eastAsia="宋体" w:cs="宋体"/>
                <w:color w:val="FF0000"/>
                <w:kern w:val="2"/>
                <w:sz w:val="24"/>
                <w:szCs w:val="24"/>
                <w:highlight w:val="none"/>
              </w:rPr>
            </w:pPr>
            <w:r>
              <w:rPr>
                <w:rFonts w:hint="eastAsia" w:ascii="宋体" w:hAnsi="宋体" w:eastAsia="宋体" w:cs="宋体"/>
                <w:kern w:val="2"/>
                <w:sz w:val="24"/>
                <w:szCs w:val="24"/>
                <w:highlight w:val="none"/>
              </w:rPr>
              <w:t>建设地点</w:t>
            </w:r>
          </w:p>
        </w:tc>
        <w:tc>
          <w:tcPr>
            <w:tcW w:w="6051" w:type="dxa"/>
            <w:noWrap w:val="0"/>
            <w:vAlign w:val="top"/>
          </w:tcPr>
          <w:p w14:paraId="592F069C">
            <w:pPr>
              <w:widowControl w:val="0"/>
              <w:spacing w:line="360" w:lineRule="auto"/>
              <w:jc w:val="both"/>
              <w:rPr>
                <w:rFonts w:hint="default" w:ascii="宋体" w:hAnsi="宋体"/>
                <w:kern w:val="2"/>
                <w:sz w:val="24"/>
                <w:szCs w:val="24"/>
                <w:highlight w:val="none"/>
                <w:lang w:val="en-US"/>
              </w:rPr>
            </w:pPr>
            <w:r>
              <w:rPr>
                <w:rFonts w:hint="eastAsia" w:ascii="宋体" w:hAnsi="宋体"/>
                <w:sz w:val="24"/>
                <w:szCs w:val="24"/>
                <w:highlight w:val="none"/>
                <w:u w:val="none"/>
                <w:lang w:val="en-US" w:eastAsia="zh-CN"/>
              </w:rPr>
              <w:t>三坝乡、虎跳峡镇、建塘镇、小中甸镇。</w:t>
            </w:r>
          </w:p>
        </w:tc>
      </w:tr>
      <w:tr w14:paraId="5F194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AD2E68C">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1.3.3</w:t>
            </w:r>
          </w:p>
        </w:tc>
        <w:tc>
          <w:tcPr>
            <w:tcW w:w="2148" w:type="dxa"/>
            <w:noWrap w:val="0"/>
            <w:vAlign w:val="center"/>
          </w:tcPr>
          <w:p w14:paraId="568B552F">
            <w:pPr>
              <w:widowControl w:val="0"/>
              <w:spacing w:line="360" w:lineRule="auto"/>
              <w:jc w:val="left"/>
              <w:rPr>
                <w:rFonts w:hint="eastAsia" w:ascii="宋体" w:hAnsi="宋体" w:eastAsia="宋体" w:cs="宋体"/>
                <w:color w:val="FF0000"/>
                <w:kern w:val="2"/>
                <w:sz w:val="24"/>
                <w:szCs w:val="24"/>
                <w:highlight w:val="none"/>
              </w:rPr>
            </w:pPr>
            <w:r>
              <w:rPr>
                <w:rFonts w:hint="eastAsia" w:ascii="宋体" w:hAnsi="宋体" w:eastAsia="宋体" w:cs="宋体"/>
                <w:kern w:val="2"/>
                <w:sz w:val="24"/>
                <w:szCs w:val="24"/>
                <w:highlight w:val="none"/>
              </w:rPr>
              <w:t>计划工期</w:t>
            </w:r>
          </w:p>
        </w:tc>
        <w:tc>
          <w:tcPr>
            <w:tcW w:w="6051" w:type="dxa"/>
            <w:noWrap w:val="0"/>
            <w:vAlign w:val="bottom"/>
          </w:tcPr>
          <w:p w14:paraId="358C32AA">
            <w:pPr>
              <w:widowControl w:val="0"/>
              <w:spacing w:line="360" w:lineRule="auto"/>
              <w:jc w:val="both"/>
              <w:rPr>
                <w:rFonts w:hint="eastAsia" w:ascii="宋体" w:hAnsi="宋体" w:cs="宋体"/>
                <w:sz w:val="24"/>
                <w:highlight w:val="none"/>
              </w:rPr>
            </w:pPr>
            <w:r>
              <w:rPr>
                <w:rFonts w:hint="eastAsia" w:ascii="宋体" w:hAnsi="宋体" w:cs="宋体"/>
                <w:sz w:val="24"/>
                <w:highlight w:val="none"/>
                <w:lang w:val="en-US" w:eastAsia="zh-CN"/>
              </w:rPr>
              <w:t>90日历天</w:t>
            </w:r>
            <w:r>
              <w:rPr>
                <w:rFonts w:hint="eastAsia" w:ascii="宋体" w:hAnsi="宋体" w:cs="宋体"/>
                <w:sz w:val="24"/>
                <w:highlight w:val="none"/>
                <w:lang w:eastAsia="zh-CN"/>
              </w:rPr>
              <w:t>。</w:t>
            </w:r>
            <w:r>
              <w:rPr>
                <w:rFonts w:hint="eastAsia" w:ascii="宋体" w:hAnsi="宋体" w:cs="宋体"/>
                <w:sz w:val="24"/>
                <w:highlight w:val="none"/>
              </w:rPr>
              <w:t>开工日以采购人通知为准，施工总工期以开工之日起算，竣工日期以成交人完成合同的全部工程内容后竣工验收合格为止。</w:t>
            </w:r>
          </w:p>
        </w:tc>
      </w:tr>
      <w:tr w14:paraId="6620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7F41D49">
            <w:pPr>
              <w:widowControl w:val="0"/>
              <w:spacing w:line="360" w:lineRule="auto"/>
              <w:jc w:val="center"/>
              <w:rPr>
                <w:rFonts w:hint="eastAsia" w:ascii="宋体" w:hAnsi="宋体"/>
                <w:kern w:val="2"/>
                <w:sz w:val="24"/>
                <w:szCs w:val="24"/>
                <w:highlight w:val="none"/>
              </w:rPr>
            </w:pPr>
            <w:r>
              <w:rPr>
                <w:rFonts w:hint="eastAsia" w:ascii="宋体" w:hAnsi="宋体"/>
                <w:kern w:val="2"/>
                <w:sz w:val="24"/>
                <w:szCs w:val="24"/>
                <w:highlight w:val="none"/>
              </w:rPr>
              <w:t>1.3.4</w:t>
            </w:r>
          </w:p>
        </w:tc>
        <w:tc>
          <w:tcPr>
            <w:tcW w:w="2148" w:type="dxa"/>
            <w:noWrap w:val="0"/>
            <w:vAlign w:val="center"/>
          </w:tcPr>
          <w:p w14:paraId="0527A64E">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质量要求</w:t>
            </w:r>
          </w:p>
        </w:tc>
        <w:tc>
          <w:tcPr>
            <w:tcW w:w="6051" w:type="dxa"/>
            <w:noWrap w:val="0"/>
            <w:vAlign w:val="bottom"/>
          </w:tcPr>
          <w:p w14:paraId="0968DD9F">
            <w:pPr>
              <w:widowControl w:val="0"/>
              <w:spacing w:line="360" w:lineRule="auto"/>
              <w:jc w:val="both"/>
              <w:rPr>
                <w:rFonts w:hint="eastAsia" w:eastAsia="Times New Roman"/>
                <w:sz w:val="24"/>
                <w:highlight w:val="none"/>
              </w:rPr>
            </w:pPr>
            <w:r>
              <w:rPr>
                <w:rFonts w:hint="eastAsia" w:ascii="宋体" w:hAnsi="宋体"/>
                <w:color w:val="auto"/>
                <w:kern w:val="0"/>
                <w:sz w:val="24"/>
                <w:highlight w:val="none"/>
              </w:rPr>
              <w:t>严格按照</w:t>
            </w:r>
            <w:r>
              <w:rPr>
                <w:rFonts w:hint="eastAsia" w:ascii="宋体" w:hAnsi="宋体"/>
                <w:color w:val="auto"/>
                <w:kern w:val="0"/>
                <w:sz w:val="24"/>
                <w:highlight w:val="none"/>
                <w:lang w:eastAsia="zh-CN"/>
              </w:rPr>
              <w:t>采购人</w:t>
            </w:r>
            <w:r>
              <w:rPr>
                <w:rFonts w:hint="eastAsia" w:ascii="宋体" w:hAnsi="宋体"/>
                <w:color w:val="auto"/>
                <w:kern w:val="0"/>
                <w:sz w:val="24"/>
                <w:highlight w:val="none"/>
              </w:rPr>
              <w:t>提供的设计图进行施工，按照《工程施工质量验收规范》等国家现行工程设计规范及施工质量验收规范，达到合格标准，且通过</w:t>
            </w:r>
            <w:r>
              <w:rPr>
                <w:rFonts w:hint="eastAsia" w:ascii="宋体" w:hAnsi="宋体"/>
                <w:color w:val="auto"/>
                <w:kern w:val="0"/>
                <w:sz w:val="24"/>
                <w:highlight w:val="none"/>
                <w:lang w:eastAsia="zh-CN"/>
              </w:rPr>
              <w:t>采购人</w:t>
            </w:r>
            <w:r>
              <w:rPr>
                <w:rFonts w:hint="eastAsia" w:ascii="宋体" w:hAnsi="宋体"/>
                <w:color w:val="auto"/>
                <w:kern w:val="0"/>
                <w:sz w:val="24"/>
                <w:highlight w:val="none"/>
              </w:rPr>
              <w:t>一次性验收合格认定后方可交付</w:t>
            </w:r>
            <w:r>
              <w:rPr>
                <w:rFonts w:hint="eastAsia" w:ascii="宋体" w:hAnsi="宋体"/>
                <w:color w:val="auto"/>
                <w:kern w:val="0"/>
                <w:sz w:val="24"/>
                <w:highlight w:val="none"/>
                <w:lang w:eastAsia="zh-CN"/>
              </w:rPr>
              <w:t>采购人</w:t>
            </w:r>
            <w:r>
              <w:rPr>
                <w:rFonts w:hint="eastAsia" w:ascii="宋体" w:hAnsi="宋体" w:eastAsia="宋体" w:cs="宋体"/>
                <w:color w:val="auto"/>
                <w:sz w:val="24"/>
                <w:szCs w:val="24"/>
                <w:highlight w:val="none"/>
                <w:lang w:val="en-US" w:eastAsia="zh-CN"/>
              </w:rPr>
              <w:t>。</w:t>
            </w:r>
          </w:p>
        </w:tc>
      </w:tr>
      <w:tr w14:paraId="60C0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2ADC1F9">
            <w:pPr>
              <w:widowControl w:val="0"/>
              <w:spacing w:line="360" w:lineRule="auto"/>
              <w:jc w:val="center"/>
              <w:rPr>
                <w:rFonts w:hint="eastAsia" w:ascii="宋体" w:hAnsi="宋体" w:eastAsia="Times New Roman"/>
                <w:kern w:val="2"/>
                <w:sz w:val="24"/>
                <w:szCs w:val="24"/>
                <w:highlight w:val="none"/>
              </w:rPr>
            </w:pPr>
            <w:r>
              <w:rPr>
                <w:rFonts w:hint="eastAsia" w:ascii="宋体" w:hAnsi="宋体" w:eastAsia="Times New Roman"/>
                <w:kern w:val="2"/>
                <w:sz w:val="24"/>
                <w:szCs w:val="24"/>
                <w:highlight w:val="none"/>
              </w:rPr>
              <w:t>1.4.1</w:t>
            </w:r>
          </w:p>
        </w:tc>
        <w:tc>
          <w:tcPr>
            <w:tcW w:w="2148" w:type="dxa"/>
            <w:noWrap w:val="0"/>
            <w:vAlign w:val="center"/>
          </w:tcPr>
          <w:p w14:paraId="0C865B42">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供应商资格条件</w:t>
            </w:r>
          </w:p>
        </w:tc>
        <w:tc>
          <w:tcPr>
            <w:tcW w:w="6051" w:type="dxa"/>
            <w:noWrap w:val="0"/>
            <w:vAlign w:val="center"/>
          </w:tcPr>
          <w:p w14:paraId="2261C215">
            <w:pPr>
              <w:widowControl w:val="0"/>
              <w:spacing w:line="360" w:lineRule="auto"/>
              <w:jc w:val="both"/>
              <w:rPr>
                <w:rFonts w:hint="eastAsia" w:ascii="宋体" w:hAnsi="宋体" w:eastAsia="Times New Roman"/>
                <w:kern w:val="2"/>
                <w:sz w:val="24"/>
                <w:szCs w:val="24"/>
                <w:highlight w:val="none"/>
              </w:rPr>
            </w:pPr>
            <w:r>
              <w:rPr>
                <w:rFonts w:hint="eastAsia" w:ascii="宋体" w:hAnsi="宋体" w:eastAsia="Times New Roman"/>
                <w:kern w:val="2"/>
                <w:sz w:val="24"/>
                <w:szCs w:val="24"/>
                <w:highlight w:val="none"/>
              </w:rPr>
              <w:t>见“第一章 竞争性磋商公告</w:t>
            </w:r>
            <w:r>
              <w:rPr>
                <w:rFonts w:hint="eastAsia" w:ascii="宋体" w:hAnsi="宋体" w:eastAsia="宋体" w:cs="宋体"/>
                <w:b w:val="0"/>
                <w:i w:val="0"/>
                <w:iCs w:val="0"/>
                <w:sz w:val="24"/>
                <w:szCs w:val="24"/>
              </w:rPr>
              <w:t>二、申请人的资格要求</w:t>
            </w:r>
            <w:r>
              <w:rPr>
                <w:rFonts w:hint="eastAsia" w:ascii="宋体" w:hAnsi="宋体" w:eastAsia="Times New Roman"/>
                <w:kern w:val="2"/>
                <w:sz w:val="24"/>
                <w:szCs w:val="24"/>
                <w:highlight w:val="none"/>
              </w:rPr>
              <w:t>”</w:t>
            </w:r>
          </w:p>
        </w:tc>
      </w:tr>
      <w:tr w14:paraId="79F15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7B512E95">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1.4.2</w:t>
            </w:r>
          </w:p>
        </w:tc>
        <w:tc>
          <w:tcPr>
            <w:tcW w:w="2148" w:type="dxa"/>
            <w:noWrap w:val="0"/>
            <w:vAlign w:val="center"/>
          </w:tcPr>
          <w:p w14:paraId="3A43CAA8">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是否接受联合体磋商</w:t>
            </w:r>
          </w:p>
        </w:tc>
        <w:tc>
          <w:tcPr>
            <w:tcW w:w="6051" w:type="dxa"/>
            <w:noWrap w:val="0"/>
            <w:vAlign w:val="bottom"/>
          </w:tcPr>
          <w:p w14:paraId="0A786026">
            <w:pPr>
              <w:widowControl w:val="0"/>
              <w:spacing w:line="360" w:lineRule="auto"/>
              <w:jc w:val="both"/>
              <w:rPr>
                <w:rFonts w:ascii="Calibri" w:hAnsi="Calibri" w:eastAsia="Times New Roman"/>
                <w:sz w:val="24"/>
                <w:szCs w:val="24"/>
                <w:highlight w:val="none"/>
              </w:rPr>
            </w:pPr>
            <w:r>
              <w:rPr>
                <w:rFonts w:hint="eastAsia" w:ascii="宋体" w:hAnsi="宋体"/>
                <w:kern w:val="2"/>
                <w:sz w:val="24"/>
                <w:szCs w:val="24"/>
                <w:highlight w:val="none"/>
                <w:lang w:eastAsia="zh-CN"/>
              </w:rPr>
              <w:t>☑</w:t>
            </w:r>
            <w:r>
              <w:rPr>
                <w:rFonts w:hint="eastAsia" w:ascii="Calibri" w:hAnsi="Calibri" w:eastAsia="Times New Roman"/>
                <w:sz w:val="24"/>
                <w:szCs w:val="24"/>
                <w:highlight w:val="none"/>
              </w:rPr>
              <w:t>不接受</w:t>
            </w:r>
          </w:p>
          <w:p w14:paraId="3EFBECB9">
            <w:pPr>
              <w:widowControl w:val="0"/>
              <w:spacing w:line="360" w:lineRule="auto"/>
              <w:jc w:val="both"/>
              <w:rPr>
                <w:rFonts w:ascii="Calibri" w:hAnsi="Calibri" w:eastAsia="Times New Roman"/>
                <w:highlight w:val="none"/>
              </w:rPr>
            </w:pPr>
            <w:r>
              <w:rPr>
                <w:rFonts w:hint="eastAsia" w:ascii="宋体" w:hAnsi="宋体" w:eastAsia="宋体"/>
                <w:kern w:val="2"/>
                <w:sz w:val="24"/>
                <w:szCs w:val="24"/>
                <w:highlight w:val="none"/>
                <w:lang w:eastAsia="zh-CN"/>
              </w:rPr>
              <w:t>□</w:t>
            </w:r>
            <w:r>
              <w:rPr>
                <w:rFonts w:hint="eastAsia" w:ascii="Calibri" w:hAnsi="Calibri" w:eastAsia="Times New Roman"/>
                <w:sz w:val="24"/>
                <w:szCs w:val="24"/>
                <w:highlight w:val="none"/>
              </w:rPr>
              <w:t>接受，应满足下列要求：</w:t>
            </w:r>
          </w:p>
        </w:tc>
      </w:tr>
      <w:tr w14:paraId="1D53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7E66081">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1.9.1</w:t>
            </w:r>
          </w:p>
        </w:tc>
        <w:tc>
          <w:tcPr>
            <w:tcW w:w="2148" w:type="dxa"/>
            <w:noWrap w:val="0"/>
            <w:vAlign w:val="center"/>
          </w:tcPr>
          <w:p w14:paraId="069902BA">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现场考察</w:t>
            </w:r>
          </w:p>
        </w:tc>
        <w:tc>
          <w:tcPr>
            <w:tcW w:w="6051" w:type="dxa"/>
            <w:noWrap w:val="0"/>
            <w:vAlign w:val="center"/>
          </w:tcPr>
          <w:p w14:paraId="0EC8F262">
            <w:pPr>
              <w:pStyle w:val="7"/>
              <w:widowControl w:val="0"/>
              <w:topLinePunct/>
              <w:spacing w:line="360" w:lineRule="auto"/>
              <w:jc w:val="both"/>
              <w:rPr>
                <w:rFonts w:hAnsi="宋体" w:eastAsia="Times New Roman"/>
                <w:kern w:val="2"/>
                <w:highlight w:val="none"/>
              </w:rPr>
            </w:pPr>
            <w:r>
              <w:rPr>
                <w:rFonts w:hint="eastAsia" w:hAnsi="宋体" w:eastAsia="宋体"/>
                <w:kern w:val="2"/>
                <w:highlight w:val="none"/>
                <w:lang w:eastAsia="zh-CN"/>
              </w:rPr>
              <w:t>☑</w:t>
            </w:r>
            <w:r>
              <w:rPr>
                <w:rFonts w:hint="eastAsia" w:hAnsi="宋体" w:eastAsia="Times New Roman"/>
                <w:kern w:val="2"/>
                <w:highlight w:val="none"/>
              </w:rPr>
              <w:t>不组织</w:t>
            </w:r>
          </w:p>
          <w:p w14:paraId="4E819DDD">
            <w:pPr>
              <w:widowControl w:val="0"/>
              <w:spacing w:line="360" w:lineRule="auto"/>
              <w:ind w:left="36" w:leftChars="17"/>
              <w:jc w:val="both"/>
              <w:rPr>
                <w:rFonts w:hint="eastAsia" w:ascii="宋体" w:hAnsi="宋体" w:eastAsia="Times New Roman"/>
                <w:kern w:val="2"/>
                <w:sz w:val="24"/>
                <w:szCs w:val="24"/>
                <w:highlight w:val="none"/>
                <w:u w:val="single"/>
              </w:rPr>
            </w:pPr>
            <w:r>
              <w:rPr>
                <w:rFonts w:hint="eastAsia" w:ascii="宋体" w:hAnsi="宋体" w:eastAsia="宋体"/>
                <w:kern w:val="2"/>
                <w:sz w:val="24"/>
                <w:szCs w:val="24"/>
                <w:highlight w:val="none"/>
                <w:lang w:eastAsia="zh-CN"/>
              </w:rPr>
              <w:t>□</w:t>
            </w:r>
            <w:r>
              <w:rPr>
                <w:rFonts w:hint="eastAsia" w:ascii="宋体" w:hAnsi="宋体" w:eastAsia="Times New Roman"/>
                <w:kern w:val="2"/>
                <w:sz w:val="24"/>
                <w:szCs w:val="24"/>
                <w:highlight w:val="none"/>
              </w:rPr>
              <w:t>组织，考察时间：</w:t>
            </w:r>
            <w:r>
              <w:rPr>
                <w:rFonts w:hint="eastAsia" w:ascii="宋体" w:hAnsi="宋体" w:eastAsia="Times New Roman"/>
                <w:sz w:val="24"/>
                <w:szCs w:val="24"/>
                <w:highlight w:val="none"/>
                <w:u w:val="single"/>
              </w:rPr>
              <w:t xml:space="preserve">      </w:t>
            </w:r>
            <w:r>
              <w:rPr>
                <w:rFonts w:hint="eastAsia" w:ascii="宋体" w:hAnsi="宋体" w:eastAsia="Times New Roman"/>
                <w:sz w:val="24"/>
                <w:szCs w:val="24"/>
                <w:highlight w:val="none"/>
              </w:rPr>
              <w:t>年</w:t>
            </w:r>
            <w:r>
              <w:rPr>
                <w:rFonts w:hint="eastAsia" w:ascii="宋体" w:hAnsi="宋体" w:eastAsia="Times New Roman"/>
                <w:sz w:val="24"/>
                <w:szCs w:val="24"/>
                <w:highlight w:val="none"/>
                <w:u w:val="single"/>
              </w:rPr>
              <w:t xml:space="preserve">   </w:t>
            </w:r>
            <w:r>
              <w:rPr>
                <w:rFonts w:hint="eastAsia" w:ascii="宋体" w:hAnsi="宋体" w:eastAsia="Times New Roman"/>
                <w:sz w:val="24"/>
                <w:szCs w:val="24"/>
                <w:highlight w:val="none"/>
              </w:rPr>
              <w:t>月</w:t>
            </w:r>
            <w:r>
              <w:rPr>
                <w:rFonts w:hint="eastAsia" w:ascii="宋体" w:hAnsi="宋体" w:eastAsia="Times New Roman"/>
                <w:sz w:val="24"/>
                <w:szCs w:val="24"/>
                <w:highlight w:val="none"/>
                <w:u w:val="single"/>
              </w:rPr>
              <w:t xml:space="preserve">   </w:t>
            </w:r>
            <w:r>
              <w:rPr>
                <w:rFonts w:hint="eastAsia" w:ascii="宋体" w:hAnsi="宋体" w:eastAsia="Times New Roman"/>
                <w:sz w:val="24"/>
                <w:szCs w:val="24"/>
                <w:highlight w:val="none"/>
              </w:rPr>
              <w:t>日</w:t>
            </w:r>
            <w:r>
              <w:rPr>
                <w:rFonts w:hint="eastAsia" w:ascii="宋体" w:hAnsi="宋体" w:eastAsia="Times New Roman"/>
                <w:kern w:val="2"/>
                <w:sz w:val="24"/>
                <w:szCs w:val="24"/>
                <w:highlight w:val="none"/>
                <w:u w:val="single"/>
              </w:rPr>
              <w:t>（在竞争性磋商文件提供期限截止后，开启前）</w:t>
            </w:r>
          </w:p>
          <w:p w14:paraId="3C5E9A03">
            <w:pPr>
              <w:widowControl w:val="0"/>
              <w:spacing w:line="360" w:lineRule="auto"/>
              <w:jc w:val="both"/>
              <w:rPr>
                <w:rFonts w:hint="eastAsia" w:ascii="宋体" w:hAnsi="宋体" w:eastAsia="Times New Roman"/>
                <w:kern w:val="2"/>
                <w:sz w:val="24"/>
                <w:szCs w:val="24"/>
                <w:highlight w:val="none"/>
              </w:rPr>
            </w:pPr>
            <w:r>
              <w:rPr>
                <w:rFonts w:hint="eastAsia" w:ascii="宋体" w:hAnsi="宋体" w:eastAsia="Times New Roman"/>
                <w:kern w:val="2"/>
                <w:sz w:val="24"/>
                <w:szCs w:val="24"/>
                <w:highlight w:val="none"/>
              </w:rPr>
              <w:t>考察集中地点：</w:t>
            </w:r>
            <w:r>
              <w:rPr>
                <w:rFonts w:hint="eastAsia" w:ascii="宋体" w:hAnsi="宋体" w:eastAsia="Times New Roman"/>
                <w:kern w:val="2"/>
                <w:sz w:val="24"/>
                <w:szCs w:val="24"/>
                <w:highlight w:val="none"/>
                <w:u w:val="single"/>
              </w:rPr>
              <w:t xml:space="preserve">                 </w:t>
            </w:r>
          </w:p>
        </w:tc>
      </w:tr>
      <w:tr w14:paraId="494A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11B74F94">
            <w:pPr>
              <w:widowControl w:val="0"/>
              <w:spacing w:line="360" w:lineRule="auto"/>
              <w:jc w:val="center"/>
              <w:rPr>
                <w:rFonts w:hint="eastAsia" w:ascii="宋体" w:hAnsi="宋体"/>
                <w:bCs/>
                <w:color w:val="000000"/>
                <w:kern w:val="2"/>
                <w:sz w:val="24"/>
                <w:szCs w:val="24"/>
                <w:highlight w:val="none"/>
              </w:rPr>
            </w:pPr>
            <w:r>
              <w:rPr>
                <w:rFonts w:hint="eastAsia" w:ascii="宋体" w:hAnsi="宋体"/>
                <w:bCs/>
                <w:color w:val="000000"/>
                <w:kern w:val="2"/>
                <w:sz w:val="24"/>
                <w:szCs w:val="24"/>
                <w:highlight w:val="none"/>
              </w:rPr>
              <w:t>1.10</w:t>
            </w:r>
          </w:p>
        </w:tc>
        <w:tc>
          <w:tcPr>
            <w:tcW w:w="2148" w:type="dxa"/>
            <w:noWrap w:val="0"/>
            <w:vAlign w:val="center"/>
          </w:tcPr>
          <w:p w14:paraId="234D4C43">
            <w:pPr>
              <w:widowControl w:val="0"/>
              <w:spacing w:line="360" w:lineRule="auto"/>
              <w:jc w:val="left"/>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分包</w:t>
            </w:r>
          </w:p>
        </w:tc>
        <w:tc>
          <w:tcPr>
            <w:tcW w:w="6051" w:type="dxa"/>
            <w:noWrap w:val="0"/>
            <w:vAlign w:val="center"/>
          </w:tcPr>
          <w:p w14:paraId="4F57389A">
            <w:pPr>
              <w:widowControl w:val="0"/>
              <w:spacing w:line="360" w:lineRule="auto"/>
              <w:jc w:val="both"/>
              <w:rPr>
                <w:rFonts w:ascii="宋体" w:hAnsi="宋体" w:eastAsia="Times New Roman"/>
                <w:kern w:val="2"/>
                <w:sz w:val="24"/>
                <w:szCs w:val="24"/>
                <w:highlight w:val="none"/>
              </w:rPr>
            </w:pPr>
            <w:r>
              <w:rPr>
                <w:rFonts w:hint="eastAsia" w:ascii="宋体" w:hAnsi="宋体" w:eastAsia="宋体"/>
                <w:kern w:val="2"/>
                <w:sz w:val="24"/>
                <w:szCs w:val="24"/>
                <w:highlight w:val="none"/>
                <w:lang w:eastAsia="zh-CN"/>
              </w:rPr>
              <w:t>☑</w:t>
            </w:r>
            <w:r>
              <w:rPr>
                <w:rFonts w:hint="eastAsia" w:ascii="宋体" w:hAnsi="宋体"/>
                <w:kern w:val="2"/>
                <w:sz w:val="24"/>
                <w:szCs w:val="24"/>
                <w:highlight w:val="none"/>
              </w:rPr>
              <w:t>不允许</w:t>
            </w:r>
          </w:p>
          <w:p w14:paraId="1E8CD940">
            <w:pPr>
              <w:widowControl w:val="0"/>
              <w:spacing w:line="360" w:lineRule="auto"/>
              <w:jc w:val="both"/>
              <w:rPr>
                <w:rFonts w:hint="eastAsia" w:ascii="宋体" w:hAnsi="宋体"/>
                <w:kern w:val="2"/>
                <w:sz w:val="24"/>
                <w:szCs w:val="24"/>
                <w:highlight w:val="none"/>
                <w:u w:val="single"/>
              </w:rPr>
            </w:pPr>
            <w:r>
              <w:rPr>
                <w:rFonts w:hint="eastAsia" w:ascii="宋体" w:hAnsi="宋体" w:eastAsia="宋体"/>
                <w:kern w:val="2"/>
                <w:sz w:val="24"/>
                <w:szCs w:val="24"/>
                <w:highlight w:val="none"/>
                <w:lang w:eastAsia="zh-CN"/>
              </w:rPr>
              <w:t>□</w:t>
            </w:r>
            <w:r>
              <w:rPr>
                <w:rFonts w:hint="eastAsia" w:ascii="宋体" w:hAnsi="宋体"/>
                <w:kern w:val="2"/>
                <w:sz w:val="24"/>
                <w:szCs w:val="24"/>
                <w:highlight w:val="none"/>
              </w:rPr>
              <w:t>允许</w:t>
            </w:r>
            <w:r>
              <w:rPr>
                <w:rFonts w:hint="eastAsia" w:ascii="宋体" w:hAnsi="宋体" w:eastAsia="Times New Roman"/>
                <w:kern w:val="2"/>
                <w:sz w:val="24"/>
                <w:szCs w:val="24"/>
                <w:highlight w:val="none"/>
              </w:rPr>
              <w:t>，分包内容要求</w:t>
            </w:r>
            <w:r>
              <w:rPr>
                <w:rFonts w:hint="eastAsia" w:ascii="宋体" w:hAnsi="宋体"/>
                <w:kern w:val="2"/>
                <w:sz w:val="24"/>
                <w:szCs w:val="24"/>
                <w:highlight w:val="none"/>
              </w:rPr>
              <w:t>：</w:t>
            </w:r>
            <w:r>
              <w:rPr>
                <w:rFonts w:hint="eastAsia" w:ascii="宋体" w:hAnsi="宋体"/>
                <w:kern w:val="2"/>
                <w:sz w:val="24"/>
                <w:szCs w:val="24"/>
                <w:highlight w:val="none"/>
                <w:u w:val="single"/>
              </w:rPr>
              <w:t xml:space="preserve">                 </w:t>
            </w:r>
          </w:p>
          <w:p w14:paraId="62BA0F36">
            <w:pPr>
              <w:pStyle w:val="8"/>
              <w:rPr>
                <w:rFonts w:hint="eastAsia" w:ascii="宋体" w:hAnsi="宋体"/>
                <w:sz w:val="24"/>
                <w:highlight w:val="none"/>
              </w:rPr>
            </w:pPr>
            <w:r>
              <w:rPr>
                <w:rFonts w:hint="eastAsia"/>
                <w:highlight w:val="none"/>
              </w:rPr>
              <w:t xml:space="preserve">         </w:t>
            </w:r>
            <w:r>
              <w:rPr>
                <w:rFonts w:hint="eastAsia" w:ascii="宋体" w:hAnsi="宋体" w:eastAsia="Times New Roman"/>
                <w:sz w:val="24"/>
                <w:highlight w:val="none"/>
              </w:rPr>
              <w:t>分包</w:t>
            </w:r>
            <w:r>
              <w:rPr>
                <w:rFonts w:hint="eastAsia" w:ascii="宋体" w:hAnsi="宋体"/>
                <w:sz w:val="24"/>
                <w:highlight w:val="none"/>
              </w:rPr>
              <w:t>金额</w:t>
            </w:r>
            <w:r>
              <w:rPr>
                <w:rFonts w:hint="eastAsia" w:ascii="宋体" w:hAnsi="宋体" w:eastAsia="Times New Roman"/>
                <w:sz w:val="24"/>
                <w:highlight w:val="none"/>
              </w:rPr>
              <w:t>要求</w:t>
            </w:r>
            <w:r>
              <w:rPr>
                <w:rFonts w:hint="eastAsia" w:ascii="宋体" w:hAnsi="宋体"/>
                <w:sz w:val="24"/>
                <w:highlight w:val="none"/>
              </w:rPr>
              <w:t>：</w:t>
            </w:r>
            <w:r>
              <w:rPr>
                <w:rFonts w:hint="eastAsia" w:ascii="宋体" w:hAnsi="宋体"/>
                <w:sz w:val="24"/>
                <w:highlight w:val="none"/>
                <w:u w:val="single"/>
              </w:rPr>
              <w:t xml:space="preserve">                 </w:t>
            </w:r>
          </w:p>
          <w:p w14:paraId="449BD01B">
            <w:pPr>
              <w:pStyle w:val="8"/>
              <w:ind w:firstLine="960" w:firstLineChars="400"/>
              <w:rPr>
                <w:rFonts w:hint="eastAsia"/>
                <w:highlight w:val="none"/>
              </w:rPr>
            </w:pPr>
            <w:r>
              <w:rPr>
                <w:rFonts w:hint="eastAsia" w:ascii="宋体" w:hAnsi="宋体"/>
                <w:sz w:val="24"/>
                <w:highlight w:val="none"/>
              </w:rPr>
              <w:t>对</w:t>
            </w:r>
            <w:r>
              <w:rPr>
                <w:rFonts w:hint="eastAsia" w:ascii="宋体" w:hAnsi="宋体" w:eastAsia="Times New Roman"/>
                <w:sz w:val="24"/>
                <w:highlight w:val="none"/>
              </w:rPr>
              <w:t>分包人</w:t>
            </w:r>
            <w:r>
              <w:rPr>
                <w:rFonts w:hint="eastAsia" w:ascii="宋体" w:hAnsi="宋体"/>
                <w:sz w:val="24"/>
                <w:highlight w:val="none"/>
              </w:rPr>
              <w:t>的</w:t>
            </w:r>
            <w:r>
              <w:rPr>
                <w:rFonts w:hint="eastAsia" w:ascii="宋体" w:hAnsi="宋体" w:eastAsia="Times New Roman"/>
                <w:sz w:val="24"/>
                <w:highlight w:val="none"/>
              </w:rPr>
              <w:t>资质要求</w:t>
            </w:r>
            <w:r>
              <w:rPr>
                <w:rFonts w:hint="eastAsia" w:ascii="宋体" w:hAnsi="宋体"/>
                <w:sz w:val="24"/>
                <w:highlight w:val="none"/>
              </w:rPr>
              <w:t>：</w:t>
            </w:r>
            <w:r>
              <w:rPr>
                <w:rFonts w:hint="eastAsia" w:ascii="宋体" w:hAnsi="宋体"/>
                <w:sz w:val="24"/>
                <w:highlight w:val="none"/>
                <w:u w:val="single"/>
              </w:rPr>
              <w:t xml:space="preserve">           </w:t>
            </w:r>
          </w:p>
        </w:tc>
      </w:tr>
      <w:tr w14:paraId="47F1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748E9BBF">
            <w:pPr>
              <w:pageBreakBefore w:val="0"/>
              <w:kinsoku/>
              <w:wordWrap/>
              <w:overflowPunct/>
              <w:topLinePunct w:val="0"/>
              <w:bidi w:val="0"/>
              <w:adjustRightInd/>
              <w:snapToGrid/>
              <w:spacing w:line="360" w:lineRule="auto"/>
              <w:jc w:val="center"/>
              <w:textAlignment w:val="auto"/>
              <w:rPr>
                <w:rFonts w:ascii="宋体" w:hAnsi="宋体" w:eastAsia="Times New Roman"/>
                <w:kern w:val="2"/>
                <w:sz w:val="24"/>
                <w:szCs w:val="24"/>
                <w:highlight w:val="none"/>
              </w:rPr>
            </w:pPr>
            <w:r>
              <w:rPr>
                <w:rFonts w:hint="eastAsia" w:ascii="宋体" w:hAnsi="宋体" w:eastAsia="宋体" w:cs="宋体"/>
                <w:color w:val="auto"/>
                <w:kern w:val="2"/>
                <w:sz w:val="24"/>
                <w:szCs w:val="24"/>
                <w:highlight w:val="none"/>
              </w:rPr>
              <w:t>2.2.</w:t>
            </w:r>
            <w:r>
              <w:rPr>
                <w:rFonts w:hint="eastAsia" w:ascii="宋体" w:hAnsi="宋体" w:eastAsia="宋体" w:cs="宋体"/>
                <w:color w:val="auto"/>
                <w:kern w:val="2"/>
                <w:sz w:val="24"/>
                <w:szCs w:val="24"/>
                <w:highlight w:val="none"/>
                <w:lang w:val="en-US" w:eastAsia="zh-CN"/>
              </w:rPr>
              <w:t>3</w:t>
            </w:r>
          </w:p>
        </w:tc>
        <w:tc>
          <w:tcPr>
            <w:tcW w:w="2148" w:type="dxa"/>
            <w:noWrap w:val="0"/>
            <w:vAlign w:val="center"/>
          </w:tcPr>
          <w:p w14:paraId="7E93BC96">
            <w:pPr>
              <w:pStyle w:val="21"/>
              <w:pageBreakBefore w:val="0"/>
              <w:kinsoku/>
              <w:wordWrap/>
              <w:overflowPunct/>
              <w:topLinePunct w:val="0"/>
              <w:bidi w:val="0"/>
              <w:adjustRightInd/>
              <w:snapToGrid/>
              <w:spacing w:line="360" w:lineRule="auto"/>
              <w:jc w:val="left"/>
              <w:textAlignment w:val="auto"/>
              <w:rPr>
                <w:rFonts w:hint="eastAsia" w:ascii="宋体" w:hAnsi="宋体" w:eastAsia="宋体" w:cs="宋体"/>
                <w:kern w:val="2"/>
                <w:sz w:val="24"/>
                <w:szCs w:val="24"/>
                <w:highlight w:val="none"/>
              </w:rPr>
            </w:pPr>
            <w:r>
              <w:rPr>
                <w:rFonts w:hint="eastAsia" w:ascii="宋体" w:hAnsi="宋体" w:eastAsia="宋体" w:cs="宋体"/>
                <w:color w:val="auto"/>
                <w:kern w:val="2"/>
                <w:sz w:val="24"/>
                <w:szCs w:val="24"/>
                <w:highlight w:val="none"/>
                <w:lang w:eastAsia="zh-CN"/>
              </w:rPr>
              <w:t>竞争性磋商文件</w:t>
            </w:r>
            <w:r>
              <w:rPr>
                <w:rFonts w:hint="eastAsia" w:ascii="宋体" w:hAnsi="宋体" w:eastAsia="宋体" w:cs="宋体"/>
                <w:color w:val="auto"/>
                <w:kern w:val="2"/>
                <w:sz w:val="24"/>
                <w:szCs w:val="24"/>
                <w:highlight w:val="none"/>
              </w:rPr>
              <w:t>澄清</w:t>
            </w:r>
            <w:r>
              <w:rPr>
                <w:rFonts w:hint="eastAsia" w:ascii="宋体" w:hAnsi="宋体" w:eastAsia="宋体" w:cs="宋体"/>
                <w:color w:val="auto"/>
                <w:kern w:val="2"/>
                <w:sz w:val="24"/>
                <w:szCs w:val="24"/>
                <w:highlight w:val="none"/>
                <w:lang w:val="en-US" w:eastAsia="zh-CN"/>
              </w:rPr>
              <w:t>或者修改</w:t>
            </w:r>
            <w:r>
              <w:rPr>
                <w:rFonts w:hint="eastAsia" w:ascii="宋体" w:hAnsi="宋体" w:eastAsia="宋体" w:cs="宋体"/>
                <w:color w:val="auto"/>
                <w:kern w:val="2"/>
                <w:sz w:val="24"/>
                <w:szCs w:val="24"/>
                <w:highlight w:val="none"/>
              </w:rPr>
              <w:t>发出的形式</w:t>
            </w:r>
          </w:p>
        </w:tc>
        <w:tc>
          <w:tcPr>
            <w:tcW w:w="6051" w:type="dxa"/>
            <w:noWrap w:val="0"/>
            <w:vAlign w:val="center"/>
          </w:tcPr>
          <w:p w14:paraId="5B05F797">
            <w:pPr>
              <w:pStyle w:val="6"/>
              <w:rPr>
                <w:rFonts w:ascii="宋体" w:hAnsi="宋体" w:eastAsia="Times New Roman"/>
                <w:kern w:val="2"/>
                <w:sz w:val="24"/>
                <w:szCs w:val="24"/>
                <w:highlight w:val="none"/>
              </w:rPr>
            </w:pPr>
            <w:r>
              <w:rPr>
                <w:rFonts w:hint="eastAsia" w:ascii="宋体" w:hAnsi="宋体" w:eastAsia="宋体" w:cs="宋体"/>
                <w:sz w:val="24"/>
                <w:szCs w:val="24"/>
                <w:lang w:val="en-US" w:eastAsia="zh-CN" w:bidi="ar-SA"/>
              </w:rPr>
              <w:t>提交响应文件截止之日前，采购人、采购代理机构可以对已发出的竞争性磋商文件进行必要的澄清，澄清的内容作为竞争性磋商文件的组成部分。澄清的内容可能影响竞争性磋商文件编制，采购人、采购代理机构应在提交响应文件截止之日5日前，在政采云平台通知所有接收竞争性磋商文件的供应商，但不指明澄清问题的来源。不足5日的，应当顺延提交响应文件截止之日。</w:t>
            </w:r>
          </w:p>
        </w:tc>
      </w:tr>
      <w:tr w14:paraId="5A83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440" w:type="dxa"/>
            <w:noWrap w:val="0"/>
            <w:vAlign w:val="center"/>
          </w:tcPr>
          <w:p w14:paraId="679C249C">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3.2.3</w:t>
            </w:r>
          </w:p>
        </w:tc>
        <w:tc>
          <w:tcPr>
            <w:tcW w:w="2148" w:type="dxa"/>
            <w:noWrap w:val="0"/>
            <w:vAlign w:val="center"/>
          </w:tcPr>
          <w:p w14:paraId="338FC2C0">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磋商报价的其他要求</w:t>
            </w:r>
          </w:p>
        </w:tc>
        <w:tc>
          <w:tcPr>
            <w:tcW w:w="6051" w:type="dxa"/>
            <w:noWrap w:val="0"/>
            <w:vAlign w:val="center"/>
          </w:tcPr>
          <w:p w14:paraId="582341CC">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u w:val="single"/>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)磋商总报价</w:t>
            </w:r>
            <w:r>
              <w:rPr>
                <w:rFonts w:hint="eastAsia" w:ascii="宋体" w:hAnsi="宋体" w:eastAsia="宋体" w:cs="宋体"/>
                <w:sz w:val="24"/>
                <w:szCs w:val="24"/>
                <w:lang w:eastAsia="zh-CN"/>
              </w:rPr>
              <w:t>，</w:t>
            </w:r>
            <w:r>
              <w:rPr>
                <w:rFonts w:hint="eastAsia" w:ascii="宋体" w:hAnsi="宋体" w:eastAsia="宋体" w:cs="宋体"/>
                <w:sz w:val="24"/>
                <w:szCs w:val="24"/>
              </w:rPr>
              <w:t>本次磋商报价为综合报价，报价应为人民币含税价（元），包括材料费、机械使用费、安全文明施工费、成交服务费等所需全部费用。供应商的磋商总报价和任意一项分部分项工程量清单报价均不得超过招标控制总价和单价，否则按无效响应处理。</w:t>
            </w:r>
          </w:p>
          <w:p w14:paraId="11A694FB">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应承担所有与参加投标有关的自身的所有费用，不论采购的结果如何，采购代理机构和采购人在任何情况下均无义务和责任承担这些费用。</w:t>
            </w:r>
          </w:p>
          <w:p w14:paraId="5BE68A3F">
            <w:pPr>
              <w:pStyle w:val="22"/>
              <w:spacing w:line="360" w:lineRule="auto"/>
              <w:rPr>
                <w:rFonts w:hint="eastAsia" w:ascii="宋体" w:hAnsi="宋体" w:eastAsia="宋体" w:cs="宋体"/>
                <w:color w:val="auto"/>
                <w:kern w:val="2"/>
                <w:sz w:val="24"/>
                <w:szCs w:val="24"/>
                <w:u w:val="single"/>
                <w:lang w:val="en-US" w:eastAsia="zh-CN"/>
              </w:rPr>
            </w:pPr>
            <w:r>
              <w:rPr>
                <w:rFonts w:hint="eastAsia" w:ascii="宋体" w:hAnsi="宋体" w:eastAsia="宋体" w:cs="宋体"/>
                <w:sz w:val="24"/>
                <w:szCs w:val="24"/>
              </w:rPr>
              <w:t>(3)</w:t>
            </w:r>
            <w:r>
              <w:rPr>
                <w:rFonts w:hint="eastAsia" w:ascii="宋体" w:hAnsi="宋体" w:eastAsia="宋体" w:cs="宋体"/>
                <w:sz w:val="24"/>
                <w:szCs w:val="24"/>
                <w:lang w:eastAsia="zh-CN"/>
              </w:rPr>
              <w:t>成交服务费</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参</w:t>
            </w:r>
            <w:r>
              <w:rPr>
                <w:rFonts w:hint="eastAsia" w:ascii="宋体" w:hAnsi="宋体" w:eastAsia="宋体" w:cs="宋体"/>
                <w:kern w:val="2"/>
                <w:sz w:val="24"/>
                <w:szCs w:val="24"/>
              </w:rPr>
              <w:t>照</w:t>
            </w:r>
            <w:r>
              <w:rPr>
                <w:rFonts w:hint="eastAsia" w:ascii="宋体" w:hAnsi="宋体" w:eastAsia="宋体" w:cs="宋体"/>
                <w:kern w:val="2"/>
                <w:sz w:val="24"/>
                <w:szCs w:val="24"/>
                <w:lang w:val="en-US" w:eastAsia="zh-CN"/>
              </w:rPr>
              <w:t>《云南省建设工程招标代理服务收费参考意见》的通知云建招协〔2024〕58号</w:t>
            </w:r>
            <w:r>
              <w:rPr>
                <w:rFonts w:hint="eastAsia" w:ascii="宋体" w:hAnsi="宋体" w:eastAsia="宋体" w:cs="宋体"/>
                <w:kern w:val="2"/>
                <w:sz w:val="24"/>
                <w:szCs w:val="24"/>
              </w:rPr>
              <w:t>文件中收费标准计算后向</w:t>
            </w:r>
            <w:r>
              <w:rPr>
                <w:rFonts w:hint="eastAsia" w:ascii="宋体" w:hAnsi="宋体" w:eastAsia="宋体" w:cs="宋体"/>
                <w:kern w:val="2"/>
                <w:sz w:val="24"/>
                <w:szCs w:val="24"/>
                <w:lang w:val="en-US" w:eastAsia="zh-CN"/>
              </w:rPr>
              <w:t>成交</w:t>
            </w:r>
            <w:r>
              <w:rPr>
                <w:rFonts w:hint="eastAsia" w:ascii="宋体" w:hAnsi="宋体" w:eastAsia="宋体" w:cs="宋体"/>
                <w:kern w:val="2"/>
                <w:sz w:val="24"/>
                <w:szCs w:val="24"/>
              </w:rPr>
              <w:t>人收取</w:t>
            </w:r>
            <w:r>
              <w:rPr>
                <w:rFonts w:hint="eastAsia" w:hAnsi="宋体" w:cs="宋体"/>
                <w:kern w:val="2"/>
                <w:sz w:val="24"/>
                <w:szCs w:val="24"/>
                <w:lang w:eastAsia="zh-CN"/>
              </w:rPr>
              <w:t>，</w:t>
            </w:r>
            <w:r>
              <w:rPr>
                <w:rFonts w:hint="eastAsia" w:ascii="宋体" w:hAnsi="宋体" w:eastAsia="宋体" w:cs="宋体"/>
                <w:kern w:val="2"/>
                <w:sz w:val="24"/>
                <w:szCs w:val="24"/>
                <w:lang w:val="en-US" w:eastAsia="zh-CN"/>
              </w:rPr>
              <w:t>收费金额为</w:t>
            </w:r>
            <w:r>
              <w:rPr>
                <w:rFonts w:hint="eastAsia" w:hAnsi="宋体" w:cs="宋体"/>
                <w:kern w:val="2"/>
                <w:sz w:val="24"/>
                <w:szCs w:val="24"/>
                <w:lang w:val="en-US" w:eastAsia="zh-CN"/>
              </w:rPr>
              <w:t>9</w:t>
            </w:r>
            <w:r>
              <w:rPr>
                <w:rFonts w:hint="eastAsia" w:ascii="宋体" w:hAnsi="宋体" w:eastAsia="宋体" w:cs="宋体"/>
                <w:kern w:val="2"/>
                <w:sz w:val="24"/>
                <w:szCs w:val="24"/>
                <w:lang w:val="en-US" w:eastAsia="zh-CN"/>
              </w:rPr>
              <w:t>000.00元</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由成交供应商领取成交通知书时一次性向</w:t>
            </w:r>
            <w:r>
              <w:rPr>
                <w:rFonts w:hint="eastAsia" w:hAnsi="宋体" w:cs="宋体"/>
                <w:color w:val="auto"/>
                <w:kern w:val="2"/>
                <w:sz w:val="24"/>
                <w:szCs w:val="24"/>
                <w:lang w:eastAsia="zh-CN"/>
              </w:rPr>
              <w:t>云南玉昭工程咨询有限公司</w:t>
            </w:r>
            <w:r>
              <w:rPr>
                <w:rFonts w:hint="eastAsia" w:ascii="宋体" w:hAnsi="宋体" w:cs="宋体"/>
                <w:color w:val="auto"/>
                <w:kern w:val="2"/>
                <w:sz w:val="24"/>
                <w:szCs w:val="24"/>
                <w:lang w:val="en-US" w:eastAsia="zh-CN"/>
              </w:rPr>
              <w:t>缴纳。</w:t>
            </w:r>
          </w:p>
          <w:p w14:paraId="5BC4D205">
            <w:pPr>
              <w:autoSpaceDE w:val="0"/>
              <w:autoSpaceDN w:val="0"/>
              <w:spacing w:line="360" w:lineRule="auto"/>
              <w:ind w:left="4800" w:hanging="4800" w:hangingChars="2000"/>
              <w:rPr>
                <w:rFonts w:hint="eastAsia" w:ascii="宋体" w:hAnsi="宋体" w:eastAsia="宋体" w:cs="宋体"/>
                <w:color w:val="auto"/>
                <w:kern w:val="2"/>
                <w:sz w:val="24"/>
                <w:szCs w:val="24"/>
                <w:lang w:eastAsia="zh-CN"/>
              </w:rPr>
            </w:pPr>
            <w:r>
              <w:rPr>
                <w:rFonts w:hint="eastAsia" w:ascii="宋体" w:hAnsi="宋体" w:cs="宋体"/>
                <w:color w:val="auto"/>
                <w:kern w:val="2"/>
                <w:sz w:val="24"/>
                <w:szCs w:val="24"/>
              </w:rPr>
              <w:t>账户名称：</w:t>
            </w:r>
            <w:r>
              <w:rPr>
                <w:rFonts w:hint="eastAsia" w:ascii="宋体" w:hAnsi="宋体" w:cs="宋体"/>
                <w:color w:val="auto"/>
                <w:kern w:val="2"/>
                <w:sz w:val="24"/>
                <w:szCs w:val="24"/>
                <w:lang w:eastAsia="zh-CN"/>
              </w:rPr>
              <w:t>云南玉昭工程咨询有限公司</w:t>
            </w:r>
          </w:p>
          <w:p w14:paraId="15BCF478">
            <w:pPr>
              <w:pStyle w:val="21"/>
              <w:spacing w:line="360" w:lineRule="auto"/>
              <w:rPr>
                <w:rFonts w:hint="eastAsia" w:ascii="宋体" w:hAnsi="宋体" w:eastAsia="宋体" w:cs="宋体"/>
                <w:kern w:val="2"/>
                <w:sz w:val="24"/>
                <w:szCs w:val="24"/>
                <w:lang w:eastAsia="zh-CN"/>
              </w:rPr>
            </w:pPr>
            <w:r>
              <w:rPr>
                <w:rFonts w:hint="eastAsia" w:ascii="宋体" w:hAnsi="宋体" w:cs="宋体"/>
                <w:color w:val="auto"/>
                <w:kern w:val="2"/>
                <w:sz w:val="24"/>
                <w:szCs w:val="24"/>
              </w:rPr>
              <w:t>开户银行：</w:t>
            </w:r>
            <w:r>
              <w:rPr>
                <w:rFonts w:hint="eastAsia" w:ascii="宋体" w:hAnsi="宋体" w:cs="宋体"/>
                <w:color w:val="auto"/>
                <w:kern w:val="2"/>
                <w:sz w:val="24"/>
                <w:szCs w:val="24"/>
                <w:lang w:eastAsia="zh-CN"/>
              </w:rPr>
              <w:t>招商银行昆明分行金江支行</w:t>
            </w:r>
          </w:p>
          <w:p w14:paraId="5C298B93">
            <w:pPr>
              <w:autoSpaceDE w:val="0"/>
              <w:autoSpaceDN w:val="0"/>
              <w:spacing w:line="360" w:lineRule="auto"/>
              <w:rPr>
                <w:rFonts w:hint="eastAsia" w:ascii="宋体" w:hAnsi="宋体" w:eastAsia="宋体" w:cs="宋体"/>
                <w:kern w:val="2"/>
                <w:sz w:val="24"/>
                <w:szCs w:val="24"/>
                <w:lang w:eastAsia="zh-CN"/>
              </w:rPr>
            </w:pPr>
            <w:r>
              <w:rPr>
                <w:rFonts w:hint="eastAsia" w:ascii="宋体" w:hAnsi="宋体" w:cs="宋体"/>
                <w:kern w:val="2"/>
                <w:sz w:val="24"/>
                <w:szCs w:val="24"/>
              </w:rPr>
              <w:t>账    号：</w:t>
            </w:r>
            <w:r>
              <w:rPr>
                <w:rFonts w:hint="eastAsia" w:ascii="宋体" w:hAnsi="宋体" w:cs="宋体"/>
                <w:kern w:val="2"/>
                <w:sz w:val="24"/>
                <w:szCs w:val="24"/>
                <w:lang w:eastAsia="zh-CN"/>
              </w:rPr>
              <w:t>871908603010301</w:t>
            </w:r>
          </w:p>
          <w:p w14:paraId="3645925F">
            <w:pPr>
              <w:autoSpaceDE w:val="0"/>
              <w:autoSpaceDN w:val="0"/>
              <w:spacing w:line="360" w:lineRule="auto"/>
              <w:rPr>
                <w:rFonts w:hint="eastAsia" w:ascii="宋体" w:hAnsi="宋体" w:eastAsia="宋体"/>
                <w:kern w:val="2"/>
                <w:sz w:val="24"/>
                <w:szCs w:val="24"/>
                <w:highlight w:val="none"/>
                <w:lang w:eastAsia="zh-CN"/>
              </w:rPr>
            </w:pPr>
            <w:r>
              <w:rPr>
                <w:rFonts w:hint="eastAsia" w:ascii="宋体" w:hAnsi="宋体" w:cs="宋体"/>
                <w:kern w:val="2"/>
                <w:sz w:val="24"/>
                <w:szCs w:val="24"/>
              </w:rPr>
              <w:t>财务电话：</w:t>
            </w:r>
            <w:r>
              <w:rPr>
                <w:rFonts w:hint="eastAsia" w:ascii="宋体" w:hAnsi="宋体" w:cs="宋体"/>
                <w:kern w:val="2"/>
                <w:sz w:val="24"/>
                <w:szCs w:val="24"/>
                <w:lang w:eastAsia="zh-CN"/>
              </w:rPr>
              <w:t>15752197058</w:t>
            </w:r>
          </w:p>
        </w:tc>
      </w:tr>
      <w:tr w14:paraId="604AB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D944ED3">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3.3.1</w:t>
            </w:r>
          </w:p>
        </w:tc>
        <w:tc>
          <w:tcPr>
            <w:tcW w:w="2148" w:type="dxa"/>
            <w:noWrap w:val="0"/>
            <w:vAlign w:val="center"/>
          </w:tcPr>
          <w:p w14:paraId="718B00EC">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磋商有效期</w:t>
            </w:r>
          </w:p>
        </w:tc>
        <w:tc>
          <w:tcPr>
            <w:tcW w:w="6051" w:type="dxa"/>
            <w:noWrap w:val="0"/>
            <w:vAlign w:val="center"/>
          </w:tcPr>
          <w:p w14:paraId="08E2335F">
            <w:pPr>
              <w:pStyle w:val="21"/>
              <w:widowControl w:val="0"/>
              <w:spacing w:line="360" w:lineRule="auto"/>
              <w:jc w:val="both"/>
              <w:rPr>
                <w:rFonts w:hint="eastAsia" w:ascii="宋体" w:hAnsi="宋体"/>
                <w:kern w:val="2"/>
                <w:sz w:val="24"/>
                <w:szCs w:val="24"/>
                <w:highlight w:val="none"/>
              </w:rPr>
            </w:pPr>
            <w:r>
              <w:rPr>
                <w:rFonts w:hint="eastAsia" w:ascii="宋体" w:hAnsi="宋体" w:eastAsia="Times New Roman"/>
                <w:kern w:val="2"/>
                <w:sz w:val="24"/>
                <w:szCs w:val="24"/>
                <w:highlight w:val="none"/>
              </w:rPr>
              <w:t>磋商有效期为</w:t>
            </w:r>
            <w:r>
              <w:rPr>
                <w:rFonts w:hint="eastAsia" w:ascii="宋体" w:hAnsi="宋体" w:eastAsia="Times New Roman"/>
                <w:kern w:val="2"/>
                <w:sz w:val="24"/>
                <w:szCs w:val="24"/>
                <w:highlight w:val="none"/>
                <w:u w:val="single"/>
              </w:rPr>
              <w:t xml:space="preserve"> </w:t>
            </w:r>
            <w:r>
              <w:rPr>
                <w:rFonts w:hint="eastAsia" w:ascii="宋体" w:hAnsi="宋体" w:eastAsia="宋体"/>
                <w:kern w:val="2"/>
                <w:sz w:val="24"/>
                <w:szCs w:val="24"/>
                <w:highlight w:val="none"/>
                <w:u w:val="single"/>
                <w:lang w:val="en-US" w:eastAsia="zh-CN"/>
              </w:rPr>
              <w:t>90</w:t>
            </w:r>
            <w:r>
              <w:rPr>
                <w:rFonts w:hint="eastAsia" w:ascii="宋体" w:hAnsi="宋体" w:eastAsia="Times New Roman"/>
                <w:kern w:val="2"/>
                <w:sz w:val="24"/>
                <w:szCs w:val="24"/>
                <w:highlight w:val="none"/>
                <w:u w:val="single"/>
              </w:rPr>
              <w:t xml:space="preserve"> </w:t>
            </w:r>
            <w:r>
              <w:rPr>
                <w:rFonts w:hint="eastAsia" w:ascii="宋体" w:hAnsi="宋体" w:eastAsia="Times New Roman"/>
                <w:kern w:val="2"/>
                <w:sz w:val="24"/>
                <w:szCs w:val="24"/>
                <w:highlight w:val="none"/>
              </w:rPr>
              <w:t>日历天</w:t>
            </w:r>
            <w:r>
              <w:rPr>
                <w:rFonts w:hint="eastAsia" w:ascii="宋体" w:hAnsi="宋体"/>
                <w:kern w:val="2"/>
                <w:sz w:val="24"/>
                <w:szCs w:val="24"/>
                <w:highlight w:val="none"/>
              </w:rPr>
              <w:t>（</w:t>
            </w:r>
            <w:r>
              <w:rPr>
                <w:rFonts w:hint="eastAsia" w:ascii="宋体" w:hAnsi="宋体"/>
                <w:kern w:val="2"/>
                <w:sz w:val="24"/>
                <w:szCs w:val="24"/>
                <w:highlight w:val="none"/>
                <w:lang w:eastAsia="zh-CN"/>
              </w:rPr>
              <w:t>从响应文件递交截止之日起算</w:t>
            </w:r>
            <w:r>
              <w:rPr>
                <w:rFonts w:hint="eastAsia" w:ascii="宋体" w:hAnsi="宋体"/>
                <w:kern w:val="2"/>
                <w:sz w:val="24"/>
                <w:szCs w:val="24"/>
                <w:highlight w:val="none"/>
              </w:rPr>
              <w:t>）</w:t>
            </w:r>
            <w:r>
              <w:rPr>
                <w:rFonts w:hint="eastAsia" w:ascii="宋体" w:hAnsi="宋体" w:eastAsia="Times New Roman"/>
                <w:kern w:val="2"/>
                <w:sz w:val="24"/>
                <w:szCs w:val="24"/>
                <w:highlight w:val="none"/>
              </w:rPr>
              <w:t>。</w:t>
            </w:r>
          </w:p>
        </w:tc>
      </w:tr>
      <w:tr w14:paraId="742F7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3621088">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3.4.1</w:t>
            </w:r>
          </w:p>
        </w:tc>
        <w:tc>
          <w:tcPr>
            <w:tcW w:w="2148" w:type="dxa"/>
            <w:noWrap w:val="0"/>
            <w:vAlign w:val="center"/>
          </w:tcPr>
          <w:p w14:paraId="214D037A">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磋商保证金</w:t>
            </w:r>
          </w:p>
        </w:tc>
        <w:tc>
          <w:tcPr>
            <w:tcW w:w="6051" w:type="dxa"/>
            <w:noWrap w:val="0"/>
            <w:vAlign w:val="center"/>
          </w:tcPr>
          <w:p w14:paraId="2EF93B54">
            <w:pPr>
              <w:widowControl w:val="0"/>
              <w:autoSpaceDE w:val="0"/>
              <w:autoSpaceDN w:val="0"/>
              <w:spacing w:line="360" w:lineRule="auto"/>
              <w:jc w:val="both"/>
              <w:rPr>
                <w:rFonts w:hint="default" w:ascii="宋体" w:hAnsi="宋体" w:eastAsia="宋体"/>
                <w:color w:val="FF0000"/>
                <w:kern w:val="2"/>
                <w:sz w:val="24"/>
                <w:szCs w:val="24"/>
                <w:highlight w:val="none"/>
                <w:lang w:val="en-US" w:eastAsia="zh-CN"/>
              </w:rPr>
            </w:pPr>
            <w:r>
              <w:rPr>
                <w:rFonts w:hint="eastAsia" w:ascii="宋体" w:hAnsi="宋体" w:eastAsia="宋体"/>
                <w:color w:val="FF0000"/>
                <w:kern w:val="2"/>
                <w:sz w:val="24"/>
                <w:szCs w:val="24"/>
                <w:highlight w:val="none"/>
                <w:lang w:val="en-US" w:eastAsia="zh-CN"/>
              </w:rPr>
              <w:t>不要求</w:t>
            </w:r>
          </w:p>
        </w:tc>
      </w:tr>
      <w:tr w14:paraId="3B91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324A5536">
            <w:pPr>
              <w:widowControl w:val="0"/>
              <w:spacing w:line="360" w:lineRule="auto"/>
              <w:jc w:val="center"/>
              <w:rPr>
                <w:rFonts w:hint="eastAsia" w:ascii="宋体" w:hAnsi="宋体" w:eastAsia="宋体"/>
                <w:kern w:val="2"/>
                <w:sz w:val="24"/>
                <w:szCs w:val="24"/>
                <w:highlight w:val="none"/>
                <w:lang w:eastAsia="zh-CN"/>
              </w:rPr>
            </w:pPr>
            <w:r>
              <w:rPr>
                <w:rFonts w:hint="eastAsia" w:ascii="宋体" w:hAnsi="宋体" w:eastAsia="宋体"/>
                <w:kern w:val="2"/>
                <w:sz w:val="24"/>
                <w:szCs w:val="24"/>
                <w:highlight w:val="none"/>
                <w:lang w:eastAsia="zh-CN"/>
              </w:rPr>
              <w:t>3.5.2</w:t>
            </w:r>
          </w:p>
        </w:tc>
        <w:tc>
          <w:tcPr>
            <w:tcW w:w="2148" w:type="dxa"/>
            <w:noWrap w:val="0"/>
            <w:vAlign w:val="center"/>
          </w:tcPr>
          <w:p w14:paraId="0DA3BC56">
            <w:pPr>
              <w:spacing w:line="400" w:lineRule="exact"/>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响应文件所附证书证件要求、响应文件签字或盖章要求</w:t>
            </w:r>
          </w:p>
        </w:tc>
        <w:tc>
          <w:tcPr>
            <w:tcW w:w="6051" w:type="dxa"/>
            <w:noWrap w:val="0"/>
            <w:vAlign w:val="center"/>
          </w:tcPr>
          <w:p w14:paraId="343CF712">
            <w:pPr>
              <w:spacing w:line="400" w:lineRule="exact"/>
              <w:rPr>
                <w:rFonts w:hint="eastAsia" w:ascii="宋体" w:hAnsi="宋体" w:cs="宋体"/>
                <w:kern w:val="2"/>
                <w:sz w:val="24"/>
                <w:szCs w:val="24"/>
                <w:highlight w:val="none"/>
              </w:rPr>
            </w:pPr>
            <w:r>
              <w:rPr>
                <w:rFonts w:hint="eastAsia" w:ascii="宋体" w:hAnsi="宋体" w:cs="宋体"/>
                <w:kern w:val="2"/>
                <w:sz w:val="24"/>
                <w:szCs w:val="24"/>
                <w:highlight w:val="none"/>
              </w:rPr>
              <w:t>响应文件所附证书证件要求：原件扫描件</w:t>
            </w:r>
          </w:p>
          <w:p w14:paraId="543D4755">
            <w:pPr>
              <w:spacing w:line="400" w:lineRule="exact"/>
              <w:rPr>
                <w:rFonts w:hint="eastAsia" w:ascii="宋体" w:hAnsi="宋体"/>
                <w:kern w:val="2"/>
                <w:sz w:val="24"/>
                <w:szCs w:val="24"/>
                <w:highlight w:val="none"/>
              </w:rPr>
            </w:pPr>
            <w:r>
              <w:rPr>
                <w:rFonts w:hint="eastAsia" w:ascii="宋体" w:hAnsi="宋体" w:cs="宋体"/>
                <w:kern w:val="2"/>
                <w:sz w:val="24"/>
                <w:szCs w:val="24"/>
                <w:highlight w:val="none"/>
              </w:rPr>
              <w:t>响应文件签字或盖章要求：签字或加盖</w:t>
            </w:r>
            <w:r>
              <w:rPr>
                <w:rFonts w:hint="eastAsia" w:ascii="宋体" w:hAnsi="宋体"/>
                <w:sz w:val="24"/>
                <w:highlight w:val="none"/>
              </w:rPr>
              <w:t>电子签章</w:t>
            </w:r>
          </w:p>
        </w:tc>
      </w:tr>
      <w:tr w14:paraId="70D11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5CDFD783">
            <w:pPr>
              <w:widowControl w:val="0"/>
              <w:spacing w:line="360" w:lineRule="auto"/>
              <w:jc w:val="center"/>
              <w:rPr>
                <w:rFonts w:hint="eastAsia" w:ascii="宋体" w:hAnsi="宋体" w:eastAsia="宋体"/>
                <w:kern w:val="2"/>
                <w:sz w:val="24"/>
                <w:szCs w:val="24"/>
                <w:highlight w:val="none"/>
                <w:lang w:val="en-US" w:eastAsia="zh-CN"/>
              </w:rPr>
            </w:pPr>
            <w:r>
              <w:rPr>
                <w:rFonts w:hint="eastAsia" w:ascii="宋体" w:hAnsi="宋体"/>
                <w:kern w:val="2"/>
                <w:sz w:val="24"/>
                <w:szCs w:val="24"/>
                <w:highlight w:val="none"/>
              </w:rPr>
              <w:t>3.5.</w:t>
            </w:r>
            <w:r>
              <w:rPr>
                <w:rFonts w:hint="eastAsia" w:ascii="宋体" w:hAnsi="宋体"/>
                <w:kern w:val="2"/>
                <w:sz w:val="24"/>
                <w:szCs w:val="24"/>
                <w:highlight w:val="none"/>
                <w:lang w:val="en-US" w:eastAsia="zh-CN"/>
              </w:rPr>
              <w:t>3</w:t>
            </w:r>
          </w:p>
        </w:tc>
        <w:tc>
          <w:tcPr>
            <w:tcW w:w="2148" w:type="dxa"/>
            <w:noWrap w:val="0"/>
            <w:vAlign w:val="center"/>
          </w:tcPr>
          <w:p w14:paraId="03593D26">
            <w:pPr>
              <w:spacing w:line="400" w:lineRule="exact"/>
              <w:jc w:val="left"/>
              <w:rPr>
                <w:rFonts w:hint="eastAsia" w:ascii="宋体" w:hAnsi="宋体" w:eastAsia="宋体" w:cs="宋体"/>
                <w:kern w:val="2"/>
                <w:sz w:val="24"/>
                <w:szCs w:val="24"/>
                <w:highlight w:val="none"/>
              </w:rPr>
            </w:pPr>
            <w:r>
              <w:rPr>
                <w:rFonts w:hint="eastAsia" w:ascii="宋体" w:hAnsi="宋体" w:eastAsia="宋体" w:cs="宋体"/>
                <w:sz w:val="24"/>
                <w:szCs w:val="24"/>
                <w:highlight w:val="none"/>
              </w:rPr>
              <w:t>电子响应文件格式</w:t>
            </w:r>
          </w:p>
        </w:tc>
        <w:tc>
          <w:tcPr>
            <w:tcW w:w="6051" w:type="dxa"/>
            <w:noWrap w:val="0"/>
            <w:vAlign w:val="center"/>
          </w:tcPr>
          <w:p w14:paraId="2456A860">
            <w:pPr>
              <w:spacing w:line="360" w:lineRule="auto"/>
              <w:rPr>
                <w:rFonts w:hint="eastAsia" w:ascii="宋体" w:hAnsi="宋体"/>
                <w:color w:val="000000"/>
                <w:kern w:val="2"/>
                <w:sz w:val="24"/>
                <w:szCs w:val="24"/>
                <w:highlight w:val="none"/>
              </w:rPr>
            </w:pPr>
            <w:r>
              <w:rPr>
                <w:rFonts w:hint="eastAsia" w:ascii="宋体" w:hAnsi="宋体"/>
                <w:kern w:val="2"/>
                <w:sz w:val="24"/>
                <w:szCs w:val="24"/>
                <w:highlight w:val="none"/>
              </w:rPr>
              <w:t>响应文件全部采用电子文档，供应商应安装客户端软件—“政采云电子交易客户端”，并按照竞争性磋商文件和政采云电子交易平台的要求编制，编制后应进行电子签章、签名及加密</w:t>
            </w:r>
            <w:r>
              <w:rPr>
                <w:rFonts w:hint="eastAsia" w:ascii="宋体" w:hAnsi="宋体"/>
                <w:kern w:val="2"/>
                <w:sz w:val="24"/>
                <w:szCs w:val="24"/>
                <w:highlight w:val="none"/>
                <w:lang w:eastAsia="zh-CN"/>
              </w:rPr>
              <w:t>。</w:t>
            </w:r>
          </w:p>
        </w:tc>
      </w:tr>
      <w:tr w14:paraId="1044B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169140F">
            <w:pPr>
              <w:widowControl w:val="0"/>
              <w:spacing w:line="360" w:lineRule="auto"/>
              <w:jc w:val="center"/>
              <w:rPr>
                <w:rFonts w:hint="eastAsia" w:ascii="宋体" w:hAnsi="宋体"/>
                <w:kern w:val="2"/>
                <w:sz w:val="24"/>
                <w:szCs w:val="24"/>
                <w:highlight w:val="none"/>
              </w:rPr>
            </w:pPr>
            <w:r>
              <w:rPr>
                <w:rFonts w:hint="eastAsia" w:ascii="宋体" w:hAnsi="宋体"/>
                <w:kern w:val="2"/>
                <w:sz w:val="24"/>
                <w:szCs w:val="24"/>
                <w:highlight w:val="none"/>
              </w:rPr>
              <w:t>4.1.1</w:t>
            </w:r>
          </w:p>
        </w:tc>
        <w:tc>
          <w:tcPr>
            <w:tcW w:w="2148" w:type="dxa"/>
            <w:noWrap w:val="0"/>
            <w:vAlign w:val="center"/>
          </w:tcPr>
          <w:p w14:paraId="26BA87A0">
            <w:pPr>
              <w:spacing w:line="400" w:lineRule="exact"/>
              <w:jc w:val="left"/>
              <w:rPr>
                <w:rFonts w:hint="eastAsia" w:ascii="宋体" w:hAnsi="宋体" w:eastAsia="宋体" w:cs="宋体"/>
                <w:sz w:val="24"/>
                <w:szCs w:val="24"/>
                <w:highlight w:val="none"/>
              </w:rPr>
            </w:pPr>
            <w:r>
              <w:rPr>
                <w:rFonts w:hint="eastAsia" w:ascii="宋体" w:hAnsi="宋体" w:eastAsia="宋体" w:cs="宋体"/>
                <w:kern w:val="2"/>
                <w:sz w:val="24"/>
                <w:szCs w:val="24"/>
                <w:highlight w:val="none"/>
              </w:rPr>
              <w:t>响应文件加密要求</w:t>
            </w:r>
          </w:p>
        </w:tc>
        <w:tc>
          <w:tcPr>
            <w:tcW w:w="6051" w:type="dxa"/>
            <w:noWrap w:val="0"/>
            <w:vAlign w:val="center"/>
          </w:tcPr>
          <w:p w14:paraId="009980FD">
            <w:pPr>
              <w:spacing w:line="360" w:lineRule="auto"/>
              <w:rPr>
                <w:rFonts w:hint="eastAsia" w:ascii="宋体" w:hAnsi="宋体" w:cs="宋体"/>
                <w:kern w:val="2"/>
                <w:sz w:val="24"/>
                <w:szCs w:val="24"/>
                <w:highlight w:val="none"/>
              </w:rPr>
            </w:pPr>
            <w:r>
              <w:rPr>
                <w:rFonts w:hint="eastAsia" w:ascii="宋体" w:hAnsi="宋体" w:cs="宋体"/>
                <w:kern w:val="2"/>
                <w:sz w:val="24"/>
                <w:szCs w:val="24"/>
                <w:highlight w:val="none"/>
              </w:rPr>
              <w:t>（1）供应商进行电子交易应安装客户端软件—“政采云电子交易客户端”，并按照磋商文件和电子交易平台的要求编制并加密响应文件。供应商未按规定加密的响应文件，电子交易平台将拒收并提示；</w:t>
            </w:r>
          </w:p>
          <w:p w14:paraId="14747A8D">
            <w:pPr>
              <w:spacing w:line="360" w:lineRule="auto"/>
              <w:rPr>
                <w:rFonts w:hint="eastAsia" w:ascii="宋体" w:hAnsi="宋体" w:cs="宋体"/>
                <w:kern w:val="2"/>
                <w:sz w:val="24"/>
                <w:szCs w:val="24"/>
                <w:highlight w:val="none"/>
              </w:rPr>
            </w:pPr>
            <w:r>
              <w:rPr>
                <w:rFonts w:hint="eastAsia" w:ascii="宋体" w:hAnsi="宋体" w:cs="宋体"/>
                <w:kern w:val="2"/>
                <w:sz w:val="24"/>
                <w:szCs w:val="24"/>
                <w:highlight w:val="none"/>
              </w:rPr>
              <w:t>（2）使用“政采云电子交易客户端”需要提前申领 CA 数字证书，申领流程见该项目采购公告附件；</w:t>
            </w:r>
          </w:p>
          <w:p w14:paraId="7D059B97">
            <w:pPr>
              <w:spacing w:line="400" w:lineRule="exact"/>
              <w:rPr>
                <w:rFonts w:hint="eastAsia" w:ascii="宋体" w:hAnsi="宋体" w:cs="宋体"/>
                <w:sz w:val="24"/>
                <w:szCs w:val="24"/>
                <w:highlight w:val="none"/>
              </w:rPr>
            </w:pPr>
            <w:r>
              <w:rPr>
                <w:rFonts w:hint="eastAsia" w:ascii="宋体" w:hAnsi="宋体" w:cs="宋体"/>
                <w:kern w:val="2"/>
                <w:sz w:val="24"/>
                <w:szCs w:val="24"/>
                <w:highlight w:val="none"/>
              </w:rPr>
              <w:t>（3）为确保网上操作合法、有效和安全，供应商应当在响应文件提交截止时间前完成在“政府采购云 平台”的身份认证，确保在电子交易过程中能够对相关数据电文进行加密和使用电子签名。</w:t>
            </w:r>
          </w:p>
        </w:tc>
      </w:tr>
      <w:tr w14:paraId="23F9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75777222">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4.2.1</w:t>
            </w:r>
          </w:p>
        </w:tc>
        <w:tc>
          <w:tcPr>
            <w:tcW w:w="2148" w:type="dxa"/>
            <w:noWrap w:val="0"/>
            <w:vAlign w:val="center"/>
          </w:tcPr>
          <w:p w14:paraId="7CD045B1">
            <w:pPr>
              <w:widowControl w:val="0"/>
              <w:spacing w:line="36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响应文件提交截止时间和地点</w:t>
            </w:r>
          </w:p>
        </w:tc>
        <w:tc>
          <w:tcPr>
            <w:tcW w:w="6051" w:type="dxa"/>
            <w:noWrap w:val="0"/>
            <w:vAlign w:val="center"/>
          </w:tcPr>
          <w:p w14:paraId="3577DED7">
            <w:pPr>
              <w:widowControl w:val="0"/>
              <w:spacing w:line="360" w:lineRule="auto"/>
              <w:jc w:val="both"/>
              <w:rPr>
                <w:rFonts w:ascii="宋体" w:hAnsi="宋体" w:eastAsia="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详见第一章“竞争性磋商公告”</w:t>
            </w:r>
          </w:p>
        </w:tc>
      </w:tr>
      <w:tr w14:paraId="6F5D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5C1B5AB2">
            <w:pPr>
              <w:widowControl w:val="0"/>
              <w:spacing w:line="360" w:lineRule="auto"/>
              <w:jc w:val="center"/>
              <w:rPr>
                <w:rFonts w:hint="eastAsia" w:ascii="宋体" w:hAnsi="宋体"/>
                <w:kern w:val="2"/>
                <w:sz w:val="24"/>
                <w:szCs w:val="24"/>
                <w:highlight w:val="none"/>
              </w:rPr>
            </w:pPr>
            <w:r>
              <w:rPr>
                <w:rFonts w:hint="eastAsia" w:ascii="宋体" w:hAnsi="宋体"/>
                <w:kern w:val="2"/>
                <w:sz w:val="24"/>
                <w:szCs w:val="24"/>
                <w:highlight w:val="none"/>
              </w:rPr>
              <w:t>4.2.2</w:t>
            </w:r>
          </w:p>
        </w:tc>
        <w:tc>
          <w:tcPr>
            <w:tcW w:w="2148" w:type="dxa"/>
            <w:noWrap w:val="0"/>
            <w:vAlign w:val="center"/>
          </w:tcPr>
          <w:p w14:paraId="780B9A54">
            <w:pPr>
              <w:widowControl w:val="0"/>
              <w:spacing w:line="36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响应文件是否退还</w:t>
            </w:r>
          </w:p>
        </w:tc>
        <w:tc>
          <w:tcPr>
            <w:tcW w:w="6051" w:type="dxa"/>
            <w:noWrap w:val="0"/>
            <w:vAlign w:val="center"/>
          </w:tcPr>
          <w:p w14:paraId="083FD7F9">
            <w:pPr>
              <w:widowControl w:val="0"/>
              <w:spacing w:line="360" w:lineRule="auto"/>
              <w:jc w:val="both"/>
              <w:rPr>
                <w:rFonts w:ascii="宋体" w:hAnsi="宋体"/>
                <w:color w:val="auto"/>
                <w:kern w:val="2"/>
                <w:sz w:val="24"/>
                <w:szCs w:val="24"/>
                <w:highlight w:val="none"/>
              </w:rPr>
            </w:pPr>
            <w:r>
              <w:rPr>
                <w:rFonts w:hint="eastAsia" w:ascii="宋体" w:hAnsi="宋体" w:eastAsia="Times New Roman"/>
                <w:color w:val="auto"/>
                <w:kern w:val="2"/>
                <w:sz w:val="24"/>
                <w:szCs w:val="24"/>
                <w:highlight w:val="none"/>
              </w:rPr>
              <w:t>否</w:t>
            </w:r>
          </w:p>
        </w:tc>
      </w:tr>
      <w:tr w14:paraId="294D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2CFC25F">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5</w:t>
            </w:r>
          </w:p>
        </w:tc>
        <w:tc>
          <w:tcPr>
            <w:tcW w:w="2148" w:type="dxa"/>
            <w:noWrap w:val="0"/>
            <w:vAlign w:val="center"/>
          </w:tcPr>
          <w:p w14:paraId="6F8F339D">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开启时间和地点</w:t>
            </w:r>
          </w:p>
        </w:tc>
        <w:tc>
          <w:tcPr>
            <w:tcW w:w="6051" w:type="dxa"/>
            <w:noWrap w:val="0"/>
            <w:vAlign w:val="center"/>
          </w:tcPr>
          <w:p w14:paraId="15F99C5F">
            <w:pPr>
              <w:widowControl w:val="0"/>
              <w:spacing w:line="360" w:lineRule="auto"/>
              <w:jc w:val="both"/>
              <w:rPr>
                <w:rFonts w:ascii="宋体" w:hAnsi="宋体" w:eastAsia="Times New Roman"/>
                <w:color w:val="000000"/>
                <w:kern w:val="2"/>
                <w:sz w:val="24"/>
                <w:szCs w:val="24"/>
                <w:highlight w:val="none"/>
              </w:rPr>
            </w:pPr>
            <w:r>
              <w:rPr>
                <w:rFonts w:hint="eastAsia" w:ascii="宋体" w:hAnsi="宋体" w:eastAsia="Times New Roman"/>
                <w:color w:val="000000"/>
                <w:kern w:val="2"/>
                <w:sz w:val="24"/>
                <w:szCs w:val="24"/>
                <w:highlight w:val="none"/>
              </w:rPr>
              <w:t>开启时间：同响应文件提交截止时间</w:t>
            </w:r>
          </w:p>
          <w:p w14:paraId="5AB89502">
            <w:pPr>
              <w:widowControl w:val="0"/>
              <w:spacing w:line="360" w:lineRule="auto"/>
              <w:jc w:val="both"/>
              <w:rPr>
                <w:rFonts w:ascii="宋体" w:hAnsi="宋体" w:eastAsia="Times New Roman"/>
                <w:color w:val="000000"/>
                <w:kern w:val="2"/>
                <w:sz w:val="24"/>
                <w:szCs w:val="24"/>
                <w:highlight w:val="none"/>
              </w:rPr>
            </w:pPr>
            <w:r>
              <w:rPr>
                <w:rFonts w:hint="eastAsia" w:ascii="宋体" w:hAnsi="宋体" w:eastAsia="Times New Roman"/>
                <w:color w:val="000000"/>
                <w:kern w:val="2"/>
                <w:sz w:val="24"/>
                <w:szCs w:val="24"/>
                <w:highlight w:val="none"/>
              </w:rPr>
              <w:t>开启地点：同响应文件提交截止地点</w:t>
            </w:r>
          </w:p>
        </w:tc>
      </w:tr>
      <w:tr w14:paraId="25EE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88416D0">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6.1.1</w:t>
            </w:r>
          </w:p>
        </w:tc>
        <w:tc>
          <w:tcPr>
            <w:tcW w:w="2148" w:type="dxa"/>
            <w:noWrap w:val="0"/>
            <w:vAlign w:val="center"/>
          </w:tcPr>
          <w:p w14:paraId="1529DA8A">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磋商小组的组成</w:t>
            </w:r>
          </w:p>
        </w:tc>
        <w:tc>
          <w:tcPr>
            <w:tcW w:w="6051" w:type="dxa"/>
            <w:noWrap w:val="0"/>
            <w:vAlign w:val="center"/>
          </w:tcPr>
          <w:p w14:paraId="7025BFA4">
            <w:pPr>
              <w:pStyle w:val="16"/>
              <w:jc w:val="left"/>
              <w:rPr>
                <w:rFonts w:hint="eastAsia" w:ascii="宋体" w:hAnsi="宋体" w:eastAsia="Times New Roman" w:cs="Times New Roman"/>
                <w:color w:val="000000"/>
                <w:kern w:val="2"/>
                <w:sz w:val="24"/>
                <w:szCs w:val="24"/>
                <w:highlight w:val="none"/>
                <w:lang w:val="en-US" w:eastAsia="zh-CN" w:bidi="ar-SA"/>
              </w:rPr>
            </w:pPr>
            <w:r>
              <w:rPr>
                <w:rFonts w:hint="eastAsia" w:ascii="宋体" w:hAnsi="宋体" w:eastAsia="Times New Roman" w:cs="Times New Roman"/>
                <w:color w:val="000000"/>
                <w:kern w:val="2"/>
                <w:sz w:val="24"/>
                <w:szCs w:val="24"/>
                <w:highlight w:val="none"/>
                <w:lang w:val="en-US" w:eastAsia="zh-CN" w:bidi="ar-SA"/>
              </w:rPr>
              <w:t>磋商小组由采购人依法组建，磋商由磋商小组负责。磋商小组由采购人代表和评审专家由3人及3人以上组成，其中评审专家人数不得少于磋商小组成员总数的2/3。</w:t>
            </w:r>
          </w:p>
          <w:p w14:paraId="11E2414D">
            <w:pPr>
              <w:pStyle w:val="16"/>
              <w:jc w:val="left"/>
              <w:rPr>
                <w:rFonts w:ascii="宋体" w:hAnsi="宋体" w:cs="宋体"/>
                <w:sz w:val="21"/>
                <w:szCs w:val="21"/>
                <w:lang w:val="en-US" w:eastAsia="zh-CN" w:bidi="ar-SA"/>
              </w:rPr>
            </w:pPr>
            <w:r>
              <w:rPr>
                <w:rFonts w:hint="eastAsia" w:ascii="宋体" w:hAnsi="宋体" w:eastAsia="Times New Roman" w:cs="Times New Roman"/>
                <w:color w:val="000000"/>
                <w:kern w:val="2"/>
                <w:sz w:val="24"/>
                <w:szCs w:val="24"/>
                <w:highlight w:val="none"/>
                <w:lang w:val="en-US" w:eastAsia="zh-CN" w:bidi="ar-SA"/>
              </w:rPr>
              <w:t>评审专家确定方式：在云南省政府采购评审专家库中随机抽取。</w:t>
            </w:r>
          </w:p>
        </w:tc>
      </w:tr>
      <w:tr w14:paraId="67797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15F81744">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6.3.2</w:t>
            </w:r>
          </w:p>
        </w:tc>
        <w:tc>
          <w:tcPr>
            <w:tcW w:w="2148" w:type="dxa"/>
            <w:noWrap w:val="0"/>
            <w:vAlign w:val="center"/>
          </w:tcPr>
          <w:p w14:paraId="0916D705">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磋商小组推荐成交候选供应商的人数</w:t>
            </w:r>
          </w:p>
        </w:tc>
        <w:tc>
          <w:tcPr>
            <w:tcW w:w="6051" w:type="dxa"/>
            <w:noWrap w:val="0"/>
            <w:vAlign w:val="center"/>
          </w:tcPr>
          <w:p w14:paraId="01ACE1B2">
            <w:pPr>
              <w:pStyle w:val="21"/>
              <w:widowControl w:val="0"/>
              <w:spacing w:line="360" w:lineRule="auto"/>
              <w:jc w:val="both"/>
              <w:rPr>
                <w:rFonts w:hint="eastAsia" w:ascii="宋体" w:hAnsi="宋体" w:eastAsia="Times New Roman"/>
                <w:color w:val="000000"/>
                <w:sz w:val="24"/>
                <w:szCs w:val="24"/>
                <w:highlight w:val="none"/>
              </w:rPr>
            </w:pPr>
            <w:r>
              <w:rPr>
                <w:rFonts w:hint="eastAsia" w:ascii="宋体" w:hAnsi="宋体" w:eastAsia="Times New Roman"/>
                <w:color w:val="000000"/>
                <w:sz w:val="24"/>
                <w:szCs w:val="24"/>
                <w:highlight w:val="none"/>
              </w:rPr>
              <w:t>3名。</w:t>
            </w:r>
          </w:p>
        </w:tc>
      </w:tr>
      <w:tr w14:paraId="14B8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42C39E6">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7.1</w:t>
            </w:r>
          </w:p>
        </w:tc>
        <w:tc>
          <w:tcPr>
            <w:tcW w:w="2148" w:type="dxa"/>
            <w:noWrap w:val="0"/>
            <w:vAlign w:val="center"/>
          </w:tcPr>
          <w:p w14:paraId="25F140C4">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是否授权磋商小组确定成交供应商</w:t>
            </w:r>
          </w:p>
        </w:tc>
        <w:tc>
          <w:tcPr>
            <w:tcW w:w="6051" w:type="dxa"/>
            <w:noWrap w:val="0"/>
            <w:vAlign w:val="center"/>
          </w:tcPr>
          <w:p w14:paraId="5D379B11">
            <w:pPr>
              <w:widowControl w:val="0"/>
              <w:spacing w:line="360" w:lineRule="auto"/>
              <w:jc w:val="both"/>
              <w:rPr>
                <w:rFonts w:ascii="宋体" w:hAnsi="宋体" w:eastAsia="Times New Roman"/>
                <w:kern w:val="2"/>
                <w:sz w:val="24"/>
                <w:szCs w:val="24"/>
                <w:highlight w:val="none"/>
              </w:rPr>
            </w:pPr>
            <w:r>
              <w:rPr>
                <w:rFonts w:hint="eastAsia" w:ascii="宋体" w:hAnsi="宋体" w:eastAsia="宋体"/>
                <w:kern w:val="2"/>
                <w:sz w:val="24"/>
                <w:szCs w:val="24"/>
                <w:highlight w:val="none"/>
                <w:lang w:eastAsia="zh-CN"/>
              </w:rPr>
              <w:t>□</w:t>
            </w:r>
            <w:r>
              <w:rPr>
                <w:rFonts w:hint="eastAsia" w:ascii="宋体" w:hAnsi="宋体" w:eastAsia="Times New Roman"/>
                <w:kern w:val="2"/>
                <w:sz w:val="24"/>
                <w:szCs w:val="24"/>
                <w:highlight w:val="none"/>
              </w:rPr>
              <w:t>是</w:t>
            </w:r>
          </w:p>
          <w:p w14:paraId="6256CB0B">
            <w:pPr>
              <w:widowControl w:val="0"/>
              <w:spacing w:line="360" w:lineRule="auto"/>
              <w:jc w:val="both"/>
              <w:rPr>
                <w:rFonts w:ascii="宋体" w:hAnsi="宋体" w:eastAsia="Times New Roman"/>
                <w:kern w:val="2"/>
                <w:sz w:val="24"/>
                <w:szCs w:val="24"/>
                <w:highlight w:val="none"/>
              </w:rPr>
            </w:pPr>
            <w:r>
              <w:rPr>
                <w:rFonts w:hint="eastAsia" w:ascii="宋体" w:hAnsi="宋体" w:eastAsia="宋体"/>
                <w:kern w:val="2"/>
                <w:sz w:val="24"/>
                <w:szCs w:val="24"/>
                <w:highlight w:val="none"/>
                <w:lang w:eastAsia="zh-CN"/>
              </w:rPr>
              <w:t>☑</w:t>
            </w:r>
            <w:r>
              <w:rPr>
                <w:rFonts w:hint="eastAsia" w:ascii="宋体" w:hAnsi="宋体" w:eastAsia="Times New Roman"/>
                <w:kern w:val="2"/>
                <w:sz w:val="24"/>
                <w:szCs w:val="24"/>
                <w:highlight w:val="none"/>
              </w:rPr>
              <w:t>否</w:t>
            </w:r>
          </w:p>
        </w:tc>
      </w:tr>
      <w:tr w14:paraId="730F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E53FCD6">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7.2</w:t>
            </w:r>
          </w:p>
        </w:tc>
        <w:tc>
          <w:tcPr>
            <w:tcW w:w="2148" w:type="dxa"/>
            <w:noWrap w:val="0"/>
            <w:vAlign w:val="center"/>
          </w:tcPr>
          <w:p w14:paraId="77BE1715">
            <w:pPr>
              <w:widowControl w:val="0"/>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成交公告媒介及期限</w:t>
            </w:r>
          </w:p>
        </w:tc>
        <w:tc>
          <w:tcPr>
            <w:tcW w:w="6051" w:type="dxa"/>
            <w:noWrap w:val="0"/>
            <w:vAlign w:val="center"/>
          </w:tcPr>
          <w:p w14:paraId="48E695B3">
            <w:pPr>
              <w:widowControl w:val="0"/>
              <w:spacing w:line="360" w:lineRule="auto"/>
              <w:jc w:val="both"/>
              <w:rPr>
                <w:rFonts w:hint="eastAsia" w:ascii="宋体" w:hAnsi="宋体" w:eastAsia="Times New Roman"/>
                <w:kern w:val="2"/>
                <w:sz w:val="24"/>
                <w:szCs w:val="24"/>
                <w:highlight w:val="none"/>
              </w:rPr>
            </w:pPr>
            <w:r>
              <w:rPr>
                <w:rFonts w:hint="eastAsia" w:ascii="宋体" w:hAnsi="宋体" w:eastAsia="Times New Roman"/>
                <w:kern w:val="2"/>
                <w:sz w:val="24"/>
                <w:szCs w:val="24"/>
                <w:highlight w:val="none"/>
              </w:rPr>
              <w:t>公告媒介：</w:t>
            </w:r>
            <w:r>
              <w:rPr>
                <w:rFonts w:hint="eastAsia" w:ascii="宋体" w:hAnsi="宋体"/>
                <w:kern w:val="2"/>
                <w:sz w:val="24"/>
                <w:szCs w:val="24"/>
                <w:highlight w:val="none"/>
              </w:rPr>
              <w:t>同竞争性磋商公告发布媒介</w:t>
            </w:r>
          </w:p>
          <w:p w14:paraId="5139A6C8">
            <w:pPr>
              <w:widowControl w:val="0"/>
              <w:spacing w:line="360" w:lineRule="auto"/>
              <w:jc w:val="both"/>
              <w:rPr>
                <w:rFonts w:ascii="宋体" w:hAnsi="宋体" w:eastAsia="Times New Roman"/>
                <w:kern w:val="2"/>
                <w:sz w:val="24"/>
                <w:szCs w:val="24"/>
                <w:highlight w:val="none"/>
                <w:u w:val="single"/>
              </w:rPr>
            </w:pPr>
            <w:r>
              <w:rPr>
                <w:rFonts w:hint="eastAsia" w:ascii="宋体" w:hAnsi="宋体" w:eastAsia="Times New Roman"/>
                <w:kern w:val="2"/>
                <w:sz w:val="24"/>
                <w:szCs w:val="24"/>
                <w:highlight w:val="none"/>
              </w:rPr>
              <w:t>公告期限：1个工作日</w:t>
            </w:r>
          </w:p>
        </w:tc>
      </w:tr>
      <w:tr w14:paraId="693B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0F6148ED">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7.4.1</w:t>
            </w:r>
          </w:p>
        </w:tc>
        <w:tc>
          <w:tcPr>
            <w:tcW w:w="2148" w:type="dxa"/>
            <w:noWrap w:val="0"/>
            <w:vAlign w:val="center"/>
          </w:tcPr>
          <w:p w14:paraId="67B3BB2D">
            <w:pPr>
              <w:spacing w:line="400" w:lineRule="exact"/>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履约保证金</w:t>
            </w:r>
          </w:p>
        </w:tc>
        <w:tc>
          <w:tcPr>
            <w:tcW w:w="6051" w:type="dxa"/>
            <w:noWrap w:val="0"/>
            <w:vAlign w:val="center"/>
          </w:tcPr>
          <w:p w14:paraId="7235D7FE">
            <w:pPr>
              <w:spacing w:line="400" w:lineRule="exac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是否要求</w:t>
            </w:r>
            <w:r>
              <w:rPr>
                <w:rFonts w:hint="eastAsia" w:ascii="宋体" w:hAnsi="宋体" w:eastAsia="宋体" w:cs="宋体"/>
                <w:kern w:val="2"/>
                <w:sz w:val="24"/>
                <w:szCs w:val="24"/>
                <w:highlight w:val="none"/>
                <w:lang w:eastAsia="zh-CN"/>
              </w:rPr>
              <w:t>成交</w:t>
            </w:r>
            <w:r>
              <w:rPr>
                <w:rFonts w:hint="eastAsia" w:ascii="宋体" w:hAnsi="宋体" w:eastAsia="宋体" w:cs="宋体"/>
                <w:kern w:val="2"/>
                <w:sz w:val="24"/>
                <w:szCs w:val="24"/>
                <w:highlight w:val="none"/>
              </w:rPr>
              <w:t>人提交履约保证金：</w:t>
            </w:r>
          </w:p>
          <w:p w14:paraId="47FF4E92">
            <w:pPr>
              <w:spacing w:line="400" w:lineRule="exact"/>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□要求，履约保证金的形式：</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u w:val="none"/>
                <w:lang w:eastAsia="zh-CN"/>
              </w:rPr>
              <w:t>等</w:t>
            </w:r>
            <w:r>
              <w:rPr>
                <w:rFonts w:hint="eastAsia" w:ascii="宋体" w:hAnsi="宋体" w:eastAsia="宋体" w:cs="宋体"/>
                <w:kern w:val="2"/>
                <w:sz w:val="24"/>
                <w:szCs w:val="24"/>
                <w:highlight w:val="none"/>
                <w:u w:val="none"/>
              </w:rPr>
              <w:t>非</w:t>
            </w:r>
            <w:r>
              <w:rPr>
                <w:rFonts w:hint="eastAsia" w:ascii="宋体" w:hAnsi="宋体" w:eastAsia="宋体" w:cs="宋体"/>
                <w:kern w:val="2"/>
                <w:sz w:val="24"/>
                <w:szCs w:val="24"/>
                <w:highlight w:val="none"/>
              </w:rPr>
              <w:t>现金形式提交</w:t>
            </w:r>
            <w:r>
              <w:rPr>
                <w:rFonts w:hint="eastAsia" w:ascii="宋体" w:hAnsi="宋体" w:eastAsia="宋体" w:cs="宋体"/>
                <w:kern w:val="2"/>
                <w:sz w:val="24"/>
                <w:szCs w:val="24"/>
                <w:highlight w:val="none"/>
                <w:lang w:eastAsia="zh-CN"/>
              </w:rPr>
              <w:t>；</w:t>
            </w:r>
          </w:p>
          <w:p w14:paraId="3D73691C">
            <w:pPr>
              <w:spacing w:line="400" w:lineRule="exact"/>
              <w:ind w:firstLine="96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履约保证金的金额：</w:t>
            </w:r>
            <w:r>
              <w:rPr>
                <w:rFonts w:hint="eastAsia" w:ascii="宋体" w:hAnsi="宋体" w:eastAsia="宋体" w:cs="宋体"/>
                <w:kern w:val="2"/>
                <w:sz w:val="24"/>
                <w:szCs w:val="24"/>
                <w:highlight w:val="none"/>
                <w:u w:val="single"/>
              </w:rPr>
              <w:t xml:space="preserve">         </w:t>
            </w:r>
          </w:p>
          <w:p w14:paraId="137B067B">
            <w:pPr>
              <w:spacing w:line="400" w:lineRule="exact"/>
              <w:rPr>
                <w:rFonts w:ascii="宋体" w:hAnsi="宋体" w:eastAsia="Times New Roman"/>
                <w:kern w:val="2"/>
                <w:sz w:val="24"/>
                <w:szCs w:val="24"/>
                <w:highlight w:val="none"/>
              </w:rPr>
            </w:pP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rPr>
              <w:t>不要求</w:t>
            </w:r>
          </w:p>
        </w:tc>
      </w:tr>
      <w:tr w14:paraId="06F4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683D8105">
            <w:pPr>
              <w:widowControl w:val="0"/>
              <w:spacing w:line="360" w:lineRule="auto"/>
              <w:jc w:val="center"/>
              <w:rPr>
                <w:rFonts w:hint="eastAsia" w:ascii="宋体" w:hAnsi="宋体" w:eastAsia="Times New Roman"/>
                <w:kern w:val="2"/>
                <w:sz w:val="24"/>
                <w:szCs w:val="24"/>
                <w:highlight w:val="none"/>
              </w:rPr>
            </w:pPr>
            <w:r>
              <w:rPr>
                <w:rFonts w:hint="eastAsia" w:ascii="宋体" w:hAnsi="宋体" w:eastAsia="Times New Roman"/>
                <w:kern w:val="2"/>
                <w:sz w:val="24"/>
                <w:szCs w:val="24"/>
                <w:highlight w:val="none"/>
              </w:rPr>
              <w:t>11</w:t>
            </w:r>
          </w:p>
        </w:tc>
        <w:tc>
          <w:tcPr>
            <w:tcW w:w="8199" w:type="dxa"/>
            <w:gridSpan w:val="2"/>
            <w:noWrap w:val="0"/>
            <w:vAlign w:val="center"/>
          </w:tcPr>
          <w:p w14:paraId="4E6ABE92">
            <w:pPr>
              <w:widowControl w:val="0"/>
              <w:spacing w:line="360" w:lineRule="auto"/>
              <w:ind w:left="210" w:leftChars="100"/>
              <w:jc w:val="left"/>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rPr>
              <w:t>需要补充的其他内容</w:t>
            </w:r>
          </w:p>
        </w:tc>
      </w:tr>
      <w:tr w14:paraId="1C1C8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4D77C8D7">
            <w:pPr>
              <w:widowControl w:val="0"/>
              <w:spacing w:line="360" w:lineRule="auto"/>
              <w:jc w:val="center"/>
              <w:rPr>
                <w:rFonts w:ascii="宋体" w:hAnsi="宋体" w:eastAsia="Times New Roman"/>
                <w:kern w:val="2"/>
                <w:sz w:val="24"/>
                <w:szCs w:val="24"/>
                <w:highlight w:val="none"/>
              </w:rPr>
            </w:pPr>
            <w:r>
              <w:rPr>
                <w:rFonts w:hint="eastAsia" w:ascii="宋体" w:hAnsi="宋体" w:eastAsia="Times New Roman"/>
                <w:kern w:val="2"/>
                <w:sz w:val="24"/>
                <w:szCs w:val="24"/>
                <w:highlight w:val="none"/>
              </w:rPr>
              <w:t>11.1</w:t>
            </w:r>
          </w:p>
        </w:tc>
        <w:tc>
          <w:tcPr>
            <w:tcW w:w="2148" w:type="dxa"/>
            <w:noWrap w:val="0"/>
            <w:vAlign w:val="center"/>
          </w:tcPr>
          <w:p w14:paraId="3017DE32">
            <w:pPr>
              <w:widowControl w:val="0"/>
              <w:spacing w:line="360" w:lineRule="auto"/>
              <w:ind w:left="210" w:leftChars="100"/>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评审方法</w:t>
            </w:r>
          </w:p>
        </w:tc>
        <w:tc>
          <w:tcPr>
            <w:tcW w:w="6051" w:type="dxa"/>
            <w:noWrap w:val="0"/>
            <w:vAlign w:val="center"/>
          </w:tcPr>
          <w:p w14:paraId="5CD1596D">
            <w:pPr>
              <w:widowControl w:val="0"/>
              <w:spacing w:line="360" w:lineRule="auto"/>
              <w:jc w:val="both"/>
              <w:rPr>
                <w:rFonts w:ascii="宋体" w:hAnsi="宋体" w:eastAsia="Times New Roman"/>
                <w:kern w:val="2"/>
                <w:sz w:val="24"/>
                <w:szCs w:val="24"/>
                <w:highlight w:val="none"/>
              </w:rPr>
            </w:pPr>
            <w:r>
              <w:rPr>
                <w:rFonts w:hint="eastAsia" w:ascii="宋体" w:hAnsi="宋体" w:eastAsia="Times New Roman"/>
                <w:kern w:val="2"/>
                <w:sz w:val="24"/>
                <w:szCs w:val="24"/>
                <w:highlight w:val="none"/>
              </w:rPr>
              <w:t>综合评分法</w:t>
            </w:r>
          </w:p>
        </w:tc>
      </w:tr>
      <w:tr w14:paraId="30E57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7FF84638">
            <w:pPr>
              <w:widowControl w:val="0"/>
              <w:spacing w:line="360" w:lineRule="auto"/>
              <w:jc w:val="center"/>
              <w:rPr>
                <w:rFonts w:hint="eastAsia" w:ascii="宋体" w:hAnsi="宋体"/>
                <w:kern w:val="2"/>
                <w:sz w:val="24"/>
                <w:szCs w:val="24"/>
                <w:highlight w:val="none"/>
              </w:rPr>
            </w:pPr>
            <w:r>
              <w:rPr>
                <w:rFonts w:hint="eastAsia" w:ascii="宋体" w:hAnsi="宋体"/>
                <w:kern w:val="2"/>
                <w:sz w:val="24"/>
                <w:szCs w:val="24"/>
                <w:highlight w:val="none"/>
              </w:rPr>
              <w:t>11.2</w:t>
            </w:r>
          </w:p>
        </w:tc>
        <w:tc>
          <w:tcPr>
            <w:tcW w:w="2148" w:type="dxa"/>
            <w:noWrap w:val="0"/>
            <w:vAlign w:val="center"/>
          </w:tcPr>
          <w:p w14:paraId="194479ED">
            <w:pPr>
              <w:widowControl w:val="0"/>
              <w:spacing w:line="360" w:lineRule="auto"/>
              <w:ind w:left="210" w:leftChars="100"/>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追加合同金额</w:t>
            </w:r>
          </w:p>
        </w:tc>
        <w:tc>
          <w:tcPr>
            <w:tcW w:w="6051" w:type="dxa"/>
            <w:noWrap w:val="0"/>
            <w:vAlign w:val="center"/>
          </w:tcPr>
          <w:p w14:paraId="44E19899">
            <w:pPr>
              <w:widowControl w:val="0"/>
              <w:spacing w:line="360" w:lineRule="auto"/>
              <w:jc w:val="both"/>
              <w:rPr>
                <w:rFonts w:hint="eastAsia" w:ascii="宋体" w:hAnsi="宋体" w:eastAsia="Times New Roman"/>
                <w:kern w:val="2"/>
                <w:sz w:val="24"/>
                <w:szCs w:val="24"/>
                <w:highlight w:val="none"/>
              </w:rPr>
            </w:pPr>
            <w:r>
              <w:rPr>
                <w:rFonts w:hint="eastAsia" w:ascii="宋体" w:hAnsi="宋体" w:eastAsia="Times New Roman"/>
                <w:sz w:val="24"/>
                <w:szCs w:val="24"/>
                <w:highlight w:val="none"/>
              </w:rPr>
              <w:t>政府采购合同履行中，采购人需追加与合同标的相同的工程的，</w:t>
            </w:r>
            <w:r>
              <w:rPr>
                <w:rFonts w:hint="eastAsia" w:ascii="宋体" w:hAnsi="宋体" w:eastAsia="Times New Roman"/>
                <w:sz w:val="24"/>
                <w:highlight w:val="none"/>
              </w:rPr>
              <w:t>在不改变合同其他条款的前提下，可以与成交供应商签订补充合同，但所有补充合同的采购金额变更不得超过原合同采购金额的10%，其中金额增加需办理合同追加手续。</w:t>
            </w:r>
          </w:p>
        </w:tc>
      </w:tr>
      <w:tr w14:paraId="03E5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248774BC">
            <w:pPr>
              <w:widowControl w:val="0"/>
              <w:spacing w:line="360" w:lineRule="auto"/>
              <w:jc w:val="center"/>
              <w:rPr>
                <w:rFonts w:hint="eastAsia" w:ascii="宋体" w:hAnsi="宋体"/>
                <w:kern w:val="2"/>
                <w:sz w:val="24"/>
                <w:szCs w:val="24"/>
                <w:highlight w:val="none"/>
              </w:rPr>
            </w:pPr>
            <w:r>
              <w:rPr>
                <w:rFonts w:hint="eastAsia" w:ascii="宋体" w:hAnsi="宋体" w:eastAsia="Times New Roman"/>
                <w:kern w:val="2"/>
                <w:sz w:val="24"/>
                <w:szCs w:val="24"/>
                <w:highlight w:val="none"/>
              </w:rPr>
              <w:t>11.</w:t>
            </w:r>
            <w:r>
              <w:rPr>
                <w:rFonts w:hint="eastAsia" w:ascii="宋体" w:hAnsi="宋体"/>
                <w:kern w:val="2"/>
                <w:sz w:val="24"/>
                <w:szCs w:val="24"/>
                <w:highlight w:val="none"/>
              </w:rPr>
              <w:t>3</w:t>
            </w:r>
          </w:p>
        </w:tc>
        <w:tc>
          <w:tcPr>
            <w:tcW w:w="2148" w:type="dxa"/>
            <w:noWrap w:val="0"/>
            <w:vAlign w:val="center"/>
          </w:tcPr>
          <w:p w14:paraId="249891D9">
            <w:pPr>
              <w:spacing w:line="360" w:lineRule="auto"/>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信用查询具体要求</w:t>
            </w:r>
          </w:p>
        </w:tc>
        <w:tc>
          <w:tcPr>
            <w:tcW w:w="6051" w:type="dxa"/>
            <w:noWrap w:val="0"/>
            <w:vAlign w:val="center"/>
          </w:tcPr>
          <w:p w14:paraId="2885AB98">
            <w:pPr>
              <w:widowControl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本项目将执行在政府采购活动中查询及使用信用记录的规定，具体要求为：</w:t>
            </w:r>
          </w:p>
          <w:p w14:paraId="34DB314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（1）供应商应在“信用中国”网站(www.creditchina.gov.cn)未被列入失信被执行人记录、</w:t>
            </w:r>
            <w:r>
              <w:rPr>
                <w:rFonts w:hint="eastAsia" w:ascii="宋体" w:hAnsi="宋体" w:eastAsia="宋体" w:cs="宋体"/>
                <w:sz w:val="24"/>
                <w:szCs w:val="24"/>
                <w:highlight w:val="none"/>
                <w:lang w:eastAsia="zh-CN"/>
              </w:rPr>
              <w:t>重大税收违法失信主体</w:t>
            </w:r>
            <w:r>
              <w:rPr>
                <w:rFonts w:hint="eastAsia" w:ascii="宋体" w:hAnsi="宋体" w:eastAsia="宋体" w:cs="宋体"/>
                <w:sz w:val="24"/>
                <w:szCs w:val="24"/>
                <w:highlight w:val="none"/>
              </w:rPr>
              <w:t>且在中国政府采购网(www.ccgp.gov.cn)没有政府采购严重违法失信行为记录(被禁止在一定期限内参加政府采购活动但期限届满的除外)</w:t>
            </w:r>
            <w:r>
              <w:rPr>
                <w:rFonts w:hint="eastAsia" w:ascii="宋体" w:hAnsi="宋体" w:eastAsia="宋体" w:cs="宋体"/>
                <w:sz w:val="24"/>
                <w:szCs w:val="24"/>
                <w:highlight w:val="none"/>
                <w:lang w:eastAsia="zh-CN"/>
              </w:rPr>
              <w:t>；</w:t>
            </w:r>
          </w:p>
          <w:p w14:paraId="6CE3AAD5">
            <w:pPr>
              <w:widowControl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信用信息查询的截止时点：响应文件递交截止时间当天评审前</w:t>
            </w:r>
            <w:r>
              <w:rPr>
                <w:rFonts w:hint="eastAsia" w:ascii="宋体" w:hAnsi="宋体" w:eastAsia="宋体" w:cs="宋体"/>
                <w:sz w:val="24"/>
                <w:szCs w:val="24"/>
                <w:highlight w:val="none"/>
              </w:rPr>
              <w:t>；</w:t>
            </w:r>
          </w:p>
          <w:p w14:paraId="09B0DBBB">
            <w:pPr>
              <w:widowControl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（3）信用信息查询渠道：“信用中国”网站、中国政府采购网；</w:t>
            </w:r>
          </w:p>
          <w:p w14:paraId="679C3EDB">
            <w:pPr>
              <w:widowControl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（4）信用信息查询记录和证据留存具体方式：采购人、采购代理机构将经查询存在不良信用记录的潜在供应商</w:t>
            </w:r>
            <w:r>
              <w:rPr>
                <w:rFonts w:hint="eastAsia" w:ascii="宋体" w:hAnsi="宋体" w:eastAsia="宋体" w:cs="宋体"/>
                <w:sz w:val="24"/>
                <w:szCs w:val="24"/>
                <w:highlight w:val="none"/>
                <w:lang w:eastAsia="zh-CN"/>
              </w:rPr>
              <w:t>查询结果证明材料</w:t>
            </w:r>
            <w:r>
              <w:rPr>
                <w:rFonts w:hint="eastAsia" w:ascii="宋体" w:hAnsi="宋体" w:eastAsia="宋体" w:cs="宋体"/>
                <w:sz w:val="24"/>
                <w:szCs w:val="24"/>
                <w:highlight w:val="none"/>
              </w:rPr>
              <w:t>作为查询记录和证据，与其他采购文件一并保存；</w:t>
            </w:r>
          </w:p>
          <w:p w14:paraId="04539742">
            <w:pPr>
              <w:widowControl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（5）信用信息的使用规则：本政府采购项目的供应商在信用信息查询截止时点（含）之前被列入失信被执行人、</w:t>
            </w:r>
            <w:r>
              <w:rPr>
                <w:rFonts w:hint="eastAsia" w:ascii="宋体" w:hAnsi="宋体" w:eastAsia="宋体" w:cs="宋体"/>
                <w:sz w:val="24"/>
                <w:szCs w:val="24"/>
                <w:highlight w:val="none"/>
                <w:lang w:eastAsia="zh-CN"/>
              </w:rPr>
              <w:t>重大税收违法失信主体</w:t>
            </w:r>
            <w:r>
              <w:rPr>
                <w:rFonts w:hint="eastAsia" w:ascii="宋体" w:hAnsi="宋体" w:eastAsia="宋体" w:cs="宋体"/>
                <w:sz w:val="24"/>
                <w:szCs w:val="24"/>
                <w:highlight w:val="none"/>
              </w:rPr>
              <w:t>、政府采购严重违法失信行为记录名单及其他不符合《中华人民共和国政府采购法》第二十二条规定条件的供应商，其</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无效；</w:t>
            </w:r>
          </w:p>
          <w:p w14:paraId="69B84A8A">
            <w:pPr>
              <w:pStyle w:val="8"/>
              <w:rPr>
                <w:rFonts w:hint="eastAsia" w:ascii="宋体" w:hAnsi="宋体" w:eastAsia="Times New Roman" w:cs="宋体"/>
                <w:szCs w:val="21"/>
                <w:highlight w:val="none"/>
              </w:rPr>
            </w:pPr>
            <w:r>
              <w:rPr>
                <w:rFonts w:hint="eastAsia" w:ascii="宋体" w:hAnsi="宋体" w:eastAsia="宋体" w:cs="宋体"/>
                <w:sz w:val="24"/>
                <w:highlight w:val="none"/>
              </w:rPr>
              <w:t>(6)采购人、采购代理机构通过“信用中国”网、中国政府采购网等渠道查询相关主体信用记录，若供应商存在被列入失信被执行人、</w:t>
            </w:r>
            <w:r>
              <w:rPr>
                <w:rFonts w:hint="eastAsia" w:ascii="宋体" w:hAnsi="宋体" w:eastAsia="宋体" w:cs="宋体"/>
                <w:sz w:val="24"/>
                <w:highlight w:val="none"/>
                <w:lang w:eastAsia="zh-CN"/>
              </w:rPr>
              <w:t>重大税收违法失信主体</w:t>
            </w:r>
            <w:r>
              <w:rPr>
                <w:rFonts w:hint="eastAsia" w:ascii="宋体" w:hAnsi="宋体" w:eastAsia="宋体" w:cs="宋体"/>
                <w:sz w:val="24"/>
                <w:highlight w:val="none"/>
              </w:rPr>
              <w:t>、政府采购严重违法失信行为记录名单，则</w:t>
            </w:r>
            <w:r>
              <w:rPr>
                <w:rFonts w:hint="eastAsia" w:ascii="宋体" w:hAnsi="宋体" w:eastAsia="宋体" w:cs="宋体"/>
                <w:sz w:val="24"/>
                <w:highlight w:val="none"/>
                <w:lang w:eastAsia="zh-CN"/>
              </w:rPr>
              <w:t>磋商</w:t>
            </w:r>
            <w:r>
              <w:rPr>
                <w:rFonts w:hint="eastAsia" w:ascii="宋体" w:hAnsi="宋体" w:eastAsia="宋体" w:cs="宋体"/>
                <w:sz w:val="24"/>
                <w:highlight w:val="none"/>
              </w:rPr>
              <w:t>无效。</w:t>
            </w:r>
          </w:p>
        </w:tc>
      </w:tr>
      <w:tr w14:paraId="6AFE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35431165">
            <w:pPr>
              <w:spacing w:line="360" w:lineRule="auto"/>
              <w:jc w:val="center"/>
              <w:rPr>
                <w:rFonts w:hint="default" w:ascii="宋体" w:hAnsi="宋体" w:eastAsia="宋体"/>
                <w:color w:val="FF0000"/>
                <w:kern w:val="2"/>
                <w:sz w:val="24"/>
                <w:szCs w:val="24"/>
                <w:highlight w:val="none"/>
                <w:lang w:val="en-US" w:eastAsia="zh-CN"/>
              </w:rPr>
            </w:pPr>
            <w:r>
              <w:rPr>
                <w:rFonts w:hint="eastAsia" w:ascii="宋体" w:hAnsi="宋体" w:cs="宋体"/>
                <w:kern w:val="2"/>
                <w:sz w:val="24"/>
                <w:szCs w:val="24"/>
                <w:highlight w:val="none"/>
                <w:lang w:val="en-US" w:eastAsia="zh-CN"/>
              </w:rPr>
              <w:t>11.4</w:t>
            </w:r>
          </w:p>
        </w:tc>
        <w:tc>
          <w:tcPr>
            <w:tcW w:w="2148" w:type="dxa"/>
            <w:noWrap w:val="0"/>
            <w:vAlign w:val="center"/>
          </w:tcPr>
          <w:p w14:paraId="105DA17C">
            <w:pPr>
              <w:spacing w:line="360" w:lineRule="auto"/>
              <w:jc w:val="left"/>
              <w:rPr>
                <w:rFonts w:hint="eastAsia" w:ascii="宋体" w:hAnsi="宋体" w:eastAsia="宋体" w:cs="宋体"/>
                <w:color w:val="FF0000"/>
                <w:kern w:val="2"/>
                <w:sz w:val="24"/>
                <w:szCs w:val="24"/>
                <w:highlight w:val="none"/>
                <w:lang w:val="en-US"/>
              </w:rPr>
            </w:pPr>
            <w:r>
              <w:rPr>
                <w:rFonts w:hint="eastAsia" w:ascii="宋体" w:hAnsi="宋体" w:eastAsia="宋体" w:cs="宋体"/>
                <w:kern w:val="2"/>
                <w:sz w:val="24"/>
                <w:szCs w:val="24"/>
                <w:highlight w:val="none"/>
                <w:lang w:eastAsia="zh-CN"/>
              </w:rPr>
              <w:t>补充</w:t>
            </w:r>
            <w:r>
              <w:rPr>
                <w:rFonts w:hint="eastAsia" w:ascii="宋体" w:hAnsi="宋体" w:eastAsia="宋体" w:cs="宋体"/>
                <w:kern w:val="2"/>
                <w:sz w:val="24"/>
                <w:szCs w:val="24"/>
                <w:highlight w:val="none"/>
                <w:lang w:val="en-US" w:eastAsia="zh-CN"/>
              </w:rPr>
              <w:t>2</w:t>
            </w:r>
          </w:p>
        </w:tc>
        <w:tc>
          <w:tcPr>
            <w:tcW w:w="6051" w:type="dxa"/>
            <w:noWrap w:val="0"/>
            <w:vAlign w:val="center"/>
          </w:tcPr>
          <w:p w14:paraId="74588640">
            <w:pPr>
              <w:keepNext w:val="0"/>
              <w:keepLines w:val="0"/>
              <w:pageBreakBefore w:val="0"/>
              <w:widowControl w:val="0"/>
              <w:kinsoku/>
              <w:wordWrap/>
              <w:overflowPunct/>
              <w:topLinePunct w:val="0"/>
              <w:bidi w:val="0"/>
              <w:snapToGrid/>
              <w:spacing w:line="360" w:lineRule="auto"/>
              <w:textAlignment w:val="auto"/>
              <w:rPr>
                <w:rFonts w:ascii="宋体" w:hAnsi="宋体" w:eastAsia="Times New Roman"/>
                <w:color w:val="FF0000"/>
                <w:kern w:val="2"/>
                <w:sz w:val="24"/>
                <w:szCs w:val="24"/>
                <w:highlight w:val="none"/>
              </w:rPr>
            </w:pPr>
            <w:r>
              <w:rPr>
                <w:rFonts w:hint="eastAsia" w:ascii="宋体" w:hAnsi="宋体" w:eastAsia="宋体" w:cs="宋体"/>
                <w:color w:val="auto"/>
                <w:sz w:val="24"/>
                <w:szCs w:val="24"/>
                <w:highlight w:val="none"/>
                <w:lang w:val="en-US" w:eastAsia="zh-CN"/>
              </w:rPr>
              <w:t xml:space="preserve">依据《政府采购促进中小企业发展管理办法》（财库〔2020〕46号）规定享受扶持政策获得政府采购合同的，小微企业不得将合同分包给大中型企业，中型企业不得将合同分包给大型企业。 </w:t>
            </w:r>
          </w:p>
        </w:tc>
      </w:tr>
      <w:tr w14:paraId="078A4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noWrap w:val="0"/>
            <w:vAlign w:val="center"/>
          </w:tcPr>
          <w:p w14:paraId="456025EC">
            <w:pPr>
              <w:spacing w:line="360" w:lineRule="auto"/>
              <w:jc w:val="center"/>
              <w:rPr>
                <w:rFonts w:hint="default" w:ascii="宋体" w:hAnsi="宋体" w:cs="宋体"/>
                <w:kern w:val="2"/>
                <w:sz w:val="24"/>
                <w:szCs w:val="24"/>
                <w:highlight w:val="none"/>
                <w:lang w:val="en-US" w:eastAsia="zh-CN"/>
              </w:rPr>
            </w:pPr>
            <w:r>
              <w:rPr>
                <w:rFonts w:hint="eastAsia" w:ascii="宋体" w:hAnsi="宋体" w:cs="宋体"/>
                <w:kern w:val="2"/>
                <w:sz w:val="24"/>
                <w:szCs w:val="24"/>
                <w:highlight w:val="none"/>
                <w:lang w:val="en-US" w:eastAsia="zh-CN"/>
              </w:rPr>
              <w:t>11.5</w:t>
            </w:r>
          </w:p>
        </w:tc>
        <w:tc>
          <w:tcPr>
            <w:tcW w:w="2148" w:type="dxa"/>
            <w:noWrap w:val="0"/>
            <w:vAlign w:val="center"/>
          </w:tcPr>
          <w:p w14:paraId="1C5836A3">
            <w:pPr>
              <w:spacing w:line="360" w:lineRule="auto"/>
              <w:jc w:val="left"/>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eastAsia="zh-CN"/>
              </w:rPr>
              <w:t>补充</w:t>
            </w:r>
            <w:r>
              <w:rPr>
                <w:rFonts w:hint="eastAsia" w:ascii="宋体" w:hAnsi="宋体" w:eastAsia="宋体" w:cs="宋体"/>
                <w:kern w:val="2"/>
                <w:sz w:val="24"/>
                <w:szCs w:val="24"/>
                <w:highlight w:val="none"/>
                <w:lang w:val="en-US" w:eastAsia="zh-CN"/>
              </w:rPr>
              <w:t>3</w:t>
            </w:r>
          </w:p>
        </w:tc>
        <w:tc>
          <w:tcPr>
            <w:tcW w:w="6051" w:type="dxa"/>
            <w:noWrap w:val="0"/>
            <w:vAlign w:val="center"/>
          </w:tcPr>
          <w:p w14:paraId="3D8E0818">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按《国民经济行业分类》，本项目行业分类为建筑业。</w:t>
            </w:r>
          </w:p>
        </w:tc>
      </w:tr>
    </w:tbl>
    <w:p w14:paraId="6FF58960">
      <w:pPr>
        <w:pStyle w:val="22"/>
        <w:rPr>
          <w:rFonts w:hint="eastAsia"/>
          <w:color w:val="FF0000"/>
        </w:rPr>
      </w:pPr>
    </w:p>
    <w:p w14:paraId="7594534E">
      <w:pPr>
        <w:pStyle w:val="3"/>
        <w:spacing w:before="0" w:after="0" w:line="360" w:lineRule="auto"/>
        <w:rPr>
          <w:rFonts w:hint="eastAsia" w:ascii="宋体" w:hAnsi="宋体" w:eastAsia="宋体"/>
          <w:sz w:val="28"/>
          <w:szCs w:val="28"/>
        </w:rPr>
      </w:pPr>
      <w:bookmarkStart w:id="118" w:name="_Toc20589"/>
      <w:bookmarkEnd w:id="118"/>
      <w:bookmarkStart w:id="119" w:name="_Toc27064"/>
      <w:bookmarkEnd w:id="119"/>
      <w:bookmarkStart w:id="120" w:name="_Toc3896282"/>
      <w:bookmarkStart w:id="121" w:name="_Toc19039"/>
      <w:r>
        <w:rPr>
          <w:rFonts w:hint="eastAsia" w:ascii="宋体" w:hAnsi="宋体" w:eastAsia="宋体"/>
          <w:sz w:val="28"/>
          <w:szCs w:val="28"/>
        </w:rPr>
        <w:br w:type="page"/>
      </w:r>
      <w:bookmarkStart w:id="122" w:name="_Toc4429"/>
      <w:bookmarkStart w:id="123" w:name="_Toc24853"/>
      <w:r>
        <w:rPr>
          <w:rFonts w:hint="eastAsia" w:ascii="宋体" w:hAnsi="宋体" w:eastAsia="宋体"/>
          <w:sz w:val="28"/>
          <w:szCs w:val="28"/>
        </w:rPr>
        <w:t>1.总则</w:t>
      </w:r>
      <w:bookmarkEnd w:id="120"/>
      <w:bookmarkEnd w:id="121"/>
      <w:bookmarkEnd w:id="122"/>
      <w:bookmarkEnd w:id="123"/>
    </w:p>
    <w:p w14:paraId="39C0B266">
      <w:pPr>
        <w:spacing w:line="360" w:lineRule="auto"/>
        <w:rPr>
          <w:rFonts w:hint="eastAsia" w:ascii="宋体" w:hAnsi="宋体"/>
          <w:b/>
          <w:sz w:val="24"/>
          <w:szCs w:val="24"/>
        </w:rPr>
      </w:pPr>
      <w:bookmarkStart w:id="124" w:name="_Toc31335"/>
      <w:bookmarkEnd w:id="124"/>
      <w:bookmarkStart w:id="125" w:name="_Toc700"/>
      <w:r>
        <w:rPr>
          <w:rFonts w:hint="eastAsia" w:ascii="宋体" w:hAnsi="宋体"/>
          <w:b/>
          <w:sz w:val="24"/>
          <w:szCs w:val="24"/>
        </w:rPr>
        <w:t>1.1 项目概况</w:t>
      </w:r>
      <w:bookmarkEnd w:id="125"/>
    </w:p>
    <w:p w14:paraId="02C7509E">
      <w:pPr>
        <w:spacing w:line="360" w:lineRule="auto"/>
        <w:ind w:firstLine="480" w:firstLineChars="200"/>
        <w:rPr>
          <w:rFonts w:hint="eastAsia" w:ascii="宋体" w:hAnsi="宋体"/>
          <w:sz w:val="24"/>
          <w:szCs w:val="24"/>
        </w:rPr>
      </w:pPr>
      <w:r>
        <w:rPr>
          <w:rFonts w:hint="eastAsia" w:ascii="宋体" w:hAnsi="宋体"/>
          <w:sz w:val="24"/>
          <w:szCs w:val="24"/>
        </w:rPr>
        <w:t>1.1.1根据《中华人民共和国政府采购法》《中华人民共和国政府采购法实施条例》《政府采购竞争性磋商采购方式管理暂行办法》（财库[2014]214号）等有关法律、法规和规章的规定，本项目已具备磋商条件，现对本项目进行磋商。</w:t>
      </w:r>
    </w:p>
    <w:p w14:paraId="7C1CF0D0">
      <w:pPr>
        <w:spacing w:line="360" w:lineRule="auto"/>
        <w:ind w:firstLine="480" w:firstLineChars="200"/>
        <w:rPr>
          <w:rFonts w:hint="eastAsia" w:ascii="宋体" w:hAnsi="宋体"/>
          <w:sz w:val="24"/>
          <w:szCs w:val="24"/>
        </w:rPr>
      </w:pPr>
      <w:r>
        <w:rPr>
          <w:rFonts w:hint="eastAsia" w:ascii="宋体" w:hAnsi="宋体"/>
          <w:sz w:val="24"/>
          <w:szCs w:val="24"/>
        </w:rPr>
        <w:t>1.1.2 采购人：见供应商须知前附表。</w:t>
      </w:r>
    </w:p>
    <w:p w14:paraId="25164037">
      <w:pPr>
        <w:spacing w:line="360" w:lineRule="auto"/>
        <w:ind w:firstLine="480" w:firstLineChars="200"/>
        <w:rPr>
          <w:rFonts w:hint="eastAsia" w:ascii="宋体" w:hAnsi="宋体"/>
          <w:sz w:val="24"/>
          <w:szCs w:val="24"/>
        </w:rPr>
      </w:pPr>
      <w:r>
        <w:rPr>
          <w:rFonts w:hint="eastAsia" w:ascii="宋体" w:hAnsi="宋体"/>
          <w:sz w:val="24"/>
          <w:szCs w:val="24"/>
        </w:rPr>
        <w:t>1.1.3 采购代理机构：见供应商须知前附表。</w:t>
      </w:r>
    </w:p>
    <w:p w14:paraId="0CE7F1FC">
      <w:pPr>
        <w:spacing w:line="360" w:lineRule="auto"/>
        <w:ind w:firstLine="480" w:firstLineChars="200"/>
        <w:rPr>
          <w:rFonts w:hint="eastAsia" w:ascii="宋体" w:hAnsi="宋体"/>
          <w:sz w:val="24"/>
          <w:szCs w:val="24"/>
        </w:rPr>
      </w:pPr>
      <w:r>
        <w:rPr>
          <w:rFonts w:hint="eastAsia" w:ascii="宋体" w:hAnsi="宋体"/>
          <w:sz w:val="24"/>
          <w:szCs w:val="24"/>
        </w:rPr>
        <w:t>1.1.4 项目名称：见供应商须知前附表。</w:t>
      </w:r>
    </w:p>
    <w:p w14:paraId="642FEA46">
      <w:pPr>
        <w:spacing w:line="360" w:lineRule="auto"/>
        <w:rPr>
          <w:rFonts w:hint="eastAsia" w:ascii="宋体" w:hAnsi="宋体" w:eastAsia="宋体"/>
          <w:b/>
          <w:sz w:val="24"/>
          <w:szCs w:val="24"/>
          <w:highlight w:val="none"/>
          <w:lang w:eastAsia="zh-CN"/>
        </w:rPr>
      </w:pPr>
      <w:bookmarkStart w:id="126" w:name="_Toc27395"/>
      <w:bookmarkEnd w:id="126"/>
      <w:bookmarkStart w:id="127" w:name="_Toc28747"/>
      <w:r>
        <w:rPr>
          <w:rFonts w:hint="eastAsia" w:ascii="宋体" w:hAnsi="宋体"/>
          <w:b/>
          <w:sz w:val="24"/>
          <w:szCs w:val="24"/>
        </w:rPr>
        <w:t>1.2项目的资金情况</w:t>
      </w:r>
      <w:r>
        <w:rPr>
          <w:rFonts w:hint="eastAsia" w:ascii="宋体" w:hAnsi="宋体"/>
          <w:b/>
          <w:sz w:val="24"/>
          <w:szCs w:val="24"/>
          <w:highlight w:val="none"/>
        </w:rPr>
        <w:t>、采购预算金额、</w:t>
      </w:r>
      <w:bookmarkEnd w:id="127"/>
      <w:r>
        <w:rPr>
          <w:rFonts w:hint="eastAsia" w:ascii="宋体" w:hAnsi="宋体"/>
          <w:b/>
          <w:sz w:val="24"/>
          <w:szCs w:val="24"/>
          <w:highlight w:val="none"/>
          <w:lang w:eastAsia="zh-CN"/>
        </w:rPr>
        <w:t>最高限价</w:t>
      </w:r>
    </w:p>
    <w:p w14:paraId="5B99028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1.2.1 资金落实情况：见供应商须知前附表。</w:t>
      </w:r>
    </w:p>
    <w:p w14:paraId="66261337">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1.2.2</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采购预算金额：见供应商须知前附表。</w:t>
      </w:r>
    </w:p>
    <w:p w14:paraId="66444899">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1.2.3</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eastAsia="zh-CN"/>
        </w:rPr>
        <w:t>最高限价</w:t>
      </w:r>
      <w:r>
        <w:rPr>
          <w:rFonts w:hint="eastAsia" w:ascii="宋体" w:hAnsi="宋体"/>
          <w:color w:val="000000"/>
          <w:sz w:val="24"/>
          <w:szCs w:val="24"/>
          <w:highlight w:val="none"/>
        </w:rPr>
        <w:t>：见供应商须知前附表。</w:t>
      </w:r>
    </w:p>
    <w:p w14:paraId="77C28726">
      <w:pPr>
        <w:spacing w:line="360" w:lineRule="auto"/>
        <w:rPr>
          <w:rFonts w:hint="eastAsia" w:ascii="宋体" w:hAnsi="宋体" w:eastAsia="宋体"/>
          <w:b/>
          <w:color w:val="FF0000"/>
          <w:sz w:val="24"/>
          <w:szCs w:val="24"/>
          <w:highlight w:val="none"/>
          <w:lang w:eastAsia="zh-CN"/>
        </w:rPr>
      </w:pPr>
      <w:bookmarkStart w:id="128" w:name="_Toc16064"/>
      <w:bookmarkEnd w:id="128"/>
      <w:bookmarkStart w:id="129" w:name="_Toc20957"/>
      <w:r>
        <w:rPr>
          <w:rFonts w:hint="eastAsia" w:ascii="宋体" w:hAnsi="宋体"/>
          <w:b/>
          <w:sz w:val="24"/>
          <w:szCs w:val="24"/>
          <w:highlight w:val="none"/>
        </w:rPr>
        <w:t>1.3</w:t>
      </w:r>
      <w:bookmarkEnd w:id="129"/>
      <w:r>
        <w:rPr>
          <w:rFonts w:hint="eastAsia" w:ascii="宋体" w:hAnsi="宋体"/>
          <w:b/>
          <w:sz w:val="24"/>
          <w:szCs w:val="24"/>
          <w:highlight w:val="none"/>
          <w:lang w:eastAsia="zh-CN"/>
        </w:rPr>
        <w:t>项目范围</w:t>
      </w:r>
      <w:r>
        <w:rPr>
          <w:rFonts w:hint="eastAsia" w:ascii="宋体" w:hAnsi="宋体"/>
          <w:b/>
          <w:sz w:val="24"/>
          <w:szCs w:val="24"/>
          <w:highlight w:val="none"/>
        </w:rPr>
        <w:t>、建设地点、计划工期</w:t>
      </w:r>
      <w:r>
        <w:rPr>
          <w:rFonts w:hint="eastAsia" w:ascii="宋体" w:hAnsi="宋体"/>
          <w:b/>
          <w:sz w:val="24"/>
          <w:szCs w:val="24"/>
          <w:highlight w:val="none"/>
          <w:lang w:eastAsia="zh-CN"/>
        </w:rPr>
        <w:t>、质量要求</w:t>
      </w:r>
    </w:p>
    <w:p w14:paraId="394D55B4">
      <w:pPr>
        <w:spacing w:line="360" w:lineRule="auto"/>
        <w:ind w:firstLine="480" w:firstLineChars="200"/>
        <w:rPr>
          <w:rFonts w:hint="eastAsia" w:ascii="宋体" w:hAnsi="宋体"/>
          <w:sz w:val="24"/>
          <w:szCs w:val="24"/>
          <w:highlight w:val="none"/>
        </w:rPr>
      </w:pPr>
      <w:bookmarkStart w:id="130" w:name="_Toc16202"/>
      <w:bookmarkEnd w:id="130"/>
      <w:r>
        <w:rPr>
          <w:rFonts w:hint="eastAsia" w:ascii="宋体" w:hAnsi="宋体"/>
          <w:sz w:val="24"/>
          <w:szCs w:val="24"/>
          <w:highlight w:val="none"/>
        </w:rPr>
        <w:t xml:space="preserve">1.3.1 </w:t>
      </w:r>
      <w:r>
        <w:rPr>
          <w:rFonts w:hint="eastAsia" w:ascii="宋体" w:hAnsi="宋体"/>
          <w:sz w:val="24"/>
          <w:szCs w:val="24"/>
          <w:highlight w:val="none"/>
          <w:lang w:eastAsia="zh-CN"/>
        </w:rPr>
        <w:t>项目范围</w:t>
      </w:r>
      <w:r>
        <w:rPr>
          <w:rFonts w:hint="eastAsia" w:ascii="宋体" w:hAnsi="宋体"/>
          <w:sz w:val="24"/>
          <w:szCs w:val="24"/>
          <w:highlight w:val="none"/>
        </w:rPr>
        <w:t>：见供应商须知前附表。</w:t>
      </w:r>
    </w:p>
    <w:p w14:paraId="3E6959A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1.3.2 建设地点：见供应商须知前附表。</w:t>
      </w:r>
    </w:p>
    <w:p w14:paraId="0A02D5C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 xml:space="preserve">1.3.3 </w:t>
      </w:r>
      <w:r>
        <w:rPr>
          <w:rFonts w:hint="eastAsia" w:ascii="宋体" w:hAnsi="宋体"/>
          <w:sz w:val="24"/>
          <w:szCs w:val="24"/>
          <w:highlight w:val="none"/>
          <w:lang w:eastAsia="zh-CN"/>
        </w:rPr>
        <w:t>计划工期</w:t>
      </w:r>
      <w:r>
        <w:rPr>
          <w:rFonts w:hint="eastAsia" w:ascii="宋体" w:hAnsi="宋体"/>
          <w:sz w:val="24"/>
          <w:szCs w:val="24"/>
          <w:highlight w:val="none"/>
        </w:rPr>
        <w:t>：见供应商须知前附表。</w:t>
      </w:r>
    </w:p>
    <w:p w14:paraId="1486616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1.3.4</w:t>
      </w:r>
      <w:r>
        <w:rPr>
          <w:rFonts w:hint="eastAsia" w:ascii="宋体" w:hAnsi="宋体"/>
          <w:sz w:val="24"/>
          <w:szCs w:val="24"/>
          <w:highlight w:val="none"/>
          <w:lang w:val="en-US" w:eastAsia="zh-CN"/>
        </w:rPr>
        <w:t xml:space="preserve"> </w:t>
      </w:r>
      <w:r>
        <w:rPr>
          <w:rFonts w:hint="eastAsia" w:ascii="宋体" w:hAnsi="宋体"/>
          <w:sz w:val="24"/>
          <w:szCs w:val="24"/>
          <w:highlight w:val="none"/>
        </w:rPr>
        <w:t>质量要求：见供应商须知前附表。</w:t>
      </w:r>
    </w:p>
    <w:p w14:paraId="3BD50541">
      <w:pPr>
        <w:spacing w:line="360" w:lineRule="auto"/>
        <w:rPr>
          <w:rFonts w:hint="eastAsia" w:ascii="宋体" w:hAnsi="宋体" w:eastAsia="宋体"/>
          <w:b/>
          <w:sz w:val="24"/>
          <w:szCs w:val="24"/>
          <w:highlight w:val="none"/>
          <w:lang w:eastAsia="zh-CN"/>
        </w:rPr>
      </w:pPr>
      <w:bookmarkStart w:id="131" w:name="_Toc17694"/>
      <w:bookmarkEnd w:id="131"/>
      <w:bookmarkStart w:id="132" w:name="_Toc10611"/>
      <w:r>
        <w:rPr>
          <w:rFonts w:hint="eastAsia" w:ascii="宋体" w:hAnsi="宋体"/>
          <w:b/>
          <w:sz w:val="24"/>
          <w:szCs w:val="24"/>
          <w:highlight w:val="none"/>
        </w:rPr>
        <w:t>1.4 供应商</w:t>
      </w:r>
      <w:bookmarkEnd w:id="132"/>
      <w:r>
        <w:rPr>
          <w:rFonts w:hint="eastAsia" w:ascii="宋体" w:hAnsi="宋体"/>
          <w:b/>
          <w:sz w:val="24"/>
          <w:szCs w:val="24"/>
          <w:highlight w:val="none"/>
          <w:lang w:eastAsia="zh-CN"/>
        </w:rPr>
        <w:t>资格条件</w:t>
      </w:r>
    </w:p>
    <w:p w14:paraId="34A5C2A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1.4.1 供应商应具备承担本项目的资格条件。</w:t>
      </w:r>
    </w:p>
    <w:p w14:paraId="54F6A88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1.4.2 供应商须知前附表规定接受联合体磋商的，联合体除应符合本章第1.4.1 项和供应商须知前附表的要求外，还应遵守以下规定：</w:t>
      </w:r>
    </w:p>
    <w:p w14:paraId="7E5130E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（1）联合体各方应按竞争性磋商文件提供的格式签订联合体协议书，明确联合体牵头人和各方权利义务，并承诺就成交项目向采购人承担连带责任。</w:t>
      </w:r>
    </w:p>
    <w:p w14:paraId="67CAE7CA">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（2）联合体中有同类资质的供应商按照联合体分工承担相同工作的，应当按照资质等级较低的供应商确定资质等级。</w:t>
      </w:r>
    </w:p>
    <w:p w14:paraId="16E0655B">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（3）以联合体形式参加政府采购活动的，联合体各方不得再单独参加或者与其他供应商另外组成联合体参加同一合同项下的政府采购活动。</w:t>
      </w:r>
    </w:p>
    <w:p w14:paraId="0CCE71AE">
      <w:pPr>
        <w:spacing w:line="360" w:lineRule="auto"/>
        <w:rPr>
          <w:rFonts w:hint="eastAsia" w:ascii="宋体" w:hAnsi="宋体"/>
          <w:b/>
          <w:sz w:val="24"/>
          <w:szCs w:val="24"/>
          <w:highlight w:val="none"/>
        </w:rPr>
      </w:pPr>
      <w:bookmarkStart w:id="133" w:name="_Toc27960"/>
      <w:bookmarkEnd w:id="133"/>
      <w:bookmarkStart w:id="134" w:name="_Toc18144"/>
      <w:r>
        <w:rPr>
          <w:rFonts w:hint="eastAsia" w:ascii="宋体" w:hAnsi="宋体"/>
          <w:b/>
          <w:sz w:val="24"/>
          <w:szCs w:val="24"/>
          <w:highlight w:val="none"/>
        </w:rPr>
        <w:t>1.5 费用承担</w:t>
      </w:r>
      <w:bookmarkEnd w:id="134"/>
    </w:p>
    <w:p w14:paraId="443F7EA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供应商准备和参加磋商活动发生的费用自理。</w:t>
      </w:r>
    </w:p>
    <w:p w14:paraId="0A5C5973">
      <w:pPr>
        <w:spacing w:line="360" w:lineRule="auto"/>
        <w:rPr>
          <w:rFonts w:hint="eastAsia" w:ascii="宋体" w:hAnsi="宋体"/>
          <w:b/>
          <w:sz w:val="24"/>
          <w:szCs w:val="24"/>
          <w:highlight w:val="none"/>
        </w:rPr>
      </w:pPr>
      <w:bookmarkStart w:id="135" w:name="_Toc6230"/>
      <w:bookmarkEnd w:id="135"/>
      <w:bookmarkStart w:id="136" w:name="_Toc16680"/>
      <w:r>
        <w:rPr>
          <w:rFonts w:hint="eastAsia" w:ascii="宋体" w:hAnsi="宋体"/>
          <w:b/>
          <w:sz w:val="24"/>
          <w:szCs w:val="24"/>
          <w:highlight w:val="none"/>
        </w:rPr>
        <w:t>1.6 保密</w:t>
      </w:r>
      <w:bookmarkEnd w:id="136"/>
    </w:p>
    <w:p w14:paraId="19BF066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参与磋商活动的各方应对竞争性磋商文件和响应文件中的商业和技术等秘密保密，则应承担相应的法律责任。</w:t>
      </w:r>
    </w:p>
    <w:p w14:paraId="7C955A38">
      <w:pPr>
        <w:spacing w:line="360" w:lineRule="auto"/>
        <w:rPr>
          <w:rFonts w:hint="eastAsia" w:ascii="宋体" w:hAnsi="宋体"/>
          <w:b/>
          <w:sz w:val="24"/>
          <w:szCs w:val="24"/>
          <w:highlight w:val="none"/>
        </w:rPr>
      </w:pPr>
      <w:bookmarkStart w:id="137" w:name="_Toc31781"/>
      <w:bookmarkEnd w:id="137"/>
      <w:bookmarkStart w:id="138" w:name="_Toc787"/>
      <w:r>
        <w:rPr>
          <w:rFonts w:hint="eastAsia" w:ascii="宋体" w:hAnsi="宋体"/>
          <w:b/>
          <w:sz w:val="24"/>
          <w:szCs w:val="24"/>
          <w:highlight w:val="none"/>
        </w:rPr>
        <w:t>1.7 语言文字</w:t>
      </w:r>
      <w:bookmarkEnd w:id="138"/>
    </w:p>
    <w:p w14:paraId="1A2DC3B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响应文件使用的语言文字为中文。专用术语使用外文的，应附有中文注释。</w:t>
      </w:r>
    </w:p>
    <w:p w14:paraId="6C54B477">
      <w:pPr>
        <w:spacing w:line="360" w:lineRule="auto"/>
        <w:rPr>
          <w:rFonts w:hint="eastAsia" w:ascii="宋体" w:hAnsi="宋体"/>
          <w:b/>
          <w:sz w:val="24"/>
          <w:szCs w:val="24"/>
          <w:highlight w:val="none"/>
        </w:rPr>
      </w:pPr>
      <w:bookmarkStart w:id="139" w:name="_Toc29423"/>
      <w:bookmarkEnd w:id="139"/>
      <w:bookmarkStart w:id="140" w:name="_Toc29116"/>
      <w:r>
        <w:rPr>
          <w:rFonts w:hint="eastAsia" w:ascii="宋体" w:hAnsi="宋体"/>
          <w:b/>
          <w:sz w:val="24"/>
          <w:szCs w:val="24"/>
          <w:highlight w:val="none"/>
        </w:rPr>
        <w:t>1.8 计量单位</w:t>
      </w:r>
      <w:bookmarkEnd w:id="140"/>
    </w:p>
    <w:p w14:paraId="064E2E9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所有计量均采用中华人民共和国法定计量单位。</w:t>
      </w:r>
    </w:p>
    <w:p w14:paraId="5C33927C">
      <w:pPr>
        <w:spacing w:line="360" w:lineRule="auto"/>
        <w:rPr>
          <w:rFonts w:hint="eastAsia" w:ascii="宋体" w:hAnsi="宋体"/>
          <w:b/>
          <w:color w:val="FF0000"/>
          <w:sz w:val="24"/>
          <w:szCs w:val="24"/>
          <w:highlight w:val="none"/>
        </w:rPr>
      </w:pPr>
      <w:bookmarkStart w:id="141" w:name="_Toc296602429"/>
      <w:bookmarkEnd w:id="141"/>
      <w:bookmarkStart w:id="142" w:name="_Toc247592876"/>
      <w:bookmarkEnd w:id="142"/>
      <w:bookmarkStart w:id="143" w:name="_Toc152042315"/>
      <w:bookmarkEnd w:id="143"/>
      <w:bookmarkStart w:id="144" w:name="_Toc29812"/>
      <w:bookmarkEnd w:id="144"/>
      <w:bookmarkStart w:id="145" w:name="_Toc144974507"/>
      <w:bookmarkEnd w:id="145"/>
      <w:bookmarkStart w:id="146" w:name="_Toc152045539"/>
      <w:bookmarkEnd w:id="146"/>
      <w:bookmarkStart w:id="147" w:name="_Toc247513962"/>
      <w:bookmarkEnd w:id="147"/>
      <w:bookmarkStart w:id="148" w:name="_Toc247527563"/>
      <w:bookmarkEnd w:id="148"/>
      <w:bookmarkStart w:id="149" w:name="_Toc29408"/>
      <w:r>
        <w:rPr>
          <w:rFonts w:hint="eastAsia" w:ascii="宋体" w:hAnsi="宋体"/>
          <w:b/>
          <w:sz w:val="24"/>
          <w:szCs w:val="24"/>
          <w:highlight w:val="none"/>
        </w:rPr>
        <w:t>1.9 现场</w:t>
      </w:r>
      <w:bookmarkEnd w:id="149"/>
      <w:r>
        <w:rPr>
          <w:rFonts w:hint="eastAsia" w:ascii="宋体" w:hAnsi="宋体"/>
          <w:b/>
          <w:sz w:val="24"/>
          <w:szCs w:val="24"/>
          <w:highlight w:val="none"/>
        </w:rPr>
        <w:t>考察</w:t>
      </w:r>
    </w:p>
    <w:p w14:paraId="7EC747A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 xml:space="preserve">1.9.1 供应商须知前附表规定组织现场考察的，采购人按供应商须知前附表规定的时间、地点组织供应商考察项目现场。 </w:t>
      </w:r>
    </w:p>
    <w:p w14:paraId="2CDD708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1.9.2 供应商考察现场发生的费用自理。</w:t>
      </w:r>
    </w:p>
    <w:p w14:paraId="744FDFB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1.9.3 除采购人的原因外，供应商自行负责在考察现场中所发生的人员伤亡和财产损失。</w:t>
      </w:r>
    </w:p>
    <w:p w14:paraId="2DB23D4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1.9.4 采购人在考察现场中介绍的项目场地和相关的周边环境情况，供供应商在编制响应文件时参考，采购人不对供应商据此作出的判断和决策负责。</w:t>
      </w:r>
      <w:bookmarkStart w:id="150" w:name="_Toc31848"/>
      <w:bookmarkEnd w:id="150"/>
    </w:p>
    <w:p w14:paraId="343F98F0">
      <w:pP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1.10分包</w:t>
      </w:r>
    </w:p>
    <w:p w14:paraId="4B780F9B">
      <w:pPr>
        <w:spacing w:line="460" w:lineRule="exact"/>
        <w:ind w:firstLine="480" w:firstLineChars="200"/>
        <w:rPr>
          <w:rFonts w:hint="eastAsia" w:ascii="宋体" w:hAnsi="宋体"/>
          <w:sz w:val="24"/>
          <w:szCs w:val="24"/>
          <w:highlight w:val="none"/>
        </w:rPr>
      </w:pPr>
      <w:r>
        <w:rPr>
          <w:rFonts w:hint="eastAsia" w:ascii="宋体" w:hAnsi="宋体"/>
          <w:sz w:val="24"/>
          <w:szCs w:val="24"/>
          <w:highlight w:val="none"/>
        </w:rPr>
        <w:t>1.10.1供应商拟在成交后将成交项目的非主体、非关键性工作分包的，应符合供应商须知前附表规定的分包内容、分包金额和资质要求等限制性条件，除供应商须知前附表规定的非主体、非关键性工作外，其他工作不得分包。</w:t>
      </w:r>
    </w:p>
    <w:p w14:paraId="28092B69">
      <w:pPr>
        <w:spacing w:line="460" w:lineRule="exact"/>
        <w:ind w:firstLine="480" w:firstLineChars="200"/>
        <w:rPr>
          <w:rFonts w:hint="eastAsia" w:ascii="宋体" w:hAnsi="宋体"/>
          <w:sz w:val="24"/>
          <w:szCs w:val="24"/>
          <w:highlight w:val="none"/>
        </w:rPr>
      </w:pPr>
      <w:r>
        <w:rPr>
          <w:rFonts w:hint="eastAsia" w:ascii="宋体" w:hAnsi="宋体"/>
          <w:sz w:val="24"/>
          <w:szCs w:val="24"/>
          <w:highlight w:val="none"/>
        </w:rPr>
        <w:t>1.10.2</w:t>
      </w:r>
      <w:r>
        <w:rPr>
          <w:rFonts w:hint="eastAsia" w:ascii="宋体" w:hAnsi="宋体"/>
          <w:sz w:val="24"/>
          <w:szCs w:val="24"/>
          <w:highlight w:val="none"/>
          <w:lang w:val="en-US" w:eastAsia="zh-CN"/>
        </w:rPr>
        <w:t xml:space="preserve"> </w:t>
      </w:r>
      <w:r>
        <w:rPr>
          <w:rFonts w:hint="eastAsia" w:ascii="宋体" w:hAnsi="宋体"/>
          <w:sz w:val="24"/>
          <w:szCs w:val="24"/>
          <w:highlight w:val="none"/>
        </w:rPr>
        <w:t>成交人不得向他人转让成交项目，接受分包的人不得再次分包。成交人应当就分包项目向采购人负责，接受分包的人就分包项目承担连带责任。</w:t>
      </w:r>
    </w:p>
    <w:p w14:paraId="346A80DB">
      <w:pPr>
        <w:pStyle w:val="3"/>
        <w:spacing w:before="0" w:after="0" w:line="360" w:lineRule="auto"/>
        <w:rPr>
          <w:rFonts w:hint="eastAsia" w:ascii="宋体" w:hAnsi="宋体" w:eastAsia="宋体"/>
          <w:sz w:val="28"/>
          <w:szCs w:val="28"/>
          <w:highlight w:val="none"/>
        </w:rPr>
      </w:pPr>
      <w:bookmarkStart w:id="151" w:name="_Toc31795"/>
      <w:bookmarkEnd w:id="151"/>
      <w:bookmarkStart w:id="152" w:name="_Toc32012"/>
      <w:bookmarkEnd w:id="152"/>
      <w:bookmarkStart w:id="153" w:name="_Toc587"/>
      <w:bookmarkEnd w:id="153"/>
      <w:bookmarkStart w:id="154" w:name="_Toc3896283"/>
      <w:bookmarkStart w:id="155" w:name="_Toc31733"/>
      <w:bookmarkStart w:id="156" w:name="_Toc4041"/>
      <w:bookmarkStart w:id="157" w:name="_Toc7662"/>
      <w:r>
        <w:rPr>
          <w:rFonts w:hint="eastAsia" w:ascii="宋体" w:hAnsi="宋体" w:eastAsia="宋体"/>
          <w:sz w:val="28"/>
          <w:szCs w:val="28"/>
          <w:highlight w:val="none"/>
        </w:rPr>
        <w:t>2.竞争性磋商文件</w:t>
      </w:r>
      <w:bookmarkEnd w:id="154"/>
      <w:bookmarkEnd w:id="155"/>
      <w:bookmarkEnd w:id="156"/>
      <w:bookmarkEnd w:id="157"/>
    </w:p>
    <w:p w14:paraId="33935D68">
      <w:pPr>
        <w:spacing w:line="360" w:lineRule="auto"/>
        <w:rPr>
          <w:rFonts w:hint="eastAsia" w:ascii="宋体" w:hAnsi="宋体"/>
          <w:b/>
          <w:sz w:val="24"/>
          <w:szCs w:val="24"/>
        </w:rPr>
      </w:pPr>
      <w:bookmarkStart w:id="158" w:name="_Toc21536"/>
      <w:bookmarkEnd w:id="158"/>
      <w:bookmarkStart w:id="159" w:name="_Toc16596"/>
      <w:r>
        <w:rPr>
          <w:rFonts w:hint="eastAsia" w:ascii="宋体" w:hAnsi="宋体"/>
          <w:b/>
          <w:sz w:val="24"/>
          <w:szCs w:val="24"/>
        </w:rPr>
        <w:t>2.1 竞争性磋商文件的组成</w:t>
      </w:r>
      <w:bookmarkEnd w:id="159"/>
    </w:p>
    <w:p w14:paraId="49994456">
      <w:pPr>
        <w:spacing w:line="360" w:lineRule="auto"/>
        <w:ind w:firstLine="480" w:firstLineChars="200"/>
        <w:rPr>
          <w:rFonts w:hint="eastAsia" w:ascii="宋体" w:hAnsi="宋体"/>
          <w:sz w:val="24"/>
          <w:szCs w:val="24"/>
        </w:rPr>
      </w:pPr>
      <w:r>
        <w:rPr>
          <w:rFonts w:hint="eastAsia" w:ascii="宋体" w:hAnsi="宋体"/>
          <w:sz w:val="24"/>
          <w:szCs w:val="24"/>
        </w:rPr>
        <w:t>本竞争性磋商文件包括：</w:t>
      </w:r>
    </w:p>
    <w:p w14:paraId="2B216531">
      <w:pPr>
        <w:spacing w:line="360" w:lineRule="auto"/>
        <w:ind w:firstLine="540" w:firstLineChars="225"/>
        <w:rPr>
          <w:rFonts w:hint="eastAsia" w:ascii="宋体" w:hAnsi="宋体"/>
          <w:sz w:val="24"/>
          <w:szCs w:val="24"/>
        </w:rPr>
      </w:pPr>
      <w:r>
        <w:rPr>
          <w:rFonts w:hint="eastAsia" w:ascii="宋体" w:hAnsi="宋体"/>
          <w:sz w:val="24"/>
          <w:szCs w:val="24"/>
        </w:rPr>
        <w:t>（1）竞争性磋商公告；</w:t>
      </w:r>
    </w:p>
    <w:p w14:paraId="3226570D">
      <w:pPr>
        <w:spacing w:line="360" w:lineRule="auto"/>
        <w:ind w:firstLine="540" w:firstLineChars="225"/>
        <w:rPr>
          <w:rFonts w:hint="eastAsia" w:ascii="宋体" w:hAnsi="宋体"/>
          <w:sz w:val="24"/>
          <w:szCs w:val="24"/>
        </w:rPr>
      </w:pPr>
      <w:r>
        <w:rPr>
          <w:rFonts w:hint="eastAsia" w:ascii="宋体" w:hAnsi="宋体"/>
          <w:sz w:val="24"/>
          <w:szCs w:val="24"/>
        </w:rPr>
        <w:t>（2）供应商须知；</w:t>
      </w:r>
    </w:p>
    <w:p w14:paraId="68987D05">
      <w:pPr>
        <w:spacing w:line="360" w:lineRule="auto"/>
        <w:ind w:firstLine="540" w:firstLineChars="225"/>
        <w:rPr>
          <w:rFonts w:hint="eastAsia" w:ascii="宋体" w:hAnsi="宋体"/>
          <w:sz w:val="24"/>
          <w:szCs w:val="24"/>
        </w:rPr>
      </w:pPr>
      <w:r>
        <w:rPr>
          <w:rFonts w:hint="eastAsia" w:ascii="宋体" w:hAnsi="宋体"/>
          <w:sz w:val="24"/>
          <w:szCs w:val="24"/>
        </w:rPr>
        <w:t>（3）评审方法；</w:t>
      </w:r>
    </w:p>
    <w:p w14:paraId="16E874D4">
      <w:pPr>
        <w:spacing w:line="360" w:lineRule="auto"/>
        <w:ind w:firstLine="540" w:firstLineChars="225"/>
        <w:rPr>
          <w:rFonts w:hint="eastAsia" w:ascii="宋体" w:hAnsi="宋体"/>
          <w:sz w:val="24"/>
          <w:szCs w:val="24"/>
        </w:rPr>
      </w:pPr>
      <w:r>
        <w:rPr>
          <w:rFonts w:hint="eastAsia" w:ascii="宋体" w:hAnsi="宋体"/>
          <w:sz w:val="24"/>
          <w:szCs w:val="24"/>
        </w:rPr>
        <w:t>（4）合同草案条款；</w:t>
      </w:r>
    </w:p>
    <w:p w14:paraId="39EDEB55">
      <w:pPr>
        <w:spacing w:line="360" w:lineRule="auto"/>
        <w:ind w:firstLine="540" w:firstLineChars="225"/>
        <w:rPr>
          <w:rFonts w:hint="eastAsia" w:ascii="宋体" w:hAnsi="宋体" w:eastAsia="宋体"/>
          <w:sz w:val="24"/>
          <w:szCs w:val="24"/>
          <w:lang w:eastAsia="zh-CN"/>
        </w:rPr>
      </w:pPr>
      <w:r>
        <w:rPr>
          <w:rFonts w:hint="eastAsia" w:ascii="宋体" w:hAnsi="宋体"/>
          <w:sz w:val="24"/>
          <w:szCs w:val="24"/>
        </w:rPr>
        <w:t>（5）</w:t>
      </w:r>
      <w:r>
        <w:rPr>
          <w:rFonts w:hint="eastAsia" w:ascii="宋体" w:hAnsi="宋体"/>
          <w:sz w:val="24"/>
          <w:szCs w:val="24"/>
          <w:lang w:val="en-US" w:eastAsia="zh-CN"/>
        </w:rPr>
        <w:t>采购需求</w:t>
      </w:r>
      <w:r>
        <w:rPr>
          <w:rFonts w:hint="eastAsia" w:ascii="宋体" w:hAnsi="宋体"/>
          <w:sz w:val="24"/>
          <w:szCs w:val="24"/>
          <w:lang w:eastAsia="zh-CN"/>
        </w:rPr>
        <w:t>；</w:t>
      </w:r>
    </w:p>
    <w:p w14:paraId="16C801F7">
      <w:pPr>
        <w:spacing w:line="360" w:lineRule="auto"/>
        <w:ind w:firstLine="540" w:firstLineChars="225"/>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6）技术标准及要求</w:t>
      </w:r>
      <w:r>
        <w:rPr>
          <w:rFonts w:hint="eastAsia" w:ascii="宋体" w:hAnsi="宋体"/>
          <w:sz w:val="24"/>
          <w:szCs w:val="24"/>
        </w:rPr>
        <w:t>；</w:t>
      </w:r>
    </w:p>
    <w:p w14:paraId="7931418D">
      <w:pPr>
        <w:spacing w:line="360" w:lineRule="auto"/>
        <w:ind w:firstLine="540" w:firstLineChars="225"/>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7</w:t>
      </w:r>
      <w:r>
        <w:rPr>
          <w:rFonts w:hint="eastAsia" w:ascii="宋体" w:hAnsi="宋体"/>
          <w:sz w:val="24"/>
          <w:szCs w:val="24"/>
        </w:rPr>
        <w:t>）响应文件格式；</w:t>
      </w:r>
    </w:p>
    <w:p w14:paraId="7F489C76">
      <w:pPr>
        <w:spacing w:line="360" w:lineRule="auto"/>
        <w:ind w:firstLine="540" w:firstLineChars="225"/>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8</w:t>
      </w:r>
      <w:r>
        <w:rPr>
          <w:rFonts w:hint="eastAsia" w:ascii="宋体" w:hAnsi="宋体"/>
          <w:sz w:val="24"/>
          <w:szCs w:val="24"/>
        </w:rPr>
        <w:t>）供应商须知前附表规定的其他材料。</w:t>
      </w:r>
    </w:p>
    <w:p w14:paraId="3D415B78">
      <w:pPr>
        <w:spacing w:line="360" w:lineRule="auto"/>
        <w:ind w:firstLine="480" w:firstLineChars="200"/>
        <w:rPr>
          <w:rFonts w:hint="eastAsia" w:ascii="宋体" w:hAnsi="宋体"/>
          <w:sz w:val="24"/>
          <w:szCs w:val="24"/>
        </w:rPr>
      </w:pPr>
      <w:r>
        <w:rPr>
          <w:rFonts w:hint="eastAsia" w:ascii="宋体" w:hAnsi="宋体"/>
          <w:sz w:val="24"/>
          <w:szCs w:val="24"/>
        </w:rPr>
        <w:t>根据本章第2.2 款和第2.3 款对竞争性磋商文件所作的澄清、修改，构成竞争性磋商文件的组成部分。</w:t>
      </w:r>
    </w:p>
    <w:p w14:paraId="7A57FCE8">
      <w:pPr>
        <w:spacing w:line="360" w:lineRule="auto"/>
        <w:rPr>
          <w:rFonts w:hint="eastAsia" w:ascii="宋体" w:hAnsi="宋体" w:eastAsia="宋体" w:cs="宋体"/>
          <w:b/>
          <w:color w:val="auto"/>
          <w:sz w:val="24"/>
          <w:szCs w:val="24"/>
          <w:highlight w:val="none"/>
          <w:lang w:val="en-US" w:eastAsia="zh-CN"/>
        </w:rPr>
      </w:pPr>
      <w:bookmarkStart w:id="160" w:name="_Toc23003"/>
      <w:bookmarkEnd w:id="160"/>
      <w:r>
        <w:rPr>
          <w:rFonts w:hint="eastAsia" w:ascii="宋体" w:hAnsi="宋体" w:eastAsia="宋体" w:cs="宋体"/>
          <w:b/>
          <w:color w:val="auto"/>
          <w:sz w:val="24"/>
          <w:szCs w:val="24"/>
          <w:highlight w:val="none"/>
          <w:lang w:eastAsia="zh-CN"/>
        </w:rPr>
        <w:t>2.2 竞争性磋商文件的澄清</w:t>
      </w:r>
      <w:r>
        <w:rPr>
          <w:rFonts w:hint="eastAsia" w:ascii="宋体" w:hAnsi="宋体" w:eastAsia="宋体" w:cs="宋体"/>
          <w:b/>
          <w:color w:val="auto"/>
          <w:sz w:val="24"/>
          <w:szCs w:val="24"/>
          <w:highlight w:val="none"/>
          <w:lang w:val="en-US" w:eastAsia="zh-CN"/>
        </w:rPr>
        <w:t>与修改</w:t>
      </w:r>
    </w:p>
    <w:p w14:paraId="19F13D6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供应商应仔细阅读和检查竞争性磋商文件的全部内容。如发现缺页或附件不全，应及时向采购代理机构提出，以便补齐。</w:t>
      </w:r>
    </w:p>
    <w:p w14:paraId="3F8C346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2.2.2 采购人、采购代理机构可以对已发出的竞争性磋商文件等进行必要的澄清或者修改。澄清或者修改的内容为竞争性磋商文件的组成部分。澄清或者修改应当在原公告发布媒体上发布更正公告并以书面形式通知所有获取竞争性磋商文件的潜在供应商。</w:t>
      </w:r>
    </w:p>
    <w:p w14:paraId="28215C97">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竞争性磋商文件的澄清</w:t>
      </w:r>
      <w:r>
        <w:rPr>
          <w:rFonts w:hint="eastAsia" w:ascii="宋体" w:hAnsi="宋体" w:eastAsia="宋体" w:cs="宋体"/>
          <w:sz w:val="24"/>
          <w:szCs w:val="24"/>
          <w:highlight w:val="none"/>
          <w:lang w:val="en-US" w:eastAsia="zh-CN"/>
        </w:rPr>
        <w:t>或者修改</w:t>
      </w:r>
      <w:r>
        <w:rPr>
          <w:rFonts w:hint="eastAsia" w:ascii="宋体" w:hAnsi="宋体" w:eastAsia="宋体" w:cs="宋体"/>
          <w:sz w:val="24"/>
          <w:szCs w:val="24"/>
          <w:highlight w:val="none"/>
          <w:lang w:eastAsia="zh-CN"/>
        </w:rPr>
        <w:t>以供应商须知前附表规定的形式发给所有获取竞争性磋商文件的供应商，但不指明澄清问题的来源。澄清或者修改发出的时间距本章第4.2.1项规定的首次响应文件递交截止之日不足</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日的，应当顺延提交首次响应文件截止之日。</w:t>
      </w:r>
    </w:p>
    <w:p w14:paraId="739B088B">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供应商在收到澄清通知</w:t>
      </w:r>
      <w:r>
        <w:rPr>
          <w:rFonts w:hint="eastAsia" w:ascii="宋体" w:hAnsi="宋体" w:eastAsia="宋体" w:cs="宋体"/>
          <w:sz w:val="24"/>
          <w:szCs w:val="24"/>
          <w:highlight w:val="none"/>
          <w:lang w:val="en-US" w:eastAsia="zh-CN"/>
        </w:rPr>
        <w:t>或者修改通知</w:t>
      </w:r>
      <w:r>
        <w:rPr>
          <w:rFonts w:hint="eastAsia" w:ascii="宋体" w:hAnsi="宋体" w:eastAsia="宋体" w:cs="宋体"/>
          <w:sz w:val="24"/>
          <w:szCs w:val="24"/>
          <w:highlight w:val="none"/>
          <w:lang w:eastAsia="zh-CN"/>
        </w:rPr>
        <w:t>后，应按供应商须知前附表规定的时间和形式通知采购代理机构，确认已收到该澄清</w:t>
      </w:r>
      <w:r>
        <w:rPr>
          <w:rFonts w:hint="eastAsia" w:ascii="宋体" w:hAnsi="宋体" w:eastAsia="宋体" w:cs="宋体"/>
          <w:sz w:val="24"/>
          <w:szCs w:val="24"/>
          <w:highlight w:val="none"/>
          <w:lang w:val="en-US" w:eastAsia="zh-CN"/>
        </w:rPr>
        <w:t>或者修改</w:t>
      </w:r>
      <w:r>
        <w:rPr>
          <w:rFonts w:hint="eastAsia" w:ascii="宋体" w:hAnsi="宋体" w:eastAsia="宋体" w:cs="宋体"/>
          <w:sz w:val="24"/>
          <w:szCs w:val="24"/>
          <w:highlight w:val="none"/>
          <w:lang w:eastAsia="zh-CN"/>
        </w:rPr>
        <w:t>。</w:t>
      </w:r>
    </w:p>
    <w:p w14:paraId="56FEF1D2">
      <w:pPr>
        <w:spacing w:line="360" w:lineRule="auto"/>
        <w:ind w:firstLine="480" w:firstLineChars="200"/>
        <w:rPr>
          <w:rFonts w:hint="eastAsia" w:ascii="宋体" w:hAnsi="宋体" w:eastAsia="宋体"/>
          <w:sz w:val="28"/>
          <w:szCs w:val="28"/>
        </w:rPr>
      </w:pPr>
      <w:r>
        <w:rPr>
          <w:rFonts w:hint="eastAsia" w:ascii="宋体" w:hAnsi="宋体" w:eastAsia="宋体" w:cs="宋体"/>
          <w:color w:val="auto"/>
          <w:sz w:val="24"/>
          <w:szCs w:val="24"/>
          <w:highlight w:val="none"/>
          <w:lang w:val="en-US" w:eastAsia="zh-CN"/>
        </w:rPr>
        <w:t>2.2.5竞争性</w:t>
      </w:r>
      <w:r>
        <w:rPr>
          <w:rFonts w:hint="eastAsia" w:ascii="宋体" w:hAnsi="宋体" w:eastAsia="宋体" w:cs="宋体"/>
          <w:sz w:val="24"/>
          <w:szCs w:val="24"/>
          <w:highlight w:val="none"/>
          <w:lang w:val="en-US" w:eastAsia="zh-CN"/>
        </w:rPr>
        <w:t>磋商</w:t>
      </w:r>
      <w:r>
        <w:rPr>
          <w:rFonts w:hint="eastAsia" w:ascii="宋体" w:hAnsi="宋体" w:eastAsia="宋体" w:cs="宋体"/>
          <w:color w:val="auto"/>
          <w:sz w:val="24"/>
          <w:szCs w:val="24"/>
          <w:highlight w:val="none"/>
          <w:lang w:val="en-US" w:eastAsia="zh-CN"/>
        </w:rPr>
        <w:t>文件中有不一致的，有澄清的部分以最终的澄清更正内容为准；未澄清的，以供应商须知前附表为准；供应商须知前附表不涉及的内容，以编排在后的最后描述为准。</w:t>
      </w:r>
      <w:bookmarkStart w:id="161" w:name="_Toc29741"/>
      <w:bookmarkEnd w:id="161"/>
      <w:bookmarkStart w:id="162" w:name="_Toc24916"/>
      <w:bookmarkEnd w:id="162"/>
      <w:bookmarkStart w:id="163" w:name="_Toc16663"/>
      <w:bookmarkEnd w:id="163"/>
      <w:bookmarkStart w:id="164" w:name="_Toc16690"/>
      <w:bookmarkStart w:id="165" w:name="_Toc4254"/>
      <w:bookmarkStart w:id="166" w:name="_Toc24768"/>
      <w:bookmarkStart w:id="167" w:name="_Toc3896284"/>
      <w:r>
        <w:rPr>
          <w:rFonts w:hint="eastAsia" w:ascii="宋体" w:hAnsi="宋体" w:eastAsia="宋体"/>
          <w:sz w:val="28"/>
          <w:szCs w:val="28"/>
        </w:rPr>
        <w:t>3.响应文件</w:t>
      </w:r>
      <w:bookmarkEnd w:id="164"/>
      <w:bookmarkEnd w:id="165"/>
      <w:bookmarkEnd w:id="166"/>
      <w:bookmarkEnd w:id="167"/>
    </w:p>
    <w:p w14:paraId="283DFF79">
      <w:pPr>
        <w:spacing w:line="360" w:lineRule="auto"/>
        <w:rPr>
          <w:rFonts w:hint="eastAsia" w:ascii="宋体" w:hAnsi="宋体"/>
          <w:b/>
          <w:sz w:val="24"/>
          <w:szCs w:val="24"/>
        </w:rPr>
      </w:pPr>
      <w:bookmarkStart w:id="168" w:name="_Toc2432"/>
      <w:bookmarkEnd w:id="168"/>
      <w:bookmarkStart w:id="169" w:name="_Toc4962"/>
      <w:r>
        <w:rPr>
          <w:rFonts w:hint="eastAsia" w:ascii="宋体" w:hAnsi="宋体"/>
          <w:b/>
          <w:sz w:val="24"/>
          <w:szCs w:val="24"/>
        </w:rPr>
        <w:t>3.1 响应文件的组成</w:t>
      </w:r>
      <w:bookmarkEnd w:id="169"/>
    </w:p>
    <w:p w14:paraId="4122CDDA">
      <w:pPr>
        <w:spacing w:line="360" w:lineRule="auto"/>
        <w:ind w:firstLine="480" w:firstLineChars="200"/>
        <w:rPr>
          <w:rFonts w:hint="eastAsia" w:ascii="宋体" w:hAnsi="宋体"/>
          <w:sz w:val="24"/>
          <w:szCs w:val="24"/>
        </w:rPr>
      </w:pPr>
      <w:r>
        <w:rPr>
          <w:rFonts w:hint="eastAsia" w:ascii="宋体" w:hAnsi="宋体"/>
          <w:sz w:val="24"/>
          <w:szCs w:val="24"/>
        </w:rPr>
        <w:t>3.1.1 响应文件资格审查部分详见</w:t>
      </w:r>
      <w:r>
        <w:rPr>
          <w:rFonts w:hint="eastAsia" w:ascii="宋体" w:hAnsi="宋体"/>
          <w:sz w:val="24"/>
          <w:szCs w:val="24"/>
          <w:lang w:eastAsia="zh-CN"/>
        </w:rPr>
        <w:t>第七章“响应文件格式”</w:t>
      </w:r>
      <w:r>
        <w:rPr>
          <w:rFonts w:hint="eastAsia" w:ascii="宋体" w:hAnsi="宋体"/>
          <w:sz w:val="24"/>
          <w:szCs w:val="24"/>
        </w:rPr>
        <w:t>资格审查部分中的内容。</w:t>
      </w:r>
    </w:p>
    <w:p w14:paraId="296D47CB">
      <w:pPr>
        <w:spacing w:line="360" w:lineRule="auto"/>
        <w:ind w:firstLine="480" w:firstLineChars="200"/>
        <w:rPr>
          <w:rFonts w:hint="eastAsia" w:ascii="宋体" w:hAnsi="宋体"/>
          <w:sz w:val="24"/>
          <w:szCs w:val="24"/>
        </w:rPr>
      </w:pPr>
      <w:r>
        <w:rPr>
          <w:rFonts w:hint="eastAsia" w:ascii="宋体" w:hAnsi="宋体"/>
          <w:sz w:val="24"/>
          <w:szCs w:val="24"/>
        </w:rPr>
        <w:t>3.1.2 响应文件商务技术部分详见</w:t>
      </w:r>
      <w:r>
        <w:rPr>
          <w:rFonts w:hint="eastAsia" w:ascii="宋体" w:hAnsi="宋体" w:eastAsia="宋体"/>
          <w:sz w:val="24"/>
          <w:szCs w:val="24"/>
          <w:lang w:eastAsia="zh-CN"/>
        </w:rPr>
        <w:t>第七章“响应文件格式”</w:t>
      </w:r>
      <w:r>
        <w:rPr>
          <w:rFonts w:hint="eastAsia" w:ascii="宋体" w:hAnsi="宋体"/>
          <w:sz w:val="24"/>
          <w:szCs w:val="24"/>
        </w:rPr>
        <w:t>商务技术部分中的内容。</w:t>
      </w:r>
    </w:p>
    <w:p w14:paraId="0DE5AA47">
      <w:pPr>
        <w:spacing w:line="360" w:lineRule="auto"/>
        <w:ind w:firstLine="540" w:firstLineChars="225"/>
        <w:rPr>
          <w:rFonts w:hint="eastAsia" w:ascii="宋体" w:hAnsi="宋体"/>
          <w:sz w:val="24"/>
          <w:szCs w:val="24"/>
        </w:rPr>
      </w:pPr>
      <w:r>
        <w:rPr>
          <w:rFonts w:hint="eastAsia" w:ascii="宋体" w:hAnsi="宋体"/>
          <w:sz w:val="24"/>
          <w:szCs w:val="24"/>
        </w:rPr>
        <w:t>供应商在评审过程中作出的符合法律法规和竞争性磋商文件规定的澄清确认，构成响应文件的组成部分。</w:t>
      </w:r>
    </w:p>
    <w:p w14:paraId="74B71353">
      <w:pPr>
        <w:spacing w:line="360" w:lineRule="auto"/>
        <w:ind w:firstLine="540" w:firstLineChars="225"/>
        <w:rPr>
          <w:rFonts w:hint="eastAsia" w:ascii="宋体" w:hAnsi="宋体"/>
          <w:sz w:val="24"/>
          <w:szCs w:val="24"/>
        </w:rPr>
      </w:pPr>
      <w:r>
        <w:rPr>
          <w:rFonts w:hint="eastAsia" w:ascii="宋体" w:hAnsi="宋体"/>
          <w:color w:val="auto"/>
          <w:sz w:val="24"/>
          <w:szCs w:val="24"/>
        </w:rPr>
        <w:t>3.1.3 供应</w:t>
      </w:r>
      <w:r>
        <w:rPr>
          <w:rFonts w:hint="eastAsia" w:ascii="宋体" w:hAnsi="宋体"/>
          <w:sz w:val="24"/>
          <w:szCs w:val="24"/>
        </w:rPr>
        <w:t>商须知前附表未要求提交磋商保证金的，响应文件不包括</w:t>
      </w:r>
      <w:r>
        <w:rPr>
          <w:rFonts w:hint="eastAsia" w:ascii="宋体" w:hAnsi="宋体" w:eastAsia="宋体"/>
          <w:sz w:val="24"/>
          <w:szCs w:val="24"/>
          <w:lang w:eastAsia="zh-CN"/>
        </w:rPr>
        <w:t>第七章“响应文件格式”</w:t>
      </w:r>
      <w:r>
        <w:rPr>
          <w:rFonts w:hint="eastAsia" w:ascii="宋体" w:hAnsi="宋体"/>
          <w:sz w:val="24"/>
          <w:szCs w:val="24"/>
        </w:rPr>
        <w:t>商务技术部分中所指的磋商保证金。</w:t>
      </w:r>
    </w:p>
    <w:p w14:paraId="785BC269">
      <w:pPr>
        <w:spacing w:line="360" w:lineRule="auto"/>
        <w:rPr>
          <w:rFonts w:hint="eastAsia" w:ascii="宋体" w:hAnsi="宋体"/>
          <w:b/>
          <w:color w:val="auto"/>
          <w:sz w:val="24"/>
          <w:szCs w:val="24"/>
          <w:highlight w:val="none"/>
        </w:rPr>
      </w:pPr>
      <w:bookmarkStart w:id="170" w:name="_Toc3252"/>
      <w:bookmarkEnd w:id="170"/>
      <w:bookmarkStart w:id="171" w:name="_Toc21369"/>
      <w:r>
        <w:rPr>
          <w:rFonts w:hint="eastAsia" w:ascii="宋体" w:hAnsi="宋体"/>
          <w:b/>
          <w:sz w:val="24"/>
          <w:szCs w:val="24"/>
        </w:rPr>
        <w:t>3.2 磋商报价</w:t>
      </w:r>
      <w:bookmarkEnd w:id="171"/>
    </w:p>
    <w:p w14:paraId="7B706509">
      <w:pPr>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3.2.1供应商应按</w:t>
      </w:r>
      <w:r>
        <w:rPr>
          <w:rFonts w:hint="eastAsia" w:ascii="宋体" w:hAnsi="宋体" w:eastAsia="宋体"/>
          <w:color w:val="auto"/>
          <w:sz w:val="24"/>
          <w:szCs w:val="24"/>
          <w:highlight w:val="none"/>
          <w:lang w:eastAsia="zh-CN"/>
        </w:rPr>
        <w:t>第七章“响应文件格式”</w:t>
      </w:r>
      <w:r>
        <w:rPr>
          <w:rFonts w:hint="eastAsia" w:ascii="宋体" w:hAnsi="宋体"/>
          <w:color w:val="auto"/>
          <w:sz w:val="24"/>
          <w:szCs w:val="24"/>
          <w:highlight w:val="none"/>
        </w:rPr>
        <w:t>的要求在初次报价表中进行报价。</w:t>
      </w:r>
    </w:p>
    <w:p w14:paraId="024C6DAA">
      <w:pPr>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3.2.2 供应商应充分了解该项目的总体情况以及影响磋商报价的其他要素。</w:t>
      </w:r>
    </w:p>
    <w:p w14:paraId="0A704C11">
      <w:pPr>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3.2.3 磋商报价的其他要求见供应商须知前附表</w:t>
      </w:r>
      <w:r>
        <w:rPr>
          <w:rFonts w:hint="eastAsia" w:ascii="宋体" w:hAnsi="宋体"/>
          <w:color w:val="auto"/>
          <w:sz w:val="24"/>
          <w:szCs w:val="24"/>
          <w:highlight w:val="none"/>
          <w:lang w:val="en-US" w:eastAsia="zh-CN"/>
        </w:rPr>
        <w:t>及第三章 评审方法（综合评分法）</w:t>
      </w:r>
      <w:r>
        <w:rPr>
          <w:rFonts w:hint="eastAsia" w:ascii="宋体" w:hAnsi="宋体"/>
          <w:color w:val="auto"/>
          <w:sz w:val="24"/>
          <w:szCs w:val="24"/>
          <w:highlight w:val="none"/>
        </w:rPr>
        <w:t>。</w:t>
      </w:r>
    </w:p>
    <w:p w14:paraId="00CBDC2D">
      <w:pPr>
        <w:spacing w:line="360" w:lineRule="auto"/>
        <w:rPr>
          <w:rFonts w:hint="eastAsia" w:ascii="宋体" w:hAnsi="宋体"/>
          <w:b/>
          <w:color w:val="auto"/>
          <w:sz w:val="24"/>
          <w:szCs w:val="24"/>
          <w:highlight w:val="none"/>
        </w:rPr>
      </w:pPr>
      <w:bookmarkStart w:id="172" w:name="_Toc12995"/>
      <w:bookmarkEnd w:id="172"/>
      <w:bookmarkStart w:id="173" w:name="_Toc14190"/>
      <w:r>
        <w:rPr>
          <w:rFonts w:hint="eastAsia" w:ascii="宋体" w:hAnsi="宋体"/>
          <w:b/>
          <w:color w:val="auto"/>
          <w:sz w:val="24"/>
          <w:szCs w:val="24"/>
          <w:highlight w:val="none"/>
        </w:rPr>
        <w:t>3.3 磋商有效期</w:t>
      </w:r>
      <w:bookmarkEnd w:id="173"/>
    </w:p>
    <w:p w14:paraId="0D0457E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3.3.1磋商有效期见供应商须知前附表。</w:t>
      </w:r>
    </w:p>
    <w:p w14:paraId="5D92C1D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3.3.2在磋商有效期内，供应商撤销或修改其响应文件的，应承担竞争性磋商文件和法律规定的责任。</w:t>
      </w:r>
    </w:p>
    <w:p w14:paraId="43DC2AF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3.3.3 出现特殊情况需要延长磋商有效期的，采购人以书面形式通知所有供应商延长磋商有效期。供应商应予以书面答复，同意延长的，应相应延长其磋商保证金的有效期，但不得要求或被允许修改其响应文件；供应商拒绝延长的，其磋商失效，但供应商有权收回其磋商保证金。</w:t>
      </w:r>
    </w:p>
    <w:p w14:paraId="1BFB5770">
      <w:pPr>
        <w:spacing w:line="360" w:lineRule="auto"/>
        <w:rPr>
          <w:rFonts w:hint="eastAsia" w:ascii="宋体" w:hAnsi="宋体"/>
          <w:b/>
          <w:color w:val="auto"/>
          <w:sz w:val="24"/>
          <w:szCs w:val="24"/>
          <w:highlight w:val="none"/>
        </w:rPr>
      </w:pPr>
      <w:bookmarkStart w:id="174" w:name="_Toc1543"/>
      <w:bookmarkEnd w:id="174"/>
      <w:bookmarkStart w:id="175" w:name="_Toc23125"/>
      <w:r>
        <w:rPr>
          <w:rFonts w:hint="eastAsia" w:ascii="宋体" w:hAnsi="宋体"/>
          <w:b/>
          <w:color w:val="auto"/>
          <w:sz w:val="24"/>
          <w:szCs w:val="24"/>
          <w:highlight w:val="none"/>
        </w:rPr>
        <w:t>3.4 磋商保证金</w:t>
      </w:r>
      <w:bookmarkEnd w:id="175"/>
    </w:p>
    <w:p w14:paraId="6536BA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3.4.1供应商在递交响应文件的同时，应按供应商须知前附表规定的金额、形式和</w:t>
      </w:r>
      <w:r>
        <w:rPr>
          <w:rFonts w:hint="eastAsia" w:ascii="宋体" w:hAnsi="宋体" w:eastAsia="宋体"/>
          <w:color w:val="auto"/>
          <w:sz w:val="24"/>
          <w:szCs w:val="24"/>
          <w:highlight w:val="none"/>
          <w:lang w:eastAsia="zh-CN"/>
        </w:rPr>
        <w:t>第七章“响应文件格式”</w:t>
      </w:r>
      <w:r>
        <w:rPr>
          <w:rFonts w:hint="eastAsia" w:ascii="宋体" w:hAnsi="宋体"/>
          <w:color w:val="auto"/>
          <w:sz w:val="24"/>
          <w:szCs w:val="24"/>
          <w:highlight w:val="none"/>
        </w:rPr>
        <w:t>规定的磋商保证金格式递交磋商保证金，并作为其响应文件的组成部分。联合体磋商的，其磋商保证金可以由牵头人递交。</w:t>
      </w:r>
    </w:p>
    <w:p w14:paraId="451B21D4">
      <w:pPr>
        <w:spacing w:line="360" w:lineRule="auto"/>
        <w:ind w:firstLine="480" w:firstLineChars="200"/>
        <w:rPr>
          <w:rFonts w:hint="eastAsia" w:ascii="宋体" w:hAnsi="宋体"/>
          <w:sz w:val="24"/>
          <w:szCs w:val="24"/>
        </w:rPr>
      </w:pPr>
      <w:r>
        <w:rPr>
          <w:rFonts w:hint="eastAsia" w:ascii="宋体" w:hAnsi="宋体"/>
          <w:sz w:val="24"/>
          <w:szCs w:val="24"/>
        </w:rPr>
        <w:t>3.4.2 供应商不按本章第3.4.1 项要求提交磋商保证金的，其磋商将被视为无效磋商。</w:t>
      </w:r>
    </w:p>
    <w:p w14:paraId="5692E04A">
      <w:pPr>
        <w:spacing w:line="360" w:lineRule="auto"/>
        <w:ind w:firstLine="480" w:firstLineChars="200"/>
        <w:rPr>
          <w:rFonts w:hint="eastAsia" w:ascii="宋体" w:hAnsi="宋体"/>
          <w:sz w:val="24"/>
          <w:szCs w:val="24"/>
        </w:rPr>
      </w:pPr>
      <w:r>
        <w:rPr>
          <w:rFonts w:hint="eastAsia" w:ascii="宋体" w:hAnsi="宋体"/>
          <w:sz w:val="24"/>
          <w:szCs w:val="24"/>
        </w:rPr>
        <w:t>3.4.3 采购人或者采购代理机构应当自成交通知书发出之日起5个工作日内退还未成交供应商的磋商保证金，自采购合同签订之日起5个工作日内退还成交供应商的磋商保证金。</w:t>
      </w:r>
    </w:p>
    <w:p w14:paraId="34B2B6AE">
      <w:pPr>
        <w:spacing w:line="360" w:lineRule="auto"/>
        <w:ind w:firstLine="480" w:firstLineChars="200"/>
        <w:rPr>
          <w:rFonts w:hint="eastAsia" w:ascii="宋体" w:hAnsi="宋体"/>
          <w:sz w:val="24"/>
          <w:szCs w:val="24"/>
        </w:rPr>
      </w:pPr>
      <w:r>
        <w:rPr>
          <w:rFonts w:hint="eastAsia" w:ascii="宋体" w:hAnsi="宋体"/>
          <w:sz w:val="24"/>
          <w:szCs w:val="24"/>
        </w:rPr>
        <w:t>3.4.4 有下列情形之一的，磋商保证金将不予退还：</w:t>
      </w:r>
    </w:p>
    <w:p w14:paraId="753A1CF1">
      <w:pPr>
        <w:spacing w:line="360" w:lineRule="auto"/>
        <w:ind w:firstLine="480" w:firstLineChars="200"/>
        <w:rPr>
          <w:rFonts w:hint="eastAsia" w:ascii="宋体" w:hAnsi="宋体"/>
          <w:sz w:val="24"/>
          <w:szCs w:val="24"/>
        </w:rPr>
      </w:pPr>
      <w:r>
        <w:rPr>
          <w:rFonts w:hint="eastAsia" w:ascii="宋体" w:hAnsi="宋体"/>
          <w:sz w:val="24"/>
          <w:szCs w:val="24"/>
        </w:rPr>
        <w:t>（1）供应商在磋商有效期内撤销响应文件；</w:t>
      </w:r>
    </w:p>
    <w:p w14:paraId="676BA0CA">
      <w:pPr>
        <w:spacing w:line="360" w:lineRule="auto"/>
        <w:ind w:firstLine="480" w:firstLineChars="200"/>
        <w:rPr>
          <w:rFonts w:hint="eastAsia" w:ascii="宋体" w:hAnsi="宋体"/>
          <w:sz w:val="24"/>
          <w:szCs w:val="24"/>
        </w:rPr>
      </w:pPr>
      <w:r>
        <w:rPr>
          <w:rFonts w:hint="eastAsia" w:ascii="宋体" w:hAnsi="宋体"/>
          <w:sz w:val="24"/>
          <w:szCs w:val="24"/>
        </w:rPr>
        <w:t>（2）成交供应商在收到成交通知书后，无正当理由不与采购人订立合同，在签订合同时向采购人提出附加条件，或者不按照竞争性磋商文件要求提交履约保证金；</w:t>
      </w:r>
    </w:p>
    <w:p w14:paraId="06411F46">
      <w:pPr>
        <w:spacing w:line="360" w:lineRule="auto"/>
        <w:ind w:left="479" w:leftChars="228"/>
        <w:rPr>
          <w:rFonts w:hint="eastAsia" w:ascii="宋体" w:hAnsi="宋体"/>
          <w:sz w:val="24"/>
          <w:szCs w:val="24"/>
        </w:rPr>
      </w:pPr>
      <w:r>
        <w:rPr>
          <w:rFonts w:hint="eastAsia" w:ascii="宋体" w:hAnsi="宋体"/>
          <w:sz w:val="24"/>
          <w:szCs w:val="24"/>
        </w:rPr>
        <w:t>（3）其他法律法规要求不予退还磋商保证金的情形。</w:t>
      </w:r>
    </w:p>
    <w:p w14:paraId="16FB3437">
      <w:pPr>
        <w:spacing w:line="360" w:lineRule="auto"/>
        <w:rPr>
          <w:rFonts w:hint="eastAsia" w:ascii="宋体" w:hAnsi="宋体"/>
          <w:b/>
          <w:color w:val="FF0000"/>
          <w:sz w:val="24"/>
          <w:szCs w:val="24"/>
        </w:rPr>
      </w:pPr>
      <w:bookmarkStart w:id="176" w:name="_Toc32408"/>
      <w:bookmarkEnd w:id="176"/>
      <w:bookmarkStart w:id="177" w:name="_Toc4859"/>
      <w:r>
        <w:rPr>
          <w:rFonts w:hint="eastAsia" w:ascii="宋体" w:hAnsi="宋体"/>
          <w:b/>
          <w:sz w:val="24"/>
          <w:szCs w:val="24"/>
        </w:rPr>
        <w:t>3.5响应文件的编制</w:t>
      </w:r>
      <w:bookmarkEnd w:id="177"/>
    </w:p>
    <w:p w14:paraId="7A43574B">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3.5.1 响应文件应按</w:t>
      </w:r>
      <w:r>
        <w:rPr>
          <w:rFonts w:hint="eastAsia" w:ascii="宋体" w:hAnsi="宋体" w:eastAsia="宋体"/>
          <w:color w:val="000000"/>
          <w:sz w:val="24"/>
          <w:szCs w:val="24"/>
          <w:lang w:eastAsia="zh-CN"/>
        </w:rPr>
        <w:t>第七章“响应文件格式”</w:t>
      </w:r>
      <w:r>
        <w:rPr>
          <w:rFonts w:hint="eastAsia" w:ascii="宋体" w:hAnsi="宋体"/>
          <w:color w:val="000000"/>
          <w:sz w:val="24"/>
          <w:szCs w:val="24"/>
        </w:rPr>
        <w:t>进行编写。</w:t>
      </w:r>
    </w:p>
    <w:p w14:paraId="5BB3E328">
      <w:pPr>
        <w:spacing w:line="360" w:lineRule="auto"/>
        <w:ind w:firstLine="480" w:firstLineChars="200"/>
        <w:rPr>
          <w:rFonts w:hint="eastAsia" w:ascii="宋体" w:hAnsi="宋体"/>
          <w:sz w:val="24"/>
          <w:szCs w:val="24"/>
        </w:rPr>
      </w:pPr>
      <w:r>
        <w:rPr>
          <w:rFonts w:hint="eastAsia" w:ascii="宋体" w:hAnsi="宋体"/>
          <w:sz w:val="24"/>
          <w:szCs w:val="24"/>
          <w:lang w:eastAsia="zh-CN"/>
        </w:rPr>
        <w:t>3.5.2</w:t>
      </w:r>
      <w:r>
        <w:rPr>
          <w:rFonts w:hint="eastAsia" w:ascii="宋体" w:hAnsi="宋体"/>
          <w:bCs/>
          <w:sz w:val="24"/>
          <w:szCs w:val="24"/>
        </w:rPr>
        <w:t>响应文件全部采用电子文档，除供应商须知前附表另有规定外，响应文件所附证书证件均为原件扫描件，并采用单位和个人数字证书，按竞争性磋商文件要求在相应位置加盖电子签章。由供应商的法定代表人签字或加盖电子签章的，应附法定代表人身份证明，由代理人签字或加盖电子签章的，应附由法定代表人签署的授权委托书。</w:t>
      </w:r>
    </w:p>
    <w:p w14:paraId="0DDF5BDF">
      <w:pPr>
        <w:spacing w:line="360" w:lineRule="auto"/>
        <w:ind w:firstLine="480" w:firstLineChars="200"/>
        <w:rPr>
          <w:rFonts w:hint="eastAsia" w:ascii="宋体" w:hAnsi="宋体" w:cs="宋体"/>
          <w:sz w:val="24"/>
          <w:szCs w:val="24"/>
        </w:rPr>
      </w:pPr>
      <w:r>
        <w:rPr>
          <w:rFonts w:hint="eastAsia" w:ascii="宋体" w:hAnsi="宋体" w:cs="宋体"/>
          <w:sz w:val="24"/>
          <w:szCs w:val="24"/>
        </w:rPr>
        <w:t>3.5.</w:t>
      </w:r>
      <w:r>
        <w:rPr>
          <w:rFonts w:hint="eastAsia" w:ascii="宋体" w:hAnsi="宋体" w:cs="宋体"/>
          <w:sz w:val="24"/>
          <w:szCs w:val="24"/>
          <w:lang w:val="en-US" w:eastAsia="zh-CN"/>
        </w:rPr>
        <w:t>3</w:t>
      </w:r>
      <w:r>
        <w:rPr>
          <w:rFonts w:hint="eastAsia" w:ascii="宋体" w:hAnsi="宋体" w:cs="宋体"/>
          <w:sz w:val="24"/>
          <w:szCs w:val="24"/>
        </w:rPr>
        <w:t>电子响应文件的格式</w:t>
      </w:r>
      <w:r>
        <w:rPr>
          <w:rFonts w:hint="eastAsia" w:ascii="宋体" w:hAnsi="宋体"/>
          <w:sz w:val="24"/>
          <w:szCs w:val="24"/>
        </w:rPr>
        <w:t>见供应商须知前附表</w:t>
      </w:r>
      <w:r>
        <w:rPr>
          <w:rFonts w:hint="eastAsia" w:ascii="宋体" w:hAnsi="宋体" w:cs="宋体"/>
          <w:sz w:val="24"/>
          <w:szCs w:val="24"/>
        </w:rPr>
        <w:t>。</w:t>
      </w:r>
    </w:p>
    <w:p w14:paraId="383CC001">
      <w:pPr>
        <w:spacing w:line="360" w:lineRule="auto"/>
        <w:ind w:firstLine="480" w:firstLineChars="200"/>
        <w:rPr>
          <w:rFonts w:hint="eastAsia" w:ascii="宋体" w:hAnsi="宋体"/>
          <w:sz w:val="24"/>
          <w:szCs w:val="24"/>
        </w:rPr>
      </w:pPr>
      <w:r>
        <w:rPr>
          <w:rFonts w:hint="eastAsia" w:ascii="宋体" w:hAnsi="宋体" w:cs="宋体"/>
          <w:sz w:val="24"/>
          <w:szCs w:val="24"/>
        </w:rPr>
        <w:t>3.5.</w:t>
      </w:r>
      <w:r>
        <w:rPr>
          <w:rFonts w:hint="eastAsia" w:ascii="宋体" w:hAnsi="宋体" w:cs="宋体"/>
          <w:sz w:val="24"/>
          <w:szCs w:val="24"/>
          <w:lang w:val="en-US" w:eastAsia="zh-CN"/>
        </w:rPr>
        <w:t>4</w:t>
      </w:r>
      <w:r>
        <w:rPr>
          <w:rFonts w:hint="eastAsia" w:ascii="宋体" w:hAnsi="宋体" w:cs="宋体"/>
          <w:sz w:val="24"/>
          <w:szCs w:val="24"/>
        </w:rPr>
        <w:t>如供应商提交的电子标书不符合3.5.</w:t>
      </w:r>
      <w:r>
        <w:rPr>
          <w:rFonts w:hint="eastAsia" w:ascii="宋体" w:hAnsi="宋体" w:cs="宋体"/>
          <w:sz w:val="24"/>
          <w:szCs w:val="24"/>
          <w:lang w:val="en-US" w:eastAsia="zh-CN"/>
        </w:rPr>
        <w:t>3</w:t>
      </w:r>
      <w:r>
        <w:rPr>
          <w:rFonts w:hint="eastAsia" w:ascii="宋体" w:hAnsi="宋体" w:cs="宋体"/>
          <w:sz w:val="24"/>
          <w:szCs w:val="24"/>
        </w:rPr>
        <w:t>要求或开启时无法读取导入或解密，其响应文件将不予受理。</w:t>
      </w:r>
    </w:p>
    <w:p w14:paraId="11527722">
      <w:pPr>
        <w:pStyle w:val="3"/>
        <w:spacing w:before="0" w:after="0" w:line="360" w:lineRule="auto"/>
        <w:rPr>
          <w:rFonts w:hint="eastAsia" w:ascii="宋体" w:hAnsi="宋体" w:eastAsia="宋体"/>
          <w:sz w:val="28"/>
          <w:szCs w:val="28"/>
        </w:rPr>
      </w:pPr>
      <w:bookmarkStart w:id="178" w:name="_Toc13757"/>
      <w:bookmarkEnd w:id="178"/>
      <w:bookmarkStart w:id="179" w:name="_Toc1490"/>
      <w:bookmarkEnd w:id="179"/>
      <w:bookmarkStart w:id="180" w:name="_Toc21365"/>
      <w:bookmarkStart w:id="181" w:name="_Toc3896285"/>
      <w:bookmarkStart w:id="182" w:name="_Toc7149"/>
      <w:bookmarkStart w:id="183" w:name="_Toc13871"/>
      <w:r>
        <w:rPr>
          <w:rFonts w:hint="eastAsia" w:ascii="宋体" w:hAnsi="宋体" w:eastAsia="宋体"/>
          <w:sz w:val="28"/>
          <w:szCs w:val="28"/>
        </w:rPr>
        <w:t>4.磋商</w:t>
      </w:r>
      <w:bookmarkEnd w:id="180"/>
      <w:bookmarkEnd w:id="181"/>
      <w:bookmarkEnd w:id="182"/>
      <w:bookmarkEnd w:id="183"/>
    </w:p>
    <w:p w14:paraId="6F8656BB">
      <w:pPr>
        <w:spacing w:line="360" w:lineRule="auto"/>
        <w:rPr>
          <w:rFonts w:hint="eastAsia" w:ascii="宋体" w:hAnsi="宋体"/>
          <w:b/>
          <w:color w:val="000000"/>
          <w:sz w:val="24"/>
          <w:szCs w:val="24"/>
        </w:rPr>
      </w:pPr>
      <w:bookmarkStart w:id="184" w:name="_Toc1523"/>
      <w:bookmarkEnd w:id="184"/>
      <w:bookmarkStart w:id="185" w:name="_Toc25497"/>
      <w:r>
        <w:rPr>
          <w:rFonts w:hint="eastAsia" w:ascii="宋体" w:hAnsi="宋体"/>
          <w:b/>
          <w:color w:val="000000"/>
          <w:sz w:val="24"/>
          <w:szCs w:val="24"/>
        </w:rPr>
        <w:t>4.1 响应文件的</w:t>
      </w:r>
      <w:bookmarkEnd w:id="185"/>
      <w:r>
        <w:rPr>
          <w:rFonts w:hint="eastAsia" w:ascii="宋体" w:hAnsi="宋体"/>
          <w:b/>
          <w:color w:val="000000"/>
          <w:sz w:val="24"/>
          <w:szCs w:val="24"/>
        </w:rPr>
        <w:t>加密</w:t>
      </w:r>
    </w:p>
    <w:p w14:paraId="7D01F3A8">
      <w:pPr>
        <w:spacing w:line="360" w:lineRule="auto"/>
        <w:ind w:firstLine="480" w:firstLineChars="200"/>
        <w:rPr>
          <w:rFonts w:hint="eastAsia" w:ascii="宋体" w:hAnsi="宋体"/>
          <w:sz w:val="24"/>
          <w:szCs w:val="24"/>
          <w:highlight w:val="none"/>
        </w:rPr>
      </w:pPr>
      <w:bookmarkStart w:id="186" w:name="_Toc20611"/>
      <w:bookmarkEnd w:id="186"/>
      <w:bookmarkStart w:id="187" w:name="_Toc9134"/>
      <w:r>
        <w:rPr>
          <w:rFonts w:hint="eastAsia" w:ascii="宋体" w:hAnsi="宋体"/>
          <w:sz w:val="24"/>
          <w:szCs w:val="24"/>
          <w:highlight w:val="none"/>
        </w:rPr>
        <w:t>响应文件的加密要求见供应商须知前附表。</w:t>
      </w:r>
    </w:p>
    <w:p w14:paraId="6F2088C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4.2 响应文件的递交</w:t>
      </w:r>
      <w:bookmarkEnd w:id="187"/>
    </w:p>
    <w:p w14:paraId="6B1F1907">
      <w:pPr>
        <w:spacing w:line="360" w:lineRule="auto"/>
        <w:ind w:firstLine="480" w:firstLineChars="200"/>
        <w:rPr>
          <w:rFonts w:hint="eastAsia" w:ascii="宋体" w:hAnsi="宋体"/>
          <w:sz w:val="24"/>
          <w:szCs w:val="24"/>
          <w:highlight w:val="none"/>
        </w:rPr>
      </w:pPr>
      <w:bookmarkStart w:id="188" w:name="_Toc21133"/>
      <w:bookmarkEnd w:id="188"/>
      <w:bookmarkStart w:id="189" w:name="_Toc8975"/>
      <w:bookmarkEnd w:id="189"/>
      <w:bookmarkStart w:id="190" w:name="_Toc5071"/>
      <w:bookmarkStart w:id="191" w:name="_Toc2631"/>
      <w:bookmarkStart w:id="192" w:name="_Toc20324"/>
      <w:r>
        <w:rPr>
          <w:rFonts w:hint="eastAsia" w:ascii="宋体" w:hAnsi="宋体"/>
          <w:sz w:val="24"/>
          <w:szCs w:val="24"/>
          <w:highlight w:val="none"/>
        </w:rPr>
        <w:t>4.2.1</w:t>
      </w:r>
      <w:r>
        <w:rPr>
          <w:rFonts w:hint="eastAsia" w:ascii="宋体" w:hAnsi="宋体"/>
          <w:kern w:val="2"/>
          <w:sz w:val="24"/>
          <w:szCs w:val="24"/>
          <w:highlight w:val="none"/>
        </w:rPr>
        <w:t>响应文件提交截止时间和地点</w:t>
      </w:r>
      <w:r>
        <w:rPr>
          <w:rFonts w:hint="eastAsia" w:ascii="宋体" w:hAnsi="宋体"/>
          <w:sz w:val="24"/>
          <w:szCs w:val="24"/>
          <w:highlight w:val="none"/>
        </w:rPr>
        <w:t>：</w:t>
      </w:r>
      <w:r>
        <w:rPr>
          <w:rFonts w:hint="eastAsia" w:ascii="宋体" w:hAnsi="宋体"/>
          <w:sz w:val="24"/>
          <w:highlight w:val="none"/>
        </w:rPr>
        <w:t>见供应商须知前附表</w:t>
      </w:r>
      <w:r>
        <w:rPr>
          <w:rFonts w:hint="eastAsia" w:ascii="宋体" w:hAnsi="宋体"/>
          <w:sz w:val="24"/>
          <w:szCs w:val="24"/>
          <w:highlight w:val="none"/>
        </w:rPr>
        <w:t>。</w:t>
      </w:r>
    </w:p>
    <w:p w14:paraId="4E67C0A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4.2.2供应商所递交的响应文件不予退还。</w:t>
      </w:r>
    </w:p>
    <w:p w14:paraId="2A734D16">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4.3 响应文件的修改与撤回</w:t>
      </w:r>
      <w:bookmarkEnd w:id="190"/>
    </w:p>
    <w:bookmarkEnd w:id="191"/>
    <w:bookmarkEnd w:id="192"/>
    <w:p w14:paraId="1603C336">
      <w:pPr>
        <w:spacing w:line="360" w:lineRule="auto"/>
        <w:ind w:firstLine="480" w:firstLineChars="200"/>
        <w:rPr>
          <w:rFonts w:hint="eastAsia" w:ascii="宋体" w:hAnsi="宋体"/>
          <w:sz w:val="24"/>
          <w:szCs w:val="24"/>
          <w:highlight w:val="none"/>
        </w:rPr>
      </w:pPr>
      <w:bookmarkStart w:id="193" w:name="_Toc14362"/>
      <w:bookmarkEnd w:id="193"/>
      <w:bookmarkStart w:id="194" w:name="_Toc9271"/>
      <w:bookmarkEnd w:id="194"/>
      <w:bookmarkStart w:id="195" w:name="_Toc12164"/>
      <w:r>
        <w:rPr>
          <w:rFonts w:hint="eastAsia" w:ascii="宋体" w:hAnsi="宋体"/>
          <w:sz w:val="24"/>
          <w:szCs w:val="24"/>
          <w:highlight w:val="none"/>
        </w:rPr>
        <w:t>4.3.1在响应文件截止时间前，供应商可以撤回在网上已递交的响应文件，修改后重新递交。</w:t>
      </w:r>
    </w:p>
    <w:p w14:paraId="50D6724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4.3.2修改的响应文件应按照竞争性磋商文件规定进行编制、加密和递交。</w:t>
      </w:r>
    </w:p>
    <w:p w14:paraId="2B4FDFC8">
      <w:pPr>
        <w:pStyle w:val="3"/>
        <w:spacing w:before="0" w:after="0" w:line="360" w:lineRule="auto"/>
        <w:rPr>
          <w:rFonts w:hint="eastAsia" w:ascii="宋体" w:hAnsi="宋体" w:eastAsia="宋体"/>
          <w:sz w:val="28"/>
          <w:szCs w:val="28"/>
          <w:highlight w:val="none"/>
        </w:rPr>
      </w:pPr>
      <w:bookmarkStart w:id="196" w:name="_Toc13902"/>
      <w:bookmarkStart w:id="197" w:name="_Toc19550"/>
      <w:r>
        <w:rPr>
          <w:rFonts w:hint="eastAsia" w:ascii="宋体" w:hAnsi="宋体" w:eastAsia="宋体"/>
          <w:sz w:val="28"/>
          <w:szCs w:val="28"/>
          <w:highlight w:val="none"/>
        </w:rPr>
        <w:t>5.</w:t>
      </w:r>
      <w:bookmarkEnd w:id="195"/>
      <w:r>
        <w:rPr>
          <w:rFonts w:hint="eastAsia" w:ascii="宋体" w:hAnsi="宋体" w:eastAsia="宋体"/>
          <w:sz w:val="28"/>
          <w:szCs w:val="28"/>
          <w:highlight w:val="none"/>
        </w:rPr>
        <w:t>开启时间和地点</w:t>
      </w:r>
      <w:bookmarkEnd w:id="196"/>
      <w:bookmarkEnd w:id="197"/>
    </w:p>
    <w:p w14:paraId="0A236D51">
      <w:pPr>
        <w:spacing w:line="360" w:lineRule="auto"/>
        <w:ind w:firstLine="480" w:firstLineChars="200"/>
        <w:rPr>
          <w:rFonts w:hint="eastAsia" w:ascii="宋体" w:hAnsi="宋体"/>
          <w:color w:val="000000"/>
          <w:sz w:val="24"/>
          <w:szCs w:val="24"/>
          <w:highlight w:val="none"/>
        </w:rPr>
      </w:pPr>
      <w:bookmarkStart w:id="198" w:name="_Toc1527"/>
      <w:bookmarkEnd w:id="198"/>
      <w:bookmarkStart w:id="199" w:name="_Toc22860"/>
      <w:r>
        <w:rPr>
          <w:rFonts w:hint="eastAsia" w:ascii="宋体" w:hAnsi="宋体"/>
          <w:color w:val="000000"/>
          <w:sz w:val="24"/>
          <w:szCs w:val="24"/>
          <w:highlight w:val="none"/>
        </w:rPr>
        <w:t>见</w:t>
      </w: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须知前附表。</w:t>
      </w:r>
    </w:p>
    <w:bookmarkEnd w:id="199"/>
    <w:p w14:paraId="5F9FAA75">
      <w:pPr>
        <w:pStyle w:val="3"/>
        <w:spacing w:before="0" w:after="0" w:line="360" w:lineRule="auto"/>
        <w:rPr>
          <w:rFonts w:hint="eastAsia" w:ascii="宋体" w:hAnsi="宋体" w:eastAsia="宋体"/>
          <w:sz w:val="28"/>
          <w:szCs w:val="28"/>
        </w:rPr>
      </w:pPr>
      <w:bookmarkStart w:id="200" w:name="_Toc26040"/>
      <w:bookmarkEnd w:id="200"/>
      <w:bookmarkStart w:id="201" w:name="_Toc27754"/>
      <w:bookmarkEnd w:id="201"/>
      <w:bookmarkStart w:id="202" w:name="_Toc11518"/>
      <w:bookmarkEnd w:id="202"/>
      <w:bookmarkStart w:id="203" w:name="_Toc25563"/>
      <w:bookmarkEnd w:id="203"/>
      <w:bookmarkStart w:id="204" w:name="_Toc10501"/>
      <w:bookmarkStart w:id="205" w:name="_Toc26203"/>
      <w:bookmarkStart w:id="206" w:name="_Toc3896287"/>
      <w:bookmarkStart w:id="207" w:name="_Toc29087"/>
      <w:r>
        <w:rPr>
          <w:rFonts w:hint="eastAsia" w:ascii="宋体" w:hAnsi="宋体" w:eastAsia="宋体"/>
          <w:sz w:val="28"/>
          <w:szCs w:val="28"/>
        </w:rPr>
        <w:t>6.评审</w:t>
      </w:r>
      <w:bookmarkEnd w:id="204"/>
      <w:bookmarkEnd w:id="205"/>
      <w:bookmarkEnd w:id="206"/>
      <w:bookmarkEnd w:id="207"/>
    </w:p>
    <w:p w14:paraId="309A989C">
      <w:pPr>
        <w:spacing w:line="360" w:lineRule="auto"/>
        <w:rPr>
          <w:rFonts w:hint="eastAsia" w:ascii="宋体" w:hAnsi="宋体"/>
          <w:b/>
          <w:sz w:val="24"/>
          <w:szCs w:val="24"/>
        </w:rPr>
      </w:pPr>
      <w:bookmarkStart w:id="208" w:name="_Toc11207"/>
      <w:bookmarkEnd w:id="208"/>
      <w:bookmarkStart w:id="209" w:name="_Toc4770"/>
      <w:r>
        <w:rPr>
          <w:rFonts w:hint="eastAsia" w:ascii="宋体" w:hAnsi="宋体"/>
          <w:b/>
          <w:sz w:val="24"/>
          <w:szCs w:val="24"/>
        </w:rPr>
        <w:t>6.1 磋商小组</w:t>
      </w:r>
      <w:bookmarkEnd w:id="209"/>
    </w:p>
    <w:p w14:paraId="4B059031">
      <w:pPr>
        <w:spacing w:line="360" w:lineRule="auto"/>
        <w:ind w:firstLine="480" w:firstLineChars="200"/>
        <w:rPr>
          <w:rFonts w:hint="eastAsia" w:ascii="宋体" w:hAnsi="宋体"/>
          <w:sz w:val="24"/>
          <w:szCs w:val="24"/>
        </w:rPr>
      </w:pPr>
      <w:r>
        <w:rPr>
          <w:rFonts w:hint="eastAsia" w:ascii="宋体" w:hAnsi="宋体"/>
          <w:sz w:val="24"/>
          <w:szCs w:val="24"/>
        </w:rPr>
        <w:t>6.1.1</w:t>
      </w:r>
      <w:r>
        <w:rPr>
          <w:rFonts w:hint="eastAsia" w:ascii="宋体" w:hAnsi="宋体"/>
          <w:color w:val="auto"/>
          <w:sz w:val="24"/>
          <w:szCs w:val="24"/>
          <w:highlight w:val="none"/>
        </w:rPr>
        <w:t>磋商小组</w:t>
      </w:r>
      <w:r>
        <w:rPr>
          <w:rFonts w:hint="eastAsia" w:ascii="宋体" w:hAnsi="宋体"/>
          <w:color w:val="auto"/>
          <w:sz w:val="24"/>
          <w:szCs w:val="24"/>
          <w:highlight w:val="none"/>
          <w:lang w:eastAsia="zh-CN"/>
        </w:rPr>
        <w:t>的组成</w:t>
      </w:r>
      <w:r>
        <w:rPr>
          <w:rFonts w:hint="eastAsia" w:ascii="宋体" w:hAnsi="宋体"/>
          <w:color w:val="auto"/>
          <w:sz w:val="24"/>
          <w:szCs w:val="24"/>
          <w:highlight w:val="none"/>
        </w:rPr>
        <w:t>见供应商须知前附表。</w:t>
      </w:r>
    </w:p>
    <w:p w14:paraId="32DE1F51">
      <w:pPr>
        <w:spacing w:line="360" w:lineRule="auto"/>
        <w:ind w:firstLine="480" w:firstLineChars="200"/>
        <w:rPr>
          <w:rFonts w:hint="eastAsia" w:ascii="宋体" w:hAnsi="宋体"/>
          <w:sz w:val="24"/>
          <w:szCs w:val="24"/>
        </w:rPr>
      </w:pPr>
      <w:r>
        <w:rPr>
          <w:rFonts w:hint="eastAsia" w:ascii="宋体" w:hAnsi="宋体"/>
          <w:sz w:val="24"/>
          <w:szCs w:val="24"/>
        </w:rPr>
        <w:t>6.1.2 评审中因磋商小组成员缺席、回避或者健康等特殊原因导致磋商小组组成不符合《政府采购竞争性磋商采购方式管理暂行办法》（财库[2014]214号）规定的，采购人或者采购代理机构应当依法补足后继续评审。被更换的磋商小组成员所作出的评审意见无效。无法及时补足磋商小组成员的，采购人或者采购代理机构应当停止评审活动，封存所有响应文件和开启、评审资料，依法重新组建磋商小组进行评审。原磋商小组所作出的评审意见无效。采购人或者采购代理机构应当将变更、重新组建磋商小组的情况予以记录，并随竞争性磋商文件一并存档。</w:t>
      </w:r>
    </w:p>
    <w:p w14:paraId="753DD0B9">
      <w:pPr>
        <w:spacing w:line="360" w:lineRule="auto"/>
        <w:rPr>
          <w:rFonts w:hint="eastAsia" w:ascii="宋体" w:hAnsi="宋体"/>
          <w:b/>
          <w:sz w:val="24"/>
          <w:szCs w:val="24"/>
        </w:rPr>
      </w:pPr>
      <w:bookmarkStart w:id="210" w:name="_Toc28237"/>
      <w:bookmarkEnd w:id="210"/>
      <w:bookmarkStart w:id="211" w:name="_Toc6336"/>
      <w:r>
        <w:rPr>
          <w:rFonts w:hint="eastAsia" w:ascii="宋体" w:hAnsi="宋体"/>
          <w:b/>
          <w:sz w:val="24"/>
          <w:szCs w:val="24"/>
        </w:rPr>
        <w:t>6.2 评审原则</w:t>
      </w:r>
      <w:bookmarkEnd w:id="211"/>
    </w:p>
    <w:p w14:paraId="76D1F293">
      <w:pPr>
        <w:spacing w:line="360" w:lineRule="auto"/>
        <w:ind w:firstLine="480" w:firstLineChars="200"/>
        <w:rPr>
          <w:rFonts w:hint="eastAsia" w:ascii="宋体" w:hAnsi="宋体"/>
          <w:sz w:val="24"/>
          <w:szCs w:val="24"/>
        </w:rPr>
      </w:pPr>
      <w:r>
        <w:rPr>
          <w:rFonts w:hint="eastAsia" w:ascii="宋体" w:hAnsi="宋体"/>
          <w:sz w:val="24"/>
          <w:szCs w:val="24"/>
          <w:lang w:eastAsia="zh-CN"/>
        </w:rPr>
        <w:t>评审活动遵循客观、公正、审慎的原则</w:t>
      </w:r>
      <w:r>
        <w:rPr>
          <w:rFonts w:hint="eastAsia" w:ascii="宋体" w:hAnsi="宋体"/>
          <w:sz w:val="24"/>
          <w:szCs w:val="24"/>
        </w:rPr>
        <w:t>。</w:t>
      </w:r>
    </w:p>
    <w:p w14:paraId="0C45B34D">
      <w:pPr>
        <w:spacing w:line="360" w:lineRule="auto"/>
        <w:rPr>
          <w:rFonts w:hint="eastAsia" w:ascii="宋体" w:hAnsi="宋体"/>
          <w:b/>
          <w:sz w:val="24"/>
          <w:szCs w:val="24"/>
        </w:rPr>
      </w:pPr>
      <w:bookmarkStart w:id="212" w:name="_Toc10442"/>
      <w:bookmarkEnd w:id="212"/>
      <w:bookmarkStart w:id="213" w:name="_Toc5282"/>
      <w:r>
        <w:rPr>
          <w:rFonts w:hint="eastAsia" w:ascii="宋体" w:hAnsi="宋体"/>
          <w:b/>
          <w:sz w:val="24"/>
          <w:szCs w:val="24"/>
        </w:rPr>
        <w:t>6.3 评审</w:t>
      </w:r>
      <w:bookmarkEnd w:id="213"/>
    </w:p>
    <w:p w14:paraId="6E638353">
      <w:pPr>
        <w:spacing w:line="360" w:lineRule="auto"/>
        <w:ind w:firstLine="480" w:firstLineChars="200"/>
        <w:rPr>
          <w:rFonts w:hint="eastAsia" w:ascii="宋体" w:hAnsi="宋体"/>
          <w:color w:val="000000"/>
          <w:sz w:val="24"/>
          <w:szCs w:val="24"/>
        </w:rPr>
      </w:pPr>
      <w:r>
        <w:rPr>
          <w:rFonts w:hint="eastAsia" w:ascii="宋体" w:hAnsi="宋体"/>
          <w:sz w:val="24"/>
          <w:szCs w:val="24"/>
        </w:rPr>
        <w:t>6.3.1 磋商</w:t>
      </w:r>
      <w:r>
        <w:rPr>
          <w:rFonts w:hint="eastAsia" w:ascii="宋体" w:hAnsi="宋体"/>
          <w:color w:val="000000"/>
          <w:sz w:val="24"/>
          <w:szCs w:val="24"/>
        </w:rPr>
        <w:t>小组按照第三章“评审方法”规定的方法、评审因素、标准和程序对响应文件进行评审。第三章“评审方法”没有规定的方法、评审因素和标准，不作为评审依据。</w:t>
      </w:r>
    </w:p>
    <w:p w14:paraId="5A6E312A">
      <w:pPr>
        <w:spacing w:line="360" w:lineRule="auto"/>
        <w:ind w:firstLine="480" w:firstLineChars="200"/>
        <w:rPr>
          <w:rFonts w:hint="eastAsia" w:ascii="宋体" w:hAnsi="宋体"/>
          <w:sz w:val="24"/>
          <w:szCs w:val="24"/>
        </w:rPr>
      </w:pPr>
      <w:r>
        <w:rPr>
          <w:rFonts w:hint="eastAsia" w:ascii="宋体" w:hAnsi="宋体"/>
          <w:color w:val="000000"/>
          <w:sz w:val="24"/>
          <w:szCs w:val="24"/>
        </w:rPr>
        <w:t>6.3.2 评审完成后，磋商小</w:t>
      </w:r>
      <w:r>
        <w:rPr>
          <w:rFonts w:hint="eastAsia" w:ascii="宋体" w:hAnsi="宋体"/>
          <w:sz w:val="24"/>
          <w:szCs w:val="24"/>
        </w:rPr>
        <w:t>组应当向采购人提交书面评审报告和成交候选供应商名单。磋商小组推荐成交候选供应商的人数见供应商须知前附表。</w:t>
      </w:r>
    </w:p>
    <w:p w14:paraId="457577E9">
      <w:pPr>
        <w:pStyle w:val="3"/>
        <w:spacing w:before="0" w:after="0" w:line="360" w:lineRule="auto"/>
        <w:rPr>
          <w:rFonts w:hint="eastAsia" w:ascii="宋体" w:hAnsi="宋体" w:eastAsia="宋体"/>
          <w:sz w:val="28"/>
          <w:szCs w:val="28"/>
        </w:rPr>
      </w:pPr>
      <w:bookmarkStart w:id="214" w:name="_Toc6003"/>
      <w:bookmarkEnd w:id="214"/>
      <w:bookmarkStart w:id="215" w:name="_Toc30483"/>
      <w:bookmarkEnd w:id="215"/>
      <w:bookmarkStart w:id="216" w:name="_Toc22840"/>
      <w:bookmarkStart w:id="217" w:name="_Toc7145"/>
      <w:bookmarkStart w:id="218" w:name="_Toc23000"/>
      <w:bookmarkStart w:id="219" w:name="_Toc3896288"/>
      <w:r>
        <w:rPr>
          <w:rFonts w:hint="eastAsia" w:ascii="宋体" w:hAnsi="宋体" w:eastAsia="宋体"/>
          <w:sz w:val="28"/>
          <w:szCs w:val="28"/>
        </w:rPr>
        <w:t>7.成交和合同</w:t>
      </w:r>
      <w:bookmarkEnd w:id="216"/>
      <w:bookmarkEnd w:id="217"/>
      <w:bookmarkEnd w:id="218"/>
      <w:bookmarkEnd w:id="219"/>
    </w:p>
    <w:p w14:paraId="6F8F5167">
      <w:pPr>
        <w:spacing w:line="360" w:lineRule="auto"/>
        <w:rPr>
          <w:rFonts w:hint="eastAsia" w:ascii="宋体" w:hAnsi="宋体"/>
          <w:b/>
          <w:sz w:val="24"/>
          <w:szCs w:val="24"/>
        </w:rPr>
      </w:pPr>
      <w:bookmarkStart w:id="220" w:name="_Toc18219"/>
      <w:bookmarkEnd w:id="220"/>
      <w:bookmarkStart w:id="221" w:name="_Toc31217"/>
      <w:r>
        <w:rPr>
          <w:rFonts w:hint="eastAsia" w:ascii="宋体" w:hAnsi="宋体"/>
          <w:b/>
          <w:sz w:val="24"/>
          <w:szCs w:val="24"/>
        </w:rPr>
        <w:t xml:space="preserve">7.1 </w:t>
      </w:r>
      <w:bookmarkEnd w:id="221"/>
      <w:r>
        <w:rPr>
          <w:rFonts w:hint="eastAsia" w:ascii="宋体" w:hAnsi="宋体"/>
          <w:b/>
          <w:sz w:val="24"/>
          <w:szCs w:val="24"/>
        </w:rPr>
        <w:t>确定成交供应商</w:t>
      </w:r>
    </w:p>
    <w:p w14:paraId="3808BDC1">
      <w:pPr>
        <w:spacing w:line="360" w:lineRule="auto"/>
        <w:ind w:firstLine="480" w:firstLineChars="200"/>
        <w:rPr>
          <w:rFonts w:hint="eastAsia" w:ascii="宋体" w:hAnsi="宋体"/>
          <w:sz w:val="24"/>
          <w:szCs w:val="24"/>
        </w:rPr>
      </w:pPr>
      <w:r>
        <w:rPr>
          <w:rFonts w:hint="eastAsia" w:ascii="宋体" w:hAnsi="宋体"/>
          <w:sz w:val="24"/>
          <w:szCs w:val="24"/>
        </w:rPr>
        <w:t>按照供应商须知前附表的规定，采购人或采购人授权的磋商小组依法确定成交供应商。</w:t>
      </w:r>
    </w:p>
    <w:p w14:paraId="33D120A4">
      <w:pPr>
        <w:spacing w:line="360" w:lineRule="auto"/>
        <w:rPr>
          <w:rFonts w:hint="eastAsia" w:ascii="宋体" w:hAnsi="宋体"/>
          <w:b/>
          <w:sz w:val="24"/>
          <w:szCs w:val="24"/>
        </w:rPr>
      </w:pPr>
      <w:bookmarkStart w:id="222" w:name="_Toc18811"/>
      <w:bookmarkEnd w:id="222"/>
      <w:bookmarkStart w:id="223" w:name="_Toc18115"/>
      <w:r>
        <w:rPr>
          <w:rFonts w:hint="eastAsia" w:ascii="宋体" w:hAnsi="宋体"/>
          <w:b/>
          <w:sz w:val="24"/>
          <w:szCs w:val="24"/>
        </w:rPr>
        <w:t>7.2成交公告</w:t>
      </w:r>
      <w:bookmarkEnd w:id="223"/>
    </w:p>
    <w:p w14:paraId="1474AFBB">
      <w:pPr>
        <w:widowControl w:val="0"/>
        <w:spacing w:line="360" w:lineRule="auto"/>
        <w:ind w:firstLine="480" w:firstLineChars="200"/>
        <w:rPr>
          <w:rFonts w:hint="eastAsia" w:ascii="宋体" w:hAnsi="宋体"/>
          <w:sz w:val="24"/>
          <w:szCs w:val="24"/>
        </w:rPr>
      </w:pPr>
      <w:r>
        <w:rPr>
          <w:rFonts w:hint="eastAsia" w:ascii="宋体" w:hAnsi="宋体"/>
          <w:sz w:val="24"/>
          <w:szCs w:val="24"/>
        </w:rPr>
        <w:t>采购人或者采购代理机构应当自成交供应商确定之日起2个工作日内，按照供应商须知前附表规定的媒介和期限公告成交结果，竞争性磋商文件应当随成交结果同时公告。</w:t>
      </w:r>
    </w:p>
    <w:p w14:paraId="78311003">
      <w:pPr>
        <w:spacing w:line="360" w:lineRule="auto"/>
        <w:ind w:firstLine="480" w:firstLineChars="200"/>
        <w:rPr>
          <w:rFonts w:hint="eastAsia" w:ascii="宋体" w:hAnsi="宋体"/>
          <w:color w:val="FF0000"/>
          <w:sz w:val="24"/>
          <w:szCs w:val="24"/>
          <w:highlight w:val="yellow"/>
        </w:rPr>
      </w:pPr>
      <w:r>
        <w:rPr>
          <w:rFonts w:hint="eastAsia" w:ascii="宋体" w:hAnsi="宋体"/>
          <w:sz w:val="24"/>
          <w:szCs w:val="24"/>
        </w:rPr>
        <w:t>成交公告期限详见供应商须知前附表。</w:t>
      </w:r>
    </w:p>
    <w:p w14:paraId="12939869">
      <w:pPr>
        <w:spacing w:line="360" w:lineRule="auto"/>
        <w:rPr>
          <w:rFonts w:hint="eastAsia" w:ascii="宋体" w:hAnsi="宋体"/>
          <w:b/>
          <w:sz w:val="24"/>
          <w:szCs w:val="24"/>
        </w:rPr>
      </w:pPr>
      <w:bookmarkStart w:id="224" w:name="_Toc16495"/>
      <w:bookmarkEnd w:id="224"/>
      <w:bookmarkStart w:id="225" w:name="_Toc8411"/>
      <w:bookmarkEnd w:id="225"/>
      <w:bookmarkStart w:id="226" w:name="_Toc3833"/>
      <w:r>
        <w:rPr>
          <w:rFonts w:hint="eastAsia" w:ascii="宋体" w:hAnsi="宋体"/>
          <w:b/>
          <w:sz w:val="24"/>
          <w:szCs w:val="24"/>
        </w:rPr>
        <w:t>7.3成交通知</w:t>
      </w:r>
      <w:bookmarkEnd w:id="226"/>
    </w:p>
    <w:p w14:paraId="657E4077">
      <w:pPr>
        <w:spacing w:line="360" w:lineRule="auto"/>
        <w:ind w:firstLine="480" w:firstLineChars="200"/>
        <w:rPr>
          <w:rFonts w:hint="eastAsia" w:ascii="宋体" w:hAnsi="宋体"/>
          <w:color w:val="000000"/>
          <w:sz w:val="24"/>
          <w:szCs w:val="24"/>
          <w:highlight w:val="yellow"/>
        </w:rPr>
      </w:pPr>
      <w:r>
        <w:rPr>
          <w:rFonts w:hint="eastAsia" w:ascii="宋体" w:hAnsi="宋体"/>
          <w:color w:val="000000"/>
          <w:sz w:val="24"/>
          <w:szCs w:val="24"/>
        </w:rPr>
        <w:t>在本章第3.3 款规定的磋商有效期内，在公告成交结果的同时，采购人或者采购代理机构应当向成交供应商发出成交通知书。</w:t>
      </w:r>
    </w:p>
    <w:p w14:paraId="160BA6C5">
      <w:pPr>
        <w:spacing w:line="360" w:lineRule="auto"/>
        <w:rPr>
          <w:rFonts w:hint="eastAsia" w:ascii="宋体" w:hAnsi="宋体"/>
          <w:b/>
          <w:sz w:val="24"/>
          <w:szCs w:val="24"/>
        </w:rPr>
      </w:pPr>
      <w:bookmarkStart w:id="227" w:name="_Toc13042"/>
      <w:bookmarkEnd w:id="227"/>
      <w:bookmarkStart w:id="228" w:name="_Toc7193"/>
      <w:r>
        <w:rPr>
          <w:rFonts w:hint="eastAsia" w:ascii="宋体" w:hAnsi="宋体"/>
          <w:b/>
          <w:sz w:val="24"/>
          <w:szCs w:val="24"/>
        </w:rPr>
        <w:t>7.4 履约保证金</w:t>
      </w:r>
      <w:bookmarkEnd w:id="228"/>
    </w:p>
    <w:p w14:paraId="1979A037">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7.4.1 在签订合同前，成交供应商应按供应商须知前附表规定的形式、金额向采购人提交履约保证金。</w:t>
      </w:r>
    </w:p>
    <w:p w14:paraId="69AAC7EE">
      <w:pPr>
        <w:spacing w:line="360" w:lineRule="auto"/>
        <w:ind w:firstLine="480" w:firstLineChars="200"/>
        <w:rPr>
          <w:rFonts w:hint="eastAsia" w:ascii="宋体" w:hAnsi="宋体"/>
          <w:sz w:val="24"/>
          <w:szCs w:val="24"/>
        </w:rPr>
      </w:pPr>
      <w:r>
        <w:rPr>
          <w:rFonts w:hint="eastAsia" w:ascii="宋体" w:hAnsi="宋体"/>
          <w:sz w:val="24"/>
          <w:szCs w:val="24"/>
        </w:rPr>
        <w:t>7.4.2 成交供应商不能按本章第7.4.1项要求提交履约保证金的，视为放弃成交，其磋商保证金不予退还，给采购人造成的损失超过磋商保证金数额的，成交供应商还应当对超过部分予以赔偿。</w:t>
      </w:r>
    </w:p>
    <w:p w14:paraId="05AFBFC1">
      <w:pPr>
        <w:spacing w:line="360" w:lineRule="auto"/>
        <w:rPr>
          <w:rFonts w:hint="eastAsia" w:ascii="宋体" w:hAnsi="宋体"/>
          <w:b/>
          <w:sz w:val="24"/>
          <w:szCs w:val="24"/>
        </w:rPr>
      </w:pPr>
      <w:bookmarkStart w:id="229" w:name="_Toc6413"/>
      <w:bookmarkEnd w:id="229"/>
      <w:bookmarkStart w:id="230" w:name="_Toc18519"/>
      <w:r>
        <w:rPr>
          <w:rFonts w:hint="eastAsia" w:ascii="宋体" w:hAnsi="宋体"/>
          <w:b/>
          <w:sz w:val="24"/>
          <w:szCs w:val="24"/>
        </w:rPr>
        <w:t>7.5 签订合同</w:t>
      </w:r>
      <w:bookmarkEnd w:id="230"/>
    </w:p>
    <w:p w14:paraId="32A3C8F3">
      <w:pPr>
        <w:spacing w:line="360" w:lineRule="auto"/>
        <w:ind w:firstLine="480" w:firstLineChars="200"/>
        <w:rPr>
          <w:rFonts w:hint="eastAsia" w:ascii="宋体" w:hAnsi="宋体"/>
          <w:sz w:val="24"/>
          <w:szCs w:val="24"/>
        </w:rPr>
      </w:pPr>
      <w:r>
        <w:rPr>
          <w:rFonts w:hint="eastAsia" w:ascii="宋体" w:hAnsi="宋体"/>
          <w:sz w:val="24"/>
          <w:szCs w:val="24"/>
        </w:rPr>
        <w:t>7.5.1 采购人应当自成交通知书发出之日起30日内，按照竞争性磋商文件和成交供应商响应文件的规定，与成交供应商签订书面合同。所签订的合同不得对竞争性磋商文件确定的事项和成交供应商响应文件作实质性修改。采购人不得向成交供应商提出任何不合理的要求作为签订合同的条件。</w:t>
      </w:r>
    </w:p>
    <w:p w14:paraId="01052C11">
      <w:pPr>
        <w:spacing w:line="360" w:lineRule="auto"/>
        <w:ind w:firstLine="480" w:firstLineChars="200"/>
        <w:rPr>
          <w:rFonts w:hint="eastAsia" w:ascii="宋体" w:hAnsi="宋体"/>
          <w:sz w:val="24"/>
          <w:szCs w:val="24"/>
        </w:rPr>
      </w:pPr>
      <w:r>
        <w:rPr>
          <w:rFonts w:hint="eastAsia" w:ascii="宋体" w:hAnsi="宋体"/>
          <w:sz w:val="24"/>
          <w:szCs w:val="24"/>
        </w:rPr>
        <w:t>7.5.2 成交通知书发出后，采购人不得违法改变成交结果，成交供应商无正当理由不得放弃成交。</w:t>
      </w:r>
    </w:p>
    <w:p w14:paraId="5983BA1D">
      <w:pPr>
        <w:spacing w:line="360" w:lineRule="auto"/>
        <w:ind w:firstLine="480" w:firstLineChars="200"/>
        <w:rPr>
          <w:rFonts w:hint="eastAsia" w:ascii="宋体" w:hAnsi="宋体"/>
          <w:sz w:val="24"/>
          <w:szCs w:val="24"/>
        </w:rPr>
      </w:pPr>
      <w:r>
        <w:rPr>
          <w:rFonts w:hint="eastAsia" w:ascii="宋体" w:hAnsi="宋体"/>
          <w:sz w:val="24"/>
          <w:szCs w:val="24"/>
        </w:rPr>
        <w:t>7.5.3联合体成交的，联合体各方应当共同与采购人签订合同，就成交项目向采购人承担连带责任。</w:t>
      </w:r>
    </w:p>
    <w:p w14:paraId="4EA1E952">
      <w:pPr>
        <w:pStyle w:val="3"/>
        <w:spacing w:before="0" w:after="0" w:line="360" w:lineRule="auto"/>
        <w:rPr>
          <w:rFonts w:hint="eastAsia" w:ascii="宋体" w:hAnsi="宋体" w:eastAsia="宋体"/>
          <w:sz w:val="28"/>
          <w:szCs w:val="28"/>
        </w:rPr>
      </w:pPr>
      <w:bookmarkStart w:id="231" w:name="_Toc25935"/>
      <w:bookmarkStart w:id="232" w:name="_Toc3896289"/>
      <w:bookmarkStart w:id="233" w:name="_Toc23605"/>
      <w:r>
        <w:rPr>
          <w:rFonts w:hint="eastAsia" w:ascii="宋体" w:hAnsi="宋体" w:eastAsia="宋体"/>
          <w:sz w:val="28"/>
          <w:szCs w:val="28"/>
        </w:rPr>
        <w:t>8.询问与答复</w:t>
      </w:r>
      <w:bookmarkEnd w:id="231"/>
      <w:bookmarkEnd w:id="232"/>
      <w:bookmarkEnd w:id="233"/>
    </w:p>
    <w:p w14:paraId="510BE4F9">
      <w:pPr>
        <w:pStyle w:val="8"/>
        <w:ind w:firstLine="480" w:firstLineChars="200"/>
        <w:rPr>
          <w:rFonts w:hint="eastAsia"/>
          <w:color w:val="000000"/>
          <w:kern w:val="0"/>
          <w:sz w:val="24"/>
        </w:rPr>
      </w:pPr>
      <w:r>
        <w:rPr>
          <w:rFonts w:hint="eastAsia"/>
          <w:color w:val="000000"/>
          <w:kern w:val="0"/>
          <w:sz w:val="24"/>
        </w:rPr>
        <w:t>供应商对政府采购活动事项有疑问的，可以向采购人提出询问，采购人应当及时作出答复，但答复的内容不得涉及商业秘密。</w:t>
      </w:r>
      <w:r>
        <w:rPr>
          <w:color w:val="000000"/>
          <w:kern w:val="0"/>
          <w:sz w:val="24"/>
        </w:rPr>
        <w:t>采购人或者采购代理机构应当在3个工作日内对供应商依法提出的询问作出答复。</w:t>
      </w:r>
    </w:p>
    <w:p w14:paraId="1681A99F">
      <w:pPr>
        <w:pStyle w:val="3"/>
        <w:spacing w:before="0" w:after="0" w:line="360" w:lineRule="auto"/>
        <w:rPr>
          <w:rFonts w:hint="eastAsia" w:ascii="宋体" w:hAnsi="宋体" w:eastAsia="宋体"/>
          <w:sz w:val="28"/>
          <w:szCs w:val="28"/>
        </w:rPr>
      </w:pPr>
      <w:bookmarkStart w:id="234" w:name="_Toc20692"/>
      <w:bookmarkEnd w:id="234"/>
      <w:bookmarkStart w:id="235" w:name="_Toc11854"/>
      <w:bookmarkEnd w:id="235"/>
      <w:bookmarkStart w:id="236" w:name="_Toc3896290"/>
      <w:bookmarkStart w:id="237" w:name="_Toc22874"/>
      <w:bookmarkStart w:id="238" w:name="_Toc6924"/>
      <w:bookmarkStart w:id="239" w:name="_Toc20594"/>
      <w:r>
        <w:rPr>
          <w:rFonts w:hint="eastAsia" w:ascii="宋体" w:hAnsi="宋体" w:eastAsia="宋体"/>
          <w:sz w:val="28"/>
          <w:szCs w:val="28"/>
        </w:rPr>
        <w:t>9.质疑接收、回复</w:t>
      </w:r>
      <w:bookmarkEnd w:id="236"/>
      <w:bookmarkEnd w:id="237"/>
      <w:bookmarkEnd w:id="238"/>
    </w:p>
    <w:p w14:paraId="084694ED">
      <w:pPr>
        <w:widowControl w:val="0"/>
        <w:spacing w:line="360" w:lineRule="auto"/>
        <w:ind w:firstLine="482" w:firstLineChars="200"/>
        <w:rPr>
          <w:rFonts w:hint="eastAsia" w:ascii="宋体" w:hAnsi="宋体"/>
          <w:b/>
          <w:sz w:val="24"/>
          <w:szCs w:val="24"/>
        </w:rPr>
      </w:pPr>
      <w:r>
        <w:rPr>
          <w:rFonts w:hint="eastAsia" w:ascii="宋体" w:hAnsi="宋体"/>
          <w:b/>
          <w:sz w:val="24"/>
          <w:szCs w:val="24"/>
        </w:rPr>
        <w:t>9.1质疑接收</w:t>
      </w:r>
    </w:p>
    <w:p w14:paraId="786E55B1">
      <w:pPr>
        <w:widowControl w:val="0"/>
        <w:spacing w:line="360" w:lineRule="auto"/>
        <w:ind w:firstLine="480" w:firstLineChars="200"/>
        <w:rPr>
          <w:rFonts w:hint="eastAsia" w:ascii="宋体" w:hAnsi="宋体"/>
          <w:sz w:val="24"/>
          <w:szCs w:val="24"/>
        </w:rPr>
      </w:pPr>
      <w:r>
        <w:rPr>
          <w:rFonts w:hint="eastAsia" w:ascii="宋体" w:hAnsi="宋体"/>
          <w:sz w:val="24"/>
          <w:szCs w:val="24"/>
        </w:rPr>
        <w:t>9.1.1供应商认为竞争性磋商文件、磋商过程和成交结果使自己的权益受到损害的，可以根据《中华人民共和国政府采购法</w:t>
      </w:r>
      <w:r>
        <w:rPr>
          <w:rFonts w:hint="eastAsia" w:ascii="宋体" w:hAnsi="宋体"/>
          <w:sz w:val="24"/>
          <w:szCs w:val="24"/>
          <w:lang w:eastAsia="zh-CN"/>
        </w:rPr>
        <w:t>》《</w:t>
      </w:r>
      <w:r>
        <w:rPr>
          <w:rFonts w:hint="eastAsia" w:ascii="宋体" w:hAnsi="宋体"/>
          <w:sz w:val="24"/>
          <w:szCs w:val="24"/>
        </w:rPr>
        <w:t>中华人民共和国政府采购法实施条例》和《政府采购质疑和投诉办法》的有关规定，依法向采购人或其委托的采购代理机构提出质疑。</w:t>
      </w:r>
    </w:p>
    <w:p w14:paraId="020CD301">
      <w:pPr>
        <w:spacing w:line="360" w:lineRule="auto"/>
        <w:ind w:firstLine="480" w:firstLineChars="200"/>
        <w:rPr>
          <w:rFonts w:hint="eastAsia" w:ascii="宋体" w:hAnsi="宋体"/>
          <w:sz w:val="24"/>
          <w:szCs w:val="24"/>
        </w:rPr>
      </w:pPr>
      <w:r>
        <w:rPr>
          <w:rFonts w:hint="eastAsia" w:ascii="宋体" w:hAnsi="宋体"/>
          <w:sz w:val="24"/>
          <w:szCs w:val="24"/>
        </w:rPr>
        <w:t>9.1.2 质疑供应商应按照财政部制定的《政府采购质疑函范本》格式和《政府采购质疑和投诉办法》的要求，在法定质疑期内书面形式提出质疑，针对同一采购程序环节的质疑应一次性提出。</w:t>
      </w:r>
    </w:p>
    <w:p w14:paraId="507F27E8">
      <w:pPr>
        <w:spacing w:line="360" w:lineRule="auto"/>
        <w:ind w:firstLine="480" w:firstLineChars="200"/>
        <w:rPr>
          <w:rFonts w:hint="eastAsia" w:ascii="宋体" w:hAnsi="宋体"/>
          <w:sz w:val="24"/>
          <w:szCs w:val="24"/>
        </w:rPr>
      </w:pPr>
      <w:r>
        <w:rPr>
          <w:rFonts w:hint="eastAsia" w:ascii="宋体" w:hAnsi="宋体"/>
          <w:sz w:val="24"/>
          <w:szCs w:val="24"/>
        </w:rPr>
        <w:t>超出法定质疑期的、重复提出的、分次提出的或内容、形式不符合《政府采购质疑和投诉办法》的，质疑供应商将依法承担不利后果。</w:t>
      </w:r>
    </w:p>
    <w:p w14:paraId="256C4E1D">
      <w:pPr>
        <w:spacing w:line="360" w:lineRule="auto"/>
        <w:ind w:firstLine="480" w:firstLineChars="200"/>
        <w:rPr>
          <w:rFonts w:hint="eastAsia" w:ascii="宋体" w:hAnsi="宋体"/>
          <w:sz w:val="24"/>
          <w:szCs w:val="24"/>
        </w:rPr>
      </w:pPr>
      <w:r>
        <w:rPr>
          <w:rFonts w:hint="eastAsia" w:ascii="宋体" w:hAnsi="宋体"/>
          <w:sz w:val="24"/>
          <w:szCs w:val="24"/>
        </w:rPr>
        <w:t>9.1.3采购代理机构接收质疑函的方式、联系部门、联系电话和通讯地址。</w:t>
      </w:r>
    </w:p>
    <w:p w14:paraId="15EE80B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接收质疑函的方式：质疑函采取书面递交形式。</w:t>
      </w:r>
    </w:p>
    <w:p w14:paraId="36A96E5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65E212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代理人提出质疑，应当提交供应商签署的授权委托书。</w:t>
      </w:r>
    </w:p>
    <w:p w14:paraId="4C3C18E5">
      <w:pPr>
        <w:spacing w:line="360" w:lineRule="auto"/>
        <w:ind w:firstLine="480" w:firstLineChars="200"/>
        <w:rPr>
          <w:rFonts w:hint="eastAsia" w:ascii="宋体" w:hAnsi="宋体" w:cs="宋体"/>
          <w:sz w:val="24"/>
          <w:szCs w:val="24"/>
          <w:highlight w:val="none"/>
        </w:rPr>
      </w:pPr>
      <w:r>
        <w:rPr>
          <w:rFonts w:hint="eastAsia" w:ascii="宋体" w:hAnsi="宋体"/>
          <w:sz w:val="24"/>
          <w:szCs w:val="24"/>
          <w:highlight w:val="none"/>
        </w:rPr>
        <w:t>联系部门：</w:t>
      </w:r>
      <w:r>
        <w:rPr>
          <w:rFonts w:hint="eastAsia" w:ascii="宋体" w:hAnsi="宋体" w:cs="宋体"/>
          <w:sz w:val="24"/>
          <w:szCs w:val="24"/>
          <w:highlight w:val="none"/>
          <w:lang w:eastAsia="zh-CN"/>
        </w:rPr>
        <w:t>云南玉昭工程咨询有限公司</w:t>
      </w:r>
      <w:r>
        <w:rPr>
          <w:rFonts w:hint="eastAsia" w:ascii="宋体" w:hAnsi="宋体" w:cs="宋体"/>
          <w:color w:val="auto"/>
          <w:sz w:val="24"/>
          <w:szCs w:val="24"/>
          <w:highlight w:val="none"/>
        </w:rPr>
        <w:t>。</w:t>
      </w:r>
    </w:p>
    <w:p w14:paraId="26AEEC73">
      <w:pPr>
        <w:spacing w:line="360" w:lineRule="auto"/>
        <w:ind w:firstLine="480" w:firstLineChars="200"/>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rPr>
        <w:t>联系电话：</w:t>
      </w:r>
      <w:r>
        <w:rPr>
          <w:rFonts w:hint="eastAsia" w:ascii="宋体" w:hAnsi="宋体" w:cs="宋体"/>
          <w:sz w:val="24"/>
          <w:szCs w:val="24"/>
          <w:highlight w:val="none"/>
          <w:lang w:val="en-US" w:eastAsia="zh-CN"/>
        </w:rPr>
        <w:t>15752197058</w:t>
      </w:r>
    </w:p>
    <w:p w14:paraId="7D2E228D">
      <w:pPr>
        <w:pStyle w:val="8"/>
        <w:ind w:firstLine="480" w:firstLineChars="200"/>
        <w:rPr>
          <w:rFonts w:hint="default" w:ascii="宋体" w:hAnsi="宋体" w:cs="宋体" w:eastAsiaTheme="minorEastAsia"/>
          <w:sz w:val="24"/>
          <w:highlight w:val="none"/>
          <w:lang w:val="en-US" w:eastAsia="zh-CN"/>
        </w:rPr>
      </w:pPr>
      <w:r>
        <w:rPr>
          <w:rFonts w:hint="eastAsia" w:ascii="宋体" w:hAnsi="宋体" w:cs="宋体"/>
          <w:sz w:val="24"/>
          <w:highlight w:val="none"/>
        </w:rPr>
        <w:t>通讯地址：香格里拉市</w:t>
      </w:r>
      <w:r>
        <w:rPr>
          <w:rFonts w:hint="eastAsia" w:ascii="宋体" w:hAnsi="宋体" w:cs="宋体"/>
          <w:sz w:val="24"/>
          <w:highlight w:val="none"/>
          <w:lang w:val="en-US" w:eastAsia="zh-CN"/>
        </w:rPr>
        <w:t>环城北路26号</w:t>
      </w:r>
    </w:p>
    <w:p w14:paraId="305A6685">
      <w:pPr>
        <w:pStyle w:val="8"/>
        <w:ind w:firstLine="482" w:firstLineChars="200"/>
        <w:rPr>
          <w:rFonts w:hint="eastAsia" w:ascii="宋体" w:hAnsi="宋体"/>
          <w:b/>
          <w:kern w:val="0"/>
          <w:sz w:val="24"/>
        </w:rPr>
      </w:pPr>
      <w:r>
        <w:rPr>
          <w:rFonts w:hint="eastAsia" w:ascii="宋体" w:hAnsi="宋体"/>
          <w:b/>
          <w:kern w:val="0"/>
          <w:sz w:val="24"/>
        </w:rPr>
        <w:t>9.1.4不按上述要求提出的，采购人和采购代理机构将不予受理。</w:t>
      </w:r>
    </w:p>
    <w:p w14:paraId="5FFE0949">
      <w:pPr>
        <w:spacing w:line="360" w:lineRule="auto"/>
        <w:ind w:firstLine="482" w:firstLineChars="200"/>
        <w:rPr>
          <w:rFonts w:ascii="宋体" w:hAnsi="宋体"/>
          <w:b/>
          <w:sz w:val="24"/>
          <w:szCs w:val="24"/>
        </w:rPr>
      </w:pPr>
      <w:r>
        <w:rPr>
          <w:rFonts w:hint="eastAsia" w:ascii="宋体" w:hAnsi="宋体"/>
          <w:b/>
          <w:sz w:val="24"/>
          <w:szCs w:val="24"/>
        </w:rPr>
        <w:t>9.2质疑回复</w:t>
      </w:r>
    </w:p>
    <w:p w14:paraId="3609A03F">
      <w:pPr>
        <w:spacing w:line="360" w:lineRule="auto"/>
        <w:ind w:firstLine="480" w:firstLineChars="200"/>
        <w:rPr>
          <w:rFonts w:hint="eastAsia" w:ascii="宋体" w:hAnsi="宋体"/>
          <w:sz w:val="24"/>
          <w:szCs w:val="24"/>
        </w:rPr>
      </w:pPr>
      <w:r>
        <w:rPr>
          <w:rFonts w:hint="eastAsia" w:ascii="宋体" w:hAnsi="宋体"/>
          <w:sz w:val="24"/>
          <w:szCs w:val="24"/>
        </w:rPr>
        <w:t>采购人或者采购代理机构应在</w:t>
      </w:r>
      <w:r>
        <w:rPr>
          <w:rFonts w:ascii="宋体" w:hAnsi="宋体"/>
          <w:sz w:val="24"/>
          <w:szCs w:val="24"/>
        </w:rPr>
        <w:t>收到质疑函后7个工作日内作出答复，并以书面形式通知质疑</w:t>
      </w:r>
      <w:r>
        <w:rPr>
          <w:rFonts w:hint="eastAsia" w:ascii="宋体" w:hAnsi="宋体"/>
          <w:sz w:val="24"/>
          <w:szCs w:val="24"/>
        </w:rPr>
        <w:t>供应商</w:t>
      </w:r>
      <w:r>
        <w:rPr>
          <w:rFonts w:ascii="宋体" w:hAnsi="宋体"/>
          <w:sz w:val="24"/>
          <w:szCs w:val="24"/>
        </w:rPr>
        <w:t>和其他有关</w:t>
      </w:r>
      <w:r>
        <w:rPr>
          <w:rFonts w:hint="eastAsia" w:ascii="宋体" w:hAnsi="宋体"/>
          <w:sz w:val="24"/>
          <w:szCs w:val="24"/>
        </w:rPr>
        <w:t>供应商，质疑答复的内容不得涉及商业秘密。</w:t>
      </w:r>
    </w:p>
    <w:p w14:paraId="08D98089">
      <w:pPr>
        <w:pStyle w:val="3"/>
        <w:spacing w:before="0" w:after="0" w:line="360" w:lineRule="auto"/>
        <w:rPr>
          <w:rFonts w:hint="eastAsia" w:ascii="宋体" w:hAnsi="宋体" w:eastAsia="宋体"/>
          <w:sz w:val="28"/>
          <w:szCs w:val="28"/>
        </w:rPr>
      </w:pPr>
      <w:bookmarkStart w:id="240" w:name="_Toc8497"/>
      <w:bookmarkStart w:id="241" w:name="_Toc16242"/>
      <w:bookmarkStart w:id="242" w:name="_Toc3896291"/>
      <w:r>
        <w:rPr>
          <w:rFonts w:hint="eastAsia" w:ascii="宋体" w:hAnsi="宋体" w:eastAsia="宋体"/>
          <w:sz w:val="28"/>
          <w:szCs w:val="28"/>
        </w:rPr>
        <w:t>10.纪律和监督</w:t>
      </w:r>
      <w:bookmarkEnd w:id="239"/>
      <w:bookmarkEnd w:id="240"/>
      <w:bookmarkEnd w:id="241"/>
      <w:bookmarkEnd w:id="242"/>
    </w:p>
    <w:p w14:paraId="2F5099D4">
      <w:pPr>
        <w:spacing w:line="360" w:lineRule="auto"/>
        <w:rPr>
          <w:rFonts w:hint="eastAsia" w:ascii="宋体" w:hAnsi="宋体"/>
          <w:b/>
          <w:sz w:val="24"/>
          <w:szCs w:val="24"/>
        </w:rPr>
      </w:pPr>
      <w:bookmarkStart w:id="243" w:name="_Toc453"/>
      <w:bookmarkEnd w:id="243"/>
      <w:bookmarkStart w:id="244" w:name="_Toc14990"/>
      <w:r>
        <w:rPr>
          <w:rFonts w:hint="eastAsia" w:ascii="宋体" w:hAnsi="宋体"/>
          <w:b/>
          <w:sz w:val="24"/>
          <w:szCs w:val="24"/>
        </w:rPr>
        <w:t>10.1 对采购人的纪律要求</w:t>
      </w:r>
      <w:bookmarkEnd w:id="244"/>
    </w:p>
    <w:p w14:paraId="7E3E7405">
      <w:pPr>
        <w:spacing w:line="360" w:lineRule="auto"/>
        <w:ind w:firstLine="480" w:firstLineChars="200"/>
        <w:rPr>
          <w:rFonts w:hint="eastAsia" w:ascii="宋体" w:hAnsi="宋体"/>
          <w:sz w:val="24"/>
          <w:szCs w:val="24"/>
        </w:rPr>
      </w:pPr>
      <w:r>
        <w:rPr>
          <w:rFonts w:hint="eastAsia" w:ascii="宋体" w:hAnsi="宋体"/>
          <w:sz w:val="24"/>
          <w:szCs w:val="24"/>
        </w:rPr>
        <w:t>（1）按照《政府采购竞争性磋商采购方式管理暂行办法》（财库[2014]214号）的规定编制采购需求；</w:t>
      </w:r>
    </w:p>
    <w:p w14:paraId="04E8E8FD">
      <w:pPr>
        <w:spacing w:line="360" w:lineRule="auto"/>
        <w:ind w:firstLine="480" w:firstLineChars="200"/>
        <w:rPr>
          <w:rFonts w:hint="eastAsia" w:ascii="宋体" w:hAnsi="宋体"/>
          <w:sz w:val="24"/>
          <w:szCs w:val="24"/>
        </w:rPr>
      </w:pPr>
      <w:r>
        <w:rPr>
          <w:rFonts w:hint="eastAsia" w:ascii="宋体" w:hAnsi="宋体"/>
          <w:sz w:val="24"/>
          <w:szCs w:val="24"/>
        </w:rPr>
        <w:t>（2）采购人不得向供应商索要或者接受其给予的赠品、回扣或者与采购无关的其他商品、服务；</w:t>
      </w:r>
    </w:p>
    <w:p w14:paraId="1E95825E">
      <w:pPr>
        <w:spacing w:line="360" w:lineRule="auto"/>
        <w:ind w:firstLine="480" w:firstLineChars="200"/>
        <w:rPr>
          <w:rFonts w:hint="eastAsia" w:ascii="宋体" w:hAnsi="宋体"/>
          <w:sz w:val="24"/>
          <w:szCs w:val="24"/>
        </w:rPr>
      </w:pPr>
      <w:r>
        <w:rPr>
          <w:rFonts w:hint="eastAsia" w:ascii="宋体" w:hAnsi="宋体"/>
          <w:sz w:val="24"/>
          <w:szCs w:val="24"/>
        </w:rPr>
        <w:t>（3）在规定时间内确定成交供应商；</w:t>
      </w:r>
    </w:p>
    <w:p w14:paraId="23C7D377">
      <w:pPr>
        <w:spacing w:line="360" w:lineRule="auto"/>
        <w:ind w:firstLine="480" w:firstLineChars="200"/>
        <w:rPr>
          <w:rFonts w:hint="eastAsia" w:ascii="宋体" w:hAnsi="宋体"/>
          <w:sz w:val="24"/>
          <w:szCs w:val="24"/>
        </w:rPr>
      </w:pPr>
      <w:r>
        <w:rPr>
          <w:rFonts w:hint="eastAsia" w:ascii="宋体" w:hAnsi="宋体"/>
          <w:sz w:val="24"/>
          <w:szCs w:val="24"/>
        </w:rPr>
        <w:t>（4）不得向成交供应商提出不合理要求作为签订合同条件。</w:t>
      </w:r>
    </w:p>
    <w:p w14:paraId="3D0EA952">
      <w:pPr>
        <w:spacing w:line="360" w:lineRule="auto"/>
        <w:rPr>
          <w:rFonts w:hint="eastAsia" w:ascii="宋体" w:hAnsi="宋体"/>
          <w:b/>
          <w:sz w:val="24"/>
          <w:szCs w:val="24"/>
        </w:rPr>
      </w:pPr>
      <w:bookmarkStart w:id="245" w:name="_Toc20446"/>
      <w:bookmarkEnd w:id="245"/>
      <w:bookmarkStart w:id="246" w:name="_Toc14876"/>
      <w:r>
        <w:rPr>
          <w:rFonts w:hint="eastAsia" w:ascii="宋体" w:hAnsi="宋体"/>
          <w:b/>
          <w:sz w:val="24"/>
          <w:szCs w:val="24"/>
        </w:rPr>
        <w:t>10.2 对供应商的纪律要求</w:t>
      </w:r>
      <w:bookmarkEnd w:id="246"/>
    </w:p>
    <w:p w14:paraId="6F0E909C">
      <w:pPr>
        <w:spacing w:line="360" w:lineRule="auto"/>
        <w:ind w:firstLine="480" w:firstLineChars="200"/>
        <w:rPr>
          <w:rFonts w:hint="eastAsia" w:ascii="宋体" w:hAnsi="宋体"/>
          <w:sz w:val="24"/>
          <w:szCs w:val="24"/>
        </w:rPr>
      </w:pPr>
      <w:r>
        <w:rPr>
          <w:rFonts w:hint="eastAsia" w:ascii="宋体" w:hAnsi="宋体"/>
          <w:sz w:val="24"/>
          <w:szCs w:val="24"/>
        </w:rPr>
        <w:t>供应商不得相互串通磋商或者与采购人串通磋商，不得向采购人或者磋商小组成员行贿谋取成交，不得以他人名义磋商或者以其它方式弄虚作假骗取成交；供应商不得以任何方式干扰、影响评审工作。</w:t>
      </w:r>
    </w:p>
    <w:p w14:paraId="25252267">
      <w:pPr>
        <w:spacing w:line="360" w:lineRule="auto"/>
        <w:rPr>
          <w:rFonts w:hint="eastAsia" w:ascii="宋体" w:hAnsi="宋体"/>
          <w:b/>
          <w:sz w:val="24"/>
          <w:szCs w:val="24"/>
        </w:rPr>
      </w:pPr>
      <w:bookmarkStart w:id="247" w:name="_Toc17796"/>
      <w:bookmarkEnd w:id="247"/>
      <w:bookmarkStart w:id="248" w:name="_Toc29247"/>
      <w:r>
        <w:rPr>
          <w:rFonts w:hint="eastAsia" w:ascii="宋体" w:hAnsi="宋体"/>
          <w:b/>
          <w:sz w:val="24"/>
          <w:szCs w:val="24"/>
        </w:rPr>
        <w:t>10.3 对磋商小组成员的纪律要求</w:t>
      </w:r>
      <w:bookmarkEnd w:id="248"/>
    </w:p>
    <w:p w14:paraId="4B3A34A9">
      <w:pPr>
        <w:spacing w:line="360" w:lineRule="auto"/>
        <w:ind w:firstLine="480" w:firstLineChars="200"/>
        <w:rPr>
          <w:rFonts w:hint="eastAsia" w:ascii="宋体" w:hAnsi="宋体"/>
          <w:sz w:val="24"/>
          <w:szCs w:val="24"/>
        </w:rPr>
      </w:pPr>
      <w:r>
        <w:rPr>
          <w:rFonts w:hint="eastAsia" w:ascii="宋体" w:hAnsi="宋体"/>
          <w:sz w:val="24"/>
          <w:szCs w:val="24"/>
        </w:rPr>
        <w:t>磋商小组及其成员不得有下列行为：</w:t>
      </w:r>
    </w:p>
    <w:p w14:paraId="6704DEA6">
      <w:pPr>
        <w:spacing w:line="360" w:lineRule="auto"/>
        <w:ind w:firstLine="480" w:firstLineChars="200"/>
        <w:rPr>
          <w:rFonts w:hint="eastAsia" w:ascii="宋体" w:hAnsi="宋体"/>
          <w:sz w:val="24"/>
          <w:szCs w:val="24"/>
        </w:rPr>
      </w:pPr>
      <w:r>
        <w:rPr>
          <w:rFonts w:hint="eastAsia" w:ascii="宋体" w:hAnsi="宋体"/>
          <w:sz w:val="24"/>
          <w:szCs w:val="24"/>
        </w:rPr>
        <w:t>（1）确定参与评审至评审结束前私自接触供应商；</w:t>
      </w:r>
    </w:p>
    <w:p w14:paraId="0448BEC5">
      <w:pPr>
        <w:spacing w:line="360" w:lineRule="auto"/>
        <w:ind w:firstLine="480" w:firstLineChars="200"/>
        <w:rPr>
          <w:rFonts w:hint="eastAsia" w:ascii="宋体" w:hAnsi="宋体"/>
          <w:sz w:val="24"/>
          <w:szCs w:val="24"/>
        </w:rPr>
      </w:pPr>
      <w:r>
        <w:rPr>
          <w:rFonts w:hint="eastAsia" w:ascii="宋体" w:hAnsi="宋体"/>
          <w:sz w:val="24"/>
          <w:szCs w:val="24"/>
        </w:rPr>
        <w:t>（2）接受供应商提出的与响应文件不一致的澄清或者说明；</w:t>
      </w:r>
    </w:p>
    <w:p w14:paraId="5CE64A6E">
      <w:pPr>
        <w:spacing w:line="360" w:lineRule="auto"/>
        <w:ind w:firstLine="480" w:firstLineChars="200"/>
        <w:rPr>
          <w:rFonts w:hint="eastAsia" w:ascii="宋体" w:hAnsi="宋体"/>
          <w:sz w:val="24"/>
          <w:szCs w:val="24"/>
        </w:rPr>
      </w:pPr>
      <w:r>
        <w:rPr>
          <w:rFonts w:hint="eastAsia" w:ascii="宋体" w:hAnsi="宋体"/>
          <w:sz w:val="24"/>
          <w:szCs w:val="24"/>
        </w:rPr>
        <w:t>（3）违反评审纪律发表倾向性意见或者征询采购人的倾向性意见；</w:t>
      </w:r>
    </w:p>
    <w:p w14:paraId="59073139">
      <w:pPr>
        <w:spacing w:line="360" w:lineRule="auto"/>
        <w:ind w:firstLine="480" w:firstLineChars="200"/>
        <w:rPr>
          <w:rFonts w:hint="eastAsia" w:ascii="宋体" w:hAnsi="宋体"/>
          <w:sz w:val="24"/>
          <w:szCs w:val="24"/>
        </w:rPr>
      </w:pPr>
      <w:r>
        <w:rPr>
          <w:rFonts w:hint="eastAsia" w:ascii="宋体" w:hAnsi="宋体"/>
          <w:sz w:val="24"/>
          <w:szCs w:val="24"/>
        </w:rPr>
        <w:t>（4）对需要专业判断的主观评审因素协商评分；</w:t>
      </w:r>
    </w:p>
    <w:p w14:paraId="3DF9BB30">
      <w:pPr>
        <w:spacing w:line="360" w:lineRule="auto"/>
        <w:ind w:firstLine="480" w:firstLineChars="200"/>
        <w:rPr>
          <w:rFonts w:hint="eastAsia" w:ascii="宋体" w:hAnsi="宋体"/>
          <w:sz w:val="24"/>
          <w:szCs w:val="24"/>
        </w:rPr>
      </w:pPr>
      <w:r>
        <w:rPr>
          <w:rFonts w:hint="eastAsia" w:ascii="宋体" w:hAnsi="宋体"/>
          <w:sz w:val="24"/>
          <w:szCs w:val="24"/>
        </w:rPr>
        <w:t>（5）在评审过程中擅离职守，影响评审程序正常进行的；</w:t>
      </w:r>
    </w:p>
    <w:p w14:paraId="5D0D9790">
      <w:pPr>
        <w:spacing w:line="360" w:lineRule="auto"/>
        <w:ind w:firstLine="480" w:firstLineChars="200"/>
        <w:rPr>
          <w:rFonts w:hint="eastAsia" w:ascii="宋体" w:hAnsi="宋体"/>
          <w:sz w:val="24"/>
          <w:szCs w:val="24"/>
        </w:rPr>
      </w:pPr>
      <w:r>
        <w:rPr>
          <w:rFonts w:hint="eastAsia" w:ascii="宋体" w:hAnsi="宋体"/>
          <w:sz w:val="24"/>
          <w:szCs w:val="24"/>
        </w:rPr>
        <w:t>（6）记录、复制或者带走任何评审资料；</w:t>
      </w:r>
    </w:p>
    <w:p w14:paraId="365EB0B3">
      <w:pPr>
        <w:spacing w:line="360" w:lineRule="auto"/>
        <w:ind w:firstLine="480" w:firstLineChars="200"/>
        <w:rPr>
          <w:rFonts w:hint="eastAsia" w:ascii="宋体" w:hAnsi="宋体"/>
          <w:sz w:val="24"/>
          <w:szCs w:val="24"/>
        </w:rPr>
      </w:pPr>
      <w:r>
        <w:rPr>
          <w:rFonts w:hint="eastAsia" w:ascii="宋体" w:hAnsi="宋体"/>
          <w:sz w:val="24"/>
          <w:szCs w:val="24"/>
        </w:rPr>
        <w:t>（7）其他不遵守评审纪律的行为。</w:t>
      </w:r>
    </w:p>
    <w:p w14:paraId="52F5C09D">
      <w:pPr>
        <w:spacing w:line="360" w:lineRule="auto"/>
        <w:ind w:firstLine="480" w:firstLineChars="200"/>
        <w:rPr>
          <w:rFonts w:hint="eastAsia" w:ascii="宋体" w:hAnsi="宋体"/>
          <w:sz w:val="24"/>
          <w:szCs w:val="24"/>
        </w:rPr>
      </w:pPr>
      <w:r>
        <w:rPr>
          <w:rFonts w:hint="eastAsia" w:ascii="宋体" w:hAnsi="宋体"/>
          <w:sz w:val="24"/>
          <w:szCs w:val="24"/>
        </w:rPr>
        <w:t>磋商小组成员有前款第（1）至（7）项行为之一的，其评审意见无效，并不得获取评审劳务报酬和报销异地评审差旅费。</w:t>
      </w:r>
    </w:p>
    <w:p w14:paraId="44F36781">
      <w:pPr>
        <w:spacing w:line="360" w:lineRule="auto"/>
        <w:rPr>
          <w:rFonts w:hint="eastAsia" w:ascii="宋体" w:hAnsi="宋体"/>
          <w:b/>
          <w:sz w:val="24"/>
          <w:szCs w:val="24"/>
        </w:rPr>
      </w:pPr>
      <w:bookmarkStart w:id="249" w:name="_Toc22639"/>
      <w:bookmarkEnd w:id="249"/>
      <w:bookmarkStart w:id="250" w:name="_Toc5153"/>
      <w:r>
        <w:rPr>
          <w:rFonts w:hint="eastAsia" w:ascii="宋体" w:hAnsi="宋体"/>
          <w:b/>
          <w:sz w:val="24"/>
          <w:szCs w:val="24"/>
        </w:rPr>
        <w:t>10.4 对与评审活动有关的工作人员的纪律要求</w:t>
      </w:r>
      <w:bookmarkEnd w:id="250"/>
    </w:p>
    <w:p w14:paraId="0E115BDD">
      <w:pPr>
        <w:spacing w:line="360" w:lineRule="auto"/>
        <w:ind w:firstLine="480" w:firstLineChars="200"/>
        <w:rPr>
          <w:rFonts w:hint="eastAsia" w:ascii="宋体" w:hAnsi="宋体"/>
          <w:sz w:val="24"/>
          <w:szCs w:val="24"/>
        </w:rPr>
      </w:pPr>
      <w:r>
        <w:rPr>
          <w:rFonts w:hint="eastAsia" w:ascii="宋体" w:hAnsi="宋体"/>
          <w:sz w:val="24"/>
          <w:szCs w:val="24"/>
        </w:rPr>
        <w:t>与评审活动有关的工作人员不得收受他人的财物或者其他好处，不得向他人透漏对响应文件的评审和比较、成交候选供应商的推荐情况以及评审有关的其他情况。在评审活动中，与评审活动有关的工作人员不得擅离职守，影响评审程序正常进行。</w:t>
      </w:r>
    </w:p>
    <w:p w14:paraId="1F4F8F29">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10.5</w:t>
      </w:r>
      <w:r>
        <w:rPr>
          <w:rFonts w:hint="eastAsia" w:ascii="宋体" w:hAnsi="宋体" w:eastAsia="宋体" w:cs="宋体"/>
          <w:b/>
          <w:sz w:val="24"/>
          <w:szCs w:val="24"/>
          <w:highlight w:val="none"/>
        </w:rPr>
        <w:t>廉洁自律规定</w:t>
      </w:r>
    </w:p>
    <w:p w14:paraId="40E0370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采购代理机构工作人员不得以不正当手段获取政府采购代理业务，不得与采购人、供应商恶意串通操纵政府采购活动。</w:t>
      </w:r>
    </w:p>
    <w:p w14:paraId="7400C095">
      <w:pPr>
        <w:spacing w:line="360" w:lineRule="auto"/>
        <w:ind w:firstLine="480" w:firstLineChars="200"/>
        <w:rPr>
          <w:rFonts w:hint="eastAsi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采购代理机构工作人员不得接受采购人或者供应商组织的宴请、旅游、娱乐，不得收受礼品、现金、有价证券等，不得向采购人或者供应商报销应当由个人承担的费用。</w:t>
      </w:r>
    </w:p>
    <w:p w14:paraId="763835B1">
      <w:pPr>
        <w:pStyle w:val="3"/>
        <w:spacing w:before="0" w:after="0" w:line="360" w:lineRule="auto"/>
        <w:rPr>
          <w:rFonts w:hint="eastAsia" w:ascii="宋体" w:hAnsi="宋体" w:eastAsia="宋体"/>
          <w:sz w:val="28"/>
          <w:szCs w:val="28"/>
        </w:rPr>
      </w:pPr>
      <w:bookmarkStart w:id="251" w:name="_Toc19873"/>
      <w:bookmarkEnd w:id="251"/>
      <w:bookmarkStart w:id="252" w:name="_Toc11291"/>
      <w:bookmarkEnd w:id="252"/>
      <w:bookmarkStart w:id="253" w:name="_Toc3960"/>
      <w:bookmarkEnd w:id="253"/>
      <w:bookmarkStart w:id="254" w:name="_Toc11354"/>
      <w:bookmarkEnd w:id="254"/>
      <w:bookmarkStart w:id="255" w:name="_Toc18697"/>
      <w:bookmarkEnd w:id="255"/>
      <w:bookmarkStart w:id="256" w:name="_Toc22387"/>
      <w:bookmarkStart w:id="257" w:name="_Toc14857"/>
      <w:bookmarkStart w:id="258" w:name="_Toc3896292"/>
      <w:bookmarkStart w:id="259" w:name="_Toc24500"/>
      <w:r>
        <w:rPr>
          <w:rFonts w:hint="eastAsia" w:ascii="宋体" w:hAnsi="宋体" w:eastAsia="宋体"/>
          <w:sz w:val="28"/>
          <w:szCs w:val="28"/>
        </w:rPr>
        <w:t>11.需要补充的其他内容</w:t>
      </w:r>
      <w:bookmarkEnd w:id="256"/>
      <w:bookmarkEnd w:id="257"/>
      <w:bookmarkEnd w:id="258"/>
      <w:bookmarkEnd w:id="259"/>
    </w:p>
    <w:p w14:paraId="3F160B27">
      <w:pPr>
        <w:spacing w:line="360" w:lineRule="auto"/>
        <w:ind w:firstLine="480" w:firstLineChars="200"/>
        <w:rPr>
          <w:rFonts w:hint="eastAsia" w:ascii="宋体" w:hAnsi="宋体"/>
          <w:sz w:val="24"/>
          <w:szCs w:val="24"/>
        </w:rPr>
      </w:pPr>
      <w:r>
        <w:rPr>
          <w:rFonts w:hint="eastAsia" w:ascii="宋体" w:hAnsi="宋体"/>
          <w:sz w:val="24"/>
          <w:szCs w:val="24"/>
        </w:rPr>
        <w:t>需要补充的其他内容：见供应商须知前附表。</w:t>
      </w:r>
    </w:p>
    <w:p w14:paraId="5CFF5A87">
      <w:pPr>
        <w:spacing w:line="240" w:lineRule="exact"/>
        <w:rPr>
          <w:rFonts w:hint="eastAsia" w:ascii="宋体" w:hAnsi="宋体"/>
        </w:rPr>
      </w:pPr>
      <w:r>
        <w:rPr>
          <w:rFonts w:hint="eastAsia" w:ascii="宋体" w:hAnsi="宋体"/>
          <w:sz w:val="32"/>
          <w:szCs w:val="32"/>
        </w:rPr>
        <w:br w:type="page"/>
      </w:r>
      <w:bookmarkStart w:id="260" w:name="_Toc31137"/>
      <w:bookmarkEnd w:id="260"/>
      <w:bookmarkStart w:id="261" w:name="_Toc13313"/>
    </w:p>
    <w:p w14:paraId="5FEB7B52">
      <w:pPr>
        <w:spacing w:line="360" w:lineRule="auto"/>
        <w:rPr>
          <w:rStyle w:val="23"/>
          <w:rFonts w:hint="eastAsia" w:ascii="宋体" w:hAnsi="宋体"/>
          <w:sz w:val="28"/>
          <w:szCs w:val="28"/>
        </w:rPr>
      </w:pPr>
      <w:r>
        <w:rPr>
          <w:rStyle w:val="23"/>
          <w:rFonts w:hint="eastAsia" w:ascii="宋体" w:hAnsi="宋体"/>
          <w:sz w:val="28"/>
          <w:szCs w:val="28"/>
        </w:rPr>
        <w:t>附件</w:t>
      </w:r>
      <w:bookmarkEnd w:id="261"/>
      <w:r>
        <w:rPr>
          <w:rStyle w:val="23"/>
          <w:rFonts w:hint="eastAsia" w:ascii="宋体" w:hAnsi="宋体"/>
          <w:sz w:val="28"/>
          <w:szCs w:val="28"/>
        </w:rPr>
        <w:t>一：问题澄清通知</w:t>
      </w:r>
    </w:p>
    <w:p w14:paraId="456110FC">
      <w:pPr>
        <w:spacing w:line="320" w:lineRule="exact"/>
        <w:jc w:val="center"/>
        <w:rPr>
          <w:rFonts w:hint="eastAsia" w:ascii="宋体" w:hAnsi="宋体"/>
          <w:b/>
          <w:bCs/>
          <w:sz w:val="28"/>
          <w:szCs w:val="28"/>
        </w:rPr>
      </w:pPr>
      <w:r>
        <w:rPr>
          <w:rFonts w:hint="eastAsia" w:ascii="宋体" w:hAnsi="宋体"/>
          <w:b/>
          <w:bCs/>
          <w:sz w:val="28"/>
          <w:szCs w:val="28"/>
        </w:rPr>
        <w:t xml:space="preserve"> </w:t>
      </w:r>
    </w:p>
    <w:p w14:paraId="3F2A9FA3">
      <w:pPr>
        <w:spacing w:line="360" w:lineRule="auto"/>
        <w:jc w:val="center"/>
        <w:rPr>
          <w:rFonts w:hint="eastAsia" w:ascii="宋体" w:hAnsi="宋体"/>
          <w:b/>
          <w:bCs/>
          <w:sz w:val="24"/>
          <w:szCs w:val="24"/>
        </w:rPr>
      </w:pPr>
      <w:r>
        <w:rPr>
          <w:rFonts w:hint="eastAsia" w:ascii="宋体" w:hAnsi="宋体"/>
          <w:b/>
          <w:bCs/>
          <w:sz w:val="24"/>
          <w:szCs w:val="24"/>
        </w:rPr>
        <w:t>问题澄清通知</w:t>
      </w:r>
    </w:p>
    <w:p w14:paraId="57046EA4">
      <w:pPr>
        <w:spacing w:line="360" w:lineRule="auto"/>
        <w:jc w:val="center"/>
        <w:rPr>
          <w:rFonts w:hint="eastAsia" w:ascii="宋体" w:hAnsi="宋体"/>
          <w:sz w:val="24"/>
          <w:szCs w:val="24"/>
        </w:rPr>
      </w:pPr>
      <w:r>
        <w:rPr>
          <w:rFonts w:hint="eastAsia" w:ascii="宋体" w:hAnsi="宋体"/>
          <w:sz w:val="24"/>
          <w:szCs w:val="24"/>
        </w:rPr>
        <w:t>（编号：</w:t>
      </w:r>
      <w:r>
        <w:rPr>
          <w:rFonts w:hint="eastAsia" w:ascii="宋体" w:hAnsi="宋体"/>
          <w:sz w:val="24"/>
          <w:szCs w:val="24"/>
          <w:u w:val="single"/>
        </w:rPr>
        <w:t xml:space="preserve">         </w:t>
      </w:r>
      <w:r>
        <w:rPr>
          <w:rFonts w:hint="eastAsia" w:ascii="宋体" w:hAnsi="宋体"/>
          <w:sz w:val="24"/>
          <w:szCs w:val="24"/>
        </w:rPr>
        <w:t>）</w:t>
      </w:r>
    </w:p>
    <w:p w14:paraId="2EDF8373">
      <w:pPr>
        <w:spacing w:line="360" w:lineRule="auto"/>
        <w:jc w:val="center"/>
        <w:rPr>
          <w:rFonts w:hint="eastAsia" w:ascii="宋体" w:hAnsi="宋体"/>
          <w:sz w:val="24"/>
          <w:szCs w:val="24"/>
        </w:rPr>
      </w:pPr>
    </w:p>
    <w:p w14:paraId="5EDB6B2D">
      <w:pPr>
        <w:spacing w:line="36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（供应商名称）</w:t>
      </w:r>
    </w:p>
    <w:p w14:paraId="3882C6EB">
      <w:pPr>
        <w:keepNext w:val="0"/>
        <w:keepLines w:val="0"/>
        <w:pageBreakBefore w:val="0"/>
        <w:widowControl/>
        <w:kinsoku/>
        <w:wordWrap/>
        <w:overflowPunct/>
        <w:topLinePunct w:val="0"/>
        <w:autoSpaceDE/>
        <w:autoSpaceDN/>
        <w:bidi w:val="0"/>
        <w:adjustRightInd/>
        <w:snapToGrid/>
        <w:spacing w:line="360" w:lineRule="auto"/>
        <w:ind w:right="357" w:firstLine="480" w:firstLineChars="200"/>
        <w:textAlignment w:val="auto"/>
        <w:rPr>
          <w:rFonts w:hint="eastAsia" w:ascii="宋体" w:hAnsi="宋体"/>
          <w:sz w:val="24"/>
          <w:szCs w:val="24"/>
        </w:rPr>
      </w:pPr>
      <w:r>
        <w:rPr>
          <w:rFonts w:hint="eastAsia" w:ascii="宋体" w:hAnsi="宋体"/>
          <w:sz w:val="24"/>
          <w:szCs w:val="24"/>
        </w:rPr>
        <w:t>磋商小组对你方的响应文件进行了仔细的审查，现需你方对下列问题以书面形式予以澄清、说明或补正：</w:t>
      </w:r>
    </w:p>
    <w:p w14:paraId="2E8E3995">
      <w:pPr>
        <w:keepNext w:val="0"/>
        <w:keepLines w:val="0"/>
        <w:pageBreakBefore w:val="0"/>
        <w:widowControl/>
        <w:kinsoku/>
        <w:wordWrap/>
        <w:overflowPunct/>
        <w:topLinePunct w:val="0"/>
        <w:autoSpaceDE/>
        <w:autoSpaceDN/>
        <w:bidi w:val="0"/>
        <w:adjustRightInd/>
        <w:snapToGrid/>
        <w:spacing w:line="360" w:lineRule="auto"/>
        <w:ind w:right="357" w:firstLine="480" w:firstLineChars="200"/>
        <w:textAlignment w:val="auto"/>
        <w:rPr>
          <w:rFonts w:hint="eastAsia" w:ascii="宋体" w:hAnsi="宋体"/>
          <w:sz w:val="24"/>
          <w:szCs w:val="24"/>
        </w:rPr>
      </w:pPr>
      <w:r>
        <w:rPr>
          <w:rFonts w:hint="eastAsia" w:ascii="宋体" w:hAnsi="宋体"/>
          <w:sz w:val="24"/>
          <w:szCs w:val="24"/>
        </w:rPr>
        <w:t>1.</w:t>
      </w:r>
    </w:p>
    <w:p w14:paraId="36DF31AB">
      <w:pPr>
        <w:keepNext w:val="0"/>
        <w:keepLines w:val="0"/>
        <w:pageBreakBefore w:val="0"/>
        <w:widowControl/>
        <w:kinsoku/>
        <w:wordWrap/>
        <w:overflowPunct/>
        <w:topLinePunct w:val="0"/>
        <w:autoSpaceDE/>
        <w:autoSpaceDN/>
        <w:bidi w:val="0"/>
        <w:adjustRightInd/>
        <w:snapToGrid/>
        <w:spacing w:line="360" w:lineRule="auto"/>
        <w:ind w:right="357" w:firstLine="480" w:firstLineChars="200"/>
        <w:textAlignment w:val="auto"/>
        <w:rPr>
          <w:rFonts w:hint="eastAsia" w:ascii="宋体" w:hAnsi="宋体"/>
          <w:sz w:val="24"/>
          <w:szCs w:val="24"/>
        </w:rPr>
      </w:pPr>
      <w:r>
        <w:rPr>
          <w:rFonts w:hint="eastAsia" w:ascii="宋体" w:hAnsi="宋体"/>
          <w:sz w:val="24"/>
          <w:szCs w:val="24"/>
        </w:rPr>
        <w:t>2.</w:t>
      </w:r>
    </w:p>
    <w:p w14:paraId="5DCB514B">
      <w:pPr>
        <w:keepNext w:val="0"/>
        <w:keepLines w:val="0"/>
        <w:pageBreakBefore w:val="0"/>
        <w:widowControl/>
        <w:kinsoku/>
        <w:wordWrap/>
        <w:overflowPunct/>
        <w:topLinePunct w:val="0"/>
        <w:autoSpaceDE/>
        <w:autoSpaceDN/>
        <w:bidi w:val="0"/>
        <w:adjustRightInd/>
        <w:snapToGrid/>
        <w:spacing w:line="360" w:lineRule="auto"/>
        <w:ind w:right="357" w:firstLine="480" w:firstLineChars="200"/>
        <w:textAlignment w:val="auto"/>
        <w:rPr>
          <w:rFonts w:hint="eastAsia" w:ascii="宋体" w:hAnsi="宋体"/>
          <w:sz w:val="24"/>
          <w:szCs w:val="24"/>
        </w:rPr>
      </w:pPr>
      <w:r>
        <w:rPr>
          <w:rFonts w:hint="eastAsia" w:ascii="宋体" w:hAnsi="宋体"/>
          <w:sz w:val="24"/>
          <w:szCs w:val="24"/>
        </w:rPr>
        <w:t>……</w:t>
      </w:r>
    </w:p>
    <w:p w14:paraId="6B1AF922">
      <w:pPr>
        <w:keepNext w:val="0"/>
        <w:keepLines w:val="0"/>
        <w:pageBreakBefore w:val="0"/>
        <w:widowControl/>
        <w:kinsoku/>
        <w:wordWrap/>
        <w:overflowPunct/>
        <w:topLinePunct w:val="0"/>
        <w:autoSpaceDE/>
        <w:autoSpaceDN/>
        <w:bidi w:val="0"/>
        <w:adjustRightInd/>
        <w:snapToGrid/>
        <w:spacing w:line="360" w:lineRule="auto"/>
        <w:ind w:right="357" w:firstLine="480" w:firstLineChars="200"/>
        <w:textAlignment w:val="auto"/>
        <w:rPr>
          <w:rFonts w:hint="eastAsia" w:ascii="宋体" w:hAnsi="宋体"/>
          <w:sz w:val="24"/>
          <w:szCs w:val="24"/>
        </w:rPr>
      </w:pPr>
      <w:r>
        <w:rPr>
          <w:rFonts w:hint="eastAsia" w:ascii="宋体" w:hAnsi="宋体"/>
          <w:sz w:val="24"/>
          <w:szCs w:val="24"/>
        </w:rPr>
        <w:t>请将上述问题的澄清、说明或补正于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r>
        <w:rPr>
          <w:rFonts w:hint="eastAsia" w:ascii="宋体" w:hAnsi="宋体"/>
          <w:sz w:val="24"/>
          <w:szCs w:val="24"/>
          <w:u w:val="single"/>
        </w:rPr>
        <w:t xml:space="preserve">   </w:t>
      </w:r>
      <w:r>
        <w:rPr>
          <w:rFonts w:hint="eastAsia" w:ascii="宋体" w:hAnsi="宋体"/>
          <w:sz w:val="24"/>
          <w:szCs w:val="24"/>
        </w:rPr>
        <w:t>时前递交至</w:t>
      </w:r>
      <w:r>
        <w:rPr>
          <w:rFonts w:hint="eastAsia" w:ascii="宋体" w:hAnsi="宋体"/>
          <w:sz w:val="24"/>
          <w:szCs w:val="24"/>
          <w:u w:val="single"/>
        </w:rPr>
        <w:t xml:space="preserve">                     </w:t>
      </w:r>
      <w:r>
        <w:rPr>
          <w:rFonts w:hint="eastAsia" w:ascii="宋体" w:hAnsi="宋体"/>
          <w:sz w:val="24"/>
          <w:szCs w:val="24"/>
        </w:rPr>
        <w:t>（详细地址）</w:t>
      </w:r>
      <w:r>
        <w:rPr>
          <w:rFonts w:hint="eastAsia" w:ascii="宋体" w:hAnsi="宋体"/>
          <w:color w:val="000000"/>
          <w:sz w:val="24"/>
          <w:szCs w:val="24"/>
        </w:rPr>
        <w:t>或以扫描件发送至</w:t>
      </w:r>
      <w:r>
        <w:rPr>
          <w:rFonts w:hint="eastAsia" w:ascii="宋体" w:hAnsi="宋体"/>
          <w:color w:val="000000"/>
          <w:sz w:val="24"/>
          <w:szCs w:val="24"/>
          <w:u w:val="single"/>
        </w:rPr>
        <w:t xml:space="preserve">  </w:t>
      </w:r>
      <w:r>
        <w:rPr>
          <w:rFonts w:hint="eastAsia" w:ascii="宋体" w:hAnsi="宋体"/>
          <w:color w:val="000000"/>
          <w:sz w:val="24"/>
          <w:szCs w:val="24"/>
          <w:u w:val="single"/>
        </w:rPr>
        <w:tab/>
      </w:r>
      <w:r>
        <w:rPr>
          <w:rFonts w:hint="eastAsia" w:ascii="宋体" w:hAnsi="宋体"/>
          <w:color w:val="000000"/>
          <w:sz w:val="24"/>
          <w:szCs w:val="24"/>
          <w:u w:val="single"/>
        </w:rPr>
        <w:tab/>
      </w:r>
      <w:r>
        <w:rPr>
          <w:rFonts w:hint="eastAsia" w:ascii="宋体" w:hAnsi="宋体"/>
          <w:color w:val="000000"/>
          <w:sz w:val="24"/>
          <w:szCs w:val="24"/>
          <w:u w:val="single"/>
        </w:rPr>
        <w:t xml:space="preserve">     </w:t>
      </w:r>
      <w:r>
        <w:rPr>
          <w:rFonts w:hint="eastAsia" w:ascii="宋体" w:hAnsi="宋体"/>
          <w:color w:val="000000"/>
          <w:sz w:val="24"/>
          <w:szCs w:val="24"/>
        </w:rPr>
        <w:t>（邮箱号）。采用扫描件发送方</w:t>
      </w:r>
      <w:r>
        <w:rPr>
          <w:rFonts w:hint="eastAsia" w:ascii="宋体" w:hAnsi="宋体"/>
          <w:sz w:val="24"/>
          <w:szCs w:val="24"/>
        </w:rPr>
        <w:t>式的，应在</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r>
        <w:rPr>
          <w:rFonts w:hint="eastAsia" w:ascii="宋体" w:hAnsi="宋体"/>
          <w:sz w:val="24"/>
          <w:szCs w:val="24"/>
          <w:u w:val="single"/>
        </w:rPr>
        <w:t xml:space="preserve">   </w:t>
      </w:r>
      <w:r>
        <w:rPr>
          <w:rFonts w:hint="eastAsia" w:ascii="宋体" w:hAnsi="宋体"/>
          <w:sz w:val="24"/>
          <w:szCs w:val="24"/>
        </w:rPr>
        <w:t>时前将原件递交至</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rPr>
        <w:t>（详细地址）。</w:t>
      </w:r>
    </w:p>
    <w:p w14:paraId="50E0D681">
      <w:pPr>
        <w:spacing w:line="360" w:lineRule="auto"/>
        <w:ind w:right="357"/>
        <w:rPr>
          <w:rFonts w:hint="eastAsia" w:ascii="宋体" w:hAnsi="宋体"/>
          <w:sz w:val="24"/>
          <w:szCs w:val="24"/>
        </w:rPr>
      </w:pPr>
      <w:r>
        <w:rPr>
          <w:rFonts w:hint="eastAsia" w:ascii="宋体" w:hAnsi="宋体"/>
          <w:sz w:val="24"/>
          <w:szCs w:val="24"/>
        </w:rPr>
        <w:t xml:space="preserve">                                        </w:t>
      </w:r>
    </w:p>
    <w:p w14:paraId="244C4FB2">
      <w:pPr>
        <w:spacing w:line="360" w:lineRule="auto"/>
        <w:ind w:right="357"/>
        <w:rPr>
          <w:rFonts w:hint="eastAsia" w:ascii="宋体" w:hAnsi="宋体"/>
          <w:sz w:val="24"/>
          <w:szCs w:val="24"/>
        </w:rPr>
      </w:pPr>
      <w:r>
        <w:rPr>
          <w:rFonts w:hint="eastAsia" w:ascii="宋体" w:hAnsi="宋体"/>
          <w:sz w:val="24"/>
          <w:szCs w:val="24"/>
        </w:rPr>
        <w:t xml:space="preserve"> </w:t>
      </w:r>
    </w:p>
    <w:p w14:paraId="4B71DC22">
      <w:pPr>
        <w:spacing w:line="360" w:lineRule="auto"/>
        <w:ind w:right="357"/>
        <w:rPr>
          <w:rFonts w:hint="eastAsia" w:ascii="宋体" w:hAnsi="宋体"/>
          <w:sz w:val="24"/>
          <w:szCs w:val="24"/>
        </w:rPr>
      </w:pPr>
      <w:r>
        <w:rPr>
          <w:rFonts w:hint="eastAsia" w:ascii="宋体" w:hAnsi="宋体"/>
          <w:sz w:val="24"/>
          <w:szCs w:val="24"/>
        </w:rPr>
        <w:t xml:space="preserve">磋商小组： </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rPr>
        <w:t>（签字或盖章）</w:t>
      </w:r>
    </w:p>
    <w:p w14:paraId="37F0295A">
      <w:pPr>
        <w:spacing w:line="360" w:lineRule="auto"/>
        <w:ind w:right="357"/>
        <w:rPr>
          <w:rFonts w:hint="eastAsia" w:ascii="宋体" w:hAnsi="宋体"/>
          <w:sz w:val="24"/>
          <w:szCs w:val="24"/>
        </w:rPr>
      </w:pPr>
    </w:p>
    <w:p w14:paraId="2794E4AD">
      <w:pPr>
        <w:spacing w:line="360" w:lineRule="auto"/>
        <w:ind w:right="357"/>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3BC63EAD">
      <w:pPr>
        <w:spacing w:line="240" w:lineRule="exact"/>
        <w:rPr>
          <w:rFonts w:hint="eastAsia" w:ascii="宋体" w:hAnsi="宋体"/>
        </w:rPr>
      </w:pPr>
      <w:r>
        <w:rPr>
          <w:rFonts w:hint="eastAsia" w:ascii="宋体" w:hAnsi="宋体"/>
          <w:sz w:val="32"/>
          <w:szCs w:val="32"/>
        </w:rPr>
        <w:br w:type="page"/>
      </w:r>
      <w:bookmarkStart w:id="262" w:name="_Toc10860"/>
      <w:bookmarkEnd w:id="262"/>
      <w:bookmarkStart w:id="263" w:name="_Toc4237"/>
    </w:p>
    <w:p w14:paraId="2E64EB6D">
      <w:pPr>
        <w:rPr>
          <w:rStyle w:val="23"/>
          <w:rFonts w:hint="eastAsia" w:ascii="宋体" w:hAnsi="宋体"/>
          <w:sz w:val="28"/>
          <w:szCs w:val="28"/>
        </w:rPr>
      </w:pPr>
      <w:r>
        <w:rPr>
          <w:rStyle w:val="23"/>
          <w:rFonts w:hint="eastAsia" w:ascii="宋体" w:hAnsi="宋体"/>
          <w:sz w:val="28"/>
          <w:szCs w:val="28"/>
        </w:rPr>
        <w:t>附件</w:t>
      </w:r>
      <w:bookmarkEnd w:id="263"/>
      <w:r>
        <w:rPr>
          <w:rStyle w:val="23"/>
          <w:rFonts w:hint="eastAsia" w:ascii="宋体" w:hAnsi="宋体"/>
          <w:sz w:val="28"/>
          <w:szCs w:val="28"/>
        </w:rPr>
        <w:t>二：问题的澄清</w:t>
      </w:r>
    </w:p>
    <w:p w14:paraId="759748BF">
      <w:pPr>
        <w:spacing w:line="320" w:lineRule="exact"/>
        <w:jc w:val="center"/>
        <w:rPr>
          <w:rFonts w:hint="eastAsia" w:ascii="宋体" w:hAnsi="宋体"/>
          <w:b/>
          <w:bCs/>
          <w:sz w:val="28"/>
          <w:szCs w:val="28"/>
        </w:rPr>
      </w:pPr>
      <w:r>
        <w:rPr>
          <w:rFonts w:hint="eastAsia" w:ascii="宋体" w:hAnsi="宋体"/>
          <w:b/>
          <w:bCs/>
          <w:sz w:val="28"/>
          <w:szCs w:val="28"/>
        </w:rPr>
        <w:t xml:space="preserve"> </w:t>
      </w:r>
    </w:p>
    <w:p w14:paraId="00AA5988">
      <w:pPr>
        <w:spacing w:line="360" w:lineRule="auto"/>
        <w:jc w:val="center"/>
        <w:rPr>
          <w:rFonts w:hint="eastAsia" w:ascii="宋体" w:hAnsi="宋体"/>
          <w:b/>
          <w:bCs/>
          <w:sz w:val="24"/>
          <w:szCs w:val="24"/>
        </w:rPr>
      </w:pPr>
      <w:r>
        <w:rPr>
          <w:rFonts w:hint="eastAsia" w:ascii="宋体" w:hAnsi="宋体"/>
          <w:b/>
          <w:bCs/>
          <w:sz w:val="24"/>
          <w:szCs w:val="24"/>
        </w:rPr>
        <w:t>问题的澄清</w:t>
      </w:r>
    </w:p>
    <w:p w14:paraId="4046E015">
      <w:pPr>
        <w:spacing w:line="360" w:lineRule="auto"/>
        <w:jc w:val="center"/>
        <w:rPr>
          <w:rFonts w:hint="eastAsia" w:ascii="宋体" w:hAnsi="宋体"/>
          <w:sz w:val="24"/>
          <w:szCs w:val="24"/>
        </w:rPr>
      </w:pPr>
      <w:r>
        <w:rPr>
          <w:rFonts w:hint="eastAsia" w:ascii="宋体" w:hAnsi="宋体"/>
          <w:sz w:val="24"/>
          <w:szCs w:val="24"/>
        </w:rPr>
        <w:t>（编号：</w:t>
      </w:r>
      <w:r>
        <w:rPr>
          <w:rFonts w:hint="eastAsia" w:ascii="宋体" w:hAnsi="宋体"/>
          <w:sz w:val="24"/>
          <w:szCs w:val="24"/>
          <w:u w:val="single"/>
        </w:rPr>
        <w:t xml:space="preserve">                 </w:t>
      </w:r>
      <w:r>
        <w:rPr>
          <w:rFonts w:hint="eastAsia" w:ascii="宋体" w:hAnsi="宋体"/>
          <w:sz w:val="24"/>
          <w:szCs w:val="24"/>
        </w:rPr>
        <w:t xml:space="preserve">  ）</w:t>
      </w:r>
    </w:p>
    <w:p w14:paraId="5898CCCD">
      <w:pPr>
        <w:spacing w:line="360" w:lineRule="auto"/>
        <w:jc w:val="center"/>
        <w:rPr>
          <w:rFonts w:hint="eastAsia" w:ascii="宋体" w:hAnsi="宋体"/>
          <w:sz w:val="24"/>
          <w:szCs w:val="24"/>
        </w:rPr>
      </w:pPr>
    </w:p>
    <w:p w14:paraId="0D90FB5B">
      <w:pPr>
        <w:spacing w:line="360" w:lineRule="auto"/>
        <w:rPr>
          <w:rFonts w:hint="eastAsia" w:ascii="宋体" w:hAnsi="宋体"/>
          <w:sz w:val="24"/>
          <w:szCs w:val="24"/>
        </w:rPr>
      </w:pPr>
      <w:r>
        <w:rPr>
          <w:rFonts w:hint="eastAsia" w:ascii="宋体" w:hAnsi="宋体"/>
          <w:sz w:val="24"/>
          <w:szCs w:val="24"/>
        </w:rPr>
        <w:t xml:space="preserve">  磋商小组：</w:t>
      </w:r>
    </w:p>
    <w:p w14:paraId="711F6EBD">
      <w:pPr>
        <w:spacing w:line="360" w:lineRule="auto"/>
        <w:ind w:firstLine="600" w:firstLineChars="250"/>
        <w:rPr>
          <w:rFonts w:hint="eastAsia" w:ascii="宋体" w:hAnsi="宋体"/>
          <w:sz w:val="24"/>
          <w:szCs w:val="24"/>
        </w:rPr>
      </w:pPr>
      <w:r>
        <w:rPr>
          <w:rFonts w:hint="eastAsia" w:ascii="宋体" w:hAnsi="宋体"/>
          <w:sz w:val="24"/>
          <w:szCs w:val="24"/>
        </w:rPr>
        <w:t>问题澄清通知（编号 ：</w:t>
      </w:r>
      <w:r>
        <w:rPr>
          <w:rFonts w:hint="eastAsia" w:ascii="宋体" w:hAnsi="宋体"/>
          <w:sz w:val="24"/>
          <w:szCs w:val="24"/>
          <w:u w:val="single"/>
        </w:rPr>
        <w:t xml:space="preserve">                   </w:t>
      </w:r>
      <w:r>
        <w:rPr>
          <w:rFonts w:hint="eastAsia" w:ascii="宋体" w:hAnsi="宋体"/>
          <w:sz w:val="24"/>
          <w:szCs w:val="24"/>
        </w:rPr>
        <w:t xml:space="preserve"> ）已收悉，现澄清、说明或补正如下：</w:t>
      </w:r>
    </w:p>
    <w:p w14:paraId="1646E009">
      <w:pPr>
        <w:spacing w:line="360" w:lineRule="auto"/>
        <w:ind w:firstLine="480" w:firstLineChars="200"/>
        <w:rPr>
          <w:rFonts w:hint="eastAsia" w:ascii="宋体" w:hAnsi="宋体"/>
          <w:sz w:val="24"/>
          <w:szCs w:val="24"/>
        </w:rPr>
      </w:pPr>
      <w:r>
        <w:rPr>
          <w:rFonts w:hint="eastAsia" w:ascii="宋体" w:hAnsi="宋体"/>
          <w:sz w:val="24"/>
          <w:szCs w:val="24"/>
        </w:rPr>
        <w:t xml:space="preserve"> 1.</w:t>
      </w:r>
    </w:p>
    <w:p w14:paraId="1C68AC5B">
      <w:pPr>
        <w:spacing w:line="360" w:lineRule="auto"/>
        <w:ind w:firstLine="600" w:firstLineChars="250"/>
        <w:rPr>
          <w:rFonts w:hint="eastAsia" w:ascii="宋体" w:hAnsi="宋体"/>
          <w:sz w:val="24"/>
          <w:szCs w:val="24"/>
        </w:rPr>
      </w:pPr>
      <w:r>
        <w:rPr>
          <w:rFonts w:hint="eastAsia" w:ascii="宋体" w:hAnsi="宋体"/>
          <w:sz w:val="24"/>
          <w:szCs w:val="24"/>
        </w:rPr>
        <w:t>2.</w:t>
      </w:r>
    </w:p>
    <w:p w14:paraId="0E98F78C">
      <w:pPr>
        <w:spacing w:line="360" w:lineRule="auto"/>
        <w:ind w:firstLine="600" w:firstLineChars="250"/>
        <w:rPr>
          <w:rFonts w:hint="eastAsia" w:ascii="宋体" w:hAnsi="宋体"/>
          <w:sz w:val="24"/>
          <w:szCs w:val="24"/>
        </w:rPr>
      </w:pPr>
      <w:r>
        <w:rPr>
          <w:rFonts w:hint="eastAsia" w:ascii="宋体" w:hAnsi="宋体"/>
          <w:sz w:val="24"/>
          <w:szCs w:val="24"/>
        </w:rPr>
        <w:t xml:space="preserve"> ……</w:t>
      </w:r>
    </w:p>
    <w:p w14:paraId="27C141B6">
      <w:pPr>
        <w:spacing w:line="360" w:lineRule="auto"/>
        <w:ind w:firstLine="600" w:firstLineChars="250"/>
        <w:rPr>
          <w:rFonts w:hint="eastAsia" w:ascii="宋体" w:hAnsi="宋体"/>
          <w:sz w:val="24"/>
          <w:szCs w:val="24"/>
        </w:rPr>
      </w:pPr>
      <w:r>
        <w:rPr>
          <w:rFonts w:hint="eastAsia" w:ascii="宋体" w:hAnsi="宋体"/>
          <w:sz w:val="24"/>
          <w:szCs w:val="24"/>
        </w:rPr>
        <w:t>上述问题澄清、说明或补正，不改变我方响应文件的实质性内容，构成我方响应文件的组成部分。</w:t>
      </w:r>
    </w:p>
    <w:p w14:paraId="2FA313A6">
      <w:pPr>
        <w:spacing w:line="360" w:lineRule="auto"/>
        <w:ind w:firstLine="2880" w:firstLineChars="1200"/>
        <w:rPr>
          <w:rFonts w:hint="eastAsia" w:ascii="宋体" w:hAnsi="宋体"/>
          <w:sz w:val="24"/>
          <w:szCs w:val="24"/>
        </w:rPr>
      </w:pPr>
    </w:p>
    <w:p w14:paraId="39865B4A">
      <w:pPr>
        <w:spacing w:line="360" w:lineRule="auto"/>
        <w:ind w:firstLine="2880" w:firstLineChars="1200"/>
        <w:rPr>
          <w:rFonts w:hint="eastAsia" w:ascii="宋体" w:hAnsi="宋体"/>
          <w:sz w:val="24"/>
          <w:szCs w:val="24"/>
        </w:rPr>
      </w:pPr>
    </w:p>
    <w:p w14:paraId="61A72877">
      <w:pPr>
        <w:spacing w:line="360" w:lineRule="auto"/>
        <w:ind w:firstLine="2880" w:firstLineChars="1200"/>
        <w:rPr>
          <w:rFonts w:hint="eastAsia" w:ascii="宋体" w:hAnsi="宋体"/>
          <w:sz w:val="24"/>
          <w:szCs w:val="24"/>
        </w:rPr>
      </w:pPr>
      <w:r>
        <w:rPr>
          <w:rFonts w:hint="eastAsia" w:ascii="宋体" w:hAnsi="宋体"/>
          <w:sz w:val="24"/>
          <w:szCs w:val="24"/>
        </w:rPr>
        <w:t xml:space="preserve"> </w:t>
      </w:r>
    </w:p>
    <w:p w14:paraId="1C7A2274">
      <w:pPr>
        <w:ind w:firstLine="1200" w:firstLineChars="500"/>
        <w:rPr>
          <w:rFonts w:hint="eastAsia" w:ascii="宋体" w:hAnsi="宋体"/>
          <w:bCs/>
          <w:sz w:val="24"/>
          <w:szCs w:val="24"/>
        </w:rPr>
      </w:pPr>
      <w:r>
        <w:rPr>
          <w:rFonts w:hint="eastAsia" w:ascii="宋体" w:hAnsi="宋体"/>
          <w:bCs/>
          <w:sz w:val="24"/>
          <w:szCs w:val="24"/>
        </w:rPr>
        <w:t>供应商：</w:t>
      </w:r>
      <w:r>
        <w:rPr>
          <w:rFonts w:hint="eastAsia" w:ascii="宋体" w:hAnsi="宋体"/>
          <w:bCs/>
          <w:sz w:val="24"/>
          <w:szCs w:val="24"/>
          <w:u w:val="single"/>
        </w:rPr>
        <w:tab/>
      </w:r>
      <w:r>
        <w:rPr>
          <w:rFonts w:hint="eastAsia" w:ascii="宋体" w:hAnsi="宋体"/>
          <w:bCs/>
          <w:sz w:val="24"/>
          <w:szCs w:val="24"/>
          <w:u w:val="single"/>
        </w:rPr>
        <w:t xml:space="preserve">                                    </w:t>
      </w:r>
      <w:r>
        <w:rPr>
          <w:rFonts w:hint="eastAsia" w:ascii="宋体" w:hAnsi="宋体"/>
          <w:bCs/>
          <w:sz w:val="24"/>
          <w:szCs w:val="24"/>
        </w:rPr>
        <w:t>（加盖单位公章）</w:t>
      </w:r>
    </w:p>
    <w:p w14:paraId="1C6D7DFD">
      <w:pPr>
        <w:rPr>
          <w:rFonts w:hint="eastAsia" w:ascii="宋体" w:hAnsi="宋体"/>
          <w:bCs/>
          <w:sz w:val="24"/>
          <w:szCs w:val="24"/>
        </w:rPr>
      </w:pPr>
      <w:r>
        <w:rPr>
          <w:rFonts w:hint="eastAsia" w:ascii="宋体" w:hAnsi="宋体"/>
          <w:bCs/>
          <w:sz w:val="24"/>
          <w:szCs w:val="24"/>
        </w:rPr>
        <w:t xml:space="preserve"> </w:t>
      </w:r>
    </w:p>
    <w:p w14:paraId="01146A94">
      <w:pPr>
        <w:ind w:firstLine="1200" w:firstLineChars="500"/>
        <w:rPr>
          <w:rFonts w:hint="eastAsia" w:ascii="宋体" w:hAnsi="宋体"/>
          <w:bCs/>
          <w:sz w:val="24"/>
          <w:szCs w:val="24"/>
        </w:rPr>
      </w:pPr>
      <w:r>
        <w:rPr>
          <w:rFonts w:hint="eastAsia" w:ascii="宋体" w:hAnsi="宋体"/>
          <w:bCs/>
          <w:sz w:val="24"/>
          <w:szCs w:val="24"/>
        </w:rPr>
        <w:t>法定代表人或其委托代理人：</w:t>
      </w:r>
      <w:r>
        <w:rPr>
          <w:rFonts w:hint="eastAsia" w:ascii="宋体" w:hAnsi="宋体"/>
          <w:bCs/>
          <w:sz w:val="24"/>
          <w:szCs w:val="24"/>
        </w:rPr>
        <w:tab/>
      </w:r>
      <w:r>
        <w:rPr>
          <w:rFonts w:hint="eastAsia" w:ascii="宋体" w:hAnsi="宋体"/>
          <w:bCs/>
          <w:sz w:val="24"/>
          <w:szCs w:val="24"/>
          <w:u w:val="single"/>
        </w:rPr>
        <w:t xml:space="preserve">             </w:t>
      </w:r>
      <w:r>
        <w:rPr>
          <w:rFonts w:hint="eastAsia" w:ascii="宋体" w:hAnsi="宋体"/>
          <w:bCs/>
          <w:sz w:val="24"/>
          <w:szCs w:val="24"/>
        </w:rPr>
        <w:t>（</w:t>
      </w:r>
      <w:r>
        <w:rPr>
          <w:rFonts w:hint="eastAsia" w:ascii="宋体" w:hAnsi="宋体"/>
          <w:sz w:val="24"/>
          <w:szCs w:val="24"/>
        </w:rPr>
        <w:t>签字或盖章</w:t>
      </w:r>
      <w:r>
        <w:rPr>
          <w:rFonts w:hint="eastAsia" w:ascii="宋体" w:hAnsi="宋体"/>
          <w:bCs/>
          <w:sz w:val="24"/>
          <w:szCs w:val="24"/>
        </w:rPr>
        <w:t>）</w:t>
      </w:r>
    </w:p>
    <w:p w14:paraId="4ED3E135">
      <w:pPr>
        <w:rPr>
          <w:rFonts w:hint="eastAsia" w:ascii="宋体" w:hAnsi="宋体"/>
          <w:bCs/>
          <w:sz w:val="24"/>
          <w:szCs w:val="24"/>
        </w:rPr>
      </w:pPr>
      <w:r>
        <w:rPr>
          <w:rFonts w:hint="eastAsia" w:ascii="宋体" w:hAnsi="宋体"/>
          <w:bCs/>
          <w:sz w:val="24"/>
          <w:szCs w:val="24"/>
        </w:rPr>
        <w:t xml:space="preserve"> </w:t>
      </w:r>
    </w:p>
    <w:p w14:paraId="1BFC083D">
      <w:pPr>
        <w:spacing w:line="360" w:lineRule="auto"/>
        <w:ind w:firstLine="1200" w:firstLineChars="500"/>
        <w:rPr>
          <w:rFonts w:ascii="宋体" w:hAnsi="宋体"/>
          <w:sz w:val="24"/>
          <w:szCs w:val="24"/>
        </w:rPr>
      </w:pPr>
      <w:r>
        <w:rPr>
          <w:rFonts w:hint="eastAsia" w:ascii="宋体" w:hAnsi="宋体"/>
          <w:bCs/>
          <w:sz w:val="24"/>
          <w:szCs w:val="24"/>
        </w:rPr>
        <w:t>日期：</w:t>
      </w: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hint="eastAsia" w:ascii="宋体" w:hAnsi="宋体"/>
          <w:bCs/>
          <w:sz w:val="24"/>
          <w:szCs w:val="24"/>
        </w:rPr>
        <w:t>日</w:t>
      </w:r>
    </w:p>
    <w:p w14:paraId="0418B21F">
      <w:pPr>
        <w:spacing w:line="360" w:lineRule="auto"/>
        <w:ind w:firstLine="2880" w:firstLineChars="1200"/>
        <w:rPr>
          <w:rFonts w:hint="eastAsia" w:ascii="宋体" w:hAnsi="宋体"/>
          <w:sz w:val="24"/>
          <w:szCs w:val="24"/>
        </w:rPr>
      </w:pPr>
    </w:p>
    <w:p w14:paraId="652C92B7">
      <w:pPr>
        <w:spacing w:line="360" w:lineRule="auto"/>
        <w:ind w:firstLine="4680" w:firstLineChars="1950"/>
        <w:rPr>
          <w:rFonts w:hint="eastAsia" w:ascii="宋体" w:hAnsi="宋体"/>
          <w:sz w:val="24"/>
          <w:szCs w:val="24"/>
        </w:rPr>
      </w:pPr>
    </w:p>
    <w:p w14:paraId="0F823858">
      <w:pPr>
        <w:spacing w:line="240" w:lineRule="exact"/>
        <w:rPr>
          <w:rFonts w:hint="eastAsia" w:ascii="宋体" w:hAnsi="宋体"/>
        </w:rPr>
      </w:pPr>
      <w:r>
        <w:rPr>
          <w:rFonts w:hint="eastAsia" w:ascii="宋体" w:hAnsi="宋体"/>
          <w:sz w:val="32"/>
          <w:szCs w:val="32"/>
        </w:rPr>
        <w:br w:type="page"/>
      </w:r>
      <w:bookmarkStart w:id="264" w:name="_Toc19810"/>
      <w:bookmarkEnd w:id="264"/>
      <w:bookmarkStart w:id="265" w:name="_Toc23493"/>
    </w:p>
    <w:bookmarkEnd w:id="265"/>
    <w:p w14:paraId="7A1C44E7">
      <w:pPr>
        <w:rPr>
          <w:rStyle w:val="23"/>
          <w:rFonts w:hint="eastAsia" w:ascii="宋体" w:hAnsi="宋体"/>
          <w:sz w:val="28"/>
          <w:szCs w:val="28"/>
        </w:rPr>
      </w:pPr>
      <w:bookmarkStart w:id="266" w:name="_Toc22933"/>
      <w:bookmarkEnd w:id="266"/>
      <w:bookmarkStart w:id="267" w:name="_Toc30796"/>
      <w:r>
        <w:rPr>
          <w:rStyle w:val="23"/>
          <w:rFonts w:hint="eastAsia" w:ascii="宋体" w:hAnsi="宋体"/>
          <w:sz w:val="28"/>
          <w:szCs w:val="28"/>
        </w:rPr>
        <w:t>附件</w:t>
      </w:r>
      <w:bookmarkEnd w:id="267"/>
      <w:r>
        <w:rPr>
          <w:rStyle w:val="23"/>
          <w:rFonts w:hint="eastAsia" w:ascii="宋体" w:hAnsi="宋体"/>
          <w:sz w:val="28"/>
          <w:szCs w:val="28"/>
        </w:rPr>
        <w:t>三：确认通知</w:t>
      </w:r>
    </w:p>
    <w:p w14:paraId="10E672DD">
      <w:pPr>
        <w:spacing w:line="320" w:lineRule="exact"/>
        <w:jc w:val="center"/>
        <w:rPr>
          <w:rFonts w:hint="eastAsia" w:ascii="宋体" w:hAnsi="宋体"/>
          <w:b/>
          <w:bCs/>
          <w:sz w:val="28"/>
          <w:szCs w:val="28"/>
        </w:rPr>
      </w:pPr>
      <w:r>
        <w:rPr>
          <w:rFonts w:hint="eastAsia" w:ascii="宋体" w:hAnsi="宋体"/>
          <w:b/>
          <w:bCs/>
          <w:sz w:val="28"/>
          <w:szCs w:val="28"/>
        </w:rPr>
        <w:t xml:space="preserve"> </w:t>
      </w:r>
    </w:p>
    <w:p w14:paraId="7E941554">
      <w:pPr>
        <w:spacing w:line="320" w:lineRule="exact"/>
        <w:jc w:val="center"/>
        <w:rPr>
          <w:rFonts w:hint="eastAsia" w:ascii="宋体" w:hAnsi="宋体"/>
          <w:b/>
          <w:bCs/>
          <w:sz w:val="28"/>
          <w:szCs w:val="28"/>
        </w:rPr>
      </w:pPr>
      <w:r>
        <w:rPr>
          <w:rFonts w:hint="eastAsia" w:ascii="宋体" w:hAnsi="宋体"/>
          <w:b/>
          <w:bCs/>
          <w:sz w:val="28"/>
          <w:szCs w:val="28"/>
        </w:rPr>
        <w:t xml:space="preserve"> </w:t>
      </w:r>
    </w:p>
    <w:p w14:paraId="0EE23645">
      <w:pPr>
        <w:spacing w:line="360" w:lineRule="auto"/>
        <w:jc w:val="center"/>
        <w:rPr>
          <w:rFonts w:hint="eastAsia" w:ascii="宋体" w:hAnsi="宋体"/>
          <w:b/>
          <w:bCs/>
          <w:sz w:val="24"/>
          <w:szCs w:val="24"/>
        </w:rPr>
      </w:pPr>
      <w:r>
        <w:rPr>
          <w:rFonts w:hint="eastAsia" w:ascii="宋体" w:hAnsi="宋体"/>
          <w:b/>
          <w:bCs/>
          <w:sz w:val="24"/>
          <w:szCs w:val="24"/>
        </w:rPr>
        <w:t>确认通知</w:t>
      </w:r>
    </w:p>
    <w:p w14:paraId="03ED1179">
      <w:pPr>
        <w:spacing w:line="360" w:lineRule="auto"/>
        <w:rPr>
          <w:rFonts w:hint="eastAsia" w:ascii="宋体" w:hAnsi="宋体"/>
          <w:sz w:val="24"/>
          <w:szCs w:val="24"/>
        </w:rPr>
      </w:pPr>
      <w:r>
        <w:rPr>
          <w:rFonts w:hint="eastAsia" w:ascii="宋体" w:hAnsi="宋体"/>
          <w:sz w:val="24"/>
          <w:szCs w:val="24"/>
        </w:rPr>
        <w:t xml:space="preserve"> </w:t>
      </w:r>
    </w:p>
    <w:p w14:paraId="01539945">
      <w:pPr>
        <w:spacing w:line="360" w:lineRule="auto"/>
        <w:rPr>
          <w:rFonts w:hint="eastAsia" w:ascii="宋体" w:hAnsi="宋体"/>
          <w:sz w:val="24"/>
          <w:szCs w:val="24"/>
        </w:rPr>
      </w:pP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rPr>
        <w:t>（采购人名称）：</w:t>
      </w:r>
    </w:p>
    <w:p w14:paraId="6F5E648B">
      <w:pPr>
        <w:spacing w:line="360" w:lineRule="auto"/>
        <w:ind w:firstLine="480" w:firstLineChars="200"/>
        <w:rPr>
          <w:rFonts w:hint="eastAsia" w:ascii="宋体" w:hAnsi="宋体"/>
          <w:sz w:val="24"/>
          <w:szCs w:val="24"/>
        </w:rPr>
      </w:pPr>
      <w:r>
        <w:rPr>
          <w:rFonts w:hint="eastAsia" w:ascii="宋体" w:hAnsi="宋体"/>
          <w:sz w:val="24"/>
          <w:szCs w:val="24"/>
        </w:rPr>
        <w:t>你方于</w:t>
      </w:r>
      <w:r>
        <w:rPr>
          <w:rFonts w:hint="eastAsia" w:ascii="宋体" w:hAnsi="宋体" w:eastAsia="Times New Roman"/>
          <w:sz w:val="24"/>
          <w:szCs w:val="24"/>
          <w:u w:val="single"/>
        </w:rPr>
        <w:t xml:space="preserve">     </w:t>
      </w:r>
      <w:r>
        <w:rPr>
          <w:rFonts w:hint="eastAsia" w:ascii="宋体" w:hAnsi="宋体" w:eastAsia="Times New Roman"/>
          <w:sz w:val="24"/>
          <w:szCs w:val="24"/>
        </w:rPr>
        <w:t>年</w:t>
      </w:r>
      <w:r>
        <w:rPr>
          <w:rFonts w:hint="eastAsia" w:ascii="宋体" w:hAnsi="宋体" w:eastAsia="Times New Roman"/>
          <w:sz w:val="24"/>
          <w:szCs w:val="24"/>
          <w:u w:val="single"/>
        </w:rPr>
        <w:t xml:space="preserve">   </w:t>
      </w:r>
      <w:r>
        <w:rPr>
          <w:rFonts w:hint="eastAsia" w:ascii="宋体" w:hAnsi="宋体" w:eastAsia="Times New Roman"/>
          <w:sz w:val="24"/>
          <w:szCs w:val="24"/>
        </w:rPr>
        <w:t>月</w:t>
      </w:r>
      <w:r>
        <w:rPr>
          <w:rFonts w:hint="eastAsia" w:ascii="宋体" w:hAnsi="宋体" w:eastAsia="Times New Roman"/>
          <w:sz w:val="24"/>
          <w:szCs w:val="24"/>
          <w:u w:val="single"/>
        </w:rPr>
        <w:t xml:space="preserve">   </w:t>
      </w:r>
      <w:r>
        <w:rPr>
          <w:rFonts w:hint="eastAsia" w:ascii="宋体" w:hAnsi="宋体" w:eastAsia="Times New Roman"/>
          <w:sz w:val="24"/>
          <w:szCs w:val="24"/>
        </w:rPr>
        <w:t>日</w:t>
      </w:r>
      <w:r>
        <w:rPr>
          <w:rFonts w:hint="eastAsia" w:ascii="宋体" w:hAnsi="宋体"/>
          <w:sz w:val="24"/>
          <w:szCs w:val="24"/>
        </w:rPr>
        <w:t>发出的</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rPr>
        <w:t>（项目名称）关于</w:t>
      </w:r>
      <w:r>
        <w:rPr>
          <w:rFonts w:hint="eastAsia" w:ascii="宋体" w:hAnsi="宋体"/>
          <w:sz w:val="24"/>
          <w:szCs w:val="24"/>
          <w:u w:val="single"/>
        </w:rPr>
        <w:t>竞争性磋商文件的澄清/修改</w:t>
      </w:r>
      <w:r>
        <w:rPr>
          <w:rFonts w:hint="eastAsia" w:ascii="宋体" w:hAnsi="宋体"/>
          <w:sz w:val="24"/>
          <w:szCs w:val="24"/>
        </w:rPr>
        <w:t>的通知，我方已于</w:t>
      </w:r>
      <w:r>
        <w:rPr>
          <w:rFonts w:hint="eastAsia" w:ascii="宋体" w:hAnsi="宋体" w:eastAsia="Times New Roman"/>
          <w:sz w:val="24"/>
          <w:szCs w:val="24"/>
          <w:u w:val="single"/>
        </w:rPr>
        <w:t xml:space="preserve">     </w:t>
      </w:r>
      <w:r>
        <w:rPr>
          <w:rFonts w:hint="eastAsia" w:ascii="宋体" w:hAnsi="宋体" w:eastAsia="Times New Roman"/>
          <w:sz w:val="24"/>
          <w:szCs w:val="24"/>
        </w:rPr>
        <w:t>年</w:t>
      </w:r>
      <w:r>
        <w:rPr>
          <w:rFonts w:hint="eastAsia" w:ascii="宋体" w:hAnsi="宋体" w:eastAsia="Times New Roman"/>
          <w:sz w:val="24"/>
          <w:szCs w:val="24"/>
          <w:u w:val="single"/>
        </w:rPr>
        <w:t xml:space="preserve">   </w:t>
      </w:r>
      <w:r>
        <w:rPr>
          <w:rFonts w:hint="eastAsia" w:ascii="宋体" w:hAnsi="宋体" w:eastAsia="Times New Roman"/>
          <w:sz w:val="24"/>
          <w:szCs w:val="24"/>
        </w:rPr>
        <w:t>月</w:t>
      </w:r>
      <w:r>
        <w:rPr>
          <w:rFonts w:hint="eastAsia" w:ascii="宋体" w:hAnsi="宋体" w:eastAsia="Times New Roman"/>
          <w:sz w:val="24"/>
          <w:szCs w:val="24"/>
          <w:u w:val="single"/>
        </w:rPr>
        <w:t xml:space="preserve">   </w:t>
      </w:r>
      <w:r>
        <w:rPr>
          <w:rFonts w:hint="eastAsia" w:ascii="宋体" w:hAnsi="宋体" w:eastAsia="Times New Roman"/>
          <w:sz w:val="24"/>
          <w:szCs w:val="24"/>
        </w:rPr>
        <w:t>日</w:t>
      </w:r>
      <w:r>
        <w:rPr>
          <w:rFonts w:hint="eastAsia" w:ascii="宋体" w:hAnsi="宋体"/>
          <w:sz w:val="24"/>
          <w:szCs w:val="24"/>
        </w:rPr>
        <w:t>收到。</w:t>
      </w:r>
    </w:p>
    <w:p w14:paraId="573DCAB1">
      <w:pPr>
        <w:spacing w:line="360" w:lineRule="auto"/>
        <w:ind w:firstLine="480" w:firstLineChars="200"/>
        <w:rPr>
          <w:rFonts w:hint="eastAsia" w:ascii="宋体" w:hAnsi="宋体"/>
          <w:sz w:val="24"/>
          <w:szCs w:val="24"/>
        </w:rPr>
      </w:pPr>
      <w:r>
        <w:rPr>
          <w:rFonts w:hint="eastAsia" w:ascii="宋体" w:hAnsi="宋体"/>
          <w:sz w:val="24"/>
          <w:szCs w:val="24"/>
        </w:rPr>
        <w:t>特此确认。</w:t>
      </w:r>
    </w:p>
    <w:p w14:paraId="4A6C2BD8">
      <w:pPr>
        <w:spacing w:line="360" w:lineRule="auto"/>
        <w:rPr>
          <w:rFonts w:hint="eastAsia" w:ascii="宋体" w:hAnsi="宋体"/>
          <w:sz w:val="24"/>
          <w:szCs w:val="24"/>
        </w:rPr>
      </w:pPr>
      <w:r>
        <w:rPr>
          <w:rFonts w:hint="eastAsia" w:ascii="宋体" w:hAnsi="宋体"/>
          <w:sz w:val="24"/>
          <w:szCs w:val="24"/>
        </w:rPr>
        <w:t xml:space="preserve"> </w:t>
      </w:r>
    </w:p>
    <w:p w14:paraId="12F82037">
      <w:pPr>
        <w:pStyle w:val="8"/>
        <w:rPr>
          <w:rFonts w:hint="eastAsia"/>
        </w:rPr>
      </w:pPr>
    </w:p>
    <w:p w14:paraId="6AC845AE">
      <w:pPr>
        <w:pStyle w:val="8"/>
        <w:rPr>
          <w:rFonts w:hint="eastAsia"/>
        </w:rPr>
      </w:pPr>
    </w:p>
    <w:p w14:paraId="3F27E584">
      <w:pPr>
        <w:ind w:firstLine="1200" w:firstLineChars="500"/>
        <w:rPr>
          <w:rFonts w:hint="eastAsia" w:ascii="宋体" w:hAnsi="宋体"/>
          <w:bCs/>
          <w:sz w:val="24"/>
          <w:szCs w:val="24"/>
        </w:rPr>
      </w:pPr>
      <w:r>
        <w:rPr>
          <w:rFonts w:hint="eastAsia" w:ascii="宋体" w:hAnsi="宋体"/>
          <w:bCs/>
          <w:sz w:val="24"/>
          <w:szCs w:val="24"/>
        </w:rPr>
        <w:t>供应商：</w:t>
      </w:r>
      <w:r>
        <w:rPr>
          <w:rFonts w:hint="eastAsia" w:ascii="宋体" w:hAnsi="宋体"/>
          <w:bCs/>
          <w:sz w:val="24"/>
          <w:szCs w:val="24"/>
          <w:u w:val="single"/>
        </w:rPr>
        <w:tab/>
      </w:r>
      <w:r>
        <w:rPr>
          <w:rFonts w:hint="eastAsia" w:ascii="宋体" w:hAnsi="宋体"/>
          <w:bCs/>
          <w:sz w:val="24"/>
          <w:szCs w:val="24"/>
          <w:u w:val="single"/>
        </w:rPr>
        <w:t xml:space="preserve">                                    </w:t>
      </w:r>
      <w:r>
        <w:rPr>
          <w:rFonts w:hint="eastAsia" w:ascii="宋体" w:hAnsi="宋体"/>
          <w:bCs/>
          <w:sz w:val="24"/>
          <w:szCs w:val="24"/>
        </w:rPr>
        <w:t>（加盖单位公章）</w:t>
      </w:r>
    </w:p>
    <w:p w14:paraId="26E9500C">
      <w:pPr>
        <w:rPr>
          <w:rFonts w:hint="eastAsia" w:ascii="宋体" w:hAnsi="宋体"/>
          <w:bCs/>
          <w:sz w:val="24"/>
          <w:szCs w:val="24"/>
        </w:rPr>
      </w:pPr>
      <w:r>
        <w:rPr>
          <w:rFonts w:hint="eastAsia" w:ascii="宋体" w:hAnsi="宋体"/>
          <w:bCs/>
          <w:sz w:val="24"/>
          <w:szCs w:val="24"/>
        </w:rPr>
        <w:t xml:space="preserve"> </w:t>
      </w:r>
    </w:p>
    <w:p w14:paraId="1EFCE19D">
      <w:pPr>
        <w:ind w:firstLine="1200" w:firstLineChars="500"/>
        <w:rPr>
          <w:rFonts w:hint="eastAsia" w:ascii="宋体" w:hAnsi="宋体"/>
          <w:bCs/>
          <w:sz w:val="24"/>
          <w:szCs w:val="24"/>
        </w:rPr>
      </w:pPr>
      <w:r>
        <w:rPr>
          <w:rFonts w:hint="eastAsia" w:ascii="宋体" w:hAnsi="宋体"/>
          <w:bCs/>
          <w:sz w:val="24"/>
          <w:szCs w:val="24"/>
        </w:rPr>
        <w:t>法定代表人或其委托代理人：</w:t>
      </w:r>
      <w:r>
        <w:rPr>
          <w:rFonts w:hint="eastAsia" w:ascii="宋体" w:hAnsi="宋体"/>
          <w:bCs/>
          <w:sz w:val="24"/>
          <w:szCs w:val="24"/>
        </w:rPr>
        <w:tab/>
      </w:r>
      <w:r>
        <w:rPr>
          <w:rFonts w:hint="eastAsia" w:ascii="宋体" w:hAnsi="宋体"/>
          <w:bCs/>
          <w:sz w:val="24"/>
          <w:szCs w:val="24"/>
          <w:u w:val="single"/>
        </w:rPr>
        <w:t xml:space="preserve">             </w:t>
      </w:r>
      <w:r>
        <w:rPr>
          <w:rFonts w:hint="eastAsia" w:ascii="宋体" w:hAnsi="宋体"/>
          <w:bCs/>
          <w:sz w:val="24"/>
          <w:szCs w:val="24"/>
        </w:rPr>
        <w:t>（</w:t>
      </w:r>
      <w:r>
        <w:rPr>
          <w:rFonts w:hint="eastAsia" w:ascii="宋体" w:hAnsi="宋体"/>
          <w:sz w:val="24"/>
          <w:szCs w:val="24"/>
        </w:rPr>
        <w:t>签字或盖章</w:t>
      </w:r>
      <w:r>
        <w:rPr>
          <w:rFonts w:hint="eastAsia" w:ascii="宋体" w:hAnsi="宋体"/>
          <w:bCs/>
          <w:sz w:val="24"/>
          <w:szCs w:val="24"/>
        </w:rPr>
        <w:t>）</w:t>
      </w:r>
    </w:p>
    <w:p w14:paraId="5ACE3DA9">
      <w:pPr>
        <w:rPr>
          <w:rFonts w:hint="eastAsia" w:ascii="宋体" w:hAnsi="宋体"/>
          <w:bCs/>
          <w:sz w:val="24"/>
          <w:szCs w:val="24"/>
        </w:rPr>
      </w:pPr>
      <w:r>
        <w:rPr>
          <w:rFonts w:hint="eastAsia" w:ascii="宋体" w:hAnsi="宋体"/>
          <w:bCs/>
          <w:sz w:val="24"/>
          <w:szCs w:val="24"/>
        </w:rPr>
        <w:t xml:space="preserve"> </w:t>
      </w:r>
    </w:p>
    <w:p w14:paraId="51542A24">
      <w:pPr>
        <w:spacing w:line="360" w:lineRule="auto"/>
        <w:ind w:firstLine="1200" w:firstLineChars="500"/>
        <w:rPr>
          <w:rFonts w:ascii="宋体" w:hAnsi="宋体"/>
          <w:sz w:val="24"/>
          <w:szCs w:val="24"/>
        </w:rPr>
      </w:pPr>
      <w:r>
        <w:rPr>
          <w:rFonts w:hint="eastAsia" w:ascii="宋体" w:hAnsi="宋体"/>
          <w:bCs/>
          <w:sz w:val="24"/>
          <w:szCs w:val="24"/>
        </w:rPr>
        <w:t>日期：</w:t>
      </w: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hint="eastAsia" w:ascii="宋体" w:hAnsi="宋体"/>
          <w:bCs/>
          <w:sz w:val="24"/>
          <w:szCs w:val="24"/>
        </w:rPr>
        <w:t>日</w:t>
      </w:r>
    </w:p>
    <w:p w14:paraId="5DDD8971">
      <w:pPr>
        <w:spacing w:line="360" w:lineRule="auto"/>
        <w:rPr>
          <w:rFonts w:ascii="宋体" w:hAnsi="宋体"/>
          <w:sz w:val="24"/>
          <w:szCs w:val="24"/>
        </w:rPr>
      </w:pPr>
    </w:p>
    <w:p w14:paraId="1AC73F5D">
      <w:pPr>
        <w:spacing w:line="480" w:lineRule="auto"/>
        <w:rPr>
          <w:rFonts w:ascii="宋体" w:hAnsi="宋体"/>
          <w:sz w:val="24"/>
          <w:szCs w:val="24"/>
        </w:rPr>
      </w:pPr>
    </w:p>
    <w:p w14:paraId="50F62D83">
      <w:pPr>
        <w:pStyle w:val="2"/>
        <w:spacing w:before="0" w:after="0" w:line="360" w:lineRule="auto"/>
        <w:jc w:val="center"/>
        <w:rPr>
          <w:rFonts w:ascii="宋体" w:hAnsi="宋体"/>
        </w:rPr>
      </w:pPr>
      <w:bookmarkStart w:id="268" w:name="_Toc5266"/>
      <w:bookmarkStart w:id="269" w:name="_Toc3896293"/>
      <w:r>
        <w:rPr>
          <w:rFonts w:hint="eastAsia" w:ascii="宋体" w:hAnsi="宋体"/>
        </w:rPr>
        <w:br w:type="page"/>
      </w:r>
      <w:bookmarkStart w:id="270" w:name="_Toc7234"/>
      <w:bookmarkStart w:id="271" w:name="_Toc18434"/>
      <w:r>
        <w:rPr>
          <w:rFonts w:hint="eastAsia" w:ascii="宋体" w:hAnsi="宋体"/>
        </w:rPr>
        <w:t>第三章 评审方法（综合评分法）</w:t>
      </w:r>
      <w:bookmarkEnd w:id="268"/>
      <w:bookmarkEnd w:id="269"/>
      <w:bookmarkEnd w:id="270"/>
      <w:bookmarkEnd w:id="271"/>
    </w:p>
    <w:p w14:paraId="2553DBAE">
      <w:pPr>
        <w:spacing w:line="500" w:lineRule="exact"/>
        <w:ind w:firstLine="482" w:firstLineChars="200"/>
        <w:jc w:val="both"/>
        <w:rPr>
          <w:rFonts w:hint="eastAsia" w:ascii="宋体" w:hAnsi="宋体"/>
          <w:b/>
          <w:bCs/>
          <w:sz w:val="24"/>
          <w:szCs w:val="24"/>
        </w:rPr>
      </w:pPr>
      <w:r>
        <w:rPr>
          <w:rFonts w:hint="eastAsia" w:ascii="宋体" w:hAnsi="宋体"/>
          <w:b/>
          <w:bCs/>
          <w:sz w:val="24"/>
          <w:szCs w:val="24"/>
        </w:rPr>
        <w:t>一、磋商小组</w:t>
      </w:r>
    </w:p>
    <w:p w14:paraId="7ED1DEEF">
      <w:pPr>
        <w:pStyle w:val="9"/>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磋商小组的组成见第二章供应商须知前附表6.1.1的规定。</w:t>
      </w:r>
    </w:p>
    <w:p w14:paraId="57F73AAD">
      <w:pPr>
        <w:spacing w:line="500" w:lineRule="exact"/>
        <w:ind w:firstLine="482" w:firstLineChars="200"/>
        <w:rPr>
          <w:rFonts w:hint="eastAsia" w:ascii="宋体" w:hAnsi="宋体"/>
          <w:b/>
          <w:bCs/>
          <w:sz w:val="24"/>
          <w:szCs w:val="24"/>
        </w:rPr>
      </w:pPr>
      <w:r>
        <w:rPr>
          <w:rFonts w:hint="eastAsia" w:ascii="宋体" w:hAnsi="宋体"/>
          <w:b/>
          <w:bCs/>
          <w:sz w:val="24"/>
          <w:szCs w:val="24"/>
        </w:rPr>
        <w:t>二、采购人或者采购代理机构职责</w:t>
      </w:r>
    </w:p>
    <w:p w14:paraId="2DF9771C">
      <w:pPr>
        <w:pStyle w:val="9"/>
        <w:spacing w:line="500" w:lineRule="exact"/>
        <w:ind w:firstLine="480" w:firstLineChars="200"/>
        <w:rPr>
          <w:rFonts w:hint="eastAsia" w:ascii="宋体" w:hAnsi="宋体"/>
          <w:sz w:val="24"/>
          <w:szCs w:val="24"/>
        </w:rPr>
      </w:pPr>
      <w:r>
        <w:rPr>
          <w:rFonts w:hint="eastAsia" w:ascii="宋体" w:hAnsi="宋体"/>
          <w:sz w:val="24"/>
          <w:szCs w:val="24"/>
        </w:rPr>
        <w:t>采购人或者采购代理机构负责组织评审工作，并履行下列职责：</w:t>
      </w:r>
    </w:p>
    <w:p w14:paraId="4D63F0E8">
      <w:pPr>
        <w:pStyle w:val="9"/>
        <w:spacing w:line="500" w:lineRule="exact"/>
        <w:ind w:firstLine="480" w:firstLineChars="200"/>
        <w:rPr>
          <w:rFonts w:hint="eastAsia" w:ascii="宋体" w:hAnsi="宋体"/>
          <w:sz w:val="24"/>
          <w:szCs w:val="24"/>
        </w:rPr>
      </w:pPr>
      <w:r>
        <w:rPr>
          <w:rFonts w:hint="eastAsia" w:ascii="宋体" w:hAnsi="宋体"/>
          <w:sz w:val="24"/>
          <w:szCs w:val="24"/>
        </w:rPr>
        <w:t>（一）核对评审专家身份和采购人代表授权函，对评审专家在政府采购活动中的职责履行情况予以记录，并及时将有关违法违规行为向财政部门报告。</w:t>
      </w:r>
    </w:p>
    <w:p w14:paraId="357CE868">
      <w:pPr>
        <w:pStyle w:val="9"/>
        <w:spacing w:line="500" w:lineRule="exact"/>
        <w:ind w:firstLine="480" w:firstLineChars="200"/>
        <w:rPr>
          <w:rFonts w:hint="eastAsia" w:ascii="宋体" w:hAnsi="宋体"/>
          <w:sz w:val="24"/>
          <w:szCs w:val="24"/>
        </w:rPr>
      </w:pPr>
      <w:r>
        <w:rPr>
          <w:rFonts w:hint="eastAsia" w:ascii="宋体" w:hAnsi="宋体"/>
          <w:sz w:val="24"/>
          <w:szCs w:val="24"/>
        </w:rPr>
        <w:t>（二）宣布评审纪律。</w:t>
      </w:r>
    </w:p>
    <w:p w14:paraId="61FFD4A6">
      <w:pPr>
        <w:pStyle w:val="9"/>
        <w:spacing w:line="500" w:lineRule="exact"/>
        <w:ind w:firstLine="480" w:firstLineChars="200"/>
        <w:rPr>
          <w:rFonts w:hint="eastAsia" w:ascii="宋体" w:hAnsi="宋体"/>
          <w:sz w:val="24"/>
          <w:szCs w:val="24"/>
        </w:rPr>
      </w:pPr>
      <w:r>
        <w:rPr>
          <w:rFonts w:hint="eastAsia" w:ascii="宋体" w:hAnsi="宋体"/>
          <w:sz w:val="24"/>
          <w:szCs w:val="24"/>
        </w:rPr>
        <w:t>（三）公布供应商名单，告知评审专家应当回避的情形。</w:t>
      </w:r>
    </w:p>
    <w:p w14:paraId="79B127B0">
      <w:pPr>
        <w:pStyle w:val="9"/>
        <w:spacing w:line="500" w:lineRule="exact"/>
        <w:ind w:firstLine="480" w:firstLineChars="200"/>
        <w:rPr>
          <w:rFonts w:hint="eastAsia" w:ascii="宋体" w:hAnsi="宋体"/>
          <w:sz w:val="24"/>
          <w:szCs w:val="24"/>
        </w:rPr>
      </w:pPr>
      <w:r>
        <w:rPr>
          <w:rFonts w:hint="eastAsia" w:ascii="宋体" w:hAnsi="宋体"/>
          <w:sz w:val="24"/>
          <w:szCs w:val="24"/>
        </w:rPr>
        <w:t>（四）组织磋商小组推选评审组长，采购人代表不得担任组长。</w:t>
      </w:r>
    </w:p>
    <w:p w14:paraId="4C7930AF">
      <w:pPr>
        <w:pStyle w:val="9"/>
        <w:spacing w:line="500" w:lineRule="exact"/>
        <w:ind w:firstLine="480" w:firstLineChars="200"/>
        <w:rPr>
          <w:rFonts w:hint="eastAsia" w:ascii="宋体" w:hAnsi="宋体"/>
          <w:sz w:val="24"/>
          <w:szCs w:val="24"/>
        </w:rPr>
      </w:pPr>
      <w:r>
        <w:rPr>
          <w:rFonts w:hint="eastAsia" w:ascii="宋体" w:hAnsi="宋体"/>
          <w:sz w:val="24"/>
          <w:szCs w:val="24"/>
        </w:rPr>
        <w:t>（五）在评审期间采取必要的通讯管理措施，保证评审活动不受外界干扰。</w:t>
      </w:r>
    </w:p>
    <w:p w14:paraId="26C75F8B">
      <w:pPr>
        <w:pStyle w:val="9"/>
        <w:spacing w:line="500" w:lineRule="exact"/>
        <w:ind w:firstLine="480" w:firstLineChars="200"/>
        <w:rPr>
          <w:rFonts w:hint="eastAsia" w:ascii="宋体" w:hAnsi="宋体"/>
          <w:sz w:val="24"/>
          <w:szCs w:val="24"/>
        </w:rPr>
      </w:pPr>
      <w:r>
        <w:rPr>
          <w:rFonts w:hint="eastAsia" w:ascii="宋体" w:hAnsi="宋体"/>
          <w:sz w:val="24"/>
          <w:szCs w:val="24"/>
        </w:rPr>
        <w:t>（六）根据磋商小组的要求介绍政府采购相关政策法规、竞争性磋商文件。</w:t>
      </w:r>
    </w:p>
    <w:p w14:paraId="0C67AC02">
      <w:pPr>
        <w:pStyle w:val="9"/>
        <w:spacing w:line="500" w:lineRule="exact"/>
        <w:ind w:firstLine="480" w:firstLineChars="200"/>
        <w:rPr>
          <w:rFonts w:hint="eastAsia" w:ascii="宋体" w:hAnsi="宋体"/>
          <w:sz w:val="24"/>
          <w:szCs w:val="24"/>
        </w:rPr>
      </w:pPr>
      <w:r>
        <w:rPr>
          <w:rFonts w:hint="eastAsia" w:ascii="宋体" w:hAnsi="宋体"/>
          <w:sz w:val="24"/>
          <w:szCs w:val="24"/>
        </w:rPr>
        <w:t>（七）维护评审秩序，监督磋商小组依照竞争性磋商文件规定的评审程序、方法和标准进行独立评审，及时制止和纠正采购人代表、评审专家的倾向性言论或者违法违规行为。</w:t>
      </w:r>
    </w:p>
    <w:p w14:paraId="0020CDD5">
      <w:pPr>
        <w:pStyle w:val="9"/>
        <w:spacing w:line="500" w:lineRule="exact"/>
        <w:ind w:firstLine="480" w:firstLineChars="200"/>
        <w:rPr>
          <w:rFonts w:hint="eastAsia" w:ascii="宋体" w:hAnsi="宋体"/>
          <w:sz w:val="24"/>
          <w:szCs w:val="24"/>
        </w:rPr>
      </w:pPr>
      <w:r>
        <w:rPr>
          <w:rFonts w:hint="eastAsia" w:ascii="宋体" w:hAnsi="宋体"/>
          <w:sz w:val="24"/>
          <w:szCs w:val="24"/>
        </w:rPr>
        <w:t>（八）核对评审结果，有《政府采购竞争性磋商采购方式管理暂行办法》（</w:t>
      </w:r>
      <w:r>
        <w:rPr>
          <w:rFonts w:hint="eastAsia" w:ascii="宋体" w:hAnsi="宋体"/>
          <w:bCs/>
          <w:sz w:val="24"/>
          <w:szCs w:val="24"/>
        </w:rPr>
        <w:t>财库[2014]214号</w:t>
      </w:r>
      <w:r>
        <w:rPr>
          <w:rFonts w:hint="eastAsia" w:ascii="宋体" w:hAnsi="宋体"/>
          <w:sz w:val="24"/>
          <w:szCs w:val="24"/>
        </w:rPr>
        <w:t>）第三十二条规定情形的，要求磋商小组复核或者书面说明理由，磋商小组拒绝的，应予记录并向本级财政部门报告。</w:t>
      </w:r>
    </w:p>
    <w:p w14:paraId="357B30F7">
      <w:pPr>
        <w:pStyle w:val="9"/>
        <w:spacing w:line="500" w:lineRule="exact"/>
        <w:ind w:firstLine="480" w:firstLineChars="200"/>
        <w:rPr>
          <w:rFonts w:hint="eastAsia" w:ascii="宋体" w:hAnsi="宋体"/>
          <w:sz w:val="24"/>
          <w:szCs w:val="24"/>
        </w:rPr>
      </w:pPr>
      <w:r>
        <w:rPr>
          <w:rFonts w:hint="eastAsia" w:ascii="宋体" w:hAnsi="宋体"/>
          <w:sz w:val="24"/>
          <w:szCs w:val="24"/>
        </w:rPr>
        <w:t>（九）评审工作完成后，按照规定向评审专家支付劳务报酬和异地评审差旅费，不得向评审专家以外的其他人员支付评审劳务报酬。</w:t>
      </w:r>
    </w:p>
    <w:p w14:paraId="466FA3C9">
      <w:pPr>
        <w:pStyle w:val="9"/>
        <w:spacing w:line="500" w:lineRule="exact"/>
        <w:ind w:firstLine="480" w:firstLineChars="200"/>
        <w:rPr>
          <w:rFonts w:hint="eastAsia" w:ascii="宋体" w:hAnsi="宋体"/>
          <w:sz w:val="24"/>
          <w:szCs w:val="24"/>
        </w:rPr>
      </w:pPr>
      <w:r>
        <w:rPr>
          <w:rFonts w:hint="eastAsia" w:ascii="宋体" w:hAnsi="宋体"/>
          <w:sz w:val="24"/>
          <w:szCs w:val="24"/>
        </w:rPr>
        <w:t>采购人可以在评审前说明项目背景和采购需求，说明内容不得含有歧视性、倾向性意见，不得超出竞争性磋商文件所述范围。说明应当提交书面材料，并随采购文件一并存档。</w:t>
      </w:r>
    </w:p>
    <w:p w14:paraId="09BF8522">
      <w:pPr>
        <w:spacing w:line="500" w:lineRule="exact"/>
        <w:ind w:firstLine="482" w:firstLineChars="200"/>
        <w:rPr>
          <w:rFonts w:hint="eastAsia" w:ascii="宋体" w:hAnsi="宋体"/>
          <w:b/>
          <w:bCs/>
          <w:sz w:val="24"/>
          <w:szCs w:val="24"/>
          <w:highlight w:val="yellow"/>
        </w:rPr>
      </w:pPr>
      <w:r>
        <w:rPr>
          <w:rFonts w:hint="eastAsia" w:ascii="宋体" w:hAnsi="宋体"/>
          <w:b/>
          <w:bCs/>
          <w:sz w:val="24"/>
          <w:szCs w:val="24"/>
        </w:rPr>
        <w:t>三、磋商小组职责</w:t>
      </w:r>
    </w:p>
    <w:p w14:paraId="6D1ED28A">
      <w:pPr>
        <w:pStyle w:val="9"/>
        <w:spacing w:line="500" w:lineRule="exact"/>
        <w:ind w:firstLine="480" w:firstLineChars="200"/>
        <w:rPr>
          <w:rFonts w:hint="eastAsia" w:ascii="宋体" w:hAnsi="宋体"/>
          <w:sz w:val="24"/>
          <w:szCs w:val="24"/>
        </w:rPr>
      </w:pPr>
      <w:r>
        <w:rPr>
          <w:rFonts w:hint="eastAsia" w:ascii="宋体" w:hAnsi="宋体"/>
          <w:sz w:val="24"/>
          <w:szCs w:val="24"/>
        </w:rPr>
        <w:t>磋商小组负责具体评审事务，并独立履行下列职责：</w:t>
      </w:r>
    </w:p>
    <w:p w14:paraId="7F19469B">
      <w:pPr>
        <w:pStyle w:val="9"/>
        <w:spacing w:line="500" w:lineRule="exact"/>
        <w:ind w:firstLine="480" w:firstLineChars="200"/>
        <w:rPr>
          <w:rFonts w:hint="eastAsia" w:ascii="宋体" w:hAnsi="宋体"/>
          <w:sz w:val="24"/>
          <w:szCs w:val="24"/>
        </w:rPr>
      </w:pPr>
      <w:r>
        <w:rPr>
          <w:rFonts w:hint="eastAsia" w:ascii="宋体" w:hAnsi="宋体"/>
          <w:sz w:val="24"/>
          <w:szCs w:val="24"/>
        </w:rPr>
        <w:t>（一）审查、评价响应文件是否符合竞争性磋商文件的商务、技术等实质性要求。</w:t>
      </w:r>
    </w:p>
    <w:p w14:paraId="6AAF2307">
      <w:pPr>
        <w:pStyle w:val="9"/>
        <w:spacing w:line="500" w:lineRule="exact"/>
        <w:ind w:firstLine="480" w:firstLineChars="200"/>
        <w:rPr>
          <w:rFonts w:hint="eastAsia" w:ascii="宋体" w:hAnsi="宋体"/>
          <w:sz w:val="24"/>
          <w:szCs w:val="24"/>
        </w:rPr>
      </w:pPr>
      <w:r>
        <w:rPr>
          <w:rFonts w:hint="eastAsia" w:ascii="宋体" w:hAnsi="宋体"/>
          <w:sz w:val="24"/>
          <w:szCs w:val="24"/>
        </w:rPr>
        <w:t>（二）要求供应商对响应文件有关事项作出澄清或者说明。</w:t>
      </w:r>
    </w:p>
    <w:p w14:paraId="4904002E">
      <w:pPr>
        <w:pStyle w:val="9"/>
        <w:spacing w:line="500" w:lineRule="exact"/>
        <w:ind w:firstLine="480" w:firstLineChars="200"/>
        <w:rPr>
          <w:rFonts w:ascii="宋体" w:hAnsi="宋体"/>
          <w:sz w:val="24"/>
          <w:szCs w:val="24"/>
        </w:rPr>
      </w:pPr>
      <w:r>
        <w:rPr>
          <w:rFonts w:hint="eastAsia" w:ascii="宋体" w:hAnsi="宋体"/>
          <w:sz w:val="24"/>
          <w:szCs w:val="24"/>
        </w:rPr>
        <w:t>（三）对响应文件进行比较和评价。</w:t>
      </w:r>
    </w:p>
    <w:p w14:paraId="1F160B15">
      <w:pPr>
        <w:pStyle w:val="9"/>
        <w:spacing w:line="500" w:lineRule="exact"/>
        <w:ind w:firstLine="480" w:firstLineChars="200"/>
        <w:rPr>
          <w:rFonts w:hint="eastAsia" w:ascii="宋体" w:hAnsi="宋体"/>
          <w:sz w:val="24"/>
          <w:szCs w:val="24"/>
        </w:rPr>
      </w:pPr>
      <w:r>
        <w:rPr>
          <w:rFonts w:hint="eastAsia" w:ascii="宋体" w:hAnsi="宋体"/>
          <w:sz w:val="24"/>
          <w:szCs w:val="24"/>
        </w:rPr>
        <w:t>（四）确定成交候选供应商名单，以及根据采购人委托直接确定成交供应商。</w:t>
      </w:r>
    </w:p>
    <w:p w14:paraId="4E31E882">
      <w:pPr>
        <w:pStyle w:val="9"/>
        <w:spacing w:line="500" w:lineRule="exact"/>
        <w:ind w:firstLine="480" w:firstLineChars="200"/>
        <w:rPr>
          <w:rFonts w:hint="eastAsia" w:ascii="宋体" w:hAnsi="宋体"/>
          <w:sz w:val="24"/>
          <w:szCs w:val="24"/>
        </w:rPr>
      </w:pPr>
      <w:r>
        <w:rPr>
          <w:rFonts w:hint="eastAsia" w:ascii="宋体" w:hAnsi="宋体"/>
          <w:sz w:val="24"/>
          <w:szCs w:val="24"/>
        </w:rPr>
        <w:t>（五）向采购人、采购代理机构或者有关部门报告评审中发现的违法行为。</w:t>
      </w:r>
    </w:p>
    <w:p w14:paraId="0EF1AAC9">
      <w:pPr>
        <w:pStyle w:val="9"/>
        <w:spacing w:line="500" w:lineRule="exact"/>
        <w:ind w:firstLine="482" w:firstLineChars="200"/>
        <w:rPr>
          <w:rFonts w:hint="eastAsia" w:ascii="宋体" w:hAnsi="宋体"/>
          <w:b/>
          <w:bCs/>
          <w:sz w:val="24"/>
          <w:szCs w:val="24"/>
        </w:rPr>
      </w:pPr>
      <w:r>
        <w:rPr>
          <w:rFonts w:hint="eastAsia" w:ascii="宋体" w:hAnsi="宋体"/>
          <w:b/>
          <w:bCs/>
          <w:sz w:val="24"/>
          <w:szCs w:val="24"/>
        </w:rPr>
        <w:t>四、评审纪律</w:t>
      </w:r>
    </w:p>
    <w:p w14:paraId="501F09B9">
      <w:pPr>
        <w:pStyle w:val="9"/>
        <w:spacing w:line="500" w:lineRule="exact"/>
        <w:ind w:firstLine="480" w:firstLineChars="200"/>
        <w:rPr>
          <w:rFonts w:hint="eastAsia" w:ascii="宋体" w:hAnsi="宋体"/>
          <w:sz w:val="24"/>
          <w:szCs w:val="24"/>
        </w:rPr>
      </w:pPr>
      <w:r>
        <w:rPr>
          <w:rFonts w:hint="eastAsia" w:ascii="宋体" w:hAnsi="宋体"/>
          <w:sz w:val="24"/>
          <w:szCs w:val="24"/>
        </w:rPr>
        <w:t>（一）对评审内容和评审过程要严格保密，不得向供应商或与该过程无关的其它人员泄露。</w:t>
      </w:r>
    </w:p>
    <w:p w14:paraId="4B49D0AF">
      <w:pPr>
        <w:pStyle w:val="9"/>
        <w:spacing w:line="500" w:lineRule="exact"/>
        <w:ind w:firstLine="480" w:firstLineChars="200"/>
        <w:rPr>
          <w:rFonts w:hint="eastAsia" w:ascii="宋体" w:hAnsi="宋体"/>
          <w:sz w:val="24"/>
          <w:szCs w:val="24"/>
        </w:rPr>
      </w:pPr>
      <w:r>
        <w:rPr>
          <w:rFonts w:hint="eastAsia" w:ascii="宋体" w:hAnsi="宋体"/>
          <w:sz w:val="24"/>
          <w:szCs w:val="24"/>
        </w:rPr>
        <w:t>（二）评审期间的一切资料，包括评审意见、评审记录和评审结论，一律不得向外传和泄露。</w:t>
      </w:r>
    </w:p>
    <w:p w14:paraId="26D5A266">
      <w:pPr>
        <w:pStyle w:val="9"/>
        <w:spacing w:line="500" w:lineRule="exact"/>
        <w:ind w:firstLine="480" w:firstLineChars="200"/>
        <w:rPr>
          <w:rFonts w:hint="eastAsia" w:ascii="宋体" w:hAnsi="宋体"/>
          <w:sz w:val="24"/>
          <w:szCs w:val="24"/>
        </w:rPr>
      </w:pPr>
      <w:r>
        <w:rPr>
          <w:rFonts w:hint="eastAsia" w:ascii="宋体" w:hAnsi="宋体"/>
          <w:sz w:val="24"/>
          <w:szCs w:val="24"/>
        </w:rPr>
        <w:t>（三）任何属于响应文件审查、澄清、评价和比较的资料，不得向供应商或与该过程无关的其它人员泄露。</w:t>
      </w:r>
    </w:p>
    <w:p w14:paraId="2E40DB3D">
      <w:pPr>
        <w:pStyle w:val="9"/>
        <w:spacing w:line="500" w:lineRule="exact"/>
        <w:ind w:firstLine="480" w:firstLineChars="200"/>
        <w:rPr>
          <w:rFonts w:hint="eastAsia" w:ascii="宋体" w:hAnsi="宋体"/>
          <w:sz w:val="24"/>
          <w:szCs w:val="24"/>
        </w:rPr>
      </w:pPr>
      <w:r>
        <w:rPr>
          <w:rFonts w:hint="eastAsia" w:ascii="宋体" w:hAnsi="宋体"/>
          <w:sz w:val="24"/>
          <w:szCs w:val="24"/>
        </w:rPr>
        <w:t>（四）所有资料（包括竞争性磋商文件、响应文件、评审表格及各种文字记录）在评审结束后均应分别整理、存档备查，任何人不得复制和保留。</w:t>
      </w:r>
    </w:p>
    <w:p w14:paraId="51654B1F">
      <w:pPr>
        <w:pStyle w:val="9"/>
        <w:spacing w:line="500" w:lineRule="exact"/>
        <w:ind w:firstLine="480" w:firstLineChars="200"/>
        <w:rPr>
          <w:rFonts w:hint="eastAsia" w:ascii="宋体" w:hAnsi="宋体"/>
          <w:sz w:val="24"/>
          <w:szCs w:val="24"/>
        </w:rPr>
      </w:pPr>
      <w:r>
        <w:rPr>
          <w:rFonts w:hint="eastAsia" w:ascii="宋体" w:hAnsi="宋体"/>
          <w:sz w:val="24"/>
          <w:szCs w:val="24"/>
        </w:rPr>
        <w:t>（五）评审期间，未经允许磋商小组以外的任何单位或部门不得参加评审和采访评审工作。</w:t>
      </w:r>
    </w:p>
    <w:p w14:paraId="5CCDB027">
      <w:pPr>
        <w:pStyle w:val="9"/>
        <w:spacing w:line="500" w:lineRule="exact"/>
        <w:ind w:firstLine="480" w:firstLineChars="200"/>
        <w:rPr>
          <w:rFonts w:hint="eastAsia" w:ascii="宋体" w:hAnsi="宋体"/>
          <w:sz w:val="24"/>
          <w:szCs w:val="24"/>
        </w:rPr>
      </w:pPr>
      <w:r>
        <w:rPr>
          <w:rFonts w:hint="eastAsia" w:ascii="宋体" w:hAnsi="宋体"/>
          <w:sz w:val="24"/>
          <w:szCs w:val="24"/>
        </w:rPr>
        <w:t>（六）评审期间，评审人员不得外出，确需外出时应事先请假。</w:t>
      </w:r>
    </w:p>
    <w:p w14:paraId="488C57BE">
      <w:pPr>
        <w:pStyle w:val="9"/>
        <w:spacing w:line="500" w:lineRule="exact"/>
        <w:ind w:firstLine="480" w:firstLineChars="200"/>
        <w:rPr>
          <w:rFonts w:hint="eastAsia" w:ascii="宋体" w:hAnsi="宋体"/>
          <w:sz w:val="24"/>
          <w:szCs w:val="24"/>
        </w:rPr>
      </w:pPr>
      <w:r>
        <w:rPr>
          <w:rFonts w:hint="eastAsia" w:ascii="宋体" w:hAnsi="宋体"/>
          <w:sz w:val="24"/>
          <w:szCs w:val="24"/>
        </w:rPr>
        <w:t>（七）评审期间，所有与会人员均不得私自以任何方式和供应商进行联系，需询问、澄清的问题由</w:t>
      </w:r>
      <w:r>
        <w:rPr>
          <w:rFonts w:hint="eastAsia" w:ascii="宋体" w:hAnsi="宋体"/>
          <w:sz w:val="24"/>
          <w:szCs w:val="24"/>
          <w:lang w:eastAsia="zh-CN"/>
        </w:rPr>
        <w:t>磋商小组</w:t>
      </w:r>
      <w:r>
        <w:rPr>
          <w:rFonts w:hint="eastAsia" w:ascii="宋体" w:hAnsi="宋体"/>
          <w:sz w:val="24"/>
          <w:szCs w:val="24"/>
        </w:rPr>
        <w:t>会统一组织办理。</w:t>
      </w:r>
    </w:p>
    <w:p w14:paraId="60A7582C">
      <w:pPr>
        <w:pStyle w:val="9"/>
        <w:spacing w:line="500" w:lineRule="exact"/>
        <w:ind w:firstLine="480" w:firstLineChars="200"/>
        <w:rPr>
          <w:rFonts w:hint="eastAsia" w:ascii="宋体" w:hAnsi="宋体"/>
          <w:sz w:val="24"/>
          <w:szCs w:val="24"/>
        </w:rPr>
      </w:pPr>
      <w:r>
        <w:rPr>
          <w:rFonts w:hint="eastAsia" w:ascii="宋体" w:hAnsi="宋体"/>
          <w:sz w:val="24"/>
          <w:szCs w:val="24"/>
        </w:rPr>
        <w:t>（八）评审结束后，与会人员不得向外界透露评审人员的评审意见，如因此造成的后果由责任者承担。</w:t>
      </w:r>
    </w:p>
    <w:p w14:paraId="3ABFE8A5">
      <w:pPr>
        <w:spacing w:line="500" w:lineRule="exact"/>
        <w:ind w:firstLine="482" w:firstLineChars="200"/>
        <w:rPr>
          <w:rFonts w:hint="eastAsia" w:ascii="宋体" w:hAnsi="宋体"/>
          <w:b/>
          <w:bCs/>
          <w:sz w:val="24"/>
          <w:szCs w:val="24"/>
        </w:rPr>
      </w:pPr>
      <w:r>
        <w:rPr>
          <w:rFonts w:hint="eastAsia" w:ascii="宋体" w:hAnsi="宋体"/>
          <w:b/>
          <w:bCs/>
          <w:sz w:val="24"/>
          <w:szCs w:val="24"/>
        </w:rPr>
        <w:t>五、评审原则</w:t>
      </w:r>
    </w:p>
    <w:p w14:paraId="36C2AD5F">
      <w:pPr>
        <w:pStyle w:val="9"/>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535B3D4">
      <w:pPr>
        <w:spacing w:line="50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六、评审程序</w:t>
      </w:r>
    </w:p>
    <w:p w14:paraId="43964498">
      <w:pPr>
        <w:pStyle w:val="9"/>
        <w:spacing w:line="500" w:lineRule="exact"/>
        <w:ind w:firstLine="480" w:firstLineChars="200"/>
        <w:rPr>
          <w:rFonts w:hint="eastAsia" w:ascii="宋体" w:hAnsi="宋体"/>
          <w:color w:val="0000CC"/>
          <w:sz w:val="24"/>
          <w:szCs w:val="24"/>
        </w:rPr>
      </w:pPr>
      <w:r>
        <w:rPr>
          <w:rFonts w:hint="eastAsia" w:ascii="宋体" w:hAnsi="宋体"/>
          <w:color w:val="000000"/>
          <w:sz w:val="24"/>
          <w:szCs w:val="24"/>
        </w:rPr>
        <w:t>磋商小组对所有响应文件进行评审，评审按：资格审查→符合性审查→磋商小组分别与通过符合性审查的各供应商就竞争性磋商内容进行磋商（磋商顺序按供应商随机抽取的顺序进行）→磋商结束后，磋商小组应当要求所有实质性响应的供应商在</w:t>
      </w:r>
      <w:r>
        <w:rPr>
          <w:rFonts w:hint="eastAsia" w:ascii="宋体" w:hAnsi="宋体"/>
          <w:color w:val="000000"/>
          <w:sz w:val="24"/>
          <w:szCs w:val="24"/>
          <w:lang w:val="en-US" w:eastAsia="zh-CN"/>
        </w:rPr>
        <w:t>30分钟</w:t>
      </w:r>
      <w:r>
        <w:rPr>
          <w:rFonts w:hint="eastAsia" w:ascii="宋体" w:hAnsi="宋体"/>
          <w:color w:val="000000"/>
          <w:sz w:val="24"/>
          <w:szCs w:val="24"/>
        </w:rPr>
        <w:t>内提交最后报价、承诺书</w:t>
      </w:r>
      <w:r>
        <w:rPr>
          <w:rFonts w:hint="eastAsia" w:ascii="宋体" w:hAnsi="宋体"/>
          <w:color w:val="000000"/>
          <w:sz w:val="24"/>
          <w:szCs w:val="24"/>
          <w:lang w:eastAsia="zh-CN"/>
        </w:rPr>
        <w:t>（</w:t>
      </w:r>
      <w:r>
        <w:rPr>
          <w:rFonts w:hint="eastAsia" w:ascii="宋体" w:hAnsi="宋体"/>
          <w:color w:val="000000"/>
          <w:sz w:val="24"/>
          <w:szCs w:val="24"/>
          <w:lang w:val="en-US" w:eastAsia="zh-CN"/>
        </w:rPr>
        <w:t>采购代理机构会对通过资格和符合性审查供应商提前通知准备最终报价，报价时间为30分钟，未在30分钟内提交最终报价视为放弃报价</w:t>
      </w:r>
      <w:r>
        <w:rPr>
          <w:rFonts w:hint="eastAsia" w:ascii="宋体" w:hAnsi="宋体"/>
          <w:color w:val="000000"/>
          <w:sz w:val="24"/>
          <w:szCs w:val="24"/>
          <w:lang w:eastAsia="zh-CN"/>
        </w:rPr>
        <w:t>）</w:t>
      </w:r>
      <w:r>
        <w:rPr>
          <w:rFonts w:hint="eastAsia" w:ascii="宋体" w:hAnsi="宋体"/>
          <w:color w:val="000000"/>
          <w:sz w:val="24"/>
          <w:szCs w:val="24"/>
        </w:rPr>
        <w:t>→经磋商确定最终采购需求和提交最后报价的供应商后，由磋商小组采用综合评分法对提交</w:t>
      </w:r>
      <w:r>
        <w:rPr>
          <w:rFonts w:hint="eastAsia" w:ascii="宋体" w:hAnsi="宋体"/>
          <w:color w:val="000000"/>
          <w:sz w:val="24"/>
          <w:szCs w:val="24"/>
          <w:lang w:val="en-US" w:eastAsia="zh-CN"/>
        </w:rPr>
        <w:t>最后</w:t>
      </w:r>
      <w:r>
        <w:rPr>
          <w:rFonts w:hint="eastAsia" w:ascii="宋体" w:hAnsi="宋体"/>
          <w:color w:val="000000"/>
          <w:sz w:val="24"/>
          <w:szCs w:val="24"/>
        </w:rPr>
        <w:t>报价的供应商的响应文件和最后报价进行综合评分→磋商小组应当根据综合评分情况，按照评审得分由高到低顺序推荐3名以上成交候选供应商，并编写评审报告）。</w:t>
      </w:r>
    </w:p>
    <w:p w14:paraId="311FE2F4">
      <w:pPr>
        <w:spacing w:line="50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七、评审方法</w:t>
      </w:r>
    </w:p>
    <w:p w14:paraId="692A0569">
      <w:pPr>
        <w:pStyle w:val="9"/>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本项目所采用的评审方法为《政府采购竞争性磋商采购方式管理暂行办法》（财库</w:t>
      </w:r>
      <w:r>
        <w:rPr>
          <w:rFonts w:hint="eastAsia" w:ascii="宋体" w:hAnsi="宋体"/>
          <w:color w:val="000000"/>
          <w:spacing w:val="-20"/>
          <w:sz w:val="24"/>
          <w:szCs w:val="24"/>
        </w:rPr>
        <w:t>[2014]214号）</w:t>
      </w:r>
      <w:r>
        <w:rPr>
          <w:rFonts w:hint="eastAsia" w:ascii="宋体" w:hAnsi="宋体"/>
          <w:color w:val="000000"/>
          <w:sz w:val="24"/>
          <w:szCs w:val="24"/>
        </w:rPr>
        <w:t>第二十三条规定的“综合评分法”，即：是指响应文件满足磋商文件全部实质性要求且按评审因素的量化指标评审得分最高的供应商为成交候选供应商的评审方法。</w:t>
      </w:r>
    </w:p>
    <w:p w14:paraId="05D1C9BA">
      <w:pPr>
        <w:pStyle w:val="9"/>
        <w:spacing w:line="500" w:lineRule="exact"/>
        <w:ind w:firstLine="482" w:firstLineChars="200"/>
        <w:rPr>
          <w:rFonts w:hint="eastAsia" w:ascii="宋体" w:hAnsi="宋体"/>
          <w:b/>
          <w:bCs/>
          <w:color w:val="auto"/>
          <w:sz w:val="24"/>
          <w:szCs w:val="24"/>
        </w:rPr>
      </w:pPr>
      <w:r>
        <w:rPr>
          <w:rFonts w:hint="eastAsia" w:ascii="宋体" w:hAnsi="宋体"/>
          <w:b/>
          <w:bCs/>
          <w:color w:val="auto"/>
          <w:sz w:val="24"/>
          <w:szCs w:val="24"/>
        </w:rPr>
        <w:t>（一）资格审查</w:t>
      </w:r>
    </w:p>
    <w:p w14:paraId="66BE2556">
      <w:pPr>
        <w:pStyle w:val="9"/>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磋商小组依据资格审查标准对各供应商的响应文件进行资格审查，未实质性响应磋商文件的响应文件按无效响应处理，磋商小组应当告知提交响应文件的供应商。</w:t>
      </w:r>
    </w:p>
    <w:p w14:paraId="4A9AC95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1.满足《中华人民共和国政府采购法》第二十二条规定；</w:t>
      </w:r>
    </w:p>
    <w:p w14:paraId="7B447623">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1.1具有独立承担民事责任的能力。提供法人或者其他组织的营业执照等证明文件。</w:t>
      </w:r>
    </w:p>
    <w:p w14:paraId="61BC6B1A">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1.2具有良好的商业信誉和健全的财务会计制度。投标人须提供2023年或2024年经审计的财务报告(包括资产负债表、利润表、现金流量表)，新成立不满1年的投标人提供自成立至今的财务报表；</w:t>
      </w:r>
    </w:p>
    <w:p w14:paraId="3617D833">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1.3具有履行合同所必需的设备和专业技术能力。提供具备履行合同所必需的设备和专业技术能力的证明材料。</w:t>
      </w:r>
    </w:p>
    <w:p w14:paraId="7B25B628">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1.4有依法缴纳税收和社会保障资金的良好记录。提供2025年1月至今任意3个月依法缴纳税收和缴纳社会保障资金的证明(成立未满3个月的提供成立以来的税收和社会保障资金缴纳凭据；依法免税或不需要缴纳社会保障资金的供应商，应提供相应文件证明其依法免税或不需要缴纳社会保障资金)。</w:t>
      </w:r>
    </w:p>
    <w:p w14:paraId="60DF09A1">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1.5参加政府采购活动前三年内，在经营活动中没有重大违法记录。提供参加政府采购活动前三年内在经营活动中没有重大违法记录的书面声明。</w:t>
      </w:r>
    </w:p>
    <w:p w14:paraId="1E19C442">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1.6法律、行政法规规定的其他条件。</w:t>
      </w:r>
    </w:p>
    <w:p w14:paraId="626295E0">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1.6.1 单位负责人为同一人或者存在直接控股、管理关系的不同供应商，不得参加同一合同项下的政府采购活动。</w:t>
      </w:r>
    </w:p>
    <w:p w14:paraId="32A8906C">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i w:val="0"/>
          <w:iCs w:val="0"/>
          <w:kern w:val="2"/>
          <w:sz w:val="24"/>
          <w:szCs w:val="24"/>
          <w:lang w:val="en-US" w:eastAsia="zh-CN" w:bidi="ar-SA"/>
        </w:rPr>
      </w:pPr>
      <w:r>
        <w:rPr>
          <w:rFonts w:hint="eastAsia" w:ascii="宋体" w:hAnsi="宋体" w:eastAsia="宋体" w:cs="宋体"/>
          <w:i w:val="0"/>
          <w:iCs w:val="0"/>
          <w:kern w:val="2"/>
          <w:sz w:val="24"/>
          <w:szCs w:val="24"/>
          <w:lang w:val="en-US" w:eastAsia="zh-CN" w:bidi="ar-SA"/>
        </w:rPr>
        <w:t>为采购项目提供整体设计、规范编制或者项目管理、监理、检测等服务的供应商，不得再参加该采购项目的其他采购活动。</w:t>
      </w:r>
    </w:p>
    <w:p w14:paraId="13392C84">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highlight w:val="none"/>
        </w:rPr>
      </w:pPr>
      <w:r>
        <w:rPr>
          <w:rFonts w:hint="eastAsia" w:ascii="宋体" w:hAnsi="宋体" w:eastAsia="宋体" w:cs="宋体"/>
          <w:i w:val="0"/>
          <w:iCs w:val="0"/>
          <w:kern w:val="2"/>
          <w:sz w:val="24"/>
          <w:szCs w:val="24"/>
          <w:lang w:val="en-US" w:eastAsia="zh-CN" w:bidi="ar-SA"/>
        </w:rPr>
        <w:t>1.6.2投标人应在“信用中国”网站(www.creditchina.gov.cn)未被列入失信被执行人记录、重大税收违法失信主体且在中国政府采购网(www.ccgp.gov.cn)没有政府采购严重违法失信行为记录。</w:t>
      </w:r>
    </w:p>
    <w:p w14:paraId="7A42B1B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u w:val="single"/>
          <w:lang w:eastAsia="zh-CN"/>
        </w:rPr>
      </w:pPr>
      <w:r>
        <w:rPr>
          <w:rFonts w:hint="eastAsia" w:ascii="宋体" w:hAnsi="宋体" w:eastAsia="宋体" w:cs="宋体"/>
          <w:i w:val="0"/>
          <w:iCs w:val="0"/>
          <w:sz w:val="24"/>
          <w:szCs w:val="24"/>
        </w:rPr>
        <w:t>2.落实政府采购政策需满足的资格要求：</w:t>
      </w:r>
      <w:r>
        <w:rPr>
          <w:rFonts w:hint="eastAsia" w:ascii="宋体" w:hAnsi="宋体" w:cs="宋体"/>
          <w:kern w:val="2"/>
          <w:sz w:val="24"/>
          <w:szCs w:val="24"/>
          <w:highlight w:val="none"/>
          <w:lang w:val="en-US" w:eastAsia="zh-CN" w:bidi="ar-SA"/>
        </w:rPr>
        <w:t>本项目专门面向中小微企业</w:t>
      </w:r>
    </w:p>
    <w:p w14:paraId="7111078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3.本项目的特定资格要求：</w:t>
      </w:r>
    </w:p>
    <w:p w14:paraId="252815DE">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3.1资质要求：具有有效的建筑工程施工总承包叁级（含叁级）及以上资质，具备有效的安全生产许可证。</w:t>
      </w:r>
    </w:p>
    <w:p w14:paraId="5C4DF29D">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3.2项目负责人：具备建设行政主管部门核发的注册建造师二级（建筑工程专业）及其以上资格并具备有效的安全生产考核合格证书。</w:t>
      </w:r>
    </w:p>
    <w:p w14:paraId="459D7B4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i w:val="0"/>
          <w:iCs w:val="0"/>
          <w:sz w:val="24"/>
          <w:szCs w:val="24"/>
          <w:lang w:val="en-US" w:eastAsia="zh-CN"/>
        </w:rPr>
      </w:pPr>
      <w:r>
        <w:rPr>
          <w:rFonts w:hint="eastAsia" w:ascii="宋体" w:hAnsi="宋体" w:eastAsia="宋体" w:cs="宋体"/>
          <w:b w:val="0"/>
          <w:i w:val="0"/>
          <w:iCs w:val="0"/>
          <w:sz w:val="24"/>
          <w:szCs w:val="24"/>
          <w:lang w:val="en-US" w:eastAsia="zh-CN"/>
        </w:rPr>
        <w:t>3.3</w:t>
      </w:r>
      <w:r>
        <w:rPr>
          <w:rFonts w:hint="eastAsia" w:ascii="宋体" w:hAnsi="宋体" w:cs="宋体"/>
          <w:sz w:val="24"/>
          <w:szCs w:val="24"/>
          <w:highlight w:val="none"/>
        </w:rPr>
        <w:t>本项目不接受联合体磋商。</w:t>
      </w:r>
    </w:p>
    <w:p w14:paraId="61DCB2D9">
      <w:pPr>
        <w:pStyle w:val="9"/>
        <w:spacing w:line="500" w:lineRule="exact"/>
        <w:ind w:firstLine="482" w:firstLineChars="200"/>
        <w:rPr>
          <w:rFonts w:hint="eastAsia" w:ascii="宋体" w:hAnsi="宋体"/>
          <w:color w:val="FF0000"/>
          <w:sz w:val="24"/>
          <w:szCs w:val="24"/>
          <w:highlight w:val="yellow"/>
        </w:rPr>
      </w:pPr>
      <w:r>
        <w:rPr>
          <w:rFonts w:hint="eastAsia" w:ascii="宋体" w:hAnsi="宋体"/>
          <w:b/>
          <w:bCs/>
          <w:sz w:val="24"/>
          <w:szCs w:val="24"/>
        </w:rPr>
        <w:t>（二）符合性审查</w:t>
      </w:r>
    </w:p>
    <w:p w14:paraId="520487E8">
      <w:pPr>
        <w:pStyle w:val="9"/>
        <w:ind w:firstLine="480" w:firstLineChars="200"/>
        <w:rPr>
          <w:rFonts w:hint="eastAsia" w:ascii="宋体" w:hAnsi="宋体"/>
          <w:color w:val="000000"/>
          <w:sz w:val="24"/>
          <w:szCs w:val="24"/>
        </w:rPr>
      </w:pPr>
      <w:r>
        <w:rPr>
          <w:rFonts w:hint="eastAsia" w:ascii="宋体" w:hAnsi="宋体"/>
          <w:color w:val="000000"/>
          <w:sz w:val="24"/>
          <w:szCs w:val="24"/>
        </w:rPr>
        <w:t>磋商小组依据符合性审查标准对各通过资格审查的供应商的响应文件进行符合性审查，未实质性响应磋商文件的响应文件按无效响应处理，磋商小组应当告知提交响应文件的供应商。</w:t>
      </w:r>
    </w:p>
    <w:tbl>
      <w:tblPr>
        <w:tblStyle w:val="1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1862"/>
        <w:gridCol w:w="6570"/>
      </w:tblGrid>
      <w:tr w14:paraId="41F9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noWrap w:val="0"/>
            <w:vAlign w:val="top"/>
          </w:tcPr>
          <w:p w14:paraId="49285B04">
            <w:pPr>
              <w:pStyle w:val="9"/>
              <w:widowControl w:val="0"/>
              <w:ind w:firstLine="0"/>
              <w:jc w:val="center"/>
              <w:rPr>
                <w:rFonts w:hint="eastAsia" w:ascii="宋体" w:hAnsi="宋体" w:eastAsia="Times New Roman"/>
                <w:b/>
                <w:bCs/>
                <w:color w:val="000000"/>
                <w:sz w:val="24"/>
                <w:szCs w:val="24"/>
              </w:rPr>
            </w:pPr>
            <w:r>
              <w:rPr>
                <w:rFonts w:hint="eastAsia" w:ascii="宋体" w:hAnsi="宋体" w:eastAsia="Times New Roman"/>
                <w:b/>
                <w:bCs/>
                <w:color w:val="000000"/>
                <w:sz w:val="24"/>
                <w:szCs w:val="24"/>
              </w:rPr>
              <w:t>审查内容</w:t>
            </w:r>
          </w:p>
        </w:tc>
        <w:tc>
          <w:tcPr>
            <w:tcW w:w="1862" w:type="dxa"/>
            <w:noWrap w:val="0"/>
            <w:vAlign w:val="top"/>
          </w:tcPr>
          <w:p w14:paraId="4D2FDDB7">
            <w:pPr>
              <w:pStyle w:val="9"/>
              <w:widowControl w:val="0"/>
              <w:ind w:firstLine="0"/>
              <w:jc w:val="center"/>
              <w:rPr>
                <w:rFonts w:hint="eastAsia" w:ascii="宋体" w:hAnsi="宋体" w:eastAsia="Times New Roman"/>
                <w:b/>
                <w:bCs/>
                <w:color w:val="000000"/>
                <w:sz w:val="24"/>
                <w:szCs w:val="24"/>
              </w:rPr>
            </w:pPr>
            <w:r>
              <w:rPr>
                <w:rFonts w:hint="eastAsia" w:ascii="宋体" w:hAnsi="宋体" w:eastAsia="Times New Roman"/>
                <w:b/>
                <w:bCs/>
                <w:color w:val="000000"/>
                <w:sz w:val="24"/>
                <w:szCs w:val="24"/>
              </w:rPr>
              <w:t>评审因素</w:t>
            </w:r>
          </w:p>
        </w:tc>
        <w:tc>
          <w:tcPr>
            <w:tcW w:w="6570" w:type="dxa"/>
            <w:noWrap w:val="0"/>
            <w:vAlign w:val="top"/>
          </w:tcPr>
          <w:p w14:paraId="3F1453C4">
            <w:pPr>
              <w:pStyle w:val="9"/>
              <w:widowControl w:val="0"/>
              <w:ind w:firstLine="0"/>
              <w:jc w:val="center"/>
              <w:rPr>
                <w:rFonts w:hint="eastAsia" w:ascii="宋体" w:hAnsi="宋体" w:eastAsia="Times New Roman"/>
                <w:b/>
                <w:bCs/>
                <w:color w:val="000000"/>
                <w:sz w:val="24"/>
                <w:szCs w:val="24"/>
              </w:rPr>
            </w:pPr>
            <w:r>
              <w:rPr>
                <w:rFonts w:hint="eastAsia" w:ascii="宋体" w:hAnsi="宋体" w:eastAsia="Times New Roman"/>
                <w:b/>
                <w:bCs/>
                <w:color w:val="000000"/>
                <w:sz w:val="24"/>
                <w:szCs w:val="24"/>
              </w:rPr>
              <w:t>评审标准</w:t>
            </w:r>
          </w:p>
        </w:tc>
      </w:tr>
      <w:tr w14:paraId="6513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restart"/>
            <w:noWrap w:val="0"/>
            <w:vAlign w:val="center"/>
          </w:tcPr>
          <w:p w14:paraId="44E9BA56">
            <w:pPr>
              <w:pStyle w:val="9"/>
              <w:widowControl w:val="0"/>
              <w:ind w:firstLine="0"/>
              <w:jc w:val="center"/>
              <w:rPr>
                <w:rFonts w:hint="eastAsia" w:ascii="宋体" w:hAnsi="宋体" w:eastAsia="Times New Roman"/>
                <w:color w:val="000000"/>
                <w:sz w:val="24"/>
                <w:szCs w:val="24"/>
              </w:rPr>
            </w:pPr>
            <w:r>
              <w:rPr>
                <w:rFonts w:hint="eastAsia" w:ascii="宋体" w:hAnsi="宋体" w:eastAsia="宋体"/>
                <w:color w:val="000000"/>
                <w:sz w:val="24"/>
                <w:szCs w:val="24"/>
                <w:highlight w:val="none"/>
                <w:lang w:val="en-US" w:eastAsia="zh-CN"/>
              </w:rPr>
              <w:t>符合</w:t>
            </w:r>
            <w:r>
              <w:rPr>
                <w:rFonts w:hint="eastAsia" w:ascii="宋体" w:hAnsi="宋体" w:eastAsia="Times New Roman"/>
                <w:color w:val="000000"/>
                <w:sz w:val="24"/>
                <w:szCs w:val="24"/>
                <w:highlight w:val="none"/>
              </w:rPr>
              <w:t>审查标准</w:t>
            </w:r>
          </w:p>
        </w:tc>
        <w:tc>
          <w:tcPr>
            <w:tcW w:w="1862" w:type="dxa"/>
            <w:noWrap w:val="0"/>
            <w:vAlign w:val="center"/>
          </w:tcPr>
          <w:p w14:paraId="0A7A2445">
            <w:pPr>
              <w:pStyle w:val="9"/>
              <w:widowControl w:val="0"/>
              <w:ind w:firstLine="0" w:firstLineChars="0"/>
              <w:jc w:val="center"/>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响应文件格式</w:t>
            </w:r>
          </w:p>
        </w:tc>
        <w:tc>
          <w:tcPr>
            <w:tcW w:w="6570" w:type="dxa"/>
            <w:noWrap w:val="0"/>
            <w:vAlign w:val="top"/>
          </w:tcPr>
          <w:p w14:paraId="18674F5E">
            <w:pPr>
              <w:pStyle w:val="9"/>
              <w:widowControl w:val="0"/>
              <w:ind w:firstLine="0" w:firstLineChars="0"/>
              <w:jc w:val="both"/>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rPr>
              <w:t>响应文件</w:t>
            </w:r>
            <w:r>
              <w:rPr>
                <w:rFonts w:ascii="宋体" w:hAnsi="宋体" w:eastAsia="Times New Roman"/>
                <w:color w:val="000000"/>
                <w:sz w:val="24"/>
              </w:rPr>
              <w:t>按</w:t>
            </w:r>
            <w:r>
              <w:rPr>
                <w:rFonts w:hint="eastAsia" w:ascii="宋体" w:hAnsi="宋体" w:eastAsia="宋体"/>
                <w:color w:val="000000"/>
                <w:sz w:val="24"/>
                <w:szCs w:val="24"/>
                <w:lang w:eastAsia="zh-CN"/>
              </w:rPr>
              <w:t>第七章“响应文件格式”</w:t>
            </w:r>
            <w:r>
              <w:rPr>
                <w:rFonts w:hint="eastAsia" w:ascii="宋体" w:hAnsi="宋体" w:eastAsia="Times New Roman"/>
                <w:color w:val="000000"/>
                <w:sz w:val="24"/>
              </w:rPr>
              <w:t>要求</w:t>
            </w:r>
            <w:r>
              <w:rPr>
                <w:rFonts w:ascii="宋体" w:hAnsi="宋体" w:eastAsia="Times New Roman"/>
                <w:color w:val="000000"/>
                <w:sz w:val="24"/>
              </w:rPr>
              <w:t>填写</w:t>
            </w:r>
            <w:r>
              <w:rPr>
                <w:rFonts w:hint="eastAsia" w:ascii="宋体" w:hAnsi="宋体" w:eastAsia="Times New Roman"/>
                <w:color w:val="000000"/>
                <w:sz w:val="24"/>
              </w:rPr>
              <w:t>，</w:t>
            </w:r>
            <w:r>
              <w:rPr>
                <w:rFonts w:ascii="宋体" w:hAnsi="宋体" w:eastAsia="Times New Roman"/>
                <w:color w:val="000000"/>
                <w:sz w:val="24"/>
              </w:rPr>
              <w:t>内容</w:t>
            </w:r>
            <w:r>
              <w:rPr>
                <w:rFonts w:hint="eastAsia" w:ascii="宋体" w:hAnsi="宋体" w:eastAsia="Times New Roman"/>
                <w:color w:val="000000"/>
                <w:sz w:val="24"/>
              </w:rPr>
              <w:t>完整且</w:t>
            </w:r>
            <w:r>
              <w:rPr>
                <w:rFonts w:ascii="宋体" w:hAnsi="宋体" w:eastAsia="Times New Roman"/>
                <w:color w:val="000000"/>
                <w:sz w:val="24"/>
              </w:rPr>
              <w:t>关键字迹</w:t>
            </w:r>
            <w:r>
              <w:rPr>
                <w:rFonts w:hint="eastAsia" w:ascii="宋体" w:hAnsi="宋体" w:eastAsia="Times New Roman"/>
                <w:color w:val="000000"/>
                <w:sz w:val="24"/>
              </w:rPr>
              <w:t>清晰</w:t>
            </w:r>
          </w:p>
        </w:tc>
      </w:tr>
      <w:tr w14:paraId="61D2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noWrap w:val="0"/>
            <w:vAlign w:val="top"/>
          </w:tcPr>
          <w:p w14:paraId="05FB1F2B">
            <w:pPr>
              <w:pStyle w:val="9"/>
              <w:widowControl w:val="0"/>
              <w:ind w:firstLine="0"/>
              <w:jc w:val="both"/>
              <w:rPr>
                <w:rFonts w:hint="eastAsia" w:ascii="宋体" w:hAnsi="宋体" w:eastAsia="Times New Roman"/>
                <w:color w:val="000000"/>
                <w:sz w:val="24"/>
                <w:szCs w:val="24"/>
              </w:rPr>
            </w:pPr>
          </w:p>
        </w:tc>
        <w:tc>
          <w:tcPr>
            <w:tcW w:w="1862" w:type="dxa"/>
            <w:noWrap w:val="0"/>
            <w:vAlign w:val="center"/>
          </w:tcPr>
          <w:p w14:paraId="41245319">
            <w:pPr>
              <w:pStyle w:val="9"/>
              <w:widowControl w:val="0"/>
              <w:ind w:firstLine="0" w:firstLineChars="0"/>
              <w:jc w:val="center"/>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响应文件签署、盖章</w:t>
            </w:r>
          </w:p>
        </w:tc>
        <w:tc>
          <w:tcPr>
            <w:tcW w:w="6570" w:type="dxa"/>
            <w:noWrap w:val="0"/>
            <w:vAlign w:val="top"/>
          </w:tcPr>
          <w:p w14:paraId="4F4EFF2E">
            <w:pPr>
              <w:pStyle w:val="9"/>
              <w:widowControl w:val="0"/>
              <w:ind w:firstLine="0" w:firstLineChars="0"/>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按</w:t>
            </w:r>
            <w:r>
              <w:rPr>
                <w:rFonts w:hint="eastAsia" w:ascii="宋体" w:hAnsi="宋体" w:eastAsia="宋体"/>
                <w:color w:val="000000"/>
                <w:sz w:val="24"/>
                <w:szCs w:val="24"/>
                <w:lang w:eastAsia="zh-CN"/>
              </w:rPr>
              <w:t>第七章“响应文件格式”</w:t>
            </w:r>
            <w:r>
              <w:rPr>
                <w:rFonts w:hint="eastAsia" w:ascii="宋体" w:hAnsi="宋体" w:eastAsia="Times New Roman"/>
                <w:color w:val="000000"/>
                <w:sz w:val="24"/>
              </w:rPr>
              <w:t>要求在规定位置</w:t>
            </w:r>
            <w:r>
              <w:rPr>
                <w:rFonts w:hint="eastAsia" w:ascii="宋体" w:hAnsi="宋体" w:eastAsia="Times New Roman" w:cs="宋体"/>
                <w:color w:val="000000"/>
                <w:kern w:val="2"/>
                <w:sz w:val="24"/>
                <w:szCs w:val="24"/>
              </w:rPr>
              <w:t>签字或加盖电子签章</w:t>
            </w:r>
          </w:p>
        </w:tc>
      </w:tr>
      <w:tr w14:paraId="05D6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207" w:type="dxa"/>
            <w:vMerge w:val="continue"/>
            <w:noWrap w:val="0"/>
            <w:vAlign w:val="top"/>
          </w:tcPr>
          <w:p w14:paraId="71B101E8">
            <w:pPr>
              <w:pStyle w:val="9"/>
              <w:widowControl w:val="0"/>
              <w:ind w:firstLine="0"/>
              <w:jc w:val="both"/>
              <w:rPr>
                <w:rFonts w:hint="eastAsia" w:ascii="宋体" w:hAnsi="宋体" w:eastAsia="Times New Roman"/>
                <w:color w:val="000000"/>
                <w:sz w:val="24"/>
                <w:szCs w:val="24"/>
              </w:rPr>
            </w:pPr>
          </w:p>
        </w:tc>
        <w:tc>
          <w:tcPr>
            <w:tcW w:w="1862" w:type="dxa"/>
            <w:noWrap w:val="0"/>
            <w:vAlign w:val="center"/>
          </w:tcPr>
          <w:p w14:paraId="140B2D4C">
            <w:pPr>
              <w:pStyle w:val="9"/>
              <w:widowControl w:val="0"/>
              <w:ind w:firstLine="0" w:firstLineChars="0"/>
              <w:jc w:val="center"/>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磋商报价</w:t>
            </w:r>
          </w:p>
        </w:tc>
        <w:tc>
          <w:tcPr>
            <w:tcW w:w="6570" w:type="dxa"/>
            <w:noWrap w:val="0"/>
            <w:vAlign w:val="top"/>
          </w:tcPr>
          <w:p w14:paraId="3390C7CE">
            <w:pPr>
              <w:pStyle w:val="9"/>
              <w:widowControl w:val="0"/>
              <w:ind w:firstLine="0" w:firstLineChars="0"/>
              <w:jc w:val="both"/>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符合第二章“供应商须知”第3.2项规定和第二章“供应商须知前附表”第3.2.</w:t>
            </w:r>
            <w:r>
              <w:rPr>
                <w:rFonts w:hint="eastAsia" w:ascii="宋体" w:hAnsi="宋体"/>
                <w:color w:val="000000"/>
                <w:sz w:val="24"/>
                <w:szCs w:val="24"/>
              </w:rPr>
              <w:t>3</w:t>
            </w:r>
            <w:r>
              <w:rPr>
                <w:rFonts w:hint="eastAsia" w:ascii="宋体" w:hAnsi="宋体" w:eastAsia="Times New Roman"/>
                <w:color w:val="000000"/>
                <w:sz w:val="24"/>
                <w:szCs w:val="24"/>
              </w:rPr>
              <w:t>款规定</w:t>
            </w:r>
          </w:p>
        </w:tc>
      </w:tr>
      <w:tr w14:paraId="0983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noWrap w:val="0"/>
            <w:vAlign w:val="top"/>
          </w:tcPr>
          <w:p w14:paraId="0889C245">
            <w:pPr>
              <w:pStyle w:val="9"/>
              <w:widowControl w:val="0"/>
              <w:ind w:firstLine="0"/>
              <w:jc w:val="both"/>
              <w:rPr>
                <w:rFonts w:hint="eastAsia" w:ascii="宋体" w:hAnsi="宋体" w:eastAsia="Times New Roman"/>
                <w:color w:val="000000"/>
                <w:sz w:val="24"/>
                <w:szCs w:val="24"/>
              </w:rPr>
            </w:pPr>
          </w:p>
        </w:tc>
        <w:tc>
          <w:tcPr>
            <w:tcW w:w="1862" w:type="dxa"/>
            <w:noWrap w:val="0"/>
            <w:vAlign w:val="center"/>
          </w:tcPr>
          <w:p w14:paraId="17534011">
            <w:pPr>
              <w:pStyle w:val="9"/>
              <w:widowControl w:val="0"/>
              <w:ind w:firstLine="0" w:firstLineChars="0"/>
              <w:jc w:val="center"/>
              <w:rPr>
                <w:rFonts w:hint="eastAsia" w:ascii="宋体" w:hAnsi="宋体"/>
                <w:color w:val="000000"/>
                <w:sz w:val="24"/>
                <w:szCs w:val="24"/>
                <w:highlight w:val="none"/>
                <w:lang w:val="en-US" w:eastAsia="zh-CN" w:bidi="ar-SA"/>
              </w:rPr>
            </w:pPr>
            <w:r>
              <w:rPr>
                <w:rFonts w:hint="eastAsia" w:ascii="宋体" w:hAnsi="宋体" w:eastAsia="Times New Roman"/>
                <w:color w:val="000000"/>
                <w:sz w:val="24"/>
                <w:szCs w:val="24"/>
                <w:highlight w:val="none"/>
              </w:rPr>
              <w:t>磋商有效期</w:t>
            </w:r>
          </w:p>
        </w:tc>
        <w:tc>
          <w:tcPr>
            <w:tcW w:w="6570" w:type="dxa"/>
            <w:noWrap w:val="0"/>
            <w:vAlign w:val="top"/>
          </w:tcPr>
          <w:p w14:paraId="3052B6EE">
            <w:pPr>
              <w:pStyle w:val="9"/>
              <w:widowControl w:val="0"/>
              <w:ind w:firstLine="0" w:firstLineChars="0"/>
              <w:jc w:val="both"/>
              <w:rPr>
                <w:rFonts w:hint="eastAsia" w:ascii="宋体" w:hAnsi="宋体"/>
                <w:color w:val="000000"/>
                <w:sz w:val="24"/>
                <w:szCs w:val="24"/>
                <w:highlight w:val="none"/>
                <w:lang w:val="en-US" w:eastAsia="zh-CN" w:bidi="ar-SA"/>
              </w:rPr>
            </w:pPr>
            <w:r>
              <w:rPr>
                <w:rFonts w:hint="eastAsia" w:ascii="宋体" w:hAnsi="宋体" w:eastAsia="Times New Roman"/>
                <w:color w:val="000000"/>
                <w:sz w:val="24"/>
                <w:szCs w:val="24"/>
                <w:highlight w:val="none"/>
              </w:rPr>
              <w:t>符合第二章“供应商须知前附表”第3.3.1款规定</w:t>
            </w:r>
          </w:p>
        </w:tc>
      </w:tr>
      <w:tr w14:paraId="696F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noWrap w:val="0"/>
            <w:vAlign w:val="top"/>
          </w:tcPr>
          <w:p w14:paraId="4D48A46D">
            <w:pPr>
              <w:pStyle w:val="9"/>
              <w:widowControl w:val="0"/>
              <w:ind w:firstLine="0"/>
              <w:jc w:val="both"/>
              <w:rPr>
                <w:rFonts w:hint="eastAsia" w:ascii="宋体" w:hAnsi="宋体" w:eastAsia="Times New Roman"/>
                <w:color w:val="000000"/>
                <w:sz w:val="24"/>
                <w:szCs w:val="24"/>
              </w:rPr>
            </w:pPr>
          </w:p>
        </w:tc>
        <w:tc>
          <w:tcPr>
            <w:tcW w:w="1862" w:type="dxa"/>
            <w:noWrap w:val="0"/>
            <w:vAlign w:val="top"/>
          </w:tcPr>
          <w:p w14:paraId="64D1C902">
            <w:pPr>
              <w:pStyle w:val="9"/>
              <w:widowControl w:val="0"/>
              <w:ind w:firstLine="0" w:firstLineChars="0"/>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计划工期</w:t>
            </w:r>
          </w:p>
        </w:tc>
        <w:tc>
          <w:tcPr>
            <w:tcW w:w="6570" w:type="dxa"/>
            <w:noWrap w:val="0"/>
            <w:vAlign w:val="top"/>
          </w:tcPr>
          <w:p w14:paraId="214B6080">
            <w:pPr>
              <w:pStyle w:val="9"/>
              <w:widowControl w:val="0"/>
              <w:ind w:firstLine="0" w:firstLineChars="0"/>
              <w:jc w:val="both"/>
              <w:rPr>
                <w:rFonts w:hint="eastAsia" w:ascii="宋体" w:hAnsi="宋体" w:eastAsia="Times New Roman"/>
                <w:color w:val="000000"/>
                <w:sz w:val="24"/>
                <w:szCs w:val="24"/>
                <w:highlight w:val="none"/>
                <w:lang w:val="en-US" w:eastAsia="zh-CN" w:bidi="ar-SA"/>
              </w:rPr>
            </w:pPr>
            <w:r>
              <w:rPr>
                <w:rFonts w:hint="eastAsia" w:ascii="宋体" w:hAnsi="宋体" w:eastAsia="Times New Roman"/>
                <w:color w:val="000000"/>
                <w:sz w:val="24"/>
                <w:szCs w:val="24"/>
                <w:highlight w:val="none"/>
              </w:rPr>
              <w:t>符合第二章“供应商须知前附表”第1.3.3款规定</w:t>
            </w:r>
          </w:p>
        </w:tc>
      </w:tr>
      <w:tr w14:paraId="5B91A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noWrap w:val="0"/>
            <w:vAlign w:val="top"/>
          </w:tcPr>
          <w:p w14:paraId="63D1DA59">
            <w:pPr>
              <w:pStyle w:val="9"/>
              <w:widowControl w:val="0"/>
              <w:ind w:firstLine="0"/>
              <w:jc w:val="both"/>
              <w:rPr>
                <w:rFonts w:hint="eastAsia" w:ascii="宋体" w:hAnsi="宋体" w:eastAsia="Times New Roman"/>
                <w:color w:val="000000"/>
                <w:sz w:val="24"/>
                <w:szCs w:val="24"/>
              </w:rPr>
            </w:pPr>
          </w:p>
        </w:tc>
        <w:tc>
          <w:tcPr>
            <w:tcW w:w="1862" w:type="dxa"/>
            <w:noWrap w:val="0"/>
            <w:vAlign w:val="top"/>
          </w:tcPr>
          <w:p w14:paraId="18EDA803">
            <w:pPr>
              <w:pStyle w:val="9"/>
              <w:widowControl w:val="0"/>
              <w:ind w:firstLine="0" w:firstLineChars="0"/>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质量要求</w:t>
            </w:r>
          </w:p>
        </w:tc>
        <w:tc>
          <w:tcPr>
            <w:tcW w:w="6570" w:type="dxa"/>
            <w:noWrap w:val="0"/>
            <w:vAlign w:val="top"/>
          </w:tcPr>
          <w:p w14:paraId="6FEE02B3">
            <w:pPr>
              <w:pStyle w:val="9"/>
              <w:widowControl w:val="0"/>
              <w:ind w:firstLine="0" w:firstLineChars="0"/>
              <w:jc w:val="both"/>
              <w:rPr>
                <w:rFonts w:hint="eastAsia" w:ascii="宋体" w:hAnsi="宋体" w:eastAsia="Times New Roman"/>
                <w:color w:val="000000"/>
                <w:sz w:val="24"/>
                <w:szCs w:val="24"/>
                <w:highlight w:val="none"/>
                <w:lang w:val="en-US" w:eastAsia="zh-CN" w:bidi="ar-SA"/>
              </w:rPr>
            </w:pPr>
            <w:r>
              <w:rPr>
                <w:rFonts w:hint="eastAsia" w:ascii="宋体" w:hAnsi="宋体" w:eastAsia="Times New Roman"/>
                <w:color w:val="000000"/>
                <w:sz w:val="24"/>
                <w:szCs w:val="24"/>
                <w:highlight w:val="none"/>
              </w:rPr>
              <w:t>符合第二章“供应商须知前附表”第1.3.</w:t>
            </w:r>
            <w:r>
              <w:rPr>
                <w:rFonts w:hint="eastAsia" w:ascii="宋体" w:hAnsi="宋体"/>
                <w:color w:val="000000"/>
                <w:sz w:val="24"/>
                <w:szCs w:val="24"/>
                <w:highlight w:val="none"/>
              </w:rPr>
              <w:t>4</w:t>
            </w:r>
            <w:r>
              <w:rPr>
                <w:rFonts w:hint="eastAsia" w:ascii="宋体" w:hAnsi="宋体" w:eastAsia="Times New Roman"/>
                <w:color w:val="000000"/>
                <w:sz w:val="24"/>
                <w:szCs w:val="24"/>
                <w:highlight w:val="none"/>
              </w:rPr>
              <w:t>款规定</w:t>
            </w:r>
          </w:p>
        </w:tc>
      </w:tr>
      <w:tr w14:paraId="3C51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noWrap w:val="0"/>
            <w:vAlign w:val="top"/>
          </w:tcPr>
          <w:p w14:paraId="1C446404">
            <w:pPr>
              <w:pStyle w:val="9"/>
              <w:widowControl w:val="0"/>
              <w:ind w:firstLine="0"/>
              <w:jc w:val="both"/>
              <w:rPr>
                <w:rFonts w:hint="eastAsia" w:ascii="宋体" w:hAnsi="宋体" w:eastAsia="Times New Roman"/>
                <w:color w:val="000000"/>
                <w:sz w:val="24"/>
                <w:szCs w:val="24"/>
              </w:rPr>
            </w:pPr>
          </w:p>
        </w:tc>
        <w:tc>
          <w:tcPr>
            <w:tcW w:w="1862" w:type="dxa"/>
            <w:noWrap w:val="0"/>
            <w:vAlign w:val="center"/>
          </w:tcPr>
          <w:p w14:paraId="799CB9F4">
            <w:pPr>
              <w:widowControl w:val="0"/>
              <w:tabs>
                <w:tab w:val="left" w:pos="1260"/>
                <w:tab w:val="left" w:pos="1620"/>
              </w:tabs>
              <w:adjustRightInd w:val="0"/>
              <w:snapToGrid w:val="0"/>
              <w:jc w:val="center"/>
              <w:textAlignment w:val="baseline"/>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rPr>
              <w:t>其他无效情形</w:t>
            </w:r>
          </w:p>
        </w:tc>
        <w:tc>
          <w:tcPr>
            <w:tcW w:w="6570" w:type="dxa"/>
            <w:noWrap w:val="0"/>
            <w:vAlign w:val="center"/>
          </w:tcPr>
          <w:p w14:paraId="42444CD2">
            <w:pPr>
              <w:pStyle w:val="9"/>
              <w:widowControl w:val="0"/>
              <w:autoSpaceDE w:val="0"/>
              <w:ind w:firstLine="0"/>
              <w:jc w:val="both"/>
              <w:rPr>
                <w:rFonts w:hint="eastAsia" w:ascii="宋体" w:hAnsi="宋体" w:eastAsia="Times New Roman"/>
                <w:color w:val="000000"/>
                <w:sz w:val="24"/>
                <w:szCs w:val="24"/>
              </w:rPr>
            </w:pPr>
            <w:r>
              <w:rPr>
                <w:rFonts w:hint="eastAsia" w:ascii="宋体" w:hAnsi="宋体" w:eastAsia="Times New Roman"/>
                <w:color w:val="000000"/>
                <w:sz w:val="24"/>
                <w:szCs w:val="24"/>
              </w:rPr>
              <w:t>（1）不同供应商的响应文件由同一单位或者个人</w:t>
            </w:r>
            <w:r>
              <w:rPr>
                <w:rFonts w:hint="eastAsia" w:ascii="宋体" w:hAnsi="宋体" w:eastAsia="宋体"/>
                <w:color w:val="000000"/>
                <w:sz w:val="24"/>
                <w:szCs w:val="24"/>
                <w:highlight w:val="none"/>
                <w:lang w:eastAsia="zh-CN"/>
              </w:rPr>
              <w:t>编制</w:t>
            </w:r>
            <w:r>
              <w:rPr>
                <w:rFonts w:hint="eastAsia" w:ascii="宋体" w:hAnsi="宋体" w:eastAsia="Times New Roman"/>
                <w:color w:val="000000"/>
                <w:sz w:val="24"/>
                <w:szCs w:val="24"/>
              </w:rPr>
              <w:t>；</w:t>
            </w:r>
          </w:p>
          <w:p w14:paraId="3EA68607">
            <w:pPr>
              <w:pStyle w:val="9"/>
              <w:widowControl w:val="0"/>
              <w:autoSpaceDE w:val="0"/>
              <w:ind w:firstLine="0"/>
              <w:jc w:val="both"/>
              <w:rPr>
                <w:rFonts w:hint="eastAsia" w:ascii="宋体" w:hAnsi="宋体" w:eastAsia="Times New Roman"/>
                <w:color w:val="000000"/>
                <w:sz w:val="24"/>
                <w:szCs w:val="24"/>
              </w:rPr>
            </w:pPr>
            <w:r>
              <w:rPr>
                <w:rFonts w:hint="eastAsia" w:ascii="宋体" w:hAnsi="宋体" w:eastAsia="Times New Roman"/>
                <w:color w:val="000000"/>
                <w:sz w:val="24"/>
                <w:szCs w:val="24"/>
              </w:rPr>
              <w:t>（2）不同供应商委托同一单位或者个人办理磋商事宜；</w:t>
            </w:r>
          </w:p>
          <w:p w14:paraId="4E53D6C9">
            <w:pPr>
              <w:pStyle w:val="9"/>
              <w:widowControl w:val="0"/>
              <w:autoSpaceDE w:val="0"/>
              <w:ind w:firstLine="0"/>
              <w:jc w:val="both"/>
              <w:rPr>
                <w:rFonts w:hint="eastAsia" w:ascii="宋体" w:hAnsi="宋体" w:eastAsia="Times New Roman"/>
                <w:color w:val="000000"/>
                <w:sz w:val="24"/>
                <w:szCs w:val="24"/>
              </w:rPr>
            </w:pPr>
            <w:r>
              <w:rPr>
                <w:rFonts w:hint="eastAsia" w:ascii="宋体" w:hAnsi="宋体" w:eastAsia="Times New Roman"/>
                <w:color w:val="000000"/>
                <w:sz w:val="24"/>
                <w:szCs w:val="24"/>
              </w:rPr>
              <w:t>（3）不同供应商的响应文件载明的项目管理成员或者联系人员为同一人；</w:t>
            </w:r>
          </w:p>
          <w:p w14:paraId="28C572B6">
            <w:pPr>
              <w:pStyle w:val="9"/>
              <w:widowControl w:val="0"/>
              <w:autoSpaceDE w:val="0"/>
              <w:ind w:firstLine="0"/>
              <w:jc w:val="both"/>
              <w:rPr>
                <w:rFonts w:hint="eastAsia" w:ascii="宋体" w:hAnsi="宋体" w:eastAsia="Times New Roman"/>
                <w:color w:val="000000"/>
                <w:sz w:val="24"/>
                <w:szCs w:val="24"/>
              </w:rPr>
            </w:pPr>
            <w:r>
              <w:rPr>
                <w:rFonts w:hint="eastAsia" w:ascii="宋体" w:hAnsi="宋体" w:eastAsia="Times New Roman"/>
                <w:color w:val="000000"/>
                <w:sz w:val="24"/>
                <w:szCs w:val="24"/>
              </w:rPr>
              <w:t>（4）不同供应商的响应文件异常一致或者磋商报价呈规律性差异；</w:t>
            </w:r>
          </w:p>
          <w:p w14:paraId="1CED6D48">
            <w:pPr>
              <w:pStyle w:val="9"/>
              <w:widowControl w:val="0"/>
              <w:autoSpaceDE w:val="0"/>
              <w:ind w:firstLine="0"/>
              <w:jc w:val="both"/>
              <w:rPr>
                <w:rFonts w:hint="eastAsia" w:ascii="宋体" w:hAnsi="宋体" w:eastAsia="Times New Roman"/>
                <w:color w:val="000000"/>
                <w:sz w:val="24"/>
                <w:szCs w:val="24"/>
              </w:rPr>
            </w:pPr>
            <w:r>
              <w:rPr>
                <w:rFonts w:hint="eastAsia" w:ascii="宋体" w:hAnsi="宋体" w:eastAsia="Times New Roman"/>
                <w:color w:val="000000"/>
                <w:sz w:val="24"/>
                <w:szCs w:val="24"/>
              </w:rPr>
              <w:t>（5）不同供应商的响应文件相互混装；</w:t>
            </w:r>
          </w:p>
          <w:p w14:paraId="76E3C7E2">
            <w:pPr>
              <w:pStyle w:val="9"/>
              <w:widowControl w:val="0"/>
              <w:autoSpaceDE w:val="0"/>
              <w:ind w:firstLine="0"/>
              <w:jc w:val="both"/>
              <w:rPr>
                <w:rFonts w:hint="eastAsia" w:ascii="宋体" w:hAnsi="宋体" w:eastAsia="Times New Roman"/>
                <w:color w:val="000000"/>
                <w:sz w:val="24"/>
                <w:szCs w:val="24"/>
              </w:rPr>
            </w:pPr>
            <w:r>
              <w:rPr>
                <w:rFonts w:hint="eastAsia" w:ascii="宋体" w:hAnsi="宋体" w:eastAsia="Times New Roman"/>
                <w:color w:val="000000"/>
                <w:sz w:val="24"/>
                <w:szCs w:val="24"/>
                <w:highlight w:val="none"/>
              </w:rPr>
              <w:t>（6）不同供应商的磋商保证金从同一单位或者个人的账户转出</w:t>
            </w:r>
            <w:r>
              <w:rPr>
                <w:rFonts w:hint="eastAsia" w:ascii="宋体" w:hAnsi="宋体"/>
                <w:color w:val="000000"/>
                <w:sz w:val="24"/>
                <w:szCs w:val="24"/>
                <w:highlight w:val="none"/>
              </w:rPr>
              <w:t>；</w:t>
            </w:r>
          </w:p>
          <w:p w14:paraId="4890B4DF">
            <w:pPr>
              <w:pStyle w:val="9"/>
              <w:widowControl w:val="0"/>
              <w:autoSpaceDE w:val="0"/>
              <w:ind w:firstLine="0" w:firstLineChars="0"/>
              <w:jc w:val="both"/>
              <w:rPr>
                <w:rFonts w:hint="eastAsia" w:ascii="宋体" w:hAnsi="宋体" w:eastAsia="宋体"/>
                <w:color w:val="000000"/>
                <w:sz w:val="24"/>
                <w:szCs w:val="24"/>
                <w:lang w:val="en-US" w:eastAsia="zh-CN"/>
              </w:rPr>
            </w:pPr>
            <w:r>
              <w:rPr>
                <w:rFonts w:hint="eastAsia" w:ascii="宋体" w:hAnsi="宋体" w:eastAsia="Times New Roman"/>
                <w:color w:val="000000"/>
                <w:sz w:val="24"/>
                <w:szCs w:val="24"/>
              </w:rPr>
              <w:t>（</w:t>
            </w:r>
            <w:r>
              <w:rPr>
                <w:rFonts w:hint="eastAsia" w:ascii="宋体" w:hAnsi="宋体" w:eastAsia="宋体"/>
                <w:color w:val="000000"/>
                <w:sz w:val="24"/>
                <w:szCs w:val="24"/>
                <w:lang w:val="en-US" w:eastAsia="zh-CN"/>
              </w:rPr>
              <w:t>7</w:t>
            </w:r>
            <w:r>
              <w:rPr>
                <w:rFonts w:hint="eastAsia" w:ascii="宋体" w:hAnsi="宋体" w:eastAsia="Times New Roman"/>
                <w:color w:val="000000"/>
                <w:sz w:val="24"/>
                <w:szCs w:val="24"/>
              </w:rPr>
              <w:t>）法律、法规和竞争性磋商文件规定的其他无效情形。</w:t>
            </w:r>
          </w:p>
        </w:tc>
      </w:tr>
      <w:tr w14:paraId="2A94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noWrap w:val="0"/>
            <w:vAlign w:val="top"/>
          </w:tcPr>
          <w:p w14:paraId="1B47DA75">
            <w:pPr>
              <w:pStyle w:val="9"/>
              <w:widowControl w:val="0"/>
              <w:ind w:firstLine="0"/>
              <w:jc w:val="both"/>
              <w:rPr>
                <w:rFonts w:hint="eastAsia" w:ascii="宋体" w:hAnsi="宋体" w:eastAsia="Times New Roman"/>
                <w:color w:val="000000"/>
                <w:sz w:val="24"/>
                <w:szCs w:val="24"/>
              </w:rPr>
            </w:pPr>
          </w:p>
        </w:tc>
        <w:tc>
          <w:tcPr>
            <w:tcW w:w="1862" w:type="dxa"/>
            <w:noWrap w:val="0"/>
            <w:vAlign w:val="top"/>
          </w:tcPr>
          <w:p w14:paraId="29BF883C">
            <w:pPr>
              <w:pStyle w:val="9"/>
              <w:widowControl w:val="0"/>
              <w:ind w:firstLine="0" w:firstLineChars="0"/>
              <w:jc w:val="center"/>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附加条件</w:t>
            </w:r>
          </w:p>
        </w:tc>
        <w:tc>
          <w:tcPr>
            <w:tcW w:w="6570" w:type="dxa"/>
            <w:noWrap w:val="0"/>
            <w:vAlign w:val="top"/>
          </w:tcPr>
          <w:p w14:paraId="0B742CFB">
            <w:pPr>
              <w:pStyle w:val="9"/>
              <w:widowControl w:val="0"/>
              <w:ind w:firstLine="0" w:firstLineChars="0"/>
              <w:jc w:val="both"/>
              <w:rPr>
                <w:rFonts w:hint="eastAsia" w:ascii="宋体" w:hAnsi="宋体" w:eastAsia="Times New Roman"/>
                <w:color w:val="000000"/>
                <w:sz w:val="24"/>
                <w:szCs w:val="24"/>
                <w:lang w:val="en-US" w:eastAsia="zh-CN" w:bidi="ar-SA"/>
              </w:rPr>
            </w:pPr>
            <w:r>
              <w:rPr>
                <w:rFonts w:hint="eastAsia" w:ascii="宋体" w:hAnsi="宋体" w:eastAsia="Times New Roman"/>
                <w:color w:val="000000"/>
                <w:sz w:val="24"/>
                <w:szCs w:val="24"/>
              </w:rPr>
              <w:t>响应文件未含有采购人不能接受的附加条件</w:t>
            </w:r>
          </w:p>
        </w:tc>
      </w:tr>
    </w:tbl>
    <w:p w14:paraId="2BA3633D">
      <w:pPr>
        <w:pStyle w:val="9"/>
        <w:ind w:firstLine="482" w:firstLineChars="200"/>
        <w:rPr>
          <w:rFonts w:hint="eastAsia" w:ascii="宋体" w:hAnsi="宋体"/>
          <w:b/>
          <w:bCs/>
          <w:color w:val="auto"/>
          <w:sz w:val="24"/>
          <w:szCs w:val="24"/>
        </w:rPr>
      </w:pPr>
      <w:r>
        <w:rPr>
          <w:rFonts w:hint="eastAsia" w:ascii="宋体" w:hAnsi="宋体"/>
          <w:b/>
          <w:bCs/>
          <w:color w:val="auto"/>
          <w:sz w:val="24"/>
          <w:szCs w:val="24"/>
        </w:rPr>
        <w:t>（三）磋商小组所有成员应当集中与通过符合性审查的单一供应商分别进行磋商，供应商在规定时间内以书面形式递交竞争性磋商承诺及最后报价。</w:t>
      </w:r>
    </w:p>
    <w:p w14:paraId="4C1CFC97">
      <w:pPr>
        <w:pStyle w:val="9"/>
        <w:ind w:firstLine="482" w:firstLineChars="200"/>
        <w:rPr>
          <w:rFonts w:hint="eastAsia" w:ascii="宋体" w:hAnsi="宋体"/>
          <w:b/>
          <w:bCs/>
          <w:color w:val="auto"/>
          <w:sz w:val="24"/>
          <w:szCs w:val="24"/>
        </w:rPr>
      </w:pPr>
      <w:r>
        <w:rPr>
          <w:rFonts w:hint="eastAsia" w:ascii="宋体" w:hAnsi="宋体"/>
          <w:b/>
          <w:bCs/>
          <w:color w:val="auto"/>
          <w:sz w:val="24"/>
          <w:szCs w:val="24"/>
        </w:rPr>
        <w:t>（四）澄清有关问题</w:t>
      </w:r>
    </w:p>
    <w:p w14:paraId="63F490AC">
      <w:pPr>
        <w:pStyle w:val="9"/>
        <w:ind w:firstLine="482" w:firstLineChars="200"/>
        <w:rPr>
          <w:rFonts w:hint="eastAsia" w:ascii="宋体" w:hAnsi="宋体"/>
          <w:b/>
          <w:bCs/>
          <w:color w:val="auto"/>
          <w:sz w:val="24"/>
          <w:szCs w:val="24"/>
        </w:rPr>
      </w:pPr>
      <w:r>
        <w:rPr>
          <w:rFonts w:hint="eastAsia" w:ascii="宋体" w:hAnsi="宋体"/>
          <w:b/>
          <w:bCs/>
          <w:color w:val="auto"/>
          <w:sz w:val="24"/>
          <w:szCs w:val="24"/>
        </w:rPr>
        <w:t>1.响应文件内容澄清</w:t>
      </w:r>
    </w:p>
    <w:p w14:paraId="49234E09">
      <w:pPr>
        <w:pStyle w:val="9"/>
        <w:ind w:firstLine="480" w:firstLineChars="200"/>
        <w:rPr>
          <w:rFonts w:hint="eastAsia" w:ascii="宋体" w:hAnsi="宋体"/>
          <w:color w:val="auto"/>
          <w:sz w:val="24"/>
          <w:szCs w:val="24"/>
        </w:rPr>
      </w:pPr>
      <w:r>
        <w:rPr>
          <w:rFonts w:hint="eastAsia" w:ascii="宋体" w:hAnsi="宋体"/>
          <w:color w:val="auto"/>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ECD8DDA">
      <w:pPr>
        <w:pStyle w:val="9"/>
        <w:ind w:firstLine="480" w:firstLineChars="200"/>
        <w:rPr>
          <w:rFonts w:hint="eastAsia" w:ascii="宋体" w:hAnsi="宋体"/>
          <w:color w:val="auto"/>
          <w:sz w:val="24"/>
          <w:szCs w:val="24"/>
        </w:rPr>
      </w:pPr>
      <w:r>
        <w:rPr>
          <w:rFonts w:hint="eastAsia"/>
          <w:color w:val="auto"/>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B4D731A">
      <w:pPr>
        <w:pStyle w:val="9"/>
        <w:ind w:firstLine="482" w:firstLineChars="200"/>
        <w:rPr>
          <w:rFonts w:hint="eastAsia" w:ascii="宋体" w:hAnsi="宋体"/>
          <w:b/>
          <w:bCs/>
          <w:color w:val="auto"/>
          <w:sz w:val="24"/>
          <w:szCs w:val="24"/>
        </w:rPr>
      </w:pPr>
      <w:r>
        <w:rPr>
          <w:rFonts w:hint="eastAsia" w:ascii="宋体" w:hAnsi="宋体"/>
          <w:b/>
          <w:bCs/>
          <w:color w:val="auto"/>
          <w:sz w:val="24"/>
          <w:szCs w:val="24"/>
        </w:rPr>
        <w:t>2.报价不一致情形澄清</w:t>
      </w:r>
    </w:p>
    <w:p w14:paraId="2A8B7E23">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响应文件报价出现前后不一致的，除竞争性磋商文件另有规定外，按照下列规定修正：</w:t>
      </w:r>
    </w:p>
    <w:p w14:paraId="2EA9E1DE">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（1）响应文件中《报价表》内容与响应文件中相应内容不一致的，以《报价表》为准；</w:t>
      </w:r>
    </w:p>
    <w:p w14:paraId="4D6035E3">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（2）大写金额和小写金额不一致的，以大写金额为准；</w:t>
      </w:r>
    </w:p>
    <w:p w14:paraId="19460AB1">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（3）单价金额小数点或者百分比有明显错位的，以初次报价表的总价为准，并修改单价；</w:t>
      </w:r>
    </w:p>
    <w:p w14:paraId="3886BBCD">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（4）总价金额与按单价汇总金额不一致的，以单价金额计算结果为准。</w:t>
      </w:r>
    </w:p>
    <w:p w14:paraId="26952D45">
      <w:pPr>
        <w:pStyle w:val="9"/>
        <w:ind w:firstLine="480" w:firstLineChars="200"/>
        <w:rPr>
          <w:rFonts w:hint="eastAsia" w:ascii="宋体" w:hAnsi="宋体"/>
          <w:color w:val="auto"/>
          <w:sz w:val="24"/>
          <w:szCs w:val="24"/>
        </w:rPr>
      </w:pPr>
      <w:r>
        <w:rPr>
          <w:rFonts w:hint="eastAsia" w:ascii="宋体" w:hAnsi="宋体"/>
          <w:color w:val="auto"/>
          <w:sz w:val="24"/>
          <w:szCs w:val="24"/>
        </w:rPr>
        <w:t>同时出现两种以上不一致的，按照前款规定的顺序修正。修正后的报价经供应商确认后产生约束力，供应商不确认的，其磋商无效。</w:t>
      </w:r>
    </w:p>
    <w:p w14:paraId="72B30DC0">
      <w:pPr>
        <w:pStyle w:val="9"/>
        <w:ind w:firstLine="482" w:firstLineChars="200"/>
        <w:rPr>
          <w:rFonts w:hint="eastAsia" w:ascii="宋体" w:hAnsi="宋体"/>
          <w:b/>
          <w:bCs/>
          <w:color w:val="auto"/>
          <w:sz w:val="24"/>
          <w:szCs w:val="24"/>
        </w:rPr>
      </w:pPr>
      <w:r>
        <w:rPr>
          <w:rFonts w:hint="eastAsia" w:ascii="宋体" w:hAnsi="宋体"/>
          <w:b/>
          <w:bCs/>
          <w:color w:val="auto"/>
          <w:sz w:val="24"/>
          <w:szCs w:val="24"/>
        </w:rPr>
        <w:t>3.</w:t>
      </w:r>
      <w:r>
        <w:rPr>
          <w:rFonts w:hint="eastAsia"/>
          <w:color w:val="auto"/>
        </w:rPr>
        <w:t xml:space="preserve"> </w:t>
      </w:r>
      <w:r>
        <w:rPr>
          <w:rFonts w:hint="eastAsia" w:ascii="宋体" w:hAnsi="宋体"/>
          <w:b/>
          <w:bCs/>
          <w:color w:val="auto"/>
          <w:sz w:val="24"/>
          <w:szCs w:val="24"/>
        </w:rPr>
        <w:t>报价合理性说明</w:t>
      </w:r>
    </w:p>
    <w:p w14:paraId="604BFE4A">
      <w:pPr>
        <w:pStyle w:val="9"/>
        <w:widowControl w:val="0"/>
        <w:ind w:firstLine="480" w:firstLineChars="200"/>
        <w:rPr>
          <w:rFonts w:hint="eastAsia" w:ascii="宋体" w:hAnsi="宋体"/>
          <w:color w:val="auto"/>
          <w:sz w:val="24"/>
          <w:szCs w:val="24"/>
        </w:rPr>
      </w:pPr>
      <w:r>
        <w:rPr>
          <w:rFonts w:hint="eastAsia" w:ascii="宋体" w:hAnsi="宋体"/>
          <w:color w:val="auto"/>
          <w:sz w:val="24"/>
          <w:szCs w:val="24"/>
        </w:rPr>
        <w:t>磋商小组</w:t>
      </w:r>
      <w:r>
        <w:rPr>
          <w:rFonts w:ascii="宋体" w:hAnsi="宋体"/>
          <w:color w:val="auto"/>
          <w:sz w:val="24"/>
          <w:szCs w:val="24"/>
        </w:rPr>
        <w:t>认为</w:t>
      </w:r>
      <w:r>
        <w:rPr>
          <w:rFonts w:hint="eastAsia" w:ascii="宋体" w:hAnsi="宋体"/>
          <w:color w:val="auto"/>
          <w:sz w:val="24"/>
          <w:szCs w:val="24"/>
        </w:rPr>
        <w:t>供应商</w:t>
      </w:r>
      <w:r>
        <w:rPr>
          <w:rFonts w:ascii="宋体" w:hAnsi="宋体"/>
          <w:color w:val="auto"/>
          <w:sz w:val="24"/>
          <w:szCs w:val="24"/>
        </w:rPr>
        <w:t>的报价明显低于其他通过符合性审查</w:t>
      </w:r>
      <w:r>
        <w:rPr>
          <w:rFonts w:hint="eastAsia" w:ascii="宋体" w:hAnsi="宋体"/>
          <w:color w:val="auto"/>
          <w:sz w:val="24"/>
          <w:szCs w:val="24"/>
        </w:rPr>
        <w:t>供应商</w:t>
      </w:r>
      <w:r>
        <w:rPr>
          <w:rFonts w:ascii="宋体" w:hAnsi="宋体"/>
          <w:color w:val="auto"/>
          <w:sz w:val="24"/>
          <w:szCs w:val="24"/>
        </w:rPr>
        <w:t>的报价，有可能影响产品质量或者不能诚信履约的，应当要求其在</w:t>
      </w:r>
      <w:r>
        <w:rPr>
          <w:rFonts w:hint="eastAsia" w:ascii="宋体" w:hAnsi="宋体"/>
          <w:color w:val="auto"/>
          <w:sz w:val="24"/>
          <w:szCs w:val="24"/>
        </w:rPr>
        <w:t>评审</w:t>
      </w:r>
      <w:r>
        <w:rPr>
          <w:rFonts w:ascii="宋体" w:hAnsi="宋体"/>
          <w:color w:val="auto"/>
          <w:sz w:val="24"/>
          <w:szCs w:val="24"/>
        </w:rPr>
        <w:t>现场合理的时间内提供书面说明，必要时提交相关证明材料；</w:t>
      </w:r>
      <w:r>
        <w:rPr>
          <w:rFonts w:hint="eastAsia" w:ascii="宋体" w:hAnsi="宋体"/>
          <w:color w:val="auto"/>
          <w:sz w:val="24"/>
          <w:szCs w:val="24"/>
        </w:rPr>
        <w:t>供应商</w:t>
      </w:r>
      <w:r>
        <w:rPr>
          <w:rFonts w:ascii="宋体" w:hAnsi="宋体"/>
          <w:color w:val="auto"/>
          <w:sz w:val="24"/>
          <w:szCs w:val="24"/>
        </w:rPr>
        <w:t>不能证明其报价合理性的，</w:t>
      </w:r>
      <w:r>
        <w:rPr>
          <w:rFonts w:hint="eastAsia" w:ascii="宋体" w:hAnsi="宋体"/>
          <w:color w:val="auto"/>
          <w:sz w:val="24"/>
          <w:szCs w:val="24"/>
        </w:rPr>
        <w:t>磋商小组</w:t>
      </w:r>
      <w:r>
        <w:rPr>
          <w:rFonts w:ascii="宋体" w:hAnsi="宋体"/>
          <w:color w:val="auto"/>
          <w:sz w:val="24"/>
          <w:szCs w:val="24"/>
        </w:rPr>
        <w:t>应当将其作为无效</w:t>
      </w:r>
      <w:r>
        <w:rPr>
          <w:rFonts w:hint="eastAsia" w:ascii="宋体" w:hAnsi="宋体"/>
          <w:color w:val="auto"/>
          <w:sz w:val="24"/>
          <w:szCs w:val="24"/>
        </w:rPr>
        <w:t>磋商</w:t>
      </w:r>
      <w:r>
        <w:rPr>
          <w:rFonts w:ascii="宋体" w:hAnsi="宋体"/>
          <w:color w:val="auto"/>
          <w:sz w:val="24"/>
          <w:szCs w:val="24"/>
        </w:rPr>
        <w:t>处理。</w:t>
      </w:r>
    </w:p>
    <w:p w14:paraId="71BFE8AE">
      <w:pPr>
        <w:spacing w:line="500" w:lineRule="exact"/>
        <w:ind w:firstLine="482" w:firstLineChars="200"/>
        <w:rPr>
          <w:rFonts w:hint="eastAsia" w:ascii="宋体" w:hAnsi="宋体"/>
          <w:b/>
          <w:bCs/>
          <w:color w:val="auto"/>
          <w:sz w:val="24"/>
          <w:szCs w:val="24"/>
        </w:rPr>
      </w:pPr>
      <w:r>
        <w:rPr>
          <w:rFonts w:hint="eastAsia" w:ascii="宋体" w:hAnsi="宋体"/>
          <w:b/>
          <w:bCs/>
          <w:color w:val="auto"/>
          <w:sz w:val="24"/>
          <w:szCs w:val="24"/>
        </w:rPr>
        <w:t>（五）</w:t>
      </w:r>
      <w:r>
        <w:rPr>
          <w:rFonts w:hint="eastAsia" w:ascii="宋体" w:hAnsi="宋体"/>
          <w:b/>
          <w:bCs/>
          <w:color w:val="auto"/>
          <w:sz w:val="24"/>
          <w:szCs w:val="24"/>
          <w:highlight w:val="none"/>
          <w:lang w:eastAsia="zh-CN"/>
        </w:rPr>
        <w:t>政府采购政策</w:t>
      </w:r>
    </w:p>
    <w:p w14:paraId="6BF445E0">
      <w:pPr>
        <w:widowControl w:val="0"/>
        <w:spacing w:line="460" w:lineRule="exact"/>
        <w:ind w:firstLine="472" w:firstLineChars="196"/>
        <w:jc w:val="both"/>
        <w:rPr>
          <w:rFonts w:hint="eastAsia" w:ascii="宋体" w:hAnsi="宋体"/>
          <w:b/>
          <w:bCs/>
          <w:color w:val="auto"/>
          <w:sz w:val="24"/>
          <w:szCs w:val="24"/>
          <w:highlight w:val="none"/>
        </w:rPr>
      </w:pPr>
      <w:r>
        <w:rPr>
          <w:rFonts w:hint="eastAsia" w:ascii="宋体" w:hAnsi="宋体"/>
          <w:b/>
          <w:bCs/>
          <w:color w:val="auto"/>
          <w:sz w:val="24"/>
          <w:szCs w:val="24"/>
        </w:rPr>
        <w:t>1.</w:t>
      </w:r>
      <w:r>
        <w:rPr>
          <w:rFonts w:hint="eastAsia" w:ascii="宋体" w:hAnsi="宋体"/>
          <w:b/>
          <w:bCs/>
          <w:color w:val="auto"/>
          <w:sz w:val="24"/>
          <w:szCs w:val="24"/>
          <w:highlight w:val="none"/>
          <w:lang w:val="en-US" w:eastAsia="zh-CN"/>
        </w:rPr>
        <w:t>小微企业优惠政策</w:t>
      </w:r>
    </w:p>
    <w:p w14:paraId="5532845C">
      <w:pPr>
        <w:pStyle w:val="8"/>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bidi="ar-SA"/>
        </w:rPr>
        <w:t>根据《政府采购促进中小企业发展管理办法》（财库</w:t>
      </w:r>
      <w:r>
        <w:rPr>
          <w:rFonts w:hint="eastAsia" w:ascii="宋体" w:hAnsi="宋体" w:eastAsia="宋体" w:cs="宋体"/>
          <w:sz w:val="24"/>
          <w:szCs w:val="24"/>
          <w:lang w:val="en-US" w:eastAsia="zh-CN" w:bidi="ar-SA"/>
        </w:rPr>
        <w:t>〔2020〕46号)的规定，对符合国家统计局《统计上大中小微型企业划分办法（2017）》规定条件</w:t>
      </w:r>
      <w:r>
        <w:rPr>
          <w:rFonts w:hint="eastAsia" w:ascii="宋体" w:hAnsi="宋体" w:eastAsia="宋体" w:cs="宋体"/>
          <w:sz w:val="24"/>
          <w:szCs w:val="24"/>
          <w:u w:val="single"/>
          <w:lang w:val="en-US" w:eastAsia="zh-CN" w:bidi="ar-SA"/>
        </w:rPr>
        <w:t>建筑业</w:t>
      </w:r>
      <w:r>
        <w:rPr>
          <w:rFonts w:hint="eastAsia" w:ascii="宋体" w:hAnsi="宋体" w:eastAsia="宋体" w:cs="宋体"/>
          <w:sz w:val="24"/>
          <w:szCs w:val="24"/>
          <w:lang w:val="en-US" w:eastAsia="zh-CN" w:bidi="ar-SA"/>
        </w:rPr>
        <w:t>行业的小微企业报价给予3%的扣除，用扣除后的价格参加评审</w:t>
      </w:r>
      <w:r>
        <w:rPr>
          <w:rFonts w:hint="eastAsia" w:ascii="宋体" w:hAnsi="宋体" w:eastAsia="宋体" w:cs="宋体"/>
          <w:sz w:val="24"/>
          <w:szCs w:val="24"/>
          <w:highlight w:val="none"/>
          <w:lang w:val="en-US" w:eastAsia="zh-CN" w:bidi="ar-SA"/>
        </w:rPr>
        <w:t>。</w:t>
      </w:r>
    </w:p>
    <w:p w14:paraId="1005B34D">
      <w:pPr>
        <w:pStyle w:val="8"/>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请供应商根据《政府采购促进中小企业发展管理办法》（财库〔2020〕46号)的规定，提供《中小企业声明函》，未提供的小微企业不享受价格评审优惠政策。供应商对《中小企业声明函》的真实性负责，如有虚假，采购人将向监管部门反映，供应商依法承担相应责任。</w:t>
      </w:r>
    </w:p>
    <w:p w14:paraId="12FF1848">
      <w:pPr>
        <w:spacing w:line="460" w:lineRule="exact"/>
        <w:ind w:firstLine="480" w:firstLineChars="200"/>
        <w:rPr>
          <w:rFonts w:hint="eastAsia" w:ascii="宋体" w:hAnsi="宋体"/>
          <w:b/>
          <w:bCs/>
          <w:sz w:val="24"/>
          <w:szCs w:val="24"/>
        </w:rPr>
      </w:pPr>
      <w:r>
        <w:rPr>
          <w:rFonts w:hint="eastAsia" w:ascii="宋体" w:hAnsi="宋体" w:eastAsia="宋体" w:cs="Times New Roman"/>
          <w:b w:val="0"/>
          <w:bCs w:val="0"/>
          <w:color w:val="auto"/>
          <w:kern w:val="0"/>
          <w:sz w:val="24"/>
          <w:szCs w:val="24"/>
          <w:highlight w:val="none"/>
          <w:lang w:val="en-US" w:eastAsia="zh-CN"/>
        </w:rPr>
        <w:t>其他未尽事宜，按照《政府采购促进中小企业发展管理办法》（财库〔2020〕46号)规定执行。</w:t>
      </w:r>
    </w:p>
    <w:p w14:paraId="41D88E22">
      <w:pPr>
        <w:autoSpaceDE w:val="0"/>
        <w:autoSpaceDN w:val="0"/>
        <w:spacing w:line="480" w:lineRule="exact"/>
        <w:ind w:firstLine="472" w:firstLineChars="196"/>
        <w:rPr>
          <w:rFonts w:hint="eastAsia" w:ascii="宋体" w:hAnsi="宋体"/>
          <w:b/>
          <w:bCs/>
          <w:sz w:val="24"/>
          <w:szCs w:val="24"/>
        </w:rPr>
      </w:pPr>
      <w:r>
        <w:rPr>
          <w:rFonts w:hint="eastAsia" w:ascii="宋体" w:hAnsi="宋体"/>
          <w:b/>
          <w:bCs/>
          <w:sz w:val="24"/>
          <w:szCs w:val="24"/>
        </w:rPr>
        <w:t>2.监狱企业优惠政策</w:t>
      </w:r>
    </w:p>
    <w:p w14:paraId="42C2279D">
      <w:pPr>
        <w:autoSpaceDE w:val="0"/>
        <w:autoSpaceDN w:val="0"/>
        <w:spacing w:line="480" w:lineRule="exact"/>
        <w:ind w:left="-15" w:leftChars="-7" w:firstLine="480" w:firstLineChars="200"/>
        <w:rPr>
          <w:rFonts w:hint="eastAsia" w:ascii="宋体" w:hAnsi="宋体"/>
          <w:sz w:val="24"/>
          <w:szCs w:val="24"/>
        </w:rPr>
      </w:pPr>
      <w:r>
        <w:rPr>
          <w:rFonts w:hint="eastAsia" w:ascii="宋体" w:hAnsi="宋体"/>
          <w:sz w:val="24"/>
          <w:szCs w:val="24"/>
        </w:rPr>
        <w:t>根据《关于政府采购支持监狱企业发展有关问题的通知》（财库[2014]68号）的规定，监狱企业</w:t>
      </w:r>
      <w:r>
        <w:rPr>
          <w:rFonts w:hint="eastAsia" w:ascii="宋体" w:hAnsi="宋体"/>
          <w:kern w:val="2"/>
          <w:sz w:val="24"/>
          <w:szCs w:val="24"/>
        </w:rPr>
        <w:t>优惠政策</w:t>
      </w:r>
      <w:r>
        <w:rPr>
          <w:rFonts w:hint="eastAsia" w:ascii="宋体" w:hAnsi="宋体"/>
          <w:sz w:val="24"/>
          <w:szCs w:val="24"/>
        </w:rPr>
        <w:t>，监狱企业参与本项目磋商时，提供由省级以上监狱管理局、戒毒管理局（含新疆生产建设兵团）出具的属于监狱企业的证明文件的，视同小型、微型企业享受价格扣除等优惠政策。</w:t>
      </w:r>
    </w:p>
    <w:p w14:paraId="545DF0A4">
      <w:pPr>
        <w:autoSpaceDE w:val="0"/>
        <w:autoSpaceDN w:val="0"/>
        <w:spacing w:line="480" w:lineRule="exact"/>
        <w:ind w:firstLine="472" w:firstLineChars="196"/>
        <w:rPr>
          <w:rFonts w:hint="eastAsia" w:ascii="宋体" w:hAnsi="宋体"/>
          <w:b/>
          <w:bCs/>
          <w:sz w:val="24"/>
          <w:szCs w:val="24"/>
        </w:rPr>
      </w:pPr>
      <w:r>
        <w:rPr>
          <w:rFonts w:hint="eastAsia" w:ascii="宋体" w:hAnsi="宋体"/>
          <w:b/>
          <w:bCs/>
          <w:sz w:val="24"/>
          <w:szCs w:val="24"/>
        </w:rPr>
        <w:t>3.残疾人福利性单位优惠政策</w:t>
      </w:r>
    </w:p>
    <w:p w14:paraId="50297A03">
      <w:pPr>
        <w:autoSpaceDE w:val="0"/>
        <w:spacing w:line="360" w:lineRule="auto"/>
        <w:ind w:firstLine="480" w:firstLineChars="200"/>
        <w:rPr>
          <w:rFonts w:hint="eastAsia" w:ascii="宋体" w:hAnsi="宋体"/>
          <w:b/>
          <w:sz w:val="24"/>
          <w:szCs w:val="24"/>
        </w:rPr>
      </w:pPr>
      <w:r>
        <w:rPr>
          <w:rFonts w:hint="eastAsia" w:ascii="宋体" w:hAnsi="宋体"/>
          <w:sz w:val="24"/>
          <w:szCs w:val="24"/>
        </w:rPr>
        <w:t>根据《关于促进残疾人就业政府采购政策的通知》（财库[2017]141号）的规定，残疾人福利性单位</w:t>
      </w:r>
      <w:r>
        <w:rPr>
          <w:rFonts w:hint="eastAsia" w:ascii="宋体" w:hAnsi="宋体"/>
          <w:kern w:val="2"/>
          <w:sz w:val="24"/>
          <w:szCs w:val="24"/>
        </w:rPr>
        <w:t>优惠政策</w:t>
      </w:r>
      <w:r>
        <w:rPr>
          <w:rFonts w:hint="eastAsia" w:ascii="宋体" w:hAnsi="宋体"/>
          <w:sz w:val="24"/>
          <w:szCs w:val="24"/>
        </w:rPr>
        <w:t>，残疾人福利性单位参与本项目磋商时，提供《残疾人福利性单位声明函》并对声明的真实性负责，视同小型、微型企业享受价格扣除等优惠政策。</w:t>
      </w:r>
      <w:r>
        <w:rPr>
          <w:rFonts w:hint="eastAsia" w:ascii="宋体" w:hAnsi="宋体"/>
          <w:b/>
          <w:sz w:val="24"/>
          <w:szCs w:val="24"/>
        </w:rPr>
        <w:t>供应商对《残疾人福利性单位声明函》的真实性负责，如有虚假，自行承担相应责任。</w:t>
      </w:r>
    </w:p>
    <w:p w14:paraId="4A92A9B5">
      <w:pPr>
        <w:autoSpaceDE w:val="0"/>
        <w:autoSpaceDN w:val="0"/>
        <w:spacing w:line="480" w:lineRule="exact"/>
        <w:ind w:firstLine="472" w:firstLineChars="196"/>
        <w:rPr>
          <w:rFonts w:hint="eastAsia" w:ascii="宋体" w:hAnsi="宋体"/>
          <w:b/>
          <w:bCs/>
          <w:sz w:val="24"/>
          <w:szCs w:val="24"/>
        </w:rPr>
      </w:pPr>
      <w:r>
        <w:rPr>
          <w:rFonts w:hint="eastAsia" w:ascii="宋体" w:hAnsi="宋体"/>
          <w:b/>
          <w:bCs/>
          <w:sz w:val="24"/>
          <w:szCs w:val="24"/>
        </w:rPr>
        <w:t>4.节能产品及环境标志产品政策</w:t>
      </w:r>
    </w:p>
    <w:p w14:paraId="019911F6">
      <w:pPr>
        <w:pStyle w:val="9"/>
        <w:spacing w:line="480" w:lineRule="exact"/>
        <w:ind w:firstLine="480" w:firstLineChars="200"/>
        <w:rPr>
          <w:rFonts w:hint="eastAsia" w:ascii="宋体" w:hAnsi="宋体"/>
          <w:sz w:val="24"/>
          <w:szCs w:val="24"/>
        </w:rPr>
      </w:pPr>
      <w:r>
        <w:rPr>
          <w:rFonts w:hint="eastAsia" w:ascii="宋体" w:hAnsi="宋体"/>
          <w:sz w:val="24"/>
          <w:szCs w:val="24"/>
        </w:rPr>
        <w:t>按照“财政部 发展改革委 生态环境部 市场监管总局 关于调整优化节能产品、环境标志产品政府采购执行机制的通知”财库〔2019〕9号的规定执行。</w:t>
      </w:r>
    </w:p>
    <w:p w14:paraId="51B7C22F">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5.综合评分方式</w:t>
      </w:r>
    </w:p>
    <w:tbl>
      <w:tblPr>
        <w:tblStyle w:val="2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212"/>
        <w:gridCol w:w="2334"/>
        <w:gridCol w:w="3867"/>
      </w:tblGrid>
      <w:tr w14:paraId="529CF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1706" w:type="pct"/>
            <w:noWrap w:val="0"/>
            <w:vAlign w:val="top"/>
          </w:tcPr>
          <w:p w14:paraId="23A29D5C">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sz w:val="24"/>
                <w:szCs w:val="24"/>
                <w:highlight w:val="none"/>
              </w:rPr>
            </w:pPr>
            <w:r>
              <w:rPr>
                <w:spacing w:val="-3"/>
                <w:sz w:val="24"/>
                <w:szCs w:val="24"/>
                <w:highlight w:val="none"/>
              </w:rPr>
              <w:t>评分因素</w:t>
            </w:r>
          </w:p>
        </w:tc>
        <w:tc>
          <w:tcPr>
            <w:tcW w:w="1239" w:type="pct"/>
            <w:noWrap w:val="0"/>
            <w:vAlign w:val="top"/>
          </w:tcPr>
          <w:p w14:paraId="713A8F2B">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sz w:val="24"/>
                <w:szCs w:val="24"/>
                <w:highlight w:val="none"/>
              </w:rPr>
            </w:pPr>
            <w:r>
              <w:rPr>
                <w:spacing w:val="-5"/>
                <w:sz w:val="24"/>
                <w:szCs w:val="24"/>
                <w:highlight w:val="none"/>
              </w:rPr>
              <w:t>权重</w:t>
            </w:r>
          </w:p>
        </w:tc>
        <w:tc>
          <w:tcPr>
            <w:tcW w:w="2053" w:type="pct"/>
            <w:noWrap w:val="0"/>
            <w:vAlign w:val="top"/>
          </w:tcPr>
          <w:p w14:paraId="41348E06">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sz w:val="24"/>
                <w:szCs w:val="24"/>
                <w:highlight w:val="none"/>
              </w:rPr>
            </w:pPr>
            <w:r>
              <w:rPr>
                <w:spacing w:val="-4"/>
                <w:sz w:val="24"/>
                <w:szCs w:val="24"/>
                <w:highlight w:val="none"/>
              </w:rPr>
              <w:t>分值分配</w:t>
            </w:r>
          </w:p>
        </w:tc>
      </w:tr>
      <w:tr w14:paraId="4B1D2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706" w:type="pct"/>
            <w:noWrap w:val="0"/>
            <w:vAlign w:val="top"/>
          </w:tcPr>
          <w:p w14:paraId="5EE28A3E">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rFonts w:hint="eastAsia" w:eastAsia="宋体"/>
                <w:sz w:val="24"/>
                <w:szCs w:val="24"/>
                <w:highlight w:val="none"/>
                <w:lang w:val="en-US" w:eastAsia="zh-CN"/>
              </w:rPr>
            </w:pPr>
            <w:r>
              <w:rPr>
                <w:spacing w:val="-3"/>
                <w:sz w:val="24"/>
                <w:szCs w:val="24"/>
                <w:highlight w:val="none"/>
              </w:rPr>
              <w:t>磋商报价</w:t>
            </w:r>
            <w:r>
              <w:rPr>
                <w:rFonts w:hint="eastAsia"/>
                <w:spacing w:val="-3"/>
                <w:sz w:val="24"/>
                <w:szCs w:val="24"/>
                <w:highlight w:val="none"/>
                <w:lang w:val="en-US" w:eastAsia="zh-CN"/>
              </w:rPr>
              <w:t>部分</w:t>
            </w:r>
          </w:p>
        </w:tc>
        <w:tc>
          <w:tcPr>
            <w:tcW w:w="1239" w:type="pct"/>
            <w:noWrap w:val="0"/>
            <w:vAlign w:val="top"/>
          </w:tcPr>
          <w:p w14:paraId="703F6EA8">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rFonts w:hint="eastAsia" w:eastAsia="宋体"/>
                <w:sz w:val="24"/>
                <w:szCs w:val="24"/>
                <w:highlight w:val="none"/>
                <w:lang w:eastAsia="zh-CN"/>
              </w:rPr>
            </w:pPr>
            <w:r>
              <w:rPr>
                <w:spacing w:val="-4"/>
                <w:sz w:val="24"/>
                <w:szCs w:val="24"/>
                <w:highlight w:val="none"/>
              </w:rPr>
              <w:t>0.</w:t>
            </w:r>
            <w:r>
              <w:rPr>
                <w:rFonts w:hint="eastAsia"/>
                <w:spacing w:val="-4"/>
                <w:sz w:val="24"/>
                <w:szCs w:val="24"/>
                <w:highlight w:val="none"/>
                <w:lang w:val="en-US" w:eastAsia="zh-CN"/>
              </w:rPr>
              <w:t>1</w:t>
            </w:r>
          </w:p>
        </w:tc>
        <w:tc>
          <w:tcPr>
            <w:tcW w:w="2053" w:type="pct"/>
            <w:noWrap w:val="0"/>
            <w:vAlign w:val="top"/>
          </w:tcPr>
          <w:p w14:paraId="3CBD3F4B">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sz w:val="24"/>
                <w:szCs w:val="24"/>
                <w:highlight w:val="none"/>
              </w:rPr>
            </w:pPr>
            <w:r>
              <w:rPr>
                <w:rFonts w:hint="eastAsia"/>
                <w:spacing w:val="-5"/>
                <w:sz w:val="24"/>
                <w:szCs w:val="24"/>
                <w:highlight w:val="none"/>
                <w:lang w:val="en-US" w:eastAsia="zh-CN"/>
              </w:rPr>
              <w:t>10</w:t>
            </w:r>
            <w:r>
              <w:rPr>
                <w:spacing w:val="-5"/>
                <w:sz w:val="24"/>
                <w:szCs w:val="24"/>
                <w:highlight w:val="none"/>
              </w:rPr>
              <w:t>分</w:t>
            </w:r>
          </w:p>
        </w:tc>
      </w:tr>
      <w:tr w14:paraId="137D5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jc w:val="center"/>
        </w:trPr>
        <w:tc>
          <w:tcPr>
            <w:tcW w:w="1706" w:type="pct"/>
            <w:noWrap w:val="0"/>
            <w:vAlign w:val="top"/>
          </w:tcPr>
          <w:p w14:paraId="24AE02DD">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sz w:val="24"/>
                <w:szCs w:val="24"/>
                <w:highlight w:val="none"/>
              </w:rPr>
            </w:pPr>
            <w:r>
              <w:rPr>
                <w:rFonts w:hint="eastAsia"/>
                <w:sz w:val="24"/>
                <w:szCs w:val="24"/>
                <w:highlight w:val="none"/>
                <w:lang w:val="en-US" w:eastAsia="zh-CN"/>
              </w:rPr>
              <w:t>商务</w:t>
            </w:r>
            <w:r>
              <w:rPr>
                <w:rFonts w:hint="eastAsia"/>
                <w:sz w:val="24"/>
                <w:szCs w:val="24"/>
                <w:highlight w:val="none"/>
              </w:rPr>
              <w:t>技术部分</w:t>
            </w:r>
          </w:p>
        </w:tc>
        <w:tc>
          <w:tcPr>
            <w:tcW w:w="1239" w:type="pct"/>
            <w:noWrap w:val="0"/>
            <w:vAlign w:val="top"/>
          </w:tcPr>
          <w:p w14:paraId="45172773">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rFonts w:hint="eastAsia" w:eastAsia="宋体"/>
                <w:sz w:val="24"/>
                <w:szCs w:val="24"/>
                <w:highlight w:val="none"/>
                <w:lang w:eastAsia="zh-CN"/>
              </w:rPr>
            </w:pPr>
            <w:r>
              <w:rPr>
                <w:spacing w:val="-4"/>
                <w:sz w:val="24"/>
                <w:szCs w:val="24"/>
                <w:highlight w:val="none"/>
              </w:rPr>
              <w:t>0.</w:t>
            </w:r>
            <w:r>
              <w:rPr>
                <w:rFonts w:hint="eastAsia"/>
                <w:spacing w:val="-4"/>
                <w:sz w:val="24"/>
                <w:szCs w:val="24"/>
                <w:highlight w:val="none"/>
                <w:lang w:val="en-US" w:eastAsia="zh-CN"/>
              </w:rPr>
              <w:t>9</w:t>
            </w:r>
          </w:p>
        </w:tc>
        <w:tc>
          <w:tcPr>
            <w:tcW w:w="2053" w:type="pct"/>
            <w:noWrap w:val="0"/>
            <w:vAlign w:val="top"/>
          </w:tcPr>
          <w:p w14:paraId="5552318C">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sz w:val="24"/>
                <w:szCs w:val="24"/>
                <w:highlight w:val="none"/>
              </w:rPr>
            </w:pPr>
            <w:r>
              <w:rPr>
                <w:rFonts w:hint="eastAsia"/>
                <w:spacing w:val="-6"/>
                <w:sz w:val="24"/>
                <w:szCs w:val="24"/>
                <w:highlight w:val="none"/>
                <w:lang w:val="en-US" w:eastAsia="zh-CN"/>
              </w:rPr>
              <w:t>90</w:t>
            </w:r>
            <w:r>
              <w:rPr>
                <w:spacing w:val="-6"/>
                <w:sz w:val="24"/>
                <w:szCs w:val="24"/>
                <w:highlight w:val="none"/>
              </w:rPr>
              <w:t>分</w:t>
            </w:r>
          </w:p>
        </w:tc>
      </w:tr>
      <w:tr w14:paraId="1C002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jc w:val="center"/>
        </w:trPr>
        <w:tc>
          <w:tcPr>
            <w:tcW w:w="1706" w:type="pct"/>
            <w:noWrap w:val="0"/>
            <w:vAlign w:val="top"/>
          </w:tcPr>
          <w:p w14:paraId="4FD88584">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rFonts w:hint="eastAsia" w:eastAsia="宋体"/>
                <w:spacing w:val="-2"/>
                <w:sz w:val="24"/>
                <w:szCs w:val="24"/>
                <w:highlight w:val="none"/>
                <w:lang w:val="en-US" w:eastAsia="zh-CN"/>
              </w:rPr>
            </w:pPr>
            <w:r>
              <w:rPr>
                <w:rFonts w:hint="eastAsia"/>
                <w:spacing w:val="-2"/>
                <w:sz w:val="24"/>
                <w:szCs w:val="24"/>
                <w:highlight w:val="none"/>
                <w:lang w:val="en-US" w:eastAsia="zh-CN"/>
              </w:rPr>
              <w:t>合计</w:t>
            </w:r>
          </w:p>
        </w:tc>
        <w:tc>
          <w:tcPr>
            <w:tcW w:w="1239" w:type="pct"/>
            <w:noWrap w:val="0"/>
            <w:vAlign w:val="top"/>
          </w:tcPr>
          <w:p w14:paraId="030635AD">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rFonts w:hint="eastAsia" w:eastAsia="宋体"/>
                <w:spacing w:val="-4"/>
                <w:sz w:val="24"/>
                <w:szCs w:val="24"/>
                <w:highlight w:val="none"/>
                <w:lang w:val="en-US" w:eastAsia="zh-CN"/>
              </w:rPr>
            </w:pPr>
            <w:r>
              <w:rPr>
                <w:rFonts w:hint="eastAsia"/>
                <w:spacing w:val="-4"/>
                <w:sz w:val="24"/>
                <w:szCs w:val="24"/>
                <w:highlight w:val="none"/>
                <w:lang w:val="en-US" w:eastAsia="zh-CN"/>
              </w:rPr>
              <w:t>1</w:t>
            </w:r>
          </w:p>
        </w:tc>
        <w:tc>
          <w:tcPr>
            <w:tcW w:w="2053" w:type="pct"/>
            <w:noWrap w:val="0"/>
            <w:vAlign w:val="top"/>
          </w:tcPr>
          <w:p w14:paraId="0286866F">
            <w:pPr>
              <w:pStyle w:val="24"/>
              <w:keepNext w:val="0"/>
              <w:keepLines w:val="0"/>
              <w:pageBreakBefore w:val="0"/>
              <w:widowControl/>
              <w:kinsoku/>
              <w:wordWrap/>
              <w:overflowPunct/>
              <w:topLinePunct w:val="0"/>
              <w:autoSpaceDE/>
              <w:autoSpaceDN/>
              <w:bidi w:val="0"/>
              <w:adjustRightInd/>
              <w:snapToGrid/>
              <w:spacing w:line="400" w:lineRule="exact"/>
              <w:ind w:left="0"/>
              <w:jc w:val="center"/>
              <w:textAlignment w:val="auto"/>
              <w:rPr>
                <w:rFonts w:hint="default" w:eastAsia="宋体"/>
                <w:spacing w:val="-6"/>
                <w:sz w:val="24"/>
                <w:szCs w:val="24"/>
                <w:highlight w:val="none"/>
                <w:lang w:val="en-US" w:eastAsia="zh-CN"/>
              </w:rPr>
            </w:pPr>
            <w:r>
              <w:rPr>
                <w:rFonts w:hint="eastAsia"/>
                <w:spacing w:val="-6"/>
                <w:sz w:val="24"/>
                <w:szCs w:val="24"/>
                <w:highlight w:val="none"/>
                <w:lang w:val="en-US" w:eastAsia="zh-CN"/>
              </w:rPr>
              <w:t>100分</w:t>
            </w:r>
          </w:p>
        </w:tc>
      </w:tr>
    </w:tbl>
    <w:p w14:paraId="64658D83">
      <w:pPr>
        <w:autoSpaceDE w:val="0"/>
        <w:autoSpaceDN w:val="0"/>
        <w:spacing w:line="480" w:lineRule="exact"/>
        <w:ind w:firstLine="470" w:firstLineChars="196"/>
        <w:rPr>
          <w:rFonts w:hint="eastAsia" w:ascii="宋体" w:hAnsi="宋体"/>
          <w:b w:val="0"/>
          <w:bCs w:val="0"/>
          <w:sz w:val="24"/>
          <w:szCs w:val="24"/>
          <w:highlight w:val="none"/>
        </w:rPr>
      </w:pPr>
      <w:r>
        <w:rPr>
          <w:rFonts w:hint="eastAsia" w:ascii="宋体" w:hAnsi="宋体"/>
          <w:b w:val="0"/>
          <w:bCs w:val="0"/>
          <w:sz w:val="24"/>
          <w:szCs w:val="24"/>
          <w:highlight w:val="none"/>
        </w:rPr>
        <w:t>具体评审细则如下：</w:t>
      </w:r>
    </w:p>
    <w:tbl>
      <w:tblPr>
        <w:tblStyle w:val="17"/>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7"/>
        <w:gridCol w:w="921"/>
        <w:gridCol w:w="7632"/>
      </w:tblGrid>
      <w:tr w14:paraId="19820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397" w:type="dxa"/>
            <w:noWrap w:val="0"/>
            <w:vAlign w:val="center"/>
          </w:tcPr>
          <w:p w14:paraId="3A848A9F">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评审项目</w:t>
            </w:r>
          </w:p>
        </w:tc>
        <w:tc>
          <w:tcPr>
            <w:tcW w:w="921" w:type="dxa"/>
            <w:noWrap w:val="0"/>
            <w:vAlign w:val="center"/>
          </w:tcPr>
          <w:p w14:paraId="03200030">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分值</w:t>
            </w:r>
          </w:p>
        </w:tc>
        <w:tc>
          <w:tcPr>
            <w:tcW w:w="7632" w:type="dxa"/>
            <w:noWrap w:val="0"/>
            <w:vAlign w:val="center"/>
          </w:tcPr>
          <w:p w14:paraId="735F11C0">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评分标准</w:t>
            </w:r>
          </w:p>
        </w:tc>
      </w:tr>
      <w:tr w14:paraId="08E5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noWrap w:val="0"/>
            <w:vAlign w:val="center"/>
          </w:tcPr>
          <w:p w14:paraId="44CBC679">
            <w:pPr>
              <w:keepNext w:val="0"/>
              <w:keepLines w:val="0"/>
              <w:pageBreakBefore w:val="0"/>
              <w:kinsoku/>
              <w:wordWrap/>
              <w:overflowPunct/>
              <w:topLinePunct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val="0"/>
                <w:color w:val="auto"/>
                <w:sz w:val="24"/>
                <w:highlight w:val="none"/>
                <w:lang w:val="en-US" w:eastAsia="zh-CN"/>
              </w:rPr>
              <w:t>磋商</w:t>
            </w:r>
            <w:r>
              <w:rPr>
                <w:rFonts w:hint="eastAsia" w:ascii="宋体" w:hAnsi="宋体" w:eastAsia="宋体" w:cs="宋体"/>
                <w:b/>
                <w:bCs w:val="0"/>
                <w:color w:val="auto"/>
                <w:sz w:val="24"/>
                <w:highlight w:val="none"/>
              </w:rPr>
              <w:t>报价</w:t>
            </w:r>
            <w:r>
              <w:rPr>
                <w:rFonts w:hint="eastAsia" w:ascii="宋体" w:hAnsi="宋体" w:eastAsia="宋体" w:cs="宋体"/>
                <w:b/>
                <w:bCs w:val="0"/>
                <w:color w:val="auto"/>
                <w:sz w:val="24"/>
                <w:highlight w:val="none"/>
                <w:lang w:val="en-US" w:eastAsia="zh-CN"/>
              </w:rPr>
              <w:t>部分评审</w:t>
            </w:r>
          </w:p>
        </w:tc>
        <w:tc>
          <w:tcPr>
            <w:tcW w:w="921" w:type="dxa"/>
            <w:noWrap w:val="0"/>
            <w:vAlign w:val="center"/>
          </w:tcPr>
          <w:p w14:paraId="54AD7FE4">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b/>
                <w:bCs w:val="0"/>
                <w:color w:val="auto"/>
                <w:sz w:val="24"/>
                <w:highlight w:val="none"/>
                <w:lang w:val="en-US" w:eastAsia="zh-CN"/>
              </w:rPr>
              <w:t>1</w:t>
            </w:r>
            <w:r>
              <w:rPr>
                <w:rFonts w:hint="eastAsia" w:ascii="宋体" w:hAnsi="宋体" w:eastAsia="宋体" w:cs="宋体"/>
                <w:b/>
                <w:bCs w:val="0"/>
                <w:color w:val="auto"/>
                <w:sz w:val="24"/>
                <w:highlight w:val="none"/>
                <w:lang w:val="en-US" w:eastAsia="zh-CN"/>
              </w:rPr>
              <w:t>0分</w:t>
            </w:r>
          </w:p>
        </w:tc>
        <w:tc>
          <w:tcPr>
            <w:tcW w:w="7632" w:type="dxa"/>
            <w:noWrap w:val="0"/>
            <w:vAlign w:val="center"/>
          </w:tcPr>
          <w:p w14:paraId="1B24215F">
            <w:pPr>
              <w:adjustRightInd w:val="0"/>
              <w:snapToGrid w:val="0"/>
              <w:spacing w:line="480" w:lineRule="exact"/>
              <w:rPr>
                <w:rFonts w:hint="eastAsia" w:ascii="宋体" w:hAnsi="宋体"/>
                <w:spacing w:val="6"/>
                <w:sz w:val="24"/>
                <w:szCs w:val="24"/>
                <w:highlight w:val="none"/>
              </w:rPr>
            </w:pPr>
            <w:r>
              <w:rPr>
                <w:rFonts w:hint="eastAsia" w:ascii="宋体" w:hAnsi="宋体"/>
                <w:spacing w:val="6"/>
                <w:sz w:val="24"/>
                <w:szCs w:val="24"/>
                <w:highlight w:val="none"/>
              </w:rPr>
              <w:t>根据各供应商磋商报价按照以下规则进行打分。</w:t>
            </w:r>
          </w:p>
          <w:p w14:paraId="09506B1B">
            <w:pPr>
              <w:adjustRightInd w:val="0"/>
              <w:snapToGrid w:val="0"/>
              <w:spacing w:line="480" w:lineRule="exact"/>
              <w:rPr>
                <w:rFonts w:hint="eastAsia" w:ascii="宋体" w:hAnsi="宋体"/>
                <w:b/>
                <w:bCs/>
                <w:sz w:val="24"/>
                <w:szCs w:val="24"/>
                <w:highlight w:val="none"/>
              </w:rPr>
            </w:pPr>
            <w:r>
              <w:rPr>
                <w:rFonts w:hint="eastAsia" w:ascii="宋体" w:hAnsi="宋体"/>
                <w:b/>
                <w:bCs/>
                <w:sz w:val="24"/>
                <w:szCs w:val="24"/>
                <w:highlight w:val="none"/>
              </w:rPr>
              <w:t>（1）算术修正报价</w:t>
            </w:r>
          </w:p>
          <w:p w14:paraId="4CB78B4C">
            <w:pPr>
              <w:adjustRightInd w:val="0"/>
              <w:snapToGrid w:val="0"/>
              <w:spacing w:line="480" w:lineRule="exact"/>
              <w:rPr>
                <w:rFonts w:hint="eastAsia" w:ascii="宋体" w:hAnsi="宋体"/>
                <w:sz w:val="24"/>
                <w:szCs w:val="24"/>
                <w:highlight w:val="none"/>
              </w:rPr>
            </w:pPr>
            <w:r>
              <w:rPr>
                <w:rFonts w:hint="eastAsia" w:ascii="宋体" w:hAnsi="宋体"/>
                <w:sz w:val="24"/>
                <w:szCs w:val="24"/>
                <w:highlight w:val="none"/>
              </w:rPr>
              <w:t>若存在算术修正，应按修正后的磋商报价进行评审基准价和磋商报价得分计算</w:t>
            </w:r>
          </w:p>
          <w:p w14:paraId="68ABE1F6">
            <w:pPr>
              <w:adjustRightInd w:val="0"/>
              <w:snapToGrid w:val="0"/>
              <w:spacing w:line="480" w:lineRule="exact"/>
              <w:rPr>
                <w:rFonts w:hint="eastAsia" w:ascii="宋体" w:hAnsi="宋体"/>
                <w:b/>
                <w:bCs/>
                <w:spacing w:val="6"/>
                <w:sz w:val="24"/>
                <w:szCs w:val="24"/>
                <w:highlight w:val="none"/>
              </w:rPr>
            </w:pPr>
            <w:r>
              <w:rPr>
                <w:rFonts w:hint="eastAsia" w:ascii="宋体" w:hAnsi="宋体"/>
                <w:b/>
                <w:bCs/>
                <w:spacing w:val="6"/>
                <w:sz w:val="24"/>
                <w:szCs w:val="24"/>
                <w:highlight w:val="none"/>
              </w:rPr>
              <w:t>（2）政策优惠报价--小微企业或</w:t>
            </w:r>
            <w:r>
              <w:rPr>
                <w:rFonts w:hint="eastAsia" w:ascii="宋体" w:hAnsi="宋体"/>
                <w:b/>
                <w:bCs/>
                <w:sz w:val="24"/>
                <w:szCs w:val="24"/>
                <w:highlight w:val="none"/>
              </w:rPr>
              <w:t>监狱企业或残疾人福利性单位</w:t>
            </w:r>
            <w:r>
              <w:rPr>
                <w:rFonts w:hint="eastAsia" w:ascii="宋体" w:hAnsi="宋体"/>
                <w:b/>
                <w:bCs/>
                <w:spacing w:val="6"/>
                <w:sz w:val="24"/>
                <w:szCs w:val="24"/>
                <w:highlight w:val="none"/>
              </w:rPr>
              <w:t>政策</w:t>
            </w:r>
          </w:p>
          <w:p w14:paraId="75645253">
            <w:pPr>
              <w:spacing w:line="360" w:lineRule="auto"/>
              <w:rPr>
                <w:rFonts w:hint="eastAsia" w:ascii="宋体" w:hAnsi="宋体"/>
                <w:sz w:val="24"/>
                <w:szCs w:val="24"/>
                <w:highlight w:val="none"/>
              </w:rPr>
            </w:pPr>
            <w:r>
              <w:rPr>
                <w:rFonts w:hint="eastAsia" w:ascii="宋体" w:hAnsi="宋体"/>
                <w:sz w:val="24"/>
                <w:szCs w:val="24"/>
                <w:highlight w:val="none"/>
              </w:rPr>
              <w:t>若存在符合条件的小微企业或监狱企业或残疾人福利性单位给予的报价优惠的情形，用扣除后的磋商报价进行评审基准价和磋商报价得分计算。</w:t>
            </w:r>
            <w:r>
              <w:rPr>
                <w:rFonts w:hint="eastAsia" w:ascii="宋体" w:hAnsi="宋体"/>
                <w:b/>
                <w:bCs/>
                <w:sz w:val="24"/>
                <w:highlight w:val="none"/>
              </w:rPr>
              <w:t>对于同时</w:t>
            </w:r>
            <w:r>
              <w:rPr>
                <w:rFonts w:ascii="宋体" w:hAnsi="宋体"/>
                <w:b/>
                <w:bCs/>
                <w:sz w:val="24"/>
                <w:highlight w:val="none"/>
              </w:rPr>
              <w:t>属于小微企业</w:t>
            </w:r>
            <w:r>
              <w:rPr>
                <w:rFonts w:hint="eastAsia" w:ascii="宋体" w:hAnsi="宋体"/>
                <w:b/>
                <w:bCs/>
                <w:sz w:val="24"/>
                <w:highlight w:val="none"/>
              </w:rPr>
              <w:t>、</w:t>
            </w:r>
            <w:r>
              <w:rPr>
                <w:rFonts w:ascii="宋体" w:hAnsi="宋体"/>
                <w:b/>
                <w:bCs/>
                <w:sz w:val="24"/>
                <w:highlight w:val="none"/>
              </w:rPr>
              <w:t>监狱企业</w:t>
            </w:r>
            <w:r>
              <w:rPr>
                <w:rFonts w:hint="eastAsia" w:ascii="宋体" w:hAnsi="宋体"/>
                <w:b/>
                <w:bCs/>
                <w:sz w:val="24"/>
                <w:highlight w:val="none"/>
              </w:rPr>
              <w:t>或</w:t>
            </w:r>
            <w:r>
              <w:rPr>
                <w:rFonts w:ascii="宋体" w:hAnsi="宋体"/>
                <w:b/>
                <w:bCs/>
                <w:sz w:val="24"/>
                <w:highlight w:val="none"/>
              </w:rPr>
              <w:t>残疾人福利性单位的，不重复进行磋商报价扣除。</w:t>
            </w:r>
            <w:r>
              <w:rPr>
                <w:rFonts w:hint="eastAsia" w:ascii="宋体" w:hAnsi="宋体"/>
                <w:sz w:val="24"/>
                <w:szCs w:val="24"/>
                <w:highlight w:val="none"/>
              </w:rPr>
              <w:t>若同时存在算术修正，应在算术修正后的报价基础上进行优惠报价的扣除。</w:t>
            </w:r>
          </w:p>
          <w:p w14:paraId="15ED91FE">
            <w:pPr>
              <w:autoSpaceDE w:val="0"/>
              <w:autoSpaceDN w:val="0"/>
              <w:spacing w:line="360" w:lineRule="auto"/>
              <w:rPr>
                <w:rFonts w:ascii="宋体" w:hAnsi="宋体"/>
                <w:b/>
                <w:bCs/>
                <w:color w:val="000000"/>
                <w:spacing w:val="6"/>
                <w:sz w:val="24"/>
                <w:szCs w:val="24"/>
                <w:highlight w:val="none"/>
              </w:rPr>
            </w:pPr>
            <w:r>
              <w:rPr>
                <w:rFonts w:hint="eastAsia" w:ascii="宋体" w:hAnsi="宋体"/>
                <w:b/>
                <w:bCs/>
                <w:color w:val="000000"/>
                <w:spacing w:val="6"/>
                <w:sz w:val="24"/>
                <w:szCs w:val="24"/>
                <w:highlight w:val="none"/>
              </w:rPr>
              <w:t>综合评分法中的价格分统一采用低价优先法计算，即满足磋商文件要求且最后报价最低的供应商的价格为磋商基准价，其价格分为满分。其他供应商的价格分统一按照下列公式计算：</w:t>
            </w:r>
          </w:p>
          <w:p w14:paraId="07B497BB">
            <w:pPr>
              <w:autoSpaceDE w:val="0"/>
              <w:autoSpaceDN w:val="0"/>
              <w:spacing w:line="360" w:lineRule="auto"/>
              <w:rPr>
                <w:rFonts w:hint="eastAsia" w:ascii="宋体" w:hAnsi="宋体"/>
                <w:b/>
                <w:bCs/>
                <w:color w:val="000000"/>
                <w:spacing w:val="6"/>
                <w:sz w:val="24"/>
                <w:szCs w:val="24"/>
                <w:highlight w:val="none"/>
              </w:rPr>
            </w:pPr>
            <w:r>
              <w:rPr>
                <w:rFonts w:hint="eastAsia" w:ascii="宋体" w:hAnsi="宋体"/>
                <w:b/>
                <w:bCs/>
                <w:color w:val="000000"/>
                <w:spacing w:val="6"/>
                <w:sz w:val="24"/>
                <w:szCs w:val="24"/>
                <w:highlight w:val="none"/>
              </w:rPr>
              <w:t>磋商报价得分=（磋商基准价/最后磋商报价）×</w:t>
            </w:r>
            <w:r>
              <w:rPr>
                <w:rFonts w:hint="eastAsia" w:ascii="宋体" w:hAnsi="宋体"/>
                <w:b/>
                <w:bCs/>
                <w:color w:val="000000"/>
                <w:spacing w:val="6"/>
                <w:sz w:val="24"/>
                <w:szCs w:val="24"/>
                <w:highlight w:val="none"/>
                <w:lang w:val="en-US" w:eastAsia="zh-CN"/>
              </w:rPr>
              <w:t>1</w:t>
            </w:r>
            <w:r>
              <w:rPr>
                <w:rFonts w:hint="eastAsia" w:ascii="宋体" w:hAnsi="宋体"/>
                <w:b/>
                <w:bCs/>
                <w:color w:val="000000"/>
                <w:spacing w:val="6"/>
                <w:sz w:val="24"/>
                <w:szCs w:val="24"/>
                <w:highlight w:val="none"/>
              </w:rPr>
              <w:t>0</w:t>
            </w:r>
          </w:p>
          <w:p w14:paraId="008E5977">
            <w:pPr>
              <w:autoSpaceDE w:val="0"/>
              <w:autoSpaceDN w:val="0"/>
              <w:spacing w:line="360" w:lineRule="auto"/>
              <w:rPr>
                <w:rFonts w:hint="eastAsia" w:ascii="宋体" w:hAnsi="宋体" w:eastAsia="宋体" w:cs="宋体"/>
                <w:color w:val="auto"/>
                <w:sz w:val="24"/>
                <w:szCs w:val="24"/>
                <w:highlight w:val="none"/>
                <w:lang w:val="en-US" w:eastAsia="zh-CN"/>
              </w:rPr>
            </w:pPr>
            <w:r>
              <w:rPr>
                <w:rFonts w:hint="eastAsia" w:ascii="宋体" w:hAnsi="宋体"/>
                <w:b/>
                <w:bCs/>
                <w:color w:val="000000"/>
                <w:spacing w:val="6"/>
                <w:sz w:val="24"/>
                <w:szCs w:val="24"/>
                <w:highlight w:val="none"/>
              </w:rPr>
              <w:t>项目评审过程中，不得去掉最后报价中的最高报价和最低报价。</w:t>
            </w:r>
          </w:p>
        </w:tc>
      </w:tr>
      <w:tr w14:paraId="1FAB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jc w:val="center"/>
        </w:trPr>
        <w:tc>
          <w:tcPr>
            <w:tcW w:w="1397" w:type="dxa"/>
            <w:vMerge w:val="restart"/>
            <w:noWrap w:val="0"/>
            <w:vAlign w:val="center"/>
          </w:tcPr>
          <w:p w14:paraId="114BB9A0">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商务</w:t>
            </w:r>
            <w:r>
              <w:rPr>
                <w:rFonts w:hint="eastAsia" w:ascii="宋体" w:hAnsi="宋体" w:eastAsia="宋体" w:cs="宋体"/>
                <w:b/>
                <w:bCs/>
                <w:color w:val="auto"/>
                <w:spacing w:val="6"/>
                <w:sz w:val="24"/>
                <w:szCs w:val="24"/>
                <w:highlight w:val="none"/>
              </w:rPr>
              <w:t>技术部分评审</w:t>
            </w:r>
          </w:p>
        </w:tc>
        <w:tc>
          <w:tcPr>
            <w:tcW w:w="921" w:type="dxa"/>
            <w:vMerge w:val="restart"/>
            <w:noWrap w:val="0"/>
            <w:vAlign w:val="center"/>
          </w:tcPr>
          <w:p w14:paraId="4A2967F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highlight w:val="none"/>
                <w:lang w:val="en-US"/>
              </w:rPr>
            </w:pP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lang w:val="en-US" w:eastAsia="zh-CN"/>
              </w:rPr>
              <w:t>0分</w:t>
            </w:r>
          </w:p>
        </w:tc>
        <w:tc>
          <w:tcPr>
            <w:tcW w:w="7632" w:type="dxa"/>
            <w:noWrap w:val="0"/>
            <w:vAlign w:val="top"/>
          </w:tcPr>
          <w:p w14:paraId="54F8DC0F">
            <w:pPr>
              <w:keepNext w:val="0"/>
              <w:keepLines w:val="0"/>
              <w:pageBreakBefore w:val="0"/>
              <w:kinsoku/>
              <w:wordWrap/>
              <w:overflowPunct/>
              <w:topLinePunct w:val="0"/>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施工技术方案</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分）</w:t>
            </w:r>
          </w:p>
          <w:p w14:paraId="09B031D1">
            <w:pPr>
              <w:keepNext w:val="0"/>
              <w:keepLines w:val="0"/>
              <w:pageBreakBefore w:val="0"/>
              <w:kinsoku/>
              <w:wordWrap/>
              <w:overflowPunct/>
              <w:topLinePunct w:val="0"/>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highlight w:val="none"/>
              </w:rPr>
              <w:t>施工技术方案合理且能很好的指导施工，施工措施具体且针对性强，施工部署全面的，得</w:t>
            </w:r>
            <w:r>
              <w:rPr>
                <w:rFonts w:hint="eastAsia" w:ascii="宋体" w:hAnsi="宋体" w:cs="宋体"/>
                <w:color w:val="auto"/>
                <w:sz w:val="24"/>
                <w:highlight w:val="none"/>
                <w:lang w:val="en-US" w:eastAsia="zh-CN"/>
              </w:rPr>
              <w:t>11-15</w:t>
            </w:r>
            <w:r>
              <w:rPr>
                <w:rFonts w:hint="eastAsia" w:ascii="宋体" w:hAnsi="宋体" w:eastAsia="宋体" w:cs="宋体"/>
                <w:color w:val="auto"/>
                <w:sz w:val="24"/>
                <w:highlight w:val="none"/>
              </w:rPr>
              <w:t>分；</w:t>
            </w:r>
          </w:p>
          <w:p w14:paraId="73F8DAA3">
            <w:pPr>
              <w:keepNext w:val="0"/>
              <w:keepLines w:val="0"/>
              <w:pageBreakBefore w:val="0"/>
              <w:kinsoku/>
              <w:wordWrap/>
              <w:overflowPunct/>
              <w:topLinePunct w:val="0"/>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highlight w:val="none"/>
              </w:rPr>
              <w:t>施工技术方案合理但对施工指导性不强，施工措施具体但针对性不强，施工部署全面的，得</w:t>
            </w:r>
            <w:r>
              <w:rPr>
                <w:rFonts w:hint="eastAsia" w:ascii="宋体" w:hAnsi="宋体" w:cs="宋体"/>
                <w:color w:val="auto"/>
                <w:sz w:val="24"/>
                <w:highlight w:val="none"/>
                <w:lang w:val="en-US" w:eastAsia="zh-CN"/>
              </w:rPr>
              <w:t>6-10</w:t>
            </w:r>
            <w:r>
              <w:rPr>
                <w:rFonts w:hint="eastAsia" w:ascii="宋体" w:hAnsi="宋体" w:eastAsia="宋体" w:cs="宋体"/>
                <w:color w:val="auto"/>
                <w:sz w:val="24"/>
                <w:highlight w:val="none"/>
              </w:rPr>
              <w:t>分；</w:t>
            </w:r>
          </w:p>
          <w:p w14:paraId="361C09AB">
            <w:pPr>
              <w:keepNext w:val="0"/>
              <w:keepLines w:val="0"/>
              <w:pageBreakBefore w:val="0"/>
              <w:kinsoku/>
              <w:wordWrap/>
              <w:overflowPunct/>
              <w:topLinePunct w:val="0"/>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施工技术方案基本合理、对施工缺乏指导性，施工措施、施工部署基本合理但存在一些问题的，得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p>
          <w:p w14:paraId="6D13E5D8">
            <w:pPr>
              <w:keepNext w:val="0"/>
              <w:keepLines w:val="0"/>
              <w:pageBreakBefore w:val="0"/>
              <w:kinsoku/>
              <w:wordWrap/>
              <w:overflowPunct/>
              <w:topLinePunct w:val="0"/>
              <w:bidi w:val="0"/>
              <w:adjustRightInd w:val="0"/>
              <w:snapToGrid w:val="0"/>
              <w:spacing w:line="460" w:lineRule="exact"/>
              <w:textAlignment w:val="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w:t>
            </w:r>
            <w:r>
              <w:rPr>
                <w:rFonts w:hint="eastAsia" w:ascii="宋体" w:hAnsi="宋体" w:eastAsia="宋体" w:cs="宋体"/>
                <w:color w:val="auto"/>
                <w:sz w:val="24"/>
                <w:highlight w:val="none"/>
              </w:rPr>
              <w:t>无施工技术方案的不得分。</w:t>
            </w:r>
          </w:p>
        </w:tc>
      </w:tr>
      <w:tr w14:paraId="3454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397" w:type="dxa"/>
            <w:vMerge w:val="continue"/>
            <w:noWrap w:val="0"/>
            <w:vAlign w:val="center"/>
          </w:tcPr>
          <w:p w14:paraId="3F1CF971">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b/>
                <w:bCs/>
                <w:color w:val="auto"/>
                <w:spacing w:val="6"/>
                <w:sz w:val="24"/>
                <w:szCs w:val="24"/>
                <w:highlight w:val="none"/>
                <w:lang w:val="en-US" w:eastAsia="zh-CN"/>
              </w:rPr>
            </w:pPr>
          </w:p>
        </w:tc>
        <w:tc>
          <w:tcPr>
            <w:tcW w:w="921" w:type="dxa"/>
            <w:vMerge w:val="continue"/>
            <w:noWrap w:val="0"/>
            <w:vAlign w:val="center"/>
          </w:tcPr>
          <w:p w14:paraId="330C5A63">
            <w:pPr>
              <w:keepNext w:val="0"/>
              <w:keepLines w:val="0"/>
              <w:pageBreakBefore w:val="0"/>
              <w:kinsoku/>
              <w:wordWrap/>
              <w:overflowPunct/>
              <w:topLinePunct w:val="0"/>
              <w:bidi w:val="0"/>
              <w:snapToGrid w:val="0"/>
              <w:spacing w:line="360" w:lineRule="auto"/>
              <w:jc w:val="center"/>
              <w:textAlignment w:val="auto"/>
              <w:rPr>
                <w:rFonts w:hint="eastAsia" w:ascii="宋体" w:hAnsi="宋体" w:cs="宋体"/>
                <w:b/>
                <w:bCs/>
                <w:color w:val="auto"/>
                <w:sz w:val="24"/>
                <w:highlight w:val="none"/>
                <w:lang w:val="en-US" w:eastAsia="zh-CN"/>
              </w:rPr>
            </w:pPr>
          </w:p>
        </w:tc>
        <w:tc>
          <w:tcPr>
            <w:tcW w:w="7632" w:type="dxa"/>
            <w:noWrap w:val="0"/>
            <w:vAlign w:val="top"/>
          </w:tcPr>
          <w:p w14:paraId="55B12C39">
            <w:pPr>
              <w:keepNext w:val="0"/>
              <w:keepLines w:val="0"/>
              <w:pageBreakBefore w:val="0"/>
              <w:kinsoku/>
              <w:wordWrap/>
              <w:overflowPunct/>
              <w:topLinePunct w:val="0"/>
              <w:autoSpaceDE w:val="0"/>
              <w:autoSpaceDN w:val="0"/>
              <w:bidi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施工主要工序</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559E1351">
            <w:pPr>
              <w:keepNext w:val="0"/>
              <w:keepLines w:val="0"/>
              <w:pageBreakBefore w:val="0"/>
              <w:numPr>
                <w:ilvl w:val="0"/>
                <w:numId w:val="0"/>
              </w:numPr>
              <w:kinsoku/>
              <w:wordWrap/>
              <w:overflowPunct/>
              <w:topLinePunct w:val="0"/>
              <w:autoSpaceDE w:val="0"/>
              <w:autoSpaceDN w:val="0"/>
              <w:bidi w:val="0"/>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eastAsiaTheme="minorEastAsia"/>
                <w:color w:val="auto"/>
                <w:kern w:val="2"/>
                <w:sz w:val="24"/>
                <w:szCs w:val="24"/>
                <w:lang w:val="en-US" w:eastAsia="zh-CN" w:bidi="ar-SA"/>
              </w:rPr>
              <w:t>（1）</w:t>
            </w:r>
            <w:r>
              <w:rPr>
                <w:rFonts w:hint="eastAsia" w:ascii="宋体" w:hAnsi="宋体" w:cs="宋体"/>
                <w:color w:val="auto"/>
                <w:sz w:val="24"/>
                <w:szCs w:val="24"/>
                <w:highlight w:val="none"/>
                <w:lang w:val="en-US" w:eastAsia="zh-CN"/>
              </w:rPr>
              <w:t>施工主要工序阐述详细、全面、合理，主要工种施工方法得当，且对本项目的关键技术、工艺有明确、深入的表述，对施工重点、难点有合理、经济、安全的解决方案和可行保证措施的，得7-10分；</w:t>
            </w:r>
          </w:p>
          <w:p w14:paraId="6607E89A">
            <w:pPr>
              <w:keepNext w:val="0"/>
              <w:keepLines w:val="0"/>
              <w:pageBreakBefore w:val="0"/>
              <w:numPr>
                <w:ilvl w:val="0"/>
                <w:numId w:val="0"/>
              </w:numPr>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cs="宋体"/>
                <w:color w:val="auto"/>
                <w:sz w:val="24"/>
                <w:szCs w:val="24"/>
                <w:highlight w:val="none"/>
                <w:lang w:val="en-US" w:eastAsia="zh-CN"/>
              </w:rPr>
              <w:t>施工主要工序阐述基本全面，但对本项目的关键技术、工艺表述不明确或对施工重点、难点的解决方案和保证措施可行性不足的，得4-6分；</w:t>
            </w:r>
          </w:p>
          <w:p w14:paraId="593582D6">
            <w:pPr>
              <w:keepNext w:val="0"/>
              <w:keepLines w:val="0"/>
              <w:pageBreakBefore w:val="0"/>
              <w:numPr>
                <w:ilvl w:val="0"/>
                <w:numId w:val="0"/>
              </w:numPr>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（3）</w:t>
            </w:r>
            <w:r>
              <w:rPr>
                <w:rFonts w:hint="eastAsia" w:ascii="宋体" w:hAnsi="宋体" w:cs="宋体"/>
                <w:color w:val="auto"/>
                <w:sz w:val="24"/>
                <w:szCs w:val="24"/>
                <w:highlight w:val="none"/>
                <w:lang w:val="en-US" w:eastAsia="zh-CN"/>
              </w:rPr>
              <w:t>施工主要工序阐述不全面，对本项目的关键技术、工艺表述不明确或对施工重点、难点的解决方案和保证措施缺乏可行性的，得1-3分；</w:t>
            </w:r>
          </w:p>
          <w:p w14:paraId="13AA8E5B">
            <w:pPr>
              <w:keepNext w:val="0"/>
              <w:keepLines w:val="0"/>
              <w:pageBreakBefore w:val="0"/>
              <w:numPr>
                <w:ilvl w:val="0"/>
                <w:numId w:val="0"/>
              </w:numPr>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（4）</w:t>
            </w:r>
            <w:r>
              <w:rPr>
                <w:rFonts w:hint="eastAsia" w:ascii="宋体" w:hAnsi="宋体" w:cs="宋体"/>
                <w:color w:val="auto"/>
                <w:sz w:val="24"/>
                <w:szCs w:val="24"/>
                <w:highlight w:val="none"/>
                <w:lang w:val="en-US" w:eastAsia="zh-CN"/>
              </w:rPr>
              <w:t>未提供施工主要工序的不得分。</w:t>
            </w:r>
          </w:p>
        </w:tc>
      </w:tr>
      <w:tr w14:paraId="6A10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7" w:type="dxa"/>
            <w:vMerge w:val="continue"/>
            <w:noWrap w:val="0"/>
            <w:vAlign w:val="center"/>
          </w:tcPr>
          <w:p w14:paraId="0D0751C8">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b/>
                <w:bCs/>
                <w:color w:val="auto"/>
                <w:spacing w:val="6"/>
                <w:sz w:val="24"/>
                <w:szCs w:val="24"/>
                <w:highlight w:val="none"/>
              </w:rPr>
            </w:pPr>
          </w:p>
        </w:tc>
        <w:tc>
          <w:tcPr>
            <w:tcW w:w="921" w:type="dxa"/>
            <w:vMerge w:val="continue"/>
            <w:noWrap w:val="0"/>
            <w:vAlign w:val="center"/>
          </w:tcPr>
          <w:p w14:paraId="67A22E4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bCs/>
                <w:color w:val="auto"/>
                <w:sz w:val="24"/>
                <w:highlight w:val="none"/>
                <w:lang w:val="en-US" w:eastAsia="zh-CN"/>
              </w:rPr>
            </w:pPr>
          </w:p>
        </w:tc>
        <w:tc>
          <w:tcPr>
            <w:tcW w:w="7632" w:type="dxa"/>
            <w:noWrap w:val="0"/>
            <w:vAlign w:val="top"/>
          </w:tcPr>
          <w:p w14:paraId="67D88AFD">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质量承诺及保证措施（10分）</w:t>
            </w:r>
          </w:p>
          <w:p w14:paraId="32C1D6D2">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highlight w:val="none"/>
              </w:rPr>
              <w:t>质量承诺详细具体，质量保证措施详细具体</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针对性强的</w:t>
            </w:r>
            <w:r>
              <w:rPr>
                <w:rFonts w:hint="eastAsia" w:ascii="宋体" w:hAnsi="宋体" w:eastAsia="宋体" w:cs="宋体"/>
                <w:b w:val="0"/>
                <w:bCs/>
                <w:color w:val="auto"/>
                <w:sz w:val="24"/>
                <w:highlight w:val="none"/>
                <w:lang w:eastAsia="zh-CN"/>
              </w:rPr>
              <w:t>，保障措施有力的</w:t>
            </w:r>
            <w:r>
              <w:rPr>
                <w:rFonts w:hint="eastAsia" w:ascii="宋体" w:hAnsi="宋体" w:eastAsia="宋体" w:cs="宋体"/>
                <w:b w:val="0"/>
                <w:bCs/>
                <w:color w:val="auto"/>
                <w:sz w:val="24"/>
                <w:highlight w:val="none"/>
              </w:rPr>
              <w:t>得</w:t>
            </w:r>
            <w:r>
              <w:rPr>
                <w:rFonts w:hint="eastAsia" w:ascii="宋体" w:hAnsi="宋体" w:eastAsia="宋体" w:cs="宋体"/>
                <w:b w:val="0"/>
                <w:bCs/>
                <w:color w:val="auto"/>
                <w:sz w:val="24"/>
                <w:highlight w:val="none"/>
                <w:lang w:val="en-US" w:eastAsia="zh-CN"/>
              </w:rPr>
              <w:t>7-10</w:t>
            </w:r>
            <w:r>
              <w:rPr>
                <w:rFonts w:hint="eastAsia" w:ascii="宋体" w:hAnsi="宋体" w:eastAsia="宋体" w:cs="宋体"/>
                <w:b w:val="0"/>
                <w:bCs/>
                <w:color w:val="auto"/>
                <w:sz w:val="24"/>
                <w:highlight w:val="none"/>
              </w:rPr>
              <w:t>分；</w:t>
            </w:r>
          </w:p>
          <w:p w14:paraId="1E323244">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highlight w:val="none"/>
              </w:rPr>
              <w:t>质量承诺简单，质量保证措施基本全面</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具有一定针对性的</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得</w:t>
            </w:r>
            <w:r>
              <w:rPr>
                <w:rFonts w:hint="eastAsia" w:ascii="宋体" w:hAnsi="宋体" w:eastAsia="宋体" w:cs="宋体"/>
                <w:b w:val="0"/>
                <w:bCs/>
                <w:color w:val="auto"/>
                <w:sz w:val="24"/>
                <w:highlight w:val="none"/>
                <w:lang w:val="en-US" w:eastAsia="zh-CN"/>
              </w:rPr>
              <w:t>4-6</w:t>
            </w:r>
            <w:r>
              <w:rPr>
                <w:rFonts w:hint="eastAsia" w:ascii="宋体" w:hAnsi="宋体" w:eastAsia="宋体" w:cs="宋体"/>
                <w:b w:val="0"/>
                <w:bCs/>
                <w:color w:val="auto"/>
                <w:sz w:val="24"/>
                <w:highlight w:val="none"/>
              </w:rPr>
              <w:t>分；</w:t>
            </w:r>
          </w:p>
          <w:p w14:paraId="41F39164">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highlight w:val="none"/>
              </w:rPr>
              <w:t>质量承诺粗略，质量保证措施粗略</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缺乏针对性的得1</w:t>
            </w: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rPr>
              <w:t>分；</w:t>
            </w:r>
          </w:p>
          <w:p w14:paraId="4508ACD9">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color w:val="auto"/>
                <w:kern w:val="2"/>
                <w:sz w:val="24"/>
                <w:szCs w:val="24"/>
                <w:lang w:val="en-US" w:eastAsia="zh-CN" w:bidi="ar-SA"/>
              </w:rPr>
              <w:t>（4）</w:t>
            </w:r>
            <w:r>
              <w:rPr>
                <w:rFonts w:hint="eastAsia" w:ascii="宋体" w:hAnsi="宋体" w:eastAsia="宋体" w:cs="宋体"/>
                <w:b w:val="0"/>
                <w:bCs/>
                <w:color w:val="auto"/>
                <w:sz w:val="24"/>
                <w:highlight w:val="none"/>
              </w:rPr>
              <w:t>无此项内容的不得分。</w:t>
            </w:r>
          </w:p>
        </w:tc>
      </w:tr>
      <w:tr w14:paraId="27F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7" w:type="dxa"/>
            <w:vMerge w:val="continue"/>
            <w:noWrap w:val="0"/>
            <w:vAlign w:val="center"/>
          </w:tcPr>
          <w:p w14:paraId="795D9C5F">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b/>
                <w:bCs/>
                <w:color w:val="auto"/>
                <w:spacing w:val="6"/>
                <w:sz w:val="24"/>
                <w:szCs w:val="24"/>
                <w:highlight w:val="none"/>
              </w:rPr>
            </w:pPr>
          </w:p>
        </w:tc>
        <w:tc>
          <w:tcPr>
            <w:tcW w:w="921" w:type="dxa"/>
            <w:vMerge w:val="continue"/>
            <w:noWrap w:val="0"/>
            <w:vAlign w:val="center"/>
          </w:tcPr>
          <w:p w14:paraId="4E686C1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bCs/>
                <w:color w:val="auto"/>
                <w:sz w:val="24"/>
                <w:highlight w:val="none"/>
                <w:lang w:val="en-US" w:eastAsia="zh-CN"/>
              </w:rPr>
            </w:pPr>
          </w:p>
        </w:tc>
        <w:tc>
          <w:tcPr>
            <w:tcW w:w="7632" w:type="dxa"/>
            <w:noWrap w:val="0"/>
            <w:vAlign w:val="top"/>
          </w:tcPr>
          <w:p w14:paraId="10D75986">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工期承诺及保证措施（10分）</w:t>
            </w:r>
          </w:p>
          <w:p w14:paraId="349BE87D">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（1）</w:t>
            </w:r>
            <w:r>
              <w:rPr>
                <w:rFonts w:hint="eastAsia" w:ascii="宋体" w:hAnsi="宋体" w:eastAsia="宋体" w:cs="宋体"/>
                <w:bCs/>
                <w:color w:val="auto"/>
                <w:sz w:val="24"/>
                <w:szCs w:val="24"/>
                <w:highlight w:val="none"/>
              </w:rPr>
              <w:t>工期承诺完全满足本项目要求，有详细具体的施工进度计划</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工期保证措施详细具体，针对性强的得</w:t>
            </w:r>
            <w:r>
              <w:rPr>
                <w:rFonts w:hint="eastAsia" w:ascii="宋体" w:hAnsi="宋体" w:eastAsia="宋体" w:cs="宋体"/>
                <w:bCs/>
                <w:color w:val="auto"/>
                <w:sz w:val="24"/>
                <w:szCs w:val="24"/>
                <w:highlight w:val="none"/>
                <w:lang w:val="en-US" w:eastAsia="zh-CN"/>
              </w:rPr>
              <w:t>7-10</w:t>
            </w:r>
            <w:r>
              <w:rPr>
                <w:rFonts w:hint="eastAsia" w:ascii="宋体" w:hAnsi="宋体" w:eastAsia="宋体" w:cs="宋体"/>
                <w:bCs/>
                <w:color w:val="auto"/>
                <w:sz w:val="24"/>
                <w:szCs w:val="24"/>
                <w:highlight w:val="none"/>
              </w:rPr>
              <w:t>分；</w:t>
            </w:r>
          </w:p>
          <w:p w14:paraId="04AE4CE5">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highlight w:val="none"/>
              </w:rPr>
              <w:t>工期承诺基本满足本项目要求，施工进度计划粗略</w:t>
            </w:r>
            <w:r>
              <w:rPr>
                <w:rFonts w:hint="eastAsia" w:ascii="宋体" w:hAnsi="宋体" w:eastAsia="宋体" w:cs="宋体"/>
                <w:bCs/>
                <w:color w:val="auto"/>
                <w:sz w:val="24"/>
                <w:szCs w:val="24"/>
                <w:highlight w:val="none"/>
                <w:lang w:val="en-US" w:eastAsia="zh-CN"/>
              </w:rPr>
              <w:t>的，工期保证措施基本全面，有一定的针对性的</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4-6</w:t>
            </w:r>
            <w:r>
              <w:rPr>
                <w:rFonts w:hint="eastAsia" w:ascii="宋体" w:hAnsi="宋体" w:eastAsia="宋体" w:cs="宋体"/>
                <w:bCs/>
                <w:color w:val="auto"/>
                <w:sz w:val="24"/>
                <w:szCs w:val="24"/>
                <w:highlight w:val="none"/>
              </w:rPr>
              <w:t>分；</w:t>
            </w:r>
          </w:p>
          <w:p w14:paraId="27AF4240">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（3）</w:t>
            </w:r>
            <w:r>
              <w:rPr>
                <w:rFonts w:hint="eastAsia" w:ascii="宋体" w:hAnsi="宋体" w:eastAsia="宋体" w:cs="宋体"/>
                <w:bCs/>
                <w:color w:val="auto"/>
                <w:sz w:val="24"/>
                <w:szCs w:val="24"/>
                <w:highlight w:val="none"/>
              </w:rPr>
              <w:t>有工期承诺，缺乏施工进度计划</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工期保证措施粗略，缺乏针对性的得1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p w14:paraId="4E8DFEA4">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（4）</w:t>
            </w:r>
            <w:r>
              <w:rPr>
                <w:rFonts w:hint="eastAsia" w:ascii="宋体" w:hAnsi="宋体" w:eastAsia="宋体" w:cs="宋体"/>
                <w:bCs/>
                <w:color w:val="auto"/>
                <w:sz w:val="24"/>
                <w:szCs w:val="24"/>
                <w:highlight w:val="none"/>
              </w:rPr>
              <w:t>无此项内容的不得分。</w:t>
            </w:r>
          </w:p>
        </w:tc>
      </w:tr>
      <w:tr w14:paraId="3460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397" w:type="dxa"/>
            <w:vMerge w:val="continue"/>
            <w:noWrap w:val="0"/>
            <w:vAlign w:val="center"/>
          </w:tcPr>
          <w:p w14:paraId="006D1D89">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637F8E88">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7920F9C7">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材料投入保证措施评审</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p>
          <w:p w14:paraId="0B577047">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highlight w:val="none"/>
              </w:rPr>
              <w:t>材料投入保证措施齐全，能较好满足施工需要，调配投入计划合理，能有针对性的指导施工的，得</w:t>
            </w:r>
            <w:r>
              <w:rPr>
                <w:rFonts w:hint="eastAsia" w:ascii="宋体" w:hAnsi="宋体" w:eastAsia="宋体" w:cs="宋体"/>
                <w:color w:val="auto"/>
                <w:sz w:val="24"/>
                <w:highlight w:val="none"/>
                <w:lang w:val="en-US" w:eastAsia="zh-CN"/>
              </w:rPr>
              <w:t>6-8</w:t>
            </w:r>
            <w:r>
              <w:rPr>
                <w:rFonts w:hint="eastAsia" w:ascii="宋体" w:hAnsi="宋体" w:eastAsia="宋体" w:cs="宋体"/>
                <w:color w:val="auto"/>
                <w:sz w:val="24"/>
                <w:highlight w:val="none"/>
              </w:rPr>
              <w:t>分；</w:t>
            </w:r>
          </w:p>
          <w:p w14:paraId="1D4FF746">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highlight w:val="none"/>
              </w:rPr>
              <w:t>材料投入保证措施简单，能满足施工需要，调配投入计划合理，但针对性和指导性不好的，得</w:t>
            </w: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分；</w:t>
            </w:r>
          </w:p>
          <w:p w14:paraId="7B0A7592">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color w:val="auto"/>
                <w:sz w:val="24"/>
                <w:highlight w:val="none"/>
              </w:rPr>
              <w:t>材料投入保证措施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但调配投入计划不合理的</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4E32D335">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color w:val="auto"/>
                <w:sz w:val="24"/>
                <w:highlight w:val="none"/>
              </w:rPr>
              <w:t>无材料投入保证措施的不得分。</w:t>
            </w:r>
          </w:p>
        </w:tc>
      </w:tr>
      <w:tr w14:paraId="56C2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397" w:type="dxa"/>
            <w:vMerge w:val="continue"/>
            <w:noWrap w:val="0"/>
            <w:vAlign w:val="center"/>
          </w:tcPr>
          <w:p w14:paraId="03096151">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52B0D51C">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331ECDAB">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施工机械投入评审</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p w14:paraId="51CEB445">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highlight w:val="none"/>
              </w:rPr>
              <w:t>施工机械投入满足工程要求，施工机械搭配合理、准确的，得</w:t>
            </w: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2FE8C307">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highlight w:val="none"/>
              </w:rPr>
              <w:t>施工机械投入满足工程要求，施工机械搭配基本合理、基本准确的，得</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57B1209A">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highlight w:val="none"/>
              </w:rPr>
              <w:t>施工机械投入基本满足工程要求，但施工机械搭配不当的，得</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558DF481">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w:t>
            </w:r>
            <w:r>
              <w:rPr>
                <w:rFonts w:hint="eastAsia" w:ascii="宋体" w:hAnsi="宋体" w:eastAsia="宋体" w:cs="宋体"/>
                <w:color w:val="auto"/>
                <w:sz w:val="24"/>
                <w:highlight w:val="none"/>
              </w:rPr>
              <w:t>无施工机械投入的不得分。</w:t>
            </w:r>
          </w:p>
        </w:tc>
      </w:tr>
      <w:tr w14:paraId="5A866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97" w:type="dxa"/>
            <w:vMerge w:val="continue"/>
            <w:noWrap w:val="0"/>
            <w:vAlign w:val="center"/>
          </w:tcPr>
          <w:p w14:paraId="29539592">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297A4A68">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38428A50">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color w:val="auto"/>
                <w:sz w:val="24"/>
                <w:highlight w:val="none"/>
              </w:rPr>
            </w:pPr>
            <w:r>
              <w:rPr>
                <w:rFonts w:hint="eastAsia" w:ascii="宋体" w:hAnsi="宋体" w:eastAsia="宋体" w:cs="宋体"/>
                <w:b/>
                <w:bCs/>
                <w:color w:val="auto"/>
                <w:spacing w:val="6"/>
                <w:sz w:val="24"/>
                <w:szCs w:val="24"/>
                <w:highlight w:val="none"/>
              </w:rPr>
              <w:t>安全文明生产措施</w:t>
            </w:r>
            <w:r>
              <w:rPr>
                <w:rFonts w:hint="eastAsia" w:ascii="宋体" w:hAnsi="宋体" w:eastAsia="宋体" w:cs="宋体"/>
                <w:b/>
                <w:color w:val="auto"/>
                <w:sz w:val="24"/>
                <w:highlight w:val="none"/>
              </w:rPr>
              <w:t>评审</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p w14:paraId="7DBA1EC5">
            <w:pPr>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（1）提供的安全文明生产保证措施完整，具有明确性、保证性</w:t>
            </w:r>
            <w:r>
              <w:rPr>
                <w:rFonts w:hint="eastAsia" w:ascii="宋体" w:hAnsi="宋体" w:eastAsia="宋体" w:cs="宋体"/>
                <w:color w:val="auto"/>
                <w:sz w:val="24"/>
                <w:highlight w:val="none"/>
              </w:rPr>
              <w:t>的</w:t>
            </w:r>
            <w:r>
              <w:rPr>
                <w:rFonts w:hint="eastAsia" w:ascii="宋体" w:hAnsi="宋体" w:eastAsia="宋体" w:cs="宋体"/>
                <w:bCs/>
                <w:color w:val="auto"/>
                <w:sz w:val="24"/>
                <w:szCs w:val="24"/>
                <w:highlight w:val="none"/>
              </w:rPr>
              <w:t>，</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35B578F1">
            <w:pPr>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（2）提供的安全文明生产保证措施基本完整，具有一定的明确性、保证性</w:t>
            </w:r>
            <w:r>
              <w:rPr>
                <w:rFonts w:hint="eastAsia" w:ascii="宋体" w:hAnsi="宋体" w:eastAsia="宋体" w:cs="宋体"/>
                <w:color w:val="auto"/>
                <w:sz w:val="24"/>
                <w:highlight w:val="none"/>
              </w:rPr>
              <w:t>的</w:t>
            </w:r>
            <w:r>
              <w:rPr>
                <w:rFonts w:hint="eastAsia" w:ascii="宋体" w:hAnsi="宋体" w:eastAsia="宋体" w:cs="宋体"/>
                <w:bCs/>
                <w:color w:val="auto"/>
                <w:sz w:val="24"/>
                <w:szCs w:val="24"/>
                <w:highlight w:val="none"/>
              </w:rPr>
              <w:t>，</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4C154202">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（3）提供的安全文明生产保证措施不完整，但具有保证性</w:t>
            </w:r>
            <w:r>
              <w:rPr>
                <w:rFonts w:hint="eastAsia" w:ascii="宋体" w:hAnsi="宋体" w:eastAsia="宋体" w:cs="宋体"/>
                <w:color w:val="auto"/>
                <w:sz w:val="24"/>
                <w:highlight w:val="none"/>
              </w:rPr>
              <w:t>的</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color w:val="auto"/>
                <w:sz w:val="24"/>
                <w:highlight w:val="none"/>
              </w:rPr>
              <w:t>；</w:t>
            </w:r>
          </w:p>
          <w:p w14:paraId="044D51B0">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）未提供安全文明生产措施</w:t>
            </w:r>
            <w:r>
              <w:rPr>
                <w:rFonts w:hint="eastAsia" w:ascii="宋体" w:hAnsi="宋体" w:eastAsia="宋体" w:cs="宋体"/>
                <w:bCs/>
                <w:color w:val="auto"/>
                <w:sz w:val="24"/>
                <w:szCs w:val="24"/>
                <w:highlight w:val="none"/>
                <w:lang w:val="en-US" w:eastAsia="zh-CN"/>
              </w:rPr>
              <w:t>或</w:t>
            </w:r>
            <w:r>
              <w:rPr>
                <w:rFonts w:hint="eastAsia" w:ascii="宋体" w:hAnsi="宋体" w:eastAsia="宋体" w:cs="宋体"/>
                <w:bCs/>
                <w:color w:val="auto"/>
                <w:sz w:val="24"/>
                <w:szCs w:val="24"/>
                <w:highlight w:val="none"/>
              </w:rPr>
              <w:t>不完整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没</w:t>
            </w:r>
            <w:r>
              <w:rPr>
                <w:rFonts w:hint="eastAsia" w:ascii="宋体" w:hAnsi="宋体" w:eastAsia="宋体" w:cs="宋体"/>
                <w:bCs/>
                <w:color w:val="auto"/>
                <w:sz w:val="24"/>
                <w:szCs w:val="24"/>
                <w:highlight w:val="none"/>
              </w:rPr>
              <w:t>有保证性</w:t>
            </w:r>
            <w:r>
              <w:rPr>
                <w:rFonts w:hint="eastAsia" w:ascii="宋体" w:hAnsi="宋体" w:eastAsia="宋体" w:cs="宋体"/>
                <w:color w:val="auto"/>
                <w:sz w:val="24"/>
                <w:highlight w:val="none"/>
              </w:rPr>
              <w:t>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分。</w:t>
            </w:r>
          </w:p>
        </w:tc>
      </w:tr>
      <w:tr w14:paraId="6BBEC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97" w:type="dxa"/>
            <w:vMerge w:val="continue"/>
            <w:noWrap w:val="0"/>
            <w:vAlign w:val="center"/>
          </w:tcPr>
          <w:p w14:paraId="4FA6B9F4">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50DA297C">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2F2DBEB8">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项目组织机构评审</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p w14:paraId="0C9C0D0E">
            <w:pPr>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highlight w:val="none"/>
              </w:rPr>
              <w:t>拟定的项目组织机构符合本项目实际情况、配置合理，能完全满足施工、管理需要的，且专业配置针对性强的，得</w:t>
            </w: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382BE9CF">
            <w:pPr>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highlight w:val="none"/>
              </w:rPr>
              <w:t>拟定的项目组织机构符合本项目实际情况、配置基本合理、基本满足工程管理需要，但专业配置针对性</w:t>
            </w:r>
            <w:r>
              <w:rPr>
                <w:rFonts w:hint="eastAsia" w:ascii="宋体" w:hAnsi="宋体" w:eastAsia="宋体" w:cs="宋体"/>
                <w:color w:val="auto"/>
                <w:sz w:val="24"/>
                <w:highlight w:val="none"/>
                <w:lang w:val="en-US" w:eastAsia="zh-CN"/>
              </w:rPr>
              <w:t>不强</w:t>
            </w:r>
            <w:r>
              <w:rPr>
                <w:rFonts w:hint="eastAsia" w:ascii="宋体" w:hAnsi="宋体" w:eastAsia="宋体" w:cs="宋体"/>
                <w:color w:val="auto"/>
                <w:sz w:val="24"/>
                <w:highlight w:val="none"/>
              </w:rPr>
              <w:t>的，得</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3D61C25C">
            <w:pPr>
              <w:keepNext w:val="0"/>
              <w:keepLines w:val="0"/>
              <w:pageBreakBefore w:val="0"/>
              <w:widowControl w:val="0"/>
              <w:kinsoku/>
              <w:wordWrap/>
              <w:overflowPunct/>
              <w:topLinePunct w:val="0"/>
              <w:autoSpaceDE/>
              <w:autoSpaceDN/>
              <w:bidi w:val="0"/>
              <w:spacing w:line="460" w:lineRule="exact"/>
              <w:textAlignment w:val="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rPr>
              <w:t>（3）拟定的项目组织机构配置不齐全，专业配置没有针对性的，得</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分。</w:t>
            </w:r>
          </w:p>
        </w:tc>
      </w:tr>
      <w:tr w14:paraId="32FC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97" w:type="dxa"/>
            <w:vMerge w:val="continue"/>
            <w:noWrap w:val="0"/>
            <w:vAlign w:val="center"/>
          </w:tcPr>
          <w:p w14:paraId="2BDAF002">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33DB0F81">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608AE6E4">
            <w:pPr>
              <w:pStyle w:val="8"/>
              <w:keepNext w:val="0"/>
              <w:keepLines w:val="0"/>
              <w:pageBreakBefore w:val="0"/>
              <w:kinsoku/>
              <w:wordWrap/>
              <w:overflowPunct/>
              <w:topLinePunct w:val="0"/>
              <w:bidi w:val="0"/>
              <w:spacing w:line="360" w:lineRule="auto"/>
              <w:textAlignment w:val="auto"/>
              <w:rPr>
                <w:rFonts w:hint="eastAsia" w:ascii="宋体" w:hAnsi="宋体" w:eastAsia="宋体" w:cs="宋体"/>
                <w:b/>
                <w:color w:val="auto"/>
                <w:kern w:val="0"/>
                <w:sz w:val="24"/>
                <w:szCs w:val="21"/>
                <w:highlight w:val="none"/>
                <w:lang w:val="en-US" w:eastAsia="zh-CN" w:bidi="ar-SA"/>
              </w:rPr>
            </w:pPr>
            <w:r>
              <w:rPr>
                <w:rFonts w:hint="eastAsia" w:ascii="宋体" w:hAnsi="宋体" w:eastAsia="宋体" w:cs="宋体"/>
                <w:b/>
                <w:color w:val="auto"/>
                <w:kern w:val="0"/>
                <w:sz w:val="24"/>
                <w:szCs w:val="21"/>
                <w:highlight w:val="none"/>
                <w:lang w:val="en-US" w:eastAsia="zh-CN" w:bidi="ar-SA"/>
              </w:rPr>
              <w:t>后期服务方案、承诺及保证措施（10分）</w:t>
            </w:r>
          </w:p>
          <w:p w14:paraId="6DCBD5C0">
            <w:pPr>
              <w:pStyle w:val="8"/>
              <w:keepNext w:val="0"/>
              <w:keepLines w:val="0"/>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（1）后期服务能力强，后期服务方案、承诺及保证措施完善具体，针对性强,且有相应的惩罚措施的，得7-10分；</w:t>
            </w:r>
          </w:p>
          <w:p w14:paraId="1FC43E9E">
            <w:pPr>
              <w:pStyle w:val="8"/>
              <w:keepNext w:val="0"/>
              <w:keepLines w:val="0"/>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（2）后期服务能力较强，后期服务方案、承诺及保证措施具体可行，有一定的针对性，且有惩罚措施的，得4-6分；</w:t>
            </w:r>
          </w:p>
          <w:p w14:paraId="6E5EA82F">
            <w:pPr>
              <w:pStyle w:val="8"/>
              <w:keepNext w:val="0"/>
              <w:keepLines w:val="0"/>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（3）后期服务能力弱，后期服务方案、承诺及保证措施仅少部分可行，没有针对性的，得1-3分；</w:t>
            </w:r>
          </w:p>
          <w:p w14:paraId="37D7215E">
            <w:pPr>
              <w:pStyle w:val="8"/>
              <w:keepNext w:val="0"/>
              <w:keepLines w:val="0"/>
              <w:pageBreakBefore w:val="0"/>
              <w:kinsoku/>
              <w:wordWrap/>
              <w:overflowPunct/>
              <w:topLinePunct w:val="0"/>
              <w:bidi w:val="0"/>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bCs/>
                <w:color w:val="auto"/>
                <w:kern w:val="0"/>
                <w:sz w:val="24"/>
                <w:szCs w:val="24"/>
                <w:highlight w:val="none"/>
                <w:lang w:val="en-US" w:eastAsia="zh-CN" w:bidi="ar-SA"/>
              </w:rPr>
              <w:t>（4）没有后期服务方案、承诺及保证措施不得分。</w:t>
            </w:r>
          </w:p>
        </w:tc>
      </w:tr>
      <w:tr w14:paraId="3853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97" w:type="dxa"/>
            <w:vMerge w:val="continue"/>
            <w:noWrap w:val="0"/>
            <w:vAlign w:val="center"/>
          </w:tcPr>
          <w:p w14:paraId="1E514B7F">
            <w:pPr>
              <w:spacing w:line="348" w:lineRule="auto"/>
              <w:ind w:firstLine="422" w:firstLineChars="200"/>
              <w:rPr>
                <w:rStyle w:val="26"/>
                <w:rFonts w:hint="eastAsia" w:ascii="仿宋" w:hAnsi="仿宋" w:eastAsia="仿宋" w:cs="仿宋"/>
                <w:b/>
                <w:bCs/>
                <w:color w:val="auto"/>
                <w:szCs w:val="21"/>
                <w:highlight w:val="none"/>
                <w:lang w:val="en-US" w:eastAsia="zh-CN"/>
              </w:rPr>
            </w:pPr>
            <w:r>
              <w:rPr>
                <w:rStyle w:val="26"/>
                <w:rFonts w:hint="eastAsia" w:ascii="仿宋" w:hAnsi="仿宋" w:eastAsia="仿宋" w:cs="仿宋"/>
                <w:b/>
                <w:bCs/>
                <w:color w:val="auto"/>
                <w:szCs w:val="21"/>
                <w:highlight w:val="none"/>
                <w:lang w:val="en-US" w:eastAsia="zh-CN"/>
              </w:rPr>
              <w:t>项目风险预测与防范，事故应急预案评审（满分10分）</w:t>
            </w:r>
          </w:p>
          <w:p w14:paraId="6DAA5EA3">
            <w:pPr>
              <w:spacing w:line="348" w:lineRule="auto"/>
              <w:ind w:firstLine="420" w:firstLineChars="200"/>
              <w:rPr>
                <w:rStyle w:val="26"/>
                <w:rFonts w:hint="eastAsia" w:ascii="仿宋" w:hAnsi="仿宋" w:eastAsia="仿宋" w:cs="仿宋"/>
                <w:color w:val="auto"/>
                <w:szCs w:val="21"/>
                <w:highlight w:val="none"/>
                <w:lang w:val="en-US" w:eastAsia="zh-CN"/>
              </w:rPr>
            </w:pPr>
            <w:r>
              <w:rPr>
                <w:rStyle w:val="26"/>
                <w:rFonts w:hint="eastAsia" w:ascii="仿宋" w:hAnsi="仿宋" w:eastAsia="仿宋" w:cs="仿宋"/>
                <w:color w:val="auto"/>
                <w:szCs w:val="21"/>
                <w:highlight w:val="none"/>
                <w:lang w:val="en-US" w:eastAsia="zh-CN"/>
              </w:rPr>
              <w:t>a.事故应急预案合理有针对性的，得10分；</w:t>
            </w:r>
          </w:p>
          <w:p w14:paraId="273A9D4D">
            <w:pPr>
              <w:spacing w:line="348" w:lineRule="auto"/>
              <w:ind w:firstLine="420" w:firstLineChars="200"/>
              <w:rPr>
                <w:rStyle w:val="26"/>
                <w:rFonts w:hint="eastAsia" w:ascii="仿宋" w:hAnsi="仿宋" w:eastAsia="仿宋" w:cs="仿宋"/>
                <w:color w:val="auto"/>
                <w:szCs w:val="21"/>
                <w:highlight w:val="none"/>
                <w:lang w:val="en-US" w:eastAsia="zh-CN"/>
              </w:rPr>
            </w:pPr>
            <w:r>
              <w:rPr>
                <w:rStyle w:val="26"/>
                <w:rFonts w:hint="eastAsia" w:ascii="仿宋" w:hAnsi="仿宋" w:eastAsia="仿宋" w:cs="仿宋"/>
                <w:color w:val="auto"/>
                <w:szCs w:val="21"/>
                <w:highlight w:val="none"/>
                <w:lang w:val="en-US" w:eastAsia="zh-CN"/>
              </w:rPr>
              <w:t>b.事故应急预案合理但针对性一般的，得7分；</w:t>
            </w:r>
          </w:p>
          <w:p w14:paraId="1A2DFFA2">
            <w:pPr>
              <w:spacing w:line="348" w:lineRule="auto"/>
              <w:ind w:firstLine="420" w:firstLineChars="200"/>
              <w:rPr>
                <w:rStyle w:val="26"/>
                <w:rFonts w:hint="eastAsia" w:ascii="仿宋" w:hAnsi="仿宋" w:eastAsia="仿宋" w:cs="仿宋"/>
                <w:color w:val="auto"/>
                <w:szCs w:val="21"/>
                <w:highlight w:val="none"/>
                <w:lang w:val="en-US" w:eastAsia="zh-CN"/>
              </w:rPr>
            </w:pPr>
            <w:r>
              <w:rPr>
                <w:rStyle w:val="26"/>
                <w:rFonts w:hint="eastAsia" w:ascii="仿宋" w:hAnsi="仿宋" w:eastAsia="仿宋" w:cs="仿宋"/>
                <w:color w:val="auto"/>
                <w:szCs w:val="21"/>
                <w:highlight w:val="none"/>
                <w:lang w:val="en-US" w:eastAsia="zh-CN"/>
              </w:rPr>
              <w:t>c.事故应急预案不合理，针对性较差，得3分；</w:t>
            </w:r>
          </w:p>
          <w:p w14:paraId="2AFB9ECE">
            <w:pPr>
              <w:spacing w:line="348" w:lineRule="auto"/>
              <w:ind w:firstLine="420" w:firstLineChars="200"/>
              <w:rPr>
                <w:rStyle w:val="26"/>
                <w:rFonts w:hint="eastAsia" w:ascii="仿宋" w:hAnsi="仿宋" w:eastAsia="仿宋" w:cs="仿宋"/>
                <w:color w:val="auto"/>
                <w:szCs w:val="21"/>
                <w:highlight w:val="none"/>
                <w:lang w:val="en-US" w:eastAsia="zh-CN"/>
              </w:rPr>
            </w:pPr>
            <w:r>
              <w:rPr>
                <w:rStyle w:val="26"/>
                <w:rFonts w:hint="eastAsia" w:ascii="仿宋" w:hAnsi="仿宋" w:eastAsia="仿宋" w:cs="仿宋"/>
                <w:color w:val="auto"/>
                <w:szCs w:val="21"/>
                <w:highlight w:val="none"/>
                <w:lang w:val="en-US" w:eastAsia="zh-CN"/>
              </w:rPr>
              <w:t>d.无事故应急预案的不得分；</w:t>
            </w:r>
          </w:p>
          <w:p w14:paraId="76CEA994">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3C06165D">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7D877AB9">
            <w:pPr>
              <w:pStyle w:val="8"/>
              <w:keepNext w:val="0"/>
              <w:keepLines w:val="0"/>
              <w:pageBreakBefore w:val="0"/>
              <w:kinsoku/>
              <w:wordWrap/>
              <w:overflowPunct/>
              <w:topLinePunct w:val="0"/>
              <w:bidi w:val="0"/>
              <w:spacing w:line="360" w:lineRule="auto"/>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事故应急预案（4分）</w:t>
            </w:r>
          </w:p>
          <w:p w14:paraId="27C1A1AD">
            <w:pPr>
              <w:pStyle w:val="8"/>
              <w:keepNext w:val="0"/>
              <w:keepLines w:val="0"/>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（1）事故应急预案合理且针对性强的，得3-4分；</w:t>
            </w:r>
          </w:p>
          <w:p w14:paraId="4D5715B2">
            <w:pPr>
              <w:pStyle w:val="8"/>
              <w:keepNext w:val="0"/>
              <w:keepLines w:val="0"/>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（2）事故应急预案合理但针对性欠佳的，得1-2分；</w:t>
            </w:r>
          </w:p>
          <w:p w14:paraId="4DFAAACA">
            <w:pPr>
              <w:pStyle w:val="8"/>
              <w:keepNext w:val="0"/>
              <w:keepLines w:val="0"/>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（3）无事故应急预案的不得分。</w:t>
            </w:r>
          </w:p>
        </w:tc>
      </w:tr>
      <w:tr w14:paraId="2DD86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97" w:type="dxa"/>
            <w:vMerge w:val="continue"/>
            <w:noWrap w:val="0"/>
            <w:vAlign w:val="center"/>
          </w:tcPr>
          <w:p w14:paraId="01A832DF">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921" w:type="dxa"/>
            <w:vMerge w:val="continue"/>
            <w:noWrap w:val="0"/>
            <w:vAlign w:val="center"/>
          </w:tcPr>
          <w:p w14:paraId="18F3D7FA">
            <w:pPr>
              <w:pStyle w:val="9"/>
              <w:keepNext w:val="0"/>
              <w:keepLines w:val="0"/>
              <w:pageBreakBefore w:val="0"/>
              <w:kinsoku/>
              <w:wordWrap/>
              <w:overflowPunct/>
              <w:topLinePunct w:val="0"/>
              <w:bidi w:val="0"/>
              <w:spacing w:line="360" w:lineRule="auto"/>
              <w:ind w:firstLine="0"/>
              <w:jc w:val="center"/>
              <w:textAlignment w:val="auto"/>
              <w:rPr>
                <w:rFonts w:hint="eastAsia" w:ascii="宋体" w:hAnsi="宋体" w:eastAsia="宋体" w:cs="宋体"/>
                <w:color w:val="auto"/>
                <w:sz w:val="24"/>
                <w:szCs w:val="24"/>
                <w:highlight w:val="none"/>
              </w:rPr>
            </w:pPr>
          </w:p>
        </w:tc>
        <w:tc>
          <w:tcPr>
            <w:tcW w:w="7632" w:type="dxa"/>
            <w:noWrap w:val="0"/>
            <w:vAlign w:val="top"/>
          </w:tcPr>
          <w:p w14:paraId="7F85D58E">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b/>
                <w:color w:val="auto"/>
                <w:sz w:val="24"/>
                <w:highlight w:val="none"/>
              </w:rPr>
            </w:pPr>
            <w:r>
              <w:rPr>
                <w:rFonts w:hint="eastAsia" w:ascii="宋体" w:hAnsi="宋体" w:eastAsia="宋体" w:cs="宋体"/>
                <w:b/>
                <w:bCs/>
                <w:color w:val="auto"/>
                <w:spacing w:val="6"/>
                <w:sz w:val="24"/>
                <w:szCs w:val="24"/>
                <w:highlight w:val="none"/>
              </w:rPr>
              <w:t>类似</w:t>
            </w:r>
            <w:r>
              <w:rPr>
                <w:rFonts w:hint="eastAsia" w:ascii="宋体" w:hAnsi="宋体" w:eastAsia="宋体" w:cs="宋体"/>
                <w:b/>
                <w:color w:val="auto"/>
                <w:sz w:val="24"/>
                <w:highlight w:val="none"/>
              </w:rPr>
              <w:t>业绩评分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2BBAF48B">
            <w:pPr>
              <w:keepNext w:val="0"/>
              <w:keepLines w:val="0"/>
              <w:pageBreakBefore w:val="0"/>
              <w:kinsoku/>
              <w:wordWrap/>
              <w:overflowPunct/>
              <w:topLinePunct w:val="0"/>
              <w:bidi w:val="0"/>
              <w:spacing w:line="460" w:lineRule="exac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供应商2022年1月至今提供1个类似项目的得2分，每增加1个类似项目加1分，满分5分。</w:t>
            </w:r>
          </w:p>
          <w:p w14:paraId="377D0A67">
            <w:pPr>
              <w:pStyle w:val="8"/>
              <w:keepNext w:val="0"/>
              <w:keepLines w:val="0"/>
              <w:pageBreakBefore w:val="0"/>
              <w:kinsoku/>
              <w:wordWrap/>
              <w:overflowPunct/>
              <w:topLinePunct w:val="0"/>
              <w:bidi w:val="0"/>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b/>
                <w:color w:val="auto"/>
                <w:sz w:val="24"/>
                <w:highlight w:val="none"/>
              </w:rPr>
              <w:t>注：提供合同或成交（中标）通知书</w:t>
            </w:r>
            <w:r>
              <w:rPr>
                <w:rFonts w:hint="eastAsia" w:ascii="宋体" w:hAnsi="宋体" w:eastAsia="宋体" w:cs="宋体"/>
                <w:b/>
                <w:color w:val="auto"/>
                <w:sz w:val="24"/>
                <w:highlight w:val="none"/>
                <w:lang w:val="en-US" w:eastAsia="zh-CN"/>
              </w:rPr>
              <w:t>或</w:t>
            </w:r>
            <w:r>
              <w:rPr>
                <w:rFonts w:hint="eastAsia" w:ascii="宋体" w:hAnsi="宋体" w:eastAsia="宋体" w:cs="宋体"/>
                <w:b/>
                <w:color w:val="auto"/>
                <w:sz w:val="24"/>
                <w:highlight w:val="none"/>
              </w:rPr>
              <w:t>竣工验收材料</w:t>
            </w:r>
            <w:r>
              <w:rPr>
                <w:rFonts w:hint="eastAsia" w:ascii="宋体" w:hAnsi="宋体" w:eastAsia="宋体" w:cs="宋体"/>
                <w:b/>
                <w:color w:val="auto"/>
                <w:sz w:val="24"/>
                <w:highlight w:val="none"/>
                <w:lang w:val="en-US" w:eastAsia="zh-CN"/>
              </w:rPr>
              <w:t>扫描件</w:t>
            </w:r>
            <w:r>
              <w:rPr>
                <w:rFonts w:hint="eastAsia" w:ascii="宋体" w:hAnsi="宋体" w:eastAsia="宋体" w:cs="宋体"/>
                <w:b/>
                <w:color w:val="auto"/>
                <w:sz w:val="24"/>
                <w:highlight w:val="none"/>
              </w:rPr>
              <w:t>作为评审依据。</w:t>
            </w:r>
            <w:r>
              <w:rPr>
                <w:rFonts w:hint="eastAsia" w:ascii="宋体" w:hAnsi="宋体" w:eastAsia="宋体" w:cs="宋体"/>
                <w:b/>
                <w:color w:val="auto"/>
                <w:sz w:val="24"/>
                <w:highlight w:val="none"/>
                <w:lang w:val="en-US" w:eastAsia="zh-CN"/>
              </w:rPr>
              <w:t>类似业绩是指建筑工程业绩</w:t>
            </w:r>
          </w:p>
        </w:tc>
      </w:tr>
    </w:tbl>
    <w:p w14:paraId="773F18FF">
      <w:pPr>
        <w:spacing w:line="500" w:lineRule="exact"/>
        <w:ind w:firstLine="482" w:firstLineChars="200"/>
        <w:rPr>
          <w:rFonts w:hint="eastAsia" w:ascii="宋体" w:hAnsi="宋体"/>
          <w:b/>
          <w:bCs/>
          <w:sz w:val="24"/>
          <w:szCs w:val="24"/>
        </w:rPr>
      </w:pPr>
      <w:r>
        <w:rPr>
          <w:rFonts w:hint="eastAsia" w:ascii="宋体" w:hAnsi="宋体"/>
          <w:b/>
          <w:bCs/>
          <w:sz w:val="24"/>
          <w:szCs w:val="24"/>
        </w:rPr>
        <w:t>（</w:t>
      </w:r>
      <w:r>
        <w:rPr>
          <w:rFonts w:hint="eastAsia" w:ascii="宋体" w:hAnsi="宋体"/>
          <w:b/>
          <w:bCs/>
          <w:sz w:val="24"/>
          <w:szCs w:val="24"/>
          <w:lang w:eastAsia="zh-CN"/>
        </w:rPr>
        <w:t>六</w:t>
      </w:r>
      <w:r>
        <w:rPr>
          <w:rFonts w:hint="eastAsia" w:ascii="宋体" w:hAnsi="宋体"/>
          <w:b/>
          <w:bCs/>
          <w:sz w:val="24"/>
          <w:szCs w:val="24"/>
        </w:rPr>
        <w:t>）得分汇总</w:t>
      </w:r>
    </w:p>
    <w:p w14:paraId="3D4C7B77">
      <w:pPr>
        <w:pStyle w:val="9"/>
        <w:spacing w:line="480" w:lineRule="exact"/>
        <w:ind w:firstLine="480" w:firstLineChars="200"/>
        <w:rPr>
          <w:rFonts w:hint="eastAsia" w:ascii="宋体" w:hAnsi="宋体"/>
          <w:sz w:val="24"/>
          <w:szCs w:val="24"/>
        </w:rPr>
      </w:pPr>
      <w:r>
        <w:rPr>
          <w:rFonts w:hint="eastAsia" w:ascii="宋体" w:hAnsi="宋体"/>
          <w:sz w:val="24"/>
          <w:szCs w:val="24"/>
        </w:rPr>
        <w:t>1.</w:t>
      </w:r>
      <w:r>
        <w:rPr>
          <w:rFonts w:hint="eastAsia" w:ascii="宋体" w:hAnsi="宋体"/>
          <w:sz w:val="24"/>
          <w:szCs w:val="24"/>
          <w:lang w:eastAsia="zh-CN"/>
        </w:rPr>
        <w:t>磋商小组</w:t>
      </w:r>
      <w:r>
        <w:rPr>
          <w:rFonts w:hint="eastAsia" w:ascii="宋体" w:hAnsi="宋体"/>
          <w:sz w:val="24"/>
          <w:szCs w:val="24"/>
        </w:rPr>
        <w:t>应首先对各供应商响应文件进行评审，写出书面意见并按竞争性磋商文件规定分值评分，各分档评分中间不得用插入法评分。</w:t>
      </w:r>
    </w:p>
    <w:p w14:paraId="14C339B4">
      <w:pPr>
        <w:pStyle w:val="9"/>
        <w:spacing w:line="480" w:lineRule="exact"/>
        <w:ind w:firstLine="480" w:firstLineChars="200"/>
        <w:rPr>
          <w:rFonts w:hint="eastAsia" w:ascii="宋体" w:hAnsi="宋体"/>
          <w:sz w:val="24"/>
          <w:szCs w:val="24"/>
        </w:rPr>
      </w:pPr>
      <w:r>
        <w:rPr>
          <w:rFonts w:hint="eastAsia" w:ascii="宋体" w:hAnsi="宋体"/>
          <w:sz w:val="24"/>
          <w:szCs w:val="24"/>
        </w:rPr>
        <w:t>2.除磋商价格得分外，其余部分由各</w:t>
      </w:r>
      <w:r>
        <w:rPr>
          <w:rFonts w:hint="eastAsia" w:ascii="宋体" w:hAnsi="宋体"/>
          <w:sz w:val="24"/>
          <w:szCs w:val="24"/>
          <w:lang w:eastAsia="zh-CN"/>
        </w:rPr>
        <w:t>磋商小组成员</w:t>
      </w:r>
      <w:r>
        <w:rPr>
          <w:rFonts w:hint="eastAsia" w:ascii="宋体" w:hAnsi="宋体"/>
          <w:sz w:val="24"/>
          <w:szCs w:val="24"/>
        </w:rPr>
        <w:t>自主评分并签字确认。</w:t>
      </w:r>
    </w:p>
    <w:p w14:paraId="6487DE5D">
      <w:pPr>
        <w:pStyle w:val="9"/>
        <w:spacing w:line="480" w:lineRule="exact"/>
        <w:ind w:firstLine="480" w:firstLineChars="200"/>
        <w:rPr>
          <w:rFonts w:hint="eastAsia" w:ascii="宋体" w:hAnsi="宋体"/>
          <w:sz w:val="24"/>
          <w:szCs w:val="24"/>
        </w:rPr>
      </w:pPr>
      <w:r>
        <w:rPr>
          <w:rFonts w:hint="eastAsia" w:ascii="宋体" w:hAnsi="宋体"/>
          <w:sz w:val="24"/>
          <w:szCs w:val="24"/>
        </w:rPr>
        <w:t>3.统分原则：计算</w:t>
      </w:r>
      <w:r>
        <w:rPr>
          <w:rFonts w:hint="eastAsia" w:ascii="宋体" w:hAnsi="宋体"/>
          <w:sz w:val="24"/>
          <w:szCs w:val="24"/>
          <w:lang w:eastAsia="zh-CN"/>
        </w:rPr>
        <w:t>磋商小组</w:t>
      </w:r>
      <w:r>
        <w:rPr>
          <w:rFonts w:hint="eastAsia" w:ascii="宋体" w:hAnsi="宋体"/>
          <w:sz w:val="24"/>
          <w:szCs w:val="24"/>
        </w:rPr>
        <w:t>打分的算术平均值为供应商的该项评分因素的得分，磋商报价得分除外（保留小数点后两位）。</w:t>
      </w:r>
    </w:p>
    <w:p w14:paraId="3FA8B6C2">
      <w:pPr>
        <w:pStyle w:val="9"/>
        <w:spacing w:line="480" w:lineRule="exact"/>
        <w:ind w:firstLine="480" w:firstLineChars="200"/>
        <w:rPr>
          <w:rFonts w:hint="eastAsia" w:ascii="宋体" w:hAnsi="宋体"/>
          <w:sz w:val="24"/>
          <w:szCs w:val="24"/>
        </w:rPr>
      </w:pPr>
      <w:r>
        <w:rPr>
          <w:rFonts w:hint="eastAsia" w:ascii="宋体" w:hAnsi="宋体"/>
          <w:sz w:val="24"/>
          <w:szCs w:val="24"/>
        </w:rPr>
        <w:t>4.得分汇总：各项评分因素得分总和即为供应商最后得分。</w:t>
      </w:r>
    </w:p>
    <w:p w14:paraId="00B25EFD">
      <w:pPr>
        <w:pStyle w:val="9"/>
        <w:spacing w:line="480" w:lineRule="exact"/>
        <w:ind w:firstLine="480" w:firstLineChars="200"/>
        <w:rPr>
          <w:rFonts w:hint="eastAsia" w:ascii="宋体" w:hAnsi="宋体"/>
          <w:sz w:val="24"/>
          <w:szCs w:val="24"/>
        </w:rPr>
      </w:pPr>
      <w:r>
        <w:rPr>
          <w:rFonts w:hint="eastAsia" w:ascii="宋体" w:hAnsi="宋体"/>
          <w:sz w:val="24"/>
          <w:szCs w:val="24"/>
        </w:rPr>
        <w:t>5.经磋商小组认定评分畸高、畸低的，磋商小组应当当场修改评审结果，并在评审报告中记载。</w:t>
      </w:r>
    </w:p>
    <w:p w14:paraId="0179CD59">
      <w:pPr>
        <w:spacing w:before="95" w:beforeLines="30" w:after="95" w:afterLines="30" w:line="50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八、推荐</w:t>
      </w:r>
    </w:p>
    <w:p w14:paraId="41EE77F0">
      <w:pPr>
        <w:pStyle w:val="8"/>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highlight w:val="none"/>
        </w:rPr>
      </w:pPr>
      <w:r>
        <w:rPr>
          <w:rFonts w:hint="eastAsia" w:ascii="宋体" w:hAnsi="宋体"/>
          <w:color w:val="000000"/>
          <w:sz w:val="24"/>
          <w:szCs w:val="24"/>
        </w:rPr>
        <w:t>磋商小组应当根据综合评分情况，按照评审得分由高到低顺序推荐3名以上成交候选供应商，并编写评审报告。评审得分相同的，按照最后报价由低到高的顺序推荐。</w:t>
      </w:r>
      <w:r>
        <w:rPr>
          <w:rFonts w:hint="eastAsia" w:ascii="宋体" w:hAnsi="宋体"/>
          <w:color w:val="auto"/>
          <w:sz w:val="24"/>
          <w:szCs w:val="24"/>
          <w:highlight w:val="none"/>
        </w:rPr>
        <w:t>评审得分且最后报价相同的，按照技术指标优劣顺序推荐。</w:t>
      </w:r>
      <w:r>
        <w:rPr>
          <w:rFonts w:hint="eastAsia" w:ascii="宋体" w:hAnsi="宋体"/>
          <w:color w:val="auto"/>
          <w:sz w:val="24"/>
          <w:szCs w:val="24"/>
          <w:highlight w:val="none"/>
          <w:lang w:eastAsia="zh-CN"/>
        </w:rPr>
        <w:t>技术指标优劣顺序相同的，</w:t>
      </w:r>
      <w:r>
        <w:rPr>
          <w:rFonts w:hint="eastAsia" w:ascii="宋体" w:hAnsi="宋体"/>
          <w:color w:val="auto"/>
          <w:sz w:val="24"/>
          <w:szCs w:val="24"/>
          <w:highlight w:val="none"/>
        </w:rPr>
        <w:t>若存在节能环保产品参与磋商，优先采购节能环保产品。</w:t>
      </w:r>
      <w:r>
        <w:rPr>
          <w:rFonts w:hint="eastAsia" w:ascii="宋体" w:hAnsi="宋体"/>
          <w:bCs/>
          <w:color w:val="auto"/>
          <w:sz w:val="24"/>
          <w:szCs w:val="24"/>
          <w:highlight w:val="none"/>
        </w:rPr>
        <w:t>若不存在节能环保产品参与，最终</w:t>
      </w:r>
      <w:r>
        <w:rPr>
          <w:rFonts w:hint="eastAsia" w:ascii="宋体" w:hAnsi="宋体"/>
          <w:bCs/>
          <w:sz w:val="24"/>
          <w:szCs w:val="24"/>
          <w:highlight w:val="none"/>
        </w:rPr>
        <w:t>推荐结果由</w:t>
      </w:r>
      <w:r>
        <w:rPr>
          <w:rFonts w:hint="eastAsia" w:ascii="宋体" w:hAnsi="宋体"/>
          <w:color w:val="auto"/>
          <w:sz w:val="24"/>
          <w:szCs w:val="24"/>
          <w:highlight w:val="none"/>
          <w:lang w:eastAsia="zh-CN"/>
        </w:rPr>
        <w:t>磋商小组</w:t>
      </w:r>
      <w:r>
        <w:rPr>
          <w:rFonts w:hint="eastAsia" w:ascii="宋体" w:hAnsi="宋体"/>
          <w:bCs/>
          <w:sz w:val="24"/>
          <w:szCs w:val="24"/>
          <w:highlight w:val="none"/>
        </w:rPr>
        <w:t>进行记名投票表决。</w:t>
      </w:r>
    </w:p>
    <w:p w14:paraId="5679DD20">
      <w:pPr>
        <w:spacing w:before="95" w:beforeLines="30" w:after="95" w:afterLines="30" w:line="50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九、评审报告编写</w:t>
      </w:r>
    </w:p>
    <w:p w14:paraId="4E61FCD9">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磋商小组根据全体评审成员签字的原始评审记录评审结果编写评审报告。</w:t>
      </w:r>
    </w:p>
    <w:p w14:paraId="7F72E432">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评审报告应当包括以下主要内容：</w:t>
      </w:r>
    </w:p>
    <w:p w14:paraId="19EA11FB">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1.邀请供应商参加采购活动的具体方式和相关情况；</w:t>
      </w:r>
    </w:p>
    <w:p w14:paraId="076D0544">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2.响应文件开启日期和地点；</w:t>
      </w:r>
    </w:p>
    <w:p w14:paraId="43358448">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3.获取磋商文件的供应商名单和磋商小组成员名单；</w:t>
      </w:r>
    </w:p>
    <w:p w14:paraId="799F332D">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4.评审情况记录和说明，包括对供应商的资格审查情况、供应商响应文件评审情况、磋商情况、报价情况等；</w:t>
      </w:r>
    </w:p>
    <w:p w14:paraId="1A944E7C">
      <w:pPr>
        <w:spacing w:line="500" w:lineRule="exact"/>
        <w:ind w:firstLine="480" w:firstLineChars="200"/>
        <w:rPr>
          <w:rFonts w:hint="eastAsia" w:ascii="宋体" w:hAnsi="宋体"/>
          <w:color w:val="000000"/>
          <w:sz w:val="24"/>
          <w:szCs w:val="24"/>
        </w:rPr>
      </w:pPr>
      <w:r>
        <w:rPr>
          <w:rFonts w:hint="eastAsia" w:ascii="宋体" w:hAnsi="宋体"/>
          <w:color w:val="000000"/>
          <w:sz w:val="24"/>
          <w:szCs w:val="24"/>
        </w:rPr>
        <w:t>5.提出的成交候选供应商的排序名单及理由。</w:t>
      </w:r>
    </w:p>
    <w:p w14:paraId="2F104096">
      <w:pPr>
        <w:spacing w:line="500" w:lineRule="exact"/>
        <w:ind w:firstLine="480" w:firstLineChars="200"/>
        <w:rPr>
          <w:rFonts w:ascii="宋体" w:hAnsi="宋体"/>
          <w:color w:val="000000"/>
        </w:rPr>
      </w:pPr>
      <w:r>
        <w:rPr>
          <w:rFonts w:hint="eastAsia" w:ascii="宋体" w:hAnsi="宋体"/>
          <w:color w:val="000000"/>
          <w:sz w:val="24"/>
          <w:szCs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A299783">
      <w:pPr>
        <w:pStyle w:val="2"/>
        <w:spacing w:before="0" w:after="0" w:line="360" w:lineRule="auto"/>
        <w:jc w:val="center"/>
        <w:rPr>
          <w:rFonts w:ascii="宋体" w:hAnsi="宋体"/>
        </w:rPr>
      </w:pPr>
      <w:bookmarkStart w:id="272" w:name="_Toc21476"/>
      <w:bookmarkEnd w:id="272"/>
      <w:bookmarkStart w:id="273" w:name="_Toc26828"/>
      <w:bookmarkEnd w:id="273"/>
      <w:bookmarkStart w:id="274" w:name="_Toc8239"/>
      <w:bookmarkEnd w:id="274"/>
      <w:bookmarkStart w:id="275" w:name="_Toc18440"/>
      <w:bookmarkEnd w:id="275"/>
      <w:bookmarkStart w:id="276" w:name="_Toc3896294"/>
      <w:bookmarkStart w:id="277" w:name="_Toc30727"/>
      <w:bookmarkStart w:id="278" w:name="_Toc15431"/>
      <w:r>
        <w:rPr>
          <w:rFonts w:ascii="宋体" w:hAnsi="宋体"/>
        </w:rPr>
        <w:br w:type="page"/>
      </w:r>
      <w:bookmarkStart w:id="279" w:name="_Toc4039"/>
      <w:bookmarkStart w:id="280" w:name="_Toc13324"/>
      <w:r>
        <w:rPr>
          <w:rFonts w:hint="eastAsia" w:ascii="宋体" w:hAnsi="宋体"/>
          <w:color w:val="auto"/>
        </w:rPr>
        <w:t>第四章 合同草案条款</w:t>
      </w:r>
      <w:bookmarkEnd w:id="276"/>
      <w:bookmarkEnd w:id="277"/>
      <w:bookmarkEnd w:id="279"/>
      <w:bookmarkEnd w:id="280"/>
    </w:p>
    <w:p w14:paraId="428A8A44">
      <w:pPr>
        <w:jc w:val="center"/>
        <w:rPr>
          <w:rFonts w:hint="eastAsia" w:ascii="宋体" w:hAnsi="宋体"/>
          <w:color w:val="FF0000"/>
          <w:sz w:val="24"/>
          <w:szCs w:val="24"/>
        </w:rPr>
      </w:pPr>
      <w:r>
        <w:rPr>
          <w:rFonts w:hint="eastAsia" w:ascii="宋体" w:hAnsi="宋体" w:eastAsia="宋体" w:cs="宋体"/>
          <w:b w:val="0"/>
          <w:bCs w:val="0"/>
          <w:sz w:val="24"/>
          <w:szCs w:val="24"/>
        </w:rPr>
        <w:t>(以下合同内容仅供参考，具体合同内容以签订合同时甲乙双方商定为准)</w:t>
      </w:r>
    </w:p>
    <w:p w14:paraId="66290E9A">
      <w:pPr>
        <w:pStyle w:val="8"/>
        <w:rPr>
          <w:rFonts w:hint="eastAsia"/>
        </w:rPr>
      </w:pPr>
    </w:p>
    <w:p w14:paraId="574A6F03">
      <w:pPr>
        <w:rPr>
          <w:rFonts w:hint="eastAsia" w:ascii="宋体" w:hAnsi="宋体" w:cs="Arial"/>
          <w:sz w:val="24"/>
          <w:szCs w:val="24"/>
        </w:rPr>
      </w:pPr>
      <w:r>
        <w:rPr>
          <w:rFonts w:hint="eastAsia" w:ascii="宋体" w:hAnsi="宋体" w:cs="Arial"/>
          <w:sz w:val="24"/>
          <w:szCs w:val="24"/>
        </w:rPr>
        <w:t>合同编号：                    合同自编号：                项目编号：</w:t>
      </w:r>
      <w:r>
        <w:rPr>
          <w:rFonts w:hint="eastAsia" w:ascii="宋体" w:hAnsi="宋体" w:cs="Arial"/>
          <w:sz w:val="24"/>
          <w:szCs w:val="24"/>
          <w:u w:val="single"/>
        </w:rPr>
        <w:t xml:space="preserve">             </w:t>
      </w:r>
    </w:p>
    <w:p w14:paraId="42D4A7DA">
      <w:pPr>
        <w:rPr>
          <w:rFonts w:hint="eastAsia" w:ascii="宋体" w:hAnsi="宋体" w:cs="Arial"/>
          <w:sz w:val="24"/>
          <w:szCs w:val="24"/>
        </w:rPr>
      </w:pPr>
      <w:r>
        <w:rPr>
          <w:rFonts w:hint="eastAsia" w:ascii="宋体" w:hAnsi="宋体" w:cs="Arial"/>
          <w:sz w:val="24"/>
          <w:szCs w:val="24"/>
        </w:rPr>
        <w:t xml:space="preserve"> </w:t>
      </w:r>
    </w:p>
    <w:p w14:paraId="7FB335B6">
      <w:pPr>
        <w:spacing w:after="240"/>
        <w:rPr>
          <w:rFonts w:hint="eastAsia" w:ascii="宋体" w:hAnsi="宋体" w:cs="Arial"/>
          <w:sz w:val="24"/>
          <w:szCs w:val="24"/>
        </w:rPr>
      </w:pPr>
      <w:r>
        <w:rPr>
          <w:rFonts w:hint="eastAsia" w:ascii="宋体" w:hAnsi="宋体" w:cs="Arial"/>
          <w:sz w:val="24"/>
          <w:szCs w:val="24"/>
        </w:rPr>
        <w:t>●本合同须加盖甲乙双方骑缝章有效</w:t>
      </w:r>
    </w:p>
    <w:p w14:paraId="0D139E5C">
      <w:pPr>
        <w:snapToGrid w:val="0"/>
        <w:spacing w:after="240"/>
        <w:rPr>
          <w:rFonts w:hint="eastAsia" w:ascii="宋体" w:hAnsi="宋体"/>
          <w:sz w:val="18"/>
          <w:szCs w:val="18"/>
        </w:rPr>
      </w:pPr>
      <w:r>
        <w:rPr>
          <w:rFonts w:hint="eastAsia" w:ascii="宋体" w:hAnsi="宋体"/>
          <w:sz w:val="18"/>
          <w:szCs w:val="18"/>
        </w:rPr>
        <w:t xml:space="preserve"> </w:t>
      </w:r>
    </w:p>
    <w:p w14:paraId="7DEF945F">
      <w:pPr>
        <w:snapToGrid w:val="0"/>
        <w:spacing w:after="240"/>
        <w:jc w:val="center"/>
        <w:rPr>
          <w:rFonts w:hint="eastAsia" w:ascii="宋体" w:hAnsi="宋体"/>
          <w:sz w:val="39"/>
          <w:szCs w:val="39"/>
        </w:rPr>
      </w:pPr>
      <w:r>
        <w:rPr>
          <w:rFonts w:hint="eastAsia" w:ascii="宋体" w:hAnsi="宋体"/>
          <w:sz w:val="39"/>
          <w:szCs w:val="39"/>
        </w:rPr>
        <w:t xml:space="preserve"> </w:t>
      </w:r>
    </w:p>
    <w:p w14:paraId="186DCB04">
      <w:pPr>
        <w:snapToGrid w:val="0"/>
        <w:spacing w:after="240"/>
        <w:jc w:val="center"/>
        <w:rPr>
          <w:rFonts w:hint="eastAsia" w:ascii="宋体" w:hAnsi="宋体"/>
          <w:sz w:val="18"/>
          <w:szCs w:val="18"/>
        </w:rPr>
      </w:pPr>
      <w:r>
        <w:rPr>
          <w:rFonts w:hint="eastAsia" w:ascii="宋体" w:hAnsi="宋体"/>
          <w:sz w:val="39"/>
          <w:szCs w:val="39"/>
        </w:rPr>
        <w:t>云南省省级政府采购</w:t>
      </w:r>
    </w:p>
    <w:p w14:paraId="5F1AF8EE">
      <w:pPr>
        <w:snapToGrid w:val="0"/>
        <w:spacing w:after="240"/>
        <w:jc w:val="center"/>
        <w:rPr>
          <w:rFonts w:hint="eastAsia" w:ascii="宋体" w:hAnsi="宋体"/>
          <w:sz w:val="18"/>
          <w:szCs w:val="18"/>
        </w:rPr>
      </w:pPr>
      <w:r>
        <w:rPr>
          <w:rFonts w:hint="eastAsia" w:ascii="宋体" w:hAnsi="宋体"/>
          <w:sz w:val="33"/>
          <w:szCs w:val="33"/>
        </w:rPr>
        <w:t>（委托采购）</w:t>
      </w:r>
      <w:r>
        <w:rPr>
          <w:rFonts w:hint="eastAsia" w:ascii="宋体" w:hAnsi="宋体"/>
          <w:sz w:val="18"/>
          <w:szCs w:val="18"/>
        </w:rPr>
        <w:t xml:space="preserve"> </w:t>
      </w:r>
    </w:p>
    <w:p w14:paraId="0E8CB604">
      <w:pPr>
        <w:snapToGrid w:val="0"/>
        <w:spacing w:after="240"/>
        <w:jc w:val="center"/>
        <w:rPr>
          <w:rFonts w:hint="eastAsia" w:ascii="宋体" w:hAnsi="宋体"/>
          <w:sz w:val="39"/>
          <w:szCs w:val="39"/>
        </w:rPr>
      </w:pPr>
      <w:r>
        <w:rPr>
          <w:rFonts w:hint="eastAsia" w:ascii="宋体" w:hAnsi="宋体"/>
          <w:sz w:val="39"/>
          <w:szCs w:val="39"/>
        </w:rPr>
        <w:t xml:space="preserve"> </w:t>
      </w:r>
    </w:p>
    <w:p w14:paraId="3A06F9B5">
      <w:pPr>
        <w:snapToGrid w:val="0"/>
        <w:spacing w:after="240" w:line="900" w:lineRule="exact"/>
        <w:jc w:val="center"/>
        <w:rPr>
          <w:rFonts w:hint="eastAsia" w:ascii="宋体" w:hAnsi="宋体"/>
          <w:sz w:val="18"/>
          <w:szCs w:val="18"/>
        </w:rPr>
      </w:pPr>
      <w:r>
        <w:rPr>
          <w:rFonts w:hint="eastAsia" w:ascii="宋体" w:hAnsi="宋体"/>
          <w:sz w:val="63"/>
          <w:szCs w:val="63"/>
        </w:rPr>
        <w:t>合</w:t>
      </w:r>
      <w:r>
        <w:rPr>
          <w:rFonts w:hint="eastAsia" w:ascii="宋体" w:hAnsi="宋体"/>
          <w:sz w:val="18"/>
          <w:szCs w:val="18"/>
        </w:rPr>
        <w:t xml:space="preserve"> </w:t>
      </w:r>
    </w:p>
    <w:p w14:paraId="7FF6784A">
      <w:pPr>
        <w:snapToGrid w:val="0"/>
        <w:jc w:val="center"/>
        <w:rPr>
          <w:rFonts w:hint="eastAsia" w:ascii="宋体" w:hAnsi="宋体"/>
          <w:sz w:val="24"/>
          <w:szCs w:val="24"/>
        </w:rPr>
      </w:pPr>
      <w:r>
        <w:rPr>
          <w:rFonts w:hint="eastAsia" w:ascii="宋体" w:hAnsi="宋体"/>
          <w:sz w:val="24"/>
          <w:szCs w:val="24"/>
        </w:rPr>
        <w:t xml:space="preserve"> </w:t>
      </w:r>
    </w:p>
    <w:p w14:paraId="708DA356">
      <w:pPr>
        <w:snapToGrid w:val="0"/>
        <w:spacing w:after="240" w:line="900" w:lineRule="exact"/>
        <w:jc w:val="center"/>
        <w:rPr>
          <w:rFonts w:hint="eastAsia" w:ascii="宋体" w:hAnsi="宋体"/>
          <w:sz w:val="63"/>
          <w:szCs w:val="63"/>
        </w:rPr>
      </w:pPr>
      <w:r>
        <w:rPr>
          <w:rFonts w:hint="eastAsia" w:ascii="宋体" w:hAnsi="宋体"/>
          <w:sz w:val="63"/>
          <w:szCs w:val="63"/>
        </w:rPr>
        <w:t>同</w:t>
      </w:r>
    </w:p>
    <w:p w14:paraId="0C9971CD">
      <w:pPr>
        <w:snapToGrid w:val="0"/>
        <w:jc w:val="center"/>
        <w:rPr>
          <w:rFonts w:hint="eastAsia" w:ascii="宋体" w:hAnsi="宋体"/>
          <w:sz w:val="24"/>
          <w:szCs w:val="24"/>
        </w:rPr>
      </w:pPr>
      <w:r>
        <w:rPr>
          <w:rFonts w:hint="eastAsia" w:ascii="宋体" w:hAnsi="宋体"/>
          <w:sz w:val="24"/>
          <w:szCs w:val="24"/>
        </w:rPr>
        <w:t xml:space="preserve"> </w:t>
      </w:r>
    </w:p>
    <w:p w14:paraId="3204F17E">
      <w:pPr>
        <w:snapToGrid w:val="0"/>
        <w:spacing w:after="240" w:line="900" w:lineRule="exact"/>
        <w:jc w:val="center"/>
        <w:rPr>
          <w:rFonts w:hint="eastAsia" w:ascii="宋体" w:hAnsi="宋体"/>
          <w:sz w:val="18"/>
          <w:szCs w:val="18"/>
        </w:rPr>
      </w:pPr>
      <w:r>
        <w:rPr>
          <w:rFonts w:hint="eastAsia" w:ascii="宋体" w:hAnsi="宋体"/>
          <w:sz w:val="63"/>
          <w:szCs w:val="63"/>
        </w:rPr>
        <w:t>书</w:t>
      </w:r>
      <w:r>
        <w:rPr>
          <w:rFonts w:hint="eastAsia" w:ascii="宋体" w:hAnsi="宋体"/>
          <w:sz w:val="18"/>
          <w:szCs w:val="18"/>
        </w:rPr>
        <w:t xml:space="preserve"> </w:t>
      </w:r>
    </w:p>
    <w:p w14:paraId="0668448C">
      <w:pPr>
        <w:snapToGrid w:val="0"/>
        <w:spacing w:after="240"/>
        <w:jc w:val="center"/>
        <w:rPr>
          <w:rFonts w:hint="eastAsia" w:ascii="宋体" w:hAnsi="宋体"/>
          <w:b/>
          <w:bCs/>
          <w:sz w:val="27"/>
          <w:szCs w:val="27"/>
        </w:rPr>
      </w:pPr>
      <w:r>
        <w:rPr>
          <w:rFonts w:hint="eastAsia" w:ascii="宋体" w:hAnsi="宋体"/>
          <w:b/>
          <w:bCs/>
          <w:sz w:val="27"/>
          <w:szCs w:val="27"/>
        </w:rPr>
        <w:t xml:space="preserve"> </w:t>
      </w:r>
    </w:p>
    <w:p w14:paraId="6A19E3BA">
      <w:pPr>
        <w:snapToGrid w:val="0"/>
        <w:spacing w:after="240"/>
        <w:jc w:val="center"/>
        <w:rPr>
          <w:rFonts w:hint="eastAsia" w:ascii="宋体" w:hAnsi="宋体"/>
          <w:b/>
          <w:bCs/>
          <w:sz w:val="27"/>
          <w:szCs w:val="27"/>
        </w:rPr>
      </w:pPr>
      <w:r>
        <w:rPr>
          <w:rFonts w:hint="eastAsia" w:ascii="宋体" w:hAnsi="宋体"/>
          <w:b/>
          <w:bCs/>
          <w:sz w:val="27"/>
          <w:szCs w:val="27"/>
        </w:rPr>
        <w:t xml:space="preserve"> </w:t>
      </w:r>
    </w:p>
    <w:p w14:paraId="7E5B6A6C">
      <w:pPr>
        <w:snapToGrid w:val="0"/>
        <w:spacing w:after="240"/>
        <w:jc w:val="center"/>
        <w:rPr>
          <w:rFonts w:hint="eastAsia" w:ascii="宋体" w:hAnsi="宋体"/>
          <w:b/>
          <w:bCs/>
          <w:sz w:val="27"/>
          <w:szCs w:val="27"/>
        </w:rPr>
      </w:pPr>
      <w:r>
        <w:rPr>
          <w:rFonts w:hint="eastAsia" w:ascii="宋体" w:hAnsi="宋体"/>
          <w:b/>
          <w:bCs/>
          <w:sz w:val="27"/>
          <w:szCs w:val="27"/>
        </w:rPr>
        <w:t xml:space="preserve"> </w:t>
      </w:r>
    </w:p>
    <w:p w14:paraId="2717459A">
      <w:pPr>
        <w:snapToGrid w:val="0"/>
        <w:spacing w:after="240"/>
        <w:ind w:firstLine="3068" w:firstLineChars="1132"/>
        <w:rPr>
          <w:rFonts w:hint="eastAsia" w:ascii="宋体" w:hAnsi="宋体"/>
          <w:sz w:val="18"/>
          <w:szCs w:val="18"/>
        </w:rPr>
      </w:pPr>
      <w:r>
        <w:rPr>
          <w:rFonts w:hint="eastAsia" w:ascii="宋体" w:hAnsi="宋体"/>
          <w:b/>
          <w:bCs/>
          <w:sz w:val="27"/>
          <w:szCs w:val="27"/>
        </w:rPr>
        <w:t xml:space="preserve">签订地点： </w:t>
      </w:r>
      <w:r>
        <w:rPr>
          <w:rFonts w:hint="eastAsia" w:ascii="宋体" w:hAnsi="宋体"/>
          <w:sz w:val="18"/>
          <w:szCs w:val="18"/>
        </w:rPr>
        <w:t xml:space="preserve"> </w:t>
      </w:r>
    </w:p>
    <w:p w14:paraId="4323A9E9">
      <w:pPr>
        <w:snapToGrid w:val="0"/>
        <w:spacing w:after="240"/>
        <w:jc w:val="center"/>
        <w:rPr>
          <w:rFonts w:hint="eastAsia" w:ascii="宋体" w:hAnsi="宋体"/>
          <w:sz w:val="18"/>
          <w:szCs w:val="18"/>
        </w:rPr>
      </w:pPr>
      <w:r>
        <w:rPr>
          <w:rFonts w:hint="eastAsia" w:ascii="宋体" w:hAnsi="宋体"/>
          <w:b/>
          <w:bCs/>
          <w:sz w:val="27"/>
          <w:szCs w:val="27"/>
        </w:rPr>
        <w:t xml:space="preserve">   签订日期：</w:t>
      </w:r>
      <w:r>
        <w:rPr>
          <w:rFonts w:hint="eastAsia" w:ascii="宋体" w:hAnsi="宋体"/>
          <w:b/>
          <w:sz w:val="28"/>
          <w:szCs w:val="28"/>
          <w:u w:val="single"/>
        </w:rPr>
        <w:t xml:space="preserve">        </w:t>
      </w:r>
      <w:r>
        <w:rPr>
          <w:rFonts w:hint="eastAsia" w:ascii="宋体" w:hAnsi="宋体"/>
          <w:b/>
          <w:sz w:val="28"/>
          <w:szCs w:val="28"/>
        </w:rPr>
        <w:t>年</w:t>
      </w:r>
      <w:r>
        <w:rPr>
          <w:rFonts w:hint="eastAsia" w:ascii="宋体" w:hAnsi="宋体"/>
          <w:b/>
          <w:sz w:val="28"/>
          <w:szCs w:val="28"/>
          <w:u w:val="single"/>
        </w:rPr>
        <w:t xml:space="preserve">   </w:t>
      </w:r>
      <w:r>
        <w:rPr>
          <w:rFonts w:hint="eastAsia" w:ascii="宋体" w:hAnsi="宋体"/>
          <w:b/>
          <w:sz w:val="28"/>
          <w:szCs w:val="28"/>
        </w:rPr>
        <w:t>月</w:t>
      </w:r>
      <w:r>
        <w:rPr>
          <w:rFonts w:hint="eastAsia" w:ascii="宋体" w:hAnsi="宋体"/>
          <w:b/>
          <w:sz w:val="28"/>
          <w:szCs w:val="28"/>
          <w:u w:val="single"/>
        </w:rPr>
        <w:t xml:space="preserve">   </w:t>
      </w:r>
      <w:r>
        <w:rPr>
          <w:rFonts w:hint="eastAsia" w:ascii="宋体" w:hAnsi="宋体"/>
          <w:b/>
          <w:sz w:val="28"/>
          <w:szCs w:val="28"/>
        </w:rPr>
        <w:t>日</w:t>
      </w:r>
    </w:p>
    <w:p w14:paraId="66770CF3">
      <w:pPr>
        <w:snapToGrid w:val="0"/>
        <w:spacing w:before="100" w:beforeAutospacing="1" w:after="100" w:afterAutospacing="1"/>
        <w:jc w:val="center"/>
        <w:rPr>
          <w:rFonts w:hint="eastAsia" w:ascii="宋体" w:hAnsi="宋体"/>
          <w:b/>
          <w:bCs/>
          <w:sz w:val="27"/>
          <w:szCs w:val="27"/>
        </w:rPr>
      </w:pPr>
      <w:r>
        <w:rPr>
          <w:rFonts w:hint="eastAsia" w:ascii="宋体" w:hAnsi="宋体"/>
          <w:b/>
          <w:bCs/>
          <w:sz w:val="27"/>
          <w:szCs w:val="27"/>
        </w:rPr>
        <w:t xml:space="preserve">云南省财政厅 制 </w:t>
      </w:r>
    </w:p>
    <w:bookmarkEnd w:id="278"/>
    <w:p w14:paraId="284E4DE6">
      <w:pPr>
        <w:spacing w:line="460" w:lineRule="exact"/>
        <w:jc w:val="center"/>
        <w:rPr>
          <w:rFonts w:ascii="宋体" w:hAnsi="宋体"/>
          <w:b/>
          <w:sz w:val="28"/>
          <w:szCs w:val="28"/>
        </w:rPr>
      </w:pPr>
      <w:r>
        <w:rPr>
          <w:rFonts w:hint="eastAsia" w:ascii="宋体" w:hAnsi="宋体"/>
          <w:b/>
          <w:sz w:val="28"/>
          <w:szCs w:val="28"/>
        </w:rPr>
        <w:t>第一部分  主要协议条款</w:t>
      </w:r>
    </w:p>
    <w:p w14:paraId="7DDE534E">
      <w:pPr>
        <w:spacing w:line="480" w:lineRule="exact"/>
        <w:ind w:firstLine="560" w:firstLineChars="200"/>
        <w:rPr>
          <w:rFonts w:ascii="宋体" w:hAnsi="宋体"/>
          <w:bCs/>
          <w:sz w:val="28"/>
          <w:szCs w:val="28"/>
        </w:rPr>
      </w:pPr>
    </w:p>
    <w:p w14:paraId="0846A0B9">
      <w:pPr>
        <w:spacing w:line="460" w:lineRule="exact"/>
        <w:ind w:firstLine="480" w:firstLineChars="200"/>
        <w:rPr>
          <w:rFonts w:ascii="宋体" w:hAnsi="宋体"/>
          <w:bCs/>
          <w:sz w:val="24"/>
        </w:rPr>
      </w:pPr>
      <w:r>
        <w:rPr>
          <w:rFonts w:hint="eastAsia" w:ascii="宋体" w:hAnsi="宋体"/>
          <w:sz w:val="24"/>
          <w:lang w:eastAsia="zh-CN"/>
        </w:rPr>
        <w:t>根据</w:t>
      </w:r>
      <w:r>
        <w:rPr>
          <w:rFonts w:hint="eastAsia" w:ascii="宋体" w:hAnsi="宋体"/>
          <w:bCs/>
          <w:sz w:val="24"/>
        </w:rPr>
        <w:t>《中华人民共和国政府采购法</w:t>
      </w:r>
      <w:r>
        <w:rPr>
          <w:rFonts w:hint="eastAsia" w:ascii="宋体" w:hAnsi="宋体"/>
          <w:bCs/>
          <w:sz w:val="24"/>
          <w:lang w:eastAsia="zh-CN"/>
        </w:rPr>
        <w:t>》《</w:t>
      </w:r>
      <w:r>
        <w:rPr>
          <w:rFonts w:hint="eastAsia" w:ascii="宋体" w:hAnsi="宋体"/>
          <w:bCs/>
          <w:sz w:val="24"/>
        </w:rPr>
        <w:t>中华人民共和国政府采购法实施条例》</w:t>
      </w:r>
      <w:r>
        <w:rPr>
          <w:rFonts w:hint="eastAsia" w:ascii="宋体" w:hAnsi="宋体"/>
          <w:sz w:val="24"/>
          <w:lang w:val="zh-CN"/>
        </w:rPr>
        <w:t>等法律法规的规定，甲、乙</w:t>
      </w:r>
      <w:r>
        <w:rPr>
          <w:rFonts w:hint="eastAsia" w:ascii="宋体" w:hAnsi="宋体"/>
          <w:bCs/>
          <w:sz w:val="24"/>
        </w:rPr>
        <w:t>双方在自愿、平等、协商一致的基础上，签订以下合同条款。</w:t>
      </w:r>
    </w:p>
    <w:p w14:paraId="1C2B352F">
      <w:pPr>
        <w:spacing w:line="460" w:lineRule="exact"/>
        <w:ind w:firstLine="480" w:firstLineChars="200"/>
        <w:rPr>
          <w:rFonts w:ascii="宋体" w:hAnsi="宋体"/>
          <w:sz w:val="24"/>
        </w:rPr>
      </w:pPr>
      <w:r>
        <w:rPr>
          <w:rFonts w:hint="eastAsia" w:ascii="宋体" w:hAnsi="宋体"/>
          <w:sz w:val="24"/>
        </w:rPr>
        <w:t>一、工程概况</w:t>
      </w:r>
    </w:p>
    <w:p w14:paraId="5A6198DF">
      <w:pPr>
        <w:spacing w:line="460" w:lineRule="exact"/>
        <w:ind w:firstLine="480" w:firstLineChars="200"/>
        <w:rPr>
          <w:rFonts w:hint="eastAsia" w:ascii="宋体" w:hAnsi="宋体"/>
          <w:b/>
          <w:bCs/>
          <w:sz w:val="24"/>
          <w:u w:val="single"/>
        </w:rPr>
      </w:pPr>
      <w:r>
        <w:rPr>
          <w:rFonts w:hint="eastAsia" w:ascii="宋体" w:hAnsi="宋体"/>
          <w:sz w:val="24"/>
        </w:rPr>
        <w:t>项目名称：</w:t>
      </w:r>
      <w:r>
        <w:rPr>
          <w:rFonts w:hint="eastAsia" w:ascii="宋体" w:hAnsi="宋体"/>
          <w:sz w:val="24"/>
          <w:u w:val="single"/>
        </w:rPr>
        <w:t xml:space="preserve">         </w:t>
      </w:r>
    </w:p>
    <w:p w14:paraId="202BD81A">
      <w:pPr>
        <w:spacing w:line="460" w:lineRule="exact"/>
        <w:ind w:firstLine="480" w:firstLineChars="200"/>
        <w:rPr>
          <w:rFonts w:hint="eastAsia" w:ascii="宋体" w:hAnsi="宋体"/>
          <w:b/>
          <w:sz w:val="24"/>
        </w:rPr>
      </w:pPr>
      <w:r>
        <w:rPr>
          <w:rFonts w:hint="eastAsia" w:ascii="宋体" w:hAnsi="宋体"/>
          <w:sz w:val="24"/>
        </w:rPr>
        <w:t>项目地点：</w:t>
      </w:r>
      <w:r>
        <w:rPr>
          <w:rFonts w:hint="eastAsia" w:ascii="宋体" w:hAnsi="宋体"/>
          <w:sz w:val="24"/>
          <w:u w:val="single"/>
        </w:rPr>
        <w:t xml:space="preserve">        </w:t>
      </w:r>
      <w:r>
        <w:rPr>
          <w:rFonts w:hint="eastAsia" w:ascii="宋体" w:hAnsi="宋体"/>
          <w:b/>
          <w:bCs/>
          <w:sz w:val="24"/>
          <w:u w:val="single"/>
        </w:rPr>
        <w:t xml:space="preserve"> </w:t>
      </w:r>
    </w:p>
    <w:p w14:paraId="282C8011">
      <w:pPr>
        <w:spacing w:line="460" w:lineRule="exact"/>
        <w:ind w:firstLine="480" w:firstLineChars="200"/>
        <w:rPr>
          <w:rFonts w:ascii="宋体" w:hAnsi="宋体"/>
          <w:b/>
          <w:bCs/>
          <w:sz w:val="24"/>
          <w:u w:val="single"/>
        </w:rPr>
      </w:pPr>
      <w:r>
        <w:rPr>
          <w:rFonts w:hint="eastAsia" w:ascii="宋体" w:hAnsi="宋体"/>
          <w:sz w:val="24"/>
        </w:rPr>
        <w:t>工程内容：</w:t>
      </w:r>
      <w:r>
        <w:rPr>
          <w:rFonts w:hint="eastAsia" w:ascii="宋体" w:hAnsi="宋体"/>
          <w:sz w:val="24"/>
          <w:u w:val="single"/>
        </w:rPr>
        <w:t xml:space="preserve">        </w:t>
      </w:r>
      <w:r>
        <w:rPr>
          <w:rFonts w:hint="eastAsia" w:ascii="宋体" w:hAnsi="宋体"/>
          <w:b/>
          <w:bCs/>
          <w:sz w:val="24"/>
          <w:u w:val="single"/>
        </w:rPr>
        <w:t xml:space="preserve"> </w:t>
      </w:r>
    </w:p>
    <w:p w14:paraId="52E3E7F9">
      <w:pPr>
        <w:spacing w:line="460" w:lineRule="exact"/>
        <w:ind w:firstLine="480" w:firstLineChars="200"/>
        <w:rPr>
          <w:rFonts w:ascii="宋体" w:hAnsi="宋体"/>
          <w:sz w:val="24"/>
        </w:rPr>
      </w:pPr>
      <w:r>
        <w:rPr>
          <w:rFonts w:hint="eastAsia" w:ascii="宋体" w:hAnsi="宋体"/>
          <w:sz w:val="24"/>
        </w:rPr>
        <w:t>批准文号：</w:t>
      </w:r>
      <w:r>
        <w:rPr>
          <w:rFonts w:hint="eastAsia" w:ascii="宋体" w:hAnsi="宋体"/>
          <w:b/>
          <w:bCs/>
          <w:sz w:val="24"/>
          <w:u w:val="single"/>
        </w:rPr>
        <w:t xml:space="preserve">        </w:t>
      </w:r>
    </w:p>
    <w:p w14:paraId="5B10F567">
      <w:pPr>
        <w:spacing w:line="460" w:lineRule="exact"/>
        <w:ind w:firstLine="480" w:firstLineChars="200"/>
        <w:rPr>
          <w:rFonts w:ascii="宋体" w:hAnsi="宋体"/>
          <w:sz w:val="24"/>
        </w:rPr>
      </w:pPr>
      <w:r>
        <w:rPr>
          <w:rFonts w:hint="eastAsia" w:ascii="宋体" w:hAnsi="宋体"/>
          <w:sz w:val="24"/>
        </w:rPr>
        <w:t>资金来源：</w:t>
      </w:r>
      <w:r>
        <w:rPr>
          <w:rFonts w:hint="eastAsia" w:ascii="宋体" w:hAnsi="宋体"/>
          <w:b/>
          <w:bCs/>
          <w:sz w:val="24"/>
          <w:u w:val="single"/>
        </w:rPr>
        <w:t xml:space="preserve">        </w:t>
      </w:r>
    </w:p>
    <w:p w14:paraId="39078E58">
      <w:pPr>
        <w:spacing w:line="460" w:lineRule="exact"/>
        <w:ind w:firstLine="480" w:firstLineChars="200"/>
        <w:rPr>
          <w:rFonts w:ascii="宋体" w:hAnsi="宋体"/>
          <w:sz w:val="24"/>
        </w:rPr>
      </w:pPr>
      <w:r>
        <w:rPr>
          <w:rFonts w:hint="eastAsia" w:ascii="宋体" w:hAnsi="宋体"/>
          <w:sz w:val="24"/>
        </w:rPr>
        <w:t>二、工程承包范围</w:t>
      </w:r>
    </w:p>
    <w:p w14:paraId="01DBC5B3">
      <w:pPr>
        <w:spacing w:line="460" w:lineRule="exact"/>
        <w:ind w:firstLine="480" w:firstLineChars="200"/>
        <w:rPr>
          <w:rFonts w:ascii="宋体" w:hAnsi="宋体"/>
          <w:sz w:val="24"/>
        </w:rPr>
      </w:pPr>
      <w:r>
        <w:rPr>
          <w:rFonts w:hint="eastAsia" w:ascii="宋体" w:hAnsi="宋体"/>
          <w:sz w:val="24"/>
        </w:rPr>
        <w:t>详见竞争性磋商文件、补充文件、图纸答疑及磋商承诺、工程量清单、施工图所包括的全部分部分项工程内容。</w:t>
      </w:r>
    </w:p>
    <w:p w14:paraId="3979FBF4">
      <w:pPr>
        <w:spacing w:line="460" w:lineRule="exact"/>
        <w:ind w:firstLine="480" w:firstLineChars="200"/>
        <w:rPr>
          <w:rFonts w:ascii="宋体" w:hAnsi="宋体"/>
          <w:sz w:val="24"/>
        </w:rPr>
      </w:pPr>
      <w:r>
        <w:rPr>
          <w:rFonts w:hint="eastAsia" w:ascii="宋体" w:hAnsi="宋体"/>
          <w:sz w:val="24"/>
        </w:rPr>
        <w:t>三、合同工期</w:t>
      </w:r>
    </w:p>
    <w:p w14:paraId="60EB13E4">
      <w:pPr>
        <w:spacing w:line="460" w:lineRule="exact"/>
        <w:ind w:firstLine="480" w:firstLineChars="200"/>
        <w:rPr>
          <w:rFonts w:ascii="宋体" w:hAnsi="宋体"/>
          <w:sz w:val="24"/>
        </w:rPr>
      </w:pPr>
      <w:r>
        <w:rPr>
          <w:rFonts w:hint="eastAsia" w:ascii="宋体" w:hAnsi="宋体"/>
          <w:sz w:val="24"/>
        </w:rPr>
        <w:t>合同工期：在</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日前竣工（含施工准备期），乙方须合同签订后一周内进场。</w:t>
      </w:r>
    </w:p>
    <w:p w14:paraId="2F63A358">
      <w:pPr>
        <w:spacing w:line="460" w:lineRule="exact"/>
        <w:ind w:firstLine="480" w:firstLineChars="200"/>
        <w:rPr>
          <w:rFonts w:ascii="宋体" w:hAnsi="宋体"/>
          <w:sz w:val="24"/>
        </w:rPr>
      </w:pPr>
      <w:r>
        <w:rPr>
          <w:rFonts w:hint="eastAsia" w:ascii="宋体" w:hAnsi="宋体"/>
          <w:sz w:val="24"/>
        </w:rPr>
        <w:t>四、工程质量标准</w:t>
      </w:r>
    </w:p>
    <w:p w14:paraId="2F29EC6F">
      <w:pPr>
        <w:spacing w:line="460" w:lineRule="exact"/>
        <w:ind w:firstLine="480" w:firstLineChars="200"/>
        <w:rPr>
          <w:rFonts w:ascii="宋体" w:hAnsi="宋体"/>
          <w:sz w:val="24"/>
        </w:rPr>
      </w:pPr>
      <w:r>
        <w:rPr>
          <w:rFonts w:hint="eastAsia" w:ascii="宋体" w:hAnsi="宋体"/>
          <w:sz w:val="24"/>
        </w:rPr>
        <w:t>符国家相关标准及规范要求：一次性验收合格。</w:t>
      </w:r>
    </w:p>
    <w:p w14:paraId="04E1822A">
      <w:pPr>
        <w:spacing w:line="460" w:lineRule="exact"/>
        <w:ind w:firstLine="480" w:firstLineChars="200"/>
        <w:rPr>
          <w:rFonts w:ascii="宋体" w:hAnsi="宋体"/>
          <w:sz w:val="24"/>
        </w:rPr>
      </w:pPr>
      <w:r>
        <w:rPr>
          <w:rFonts w:hint="eastAsia" w:ascii="宋体" w:hAnsi="宋体"/>
          <w:sz w:val="24"/>
        </w:rPr>
        <w:t>五、合同价款：</w:t>
      </w:r>
    </w:p>
    <w:p w14:paraId="4203F19F">
      <w:pPr>
        <w:spacing w:line="460" w:lineRule="exact"/>
        <w:ind w:firstLine="480" w:firstLineChars="200"/>
        <w:rPr>
          <w:rFonts w:ascii="宋体" w:hAnsi="宋体"/>
          <w:sz w:val="24"/>
        </w:rPr>
      </w:pPr>
      <w:r>
        <w:rPr>
          <w:rFonts w:hint="eastAsia" w:ascii="宋体" w:hAnsi="宋体"/>
          <w:sz w:val="24"/>
          <w:lang w:val="zh-CN"/>
        </w:rPr>
        <w:t>本项目中标价格为人民币小写：</w:t>
      </w:r>
      <w:bookmarkStart w:id="281" w:name="OLE_LINK1"/>
      <w:bookmarkStart w:id="282" w:name="OLE_LINK2"/>
      <w:r>
        <w:rPr>
          <w:rFonts w:hint="eastAsia" w:ascii="宋体" w:hAnsi="宋体"/>
          <w:b/>
          <w:bCs/>
          <w:sz w:val="24"/>
          <w:u w:val="single"/>
        </w:rPr>
        <w:t>¥        元。</w:t>
      </w:r>
    </w:p>
    <w:bookmarkEnd w:id="281"/>
    <w:bookmarkEnd w:id="282"/>
    <w:p w14:paraId="2B2DC645">
      <w:pPr>
        <w:spacing w:line="460" w:lineRule="exact"/>
        <w:ind w:firstLine="480" w:firstLineChars="200"/>
        <w:rPr>
          <w:rFonts w:ascii="宋体" w:hAnsi="宋体"/>
          <w:sz w:val="24"/>
        </w:rPr>
      </w:pPr>
      <w:r>
        <w:rPr>
          <w:rFonts w:hint="eastAsia" w:ascii="宋体" w:hAnsi="宋体"/>
          <w:sz w:val="24"/>
        </w:rPr>
        <w:t>最终价款结算要求为</w:t>
      </w:r>
      <w:r>
        <w:rPr>
          <w:rFonts w:hint="eastAsia" w:ascii="宋体" w:hAnsi="宋体"/>
          <w:color w:val="FF0000"/>
          <w:sz w:val="24"/>
          <w:u w:val="single"/>
          <w:lang w:val="en-US" w:eastAsia="zh-CN"/>
        </w:rPr>
        <w:t xml:space="preserve">    </w:t>
      </w:r>
      <w:r>
        <w:rPr>
          <w:rFonts w:hint="eastAsia" w:ascii="宋体" w:hAnsi="宋体"/>
          <w:color w:val="FF0000"/>
          <w:sz w:val="24"/>
        </w:rPr>
        <w:t>包干</w:t>
      </w:r>
      <w:r>
        <w:rPr>
          <w:rFonts w:hint="eastAsia" w:ascii="宋体" w:hAnsi="宋体"/>
          <w:sz w:val="24"/>
        </w:rPr>
        <w:t>，工程量以审计结果按实结算。</w:t>
      </w:r>
    </w:p>
    <w:p w14:paraId="5EEF1CB3">
      <w:pPr>
        <w:spacing w:line="460" w:lineRule="exact"/>
        <w:ind w:firstLine="480" w:firstLineChars="200"/>
        <w:rPr>
          <w:rFonts w:ascii="宋体" w:hAnsi="宋体"/>
          <w:sz w:val="24"/>
        </w:rPr>
      </w:pPr>
      <w:r>
        <w:rPr>
          <w:rFonts w:hint="eastAsia" w:ascii="宋体" w:hAnsi="宋体"/>
          <w:sz w:val="24"/>
        </w:rPr>
        <w:t>六、组成本合同的文件包括：</w:t>
      </w:r>
    </w:p>
    <w:p w14:paraId="7092502A">
      <w:pPr>
        <w:spacing w:line="460" w:lineRule="exact"/>
        <w:ind w:firstLine="480" w:firstLineChars="200"/>
        <w:rPr>
          <w:rFonts w:ascii="宋体" w:hAnsi="宋体"/>
          <w:sz w:val="24"/>
        </w:rPr>
      </w:pPr>
      <w:r>
        <w:rPr>
          <w:rFonts w:hint="eastAsia" w:ascii="宋体" w:hAnsi="宋体"/>
          <w:sz w:val="24"/>
        </w:rPr>
        <w:t>1.本合同；</w:t>
      </w:r>
    </w:p>
    <w:p w14:paraId="09FC04CE">
      <w:pPr>
        <w:spacing w:line="460" w:lineRule="exact"/>
        <w:ind w:firstLine="480" w:firstLineChars="200"/>
        <w:rPr>
          <w:rFonts w:ascii="宋体" w:hAnsi="宋体"/>
          <w:sz w:val="24"/>
        </w:rPr>
      </w:pPr>
      <w:r>
        <w:rPr>
          <w:rFonts w:hint="eastAsia" w:ascii="宋体" w:hAnsi="宋体"/>
          <w:sz w:val="24"/>
        </w:rPr>
        <w:t>2.成交通知书；</w:t>
      </w:r>
    </w:p>
    <w:p w14:paraId="79C0C08F">
      <w:pPr>
        <w:spacing w:line="460" w:lineRule="exact"/>
        <w:ind w:firstLine="480" w:firstLineChars="200"/>
        <w:rPr>
          <w:rFonts w:ascii="宋体" w:hAnsi="宋体"/>
          <w:sz w:val="24"/>
        </w:rPr>
      </w:pPr>
      <w:r>
        <w:rPr>
          <w:rFonts w:hint="eastAsia" w:ascii="宋体" w:hAnsi="宋体"/>
          <w:sz w:val="24"/>
        </w:rPr>
        <w:t>3.响应文件及其附件；</w:t>
      </w:r>
    </w:p>
    <w:p w14:paraId="2B24F829">
      <w:pPr>
        <w:spacing w:line="460" w:lineRule="exact"/>
        <w:ind w:firstLine="480" w:firstLineChars="200"/>
        <w:rPr>
          <w:rFonts w:ascii="宋体" w:hAnsi="宋体"/>
          <w:sz w:val="24"/>
        </w:rPr>
      </w:pPr>
      <w:r>
        <w:rPr>
          <w:rFonts w:hint="eastAsia" w:ascii="宋体" w:hAnsi="宋体"/>
          <w:sz w:val="24"/>
        </w:rPr>
        <w:t>4.本合同专用条款；</w:t>
      </w:r>
    </w:p>
    <w:p w14:paraId="7C0F28D7">
      <w:pPr>
        <w:spacing w:line="460" w:lineRule="exact"/>
        <w:ind w:firstLine="480" w:firstLineChars="200"/>
        <w:rPr>
          <w:rFonts w:ascii="宋体" w:hAnsi="宋体"/>
          <w:sz w:val="24"/>
        </w:rPr>
      </w:pPr>
      <w:r>
        <w:rPr>
          <w:rFonts w:hint="eastAsia" w:ascii="宋体" w:hAnsi="宋体"/>
          <w:sz w:val="24"/>
        </w:rPr>
        <w:t>5.本合同通用条款；</w:t>
      </w:r>
    </w:p>
    <w:p w14:paraId="3B9F50E3">
      <w:pPr>
        <w:spacing w:line="460" w:lineRule="exact"/>
        <w:ind w:firstLine="480" w:firstLineChars="200"/>
        <w:rPr>
          <w:rFonts w:ascii="宋体" w:hAnsi="宋体"/>
          <w:sz w:val="24"/>
        </w:rPr>
      </w:pPr>
      <w:r>
        <w:rPr>
          <w:rFonts w:hint="eastAsia" w:ascii="宋体" w:hAnsi="宋体"/>
          <w:sz w:val="24"/>
        </w:rPr>
        <w:t>6.标准、规范及有关技术文件；</w:t>
      </w:r>
    </w:p>
    <w:p w14:paraId="29A5DC6E">
      <w:pPr>
        <w:spacing w:line="460" w:lineRule="exact"/>
        <w:ind w:firstLine="480" w:firstLineChars="200"/>
        <w:rPr>
          <w:rFonts w:ascii="宋体" w:hAnsi="宋体"/>
          <w:sz w:val="24"/>
        </w:rPr>
      </w:pPr>
      <w:r>
        <w:rPr>
          <w:rFonts w:hint="eastAsia" w:ascii="宋体" w:hAnsi="宋体"/>
          <w:sz w:val="24"/>
        </w:rPr>
        <w:t>7.图纸；</w:t>
      </w:r>
    </w:p>
    <w:p w14:paraId="1365491C">
      <w:pPr>
        <w:spacing w:line="460" w:lineRule="exact"/>
        <w:ind w:firstLine="480" w:firstLineChars="200"/>
        <w:rPr>
          <w:rFonts w:ascii="宋体" w:hAnsi="宋体"/>
          <w:sz w:val="24"/>
        </w:rPr>
      </w:pPr>
      <w:r>
        <w:rPr>
          <w:rFonts w:hint="eastAsia" w:ascii="宋体" w:hAnsi="宋体"/>
          <w:sz w:val="24"/>
        </w:rPr>
        <w:t>8.工程量清单；</w:t>
      </w:r>
    </w:p>
    <w:p w14:paraId="7161A974">
      <w:pPr>
        <w:spacing w:line="460" w:lineRule="exact"/>
        <w:ind w:firstLine="480" w:firstLineChars="200"/>
        <w:rPr>
          <w:rFonts w:hint="eastAsia" w:ascii="宋体" w:hAnsi="宋体"/>
          <w:sz w:val="24"/>
        </w:rPr>
      </w:pPr>
      <w:r>
        <w:rPr>
          <w:rFonts w:hint="eastAsia" w:ascii="宋体" w:hAnsi="宋体"/>
          <w:sz w:val="24"/>
        </w:rPr>
        <w:t>9.工程报价单；</w:t>
      </w:r>
    </w:p>
    <w:p w14:paraId="067B0C2C">
      <w:pPr>
        <w:spacing w:line="460" w:lineRule="exact"/>
        <w:ind w:firstLine="480" w:firstLineChars="200"/>
        <w:rPr>
          <w:rFonts w:ascii="宋体" w:hAnsi="宋体"/>
          <w:sz w:val="24"/>
        </w:rPr>
      </w:pPr>
      <w:r>
        <w:rPr>
          <w:rFonts w:hint="eastAsia" w:ascii="宋体" w:hAnsi="宋体"/>
          <w:sz w:val="24"/>
        </w:rPr>
        <w:t>10.竞争性磋商文件、补充文件及其附件；</w:t>
      </w:r>
    </w:p>
    <w:p w14:paraId="686E8A54">
      <w:pPr>
        <w:spacing w:line="460" w:lineRule="exact"/>
        <w:ind w:firstLine="480" w:firstLineChars="200"/>
        <w:rPr>
          <w:rFonts w:ascii="宋体" w:hAnsi="宋体"/>
          <w:sz w:val="24"/>
        </w:rPr>
      </w:pPr>
      <w:r>
        <w:rPr>
          <w:rFonts w:hint="eastAsia" w:ascii="宋体" w:hAnsi="宋体"/>
          <w:sz w:val="24"/>
        </w:rPr>
        <w:t>11.洽商、变更等明确双方权利义务的纪要、书面协议。</w:t>
      </w:r>
    </w:p>
    <w:p w14:paraId="225DA1BF">
      <w:pPr>
        <w:spacing w:line="460" w:lineRule="exact"/>
        <w:ind w:firstLine="480" w:firstLineChars="200"/>
        <w:rPr>
          <w:rFonts w:ascii="宋体" w:hAnsi="宋体"/>
          <w:sz w:val="24"/>
        </w:rPr>
      </w:pPr>
      <w:r>
        <w:rPr>
          <w:rFonts w:hint="eastAsia" w:ascii="宋体" w:hAnsi="宋体"/>
          <w:sz w:val="24"/>
        </w:rPr>
        <w:t>双方有关工程的洽商、变更等书面协议或文件视为本合同的组成部分。合同的变更必须经甲、乙双方协商一致，并按照相关的变更程序加以书面确认后方可进行。</w:t>
      </w:r>
    </w:p>
    <w:p w14:paraId="67BAE30E">
      <w:pPr>
        <w:spacing w:line="460" w:lineRule="exact"/>
        <w:ind w:firstLine="480" w:firstLineChars="200"/>
        <w:rPr>
          <w:rFonts w:ascii="宋体" w:hAnsi="宋体"/>
          <w:sz w:val="24"/>
        </w:rPr>
      </w:pPr>
      <w:r>
        <w:rPr>
          <w:rFonts w:hint="eastAsia" w:ascii="宋体" w:hAnsi="宋体"/>
          <w:sz w:val="24"/>
        </w:rPr>
        <w:t>七、本主要协议条款中有关词语含义与本合同第二部分《通用条款》中分别赋予它们的定义相同。</w:t>
      </w:r>
    </w:p>
    <w:p w14:paraId="085BC637">
      <w:pPr>
        <w:spacing w:line="460" w:lineRule="exact"/>
        <w:ind w:firstLine="480" w:firstLineChars="200"/>
        <w:rPr>
          <w:rFonts w:ascii="宋体" w:hAnsi="宋体"/>
          <w:sz w:val="24"/>
        </w:rPr>
      </w:pPr>
      <w:r>
        <w:rPr>
          <w:rFonts w:hint="eastAsia" w:ascii="宋体" w:hAnsi="宋体"/>
          <w:sz w:val="24"/>
        </w:rPr>
        <w:t>八、承包人向发包人承诺按照合同约定进行施工、竣工并在质量保修期内承担工程质量保修责任。</w:t>
      </w:r>
    </w:p>
    <w:p w14:paraId="0AB516B2">
      <w:pPr>
        <w:spacing w:line="460" w:lineRule="exact"/>
        <w:ind w:firstLine="480" w:firstLineChars="200"/>
        <w:rPr>
          <w:rFonts w:ascii="宋体" w:hAnsi="宋体"/>
          <w:sz w:val="24"/>
        </w:rPr>
      </w:pPr>
      <w:r>
        <w:rPr>
          <w:rFonts w:hint="eastAsia" w:ascii="宋体" w:hAnsi="宋体"/>
          <w:sz w:val="24"/>
        </w:rPr>
        <w:t>九、发包人向承包人承诺按照合同约定的期限和方式支付合同价款及其他应当支付的款项。</w:t>
      </w:r>
    </w:p>
    <w:p w14:paraId="4B9719AF">
      <w:pPr>
        <w:autoSpaceDE w:val="0"/>
        <w:autoSpaceDN w:val="0"/>
        <w:adjustRightInd w:val="0"/>
        <w:spacing w:line="460" w:lineRule="exact"/>
        <w:ind w:firstLine="480" w:firstLineChars="200"/>
        <w:rPr>
          <w:rFonts w:ascii="宋体" w:hAnsi="宋体"/>
          <w:sz w:val="24"/>
        </w:rPr>
      </w:pPr>
      <w:r>
        <w:rPr>
          <w:rFonts w:hint="eastAsia" w:ascii="宋体" w:hAnsi="宋体"/>
          <w:sz w:val="24"/>
        </w:rPr>
        <w:t>十、甲方有权拒付合同价以外的任何费用；乙方有权拒绝合同第六条规定的整体范围以外的条件。</w:t>
      </w:r>
    </w:p>
    <w:p w14:paraId="607B8833">
      <w:pPr>
        <w:autoSpaceDE w:val="0"/>
        <w:autoSpaceDN w:val="0"/>
        <w:adjustRightInd w:val="0"/>
        <w:spacing w:line="460" w:lineRule="exact"/>
        <w:ind w:firstLine="480" w:firstLineChars="200"/>
        <w:rPr>
          <w:rFonts w:ascii="宋体" w:hAnsi="宋体"/>
          <w:sz w:val="24"/>
        </w:rPr>
      </w:pPr>
      <w:r>
        <w:rPr>
          <w:rFonts w:hint="eastAsia" w:ascii="宋体" w:hAnsi="宋体"/>
          <w:sz w:val="24"/>
        </w:rPr>
        <w:t>十一、除相关法律法规规定的情形外，本合同一经签订，甲、乙双方不得擅自变更、中止或终止合同。乙方不得擅自部分或全部转让其应履行的合同义务。</w:t>
      </w:r>
    </w:p>
    <w:p w14:paraId="62A0E02B">
      <w:pPr>
        <w:autoSpaceDE w:val="0"/>
        <w:autoSpaceDN w:val="0"/>
        <w:adjustRightInd w:val="0"/>
        <w:spacing w:line="460" w:lineRule="exact"/>
        <w:ind w:firstLine="480" w:firstLineChars="200"/>
        <w:rPr>
          <w:rFonts w:ascii="宋体" w:hAnsi="宋体"/>
          <w:sz w:val="24"/>
        </w:rPr>
      </w:pPr>
      <w:r>
        <w:rPr>
          <w:rFonts w:hint="eastAsia" w:ascii="宋体" w:hAnsi="宋体"/>
          <w:sz w:val="24"/>
        </w:rPr>
        <w:t>十二、甲、乙双方在履行合同过程中发生纠纷，应及时向有关监督管理部门投诉，以便相关部门进行协调或处理；如果协商不能解决争议，则向甲方所在地有管辖权的人民法院提起诉讼。</w:t>
      </w:r>
    </w:p>
    <w:p w14:paraId="65679A16">
      <w:pPr>
        <w:autoSpaceDE w:val="0"/>
        <w:autoSpaceDN w:val="0"/>
        <w:adjustRightInd w:val="0"/>
        <w:spacing w:line="460" w:lineRule="exact"/>
        <w:ind w:firstLine="480" w:firstLineChars="200"/>
        <w:rPr>
          <w:rFonts w:ascii="宋体" w:hAnsi="宋体"/>
          <w:sz w:val="24"/>
        </w:rPr>
      </w:pPr>
      <w:r>
        <w:rPr>
          <w:rFonts w:hint="eastAsia" w:ascii="宋体" w:hAnsi="宋体"/>
          <w:sz w:val="24"/>
        </w:rPr>
        <w:t>十三、本合同其他未尽事宜，按国家《</w:t>
      </w:r>
      <w:r>
        <w:rPr>
          <w:rFonts w:hint="eastAsia" w:ascii="宋体" w:hAnsi="宋体"/>
          <w:sz w:val="24"/>
          <w:lang w:eastAsia="zh-CN"/>
        </w:rPr>
        <w:t>民法典</w:t>
      </w:r>
      <w:r>
        <w:rPr>
          <w:rFonts w:hint="eastAsia" w:ascii="宋体" w:hAnsi="宋体"/>
          <w:sz w:val="24"/>
        </w:rPr>
        <w:t>》有关规定处理。</w:t>
      </w:r>
    </w:p>
    <w:p w14:paraId="4B870BCF">
      <w:pPr>
        <w:spacing w:line="460" w:lineRule="exact"/>
        <w:ind w:firstLine="480" w:firstLineChars="200"/>
        <w:rPr>
          <w:rFonts w:ascii="宋体" w:hAnsi="宋体"/>
          <w:sz w:val="24"/>
        </w:rPr>
      </w:pPr>
      <w:r>
        <w:rPr>
          <w:rFonts w:hint="eastAsia" w:ascii="宋体" w:hAnsi="宋体"/>
          <w:sz w:val="24"/>
        </w:rPr>
        <w:t>十四、合同生效</w:t>
      </w:r>
    </w:p>
    <w:p w14:paraId="5BB42134">
      <w:pPr>
        <w:spacing w:line="460" w:lineRule="exact"/>
        <w:ind w:firstLine="480" w:firstLineChars="200"/>
        <w:rPr>
          <w:rFonts w:ascii="宋体" w:hAnsi="宋体"/>
          <w:sz w:val="24"/>
        </w:rPr>
      </w:pPr>
      <w:r>
        <w:rPr>
          <w:rFonts w:hint="eastAsia" w:ascii="宋体" w:hAnsi="宋体"/>
          <w:sz w:val="24"/>
        </w:rPr>
        <w:t>1.合同订立时间：</w:t>
      </w:r>
      <w:r>
        <w:rPr>
          <w:rFonts w:hint="eastAsia" w:ascii="宋体" w:hAnsi="宋体"/>
          <w:b/>
          <w:bCs/>
          <w:sz w:val="24"/>
          <w:u w:val="single"/>
        </w:rPr>
        <w:t xml:space="preserve">    年   月   日</w:t>
      </w:r>
      <w:r>
        <w:rPr>
          <w:rFonts w:hint="eastAsia" w:ascii="宋体" w:hAnsi="宋体"/>
          <w:sz w:val="24"/>
        </w:rPr>
        <w:t>。</w:t>
      </w:r>
    </w:p>
    <w:p w14:paraId="55BBE53A">
      <w:pPr>
        <w:spacing w:line="460" w:lineRule="exact"/>
        <w:ind w:firstLine="480" w:firstLineChars="200"/>
        <w:rPr>
          <w:rFonts w:ascii="宋体" w:hAnsi="宋体"/>
          <w:sz w:val="24"/>
        </w:rPr>
      </w:pPr>
      <w:r>
        <w:rPr>
          <w:rFonts w:hint="eastAsia" w:ascii="宋体" w:hAnsi="宋体"/>
          <w:sz w:val="24"/>
        </w:rPr>
        <w:t>2.合同订立地点：</w:t>
      </w:r>
    </w:p>
    <w:p w14:paraId="2CC6CACC">
      <w:pPr>
        <w:spacing w:line="460" w:lineRule="exact"/>
        <w:ind w:firstLine="480" w:firstLineChars="200"/>
        <w:rPr>
          <w:rFonts w:ascii="宋体" w:hAnsi="宋体"/>
          <w:sz w:val="24"/>
        </w:rPr>
      </w:pPr>
      <w:r>
        <w:rPr>
          <w:rFonts w:hint="eastAsia" w:ascii="宋体" w:hAnsi="宋体"/>
          <w:sz w:val="24"/>
        </w:rPr>
        <w:t>3.本合同双方约定：</w:t>
      </w:r>
      <w:r>
        <w:rPr>
          <w:rFonts w:hint="eastAsia" w:ascii="宋体" w:hAnsi="宋体"/>
          <w:b/>
          <w:bCs/>
          <w:sz w:val="24"/>
          <w:u w:val="single"/>
        </w:rPr>
        <w:t>双方签字盖章后生效</w:t>
      </w:r>
      <w:r>
        <w:rPr>
          <w:rFonts w:hint="eastAsia" w:ascii="宋体" w:hAnsi="宋体"/>
          <w:sz w:val="24"/>
        </w:rPr>
        <w:t>。</w:t>
      </w:r>
    </w:p>
    <w:p w14:paraId="50281A28">
      <w:pPr>
        <w:spacing w:line="460" w:lineRule="exact"/>
        <w:ind w:firstLine="480" w:firstLineChars="200"/>
        <w:rPr>
          <w:rFonts w:ascii="宋体" w:hAnsi="宋体"/>
          <w:sz w:val="24"/>
        </w:rPr>
      </w:pPr>
    </w:p>
    <w:p w14:paraId="3C82EFF6">
      <w:pPr>
        <w:spacing w:line="460" w:lineRule="exact"/>
        <w:rPr>
          <w:rFonts w:ascii="宋体" w:hAnsi="宋体"/>
          <w:sz w:val="32"/>
          <w:szCs w:val="32"/>
        </w:rPr>
      </w:pPr>
      <w:r>
        <w:rPr>
          <w:rFonts w:ascii="宋体" w:hAnsi="宋体"/>
          <w:sz w:val="24"/>
          <w:lang w:val="zh-CN"/>
        </w:rPr>
        <w:br w:type="page"/>
      </w:r>
    </w:p>
    <w:p w14:paraId="627530F9">
      <w:pPr>
        <w:spacing w:line="460" w:lineRule="exact"/>
        <w:jc w:val="center"/>
        <w:rPr>
          <w:rFonts w:ascii="宋体" w:hAnsi="宋体"/>
          <w:b/>
          <w:sz w:val="28"/>
          <w:szCs w:val="28"/>
        </w:rPr>
      </w:pPr>
      <w:r>
        <w:rPr>
          <w:rFonts w:hint="eastAsia" w:ascii="宋体" w:hAnsi="宋体"/>
          <w:b/>
          <w:sz w:val="28"/>
          <w:szCs w:val="28"/>
        </w:rPr>
        <w:t>第二部分　通用条款</w:t>
      </w:r>
    </w:p>
    <w:p w14:paraId="7584322D">
      <w:pPr>
        <w:autoSpaceDE w:val="0"/>
        <w:autoSpaceDN w:val="0"/>
        <w:adjustRightInd w:val="0"/>
        <w:spacing w:line="460" w:lineRule="exact"/>
        <w:rPr>
          <w:rFonts w:ascii="宋体" w:hAnsi="宋体"/>
          <w:sz w:val="24"/>
        </w:rPr>
      </w:pPr>
    </w:p>
    <w:p w14:paraId="6B370A39">
      <w:pPr>
        <w:spacing w:line="460" w:lineRule="exact"/>
        <w:rPr>
          <w:rFonts w:ascii="宋体" w:hAnsi="宋体"/>
          <w:sz w:val="24"/>
        </w:rPr>
      </w:pPr>
      <w:r>
        <w:rPr>
          <w:rFonts w:ascii="宋体" w:hAnsi="宋体"/>
          <w:sz w:val="24"/>
        </w:rPr>
        <w:t>一、词语定义及合同文件</w:t>
      </w:r>
    </w:p>
    <w:p w14:paraId="5D3CEA73">
      <w:pPr>
        <w:spacing w:line="460" w:lineRule="exact"/>
        <w:rPr>
          <w:rFonts w:ascii="宋体" w:hAnsi="宋体"/>
          <w:sz w:val="24"/>
        </w:rPr>
      </w:pPr>
      <w:r>
        <w:rPr>
          <w:rFonts w:ascii="宋体" w:hAnsi="宋体"/>
          <w:sz w:val="24"/>
        </w:rPr>
        <w:t>　　</w:t>
      </w:r>
      <w:r>
        <w:rPr>
          <w:rFonts w:hint="eastAsia" w:ascii="宋体" w:hAnsi="宋体"/>
          <w:sz w:val="24"/>
          <w:lang w:val="en-US" w:eastAsia="zh-CN"/>
        </w:rPr>
        <w:t>1</w:t>
      </w:r>
      <w:r>
        <w:rPr>
          <w:rFonts w:ascii="宋体" w:hAnsi="宋体"/>
          <w:sz w:val="24"/>
        </w:rPr>
        <w:t>、词语定义</w:t>
      </w:r>
    </w:p>
    <w:p w14:paraId="673DCF74">
      <w:pPr>
        <w:spacing w:line="460" w:lineRule="exact"/>
        <w:rPr>
          <w:rFonts w:ascii="宋体" w:hAnsi="宋体"/>
          <w:sz w:val="24"/>
        </w:rPr>
      </w:pPr>
      <w:r>
        <w:rPr>
          <w:rFonts w:ascii="宋体" w:hAnsi="宋体"/>
          <w:sz w:val="24"/>
        </w:rPr>
        <w:t>　　下列词语除专用条款另有约定外，应具有本条所赋予的定义：</w:t>
      </w:r>
    </w:p>
    <w:p w14:paraId="485E882E">
      <w:pPr>
        <w:spacing w:line="460" w:lineRule="exact"/>
        <w:rPr>
          <w:rFonts w:ascii="宋体" w:hAnsi="宋体"/>
          <w:sz w:val="24"/>
        </w:rPr>
      </w:pPr>
      <w:r>
        <w:rPr>
          <w:rFonts w:ascii="宋体" w:hAnsi="宋体"/>
          <w:sz w:val="24"/>
        </w:rPr>
        <w:t>　　1.1通用条款： 是根据法律、行政法规规定及建设工程施工的需要订立，通用于建设工程施工的条款。</w:t>
      </w:r>
    </w:p>
    <w:p w14:paraId="0135DCB5">
      <w:pPr>
        <w:spacing w:line="460" w:lineRule="exact"/>
        <w:rPr>
          <w:rFonts w:ascii="宋体" w:hAnsi="宋体"/>
          <w:sz w:val="24"/>
        </w:rPr>
      </w:pPr>
      <w:r>
        <w:rPr>
          <w:rFonts w:ascii="宋体" w:hAnsi="宋体"/>
          <w:sz w:val="24"/>
        </w:rPr>
        <w:t>　　1.2专用条款： 是发包人与承包人根据法律、行政法规规定，结合具体工程实际，经协商达成一致意见的条款，是对通用条款的具体化、补充或修改。</w:t>
      </w:r>
    </w:p>
    <w:p w14:paraId="0B83BED4">
      <w:pPr>
        <w:spacing w:line="460" w:lineRule="exact"/>
        <w:rPr>
          <w:rFonts w:ascii="宋体" w:hAnsi="宋体"/>
          <w:sz w:val="24"/>
        </w:rPr>
      </w:pPr>
      <w:r>
        <w:rPr>
          <w:rFonts w:ascii="宋体" w:hAnsi="宋体"/>
          <w:sz w:val="24"/>
        </w:rPr>
        <w:t>　　1.3发包人： 指在协议书中约定，具有工程发包主体资格和支付工程价款能力的当事人以及取得该当事人资格的合法继承人。</w:t>
      </w:r>
    </w:p>
    <w:p w14:paraId="16C7561B">
      <w:pPr>
        <w:spacing w:line="460" w:lineRule="exact"/>
        <w:rPr>
          <w:rFonts w:ascii="宋体" w:hAnsi="宋体"/>
          <w:sz w:val="24"/>
        </w:rPr>
      </w:pPr>
      <w:r>
        <w:rPr>
          <w:rFonts w:ascii="宋体" w:hAnsi="宋体"/>
          <w:sz w:val="24"/>
        </w:rPr>
        <w:t>　　1.4承包人： 指在协议书中约定，被发包人接受的具有工程施工承包主体资格的当事人以及取得该当事人资格的合法继承人。</w:t>
      </w:r>
    </w:p>
    <w:p w14:paraId="7AB284A4">
      <w:pPr>
        <w:spacing w:line="460" w:lineRule="exact"/>
        <w:rPr>
          <w:rFonts w:ascii="宋体" w:hAnsi="宋体"/>
          <w:sz w:val="24"/>
        </w:rPr>
      </w:pPr>
      <w:r>
        <w:rPr>
          <w:rFonts w:ascii="宋体" w:hAnsi="宋体"/>
          <w:sz w:val="24"/>
        </w:rPr>
        <w:t>　　1.5项目经理：指承包人在专用条款中指定的负责施工管理和合同履行的代表。</w:t>
      </w:r>
    </w:p>
    <w:p w14:paraId="4512B0B9">
      <w:pPr>
        <w:spacing w:line="460" w:lineRule="exact"/>
        <w:rPr>
          <w:rFonts w:ascii="宋体" w:hAnsi="宋体"/>
          <w:sz w:val="24"/>
        </w:rPr>
      </w:pPr>
      <w:r>
        <w:rPr>
          <w:rFonts w:ascii="宋体" w:hAnsi="宋体"/>
          <w:sz w:val="24"/>
        </w:rPr>
        <w:t>　　1.6设计单位：指发包人委托的负责本工程设计并取得相应工程设计资质等级证书的单位。</w:t>
      </w:r>
    </w:p>
    <w:p w14:paraId="34071FD5">
      <w:pPr>
        <w:spacing w:line="460" w:lineRule="exact"/>
        <w:rPr>
          <w:rFonts w:ascii="宋体" w:hAnsi="宋体"/>
          <w:sz w:val="24"/>
        </w:rPr>
      </w:pPr>
      <w:r>
        <w:rPr>
          <w:rFonts w:ascii="宋体" w:hAnsi="宋体"/>
          <w:sz w:val="24"/>
        </w:rPr>
        <w:t>　　1.7监理单位：指发包人委托的负责本工程监理并取得相应工程监理资质等级证书的单位。</w:t>
      </w:r>
    </w:p>
    <w:p w14:paraId="79A2AE69">
      <w:pPr>
        <w:spacing w:line="460" w:lineRule="exact"/>
        <w:rPr>
          <w:rFonts w:ascii="宋体" w:hAnsi="宋体"/>
          <w:sz w:val="24"/>
        </w:rPr>
      </w:pPr>
      <w:r>
        <w:rPr>
          <w:rFonts w:ascii="宋体" w:hAnsi="宋体"/>
          <w:sz w:val="24"/>
        </w:rPr>
        <w:t>　　1.8工程师： 指本工程监理单位委派的总监理工程师或发包人指定的履行本合同的代表，其具体身份和职权由发包人承包人在专用条款中约定。</w:t>
      </w:r>
    </w:p>
    <w:p w14:paraId="4DECD0A4">
      <w:pPr>
        <w:spacing w:line="460" w:lineRule="exact"/>
        <w:rPr>
          <w:rFonts w:ascii="宋体" w:hAnsi="宋体"/>
          <w:sz w:val="24"/>
        </w:rPr>
      </w:pPr>
      <w:r>
        <w:rPr>
          <w:rFonts w:ascii="宋体" w:hAnsi="宋体"/>
          <w:sz w:val="24"/>
        </w:rPr>
        <w:t>　　1.9工程造价管理部门： 指国务院有关部门、县级以上人民政府建设行政主管部门或其委托的工程造价管理机构。</w:t>
      </w:r>
    </w:p>
    <w:p w14:paraId="70CC5FEA">
      <w:pPr>
        <w:spacing w:line="460" w:lineRule="exact"/>
        <w:rPr>
          <w:rFonts w:ascii="宋体" w:hAnsi="宋体"/>
          <w:sz w:val="24"/>
        </w:rPr>
      </w:pPr>
      <w:r>
        <w:rPr>
          <w:rFonts w:ascii="宋体" w:hAnsi="宋体"/>
          <w:sz w:val="24"/>
        </w:rPr>
        <w:t>　　1.10工程：指发包人承包人在协议书中约定的承包范围内的工程。</w:t>
      </w:r>
    </w:p>
    <w:p w14:paraId="4C854B08">
      <w:pPr>
        <w:spacing w:line="460" w:lineRule="exact"/>
        <w:rPr>
          <w:rFonts w:ascii="宋体" w:hAnsi="宋体"/>
          <w:sz w:val="24"/>
        </w:rPr>
      </w:pPr>
      <w:r>
        <w:rPr>
          <w:rFonts w:ascii="宋体" w:hAnsi="宋体"/>
          <w:sz w:val="24"/>
        </w:rPr>
        <w:t>　　1.11合同价款：指发包人承包人在协议书中约定，发包人用以支付承包人按照合同约定完成承包范围内全部工程并承担质量保修责任的款项。</w:t>
      </w:r>
    </w:p>
    <w:p w14:paraId="7C99B0F7">
      <w:pPr>
        <w:spacing w:line="460" w:lineRule="exact"/>
        <w:rPr>
          <w:rFonts w:ascii="宋体" w:hAnsi="宋体"/>
          <w:sz w:val="24"/>
        </w:rPr>
      </w:pPr>
      <w:r>
        <w:rPr>
          <w:rFonts w:ascii="宋体" w:hAnsi="宋体"/>
          <w:sz w:val="24"/>
        </w:rPr>
        <w:t>　　1.12追加合同价款：指在合同履行中发生需要增加合同价款的情况，经发包人确认后按计算合同价款的方法增加的合同价款。</w:t>
      </w:r>
    </w:p>
    <w:p w14:paraId="64BA7168">
      <w:pPr>
        <w:spacing w:line="460" w:lineRule="exact"/>
        <w:rPr>
          <w:rFonts w:ascii="宋体" w:hAnsi="宋体"/>
          <w:sz w:val="24"/>
        </w:rPr>
      </w:pPr>
      <w:r>
        <w:rPr>
          <w:rFonts w:ascii="宋体" w:hAnsi="宋体"/>
          <w:sz w:val="24"/>
        </w:rPr>
        <w:t>　　1.13费用：指不包含在合同价款之内的应当由发包人或承包人承担的经济支出。</w:t>
      </w:r>
    </w:p>
    <w:p w14:paraId="4D832F91">
      <w:pPr>
        <w:spacing w:line="460" w:lineRule="exact"/>
        <w:rPr>
          <w:rFonts w:ascii="宋体" w:hAnsi="宋体"/>
          <w:sz w:val="24"/>
        </w:rPr>
      </w:pPr>
      <w:r>
        <w:rPr>
          <w:rFonts w:ascii="宋体" w:hAnsi="宋体"/>
          <w:sz w:val="24"/>
        </w:rPr>
        <w:t>　　1.14工期：指发包人承包人在协议书中约定，按总日历天数（包括法定节假日）计算的承包天数。</w:t>
      </w:r>
    </w:p>
    <w:p w14:paraId="0B92FDE6">
      <w:pPr>
        <w:spacing w:line="460" w:lineRule="exact"/>
        <w:rPr>
          <w:rFonts w:ascii="宋体" w:hAnsi="宋体"/>
          <w:sz w:val="24"/>
        </w:rPr>
      </w:pPr>
      <w:r>
        <w:rPr>
          <w:rFonts w:ascii="宋体" w:hAnsi="宋体"/>
          <w:sz w:val="24"/>
        </w:rPr>
        <w:t>　　1.15开工日期：指发包人承包人在协议书中约定，承包人开始施工的绝对或相对的日期。</w:t>
      </w:r>
    </w:p>
    <w:p w14:paraId="0D884701">
      <w:pPr>
        <w:spacing w:line="460" w:lineRule="exact"/>
        <w:rPr>
          <w:rFonts w:ascii="宋体" w:hAnsi="宋体"/>
          <w:sz w:val="24"/>
        </w:rPr>
      </w:pPr>
      <w:r>
        <w:rPr>
          <w:rFonts w:ascii="宋体" w:hAnsi="宋体"/>
          <w:sz w:val="24"/>
        </w:rPr>
        <w:t>　　1.16竣工日期：指发包人承包人在协议书约定，承包人完成承包范围内工程的绝对或相对的日期。</w:t>
      </w:r>
    </w:p>
    <w:p w14:paraId="5B10F4BC">
      <w:pPr>
        <w:spacing w:line="460" w:lineRule="exact"/>
        <w:rPr>
          <w:rFonts w:ascii="宋体" w:hAnsi="宋体"/>
          <w:sz w:val="24"/>
        </w:rPr>
      </w:pPr>
      <w:r>
        <w:rPr>
          <w:rFonts w:ascii="宋体" w:hAnsi="宋体"/>
          <w:sz w:val="24"/>
        </w:rPr>
        <w:t>　　1.17图纸：指由发包人提供或由承包人提供并经发包人批准，满足承包人施工需要的所有图纸（包括配套说明和有关资料）。</w:t>
      </w:r>
    </w:p>
    <w:p w14:paraId="72027AAD">
      <w:pPr>
        <w:spacing w:line="460" w:lineRule="exact"/>
        <w:rPr>
          <w:rFonts w:ascii="宋体" w:hAnsi="宋体"/>
          <w:sz w:val="24"/>
        </w:rPr>
      </w:pPr>
      <w:r>
        <w:rPr>
          <w:rFonts w:ascii="宋体" w:hAnsi="宋体"/>
          <w:sz w:val="24"/>
        </w:rPr>
        <w:t>　　1.18施工场地：指由发包人提供的用于工程施工的场所以及发包人在图纸中具体指定的供施工使用的任何其他场所。</w:t>
      </w:r>
    </w:p>
    <w:p w14:paraId="3D641390">
      <w:pPr>
        <w:spacing w:line="460" w:lineRule="exact"/>
        <w:rPr>
          <w:rFonts w:ascii="宋体" w:hAnsi="宋体"/>
          <w:sz w:val="24"/>
        </w:rPr>
      </w:pPr>
      <w:r>
        <w:rPr>
          <w:rFonts w:ascii="宋体" w:hAnsi="宋体"/>
          <w:sz w:val="24"/>
        </w:rPr>
        <w:t>　　1.19书面形式：指合同书、信件和数据电文（包括电报、电传、传真、电子数据交换和电子邮件）等可以有形地表现所载内容的形式。</w:t>
      </w:r>
    </w:p>
    <w:p w14:paraId="37BBA95D">
      <w:pPr>
        <w:spacing w:line="460" w:lineRule="exact"/>
        <w:rPr>
          <w:rFonts w:ascii="宋体" w:hAnsi="宋体"/>
          <w:sz w:val="24"/>
        </w:rPr>
      </w:pPr>
      <w:r>
        <w:rPr>
          <w:rFonts w:ascii="宋体" w:hAnsi="宋体"/>
          <w:sz w:val="24"/>
        </w:rPr>
        <w:t>　　1.20违约责任：指合同一方不履行合同义务或履行合同义务不符合约定所应承担的责任。</w:t>
      </w:r>
    </w:p>
    <w:p w14:paraId="7C6CF186">
      <w:pPr>
        <w:spacing w:line="460" w:lineRule="exact"/>
        <w:rPr>
          <w:rFonts w:ascii="宋体" w:hAnsi="宋体"/>
          <w:sz w:val="24"/>
        </w:rPr>
      </w:pPr>
      <w:r>
        <w:rPr>
          <w:rFonts w:ascii="宋体" w:hAnsi="宋体"/>
          <w:sz w:val="24"/>
        </w:rPr>
        <w:t>　　1.21索赔：指在合同履行过程中，对于并非自己的过错，而是应由对方承担责任的情况造成的实际损失，向对方提出经济补偿和（或）工期顺延的要求。</w:t>
      </w:r>
    </w:p>
    <w:p w14:paraId="52FD61BE">
      <w:pPr>
        <w:spacing w:line="460" w:lineRule="exact"/>
        <w:rPr>
          <w:rFonts w:ascii="宋体" w:hAnsi="宋体"/>
          <w:sz w:val="24"/>
        </w:rPr>
      </w:pPr>
      <w:r>
        <w:rPr>
          <w:rFonts w:ascii="宋体" w:hAnsi="宋体"/>
          <w:sz w:val="24"/>
        </w:rPr>
        <w:t>　　1.22不可抗力：指不能预见、不能避免并不能克服的客观情况。</w:t>
      </w:r>
    </w:p>
    <w:p w14:paraId="4EA0C281">
      <w:pPr>
        <w:spacing w:line="460" w:lineRule="exact"/>
        <w:rPr>
          <w:rFonts w:ascii="宋体" w:hAnsi="宋体"/>
          <w:sz w:val="24"/>
        </w:rPr>
      </w:pPr>
      <w:r>
        <w:rPr>
          <w:rFonts w:ascii="宋体" w:hAnsi="宋体"/>
          <w:sz w:val="24"/>
        </w:rPr>
        <w:t>　　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14:paraId="00A1BAC5">
      <w:pPr>
        <w:spacing w:line="460" w:lineRule="exact"/>
        <w:rPr>
          <w:rFonts w:ascii="宋体" w:hAnsi="宋体"/>
          <w:sz w:val="24"/>
        </w:rPr>
      </w:pPr>
      <w:r>
        <w:rPr>
          <w:rFonts w:ascii="宋体" w:hAnsi="宋体"/>
          <w:sz w:val="24"/>
        </w:rPr>
        <w:t>　　</w:t>
      </w:r>
      <w:r>
        <w:rPr>
          <w:rFonts w:hint="eastAsia" w:ascii="宋体" w:hAnsi="宋体"/>
          <w:sz w:val="24"/>
          <w:lang w:val="en-US" w:eastAsia="zh-CN"/>
        </w:rPr>
        <w:t>2</w:t>
      </w:r>
      <w:r>
        <w:rPr>
          <w:rFonts w:ascii="宋体" w:hAnsi="宋体"/>
          <w:sz w:val="24"/>
        </w:rPr>
        <w:t>、合同文件及解释顺序</w:t>
      </w:r>
    </w:p>
    <w:p w14:paraId="6507FD23">
      <w:pPr>
        <w:spacing w:line="460" w:lineRule="exact"/>
        <w:rPr>
          <w:rFonts w:ascii="宋体" w:hAnsi="宋体"/>
          <w:sz w:val="24"/>
        </w:rPr>
      </w:pPr>
      <w:r>
        <w:rPr>
          <w:rFonts w:ascii="宋体" w:hAnsi="宋体"/>
          <w:sz w:val="24"/>
        </w:rPr>
        <w:t>　　2.1合同文件应能相互解释， 互为说明。除专用条款另有约定外，组成本合同的文件及优先解释顺序如下：</w:t>
      </w:r>
    </w:p>
    <w:p w14:paraId="63EBE2A0">
      <w:pPr>
        <w:spacing w:line="460" w:lineRule="exact"/>
        <w:rPr>
          <w:rFonts w:ascii="宋体" w:hAnsi="宋体"/>
          <w:sz w:val="24"/>
        </w:rPr>
      </w:pPr>
      <w:r>
        <w:rPr>
          <w:rFonts w:ascii="宋体" w:hAnsi="宋体"/>
          <w:sz w:val="24"/>
        </w:rPr>
        <w:t>　　（1）本合同协议书</w:t>
      </w:r>
    </w:p>
    <w:p w14:paraId="48033847">
      <w:pPr>
        <w:spacing w:line="460" w:lineRule="exact"/>
        <w:rPr>
          <w:rFonts w:ascii="宋体" w:hAnsi="宋体"/>
          <w:sz w:val="24"/>
        </w:rPr>
      </w:pPr>
      <w:r>
        <w:rPr>
          <w:rFonts w:ascii="宋体" w:hAnsi="宋体"/>
          <w:sz w:val="24"/>
        </w:rPr>
        <w:t>　　（2）</w:t>
      </w:r>
      <w:r>
        <w:rPr>
          <w:rFonts w:hint="eastAsia" w:ascii="宋体" w:hAnsi="宋体"/>
          <w:sz w:val="24"/>
        </w:rPr>
        <w:t>成交</w:t>
      </w:r>
      <w:r>
        <w:rPr>
          <w:rFonts w:ascii="宋体" w:hAnsi="宋体"/>
          <w:sz w:val="24"/>
        </w:rPr>
        <w:t>通知书</w:t>
      </w:r>
    </w:p>
    <w:p w14:paraId="69EB4752">
      <w:pPr>
        <w:spacing w:line="460" w:lineRule="exact"/>
        <w:rPr>
          <w:rFonts w:ascii="宋体" w:hAnsi="宋体"/>
          <w:sz w:val="24"/>
        </w:rPr>
      </w:pPr>
      <w:r>
        <w:rPr>
          <w:rFonts w:ascii="宋体" w:hAnsi="宋体"/>
          <w:sz w:val="24"/>
        </w:rPr>
        <w:t>　　（3）</w:t>
      </w:r>
      <w:r>
        <w:rPr>
          <w:rFonts w:hint="eastAsia" w:ascii="宋体" w:hAnsi="宋体"/>
          <w:sz w:val="24"/>
        </w:rPr>
        <w:t>响应</w:t>
      </w:r>
      <w:r>
        <w:rPr>
          <w:rFonts w:ascii="宋体" w:hAnsi="宋体"/>
          <w:sz w:val="24"/>
        </w:rPr>
        <w:t>文件及其附件</w:t>
      </w:r>
    </w:p>
    <w:p w14:paraId="03596E35">
      <w:pPr>
        <w:spacing w:line="460" w:lineRule="exact"/>
        <w:rPr>
          <w:rFonts w:ascii="宋体" w:hAnsi="宋体"/>
          <w:sz w:val="24"/>
        </w:rPr>
      </w:pPr>
      <w:r>
        <w:rPr>
          <w:rFonts w:ascii="宋体" w:hAnsi="宋体"/>
          <w:sz w:val="24"/>
        </w:rPr>
        <w:t>　　（4）本合同专用条款</w:t>
      </w:r>
    </w:p>
    <w:p w14:paraId="2D01D570">
      <w:pPr>
        <w:spacing w:line="460" w:lineRule="exact"/>
        <w:rPr>
          <w:rFonts w:ascii="宋体" w:hAnsi="宋体"/>
          <w:sz w:val="24"/>
        </w:rPr>
      </w:pPr>
      <w:r>
        <w:rPr>
          <w:rFonts w:ascii="宋体" w:hAnsi="宋体"/>
          <w:sz w:val="24"/>
        </w:rPr>
        <w:t>　　（5）本合同通用条款</w:t>
      </w:r>
    </w:p>
    <w:p w14:paraId="6B7B7020">
      <w:pPr>
        <w:spacing w:line="460" w:lineRule="exact"/>
        <w:rPr>
          <w:rFonts w:ascii="宋体" w:hAnsi="宋体"/>
          <w:sz w:val="24"/>
        </w:rPr>
      </w:pPr>
      <w:r>
        <w:rPr>
          <w:rFonts w:ascii="宋体" w:hAnsi="宋体"/>
          <w:sz w:val="24"/>
        </w:rPr>
        <w:t>　　（6）标准、规范及有关技术文件</w:t>
      </w:r>
    </w:p>
    <w:p w14:paraId="038472A3">
      <w:pPr>
        <w:spacing w:line="460" w:lineRule="exact"/>
        <w:rPr>
          <w:rFonts w:ascii="宋体" w:hAnsi="宋体"/>
          <w:sz w:val="24"/>
        </w:rPr>
      </w:pPr>
      <w:r>
        <w:rPr>
          <w:rFonts w:ascii="宋体" w:hAnsi="宋体"/>
          <w:sz w:val="24"/>
        </w:rPr>
        <w:t>　　（7）图纸</w:t>
      </w:r>
    </w:p>
    <w:p w14:paraId="1B54148D">
      <w:pPr>
        <w:spacing w:line="460" w:lineRule="exact"/>
        <w:rPr>
          <w:rFonts w:ascii="宋体" w:hAnsi="宋体"/>
          <w:sz w:val="24"/>
        </w:rPr>
      </w:pPr>
      <w:r>
        <w:rPr>
          <w:rFonts w:ascii="宋体" w:hAnsi="宋体"/>
          <w:sz w:val="24"/>
        </w:rPr>
        <w:t>　　（8）工程量清单</w:t>
      </w:r>
    </w:p>
    <w:p w14:paraId="45A766E3">
      <w:pPr>
        <w:spacing w:line="460" w:lineRule="exact"/>
        <w:rPr>
          <w:rFonts w:ascii="宋体" w:hAnsi="宋体"/>
          <w:sz w:val="24"/>
        </w:rPr>
      </w:pPr>
      <w:r>
        <w:rPr>
          <w:rFonts w:ascii="宋体" w:hAnsi="宋体"/>
          <w:sz w:val="24"/>
        </w:rPr>
        <w:t>　　（9）工程报价单或预算书</w:t>
      </w:r>
    </w:p>
    <w:p w14:paraId="5DCBC90F">
      <w:pPr>
        <w:spacing w:line="460" w:lineRule="exact"/>
        <w:rPr>
          <w:rFonts w:ascii="宋体" w:hAnsi="宋体"/>
          <w:sz w:val="24"/>
        </w:rPr>
      </w:pPr>
      <w:r>
        <w:rPr>
          <w:rFonts w:ascii="宋体" w:hAnsi="宋体"/>
          <w:sz w:val="24"/>
        </w:rPr>
        <w:t>　　合同履行中，发包人承包人有关工程的洽商、变更等书面协议或文件视为本合同的组成部分。</w:t>
      </w:r>
    </w:p>
    <w:p w14:paraId="555839F7">
      <w:pPr>
        <w:spacing w:line="460" w:lineRule="exact"/>
        <w:rPr>
          <w:rFonts w:ascii="宋体" w:hAnsi="宋体"/>
          <w:sz w:val="24"/>
        </w:rPr>
      </w:pPr>
      <w:r>
        <w:rPr>
          <w:rFonts w:ascii="宋体" w:hAnsi="宋体"/>
          <w:sz w:val="24"/>
        </w:rPr>
        <w:t>　　2.2当合同文件内容含糊不清或不相一致时，在不影响工程正常进行的情况下，由发包人承包人协商解决。双方也可以提请负责监理的工程师作出解释。双方协商不成或不同意负责监理的工程师作出解释。双方协商不成或不同意负责监理的工程师的解释时，按本通用条款第37条关于争议的约定处理。</w:t>
      </w:r>
    </w:p>
    <w:p w14:paraId="6BD1FA96">
      <w:pPr>
        <w:spacing w:line="460" w:lineRule="exact"/>
        <w:rPr>
          <w:rFonts w:ascii="宋体" w:hAnsi="宋体"/>
          <w:sz w:val="24"/>
        </w:rPr>
      </w:pPr>
      <w:r>
        <w:rPr>
          <w:rFonts w:ascii="宋体" w:hAnsi="宋体"/>
          <w:sz w:val="24"/>
        </w:rPr>
        <w:t>　　</w:t>
      </w:r>
      <w:r>
        <w:rPr>
          <w:rFonts w:hint="eastAsia" w:ascii="宋体" w:hAnsi="宋体"/>
          <w:sz w:val="24"/>
          <w:lang w:val="en-US" w:eastAsia="zh-CN"/>
        </w:rPr>
        <w:t>3</w:t>
      </w:r>
      <w:r>
        <w:rPr>
          <w:rFonts w:ascii="宋体" w:hAnsi="宋体"/>
          <w:sz w:val="24"/>
        </w:rPr>
        <w:t>、语言文字和适用法律、标准及规范</w:t>
      </w:r>
    </w:p>
    <w:p w14:paraId="5420BFF4">
      <w:pPr>
        <w:spacing w:line="460" w:lineRule="exact"/>
        <w:rPr>
          <w:rFonts w:ascii="宋体" w:hAnsi="宋体"/>
          <w:sz w:val="24"/>
        </w:rPr>
      </w:pPr>
      <w:r>
        <w:rPr>
          <w:rFonts w:ascii="宋体" w:hAnsi="宋体"/>
          <w:sz w:val="24"/>
        </w:rPr>
        <w:t>　　3.1语言文字</w:t>
      </w:r>
    </w:p>
    <w:p w14:paraId="1D398EDA">
      <w:pPr>
        <w:spacing w:line="460" w:lineRule="exact"/>
        <w:rPr>
          <w:rFonts w:ascii="宋体" w:hAnsi="宋体"/>
          <w:sz w:val="24"/>
        </w:rPr>
      </w:pPr>
      <w:r>
        <w:rPr>
          <w:rFonts w:ascii="宋体" w:hAnsi="宋体"/>
          <w:sz w:val="24"/>
        </w:rPr>
        <w:t>　　本合同文件使用汉语语言文字书写、解释和说明。如专用条款约定使用两种以上（含两种）语言文字时，汉语应为解释和说明本合同的标准语言文字。</w:t>
      </w:r>
    </w:p>
    <w:p w14:paraId="0DB169E9">
      <w:pPr>
        <w:spacing w:line="460" w:lineRule="exact"/>
        <w:rPr>
          <w:rFonts w:ascii="宋体" w:hAnsi="宋体"/>
          <w:sz w:val="24"/>
        </w:rPr>
      </w:pPr>
      <w:r>
        <w:rPr>
          <w:rFonts w:ascii="宋体" w:hAnsi="宋体"/>
          <w:sz w:val="24"/>
        </w:rPr>
        <w:t>　　在少数民族地区，双方可以约定使用少数民族语言文字书写和解释、说明本合同。</w:t>
      </w:r>
    </w:p>
    <w:p w14:paraId="51BC76C4">
      <w:pPr>
        <w:spacing w:line="460" w:lineRule="exact"/>
        <w:rPr>
          <w:rFonts w:ascii="宋体" w:hAnsi="宋体"/>
          <w:sz w:val="24"/>
        </w:rPr>
      </w:pPr>
      <w:r>
        <w:rPr>
          <w:rFonts w:ascii="宋体" w:hAnsi="宋体"/>
          <w:sz w:val="24"/>
        </w:rPr>
        <w:t>　　3.2适用法律和法规</w:t>
      </w:r>
    </w:p>
    <w:p w14:paraId="3DBF873A">
      <w:pPr>
        <w:spacing w:line="460" w:lineRule="exact"/>
        <w:rPr>
          <w:rFonts w:ascii="宋体" w:hAnsi="宋体"/>
          <w:sz w:val="24"/>
        </w:rPr>
      </w:pPr>
      <w:r>
        <w:rPr>
          <w:rFonts w:ascii="宋体" w:hAnsi="宋体"/>
          <w:sz w:val="24"/>
        </w:rPr>
        <w:t>　　本合同文件适用国家的法律和行政法规。需要明示的法律、行政法规，由双方在专用条款中约定。</w:t>
      </w:r>
    </w:p>
    <w:p w14:paraId="26AA6C0B">
      <w:pPr>
        <w:spacing w:line="460" w:lineRule="exact"/>
        <w:rPr>
          <w:rFonts w:ascii="宋体" w:hAnsi="宋体"/>
          <w:sz w:val="24"/>
        </w:rPr>
      </w:pPr>
      <w:r>
        <w:rPr>
          <w:rFonts w:ascii="宋体" w:hAnsi="宋体"/>
          <w:sz w:val="24"/>
        </w:rPr>
        <w:t>　　3.3适用标准、规范</w:t>
      </w:r>
    </w:p>
    <w:p w14:paraId="119A526B">
      <w:pPr>
        <w:spacing w:line="460" w:lineRule="exact"/>
        <w:rPr>
          <w:rFonts w:ascii="宋体" w:hAnsi="宋体"/>
          <w:sz w:val="24"/>
        </w:rPr>
      </w:pPr>
      <w:r>
        <w:rPr>
          <w:rFonts w:ascii="宋体" w:hAnsi="宋体"/>
          <w:sz w:val="24"/>
        </w:rPr>
        <w:t>　　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14:paraId="04407CE7">
      <w:pPr>
        <w:spacing w:line="460" w:lineRule="exact"/>
        <w:rPr>
          <w:rFonts w:ascii="宋体" w:hAnsi="宋体"/>
          <w:sz w:val="24"/>
        </w:rPr>
      </w:pPr>
      <w:r>
        <w:rPr>
          <w:rFonts w:ascii="宋体" w:hAnsi="宋体"/>
          <w:sz w:val="24"/>
        </w:rPr>
        <w:t>　　国内没有相应标准、规范的，由发包人按专用条款约定的时间向承包人提出施工技术要求，承包人按约定的时间和要求提出施工工艺，经发包人认可后执行。发包人要求使用国外标准、规范的，应负责提供中文译本。</w:t>
      </w:r>
    </w:p>
    <w:p w14:paraId="39900030">
      <w:pPr>
        <w:spacing w:line="460" w:lineRule="exact"/>
        <w:rPr>
          <w:rFonts w:ascii="宋体" w:hAnsi="宋体"/>
          <w:sz w:val="24"/>
        </w:rPr>
      </w:pPr>
      <w:r>
        <w:rPr>
          <w:rFonts w:ascii="宋体" w:hAnsi="宋体"/>
          <w:sz w:val="24"/>
        </w:rPr>
        <w:t>　　本条所发生的购买、翻译标准、规范或制定施工工艺的费用，由发包人承担。</w:t>
      </w:r>
    </w:p>
    <w:p w14:paraId="5544237B">
      <w:pPr>
        <w:spacing w:line="460" w:lineRule="exact"/>
        <w:rPr>
          <w:rFonts w:ascii="宋体" w:hAnsi="宋体"/>
          <w:sz w:val="24"/>
        </w:rPr>
      </w:pPr>
      <w:r>
        <w:rPr>
          <w:rFonts w:ascii="宋体" w:hAnsi="宋体"/>
          <w:sz w:val="24"/>
        </w:rPr>
        <w:t>　　</w:t>
      </w:r>
      <w:r>
        <w:rPr>
          <w:rFonts w:hint="eastAsia" w:ascii="宋体" w:hAnsi="宋体"/>
          <w:sz w:val="24"/>
          <w:lang w:val="en-US" w:eastAsia="zh-CN"/>
        </w:rPr>
        <w:t>4</w:t>
      </w:r>
      <w:r>
        <w:rPr>
          <w:rFonts w:ascii="宋体" w:hAnsi="宋体"/>
          <w:sz w:val="24"/>
        </w:rPr>
        <w:t>、图纸</w:t>
      </w:r>
    </w:p>
    <w:p w14:paraId="2A36475B">
      <w:pPr>
        <w:spacing w:line="460" w:lineRule="exact"/>
        <w:rPr>
          <w:rFonts w:ascii="宋体" w:hAnsi="宋体"/>
          <w:sz w:val="24"/>
        </w:rPr>
      </w:pPr>
      <w:r>
        <w:rPr>
          <w:rFonts w:ascii="宋体" w:hAnsi="宋体"/>
          <w:sz w:val="24"/>
        </w:rPr>
        <w:t>　　4.1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14:paraId="101BF737">
      <w:pPr>
        <w:spacing w:line="460" w:lineRule="exact"/>
        <w:rPr>
          <w:rFonts w:ascii="宋体" w:hAnsi="宋体"/>
          <w:sz w:val="24"/>
        </w:rPr>
      </w:pPr>
      <w:r>
        <w:rPr>
          <w:rFonts w:ascii="宋体" w:hAnsi="宋体"/>
          <w:sz w:val="24"/>
        </w:rPr>
        <w:t>　　4.2承包人未经发包人同意，不得将本工程图纸转给第三人。工程质量保修期满后，除承包人存档需要的图纸外，应将全部图纸退还给发包人。</w:t>
      </w:r>
    </w:p>
    <w:p w14:paraId="201E3232">
      <w:pPr>
        <w:spacing w:line="460" w:lineRule="exact"/>
        <w:rPr>
          <w:rFonts w:ascii="宋体" w:hAnsi="宋体"/>
          <w:sz w:val="24"/>
        </w:rPr>
      </w:pPr>
      <w:r>
        <w:rPr>
          <w:rFonts w:ascii="宋体" w:hAnsi="宋体"/>
          <w:sz w:val="24"/>
        </w:rPr>
        <w:t>　　4.3承包人应在施工现场保留一套完整图纸，供工程师及有关人员进行工程检查时使用。</w:t>
      </w:r>
    </w:p>
    <w:p w14:paraId="3E447144">
      <w:pPr>
        <w:spacing w:line="460" w:lineRule="exact"/>
        <w:rPr>
          <w:rFonts w:ascii="宋体" w:hAnsi="宋体"/>
          <w:sz w:val="24"/>
        </w:rPr>
      </w:pPr>
      <w:r>
        <w:rPr>
          <w:rFonts w:ascii="宋体" w:hAnsi="宋体"/>
          <w:sz w:val="24"/>
        </w:rPr>
        <w:t>　　二、双方一般权利和义务</w:t>
      </w:r>
    </w:p>
    <w:p w14:paraId="58417579">
      <w:pPr>
        <w:spacing w:line="460" w:lineRule="exact"/>
        <w:rPr>
          <w:rFonts w:ascii="宋体" w:hAnsi="宋体"/>
          <w:sz w:val="24"/>
        </w:rPr>
      </w:pPr>
      <w:r>
        <w:rPr>
          <w:rFonts w:ascii="宋体" w:hAnsi="宋体"/>
          <w:sz w:val="24"/>
        </w:rPr>
        <w:t>　　</w:t>
      </w:r>
      <w:r>
        <w:rPr>
          <w:rFonts w:hint="eastAsia" w:ascii="宋体" w:hAnsi="宋体"/>
          <w:sz w:val="24"/>
          <w:lang w:val="en-US" w:eastAsia="zh-CN"/>
        </w:rPr>
        <w:t>5</w:t>
      </w:r>
      <w:r>
        <w:rPr>
          <w:rFonts w:ascii="宋体" w:hAnsi="宋体"/>
          <w:sz w:val="24"/>
        </w:rPr>
        <w:t>、工程师</w:t>
      </w:r>
    </w:p>
    <w:p w14:paraId="0F244A15">
      <w:pPr>
        <w:spacing w:line="460" w:lineRule="exact"/>
        <w:rPr>
          <w:rFonts w:ascii="宋体" w:hAnsi="宋体"/>
          <w:sz w:val="24"/>
        </w:rPr>
      </w:pPr>
      <w:r>
        <w:rPr>
          <w:rFonts w:ascii="宋体" w:hAnsi="宋体"/>
          <w:sz w:val="24"/>
        </w:rPr>
        <w:t>　　5.1实行工程监理的，发包人应在实施监理前将委托的监理单位名称、监理内容及监理权限以书面形式通知承包人。</w:t>
      </w:r>
    </w:p>
    <w:p w14:paraId="4CB9A6EF">
      <w:pPr>
        <w:spacing w:line="460" w:lineRule="exact"/>
        <w:rPr>
          <w:rFonts w:ascii="宋体" w:hAnsi="宋体"/>
          <w:sz w:val="24"/>
        </w:rPr>
      </w:pPr>
      <w:r>
        <w:rPr>
          <w:rFonts w:ascii="宋体" w:hAnsi="宋体"/>
          <w:sz w:val="24"/>
        </w:rPr>
        <w:t>　　5.2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14:paraId="54A876EC">
      <w:pPr>
        <w:spacing w:line="460" w:lineRule="exact"/>
        <w:rPr>
          <w:rFonts w:ascii="宋体" w:hAnsi="宋体"/>
          <w:sz w:val="24"/>
        </w:rPr>
      </w:pPr>
      <w:r>
        <w:rPr>
          <w:rFonts w:ascii="宋体" w:hAnsi="宋体"/>
          <w:sz w:val="24"/>
        </w:rPr>
        <w:t>　　5.3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14:paraId="3EA556A0">
      <w:pPr>
        <w:spacing w:line="460" w:lineRule="exact"/>
        <w:rPr>
          <w:rFonts w:ascii="宋体" w:hAnsi="宋体"/>
          <w:sz w:val="24"/>
        </w:rPr>
      </w:pPr>
      <w:r>
        <w:rPr>
          <w:rFonts w:ascii="宋体" w:hAnsi="宋体"/>
          <w:sz w:val="24"/>
        </w:rPr>
        <w:t>　　5.4合同履行中，发生影响发包人承包人双方权利或义务的事件时，负责监理的工程师应依据合同在其职权范围内客观公正地进行处理。一方对工程师的处理有异议时，按本通用条款第37条关于争议的约定处理。</w:t>
      </w:r>
    </w:p>
    <w:p w14:paraId="538EC65B">
      <w:pPr>
        <w:spacing w:line="460" w:lineRule="exact"/>
        <w:rPr>
          <w:rFonts w:ascii="宋体" w:hAnsi="宋体"/>
          <w:sz w:val="24"/>
        </w:rPr>
      </w:pPr>
      <w:r>
        <w:rPr>
          <w:rFonts w:ascii="宋体" w:hAnsi="宋体"/>
          <w:sz w:val="24"/>
        </w:rPr>
        <w:t>　　5.5除合同内有明确约定或经发包人同意外，负责监理的工程师无权解除本合同约定的承包人的任何权利与义务。</w:t>
      </w:r>
    </w:p>
    <w:p w14:paraId="28A9DF2E">
      <w:pPr>
        <w:spacing w:line="460" w:lineRule="exact"/>
        <w:rPr>
          <w:rFonts w:ascii="宋体" w:hAnsi="宋体"/>
          <w:sz w:val="24"/>
        </w:rPr>
      </w:pPr>
      <w:r>
        <w:rPr>
          <w:rFonts w:ascii="宋体" w:hAnsi="宋体"/>
          <w:sz w:val="24"/>
        </w:rPr>
        <w:t>　　5.6不实行工程监理的，本合同中工程师专指发包人派驻施工场地履行合同的代表，其具体职权由发包人在专用条款内写明。</w:t>
      </w:r>
    </w:p>
    <w:p w14:paraId="0CE3DEA1">
      <w:pPr>
        <w:spacing w:line="460" w:lineRule="exact"/>
        <w:rPr>
          <w:rFonts w:ascii="宋体" w:hAnsi="宋体"/>
          <w:sz w:val="24"/>
        </w:rPr>
      </w:pPr>
      <w:r>
        <w:rPr>
          <w:rFonts w:ascii="宋体" w:hAnsi="宋体"/>
          <w:sz w:val="24"/>
        </w:rPr>
        <w:t>　　</w:t>
      </w:r>
      <w:r>
        <w:rPr>
          <w:rFonts w:hint="eastAsia" w:ascii="宋体" w:hAnsi="宋体"/>
          <w:sz w:val="24"/>
          <w:lang w:val="en-US" w:eastAsia="zh-CN"/>
        </w:rPr>
        <w:t>6</w:t>
      </w:r>
      <w:r>
        <w:rPr>
          <w:rFonts w:ascii="宋体" w:hAnsi="宋体"/>
          <w:sz w:val="24"/>
        </w:rPr>
        <w:t>、工程师的委派和指令</w:t>
      </w:r>
    </w:p>
    <w:p w14:paraId="44328794">
      <w:pPr>
        <w:spacing w:line="460" w:lineRule="exact"/>
        <w:rPr>
          <w:rFonts w:ascii="宋体" w:hAnsi="宋体"/>
          <w:sz w:val="24"/>
        </w:rPr>
      </w:pPr>
      <w:r>
        <w:rPr>
          <w:rFonts w:ascii="宋体" w:hAnsi="宋体"/>
          <w:sz w:val="24"/>
        </w:rPr>
        <w:t>　　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14:paraId="48EDAEB1">
      <w:pPr>
        <w:spacing w:line="460" w:lineRule="exact"/>
        <w:rPr>
          <w:rFonts w:ascii="宋体" w:hAnsi="宋体"/>
          <w:sz w:val="24"/>
        </w:rPr>
      </w:pPr>
      <w:r>
        <w:rPr>
          <w:rFonts w:ascii="宋体" w:hAnsi="宋体"/>
          <w:sz w:val="24"/>
        </w:rPr>
        <w:t>　　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4671F83E">
      <w:pPr>
        <w:spacing w:line="460" w:lineRule="exact"/>
        <w:rPr>
          <w:rFonts w:ascii="宋体" w:hAnsi="宋体"/>
          <w:sz w:val="24"/>
        </w:rPr>
      </w:pPr>
      <w:r>
        <w:rPr>
          <w:rFonts w:ascii="宋体" w:hAnsi="宋体"/>
          <w:sz w:val="24"/>
        </w:rPr>
        <w:t>　　除工程师或工程师代表外，发包人派驻工地的其他人员均无权向承包人发出任何指令。</w:t>
      </w:r>
    </w:p>
    <w:p w14:paraId="3D5D2E26">
      <w:pPr>
        <w:spacing w:line="460" w:lineRule="exact"/>
        <w:rPr>
          <w:rFonts w:ascii="宋体" w:hAnsi="宋体"/>
          <w:sz w:val="24"/>
        </w:rPr>
      </w:pPr>
      <w:r>
        <w:rPr>
          <w:rFonts w:ascii="宋体" w:hAnsi="宋体"/>
          <w:sz w:val="24"/>
        </w:rPr>
        <w:t>　　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 承包人应于工程师发出口头指令后7天内提出书面确认要求。工程师在承包人提出确认要求后48小时内不予答复的，视为口头指令已被确认。</w:t>
      </w:r>
    </w:p>
    <w:p w14:paraId="52590F21">
      <w:pPr>
        <w:spacing w:line="460" w:lineRule="exact"/>
        <w:rPr>
          <w:rFonts w:ascii="宋体" w:hAnsi="宋体"/>
          <w:sz w:val="24"/>
        </w:rPr>
      </w:pPr>
      <w:r>
        <w:rPr>
          <w:rFonts w:ascii="宋体" w:hAnsi="宋体"/>
          <w:sz w:val="24"/>
        </w:rPr>
        <w:t>　　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14:paraId="45E0C8AD">
      <w:pPr>
        <w:spacing w:line="460" w:lineRule="exact"/>
        <w:rPr>
          <w:rFonts w:ascii="宋体" w:hAnsi="宋体"/>
          <w:sz w:val="24"/>
        </w:rPr>
      </w:pPr>
      <w:r>
        <w:rPr>
          <w:rFonts w:ascii="宋体" w:hAnsi="宋体"/>
          <w:sz w:val="24"/>
        </w:rPr>
        <w:t>　　本款规定同样适用于由工程师代表发出的指令、通知。</w:t>
      </w:r>
    </w:p>
    <w:p w14:paraId="5ECF41B8">
      <w:pPr>
        <w:spacing w:line="460" w:lineRule="exact"/>
        <w:rPr>
          <w:rFonts w:ascii="宋体" w:hAnsi="宋体"/>
          <w:sz w:val="24"/>
        </w:rPr>
      </w:pPr>
      <w:r>
        <w:rPr>
          <w:rFonts w:ascii="宋体" w:hAnsi="宋体"/>
          <w:sz w:val="24"/>
        </w:rPr>
        <w:t>　　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68D76AEA">
      <w:pPr>
        <w:spacing w:line="460" w:lineRule="exact"/>
        <w:rPr>
          <w:rFonts w:ascii="宋体" w:hAnsi="宋体"/>
          <w:sz w:val="24"/>
        </w:rPr>
      </w:pPr>
      <w:r>
        <w:rPr>
          <w:rFonts w:ascii="宋体" w:hAnsi="宋体"/>
          <w:sz w:val="24"/>
        </w:rPr>
        <w:t>　　6.4如需更换工程师，发包人应至少提前7天以书面形式通知承包人，后任继续行使合同文件约定的前任的职权，履行前任的义务。</w:t>
      </w:r>
    </w:p>
    <w:p w14:paraId="7BCC62AF">
      <w:pPr>
        <w:spacing w:line="460" w:lineRule="exact"/>
        <w:rPr>
          <w:rFonts w:ascii="宋体" w:hAnsi="宋体"/>
          <w:sz w:val="24"/>
        </w:rPr>
      </w:pPr>
      <w:r>
        <w:rPr>
          <w:rFonts w:ascii="宋体" w:hAnsi="宋体"/>
          <w:sz w:val="24"/>
        </w:rPr>
        <w:t>　　</w:t>
      </w:r>
      <w:r>
        <w:rPr>
          <w:rFonts w:hint="eastAsia" w:ascii="宋体" w:hAnsi="宋体"/>
          <w:sz w:val="24"/>
          <w:lang w:val="en-US" w:eastAsia="zh-CN"/>
        </w:rPr>
        <w:t>7</w:t>
      </w:r>
      <w:r>
        <w:rPr>
          <w:rFonts w:ascii="宋体" w:hAnsi="宋体"/>
          <w:sz w:val="24"/>
        </w:rPr>
        <w:t>、项目经理</w:t>
      </w:r>
    </w:p>
    <w:p w14:paraId="38C1E95A">
      <w:pPr>
        <w:spacing w:line="460" w:lineRule="exact"/>
        <w:rPr>
          <w:rFonts w:ascii="宋体" w:hAnsi="宋体"/>
          <w:sz w:val="24"/>
        </w:rPr>
      </w:pPr>
      <w:r>
        <w:rPr>
          <w:rFonts w:ascii="宋体" w:hAnsi="宋体"/>
          <w:sz w:val="24"/>
        </w:rPr>
        <w:t>　　7.1项目经理的姓名、职务在专用条款内写明。</w:t>
      </w:r>
    </w:p>
    <w:p w14:paraId="2629EE43">
      <w:pPr>
        <w:spacing w:line="460" w:lineRule="exact"/>
        <w:rPr>
          <w:rFonts w:ascii="宋体" w:hAnsi="宋体"/>
          <w:sz w:val="24"/>
        </w:rPr>
      </w:pPr>
      <w:r>
        <w:rPr>
          <w:rFonts w:ascii="宋体" w:hAnsi="宋体"/>
          <w:sz w:val="24"/>
        </w:rPr>
        <w:t>　　7.2承包人依据合同发出的通知，以书面形式由项目经理签字后送交工程师，工程师在回执上签署姓名和收到时间后生效。</w:t>
      </w:r>
    </w:p>
    <w:p w14:paraId="1FE6968B">
      <w:pPr>
        <w:spacing w:line="460" w:lineRule="exact"/>
        <w:rPr>
          <w:rFonts w:ascii="宋体" w:hAnsi="宋体"/>
          <w:sz w:val="24"/>
        </w:rPr>
      </w:pPr>
      <w:r>
        <w:rPr>
          <w:rFonts w:ascii="宋体" w:hAnsi="宋体"/>
          <w:sz w:val="24"/>
        </w:rPr>
        <w:t>　　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关交报告。责任在发包人或第三人，由发包人承担由此发生的追加合同价款，相应顺延工期；责任在承包人，由承包人承担费用，不顺延工期。</w:t>
      </w:r>
    </w:p>
    <w:p w14:paraId="34F0C6FC">
      <w:pPr>
        <w:spacing w:line="460" w:lineRule="exact"/>
        <w:rPr>
          <w:rFonts w:ascii="宋体" w:hAnsi="宋体"/>
          <w:sz w:val="24"/>
        </w:rPr>
      </w:pPr>
      <w:r>
        <w:rPr>
          <w:rFonts w:ascii="宋体" w:hAnsi="宋体"/>
          <w:sz w:val="24"/>
        </w:rPr>
        <w:t>　　7.4承包人如需要更换项目经理，应至少提前7天以书面形式通知发包人，关征得发包人同意。后任继续行使合同文件约定的前任的职权，履行前任的义务。</w:t>
      </w:r>
    </w:p>
    <w:p w14:paraId="6E5C4D23">
      <w:pPr>
        <w:spacing w:line="460" w:lineRule="exact"/>
        <w:rPr>
          <w:rFonts w:ascii="宋体" w:hAnsi="宋体"/>
          <w:sz w:val="24"/>
        </w:rPr>
      </w:pPr>
      <w:r>
        <w:rPr>
          <w:rFonts w:ascii="宋体" w:hAnsi="宋体"/>
          <w:sz w:val="24"/>
        </w:rPr>
        <w:t>　　7.5发包人可以与承包人协商，建议更换其认为不称职的项目经理。</w:t>
      </w:r>
    </w:p>
    <w:p w14:paraId="51E78A6D">
      <w:pPr>
        <w:spacing w:line="460" w:lineRule="exact"/>
        <w:rPr>
          <w:rFonts w:ascii="宋体" w:hAnsi="宋体"/>
          <w:sz w:val="24"/>
        </w:rPr>
      </w:pPr>
      <w:r>
        <w:rPr>
          <w:rFonts w:ascii="宋体" w:hAnsi="宋体"/>
          <w:sz w:val="24"/>
        </w:rPr>
        <w:t>　　</w:t>
      </w:r>
      <w:r>
        <w:rPr>
          <w:rFonts w:hint="eastAsia" w:ascii="宋体" w:hAnsi="宋体"/>
          <w:sz w:val="24"/>
          <w:lang w:val="en-US" w:eastAsia="zh-CN"/>
        </w:rPr>
        <w:t>8</w:t>
      </w:r>
      <w:r>
        <w:rPr>
          <w:rFonts w:ascii="宋体" w:hAnsi="宋体"/>
          <w:sz w:val="24"/>
        </w:rPr>
        <w:t>、发包人工作</w:t>
      </w:r>
    </w:p>
    <w:p w14:paraId="01CDB97E">
      <w:pPr>
        <w:spacing w:line="460" w:lineRule="exact"/>
        <w:rPr>
          <w:rFonts w:ascii="宋体" w:hAnsi="宋体"/>
          <w:sz w:val="24"/>
        </w:rPr>
      </w:pPr>
      <w:r>
        <w:rPr>
          <w:rFonts w:ascii="宋体" w:hAnsi="宋体"/>
          <w:sz w:val="24"/>
        </w:rPr>
        <w:t>　　8.1发包人按专用条款约定的内容和时间完成以下工作：</w:t>
      </w:r>
    </w:p>
    <w:p w14:paraId="5A41EFD7">
      <w:pPr>
        <w:spacing w:line="460" w:lineRule="exact"/>
        <w:rPr>
          <w:rFonts w:ascii="宋体" w:hAnsi="宋体"/>
          <w:sz w:val="24"/>
        </w:rPr>
      </w:pPr>
      <w:r>
        <w:rPr>
          <w:rFonts w:ascii="宋体" w:hAnsi="宋体"/>
          <w:sz w:val="24"/>
        </w:rPr>
        <w:t>　　（1）办理土地征用、拆迁补偿、平整施工场地等工作，使施工场地具备施工条件，在开工后继续负责解决以上事项遗留问题；</w:t>
      </w:r>
    </w:p>
    <w:p w14:paraId="562ABB96">
      <w:pPr>
        <w:spacing w:line="460" w:lineRule="exact"/>
        <w:rPr>
          <w:rFonts w:ascii="宋体" w:hAnsi="宋体"/>
          <w:sz w:val="24"/>
        </w:rPr>
      </w:pPr>
      <w:r>
        <w:rPr>
          <w:rFonts w:ascii="宋体" w:hAnsi="宋体"/>
          <w:sz w:val="24"/>
        </w:rPr>
        <w:t>　　（2）将施工所需水、电、电讯线路从施工场地外部接至专用条款约定地点，保证施工期间的需要；</w:t>
      </w:r>
    </w:p>
    <w:p w14:paraId="4E60FCF0">
      <w:pPr>
        <w:spacing w:line="460" w:lineRule="exact"/>
        <w:rPr>
          <w:rFonts w:ascii="宋体" w:hAnsi="宋体"/>
          <w:sz w:val="24"/>
        </w:rPr>
      </w:pPr>
      <w:r>
        <w:rPr>
          <w:rFonts w:ascii="宋体" w:hAnsi="宋体"/>
          <w:sz w:val="24"/>
        </w:rPr>
        <w:t>　　（3）开通施工场地与城乡公共道路的通道，以及专用条款约定的施工场地内的主要道路，满足施工运输的需要，保证施工期间的畅通；</w:t>
      </w:r>
    </w:p>
    <w:p w14:paraId="4B4064A0">
      <w:pPr>
        <w:spacing w:line="460" w:lineRule="exact"/>
        <w:rPr>
          <w:rFonts w:ascii="宋体" w:hAnsi="宋体"/>
          <w:sz w:val="24"/>
        </w:rPr>
      </w:pPr>
      <w:r>
        <w:rPr>
          <w:rFonts w:ascii="宋体" w:hAnsi="宋体"/>
          <w:sz w:val="24"/>
        </w:rPr>
        <w:t>　　（4）向承包人提供施工场地的工程地质和地下管线资料，对资料的真实准确性负责；</w:t>
      </w:r>
    </w:p>
    <w:p w14:paraId="4DD9C70E">
      <w:pPr>
        <w:spacing w:line="460" w:lineRule="exact"/>
        <w:rPr>
          <w:rFonts w:ascii="宋体" w:hAnsi="宋体"/>
          <w:sz w:val="24"/>
        </w:rPr>
      </w:pPr>
      <w:r>
        <w:rPr>
          <w:rFonts w:ascii="宋体" w:hAnsi="宋体"/>
          <w:sz w:val="24"/>
        </w:rPr>
        <w:t>　　（5）办理施工许可证及其他施工所需证件、批件和临时用地、停水、停电、中断道路交通、爆破作业等的申请批准手续（证明承包人自身资质的证件除外）；</w:t>
      </w:r>
    </w:p>
    <w:p w14:paraId="6C589BD7">
      <w:pPr>
        <w:spacing w:line="460" w:lineRule="exact"/>
        <w:rPr>
          <w:rFonts w:ascii="宋体" w:hAnsi="宋体"/>
          <w:sz w:val="24"/>
        </w:rPr>
      </w:pPr>
      <w:r>
        <w:rPr>
          <w:rFonts w:ascii="宋体" w:hAnsi="宋体"/>
          <w:sz w:val="24"/>
        </w:rPr>
        <w:t>　　（6）确定水准点与座标控制点，以书面形式交给承包人，进行现场交验；</w:t>
      </w:r>
    </w:p>
    <w:p w14:paraId="2E5D1D8B">
      <w:pPr>
        <w:spacing w:line="460" w:lineRule="exact"/>
        <w:rPr>
          <w:rFonts w:ascii="宋体" w:hAnsi="宋体"/>
          <w:sz w:val="24"/>
        </w:rPr>
      </w:pPr>
      <w:r>
        <w:rPr>
          <w:rFonts w:ascii="宋体" w:hAnsi="宋体"/>
          <w:sz w:val="24"/>
        </w:rPr>
        <w:t>　　（7）组织承包人和设计单位进行图纸会审和设计交底；</w:t>
      </w:r>
    </w:p>
    <w:p w14:paraId="715F06CE">
      <w:pPr>
        <w:spacing w:line="460" w:lineRule="exact"/>
        <w:rPr>
          <w:rFonts w:ascii="宋体" w:hAnsi="宋体"/>
          <w:sz w:val="24"/>
        </w:rPr>
      </w:pPr>
      <w:r>
        <w:rPr>
          <w:rFonts w:ascii="宋体" w:hAnsi="宋体"/>
          <w:sz w:val="24"/>
        </w:rPr>
        <w:t>　　（8）协调处理施工场地周围地下管线和邻近建筑物、构筑物（包括文物保护建筑）、古树名木的保护工作、承担有关费用；</w:t>
      </w:r>
    </w:p>
    <w:p w14:paraId="1C74D6ED">
      <w:pPr>
        <w:spacing w:line="460" w:lineRule="exact"/>
        <w:rPr>
          <w:rFonts w:ascii="宋体" w:hAnsi="宋体"/>
          <w:sz w:val="24"/>
        </w:rPr>
      </w:pPr>
      <w:r>
        <w:rPr>
          <w:rFonts w:ascii="宋体" w:hAnsi="宋体"/>
          <w:sz w:val="24"/>
        </w:rPr>
        <w:t>　　（9）发包人应做的其他工作，双方在专用条款内约定。</w:t>
      </w:r>
    </w:p>
    <w:p w14:paraId="3ADB2A50">
      <w:pPr>
        <w:spacing w:line="460" w:lineRule="exact"/>
        <w:rPr>
          <w:rFonts w:ascii="宋体" w:hAnsi="宋体"/>
          <w:sz w:val="24"/>
        </w:rPr>
      </w:pPr>
      <w:r>
        <w:rPr>
          <w:rFonts w:ascii="宋体" w:hAnsi="宋体"/>
          <w:sz w:val="24"/>
        </w:rPr>
        <w:t>　　8.2发包人可以将8.1款部分工作委托承包人办理，双方在专用条款内约定，其费用由发包人承担。</w:t>
      </w:r>
    </w:p>
    <w:p w14:paraId="0A465331">
      <w:pPr>
        <w:spacing w:line="460" w:lineRule="exact"/>
        <w:rPr>
          <w:rFonts w:ascii="宋体" w:hAnsi="宋体"/>
          <w:sz w:val="24"/>
        </w:rPr>
      </w:pPr>
      <w:r>
        <w:rPr>
          <w:rFonts w:ascii="宋体" w:hAnsi="宋体"/>
          <w:sz w:val="24"/>
        </w:rPr>
        <w:t>　　8.3发包人未能履行8.1款各项义务，导致工期延误或给承包人造成损失的，发包人赔偿承包人有关损失，顺延延误的工期。</w:t>
      </w:r>
    </w:p>
    <w:p w14:paraId="57DBBFF4">
      <w:pPr>
        <w:spacing w:line="460" w:lineRule="exact"/>
        <w:rPr>
          <w:rFonts w:ascii="宋体" w:hAnsi="宋体"/>
          <w:sz w:val="24"/>
        </w:rPr>
      </w:pPr>
      <w:r>
        <w:rPr>
          <w:rFonts w:ascii="宋体" w:hAnsi="宋体"/>
          <w:sz w:val="24"/>
        </w:rPr>
        <w:t>　　</w:t>
      </w:r>
      <w:r>
        <w:rPr>
          <w:rFonts w:hint="eastAsia" w:ascii="宋体" w:hAnsi="宋体"/>
          <w:sz w:val="24"/>
          <w:lang w:val="en-US" w:eastAsia="zh-CN"/>
        </w:rPr>
        <w:t>9</w:t>
      </w:r>
      <w:r>
        <w:rPr>
          <w:rFonts w:ascii="宋体" w:hAnsi="宋体"/>
          <w:sz w:val="24"/>
        </w:rPr>
        <w:t>、承包人工作</w:t>
      </w:r>
    </w:p>
    <w:p w14:paraId="429B7B02">
      <w:pPr>
        <w:spacing w:line="460" w:lineRule="exact"/>
        <w:rPr>
          <w:rFonts w:ascii="宋体" w:hAnsi="宋体"/>
          <w:sz w:val="24"/>
        </w:rPr>
      </w:pPr>
      <w:r>
        <w:rPr>
          <w:rFonts w:ascii="宋体" w:hAnsi="宋体"/>
          <w:sz w:val="24"/>
        </w:rPr>
        <w:t>　　9.1承包人按专用条款约定的内容和时间完成以下工作：</w:t>
      </w:r>
    </w:p>
    <w:p w14:paraId="7DBD1C21">
      <w:pPr>
        <w:spacing w:line="460" w:lineRule="exact"/>
        <w:rPr>
          <w:rFonts w:ascii="宋体" w:hAnsi="宋体"/>
          <w:sz w:val="24"/>
        </w:rPr>
      </w:pPr>
      <w:r>
        <w:rPr>
          <w:rFonts w:ascii="宋体" w:hAnsi="宋体"/>
          <w:sz w:val="24"/>
        </w:rPr>
        <w:t>　　（1）根据发包人委托，在其设计资质等级和业务允许的范围内，完成施工图设计或与工程配套的设计，经工程师确认后使用，发包人承担由此发生的费用；</w:t>
      </w:r>
    </w:p>
    <w:p w14:paraId="14E8EA26">
      <w:pPr>
        <w:spacing w:line="460" w:lineRule="exact"/>
        <w:rPr>
          <w:rFonts w:ascii="宋体" w:hAnsi="宋体"/>
          <w:sz w:val="24"/>
        </w:rPr>
      </w:pPr>
      <w:r>
        <w:rPr>
          <w:rFonts w:ascii="宋体" w:hAnsi="宋体"/>
          <w:sz w:val="24"/>
        </w:rPr>
        <w:t>　　（2）向工程师提供年、季、月度工程进度计划及相应进度统计报表；</w:t>
      </w:r>
    </w:p>
    <w:p w14:paraId="606EA733">
      <w:pPr>
        <w:spacing w:line="460" w:lineRule="exact"/>
        <w:rPr>
          <w:rFonts w:ascii="宋体" w:hAnsi="宋体"/>
          <w:sz w:val="24"/>
        </w:rPr>
      </w:pPr>
      <w:r>
        <w:rPr>
          <w:rFonts w:ascii="宋体" w:hAnsi="宋体"/>
          <w:sz w:val="24"/>
        </w:rPr>
        <w:t>　　（3）根据工程需要，提供和维修非夜间施工使用的照明、围栏设施，产负责安全保卫；</w:t>
      </w:r>
    </w:p>
    <w:p w14:paraId="63A2C60D">
      <w:pPr>
        <w:spacing w:line="460" w:lineRule="exact"/>
        <w:rPr>
          <w:rFonts w:ascii="宋体" w:hAnsi="宋体"/>
          <w:sz w:val="24"/>
        </w:rPr>
      </w:pPr>
      <w:r>
        <w:rPr>
          <w:rFonts w:ascii="宋体" w:hAnsi="宋体"/>
          <w:sz w:val="24"/>
        </w:rPr>
        <w:t>　　（4）按专用条款约定的数量和要求，向发包人提供施工场地办公和生活的房屋及设施，发包人承担由此发生的费用；</w:t>
      </w:r>
    </w:p>
    <w:p w14:paraId="47AEFB45">
      <w:pPr>
        <w:spacing w:line="460" w:lineRule="exact"/>
        <w:rPr>
          <w:rFonts w:ascii="宋体" w:hAnsi="宋体"/>
          <w:sz w:val="24"/>
        </w:rPr>
      </w:pPr>
      <w:r>
        <w:rPr>
          <w:rFonts w:ascii="宋体" w:hAnsi="宋体"/>
          <w:sz w:val="24"/>
        </w:rPr>
        <w:t>　　（5）遵守政府有关主管部门对施工场地交通、施工噪音以及环境保护和安全生产等的管理规定，按规定办理有关手续，并以书面形式通知发包人，发包人承担由此发生的费用，因承包人责任造成的罚款除外；</w:t>
      </w:r>
    </w:p>
    <w:p w14:paraId="1926B2E6">
      <w:pPr>
        <w:spacing w:line="460" w:lineRule="exact"/>
        <w:rPr>
          <w:rFonts w:ascii="宋体" w:hAnsi="宋体"/>
          <w:sz w:val="24"/>
        </w:rPr>
      </w:pPr>
      <w:r>
        <w:rPr>
          <w:rFonts w:ascii="宋体" w:hAnsi="宋体"/>
          <w:sz w:val="24"/>
        </w:rPr>
        <w:t>　　（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14:paraId="73C28996">
      <w:pPr>
        <w:spacing w:line="460" w:lineRule="exact"/>
        <w:rPr>
          <w:rFonts w:ascii="宋体" w:hAnsi="宋体"/>
          <w:sz w:val="24"/>
        </w:rPr>
      </w:pPr>
      <w:r>
        <w:rPr>
          <w:rFonts w:ascii="宋体" w:hAnsi="宋体"/>
          <w:sz w:val="24"/>
        </w:rPr>
        <w:t>　　（7）按专用条款约定做好施工场地地下管线和邻近建筑物、构筑物（包括文物保护建筑）、古树名木的保护工作；</w:t>
      </w:r>
    </w:p>
    <w:p w14:paraId="137C5804">
      <w:pPr>
        <w:spacing w:line="460" w:lineRule="exact"/>
        <w:rPr>
          <w:rFonts w:ascii="宋体" w:hAnsi="宋体"/>
          <w:sz w:val="24"/>
        </w:rPr>
      </w:pPr>
      <w:r>
        <w:rPr>
          <w:rFonts w:ascii="宋体" w:hAnsi="宋体"/>
          <w:sz w:val="24"/>
        </w:rPr>
        <w:t>　　（8）保证施工场地清洁符合环境卫生管理的有关规定，交工前清理现场达到专用条款约定的要求，承担因自身原因违反有关规定造成的损失和罚款；</w:t>
      </w:r>
    </w:p>
    <w:p w14:paraId="018B39AB">
      <w:pPr>
        <w:spacing w:line="460" w:lineRule="exact"/>
        <w:rPr>
          <w:rFonts w:ascii="宋体" w:hAnsi="宋体"/>
          <w:sz w:val="24"/>
        </w:rPr>
      </w:pPr>
      <w:r>
        <w:rPr>
          <w:rFonts w:ascii="宋体" w:hAnsi="宋体"/>
          <w:sz w:val="24"/>
        </w:rPr>
        <w:t>　　（9）承包人应做的其他工作，双方在专用条款内约定。</w:t>
      </w:r>
    </w:p>
    <w:p w14:paraId="1464817B">
      <w:pPr>
        <w:spacing w:line="460" w:lineRule="exact"/>
        <w:rPr>
          <w:rFonts w:ascii="宋体" w:hAnsi="宋体"/>
          <w:sz w:val="24"/>
        </w:rPr>
      </w:pPr>
      <w:r>
        <w:rPr>
          <w:rFonts w:ascii="宋体" w:hAnsi="宋体"/>
          <w:sz w:val="24"/>
        </w:rPr>
        <w:t>　　9.2承包人未能履行9.1款各项义务，造成发包人损失的，承包人赔偿发包人有关损失。</w:t>
      </w:r>
    </w:p>
    <w:p w14:paraId="19CEC517">
      <w:pPr>
        <w:spacing w:line="460" w:lineRule="exact"/>
        <w:rPr>
          <w:rFonts w:ascii="宋体" w:hAnsi="宋体"/>
          <w:sz w:val="24"/>
        </w:rPr>
      </w:pPr>
      <w:r>
        <w:rPr>
          <w:rFonts w:ascii="宋体" w:hAnsi="宋体"/>
          <w:sz w:val="24"/>
        </w:rPr>
        <w:t>　　三、施工组织设计和工期</w:t>
      </w:r>
    </w:p>
    <w:p w14:paraId="10767C41">
      <w:pPr>
        <w:spacing w:line="460" w:lineRule="exact"/>
        <w:rPr>
          <w:rFonts w:ascii="宋体" w:hAnsi="宋体"/>
          <w:sz w:val="24"/>
        </w:rPr>
      </w:pPr>
      <w:r>
        <w:rPr>
          <w:rFonts w:ascii="宋体" w:hAnsi="宋体"/>
          <w:sz w:val="24"/>
        </w:rPr>
        <w:t>　　</w:t>
      </w:r>
      <w:r>
        <w:rPr>
          <w:rFonts w:hint="eastAsia" w:ascii="宋体" w:hAnsi="宋体"/>
          <w:sz w:val="24"/>
          <w:lang w:val="en-US" w:eastAsia="zh-CN"/>
        </w:rPr>
        <w:t>10</w:t>
      </w:r>
      <w:r>
        <w:rPr>
          <w:rFonts w:ascii="宋体" w:hAnsi="宋体"/>
          <w:sz w:val="24"/>
        </w:rPr>
        <w:t>、进度计划</w:t>
      </w:r>
    </w:p>
    <w:p w14:paraId="3D1867A5">
      <w:pPr>
        <w:spacing w:line="460" w:lineRule="exact"/>
        <w:rPr>
          <w:rFonts w:ascii="宋体" w:hAnsi="宋体"/>
          <w:sz w:val="24"/>
        </w:rPr>
      </w:pPr>
      <w:r>
        <w:rPr>
          <w:rFonts w:ascii="宋体" w:hAnsi="宋体"/>
          <w:sz w:val="24"/>
        </w:rPr>
        <w:t>　　10.1承包人应按专用条款约定的日期，将施工组织设计和工程进度计划提交修改意见，逾期不确认也不提出书面意见的，视为同意。</w:t>
      </w:r>
    </w:p>
    <w:p w14:paraId="0FEB8764">
      <w:pPr>
        <w:spacing w:line="460" w:lineRule="exact"/>
        <w:rPr>
          <w:rFonts w:ascii="宋体" w:hAnsi="宋体"/>
          <w:sz w:val="24"/>
        </w:rPr>
      </w:pPr>
      <w:r>
        <w:rPr>
          <w:rFonts w:ascii="宋体" w:hAnsi="宋体"/>
          <w:sz w:val="24"/>
        </w:rPr>
        <w:t>　　10.2群体工程中单位工程分期进行施工的，承包人应按照发包人提供图纸及有关资料的时间，按单位工程编制进度计划，其具体内容双方在专用条款中约定。</w:t>
      </w:r>
    </w:p>
    <w:p w14:paraId="07862302">
      <w:pPr>
        <w:spacing w:line="460" w:lineRule="exact"/>
        <w:rPr>
          <w:rFonts w:ascii="宋体" w:hAnsi="宋体"/>
          <w:sz w:val="24"/>
        </w:rPr>
      </w:pPr>
      <w:r>
        <w:rPr>
          <w:rFonts w:ascii="宋体" w:hAnsi="宋体"/>
          <w:sz w:val="24"/>
        </w:rPr>
        <w:t>　　10.3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14:paraId="1AA9B743">
      <w:pPr>
        <w:spacing w:line="460" w:lineRule="exact"/>
        <w:rPr>
          <w:rFonts w:ascii="宋体" w:hAnsi="宋体"/>
          <w:sz w:val="24"/>
        </w:rPr>
      </w:pPr>
      <w:r>
        <w:rPr>
          <w:rFonts w:ascii="宋体" w:hAnsi="宋体"/>
          <w:sz w:val="24"/>
        </w:rPr>
        <w:t>　　</w:t>
      </w:r>
      <w:r>
        <w:rPr>
          <w:rFonts w:hint="eastAsia" w:ascii="宋体" w:hAnsi="宋体"/>
          <w:sz w:val="24"/>
          <w:lang w:val="en-US" w:eastAsia="zh-CN"/>
        </w:rPr>
        <w:t>11</w:t>
      </w:r>
      <w:r>
        <w:rPr>
          <w:rFonts w:ascii="宋体" w:hAnsi="宋体"/>
          <w:sz w:val="24"/>
        </w:rPr>
        <w:t>、开工及延期开工</w:t>
      </w:r>
    </w:p>
    <w:p w14:paraId="4E009157">
      <w:pPr>
        <w:spacing w:line="460" w:lineRule="exact"/>
        <w:rPr>
          <w:rFonts w:ascii="宋体" w:hAnsi="宋体"/>
          <w:sz w:val="24"/>
        </w:rPr>
      </w:pPr>
      <w:r>
        <w:rPr>
          <w:rFonts w:ascii="宋体" w:hAnsi="宋体"/>
          <w:sz w:val="24"/>
        </w:rPr>
        <w:t>　　11.1承包人应当按照协议书约定的开工日期开工。承包人不能按时开工，应当不迟于协议书约定的开工日期前7天，以书面形式向工程师提出延期开工的理由和要求。工程师应当在接到延期开工申请后48小时内以书面形式答复承包人。工程师在接到延期开工申请后48小时内不答复，视为同意承包人要求，工期相应顺延。工程师不同意延期要求或承包人未在规定时间内提出延期开工要求，工期不予顺延。</w:t>
      </w:r>
    </w:p>
    <w:p w14:paraId="1CCFD5DE">
      <w:pPr>
        <w:spacing w:line="460" w:lineRule="exact"/>
        <w:rPr>
          <w:rFonts w:ascii="宋体" w:hAnsi="宋体"/>
          <w:sz w:val="24"/>
        </w:rPr>
      </w:pPr>
      <w:r>
        <w:rPr>
          <w:rFonts w:ascii="宋体" w:hAnsi="宋体"/>
          <w:sz w:val="24"/>
        </w:rPr>
        <w:t>　　11.2因发包人原因不能按照协议书约定的开工日期开工，工程师应以书面形式通知承包人，推迟开工日期。发包人赔偿承包人因延期开工造成的损失，并相应顺延工期。</w:t>
      </w:r>
    </w:p>
    <w:p w14:paraId="45970C2E">
      <w:pPr>
        <w:spacing w:line="460" w:lineRule="exact"/>
        <w:rPr>
          <w:rFonts w:ascii="宋体" w:hAnsi="宋体"/>
          <w:sz w:val="24"/>
        </w:rPr>
      </w:pPr>
      <w:r>
        <w:rPr>
          <w:rFonts w:ascii="宋体" w:hAnsi="宋体"/>
          <w:sz w:val="24"/>
        </w:rPr>
        <w:t>　　</w:t>
      </w:r>
      <w:r>
        <w:rPr>
          <w:rFonts w:hint="eastAsia" w:ascii="宋体" w:hAnsi="宋体"/>
          <w:sz w:val="24"/>
          <w:lang w:val="en-US" w:eastAsia="zh-CN"/>
        </w:rPr>
        <w:t>12</w:t>
      </w:r>
      <w:r>
        <w:rPr>
          <w:rFonts w:ascii="宋体" w:hAnsi="宋体"/>
          <w:sz w:val="24"/>
        </w:rPr>
        <w:t>、暂停施工</w:t>
      </w:r>
    </w:p>
    <w:p w14:paraId="1FA83F2C">
      <w:pPr>
        <w:spacing w:line="460" w:lineRule="exact"/>
        <w:rPr>
          <w:rFonts w:ascii="宋体" w:hAnsi="宋体"/>
          <w:sz w:val="24"/>
        </w:rPr>
      </w:pPr>
      <w:r>
        <w:rPr>
          <w:rFonts w:ascii="宋体" w:hAnsi="宋体"/>
          <w:sz w:val="24"/>
        </w:rPr>
        <w:t>　　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14:paraId="3E8E58D0">
      <w:pPr>
        <w:spacing w:line="460" w:lineRule="exact"/>
        <w:rPr>
          <w:rFonts w:ascii="宋体" w:hAnsi="宋体"/>
          <w:sz w:val="24"/>
        </w:rPr>
      </w:pPr>
      <w:r>
        <w:rPr>
          <w:rFonts w:ascii="宋体" w:hAnsi="宋体"/>
          <w:sz w:val="24"/>
        </w:rPr>
        <w:t>　　</w:t>
      </w:r>
      <w:r>
        <w:rPr>
          <w:rFonts w:hint="eastAsia" w:ascii="宋体" w:hAnsi="宋体"/>
          <w:sz w:val="24"/>
          <w:lang w:val="en-US" w:eastAsia="zh-CN"/>
        </w:rPr>
        <w:t>13</w:t>
      </w:r>
      <w:r>
        <w:rPr>
          <w:rFonts w:ascii="宋体" w:hAnsi="宋体"/>
          <w:sz w:val="24"/>
        </w:rPr>
        <w:t>、工期延误</w:t>
      </w:r>
    </w:p>
    <w:p w14:paraId="0BF8B671">
      <w:pPr>
        <w:spacing w:line="460" w:lineRule="exact"/>
        <w:rPr>
          <w:rFonts w:ascii="宋体" w:hAnsi="宋体"/>
          <w:sz w:val="24"/>
        </w:rPr>
      </w:pPr>
      <w:r>
        <w:rPr>
          <w:rFonts w:ascii="宋体" w:hAnsi="宋体"/>
          <w:sz w:val="24"/>
        </w:rPr>
        <w:t>　　13.1因以下原因造成工期延误，经工程师确认，工期相应顺延：</w:t>
      </w:r>
    </w:p>
    <w:p w14:paraId="76C95A2F">
      <w:pPr>
        <w:spacing w:line="460" w:lineRule="exact"/>
        <w:rPr>
          <w:rFonts w:ascii="宋体" w:hAnsi="宋体"/>
          <w:sz w:val="24"/>
        </w:rPr>
      </w:pPr>
      <w:r>
        <w:rPr>
          <w:rFonts w:ascii="宋体" w:hAnsi="宋体"/>
          <w:sz w:val="24"/>
        </w:rPr>
        <w:t>　　（1）发包人未能按专用条款的约定提供图纸及开工条件；</w:t>
      </w:r>
    </w:p>
    <w:p w14:paraId="5B686684">
      <w:pPr>
        <w:spacing w:line="460" w:lineRule="exact"/>
        <w:rPr>
          <w:rFonts w:ascii="宋体" w:hAnsi="宋体"/>
          <w:sz w:val="24"/>
        </w:rPr>
      </w:pPr>
      <w:r>
        <w:rPr>
          <w:rFonts w:ascii="宋体" w:hAnsi="宋体"/>
          <w:sz w:val="24"/>
        </w:rPr>
        <w:t>　　（2）发包人未能按约定日期支付工程预付款、进度款，致使施工不能正常进行；</w:t>
      </w:r>
    </w:p>
    <w:p w14:paraId="0B5EE442">
      <w:pPr>
        <w:spacing w:line="460" w:lineRule="exact"/>
        <w:rPr>
          <w:rFonts w:ascii="宋体" w:hAnsi="宋体"/>
          <w:sz w:val="24"/>
        </w:rPr>
      </w:pPr>
      <w:r>
        <w:rPr>
          <w:rFonts w:ascii="宋体" w:hAnsi="宋体"/>
          <w:sz w:val="24"/>
        </w:rPr>
        <w:t>　　（3）工程师未按合同约定提供所需指令、批准等，致使施工不能正常进行；</w:t>
      </w:r>
    </w:p>
    <w:p w14:paraId="11806F5C">
      <w:pPr>
        <w:spacing w:line="460" w:lineRule="exact"/>
        <w:rPr>
          <w:rFonts w:ascii="宋体" w:hAnsi="宋体"/>
          <w:sz w:val="24"/>
        </w:rPr>
      </w:pPr>
      <w:r>
        <w:rPr>
          <w:rFonts w:ascii="宋体" w:hAnsi="宋体"/>
          <w:sz w:val="24"/>
        </w:rPr>
        <w:t>　　（4）设计变更和工程量增加；</w:t>
      </w:r>
    </w:p>
    <w:p w14:paraId="6611B8F9">
      <w:pPr>
        <w:spacing w:line="460" w:lineRule="exact"/>
        <w:rPr>
          <w:rFonts w:ascii="宋体" w:hAnsi="宋体"/>
          <w:sz w:val="24"/>
        </w:rPr>
      </w:pPr>
      <w:r>
        <w:rPr>
          <w:rFonts w:ascii="宋体" w:hAnsi="宋体"/>
          <w:sz w:val="24"/>
        </w:rPr>
        <w:t>　　（5）一周内非承包人原因停水、停电、停气造成停工累计超过8小时；</w:t>
      </w:r>
    </w:p>
    <w:p w14:paraId="4A4A8637">
      <w:pPr>
        <w:spacing w:line="460" w:lineRule="exact"/>
        <w:rPr>
          <w:rFonts w:ascii="宋体" w:hAnsi="宋体"/>
          <w:sz w:val="24"/>
        </w:rPr>
      </w:pPr>
      <w:r>
        <w:rPr>
          <w:rFonts w:ascii="宋体" w:hAnsi="宋体"/>
          <w:sz w:val="24"/>
        </w:rPr>
        <w:t>　　（6）不可抗力；</w:t>
      </w:r>
    </w:p>
    <w:p w14:paraId="7A20BFCB">
      <w:pPr>
        <w:spacing w:line="460" w:lineRule="exact"/>
        <w:rPr>
          <w:rFonts w:ascii="宋体" w:hAnsi="宋体"/>
          <w:sz w:val="24"/>
        </w:rPr>
      </w:pPr>
      <w:r>
        <w:rPr>
          <w:rFonts w:ascii="宋体" w:hAnsi="宋体"/>
          <w:sz w:val="24"/>
        </w:rPr>
        <w:t>　　（7）专用条款中约定或工程师同意工期顺延的其他情况。</w:t>
      </w:r>
    </w:p>
    <w:p w14:paraId="346EA74E">
      <w:pPr>
        <w:spacing w:line="460" w:lineRule="exact"/>
        <w:rPr>
          <w:rFonts w:ascii="宋体" w:hAnsi="宋体"/>
          <w:sz w:val="24"/>
        </w:rPr>
      </w:pPr>
      <w:r>
        <w:rPr>
          <w:rFonts w:ascii="宋体" w:hAnsi="宋体"/>
          <w:sz w:val="24"/>
        </w:rPr>
        <w:t>　　13.2承包人在13.1款情况发生后14天内，就延误的工期以书面形式向工程师提出报告。工程师在收到报告后14天内予以确认，逾期不予确认也不提出修改意见，视为同意顺延工期。</w:t>
      </w:r>
    </w:p>
    <w:p w14:paraId="10F338EF">
      <w:pPr>
        <w:spacing w:line="460" w:lineRule="exact"/>
        <w:rPr>
          <w:rFonts w:ascii="宋体" w:hAnsi="宋体"/>
          <w:sz w:val="24"/>
        </w:rPr>
      </w:pPr>
      <w:r>
        <w:rPr>
          <w:rFonts w:ascii="宋体" w:hAnsi="宋体"/>
          <w:sz w:val="24"/>
        </w:rPr>
        <w:t>　　</w:t>
      </w:r>
      <w:r>
        <w:rPr>
          <w:rFonts w:hint="eastAsia" w:ascii="宋体" w:hAnsi="宋体"/>
          <w:sz w:val="24"/>
          <w:lang w:val="en-US" w:eastAsia="zh-CN"/>
        </w:rPr>
        <w:t>14</w:t>
      </w:r>
      <w:r>
        <w:rPr>
          <w:rFonts w:ascii="宋体" w:hAnsi="宋体"/>
          <w:sz w:val="24"/>
        </w:rPr>
        <w:t>、工程竣工</w:t>
      </w:r>
    </w:p>
    <w:p w14:paraId="54988787">
      <w:pPr>
        <w:spacing w:line="460" w:lineRule="exact"/>
        <w:rPr>
          <w:rFonts w:ascii="宋体" w:hAnsi="宋体"/>
          <w:sz w:val="24"/>
        </w:rPr>
      </w:pPr>
      <w:r>
        <w:rPr>
          <w:rFonts w:ascii="宋体" w:hAnsi="宋体"/>
          <w:sz w:val="24"/>
        </w:rPr>
        <w:t>　　14.1承包人必须按照协议书约定的竣工日期或工程师同意顺延的工期竣工。</w:t>
      </w:r>
    </w:p>
    <w:p w14:paraId="09BC315C">
      <w:pPr>
        <w:spacing w:line="460" w:lineRule="exact"/>
        <w:rPr>
          <w:rFonts w:ascii="宋体" w:hAnsi="宋体"/>
          <w:sz w:val="24"/>
        </w:rPr>
      </w:pPr>
      <w:r>
        <w:rPr>
          <w:rFonts w:ascii="宋体" w:hAnsi="宋体"/>
          <w:sz w:val="24"/>
        </w:rPr>
        <w:t>　　14.2因承包人原因不能按照协议书约定的竣工日期或工程师同意顺延的工期竣工的，承包人承担违约责任。</w:t>
      </w:r>
    </w:p>
    <w:p w14:paraId="367D8E98">
      <w:pPr>
        <w:spacing w:line="460" w:lineRule="exact"/>
        <w:rPr>
          <w:rFonts w:ascii="宋体" w:hAnsi="宋体"/>
          <w:sz w:val="24"/>
        </w:rPr>
      </w:pPr>
      <w:r>
        <w:rPr>
          <w:rFonts w:ascii="宋体" w:hAnsi="宋体"/>
          <w:sz w:val="24"/>
        </w:rPr>
        <w:t>　　14.3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14:paraId="49024D4C">
      <w:pPr>
        <w:spacing w:line="460" w:lineRule="exact"/>
        <w:rPr>
          <w:rFonts w:ascii="宋体" w:hAnsi="宋体"/>
          <w:sz w:val="24"/>
        </w:rPr>
      </w:pPr>
      <w:r>
        <w:rPr>
          <w:rFonts w:ascii="宋体" w:hAnsi="宋体"/>
          <w:sz w:val="24"/>
        </w:rPr>
        <w:t>　　四、质量与检验</w:t>
      </w:r>
    </w:p>
    <w:p w14:paraId="096058C2">
      <w:pPr>
        <w:spacing w:line="460" w:lineRule="exact"/>
        <w:rPr>
          <w:rFonts w:ascii="宋体" w:hAnsi="宋体"/>
          <w:sz w:val="24"/>
        </w:rPr>
      </w:pPr>
      <w:r>
        <w:rPr>
          <w:rFonts w:ascii="宋体" w:hAnsi="宋体"/>
          <w:sz w:val="24"/>
        </w:rPr>
        <w:t>　　</w:t>
      </w:r>
      <w:r>
        <w:rPr>
          <w:rFonts w:hint="eastAsia" w:ascii="宋体" w:hAnsi="宋体"/>
          <w:sz w:val="24"/>
          <w:lang w:val="en-US" w:eastAsia="zh-CN"/>
        </w:rPr>
        <w:t>15</w:t>
      </w:r>
      <w:r>
        <w:rPr>
          <w:rFonts w:ascii="宋体" w:hAnsi="宋体"/>
          <w:sz w:val="24"/>
        </w:rPr>
        <w:t>、工程质量</w:t>
      </w:r>
    </w:p>
    <w:p w14:paraId="19EFA1CA">
      <w:pPr>
        <w:spacing w:line="460" w:lineRule="exact"/>
        <w:rPr>
          <w:rFonts w:ascii="宋体" w:hAnsi="宋体"/>
          <w:sz w:val="24"/>
        </w:rPr>
      </w:pPr>
      <w:r>
        <w:rPr>
          <w:rFonts w:ascii="宋体" w:hAnsi="宋体"/>
          <w:sz w:val="24"/>
        </w:rPr>
        <w:t>　　15.1工程质量应当达到协议书约定的质量标准，质量标准的评定以国家或行业的质量检验评定标准为依据。因承包人原因工程质量达不到约定的质量标准，承包人承担违约责任。</w:t>
      </w:r>
    </w:p>
    <w:p w14:paraId="502C5B27">
      <w:pPr>
        <w:spacing w:line="460" w:lineRule="exact"/>
        <w:rPr>
          <w:rFonts w:ascii="宋体" w:hAnsi="宋体"/>
          <w:sz w:val="24"/>
        </w:rPr>
      </w:pPr>
      <w:r>
        <w:rPr>
          <w:rFonts w:ascii="宋体" w:hAnsi="宋体"/>
          <w:sz w:val="24"/>
        </w:rPr>
        <w:t>　　15.2双方对工程质量有争议，由双方同意的工程质量检测机构鉴定，所需费用及因此造成的损失，由责任方承担。双方均有责任，由双方根据其责任分别承担。</w:t>
      </w:r>
    </w:p>
    <w:p w14:paraId="489A461F">
      <w:pPr>
        <w:spacing w:line="460" w:lineRule="exact"/>
        <w:ind w:firstLine="480" w:firstLineChars="200"/>
        <w:rPr>
          <w:rFonts w:ascii="宋体" w:hAnsi="宋体"/>
          <w:sz w:val="24"/>
        </w:rPr>
      </w:pPr>
      <w:r>
        <w:rPr>
          <w:rFonts w:hint="eastAsia" w:ascii="宋体" w:hAnsi="宋体"/>
          <w:sz w:val="24"/>
          <w:lang w:val="en-US" w:eastAsia="zh-CN"/>
        </w:rPr>
        <w:t>16</w:t>
      </w:r>
      <w:r>
        <w:rPr>
          <w:rFonts w:ascii="宋体" w:hAnsi="宋体"/>
          <w:sz w:val="24"/>
        </w:rPr>
        <w:t>、检查和返工</w:t>
      </w:r>
    </w:p>
    <w:p w14:paraId="6AEF4D25">
      <w:pPr>
        <w:spacing w:line="460" w:lineRule="exact"/>
        <w:ind w:firstLine="480" w:firstLineChars="200"/>
        <w:rPr>
          <w:rFonts w:ascii="宋体" w:hAnsi="宋体"/>
          <w:sz w:val="24"/>
        </w:rPr>
      </w:pPr>
      <w:r>
        <w:rPr>
          <w:rFonts w:ascii="宋体" w:hAnsi="宋体"/>
          <w:sz w:val="24"/>
        </w:rPr>
        <w:t>16.1承包人应认真按照标准、规范和设计图纸要求以及工程师依据合同发出的指令施工，随时接受工程师的检查检验，为检查检验提供便利条件。</w:t>
      </w:r>
    </w:p>
    <w:p w14:paraId="01090672">
      <w:pPr>
        <w:spacing w:line="460" w:lineRule="exact"/>
        <w:ind w:firstLine="480" w:firstLineChars="200"/>
        <w:rPr>
          <w:rFonts w:ascii="宋体" w:hAnsi="宋体"/>
          <w:sz w:val="24"/>
        </w:rPr>
      </w:pPr>
      <w:r>
        <w:rPr>
          <w:rFonts w:ascii="宋体" w:hAnsi="宋体"/>
          <w:sz w:val="24"/>
        </w:rPr>
        <w:t>16.2工程质量达不到约定标准的部分，工程师的要求拆除和重新施工，直到符合约定标准。因承包人原因达不到约定标准，由承包人承担拆除和重新施工的费用，工期不予顺延。</w:t>
      </w:r>
    </w:p>
    <w:p w14:paraId="7641FD53">
      <w:pPr>
        <w:spacing w:line="460" w:lineRule="exact"/>
        <w:ind w:firstLine="480" w:firstLineChars="200"/>
        <w:rPr>
          <w:rFonts w:ascii="宋体" w:hAnsi="宋体"/>
          <w:sz w:val="24"/>
        </w:rPr>
      </w:pPr>
      <w:r>
        <w:rPr>
          <w:rFonts w:ascii="宋体" w:hAnsi="宋体"/>
          <w:sz w:val="24"/>
        </w:rPr>
        <w:t>16.3工程师的检查检验不应影响施工正常进行。如影响施工正常进行，检查检验不合格时，影响正常施工的费用由承包人承担。除此之外影响正常施工的追加合同价款由发包人承担，相应顺延工期。</w:t>
      </w:r>
    </w:p>
    <w:p w14:paraId="3665CF34">
      <w:pPr>
        <w:spacing w:line="460" w:lineRule="exact"/>
        <w:ind w:firstLine="480" w:firstLineChars="200"/>
        <w:rPr>
          <w:rFonts w:ascii="宋体" w:hAnsi="宋体"/>
          <w:sz w:val="24"/>
        </w:rPr>
      </w:pPr>
      <w:r>
        <w:rPr>
          <w:rFonts w:ascii="宋体" w:hAnsi="宋体"/>
          <w:sz w:val="24"/>
        </w:rPr>
        <w:t>16.4因工程师指令失误或其他非承包人原因发生的追加合同价款，由发包人承担。</w:t>
      </w:r>
    </w:p>
    <w:p w14:paraId="52DF1D84">
      <w:pPr>
        <w:spacing w:line="460" w:lineRule="exact"/>
        <w:ind w:firstLine="480" w:firstLineChars="200"/>
        <w:rPr>
          <w:rFonts w:ascii="宋体" w:hAnsi="宋体"/>
          <w:sz w:val="24"/>
        </w:rPr>
      </w:pPr>
      <w:r>
        <w:rPr>
          <w:rFonts w:hint="eastAsia" w:ascii="宋体" w:hAnsi="宋体"/>
          <w:sz w:val="24"/>
          <w:lang w:val="en-US" w:eastAsia="zh-CN"/>
        </w:rPr>
        <w:t>17</w:t>
      </w:r>
      <w:r>
        <w:rPr>
          <w:rFonts w:ascii="宋体" w:hAnsi="宋体"/>
          <w:sz w:val="24"/>
        </w:rPr>
        <w:t>、隐蔽工程和中间验收</w:t>
      </w:r>
    </w:p>
    <w:p w14:paraId="4559081D">
      <w:pPr>
        <w:spacing w:line="460" w:lineRule="exact"/>
        <w:ind w:firstLine="480" w:firstLineChars="200"/>
        <w:rPr>
          <w:rFonts w:ascii="宋体" w:hAnsi="宋体"/>
          <w:sz w:val="24"/>
        </w:rPr>
      </w:pPr>
      <w:r>
        <w:rPr>
          <w:rFonts w:ascii="宋体" w:hAnsi="宋体"/>
          <w:sz w:val="24"/>
        </w:rPr>
        <w:t>17.1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14:paraId="21BA7A9B">
      <w:pPr>
        <w:spacing w:line="460" w:lineRule="exact"/>
        <w:rPr>
          <w:rFonts w:ascii="宋体" w:hAnsi="宋体"/>
          <w:sz w:val="24"/>
        </w:rPr>
      </w:pPr>
      <w:r>
        <w:rPr>
          <w:rFonts w:ascii="宋体" w:hAnsi="宋体"/>
          <w:sz w:val="24"/>
        </w:rPr>
        <w:t>　　17.2工程师不能按时进行验收，应在验收前24小时以书面形式向承包人提出延期要求，延期不能超过48小时。工程师未能按以上时间提出延期要求，不进行验收，承包人可自行组织验收，工程师应承认验收记录。</w:t>
      </w:r>
    </w:p>
    <w:p w14:paraId="7487EAD9">
      <w:pPr>
        <w:spacing w:line="460" w:lineRule="exact"/>
        <w:ind w:firstLine="480" w:firstLineChars="200"/>
        <w:rPr>
          <w:rFonts w:ascii="宋体" w:hAnsi="宋体"/>
          <w:sz w:val="24"/>
        </w:rPr>
      </w:pPr>
      <w:r>
        <w:rPr>
          <w:rFonts w:ascii="宋体" w:hAnsi="宋体"/>
          <w:sz w:val="24"/>
        </w:rPr>
        <w:t>17.3经工程师验收，工程质量符合标准、规范和设计图纸等要求，验收24小时后，工程师不在验收记录上签字，视为工程师已经认可验收记录，承包人可进行隐蔽或继续施工。</w:t>
      </w:r>
    </w:p>
    <w:p w14:paraId="3E0A52DC">
      <w:pPr>
        <w:spacing w:line="460" w:lineRule="exact"/>
        <w:ind w:firstLine="480" w:firstLineChars="200"/>
        <w:rPr>
          <w:rFonts w:ascii="宋体" w:hAnsi="宋体"/>
          <w:sz w:val="24"/>
        </w:rPr>
      </w:pPr>
      <w:r>
        <w:rPr>
          <w:rFonts w:hint="eastAsia" w:ascii="宋体" w:hAnsi="宋体"/>
          <w:sz w:val="24"/>
          <w:lang w:val="en-US" w:eastAsia="zh-CN"/>
        </w:rPr>
        <w:t>18</w:t>
      </w:r>
      <w:r>
        <w:rPr>
          <w:rFonts w:ascii="宋体" w:hAnsi="宋体"/>
          <w:sz w:val="24"/>
        </w:rPr>
        <w:t>、重新检验</w:t>
      </w:r>
    </w:p>
    <w:p w14:paraId="5E206A70">
      <w:pPr>
        <w:spacing w:line="460" w:lineRule="exact"/>
        <w:ind w:firstLine="480" w:firstLineChars="200"/>
        <w:rPr>
          <w:rFonts w:ascii="宋体" w:hAnsi="宋体"/>
          <w:sz w:val="24"/>
        </w:rPr>
      </w:pPr>
      <w:r>
        <w:rPr>
          <w:rFonts w:ascii="宋体" w:hAnsi="宋体"/>
          <w:sz w:val="24"/>
        </w:rPr>
        <w:t>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14:paraId="5D900848">
      <w:pPr>
        <w:spacing w:line="460" w:lineRule="exact"/>
        <w:ind w:firstLine="480" w:firstLineChars="200"/>
        <w:rPr>
          <w:rFonts w:ascii="宋体" w:hAnsi="宋体"/>
          <w:sz w:val="24"/>
        </w:rPr>
      </w:pPr>
      <w:r>
        <w:rPr>
          <w:rFonts w:hint="eastAsia" w:ascii="宋体" w:hAnsi="宋体"/>
          <w:sz w:val="24"/>
          <w:lang w:val="en-US" w:eastAsia="zh-CN"/>
        </w:rPr>
        <w:t>19</w:t>
      </w:r>
      <w:r>
        <w:rPr>
          <w:rFonts w:ascii="宋体" w:hAnsi="宋体"/>
          <w:sz w:val="24"/>
        </w:rPr>
        <w:t>、工程试车</w:t>
      </w:r>
    </w:p>
    <w:p w14:paraId="7282FDE6">
      <w:pPr>
        <w:spacing w:line="460" w:lineRule="exact"/>
        <w:ind w:firstLine="480" w:firstLineChars="200"/>
        <w:rPr>
          <w:rFonts w:ascii="宋体" w:hAnsi="宋体"/>
          <w:sz w:val="24"/>
        </w:rPr>
      </w:pPr>
      <w:r>
        <w:rPr>
          <w:rFonts w:ascii="宋体" w:hAnsi="宋体"/>
          <w:sz w:val="24"/>
        </w:rPr>
        <w:t>19.1双方约定需要试车的，试车内容应与承包人承包的安装范围相一致。</w:t>
      </w:r>
    </w:p>
    <w:p w14:paraId="70409945">
      <w:pPr>
        <w:spacing w:line="460" w:lineRule="exact"/>
        <w:ind w:firstLine="480" w:firstLineChars="200"/>
        <w:rPr>
          <w:rFonts w:ascii="宋体" w:hAnsi="宋体"/>
          <w:sz w:val="24"/>
        </w:rPr>
      </w:pPr>
      <w:r>
        <w:rPr>
          <w:rFonts w:ascii="宋体" w:hAnsi="宋体"/>
          <w:sz w:val="24"/>
        </w:rPr>
        <w:t>19.2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14:paraId="2D4F6917">
      <w:pPr>
        <w:spacing w:line="460" w:lineRule="exact"/>
        <w:ind w:firstLine="480" w:firstLineChars="200"/>
        <w:rPr>
          <w:rFonts w:ascii="宋体" w:hAnsi="宋体"/>
          <w:sz w:val="24"/>
        </w:rPr>
      </w:pPr>
      <w:r>
        <w:rPr>
          <w:rFonts w:ascii="宋体" w:hAnsi="宋体"/>
          <w:sz w:val="24"/>
        </w:rPr>
        <w:t>19.3工程师不能按时参加试车，须在开始试车前24小时以书面形式向承包人提出延期要求，不参加试车，应承认试车记录。</w:t>
      </w:r>
    </w:p>
    <w:p w14:paraId="45D660C6">
      <w:pPr>
        <w:spacing w:line="460" w:lineRule="exact"/>
        <w:ind w:firstLine="480" w:firstLineChars="200"/>
        <w:rPr>
          <w:rFonts w:ascii="宋体" w:hAnsi="宋体"/>
          <w:sz w:val="24"/>
        </w:rPr>
      </w:pPr>
      <w:r>
        <w:rPr>
          <w:rFonts w:ascii="宋体" w:hAnsi="宋体"/>
          <w:sz w:val="24"/>
        </w:rPr>
        <w:t>19.4设备安装工程具备无负荷联动试车条件，发包人组织试车，并在试车内容、时间、地点和对承包人的要求，承包人按要求做好准备工作。试车合格，双方在试车记录上签字。</w:t>
      </w:r>
    </w:p>
    <w:p w14:paraId="461FFCB1">
      <w:pPr>
        <w:spacing w:line="460" w:lineRule="exact"/>
        <w:ind w:firstLine="480" w:firstLineChars="200"/>
        <w:rPr>
          <w:rFonts w:ascii="宋体" w:hAnsi="宋体"/>
          <w:sz w:val="24"/>
        </w:rPr>
      </w:pPr>
      <w:r>
        <w:rPr>
          <w:rFonts w:ascii="宋体" w:hAnsi="宋体"/>
          <w:sz w:val="24"/>
        </w:rPr>
        <w:t>19.5双方责任</w:t>
      </w:r>
    </w:p>
    <w:p w14:paraId="49D9AA6D">
      <w:pPr>
        <w:spacing w:line="460" w:lineRule="exact"/>
        <w:ind w:firstLine="480" w:firstLineChars="200"/>
        <w:rPr>
          <w:rFonts w:ascii="宋体" w:hAnsi="宋体"/>
          <w:sz w:val="24"/>
        </w:rPr>
      </w:pPr>
      <w:r>
        <w:rPr>
          <w:rFonts w:ascii="宋体" w:hAnsi="宋体"/>
          <w:sz w:val="24"/>
        </w:rPr>
        <w:t>（1）由于设计原因试车达不到验收要求，发包人应要求设计单位修改设计，承包人按修改后的设计重新安装。发包人承担修改设计、拆除及重新安装的全部费用和追加合同价款，工期相应顺延。</w:t>
      </w:r>
    </w:p>
    <w:p w14:paraId="7AFB14C9">
      <w:pPr>
        <w:spacing w:line="460" w:lineRule="exact"/>
        <w:ind w:firstLine="480" w:firstLineChars="200"/>
        <w:rPr>
          <w:rFonts w:ascii="宋体" w:hAnsi="宋体"/>
          <w:sz w:val="24"/>
        </w:rPr>
      </w:pPr>
      <w:r>
        <w:rPr>
          <w:rFonts w:ascii="宋体" w:hAnsi="宋体"/>
          <w:sz w:val="24"/>
        </w:rPr>
        <w:t>（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w:t>
      </w:r>
    </w:p>
    <w:p w14:paraId="6665871B">
      <w:pPr>
        <w:spacing w:line="460" w:lineRule="exact"/>
        <w:ind w:firstLine="480" w:firstLineChars="200"/>
        <w:rPr>
          <w:rFonts w:ascii="宋体" w:hAnsi="宋体"/>
          <w:sz w:val="24"/>
        </w:rPr>
      </w:pPr>
      <w:r>
        <w:rPr>
          <w:rFonts w:ascii="宋体" w:hAnsi="宋体"/>
          <w:sz w:val="24"/>
        </w:rPr>
        <w:t>（3）由于承包人施工原因试车不到验收要求，承包人按工程师要求重新安装和试车，并承担重新安装和试车的费用，工期不予顺延。</w:t>
      </w:r>
    </w:p>
    <w:p w14:paraId="3C66CE0A">
      <w:pPr>
        <w:spacing w:line="460" w:lineRule="exact"/>
        <w:ind w:firstLine="480" w:firstLineChars="200"/>
        <w:rPr>
          <w:rFonts w:ascii="宋体" w:hAnsi="宋体"/>
          <w:sz w:val="24"/>
        </w:rPr>
      </w:pPr>
      <w:r>
        <w:rPr>
          <w:rFonts w:ascii="宋体" w:hAnsi="宋体"/>
          <w:sz w:val="24"/>
        </w:rPr>
        <w:t>（4）试车费用除已包括在合同价款之内或专用条款另有约定外，均由发包人承担。</w:t>
      </w:r>
    </w:p>
    <w:p w14:paraId="4A8EB356">
      <w:pPr>
        <w:spacing w:line="460" w:lineRule="exact"/>
        <w:ind w:firstLine="480" w:firstLineChars="200"/>
        <w:rPr>
          <w:rFonts w:ascii="宋体" w:hAnsi="宋体"/>
          <w:sz w:val="24"/>
        </w:rPr>
      </w:pPr>
      <w:r>
        <w:rPr>
          <w:rFonts w:ascii="宋体" w:hAnsi="宋体"/>
          <w:sz w:val="24"/>
        </w:rPr>
        <w:t>（5）工程师在试车合格后不在试车记录上签字，试车结束24小时后，视为工程师已经认可试车记录，承包人可继续施工或办理竣工手续。</w:t>
      </w:r>
    </w:p>
    <w:p w14:paraId="57E6AB75">
      <w:pPr>
        <w:spacing w:line="460" w:lineRule="exact"/>
        <w:ind w:firstLine="480" w:firstLineChars="200"/>
        <w:rPr>
          <w:rFonts w:ascii="宋体" w:hAnsi="宋体"/>
          <w:sz w:val="24"/>
        </w:rPr>
      </w:pPr>
      <w:r>
        <w:rPr>
          <w:rFonts w:ascii="宋体" w:hAnsi="宋体"/>
          <w:sz w:val="24"/>
        </w:rPr>
        <w:t>19.6投料试车应在工程竣工验收后由发包人负责，如发包人要求在工程竣工验收前进行或需要承包人配合时，应征得承包人同意，另行签订补充协议。</w:t>
      </w:r>
    </w:p>
    <w:p w14:paraId="5D808B06">
      <w:pPr>
        <w:spacing w:line="460" w:lineRule="exact"/>
        <w:ind w:firstLine="480" w:firstLineChars="200"/>
        <w:rPr>
          <w:rFonts w:ascii="宋体" w:hAnsi="宋体"/>
          <w:sz w:val="24"/>
        </w:rPr>
      </w:pPr>
      <w:r>
        <w:rPr>
          <w:rFonts w:ascii="宋体" w:hAnsi="宋体"/>
          <w:sz w:val="24"/>
        </w:rPr>
        <w:t>五、安全施工</w:t>
      </w:r>
    </w:p>
    <w:p w14:paraId="2977FE76">
      <w:pPr>
        <w:spacing w:line="460" w:lineRule="exact"/>
        <w:ind w:firstLine="480" w:firstLineChars="200"/>
        <w:rPr>
          <w:rFonts w:ascii="宋体" w:hAnsi="宋体"/>
          <w:sz w:val="24"/>
        </w:rPr>
      </w:pPr>
      <w:r>
        <w:rPr>
          <w:rFonts w:hint="eastAsia" w:ascii="宋体" w:hAnsi="宋体"/>
          <w:sz w:val="24"/>
          <w:lang w:val="en-US" w:eastAsia="zh-CN"/>
        </w:rPr>
        <w:t>20</w:t>
      </w:r>
      <w:r>
        <w:rPr>
          <w:rFonts w:ascii="宋体" w:hAnsi="宋体"/>
          <w:sz w:val="24"/>
        </w:rPr>
        <w:t>、安全施工与检查</w:t>
      </w:r>
    </w:p>
    <w:p w14:paraId="12DD5837">
      <w:pPr>
        <w:spacing w:line="460" w:lineRule="exact"/>
        <w:ind w:firstLine="480" w:firstLineChars="200"/>
        <w:rPr>
          <w:rFonts w:ascii="宋体" w:hAnsi="宋体"/>
          <w:sz w:val="24"/>
        </w:rPr>
      </w:pPr>
      <w:r>
        <w:rPr>
          <w:rFonts w:ascii="宋体" w:hAnsi="宋体"/>
          <w:sz w:val="24"/>
        </w:rPr>
        <w:t>20.1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56999A4E">
      <w:pPr>
        <w:spacing w:line="460" w:lineRule="exact"/>
        <w:ind w:firstLine="480" w:firstLineChars="200"/>
        <w:rPr>
          <w:rFonts w:ascii="宋体" w:hAnsi="宋体"/>
          <w:sz w:val="24"/>
        </w:rPr>
      </w:pPr>
      <w:r>
        <w:rPr>
          <w:rFonts w:ascii="宋体" w:hAnsi="宋体"/>
          <w:sz w:val="24"/>
        </w:rPr>
        <w:t>20.2发包人应对其在施工场地的工作人员进行安全教育，并对他们的安全负责。发包人不得要求承包人违反安全管理的规定进行施工。因发包人原因导致的安全事故，由发包人承担相应责任及发生的费用。</w:t>
      </w:r>
    </w:p>
    <w:p w14:paraId="7735F7EC">
      <w:pPr>
        <w:spacing w:line="460" w:lineRule="exact"/>
        <w:ind w:firstLine="480" w:firstLineChars="200"/>
        <w:rPr>
          <w:rFonts w:ascii="宋体" w:hAnsi="宋体"/>
          <w:sz w:val="24"/>
        </w:rPr>
      </w:pPr>
      <w:r>
        <w:rPr>
          <w:rFonts w:hint="eastAsia" w:ascii="宋体" w:hAnsi="宋体"/>
          <w:sz w:val="24"/>
          <w:lang w:val="en-US" w:eastAsia="zh-CN"/>
        </w:rPr>
        <w:t>21</w:t>
      </w:r>
      <w:r>
        <w:rPr>
          <w:rFonts w:ascii="宋体" w:hAnsi="宋体"/>
          <w:sz w:val="24"/>
        </w:rPr>
        <w:t>、安全防护</w:t>
      </w:r>
    </w:p>
    <w:p w14:paraId="7455A112">
      <w:pPr>
        <w:spacing w:line="460" w:lineRule="exact"/>
        <w:ind w:firstLine="480" w:firstLineChars="200"/>
        <w:rPr>
          <w:rFonts w:ascii="宋体" w:hAnsi="宋体"/>
          <w:sz w:val="24"/>
        </w:rPr>
      </w:pPr>
      <w:r>
        <w:rPr>
          <w:rFonts w:ascii="宋体" w:hAnsi="宋体"/>
          <w:sz w:val="24"/>
        </w:rPr>
        <w:t>21.1承包人在动力设备、输电线路、地下管道、密封防震车间、易燃易爆地段以及临街交通要道附近施工时，施工开始前应向工程师提出安全防护措施，经工程师认可后实施，防护措施费用由发包人承担。</w:t>
      </w:r>
    </w:p>
    <w:p w14:paraId="5C0EFC21">
      <w:pPr>
        <w:spacing w:line="460" w:lineRule="exact"/>
        <w:ind w:firstLine="480" w:firstLineChars="200"/>
        <w:rPr>
          <w:rFonts w:ascii="宋体" w:hAnsi="宋体"/>
          <w:sz w:val="24"/>
        </w:rPr>
      </w:pPr>
      <w:r>
        <w:rPr>
          <w:rFonts w:ascii="宋体" w:hAnsi="宋体"/>
          <w:sz w:val="24"/>
        </w:rPr>
        <w:t>21.2实施爆破作业，在放射、毒害性环境中施工（含储存、运输、使用）及使用毒害性、腐蚀性物品施工时，承包人应在施工前14天以书面通知工程师，并提出相应的安全防护措施，经工程师认可后实施，由发包人承担安全防护措施费用。</w:t>
      </w:r>
    </w:p>
    <w:p w14:paraId="58077FD6">
      <w:pPr>
        <w:spacing w:line="460" w:lineRule="exact"/>
        <w:ind w:firstLine="480" w:firstLineChars="200"/>
        <w:rPr>
          <w:rFonts w:ascii="宋体" w:hAnsi="宋体"/>
          <w:sz w:val="24"/>
        </w:rPr>
      </w:pPr>
      <w:r>
        <w:rPr>
          <w:rFonts w:hint="eastAsia" w:ascii="宋体" w:hAnsi="宋体"/>
          <w:sz w:val="24"/>
          <w:lang w:val="en-US" w:eastAsia="zh-CN"/>
        </w:rPr>
        <w:t>22</w:t>
      </w:r>
      <w:r>
        <w:rPr>
          <w:rFonts w:ascii="宋体" w:hAnsi="宋体"/>
          <w:sz w:val="24"/>
        </w:rPr>
        <w:t>、事故处理</w:t>
      </w:r>
    </w:p>
    <w:p w14:paraId="475213FF">
      <w:pPr>
        <w:spacing w:line="460" w:lineRule="exact"/>
        <w:ind w:firstLine="480" w:firstLineChars="200"/>
        <w:rPr>
          <w:rFonts w:ascii="宋体" w:hAnsi="宋体"/>
          <w:sz w:val="24"/>
        </w:rPr>
      </w:pPr>
      <w:r>
        <w:rPr>
          <w:rFonts w:ascii="宋体" w:hAnsi="宋体"/>
          <w:sz w:val="24"/>
        </w:rPr>
        <w:t>22.1发生重大伤亡及其他安全事故，承包人应按有关规定立即上报有关部门并通知工程师，同时按政府有关部门要求处理，由事故责任方承担发生的费用。</w:t>
      </w:r>
    </w:p>
    <w:p w14:paraId="2045E803">
      <w:pPr>
        <w:spacing w:line="460" w:lineRule="exact"/>
        <w:ind w:firstLine="480" w:firstLineChars="200"/>
        <w:rPr>
          <w:rFonts w:ascii="宋体" w:hAnsi="宋体"/>
          <w:sz w:val="24"/>
        </w:rPr>
      </w:pPr>
      <w:r>
        <w:rPr>
          <w:rFonts w:ascii="宋体" w:hAnsi="宋体"/>
          <w:sz w:val="24"/>
        </w:rPr>
        <w:t>22.2发包人承包人对事故责任有争议时，应按政府有关部门的认定处理。</w:t>
      </w:r>
    </w:p>
    <w:p w14:paraId="2C256D3F">
      <w:pPr>
        <w:spacing w:line="460" w:lineRule="exact"/>
        <w:ind w:firstLine="480" w:firstLineChars="200"/>
        <w:rPr>
          <w:rFonts w:ascii="宋体" w:hAnsi="宋体"/>
          <w:sz w:val="24"/>
        </w:rPr>
      </w:pPr>
      <w:r>
        <w:rPr>
          <w:rFonts w:ascii="宋体" w:hAnsi="宋体"/>
          <w:sz w:val="24"/>
        </w:rPr>
        <w:t>六、合同价款与支付</w:t>
      </w:r>
    </w:p>
    <w:p w14:paraId="1A894D18">
      <w:pPr>
        <w:spacing w:line="460" w:lineRule="exact"/>
        <w:ind w:firstLine="480" w:firstLineChars="200"/>
        <w:rPr>
          <w:rFonts w:ascii="宋体" w:hAnsi="宋体"/>
          <w:sz w:val="24"/>
        </w:rPr>
      </w:pPr>
      <w:r>
        <w:rPr>
          <w:rFonts w:hint="eastAsia" w:ascii="宋体" w:hAnsi="宋体"/>
          <w:sz w:val="24"/>
          <w:lang w:val="en-US" w:eastAsia="zh-CN"/>
        </w:rPr>
        <w:t>23</w:t>
      </w:r>
      <w:r>
        <w:rPr>
          <w:rFonts w:ascii="宋体" w:hAnsi="宋体"/>
          <w:sz w:val="24"/>
        </w:rPr>
        <w:t>、合同价款及调整</w:t>
      </w:r>
    </w:p>
    <w:p w14:paraId="324D7FCD">
      <w:pPr>
        <w:spacing w:line="460" w:lineRule="exact"/>
        <w:ind w:firstLine="480" w:firstLineChars="200"/>
        <w:rPr>
          <w:rFonts w:ascii="宋体" w:hAnsi="宋体"/>
          <w:sz w:val="24"/>
        </w:rPr>
      </w:pPr>
      <w:r>
        <w:rPr>
          <w:rFonts w:ascii="宋体" w:hAnsi="宋体"/>
          <w:sz w:val="24"/>
        </w:rPr>
        <w:t>23.1工程的合同价款由发包人承包人依据成交通知书中的中标价格在协议书内约定。非工程的合同价款由发包人承包人依据工程预算书在协议书内约定。</w:t>
      </w:r>
    </w:p>
    <w:p w14:paraId="53A0ABD4">
      <w:pPr>
        <w:spacing w:line="460" w:lineRule="exact"/>
        <w:ind w:firstLine="480" w:firstLineChars="200"/>
        <w:rPr>
          <w:rFonts w:ascii="宋体" w:hAnsi="宋体"/>
          <w:sz w:val="24"/>
        </w:rPr>
      </w:pPr>
      <w:r>
        <w:rPr>
          <w:rFonts w:ascii="宋体" w:hAnsi="宋体"/>
          <w:sz w:val="24"/>
        </w:rPr>
        <w:t>23.2合同价款在协议书内约定后，任何一方不得擅自改变。下列三种确定合同价款的方式，双方可在专用条款内约定采用其中一种：</w:t>
      </w:r>
    </w:p>
    <w:p w14:paraId="32E8D12A">
      <w:pPr>
        <w:spacing w:line="460" w:lineRule="exact"/>
        <w:ind w:firstLine="480" w:firstLineChars="200"/>
        <w:rPr>
          <w:rFonts w:ascii="宋体" w:hAnsi="宋体"/>
          <w:sz w:val="24"/>
        </w:rPr>
      </w:pPr>
      <w:r>
        <w:rPr>
          <w:rFonts w:ascii="宋体" w:hAnsi="宋体"/>
          <w:sz w:val="24"/>
        </w:rPr>
        <w:t>（1）固定价格合同。双方在专用条款内约定合同价款包含的风险范围和风险费用的计算方法，在约定的风险范围内合同价款不再调整。风险范围以外的合同价款调整方法。应当在专用条款内约定。</w:t>
      </w:r>
    </w:p>
    <w:p w14:paraId="67D54340">
      <w:pPr>
        <w:spacing w:line="460" w:lineRule="exact"/>
        <w:ind w:firstLine="480" w:firstLineChars="200"/>
        <w:rPr>
          <w:rFonts w:ascii="宋体" w:hAnsi="宋体"/>
          <w:sz w:val="24"/>
        </w:rPr>
      </w:pPr>
      <w:r>
        <w:rPr>
          <w:rFonts w:ascii="宋体" w:hAnsi="宋体"/>
          <w:sz w:val="24"/>
        </w:rPr>
        <w:t>（2）可调价格合同。合同价款可根据双方的约定而调整，双方在专用条款内约定合同价款调整方法。</w:t>
      </w:r>
    </w:p>
    <w:p w14:paraId="674AF9D9">
      <w:pPr>
        <w:spacing w:line="460" w:lineRule="exact"/>
        <w:ind w:firstLine="480" w:firstLineChars="200"/>
        <w:rPr>
          <w:rFonts w:ascii="宋体" w:hAnsi="宋体"/>
          <w:sz w:val="24"/>
        </w:rPr>
      </w:pPr>
      <w:r>
        <w:rPr>
          <w:rFonts w:ascii="宋体" w:hAnsi="宋体"/>
          <w:sz w:val="24"/>
        </w:rPr>
        <w:t>（3）成本加酬金合同。合同价款包括成本和酬金两部分，双方在专用条款内约定成本构成和酬金的计算方法。</w:t>
      </w:r>
    </w:p>
    <w:p w14:paraId="503FD764">
      <w:pPr>
        <w:spacing w:line="460" w:lineRule="exact"/>
        <w:ind w:firstLine="480" w:firstLineChars="200"/>
        <w:rPr>
          <w:rFonts w:ascii="宋体" w:hAnsi="宋体"/>
          <w:sz w:val="24"/>
        </w:rPr>
      </w:pPr>
      <w:r>
        <w:rPr>
          <w:rFonts w:ascii="宋体" w:hAnsi="宋体"/>
          <w:sz w:val="24"/>
        </w:rPr>
        <w:t>　</w:t>
      </w:r>
      <w:r>
        <w:rPr>
          <w:rFonts w:hint="eastAsia" w:ascii="宋体" w:hAnsi="宋体"/>
          <w:sz w:val="24"/>
        </w:rPr>
        <w:t xml:space="preserve"> </w:t>
      </w:r>
      <w:r>
        <w:rPr>
          <w:rFonts w:ascii="宋体" w:hAnsi="宋体"/>
          <w:sz w:val="24"/>
        </w:rPr>
        <w:t>23.3可调价格合同中合同价款的调整因素包括：</w:t>
      </w:r>
    </w:p>
    <w:p w14:paraId="4FC6584F">
      <w:pPr>
        <w:spacing w:line="460" w:lineRule="exact"/>
        <w:ind w:firstLine="480" w:firstLineChars="200"/>
        <w:rPr>
          <w:rFonts w:ascii="宋体" w:hAnsi="宋体"/>
          <w:sz w:val="24"/>
        </w:rPr>
      </w:pPr>
      <w:r>
        <w:rPr>
          <w:rFonts w:ascii="宋体" w:hAnsi="宋体"/>
          <w:sz w:val="24"/>
        </w:rPr>
        <w:t>（1） 法律、行政法规和国家有关政策变化影响合同价款；</w:t>
      </w:r>
    </w:p>
    <w:p w14:paraId="18D5A818">
      <w:pPr>
        <w:spacing w:line="460" w:lineRule="exact"/>
        <w:ind w:firstLine="480" w:firstLineChars="200"/>
        <w:rPr>
          <w:rFonts w:ascii="宋体" w:hAnsi="宋体"/>
          <w:sz w:val="24"/>
        </w:rPr>
      </w:pPr>
      <w:r>
        <w:rPr>
          <w:rFonts w:ascii="宋体" w:hAnsi="宋体"/>
          <w:sz w:val="24"/>
        </w:rPr>
        <w:t>（2）工程造价管理部门公布的价格调整；</w:t>
      </w:r>
    </w:p>
    <w:p w14:paraId="6E0E83A8">
      <w:pPr>
        <w:spacing w:line="460" w:lineRule="exact"/>
        <w:ind w:firstLine="480" w:firstLineChars="200"/>
        <w:rPr>
          <w:rFonts w:ascii="宋体" w:hAnsi="宋体"/>
          <w:sz w:val="24"/>
        </w:rPr>
      </w:pPr>
      <w:r>
        <w:rPr>
          <w:rFonts w:ascii="宋体" w:hAnsi="宋体"/>
          <w:sz w:val="24"/>
        </w:rPr>
        <w:t>（3）一周内非承包人原因停水、停电、停气造成停工累计超过8小时；</w:t>
      </w:r>
    </w:p>
    <w:p w14:paraId="35878C97">
      <w:pPr>
        <w:spacing w:line="460" w:lineRule="exact"/>
        <w:ind w:firstLine="480" w:firstLineChars="200"/>
        <w:rPr>
          <w:rFonts w:ascii="宋体" w:hAnsi="宋体"/>
          <w:sz w:val="24"/>
        </w:rPr>
      </w:pPr>
      <w:r>
        <w:rPr>
          <w:rFonts w:ascii="宋体" w:hAnsi="宋体"/>
          <w:sz w:val="24"/>
        </w:rPr>
        <w:t>（4）双方约定的其他因素。</w:t>
      </w:r>
    </w:p>
    <w:p w14:paraId="1EB57693">
      <w:pPr>
        <w:spacing w:line="460" w:lineRule="exact"/>
        <w:ind w:firstLine="480" w:firstLineChars="200"/>
        <w:rPr>
          <w:rFonts w:ascii="宋体" w:hAnsi="宋体"/>
          <w:sz w:val="24"/>
        </w:rPr>
      </w:pPr>
      <w:r>
        <w:rPr>
          <w:rFonts w:ascii="宋体" w:hAnsi="宋体"/>
          <w:sz w:val="24"/>
        </w:rPr>
        <w:t>　23.4承包人应当在23.3款情况发生后14天内，将调整原因、金额以书面形式通知工程师，工程师确认调整金额后作为追加合同价款，与工程款同期支付。工程师收到承包人通知后14天内不予确认也不提出修改意见，视为已经同意该项调整。</w:t>
      </w:r>
    </w:p>
    <w:p w14:paraId="5984852F">
      <w:pPr>
        <w:spacing w:line="460" w:lineRule="exact"/>
        <w:ind w:firstLine="480" w:firstLineChars="200"/>
        <w:rPr>
          <w:rFonts w:ascii="宋体" w:hAnsi="宋体"/>
          <w:sz w:val="24"/>
        </w:rPr>
      </w:pPr>
      <w:r>
        <w:rPr>
          <w:rFonts w:hint="eastAsia" w:ascii="宋体" w:hAnsi="宋体"/>
          <w:sz w:val="24"/>
          <w:lang w:val="en-US" w:eastAsia="zh-CN"/>
        </w:rPr>
        <w:t>24</w:t>
      </w:r>
      <w:r>
        <w:rPr>
          <w:rFonts w:ascii="宋体" w:hAnsi="宋体"/>
          <w:sz w:val="24"/>
        </w:rPr>
        <w:t>、工程预付款</w:t>
      </w:r>
    </w:p>
    <w:p w14:paraId="378519F1">
      <w:pPr>
        <w:spacing w:line="460" w:lineRule="exact"/>
        <w:ind w:firstLine="480" w:firstLineChars="200"/>
        <w:rPr>
          <w:rFonts w:ascii="宋体" w:hAnsi="宋体"/>
          <w:sz w:val="24"/>
        </w:rPr>
      </w:pPr>
      <w:r>
        <w:rPr>
          <w:rFonts w:ascii="宋体" w:hAnsi="宋体"/>
          <w:sz w:val="24"/>
        </w:rPr>
        <w:t>实行工程预付款的，双方应当在专用条款内约定发包人向承包人预付工程款的时间和数额，开工后按约定的时间和比例逐次扣回。预付时间应不迟于约定的开工日期前7天。发包人不按约定预付， 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14:paraId="5B8846B8">
      <w:pPr>
        <w:spacing w:line="460" w:lineRule="exact"/>
        <w:ind w:firstLine="480" w:firstLineChars="200"/>
        <w:rPr>
          <w:rFonts w:ascii="宋体" w:hAnsi="宋体"/>
          <w:sz w:val="24"/>
        </w:rPr>
      </w:pPr>
      <w:r>
        <w:rPr>
          <w:rFonts w:hint="eastAsia" w:ascii="宋体" w:hAnsi="宋体"/>
          <w:sz w:val="24"/>
          <w:lang w:val="en-US" w:eastAsia="zh-CN"/>
        </w:rPr>
        <w:t>25</w:t>
      </w:r>
      <w:r>
        <w:rPr>
          <w:rFonts w:ascii="宋体" w:hAnsi="宋体"/>
          <w:sz w:val="24"/>
        </w:rPr>
        <w:t>、工程量的确认</w:t>
      </w:r>
    </w:p>
    <w:p w14:paraId="23DDC157">
      <w:pPr>
        <w:spacing w:line="460" w:lineRule="exact"/>
        <w:ind w:firstLine="480" w:firstLineChars="200"/>
        <w:rPr>
          <w:rFonts w:ascii="宋体" w:hAnsi="宋体"/>
          <w:sz w:val="24"/>
        </w:rPr>
      </w:pPr>
      <w:r>
        <w:rPr>
          <w:rFonts w:ascii="宋体" w:hAnsi="宋体"/>
          <w:sz w:val="24"/>
        </w:rPr>
        <w:t>25.1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14:paraId="5B2D457E">
      <w:pPr>
        <w:spacing w:line="460" w:lineRule="exact"/>
        <w:ind w:firstLine="480" w:firstLineChars="200"/>
        <w:rPr>
          <w:rFonts w:ascii="宋体" w:hAnsi="宋体"/>
          <w:sz w:val="24"/>
        </w:rPr>
      </w:pPr>
      <w:r>
        <w:rPr>
          <w:rFonts w:ascii="宋体" w:hAnsi="宋体"/>
          <w:sz w:val="24"/>
        </w:rPr>
        <w:t>25.2工程师收到承包人报告后7天内未进行计量，从第8天起，承包人报告中开列的工程量即视为被确认，作为工程价款支付的依据。工程师不按约定时间通知承包人，致命承包人未能参加计量，计量结果无效。</w:t>
      </w:r>
    </w:p>
    <w:p w14:paraId="4F4F3B06">
      <w:pPr>
        <w:spacing w:line="460" w:lineRule="exact"/>
        <w:ind w:firstLine="480" w:firstLineChars="200"/>
        <w:rPr>
          <w:rFonts w:ascii="宋体" w:hAnsi="宋体"/>
          <w:sz w:val="24"/>
        </w:rPr>
      </w:pPr>
      <w:r>
        <w:rPr>
          <w:rFonts w:ascii="宋体" w:hAnsi="宋体"/>
          <w:sz w:val="24"/>
        </w:rPr>
        <w:t>25.3对承包人超出设计图纸范围和因承包人原因造成返工的工程量，工程师不予计量。</w:t>
      </w:r>
    </w:p>
    <w:p w14:paraId="06C1C961">
      <w:pPr>
        <w:spacing w:line="460" w:lineRule="exact"/>
        <w:ind w:firstLine="480" w:firstLineChars="200"/>
        <w:rPr>
          <w:rFonts w:ascii="宋体" w:hAnsi="宋体"/>
          <w:sz w:val="24"/>
        </w:rPr>
      </w:pPr>
      <w:r>
        <w:rPr>
          <w:rFonts w:hint="eastAsia" w:ascii="宋体" w:hAnsi="宋体"/>
          <w:sz w:val="24"/>
          <w:lang w:val="en-US" w:eastAsia="zh-CN"/>
        </w:rPr>
        <w:t>26</w:t>
      </w:r>
      <w:r>
        <w:rPr>
          <w:rFonts w:ascii="宋体" w:hAnsi="宋体"/>
          <w:sz w:val="24"/>
        </w:rPr>
        <w:t>、工程款（进度款）支付</w:t>
      </w:r>
    </w:p>
    <w:p w14:paraId="4F2B6AF0">
      <w:pPr>
        <w:spacing w:line="460" w:lineRule="exact"/>
        <w:ind w:firstLine="480" w:firstLineChars="200"/>
        <w:rPr>
          <w:rFonts w:ascii="宋体" w:hAnsi="宋体"/>
          <w:sz w:val="24"/>
        </w:rPr>
      </w:pPr>
      <w:r>
        <w:rPr>
          <w:rFonts w:ascii="宋体" w:hAnsi="宋体"/>
          <w:sz w:val="24"/>
        </w:rPr>
        <w:t>26.1在确认计量结果后14天内，发包人应向承包人支付工程款（进度款）。按约定时间发包人应扣回的预付款，与工程款（进度款）同期结算。</w:t>
      </w:r>
    </w:p>
    <w:p w14:paraId="3298EE46">
      <w:pPr>
        <w:spacing w:line="460" w:lineRule="exact"/>
        <w:ind w:firstLine="480" w:firstLineChars="200"/>
        <w:rPr>
          <w:rFonts w:ascii="宋体" w:hAnsi="宋体"/>
          <w:sz w:val="24"/>
        </w:rPr>
      </w:pPr>
      <w:r>
        <w:rPr>
          <w:rFonts w:ascii="宋体" w:hAnsi="宋体"/>
          <w:sz w:val="24"/>
        </w:rPr>
        <w:t>26.2本通用条款第23条确定调整的合同价款，第31条工程变更调整的合同价款及其他条款中约定的追加合同价款，应与工程款（进度款）同期调整支付。</w:t>
      </w:r>
    </w:p>
    <w:p w14:paraId="79ED78D6">
      <w:pPr>
        <w:spacing w:line="460" w:lineRule="exact"/>
        <w:ind w:firstLine="480" w:firstLineChars="200"/>
        <w:rPr>
          <w:rFonts w:ascii="宋体" w:hAnsi="宋体"/>
          <w:sz w:val="24"/>
        </w:rPr>
      </w:pPr>
      <w:r>
        <w:rPr>
          <w:rFonts w:ascii="宋体" w:hAnsi="宋体"/>
          <w:sz w:val="24"/>
        </w:rPr>
        <w:t>26.3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应付款的贷款利息。</w:t>
      </w:r>
    </w:p>
    <w:p w14:paraId="0A48C034">
      <w:pPr>
        <w:spacing w:line="460" w:lineRule="exact"/>
        <w:ind w:firstLine="480" w:firstLineChars="200"/>
        <w:rPr>
          <w:rFonts w:ascii="宋体" w:hAnsi="宋体"/>
          <w:sz w:val="24"/>
        </w:rPr>
      </w:pPr>
      <w:r>
        <w:rPr>
          <w:rFonts w:ascii="宋体" w:hAnsi="宋体"/>
          <w:sz w:val="24"/>
        </w:rPr>
        <w:t>26.4发包人不按合同约定支付工程款（进度款），双方又未达成延期付款协议，导致施工无法进行，承包人可停止施工，由发包人承担违约责任。</w:t>
      </w:r>
    </w:p>
    <w:p w14:paraId="71957D19">
      <w:pPr>
        <w:spacing w:line="460" w:lineRule="exact"/>
        <w:ind w:firstLine="480" w:firstLineChars="200"/>
        <w:rPr>
          <w:rFonts w:ascii="宋体" w:hAnsi="宋体"/>
          <w:sz w:val="24"/>
        </w:rPr>
      </w:pPr>
      <w:r>
        <w:rPr>
          <w:rFonts w:ascii="宋体" w:hAnsi="宋体"/>
          <w:sz w:val="24"/>
        </w:rPr>
        <w:t>七、材料设备供应</w:t>
      </w:r>
    </w:p>
    <w:p w14:paraId="40D53B91">
      <w:pPr>
        <w:spacing w:line="460" w:lineRule="exact"/>
        <w:ind w:firstLine="480" w:firstLineChars="200"/>
        <w:rPr>
          <w:rFonts w:ascii="宋体" w:hAnsi="宋体"/>
          <w:sz w:val="24"/>
        </w:rPr>
      </w:pPr>
      <w:r>
        <w:rPr>
          <w:rFonts w:hint="eastAsia" w:ascii="宋体" w:hAnsi="宋体"/>
          <w:sz w:val="24"/>
          <w:lang w:val="en-US" w:eastAsia="zh-CN"/>
        </w:rPr>
        <w:t>27</w:t>
      </w:r>
      <w:r>
        <w:rPr>
          <w:rFonts w:ascii="宋体" w:hAnsi="宋体"/>
          <w:sz w:val="24"/>
        </w:rPr>
        <w:t>、发包人供应材料设备</w:t>
      </w:r>
    </w:p>
    <w:p w14:paraId="71A5D6DC">
      <w:pPr>
        <w:spacing w:line="460" w:lineRule="exact"/>
        <w:ind w:firstLine="480" w:firstLineChars="200"/>
        <w:rPr>
          <w:rFonts w:ascii="宋体" w:hAnsi="宋体"/>
          <w:sz w:val="24"/>
        </w:rPr>
      </w:pPr>
      <w:r>
        <w:rPr>
          <w:rFonts w:ascii="宋体" w:hAnsi="宋体"/>
          <w:sz w:val="24"/>
        </w:rPr>
        <w:t>27.1实行发包人供应材料设备的，双方应当约定发包人供应材料设备的一览表，作为本合同附件（附件2）。一览表包括发包人供应材料设备的品种、规格、型号、数量、单价、质量等级、提供时间和地点。</w:t>
      </w:r>
    </w:p>
    <w:p w14:paraId="61B06236">
      <w:pPr>
        <w:spacing w:line="460" w:lineRule="exact"/>
        <w:ind w:firstLine="480" w:firstLineChars="200"/>
        <w:rPr>
          <w:rFonts w:ascii="宋体" w:hAnsi="宋体"/>
          <w:sz w:val="24"/>
        </w:rPr>
      </w:pPr>
      <w:r>
        <w:rPr>
          <w:rFonts w:ascii="宋体" w:hAnsi="宋体"/>
          <w:sz w:val="24"/>
        </w:rPr>
        <w:t>27.2发包人按一览表约定的内容提供材料设备，并向承包人提供产品合格证明，对其质量负责。发包人在所供材料设备到贷前24小时，以书面形式通知承包人，由承包人派人与发包人共同清点。</w:t>
      </w:r>
    </w:p>
    <w:p w14:paraId="021E0078">
      <w:pPr>
        <w:spacing w:line="460" w:lineRule="exact"/>
        <w:ind w:firstLine="480" w:firstLineChars="200"/>
        <w:rPr>
          <w:rFonts w:ascii="宋体" w:hAnsi="宋体"/>
          <w:sz w:val="24"/>
        </w:rPr>
      </w:pPr>
      <w:r>
        <w:rPr>
          <w:rFonts w:ascii="宋体" w:hAnsi="宋体"/>
          <w:sz w:val="24"/>
        </w:rPr>
        <w:t>27.3发包人供应的材料设备，承包人派人参加清点后由承包人妥善保管，发包人支付相应保管费用。因承包人原因发生丢失损坏，由承包人负责赔偿。</w:t>
      </w:r>
    </w:p>
    <w:p w14:paraId="68315A44">
      <w:pPr>
        <w:spacing w:line="460" w:lineRule="exact"/>
        <w:ind w:firstLine="480" w:firstLineChars="200"/>
        <w:rPr>
          <w:rFonts w:ascii="宋体" w:hAnsi="宋体"/>
          <w:sz w:val="24"/>
        </w:rPr>
      </w:pPr>
      <w:r>
        <w:rPr>
          <w:rFonts w:ascii="宋体" w:hAnsi="宋体"/>
          <w:sz w:val="24"/>
        </w:rPr>
        <w:t>发包人未通知承包人清点，承包人不负责材料设备的保管，丢失损坏由发包人负责。</w:t>
      </w:r>
    </w:p>
    <w:p w14:paraId="77A37D39">
      <w:pPr>
        <w:spacing w:line="460" w:lineRule="exact"/>
        <w:ind w:firstLine="480" w:firstLineChars="200"/>
        <w:rPr>
          <w:rFonts w:ascii="宋体" w:hAnsi="宋体"/>
          <w:sz w:val="24"/>
        </w:rPr>
      </w:pPr>
      <w:r>
        <w:rPr>
          <w:rFonts w:ascii="宋体" w:hAnsi="宋体"/>
          <w:sz w:val="24"/>
        </w:rPr>
        <w:t>27.4发包人供应的材料设备与一览表不符时，发包人承担有关责任。发包人应承担责任的具体内容，双方根据下列情况在专用条款内约定：</w:t>
      </w:r>
    </w:p>
    <w:p w14:paraId="2D8C5C2C">
      <w:pPr>
        <w:spacing w:line="460" w:lineRule="exact"/>
        <w:ind w:firstLine="480" w:firstLineChars="200"/>
        <w:rPr>
          <w:rFonts w:ascii="宋体" w:hAnsi="宋体"/>
          <w:sz w:val="24"/>
        </w:rPr>
      </w:pPr>
      <w:r>
        <w:rPr>
          <w:rFonts w:ascii="宋体" w:hAnsi="宋体"/>
          <w:sz w:val="24"/>
        </w:rPr>
        <w:t>（1）材料设备单价与一览表不符，由发包人承担所有价差；</w:t>
      </w:r>
    </w:p>
    <w:p w14:paraId="280D9149">
      <w:pPr>
        <w:spacing w:line="460" w:lineRule="exact"/>
        <w:ind w:firstLine="480" w:firstLineChars="200"/>
        <w:rPr>
          <w:rFonts w:ascii="宋体" w:hAnsi="宋体"/>
          <w:sz w:val="24"/>
        </w:rPr>
      </w:pPr>
      <w:r>
        <w:rPr>
          <w:rFonts w:ascii="宋体" w:hAnsi="宋体"/>
          <w:sz w:val="24"/>
        </w:rPr>
        <w:t>（2）材料设备的品种、规格、型号、质量等级与一览表不符，承包人可拒绝接收保管，由发包人运出施工场地并重新采购；</w:t>
      </w:r>
    </w:p>
    <w:p w14:paraId="49967D81">
      <w:pPr>
        <w:spacing w:line="460" w:lineRule="exact"/>
        <w:ind w:firstLine="480" w:firstLineChars="200"/>
        <w:rPr>
          <w:rFonts w:ascii="宋体" w:hAnsi="宋体"/>
          <w:sz w:val="24"/>
        </w:rPr>
      </w:pPr>
      <w:r>
        <w:rPr>
          <w:rFonts w:ascii="宋体" w:hAnsi="宋体"/>
          <w:sz w:val="24"/>
        </w:rPr>
        <w:t>（3）发包人供应的材料规格、型号与一览表不符，经发包人同意，承包人可代为调剂串换，由发包人承担相应费用；</w:t>
      </w:r>
    </w:p>
    <w:p w14:paraId="7489CE39">
      <w:pPr>
        <w:spacing w:line="460" w:lineRule="exact"/>
        <w:ind w:firstLine="480" w:firstLineChars="200"/>
        <w:rPr>
          <w:rFonts w:ascii="宋体" w:hAnsi="宋体"/>
          <w:sz w:val="24"/>
        </w:rPr>
      </w:pPr>
      <w:r>
        <w:rPr>
          <w:rFonts w:ascii="宋体" w:hAnsi="宋体"/>
          <w:sz w:val="24"/>
        </w:rPr>
        <w:t>（4）到贷地点与一览表不符，由发包人负责运至一览表指定地点；</w:t>
      </w:r>
    </w:p>
    <w:p w14:paraId="0ECEB40A">
      <w:pPr>
        <w:spacing w:line="460" w:lineRule="exact"/>
        <w:ind w:firstLine="480" w:firstLineChars="200"/>
        <w:rPr>
          <w:rFonts w:ascii="宋体" w:hAnsi="宋体"/>
          <w:sz w:val="24"/>
        </w:rPr>
      </w:pPr>
      <w:r>
        <w:rPr>
          <w:rFonts w:ascii="宋体" w:hAnsi="宋体"/>
          <w:sz w:val="24"/>
        </w:rPr>
        <w:t>（5）供应数量少于一览表约定的数量时，由发包人补齐，多于一览表约定数量时，发包人负责将多出部分运出施工场地；</w:t>
      </w:r>
    </w:p>
    <w:p w14:paraId="1C627015">
      <w:pPr>
        <w:spacing w:line="460" w:lineRule="exact"/>
        <w:ind w:firstLine="480" w:firstLineChars="200"/>
        <w:rPr>
          <w:rFonts w:ascii="宋体" w:hAnsi="宋体"/>
          <w:sz w:val="24"/>
        </w:rPr>
      </w:pPr>
      <w:r>
        <w:rPr>
          <w:rFonts w:ascii="宋体" w:hAnsi="宋体"/>
          <w:sz w:val="24"/>
        </w:rPr>
        <w:t>（6）到贷时间早于一览表约定时间，由发包人承担因此发生的保管费用；到贷时间迟于一览表约定的供应时间，发包人赔偿由此造成的承包人损失，造成工期延误的，相应顺延工期；</w:t>
      </w:r>
    </w:p>
    <w:p w14:paraId="0555E444">
      <w:pPr>
        <w:spacing w:line="460" w:lineRule="exact"/>
        <w:ind w:firstLine="480" w:firstLineChars="200"/>
        <w:rPr>
          <w:rFonts w:ascii="宋体" w:hAnsi="宋体"/>
          <w:sz w:val="24"/>
        </w:rPr>
      </w:pPr>
      <w:r>
        <w:rPr>
          <w:rFonts w:ascii="宋体" w:hAnsi="宋体"/>
          <w:sz w:val="24"/>
        </w:rPr>
        <w:t>27.5发包人供应的材料设备使用前，由承包人负责检验或试验，不合格的不得使用，检验或试验费用由发包人承担。</w:t>
      </w:r>
    </w:p>
    <w:p w14:paraId="5D6BD160">
      <w:pPr>
        <w:spacing w:line="460" w:lineRule="exact"/>
        <w:ind w:firstLine="480" w:firstLineChars="200"/>
        <w:rPr>
          <w:rFonts w:ascii="宋体" w:hAnsi="宋体"/>
          <w:sz w:val="24"/>
        </w:rPr>
      </w:pPr>
      <w:r>
        <w:rPr>
          <w:rFonts w:ascii="宋体" w:hAnsi="宋体"/>
          <w:sz w:val="24"/>
        </w:rPr>
        <w:t>27.6发包人供应材料设备的结算方法，双方在专用条款内约定。</w:t>
      </w:r>
    </w:p>
    <w:p w14:paraId="4EFFBE8C">
      <w:pPr>
        <w:spacing w:line="460" w:lineRule="exact"/>
        <w:ind w:firstLine="480" w:firstLineChars="200"/>
        <w:rPr>
          <w:rFonts w:ascii="宋体" w:hAnsi="宋体"/>
          <w:sz w:val="24"/>
        </w:rPr>
      </w:pPr>
      <w:r>
        <w:rPr>
          <w:rFonts w:hint="eastAsia" w:ascii="宋体" w:hAnsi="宋体"/>
          <w:sz w:val="24"/>
          <w:lang w:val="en-US" w:eastAsia="zh-CN"/>
        </w:rPr>
        <w:t>28</w:t>
      </w:r>
      <w:r>
        <w:rPr>
          <w:rFonts w:ascii="宋体" w:hAnsi="宋体"/>
          <w:sz w:val="24"/>
        </w:rPr>
        <w:t>、承包人采购材料设备</w:t>
      </w:r>
    </w:p>
    <w:p w14:paraId="2934BCAC">
      <w:pPr>
        <w:spacing w:line="460" w:lineRule="exact"/>
        <w:ind w:firstLine="480" w:firstLineChars="200"/>
        <w:rPr>
          <w:rFonts w:ascii="宋体" w:hAnsi="宋体"/>
          <w:sz w:val="24"/>
        </w:rPr>
      </w:pPr>
      <w:r>
        <w:rPr>
          <w:rFonts w:ascii="宋体" w:hAnsi="宋体"/>
          <w:sz w:val="24"/>
        </w:rPr>
        <w:t>28.1承包人负责采购材料设备的，应按照专用条款约定及设计和有关标准要求采购，并提供产品合格证明，对材料设备质量负责。承包人在材料设备到货前24小时通知工程师清点。</w:t>
      </w:r>
    </w:p>
    <w:p w14:paraId="6E8F99F3">
      <w:pPr>
        <w:spacing w:line="460" w:lineRule="exact"/>
        <w:ind w:firstLine="480" w:firstLineChars="200"/>
        <w:rPr>
          <w:rFonts w:ascii="宋体" w:hAnsi="宋体"/>
          <w:sz w:val="24"/>
        </w:rPr>
      </w:pPr>
      <w:r>
        <w:rPr>
          <w:rFonts w:ascii="宋体" w:hAnsi="宋体"/>
          <w:sz w:val="24"/>
        </w:rPr>
        <w:t>28.2承包人采购的材料设备与设计标准要求不符时，承包人应按工程师要求的时间运出施工场地，重新采购符合要求的产品，承担由此发生的费用，由此延误的工期不予顺延。</w:t>
      </w:r>
    </w:p>
    <w:p w14:paraId="6C0F4FED">
      <w:pPr>
        <w:spacing w:line="460" w:lineRule="exact"/>
        <w:ind w:firstLine="480" w:firstLineChars="200"/>
        <w:rPr>
          <w:rFonts w:ascii="宋体" w:hAnsi="宋体"/>
          <w:sz w:val="24"/>
        </w:rPr>
      </w:pPr>
      <w:r>
        <w:rPr>
          <w:rFonts w:ascii="宋体" w:hAnsi="宋体"/>
          <w:sz w:val="24"/>
        </w:rPr>
        <w:t>28.3承包人采购的材料设备在使用前，承包人应按工程师的要求进行检验或试验，不合格的不得使用，检验或试验费用由承包人承担。</w:t>
      </w:r>
    </w:p>
    <w:p w14:paraId="6B523FF0">
      <w:pPr>
        <w:spacing w:line="460" w:lineRule="exact"/>
        <w:ind w:firstLine="480" w:firstLineChars="200"/>
        <w:rPr>
          <w:rFonts w:ascii="宋体" w:hAnsi="宋体"/>
          <w:sz w:val="24"/>
        </w:rPr>
      </w:pPr>
      <w:r>
        <w:rPr>
          <w:rFonts w:ascii="宋体" w:hAnsi="宋体"/>
          <w:sz w:val="24"/>
        </w:rPr>
        <w:t>28.4工程师发现承包人采购并使用不符合设计和标准要求的材料设备时，应要求承包人负责修复、拆除或重新采购，由承包人承担发生的费用，由此延误的工期不予顺延。</w:t>
      </w:r>
    </w:p>
    <w:p w14:paraId="61FD8FC8">
      <w:pPr>
        <w:spacing w:line="460" w:lineRule="exact"/>
        <w:ind w:firstLine="480" w:firstLineChars="200"/>
        <w:rPr>
          <w:rFonts w:ascii="宋体" w:hAnsi="宋体"/>
          <w:sz w:val="24"/>
        </w:rPr>
      </w:pPr>
      <w:r>
        <w:rPr>
          <w:rFonts w:ascii="宋体" w:hAnsi="宋体"/>
          <w:sz w:val="24"/>
        </w:rPr>
        <w:t>28.5承包人需要使用代用材料时，应经工程师认可后才能使用，由此增减的合同价款双方以书面形式议定。</w:t>
      </w:r>
    </w:p>
    <w:p w14:paraId="294DB434">
      <w:pPr>
        <w:spacing w:line="460" w:lineRule="exact"/>
        <w:ind w:firstLine="480" w:firstLineChars="200"/>
        <w:rPr>
          <w:rFonts w:ascii="宋体" w:hAnsi="宋体"/>
          <w:sz w:val="24"/>
        </w:rPr>
      </w:pPr>
      <w:r>
        <w:rPr>
          <w:rFonts w:ascii="宋体" w:hAnsi="宋体"/>
          <w:sz w:val="24"/>
        </w:rPr>
        <w:t>28.6由承包人采购的材料设备，发包人不得指定生产厂或供应商。</w:t>
      </w:r>
    </w:p>
    <w:p w14:paraId="0351EC85">
      <w:pPr>
        <w:spacing w:line="460" w:lineRule="exact"/>
        <w:ind w:firstLine="480" w:firstLineChars="200"/>
        <w:rPr>
          <w:rFonts w:ascii="宋体" w:hAnsi="宋体"/>
          <w:sz w:val="24"/>
        </w:rPr>
      </w:pPr>
      <w:r>
        <w:rPr>
          <w:rFonts w:ascii="宋体" w:hAnsi="宋体"/>
          <w:sz w:val="24"/>
        </w:rPr>
        <w:t>八、工程变更</w:t>
      </w:r>
    </w:p>
    <w:p w14:paraId="696255CF">
      <w:pPr>
        <w:spacing w:line="460" w:lineRule="exact"/>
        <w:ind w:firstLine="480" w:firstLineChars="200"/>
        <w:rPr>
          <w:rFonts w:ascii="宋体" w:hAnsi="宋体"/>
          <w:sz w:val="24"/>
        </w:rPr>
      </w:pPr>
      <w:r>
        <w:rPr>
          <w:rFonts w:hint="eastAsia" w:ascii="宋体" w:hAnsi="宋体"/>
          <w:sz w:val="24"/>
          <w:lang w:val="en-US" w:eastAsia="zh-CN"/>
        </w:rPr>
        <w:t>29</w:t>
      </w:r>
      <w:r>
        <w:rPr>
          <w:rFonts w:ascii="宋体" w:hAnsi="宋体"/>
          <w:sz w:val="24"/>
        </w:rPr>
        <w:t>、工程设计变更</w:t>
      </w:r>
    </w:p>
    <w:p w14:paraId="66E96422">
      <w:pPr>
        <w:spacing w:line="460" w:lineRule="exact"/>
        <w:ind w:firstLine="480" w:firstLineChars="200"/>
        <w:rPr>
          <w:rFonts w:ascii="宋体" w:hAnsi="宋体"/>
          <w:sz w:val="24"/>
        </w:rPr>
      </w:pPr>
      <w:r>
        <w:rPr>
          <w:rFonts w:ascii="宋体" w:hAnsi="宋体"/>
          <w:sz w:val="24"/>
        </w:rPr>
        <w:t>29.1施工中发包人需对原工程设计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14:paraId="2AEE2475">
      <w:pPr>
        <w:spacing w:line="460" w:lineRule="exact"/>
        <w:ind w:firstLine="480" w:firstLineChars="200"/>
        <w:rPr>
          <w:rFonts w:ascii="宋体" w:hAnsi="宋体"/>
          <w:sz w:val="24"/>
        </w:rPr>
      </w:pPr>
      <w:r>
        <w:rPr>
          <w:rFonts w:ascii="宋体" w:hAnsi="宋体"/>
          <w:sz w:val="24"/>
        </w:rPr>
        <w:t>（1）更改工程有关部分的标高、基线、位置和尺寸；</w:t>
      </w:r>
    </w:p>
    <w:p w14:paraId="04A2E8B4">
      <w:pPr>
        <w:spacing w:line="460" w:lineRule="exact"/>
        <w:ind w:firstLine="480" w:firstLineChars="200"/>
        <w:rPr>
          <w:rFonts w:ascii="宋体" w:hAnsi="宋体"/>
          <w:sz w:val="24"/>
        </w:rPr>
      </w:pPr>
      <w:r>
        <w:rPr>
          <w:rFonts w:ascii="宋体" w:hAnsi="宋体"/>
          <w:sz w:val="24"/>
        </w:rPr>
        <w:t>（2）增减合同中约定的工程量；</w:t>
      </w:r>
    </w:p>
    <w:p w14:paraId="52180CEA">
      <w:pPr>
        <w:spacing w:line="460" w:lineRule="exact"/>
        <w:ind w:firstLine="480" w:firstLineChars="200"/>
        <w:rPr>
          <w:rFonts w:ascii="宋体" w:hAnsi="宋体"/>
          <w:sz w:val="24"/>
        </w:rPr>
      </w:pPr>
      <w:r>
        <w:rPr>
          <w:rFonts w:ascii="宋体" w:hAnsi="宋体"/>
          <w:sz w:val="24"/>
        </w:rPr>
        <w:t>（3）改变有关工程的施工时间和顺序；</w:t>
      </w:r>
    </w:p>
    <w:p w14:paraId="3248C496">
      <w:pPr>
        <w:spacing w:line="460" w:lineRule="exact"/>
        <w:ind w:firstLine="480" w:firstLineChars="200"/>
        <w:rPr>
          <w:rFonts w:ascii="宋体" w:hAnsi="宋体"/>
          <w:sz w:val="24"/>
        </w:rPr>
      </w:pPr>
      <w:r>
        <w:rPr>
          <w:rFonts w:ascii="宋体" w:hAnsi="宋体"/>
          <w:sz w:val="24"/>
        </w:rPr>
        <w:t>（4）其他有关工程变更需要的附加工作。</w:t>
      </w:r>
    </w:p>
    <w:p w14:paraId="6D30A30A">
      <w:pPr>
        <w:spacing w:line="460" w:lineRule="exact"/>
        <w:ind w:firstLine="480" w:firstLineChars="200"/>
        <w:rPr>
          <w:rFonts w:ascii="宋体" w:hAnsi="宋体"/>
          <w:sz w:val="24"/>
        </w:rPr>
      </w:pPr>
      <w:r>
        <w:rPr>
          <w:rFonts w:ascii="宋体" w:hAnsi="宋体"/>
          <w:sz w:val="24"/>
        </w:rPr>
        <w:t>因变更导致合同价款的增减及造成的承包人损失，由发包人承担，延误的工期相应顺延。</w:t>
      </w:r>
    </w:p>
    <w:p w14:paraId="3D5CF62E">
      <w:pPr>
        <w:spacing w:line="460" w:lineRule="exact"/>
        <w:ind w:firstLine="480" w:firstLineChars="200"/>
        <w:rPr>
          <w:rFonts w:ascii="宋体" w:hAnsi="宋体"/>
          <w:sz w:val="24"/>
        </w:rPr>
      </w:pPr>
      <w:r>
        <w:rPr>
          <w:rFonts w:ascii="宋体" w:hAnsi="宋体"/>
          <w:sz w:val="24"/>
        </w:rPr>
        <w:t>29.2施工中承包人不得对原工程设计进行变更。因承包人擅自变更设计发生的费用和由此导致发包人的直接损失，由承包人承担，延误的工期不予顺延。</w:t>
      </w:r>
    </w:p>
    <w:p w14:paraId="5EE51210">
      <w:pPr>
        <w:spacing w:line="460" w:lineRule="exact"/>
        <w:ind w:firstLine="480" w:firstLineChars="200"/>
        <w:rPr>
          <w:rFonts w:ascii="宋体" w:hAnsi="宋体"/>
          <w:sz w:val="24"/>
        </w:rPr>
      </w:pPr>
      <w:r>
        <w:rPr>
          <w:rFonts w:ascii="宋体" w:hAnsi="宋体"/>
          <w:sz w:val="24"/>
        </w:rPr>
        <w:t>29.3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14:paraId="5A6E3866">
      <w:pPr>
        <w:spacing w:line="460" w:lineRule="exact"/>
        <w:ind w:firstLine="480" w:firstLineChars="200"/>
        <w:rPr>
          <w:rFonts w:ascii="宋体" w:hAnsi="宋体"/>
          <w:sz w:val="24"/>
        </w:rPr>
      </w:pPr>
      <w:r>
        <w:rPr>
          <w:rFonts w:ascii="宋体" w:hAnsi="宋体"/>
          <w:sz w:val="24"/>
        </w:rPr>
        <w:t>工程师同意采用承包人合理化建议，所发生的费用和获得的收益，发包人承包人另行约定分担或分享。</w:t>
      </w:r>
    </w:p>
    <w:p w14:paraId="70C7AA90">
      <w:pPr>
        <w:spacing w:line="460" w:lineRule="exact"/>
        <w:ind w:firstLine="480" w:firstLineChars="200"/>
        <w:rPr>
          <w:rFonts w:ascii="宋体" w:hAnsi="宋体"/>
          <w:sz w:val="24"/>
        </w:rPr>
      </w:pPr>
      <w:r>
        <w:rPr>
          <w:rFonts w:hint="eastAsia" w:ascii="宋体" w:hAnsi="宋体"/>
          <w:sz w:val="24"/>
          <w:lang w:val="en-US" w:eastAsia="zh-CN"/>
        </w:rPr>
        <w:t>30</w:t>
      </w:r>
      <w:r>
        <w:rPr>
          <w:rFonts w:ascii="宋体" w:hAnsi="宋体"/>
          <w:sz w:val="24"/>
        </w:rPr>
        <w:t>、其他变更</w:t>
      </w:r>
    </w:p>
    <w:p w14:paraId="51D87032">
      <w:pPr>
        <w:spacing w:line="460" w:lineRule="exact"/>
        <w:ind w:firstLine="480" w:firstLineChars="200"/>
        <w:rPr>
          <w:rFonts w:ascii="宋体" w:hAnsi="宋体"/>
          <w:sz w:val="24"/>
        </w:rPr>
      </w:pPr>
      <w:r>
        <w:rPr>
          <w:rFonts w:ascii="宋体" w:hAnsi="宋体"/>
          <w:sz w:val="24"/>
        </w:rPr>
        <w:t>合同履行中发包人要求变更工程质量标准及发生其他实质性变更，由双方协商解决。</w:t>
      </w:r>
    </w:p>
    <w:p w14:paraId="479A283B">
      <w:pPr>
        <w:spacing w:line="460" w:lineRule="exact"/>
        <w:ind w:firstLine="480" w:firstLineChars="200"/>
        <w:rPr>
          <w:rFonts w:ascii="宋体" w:hAnsi="宋体"/>
          <w:sz w:val="24"/>
        </w:rPr>
      </w:pPr>
      <w:r>
        <w:rPr>
          <w:rFonts w:hint="eastAsia" w:ascii="宋体" w:hAnsi="宋体"/>
          <w:sz w:val="24"/>
          <w:lang w:val="en-US" w:eastAsia="zh-CN"/>
        </w:rPr>
        <w:t>31</w:t>
      </w:r>
      <w:r>
        <w:rPr>
          <w:rFonts w:ascii="宋体" w:hAnsi="宋体"/>
          <w:sz w:val="24"/>
        </w:rPr>
        <w:t>、确定变更价款</w:t>
      </w:r>
    </w:p>
    <w:p w14:paraId="06867FFF">
      <w:pPr>
        <w:spacing w:line="460" w:lineRule="exact"/>
        <w:ind w:firstLine="480" w:firstLineChars="200"/>
        <w:rPr>
          <w:rFonts w:ascii="宋体" w:hAnsi="宋体"/>
          <w:sz w:val="24"/>
        </w:rPr>
      </w:pPr>
      <w:r>
        <w:rPr>
          <w:rFonts w:ascii="宋体" w:hAnsi="宋体"/>
          <w:sz w:val="24"/>
        </w:rPr>
        <w:t>31.1承包人在工程变更确定后14天内，提出变更工程价款的报告，经工程师确认后调整合同价款。变更合同价款按下列方法进行：</w:t>
      </w:r>
    </w:p>
    <w:p w14:paraId="0A971C06">
      <w:pPr>
        <w:spacing w:line="460" w:lineRule="exact"/>
        <w:ind w:firstLine="480" w:firstLineChars="200"/>
        <w:rPr>
          <w:rFonts w:ascii="宋体" w:hAnsi="宋体"/>
          <w:sz w:val="24"/>
        </w:rPr>
      </w:pPr>
      <w:r>
        <w:rPr>
          <w:rFonts w:ascii="宋体" w:hAnsi="宋体"/>
          <w:sz w:val="24"/>
        </w:rPr>
        <w:t>（1）合同中已有适用于变更工程的价格，按合同已有的价格变更合同价款；</w:t>
      </w:r>
    </w:p>
    <w:p w14:paraId="13CD68EB">
      <w:pPr>
        <w:spacing w:line="460" w:lineRule="exact"/>
        <w:ind w:firstLine="480" w:firstLineChars="200"/>
        <w:rPr>
          <w:rFonts w:ascii="宋体" w:hAnsi="宋体"/>
          <w:sz w:val="24"/>
        </w:rPr>
      </w:pPr>
      <w:r>
        <w:rPr>
          <w:rFonts w:ascii="宋体" w:hAnsi="宋体"/>
          <w:sz w:val="24"/>
        </w:rPr>
        <w:t>（2）合同中只有类似于变更工程的价格，可以参照类似价格变更合同介款；</w:t>
      </w:r>
    </w:p>
    <w:p w14:paraId="08ADA3E8">
      <w:pPr>
        <w:spacing w:line="460" w:lineRule="exact"/>
        <w:ind w:firstLine="480" w:firstLineChars="200"/>
        <w:rPr>
          <w:rFonts w:ascii="宋体" w:hAnsi="宋体"/>
          <w:sz w:val="24"/>
        </w:rPr>
      </w:pPr>
      <w:r>
        <w:rPr>
          <w:rFonts w:ascii="宋体" w:hAnsi="宋体"/>
          <w:sz w:val="24"/>
        </w:rPr>
        <w:t>（3）合同中没有适用或类似于变更工程的价格，由承包人提出适当的变更价格，经工程师确认后执行。</w:t>
      </w:r>
    </w:p>
    <w:p w14:paraId="3BF1C68F">
      <w:pPr>
        <w:spacing w:line="460" w:lineRule="exact"/>
        <w:ind w:firstLine="480" w:firstLineChars="200"/>
        <w:rPr>
          <w:rFonts w:ascii="宋体" w:hAnsi="宋体"/>
          <w:sz w:val="24"/>
        </w:rPr>
      </w:pPr>
      <w:r>
        <w:rPr>
          <w:rFonts w:ascii="宋体" w:hAnsi="宋体"/>
          <w:sz w:val="24"/>
        </w:rPr>
        <w:t>31.2承包人在双方确定变更后14天内不向工程师提出变更工程价款报告时，视为该项变更不涉及合同价款的变更。</w:t>
      </w:r>
    </w:p>
    <w:p w14:paraId="449856AE">
      <w:pPr>
        <w:spacing w:line="460" w:lineRule="exact"/>
        <w:ind w:firstLine="480" w:firstLineChars="200"/>
        <w:rPr>
          <w:rFonts w:ascii="宋体" w:hAnsi="宋体"/>
          <w:sz w:val="24"/>
        </w:rPr>
      </w:pPr>
      <w:r>
        <w:rPr>
          <w:rFonts w:ascii="宋体" w:hAnsi="宋体"/>
          <w:sz w:val="24"/>
        </w:rPr>
        <w:t>31.3工程师应在收到变更工程价款报告之日起14天内予以确认，工程师无正当理由不确认时，自变更工程价款报告送达之日起14天后视为变更工程价款报告已被确认。</w:t>
      </w:r>
    </w:p>
    <w:p w14:paraId="50FA120B">
      <w:pPr>
        <w:spacing w:line="460" w:lineRule="exact"/>
        <w:ind w:firstLine="480" w:firstLineChars="200"/>
        <w:rPr>
          <w:rFonts w:ascii="宋体" w:hAnsi="宋体"/>
          <w:sz w:val="24"/>
        </w:rPr>
      </w:pPr>
      <w:r>
        <w:rPr>
          <w:rFonts w:ascii="宋体" w:hAnsi="宋体"/>
          <w:sz w:val="24"/>
        </w:rPr>
        <w:t>31.4工程师不同意承包人提出的变更价款，按本通用条款第37条关于争议的约定处理。</w:t>
      </w:r>
    </w:p>
    <w:p w14:paraId="40F75B96">
      <w:pPr>
        <w:spacing w:line="460" w:lineRule="exact"/>
        <w:ind w:firstLine="480" w:firstLineChars="200"/>
        <w:rPr>
          <w:rFonts w:ascii="宋体" w:hAnsi="宋体"/>
          <w:sz w:val="24"/>
        </w:rPr>
      </w:pPr>
      <w:r>
        <w:rPr>
          <w:rFonts w:ascii="宋体" w:hAnsi="宋体"/>
          <w:sz w:val="24"/>
        </w:rPr>
        <w:t>31.5工程师确认增加的工程变更价款作为追加合同价款，与工程款同期支付。</w:t>
      </w:r>
    </w:p>
    <w:p w14:paraId="14A68759">
      <w:pPr>
        <w:spacing w:line="460" w:lineRule="exact"/>
        <w:ind w:firstLine="480" w:firstLineChars="200"/>
        <w:rPr>
          <w:rFonts w:ascii="宋体" w:hAnsi="宋体"/>
          <w:sz w:val="24"/>
        </w:rPr>
      </w:pPr>
      <w:r>
        <w:rPr>
          <w:rFonts w:ascii="宋体" w:hAnsi="宋体"/>
          <w:sz w:val="24"/>
        </w:rPr>
        <w:t>31.6因承包人自身原因导致的工程变更，承包人无权要求追加合同价款。</w:t>
      </w:r>
    </w:p>
    <w:p w14:paraId="60193212">
      <w:pPr>
        <w:spacing w:line="460" w:lineRule="exact"/>
        <w:ind w:firstLine="480" w:firstLineChars="200"/>
        <w:rPr>
          <w:rFonts w:ascii="宋体" w:hAnsi="宋体"/>
          <w:sz w:val="24"/>
        </w:rPr>
      </w:pPr>
      <w:r>
        <w:rPr>
          <w:rFonts w:ascii="宋体" w:hAnsi="宋体"/>
          <w:sz w:val="24"/>
        </w:rPr>
        <w:t>九、竣工验收与结算</w:t>
      </w:r>
    </w:p>
    <w:p w14:paraId="5B6AD996">
      <w:pPr>
        <w:spacing w:line="460" w:lineRule="exact"/>
        <w:ind w:firstLine="480" w:firstLineChars="200"/>
        <w:rPr>
          <w:rFonts w:ascii="宋体" w:hAnsi="宋体"/>
          <w:sz w:val="24"/>
        </w:rPr>
      </w:pPr>
      <w:r>
        <w:rPr>
          <w:rFonts w:hint="eastAsia" w:ascii="宋体" w:hAnsi="宋体"/>
          <w:sz w:val="24"/>
          <w:lang w:val="en-US" w:eastAsia="zh-CN"/>
        </w:rPr>
        <w:t>32</w:t>
      </w:r>
      <w:r>
        <w:rPr>
          <w:rFonts w:ascii="宋体" w:hAnsi="宋体"/>
          <w:sz w:val="24"/>
        </w:rPr>
        <w:t>、竣工验收</w:t>
      </w:r>
    </w:p>
    <w:p w14:paraId="2C0CF9C8">
      <w:pPr>
        <w:spacing w:line="460" w:lineRule="exact"/>
        <w:ind w:firstLine="480" w:firstLineChars="200"/>
        <w:rPr>
          <w:rFonts w:ascii="宋体" w:hAnsi="宋体"/>
          <w:sz w:val="24"/>
        </w:rPr>
      </w:pPr>
      <w:r>
        <w:rPr>
          <w:rFonts w:ascii="宋体" w:hAnsi="宋体"/>
          <w:sz w:val="24"/>
        </w:rPr>
        <w:t>32.1工程具备竣工验收条件，承包人按国家工程竣工验收有关规定，向发包人提供完整竣工资料及竣工验收报告。双方约定由承包人提供竣工图的，应当在专用条款内约定提供的日期和份数。</w:t>
      </w:r>
    </w:p>
    <w:p w14:paraId="4DA4EC69">
      <w:pPr>
        <w:spacing w:line="460" w:lineRule="exact"/>
        <w:rPr>
          <w:rFonts w:ascii="宋体" w:hAnsi="宋体"/>
          <w:sz w:val="24"/>
        </w:rPr>
      </w:pPr>
      <w:r>
        <w:rPr>
          <w:rFonts w:ascii="宋体" w:hAnsi="宋体"/>
          <w:sz w:val="24"/>
        </w:rPr>
        <w:t>　　32.2发包人收到竣工验收报告后28天内组织有关单位验收，并在验收后14天内给予认可或提出修改意见。承包人按要求修改，并承担由自身原因造成修改的费用。</w:t>
      </w:r>
    </w:p>
    <w:p w14:paraId="47354C9E">
      <w:pPr>
        <w:spacing w:line="460" w:lineRule="exact"/>
        <w:rPr>
          <w:rFonts w:ascii="宋体" w:hAnsi="宋体"/>
          <w:sz w:val="24"/>
        </w:rPr>
      </w:pPr>
      <w:r>
        <w:rPr>
          <w:rFonts w:ascii="宋体" w:hAnsi="宋体"/>
          <w:sz w:val="24"/>
        </w:rPr>
        <w:t>　　32.3发包人收到承包人送交的竣工验收报告后28天内不组织验收，或验收后14天内不提出修改意见，视为竣工验收报告已被认可。</w:t>
      </w:r>
    </w:p>
    <w:p w14:paraId="23F4DF45">
      <w:pPr>
        <w:spacing w:line="460" w:lineRule="exact"/>
        <w:rPr>
          <w:rFonts w:ascii="宋体" w:hAnsi="宋体"/>
          <w:sz w:val="24"/>
        </w:rPr>
      </w:pPr>
      <w:r>
        <w:rPr>
          <w:rFonts w:ascii="宋体" w:hAnsi="宋体"/>
          <w:sz w:val="24"/>
        </w:rPr>
        <w:t>　　32.4工程竣工验收通过，承包人送交竣工验收报告的日期为实际竣工日期。工程按发包人要求修改后通过竣工验收的，实际竣工日期为承包人修改后提请发包人验收的日期。</w:t>
      </w:r>
    </w:p>
    <w:p w14:paraId="0175273D">
      <w:pPr>
        <w:spacing w:line="460" w:lineRule="exact"/>
        <w:rPr>
          <w:rFonts w:ascii="宋体" w:hAnsi="宋体"/>
          <w:sz w:val="24"/>
        </w:rPr>
      </w:pPr>
      <w:r>
        <w:rPr>
          <w:rFonts w:ascii="宋体" w:hAnsi="宋体"/>
          <w:sz w:val="24"/>
        </w:rPr>
        <w:t>　　32.5发包人收到承包人竣工验收报告后28天内不组织验收，从第29天起承担工程保管及一切意外责任。</w:t>
      </w:r>
    </w:p>
    <w:p w14:paraId="6E2B2C33">
      <w:pPr>
        <w:spacing w:line="460" w:lineRule="exact"/>
        <w:rPr>
          <w:rFonts w:ascii="宋体" w:hAnsi="宋体"/>
          <w:sz w:val="24"/>
        </w:rPr>
      </w:pPr>
      <w:r>
        <w:rPr>
          <w:rFonts w:ascii="宋体" w:hAnsi="宋体"/>
          <w:sz w:val="24"/>
        </w:rPr>
        <w:t>　　32.6中间交工工程的范围和竣工时间，双方在专用条款内约定，其验收程序按本通用条款32.1款至32.4款办理。</w:t>
      </w:r>
    </w:p>
    <w:p w14:paraId="6AD54EFA">
      <w:pPr>
        <w:spacing w:line="460" w:lineRule="exact"/>
        <w:rPr>
          <w:rFonts w:ascii="宋体" w:hAnsi="宋体"/>
          <w:sz w:val="24"/>
        </w:rPr>
      </w:pPr>
      <w:r>
        <w:rPr>
          <w:rFonts w:ascii="宋体" w:hAnsi="宋体"/>
          <w:sz w:val="24"/>
        </w:rPr>
        <w:t>　　32.7因特殊原因，发包人要求部分单位工程或工程部位甩项竣工的，双方另行签订甩项竣工协议，明确双方责任和工程价款的支付方法。</w:t>
      </w:r>
    </w:p>
    <w:p w14:paraId="14F71A2A">
      <w:pPr>
        <w:spacing w:line="460" w:lineRule="exact"/>
        <w:rPr>
          <w:rFonts w:ascii="宋体" w:hAnsi="宋体"/>
          <w:sz w:val="24"/>
        </w:rPr>
      </w:pPr>
      <w:r>
        <w:rPr>
          <w:rFonts w:ascii="宋体" w:hAnsi="宋体"/>
          <w:sz w:val="24"/>
        </w:rPr>
        <w:t>　　32.8工程未经竣工验收或竣工验收未通过的，发包人不得使用。发包人强行使用时，由此发生的质量问题及其他问题，由发包人承担责任。</w:t>
      </w:r>
    </w:p>
    <w:p w14:paraId="0FE3D26C">
      <w:pPr>
        <w:spacing w:line="460" w:lineRule="exact"/>
        <w:rPr>
          <w:rFonts w:ascii="宋体" w:hAnsi="宋体"/>
          <w:sz w:val="24"/>
        </w:rPr>
      </w:pPr>
      <w:r>
        <w:rPr>
          <w:rFonts w:ascii="宋体" w:hAnsi="宋体"/>
          <w:sz w:val="24"/>
        </w:rPr>
        <w:t>　　</w:t>
      </w:r>
      <w:r>
        <w:rPr>
          <w:rFonts w:hint="eastAsia" w:ascii="宋体" w:hAnsi="宋体"/>
          <w:sz w:val="24"/>
          <w:lang w:val="en-US" w:eastAsia="zh-CN"/>
        </w:rPr>
        <w:t>33</w:t>
      </w:r>
      <w:r>
        <w:rPr>
          <w:rFonts w:ascii="宋体" w:hAnsi="宋体"/>
          <w:sz w:val="24"/>
        </w:rPr>
        <w:t>、竣工结算</w:t>
      </w:r>
    </w:p>
    <w:p w14:paraId="282A31D7">
      <w:pPr>
        <w:spacing w:line="460" w:lineRule="exact"/>
        <w:rPr>
          <w:rFonts w:ascii="宋体" w:hAnsi="宋体"/>
          <w:sz w:val="24"/>
        </w:rPr>
      </w:pPr>
      <w:r>
        <w:rPr>
          <w:rFonts w:ascii="宋体" w:hAnsi="宋体"/>
          <w:sz w:val="24"/>
        </w:rPr>
        <w:t>　　33.1工程竣工验收报告经发包人认可后28天内，承包人向发包人递交竣工结算报告及完整的结算资料，双方按照协议书约定的合同价款及专用条款约定的合同价款调整内容，进行工程竣工结算。</w:t>
      </w:r>
    </w:p>
    <w:p w14:paraId="57C50FF0">
      <w:pPr>
        <w:spacing w:line="460" w:lineRule="exact"/>
        <w:rPr>
          <w:rFonts w:ascii="宋体" w:hAnsi="宋体"/>
          <w:sz w:val="24"/>
        </w:rPr>
      </w:pPr>
      <w:r>
        <w:rPr>
          <w:rFonts w:ascii="宋体" w:hAnsi="宋体"/>
          <w:sz w:val="24"/>
        </w:rPr>
        <w:t>　　33.2发包人收到承包人递交的竣工结算报告及结算资料后28天内进行核实，给予确认或者提出修改意见。发包人确认竣工结算报告通知经办银行向承包人支付工程竣工结算价款。承包人收到竣工结算价款后14天内将竣工工程交付发包人。</w:t>
      </w:r>
    </w:p>
    <w:p w14:paraId="54C63B03">
      <w:pPr>
        <w:spacing w:line="460" w:lineRule="exact"/>
        <w:rPr>
          <w:rFonts w:ascii="宋体" w:hAnsi="宋体"/>
          <w:sz w:val="24"/>
        </w:rPr>
      </w:pPr>
      <w:r>
        <w:rPr>
          <w:rFonts w:ascii="宋体" w:hAnsi="宋体"/>
          <w:sz w:val="24"/>
        </w:rPr>
        <w:t>　　33.3发包人收到竣工结算报告及结算资料后28天内无正当理由不支付工程竣工结算价款，从第29天起按承包人同期向银行贷款利率支付拖欠工程价款的利息，并承担违约责任。</w:t>
      </w:r>
    </w:p>
    <w:p w14:paraId="561EE23B">
      <w:pPr>
        <w:spacing w:line="460" w:lineRule="exact"/>
        <w:rPr>
          <w:rFonts w:ascii="宋体" w:hAnsi="宋体"/>
          <w:sz w:val="24"/>
        </w:rPr>
      </w:pPr>
      <w:r>
        <w:rPr>
          <w:rFonts w:ascii="宋体" w:hAnsi="宋体"/>
          <w:sz w:val="24"/>
        </w:rPr>
        <w:t>　　33.4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14:paraId="4F869444">
      <w:pPr>
        <w:spacing w:line="460" w:lineRule="exact"/>
        <w:rPr>
          <w:rFonts w:ascii="宋体" w:hAnsi="宋体"/>
          <w:sz w:val="24"/>
        </w:rPr>
      </w:pPr>
      <w:r>
        <w:rPr>
          <w:rFonts w:ascii="宋体" w:hAnsi="宋体"/>
          <w:sz w:val="24"/>
        </w:rPr>
        <w:t>　　33.5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14:paraId="43752170">
      <w:pPr>
        <w:spacing w:line="460" w:lineRule="exact"/>
        <w:rPr>
          <w:rFonts w:ascii="宋体" w:hAnsi="宋体"/>
          <w:sz w:val="24"/>
        </w:rPr>
      </w:pPr>
      <w:r>
        <w:rPr>
          <w:rFonts w:ascii="宋体" w:hAnsi="宋体"/>
          <w:sz w:val="24"/>
        </w:rPr>
        <w:t>　　33.6发包人承包人对工程竣工结算价款发生争议时，按本通用条款第37条关于争议的约定处理。</w:t>
      </w:r>
    </w:p>
    <w:p w14:paraId="082AA71B">
      <w:pPr>
        <w:spacing w:line="460" w:lineRule="exact"/>
        <w:rPr>
          <w:rFonts w:ascii="宋体" w:hAnsi="宋体"/>
          <w:sz w:val="24"/>
        </w:rPr>
      </w:pPr>
      <w:r>
        <w:rPr>
          <w:rFonts w:ascii="宋体" w:hAnsi="宋体"/>
          <w:sz w:val="24"/>
        </w:rPr>
        <w:t>　　</w:t>
      </w:r>
      <w:r>
        <w:rPr>
          <w:rFonts w:hint="eastAsia" w:ascii="宋体" w:hAnsi="宋体" w:eastAsia="宋体" w:cs="Times New Roman"/>
          <w:sz w:val="24"/>
          <w:lang w:val="en-US" w:eastAsia="zh-CN"/>
        </w:rPr>
        <w:t>34</w:t>
      </w:r>
      <w:r>
        <w:rPr>
          <w:rFonts w:ascii="宋体" w:hAnsi="宋体"/>
          <w:sz w:val="24"/>
        </w:rPr>
        <w:t>、质量保修</w:t>
      </w:r>
    </w:p>
    <w:p w14:paraId="62452E4C">
      <w:pPr>
        <w:spacing w:line="460" w:lineRule="exact"/>
        <w:rPr>
          <w:rFonts w:ascii="宋体" w:hAnsi="宋体"/>
          <w:sz w:val="24"/>
        </w:rPr>
      </w:pPr>
      <w:r>
        <w:rPr>
          <w:rFonts w:ascii="宋体" w:hAnsi="宋体"/>
          <w:sz w:val="24"/>
        </w:rPr>
        <w:t>　　34.1承包人应按法律、行政法规或国家关于工程质量保修的在关规定，对交付发包人使用的工程在质量保修期内承担质量保修责任。</w:t>
      </w:r>
    </w:p>
    <w:p w14:paraId="48BA1D99">
      <w:pPr>
        <w:spacing w:line="460" w:lineRule="exact"/>
        <w:rPr>
          <w:rFonts w:ascii="宋体" w:hAnsi="宋体"/>
          <w:sz w:val="24"/>
        </w:rPr>
      </w:pPr>
      <w:r>
        <w:rPr>
          <w:rFonts w:ascii="宋体" w:hAnsi="宋体"/>
          <w:sz w:val="24"/>
        </w:rPr>
        <w:t>　　34.2质量保修工作的实施。承包人应在工程竣工验收之前，与发包人签订质量保修书，作为本合同附件（附件３略）。</w:t>
      </w:r>
    </w:p>
    <w:p w14:paraId="0D4BA27A">
      <w:pPr>
        <w:spacing w:line="460" w:lineRule="exact"/>
        <w:rPr>
          <w:rFonts w:ascii="宋体" w:hAnsi="宋体"/>
          <w:sz w:val="24"/>
        </w:rPr>
      </w:pPr>
      <w:r>
        <w:rPr>
          <w:rFonts w:ascii="宋体" w:hAnsi="宋体"/>
          <w:sz w:val="24"/>
        </w:rPr>
        <w:t>　　34.3质量保修书的主要内容包括：</w:t>
      </w:r>
    </w:p>
    <w:p w14:paraId="6D57D6BB">
      <w:pPr>
        <w:spacing w:line="460" w:lineRule="exact"/>
        <w:rPr>
          <w:rFonts w:ascii="宋体" w:hAnsi="宋体"/>
          <w:sz w:val="24"/>
        </w:rPr>
      </w:pPr>
      <w:r>
        <w:rPr>
          <w:rFonts w:ascii="宋体" w:hAnsi="宋体"/>
          <w:sz w:val="24"/>
        </w:rPr>
        <w:t>　　（1）质量保修项目内容及范围；</w:t>
      </w:r>
    </w:p>
    <w:p w14:paraId="441690CC">
      <w:pPr>
        <w:spacing w:line="460" w:lineRule="exact"/>
        <w:rPr>
          <w:rFonts w:ascii="宋体" w:hAnsi="宋体"/>
          <w:sz w:val="24"/>
        </w:rPr>
      </w:pPr>
      <w:r>
        <w:rPr>
          <w:rFonts w:ascii="宋体" w:hAnsi="宋体"/>
          <w:sz w:val="24"/>
        </w:rPr>
        <w:t>　　（2）质量保修期；</w:t>
      </w:r>
    </w:p>
    <w:p w14:paraId="4A52314C">
      <w:pPr>
        <w:spacing w:line="460" w:lineRule="exact"/>
        <w:rPr>
          <w:rFonts w:ascii="宋体" w:hAnsi="宋体"/>
          <w:sz w:val="24"/>
        </w:rPr>
      </w:pPr>
      <w:r>
        <w:rPr>
          <w:rFonts w:ascii="宋体" w:hAnsi="宋体"/>
          <w:sz w:val="24"/>
        </w:rPr>
        <w:t>　　（3）质量保修责任；</w:t>
      </w:r>
    </w:p>
    <w:p w14:paraId="6E703BCC">
      <w:pPr>
        <w:spacing w:line="460" w:lineRule="exact"/>
        <w:rPr>
          <w:rFonts w:ascii="宋体" w:hAnsi="宋体"/>
          <w:sz w:val="24"/>
        </w:rPr>
      </w:pPr>
      <w:r>
        <w:rPr>
          <w:rFonts w:ascii="宋体" w:hAnsi="宋体"/>
          <w:sz w:val="24"/>
        </w:rPr>
        <w:t>　　（4）质量保修金的支付方法。</w:t>
      </w:r>
    </w:p>
    <w:p w14:paraId="74D00C6D">
      <w:pPr>
        <w:spacing w:line="460" w:lineRule="exact"/>
        <w:rPr>
          <w:rFonts w:ascii="宋体" w:hAnsi="宋体"/>
          <w:sz w:val="24"/>
        </w:rPr>
      </w:pPr>
      <w:r>
        <w:rPr>
          <w:rFonts w:ascii="宋体" w:hAnsi="宋体"/>
          <w:sz w:val="24"/>
        </w:rPr>
        <w:t>　　十、违约、索赔和争议</w:t>
      </w:r>
    </w:p>
    <w:p w14:paraId="08EE9F22">
      <w:pPr>
        <w:spacing w:line="460" w:lineRule="exact"/>
        <w:rPr>
          <w:rFonts w:ascii="宋体" w:hAnsi="宋体"/>
          <w:sz w:val="24"/>
        </w:rPr>
      </w:pPr>
      <w:r>
        <w:rPr>
          <w:rFonts w:ascii="宋体" w:hAnsi="宋体"/>
          <w:sz w:val="24"/>
        </w:rPr>
        <w:t>　　</w:t>
      </w:r>
      <w:r>
        <w:rPr>
          <w:rFonts w:hint="eastAsia" w:ascii="宋体" w:hAnsi="宋体"/>
          <w:sz w:val="24"/>
          <w:lang w:val="en-US" w:eastAsia="zh-CN"/>
        </w:rPr>
        <w:t>35</w:t>
      </w:r>
      <w:r>
        <w:rPr>
          <w:rFonts w:ascii="宋体" w:hAnsi="宋体"/>
          <w:sz w:val="24"/>
        </w:rPr>
        <w:t>、违约</w:t>
      </w:r>
    </w:p>
    <w:p w14:paraId="00B848DF">
      <w:pPr>
        <w:spacing w:line="460" w:lineRule="exact"/>
        <w:rPr>
          <w:rFonts w:ascii="宋体" w:hAnsi="宋体"/>
          <w:sz w:val="24"/>
        </w:rPr>
      </w:pPr>
      <w:r>
        <w:rPr>
          <w:rFonts w:ascii="宋体" w:hAnsi="宋体"/>
          <w:sz w:val="24"/>
        </w:rPr>
        <w:t>　　35.1 发包人违约。当发生下列情况时：</w:t>
      </w:r>
    </w:p>
    <w:p w14:paraId="4DD64953">
      <w:pPr>
        <w:spacing w:line="460" w:lineRule="exact"/>
        <w:rPr>
          <w:rFonts w:ascii="宋体" w:hAnsi="宋体"/>
          <w:sz w:val="24"/>
        </w:rPr>
      </w:pPr>
      <w:r>
        <w:rPr>
          <w:rFonts w:ascii="宋体" w:hAnsi="宋体"/>
          <w:sz w:val="24"/>
        </w:rPr>
        <w:t>　　（1）本通用条款第24条提到的发包人不按时支付工程预付款；</w:t>
      </w:r>
    </w:p>
    <w:p w14:paraId="1306D734">
      <w:pPr>
        <w:spacing w:line="460" w:lineRule="exact"/>
        <w:rPr>
          <w:rFonts w:ascii="宋体" w:hAnsi="宋体"/>
          <w:sz w:val="24"/>
        </w:rPr>
      </w:pPr>
      <w:r>
        <w:rPr>
          <w:rFonts w:ascii="宋体" w:hAnsi="宋体"/>
          <w:sz w:val="24"/>
        </w:rPr>
        <w:t>　　（2）本通用条款第26.4款提到的发包人不按合同约定支付工程款，导致施工无法进行；</w:t>
      </w:r>
    </w:p>
    <w:p w14:paraId="19D9B9FE">
      <w:pPr>
        <w:spacing w:line="460" w:lineRule="exact"/>
        <w:rPr>
          <w:rFonts w:ascii="宋体" w:hAnsi="宋体"/>
          <w:sz w:val="24"/>
        </w:rPr>
      </w:pPr>
      <w:r>
        <w:rPr>
          <w:rFonts w:ascii="宋体" w:hAnsi="宋体"/>
          <w:sz w:val="24"/>
        </w:rPr>
        <w:t>　　（3）本通用条款第33.3款提到的发包人无正当理由不支付工程竣工结算价款；</w:t>
      </w:r>
    </w:p>
    <w:p w14:paraId="1A8C7100">
      <w:pPr>
        <w:spacing w:line="460" w:lineRule="exact"/>
        <w:rPr>
          <w:rFonts w:ascii="宋体" w:hAnsi="宋体"/>
          <w:sz w:val="24"/>
        </w:rPr>
      </w:pPr>
      <w:r>
        <w:rPr>
          <w:rFonts w:ascii="宋体" w:hAnsi="宋体"/>
          <w:sz w:val="24"/>
        </w:rPr>
        <w:t>　　（4）发包人不履行合同义务或不按合同约定履行义务的其他情况。</w:t>
      </w:r>
    </w:p>
    <w:p w14:paraId="69C4920A">
      <w:pPr>
        <w:spacing w:line="460" w:lineRule="exact"/>
        <w:rPr>
          <w:rFonts w:ascii="宋体" w:hAnsi="宋体"/>
          <w:sz w:val="24"/>
        </w:rPr>
      </w:pPr>
      <w:r>
        <w:rPr>
          <w:rFonts w:ascii="宋体" w:hAnsi="宋体"/>
          <w:sz w:val="24"/>
        </w:rPr>
        <w:t>　　发包人承担违约责任，赔偿因其违约给承包人造成的经济损失，顺延延误的工期。双方在专用条款内约定发包人赔偿承包人损失的计算方法或者发包人应当支付违约金的数额或计算方法。</w:t>
      </w:r>
    </w:p>
    <w:p w14:paraId="5826784D">
      <w:pPr>
        <w:spacing w:line="460" w:lineRule="exact"/>
        <w:rPr>
          <w:rFonts w:ascii="宋体" w:hAnsi="宋体"/>
          <w:sz w:val="24"/>
        </w:rPr>
      </w:pPr>
      <w:r>
        <w:rPr>
          <w:rFonts w:ascii="宋体" w:hAnsi="宋体"/>
          <w:sz w:val="24"/>
        </w:rPr>
        <w:t>　　35.2承包人违约。当发生下列情况时：</w:t>
      </w:r>
    </w:p>
    <w:p w14:paraId="740333E3">
      <w:pPr>
        <w:spacing w:line="460" w:lineRule="exact"/>
        <w:rPr>
          <w:rFonts w:ascii="宋体" w:hAnsi="宋体"/>
          <w:sz w:val="24"/>
        </w:rPr>
      </w:pPr>
      <w:r>
        <w:rPr>
          <w:rFonts w:ascii="宋体" w:hAnsi="宋体"/>
          <w:sz w:val="24"/>
        </w:rPr>
        <w:t>　　（1）本通用条款第14.2款提到的因承包人原因不能按照协议书约定的竣工日期或工程师同意顺延的工期竣工；</w:t>
      </w:r>
    </w:p>
    <w:p w14:paraId="7212A06B">
      <w:pPr>
        <w:spacing w:line="460" w:lineRule="exact"/>
        <w:rPr>
          <w:rFonts w:ascii="宋体" w:hAnsi="宋体"/>
          <w:sz w:val="24"/>
        </w:rPr>
      </w:pPr>
      <w:r>
        <w:rPr>
          <w:rFonts w:ascii="宋体" w:hAnsi="宋体"/>
          <w:sz w:val="24"/>
        </w:rPr>
        <w:t>　　（2）本通用条款第15.1款提到的因承包人原因工程质量达不到协议书约定的质量标准；</w:t>
      </w:r>
    </w:p>
    <w:p w14:paraId="319AA6A2">
      <w:pPr>
        <w:spacing w:line="460" w:lineRule="exact"/>
        <w:rPr>
          <w:rFonts w:ascii="宋体" w:hAnsi="宋体"/>
          <w:sz w:val="24"/>
        </w:rPr>
      </w:pPr>
      <w:r>
        <w:rPr>
          <w:rFonts w:ascii="宋体" w:hAnsi="宋体"/>
          <w:sz w:val="24"/>
        </w:rPr>
        <w:t>　　（3）承包人不履行合同义务或不按合同约定履行义务的其他情况。</w:t>
      </w:r>
    </w:p>
    <w:p w14:paraId="45A3EEC4">
      <w:pPr>
        <w:spacing w:line="460" w:lineRule="exact"/>
        <w:rPr>
          <w:rFonts w:ascii="宋体" w:hAnsi="宋体"/>
          <w:sz w:val="24"/>
        </w:rPr>
      </w:pPr>
      <w:r>
        <w:rPr>
          <w:rFonts w:ascii="宋体" w:hAnsi="宋体"/>
          <w:sz w:val="24"/>
        </w:rPr>
        <w:t>　　承包人承担违约责任，赔偿因其违约约发包人造成的损失。双方在专用条款内约定承包人赔偿发包人损失的计算方法或者承包人应当支付违约金的数额可计算方法。</w:t>
      </w:r>
    </w:p>
    <w:p w14:paraId="084E3036">
      <w:pPr>
        <w:spacing w:line="460" w:lineRule="exact"/>
        <w:rPr>
          <w:rFonts w:ascii="宋体" w:hAnsi="宋体"/>
          <w:sz w:val="24"/>
        </w:rPr>
      </w:pPr>
      <w:r>
        <w:rPr>
          <w:rFonts w:ascii="宋体" w:hAnsi="宋体"/>
          <w:sz w:val="24"/>
        </w:rPr>
        <w:t>　　35.3一方违约后，另一方要求违给方继续履行合同时，违约方承担上述违约责任后仍应继续履行合同。</w:t>
      </w:r>
    </w:p>
    <w:p w14:paraId="275CED79">
      <w:pPr>
        <w:spacing w:line="460" w:lineRule="exact"/>
        <w:rPr>
          <w:rFonts w:ascii="宋体" w:hAnsi="宋体"/>
          <w:sz w:val="24"/>
        </w:rPr>
      </w:pPr>
      <w:r>
        <w:rPr>
          <w:rFonts w:ascii="宋体" w:hAnsi="宋体"/>
          <w:sz w:val="24"/>
        </w:rPr>
        <w:t>　　</w:t>
      </w:r>
      <w:r>
        <w:rPr>
          <w:rFonts w:hint="eastAsia" w:ascii="宋体" w:hAnsi="宋体"/>
          <w:sz w:val="24"/>
          <w:lang w:val="en-US" w:eastAsia="zh-CN"/>
        </w:rPr>
        <w:t>36</w:t>
      </w:r>
      <w:r>
        <w:rPr>
          <w:rFonts w:ascii="宋体" w:hAnsi="宋体"/>
          <w:sz w:val="24"/>
        </w:rPr>
        <w:t>、索赔</w:t>
      </w:r>
    </w:p>
    <w:p w14:paraId="6CC32E02">
      <w:pPr>
        <w:spacing w:line="460" w:lineRule="exact"/>
        <w:rPr>
          <w:rFonts w:ascii="宋体" w:hAnsi="宋体"/>
          <w:sz w:val="24"/>
        </w:rPr>
      </w:pPr>
      <w:r>
        <w:rPr>
          <w:rFonts w:ascii="宋体" w:hAnsi="宋体"/>
          <w:sz w:val="24"/>
        </w:rPr>
        <w:t>　　36.1当一方向另一方提出索赔时，要有正当索赔理由，且有索赔事件发生时的有效证据。</w:t>
      </w:r>
    </w:p>
    <w:p w14:paraId="601035F8">
      <w:pPr>
        <w:spacing w:line="460" w:lineRule="exact"/>
        <w:rPr>
          <w:rFonts w:ascii="宋体" w:hAnsi="宋体"/>
          <w:sz w:val="24"/>
        </w:rPr>
      </w:pPr>
      <w:r>
        <w:rPr>
          <w:rFonts w:ascii="宋体" w:hAnsi="宋体"/>
          <w:sz w:val="24"/>
        </w:rPr>
        <w:t>　　36.2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14:paraId="479F90DD">
      <w:pPr>
        <w:spacing w:line="460" w:lineRule="exact"/>
        <w:rPr>
          <w:rFonts w:ascii="宋体" w:hAnsi="宋体"/>
          <w:sz w:val="24"/>
        </w:rPr>
      </w:pPr>
      <w:r>
        <w:rPr>
          <w:rFonts w:ascii="宋体" w:hAnsi="宋体"/>
          <w:sz w:val="24"/>
        </w:rPr>
        <w:t>　　（1）索赔事件发生后28天内，向工程师发出索赔意向通知；</w:t>
      </w:r>
    </w:p>
    <w:p w14:paraId="1A228614">
      <w:pPr>
        <w:spacing w:line="460" w:lineRule="exact"/>
        <w:rPr>
          <w:rFonts w:ascii="宋体" w:hAnsi="宋体"/>
          <w:sz w:val="24"/>
        </w:rPr>
      </w:pPr>
      <w:r>
        <w:rPr>
          <w:rFonts w:ascii="宋体" w:hAnsi="宋体"/>
          <w:sz w:val="24"/>
        </w:rPr>
        <w:t>　　（2）发出索赔意向通知后28天内，向工程师提出延长工期和（或）补偿经济损失的索赔报告及有关资料；</w:t>
      </w:r>
    </w:p>
    <w:p w14:paraId="0A146992">
      <w:pPr>
        <w:spacing w:line="460" w:lineRule="exact"/>
        <w:rPr>
          <w:rFonts w:ascii="宋体" w:hAnsi="宋体"/>
          <w:sz w:val="24"/>
        </w:rPr>
      </w:pPr>
      <w:r>
        <w:rPr>
          <w:rFonts w:ascii="宋体" w:hAnsi="宋体"/>
          <w:sz w:val="24"/>
        </w:rPr>
        <w:t>　　（3）工程师在收到承包人送交的索赔报告和有关资料后，于28天内给予答复，或要求承包人进一步补充索赔理由和证据；</w:t>
      </w:r>
    </w:p>
    <w:p w14:paraId="3DC8FB49">
      <w:pPr>
        <w:spacing w:line="460" w:lineRule="exact"/>
        <w:rPr>
          <w:rFonts w:ascii="宋体" w:hAnsi="宋体"/>
          <w:sz w:val="24"/>
        </w:rPr>
      </w:pPr>
      <w:r>
        <w:rPr>
          <w:rFonts w:ascii="宋体" w:hAnsi="宋体"/>
          <w:sz w:val="24"/>
        </w:rPr>
        <w:t>　　（4）工程师在收到承包人送交的索赔报告和有关资料后28天内未予答复或未对承包人作进一步要求，视为该项索赔已经认可；</w:t>
      </w:r>
    </w:p>
    <w:p w14:paraId="5E65F264">
      <w:pPr>
        <w:spacing w:line="460" w:lineRule="exact"/>
        <w:rPr>
          <w:rFonts w:ascii="宋体" w:hAnsi="宋体"/>
          <w:sz w:val="24"/>
        </w:rPr>
      </w:pPr>
      <w:r>
        <w:rPr>
          <w:rFonts w:ascii="宋体" w:hAnsi="宋体"/>
          <w:sz w:val="24"/>
        </w:rPr>
        <w:t>　　（5）当该索赔事件持续进行时，承包人应当阶段性向工程师发出索赔意向，在索赔事件终了后28天内，向工程师送交索赔的有关资料和最终索赔报告。索赔答复程序与（3）、（4）规定相同。</w:t>
      </w:r>
    </w:p>
    <w:p w14:paraId="336DDD59">
      <w:pPr>
        <w:spacing w:line="460" w:lineRule="exact"/>
        <w:rPr>
          <w:rFonts w:ascii="宋体" w:hAnsi="宋体"/>
          <w:sz w:val="24"/>
        </w:rPr>
      </w:pPr>
      <w:r>
        <w:rPr>
          <w:rFonts w:ascii="宋体" w:hAnsi="宋体"/>
          <w:sz w:val="24"/>
        </w:rPr>
        <w:t>　　36.3承包人未能按合同约定履行自己的各项义务或发生错误，给发包人造成经济损失，发包人可按36.2款确定的时限向承包人提出索赔。</w:t>
      </w:r>
    </w:p>
    <w:p w14:paraId="5F6BCD45">
      <w:pPr>
        <w:spacing w:line="460" w:lineRule="exact"/>
        <w:rPr>
          <w:rFonts w:ascii="宋体" w:hAnsi="宋体"/>
          <w:sz w:val="24"/>
        </w:rPr>
      </w:pPr>
      <w:r>
        <w:rPr>
          <w:rFonts w:ascii="宋体" w:hAnsi="宋体"/>
          <w:sz w:val="24"/>
        </w:rPr>
        <w:t>　　</w:t>
      </w:r>
      <w:r>
        <w:rPr>
          <w:rFonts w:hint="eastAsia" w:ascii="宋体" w:hAnsi="宋体"/>
          <w:sz w:val="24"/>
          <w:lang w:val="en-US" w:eastAsia="zh-CN"/>
        </w:rPr>
        <w:t>37</w:t>
      </w:r>
      <w:r>
        <w:rPr>
          <w:rFonts w:ascii="宋体" w:hAnsi="宋体"/>
          <w:sz w:val="24"/>
        </w:rPr>
        <w:t>、争议</w:t>
      </w:r>
    </w:p>
    <w:p w14:paraId="0D216127">
      <w:pPr>
        <w:spacing w:line="460" w:lineRule="exact"/>
        <w:rPr>
          <w:rFonts w:ascii="宋体" w:hAnsi="宋体"/>
          <w:sz w:val="24"/>
        </w:rPr>
      </w:pPr>
      <w:r>
        <w:rPr>
          <w:rFonts w:ascii="宋体" w:hAnsi="宋体"/>
          <w:sz w:val="24"/>
        </w:rPr>
        <w:t>　　37.1发包人承包人在履行合同时发生争议，可以和解或者要求有关主管部门调解。当事人不愿和解、调解或者和解、调解不成的，双方可以在专用条款内约定以下一种方式解决争议：</w:t>
      </w:r>
    </w:p>
    <w:p w14:paraId="5F607AD4">
      <w:pPr>
        <w:spacing w:line="460" w:lineRule="exact"/>
        <w:rPr>
          <w:rFonts w:ascii="宋体" w:hAnsi="宋体"/>
          <w:sz w:val="24"/>
        </w:rPr>
      </w:pPr>
      <w:r>
        <w:rPr>
          <w:rFonts w:ascii="宋体" w:hAnsi="宋体"/>
          <w:sz w:val="24"/>
        </w:rPr>
        <w:t>　　第一种解决方式：双方达成仲裁协议，向约定的仲裁委员会申请仲裁；</w:t>
      </w:r>
    </w:p>
    <w:p w14:paraId="097D8C5A">
      <w:pPr>
        <w:spacing w:line="460" w:lineRule="exact"/>
        <w:rPr>
          <w:rFonts w:ascii="宋体" w:hAnsi="宋体"/>
          <w:sz w:val="24"/>
        </w:rPr>
      </w:pPr>
      <w:r>
        <w:rPr>
          <w:rFonts w:ascii="宋体" w:hAnsi="宋体"/>
          <w:sz w:val="24"/>
        </w:rPr>
        <w:t>　　第二种解决方式：向有管辖权的人民法院起诉。</w:t>
      </w:r>
    </w:p>
    <w:p w14:paraId="78BB2652">
      <w:pPr>
        <w:spacing w:line="460" w:lineRule="exact"/>
        <w:rPr>
          <w:rFonts w:ascii="宋体" w:hAnsi="宋体"/>
          <w:sz w:val="24"/>
        </w:rPr>
      </w:pPr>
      <w:r>
        <w:rPr>
          <w:rFonts w:ascii="宋体" w:hAnsi="宋体"/>
          <w:sz w:val="24"/>
        </w:rPr>
        <w:t>　　37.2发生争议后，除非出现下列情况的，双方都应继续履行合同，保持施工连续，保护好已完工程：</w:t>
      </w:r>
    </w:p>
    <w:p w14:paraId="1DAC4E3C">
      <w:pPr>
        <w:spacing w:line="460" w:lineRule="exact"/>
        <w:rPr>
          <w:rFonts w:ascii="宋体" w:hAnsi="宋体"/>
          <w:sz w:val="24"/>
        </w:rPr>
      </w:pPr>
      <w:r>
        <w:rPr>
          <w:rFonts w:ascii="宋体" w:hAnsi="宋体"/>
          <w:sz w:val="24"/>
        </w:rPr>
        <w:t>　　（1）单方违约导致合同确已无法履行，双方协议停止施工；</w:t>
      </w:r>
    </w:p>
    <w:p w14:paraId="29B7D173">
      <w:pPr>
        <w:spacing w:line="460" w:lineRule="exact"/>
        <w:rPr>
          <w:rFonts w:ascii="宋体" w:hAnsi="宋体"/>
          <w:sz w:val="24"/>
        </w:rPr>
      </w:pPr>
      <w:r>
        <w:rPr>
          <w:rFonts w:ascii="宋体" w:hAnsi="宋体"/>
          <w:sz w:val="24"/>
        </w:rPr>
        <w:t>　　（2）调解要求停止施工，且为双方接受；</w:t>
      </w:r>
    </w:p>
    <w:p w14:paraId="1E342C87">
      <w:pPr>
        <w:spacing w:line="460" w:lineRule="exact"/>
        <w:rPr>
          <w:rFonts w:ascii="宋体" w:hAnsi="宋体"/>
          <w:sz w:val="24"/>
        </w:rPr>
      </w:pPr>
      <w:r>
        <w:rPr>
          <w:rFonts w:ascii="宋体" w:hAnsi="宋体"/>
          <w:sz w:val="24"/>
        </w:rPr>
        <w:t>　　（3）仲裁机构要求停止施工；</w:t>
      </w:r>
    </w:p>
    <w:p w14:paraId="00D00EAC">
      <w:pPr>
        <w:spacing w:line="460" w:lineRule="exact"/>
        <w:rPr>
          <w:rFonts w:ascii="宋体" w:hAnsi="宋体"/>
          <w:sz w:val="24"/>
        </w:rPr>
      </w:pPr>
      <w:r>
        <w:rPr>
          <w:rFonts w:ascii="宋体" w:hAnsi="宋体"/>
          <w:sz w:val="24"/>
        </w:rPr>
        <w:t>　　（4）法院要求停止施工。</w:t>
      </w:r>
    </w:p>
    <w:p w14:paraId="16B9D3D4">
      <w:pPr>
        <w:spacing w:line="460" w:lineRule="exact"/>
        <w:rPr>
          <w:rFonts w:ascii="宋体" w:hAnsi="宋体"/>
          <w:sz w:val="24"/>
        </w:rPr>
      </w:pPr>
      <w:r>
        <w:rPr>
          <w:rFonts w:ascii="宋体" w:hAnsi="宋体"/>
          <w:sz w:val="24"/>
        </w:rPr>
        <w:t>　　十一、其他</w:t>
      </w:r>
    </w:p>
    <w:p w14:paraId="34301871">
      <w:pPr>
        <w:spacing w:line="460" w:lineRule="exact"/>
        <w:rPr>
          <w:rFonts w:ascii="宋体" w:hAnsi="宋体"/>
          <w:sz w:val="24"/>
        </w:rPr>
      </w:pPr>
      <w:r>
        <w:rPr>
          <w:rFonts w:ascii="宋体" w:hAnsi="宋体"/>
          <w:sz w:val="24"/>
        </w:rPr>
        <w:t>　　</w:t>
      </w:r>
      <w:r>
        <w:rPr>
          <w:rFonts w:hint="eastAsia" w:ascii="宋体" w:hAnsi="宋体"/>
          <w:sz w:val="24"/>
          <w:lang w:val="en-US" w:eastAsia="zh-CN"/>
        </w:rPr>
        <w:t>38</w:t>
      </w:r>
      <w:r>
        <w:rPr>
          <w:rFonts w:ascii="宋体" w:hAnsi="宋体"/>
          <w:sz w:val="24"/>
        </w:rPr>
        <w:t>、工程分包</w:t>
      </w:r>
    </w:p>
    <w:p w14:paraId="7DAFB256">
      <w:pPr>
        <w:spacing w:line="460" w:lineRule="exact"/>
        <w:rPr>
          <w:rFonts w:ascii="宋体" w:hAnsi="宋体"/>
          <w:sz w:val="24"/>
        </w:rPr>
      </w:pPr>
      <w:r>
        <w:rPr>
          <w:rFonts w:ascii="宋体" w:hAnsi="宋体"/>
          <w:sz w:val="24"/>
        </w:rPr>
        <w:t>　　38.1承包人按专用条款的约定分包所承包的部分工程，并与分包单位签订分包合同。非经发包人同意，承包人不得将承包工程的任何部分分包。</w:t>
      </w:r>
    </w:p>
    <w:p w14:paraId="72D35C3B">
      <w:pPr>
        <w:spacing w:line="460" w:lineRule="exact"/>
        <w:rPr>
          <w:rFonts w:ascii="宋体" w:hAnsi="宋体"/>
          <w:sz w:val="24"/>
        </w:rPr>
      </w:pPr>
      <w:r>
        <w:rPr>
          <w:rFonts w:ascii="宋体" w:hAnsi="宋体"/>
          <w:sz w:val="24"/>
        </w:rPr>
        <w:t>　　38.2承包人不得将其承包的全部工程转包给他人，也不得将其承包的全部工程肢解以后以分包的名义分别转包给他人。</w:t>
      </w:r>
    </w:p>
    <w:p w14:paraId="69666E37">
      <w:pPr>
        <w:spacing w:line="460" w:lineRule="exact"/>
        <w:rPr>
          <w:rFonts w:ascii="宋体" w:hAnsi="宋体"/>
          <w:sz w:val="24"/>
        </w:rPr>
      </w:pPr>
      <w:r>
        <w:rPr>
          <w:rFonts w:ascii="宋体" w:hAnsi="宋体"/>
          <w:sz w:val="24"/>
        </w:rPr>
        <w:t>　　38.3工程分包不能解除承包人任何责任与义务。承包人应在分包场地派驻相应管理人员，保证本合同的履行。分包单位的任何违约行为或疏忽导致工程损害或给发包人造成其他损失，承包人承担连带责任。</w:t>
      </w:r>
    </w:p>
    <w:p w14:paraId="0E2A0A92">
      <w:pPr>
        <w:spacing w:line="460" w:lineRule="exact"/>
        <w:rPr>
          <w:rFonts w:ascii="宋体" w:hAnsi="宋体"/>
          <w:sz w:val="24"/>
        </w:rPr>
      </w:pPr>
      <w:r>
        <w:rPr>
          <w:rFonts w:ascii="宋体" w:hAnsi="宋体"/>
          <w:sz w:val="24"/>
        </w:rPr>
        <w:t>　　38.4分包工程价款由承包人与分包单位结算。发包人未经承包人同意不得以任何形式向分包单位支付各种工程款项。</w:t>
      </w:r>
    </w:p>
    <w:p w14:paraId="13FFAC37">
      <w:pPr>
        <w:spacing w:line="460" w:lineRule="exact"/>
        <w:rPr>
          <w:rFonts w:ascii="宋体" w:hAnsi="宋体"/>
          <w:sz w:val="24"/>
        </w:rPr>
      </w:pPr>
      <w:r>
        <w:rPr>
          <w:rFonts w:ascii="宋体" w:hAnsi="宋体"/>
          <w:sz w:val="24"/>
        </w:rPr>
        <w:t>　　</w:t>
      </w:r>
      <w:r>
        <w:rPr>
          <w:rFonts w:hint="eastAsia" w:ascii="宋体" w:hAnsi="宋体"/>
          <w:sz w:val="24"/>
          <w:lang w:val="en-US" w:eastAsia="zh-CN"/>
        </w:rPr>
        <w:t>39</w:t>
      </w:r>
      <w:r>
        <w:rPr>
          <w:rFonts w:ascii="宋体" w:hAnsi="宋体"/>
          <w:sz w:val="24"/>
        </w:rPr>
        <w:t>、不可抗力</w:t>
      </w:r>
    </w:p>
    <w:p w14:paraId="4B131B54">
      <w:pPr>
        <w:spacing w:line="460" w:lineRule="exact"/>
        <w:rPr>
          <w:rFonts w:ascii="宋体" w:hAnsi="宋体"/>
          <w:sz w:val="24"/>
        </w:rPr>
      </w:pPr>
      <w:r>
        <w:rPr>
          <w:rFonts w:ascii="宋体" w:hAnsi="宋体"/>
          <w:sz w:val="24"/>
        </w:rPr>
        <w:t>　　39.1不可抗力包括因战争、动乱、空中飞行物体坠落或其他非发包人承包人责任造成的爆炸、火灾，以及专用条款约定的风雨、雪、洪、震等自然灾害。</w:t>
      </w:r>
    </w:p>
    <w:p w14:paraId="33234696">
      <w:pPr>
        <w:spacing w:line="460" w:lineRule="exact"/>
        <w:rPr>
          <w:rFonts w:ascii="宋体" w:hAnsi="宋体"/>
          <w:sz w:val="24"/>
        </w:rPr>
      </w:pPr>
      <w:r>
        <w:rPr>
          <w:rFonts w:ascii="宋体" w:hAnsi="宋体"/>
          <w:sz w:val="24"/>
        </w:rPr>
        <w:t>　　39.2不可抗力事件发生后，承包人应立即通知工程师，产大力所能及的条件下迅速采取措施，尽力减少损失，发包人应协助承包人采取措施。不可抗力事件结束后48小时内承包人向工程师通报受害情况和损失情况，及预计清理和修复的费用。 不可抗事件持续发生，承包人应每隔7天向工程师报告一次受害情况。不可抗力事件结束后14天内，承包人向工程师提交清理和修复费用的正式报告及有关资料。</w:t>
      </w:r>
    </w:p>
    <w:p w14:paraId="2D009A2A">
      <w:pPr>
        <w:spacing w:line="460" w:lineRule="exact"/>
        <w:rPr>
          <w:rFonts w:ascii="宋体" w:hAnsi="宋体"/>
          <w:sz w:val="24"/>
        </w:rPr>
      </w:pPr>
      <w:r>
        <w:rPr>
          <w:rFonts w:ascii="宋体" w:hAnsi="宋体"/>
          <w:sz w:val="24"/>
        </w:rPr>
        <w:t>　　39.3因不可抗力事件导致的费用及延误的工期由双方按以下方法分别承担：</w:t>
      </w:r>
    </w:p>
    <w:p w14:paraId="38254756">
      <w:pPr>
        <w:spacing w:line="460" w:lineRule="exact"/>
        <w:rPr>
          <w:rFonts w:ascii="宋体" w:hAnsi="宋体"/>
          <w:sz w:val="24"/>
        </w:rPr>
      </w:pPr>
      <w:r>
        <w:rPr>
          <w:rFonts w:ascii="宋体" w:hAnsi="宋体"/>
          <w:sz w:val="24"/>
        </w:rPr>
        <w:t>　　（1）工程本身的损害、因工程损害导致第三人人员伤亡和财产损失以及运至施工场地用于施工的材料和待安装的设备的损害，由发包人承担；</w:t>
      </w:r>
    </w:p>
    <w:p w14:paraId="2B610D88">
      <w:pPr>
        <w:spacing w:line="460" w:lineRule="exact"/>
        <w:rPr>
          <w:rFonts w:ascii="宋体" w:hAnsi="宋体"/>
          <w:sz w:val="24"/>
        </w:rPr>
      </w:pPr>
      <w:r>
        <w:rPr>
          <w:rFonts w:ascii="宋体" w:hAnsi="宋体"/>
          <w:sz w:val="24"/>
        </w:rPr>
        <w:t>　　（2）发包人承包人人员伤亡由其所在单位负责，并承担相应费用；</w:t>
      </w:r>
    </w:p>
    <w:p w14:paraId="7CC72B68">
      <w:pPr>
        <w:spacing w:line="460" w:lineRule="exact"/>
        <w:rPr>
          <w:rFonts w:ascii="宋体" w:hAnsi="宋体"/>
          <w:sz w:val="24"/>
        </w:rPr>
      </w:pPr>
      <w:r>
        <w:rPr>
          <w:rFonts w:ascii="宋体" w:hAnsi="宋体"/>
          <w:sz w:val="24"/>
        </w:rPr>
        <w:t>　　（3）承包人机械设备损坏及停工损失，由承包人承担；</w:t>
      </w:r>
    </w:p>
    <w:p w14:paraId="330C8370">
      <w:pPr>
        <w:spacing w:line="460" w:lineRule="exact"/>
        <w:rPr>
          <w:rFonts w:ascii="宋体" w:hAnsi="宋体"/>
          <w:sz w:val="24"/>
        </w:rPr>
      </w:pPr>
      <w:r>
        <w:rPr>
          <w:rFonts w:ascii="宋体" w:hAnsi="宋体"/>
          <w:sz w:val="24"/>
        </w:rPr>
        <w:t>　　（4）停工期间，承包人应工程师要求留在施工场地的必要的管理人员及保卫人员的费用由发包人承担；</w:t>
      </w:r>
    </w:p>
    <w:p w14:paraId="5CFA9CC6">
      <w:pPr>
        <w:spacing w:line="460" w:lineRule="exact"/>
        <w:rPr>
          <w:rFonts w:ascii="宋体" w:hAnsi="宋体"/>
          <w:sz w:val="24"/>
        </w:rPr>
      </w:pPr>
      <w:r>
        <w:rPr>
          <w:rFonts w:ascii="宋体" w:hAnsi="宋体"/>
          <w:sz w:val="24"/>
        </w:rPr>
        <w:t>　　（5）工程所需清理、修复费用，由发包人承担；</w:t>
      </w:r>
    </w:p>
    <w:p w14:paraId="6116DBFF">
      <w:pPr>
        <w:spacing w:line="460" w:lineRule="exact"/>
        <w:rPr>
          <w:rFonts w:ascii="宋体" w:hAnsi="宋体"/>
          <w:sz w:val="24"/>
        </w:rPr>
      </w:pPr>
      <w:r>
        <w:rPr>
          <w:rFonts w:ascii="宋体" w:hAnsi="宋体"/>
          <w:sz w:val="24"/>
        </w:rPr>
        <w:t>　　（6）延误的工期相应顺延。</w:t>
      </w:r>
    </w:p>
    <w:p w14:paraId="7BC68DB6">
      <w:pPr>
        <w:spacing w:line="460" w:lineRule="exact"/>
        <w:rPr>
          <w:rFonts w:ascii="宋体" w:hAnsi="宋体"/>
          <w:sz w:val="24"/>
        </w:rPr>
      </w:pPr>
      <w:r>
        <w:rPr>
          <w:rFonts w:ascii="宋体" w:hAnsi="宋体"/>
          <w:sz w:val="24"/>
        </w:rPr>
        <w:t>　　39.4因合同一方迟延履行合同后发生不可抗力的，不能免除迟延履行方的相应责任。</w:t>
      </w:r>
    </w:p>
    <w:p w14:paraId="4E036D20">
      <w:pPr>
        <w:spacing w:line="460" w:lineRule="exact"/>
        <w:rPr>
          <w:rFonts w:ascii="宋体" w:hAnsi="宋体"/>
          <w:sz w:val="24"/>
        </w:rPr>
      </w:pPr>
      <w:r>
        <w:rPr>
          <w:rFonts w:ascii="宋体" w:hAnsi="宋体"/>
          <w:sz w:val="24"/>
        </w:rPr>
        <w:t>　　</w:t>
      </w:r>
      <w:r>
        <w:rPr>
          <w:rFonts w:hint="eastAsia" w:ascii="宋体" w:hAnsi="宋体"/>
          <w:sz w:val="24"/>
          <w:lang w:val="en-US" w:eastAsia="zh-CN"/>
        </w:rPr>
        <w:t>40</w:t>
      </w:r>
      <w:r>
        <w:rPr>
          <w:rFonts w:ascii="宋体" w:hAnsi="宋体"/>
          <w:sz w:val="24"/>
        </w:rPr>
        <w:t>、保险</w:t>
      </w:r>
    </w:p>
    <w:p w14:paraId="6DF04770">
      <w:pPr>
        <w:spacing w:line="460" w:lineRule="exact"/>
        <w:rPr>
          <w:rFonts w:ascii="宋体" w:hAnsi="宋体"/>
          <w:sz w:val="24"/>
        </w:rPr>
      </w:pPr>
      <w:r>
        <w:rPr>
          <w:rFonts w:ascii="宋体" w:hAnsi="宋体"/>
          <w:sz w:val="24"/>
        </w:rPr>
        <w:t>　　40.1工程开工前，发包人为建设工程和施工场内的自有人员及第三人人员生命财产办理保险，支付保险费用。</w:t>
      </w:r>
    </w:p>
    <w:p w14:paraId="6E34412B">
      <w:pPr>
        <w:spacing w:line="460" w:lineRule="exact"/>
        <w:rPr>
          <w:rFonts w:ascii="宋体" w:hAnsi="宋体"/>
          <w:sz w:val="24"/>
        </w:rPr>
      </w:pPr>
      <w:r>
        <w:rPr>
          <w:rFonts w:ascii="宋体" w:hAnsi="宋体"/>
          <w:sz w:val="24"/>
        </w:rPr>
        <w:t>　　40.2运至施工场地内用于工程的材料和待安装设备，由发包人办理保险，并支付保险费用。</w:t>
      </w:r>
    </w:p>
    <w:p w14:paraId="6C2FC633">
      <w:pPr>
        <w:spacing w:line="460" w:lineRule="exact"/>
        <w:rPr>
          <w:rFonts w:ascii="宋体" w:hAnsi="宋体"/>
          <w:sz w:val="24"/>
        </w:rPr>
      </w:pPr>
      <w:r>
        <w:rPr>
          <w:rFonts w:ascii="宋体" w:hAnsi="宋体"/>
          <w:sz w:val="24"/>
        </w:rPr>
        <w:t>　　40.3发包人可以将有关保险事项委托承包人办理，费用由发包人承担。</w:t>
      </w:r>
    </w:p>
    <w:p w14:paraId="0A0412F4">
      <w:pPr>
        <w:spacing w:line="460" w:lineRule="exact"/>
        <w:rPr>
          <w:rFonts w:ascii="宋体" w:hAnsi="宋体"/>
          <w:sz w:val="24"/>
        </w:rPr>
      </w:pPr>
      <w:r>
        <w:rPr>
          <w:rFonts w:ascii="宋体" w:hAnsi="宋体"/>
          <w:sz w:val="24"/>
        </w:rPr>
        <w:t>　　40.4承包人必须为人事危险作业的职工办理意外伤害保险，并为施工场地内自有人员生命财产和施工机械设备办理保险，支付保险费用。</w:t>
      </w:r>
    </w:p>
    <w:p w14:paraId="1DEDEC5C">
      <w:pPr>
        <w:spacing w:line="460" w:lineRule="exact"/>
        <w:rPr>
          <w:rFonts w:ascii="宋体" w:hAnsi="宋体"/>
          <w:sz w:val="24"/>
        </w:rPr>
      </w:pPr>
      <w:r>
        <w:rPr>
          <w:rFonts w:ascii="宋体" w:hAnsi="宋体"/>
          <w:sz w:val="24"/>
        </w:rPr>
        <w:t>　　40.5保险事故发生时，发包人承包人有责任尽力采取必要的措施，防止或者减少损失。</w:t>
      </w:r>
    </w:p>
    <w:p w14:paraId="11F4C800">
      <w:pPr>
        <w:spacing w:line="460" w:lineRule="exact"/>
        <w:rPr>
          <w:rFonts w:ascii="宋体" w:hAnsi="宋体"/>
          <w:sz w:val="24"/>
        </w:rPr>
      </w:pPr>
      <w:r>
        <w:rPr>
          <w:rFonts w:ascii="宋体" w:hAnsi="宋体"/>
          <w:sz w:val="24"/>
        </w:rPr>
        <w:t>　　40.6具体投保内容和相关责任，发包人承包人在专用条款中约定。</w:t>
      </w:r>
    </w:p>
    <w:p w14:paraId="15C5F4E8">
      <w:pPr>
        <w:spacing w:line="460" w:lineRule="exact"/>
        <w:rPr>
          <w:rFonts w:ascii="宋体" w:hAnsi="宋体"/>
          <w:sz w:val="24"/>
        </w:rPr>
      </w:pPr>
      <w:r>
        <w:rPr>
          <w:rFonts w:ascii="宋体" w:hAnsi="宋体"/>
          <w:sz w:val="24"/>
        </w:rPr>
        <w:t>　　</w:t>
      </w:r>
      <w:r>
        <w:rPr>
          <w:rFonts w:hint="eastAsia" w:ascii="宋体" w:hAnsi="宋体"/>
          <w:sz w:val="24"/>
          <w:lang w:val="en-US" w:eastAsia="zh-CN"/>
        </w:rPr>
        <w:t>41</w:t>
      </w:r>
      <w:r>
        <w:rPr>
          <w:rFonts w:ascii="宋体" w:hAnsi="宋体"/>
          <w:sz w:val="24"/>
        </w:rPr>
        <w:t>、担保</w:t>
      </w:r>
    </w:p>
    <w:p w14:paraId="709972FA">
      <w:pPr>
        <w:spacing w:line="460" w:lineRule="exact"/>
        <w:rPr>
          <w:rFonts w:ascii="宋体" w:hAnsi="宋体"/>
          <w:sz w:val="24"/>
        </w:rPr>
      </w:pPr>
      <w:r>
        <w:rPr>
          <w:rFonts w:ascii="宋体" w:hAnsi="宋体"/>
          <w:sz w:val="24"/>
        </w:rPr>
        <w:t>　　41.1发包人承包人为了全面履行合同，应互相提供以下担保：</w:t>
      </w:r>
    </w:p>
    <w:p w14:paraId="31373630">
      <w:pPr>
        <w:spacing w:line="460" w:lineRule="exact"/>
        <w:rPr>
          <w:rFonts w:ascii="宋体" w:hAnsi="宋体"/>
          <w:sz w:val="24"/>
        </w:rPr>
      </w:pPr>
      <w:r>
        <w:rPr>
          <w:rFonts w:ascii="宋体" w:hAnsi="宋体"/>
          <w:sz w:val="24"/>
        </w:rPr>
        <w:t>　　（1）发包人向承包人提供履约担保，按合同约定支付工程价款及履行合同约定的其他义务。</w:t>
      </w:r>
    </w:p>
    <w:p w14:paraId="22D37DDF">
      <w:pPr>
        <w:spacing w:line="460" w:lineRule="exact"/>
        <w:rPr>
          <w:rFonts w:ascii="宋体" w:hAnsi="宋体"/>
          <w:sz w:val="24"/>
        </w:rPr>
      </w:pPr>
      <w:r>
        <w:rPr>
          <w:rFonts w:ascii="宋体" w:hAnsi="宋体"/>
          <w:sz w:val="24"/>
        </w:rPr>
        <w:t>　　（2）承包人向发包人提供履约担保，按合同约定履行自己的各项义务。</w:t>
      </w:r>
    </w:p>
    <w:p w14:paraId="17ECE8ED">
      <w:pPr>
        <w:spacing w:line="460" w:lineRule="exact"/>
        <w:rPr>
          <w:rFonts w:ascii="宋体" w:hAnsi="宋体"/>
          <w:sz w:val="24"/>
        </w:rPr>
      </w:pPr>
      <w:r>
        <w:rPr>
          <w:rFonts w:ascii="宋体" w:hAnsi="宋体"/>
          <w:sz w:val="24"/>
        </w:rPr>
        <w:t>　　41.2一方违约后，另一方可要求提供担保的第三人承担相应责任。</w:t>
      </w:r>
    </w:p>
    <w:p w14:paraId="0A5F4D1A">
      <w:pPr>
        <w:spacing w:line="460" w:lineRule="exact"/>
        <w:rPr>
          <w:rFonts w:ascii="宋体" w:hAnsi="宋体"/>
          <w:sz w:val="24"/>
        </w:rPr>
      </w:pPr>
      <w:r>
        <w:rPr>
          <w:rFonts w:ascii="宋体" w:hAnsi="宋体"/>
          <w:sz w:val="24"/>
        </w:rPr>
        <w:t>　　41.3提供担保的内容、方式和相关责任，发包人承包人除在专用条款中约定外，被担保方与担保方还应签订担保合同，作为本合同附件。</w:t>
      </w:r>
    </w:p>
    <w:p w14:paraId="1855D386">
      <w:pPr>
        <w:spacing w:line="460" w:lineRule="exact"/>
        <w:rPr>
          <w:rFonts w:ascii="宋体" w:hAnsi="宋体"/>
          <w:sz w:val="24"/>
        </w:rPr>
      </w:pPr>
      <w:r>
        <w:rPr>
          <w:rFonts w:ascii="宋体" w:hAnsi="宋体"/>
          <w:sz w:val="24"/>
        </w:rPr>
        <w:t>　　</w:t>
      </w:r>
      <w:r>
        <w:rPr>
          <w:rFonts w:hint="eastAsia" w:ascii="宋体" w:hAnsi="宋体"/>
          <w:sz w:val="24"/>
          <w:lang w:val="en-US" w:eastAsia="zh-CN"/>
        </w:rPr>
        <w:t>42</w:t>
      </w:r>
      <w:r>
        <w:rPr>
          <w:rFonts w:ascii="宋体" w:hAnsi="宋体"/>
          <w:sz w:val="24"/>
        </w:rPr>
        <w:t>、专利技术及特殊工艺</w:t>
      </w:r>
    </w:p>
    <w:p w14:paraId="3C4843C5">
      <w:pPr>
        <w:spacing w:line="460" w:lineRule="exact"/>
        <w:rPr>
          <w:rFonts w:ascii="宋体" w:hAnsi="宋体"/>
          <w:sz w:val="24"/>
        </w:rPr>
      </w:pPr>
      <w:r>
        <w:rPr>
          <w:rFonts w:ascii="宋体" w:hAnsi="宋体"/>
          <w:sz w:val="24"/>
        </w:rPr>
        <w:t>　　42.1发包人要求使用专利技术或特殊工艺，就负责办理相应的申报手续，承担申报、试验、使用等费用；承包人提出使用专利技术或特殊工艺，应取得工程师认可，承包人负责办理申报手续并承担有关费用。</w:t>
      </w:r>
    </w:p>
    <w:p w14:paraId="68012491">
      <w:pPr>
        <w:spacing w:line="460" w:lineRule="exact"/>
        <w:rPr>
          <w:rFonts w:ascii="宋体" w:hAnsi="宋体"/>
          <w:sz w:val="24"/>
        </w:rPr>
      </w:pPr>
      <w:r>
        <w:rPr>
          <w:rFonts w:ascii="宋体" w:hAnsi="宋体"/>
          <w:sz w:val="24"/>
        </w:rPr>
        <w:t>　　42.2擅自使用专利技术侵犯他人专利权的，责任者依法承担相应责任。</w:t>
      </w:r>
    </w:p>
    <w:p w14:paraId="1886F4AE">
      <w:pPr>
        <w:spacing w:line="460" w:lineRule="exact"/>
        <w:rPr>
          <w:rFonts w:ascii="宋体" w:hAnsi="宋体"/>
          <w:sz w:val="24"/>
        </w:rPr>
      </w:pPr>
      <w:r>
        <w:rPr>
          <w:rFonts w:ascii="宋体" w:hAnsi="宋体"/>
          <w:sz w:val="24"/>
        </w:rPr>
        <w:t>　　</w:t>
      </w:r>
      <w:r>
        <w:rPr>
          <w:rFonts w:hint="eastAsia" w:ascii="宋体" w:hAnsi="宋体"/>
          <w:sz w:val="24"/>
          <w:lang w:val="en-US" w:eastAsia="zh-CN"/>
        </w:rPr>
        <w:t>43</w:t>
      </w:r>
      <w:r>
        <w:rPr>
          <w:rFonts w:ascii="宋体" w:hAnsi="宋体"/>
          <w:sz w:val="24"/>
        </w:rPr>
        <w:t>、文物和地下障碍物</w:t>
      </w:r>
    </w:p>
    <w:p w14:paraId="23F1E0BD">
      <w:pPr>
        <w:spacing w:line="460" w:lineRule="exact"/>
        <w:rPr>
          <w:rFonts w:ascii="宋体" w:hAnsi="宋体"/>
          <w:sz w:val="24"/>
        </w:rPr>
      </w:pPr>
      <w:r>
        <w:rPr>
          <w:rFonts w:ascii="宋体" w:hAnsi="宋体"/>
          <w:sz w:val="24"/>
        </w:rPr>
        <w:t>　　43.1在施工中发现古墓、古建筑遗址等文物及化石或其他有考古、地质研究等价值的物品时，承包人应立即保护好现场并于4小时内以书面形式通知工程师， 工程师应于收到书面通知后24小时内报告当地文物管理部门，发包人承包人按文物管理部门的要求采取妥善保护措施。发包人承担由此发生的费用，顺延延误的工期。</w:t>
      </w:r>
    </w:p>
    <w:p w14:paraId="04C2B74F">
      <w:pPr>
        <w:spacing w:line="460" w:lineRule="exact"/>
        <w:rPr>
          <w:rFonts w:ascii="宋体" w:hAnsi="宋体"/>
          <w:sz w:val="24"/>
        </w:rPr>
      </w:pPr>
      <w:r>
        <w:rPr>
          <w:rFonts w:ascii="宋体" w:hAnsi="宋体"/>
          <w:sz w:val="24"/>
        </w:rPr>
        <w:t>　　如发现后隐瞒不报，致使文物遭受破坏，责任者依法承担相应责任。</w:t>
      </w:r>
    </w:p>
    <w:p w14:paraId="1443CA31">
      <w:pPr>
        <w:spacing w:line="460" w:lineRule="exact"/>
        <w:rPr>
          <w:rFonts w:ascii="宋体" w:hAnsi="宋体"/>
          <w:sz w:val="24"/>
        </w:rPr>
      </w:pPr>
      <w:r>
        <w:rPr>
          <w:rFonts w:ascii="宋体" w:hAnsi="宋体"/>
          <w:sz w:val="24"/>
        </w:rPr>
        <w:t>　　43.2施工中了现影响施工的地下障碍物时，承包人应于8小时内以书面形式通知工程师，同时提出处置方案，工程师收到处置方案后24小时内予以认可或提出修正方案。发包人承担由此发生的费用，顺延延误的工期。</w:t>
      </w:r>
    </w:p>
    <w:p w14:paraId="7C235D1D">
      <w:pPr>
        <w:spacing w:line="460" w:lineRule="exact"/>
        <w:rPr>
          <w:rFonts w:ascii="宋体" w:hAnsi="宋体"/>
          <w:sz w:val="24"/>
        </w:rPr>
      </w:pPr>
      <w:r>
        <w:rPr>
          <w:rFonts w:ascii="宋体" w:hAnsi="宋体"/>
          <w:sz w:val="24"/>
        </w:rPr>
        <w:t>　　所发现的地下障碍物有归属单位时，发包人应报请有关部门协同处置。</w:t>
      </w:r>
    </w:p>
    <w:p w14:paraId="0DAED869">
      <w:pPr>
        <w:spacing w:line="460" w:lineRule="exact"/>
        <w:rPr>
          <w:rFonts w:ascii="宋体" w:hAnsi="宋体"/>
          <w:sz w:val="24"/>
        </w:rPr>
      </w:pPr>
      <w:r>
        <w:rPr>
          <w:rFonts w:ascii="宋体" w:hAnsi="宋体"/>
          <w:sz w:val="24"/>
        </w:rPr>
        <w:t>　　</w:t>
      </w:r>
      <w:r>
        <w:rPr>
          <w:rFonts w:hint="eastAsia" w:ascii="宋体" w:hAnsi="宋体"/>
          <w:sz w:val="24"/>
          <w:lang w:val="en-US" w:eastAsia="zh-CN"/>
        </w:rPr>
        <w:t>44</w:t>
      </w:r>
      <w:r>
        <w:rPr>
          <w:rFonts w:ascii="宋体" w:hAnsi="宋体"/>
          <w:sz w:val="24"/>
        </w:rPr>
        <w:t>、合同解除</w:t>
      </w:r>
    </w:p>
    <w:p w14:paraId="0FC63390">
      <w:pPr>
        <w:spacing w:line="460" w:lineRule="exact"/>
        <w:rPr>
          <w:rFonts w:ascii="宋体" w:hAnsi="宋体"/>
          <w:sz w:val="24"/>
        </w:rPr>
      </w:pPr>
      <w:r>
        <w:rPr>
          <w:rFonts w:ascii="宋体" w:hAnsi="宋体"/>
          <w:sz w:val="24"/>
        </w:rPr>
        <w:t>　　44.1发包人承包人协商一致，可以解除合同。</w:t>
      </w:r>
    </w:p>
    <w:p w14:paraId="263971B6">
      <w:pPr>
        <w:spacing w:line="460" w:lineRule="exact"/>
        <w:rPr>
          <w:rFonts w:ascii="宋体" w:hAnsi="宋体"/>
          <w:sz w:val="24"/>
        </w:rPr>
      </w:pPr>
      <w:r>
        <w:rPr>
          <w:rFonts w:ascii="宋体" w:hAnsi="宋体"/>
          <w:sz w:val="24"/>
        </w:rPr>
        <w:t>　　44.2发生本通用条款第26.4款情况，停止施工超过56天，发包人仍不支付工程款（进度款），承包人有权解除合同。</w:t>
      </w:r>
    </w:p>
    <w:p w14:paraId="192DE847">
      <w:pPr>
        <w:spacing w:line="460" w:lineRule="exact"/>
        <w:rPr>
          <w:rFonts w:ascii="宋体" w:hAnsi="宋体"/>
          <w:sz w:val="24"/>
        </w:rPr>
      </w:pPr>
      <w:r>
        <w:rPr>
          <w:rFonts w:ascii="宋体" w:hAnsi="宋体"/>
          <w:sz w:val="24"/>
        </w:rPr>
        <w:t>　　44.3发生本通用条款第38.2款禁止的情况，承包人将其承包的全部工程转包给他人或者肢解以后以分包的名义分别转包给他人，发包人有权解除合同。</w:t>
      </w:r>
    </w:p>
    <w:p w14:paraId="6E38D433">
      <w:pPr>
        <w:spacing w:line="460" w:lineRule="exact"/>
        <w:rPr>
          <w:rFonts w:ascii="宋体" w:hAnsi="宋体"/>
          <w:sz w:val="24"/>
        </w:rPr>
      </w:pPr>
      <w:r>
        <w:rPr>
          <w:rFonts w:ascii="宋体" w:hAnsi="宋体"/>
          <w:sz w:val="24"/>
        </w:rPr>
        <w:t>　　44.4有下列情形之一的，发包人承包人可以解除合同：</w:t>
      </w:r>
    </w:p>
    <w:p w14:paraId="251A2669">
      <w:pPr>
        <w:spacing w:line="460" w:lineRule="exact"/>
        <w:rPr>
          <w:rFonts w:ascii="宋体" w:hAnsi="宋体"/>
          <w:sz w:val="24"/>
        </w:rPr>
      </w:pPr>
      <w:r>
        <w:rPr>
          <w:rFonts w:ascii="宋体" w:hAnsi="宋体"/>
          <w:sz w:val="24"/>
        </w:rPr>
        <w:t>　　（1）因不可抗力致使合同无法履行；</w:t>
      </w:r>
    </w:p>
    <w:p w14:paraId="1543C28B">
      <w:pPr>
        <w:spacing w:line="460" w:lineRule="exact"/>
        <w:rPr>
          <w:rFonts w:ascii="宋体" w:hAnsi="宋体"/>
          <w:sz w:val="24"/>
        </w:rPr>
      </w:pPr>
      <w:r>
        <w:rPr>
          <w:rFonts w:ascii="宋体" w:hAnsi="宋体"/>
          <w:sz w:val="24"/>
        </w:rPr>
        <w:t>　　（2）因一方违约（包括因发包人原因造成工程停建或缓建）致使合同无法履行。</w:t>
      </w:r>
    </w:p>
    <w:p w14:paraId="4B50AB7B">
      <w:pPr>
        <w:spacing w:line="460" w:lineRule="exact"/>
        <w:rPr>
          <w:rFonts w:ascii="宋体" w:hAnsi="宋体"/>
          <w:sz w:val="24"/>
        </w:rPr>
      </w:pPr>
      <w:r>
        <w:rPr>
          <w:rFonts w:ascii="宋体" w:hAnsi="宋体"/>
          <w:sz w:val="24"/>
        </w:rPr>
        <w:t>　　44.5一方依据44.2、44.3、44.4款约定要求解除合同的，应以书面形式向对方发出解除合同的通知，并在发出通知前7天告知对方，通知到达对方时合同解除。对解除合同有争议的，按本通用条款第37条关于争议的约定处理。</w:t>
      </w:r>
    </w:p>
    <w:p w14:paraId="1FED4B4E">
      <w:pPr>
        <w:spacing w:line="460" w:lineRule="exact"/>
        <w:rPr>
          <w:rFonts w:ascii="宋体" w:hAnsi="宋体"/>
          <w:sz w:val="24"/>
        </w:rPr>
      </w:pPr>
      <w:r>
        <w:rPr>
          <w:rFonts w:ascii="宋体" w:hAnsi="宋体"/>
          <w:sz w:val="24"/>
        </w:rPr>
        <w:t>　　44.6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02930927">
      <w:pPr>
        <w:spacing w:line="460" w:lineRule="exact"/>
        <w:rPr>
          <w:rFonts w:ascii="宋体" w:hAnsi="宋体"/>
          <w:sz w:val="24"/>
        </w:rPr>
      </w:pPr>
      <w:r>
        <w:rPr>
          <w:rFonts w:ascii="宋体" w:hAnsi="宋体"/>
          <w:sz w:val="24"/>
        </w:rPr>
        <w:t>　　44.7合同解除后，不影响双方在合同中约定的结算和清理条款的效力。</w:t>
      </w:r>
    </w:p>
    <w:p w14:paraId="57A1CAA1">
      <w:pPr>
        <w:spacing w:line="460" w:lineRule="exact"/>
        <w:rPr>
          <w:rFonts w:ascii="宋体" w:hAnsi="宋体"/>
          <w:sz w:val="24"/>
        </w:rPr>
      </w:pPr>
      <w:r>
        <w:rPr>
          <w:rFonts w:ascii="宋体" w:hAnsi="宋体"/>
          <w:sz w:val="24"/>
        </w:rPr>
        <w:t>　　</w:t>
      </w:r>
      <w:r>
        <w:rPr>
          <w:rFonts w:hint="eastAsia" w:ascii="宋体" w:hAnsi="宋体"/>
          <w:sz w:val="24"/>
          <w:lang w:val="en-US" w:eastAsia="zh-CN"/>
        </w:rPr>
        <w:t>45</w:t>
      </w:r>
      <w:r>
        <w:rPr>
          <w:rFonts w:ascii="宋体" w:hAnsi="宋体"/>
          <w:sz w:val="24"/>
        </w:rPr>
        <w:t>、合同生效与终止</w:t>
      </w:r>
    </w:p>
    <w:p w14:paraId="69D4DEEA">
      <w:pPr>
        <w:spacing w:line="460" w:lineRule="exact"/>
        <w:rPr>
          <w:rFonts w:ascii="宋体" w:hAnsi="宋体"/>
          <w:sz w:val="24"/>
        </w:rPr>
      </w:pPr>
      <w:r>
        <w:rPr>
          <w:rFonts w:ascii="宋体" w:hAnsi="宋体"/>
          <w:sz w:val="24"/>
        </w:rPr>
        <w:t>　　45.1双方在协议书中约定合同生效方式。</w:t>
      </w:r>
    </w:p>
    <w:p w14:paraId="5B4247BF">
      <w:pPr>
        <w:spacing w:line="460" w:lineRule="exact"/>
        <w:rPr>
          <w:rFonts w:ascii="宋体" w:hAnsi="宋体"/>
          <w:sz w:val="24"/>
        </w:rPr>
      </w:pPr>
      <w:r>
        <w:rPr>
          <w:rFonts w:ascii="宋体" w:hAnsi="宋体"/>
          <w:sz w:val="24"/>
        </w:rPr>
        <w:t>　　45.2除本通用条款第34条外，发包人承包人履行合同全部义务，竣工结算价款支付完毕，承包人向发包人交付竣工工程后，本合同即告终止。</w:t>
      </w:r>
    </w:p>
    <w:p w14:paraId="40866084">
      <w:pPr>
        <w:spacing w:line="460" w:lineRule="exact"/>
        <w:rPr>
          <w:rFonts w:ascii="宋体" w:hAnsi="宋体"/>
          <w:sz w:val="24"/>
        </w:rPr>
      </w:pPr>
      <w:r>
        <w:rPr>
          <w:rFonts w:ascii="宋体" w:hAnsi="宋体"/>
          <w:sz w:val="24"/>
        </w:rPr>
        <w:t>　　45.3合同的权利义务终止后，发包人承包人应当遵循诚实信用原则，履行通知、协助、保密等义务。</w:t>
      </w:r>
    </w:p>
    <w:p w14:paraId="65E78FE5">
      <w:pPr>
        <w:spacing w:line="460" w:lineRule="exact"/>
        <w:rPr>
          <w:rFonts w:ascii="宋体" w:hAnsi="宋体"/>
          <w:sz w:val="24"/>
        </w:rPr>
      </w:pPr>
      <w:r>
        <w:rPr>
          <w:rFonts w:ascii="宋体" w:hAnsi="宋体"/>
          <w:sz w:val="24"/>
        </w:rPr>
        <w:t>　　</w:t>
      </w:r>
      <w:r>
        <w:rPr>
          <w:rFonts w:hint="eastAsia" w:ascii="宋体" w:hAnsi="宋体"/>
          <w:sz w:val="24"/>
          <w:lang w:val="en-US" w:eastAsia="zh-CN"/>
        </w:rPr>
        <w:t>46</w:t>
      </w:r>
      <w:r>
        <w:rPr>
          <w:rFonts w:ascii="宋体" w:hAnsi="宋体"/>
          <w:sz w:val="24"/>
        </w:rPr>
        <w:t>、合同份数</w:t>
      </w:r>
    </w:p>
    <w:p w14:paraId="51903ACB">
      <w:pPr>
        <w:spacing w:line="460" w:lineRule="exact"/>
        <w:rPr>
          <w:rFonts w:ascii="宋体" w:hAnsi="宋体"/>
          <w:sz w:val="24"/>
        </w:rPr>
      </w:pPr>
      <w:r>
        <w:rPr>
          <w:rFonts w:ascii="宋体" w:hAnsi="宋体"/>
          <w:sz w:val="24"/>
        </w:rPr>
        <w:t>　　46.1本合同正本两份，具有同等效力，由发包人承包人分别保存一份。</w:t>
      </w:r>
    </w:p>
    <w:p w14:paraId="51156C37">
      <w:pPr>
        <w:spacing w:line="460" w:lineRule="exact"/>
        <w:rPr>
          <w:rFonts w:ascii="宋体" w:hAnsi="宋体"/>
          <w:sz w:val="24"/>
        </w:rPr>
      </w:pPr>
      <w:r>
        <w:rPr>
          <w:rFonts w:ascii="宋体" w:hAnsi="宋体"/>
          <w:sz w:val="24"/>
        </w:rPr>
        <w:t>　　46.2本合同副本份数，由双方根据需要在专用条款内约定。</w:t>
      </w:r>
    </w:p>
    <w:p w14:paraId="2B01DA78">
      <w:pPr>
        <w:spacing w:line="460" w:lineRule="exact"/>
        <w:rPr>
          <w:rFonts w:ascii="宋体" w:hAnsi="宋体"/>
          <w:sz w:val="24"/>
        </w:rPr>
      </w:pPr>
      <w:r>
        <w:rPr>
          <w:rFonts w:ascii="宋体" w:hAnsi="宋体"/>
          <w:sz w:val="24"/>
        </w:rPr>
        <w:t>　　</w:t>
      </w:r>
      <w:r>
        <w:rPr>
          <w:rFonts w:hint="eastAsia" w:ascii="宋体" w:hAnsi="宋体"/>
          <w:sz w:val="24"/>
          <w:lang w:val="en-US" w:eastAsia="zh-CN"/>
        </w:rPr>
        <w:t>47</w:t>
      </w:r>
      <w:r>
        <w:rPr>
          <w:rFonts w:ascii="宋体" w:hAnsi="宋体"/>
          <w:sz w:val="24"/>
        </w:rPr>
        <w:t>、补充条款</w:t>
      </w:r>
    </w:p>
    <w:p w14:paraId="2665CB4A">
      <w:pPr>
        <w:spacing w:line="460" w:lineRule="exact"/>
        <w:rPr>
          <w:rFonts w:ascii="宋体" w:hAnsi="宋体"/>
          <w:sz w:val="24"/>
        </w:rPr>
      </w:pPr>
      <w:r>
        <w:rPr>
          <w:rFonts w:ascii="宋体" w:hAnsi="宋体"/>
          <w:sz w:val="24"/>
        </w:rPr>
        <w:t>　　双方根据有关法律、行政法规规定，结合工程实际经协商一致后，可对本通用条款内容具体化、补充或修改，在专用条款内约定。</w:t>
      </w:r>
    </w:p>
    <w:p w14:paraId="0A53F798">
      <w:pPr>
        <w:spacing w:line="460" w:lineRule="exact"/>
        <w:rPr>
          <w:rFonts w:ascii="宋体" w:hAnsi="宋体"/>
          <w:b/>
          <w:sz w:val="32"/>
          <w:szCs w:val="32"/>
        </w:rPr>
      </w:pPr>
    </w:p>
    <w:p w14:paraId="34B75B5C">
      <w:pPr>
        <w:rPr>
          <w:rFonts w:ascii="宋体" w:hAnsi="宋体"/>
          <w:b/>
          <w:sz w:val="28"/>
          <w:szCs w:val="28"/>
        </w:rPr>
      </w:pPr>
      <w:r>
        <w:rPr>
          <w:rFonts w:ascii="宋体" w:hAnsi="宋体"/>
          <w:b/>
          <w:sz w:val="28"/>
          <w:szCs w:val="28"/>
        </w:rPr>
        <w:br w:type="page"/>
      </w:r>
    </w:p>
    <w:p w14:paraId="390AFA62">
      <w:pPr>
        <w:spacing w:line="460" w:lineRule="exact"/>
        <w:jc w:val="center"/>
        <w:rPr>
          <w:rFonts w:ascii="宋体" w:hAnsi="宋体"/>
          <w:b/>
          <w:sz w:val="28"/>
          <w:szCs w:val="28"/>
        </w:rPr>
      </w:pPr>
      <w:r>
        <w:rPr>
          <w:rFonts w:hint="eastAsia" w:ascii="宋体" w:hAnsi="宋体"/>
          <w:b/>
          <w:sz w:val="28"/>
          <w:szCs w:val="28"/>
        </w:rPr>
        <w:t>第三部分   专用主要条款</w:t>
      </w:r>
    </w:p>
    <w:p w14:paraId="616DE0F0">
      <w:pPr>
        <w:spacing w:line="460" w:lineRule="exact"/>
        <w:rPr>
          <w:rFonts w:ascii="宋体" w:hAnsi="宋体"/>
          <w:sz w:val="24"/>
        </w:rPr>
      </w:pPr>
    </w:p>
    <w:p w14:paraId="05C9A5B3">
      <w:pPr>
        <w:spacing w:line="460" w:lineRule="exact"/>
        <w:ind w:firstLine="480" w:firstLineChars="200"/>
        <w:rPr>
          <w:rFonts w:ascii="宋体" w:hAnsi="宋体"/>
          <w:sz w:val="24"/>
        </w:rPr>
      </w:pPr>
      <w:r>
        <w:rPr>
          <w:rFonts w:hint="eastAsia" w:ascii="宋体" w:hAnsi="宋体"/>
          <w:sz w:val="24"/>
        </w:rPr>
        <w:t>一、词语定义及合同文件</w:t>
      </w:r>
    </w:p>
    <w:p w14:paraId="00DFC487">
      <w:pPr>
        <w:spacing w:line="460" w:lineRule="exact"/>
        <w:ind w:firstLine="480" w:firstLineChars="200"/>
        <w:rPr>
          <w:rFonts w:ascii="宋体" w:hAnsi="宋体"/>
          <w:sz w:val="24"/>
        </w:rPr>
      </w:pPr>
      <w:r>
        <w:rPr>
          <w:rFonts w:hint="eastAsia" w:ascii="宋体" w:hAnsi="宋体"/>
          <w:sz w:val="24"/>
        </w:rPr>
        <w:t xml:space="preserve">1.合同文件组成及解释顺序：效力高低按《协议书》第六条的顺序执行。                                                           </w:t>
      </w:r>
    </w:p>
    <w:p w14:paraId="52618E42">
      <w:pPr>
        <w:spacing w:line="460" w:lineRule="exact"/>
        <w:ind w:firstLine="480" w:firstLineChars="200"/>
        <w:rPr>
          <w:rFonts w:ascii="宋体" w:hAnsi="宋体"/>
          <w:sz w:val="24"/>
        </w:rPr>
      </w:pPr>
      <w:r>
        <w:rPr>
          <w:rFonts w:hint="eastAsia" w:ascii="宋体" w:hAnsi="宋体"/>
          <w:sz w:val="24"/>
        </w:rPr>
        <w:t>2.语言文字和适用法律、标准及规范</w:t>
      </w:r>
    </w:p>
    <w:p w14:paraId="0605363A">
      <w:pPr>
        <w:spacing w:line="460" w:lineRule="exact"/>
        <w:ind w:firstLine="480" w:firstLineChars="200"/>
        <w:rPr>
          <w:rFonts w:ascii="宋体" w:hAnsi="宋体"/>
          <w:sz w:val="24"/>
        </w:rPr>
      </w:pPr>
      <w:r>
        <w:rPr>
          <w:rFonts w:hint="eastAsia" w:ascii="宋体" w:hAnsi="宋体"/>
          <w:sz w:val="24"/>
        </w:rPr>
        <w:t>2.1 本合同使用：汉语。</w:t>
      </w:r>
    </w:p>
    <w:p w14:paraId="638ABCF0">
      <w:pPr>
        <w:spacing w:line="460" w:lineRule="exact"/>
        <w:ind w:firstLine="480" w:firstLineChars="200"/>
        <w:rPr>
          <w:rFonts w:ascii="宋体" w:hAnsi="宋体"/>
          <w:sz w:val="24"/>
        </w:rPr>
      </w:pPr>
      <w:r>
        <w:rPr>
          <w:rFonts w:hint="eastAsia" w:ascii="宋体" w:hAnsi="宋体"/>
          <w:sz w:val="24"/>
        </w:rPr>
        <w:t>2.2 适用法律和法规</w:t>
      </w:r>
    </w:p>
    <w:p w14:paraId="29389F51">
      <w:pPr>
        <w:spacing w:line="460" w:lineRule="exact"/>
        <w:ind w:firstLine="480" w:firstLineChars="200"/>
        <w:rPr>
          <w:rFonts w:ascii="宋体" w:hAnsi="宋体"/>
          <w:sz w:val="24"/>
        </w:rPr>
      </w:pPr>
      <w:r>
        <w:rPr>
          <w:rFonts w:hint="eastAsia" w:ascii="宋体" w:hAnsi="宋体"/>
          <w:sz w:val="24"/>
        </w:rPr>
        <w:t>适用法律、法规的名称：《中华人民共和国建筑法</w:t>
      </w:r>
      <w:r>
        <w:rPr>
          <w:rFonts w:hint="eastAsia" w:ascii="宋体" w:hAnsi="宋体"/>
          <w:sz w:val="24"/>
          <w:lang w:eastAsia="zh-CN"/>
        </w:rPr>
        <w:t>》《</w:t>
      </w:r>
      <w:r>
        <w:rPr>
          <w:rFonts w:hint="eastAsia" w:ascii="宋体" w:hAnsi="宋体"/>
          <w:sz w:val="24"/>
        </w:rPr>
        <w:t>中华人民共和国</w:t>
      </w:r>
      <w:r>
        <w:rPr>
          <w:rFonts w:hint="eastAsia" w:ascii="宋体" w:hAnsi="宋体"/>
          <w:sz w:val="24"/>
          <w:lang w:eastAsia="zh-CN"/>
        </w:rPr>
        <w:t>民法典》《</w:t>
      </w:r>
      <w:r>
        <w:rPr>
          <w:rFonts w:hint="eastAsia" w:ascii="宋体" w:hAnsi="宋体"/>
          <w:sz w:val="24"/>
        </w:rPr>
        <w:t xml:space="preserve"> 中华人民共和国招标投标法</w:t>
      </w:r>
      <w:r>
        <w:rPr>
          <w:rFonts w:hint="eastAsia" w:ascii="宋体" w:hAnsi="宋体"/>
          <w:sz w:val="24"/>
          <w:lang w:eastAsia="zh-CN"/>
        </w:rPr>
        <w:t>》《</w:t>
      </w:r>
      <w:r>
        <w:rPr>
          <w:rFonts w:hint="eastAsia" w:ascii="宋体" w:hAnsi="宋体"/>
          <w:sz w:val="24"/>
        </w:rPr>
        <w:t>中华人民共和国安全生产法》、 国务院《建设工程质量管理条例》、建设部2001年第89号令《房屋建筑和市政基础设施工程施工招标投标管理办法》、七部委2003年第30号令《工程建设项目施工招标投标办法》、中华人民共和国建设部令第107号（2001）《建筑工程施工发包与承包计价管理办法》及财建[2004]369号文等国家及云南省颁布的现行法律、法规和条例。</w:t>
      </w:r>
    </w:p>
    <w:p w14:paraId="3EFFEBD2">
      <w:pPr>
        <w:spacing w:line="460" w:lineRule="exact"/>
        <w:ind w:firstLine="480" w:firstLineChars="200"/>
        <w:rPr>
          <w:rFonts w:ascii="宋体" w:hAnsi="宋体"/>
          <w:sz w:val="24"/>
        </w:rPr>
      </w:pPr>
      <w:r>
        <w:rPr>
          <w:rFonts w:hint="eastAsia" w:ascii="宋体" w:hAnsi="宋体"/>
          <w:sz w:val="24"/>
        </w:rPr>
        <w:t>2.3 适用标准、规范</w:t>
      </w:r>
    </w:p>
    <w:p w14:paraId="5ECAF470">
      <w:pPr>
        <w:spacing w:line="460" w:lineRule="exact"/>
        <w:ind w:firstLine="480" w:firstLineChars="200"/>
        <w:rPr>
          <w:rFonts w:ascii="宋体" w:hAnsi="宋体"/>
          <w:sz w:val="24"/>
        </w:rPr>
      </w:pPr>
      <w:r>
        <w:rPr>
          <w:rFonts w:hint="eastAsia" w:ascii="宋体" w:hAnsi="宋体"/>
          <w:sz w:val="24"/>
        </w:rPr>
        <w:t>适用标准、规范的名称：国家及云南省现行的有关法律法规。</w:t>
      </w:r>
    </w:p>
    <w:p w14:paraId="48EF2C30">
      <w:pPr>
        <w:spacing w:line="460" w:lineRule="exact"/>
        <w:ind w:firstLine="480" w:firstLineChars="200"/>
        <w:rPr>
          <w:rFonts w:ascii="宋体" w:hAnsi="宋体"/>
          <w:sz w:val="24"/>
        </w:rPr>
      </w:pPr>
      <w:r>
        <w:rPr>
          <w:rFonts w:hint="eastAsia" w:ascii="宋体" w:hAnsi="宋体"/>
          <w:sz w:val="24"/>
        </w:rPr>
        <w:t>发包人提供标准、规范的时间：无。</w:t>
      </w:r>
    </w:p>
    <w:p w14:paraId="7FA701FA">
      <w:pPr>
        <w:spacing w:line="460" w:lineRule="exact"/>
        <w:ind w:firstLine="480" w:firstLineChars="200"/>
        <w:rPr>
          <w:rFonts w:ascii="宋体" w:hAnsi="宋体"/>
          <w:sz w:val="24"/>
        </w:rPr>
      </w:pPr>
      <w:r>
        <w:rPr>
          <w:rFonts w:hint="eastAsia" w:ascii="宋体" w:hAnsi="宋体"/>
          <w:sz w:val="24"/>
        </w:rPr>
        <w:t>国内没有相应标准、规范时的约定：如有发生，甲乙双方协商解决。</w:t>
      </w:r>
    </w:p>
    <w:p w14:paraId="62A812C1">
      <w:pPr>
        <w:spacing w:line="460" w:lineRule="exact"/>
        <w:ind w:firstLine="480" w:firstLineChars="200"/>
        <w:rPr>
          <w:rFonts w:ascii="宋体" w:hAnsi="宋体"/>
          <w:sz w:val="24"/>
        </w:rPr>
      </w:pPr>
      <w:r>
        <w:rPr>
          <w:rFonts w:hint="eastAsia" w:ascii="宋体" w:hAnsi="宋体"/>
          <w:sz w:val="24"/>
        </w:rPr>
        <w:t>3.图纸</w:t>
      </w:r>
    </w:p>
    <w:p w14:paraId="2CF04149">
      <w:pPr>
        <w:spacing w:line="460" w:lineRule="exact"/>
        <w:ind w:firstLine="480" w:firstLineChars="200"/>
        <w:rPr>
          <w:rFonts w:ascii="宋体" w:hAnsi="宋体"/>
          <w:sz w:val="24"/>
        </w:rPr>
      </w:pPr>
      <w:r>
        <w:rPr>
          <w:rFonts w:hint="eastAsia" w:ascii="宋体" w:hAnsi="宋体"/>
          <w:sz w:val="24"/>
        </w:rPr>
        <w:t>3.1 发包人向承包人提供图纸日期和套数： 开工前七天内，发包人向承包人提供施工图四套（不含竣工图，如需增加施工图，费用由承包人承担）。</w:t>
      </w:r>
    </w:p>
    <w:p w14:paraId="54521BE2">
      <w:pPr>
        <w:spacing w:line="460" w:lineRule="exact"/>
        <w:ind w:firstLine="480" w:firstLineChars="200"/>
        <w:rPr>
          <w:rFonts w:ascii="宋体" w:hAnsi="宋体"/>
          <w:sz w:val="24"/>
        </w:rPr>
      </w:pPr>
      <w:r>
        <w:rPr>
          <w:rFonts w:hint="eastAsia" w:ascii="宋体" w:hAnsi="宋体"/>
          <w:sz w:val="24"/>
        </w:rPr>
        <w:t xml:space="preserve">发包人对图纸的保密要求：未经发包人同意，承包人无权将图纸及其复印件提供给任何第三人。           </w:t>
      </w:r>
    </w:p>
    <w:p w14:paraId="7D5D4208">
      <w:pPr>
        <w:spacing w:line="460" w:lineRule="exact"/>
        <w:ind w:firstLine="480" w:firstLineChars="200"/>
        <w:rPr>
          <w:rFonts w:ascii="宋体" w:hAnsi="宋体"/>
          <w:sz w:val="24"/>
        </w:rPr>
      </w:pPr>
      <w:r>
        <w:rPr>
          <w:rFonts w:hint="eastAsia" w:ascii="宋体" w:hAnsi="宋体"/>
          <w:sz w:val="24"/>
        </w:rPr>
        <w:t xml:space="preserve">使用国外图纸的要求及费用承担：无 </w:t>
      </w:r>
    </w:p>
    <w:p w14:paraId="2B329BA7">
      <w:pPr>
        <w:spacing w:line="460" w:lineRule="exact"/>
        <w:ind w:firstLine="480" w:firstLineChars="200"/>
        <w:rPr>
          <w:rFonts w:ascii="宋体" w:hAnsi="宋体"/>
          <w:sz w:val="24"/>
        </w:rPr>
      </w:pPr>
      <w:r>
        <w:rPr>
          <w:rFonts w:hint="eastAsia" w:ascii="宋体" w:hAnsi="宋体"/>
          <w:sz w:val="24"/>
        </w:rPr>
        <w:t>二、双方一般权利和义务</w:t>
      </w:r>
    </w:p>
    <w:p w14:paraId="239A5FC2">
      <w:pPr>
        <w:spacing w:line="460" w:lineRule="exact"/>
        <w:ind w:firstLine="480" w:firstLineChars="200"/>
        <w:rPr>
          <w:rFonts w:ascii="宋体" w:hAnsi="宋体"/>
          <w:sz w:val="24"/>
        </w:rPr>
      </w:pPr>
      <w:r>
        <w:rPr>
          <w:rFonts w:hint="eastAsia" w:ascii="宋体" w:hAnsi="宋体"/>
          <w:sz w:val="24"/>
        </w:rPr>
        <w:t>4.工程师</w:t>
      </w:r>
    </w:p>
    <w:p w14:paraId="12186514">
      <w:pPr>
        <w:spacing w:line="460" w:lineRule="exact"/>
        <w:ind w:firstLine="480" w:firstLineChars="200"/>
        <w:rPr>
          <w:rFonts w:ascii="宋体" w:hAnsi="宋体"/>
          <w:sz w:val="24"/>
        </w:rPr>
      </w:pPr>
      <w:r>
        <w:rPr>
          <w:rFonts w:hint="eastAsia" w:ascii="宋体" w:hAnsi="宋体"/>
          <w:sz w:val="24"/>
        </w:rPr>
        <w:t>4.1 监理单位委派的工程师</w:t>
      </w:r>
    </w:p>
    <w:p w14:paraId="47E900D7">
      <w:pPr>
        <w:spacing w:line="460" w:lineRule="exact"/>
        <w:ind w:firstLine="480" w:firstLineChars="200"/>
        <w:rPr>
          <w:rFonts w:ascii="宋体" w:hAnsi="宋体"/>
          <w:sz w:val="24"/>
        </w:rPr>
      </w:pPr>
      <w:r>
        <w:rPr>
          <w:rFonts w:hint="eastAsia" w:ascii="宋体" w:hAnsi="宋体"/>
          <w:sz w:val="24"/>
        </w:rPr>
        <w:t xml:space="preserve">姓名：      职务：       联系电话：   </w:t>
      </w:r>
    </w:p>
    <w:p w14:paraId="4B569298">
      <w:pPr>
        <w:spacing w:line="460" w:lineRule="exact"/>
        <w:ind w:firstLine="480" w:firstLineChars="200"/>
        <w:rPr>
          <w:rFonts w:ascii="宋体" w:hAnsi="宋体"/>
          <w:sz w:val="24"/>
        </w:rPr>
      </w:pPr>
      <w:r>
        <w:rPr>
          <w:rFonts w:hint="eastAsia" w:ascii="宋体" w:hAnsi="宋体"/>
          <w:sz w:val="24"/>
        </w:rPr>
        <w:t xml:space="preserve">    发包人委托的职权：按监理合同和监理规范执行。</w:t>
      </w:r>
    </w:p>
    <w:p w14:paraId="489BC2B9">
      <w:pPr>
        <w:spacing w:line="460" w:lineRule="exact"/>
        <w:ind w:firstLine="480" w:firstLineChars="200"/>
        <w:rPr>
          <w:rFonts w:ascii="宋体" w:hAnsi="宋体"/>
          <w:sz w:val="24"/>
        </w:rPr>
      </w:pPr>
      <w:r>
        <w:rPr>
          <w:rFonts w:hint="eastAsia" w:ascii="宋体" w:hAnsi="宋体"/>
          <w:sz w:val="24"/>
        </w:rPr>
        <w:t xml:space="preserve">    需要取得发包人批准才能行使的职权：按监理合同和监理规范执行。</w:t>
      </w:r>
    </w:p>
    <w:p w14:paraId="3D77832E">
      <w:pPr>
        <w:spacing w:line="460" w:lineRule="exact"/>
        <w:ind w:firstLine="480" w:firstLineChars="200"/>
        <w:rPr>
          <w:rFonts w:ascii="宋体" w:hAnsi="宋体"/>
          <w:sz w:val="24"/>
        </w:rPr>
      </w:pPr>
      <w:r>
        <w:rPr>
          <w:rFonts w:hint="eastAsia" w:ascii="宋体" w:hAnsi="宋体"/>
          <w:sz w:val="24"/>
        </w:rPr>
        <w:t>4.2 发包人派驻的项目负责人(</w:t>
      </w:r>
      <w:r>
        <w:rPr>
          <w:rFonts w:ascii="宋体" w:hAnsi="宋体"/>
          <w:sz w:val="24"/>
        </w:rPr>
        <w:fldChar w:fldCharType="begin"/>
      </w:r>
      <w:r>
        <w:rPr>
          <w:rFonts w:ascii="宋体" w:hAnsi="宋体"/>
          <w:sz w:val="24"/>
        </w:rPr>
        <w:instrText xml:space="preserve"> DOCPROPERTY  用户单位  \* MERGEFORMAT </w:instrText>
      </w:r>
      <w:r>
        <w:rPr>
          <w:rFonts w:ascii="宋体" w:hAnsi="宋体"/>
          <w:sz w:val="24"/>
        </w:rPr>
        <w:fldChar w:fldCharType="separate"/>
      </w:r>
      <w:r>
        <w:rPr>
          <w:rFonts w:hint="eastAsia" w:ascii="宋体" w:hAnsi="宋体"/>
          <w:sz w:val="24"/>
        </w:rPr>
        <w:t>资产管理处</w:t>
      </w:r>
      <w:r>
        <w:rPr>
          <w:rFonts w:ascii="宋体" w:hAnsi="宋体"/>
          <w:sz w:val="24"/>
        </w:rPr>
        <w:fldChar w:fldCharType="end"/>
      </w:r>
      <w:r>
        <w:rPr>
          <w:rFonts w:hint="eastAsia" w:ascii="宋体" w:hAnsi="宋体"/>
          <w:sz w:val="24"/>
        </w:rPr>
        <w:t>)</w:t>
      </w:r>
    </w:p>
    <w:p w14:paraId="4D40A9DD">
      <w:pPr>
        <w:spacing w:line="460" w:lineRule="exact"/>
        <w:ind w:firstLine="480" w:firstLineChars="200"/>
        <w:rPr>
          <w:rFonts w:ascii="宋体" w:hAnsi="宋体"/>
          <w:sz w:val="24"/>
        </w:rPr>
      </w:pPr>
      <w:r>
        <w:rPr>
          <w:rFonts w:hint="eastAsia" w:ascii="宋体" w:hAnsi="宋体"/>
          <w:sz w:val="24"/>
        </w:rPr>
        <w:t xml:space="preserve">姓名：    联系电话：   </w:t>
      </w:r>
    </w:p>
    <w:p w14:paraId="028545D7">
      <w:pPr>
        <w:spacing w:line="460" w:lineRule="exact"/>
        <w:ind w:firstLine="480" w:firstLineChars="200"/>
        <w:rPr>
          <w:rFonts w:ascii="宋体" w:hAnsi="宋体"/>
          <w:sz w:val="24"/>
        </w:rPr>
      </w:pPr>
      <w:r>
        <w:rPr>
          <w:rFonts w:hint="eastAsia" w:ascii="宋体" w:hAnsi="宋体"/>
          <w:sz w:val="24"/>
        </w:rPr>
        <w:t>职权：代表发包人监督、检查乙方所做工程（包括隐蔽工程等）。</w:t>
      </w:r>
    </w:p>
    <w:p w14:paraId="1036AAB0">
      <w:pPr>
        <w:spacing w:line="460" w:lineRule="exact"/>
        <w:ind w:firstLine="480" w:firstLineChars="200"/>
        <w:rPr>
          <w:rFonts w:ascii="宋体" w:hAnsi="宋体"/>
          <w:sz w:val="24"/>
        </w:rPr>
      </w:pPr>
      <w:r>
        <w:rPr>
          <w:rFonts w:hint="eastAsia" w:ascii="宋体" w:hAnsi="宋体"/>
          <w:sz w:val="24"/>
        </w:rPr>
        <w:t xml:space="preserve">5.承包人派驻的项目经理：           ，  联系电话：          </w:t>
      </w:r>
    </w:p>
    <w:p w14:paraId="35699FDA">
      <w:pPr>
        <w:spacing w:line="460" w:lineRule="exact"/>
        <w:ind w:firstLine="480" w:firstLineChars="200"/>
        <w:rPr>
          <w:rFonts w:ascii="宋体" w:hAnsi="宋体"/>
          <w:sz w:val="24"/>
        </w:rPr>
      </w:pPr>
      <w:r>
        <w:rPr>
          <w:rFonts w:hint="eastAsia" w:ascii="宋体" w:hAnsi="宋体"/>
          <w:sz w:val="24"/>
        </w:rPr>
        <w:t xml:space="preserve">承包人派驻的现场负责人：          ，联系电话：       </w:t>
      </w:r>
      <w:r>
        <w:rPr>
          <w:rFonts w:ascii="宋体" w:hAnsi="宋体"/>
          <w:sz w:val="24"/>
        </w:rPr>
        <w:t xml:space="preserve"> </w:t>
      </w:r>
    </w:p>
    <w:p w14:paraId="4A1F3A0C">
      <w:pPr>
        <w:spacing w:line="460" w:lineRule="exact"/>
        <w:ind w:firstLine="480" w:firstLineChars="200"/>
        <w:rPr>
          <w:rFonts w:ascii="宋体" w:hAnsi="宋体"/>
          <w:sz w:val="24"/>
        </w:rPr>
      </w:pPr>
      <w:r>
        <w:rPr>
          <w:rFonts w:hint="eastAsia" w:ascii="宋体" w:hAnsi="宋体"/>
          <w:sz w:val="24"/>
        </w:rPr>
        <w:t>5.1 派驻本合同工程的项目经理和项目技术负责人不得兼任其他工程职务。承包人派驻的主要技术人员离开工地，应经发包人批准同意，未经发包人同意擅自离开现场超过1天，承包人应向发包人支付1000元/人.天的违约金。</w:t>
      </w:r>
    </w:p>
    <w:p w14:paraId="2847831E">
      <w:pPr>
        <w:spacing w:line="460" w:lineRule="exact"/>
        <w:ind w:firstLine="480" w:firstLineChars="200"/>
        <w:rPr>
          <w:rFonts w:ascii="宋体" w:hAnsi="宋体"/>
          <w:sz w:val="24"/>
        </w:rPr>
      </w:pPr>
      <w:r>
        <w:rPr>
          <w:rFonts w:hint="eastAsia" w:ascii="宋体" w:hAnsi="宋体"/>
          <w:sz w:val="24"/>
        </w:rPr>
        <w:t>5.2 项目完工前未经发包人许可，承包人不得擅自更换项目经理及现场负责人，否则，承包人应承担违约责任，并承担擅自更换项目经理、技术负责人每人每次1万元的罚款，主要专业工程师每人每次1万元的罚款。</w:t>
      </w:r>
    </w:p>
    <w:p w14:paraId="4D2A9584">
      <w:pPr>
        <w:spacing w:line="460" w:lineRule="exact"/>
        <w:ind w:firstLine="480" w:firstLineChars="200"/>
        <w:rPr>
          <w:rFonts w:ascii="宋体" w:hAnsi="宋体"/>
          <w:sz w:val="24"/>
        </w:rPr>
      </w:pPr>
      <w:r>
        <w:rPr>
          <w:rFonts w:hint="eastAsia" w:ascii="宋体" w:hAnsi="宋体"/>
          <w:sz w:val="24"/>
        </w:rPr>
        <w:t>5.3 发包人发现承包人派驻现场的人员不能满足项目实施要求，有权要求承包人更换或增派相关人员，承包人应立即执行，否则将视承包人违约。</w:t>
      </w:r>
    </w:p>
    <w:p w14:paraId="33D0F917">
      <w:pPr>
        <w:spacing w:line="460" w:lineRule="exact"/>
        <w:ind w:firstLine="480" w:firstLineChars="200"/>
        <w:rPr>
          <w:rFonts w:ascii="宋体" w:hAnsi="宋体"/>
          <w:sz w:val="24"/>
        </w:rPr>
      </w:pPr>
      <w:r>
        <w:rPr>
          <w:rFonts w:hint="eastAsia" w:ascii="宋体" w:hAnsi="宋体"/>
          <w:sz w:val="24"/>
        </w:rPr>
        <w:t>6.发包人工作</w:t>
      </w:r>
    </w:p>
    <w:p w14:paraId="3745854A">
      <w:pPr>
        <w:spacing w:line="460" w:lineRule="exact"/>
        <w:ind w:firstLine="480" w:firstLineChars="200"/>
        <w:rPr>
          <w:rFonts w:ascii="宋体" w:hAnsi="宋体"/>
          <w:sz w:val="24"/>
        </w:rPr>
      </w:pPr>
      <w:r>
        <w:rPr>
          <w:rFonts w:hint="eastAsia" w:ascii="宋体" w:hAnsi="宋体"/>
          <w:sz w:val="24"/>
        </w:rPr>
        <w:t>6.1 发包人应按约定的时间和要求完成以下工作：</w:t>
      </w:r>
    </w:p>
    <w:p w14:paraId="6C78CD29">
      <w:pPr>
        <w:spacing w:line="460" w:lineRule="exact"/>
        <w:ind w:firstLine="480" w:firstLineChars="200"/>
        <w:rPr>
          <w:rFonts w:ascii="宋体" w:hAnsi="宋体"/>
          <w:sz w:val="24"/>
        </w:rPr>
      </w:pPr>
      <w:r>
        <w:rPr>
          <w:rFonts w:hint="eastAsia" w:ascii="宋体" w:hAnsi="宋体"/>
          <w:sz w:val="24"/>
        </w:rPr>
        <w:t>(1) 施工场地具备施工条件的要求及完成的时间：已具备施工条件。</w:t>
      </w:r>
    </w:p>
    <w:p w14:paraId="1CBEDF6A">
      <w:pPr>
        <w:spacing w:line="460" w:lineRule="exact"/>
        <w:ind w:firstLine="480" w:firstLineChars="200"/>
        <w:rPr>
          <w:rFonts w:ascii="宋体" w:hAnsi="宋体"/>
          <w:sz w:val="24"/>
        </w:rPr>
      </w:pPr>
      <w:r>
        <w:rPr>
          <w:rFonts w:hint="eastAsia" w:ascii="宋体" w:hAnsi="宋体"/>
          <w:sz w:val="24"/>
        </w:rPr>
        <w:t>(2) 将施工所需的水、电、电讯线路接至施工场地的时间、地点和供应要求：提供相应的水源点、电源点，由承包人装表计量。承包人根据实际用量加相应10%的损耗交纳水电费，并负责管护相应水电设备。</w:t>
      </w:r>
    </w:p>
    <w:p w14:paraId="36A49043">
      <w:pPr>
        <w:spacing w:line="460" w:lineRule="exact"/>
        <w:ind w:firstLine="480" w:firstLineChars="200"/>
        <w:rPr>
          <w:rFonts w:ascii="宋体" w:hAnsi="宋体"/>
          <w:sz w:val="24"/>
        </w:rPr>
      </w:pPr>
      <w:r>
        <w:rPr>
          <w:rFonts w:hint="eastAsia" w:ascii="宋体" w:hAnsi="宋体"/>
          <w:sz w:val="24"/>
        </w:rPr>
        <w:t>(3) 施工场地与公共道路的通道开通时间和要求：开工前三天。</w:t>
      </w:r>
    </w:p>
    <w:p w14:paraId="563C44C2">
      <w:pPr>
        <w:spacing w:line="460" w:lineRule="exact"/>
        <w:ind w:firstLine="480" w:firstLineChars="200"/>
        <w:rPr>
          <w:rFonts w:ascii="宋体" w:hAnsi="宋体"/>
          <w:sz w:val="24"/>
        </w:rPr>
      </w:pPr>
      <w:r>
        <w:rPr>
          <w:rFonts w:hint="eastAsia" w:ascii="宋体" w:hAnsi="宋体"/>
          <w:sz w:val="24"/>
        </w:rPr>
        <w:t>(4) 工程地质和地下管线资料的提供时间：开工前七天内。</w:t>
      </w:r>
    </w:p>
    <w:p w14:paraId="577CB606">
      <w:pPr>
        <w:spacing w:line="460" w:lineRule="exact"/>
        <w:ind w:firstLine="480" w:firstLineChars="200"/>
        <w:rPr>
          <w:rFonts w:ascii="宋体" w:hAnsi="宋体"/>
          <w:sz w:val="24"/>
        </w:rPr>
      </w:pPr>
      <w:r>
        <w:rPr>
          <w:rFonts w:hint="eastAsia" w:ascii="宋体" w:hAnsi="宋体"/>
          <w:sz w:val="24"/>
        </w:rPr>
        <w:t>(5) 水准点与坐标控制点交验要求：开工前十天内按“通用条款”8.1条（6）款执行。</w:t>
      </w:r>
    </w:p>
    <w:p w14:paraId="7CF13C6A">
      <w:pPr>
        <w:spacing w:line="460" w:lineRule="exact"/>
        <w:ind w:firstLine="480" w:firstLineChars="200"/>
        <w:rPr>
          <w:rFonts w:ascii="宋体" w:hAnsi="宋体"/>
          <w:sz w:val="24"/>
        </w:rPr>
      </w:pPr>
      <w:r>
        <w:rPr>
          <w:rFonts w:hint="eastAsia" w:ascii="宋体" w:hAnsi="宋体"/>
          <w:sz w:val="24"/>
        </w:rPr>
        <w:t>(6) 图纸会审和设计交底时间：由双方协商确定。</w:t>
      </w:r>
    </w:p>
    <w:p w14:paraId="4E94A99E">
      <w:pPr>
        <w:spacing w:line="460" w:lineRule="exact"/>
        <w:ind w:firstLine="480" w:firstLineChars="200"/>
        <w:rPr>
          <w:rFonts w:ascii="宋体" w:hAnsi="宋体"/>
          <w:sz w:val="24"/>
        </w:rPr>
      </w:pPr>
      <w:r>
        <w:rPr>
          <w:rFonts w:hint="eastAsia" w:ascii="宋体" w:hAnsi="宋体"/>
          <w:sz w:val="24"/>
        </w:rPr>
        <w:t xml:space="preserve">(7) 协调处理施工场地周围地下管线和邻近建筑物、构筑物（含文物保护建筑）、古树名木的保护工作：按通用条款8.1条（8）款执行。 </w:t>
      </w:r>
    </w:p>
    <w:p w14:paraId="1687749E">
      <w:pPr>
        <w:spacing w:line="460" w:lineRule="exact"/>
        <w:ind w:firstLine="480" w:firstLineChars="200"/>
        <w:rPr>
          <w:rFonts w:ascii="宋体" w:hAnsi="宋体"/>
          <w:sz w:val="24"/>
        </w:rPr>
      </w:pPr>
      <w:r>
        <w:rPr>
          <w:rFonts w:hint="eastAsia" w:ascii="宋体" w:hAnsi="宋体"/>
          <w:sz w:val="24"/>
        </w:rPr>
        <w:t xml:space="preserve">(8)双方约定发包人应做的其他工作：施工中双方友好协商解决。 </w:t>
      </w:r>
    </w:p>
    <w:p w14:paraId="0BB21151">
      <w:pPr>
        <w:spacing w:line="460" w:lineRule="exact"/>
        <w:ind w:firstLine="480" w:firstLineChars="200"/>
        <w:rPr>
          <w:rFonts w:ascii="宋体" w:hAnsi="宋体"/>
          <w:sz w:val="24"/>
        </w:rPr>
      </w:pPr>
      <w:r>
        <w:rPr>
          <w:rFonts w:hint="eastAsia" w:ascii="宋体" w:hAnsi="宋体"/>
          <w:sz w:val="24"/>
        </w:rPr>
        <w:t xml:space="preserve">6.2 发包人委托承包人办理的工作： 施工中双方友好协商解决。  </w:t>
      </w:r>
    </w:p>
    <w:p w14:paraId="5FEFD7C4">
      <w:pPr>
        <w:spacing w:line="460" w:lineRule="exact"/>
        <w:ind w:firstLine="480" w:firstLineChars="200"/>
        <w:rPr>
          <w:rFonts w:ascii="宋体" w:hAnsi="宋体"/>
          <w:sz w:val="24"/>
        </w:rPr>
      </w:pPr>
      <w:r>
        <w:rPr>
          <w:rFonts w:hint="eastAsia" w:ascii="宋体" w:hAnsi="宋体"/>
          <w:sz w:val="24"/>
        </w:rPr>
        <w:t>7.承包人工作</w:t>
      </w:r>
    </w:p>
    <w:p w14:paraId="7583404F">
      <w:pPr>
        <w:spacing w:line="460" w:lineRule="exact"/>
        <w:ind w:firstLine="480" w:firstLineChars="200"/>
        <w:rPr>
          <w:rFonts w:ascii="宋体" w:hAnsi="宋体"/>
          <w:sz w:val="24"/>
        </w:rPr>
      </w:pPr>
      <w:r>
        <w:rPr>
          <w:rFonts w:hint="eastAsia" w:ascii="宋体" w:hAnsi="宋体"/>
          <w:sz w:val="24"/>
        </w:rPr>
        <w:t>7.1 承包人应按约定时间和要求，完成以下工作：</w:t>
      </w:r>
    </w:p>
    <w:p w14:paraId="01A4E5D7">
      <w:pPr>
        <w:spacing w:line="460" w:lineRule="exact"/>
        <w:ind w:firstLine="480" w:firstLineChars="200"/>
        <w:rPr>
          <w:rFonts w:ascii="宋体" w:hAnsi="宋体"/>
          <w:sz w:val="24"/>
        </w:rPr>
      </w:pPr>
      <w:r>
        <w:rPr>
          <w:rFonts w:hint="eastAsia" w:ascii="宋体" w:hAnsi="宋体"/>
          <w:sz w:val="24"/>
        </w:rPr>
        <w:t xml:space="preserve">(1)需由设计资质等级和业务范围允许的承包人完成的设计文件提交时间：  无  </w:t>
      </w:r>
    </w:p>
    <w:p w14:paraId="07DBFD17">
      <w:pPr>
        <w:spacing w:line="460" w:lineRule="exact"/>
        <w:ind w:firstLine="480" w:firstLineChars="200"/>
        <w:rPr>
          <w:rFonts w:ascii="宋体" w:hAnsi="宋体"/>
          <w:sz w:val="24"/>
        </w:rPr>
      </w:pPr>
      <w:r>
        <w:rPr>
          <w:rFonts w:hint="eastAsia" w:ascii="宋体" w:hAnsi="宋体"/>
          <w:sz w:val="24"/>
        </w:rPr>
        <w:t>(2)应提供计划、报表的名称及完成时间：每月25日前向发包人提交当月完成的工程量报表和下月的施工进度计划安排一式八份。</w:t>
      </w:r>
    </w:p>
    <w:p w14:paraId="49966678">
      <w:pPr>
        <w:spacing w:line="460" w:lineRule="exact"/>
        <w:ind w:firstLine="480" w:firstLineChars="200"/>
        <w:rPr>
          <w:rFonts w:ascii="宋体" w:hAnsi="宋体"/>
          <w:sz w:val="24"/>
        </w:rPr>
      </w:pPr>
      <w:r>
        <w:rPr>
          <w:rFonts w:hint="eastAsia" w:ascii="宋体" w:hAnsi="宋体"/>
          <w:sz w:val="24"/>
        </w:rPr>
        <w:t>(3) 承担施工安全保卫工作及非夜间施工照明的责任和要求：由承包人自负。</w:t>
      </w:r>
    </w:p>
    <w:p w14:paraId="73BED697">
      <w:pPr>
        <w:spacing w:line="460" w:lineRule="exact"/>
        <w:ind w:firstLine="480" w:firstLineChars="200"/>
        <w:rPr>
          <w:rFonts w:ascii="宋体" w:hAnsi="宋体"/>
          <w:sz w:val="24"/>
        </w:rPr>
      </w:pPr>
      <w:r>
        <w:rPr>
          <w:rFonts w:hint="eastAsia" w:ascii="宋体" w:hAnsi="宋体"/>
          <w:sz w:val="24"/>
        </w:rPr>
        <w:t xml:space="preserve">(4) 向发包人提供的办公和生活房屋及设施的要求：向发包人、跟踪审计方、监理方提供必要的办公用房。 </w:t>
      </w:r>
    </w:p>
    <w:p w14:paraId="475AF9EF">
      <w:pPr>
        <w:spacing w:line="460" w:lineRule="exact"/>
        <w:ind w:firstLine="480" w:firstLineChars="200"/>
        <w:rPr>
          <w:rFonts w:ascii="宋体" w:hAnsi="宋体"/>
          <w:sz w:val="24"/>
        </w:rPr>
      </w:pPr>
      <w:r>
        <w:rPr>
          <w:rFonts w:hint="eastAsia" w:ascii="宋体" w:hAnsi="宋体"/>
          <w:sz w:val="24"/>
        </w:rPr>
        <w:t>(5) 需承包人办理的有关施工场地交通、环卫和施工噪音管理等手续：承包人按国家相关规定自行办理，其费用已包含在合同价款中。</w:t>
      </w:r>
    </w:p>
    <w:p w14:paraId="433BF7C0">
      <w:pPr>
        <w:spacing w:line="460" w:lineRule="exact"/>
        <w:ind w:firstLine="480" w:firstLineChars="200"/>
        <w:rPr>
          <w:rFonts w:ascii="宋体" w:hAnsi="宋体"/>
          <w:sz w:val="24"/>
        </w:rPr>
      </w:pPr>
      <w:r>
        <w:rPr>
          <w:rFonts w:hint="eastAsia" w:ascii="宋体" w:hAnsi="宋体"/>
          <w:sz w:val="24"/>
        </w:rPr>
        <w:t xml:space="preserve">(6) 已完工程成品保护的特殊要求及费用承担：由承包人自负。 </w:t>
      </w:r>
    </w:p>
    <w:p w14:paraId="54E67C04">
      <w:pPr>
        <w:spacing w:line="460" w:lineRule="exact"/>
        <w:ind w:firstLine="480" w:firstLineChars="200"/>
        <w:rPr>
          <w:rFonts w:ascii="宋体" w:hAnsi="宋体"/>
          <w:sz w:val="24"/>
        </w:rPr>
      </w:pPr>
      <w:r>
        <w:rPr>
          <w:rFonts w:hint="eastAsia" w:ascii="宋体" w:hAnsi="宋体"/>
          <w:sz w:val="24"/>
        </w:rPr>
        <w:t>(7) 施工场地清洁卫生的要求：符合施工现场管理条例，按“通用条款”9.1条（8）款执行，若经监理、发包人联合检查认定文明施工不达标，每次向发包人交纳违约金10000元/次。竣工验收后十天内，做到料净场清。校区内承包人车辆经过的路面应采取必要措施保证不扬尘。</w:t>
      </w:r>
    </w:p>
    <w:p w14:paraId="358876B1">
      <w:pPr>
        <w:spacing w:line="460" w:lineRule="exact"/>
        <w:ind w:firstLine="480" w:firstLineChars="200"/>
        <w:rPr>
          <w:rFonts w:ascii="宋体" w:hAnsi="宋体"/>
          <w:sz w:val="24"/>
        </w:rPr>
      </w:pPr>
      <w:r>
        <w:rPr>
          <w:rFonts w:hint="eastAsia" w:ascii="宋体" w:hAnsi="宋体"/>
          <w:sz w:val="24"/>
        </w:rPr>
        <w:t>(8) 建筑物周围地下管线的要求：承包人应对本工程建筑物周围的地下管线进行妥善保护，并承担由此产生的费用。</w:t>
      </w:r>
    </w:p>
    <w:p w14:paraId="281A82CA">
      <w:pPr>
        <w:spacing w:line="460" w:lineRule="exact"/>
        <w:ind w:firstLine="480" w:firstLineChars="200"/>
        <w:rPr>
          <w:rFonts w:ascii="宋体" w:hAnsi="宋体"/>
          <w:sz w:val="24"/>
        </w:rPr>
      </w:pPr>
      <w:r>
        <w:rPr>
          <w:rFonts w:hint="eastAsia" w:ascii="宋体" w:hAnsi="宋体"/>
          <w:sz w:val="24"/>
        </w:rPr>
        <w:t>(9) 关于解决本工程农民工权益保障的机制保证：鉴于现阶段有资质的劳务企业数量较少，若本工程使用零散用工行为，视为承包人直接用工，承包人必须依法与每个工人签订劳动合同。对于承包人非法用工侵犯农民工权益，农民工的劳动生活条件没有得到依法保障的，如出现克扣拖欠工资，农民工上访事件等行为，所产生的一切法律后果由承包人承担。</w:t>
      </w:r>
    </w:p>
    <w:p w14:paraId="1D93DE39">
      <w:pPr>
        <w:spacing w:line="460" w:lineRule="exact"/>
        <w:ind w:firstLine="480" w:firstLineChars="200"/>
        <w:rPr>
          <w:rFonts w:ascii="宋体" w:hAnsi="宋体"/>
          <w:sz w:val="24"/>
        </w:rPr>
      </w:pPr>
      <w:r>
        <w:rPr>
          <w:rFonts w:hint="eastAsia" w:ascii="宋体" w:hAnsi="宋体"/>
          <w:sz w:val="24"/>
        </w:rPr>
        <w:t xml:space="preserve">(10) 双方约定承包人应做的其他工作：执行省、市及当地行政主管部门对施工现场管理的相关规定，且服从发包人的相关管理要求。 </w:t>
      </w:r>
    </w:p>
    <w:p w14:paraId="71A953F0">
      <w:pPr>
        <w:spacing w:line="460" w:lineRule="exact"/>
        <w:ind w:firstLine="480" w:firstLineChars="200"/>
        <w:rPr>
          <w:rFonts w:ascii="宋体" w:hAnsi="宋体"/>
          <w:sz w:val="24"/>
        </w:rPr>
      </w:pPr>
      <w:r>
        <w:rPr>
          <w:rFonts w:hint="eastAsia" w:ascii="宋体" w:hAnsi="宋体"/>
          <w:sz w:val="24"/>
        </w:rPr>
        <w:t>7.2 承包人须按甲方要求和承包人承诺实施本项目，并由承包人负责办理相关施工手续。</w:t>
      </w:r>
    </w:p>
    <w:p w14:paraId="32BAD95C">
      <w:pPr>
        <w:spacing w:line="460" w:lineRule="exact"/>
        <w:ind w:firstLine="480" w:firstLineChars="200"/>
        <w:rPr>
          <w:rFonts w:ascii="宋体" w:hAnsi="宋体"/>
          <w:sz w:val="24"/>
        </w:rPr>
      </w:pPr>
      <w:r>
        <w:rPr>
          <w:rFonts w:hint="eastAsia" w:ascii="宋体" w:hAnsi="宋体"/>
          <w:sz w:val="24"/>
        </w:rPr>
        <w:t>7.3 承包人承诺按响应文件《安全文明施工承诺》进行，承包人在施工过程中，未达到安全施工、文明施工要求的，须向发包人支付10000元/次的违约金。</w:t>
      </w:r>
    </w:p>
    <w:p w14:paraId="5CF8787C">
      <w:pPr>
        <w:spacing w:line="460" w:lineRule="exact"/>
        <w:ind w:firstLine="480" w:firstLineChars="200"/>
        <w:rPr>
          <w:rFonts w:ascii="宋体" w:hAnsi="宋体"/>
          <w:sz w:val="24"/>
        </w:rPr>
      </w:pPr>
      <w:r>
        <w:rPr>
          <w:rFonts w:hint="eastAsia" w:ascii="宋体" w:hAnsi="宋体"/>
          <w:sz w:val="24"/>
        </w:rPr>
        <w:t>三、施工组织设计和工期</w:t>
      </w:r>
    </w:p>
    <w:p w14:paraId="5C80CA82">
      <w:pPr>
        <w:spacing w:line="460" w:lineRule="exact"/>
        <w:ind w:firstLine="480" w:firstLineChars="200"/>
        <w:rPr>
          <w:rFonts w:ascii="宋体" w:hAnsi="宋体"/>
          <w:sz w:val="24"/>
        </w:rPr>
      </w:pPr>
      <w:r>
        <w:rPr>
          <w:rFonts w:hint="eastAsia" w:ascii="宋体" w:hAnsi="宋体"/>
          <w:sz w:val="24"/>
        </w:rPr>
        <w:t>8.进度计划</w:t>
      </w:r>
    </w:p>
    <w:p w14:paraId="41797897">
      <w:pPr>
        <w:spacing w:line="460" w:lineRule="exact"/>
        <w:ind w:firstLine="480" w:firstLineChars="200"/>
        <w:rPr>
          <w:rFonts w:ascii="宋体" w:hAnsi="宋体"/>
          <w:sz w:val="24"/>
        </w:rPr>
      </w:pPr>
      <w:r>
        <w:rPr>
          <w:rFonts w:hint="eastAsia" w:ascii="宋体" w:hAnsi="宋体"/>
          <w:sz w:val="24"/>
        </w:rPr>
        <w:t>8.1承包人提供施工组织设计（施工方案）和进度计划的时间：</w:t>
      </w:r>
    </w:p>
    <w:p w14:paraId="48EA86E8">
      <w:pPr>
        <w:spacing w:line="460" w:lineRule="exact"/>
        <w:ind w:firstLine="480" w:firstLineChars="200"/>
        <w:rPr>
          <w:rFonts w:ascii="宋体" w:hAnsi="宋体"/>
          <w:sz w:val="24"/>
        </w:rPr>
      </w:pPr>
      <w:r>
        <w:rPr>
          <w:rFonts w:hint="eastAsia" w:ascii="宋体" w:hAnsi="宋体"/>
          <w:sz w:val="24"/>
        </w:rPr>
        <w:t xml:space="preserve">开工前三天内，承包人向发包人提供施工组织设计书，经发包人和监理方批准后实施，并在当月25日前提供次月施工进度计划表。                                             </w:t>
      </w:r>
    </w:p>
    <w:p w14:paraId="79AF19DD">
      <w:pPr>
        <w:spacing w:line="460" w:lineRule="exact"/>
        <w:ind w:firstLine="480" w:firstLineChars="200"/>
        <w:rPr>
          <w:rFonts w:ascii="宋体" w:hAnsi="宋体"/>
          <w:sz w:val="24"/>
        </w:rPr>
      </w:pPr>
      <w:r>
        <w:rPr>
          <w:rFonts w:hint="eastAsia" w:ascii="宋体" w:hAnsi="宋体"/>
          <w:sz w:val="24"/>
        </w:rPr>
        <w:t xml:space="preserve">工程师确认的时间： 收到上述资料后五天内确认或提出修改意见，逾期不确认或提出修改意见的，视为认可。 </w:t>
      </w:r>
    </w:p>
    <w:p w14:paraId="715FDA36">
      <w:pPr>
        <w:spacing w:line="460" w:lineRule="exact"/>
        <w:ind w:firstLine="480" w:firstLineChars="200"/>
        <w:rPr>
          <w:rFonts w:ascii="宋体" w:hAnsi="宋体"/>
          <w:sz w:val="24"/>
        </w:rPr>
      </w:pPr>
      <w:r>
        <w:rPr>
          <w:rFonts w:hint="eastAsia" w:ascii="宋体" w:hAnsi="宋体"/>
          <w:sz w:val="24"/>
        </w:rPr>
        <w:t>8.2 群体工程中有关进度计划的要求: 双方协商解决 。</w:t>
      </w:r>
    </w:p>
    <w:p w14:paraId="13624133">
      <w:pPr>
        <w:spacing w:line="460" w:lineRule="exact"/>
        <w:ind w:firstLine="480" w:firstLineChars="200"/>
        <w:rPr>
          <w:rFonts w:ascii="宋体" w:hAnsi="宋体"/>
          <w:sz w:val="24"/>
        </w:rPr>
      </w:pPr>
      <w:r>
        <w:rPr>
          <w:rFonts w:hint="eastAsia" w:ascii="宋体" w:hAnsi="宋体"/>
          <w:sz w:val="24"/>
        </w:rPr>
        <w:t>9.工期延误</w:t>
      </w:r>
    </w:p>
    <w:p w14:paraId="4220E5CF">
      <w:pPr>
        <w:spacing w:line="460" w:lineRule="exact"/>
        <w:ind w:firstLine="480" w:firstLineChars="200"/>
        <w:rPr>
          <w:rFonts w:ascii="宋体" w:hAnsi="宋体"/>
          <w:sz w:val="24"/>
        </w:rPr>
      </w:pPr>
      <w:r>
        <w:rPr>
          <w:rFonts w:hint="eastAsia" w:ascii="宋体" w:hAnsi="宋体"/>
          <w:sz w:val="24"/>
        </w:rPr>
        <w:t xml:space="preserve">9.1 双方约定工期顺延的其他情况:本工程约定工期为绝对工期，除发包人原因和不可抗力外，工期一律不顺延。 </w:t>
      </w:r>
    </w:p>
    <w:p w14:paraId="32AFB86F">
      <w:pPr>
        <w:spacing w:line="460" w:lineRule="exact"/>
        <w:ind w:firstLine="480" w:firstLineChars="200"/>
        <w:rPr>
          <w:rFonts w:ascii="宋体" w:hAnsi="宋体"/>
          <w:sz w:val="24"/>
        </w:rPr>
      </w:pPr>
      <w:r>
        <w:rPr>
          <w:rFonts w:hint="eastAsia" w:ascii="宋体" w:hAnsi="宋体"/>
          <w:sz w:val="24"/>
        </w:rPr>
        <w:t>9.2 因承包人原因导致工期延误的，承包人应向发包人交纳1000元/天工期延误违约金，工期延误达15天以上（含15天），发包人有权解除合同，并由承包人承担合同总价款10%的违约金。</w:t>
      </w:r>
    </w:p>
    <w:p w14:paraId="007842B5">
      <w:pPr>
        <w:spacing w:line="460" w:lineRule="exact"/>
        <w:ind w:firstLine="480" w:firstLineChars="200"/>
        <w:rPr>
          <w:rFonts w:ascii="宋体" w:hAnsi="宋体"/>
          <w:sz w:val="24"/>
        </w:rPr>
      </w:pPr>
      <w:r>
        <w:rPr>
          <w:rFonts w:hint="eastAsia" w:ascii="宋体" w:hAnsi="宋体"/>
          <w:sz w:val="24"/>
        </w:rPr>
        <w:t>四、质量与检验</w:t>
      </w:r>
    </w:p>
    <w:p w14:paraId="15338C91">
      <w:pPr>
        <w:spacing w:line="460" w:lineRule="exact"/>
        <w:ind w:firstLine="480" w:firstLineChars="200"/>
        <w:rPr>
          <w:rFonts w:ascii="宋体" w:hAnsi="宋体"/>
          <w:sz w:val="24"/>
        </w:rPr>
      </w:pPr>
      <w:r>
        <w:rPr>
          <w:rFonts w:hint="eastAsia" w:ascii="宋体" w:hAnsi="宋体"/>
          <w:sz w:val="24"/>
        </w:rPr>
        <w:t>10.1 质量监管：本项目须有监理单位，监理单位由发包人按有关程序确定，确定监理单位后，方可进场实施。</w:t>
      </w:r>
    </w:p>
    <w:p w14:paraId="6EB313D6">
      <w:pPr>
        <w:spacing w:line="460" w:lineRule="exact"/>
        <w:ind w:firstLine="480" w:firstLineChars="200"/>
        <w:rPr>
          <w:rFonts w:ascii="宋体" w:hAnsi="宋体"/>
          <w:sz w:val="24"/>
        </w:rPr>
      </w:pPr>
      <w:r>
        <w:rPr>
          <w:rFonts w:hint="eastAsia" w:ascii="宋体" w:hAnsi="宋体"/>
          <w:sz w:val="24"/>
        </w:rPr>
        <w:t>10.2 承包人承诺验收条件及验收程序：按有关规定执行，其中涉及隐蔽工程的部分，应在遮盖前提前进行核实，最终验收按磋商要求和磋商承诺等相关规定执行。</w:t>
      </w:r>
    </w:p>
    <w:p w14:paraId="32B832E6">
      <w:pPr>
        <w:spacing w:line="460" w:lineRule="exact"/>
        <w:ind w:firstLine="480" w:firstLineChars="200"/>
        <w:rPr>
          <w:rFonts w:ascii="宋体" w:hAnsi="宋体"/>
          <w:sz w:val="24"/>
        </w:rPr>
      </w:pPr>
      <w:r>
        <w:rPr>
          <w:rFonts w:hint="eastAsia" w:ascii="宋体" w:hAnsi="宋体"/>
          <w:sz w:val="24"/>
        </w:rPr>
        <w:t>双方约定中间验收部位：按“通用条款”17条执行 。</w:t>
      </w:r>
    </w:p>
    <w:p w14:paraId="44F753B1">
      <w:pPr>
        <w:spacing w:line="460" w:lineRule="exact"/>
        <w:ind w:firstLine="480" w:firstLineChars="200"/>
        <w:rPr>
          <w:rFonts w:ascii="宋体" w:hAnsi="宋体"/>
          <w:sz w:val="24"/>
        </w:rPr>
      </w:pPr>
      <w:r>
        <w:rPr>
          <w:rFonts w:hint="eastAsia" w:ascii="宋体" w:hAnsi="宋体"/>
          <w:sz w:val="24"/>
        </w:rPr>
        <w:t>10.3 承包人承诺工程一次性验收合格，若因承包人原因导致工程达不到一次性验收合格，除返工达到合格外，向发包人支付合同结算价款的</w:t>
      </w:r>
      <w:r>
        <w:rPr>
          <w:rFonts w:hint="eastAsia" w:ascii="宋体" w:hAnsi="宋体"/>
          <w:sz w:val="24"/>
          <w:u w:val="single"/>
        </w:rPr>
        <w:t xml:space="preserve">      </w:t>
      </w:r>
      <w:r>
        <w:rPr>
          <w:rFonts w:hint="eastAsia" w:ascii="宋体" w:hAnsi="宋体"/>
          <w:sz w:val="24"/>
        </w:rPr>
        <w:t>%作为质量违约金。</w:t>
      </w:r>
    </w:p>
    <w:p w14:paraId="43516530">
      <w:pPr>
        <w:spacing w:line="460" w:lineRule="exact"/>
        <w:ind w:firstLine="480" w:firstLineChars="200"/>
        <w:rPr>
          <w:rFonts w:ascii="宋体" w:hAnsi="宋体"/>
          <w:sz w:val="24"/>
        </w:rPr>
      </w:pPr>
      <w:r>
        <w:rPr>
          <w:rFonts w:hint="eastAsia" w:ascii="宋体" w:hAnsi="宋体"/>
          <w:sz w:val="24"/>
        </w:rPr>
        <w:t>五、安全施工</w:t>
      </w:r>
    </w:p>
    <w:p w14:paraId="1DF094E2">
      <w:pPr>
        <w:spacing w:line="460" w:lineRule="exact"/>
        <w:ind w:firstLine="480" w:firstLineChars="200"/>
        <w:rPr>
          <w:rFonts w:ascii="宋体" w:hAnsi="宋体"/>
          <w:sz w:val="24"/>
        </w:rPr>
      </w:pPr>
      <w:r>
        <w:rPr>
          <w:rFonts w:hint="eastAsia" w:ascii="宋体" w:hAnsi="宋体"/>
          <w:sz w:val="24"/>
        </w:rPr>
        <w:t>严格按安全管理条例及安全操作规程进行施工，如因承包人原因发生安全事故，所造成的一切损失由承包人负责。并执行“通用条款”第20、21、22条及中华人民共和国国务院第302号文《国务院关于特大安全事故责任追究的规定》。</w:t>
      </w:r>
    </w:p>
    <w:p w14:paraId="35A90B80">
      <w:pPr>
        <w:spacing w:line="460" w:lineRule="exact"/>
        <w:ind w:firstLine="480" w:firstLineChars="200"/>
        <w:rPr>
          <w:rFonts w:ascii="宋体" w:hAnsi="宋体"/>
          <w:sz w:val="24"/>
        </w:rPr>
      </w:pPr>
      <w:r>
        <w:rPr>
          <w:rFonts w:hint="eastAsia" w:ascii="宋体" w:hAnsi="宋体"/>
          <w:sz w:val="24"/>
        </w:rPr>
        <w:t>六、合同价款与支付</w:t>
      </w:r>
    </w:p>
    <w:p w14:paraId="5279BB14">
      <w:pPr>
        <w:spacing w:line="460" w:lineRule="exact"/>
        <w:ind w:firstLine="480" w:firstLineChars="200"/>
        <w:rPr>
          <w:rFonts w:ascii="宋体" w:hAnsi="宋体"/>
          <w:sz w:val="24"/>
        </w:rPr>
      </w:pPr>
      <w:r>
        <w:rPr>
          <w:rFonts w:hint="eastAsia" w:ascii="宋体" w:hAnsi="宋体"/>
          <w:sz w:val="24"/>
        </w:rPr>
        <w:t>11.合同价款及调整</w:t>
      </w:r>
    </w:p>
    <w:p w14:paraId="12BBD636">
      <w:pPr>
        <w:spacing w:line="460" w:lineRule="exact"/>
        <w:ind w:firstLine="480" w:firstLineChars="200"/>
        <w:rPr>
          <w:rFonts w:ascii="宋体" w:hAnsi="宋体"/>
          <w:sz w:val="24"/>
        </w:rPr>
      </w:pPr>
      <w:r>
        <w:rPr>
          <w:rFonts w:hint="eastAsia" w:ascii="宋体" w:hAnsi="宋体"/>
          <w:sz w:val="24"/>
        </w:rPr>
        <w:t>11.1 本合同价款采用（1）方式确定。</w:t>
      </w:r>
    </w:p>
    <w:p w14:paraId="24E16476">
      <w:pPr>
        <w:spacing w:line="460" w:lineRule="exact"/>
        <w:ind w:firstLine="480" w:firstLineChars="200"/>
        <w:rPr>
          <w:rFonts w:ascii="宋体" w:hAnsi="宋体"/>
          <w:sz w:val="24"/>
        </w:rPr>
      </w:pPr>
      <w:r>
        <w:rPr>
          <w:rFonts w:hint="eastAsia" w:ascii="宋体" w:hAnsi="宋体"/>
          <w:sz w:val="24"/>
        </w:rPr>
        <w:t>（1）采用总价合同。根据竞争性磋商文件的规定，措施费用按磋商报价固定包干，工程量清单及图纸范围内无论因本工程设计变更、现场签证等引起的分部分项工程量如何变化，工程量清单及图纸范围内措施费用都不予调整（即措施费包干）。</w:t>
      </w:r>
    </w:p>
    <w:p w14:paraId="3EF0A928">
      <w:pPr>
        <w:spacing w:line="460" w:lineRule="exact"/>
        <w:ind w:firstLine="480" w:firstLineChars="200"/>
        <w:rPr>
          <w:rFonts w:hint="eastAsia" w:ascii="宋体" w:hAnsi="宋体"/>
          <w:sz w:val="24"/>
        </w:rPr>
      </w:pPr>
      <w:r>
        <w:rPr>
          <w:rFonts w:hint="eastAsia" w:ascii="宋体" w:hAnsi="宋体"/>
          <w:sz w:val="24"/>
        </w:rPr>
        <w:t>合同变更要求：合同执行过程中若发生变更，须根据合同约定，并以书面形式按有关规定和程序审批。超出合同约定范围的变更项目，须批准后方可实施。</w:t>
      </w:r>
    </w:p>
    <w:p w14:paraId="6E3C5D3A">
      <w:pPr>
        <w:spacing w:line="460" w:lineRule="exact"/>
        <w:ind w:firstLine="480" w:firstLineChars="200"/>
        <w:rPr>
          <w:rFonts w:ascii="宋体" w:hAnsi="宋体"/>
          <w:sz w:val="24"/>
        </w:rPr>
      </w:pPr>
      <w:r>
        <w:rPr>
          <w:rFonts w:hint="eastAsia" w:ascii="宋体" w:hAnsi="宋体"/>
          <w:sz w:val="24"/>
        </w:rPr>
        <w:t>由于工程设计变更、现场经济签证引起新增的工程量清单项目，其综合单价调整执行本条第11.2款之办法。</w:t>
      </w:r>
    </w:p>
    <w:p w14:paraId="3FAABFB6">
      <w:pPr>
        <w:spacing w:line="460" w:lineRule="exact"/>
        <w:ind w:firstLine="480" w:firstLineChars="200"/>
        <w:rPr>
          <w:rFonts w:ascii="宋体" w:hAnsi="宋体"/>
          <w:sz w:val="24"/>
        </w:rPr>
      </w:pPr>
      <w:r>
        <w:rPr>
          <w:rFonts w:hint="eastAsia" w:ascii="宋体" w:hAnsi="宋体"/>
          <w:sz w:val="24"/>
        </w:rPr>
        <w:t>工程价款的结算方式：</w:t>
      </w:r>
      <w:r>
        <w:rPr>
          <w:rFonts w:hint="eastAsia" w:ascii="宋体" w:hAnsi="宋体"/>
          <w:sz w:val="24"/>
          <w:u w:val="single"/>
        </w:rPr>
        <w:t xml:space="preserve">                 </w:t>
      </w:r>
      <w:r>
        <w:rPr>
          <w:rFonts w:ascii="宋体" w:hAnsi="宋体"/>
          <w:sz w:val="24"/>
          <w:u w:val="single"/>
        </w:rPr>
        <w:t xml:space="preserve"> </w:t>
      </w:r>
    </w:p>
    <w:p w14:paraId="366E209B">
      <w:pPr>
        <w:spacing w:line="460" w:lineRule="exact"/>
        <w:ind w:firstLine="480" w:firstLineChars="200"/>
        <w:rPr>
          <w:rFonts w:ascii="宋体" w:hAnsi="宋体"/>
          <w:sz w:val="24"/>
        </w:rPr>
      </w:pPr>
      <w:r>
        <w:rPr>
          <w:rFonts w:hint="eastAsia" w:ascii="宋体" w:hAnsi="宋体"/>
          <w:sz w:val="24"/>
        </w:rPr>
        <w:t>（2）采用可调价格合同，合同价款调整方法：</w:t>
      </w:r>
      <w:r>
        <w:rPr>
          <w:rFonts w:hint="eastAsia" w:ascii="宋体" w:hAnsi="宋体"/>
          <w:sz w:val="24"/>
          <w:u w:val="single"/>
        </w:rPr>
        <w:t xml:space="preserve">    </w:t>
      </w:r>
      <w:r>
        <w:rPr>
          <w:rFonts w:hint="eastAsia" w:ascii="宋体" w:hAnsi="宋体"/>
          <w:sz w:val="24"/>
        </w:rPr>
        <w:t xml:space="preserve">。                                        </w:t>
      </w:r>
    </w:p>
    <w:p w14:paraId="013EAC28">
      <w:pPr>
        <w:spacing w:line="460" w:lineRule="exact"/>
        <w:ind w:firstLine="480" w:firstLineChars="200"/>
        <w:rPr>
          <w:rFonts w:ascii="宋体" w:hAnsi="宋体"/>
          <w:sz w:val="24"/>
        </w:rPr>
      </w:pPr>
      <w:r>
        <w:rPr>
          <w:rFonts w:hint="eastAsia" w:ascii="宋体" w:hAnsi="宋体"/>
          <w:sz w:val="24"/>
        </w:rPr>
        <w:t>（3）采用成本加酬金合同，有关成本和酬金的约定：</w:t>
      </w:r>
      <w:r>
        <w:rPr>
          <w:rFonts w:hint="eastAsia" w:ascii="宋体" w:hAnsi="宋体"/>
          <w:sz w:val="24"/>
          <w:u w:val="single"/>
        </w:rPr>
        <w:t xml:space="preserve">   </w:t>
      </w:r>
      <w:r>
        <w:rPr>
          <w:rFonts w:hint="eastAsia" w:ascii="宋体" w:hAnsi="宋体"/>
          <w:sz w:val="24"/>
        </w:rPr>
        <w:t>。</w:t>
      </w:r>
    </w:p>
    <w:p w14:paraId="49052A65">
      <w:pPr>
        <w:spacing w:line="460" w:lineRule="exact"/>
        <w:ind w:firstLine="480" w:firstLineChars="200"/>
        <w:rPr>
          <w:rFonts w:ascii="宋体" w:hAnsi="宋体"/>
          <w:sz w:val="24"/>
        </w:rPr>
      </w:pPr>
      <w:r>
        <w:rPr>
          <w:rFonts w:hint="eastAsia" w:ascii="宋体" w:hAnsi="宋体"/>
          <w:sz w:val="24"/>
        </w:rPr>
        <w:t>11.2 双方约定合同价款的其他调整因素：</w:t>
      </w:r>
    </w:p>
    <w:p w14:paraId="5237EAF7">
      <w:pPr>
        <w:spacing w:line="460" w:lineRule="exact"/>
        <w:rPr>
          <w:rFonts w:ascii="宋体" w:hAnsi="宋体"/>
          <w:sz w:val="24"/>
        </w:rPr>
      </w:pPr>
      <w:r>
        <w:rPr>
          <w:rFonts w:hint="eastAsia" w:ascii="宋体" w:hAnsi="宋体"/>
          <w:sz w:val="24"/>
        </w:rPr>
        <w:t>由于设计变更和现场签证所产生的本工程造价的增加或减少，其结算价格的方法为：</w:t>
      </w:r>
    </w:p>
    <w:p w14:paraId="03C44874">
      <w:pPr>
        <w:spacing w:line="460" w:lineRule="exact"/>
        <w:ind w:firstLine="480" w:firstLineChars="200"/>
        <w:rPr>
          <w:rFonts w:ascii="宋体" w:hAnsi="宋体"/>
          <w:sz w:val="24"/>
        </w:rPr>
      </w:pPr>
      <w:r>
        <w:rPr>
          <w:rFonts w:hint="eastAsia" w:ascii="宋体" w:hAnsi="宋体"/>
          <w:sz w:val="24"/>
        </w:rPr>
        <w:t>a.合同中已有适用于变更工程的价格，按合同已有的价格变更合同价款；</w:t>
      </w:r>
    </w:p>
    <w:p w14:paraId="0EBAEBAE">
      <w:pPr>
        <w:spacing w:line="460" w:lineRule="exact"/>
        <w:ind w:firstLine="480" w:firstLineChars="200"/>
        <w:rPr>
          <w:rFonts w:ascii="宋体" w:hAnsi="宋体"/>
          <w:sz w:val="24"/>
        </w:rPr>
      </w:pPr>
      <w:r>
        <w:rPr>
          <w:rFonts w:hint="eastAsia" w:ascii="宋体" w:hAnsi="宋体"/>
          <w:sz w:val="24"/>
        </w:rPr>
        <w:t>b.合同中只有类似于变更工程的价格，可以参照类似价格变更合同价款；</w:t>
      </w:r>
    </w:p>
    <w:p w14:paraId="7C99EB27">
      <w:pPr>
        <w:spacing w:line="460" w:lineRule="exact"/>
        <w:ind w:firstLine="480" w:firstLineChars="200"/>
        <w:rPr>
          <w:rFonts w:ascii="宋体" w:hAnsi="宋体"/>
          <w:sz w:val="24"/>
        </w:rPr>
      </w:pPr>
      <w:r>
        <w:rPr>
          <w:rFonts w:hint="eastAsia" w:ascii="宋体" w:hAnsi="宋体"/>
          <w:sz w:val="24"/>
        </w:rPr>
        <w:t xml:space="preserve">c.如果合同中没有适用或类似变更工程的价格时，单价经发包人审核后确定。 </w:t>
      </w:r>
    </w:p>
    <w:p w14:paraId="522A2E81">
      <w:pPr>
        <w:spacing w:line="460" w:lineRule="exact"/>
        <w:ind w:firstLine="480" w:firstLineChars="200"/>
        <w:rPr>
          <w:rFonts w:ascii="宋体" w:hAnsi="宋体"/>
          <w:sz w:val="24"/>
        </w:rPr>
      </w:pPr>
      <w:r>
        <w:rPr>
          <w:rFonts w:hint="eastAsia" w:ascii="宋体" w:hAnsi="宋体"/>
          <w:sz w:val="24"/>
        </w:rPr>
        <w:t>d.其他计价方式按云建标[2003]668号文的有关规定、云建标[2005]661号文和云建标[2008]201号文的有关规定及现行相关配套文件执行。</w:t>
      </w:r>
    </w:p>
    <w:p w14:paraId="5CBCEAED">
      <w:pPr>
        <w:spacing w:line="460" w:lineRule="exact"/>
        <w:ind w:firstLine="480" w:firstLineChars="200"/>
        <w:rPr>
          <w:rFonts w:ascii="宋体" w:hAnsi="宋体"/>
          <w:sz w:val="24"/>
          <w:highlight w:val="none"/>
        </w:rPr>
      </w:pPr>
      <w:r>
        <w:rPr>
          <w:rFonts w:hint="eastAsia" w:ascii="宋体" w:hAnsi="宋体"/>
          <w:sz w:val="24"/>
          <w:highlight w:val="none"/>
        </w:rPr>
        <w:t>12.工程预付款</w:t>
      </w:r>
    </w:p>
    <w:p w14:paraId="10FA6F2B">
      <w:pPr>
        <w:spacing w:line="460" w:lineRule="exact"/>
        <w:ind w:firstLine="480" w:firstLineChars="200"/>
        <w:rPr>
          <w:rFonts w:hint="eastAsia" w:ascii="宋体" w:hAnsi="宋体"/>
          <w:sz w:val="24"/>
          <w:highlight w:val="none"/>
          <w:u w:val="single"/>
          <w:lang w:val="en-US" w:eastAsia="zh-CN"/>
        </w:rPr>
      </w:pPr>
      <w:r>
        <w:rPr>
          <w:rFonts w:hint="eastAsia" w:ascii="宋体" w:hAnsi="宋体"/>
          <w:sz w:val="24"/>
          <w:highlight w:val="none"/>
          <w:u w:val="single"/>
          <w:lang w:val="en-US" w:eastAsia="zh-CN"/>
        </w:rPr>
        <w:t>合同金额的30%</w:t>
      </w:r>
    </w:p>
    <w:p w14:paraId="1093F06E">
      <w:pPr>
        <w:spacing w:line="460" w:lineRule="exact"/>
        <w:ind w:firstLine="480" w:firstLineChars="200"/>
        <w:rPr>
          <w:rFonts w:ascii="宋体" w:hAnsi="宋体"/>
          <w:sz w:val="24"/>
          <w:highlight w:val="none"/>
        </w:rPr>
      </w:pPr>
      <w:r>
        <w:rPr>
          <w:rFonts w:hint="eastAsia" w:ascii="宋体" w:hAnsi="宋体"/>
          <w:sz w:val="24"/>
          <w:highlight w:val="none"/>
        </w:rPr>
        <w:t>13.工程量的确认</w:t>
      </w:r>
    </w:p>
    <w:p w14:paraId="74A9CB29">
      <w:pPr>
        <w:spacing w:line="460" w:lineRule="exact"/>
        <w:ind w:firstLine="480" w:firstLineChars="200"/>
        <w:rPr>
          <w:rFonts w:ascii="宋体" w:hAnsi="宋体"/>
          <w:sz w:val="24"/>
          <w:highlight w:val="none"/>
        </w:rPr>
      </w:pPr>
      <w:r>
        <w:rPr>
          <w:rFonts w:hint="eastAsia" w:ascii="宋体" w:hAnsi="宋体"/>
          <w:sz w:val="24"/>
          <w:highlight w:val="none"/>
        </w:rPr>
        <w:t>13.1 承包人向工程师提交已完工程量报告的时间：承包人于当月25日前向发包人提交监理审核的工程量报表一式八份，其余按“通用条款”第25条执行。</w:t>
      </w:r>
    </w:p>
    <w:p w14:paraId="7EEDDE34">
      <w:pPr>
        <w:spacing w:line="460" w:lineRule="exact"/>
        <w:ind w:firstLine="480" w:firstLineChars="200"/>
        <w:rPr>
          <w:rFonts w:ascii="宋体" w:hAnsi="宋体"/>
          <w:sz w:val="24"/>
          <w:highlight w:val="none"/>
        </w:rPr>
      </w:pPr>
      <w:r>
        <w:rPr>
          <w:rFonts w:hint="eastAsia" w:ascii="宋体" w:hAnsi="宋体"/>
          <w:sz w:val="24"/>
          <w:highlight w:val="none"/>
        </w:rPr>
        <w:t>14.工程款（进度款）支付</w:t>
      </w:r>
    </w:p>
    <w:p w14:paraId="1E10EC8E">
      <w:pPr>
        <w:spacing w:line="460" w:lineRule="exact"/>
        <w:ind w:firstLine="480" w:firstLineChars="200"/>
        <w:rPr>
          <w:rFonts w:ascii="宋体" w:hAnsi="宋体"/>
          <w:sz w:val="24"/>
          <w:highlight w:val="none"/>
        </w:rPr>
      </w:pPr>
      <w:r>
        <w:rPr>
          <w:rFonts w:hint="eastAsia" w:ascii="宋体" w:hAnsi="宋体"/>
          <w:sz w:val="24"/>
          <w:highlight w:val="none"/>
        </w:rPr>
        <w:t>双方约定的工程款（进度款）支付的方式和时间：</w:t>
      </w:r>
      <w:r>
        <w:rPr>
          <w:rFonts w:hint="eastAsia" w:ascii="宋体" w:hAnsi="宋体"/>
          <w:sz w:val="24"/>
          <w:highlight w:val="none"/>
          <w:u w:val="single"/>
          <w:lang w:val="en-US" w:eastAsia="zh-CN"/>
        </w:rPr>
        <w:t>项目完工后支付合同价款的30%，验收完成后支付至合同价款的100%</w:t>
      </w:r>
      <w:r>
        <w:rPr>
          <w:rFonts w:hint="eastAsia" w:ascii="宋体" w:hAnsi="宋体"/>
          <w:sz w:val="24"/>
          <w:highlight w:val="none"/>
          <w:u w:val="single"/>
        </w:rPr>
        <w:t>。</w:t>
      </w:r>
    </w:p>
    <w:p w14:paraId="3775AB62">
      <w:pPr>
        <w:spacing w:line="460" w:lineRule="exact"/>
        <w:ind w:firstLine="480" w:firstLineChars="200"/>
        <w:rPr>
          <w:rFonts w:ascii="宋体" w:hAnsi="宋体"/>
          <w:sz w:val="24"/>
          <w:highlight w:val="none"/>
        </w:rPr>
      </w:pPr>
      <w:r>
        <w:rPr>
          <w:rFonts w:hint="eastAsia" w:ascii="宋体" w:hAnsi="宋体"/>
          <w:sz w:val="24"/>
          <w:highlight w:val="none"/>
        </w:rPr>
        <w:t>七、材料设备供应</w:t>
      </w:r>
    </w:p>
    <w:p w14:paraId="70E3E2E2">
      <w:pPr>
        <w:spacing w:line="460" w:lineRule="exact"/>
        <w:ind w:firstLine="480" w:firstLineChars="200"/>
        <w:rPr>
          <w:rFonts w:ascii="宋体" w:hAnsi="宋体"/>
          <w:sz w:val="24"/>
          <w:highlight w:val="none"/>
        </w:rPr>
      </w:pPr>
      <w:r>
        <w:rPr>
          <w:rFonts w:hint="eastAsia" w:ascii="宋体" w:hAnsi="宋体"/>
          <w:sz w:val="24"/>
          <w:highlight w:val="none"/>
        </w:rPr>
        <w:t>15.发包人供应材料设备</w:t>
      </w:r>
    </w:p>
    <w:p w14:paraId="33C64706">
      <w:pPr>
        <w:spacing w:line="460" w:lineRule="exact"/>
        <w:ind w:firstLine="480" w:firstLineChars="200"/>
        <w:rPr>
          <w:rFonts w:ascii="宋体" w:hAnsi="宋体"/>
          <w:sz w:val="24"/>
        </w:rPr>
      </w:pPr>
      <w:r>
        <w:rPr>
          <w:rFonts w:hint="eastAsia" w:ascii="宋体" w:hAnsi="宋体"/>
          <w:sz w:val="24"/>
          <w:highlight w:val="none"/>
        </w:rPr>
        <w:t>15.1 发包人供应的材料设备与一览表不符时，</w:t>
      </w:r>
      <w:r>
        <w:rPr>
          <w:rFonts w:hint="eastAsia" w:ascii="宋体" w:hAnsi="宋体"/>
          <w:sz w:val="24"/>
        </w:rPr>
        <w:t>双方约定发包人承担责任如下：</w:t>
      </w:r>
    </w:p>
    <w:p w14:paraId="7F333DB8">
      <w:pPr>
        <w:spacing w:line="460" w:lineRule="exact"/>
        <w:ind w:firstLine="480" w:firstLineChars="200"/>
        <w:rPr>
          <w:rFonts w:ascii="宋体" w:hAnsi="宋体"/>
          <w:sz w:val="24"/>
        </w:rPr>
      </w:pPr>
      <w:r>
        <w:rPr>
          <w:rFonts w:hint="eastAsia" w:ascii="宋体" w:hAnsi="宋体"/>
          <w:sz w:val="24"/>
        </w:rPr>
        <w:t xml:space="preserve">(1)材料设备单价与一览表不符：无。 </w:t>
      </w:r>
    </w:p>
    <w:p w14:paraId="07B3DB63">
      <w:pPr>
        <w:spacing w:line="460" w:lineRule="exact"/>
        <w:ind w:firstLine="480" w:firstLineChars="200"/>
        <w:rPr>
          <w:rFonts w:ascii="宋体" w:hAnsi="宋体"/>
          <w:sz w:val="24"/>
        </w:rPr>
      </w:pPr>
      <w:r>
        <w:rPr>
          <w:rFonts w:hint="eastAsia" w:ascii="宋体" w:hAnsi="宋体"/>
          <w:sz w:val="24"/>
        </w:rPr>
        <w:t xml:space="preserve">(2)材料设备的品种、规格、型号、质量等级与一览表不符：无。  </w:t>
      </w:r>
    </w:p>
    <w:p w14:paraId="07E658D7">
      <w:pPr>
        <w:spacing w:line="460" w:lineRule="exact"/>
        <w:ind w:firstLine="480" w:firstLineChars="200"/>
        <w:rPr>
          <w:rFonts w:ascii="宋体" w:hAnsi="宋体"/>
          <w:sz w:val="24"/>
        </w:rPr>
      </w:pPr>
      <w:r>
        <w:rPr>
          <w:rFonts w:hint="eastAsia" w:ascii="宋体" w:hAnsi="宋体"/>
          <w:sz w:val="24"/>
        </w:rPr>
        <w:t xml:space="preserve">(3)承包人可代为调剂串换的材料：无。 </w:t>
      </w:r>
    </w:p>
    <w:p w14:paraId="6B603C3A">
      <w:pPr>
        <w:spacing w:line="460" w:lineRule="exact"/>
        <w:ind w:firstLine="480" w:firstLineChars="200"/>
        <w:rPr>
          <w:rFonts w:ascii="宋体" w:hAnsi="宋体"/>
          <w:sz w:val="24"/>
        </w:rPr>
      </w:pPr>
      <w:r>
        <w:rPr>
          <w:rFonts w:hint="eastAsia" w:ascii="宋体" w:hAnsi="宋体"/>
          <w:sz w:val="24"/>
        </w:rPr>
        <w:t xml:space="preserve">(4)到货地点与一览表不符：无。  </w:t>
      </w:r>
    </w:p>
    <w:p w14:paraId="21AC07E4">
      <w:pPr>
        <w:spacing w:line="460" w:lineRule="exact"/>
        <w:ind w:firstLine="480" w:firstLineChars="200"/>
        <w:rPr>
          <w:rFonts w:ascii="宋体" w:hAnsi="宋体"/>
          <w:sz w:val="24"/>
        </w:rPr>
      </w:pPr>
      <w:r>
        <w:rPr>
          <w:rFonts w:hint="eastAsia" w:ascii="宋体" w:hAnsi="宋体"/>
          <w:sz w:val="24"/>
        </w:rPr>
        <w:t xml:space="preserve">(5)供应数量与一览表不符：无。  </w:t>
      </w:r>
    </w:p>
    <w:p w14:paraId="16241C7C">
      <w:pPr>
        <w:spacing w:line="460" w:lineRule="exact"/>
        <w:ind w:firstLine="480" w:firstLineChars="200"/>
        <w:rPr>
          <w:rFonts w:ascii="宋体" w:hAnsi="宋体"/>
          <w:sz w:val="24"/>
        </w:rPr>
      </w:pPr>
      <w:r>
        <w:rPr>
          <w:rFonts w:hint="eastAsia" w:ascii="宋体" w:hAnsi="宋体"/>
          <w:sz w:val="24"/>
        </w:rPr>
        <w:t xml:space="preserve">(6)到货时间与一览表不符：无。  </w:t>
      </w:r>
    </w:p>
    <w:p w14:paraId="6086C800">
      <w:pPr>
        <w:spacing w:line="460" w:lineRule="exact"/>
        <w:ind w:firstLine="480" w:firstLineChars="200"/>
        <w:rPr>
          <w:rFonts w:ascii="宋体" w:hAnsi="宋体"/>
          <w:sz w:val="24"/>
        </w:rPr>
      </w:pPr>
      <w:r>
        <w:rPr>
          <w:rFonts w:hint="eastAsia" w:ascii="宋体" w:hAnsi="宋体"/>
          <w:sz w:val="24"/>
        </w:rPr>
        <w:t>15.2 发包人供应材料设备的结算方法：</w:t>
      </w:r>
    </w:p>
    <w:p w14:paraId="31F79709">
      <w:pPr>
        <w:spacing w:line="460" w:lineRule="exact"/>
        <w:ind w:firstLine="480" w:firstLineChars="200"/>
        <w:rPr>
          <w:rFonts w:ascii="宋体" w:hAnsi="宋体"/>
          <w:sz w:val="24"/>
        </w:rPr>
      </w:pPr>
      <w:r>
        <w:rPr>
          <w:rFonts w:hint="eastAsia" w:ascii="宋体" w:hAnsi="宋体"/>
          <w:sz w:val="24"/>
        </w:rPr>
        <w:t xml:space="preserve">(1)发包人供应的材料，承包人必须提前四十五天编制用量计划；   </w:t>
      </w:r>
    </w:p>
    <w:p w14:paraId="02081B1F">
      <w:pPr>
        <w:spacing w:line="460" w:lineRule="exact"/>
        <w:ind w:firstLine="480" w:firstLineChars="200"/>
        <w:rPr>
          <w:rFonts w:ascii="宋体" w:hAnsi="宋体"/>
          <w:sz w:val="24"/>
        </w:rPr>
      </w:pPr>
      <w:r>
        <w:rPr>
          <w:rFonts w:hint="eastAsia" w:ascii="宋体" w:hAnsi="宋体"/>
          <w:sz w:val="24"/>
        </w:rPr>
        <w:t xml:space="preserve">(2)发包人供应的材料以发包人确定的价格进行结算；     </w:t>
      </w:r>
    </w:p>
    <w:p w14:paraId="324A8F1A">
      <w:pPr>
        <w:spacing w:line="460" w:lineRule="exact"/>
        <w:ind w:firstLine="480" w:firstLineChars="200"/>
        <w:rPr>
          <w:rFonts w:ascii="宋体" w:hAnsi="宋体"/>
          <w:sz w:val="24"/>
        </w:rPr>
      </w:pPr>
      <w:r>
        <w:rPr>
          <w:rFonts w:hint="eastAsia" w:ascii="宋体" w:hAnsi="宋体"/>
          <w:sz w:val="24"/>
        </w:rPr>
        <w:t>(3)承包人配合发包人对发包人提供的材料的检验、试验工作，所需费用由承包人承担。</w:t>
      </w:r>
    </w:p>
    <w:p w14:paraId="0EA05E67">
      <w:pPr>
        <w:spacing w:line="460" w:lineRule="exact"/>
        <w:ind w:firstLine="480" w:firstLineChars="200"/>
        <w:rPr>
          <w:rFonts w:ascii="宋体" w:hAnsi="宋体"/>
          <w:sz w:val="24"/>
        </w:rPr>
      </w:pPr>
      <w:r>
        <w:rPr>
          <w:rFonts w:hint="eastAsia" w:ascii="宋体" w:hAnsi="宋体"/>
          <w:sz w:val="24"/>
        </w:rPr>
        <w:t>16.承包人采购材料设备</w:t>
      </w:r>
    </w:p>
    <w:p w14:paraId="6E1B2FD9">
      <w:pPr>
        <w:spacing w:line="460" w:lineRule="exact"/>
        <w:ind w:firstLine="480" w:firstLineChars="200"/>
        <w:rPr>
          <w:rFonts w:ascii="宋体" w:hAnsi="宋体"/>
          <w:sz w:val="24"/>
        </w:rPr>
      </w:pPr>
      <w:r>
        <w:rPr>
          <w:rFonts w:hint="eastAsia" w:ascii="宋体" w:hAnsi="宋体"/>
          <w:sz w:val="24"/>
        </w:rPr>
        <w:t>16.1 承包人采购材料设备的约定：</w:t>
      </w:r>
    </w:p>
    <w:p w14:paraId="0A016B70">
      <w:pPr>
        <w:spacing w:line="460" w:lineRule="exact"/>
        <w:ind w:firstLine="480" w:firstLineChars="200"/>
        <w:rPr>
          <w:rFonts w:ascii="宋体" w:hAnsi="宋体"/>
          <w:sz w:val="24"/>
        </w:rPr>
      </w:pPr>
      <w:r>
        <w:rPr>
          <w:rFonts w:hint="eastAsia" w:ascii="宋体" w:hAnsi="宋体"/>
          <w:sz w:val="24"/>
        </w:rPr>
        <w:t>(1)本工程所使用的材料（竞争性磋商文件中的暂定价除外）由承包人自行采购，所购材料必须符合设计规范，并经监理验收后方可使用。对材料和建材制品，承包人必须提供生产厂家相关产品的生产许可证、质量证书和产品材料清单，如需检测的还应提供相应的检测报告，并经发包人、监理方看样，书面认可后方可订货使用，以确保工程质量，杜绝不合格材料进场。</w:t>
      </w:r>
    </w:p>
    <w:p w14:paraId="2C9BB01A">
      <w:pPr>
        <w:spacing w:line="460" w:lineRule="exact"/>
        <w:ind w:firstLine="480" w:firstLineChars="200"/>
        <w:rPr>
          <w:rFonts w:ascii="宋体" w:hAnsi="宋体"/>
          <w:sz w:val="24"/>
        </w:rPr>
      </w:pPr>
      <w:r>
        <w:rPr>
          <w:rFonts w:hint="eastAsia" w:ascii="宋体" w:hAnsi="宋体"/>
          <w:sz w:val="24"/>
        </w:rPr>
        <w:t>(2)对设计和质量标准要求不符合的材料，发包方代表可拒绝验收，并由承包人按发包方代表要求的时间退出施工现场，重新采购符合要求的材料，承担由此产生的费用，工期不予顺延。</w:t>
      </w:r>
    </w:p>
    <w:p w14:paraId="6207BEE2">
      <w:pPr>
        <w:spacing w:line="460" w:lineRule="exact"/>
        <w:ind w:firstLine="480" w:firstLineChars="200"/>
        <w:rPr>
          <w:rFonts w:ascii="宋体" w:hAnsi="宋体"/>
          <w:sz w:val="24"/>
        </w:rPr>
      </w:pPr>
      <w:r>
        <w:rPr>
          <w:rFonts w:hint="eastAsia" w:ascii="宋体" w:hAnsi="宋体"/>
          <w:sz w:val="24"/>
        </w:rPr>
        <w:t>八、工程变更</w:t>
      </w:r>
    </w:p>
    <w:p w14:paraId="6FC533F6">
      <w:pPr>
        <w:spacing w:line="460" w:lineRule="exact"/>
        <w:ind w:firstLine="480" w:firstLineChars="200"/>
        <w:rPr>
          <w:rFonts w:ascii="宋体" w:hAnsi="宋体"/>
          <w:sz w:val="24"/>
        </w:rPr>
      </w:pPr>
      <w:r>
        <w:rPr>
          <w:rFonts w:hint="eastAsia" w:ascii="宋体" w:hAnsi="宋体"/>
          <w:sz w:val="24"/>
        </w:rPr>
        <w:t xml:space="preserve">16.设计变更项目以设计院出具并经发包人、监理确认的设计变更通知书为准。其它变更项目以发包人、承包人、监理现场共同签证为准。其余执行“通用条款”第八章的规定。 </w:t>
      </w:r>
    </w:p>
    <w:p w14:paraId="70B130F4">
      <w:pPr>
        <w:spacing w:line="460" w:lineRule="exact"/>
        <w:ind w:firstLine="480" w:firstLineChars="200"/>
        <w:rPr>
          <w:rFonts w:ascii="宋体" w:hAnsi="宋体"/>
          <w:sz w:val="24"/>
        </w:rPr>
      </w:pPr>
      <w:r>
        <w:rPr>
          <w:rFonts w:hint="eastAsia" w:ascii="宋体" w:hAnsi="宋体"/>
          <w:sz w:val="24"/>
        </w:rPr>
        <w:t>九、竣工验收与结算</w:t>
      </w:r>
    </w:p>
    <w:p w14:paraId="6FD2508D">
      <w:pPr>
        <w:spacing w:line="460" w:lineRule="exact"/>
        <w:ind w:firstLine="480" w:firstLineChars="200"/>
        <w:rPr>
          <w:rFonts w:ascii="宋体" w:hAnsi="宋体"/>
          <w:sz w:val="24"/>
        </w:rPr>
      </w:pPr>
      <w:r>
        <w:rPr>
          <w:rFonts w:hint="eastAsia" w:ascii="宋体" w:hAnsi="宋体"/>
          <w:sz w:val="24"/>
        </w:rPr>
        <w:t>17.竣工验收：承包人必须保证分部分项工程及整体工程执行GB50300-2001《建筑工程施工质量验收统一标准》及参照省或行业的工程建设标准、规范的要求，质量标准达到一次性验收合格。</w:t>
      </w:r>
    </w:p>
    <w:p w14:paraId="34A9B34B">
      <w:pPr>
        <w:spacing w:line="460" w:lineRule="exact"/>
        <w:ind w:firstLine="480" w:firstLineChars="200"/>
        <w:rPr>
          <w:rFonts w:ascii="宋体" w:hAnsi="宋体"/>
          <w:sz w:val="24"/>
        </w:rPr>
      </w:pPr>
      <w:r>
        <w:rPr>
          <w:rFonts w:hint="eastAsia" w:ascii="宋体" w:hAnsi="宋体"/>
          <w:sz w:val="24"/>
        </w:rPr>
        <w:t>17.1 承包人提供竣工图的约定：工程竣工验收后15天内，向发包方提供一式陆份完整的、经核验签证后的竣工资料，绘制竣工图的图纸由发包人提供。</w:t>
      </w:r>
    </w:p>
    <w:p w14:paraId="38B48929">
      <w:pPr>
        <w:spacing w:line="460" w:lineRule="exact"/>
        <w:ind w:firstLine="480" w:firstLineChars="200"/>
        <w:rPr>
          <w:rFonts w:ascii="宋体" w:hAnsi="宋体"/>
          <w:sz w:val="24"/>
        </w:rPr>
      </w:pPr>
      <w:r>
        <w:rPr>
          <w:rFonts w:hint="eastAsia" w:ascii="宋体" w:hAnsi="宋体"/>
          <w:sz w:val="24"/>
        </w:rPr>
        <w:t>17.2 中间交工工程的范围和竣工时间：</w:t>
      </w:r>
    </w:p>
    <w:p w14:paraId="2F84D339">
      <w:pPr>
        <w:spacing w:line="460" w:lineRule="exact"/>
        <w:ind w:firstLine="480" w:firstLineChars="200"/>
        <w:rPr>
          <w:rFonts w:ascii="宋体" w:hAnsi="宋体"/>
          <w:sz w:val="24"/>
        </w:rPr>
      </w:pPr>
      <w:r>
        <w:rPr>
          <w:rFonts w:hint="eastAsia" w:ascii="宋体" w:hAnsi="宋体"/>
          <w:sz w:val="24"/>
        </w:rPr>
        <w:t>(1)隐蔽工程的验收：隐蔽工程完工后，由承包人发出隐蔽工程验收通知，由监理组织相关人员验收；</w:t>
      </w:r>
    </w:p>
    <w:p w14:paraId="183964C6">
      <w:pPr>
        <w:spacing w:line="460" w:lineRule="exact"/>
        <w:ind w:firstLine="480" w:firstLineChars="200"/>
        <w:rPr>
          <w:rFonts w:ascii="宋体" w:hAnsi="宋体"/>
          <w:sz w:val="24"/>
        </w:rPr>
      </w:pPr>
      <w:r>
        <w:rPr>
          <w:rFonts w:hint="eastAsia" w:ascii="宋体" w:hAnsi="宋体"/>
          <w:sz w:val="24"/>
        </w:rPr>
        <w:t>(2)分部分项工程验收：分部分项工程完工后，承包人应在三天内向监理提出书面验收通知，监理方接到通知后应在合理的时间内组织相关人员进行验收。</w:t>
      </w:r>
    </w:p>
    <w:p w14:paraId="4A97A73D">
      <w:pPr>
        <w:spacing w:line="460" w:lineRule="exact"/>
        <w:ind w:firstLine="480" w:firstLineChars="200"/>
        <w:rPr>
          <w:rFonts w:ascii="宋体" w:hAnsi="宋体"/>
          <w:sz w:val="24"/>
        </w:rPr>
      </w:pPr>
      <w:r>
        <w:rPr>
          <w:rFonts w:hint="eastAsia" w:ascii="宋体" w:hAnsi="宋体"/>
          <w:sz w:val="24"/>
        </w:rPr>
        <w:t xml:space="preserve">18.竣工结算：按合同“通用条款”第33条执行。  </w:t>
      </w:r>
    </w:p>
    <w:p w14:paraId="3EC8015F">
      <w:pPr>
        <w:spacing w:line="460" w:lineRule="exact"/>
        <w:ind w:firstLine="480" w:firstLineChars="200"/>
        <w:rPr>
          <w:rFonts w:ascii="宋体" w:hAnsi="宋体"/>
          <w:sz w:val="24"/>
        </w:rPr>
      </w:pPr>
      <w:r>
        <w:rPr>
          <w:rFonts w:hint="eastAsia" w:ascii="宋体" w:hAnsi="宋体"/>
          <w:sz w:val="24"/>
        </w:rPr>
        <w:t>十、违约、索赔和争议</w:t>
      </w:r>
    </w:p>
    <w:p w14:paraId="650BA881">
      <w:pPr>
        <w:spacing w:line="460" w:lineRule="exact"/>
        <w:ind w:firstLine="480" w:firstLineChars="200"/>
        <w:rPr>
          <w:rFonts w:ascii="宋体" w:hAnsi="宋体"/>
          <w:sz w:val="24"/>
        </w:rPr>
      </w:pPr>
      <w:r>
        <w:rPr>
          <w:rFonts w:hint="eastAsia" w:ascii="宋体" w:hAnsi="宋体"/>
          <w:sz w:val="24"/>
        </w:rPr>
        <w:t>19.违约</w:t>
      </w:r>
    </w:p>
    <w:p w14:paraId="1552A96D">
      <w:pPr>
        <w:spacing w:line="460" w:lineRule="exact"/>
        <w:ind w:firstLine="480" w:firstLineChars="200"/>
        <w:rPr>
          <w:rFonts w:ascii="宋体" w:hAnsi="宋体"/>
          <w:sz w:val="24"/>
        </w:rPr>
      </w:pPr>
      <w:r>
        <w:rPr>
          <w:rFonts w:hint="eastAsia" w:ascii="宋体" w:hAnsi="宋体"/>
          <w:sz w:val="24"/>
        </w:rPr>
        <w:t>19.1 本合同中关于发包人违约的具体责任如下：</w:t>
      </w:r>
    </w:p>
    <w:p w14:paraId="3AACAEC1">
      <w:pPr>
        <w:spacing w:line="460" w:lineRule="exact"/>
        <w:ind w:firstLine="480" w:firstLineChars="200"/>
        <w:rPr>
          <w:rFonts w:ascii="宋体" w:hAnsi="宋体"/>
          <w:sz w:val="24"/>
        </w:rPr>
      </w:pPr>
      <w:r>
        <w:rPr>
          <w:rFonts w:hint="eastAsia" w:ascii="宋体" w:hAnsi="宋体"/>
          <w:sz w:val="24"/>
        </w:rPr>
        <w:t>本合同通用条款第24条约定发包人违约应承担的违约责任：</w:t>
      </w:r>
    </w:p>
    <w:p w14:paraId="21521495">
      <w:pPr>
        <w:spacing w:line="460" w:lineRule="exact"/>
        <w:ind w:firstLine="480" w:firstLineChars="200"/>
        <w:rPr>
          <w:rFonts w:ascii="宋体" w:hAnsi="宋体"/>
          <w:sz w:val="24"/>
        </w:rPr>
      </w:pPr>
      <w:r>
        <w:rPr>
          <w:rFonts w:hint="eastAsia" w:ascii="宋体" w:hAnsi="宋体"/>
          <w:sz w:val="24"/>
        </w:rPr>
        <w:t xml:space="preserve">按“通用条款”第24条工程预付款执行。                                   </w:t>
      </w:r>
    </w:p>
    <w:p w14:paraId="25137AE4">
      <w:pPr>
        <w:spacing w:line="460" w:lineRule="exact"/>
        <w:ind w:firstLine="480" w:firstLineChars="200"/>
        <w:rPr>
          <w:rFonts w:ascii="宋体" w:hAnsi="宋体"/>
          <w:sz w:val="24"/>
        </w:rPr>
      </w:pPr>
      <w:r>
        <w:rPr>
          <w:rFonts w:hint="eastAsia" w:ascii="宋体" w:hAnsi="宋体"/>
          <w:sz w:val="24"/>
        </w:rPr>
        <w:t>本合同通用条款第26.4条约定发包人违约应承担的违约责任：</w:t>
      </w:r>
    </w:p>
    <w:p w14:paraId="254C5FD3">
      <w:pPr>
        <w:spacing w:line="460" w:lineRule="exact"/>
        <w:ind w:firstLine="480" w:firstLineChars="200"/>
        <w:rPr>
          <w:rFonts w:ascii="宋体" w:hAnsi="宋体"/>
          <w:sz w:val="24"/>
        </w:rPr>
      </w:pPr>
      <w:r>
        <w:rPr>
          <w:rFonts w:hint="eastAsia" w:ascii="宋体" w:hAnsi="宋体"/>
          <w:sz w:val="24"/>
        </w:rPr>
        <w:t xml:space="preserve">按“通用条款”第26.4条进度款执行。                                           </w:t>
      </w:r>
    </w:p>
    <w:p w14:paraId="4BDE759F">
      <w:pPr>
        <w:spacing w:line="460" w:lineRule="exact"/>
        <w:ind w:firstLine="480" w:firstLineChars="200"/>
        <w:rPr>
          <w:rFonts w:ascii="宋体" w:hAnsi="宋体"/>
          <w:sz w:val="24"/>
        </w:rPr>
      </w:pPr>
      <w:r>
        <w:rPr>
          <w:rFonts w:hint="eastAsia" w:ascii="宋体" w:hAnsi="宋体"/>
          <w:sz w:val="24"/>
        </w:rPr>
        <w:t>本合同通用条款第33.3款约定发包人违约应承担的违约责任：</w:t>
      </w:r>
    </w:p>
    <w:p w14:paraId="4940BDCC">
      <w:pPr>
        <w:spacing w:line="460" w:lineRule="exact"/>
        <w:ind w:firstLine="480" w:firstLineChars="200"/>
        <w:rPr>
          <w:rFonts w:ascii="宋体" w:hAnsi="宋体"/>
          <w:sz w:val="24"/>
        </w:rPr>
      </w:pPr>
      <w:r>
        <w:rPr>
          <w:rFonts w:hint="eastAsia" w:ascii="宋体" w:hAnsi="宋体"/>
          <w:sz w:val="24"/>
        </w:rPr>
        <w:t xml:space="preserve">按“通用条款”第33.3条竣工结算执行。                                          </w:t>
      </w:r>
    </w:p>
    <w:p w14:paraId="3FFE5137">
      <w:pPr>
        <w:spacing w:line="460" w:lineRule="exact"/>
        <w:ind w:firstLine="480" w:firstLineChars="200"/>
        <w:rPr>
          <w:rFonts w:ascii="宋体" w:hAnsi="宋体"/>
          <w:sz w:val="24"/>
        </w:rPr>
      </w:pPr>
      <w:r>
        <w:rPr>
          <w:rFonts w:hint="eastAsia" w:ascii="宋体" w:hAnsi="宋体"/>
          <w:sz w:val="24"/>
        </w:rPr>
        <w:t xml:space="preserve">双方约定的发包人其他违约责任：无               </w:t>
      </w:r>
    </w:p>
    <w:p w14:paraId="5D1C5F3D">
      <w:pPr>
        <w:spacing w:line="460" w:lineRule="exact"/>
        <w:ind w:firstLine="480" w:firstLineChars="200"/>
        <w:rPr>
          <w:rFonts w:ascii="宋体" w:hAnsi="宋体"/>
          <w:sz w:val="24"/>
        </w:rPr>
      </w:pPr>
      <w:r>
        <w:rPr>
          <w:rFonts w:hint="eastAsia" w:ascii="宋体" w:hAnsi="宋体"/>
          <w:sz w:val="24"/>
        </w:rPr>
        <w:t>19.2 本合同中关于承包人违约的具体责任如下：</w:t>
      </w:r>
    </w:p>
    <w:p w14:paraId="63377724">
      <w:pPr>
        <w:spacing w:line="460" w:lineRule="exact"/>
        <w:ind w:firstLine="480" w:firstLineChars="200"/>
        <w:rPr>
          <w:rFonts w:ascii="宋体" w:hAnsi="宋体"/>
          <w:sz w:val="24"/>
        </w:rPr>
      </w:pPr>
      <w:r>
        <w:rPr>
          <w:rFonts w:hint="eastAsia" w:ascii="宋体" w:hAnsi="宋体"/>
          <w:sz w:val="24"/>
        </w:rPr>
        <w:t>本合同通用条款第14.2款约定承包人违约应承担的违约责任：</w:t>
      </w:r>
    </w:p>
    <w:p w14:paraId="05D2991C">
      <w:pPr>
        <w:spacing w:line="460" w:lineRule="exact"/>
        <w:ind w:firstLine="480" w:firstLineChars="200"/>
        <w:rPr>
          <w:rFonts w:ascii="宋体" w:hAnsi="宋体"/>
          <w:sz w:val="24"/>
        </w:rPr>
      </w:pPr>
      <w:r>
        <w:rPr>
          <w:rFonts w:hint="eastAsia" w:ascii="宋体" w:hAnsi="宋体"/>
          <w:sz w:val="24"/>
        </w:rPr>
        <w:t>若因承包人原因造成工期延误每逾期一天按人民币</w:t>
      </w:r>
      <w:r>
        <w:rPr>
          <w:rFonts w:hint="eastAsia" w:ascii="宋体" w:hAnsi="宋体"/>
          <w:sz w:val="24"/>
          <w:u w:val="single"/>
        </w:rPr>
        <w:t xml:space="preserve">     </w:t>
      </w:r>
      <w:r>
        <w:rPr>
          <w:rFonts w:hint="eastAsia" w:ascii="宋体" w:hAnsi="宋体"/>
          <w:sz w:val="24"/>
        </w:rPr>
        <w:t>元/天加收违约金，累计计算。</w:t>
      </w:r>
    </w:p>
    <w:p w14:paraId="6FDBE382">
      <w:pPr>
        <w:spacing w:line="460" w:lineRule="exact"/>
        <w:ind w:firstLine="480" w:firstLineChars="200"/>
        <w:rPr>
          <w:rFonts w:ascii="宋体" w:hAnsi="宋体"/>
          <w:sz w:val="24"/>
        </w:rPr>
      </w:pPr>
      <w:r>
        <w:rPr>
          <w:rFonts w:hint="eastAsia" w:ascii="宋体" w:hAnsi="宋体"/>
          <w:sz w:val="24"/>
        </w:rPr>
        <w:t>本合同通用条款第15.1款约定承包人违约应承担的违约责任：</w:t>
      </w:r>
    </w:p>
    <w:p w14:paraId="63B72B9D">
      <w:pPr>
        <w:spacing w:line="460" w:lineRule="exact"/>
        <w:ind w:firstLine="480" w:firstLineChars="200"/>
        <w:rPr>
          <w:rFonts w:ascii="宋体" w:hAnsi="宋体"/>
          <w:sz w:val="24"/>
        </w:rPr>
      </w:pPr>
      <w:r>
        <w:rPr>
          <w:rFonts w:hint="eastAsia" w:ascii="宋体" w:hAnsi="宋体"/>
          <w:sz w:val="24"/>
        </w:rPr>
        <w:t>工程质量达不到合同约定的质量标准，需向发包人支付合同价款的</w:t>
      </w:r>
      <w:r>
        <w:rPr>
          <w:rFonts w:hint="eastAsia" w:ascii="宋体" w:hAnsi="宋体"/>
          <w:sz w:val="24"/>
          <w:u w:val="single"/>
        </w:rPr>
        <w:t xml:space="preserve">   </w:t>
      </w:r>
      <w:r>
        <w:rPr>
          <w:rFonts w:hint="eastAsia" w:ascii="宋体" w:hAnsi="宋体"/>
          <w:sz w:val="24"/>
        </w:rPr>
        <w:t>％作为质量违约金。</w:t>
      </w:r>
    </w:p>
    <w:p w14:paraId="3C220EBF">
      <w:pPr>
        <w:spacing w:line="460" w:lineRule="exact"/>
        <w:ind w:firstLine="480" w:firstLineChars="200"/>
        <w:rPr>
          <w:rFonts w:ascii="宋体" w:hAnsi="宋体"/>
          <w:sz w:val="24"/>
        </w:rPr>
      </w:pPr>
      <w:r>
        <w:rPr>
          <w:rFonts w:hint="eastAsia" w:ascii="宋体" w:hAnsi="宋体"/>
          <w:sz w:val="24"/>
        </w:rPr>
        <w:t>工程质量不符合合同规定的，应负责无偿修理或返工。由于修理或返工造成逾期交付或工程交付时间不符合规定的，要偿付误期违约金。在工程保修期内负责对工程保修，不负责保修的，相应比例保修金将不予退还。其它按“通用条款”第34条的规定执行。</w:t>
      </w:r>
    </w:p>
    <w:p w14:paraId="179FA8AC">
      <w:pPr>
        <w:spacing w:line="460" w:lineRule="exact"/>
        <w:ind w:firstLine="480" w:firstLineChars="200"/>
        <w:rPr>
          <w:rFonts w:ascii="宋体" w:hAnsi="宋体"/>
          <w:sz w:val="24"/>
        </w:rPr>
      </w:pPr>
      <w:r>
        <w:rPr>
          <w:rFonts w:hint="eastAsia" w:ascii="宋体" w:hAnsi="宋体"/>
          <w:sz w:val="24"/>
        </w:rPr>
        <w:t>20.索赔：发包方将派出专业工程师、合同管理人员协助监理工程师审核工程索赔。</w:t>
      </w:r>
    </w:p>
    <w:p w14:paraId="0E8067CE">
      <w:pPr>
        <w:spacing w:line="460" w:lineRule="exact"/>
        <w:ind w:firstLine="480" w:firstLineChars="200"/>
        <w:rPr>
          <w:rFonts w:ascii="宋体" w:hAnsi="宋体"/>
          <w:sz w:val="24"/>
        </w:rPr>
      </w:pPr>
      <w:r>
        <w:rPr>
          <w:rFonts w:hint="eastAsia" w:ascii="宋体" w:hAnsi="宋体"/>
          <w:sz w:val="24"/>
        </w:rPr>
        <w:t>21.争议</w:t>
      </w:r>
    </w:p>
    <w:p w14:paraId="7846A159">
      <w:pPr>
        <w:spacing w:line="460" w:lineRule="exact"/>
        <w:ind w:firstLine="480" w:firstLineChars="200"/>
        <w:rPr>
          <w:rFonts w:ascii="宋体" w:hAnsi="宋体"/>
          <w:sz w:val="24"/>
        </w:rPr>
      </w:pPr>
      <w:r>
        <w:rPr>
          <w:rFonts w:hint="eastAsia" w:ascii="宋体" w:hAnsi="宋体"/>
          <w:sz w:val="24"/>
        </w:rPr>
        <w:t>21.1 双方约定，在履行合同过程中产生争议时：</w:t>
      </w:r>
    </w:p>
    <w:p w14:paraId="25007DA0">
      <w:pPr>
        <w:spacing w:line="460" w:lineRule="exact"/>
        <w:ind w:firstLine="480" w:firstLineChars="200"/>
        <w:rPr>
          <w:rFonts w:ascii="宋体" w:hAnsi="宋体"/>
          <w:sz w:val="24"/>
        </w:rPr>
      </w:pPr>
      <w:r>
        <w:rPr>
          <w:rFonts w:hint="eastAsia" w:ascii="宋体" w:hAnsi="宋体"/>
          <w:sz w:val="24"/>
        </w:rPr>
        <w:t>(1)由双方当事人协商解决；</w:t>
      </w:r>
    </w:p>
    <w:p w14:paraId="33E3E165">
      <w:pPr>
        <w:spacing w:line="460" w:lineRule="exact"/>
        <w:ind w:firstLine="480" w:firstLineChars="200"/>
        <w:rPr>
          <w:rFonts w:ascii="宋体" w:hAnsi="宋体"/>
          <w:sz w:val="24"/>
        </w:rPr>
      </w:pPr>
      <w:r>
        <w:rPr>
          <w:rFonts w:hint="eastAsia" w:ascii="宋体" w:hAnsi="宋体"/>
          <w:sz w:val="24"/>
        </w:rPr>
        <w:t>(2)采取第(1)种方式解决不成的，任何一方可通过诉讼方式向合同签订地法院提起诉讼。</w:t>
      </w:r>
    </w:p>
    <w:p w14:paraId="56EC5E1E">
      <w:pPr>
        <w:spacing w:line="460" w:lineRule="exact"/>
        <w:ind w:firstLine="480" w:firstLineChars="200"/>
        <w:rPr>
          <w:rFonts w:ascii="宋体" w:hAnsi="宋体"/>
          <w:sz w:val="24"/>
        </w:rPr>
      </w:pPr>
      <w:r>
        <w:rPr>
          <w:rFonts w:hint="eastAsia" w:ascii="宋体" w:hAnsi="宋体"/>
          <w:sz w:val="24"/>
        </w:rPr>
        <w:t>22.工程分包: 无。</w:t>
      </w:r>
    </w:p>
    <w:p w14:paraId="56D1B557">
      <w:pPr>
        <w:spacing w:line="460" w:lineRule="exact"/>
        <w:ind w:firstLine="480" w:firstLineChars="200"/>
        <w:rPr>
          <w:rFonts w:ascii="宋体" w:hAnsi="宋体"/>
          <w:sz w:val="24"/>
        </w:rPr>
      </w:pPr>
      <w:r>
        <w:rPr>
          <w:rFonts w:hint="eastAsia" w:ascii="宋体" w:hAnsi="宋体"/>
          <w:sz w:val="24"/>
        </w:rPr>
        <w:t>23.不可抗力</w:t>
      </w:r>
    </w:p>
    <w:p w14:paraId="7A0EB029">
      <w:pPr>
        <w:spacing w:line="460" w:lineRule="exact"/>
        <w:ind w:firstLine="480" w:firstLineChars="200"/>
        <w:rPr>
          <w:rFonts w:ascii="宋体" w:hAnsi="宋体"/>
          <w:sz w:val="24"/>
        </w:rPr>
      </w:pPr>
      <w:r>
        <w:rPr>
          <w:rFonts w:hint="eastAsia" w:ascii="宋体" w:hAnsi="宋体"/>
          <w:sz w:val="24"/>
        </w:rPr>
        <w:t>23.1 双方关于不可抗力的约定：按“通用条款”第39条的规定执行。</w:t>
      </w:r>
    </w:p>
    <w:p w14:paraId="3A645B5D">
      <w:pPr>
        <w:spacing w:line="460" w:lineRule="exact"/>
        <w:ind w:firstLine="480" w:firstLineChars="200"/>
        <w:rPr>
          <w:rFonts w:ascii="宋体" w:hAnsi="宋体"/>
          <w:sz w:val="24"/>
        </w:rPr>
      </w:pPr>
      <w:r>
        <w:rPr>
          <w:rFonts w:hint="eastAsia" w:ascii="宋体" w:hAnsi="宋体"/>
          <w:sz w:val="24"/>
        </w:rPr>
        <w:t>24.保险</w:t>
      </w:r>
    </w:p>
    <w:p w14:paraId="6655859F">
      <w:pPr>
        <w:spacing w:line="460" w:lineRule="exact"/>
        <w:ind w:firstLine="480" w:firstLineChars="200"/>
        <w:rPr>
          <w:rFonts w:ascii="宋体" w:hAnsi="宋体"/>
          <w:sz w:val="24"/>
        </w:rPr>
      </w:pPr>
      <w:r>
        <w:rPr>
          <w:rFonts w:hint="eastAsia" w:ascii="宋体" w:hAnsi="宋体"/>
          <w:sz w:val="24"/>
        </w:rPr>
        <w:t>24.1 本工程双方约定投保内容如下：</w:t>
      </w:r>
    </w:p>
    <w:p w14:paraId="1D84E8F0">
      <w:pPr>
        <w:spacing w:line="460" w:lineRule="exact"/>
        <w:ind w:firstLine="480" w:firstLineChars="200"/>
        <w:rPr>
          <w:rFonts w:ascii="宋体" w:hAnsi="宋体"/>
          <w:sz w:val="24"/>
        </w:rPr>
      </w:pPr>
      <w:r>
        <w:rPr>
          <w:rFonts w:hint="eastAsia" w:ascii="宋体" w:hAnsi="宋体"/>
          <w:sz w:val="24"/>
        </w:rPr>
        <w:t xml:space="preserve">发包人投保内容：无。 </w:t>
      </w:r>
    </w:p>
    <w:p w14:paraId="10F4F9DA">
      <w:pPr>
        <w:spacing w:line="460" w:lineRule="exact"/>
        <w:ind w:firstLine="480" w:firstLineChars="200"/>
        <w:rPr>
          <w:rFonts w:ascii="宋体" w:hAnsi="宋体"/>
          <w:sz w:val="24"/>
        </w:rPr>
      </w:pPr>
      <w:r>
        <w:rPr>
          <w:rFonts w:hint="eastAsia" w:ascii="宋体" w:hAnsi="宋体"/>
          <w:sz w:val="24"/>
        </w:rPr>
        <w:t>发包人委托承包人办理的保险事项：无。</w:t>
      </w:r>
    </w:p>
    <w:p w14:paraId="1F0AF163">
      <w:pPr>
        <w:spacing w:line="460" w:lineRule="exact"/>
        <w:ind w:firstLine="480" w:firstLineChars="200"/>
        <w:rPr>
          <w:rFonts w:ascii="宋体" w:hAnsi="宋体"/>
          <w:sz w:val="24"/>
        </w:rPr>
      </w:pPr>
      <w:r>
        <w:rPr>
          <w:rFonts w:hint="eastAsia" w:ascii="宋体" w:hAnsi="宋体"/>
          <w:sz w:val="24"/>
        </w:rPr>
        <w:t>承包人投保内容：承包人按有关规定办理。</w:t>
      </w:r>
    </w:p>
    <w:p w14:paraId="3FCBFA85">
      <w:pPr>
        <w:spacing w:line="460" w:lineRule="exact"/>
        <w:ind w:firstLine="480" w:firstLineChars="200"/>
        <w:rPr>
          <w:rFonts w:ascii="宋体" w:hAnsi="宋体"/>
          <w:sz w:val="24"/>
        </w:rPr>
      </w:pPr>
      <w:r>
        <w:rPr>
          <w:rFonts w:hint="eastAsia" w:ascii="宋体" w:hAnsi="宋体"/>
          <w:sz w:val="24"/>
        </w:rPr>
        <w:t>25.担保</w:t>
      </w:r>
    </w:p>
    <w:p w14:paraId="7423AD68">
      <w:pPr>
        <w:spacing w:line="460" w:lineRule="exact"/>
        <w:ind w:firstLine="480" w:firstLineChars="200"/>
        <w:rPr>
          <w:rFonts w:ascii="宋体" w:hAnsi="宋体"/>
          <w:sz w:val="24"/>
        </w:rPr>
      </w:pPr>
      <w:r>
        <w:rPr>
          <w:rFonts w:hint="eastAsia" w:ascii="宋体" w:hAnsi="宋体"/>
          <w:sz w:val="24"/>
        </w:rPr>
        <w:t>25.1 本工程双方约定担保事项如下：</w:t>
      </w:r>
    </w:p>
    <w:p w14:paraId="3B2DF14B">
      <w:pPr>
        <w:spacing w:line="460" w:lineRule="exact"/>
        <w:ind w:firstLine="480" w:firstLineChars="200"/>
        <w:rPr>
          <w:rFonts w:ascii="宋体" w:hAnsi="宋体"/>
          <w:sz w:val="24"/>
        </w:rPr>
      </w:pPr>
      <w:r>
        <w:rPr>
          <w:rFonts w:hint="eastAsia" w:ascii="宋体" w:hAnsi="宋体"/>
          <w:sz w:val="24"/>
        </w:rPr>
        <w:t xml:space="preserve">(1) 发包人向承包人提供履约担保,担保方式为：无   </w:t>
      </w:r>
    </w:p>
    <w:p w14:paraId="74FEA894">
      <w:pPr>
        <w:spacing w:line="460" w:lineRule="exact"/>
        <w:ind w:firstLine="480" w:firstLineChars="200"/>
        <w:rPr>
          <w:rFonts w:ascii="宋体" w:hAnsi="宋体"/>
          <w:sz w:val="24"/>
        </w:rPr>
      </w:pPr>
      <w:r>
        <w:rPr>
          <w:rFonts w:hint="eastAsia" w:ascii="宋体" w:hAnsi="宋体"/>
          <w:sz w:val="24"/>
        </w:rPr>
        <w:t xml:space="preserve">(2) 承包人向发包人提供履约担保，担保方式为：无                        </w:t>
      </w:r>
    </w:p>
    <w:p w14:paraId="36D6070B">
      <w:pPr>
        <w:spacing w:line="460" w:lineRule="exact"/>
        <w:ind w:firstLine="480" w:firstLineChars="200"/>
        <w:rPr>
          <w:rFonts w:ascii="宋体" w:hAnsi="宋体"/>
          <w:sz w:val="24"/>
        </w:rPr>
      </w:pPr>
      <w:r>
        <w:rPr>
          <w:rFonts w:hint="eastAsia" w:ascii="宋体" w:hAnsi="宋体"/>
          <w:sz w:val="24"/>
        </w:rPr>
        <w:t>(3) 双方约定的其它担保事项：担保合同作为本合同附件。</w:t>
      </w:r>
    </w:p>
    <w:p w14:paraId="7FB67F36">
      <w:pPr>
        <w:spacing w:line="460" w:lineRule="exact"/>
        <w:ind w:firstLine="480" w:firstLineChars="200"/>
        <w:rPr>
          <w:rFonts w:ascii="宋体" w:hAnsi="宋体"/>
          <w:sz w:val="24"/>
        </w:rPr>
      </w:pPr>
      <w:r>
        <w:rPr>
          <w:rFonts w:hint="eastAsia" w:ascii="宋体" w:hAnsi="宋体"/>
          <w:sz w:val="24"/>
        </w:rPr>
        <w:t>26.合同份数</w:t>
      </w:r>
    </w:p>
    <w:p w14:paraId="53CA815C">
      <w:pPr>
        <w:spacing w:line="460" w:lineRule="exact"/>
        <w:ind w:firstLine="480" w:firstLineChars="200"/>
        <w:rPr>
          <w:rFonts w:ascii="宋体" w:hAnsi="宋体"/>
          <w:sz w:val="24"/>
        </w:rPr>
      </w:pPr>
      <w:r>
        <w:rPr>
          <w:rFonts w:hint="eastAsia" w:ascii="宋体" w:hAnsi="宋体"/>
          <w:sz w:val="24"/>
        </w:rPr>
        <w:t>26.1 双方约定合同份数：共</w:t>
      </w:r>
      <w:r>
        <w:rPr>
          <w:rFonts w:hint="eastAsia" w:ascii="宋体" w:hAnsi="宋体"/>
          <w:sz w:val="24"/>
          <w:u w:val="single"/>
          <w:lang w:val="en-US" w:eastAsia="zh-CN"/>
        </w:rPr>
        <w:t xml:space="preserve">    </w:t>
      </w:r>
      <w:r>
        <w:rPr>
          <w:rFonts w:hint="eastAsia" w:ascii="宋体" w:hAnsi="宋体"/>
          <w:sz w:val="24"/>
        </w:rPr>
        <w:t>份，其中发包人</w:t>
      </w:r>
      <w:r>
        <w:rPr>
          <w:rFonts w:hint="eastAsia" w:ascii="宋体" w:hAnsi="宋体"/>
          <w:sz w:val="24"/>
          <w:u w:val="single"/>
          <w:lang w:val="en-US" w:eastAsia="zh-CN"/>
        </w:rPr>
        <w:t xml:space="preserve">    </w:t>
      </w:r>
      <w:r>
        <w:rPr>
          <w:rFonts w:hint="eastAsia" w:ascii="宋体" w:hAnsi="宋体"/>
          <w:sz w:val="24"/>
        </w:rPr>
        <w:t>份（含结算），承包人</w:t>
      </w:r>
      <w:r>
        <w:rPr>
          <w:rFonts w:hint="eastAsia" w:ascii="宋体" w:hAnsi="宋体"/>
          <w:sz w:val="24"/>
          <w:u w:val="single"/>
          <w:lang w:val="en-US" w:eastAsia="zh-CN"/>
        </w:rPr>
        <w:t xml:space="preserve">    </w:t>
      </w:r>
      <w:r>
        <w:rPr>
          <w:rFonts w:hint="eastAsia" w:ascii="宋体" w:hAnsi="宋体"/>
          <w:sz w:val="24"/>
        </w:rPr>
        <w:t>份。</w:t>
      </w:r>
    </w:p>
    <w:p w14:paraId="4229BBF6">
      <w:pPr>
        <w:spacing w:line="460" w:lineRule="exact"/>
        <w:ind w:firstLine="360" w:firstLineChars="150"/>
        <w:rPr>
          <w:rFonts w:ascii="宋体" w:hAnsi="宋体"/>
          <w:sz w:val="24"/>
        </w:rPr>
      </w:pPr>
      <w:r>
        <w:rPr>
          <w:rFonts w:hint="eastAsia" w:ascii="宋体" w:hAnsi="宋体"/>
          <w:sz w:val="24"/>
        </w:rPr>
        <w:t>27.补充条款</w:t>
      </w:r>
    </w:p>
    <w:p w14:paraId="2D396C3C">
      <w:pPr>
        <w:spacing w:line="460" w:lineRule="exact"/>
        <w:ind w:firstLine="360" w:firstLineChars="150"/>
        <w:rPr>
          <w:rFonts w:ascii="宋体" w:hAnsi="宋体"/>
          <w:sz w:val="24"/>
        </w:rPr>
      </w:pPr>
      <w:r>
        <w:rPr>
          <w:rFonts w:hint="eastAsia" w:ascii="宋体" w:hAnsi="宋体"/>
          <w:sz w:val="24"/>
        </w:rPr>
        <w:t>27.1 质量保修制度和保修期限：按国务院第279号文《建设工程质量管理条例》执行及磋商承诺执行。</w:t>
      </w:r>
    </w:p>
    <w:p w14:paraId="66AB2696">
      <w:pPr>
        <w:spacing w:line="460" w:lineRule="exact"/>
        <w:ind w:firstLine="480" w:firstLineChars="200"/>
        <w:rPr>
          <w:rFonts w:ascii="宋体" w:hAnsi="宋体"/>
          <w:sz w:val="24"/>
        </w:rPr>
      </w:pPr>
      <w:r>
        <w:rPr>
          <w:rFonts w:hint="eastAsia" w:ascii="宋体" w:hAnsi="宋体"/>
          <w:sz w:val="24"/>
        </w:rPr>
        <w:t>27.2 保修金：保修金的金额为本合同项目经审定工程总造价的 5%，在合同项目保修期满后20天内退还（保修金退还时不计利息）。</w:t>
      </w:r>
    </w:p>
    <w:p w14:paraId="5446FC13">
      <w:pPr>
        <w:spacing w:line="460" w:lineRule="exact"/>
        <w:ind w:firstLine="480" w:firstLineChars="200"/>
        <w:rPr>
          <w:rFonts w:ascii="宋体" w:hAnsi="宋体"/>
          <w:sz w:val="24"/>
        </w:rPr>
      </w:pPr>
      <w:r>
        <w:rPr>
          <w:rFonts w:hint="eastAsia" w:ascii="宋体" w:hAnsi="宋体"/>
          <w:sz w:val="24"/>
        </w:rPr>
        <w:t>27.3 承包人在合同履行中要求变更磋商承诺和变更磋商报价（含单价、合价和总价）的，按下列规定执行：</w:t>
      </w:r>
    </w:p>
    <w:p w14:paraId="7329F865">
      <w:pPr>
        <w:spacing w:line="460" w:lineRule="exact"/>
        <w:ind w:firstLine="480" w:firstLineChars="200"/>
        <w:rPr>
          <w:rFonts w:ascii="宋体" w:hAnsi="宋体"/>
          <w:sz w:val="24"/>
        </w:rPr>
      </w:pPr>
      <w:r>
        <w:rPr>
          <w:rFonts w:hint="eastAsia" w:ascii="宋体" w:hAnsi="宋体"/>
          <w:sz w:val="24"/>
        </w:rPr>
        <w:t>(1)不全面履行合同的，除扣除履约担保金外，还应承担由此造成发包人的实际损失。此外，发包人可将有关情况报建设行政主管部门，由建设行政主管部门依照有关法律、法规给予相应处罚，并作为不良市场行为记录；</w:t>
      </w:r>
    </w:p>
    <w:p w14:paraId="54F634E3">
      <w:pPr>
        <w:spacing w:line="460" w:lineRule="exact"/>
        <w:ind w:firstLine="480" w:firstLineChars="200"/>
        <w:rPr>
          <w:rFonts w:ascii="宋体" w:hAnsi="宋体"/>
          <w:sz w:val="24"/>
        </w:rPr>
      </w:pPr>
      <w:r>
        <w:rPr>
          <w:rFonts w:hint="eastAsia" w:ascii="宋体" w:hAnsi="宋体"/>
          <w:sz w:val="24"/>
        </w:rPr>
        <w:t>(2)在合同履行中，承包人要求变更磋商承诺和变更磋商报价（含单价、合价和总价）的，发包人不给予调整，可视情况终止合同，由此造成发包人的实际损失由承包人承担赔偿责任。发包人可将有关情况报建设行政主管部门，由建设行政主管部门依照有关法律、法规给予相应处罚，并作为不良市场行为记录。</w:t>
      </w:r>
    </w:p>
    <w:p w14:paraId="499D214B">
      <w:pPr>
        <w:spacing w:line="460" w:lineRule="exact"/>
        <w:ind w:firstLine="480" w:firstLineChars="200"/>
        <w:rPr>
          <w:rFonts w:ascii="宋体" w:hAnsi="宋体"/>
          <w:sz w:val="24"/>
        </w:rPr>
      </w:pPr>
      <w:r>
        <w:rPr>
          <w:rFonts w:hint="eastAsia" w:ascii="宋体" w:hAnsi="宋体"/>
          <w:sz w:val="24"/>
        </w:rPr>
        <w:t>27.4 承包方必须保证资金专款专用，绝不挪作他用，在收到工程预付款和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23AC4A78">
      <w:pPr>
        <w:spacing w:line="460" w:lineRule="exact"/>
        <w:ind w:firstLine="480" w:firstLineChars="200"/>
        <w:rPr>
          <w:rFonts w:ascii="宋体" w:hAnsi="宋体"/>
          <w:sz w:val="24"/>
        </w:rPr>
      </w:pPr>
      <w:r>
        <w:rPr>
          <w:rFonts w:hint="eastAsia" w:ascii="宋体" w:hAnsi="宋体"/>
          <w:sz w:val="24"/>
        </w:rPr>
        <w:t>27.5 承包人通过对现场考察，应结合本工程的实际情况，对施工现场作周密布置，除充分考虑上述规定外，还应对现场施工用水的排放及排污做统一安排。执行省、市及当地行政主管部门对 现场管理的相关规定，且服从发包人的相关管理规定。若因排水、排污妨碍沿线居民正常生活或工农业生产，一切责任由承包人承担。</w:t>
      </w:r>
    </w:p>
    <w:p w14:paraId="2961CDA4">
      <w:pPr>
        <w:spacing w:line="460" w:lineRule="exact"/>
        <w:ind w:firstLine="480" w:firstLineChars="200"/>
        <w:rPr>
          <w:rFonts w:ascii="宋体" w:hAnsi="宋体"/>
          <w:sz w:val="24"/>
        </w:rPr>
      </w:pPr>
      <w:r>
        <w:rPr>
          <w:rFonts w:hint="eastAsia" w:ascii="宋体" w:hAnsi="宋体"/>
          <w:sz w:val="24"/>
        </w:rPr>
        <w:t>27.6 若工程师对承包人所用材料有疑虑，以云南省质量技术监督局或其它专业资质机构鉴定结果为准，检验费用由承包人承担。</w:t>
      </w:r>
    </w:p>
    <w:p w14:paraId="6025D384">
      <w:pPr>
        <w:spacing w:line="460" w:lineRule="exact"/>
        <w:ind w:firstLine="480" w:firstLineChars="200"/>
        <w:rPr>
          <w:rFonts w:ascii="宋体" w:hAnsi="宋体"/>
          <w:sz w:val="24"/>
        </w:rPr>
      </w:pPr>
      <w:r>
        <w:rPr>
          <w:rFonts w:hint="eastAsia" w:ascii="宋体" w:hAnsi="宋体"/>
          <w:sz w:val="24"/>
        </w:rPr>
        <w:t>27.7 除发包人提供的材料外，所有材料由承包人按合同自行采购。若发包人提供的材料，质量符合设计要求，价格又低于磋商报价时，承包人不得拒购，工程结算时按实扣减。</w:t>
      </w:r>
    </w:p>
    <w:p w14:paraId="4D6E8845">
      <w:pPr>
        <w:spacing w:line="460" w:lineRule="exact"/>
        <w:ind w:firstLine="480" w:firstLineChars="200"/>
        <w:rPr>
          <w:rFonts w:ascii="宋体" w:hAnsi="宋体"/>
          <w:sz w:val="24"/>
        </w:rPr>
      </w:pPr>
      <w:r>
        <w:rPr>
          <w:rFonts w:hint="eastAsia" w:ascii="宋体" w:hAnsi="宋体"/>
          <w:sz w:val="24"/>
        </w:rPr>
        <w:t>27.8 供应商接到成交通知书后，及时做好进场准备，场地布置按建设方要求进行，做到安全、文明施工，施工污水、生活污水、垃圾等做到零排放，不另计费。</w:t>
      </w:r>
    </w:p>
    <w:p w14:paraId="391E790C">
      <w:pPr>
        <w:spacing w:line="460" w:lineRule="exact"/>
        <w:ind w:firstLine="480" w:firstLineChars="200"/>
        <w:rPr>
          <w:rFonts w:hint="eastAsia" w:ascii="宋体" w:hAnsi="宋体"/>
          <w:sz w:val="24"/>
        </w:rPr>
      </w:pPr>
      <w:r>
        <w:rPr>
          <w:rFonts w:hint="eastAsia" w:ascii="宋体" w:hAnsi="宋体"/>
          <w:sz w:val="24"/>
        </w:rPr>
        <w:t>27.9 服从采购人的管理规定，并签订治安管理协议书。</w:t>
      </w:r>
    </w:p>
    <w:p w14:paraId="4DF97C39">
      <w:pPr>
        <w:spacing w:line="460" w:lineRule="exact"/>
        <w:ind w:firstLine="480" w:firstLineChars="200"/>
        <w:rPr>
          <w:rFonts w:hint="eastAsia" w:ascii="宋体" w:hAnsi="宋体"/>
          <w:sz w:val="24"/>
        </w:rPr>
      </w:pPr>
      <w:r>
        <w:rPr>
          <w:rFonts w:hint="eastAsia" w:ascii="宋体" w:hAnsi="宋体"/>
          <w:sz w:val="24"/>
        </w:rPr>
        <w:t>27.10 承包人对发包人在答疑补充文件中规定备选品牌的材料设备，必须按规定选购。凡承包人在响应文件中未按规定采用的，在实际施工时必须按答疑补充文件要求执行。</w:t>
      </w:r>
    </w:p>
    <w:p w14:paraId="7C7E098D">
      <w:pPr>
        <w:spacing w:line="480" w:lineRule="auto"/>
        <w:ind w:firstLine="1365" w:firstLineChars="650"/>
        <w:rPr>
          <w:rFonts w:hint="eastAsia" w:ascii="宋体" w:hAnsi="宋体" w:cs="Tahoma"/>
          <w:color w:val="000000"/>
          <w:sz w:val="24"/>
        </w:rPr>
      </w:pPr>
      <w:bookmarkStart w:id="283" w:name="_Toc12847"/>
      <w:bookmarkEnd w:id="283"/>
      <w:bookmarkStart w:id="284" w:name="_Toc31034"/>
      <w:bookmarkEnd w:id="284"/>
      <w:bookmarkStart w:id="285" w:name="_Toc8577"/>
      <w:r>
        <w:br w:type="page"/>
      </w:r>
      <w:r>
        <w:rPr>
          <w:rFonts w:hint="eastAsia" w:ascii="宋体" w:hAnsi="宋体" w:cs="Tahoma"/>
          <w:color w:val="000000"/>
          <w:sz w:val="24"/>
        </w:rPr>
        <w:t xml:space="preserve">甲方（采购人单位章）名    称： </w:t>
      </w:r>
    </w:p>
    <w:p w14:paraId="5BBB651F">
      <w:pPr>
        <w:spacing w:line="480" w:lineRule="auto"/>
        <w:ind w:left="1619" w:leftChars="771"/>
        <w:rPr>
          <w:rFonts w:hint="eastAsia" w:ascii="宋体" w:hAnsi="宋体" w:cs="Tahoma"/>
          <w:color w:val="000000"/>
          <w:sz w:val="24"/>
        </w:rPr>
      </w:pPr>
      <w:r>
        <w:rPr>
          <w:rFonts w:hint="eastAsia" w:ascii="宋体" w:hAnsi="宋体" w:cs="Tahoma"/>
          <w:color w:val="000000"/>
          <w:sz w:val="24"/>
        </w:rPr>
        <w:t xml:space="preserve">地    址： </w:t>
      </w:r>
    </w:p>
    <w:p w14:paraId="1E0D279C">
      <w:pPr>
        <w:spacing w:line="480" w:lineRule="auto"/>
        <w:ind w:left="1619" w:leftChars="771"/>
        <w:rPr>
          <w:rFonts w:hint="eastAsia" w:ascii="宋体" w:hAnsi="宋体" w:cs="Tahoma"/>
          <w:color w:val="000000"/>
          <w:sz w:val="24"/>
        </w:rPr>
      </w:pPr>
      <w:r>
        <w:rPr>
          <w:rFonts w:hint="eastAsia" w:ascii="宋体" w:hAnsi="宋体" w:cs="Tahoma"/>
          <w:color w:val="000000"/>
          <w:sz w:val="24"/>
        </w:rPr>
        <w:t>邮    编：</w:t>
      </w:r>
    </w:p>
    <w:p w14:paraId="6F17EFF2">
      <w:pPr>
        <w:spacing w:line="480" w:lineRule="auto"/>
        <w:ind w:left="1619" w:leftChars="771"/>
        <w:rPr>
          <w:rFonts w:hint="eastAsia" w:ascii="宋体" w:hAnsi="宋体" w:cs="Tahoma"/>
          <w:color w:val="000000"/>
          <w:sz w:val="24"/>
        </w:rPr>
      </w:pPr>
      <w:r>
        <w:rPr>
          <w:rFonts w:hint="eastAsia" w:ascii="宋体" w:hAnsi="宋体" w:cs="Tahoma"/>
          <w:color w:val="000000"/>
          <w:sz w:val="24"/>
        </w:rPr>
        <w:t>法定代表人或委托代理人：</w:t>
      </w:r>
    </w:p>
    <w:p w14:paraId="285D43BB">
      <w:pPr>
        <w:spacing w:line="480" w:lineRule="auto"/>
        <w:ind w:left="1619" w:leftChars="771"/>
        <w:rPr>
          <w:rFonts w:hint="eastAsia" w:ascii="宋体" w:hAnsi="宋体" w:cs="Tahoma"/>
          <w:color w:val="000000"/>
          <w:sz w:val="24"/>
        </w:rPr>
      </w:pPr>
      <w:r>
        <w:rPr>
          <w:rFonts w:hint="eastAsia" w:ascii="宋体" w:hAnsi="宋体" w:cs="Tahoma"/>
          <w:color w:val="000000"/>
          <w:sz w:val="24"/>
        </w:rPr>
        <w:t>项目（技术）负责人：</w:t>
      </w:r>
    </w:p>
    <w:p w14:paraId="150D99C5">
      <w:pPr>
        <w:spacing w:line="480" w:lineRule="auto"/>
        <w:ind w:left="1619" w:leftChars="771"/>
        <w:rPr>
          <w:rFonts w:hint="eastAsia" w:ascii="宋体" w:hAnsi="宋体" w:cs="Tahoma"/>
          <w:color w:val="000000"/>
          <w:sz w:val="24"/>
        </w:rPr>
      </w:pPr>
      <w:r>
        <w:rPr>
          <w:rFonts w:hint="eastAsia" w:ascii="宋体" w:hAnsi="宋体" w:cs="Tahoma"/>
          <w:color w:val="000000"/>
          <w:sz w:val="24"/>
        </w:rPr>
        <w:t>签订日期：</w:t>
      </w:r>
    </w:p>
    <w:p w14:paraId="68908674">
      <w:pPr>
        <w:spacing w:line="480" w:lineRule="auto"/>
        <w:ind w:left="1619" w:leftChars="771"/>
        <w:rPr>
          <w:rFonts w:hint="eastAsia" w:ascii="宋体" w:hAnsi="宋体" w:cs="Tahoma"/>
          <w:color w:val="000000"/>
          <w:sz w:val="24"/>
        </w:rPr>
      </w:pPr>
    </w:p>
    <w:p w14:paraId="0DD1B238">
      <w:pPr>
        <w:spacing w:line="480" w:lineRule="auto"/>
        <w:ind w:left="1619" w:leftChars="771"/>
        <w:rPr>
          <w:rFonts w:hint="eastAsia" w:ascii="宋体" w:hAnsi="宋体" w:cs="Tahoma"/>
          <w:color w:val="000000"/>
          <w:sz w:val="24"/>
        </w:rPr>
      </w:pPr>
      <w:r>
        <w:rPr>
          <w:rFonts w:hint="eastAsia" w:ascii="宋体" w:hAnsi="宋体" w:cs="Tahoma"/>
          <w:color w:val="000000"/>
          <w:sz w:val="24"/>
        </w:rPr>
        <w:t xml:space="preserve">乙方（供应商单位章）名    称： </w:t>
      </w:r>
    </w:p>
    <w:p w14:paraId="2B2EA63E">
      <w:pPr>
        <w:spacing w:line="480" w:lineRule="auto"/>
        <w:ind w:left="1619" w:leftChars="771"/>
        <w:rPr>
          <w:rFonts w:hint="eastAsia" w:ascii="宋体" w:hAnsi="宋体" w:cs="Tahoma"/>
          <w:color w:val="000000"/>
          <w:sz w:val="24"/>
        </w:rPr>
      </w:pPr>
      <w:r>
        <w:rPr>
          <w:rFonts w:hint="eastAsia" w:ascii="宋体" w:hAnsi="宋体" w:cs="Tahoma"/>
          <w:color w:val="000000"/>
          <w:sz w:val="24"/>
        </w:rPr>
        <w:t>地    址：</w:t>
      </w:r>
    </w:p>
    <w:p w14:paraId="39ADD310">
      <w:pPr>
        <w:spacing w:line="480" w:lineRule="auto"/>
        <w:ind w:left="1619" w:leftChars="771"/>
        <w:rPr>
          <w:rFonts w:hint="eastAsia" w:ascii="宋体" w:hAnsi="宋体" w:cs="Tahoma"/>
          <w:color w:val="000000"/>
          <w:sz w:val="24"/>
        </w:rPr>
      </w:pPr>
      <w:r>
        <w:rPr>
          <w:rFonts w:hint="eastAsia" w:ascii="宋体" w:hAnsi="宋体" w:cs="Tahoma"/>
          <w:color w:val="000000"/>
          <w:sz w:val="24"/>
        </w:rPr>
        <w:t>邮    编：</w:t>
      </w:r>
    </w:p>
    <w:p w14:paraId="08126954">
      <w:pPr>
        <w:spacing w:line="480" w:lineRule="auto"/>
        <w:ind w:left="1619" w:leftChars="771"/>
        <w:rPr>
          <w:rFonts w:hint="eastAsia" w:ascii="宋体" w:hAnsi="宋体" w:cs="Tahoma"/>
          <w:color w:val="000000"/>
          <w:sz w:val="24"/>
        </w:rPr>
      </w:pPr>
      <w:r>
        <w:rPr>
          <w:rFonts w:hint="eastAsia" w:ascii="宋体" w:hAnsi="宋体" w:cs="Tahoma"/>
          <w:color w:val="000000"/>
          <w:sz w:val="24"/>
        </w:rPr>
        <w:t>法定代表人或委托代理人：</w:t>
      </w:r>
    </w:p>
    <w:p w14:paraId="53C0B4A0">
      <w:pPr>
        <w:spacing w:line="480" w:lineRule="auto"/>
        <w:ind w:left="1619" w:leftChars="771"/>
        <w:rPr>
          <w:rFonts w:hint="eastAsia" w:ascii="宋体" w:hAnsi="宋体" w:cs="Tahoma"/>
          <w:color w:val="000000"/>
          <w:sz w:val="24"/>
        </w:rPr>
      </w:pPr>
      <w:r>
        <w:rPr>
          <w:rFonts w:hint="eastAsia" w:ascii="宋体" w:hAnsi="宋体" w:cs="Tahoma"/>
          <w:color w:val="000000"/>
          <w:sz w:val="24"/>
        </w:rPr>
        <w:t>经办人：</w:t>
      </w:r>
    </w:p>
    <w:p w14:paraId="17A48671">
      <w:pPr>
        <w:spacing w:line="480" w:lineRule="auto"/>
        <w:ind w:left="1619" w:leftChars="771"/>
        <w:rPr>
          <w:rFonts w:hint="eastAsia" w:ascii="宋体" w:hAnsi="宋体" w:cs="Tahoma"/>
          <w:color w:val="000000"/>
          <w:sz w:val="24"/>
        </w:rPr>
      </w:pPr>
      <w:r>
        <w:rPr>
          <w:rFonts w:hint="eastAsia" w:ascii="宋体" w:hAnsi="宋体" w:cs="Tahoma"/>
          <w:color w:val="000000"/>
          <w:sz w:val="24"/>
        </w:rPr>
        <w:t>电话：</w:t>
      </w:r>
    </w:p>
    <w:p w14:paraId="10AD3248">
      <w:pPr>
        <w:spacing w:line="480" w:lineRule="auto"/>
        <w:ind w:left="1619" w:leftChars="771"/>
        <w:rPr>
          <w:rFonts w:hint="eastAsia" w:ascii="宋体" w:hAnsi="宋体" w:eastAsia="宋体" w:cs="Tahoma"/>
          <w:color w:val="000000"/>
          <w:sz w:val="24"/>
          <w:lang w:eastAsia="zh-CN"/>
        </w:rPr>
      </w:pPr>
      <w:r>
        <w:rPr>
          <w:rFonts w:hint="eastAsia" w:ascii="宋体" w:hAnsi="宋体" w:cs="Tahoma"/>
          <w:color w:val="000000"/>
          <w:sz w:val="24"/>
        </w:rPr>
        <w:t>签订日期：</w:t>
      </w:r>
    </w:p>
    <w:p w14:paraId="17C52815">
      <w:pPr>
        <w:pStyle w:val="8"/>
        <w:rPr>
          <w:rFonts w:hint="eastAsia"/>
          <w:lang w:eastAsia="zh-CN"/>
        </w:rPr>
      </w:pPr>
    </w:p>
    <w:p w14:paraId="005E633E">
      <w:pPr>
        <w:spacing w:line="480" w:lineRule="auto"/>
        <w:ind w:left="1619" w:leftChars="771"/>
        <w:rPr>
          <w:rFonts w:hint="eastAsia" w:ascii="宋体" w:hAnsi="宋体"/>
          <w:bCs/>
          <w:color w:val="000000"/>
          <w:sz w:val="24"/>
        </w:rPr>
      </w:pPr>
      <w:r>
        <w:rPr>
          <w:rFonts w:hint="eastAsia" w:ascii="宋体" w:hAnsi="宋体" w:cs="Tahoma"/>
          <w:color w:val="000000"/>
          <w:sz w:val="24"/>
        </w:rPr>
        <w:t>丙方（鉴证方单位章）名称：</w:t>
      </w:r>
      <w:r>
        <w:rPr>
          <w:rFonts w:hint="eastAsia" w:ascii="宋体" w:hAnsi="宋体"/>
          <w:bCs/>
          <w:color w:val="000000"/>
          <w:sz w:val="24"/>
        </w:rPr>
        <w:t xml:space="preserve"> </w:t>
      </w:r>
    </w:p>
    <w:p w14:paraId="26D50E1B">
      <w:pPr>
        <w:spacing w:line="480" w:lineRule="auto"/>
        <w:ind w:left="1619" w:leftChars="771"/>
        <w:rPr>
          <w:rFonts w:hint="eastAsia" w:ascii="宋体" w:hAnsi="宋体" w:cs="仿宋"/>
          <w:color w:val="000000"/>
          <w:spacing w:val="-26"/>
          <w:sz w:val="24"/>
        </w:rPr>
      </w:pPr>
      <w:r>
        <w:rPr>
          <w:rFonts w:hint="eastAsia" w:ascii="宋体" w:hAnsi="宋体" w:cs="Tahoma"/>
          <w:color w:val="000000"/>
          <w:sz w:val="24"/>
        </w:rPr>
        <w:t>地    址：</w:t>
      </w:r>
      <w:r>
        <w:rPr>
          <w:rFonts w:hint="eastAsia" w:ascii="宋体" w:hAnsi="宋体" w:cs="仿宋"/>
          <w:color w:val="000000"/>
          <w:spacing w:val="-26"/>
          <w:sz w:val="24"/>
        </w:rPr>
        <w:t xml:space="preserve"> </w:t>
      </w:r>
    </w:p>
    <w:p w14:paraId="676BC168">
      <w:pPr>
        <w:spacing w:line="480" w:lineRule="auto"/>
        <w:ind w:left="1619" w:leftChars="771"/>
        <w:rPr>
          <w:rFonts w:hint="eastAsia" w:ascii="宋体" w:hAnsi="宋体" w:cs="Tahoma"/>
          <w:color w:val="000000"/>
          <w:sz w:val="24"/>
        </w:rPr>
      </w:pPr>
      <w:r>
        <w:rPr>
          <w:rFonts w:hint="eastAsia" w:ascii="宋体" w:hAnsi="宋体" w:cs="Tahoma"/>
          <w:color w:val="000000"/>
          <w:sz w:val="24"/>
        </w:rPr>
        <w:t>邮       编：</w:t>
      </w:r>
    </w:p>
    <w:p w14:paraId="05D4F295">
      <w:pPr>
        <w:spacing w:line="480" w:lineRule="auto"/>
        <w:ind w:left="1619" w:leftChars="771"/>
        <w:rPr>
          <w:rFonts w:hint="eastAsia" w:ascii="宋体" w:hAnsi="宋体" w:cs="Tahoma"/>
          <w:color w:val="000000"/>
          <w:sz w:val="24"/>
        </w:rPr>
      </w:pPr>
      <w:r>
        <w:rPr>
          <w:rFonts w:hint="eastAsia" w:ascii="宋体" w:hAnsi="宋体" w:cs="Tahoma"/>
          <w:color w:val="000000"/>
          <w:sz w:val="24"/>
        </w:rPr>
        <w:t>法定代表人或委托代理人：</w:t>
      </w:r>
    </w:p>
    <w:p w14:paraId="636545E4">
      <w:pPr>
        <w:spacing w:line="480" w:lineRule="auto"/>
        <w:ind w:left="1619" w:leftChars="771"/>
        <w:rPr>
          <w:rFonts w:hint="eastAsia" w:ascii="宋体" w:hAnsi="宋体" w:cs="Tahoma"/>
          <w:color w:val="000000"/>
          <w:sz w:val="24"/>
        </w:rPr>
      </w:pPr>
      <w:r>
        <w:rPr>
          <w:rFonts w:hint="eastAsia" w:ascii="宋体" w:hAnsi="宋体" w:cs="Tahoma"/>
          <w:color w:val="000000"/>
          <w:sz w:val="24"/>
        </w:rPr>
        <w:t>经办人：</w:t>
      </w:r>
    </w:p>
    <w:p w14:paraId="214294D3">
      <w:pPr>
        <w:pStyle w:val="22"/>
        <w:ind w:firstLine="1560" w:firstLineChars="650"/>
      </w:pPr>
      <w:r>
        <w:rPr>
          <w:rFonts w:hint="eastAsia" w:hAnsi="宋体" w:cs="Tahoma"/>
          <w:color w:val="000000"/>
          <w:sz w:val="24"/>
        </w:rPr>
        <w:t>电话：</w:t>
      </w:r>
    </w:p>
    <w:p w14:paraId="5A2084D0">
      <w:pPr>
        <w:pStyle w:val="2"/>
        <w:spacing w:before="0" w:after="0" w:line="720" w:lineRule="auto"/>
        <w:jc w:val="center"/>
        <w:rPr>
          <w:rFonts w:hint="eastAsia" w:ascii="宋体" w:hAnsi="宋体" w:eastAsia="宋体"/>
          <w:lang w:val="en-US" w:eastAsia="zh-CN"/>
        </w:rPr>
      </w:pPr>
      <w:r>
        <w:rPr>
          <w:rFonts w:hint="eastAsia" w:ascii="宋体" w:hAnsi="宋体"/>
        </w:rPr>
        <w:br w:type="page"/>
      </w:r>
      <w:bookmarkStart w:id="286" w:name="_Toc3896295"/>
      <w:bookmarkStart w:id="287" w:name="_Toc16505"/>
      <w:bookmarkStart w:id="288" w:name="_Toc17756"/>
      <w:r>
        <w:rPr>
          <w:rFonts w:hint="eastAsia" w:ascii="宋体" w:hAnsi="宋体"/>
        </w:rPr>
        <w:t xml:space="preserve">第五章 </w:t>
      </w:r>
      <w:bookmarkEnd w:id="285"/>
      <w:bookmarkEnd w:id="286"/>
      <w:r>
        <w:rPr>
          <w:rFonts w:hint="eastAsia" w:ascii="宋体" w:hAnsi="宋体"/>
          <w:lang w:val="en-US" w:eastAsia="zh-CN"/>
        </w:rPr>
        <w:t>采购需求</w:t>
      </w:r>
      <w:bookmarkEnd w:id="287"/>
      <w:bookmarkEnd w:id="288"/>
    </w:p>
    <w:p w14:paraId="5BC0D87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一、采购标的需实现的功能或者目标，以及为落实政府采购政策需满足的需求</w:t>
      </w:r>
    </w:p>
    <w:p w14:paraId="020D9B2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满足</w:t>
      </w:r>
      <w:r>
        <w:rPr>
          <w:rFonts w:hint="eastAsia" w:ascii="宋体" w:hAnsi="宋体" w:cs="宋体"/>
          <w:sz w:val="24"/>
          <w:szCs w:val="24"/>
          <w:highlight w:val="none"/>
          <w:lang w:eastAsia="zh-CN"/>
        </w:rPr>
        <w:t>香格里拉市2025年困难家庭居家适老化改造项目</w:t>
      </w:r>
      <w:r>
        <w:rPr>
          <w:rFonts w:hint="eastAsia" w:ascii="宋体" w:hAnsi="宋体" w:eastAsia="宋体" w:cs="宋体"/>
          <w:sz w:val="24"/>
          <w:szCs w:val="24"/>
          <w:highlight w:val="none"/>
        </w:rPr>
        <w:t>工作的要求，符合国家、地方现行相关行业标准、规范及采购人要求。</w:t>
      </w:r>
    </w:p>
    <w:p w14:paraId="7A7EBE6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sz w:val="24"/>
          <w:szCs w:val="24"/>
          <w:highlight w:val="none"/>
          <w:lang w:val="en-US" w:eastAsia="zh-CN"/>
        </w:rPr>
        <w:t>采购需求一览表</w:t>
      </w:r>
    </w:p>
    <w:tbl>
      <w:tblPr>
        <w:tblStyle w:val="18"/>
        <w:tblW w:w="11716" w:type="dxa"/>
        <w:tblInd w:w="-8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773"/>
        <w:gridCol w:w="2080"/>
        <w:gridCol w:w="5534"/>
        <w:gridCol w:w="1053"/>
        <w:gridCol w:w="1703"/>
      </w:tblGrid>
      <w:tr w14:paraId="3AF6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35B74342">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773" w:type="dxa"/>
            <w:vAlign w:val="center"/>
          </w:tcPr>
          <w:p w14:paraId="6C7755F6">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项目名称</w:t>
            </w:r>
          </w:p>
        </w:tc>
        <w:tc>
          <w:tcPr>
            <w:tcW w:w="2080" w:type="dxa"/>
            <w:vAlign w:val="center"/>
          </w:tcPr>
          <w:p w14:paraId="65EED2FD">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项目特征</w:t>
            </w:r>
          </w:p>
        </w:tc>
        <w:tc>
          <w:tcPr>
            <w:tcW w:w="5534" w:type="dxa"/>
            <w:vAlign w:val="center"/>
          </w:tcPr>
          <w:p w14:paraId="2CCF5828">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参考图片</w:t>
            </w:r>
          </w:p>
        </w:tc>
        <w:tc>
          <w:tcPr>
            <w:tcW w:w="1053" w:type="dxa"/>
            <w:vAlign w:val="center"/>
          </w:tcPr>
          <w:p w14:paraId="1CAA399C">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计量单位</w:t>
            </w:r>
          </w:p>
        </w:tc>
        <w:tc>
          <w:tcPr>
            <w:tcW w:w="1703" w:type="dxa"/>
            <w:vAlign w:val="center"/>
          </w:tcPr>
          <w:p w14:paraId="13129488">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单价（元）</w:t>
            </w:r>
          </w:p>
        </w:tc>
      </w:tr>
      <w:tr w14:paraId="1171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trPr>
        <w:tc>
          <w:tcPr>
            <w:tcW w:w="573" w:type="dxa"/>
            <w:vAlign w:val="center"/>
          </w:tcPr>
          <w:p w14:paraId="590AFB1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w:t>
            </w:r>
          </w:p>
        </w:tc>
        <w:tc>
          <w:tcPr>
            <w:tcW w:w="773" w:type="dxa"/>
            <w:vAlign w:val="center"/>
          </w:tcPr>
          <w:p w14:paraId="3B1680B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混凝土地坪</w:t>
            </w:r>
          </w:p>
        </w:tc>
        <w:tc>
          <w:tcPr>
            <w:tcW w:w="2080" w:type="dxa"/>
            <w:vAlign w:val="center"/>
          </w:tcPr>
          <w:p w14:paraId="299E0FD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1.基层:地面夯实</w:t>
            </w:r>
          </w:p>
          <w:p w14:paraId="6F3278F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2.垫层:100mm厚C20混凝土垫层</w:t>
            </w:r>
          </w:p>
          <w:p w14:paraId="3AF1758C">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3.面层厚度、混凝土强度等级:100mm厚C25混凝土</w:t>
            </w:r>
          </w:p>
        </w:tc>
        <w:tc>
          <w:tcPr>
            <w:tcW w:w="5534" w:type="dxa"/>
            <w:vAlign w:val="center"/>
          </w:tcPr>
          <w:p w14:paraId="151F737D">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w:t>
            </w:r>
          </w:p>
        </w:tc>
        <w:tc>
          <w:tcPr>
            <w:tcW w:w="1053" w:type="dxa"/>
            <w:vAlign w:val="center"/>
          </w:tcPr>
          <w:p w14:paraId="77A1115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m²</w:t>
            </w:r>
          </w:p>
        </w:tc>
        <w:tc>
          <w:tcPr>
            <w:tcW w:w="1703" w:type="dxa"/>
            <w:vAlign w:val="center"/>
          </w:tcPr>
          <w:p w14:paraId="3F074EA2">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116.84</w:t>
            </w:r>
          </w:p>
        </w:tc>
      </w:tr>
      <w:tr w14:paraId="7F21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3BE234BC">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w:t>
            </w:r>
          </w:p>
        </w:tc>
        <w:tc>
          <w:tcPr>
            <w:tcW w:w="773" w:type="dxa"/>
            <w:vAlign w:val="center"/>
          </w:tcPr>
          <w:p w14:paraId="7D2CBAD3">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混凝土地坪</w:t>
            </w:r>
          </w:p>
        </w:tc>
        <w:tc>
          <w:tcPr>
            <w:tcW w:w="2080" w:type="dxa"/>
            <w:vAlign w:val="center"/>
          </w:tcPr>
          <w:p w14:paraId="1240B0C6">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1.原有地面挖除厚20cm，外运5km（土方清理）</w:t>
            </w:r>
          </w:p>
          <w:p w14:paraId="2EEF2F80">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2.基层:地面夯实</w:t>
            </w:r>
          </w:p>
          <w:p w14:paraId="14A548E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3.垫层:100mm厚C20混凝土垫层</w:t>
            </w:r>
          </w:p>
          <w:p w14:paraId="61CE8ADC">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4.面层厚度、混凝土强度等级:100mm厚C25混凝土</w:t>
            </w:r>
          </w:p>
        </w:tc>
        <w:tc>
          <w:tcPr>
            <w:tcW w:w="5534" w:type="dxa"/>
            <w:vAlign w:val="center"/>
          </w:tcPr>
          <w:p w14:paraId="5F14571F">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w:t>
            </w:r>
          </w:p>
        </w:tc>
        <w:tc>
          <w:tcPr>
            <w:tcW w:w="1053" w:type="dxa"/>
            <w:vAlign w:val="center"/>
          </w:tcPr>
          <w:p w14:paraId="2BF9D9A8">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m²</w:t>
            </w:r>
          </w:p>
        </w:tc>
        <w:tc>
          <w:tcPr>
            <w:tcW w:w="1703" w:type="dxa"/>
            <w:vAlign w:val="center"/>
          </w:tcPr>
          <w:p w14:paraId="5BA0F31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125.60</w:t>
            </w:r>
          </w:p>
        </w:tc>
      </w:tr>
      <w:tr w14:paraId="51502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1B04425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3</w:t>
            </w:r>
          </w:p>
        </w:tc>
        <w:tc>
          <w:tcPr>
            <w:tcW w:w="773" w:type="dxa"/>
            <w:vAlign w:val="center"/>
          </w:tcPr>
          <w:p w14:paraId="38CCACBE">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防滑玻化砖</w:t>
            </w:r>
          </w:p>
          <w:p w14:paraId="1F90D01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default" w:ascii="宋体" w:hAnsi="宋体" w:eastAsia="宋体" w:cs="宋体"/>
                <w:b/>
                <w:bCs/>
                <w:sz w:val="24"/>
                <w:szCs w:val="24"/>
                <w:highlight w:val="none"/>
                <w:vertAlign w:val="baseline"/>
                <w:lang w:val="en-US" w:eastAsia="zh-CN"/>
              </w:rPr>
              <w:t>地面</w:t>
            </w:r>
          </w:p>
        </w:tc>
        <w:tc>
          <w:tcPr>
            <w:tcW w:w="2080" w:type="dxa"/>
            <w:vAlign w:val="center"/>
          </w:tcPr>
          <w:p w14:paraId="0212B1A4">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1.找平层厚度、材料种类及强度等级:50厚1:3水泥砂浆找平层</w:t>
            </w:r>
          </w:p>
          <w:p w14:paraId="2C00B073">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2.结合层厚度、材料种类及强度等级:20厚1:2干硬性水泥砂浆粘合层</w:t>
            </w:r>
          </w:p>
          <w:p w14:paraId="773E6457">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3.面层材料品种、规格:600*600防滑玻化砖</w:t>
            </w:r>
          </w:p>
        </w:tc>
        <w:tc>
          <w:tcPr>
            <w:tcW w:w="5534" w:type="dxa"/>
            <w:vAlign w:val="center"/>
          </w:tcPr>
          <w:p w14:paraId="6E13697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w:t>
            </w:r>
          </w:p>
        </w:tc>
        <w:tc>
          <w:tcPr>
            <w:tcW w:w="1053" w:type="dxa"/>
            <w:vAlign w:val="center"/>
          </w:tcPr>
          <w:p w14:paraId="0581388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m²</w:t>
            </w:r>
          </w:p>
        </w:tc>
        <w:tc>
          <w:tcPr>
            <w:tcW w:w="1703" w:type="dxa"/>
            <w:vAlign w:val="center"/>
          </w:tcPr>
          <w:p w14:paraId="5A06244E">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182.30</w:t>
            </w:r>
          </w:p>
        </w:tc>
      </w:tr>
      <w:tr w14:paraId="20B0D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0B20CF3D">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4</w:t>
            </w:r>
          </w:p>
        </w:tc>
        <w:tc>
          <w:tcPr>
            <w:tcW w:w="773" w:type="dxa"/>
            <w:vAlign w:val="center"/>
          </w:tcPr>
          <w:p w14:paraId="5A8AE54D">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防滑玻化砖</w:t>
            </w:r>
          </w:p>
          <w:p w14:paraId="6056A0B8">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地面</w:t>
            </w:r>
          </w:p>
        </w:tc>
        <w:tc>
          <w:tcPr>
            <w:tcW w:w="2080" w:type="dxa"/>
            <w:vAlign w:val="center"/>
          </w:tcPr>
          <w:p w14:paraId="009ABCA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1.基层:地面夯实</w:t>
            </w:r>
          </w:p>
          <w:p w14:paraId="60B75C48">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2.垫层:100mm厚C20混凝土垫层</w:t>
            </w:r>
          </w:p>
          <w:p w14:paraId="7B5A9BA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3.找平层厚度、材料种类及强度等级:30厚1:3水泥砂浆找平层</w:t>
            </w:r>
          </w:p>
          <w:p w14:paraId="162B3509">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4.结合层厚度、材料种类及强度等级:20厚1:2干硬性水泥砂浆粘合层</w:t>
            </w:r>
          </w:p>
          <w:p w14:paraId="142D1023">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5.面层材料品种、规格:600*600防滑玻化砖</w:t>
            </w:r>
          </w:p>
        </w:tc>
        <w:tc>
          <w:tcPr>
            <w:tcW w:w="5534" w:type="dxa"/>
            <w:vAlign w:val="center"/>
          </w:tcPr>
          <w:p w14:paraId="517AB1BC">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w:t>
            </w:r>
          </w:p>
        </w:tc>
        <w:tc>
          <w:tcPr>
            <w:tcW w:w="1053" w:type="dxa"/>
            <w:vAlign w:val="center"/>
          </w:tcPr>
          <w:p w14:paraId="73F2EFF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m²</w:t>
            </w:r>
          </w:p>
        </w:tc>
        <w:tc>
          <w:tcPr>
            <w:tcW w:w="1703" w:type="dxa"/>
            <w:vAlign w:val="center"/>
          </w:tcPr>
          <w:p w14:paraId="3ED9522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215.53</w:t>
            </w:r>
          </w:p>
        </w:tc>
      </w:tr>
      <w:tr w14:paraId="6267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644C0F92">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5</w:t>
            </w:r>
          </w:p>
        </w:tc>
        <w:tc>
          <w:tcPr>
            <w:tcW w:w="773" w:type="dxa"/>
            <w:vAlign w:val="center"/>
          </w:tcPr>
          <w:p w14:paraId="5F8630FD">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安装扶手</w:t>
            </w:r>
          </w:p>
        </w:tc>
        <w:tc>
          <w:tcPr>
            <w:tcW w:w="2080" w:type="dxa"/>
            <w:vAlign w:val="center"/>
          </w:tcPr>
          <w:p w14:paraId="11D6A798">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1.参数尺寸：ABS防滑外管加厚不锈钢内管尺寸高70宽60</w:t>
            </w:r>
          </w:p>
          <w:p w14:paraId="362583A3">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2.具体内容：如厕马桶，T型助力扶手。</w:t>
            </w:r>
          </w:p>
        </w:tc>
        <w:tc>
          <w:tcPr>
            <w:tcW w:w="5534" w:type="dxa"/>
            <w:vAlign w:val="center"/>
          </w:tcPr>
          <w:p w14:paraId="76E0C756">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3296920" cy="1056005"/>
                  <wp:effectExtent l="0" t="0" r="10160" b="1079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7"/>
                          <a:stretch>
                            <a:fillRect/>
                          </a:stretch>
                        </pic:blipFill>
                        <pic:spPr>
                          <a:xfrm>
                            <a:off x="0" y="0"/>
                            <a:ext cx="3296920" cy="1056005"/>
                          </a:xfrm>
                          <a:prstGeom prst="rect">
                            <a:avLst/>
                          </a:prstGeom>
                        </pic:spPr>
                      </pic:pic>
                    </a:graphicData>
                  </a:graphic>
                </wp:inline>
              </w:drawing>
            </w:r>
          </w:p>
        </w:tc>
        <w:tc>
          <w:tcPr>
            <w:tcW w:w="1053" w:type="dxa"/>
            <w:vAlign w:val="center"/>
          </w:tcPr>
          <w:p w14:paraId="43D9457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09A65F0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122.54</w:t>
            </w:r>
          </w:p>
        </w:tc>
      </w:tr>
      <w:tr w14:paraId="0F57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747420AF">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6</w:t>
            </w:r>
          </w:p>
        </w:tc>
        <w:tc>
          <w:tcPr>
            <w:tcW w:w="773" w:type="dxa"/>
            <w:shd w:val="clear" w:color="auto" w:fill="auto"/>
            <w:vAlign w:val="center"/>
          </w:tcPr>
          <w:p w14:paraId="72C4AEE8">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2"/>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rPr>
              <w:t>安装扶手</w:t>
            </w:r>
          </w:p>
        </w:tc>
        <w:tc>
          <w:tcPr>
            <w:tcW w:w="2080" w:type="dxa"/>
            <w:vAlign w:val="center"/>
          </w:tcPr>
          <w:p w14:paraId="46780F3C">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1.参数尺寸：ABS防滑外管加厚不锈钢内管尺寸135度扶手边长40＋40</w:t>
            </w:r>
          </w:p>
          <w:p w14:paraId="77CF9A84">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2.具体内容：浴室扶手，135°扶手。</w:t>
            </w:r>
          </w:p>
        </w:tc>
        <w:tc>
          <w:tcPr>
            <w:tcW w:w="5534" w:type="dxa"/>
            <w:vAlign w:val="center"/>
          </w:tcPr>
          <w:p w14:paraId="65E2762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3348990" cy="1033145"/>
                  <wp:effectExtent l="0" t="0" r="3810" b="317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8"/>
                          <a:stretch>
                            <a:fillRect/>
                          </a:stretch>
                        </pic:blipFill>
                        <pic:spPr>
                          <a:xfrm>
                            <a:off x="0" y="0"/>
                            <a:ext cx="3348990" cy="1033145"/>
                          </a:xfrm>
                          <a:prstGeom prst="rect">
                            <a:avLst/>
                          </a:prstGeom>
                        </pic:spPr>
                      </pic:pic>
                    </a:graphicData>
                  </a:graphic>
                </wp:inline>
              </w:drawing>
            </w:r>
          </w:p>
        </w:tc>
        <w:tc>
          <w:tcPr>
            <w:tcW w:w="1053" w:type="dxa"/>
            <w:vAlign w:val="center"/>
          </w:tcPr>
          <w:p w14:paraId="423A1AB6">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282BA707">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91.00</w:t>
            </w:r>
          </w:p>
        </w:tc>
      </w:tr>
      <w:tr w14:paraId="57C96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33A64BE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7</w:t>
            </w:r>
          </w:p>
        </w:tc>
        <w:tc>
          <w:tcPr>
            <w:tcW w:w="773" w:type="dxa"/>
            <w:vAlign w:val="center"/>
          </w:tcPr>
          <w:p w14:paraId="4FE336A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安装扶手</w:t>
            </w:r>
          </w:p>
        </w:tc>
        <w:tc>
          <w:tcPr>
            <w:tcW w:w="2080" w:type="dxa"/>
            <w:vAlign w:val="center"/>
          </w:tcPr>
          <w:p w14:paraId="3C8448F7">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1.参数尺寸：ABS防滑外管加厚不锈钢内管尺寸离墙3.5总长38</w:t>
            </w:r>
          </w:p>
          <w:p w14:paraId="4B04E4E6">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2.具体内容：如厕扶手，一字型扶手。</w:t>
            </w:r>
          </w:p>
        </w:tc>
        <w:tc>
          <w:tcPr>
            <w:tcW w:w="5534" w:type="dxa"/>
            <w:vAlign w:val="center"/>
          </w:tcPr>
          <w:p w14:paraId="65E184AE">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3487420" cy="939165"/>
                  <wp:effectExtent l="0" t="0" r="2540" b="571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9"/>
                          <a:stretch>
                            <a:fillRect/>
                          </a:stretch>
                        </pic:blipFill>
                        <pic:spPr>
                          <a:xfrm>
                            <a:off x="0" y="0"/>
                            <a:ext cx="3487420" cy="939165"/>
                          </a:xfrm>
                          <a:prstGeom prst="rect">
                            <a:avLst/>
                          </a:prstGeom>
                        </pic:spPr>
                      </pic:pic>
                    </a:graphicData>
                  </a:graphic>
                </wp:inline>
              </w:drawing>
            </w:r>
          </w:p>
        </w:tc>
        <w:tc>
          <w:tcPr>
            <w:tcW w:w="1053" w:type="dxa"/>
            <w:vAlign w:val="center"/>
          </w:tcPr>
          <w:p w14:paraId="70C43A00">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4DF937DC">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58.57</w:t>
            </w:r>
          </w:p>
        </w:tc>
      </w:tr>
      <w:tr w14:paraId="6776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537D4EA7">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8</w:t>
            </w:r>
          </w:p>
        </w:tc>
        <w:tc>
          <w:tcPr>
            <w:tcW w:w="773" w:type="dxa"/>
            <w:vAlign w:val="center"/>
          </w:tcPr>
          <w:p w14:paraId="3F0C76B7">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配置淋浴椅</w:t>
            </w:r>
          </w:p>
        </w:tc>
        <w:tc>
          <w:tcPr>
            <w:tcW w:w="2080" w:type="dxa"/>
            <w:vAlign w:val="center"/>
          </w:tcPr>
          <w:p w14:paraId="53B1FC1C">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1.参数尺寸：铝合金材质 防滑脚垫 高度升降前宽47侧宽47总高 71-86</w:t>
            </w:r>
          </w:p>
          <w:p w14:paraId="33FFDFDA">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2.具体内容：辅助老年人洗澡用，避免老年人滑倒，提高安全性。</w:t>
            </w:r>
          </w:p>
        </w:tc>
        <w:tc>
          <w:tcPr>
            <w:tcW w:w="5534" w:type="dxa"/>
            <w:vAlign w:val="center"/>
          </w:tcPr>
          <w:p w14:paraId="5B7EF022">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1750695" cy="2335530"/>
                  <wp:effectExtent l="0" t="0" r="1905" b="1143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0"/>
                          <a:stretch>
                            <a:fillRect/>
                          </a:stretch>
                        </pic:blipFill>
                        <pic:spPr>
                          <a:xfrm>
                            <a:off x="0" y="0"/>
                            <a:ext cx="1750695" cy="2335530"/>
                          </a:xfrm>
                          <a:prstGeom prst="rect">
                            <a:avLst/>
                          </a:prstGeom>
                        </pic:spPr>
                      </pic:pic>
                    </a:graphicData>
                  </a:graphic>
                </wp:inline>
              </w:drawing>
            </w:r>
          </w:p>
        </w:tc>
        <w:tc>
          <w:tcPr>
            <w:tcW w:w="1053" w:type="dxa"/>
            <w:vAlign w:val="center"/>
          </w:tcPr>
          <w:p w14:paraId="27CB7F4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6FB3978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175.70</w:t>
            </w:r>
          </w:p>
        </w:tc>
      </w:tr>
      <w:tr w14:paraId="3426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19FF306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9</w:t>
            </w:r>
          </w:p>
        </w:tc>
        <w:tc>
          <w:tcPr>
            <w:tcW w:w="773" w:type="dxa"/>
            <w:vAlign w:val="center"/>
          </w:tcPr>
          <w:p w14:paraId="735A265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手杖</w:t>
            </w:r>
          </w:p>
        </w:tc>
        <w:tc>
          <w:tcPr>
            <w:tcW w:w="2080" w:type="dxa"/>
            <w:vAlign w:val="center"/>
          </w:tcPr>
          <w:p w14:paraId="763175ED">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1.参数尺寸：铝合金长身 防滑脚垫 十二档调高度 单四角切换适合身高150到180</w:t>
            </w:r>
          </w:p>
          <w:p w14:paraId="6175FC6F">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2.具体内容：辅助老年人平稳站立和行走,单拐。</w:t>
            </w:r>
          </w:p>
        </w:tc>
        <w:tc>
          <w:tcPr>
            <w:tcW w:w="5534" w:type="dxa"/>
            <w:vAlign w:val="center"/>
          </w:tcPr>
          <w:p w14:paraId="3E0615C8">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1091565" cy="1943735"/>
                  <wp:effectExtent l="0" t="0" r="5715" b="698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1091565" cy="1943735"/>
                          </a:xfrm>
                          <a:prstGeom prst="rect">
                            <a:avLst/>
                          </a:prstGeom>
                        </pic:spPr>
                      </pic:pic>
                    </a:graphicData>
                  </a:graphic>
                </wp:inline>
              </w:drawing>
            </w:r>
          </w:p>
        </w:tc>
        <w:tc>
          <w:tcPr>
            <w:tcW w:w="1053" w:type="dxa"/>
            <w:vAlign w:val="center"/>
          </w:tcPr>
          <w:p w14:paraId="67C1A9AB">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1C70C766">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81.99</w:t>
            </w:r>
          </w:p>
        </w:tc>
      </w:tr>
      <w:tr w14:paraId="7795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40E9355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10</w:t>
            </w:r>
          </w:p>
        </w:tc>
        <w:tc>
          <w:tcPr>
            <w:tcW w:w="773" w:type="dxa"/>
            <w:vAlign w:val="center"/>
          </w:tcPr>
          <w:p w14:paraId="175EA3E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手杖</w:t>
            </w:r>
          </w:p>
        </w:tc>
        <w:tc>
          <w:tcPr>
            <w:tcW w:w="2080" w:type="dxa"/>
            <w:vAlign w:val="center"/>
          </w:tcPr>
          <w:p w14:paraId="76329E62">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1.参数尺寸：铝合金长身 防滑脚垫 十二档调节高度适合身高150到180</w:t>
            </w:r>
          </w:p>
          <w:p w14:paraId="2F08F24A">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2.具体内容：四脚手拐</w:t>
            </w:r>
          </w:p>
        </w:tc>
        <w:tc>
          <w:tcPr>
            <w:tcW w:w="5534" w:type="dxa"/>
            <w:vAlign w:val="center"/>
          </w:tcPr>
          <w:p w14:paraId="1A286157">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2167890" cy="2161540"/>
                  <wp:effectExtent l="0" t="0" r="11430"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2"/>
                          <a:stretch>
                            <a:fillRect/>
                          </a:stretch>
                        </pic:blipFill>
                        <pic:spPr>
                          <a:xfrm>
                            <a:off x="0" y="0"/>
                            <a:ext cx="2167890" cy="2161540"/>
                          </a:xfrm>
                          <a:prstGeom prst="rect">
                            <a:avLst/>
                          </a:prstGeom>
                        </pic:spPr>
                      </pic:pic>
                    </a:graphicData>
                  </a:graphic>
                </wp:inline>
              </w:drawing>
            </w:r>
          </w:p>
        </w:tc>
        <w:tc>
          <w:tcPr>
            <w:tcW w:w="1053" w:type="dxa"/>
            <w:vAlign w:val="center"/>
          </w:tcPr>
          <w:p w14:paraId="21BD41F7">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5196C23F">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87.40</w:t>
            </w:r>
          </w:p>
        </w:tc>
      </w:tr>
      <w:tr w14:paraId="3D68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1DA9770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11</w:t>
            </w:r>
          </w:p>
        </w:tc>
        <w:tc>
          <w:tcPr>
            <w:tcW w:w="773" w:type="dxa"/>
            <w:vAlign w:val="center"/>
          </w:tcPr>
          <w:p w14:paraId="6EDA835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手杖</w:t>
            </w:r>
          </w:p>
        </w:tc>
        <w:tc>
          <w:tcPr>
            <w:tcW w:w="2080" w:type="dxa"/>
            <w:vAlign w:val="center"/>
          </w:tcPr>
          <w:p w14:paraId="6246B0C6">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1.参数尺寸：钛合金杖身 加厚坐板 防滑脚垫五档调节高度 适合身高150到180</w:t>
            </w:r>
          </w:p>
          <w:p w14:paraId="07CFF6DB">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2.具体内容：三脚凳拐</w:t>
            </w:r>
          </w:p>
        </w:tc>
        <w:tc>
          <w:tcPr>
            <w:tcW w:w="5534" w:type="dxa"/>
            <w:vAlign w:val="center"/>
          </w:tcPr>
          <w:p w14:paraId="5A964E6F">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1619885" cy="2155190"/>
                  <wp:effectExtent l="0" t="0" r="10795" b="889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3"/>
                          <a:stretch>
                            <a:fillRect/>
                          </a:stretch>
                        </pic:blipFill>
                        <pic:spPr>
                          <a:xfrm>
                            <a:off x="0" y="0"/>
                            <a:ext cx="1619885" cy="2155190"/>
                          </a:xfrm>
                          <a:prstGeom prst="rect">
                            <a:avLst/>
                          </a:prstGeom>
                        </pic:spPr>
                      </pic:pic>
                    </a:graphicData>
                  </a:graphic>
                </wp:inline>
              </w:drawing>
            </w:r>
          </w:p>
        </w:tc>
        <w:tc>
          <w:tcPr>
            <w:tcW w:w="1053" w:type="dxa"/>
            <w:vAlign w:val="center"/>
          </w:tcPr>
          <w:p w14:paraId="3A2F4E5E">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75A81195">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102.71</w:t>
            </w:r>
          </w:p>
        </w:tc>
      </w:tr>
      <w:tr w14:paraId="2E5B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6F973B9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12</w:t>
            </w:r>
          </w:p>
        </w:tc>
        <w:tc>
          <w:tcPr>
            <w:tcW w:w="773" w:type="dxa"/>
            <w:vAlign w:val="center"/>
          </w:tcPr>
          <w:p w14:paraId="538BBD8E">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安装自动感应灯具</w:t>
            </w:r>
          </w:p>
        </w:tc>
        <w:tc>
          <w:tcPr>
            <w:tcW w:w="2080" w:type="dxa"/>
            <w:vAlign w:val="center"/>
          </w:tcPr>
          <w:p w14:paraId="1199AE7E">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1.参数尺寸：PMMADA灯罩PVC灯体感应距离1-5米 尺寸28*13*6</w:t>
            </w:r>
          </w:p>
          <w:p w14:paraId="273A6FE8">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2.具体内容：安装感应便携灯，避免直射光源、强刺激性光源，人走灯灭，辅助老年人起夜使用。</w:t>
            </w:r>
          </w:p>
        </w:tc>
        <w:tc>
          <w:tcPr>
            <w:tcW w:w="5534" w:type="dxa"/>
            <w:vAlign w:val="center"/>
          </w:tcPr>
          <w:p w14:paraId="58B760E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1500505" cy="2508885"/>
                  <wp:effectExtent l="0" t="0" r="8255" b="571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14"/>
                          <a:stretch>
                            <a:fillRect/>
                          </a:stretch>
                        </pic:blipFill>
                        <pic:spPr>
                          <a:xfrm>
                            <a:off x="0" y="0"/>
                            <a:ext cx="1500505" cy="2508885"/>
                          </a:xfrm>
                          <a:prstGeom prst="rect">
                            <a:avLst/>
                          </a:prstGeom>
                          <a:noFill/>
                          <a:ln w="9525">
                            <a:noFill/>
                          </a:ln>
                        </pic:spPr>
                      </pic:pic>
                    </a:graphicData>
                  </a:graphic>
                </wp:inline>
              </w:drawing>
            </w:r>
          </w:p>
        </w:tc>
        <w:tc>
          <w:tcPr>
            <w:tcW w:w="1053" w:type="dxa"/>
            <w:vAlign w:val="center"/>
          </w:tcPr>
          <w:p w14:paraId="3A28B52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63B66441">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40.55</w:t>
            </w:r>
          </w:p>
        </w:tc>
      </w:tr>
      <w:tr w14:paraId="67DC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5ECDFEDA">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13</w:t>
            </w:r>
          </w:p>
        </w:tc>
        <w:tc>
          <w:tcPr>
            <w:tcW w:w="773" w:type="dxa"/>
            <w:vAlign w:val="center"/>
          </w:tcPr>
          <w:p w14:paraId="458E6580">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安装自动感应灯具</w:t>
            </w:r>
          </w:p>
        </w:tc>
        <w:tc>
          <w:tcPr>
            <w:tcW w:w="2080" w:type="dxa"/>
            <w:vAlign w:val="center"/>
          </w:tcPr>
          <w:p w14:paraId="675D8396">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1.参数尺寸：尺寸50 光感人体感应 感应角度120度 感应距离3米</w:t>
            </w:r>
          </w:p>
          <w:p w14:paraId="19E94572">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2.具体内容：安装感应便携灯，避免直射光源、强刺激性光源，人走灯灭，辅助老年人起夜使用。</w:t>
            </w:r>
          </w:p>
        </w:tc>
        <w:tc>
          <w:tcPr>
            <w:tcW w:w="5534" w:type="dxa"/>
            <w:vAlign w:val="center"/>
          </w:tcPr>
          <w:p w14:paraId="093ABD3C">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1495425" cy="2593975"/>
                  <wp:effectExtent l="0" t="0" r="13335" b="1206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15"/>
                          <a:stretch>
                            <a:fillRect/>
                          </a:stretch>
                        </pic:blipFill>
                        <pic:spPr>
                          <a:xfrm>
                            <a:off x="0" y="0"/>
                            <a:ext cx="1495425" cy="2593975"/>
                          </a:xfrm>
                          <a:prstGeom prst="rect">
                            <a:avLst/>
                          </a:prstGeom>
                          <a:noFill/>
                          <a:ln w="9525">
                            <a:noFill/>
                          </a:ln>
                        </pic:spPr>
                      </pic:pic>
                    </a:graphicData>
                  </a:graphic>
                </wp:inline>
              </w:drawing>
            </w:r>
          </w:p>
        </w:tc>
        <w:tc>
          <w:tcPr>
            <w:tcW w:w="1053" w:type="dxa"/>
            <w:vAlign w:val="center"/>
          </w:tcPr>
          <w:p w14:paraId="142F7A1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5665487F">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45.05</w:t>
            </w:r>
          </w:p>
        </w:tc>
      </w:tr>
      <w:tr w14:paraId="2E38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3" w:type="dxa"/>
            <w:vAlign w:val="center"/>
          </w:tcPr>
          <w:p w14:paraId="4E6A2F05">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14</w:t>
            </w:r>
          </w:p>
        </w:tc>
        <w:tc>
          <w:tcPr>
            <w:tcW w:w="773" w:type="dxa"/>
            <w:vAlign w:val="center"/>
          </w:tcPr>
          <w:p w14:paraId="39DF9C17">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防走失装置</w:t>
            </w:r>
          </w:p>
        </w:tc>
        <w:tc>
          <w:tcPr>
            <w:tcW w:w="2080" w:type="dxa"/>
            <w:vAlign w:val="center"/>
          </w:tcPr>
          <w:p w14:paraId="44C463B0">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1.参数尺寸：AES智能定位芯片 环保硅胶续航一年 全球定位</w:t>
            </w:r>
          </w:p>
          <w:p w14:paraId="27120D4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2.具体内容：用于监测失智老年人或其他精神障碍老年人定位，避免老年人走失，包括防走失手环、防走失胸卡等。</w:t>
            </w:r>
          </w:p>
        </w:tc>
        <w:tc>
          <w:tcPr>
            <w:tcW w:w="5534" w:type="dxa"/>
            <w:vAlign w:val="center"/>
          </w:tcPr>
          <w:p w14:paraId="07E2D94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drawing>
                <wp:inline distT="0" distB="0" distL="114300" distR="114300">
                  <wp:extent cx="2520950" cy="2422525"/>
                  <wp:effectExtent l="0" t="0" r="8890" b="63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16"/>
                          <a:stretch>
                            <a:fillRect/>
                          </a:stretch>
                        </pic:blipFill>
                        <pic:spPr>
                          <a:xfrm>
                            <a:off x="0" y="0"/>
                            <a:ext cx="2520950" cy="2422525"/>
                          </a:xfrm>
                          <a:prstGeom prst="rect">
                            <a:avLst/>
                          </a:prstGeom>
                          <a:noFill/>
                          <a:ln w="9525">
                            <a:noFill/>
                          </a:ln>
                        </pic:spPr>
                      </pic:pic>
                    </a:graphicData>
                  </a:graphic>
                </wp:inline>
              </w:drawing>
            </w:r>
          </w:p>
        </w:tc>
        <w:tc>
          <w:tcPr>
            <w:tcW w:w="1053" w:type="dxa"/>
            <w:vAlign w:val="center"/>
          </w:tcPr>
          <w:p w14:paraId="679E593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套</w:t>
            </w:r>
          </w:p>
        </w:tc>
        <w:tc>
          <w:tcPr>
            <w:tcW w:w="1703" w:type="dxa"/>
            <w:vAlign w:val="center"/>
          </w:tcPr>
          <w:p w14:paraId="25EE5796">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108.12</w:t>
            </w:r>
          </w:p>
        </w:tc>
      </w:tr>
    </w:tbl>
    <w:p w14:paraId="2DD40754">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投标人根据以上采购清单及工程量清单报价填报工程量清单报价，最终以实际产生的数量×每项中标单价进行结算。投标单位每项单价报价不允许超过采购清单中的单价限价，否则按无效标处理。以上单价限价包含货物或材料成本，装卸费、运杂费、税费、安装费等全部费用</w:t>
      </w:r>
    </w:p>
    <w:p w14:paraId="26258AC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三、采购标的质量标准</w:t>
      </w:r>
    </w:p>
    <w:p w14:paraId="75EC182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highlight w:val="none"/>
        </w:rPr>
      </w:pPr>
      <w:r>
        <w:rPr>
          <w:rFonts w:hint="eastAsia" w:eastAsia="Times New Roman"/>
          <w:sz w:val="24"/>
          <w:highlight w:val="none"/>
        </w:rPr>
        <w:t>符合国家相关规定并一次性验收合格</w:t>
      </w:r>
      <w:r>
        <w:rPr>
          <w:rFonts w:hint="eastAsia" w:ascii="宋体" w:hAnsi="宋体"/>
          <w:sz w:val="24"/>
          <w:highlight w:val="none"/>
        </w:rPr>
        <w:t>。</w:t>
      </w:r>
    </w:p>
    <w:p w14:paraId="0A7EBDB4">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四、采购标的的数量、采购项目交付或者实施的时间和地</w:t>
      </w:r>
      <w:r>
        <w:rPr>
          <w:rFonts w:hint="eastAsia" w:ascii="宋体" w:hAnsi="宋体" w:eastAsia="宋体" w:cs="宋体"/>
          <w:b/>
          <w:bCs/>
          <w:sz w:val="24"/>
          <w:szCs w:val="24"/>
          <w:highlight w:val="none"/>
          <w:lang w:val="en-US" w:eastAsia="zh-CN"/>
        </w:rPr>
        <w:t>点</w:t>
      </w:r>
    </w:p>
    <w:p w14:paraId="30D55DF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数量：</w:t>
      </w:r>
      <w:r>
        <w:rPr>
          <w:rFonts w:hint="eastAsia" w:ascii="宋体" w:hAnsi="宋体" w:eastAsia="宋体" w:cs="宋体"/>
          <w:b/>
          <w:bCs/>
          <w:sz w:val="24"/>
          <w:szCs w:val="24"/>
          <w:highlight w:val="none"/>
          <w:lang w:val="en-US" w:eastAsia="zh-CN"/>
        </w:rPr>
        <w:t>以供应商实际产生的数量为准，因每户实际需求存在差异，供应商需自行入户统计每户需求项目及数量</w:t>
      </w:r>
      <w:r>
        <w:rPr>
          <w:rFonts w:hint="eastAsia" w:ascii="宋体" w:hAnsi="宋体" w:eastAsia="宋体" w:cs="宋体"/>
          <w:sz w:val="24"/>
          <w:szCs w:val="24"/>
          <w:highlight w:val="none"/>
          <w:lang w:val="en-US" w:eastAsia="zh-CN"/>
        </w:rPr>
        <w:t>。</w:t>
      </w:r>
    </w:p>
    <w:p w14:paraId="4E5DE617">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工期：</w:t>
      </w:r>
      <w:r>
        <w:rPr>
          <w:rFonts w:hint="eastAsia" w:ascii="宋体" w:hAnsi="宋体"/>
          <w:color w:val="auto"/>
          <w:kern w:val="0"/>
          <w:sz w:val="24"/>
          <w:highlight w:val="none"/>
          <w:lang w:val="en-US" w:eastAsia="zh-CN"/>
        </w:rPr>
        <w:t>90日历天。开工日以采购人通知为准，施工总工期以开工之日起算，竣工日期以成交人完成合同的全部工程内容后竣工验收合格为止。</w:t>
      </w:r>
    </w:p>
    <w:p w14:paraId="37BC0C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.项目地点：</w:t>
      </w:r>
      <w:r>
        <w:rPr>
          <w:rFonts w:hint="eastAsia" w:ascii="宋体" w:hAnsi="宋体" w:cs="宋体"/>
          <w:sz w:val="24"/>
          <w:szCs w:val="24"/>
          <w:highlight w:val="none"/>
          <w:lang w:val="en-US" w:eastAsia="zh-CN"/>
        </w:rPr>
        <w:t>三坝乡、虎跳峡镇、建塘镇、小中甸镇。</w:t>
      </w:r>
      <w:r>
        <w:rPr>
          <w:rFonts w:hint="eastAsia" w:ascii="宋体" w:hAnsi="宋体" w:eastAsia="宋体" w:cs="宋体"/>
          <w:sz w:val="24"/>
          <w:szCs w:val="24"/>
          <w:highlight w:val="none"/>
        </w:rPr>
        <w:t>。</w:t>
      </w:r>
    </w:p>
    <w:p w14:paraId="4E62ED00">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五、采购标的需满足的服务标准、期限、效率等要求</w:t>
      </w:r>
    </w:p>
    <w:p w14:paraId="4DFE247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highlight w:val="none"/>
        </w:rPr>
      </w:pPr>
      <w:r>
        <w:rPr>
          <w:rFonts w:hint="eastAsia" w:eastAsia="Times New Roman"/>
          <w:sz w:val="24"/>
          <w:highlight w:val="none"/>
        </w:rPr>
        <w:t>符合国家相关规定并一次性验收合格</w:t>
      </w:r>
      <w:r>
        <w:rPr>
          <w:rFonts w:hint="eastAsia" w:ascii="宋体" w:hAnsi="宋体"/>
          <w:sz w:val="24"/>
          <w:highlight w:val="none"/>
        </w:rPr>
        <w:t>。</w:t>
      </w:r>
    </w:p>
    <w:p w14:paraId="13BC759B">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六、采购标的的验收标准</w:t>
      </w:r>
    </w:p>
    <w:p w14:paraId="23AC06C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highlight w:val="none"/>
        </w:rPr>
      </w:pPr>
      <w:r>
        <w:rPr>
          <w:rFonts w:hint="eastAsia" w:eastAsia="Times New Roman"/>
          <w:sz w:val="24"/>
          <w:highlight w:val="none"/>
        </w:rPr>
        <w:t>符合国家相关规定并一次性验收合格</w:t>
      </w:r>
      <w:r>
        <w:rPr>
          <w:rFonts w:hint="eastAsia" w:ascii="宋体" w:hAnsi="宋体"/>
          <w:sz w:val="24"/>
          <w:highlight w:val="none"/>
        </w:rPr>
        <w:t>。</w:t>
      </w:r>
    </w:p>
    <w:p w14:paraId="594A6A1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七、采购标的其他技术、服务等要求</w:t>
      </w:r>
    </w:p>
    <w:p w14:paraId="3CF3311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1.本次采购涉及的材料设备等全部含在建安工程费中，但设备材料的选择采购必须报采购人审批同意。</w:t>
      </w:r>
    </w:p>
    <w:p w14:paraId="7BC83E7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2.工程量清单中列明的工程数量为施工图工程数量，仅作为</w:t>
      </w:r>
      <w:r>
        <w:rPr>
          <w:rFonts w:hint="eastAsia" w:ascii="宋体" w:hAnsi="宋体" w:eastAsia="宋体" w:cs="宋体"/>
          <w:sz w:val="24"/>
          <w:szCs w:val="24"/>
          <w:highlight w:val="none"/>
          <w:lang w:eastAsia="zh-CN"/>
        </w:rPr>
        <w:t>磋商报价</w:t>
      </w:r>
      <w:r>
        <w:rPr>
          <w:rFonts w:hint="eastAsia" w:ascii="宋体" w:hAnsi="宋体" w:eastAsia="宋体" w:cs="宋体"/>
          <w:sz w:val="24"/>
          <w:szCs w:val="24"/>
          <w:highlight w:val="none"/>
        </w:rPr>
        <w:t>的基础，不能作为最终结算与支付的依据。</w:t>
      </w:r>
    </w:p>
    <w:p w14:paraId="649AE73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3.保修期：本项目保修期为工程竣工验收合格后1年。</w:t>
      </w:r>
    </w:p>
    <w:p w14:paraId="41506E4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sz w:val="24"/>
          <w:szCs w:val="24"/>
          <w:highlight w:val="yellow"/>
        </w:rPr>
      </w:pPr>
      <w:r>
        <w:rPr>
          <w:rFonts w:hint="eastAsia" w:ascii="宋体" w:hAnsi="宋体" w:eastAsia="宋体" w:cs="宋体"/>
          <w:b/>
          <w:bCs/>
          <w:sz w:val="24"/>
          <w:szCs w:val="24"/>
          <w:highlight w:val="none"/>
        </w:rPr>
        <w:t>八、工程量清单</w:t>
      </w:r>
      <w:r>
        <w:rPr>
          <w:rFonts w:hint="eastAsia" w:ascii="宋体" w:hAnsi="宋体" w:eastAsia="宋体" w:cs="宋体"/>
          <w:sz w:val="24"/>
          <w:szCs w:val="24"/>
          <w:highlight w:val="none"/>
        </w:rPr>
        <w:t>（另附）</w:t>
      </w:r>
    </w:p>
    <w:p w14:paraId="758C41FC">
      <w:pPr>
        <w:spacing w:line="240" w:lineRule="exact"/>
        <w:rPr>
          <w:rFonts w:hint="eastAsia" w:ascii="宋体" w:hAnsi="宋体"/>
        </w:rPr>
      </w:pPr>
    </w:p>
    <w:p w14:paraId="57373AB8">
      <w:pPr>
        <w:pStyle w:val="2"/>
        <w:spacing w:before="0" w:after="0" w:line="360" w:lineRule="auto"/>
        <w:jc w:val="center"/>
        <w:rPr>
          <w:rFonts w:hint="eastAsia" w:ascii="宋体" w:hAnsi="宋体"/>
          <w:lang w:eastAsia="zh-CN"/>
        </w:rPr>
      </w:pPr>
      <w:bookmarkStart w:id="289" w:name="_Toc19163"/>
      <w:bookmarkEnd w:id="289"/>
      <w:bookmarkStart w:id="290" w:name="_Toc17654"/>
      <w:bookmarkEnd w:id="290"/>
      <w:bookmarkStart w:id="291" w:name="_Toc24075"/>
      <w:bookmarkStart w:id="292" w:name="_Toc3896296"/>
      <w:r>
        <w:rPr>
          <w:rFonts w:ascii="宋体" w:hAnsi="宋体"/>
        </w:rPr>
        <w:br w:type="page"/>
      </w:r>
      <w:bookmarkStart w:id="293" w:name="_Toc19583"/>
      <w:bookmarkStart w:id="294" w:name="_Toc4388"/>
      <w:bookmarkStart w:id="295" w:name="_Toc24136"/>
      <w:r>
        <w:rPr>
          <w:rFonts w:hint="eastAsia" w:ascii="宋体" w:hAnsi="宋体"/>
        </w:rPr>
        <w:t>第</w:t>
      </w:r>
      <w:r>
        <w:rPr>
          <w:rFonts w:hint="eastAsia" w:ascii="宋体" w:hAnsi="宋体"/>
          <w:lang w:eastAsia="zh-CN"/>
        </w:rPr>
        <w:t>六</w:t>
      </w:r>
      <w:r>
        <w:rPr>
          <w:rFonts w:hint="eastAsia" w:ascii="宋体" w:hAnsi="宋体"/>
        </w:rPr>
        <w:t xml:space="preserve">章 </w:t>
      </w:r>
      <w:r>
        <w:rPr>
          <w:rFonts w:hint="eastAsia" w:ascii="宋体" w:hAnsi="宋体"/>
          <w:lang w:eastAsia="zh-CN"/>
        </w:rPr>
        <w:t>技术标准及要求</w:t>
      </w:r>
      <w:bookmarkEnd w:id="293"/>
      <w:bookmarkEnd w:id="294"/>
      <w:bookmarkEnd w:id="295"/>
    </w:p>
    <w:p w14:paraId="675D287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一、本工程项目的材料、设备、施工须达到现行中华人民共和国以及省、自治区、直辖市或行业的工程建设标准、规范的要求；严格遵照设计施工图及国家或行业有关标准、规范执行。</w:t>
      </w:r>
    </w:p>
    <w:p w14:paraId="43DA3D8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二、本招标工程项目的安全生产、文明施工、环境保护措施应符合中华人民共和国以及省、市、自治区、直辖市或行业以及当地政府的有关法律、法规的要求。</w:t>
      </w:r>
    </w:p>
    <w:p w14:paraId="7A8F39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三、根据工程设计要求及所处地域当地政府的相关规定，适用时本招标工程项目的材料、设备、施工必须达到但不限于以下现行标准或规范及其最新版本的要求。</w:t>
      </w:r>
    </w:p>
    <w:p w14:paraId="78B7D3E2">
      <w:pPr>
        <w:spacing w:line="360" w:lineRule="auto"/>
        <w:ind w:firstLine="480" w:firstLineChars="200"/>
        <w:rPr>
          <w:highlight w:val="none"/>
        </w:rPr>
      </w:pPr>
      <w:r>
        <w:rPr>
          <w:rFonts w:hint="eastAsia" w:ascii="宋体" w:hAnsi="宋体" w:eastAsia="宋体" w:cs="宋体"/>
          <w:color w:val="auto"/>
          <w:sz w:val="24"/>
          <w:highlight w:val="none"/>
        </w:rPr>
        <w:t>四、其他：国家或云南省相关的现行强制性标准和技术规范、规程。</w:t>
      </w:r>
    </w:p>
    <w:p w14:paraId="6DE59ABA">
      <w:pPr>
        <w:bidi w:val="0"/>
      </w:pPr>
    </w:p>
    <w:p w14:paraId="1D2B55EE">
      <w:pPr>
        <w:pStyle w:val="8"/>
      </w:pPr>
    </w:p>
    <w:p w14:paraId="3FB69BA0">
      <w:pPr>
        <w:pStyle w:val="8"/>
      </w:pPr>
    </w:p>
    <w:p w14:paraId="406BEC86">
      <w:pPr>
        <w:pStyle w:val="8"/>
      </w:pPr>
    </w:p>
    <w:p w14:paraId="02C80C1B">
      <w:pPr>
        <w:pStyle w:val="8"/>
      </w:pPr>
    </w:p>
    <w:p w14:paraId="3F393CB1">
      <w:pPr>
        <w:pStyle w:val="2"/>
        <w:spacing w:before="0" w:after="0" w:line="360" w:lineRule="auto"/>
        <w:jc w:val="center"/>
        <w:rPr>
          <w:rFonts w:hint="eastAsia" w:ascii="宋体" w:hAnsi="宋体"/>
        </w:rPr>
      </w:pPr>
      <w:r>
        <w:rPr>
          <w:rFonts w:ascii="宋体" w:hAnsi="宋体"/>
        </w:rPr>
        <w:br w:type="page"/>
      </w:r>
      <w:bookmarkStart w:id="296" w:name="_Toc20835"/>
      <w:bookmarkStart w:id="297" w:name="_Toc27579"/>
      <w:r>
        <w:rPr>
          <w:rFonts w:hint="eastAsia" w:ascii="宋体" w:hAnsi="宋体"/>
        </w:rPr>
        <w:t>第</w:t>
      </w:r>
      <w:r>
        <w:rPr>
          <w:rFonts w:hint="eastAsia" w:ascii="宋体" w:hAnsi="宋体"/>
          <w:lang w:eastAsia="zh-CN"/>
        </w:rPr>
        <w:t>七</w:t>
      </w:r>
      <w:r>
        <w:rPr>
          <w:rFonts w:hint="eastAsia" w:ascii="宋体" w:hAnsi="宋体"/>
        </w:rPr>
        <w:t>章 响应文件格式</w:t>
      </w:r>
      <w:bookmarkEnd w:id="291"/>
      <w:bookmarkEnd w:id="292"/>
      <w:bookmarkEnd w:id="296"/>
      <w:bookmarkEnd w:id="297"/>
    </w:p>
    <w:p w14:paraId="4E4F395F">
      <w:pPr>
        <w:rPr>
          <w:rFonts w:hint="eastAsia" w:ascii="宋体" w:hAnsi="宋体"/>
        </w:rPr>
      </w:pPr>
      <w:r>
        <w:rPr>
          <w:rFonts w:hint="eastAsia" w:ascii="宋体" w:hAnsi="宋体"/>
        </w:rPr>
        <w:t xml:space="preserve"> </w:t>
      </w:r>
    </w:p>
    <w:p w14:paraId="62831020">
      <w:pPr>
        <w:jc w:val="center"/>
        <w:rPr>
          <w:rFonts w:hint="eastAsia" w:ascii="宋体" w:hAnsi="宋体"/>
          <w:b/>
          <w:color w:val="000000"/>
          <w:sz w:val="28"/>
          <w:szCs w:val="28"/>
        </w:rPr>
      </w:pPr>
      <w:r>
        <w:rPr>
          <w:rFonts w:hint="eastAsia" w:ascii="宋体" w:hAnsi="宋体"/>
          <w:b/>
          <w:color w:val="000000"/>
          <w:sz w:val="28"/>
          <w:szCs w:val="28"/>
        </w:rPr>
        <w:t>资格审查部分封面</w:t>
      </w:r>
    </w:p>
    <w:p w14:paraId="738FD017">
      <w:pPr>
        <w:jc w:val="center"/>
        <w:rPr>
          <w:rFonts w:hint="eastAsia" w:ascii="宋体" w:hAnsi="宋体"/>
          <w:color w:val="000000"/>
        </w:rPr>
      </w:pPr>
    </w:p>
    <w:p w14:paraId="054F9A87">
      <w:pPr>
        <w:spacing w:line="480" w:lineRule="auto"/>
        <w:jc w:val="center"/>
        <w:rPr>
          <w:rFonts w:hint="eastAsia" w:ascii="宋体" w:hAnsi="宋体"/>
          <w:b/>
          <w:bCs/>
          <w:color w:val="000000"/>
          <w:sz w:val="48"/>
          <w:szCs w:val="48"/>
          <w:lang w:eastAsia="zh-CN"/>
        </w:rPr>
      </w:pPr>
      <w:r>
        <w:rPr>
          <w:rFonts w:hint="eastAsia" w:ascii="宋体" w:hAnsi="宋体"/>
          <w:b/>
          <w:bCs/>
          <w:color w:val="000000"/>
          <w:sz w:val="48"/>
          <w:szCs w:val="48"/>
          <w:lang w:eastAsia="zh-CN"/>
        </w:rPr>
        <w:t>香格里拉市2025年困难家庭居家适老化改造项目</w:t>
      </w:r>
    </w:p>
    <w:p w14:paraId="5FCD7ACC">
      <w:pPr>
        <w:spacing w:line="480" w:lineRule="auto"/>
        <w:jc w:val="center"/>
        <w:rPr>
          <w:rFonts w:hint="eastAsia" w:ascii="宋体" w:hAnsi="宋体"/>
          <w:b/>
          <w:bCs/>
          <w:color w:val="000000"/>
          <w:sz w:val="44"/>
          <w:szCs w:val="44"/>
        </w:rPr>
      </w:pPr>
      <w:r>
        <w:rPr>
          <w:rFonts w:hint="eastAsia" w:ascii="宋体" w:hAnsi="宋体"/>
          <w:b/>
          <w:bCs/>
          <w:color w:val="000000"/>
          <w:sz w:val="36"/>
          <w:szCs w:val="36"/>
        </w:rPr>
        <w:t>（项目编号：</w:t>
      </w:r>
      <w:r>
        <w:rPr>
          <w:rFonts w:hint="eastAsia" w:ascii="宋体" w:hAnsi="宋体"/>
          <w:b/>
          <w:bCs/>
          <w:color w:val="000000"/>
          <w:sz w:val="36"/>
          <w:szCs w:val="36"/>
          <w:lang w:val="en-US" w:eastAsia="zh-CN"/>
        </w:rPr>
        <w:t xml:space="preserve"> </w:t>
      </w:r>
      <w:r>
        <w:rPr>
          <w:rFonts w:hint="eastAsia" w:ascii="宋体" w:hAnsi="宋体"/>
          <w:b/>
          <w:bCs/>
          <w:color w:val="000000"/>
          <w:sz w:val="36"/>
          <w:szCs w:val="36"/>
        </w:rPr>
        <w:t>）</w:t>
      </w:r>
    </w:p>
    <w:p w14:paraId="47E8330A">
      <w:pPr>
        <w:spacing w:line="480" w:lineRule="auto"/>
        <w:rPr>
          <w:rFonts w:hint="eastAsia" w:ascii="宋体" w:hAnsi="宋体"/>
          <w:b/>
          <w:bCs/>
          <w:color w:val="000000"/>
          <w:sz w:val="44"/>
          <w:szCs w:val="44"/>
        </w:rPr>
      </w:pPr>
    </w:p>
    <w:p w14:paraId="28D919C4">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76EF238C">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2F1FDAF6">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09D33838">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1E02D2CB">
      <w:pPr>
        <w:spacing w:line="480" w:lineRule="auto"/>
        <w:jc w:val="center"/>
        <w:rPr>
          <w:rFonts w:hint="eastAsia" w:ascii="宋体" w:hAnsi="宋体"/>
          <w:b/>
          <w:bCs/>
          <w:color w:val="000000"/>
          <w:sz w:val="72"/>
          <w:szCs w:val="72"/>
        </w:rPr>
      </w:pPr>
      <w:r>
        <w:rPr>
          <w:rFonts w:hint="eastAsia" w:ascii="宋体" w:hAnsi="宋体"/>
          <w:b/>
          <w:bCs/>
          <w:color w:val="000000"/>
          <w:sz w:val="72"/>
          <w:szCs w:val="72"/>
        </w:rPr>
        <w:t>响 应 文 件</w:t>
      </w:r>
    </w:p>
    <w:p w14:paraId="1223EDCD">
      <w:pPr>
        <w:spacing w:line="480" w:lineRule="auto"/>
        <w:rPr>
          <w:rFonts w:hint="eastAsia" w:ascii="宋体" w:hAnsi="宋体"/>
          <w:b/>
          <w:bCs/>
          <w:color w:val="000000"/>
          <w:sz w:val="44"/>
          <w:szCs w:val="44"/>
        </w:rPr>
      </w:pPr>
    </w:p>
    <w:p w14:paraId="2B219410">
      <w:pPr>
        <w:spacing w:line="480" w:lineRule="auto"/>
        <w:rPr>
          <w:rFonts w:hint="eastAsia" w:ascii="宋体" w:hAnsi="宋体"/>
          <w:b/>
          <w:bCs/>
          <w:color w:val="000000"/>
          <w:sz w:val="44"/>
          <w:szCs w:val="44"/>
        </w:rPr>
      </w:pPr>
    </w:p>
    <w:p w14:paraId="5D769C49">
      <w:pPr>
        <w:spacing w:line="480" w:lineRule="auto"/>
        <w:rPr>
          <w:rFonts w:hint="eastAsia" w:ascii="宋体" w:hAnsi="宋体"/>
          <w:b/>
          <w:bCs/>
          <w:color w:val="000000"/>
          <w:sz w:val="44"/>
          <w:szCs w:val="44"/>
        </w:rPr>
      </w:pPr>
    </w:p>
    <w:p w14:paraId="24FBC976">
      <w:pPr>
        <w:spacing w:line="480" w:lineRule="auto"/>
        <w:ind w:firstLine="1405" w:firstLineChars="500"/>
        <w:rPr>
          <w:rFonts w:hint="eastAsia" w:ascii="宋体" w:hAnsi="宋体"/>
          <w:b/>
          <w:bCs/>
          <w:color w:val="000000"/>
          <w:sz w:val="28"/>
          <w:szCs w:val="28"/>
        </w:rPr>
      </w:pPr>
      <w:r>
        <w:rPr>
          <w:rFonts w:hint="eastAsia" w:ascii="宋体" w:hAnsi="宋体"/>
          <w:b/>
          <w:bCs/>
          <w:color w:val="000000"/>
          <w:sz w:val="28"/>
          <w:szCs w:val="28"/>
        </w:rPr>
        <w:t>供应商：</w:t>
      </w:r>
      <w:r>
        <w:rPr>
          <w:rFonts w:hint="eastAsia" w:ascii="宋体" w:hAnsi="宋体"/>
          <w:b/>
          <w:bCs/>
          <w:color w:val="000000"/>
          <w:sz w:val="28"/>
          <w:szCs w:val="28"/>
          <w:u w:val="single"/>
        </w:rPr>
        <w:tab/>
      </w:r>
      <w:r>
        <w:rPr>
          <w:rFonts w:hint="eastAsia" w:ascii="宋体" w:hAnsi="宋体"/>
          <w:b/>
          <w:bCs/>
          <w:color w:val="000000"/>
          <w:sz w:val="28"/>
          <w:szCs w:val="28"/>
          <w:u w:val="single"/>
        </w:rPr>
        <w:t xml:space="preserve">                                 </w:t>
      </w:r>
      <w:r>
        <w:rPr>
          <w:rFonts w:hint="eastAsia" w:ascii="宋体" w:hAnsi="宋体"/>
          <w:b/>
          <w:bCs/>
          <w:color w:val="000000"/>
          <w:sz w:val="28"/>
          <w:szCs w:val="28"/>
        </w:rPr>
        <w:t>（电子签章）</w:t>
      </w:r>
    </w:p>
    <w:p w14:paraId="15694A89">
      <w:pPr>
        <w:spacing w:line="480" w:lineRule="auto"/>
        <w:rPr>
          <w:rFonts w:hint="eastAsia" w:ascii="宋体" w:hAnsi="宋体"/>
          <w:b/>
          <w:bCs/>
          <w:color w:val="000000"/>
          <w:sz w:val="28"/>
          <w:szCs w:val="28"/>
        </w:rPr>
      </w:pPr>
      <w:r>
        <w:rPr>
          <w:rFonts w:hint="eastAsia" w:ascii="宋体" w:hAnsi="宋体"/>
          <w:b/>
          <w:bCs/>
          <w:color w:val="000000"/>
          <w:sz w:val="28"/>
          <w:szCs w:val="28"/>
        </w:rPr>
        <w:t xml:space="preserve"> </w:t>
      </w:r>
    </w:p>
    <w:p w14:paraId="1CF9F331">
      <w:pPr>
        <w:spacing w:line="480" w:lineRule="auto"/>
        <w:ind w:firstLine="1405" w:firstLineChars="500"/>
        <w:rPr>
          <w:rFonts w:hint="eastAsia" w:ascii="宋体" w:hAnsi="宋体"/>
          <w:b/>
          <w:bCs/>
          <w:color w:val="000000"/>
          <w:sz w:val="28"/>
          <w:szCs w:val="28"/>
        </w:rPr>
      </w:pPr>
      <w:r>
        <w:rPr>
          <w:rFonts w:hint="eastAsia" w:ascii="宋体" w:hAnsi="宋体"/>
          <w:b/>
          <w:bCs/>
          <w:color w:val="000000"/>
          <w:sz w:val="28"/>
          <w:szCs w:val="28"/>
        </w:rPr>
        <w:t>法定代表人：</w:t>
      </w:r>
      <w:r>
        <w:rPr>
          <w:rFonts w:hint="eastAsia" w:ascii="宋体" w:hAnsi="宋体"/>
          <w:b/>
          <w:bCs/>
          <w:color w:val="000000"/>
          <w:sz w:val="28"/>
          <w:szCs w:val="28"/>
          <w:u w:val="single"/>
        </w:rPr>
        <w:t xml:space="preserve">              </w:t>
      </w:r>
      <w:r>
        <w:rPr>
          <w:rFonts w:hint="eastAsia" w:ascii="宋体" w:hAnsi="宋体"/>
          <w:b/>
          <w:bCs/>
          <w:color w:val="000000"/>
          <w:sz w:val="28"/>
          <w:szCs w:val="28"/>
        </w:rPr>
        <w:t>（电子签章）</w:t>
      </w:r>
    </w:p>
    <w:p w14:paraId="5CC6A85B">
      <w:pPr>
        <w:spacing w:line="480" w:lineRule="auto"/>
        <w:ind w:firstLine="1405" w:firstLineChars="500"/>
        <w:rPr>
          <w:rFonts w:hint="eastAsia" w:ascii="宋体" w:hAnsi="宋体"/>
          <w:b/>
          <w:bCs/>
          <w:color w:val="000000"/>
          <w:sz w:val="28"/>
          <w:szCs w:val="28"/>
        </w:rPr>
      </w:pPr>
    </w:p>
    <w:p w14:paraId="7FD089EB">
      <w:pPr>
        <w:spacing w:line="480" w:lineRule="auto"/>
        <w:ind w:firstLine="1405" w:firstLineChars="500"/>
        <w:rPr>
          <w:rFonts w:ascii="宋体" w:hAnsi="宋体"/>
          <w:b/>
          <w:bCs/>
          <w:color w:val="000000"/>
          <w:sz w:val="28"/>
          <w:szCs w:val="28"/>
        </w:rPr>
      </w:pPr>
      <w:r>
        <w:rPr>
          <w:rFonts w:hint="eastAsia" w:ascii="宋体" w:hAnsi="宋体"/>
          <w:b/>
          <w:bCs/>
          <w:color w:val="000000"/>
          <w:sz w:val="28"/>
          <w:szCs w:val="28"/>
        </w:rPr>
        <w:t xml:space="preserve">日期： </w:t>
      </w:r>
      <w:r>
        <w:rPr>
          <w:rFonts w:hint="eastAsia" w:ascii="宋体" w:hAnsi="宋体"/>
          <w:b/>
          <w:bCs/>
          <w:color w:val="000000"/>
          <w:sz w:val="28"/>
          <w:szCs w:val="28"/>
          <w:u w:val="single"/>
        </w:rPr>
        <w:t xml:space="preserve">        </w:t>
      </w:r>
      <w:r>
        <w:rPr>
          <w:rFonts w:hint="eastAsia" w:ascii="宋体" w:hAnsi="宋体"/>
          <w:b/>
          <w:bCs/>
          <w:color w:val="000000"/>
          <w:sz w:val="28"/>
          <w:szCs w:val="28"/>
        </w:rPr>
        <w:t>年</w:t>
      </w:r>
      <w:r>
        <w:rPr>
          <w:rFonts w:hint="eastAsia" w:ascii="宋体" w:hAnsi="宋体"/>
          <w:b/>
          <w:bCs/>
          <w:color w:val="000000"/>
          <w:sz w:val="28"/>
          <w:szCs w:val="28"/>
          <w:u w:val="single"/>
        </w:rPr>
        <w:t xml:space="preserve">        </w:t>
      </w:r>
      <w:r>
        <w:rPr>
          <w:rFonts w:hint="eastAsia" w:ascii="宋体" w:hAnsi="宋体"/>
          <w:b/>
          <w:bCs/>
          <w:color w:val="000000"/>
          <w:sz w:val="28"/>
          <w:szCs w:val="28"/>
        </w:rPr>
        <w:t>月</w:t>
      </w:r>
      <w:r>
        <w:rPr>
          <w:rFonts w:hint="eastAsia" w:ascii="宋体" w:hAnsi="宋体"/>
          <w:b/>
          <w:bCs/>
          <w:color w:val="000000"/>
          <w:sz w:val="28"/>
          <w:szCs w:val="28"/>
          <w:u w:val="single"/>
        </w:rPr>
        <w:t xml:space="preserve">        </w:t>
      </w:r>
      <w:r>
        <w:rPr>
          <w:rFonts w:hint="eastAsia" w:ascii="宋体" w:hAnsi="宋体"/>
          <w:b/>
          <w:bCs/>
          <w:color w:val="000000"/>
          <w:sz w:val="28"/>
          <w:szCs w:val="28"/>
        </w:rPr>
        <w:t>日</w:t>
      </w:r>
      <w:bookmarkStart w:id="298" w:name="_Toc14917"/>
      <w:bookmarkEnd w:id="298"/>
      <w:bookmarkStart w:id="299" w:name="_Toc184"/>
      <w:bookmarkEnd w:id="299"/>
      <w:bookmarkStart w:id="300" w:name="_Toc25438"/>
    </w:p>
    <w:p w14:paraId="466D570B">
      <w:pPr>
        <w:bidi w:val="0"/>
        <w:rPr>
          <w:color w:val="000000"/>
        </w:rPr>
      </w:pPr>
      <w:r>
        <w:rPr>
          <w:color w:val="000000"/>
        </w:rPr>
        <w:br w:type="page"/>
      </w:r>
      <w:bookmarkEnd w:id="300"/>
      <w:bookmarkStart w:id="301" w:name="_Toc24112"/>
      <w:bookmarkStart w:id="302" w:name="_Toc3896298"/>
    </w:p>
    <w:p w14:paraId="696B3E2C">
      <w:pPr>
        <w:bidi w:val="0"/>
        <w:rPr>
          <w:color w:val="000000"/>
        </w:rPr>
      </w:pPr>
    </w:p>
    <w:p w14:paraId="22CCFB2F">
      <w:pPr>
        <w:bidi w:val="0"/>
        <w:rPr>
          <w:color w:val="000000"/>
        </w:rPr>
      </w:pPr>
    </w:p>
    <w:p w14:paraId="56D9DA84">
      <w:pPr>
        <w:bidi w:val="0"/>
        <w:rPr>
          <w:color w:val="000000"/>
        </w:rPr>
      </w:pPr>
    </w:p>
    <w:p w14:paraId="0E33D9F1">
      <w:pPr>
        <w:bidi w:val="0"/>
        <w:rPr>
          <w:color w:val="000000"/>
        </w:rPr>
      </w:pPr>
    </w:p>
    <w:p w14:paraId="145C6512">
      <w:pPr>
        <w:bidi w:val="0"/>
        <w:rPr>
          <w:color w:val="000000"/>
        </w:rPr>
      </w:pPr>
    </w:p>
    <w:p w14:paraId="1EFFAB9E">
      <w:pPr>
        <w:bidi w:val="0"/>
        <w:rPr>
          <w:color w:val="000000"/>
        </w:rPr>
      </w:pPr>
    </w:p>
    <w:p w14:paraId="7CD6A55D">
      <w:pPr>
        <w:bidi w:val="0"/>
        <w:rPr>
          <w:color w:val="000000"/>
        </w:rPr>
      </w:pPr>
    </w:p>
    <w:p w14:paraId="1766755C">
      <w:pPr>
        <w:bidi w:val="0"/>
        <w:rPr>
          <w:color w:val="000000"/>
        </w:rPr>
      </w:pPr>
    </w:p>
    <w:p w14:paraId="13322242">
      <w:pPr>
        <w:bidi w:val="0"/>
        <w:rPr>
          <w:color w:val="000000"/>
        </w:rPr>
      </w:pPr>
    </w:p>
    <w:p w14:paraId="4758D915">
      <w:pPr>
        <w:bidi w:val="0"/>
        <w:rPr>
          <w:color w:val="000000"/>
        </w:rPr>
      </w:pPr>
    </w:p>
    <w:p w14:paraId="2B0649F2">
      <w:pPr>
        <w:bidi w:val="0"/>
        <w:rPr>
          <w:color w:val="000000"/>
        </w:rPr>
      </w:pPr>
    </w:p>
    <w:p w14:paraId="71C76BDC">
      <w:pPr>
        <w:bidi w:val="0"/>
        <w:rPr>
          <w:color w:val="000000"/>
        </w:rPr>
      </w:pPr>
    </w:p>
    <w:p w14:paraId="7A09E708">
      <w:pPr>
        <w:bidi w:val="0"/>
        <w:rPr>
          <w:color w:val="000000"/>
        </w:rPr>
      </w:pPr>
    </w:p>
    <w:p w14:paraId="2046A51F">
      <w:pPr>
        <w:bidi w:val="0"/>
        <w:rPr>
          <w:color w:val="000000"/>
        </w:rPr>
      </w:pPr>
    </w:p>
    <w:p w14:paraId="536342BC">
      <w:pPr>
        <w:bidi w:val="0"/>
        <w:rPr>
          <w:color w:val="000000"/>
        </w:rPr>
      </w:pPr>
    </w:p>
    <w:p w14:paraId="46223175">
      <w:pPr>
        <w:bidi w:val="0"/>
        <w:rPr>
          <w:color w:val="000000"/>
        </w:rPr>
      </w:pPr>
    </w:p>
    <w:p w14:paraId="35DB4492">
      <w:pPr>
        <w:jc w:val="center"/>
        <w:outlineLvl w:val="2"/>
        <w:rPr>
          <w:rFonts w:hint="eastAsia" w:ascii="宋体" w:hAnsi="宋体"/>
          <w:b/>
          <w:bCs/>
          <w:color w:val="000000"/>
          <w:sz w:val="44"/>
          <w:szCs w:val="44"/>
        </w:rPr>
      </w:pPr>
      <w:bookmarkStart w:id="303" w:name="_Toc32403"/>
      <w:bookmarkStart w:id="304" w:name="_Toc10835"/>
      <w:r>
        <w:rPr>
          <w:rFonts w:hint="eastAsia" w:ascii="宋体" w:hAnsi="宋体"/>
          <w:b/>
          <w:bCs/>
          <w:color w:val="000000"/>
          <w:sz w:val="44"/>
          <w:szCs w:val="44"/>
        </w:rPr>
        <w:t>资格审查部分</w:t>
      </w:r>
      <w:bookmarkEnd w:id="301"/>
      <w:bookmarkEnd w:id="303"/>
      <w:bookmarkEnd w:id="304"/>
    </w:p>
    <w:p w14:paraId="76B8E873">
      <w:pPr>
        <w:pStyle w:val="4"/>
        <w:spacing w:before="0" w:after="0" w:line="720" w:lineRule="auto"/>
        <w:rPr>
          <w:rFonts w:hint="eastAsia" w:eastAsia="宋体"/>
          <w:szCs w:val="28"/>
          <w:highlight w:val="none"/>
          <w:lang w:val="en-US" w:eastAsia="zh-CN"/>
        </w:rPr>
      </w:pPr>
      <w:r>
        <w:rPr>
          <w:color w:val="000000"/>
        </w:rPr>
        <w:br w:type="page"/>
      </w:r>
      <w:bookmarkEnd w:id="302"/>
      <w:bookmarkStart w:id="305" w:name="_Toc1124"/>
      <w:bookmarkStart w:id="306" w:name="_Toc2497"/>
      <w:bookmarkStart w:id="307" w:name="_Toc1323"/>
      <w:bookmarkStart w:id="308" w:name="_Toc1301"/>
      <w:r>
        <w:rPr>
          <w:rFonts w:hint="eastAsia" w:ascii="宋体" w:hAnsi="宋体" w:cs="宋体"/>
          <w:szCs w:val="28"/>
          <w:highlight w:val="none"/>
        </w:rPr>
        <w:t>一、</w:t>
      </w:r>
      <w:bookmarkEnd w:id="305"/>
      <w:bookmarkEnd w:id="306"/>
      <w:bookmarkEnd w:id="307"/>
      <w:r>
        <w:rPr>
          <w:rFonts w:hint="eastAsia" w:ascii="宋体" w:hAnsi="宋体" w:cs="宋体"/>
          <w:szCs w:val="28"/>
          <w:highlight w:val="none"/>
        </w:rPr>
        <w:t>具有独立承担民事责任的能力</w:t>
      </w:r>
      <w:bookmarkEnd w:id="308"/>
    </w:p>
    <w:p w14:paraId="6FC69FCC">
      <w:pPr>
        <w:pStyle w:val="8"/>
        <w:keepNext w:val="0"/>
        <w:keepLines w:val="0"/>
        <w:pageBreakBefore w:val="0"/>
        <w:kinsoku/>
        <w:wordWrap/>
        <w:overflowPunct/>
        <w:topLinePunct w:val="0"/>
        <w:autoSpaceDE/>
        <w:autoSpaceDN/>
        <w:bidi w:val="0"/>
        <w:adjustRightInd/>
        <w:snapToGrid/>
        <w:spacing w:line="460" w:lineRule="exact"/>
        <w:ind w:firstLine="465"/>
        <w:textAlignment w:val="auto"/>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
        </w:rPr>
        <w:t>提供法人或者其他组织的营业执照等证明文件。</w:t>
      </w:r>
      <w:r>
        <w:rPr>
          <w:rFonts w:hint="eastAsia" w:ascii="宋体" w:hAnsi="宋体" w:eastAsia="宋体" w:cs="宋体"/>
          <w:b w:val="0"/>
          <w:bCs w:val="0"/>
          <w:kern w:val="0"/>
          <w:sz w:val="24"/>
          <w:szCs w:val="24"/>
          <w:highlight w:val="none"/>
          <w:lang w:val="en-US" w:eastAsia="zh-CN" w:bidi="ar-SA"/>
        </w:rPr>
        <w:t>（提供扫描件)</w:t>
      </w:r>
    </w:p>
    <w:p w14:paraId="68A48901">
      <w:pPr>
        <w:pStyle w:val="11"/>
        <w:tabs>
          <w:tab w:val="left" w:pos="5580"/>
        </w:tabs>
        <w:spacing w:line="360" w:lineRule="auto"/>
        <w:ind w:left="1080" w:leftChars="257" w:hanging="540"/>
        <w:rPr>
          <w:rFonts w:hint="eastAsia" w:hAnsi="宋体" w:cs="宋体"/>
          <w:color w:val="FF0000"/>
          <w:sz w:val="24"/>
          <w:szCs w:val="24"/>
          <w:highlight w:val="none"/>
        </w:rPr>
      </w:pPr>
    </w:p>
    <w:p w14:paraId="36876E86">
      <w:pPr>
        <w:pStyle w:val="4"/>
        <w:spacing w:before="0" w:after="0" w:line="720" w:lineRule="auto"/>
        <w:rPr>
          <w:rFonts w:hint="eastAsia"/>
          <w:highlight w:val="none"/>
        </w:rPr>
      </w:pPr>
      <w:bookmarkStart w:id="309" w:name="_Toc24593"/>
      <w:bookmarkEnd w:id="309"/>
      <w:bookmarkStart w:id="310" w:name="_Toc10328"/>
      <w:r>
        <w:rPr>
          <w:rFonts w:hint="eastAsia" w:ascii="宋体" w:hAnsi="宋体" w:cs="宋体"/>
          <w:highlight w:val="none"/>
        </w:rPr>
        <w:br w:type="page"/>
      </w:r>
      <w:bookmarkEnd w:id="310"/>
      <w:bookmarkStart w:id="311" w:name="_Toc16992"/>
      <w:bookmarkStart w:id="312" w:name="_Toc3896299"/>
      <w:bookmarkStart w:id="313" w:name="_Toc20272"/>
      <w:bookmarkStart w:id="314" w:name="_Toc12812"/>
      <w:bookmarkStart w:id="315" w:name="_Toc27544"/>
      <w:r>
        <w:rPr>
          <w:rFonts w:hint="eastAsia" w:ascii="宋体" w:hAnsi="宋体" w:cs="宋体"/>
          <w:highlight w:val="none"/>
        </w:rPr>
        <w:t>二、</w:t>
      </w:r>
      <w:r>
        <w:rPr>
          <w:rFonts w:hint="eastAsia"/>
          <w:highlight w:val="none"/>
        </w:rPr>
        <w:t>具有良好的商业信誉和健全的财务会计制度</w:t>
      </w:r>
      <w:bookmarkEnd w:id="311"/>
      <w:bookmarkEnd w:id="312"/>
      <w:bookmarkEnd w:id="313"/>
      <w:bookmarkEnd w:id="314"/>
      <w:bookmarkEnd w:id="315"/>
    </w:p>
    <w:p w14:paraId="4DCD5F2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kern w:val="2"/>
          <w:sz w:val="24"/>
          <w:szCs w:val="24"/>
          <w:highlight w:val="none"/>
          <w:lang w:val="en-US" w:eastAsia="zh-CN" w:bidi="ar"/>
        </w:rPr>
      </w:pPr>
      <w:r>
        <w:rPr>
          <w:rFonts w:hint="eastAsia" w:ascii="宋体" w:hAnsi="宋体" w:eastAsia="宋体" w:cs="宋体"/>
          <w:i w:val="0"/>
          <w:iCs w:val="0"/>
          <w:kern w:val="2"/>
          <w:sz w:val="24"/>
          <w:szCs w:val="24"/>
          <w:highlight w:val="none"/>
          <w:lang w:val="en-US" w:eastAsia="zh-CN" w:bidi="ar"/>
        </w:rPr>
        <w:t>供应商须提供财务状况报告，内容可为以下</w:t>
      </w:r>
      <w:r>
        <w:rPr>
          <w:rFonts w:hint="eastAsia" w:ascii="宋体" w:hAnsi="宋体" w:cs="宋体"/>
          <w:i w:val="0"/>
          <w:iCs w:val="0"/>
          <w:kern w:val="2"/>
          <w:sz w:val="24"/>
          <w:szCs w:val="24"/>
          <w:highlight w:val="none"/>
          <w:lang w:val="en-US" w:eastAsia="zh-CN" w:bidi="ar"/>
        </w:rPr>
        <w:t>两</w:t>
      </w:r>
      <w:r>
        <w:rPr>
          <w:rFonts w:hint="eastAsia" w:ascii="宋体" w:hAnsi="宋体" w:eastAsia="宋体" w:cs="宋体"/>
          <w:i w:val="0"/>
          <w:iCs w:val="0"/>
          <w:kern w:val="2"/>
          <w:sz w:val="24"/>
          <w:szCs w:val="24"/>
          <w:highlight w:val="none"/>
          <w:lang w:val="en-US" w:eastAsia="zh-CN" w:bidi="ar"/>
        </w:rPr>
        <w:t xml:space="preserve">者之一： </w:t>
      </w:r>
    </w:p>
    <w:p w14:paraId="0F16EB5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cs="宋体"/>
          <w:i w:val="0"/>
          <w:iCs w:val="0"/>
          <w:color w:val="auto"/>
          <w:kern w:val="2"/>
          <w:sz w:val="24"/>
          <w:szCs w:val="24"/>
          <w:highlight w:val="none"/>
          <w:lang w:val="en-US" w:eastAsia="zh-CN" w:bidi="ar"/>
        </w:rPr>
        <w:t>①</w:t>
      </w:r>
      <w:r>
        <w:rPr>
          <w:rFonts w:hint="eastAsia" w:ascii="宋体" w:hAnsi="宋体" w:eastAsia="宋体" w:cs="宋体"/>
          <w:i w:val="0"/>
          <w:iCs w:val="0"/>
          <w:color w:val="auto"/>
          <w:kern w:val="2"/>
          <w:sz w:val="24"/>
          <w:szCs w:val="24"/>
          <w:highlight w:val="none"/>
          <w:lang w:val="en-US" w:eastAsia="zh-CN" w:bidi="ar"/>
        </w:rPr>
        <w:t>提供</w:t>
      </w:r>
      <w:r>
        <w:rPr>
          <w:rFonts w:hint="eastAsia" w:ascii="宋体" w:hAnsi="宋体" w:eastAsia="宋体" w:cs="宋体"/>
          <w:i w:val="0"/>
          <w:iCs w:val="0"/>
          <w:color w:val="auto"/>
          <w:kern w:val="2"/>
          <w:sz w:val="24"/>
          <w:szCs w:val="24"/>
          <w:highlight w:val="none"/>
          <w:u w:val="none"/>
          <w:lang w:val="en-US" w:eastAsia="zh-CN" w:bidi="ar"/>
        </w:rPr>
        <w:t>2023年或2024年经审计的财务报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w:t>
      </w:r>
      <w:r>
        <w:rPr>
          <w:rFonts w:hint="eastAsia" w:ascii="宋体" w:hAnsi="宋体" w:cs="宋体"/>
          <w:i w:val="0"/>
          <w:iCs w:val="0"/>
          <w:color w:val="auto"/>
          <w:kern w:val="2"/>
          <w:sz w:val="24"/>
          <w:szCs w:val="24"/>
          <w:highlight w:val="none"/>
          <w:lang w:val="en-US" w:eastAsia="zh-CN" w:bidi="ar"/>
        </w:rPr>
        <w:t>、所有者权益变动表及其附注</w:t>
      </w:r>
      <w:r>
        <w:rPr>
          <w:rFonts w:hint="eastAsia" w:ascii="宋体" w:hAnsi="宋体" w:eastAsia="宋体" w:cs="宋体"/>
          <w:i w:val="0"/>
          <w:iCs w:val="0"/>
          <w:color w:val="auto"/>
          <w:kern w:val="2"/>
          <w:sz w:val="24"/>
          <w:szCs w:val="24"/>
          <w:highlight w:val="none"/>
          <w:lang w:val="en-US" w:eastAsia="zh-CN" w:bidi="ar"/>
        </w:rPr>
        <w:t>)，新成立不满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年的供应商提供自成立至今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3823A79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lang w:val="en-US" w:eastAsia="zh-CN"/>
        </w:rPr>
      </w:pPr>
      <w:r>
        <w:rPr>
          <w:rFonts w:hint="eastAsia" w:ascii="宋体" w:hAnsi="宋体" w:cs="宋体"/>
          <w:i w:val="0"/>
          <w:iCs w:val="0"/>
          <w:kern w:val="2"/>
          <w:sz w:val="24"/>
          <w:szCs w:val="24"/>
          <w:highlight w:val="none"/>
          <w:lang w:val="en-US" w:eastAsia="zh-CN" w:bidi="ar"/>
        </w:rPr>
        <w:t>②</w:t>
      </w:r>
      <w:r>
        <w:rPr>
          <w:rFonts w:hint="eastAsia" w:hAnsi="宋体" w:eastAsia="宋体" w:cs="宋体"/>
          <w:i w:val="0"/>
          <w:iCs w:val="0"/>
          <w:color w:val="auto"/>
          <w:kern w:val="2"/>
          <w:sz w:val="24"/>
          <w:szCs w:val="24"/>
          <w:highlight w:val="none"/>
          <w:lang w:val="en-US" w:eastAsia="zh-CN" w:bidi="ar"/>
        </w:rPr>
        <w:t>提供</w:t>
      </w:r>
      <w:r>
        <w:rPr>
          <w:rFonts w:hint="eastAsia" w:hAnsi="宋体" w:cs="宋体"/>
          <w:i w:val="0"/>
          <w:iCs w:val="0"/>
          <w:color w:val="auto"/>
          <w:kern w:val="2"/>
          <w:sz w:val="24"/>
          <w:szCs w:val="24"/>
          <w:highlight w:val="none"/>
          <w:lang w:val="en-US" w:eastAsia="zh-CN" w:bidi="ar"/>
        </w:rPr>
        <w:t>自</w:t>
      </w:r>
      <w:r>
        <w:rPr>
          <w:rFonts w:hint="eastAsia" w:hAnsi="宋体" w:eastAsia="宋体" w:cs="宋体"/>
          <w:i w:val="0"/>
          <w:iCs w:val="0"/>
          <w:color w:val="auto"/>
          <w:kern w:val="2"/>
          <w:sz w:val="24"/>
          <w:szCs w:val="24"/>
          <w:highlight w:val="none"/>
          <w:lang w:val="en-US" w:eastAsia="zh-CN" w:bidi="ar"/>
        </w:rPr>
        <w:t>响应文件</w:t>
      </w:r>
      <w:r>
        <w:rPr>
          <w:rFonts w:hint="eastAsia" w:hAnsi="宋体" w:cs="宋体"/>
          <w:i w:val="0"/>
          <w:iCs w:val="0"/>
          <w:color w:val="auto"/>
          <w:kern w:val="2"/>
          <w:sz w:val="24"/>
          <w:szCs w:val="24"/>
          <w:highlight w:val="none"/>
          <w:lang w:val="en-US" w:eastAsia="zh-CN" w:bidi="ar"/>
        </w:rPr>
        <w:t>提</w:t>
      </w:r>
      <w:r>
        <w:rPr>
          <w:rFonts w:hint="eastAsia" w:hAnsi="宋体" w:eastAsia="宋体" w:cs="宋体"/>
          <w:i w:val="0"/>
          <w:iCs w:val="0"/>
          <w:color w:val="auto"/>
          <w:kern w:val="2"/>
          <w:sz w:val="24"/>
          <w:szCs w:val="24"/>
          <w:highlight w:val="none"/>
          <w:lang w:val="en-US" w:eastAsia="zh-CN" w:bidi="ar"/>
        </w:rPr>
        <w:t>交截止时间前三个月</w:t>
      </w:r>
      <w:r>
        <w:rPr>
          <w:rFonts w:hint="eastAsia" w:hAnsi="宋体" w:cs="宋体"/>
          <w:i w:val="0"/>
          <w:iCs w:val="0"/>
          <w:color w:val="auto"/>
          <w:kern w:val="2"/>
          <w:sz w:val="24"/>
          <w:szCs w:val="24"/>
          <w:highlight w:val="none"/>
          <w:lang w:val="en-US" w:eastAsia="zh-CN" w:bidi="ar"/>
        </w:rPr>
        <w:t>内基本开户银行出具的资信证明</w:t>
      </w:r>
      <w:r>
        <w:rPr>
          <w:rFonts w:hint="eastAsia" w:ascii="宋体" w:hAnsi="宋体" w:cs="宋体"/>
          <w:i w:val="0"/>
          <w:iCs w:val="0"/>
          <w:kern w:val="2"/>
          <w:sz w:val="24"/>
          <w:szCs w:val="24"/>
          <w:highlight w:val="none"/>
          <w:lang w:val="en-US" w:eastAsia="zh-CN" w:bidi="ar"/>
        </w:rPr>
        <w:t>。</w:t>
      </w:r>
    </w:p>
    <w:p w14:paraId="19893B47">
      <w:pPr>
        <w:pStyle w:val="27"/>
        <w:ind w:firstLine="480" w:firstLineChars="200"/>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（提供扫描件)</w:t>
      </w:r>
    </w:p>
    <w:p w14:paraId="10FCAD7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kern w:val="2"/>
          <w:sz w:val="24"/>
          <w:szCs w:val="24"/>
          <w:highlight w:val="none"/>
          <w:lang w:val="en-US" w:eastAsia="zh-CN" w:bidi="ar"/>
        </w:rPr>
      </w:pPr>
    </w:p>
    <w:p w14:paraId="079B167A">
      <w:pPr>
        <w:pStyle w:val="27"/>
        <w:ind w:firstLine="480" w:firstLineChars="200"/>
        <w:rPr>
          <w:rFonts w:hint="eastAsia" w:ascii="宋体" w:hAnsi="宋体" w:eastAsia="宋体" w:cs="宋体"/>
          <w:sz w:val="24"/>
          <w:szCs w:val="24"/>
          <w:highlight w:val="none"/>
        </w:rPr>
      </w:pPr>
    </w:p>
    <w:p w14:paraId="6B5F11C2">
      <w:pPr>
        <w:pStyle w:val="4"/>
        <w:spacing w:before="0" w:after="0" w:line="720" w:lineRule="auto"/>
        <w:rPr>
          <w:rFonts w:hint="eastAsia"/>
          <w:color w:val="auto"/>
          <w:highlight w:val="none"/>
        </w:rPr>
      </w:pPr>
      <w:r>
        <w:rPr>
          <w:rFonts w:hint="eastAsia" w:ascii="宋体" w:hAnsi="宋体" w:cs="宋体"/>
          <w:highlight w:val="none"/>
        </w:rPr>
        <w:br w:type="page"/>
      </w:r>
      <w:bookmarkStart w:id="316" w:name="_Toc3896300"/>
      <w:bookmarkStart w:id="317" w:name="_Toc3917"/>
      <w:bookmarkStart w:id="318" w:name="_Toc5599"/>
      <w:bookmarkStart w:id="319" w:name="_Toc7076"/>
      <w:bookmarkStart w:id="320" w:name="_Toc11838"/>
      <w:r>
        <w:rPr>
          <w:rFonts w:hint="eastAsia" w:ascii="宋体" w:hAnsi="宋体" w:cs="宋体"/>
          <w:highlight w:val="none"/>
        </w:rPr>
        <w:t>三、</w:t>
      </w:r>
      <w:bookmarkEnd w:id="316"/>
      <w:bookmarkEnd w:id="317"/>
      <w:bookmarkEnd w:id="318"/>
      <w:bookmarkStart w:id="321" w:name="_Toc20341"/>
      <w:r>
        <w:rPr>
          <w:rFonts w:hint="eastAsia" w:ascii="宋体" w:hAnsi="宋体" w:cs="宋体"/>
          <w:color w:val="auto"/>
          <w:highlight w:val="none"/>
          <w:lang w:eastAsia="zh-CN"/>
        </w:rPr>
        <w:t>具有履行合同所必需的设备和专业技术能力</w:t>
      </w:r>
      <w:bookmarkEnd w:id="319"/>
      <w:bookmarkEnd w:id="320"/>
      <w:r>
        <w:rPr>
          <w:rFonts w:hint="eastAsia"/>
          <w:color w:val="auto"/>
          <w:highlight w:val="none"/>
        </w:rPr>
        <w:t xml:space="preserve"> </w:t>
      </w:r>
    </w:p>
    <w:p w14:paraId="7F6AD307">
      <w:pPr>
        <w:pStyle w:val="27"/>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宋体" w:hAnsi="宋体"/>
          <w:color w:val="auto"/>
          <w:sz w:val="24"/>
          <w:szCs w:val="24"/>
          <w:highlight w:val="none"/>
        </w:rPr>
      </w:pPr>
      <w:bookmarkStart w:id="322" w:name="_Toc14504"/>
      <w:bookmarkEnd w:id="322"/>
      <w:r>
        <w:rPr>
          <w:rFonts w:hint="eastAsia" w:ascii="宋体" w:hAnsi="宋体" w:eastAsia="宋体"/>
          <w:color w:val="auto"/>
          <w:sz w:val="24"/>
          <w:szCs w:val="24"/>
          <w:highlight w:val="none"/>
          <w:lang w:eastAsia="zh-CN"/>
        </w:rPr>
        <w:t>提供具备履行合同所必需的设备和专业技术能力的证明材料</w:t>
      </w:r>
      <w:r>
        <w:rPr>
          <w:rFonts w:hint="eastAsia" w:ascii="宋体" w:hAnsi="宋体" w:eastAsia="宋体"/>
          <w:color w:val="auto"/>
          <w:sz w:val="24"/>
          <w:szCs w:val="24"/>
          <w:highlight w:val="none"/>
        </w:rPr>
        <w:t>。</w:t>
      </w:r>
    </w:p>
    <w:p w14:paraId="55BC536A">
      <w:pPr>
        <w:pStyle w:val="27"/>
        <w:ind w:firstLine="480" w:firstLineChars="200"/>
        <w:rPr>
          <w:rFonts w:hint="eastAsia" w:ascii="宋体" w:hAnsi="宋体"/>
          <w:sz w:val="24"/>
          <w:szCs w:val="24"/>
          <w:highlight w:val="none"/>
        </w:rPr>
      </w:pPr>
    </w:p>
    <w:bookmarkEnd w:id="321"/>
    <w:p w14:paraId="6D2B157C">
      <w:pPr>
        <w:pStyle w:val="4"/>
        <w:spacing w:before="0" w:after="0" w:line="720" w:lineRule="auto"/>
        <w:rPr>
          <w:rFonts w:hint="eastAsia"/>
          <w:color w:val="auto"/>
          <w:highlight w:val="none"/>
        </w:rPr>
      </w:pPr>
      <w:r>
        <w:rPr>
          <w:rFonts w:hint="eastAsia" w:ascii="宋体" w:hAnsi="宋体" w:cs="宋体"/>
          <w:highlight w:val="none"/>
        </w:rPr>
        <w:br w:type="page"/>
      </w:r>
      <w:bookmarkStart w:id="323" w:name="_Toc15147"/>
      <w:bookmarkStart w:id="324" w:name="_Toc3896301"/>
      <w:bookmarkStart w:id="325" w:name="_Toc25523"/>
      <w:bookmarkStart w:id="326" w:name="_Toc18679"/>
      <w:bookmarkStart w:id="327" w:name="_Toc31953"/>
      <w:r>
        <w:rPr>
          <w:rFonts w:hint="eastAsia" w:ascii="宋体" w:hAnsi="宋体" w:cs="宋体"/>
          <w:highlight w:val="none"/>
        </w:rPr>
        <w:t>四、</w:t>
      </w:r>
      <w:bookmarkEnd w:id="323"/>
      <w:bookmarkEnd w:id="324"/>
      <w:bookmarkEnd w:id="325"/>
      <w:r>
        <w:rPr>
          <w:rFonts w:hint="eastAsia"/>
          <w:color w:val="auto"/>
          <w:highlight w:val="none"/>
          <w:lang w:eastAsia="zh-CN"/>
        </w:rPr>
        <w:t>有依法缴纳税收和社会保障资金的良好记录</w:t>
      </w:r>
      <w:bookmarkEnd w:id="326"/>
      <w:bookmarkEnd w:id="327"/>
      <w:r>
        <w:rPr>
          <w:rFonts w:hint="eastAsia"/>
          <w:color w:val="auto"/>
          <w:highlight w:val="none"/>
        </w:rPr>
        <w:t xml:space="preserve"> </w:t>
      </w:r>
    </w:p>
    <w:p w14:paraId="0CEDDF56">
      <w:pPr>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提供2025年1月至今任意1个月依法缴纳税收和缴纳社会保障资金的证明(成立未满 1 个月的提供成立以来的税收和社会保障资金缴纳凭据；依法免税或不需要缴纳社会保障资金的供应商，应提供相应文件证明其依法免税或不需要缴纳社会保障资金)。（提供扫描件）</w:t>
      </w:r>
    </w:p>
    <w:p w14:paraId="3EED39FE">
      <w:pPr>
        <w:pStyle w:val="27"/>
        <w:ind w:firstLine="480" w:firstLineChars="200"/>
        <w:rPr>
          <w:rFonts w:hint="eastAsia" w:ascii="宋体" w:hAnsi="宋体" w:eastAsia="宋体" w:cs="宋体"/>
          <w:sz w:val="24"/>
          <w:szCs w:val="24"/>
          <w:highlight w:val="none"/>
        </w:rPr>
      </w:pPr>
    </w:p>
    <w:p w14:paraId="1F96DF53">
      <w:pPr>
        <w:spacing w:line="360" w:lineRule="auto"/>
        <w:jc w:val="center"/>
        <w:rPr>
          <w:rFonts w:hint="eastAsia" w:ascii="宋体" w:hAnsi="宋体"/>
          <w:sz w:val="24"/>
          <w:szCs w:val="24"/>
          <w:highlight w:val="none"/>
        </w:rPr>
      </w:pPr>
    </w:p>
    <w:p w14:paraId="4BBED8E5">
      <w:pPr>
        <w:autoSpaceDE w:val="0"/>
        <w:spacing w:line="480" w:lineRule="auto"/>
        <w:rPr>
          <w:rFonts w:hint="eastAsia" w:ascii="宋体" w:hAnsi="宋体"/>
          <w:color w:val="FF0000"/>
          <w:sz w:val="24"/>
          <w:szCs w:val="24"/>
          <w:highlight w:val="none"/>
        </w:rPr>
      </w:pPr>
      <w:r>
        <w:rPr>
          <w:rFonts w:hint="eastAsia" w:ascii="宋体" w:hAnsi="宋体"/>
          <w:color w:val="FF0000"/>
          <w:sz w:val="24"/>
          <w:szCs w:val="24"/>
          <w:highlight w:val="none"/>
        </w:rPr>
        <w:t xml:space="preserve"> </w:t>
      </w:r>
    </w:p>
    <w:p w14:paraId="0611E96D">
      <w:pPr>
        <w:pStyle w:val="4"/>
        <w:spacing w:before="0" w:after="0" w:line="720" w:lineRule="auto"/>
        <w:jc w:val="center"/>
        <w:rPr>
          <w:rFonts w:hint="eastAsia" w:ascii="宋体" w:hAnsi="宋体" w:eastAsia="宋体" w:cs="宋体"/>
          <w:highlight w:val="none"/>
        </w:rPr>
      </w:pPr>
      <w:bookmarkStart w:id="328" w:name="_Toc8069"/>
      <w:bookmarkEnd w:id="328"/>
      <w:r>
        <w:rPr>
          <w:rFonts w:hint="eastAsia" w:ascii="宋体" w:hAnsi="宋体" w:cs="宋体"/>
          <w:highlight w:val="none"/>
        </w:rPr>
        <w:br w:type="page"/>
      </w:r>
      <w:bookmarkStart w:id="329" w:name="_Toc3896302"/>
      <w:bookmarkStart w:id="330" w:name="_Toc3908"/>
      <w:bookmarkStart w:id="331" w:name="_Toc23198"/>
      <w:bookmarkStart w:id="332" w:name="_Toc4681"/>
      <w:bookmarkStart w:id="333" w:name="_Toc8767"/>
      <w:r>
        <w:rPr>
          <w:rFonts w:hint="eastAsia" w:ascii="宋体" w:hAnsi="宋体" w:cs="宋体"/>
          <w:highlight w:val="none"/>
        </w:rPr>
        <w:t>五、</w:t>
      </w:r>
      <w:bookmarkEnd w:id="329"/>
      <w:bookmarkEnd w:id="330"/>
      <w:bookmarkEnd w:id="331"/>
      <w:bookmarkStart w:id="334" w:name="_Toc20558"/>
      <w:r>
        <w:rPr>
          <w:rFonts w:hint="eastAsia" w:ascii="宋体" w:hAnsi="宋体" w:eastAsia="宋体" w:cs="宋体"/>
          <w:sz w:val="28"/>
          <w:szCs w:val="28"/>
          <w:highlight w:val="none"/>
        </w:rPr>
        <w:t>参加政府采购活动前三年内，在经营活动中没有重大违法记录</w:t>
      </w:r>
      <w:bookmarkEnd w:id="332"/>
      <w:bookmarkEnd w:id="333"/>
    </w:p>
    <w:p w14:paraId="7B1B8D4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（采购人）</w:t>
      </w:r>
    </w:p>
    <w:p w14:paraId="048920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（供应商自行承诺及说明，内容自拟）               </w:t>
      </w:r>
    </w:p>
    <w:p w14:paraId="6634452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p>
    <w:p w14:paraId="15608A69">
      <w:pPr>
        <w:spacing w:line="360" w:lineRule="auto"/>
        <w:ind w:firstLine="480" w:firstLineChars="200"/>
        <w:rPr>
          <w:rFonts w:hint="eastAsia" w:ascii="宋体" w:hAnsi="宋体" w:eastAsia="宋体" w:cs="宋体"/>
          <w:sz w:val="24"/>
          <w:szCs w:val="24"/>
          <w:highlight w:val="none"/>
          <w:lang w:val="en-US" w:eastAsia="zh-CN"/>
        </w:rPr>
      </w:pPr>
    </w:p>
    <w:p w14:paraId="1688983C">
      <w:pPr>
        <w:spacing w:line="360" w:lineRule="auto"/>
        <w:ind w:firstLine="480" w:firstLineChars="200"/>
        <w:rPr>
          <w:rFonts w:hint="eastAsia" w:ascii="宋体" w:hAnsi="宋体" w:eastAsia="宋体" w:cs="宋体"/>
          <w:sz w:val="24"/>
          <w:szCs w:val="24"/>
          <w:highlight w:val="none"/>
          <w:lang w:val="en-US" w:eastAsia="zh-CN"/>
        </w:rPr>
      </w:pPr>
    </w:p>
    <w:p w14:paraId="618D2EFA">
      <w:pPr>
        <w:spacing w:line="360" w:lineRule="auto"/>
        <w:ind w:firstLine="480" w:firstLineChars="200"/>
        <w:rPr>
          <w:rFonts w:hint="eastAsia" w:ascii="宋体" w:hAnsi="宋体" w:eastAsia="宋体" w:cs="宋体"/>
          <w:sz w:val="24"/>
          <w:szCs w:val="24"/>
          <w:highlight w:val="none"/>
          <w:lang w:val="en-US" w:eastAsia="zh-CN"/>
        </w:rPr>
      </w:pPr>
    </w:p>
    <w:p w14:paraId="64A9C102">
      <w:pPr>
        <w:ind w:firstLine="1205" w:firstLineChars="500"/>
        <w:rPr>
          <w:rFonts w:hint="eastAsia" w:ascii="宋体" w:hAnsi="宋体" w:eastAsia="宋体" w:cs="宋体"/>
          <w:b/>
          <w:bCs/>
          <w:sz w:val="24"/>
          <w:szCs w:val="24"/>
          <w:highlight w:val="none"/>
        </w:rPr>
      </w:pPr>
    </w:p>
    <w:p w14:paraId="3C3A46F2">
      <w:pPr>
        <w:ind w:firstLine="1205" w:firstLineChars="500"/>
        <w:rPr>
          <w:rFonts w:hint="eastAsia" w:ascii="宋体" w:hAnsi="宋体" w:eastAsia="宋体" w:cs="宋体"/>
          <w:b/>
          <w:bCs/>
          <w:sz w:val="24"/>
          <w:szCs w:val="24"/>
          <w:highlight w:val="none"/>
        </w:rPr>
      </w:pPr>
    </w:p>
    <w:p w14:paraId="22777672">
      <w:pPr>
        <w:ind w:firstLine="1205" w:firstLineChars="500"/>
        <w:rPr>
          <w:rFonts w:hint="eastAsia" w:ascii="宋体" w:hAnsi="宋体" w:eastAsia="宋体" w:cs="宋体"/>
          <w:b/>
          <w:bCs/>
          <w:sz w:val="24"/>
          <w:szCs w:val="24"/>
          <w:highlight w:val="none"/>
        </w:rPr>
      </w:pPr>
    </w:p>
    <w:p w14:paraId="4D5246FA">
      <w:pPr>
        <w:pStyle w:val="8"/>
        <w:rPr>
          <w:rFonts w:hint="eastAsia"/>
        </w:rPr>
      </w:pPr>
    </w:p>
    <w:p w14:paraId="482FEBF6">
      <w:pPr>
        <w:ind w:firstLine="1205" w:firstLineChars="500"/>
        <w:rPr>
          <w:rFonts w:hint="eastAsia" w:ascii="宋体" w:hAnsi="宋体" w:eastAsia="宋体" w:cs="宋体"/>
          <w:b/>
          <w:bCs/>
          <w:sz w:val="24"/>
          <w:szCs w:val="24"/>
          <w:highlight w:val="none"/>
        </w:rPr>
      </w:pPr>
    </w:p>
    <w:p w14:paraId="3AF54A39">
      <w:pPr>
        <w:ind w:firstLine="1205" w:firstLineChars="500"/>
        <w:rPr>
          <w:rFonts w:hint="eastAsia" w:ascii="宋体" w:hAnsi="宋体"/>
          <w:b/>
          <w:bCs/>
          <w:color w:val="000000"/>
          <w:sz w:val="24"/>
          <w:szCs w:val="24"/>
        </w:rPr>
      </w:pPr>
      <w:r>
        <w:rPr>
          <w:rFonts w:hint="eastAsia" w:ascii="宋体" w:hAnsi="宋体"/>
          <w:b/>
          <w:bCs/>
          <w:color w:val="000000"/>
          <w:sz w:val="24"/>
          <w:szCs w:val="24"/>
        </w:rPr>
        <w:t>供应商：</w:t>
      </w:r>
      <w:r>
        <w:rPr>
          <w:rFonts w:hint="eastAsia" w:ascii="宋体" w:hAnsi="宋体"/>
          <w:b/>
          <w:bCs/>
          <w:color w:val="000000"/>
          <w:sz w:val="24"/>
          <w:szCs w:val="24"/>
          <w:u w:val="single"/>
        </w:rPr>
        <w:tab/>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0D15D9A7">
      <w:pPr>
        <w:rPr>
          <w:rFonts w:hint="eastAsia" w:ascii="宋体" w:hAnsi="宋体"/>
          <w:b/>
          <w:bCs/>
          <w:color w:val="000000"/>
          <w:sz w:val="24"/>
          <w:szCs w:val="24"/>
        </w:rPr>
      </w:pPr>
      <w:r>
        <w:rPr>
          <w:rFonts w:hint="eastAsia" w:ascii="宋体" w:hAnsi="宋体"/>
          <w:b/>
          <w:bCs/>
          <w:color w:val="000000"/>
          <w:sz w:val="24"/>
          <w:szCs w:val="24"/>
        </w:rPr>
        <w:t xml:space="preserve"> </w:t>
      </w:r>
    </w:p>
    <w:p w14:paraId="6285910A">
      <w:pPr>
        <w:ind w:firstLine="1205" w:firstLineChars="500"/>
        <w:rPr>
          <w:rFonts w:hint="eastAsia" w:ascii="宋体" w:hAnsi="宋体"/>
          <w:b/>
          <w:bCs/>
          <w:color w:val="000000"/>
          <w:sz w:val="24"/>
          <w:szCs w:val="24"/>
        </w:rPr>
      </w:pPr>
      <w:r>
        <w:rPr>
          <w:rFonts w:hint="eastAsia" w:ascii="宋体" w:hAnsi="宋体"/>
          <w:b/>
          <w:bCs/>
          <w:color w:val="000000"/>
          <w:sz w:val="24"/>
          <w:szCs w:val="24"/>
        </w:rPr>
        <w:t>法定代表人：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268F4A3E">
      <w:pPr>
        <w:ind w:firstLine="1205" w:firstLineChars="500"/>
        <w:rPr>
          <w:rFonts w:hint="eastAsia" w:ascii="宋体" w:hAnsi="宋体"/>
          <w:b/>
          <w:bCs/>
          <w:color w:val="000000"/>
          <w:sz w:val="24"/>
          <w:szCs w:val="24"/>
        </w:rPr>
      </w:pPr>
    </w:p>
    <w:p w14:paraId="7B126010">
      <w:pPr>
        <w:ind w:firstLine="1205" w:firstLineChars="500"/>
        <w:rPr>
          <w:rFonts w:hint="eastAsia" w:ascii="宋体" w:hAnsi="宋体" w:eastAsia="宋体" w:cs="宋体"/>
          <w:highlight w:val="none"/>
        </w:rPr>
      </w:pPr>
      <w:r>
        <w:rPr>
          <w:rFonts w:hint="eastAsia" w:ascii="宋体" w:hAnsi="宋体"/>
          <w:b/>
          <w:bCs/>
          <w:color w:val="000000"/>
          <w:sz w:val="24"/>
          <w:szCs w:val="24"/>
        </w:rPr>
        <w:t>日期：</w:t>
      </w:r>
      <w:r>
        <w:rPr>
          <w:rFonts w:hint="eastAsia" w:ascii="宋体" w:hAnsi="宋体"/>
          <w:b/>
          <w:bCs/>
          <w:color w:val="000000"/>
          <w:sz w:val="24"/>
          <w:szCs w:val="24"/>
          <w:u w:val="single"/>
        </w:rPr>
        <w:t xml:space="preserve">         </w:t>
      </w:r>
      <w:r>
        <w:rPr>
          <w:rFonts w:hint="eastAsia" w:ascii="宋体" w:hAnsi="宋体"/>
          <w:b/>
          <w:bCs/>
          <w:color w:val="000000"/>
          <w:sz w:val="24"/>
          <w:szCs w:val="24"/>
        </w:rPr>
        <w:t>年</w:t>
      </w:r>
      <w:r>
        <w:rPr>
          <w:rFonts w:hint="eastAsia" w:ascii="宋体" w:hAnsi="宋体"/>
          <w:b/>
          <w:bCs/>
          <w:color w:val="000000"/>
          <w:sz w:val="24"/>
          <w:szCs w:val="24"/>
          <w:u w:val="single"/>
        </w:rPr>
        <w:t xml:space="preserve">         </w:t>
      </w:r>
      <w:r>
        <w:rPr>
          <w:rFonts w:hint="eastAsia" w:ascii="宋体" w:hAnsi="宋体"/>
          <w:b/>
          <w:bCs/>
          <w:color w:val="000000"/>
          <w:sz w:val="24"/>
          <w:szCs w:val="24"/>
        </w:rPr>
        <w:t>月</w:t>
      </w:r>
      <w:r>
        <w:rPr>
          <w:rFonts w:hint="eastAsia" w:ascii="宋体" w:hAnsi="宋体"/>
          <w:b/>
          <w:bCs/>
          <w:color w:val="000000"/>
          <w:sz w:val="24"/>
          <w:szCs w:val="24"/>
          <w:u w:val="single"/>
        </w:rPr>
        <w:t xml:space="preserve">         </w:t>
      </w:r>
      <w:r>
        <w:rPr>
          <w:rFonts w:hint="eastAsia" w:ascii="宋体" w:hAnsi="宋体"/>
          <w:b/>
          <w:bCs/>
          <w:color w:val="000000"/>
          <w:sz w:val="24"/>
          <w:szCs w:val="24"/>
        </w:rPr>
        <w:t>日</w:t>
      </w:r>
    </w:p>
    <w:p w14:paraId="0B9BD1D8">
      <w:pPr>
        <w:pStyle w:val="8"/>
        <w:rPr>
          <w:rFonts w:hint="eastAsia"/>
          <w:b/>
          <w:sz w:val="28"/>
          <w:szCs w:val="28"/>
          <w:highlight w:val="none"/>
        </w:rPr>
      </w:pPr>
    </w:p>
    <w:p w14:paraId="3A852562">
      <w:pPr>
        <w:pStyle w:val="8"/>
        <w:rPr>
          <w:rFonts w:hint="eastAsia"/>
          <w:b/>
          <w:sz w:val="28"/>
          <w:szCs w:val="28"/>
          <w:highlight w:val="none"/>
        </w:rPr>
      </w:pPr>
    </w:p>
    <w:p w14:paraId="1B556048">
      <w:pPr>
        <w:pStyle w:val="8"/>
        <w:rPr>
          <w:rFonts w:hint="eastAsia"/>
          <w:b/>
          <w:sz w:val="28"/>
          <w:szCs w:val="28"/>
          <w:highlight w:val="none"/>
        </w:rPr>
      </w:pPr>
    </w:p>
    <w:p w14:paraId="77C5649C">
      <w:pPr>
        <w:pStyle w:val="8"/>
        <w:rPr>
          <w:rFonts w:hint="eastAsia" w:ascii="宋体" w:hAnsi="宋体" w:eastAsia="宋体" w:cs="宋体"/>
          <w:sz w:val="24"/>
          <w:szCs w:val="24"/>
          <w:highlight w:val="none"/>
          <w:lang w:val="en-US" w:eastAsia="zh-CN"/>
        </w:rPr>
      </w:pPr>
    </w:p>
    <w:p w14:paraId="7FDEB07D">
      <w:pPr>
        <w:pStyle w:val="8"/>
        <w:rPr>
          <w:rFonts w:hint="eastAsia" w:ascii="宋体" w:hAnsi="宋体" w:eastAsia="宋体" w:cs="宋体"/>
          <w:sz w:val="24"/>
          <w:szCs w:val="24"/>
          <w:highlight w:val="none"/>
          <w:lang w:val="en-US" w:eastAsia="zh-CN"/>
        </w:rPr>
      </w:pPr>
    </w:p>
    <w:p w14:paraId="31D6DF3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p>
    <w:p w14:paraId="3C26383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注：重大违法记录，是指供应商因违法经营受到刑事处罚或者责令停产停业、吊销许可证或者执照、较大数额罚款等行政处罚。</w:t>
      </w:r>
    </w:p>
    <w:p w14:paraId="77AC3798">
      <w:pPr>
        <w:pStyle w:val="4"/>
        <w:spacing w:before="0" w:after="0" w:line="720" w:lineRule="auto"/>
        <w:jc w:val="center"/>
        <w:rPr>
          <w:rFonts w:hint="eastAsia" w:ascii="宋体" w:hAnsi="宋体" w:cs="宋体"/>
          <w:highlight w:val="none"/>
        </w:rPr>
      </w:pPr>
      <w:r>
        <w:rPr>
          <w:rFonts w:hint="eastAsia" w:ascii="宋体" w:hAnsi="宋体" w:cs="宋体"/>
          <w:highlight w:val="none"/>
        </w:rPr>
        <w:br w:type="page"/>
      </w:r>
      <w:bookmarkEnd w:id="334"/>
      <w:bookmarkStart w:id="335" w:name="_Toc15638"/>
      <w:bookmarkEnd w:id="335"/>
      <w:bookmarkStart w:id="336" w:name="_Toc16296"/>
      <w:bookmarkEnd w:id="336"/>
      <w:bookmarkStart w:id="337" w:name="_Toc29133"/>
      <w:bookmarkEnd w:id="337"/>
      <w:bookmarkStart w:id="338" w:name="_Toc9978"/>
      <w:bookmarkStart w:id="339" w:name="_Toc7581"/>
      <w:bookmarkStart w:id="340" w:name="_Toc25953"/>
      <w:bookmarkStart w:id="341" w:name="_Toc3896305"/>
      <w:bookmarkStart w:id="342" w:name="_Toc26486"/>
      <w:r>
        <w:rPr>
          <w:rFonts w:hint="eastAsia" w:ascii="宋体" w:hAnsi="宋体" w:cs="宋体"/>
          <w:highlight w:val="none"/>
          <w:lang w:val="en-US" w:eastAsia="zh-CN"/>
        </w:rPr>
        <w:t>六</w:t>
      </w:r>
      <w:r>
        <w:rPr>
          <w:rFonts w:hint="eastAsia" w:ascii="宋体" w:hAnsi="宋体" w:cs="宋体"/>
          <w:highlight w:val="none"/>
        </w:rPr>
        <w:t>、其他</w:t>
      </w:r>
      <w:bookmarkEnd w:id="338"/>
      <w:bookmarkEnd w:id="339"/>
      <w:bookmarkEnd w:id="340"/>
      <w:bookmarkEnd w:id="341"/>
      <w:bookmarkEnd w:id="342"/>
    </w:p>
    <w:p w14:paraId="37D719E7">
      <w:pPr>
        <w:pStyle w:val="8"/>
        <w:ind w:firstLine="465"/>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1.单位负责人为同一人或者存在直接控股、管理关系的不同供应商，不得参加同一合同项下的政府采购活动。</w:t>
      </w:r>
    </w:p>
    <w:p w14:paraId="22DDEF71">
      <w:pPr>
        <w:pStyle w:val="8"/>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为采购项目提供整体设计、规范编制或者项目管理、监理、检测等服务的供应商，不得再参加该采购项目的其他采购活动。（提供声明函）</w:t>
      </w:r>
    </w:p>
    <w:p w14:paraId="3ACC9D7C">
      <w:pPr>
        <w:pStyle w:val="8"/>
        <w:keepNext w:val="0"/>
        <w:keepLines w:val="0"/>
        <w:pageBreakBefore w:val="0"/>
        <w:numPr>
          <w:ilvl w:val="0"/>
          <w:numId w:val="0"/>
        </w:numPr>
        <w:kinsoku/>
        <w:wordWrap/>
        <w:overflowPunct/>
        <w:topLinePunct w:val="0"/>
        <w:autoSpaceDE/>
        <w:autoSpaceDN/>
        <w:bidi w:val="0"/>
        <w:adjustRightInd/>
        <w:snapToGrid/>
        <w:spacing w:line="460" w:lineRule="exact"/>
        <w:ind w:firstLine="465" w:firstLineChars="0"/>
        <w:textAlignment w:val="auto"/>
        <w:outlineLvl w:val="9"/>
        <w:rPr>
          <w:rFonts w:hint="eastAsia" w:ascii="宋体" w:hAnsi="宋体" w:eastAsia="宋体" w:cs="宋体"/>
          <w:i w:val="0"/>
          <w:iCs w:val="0"/>
          <w:sz w:val="24"/>
          <w:szCs w:val="24"/>
          <w:lang w:val="en-US" w:eastAsia="zh-CN"/>
        </w:rPr>
      </w:pPr>
      <w:r>
        <w:rPr>
          <w:rFonts w:hint="eastAsia" w:ascii="宋体" w:hAnsi="宋体" w:eastAsia="宋体" w:cs="宋体"/>
          <w:i w:val="0"/>
          <w:iCs w:val="0"/>
          <w:kern w:val="2"/>
          <w:sz w:val="24"/>
          <w:szCs w:val="24"/>
          <w:lang w:val="en-US" w:eastAsia="zh-CN" w:bidi="ar-SA"/>
        </w:rPr>
        <w:t>2.</w:t>
      </w:r>
      <w:r>
        <w:rPr>
          <w:rFonts w:hint="eastAsia" w:ascii="宋体" w:hAnsi="宋体" w:eastAsia="宋体" w:cs="宋体"/>
          <w:i w:val="0"/>
          <w:iCs w:val="0"/>
          <w:sz w:val="24"/>
          <w:szCs w:val="24"/>
          <w:lang w:val="en-US" w:eastAsia="zh-CN"/>
        </w:rPr>
        <w:t>资质要求：具有有效的建筑工程施工总承包叁级（含叁级）及以上资质，具备有效的安全生产许可证。（提供相关证明材料扫描件）</w:t>
      </w:r>
    </w:p>
    <w:p w14:paraId="14F9A2A7">
      <w:pPr>
        <w:pStyle w:val="8"/>
        <w:keepNext w:val="0"/>
        <w:keepLines w:val="0"/>
        <w:pageBreakBefore w:val="0"/>
        <w:numPr>
          <w:ilvl w:val="0"/>
          <w:numId w:val="0"/>
        </w:numPr>
        <w:kinsoku/>
        <w:wordWrap/>
        <w:overflowPunct/>
        <w:topLinePunct w:val="0"/>
        <w:autoSpaceDE/>
        <w:autoSpaceDN/>
        <w:bidi w:val="0"/>
        <w:adjustRightInd/>
        <w:snapToGrid/>
        <w:spacing w:line="460" w:lineRule="exact"/>
        <w:ind w:firstLine="465" w:firstLineChars="0"/>
        <w:textAlignment w:val="auto"/>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lang w:val="en-US" w:eastAsia="zh-CN" w:bidi="ar-SA"/>
        </w:rPr>
        <w:t>3.项目负责人：具备建设行政主管部门核发的注册建造师二级（建筑工程专业）及其以上资格并具备有效的安全生产考核合格证书。（提供相关证明材料扫描件）</w:t>
      </w:r>
    </w:p>
    <w:p w14:paraId="50720173">
      <w:pPr>
        <w:pStyle w:val="8"/>
        <w:ind w:firstLine="465"/>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4.本项目不接受联合体磋商。（提供承诺书）</w:t>
      </w:r>
    </w:p>
    <w:p w14:paraId="7FDAFEBB">
      <w:pPr>
        <w:pStyle w:val="8"/>
        <w:ind w:firstLine="465"/>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5.竞争性磋商文件要求及供应商认为需要提交的其他资格证明材料</w:t>
      </w:r>
    </w:p>
    <w:p w14:paraId="3A1C856C">
      <w:pPr>
        <w:pStyle w:val="8"/>
        <w:ind w:firstLine="465"/>
        <w:outlineLvl w:val="9"/>
        <w:rPr>
          <w:rFonts w:hint="eastAsia" w:ascii="宋体" w:hAnsi="宋体" w:eastAsia="宋体" w:cs="宋体"/>
          <w:b w:val="0"/>
          <w:bCs w:val="0"/>
          <w:kern w:val="0"/>
          <w:sz w:val="24"/>
          <w:szCs w:val="24"/>
          <w:highlight w:val="none"/>
          <w:lang w:val="en-US" w:eastAsia="zh-CN" w:bidi="ar-SA"/>
        </w:rPr>
      </w:pPr>
    </w:p>
    <w:p w14:paraId="3C752C65">
      <w:pPr>
        <w:rPr>
          <w:rFonts w:hint="eastAsia"/>
        </w:rPr>
      </w:pPr>
      <w:r>
        <w:rPr>
          <w:rFonts w:hint="eastAsia" w:ascii="宋体" w:hAnsi="宋体"/>
          <w:b/>
          <w:bCs/>
          <w:sz w:val="44"/>
          <w:szCs w:val="44"/>
        </w:rPr>
        <w:br w:type="page"/>
      </w:r>
      <w:r>
        <w:rPr>
          <w:rFonts w:hint="eastAsia" w:ascii="宋体" w:hAnsi="宋体"/>
          <w:b/>
          <w:bCs/>
          <w:sz w:val="32"/>
          <w:szCs w:val="32"/>
        </w:rPr>
        <w:t xml:space="preserve"> </w:t>
      </w:r>
    </w:p>
    <w:p w14:paraId="1F6D50B9">
      <w:pPr>
        <w:bidi w:val="0"/>
        <w:rPr>
          <w:rFonts w:hint="eastAsia"/>
        </w:rPr>
      </w:pPr>
      <w:bookmarkStart w:id="343" w:name="_Toc9358"/>
    </w:p>
    <w:p w14:paraId="58FE65E2">
      <w:pPr>
        <w:bidi w:val="0"/>
        <w:rPr>
          <w:rFonts w:hint="eastAsia"/>
        </w:rPr>
      </w:pPr>
    </w:p>
    <w:p w14:paraId="39AC1C06">
      <w:pPr>
        <w:bidi w:val="0"/>
        <w:rPr>
          <w:rFonts w:hint="eastAsia"/>
        </w:rPr>
      </w:pPr>
    </w:p>
    <w:p w14:paraId="4D0062B8">
      <w:pPr>
        <w:bidi w:val="0"/>
        <w:rPr>
          <w:rFonts w:hint="eastAsia"/>
        </w:rPr>
      </w:pPr>
    </w:p>
    <w:p w14:paraId="13219B52">
      <w:pPr>
        <w:bidi w:val="0"/>
        <w:rPr>
          <w:rFonts w:hint="eastAsia"/>
        </w:rPr>
      </w:pPr>
    </w:p>
    <w:p w14:paraId="212B47FC">
      <w:pPr>
        <w:bidi w:val="0"/>
        <w:rPr>
          <w:rFonts w:hint="eastAsia"/>
        </w:rPr>
      </w:pPr>
    </w:p>
    <w:p w14:paraId="75190314">
      <w:pPr>
        <w:bidi w:val="0"/>
        <w:rPr>
          <w:rFonts w:hint="eastAsia"/>
        </w:rPr>
      </w:pPr>
    </w:p>
    <w:p w14:paraId="1451A90E">
      <w:pPr>
        <w:bidi w:val="0"/>
        <w:rPr>
          <w:rFonts w:hint="eastAsia"/>
        </w:rPr>
      </w:pPr>
    </w:p>
    <w:p w14:paraId="092533CF">
      <w:pPr>
        <w:bidi w:val="0"/>
        <w:rPr>
          <w:rFonts w:hint="eastAsia"/>
        </w:rPr>
      </w:pPr>
    </w:p>
    <w:p w14:paraId="2F6E395D">
      <w:pPr>
        <w:bidi w:val="0"/>
        <w:rPr>
          <w:rFonts w:hint="eastAsia"/>
        </w:rPr>
      </w:pPr>
    </w:p>
    <w:p w14:paraId="66D3750B">
      <w:pPr>
        <w:bidi w:val="0"/>
        <w:rPr>
          <w:rFonts w:hint="eastAsia"/>
        </w:rPr>
      </w:pPr>
    </w:p>
    <w:p w14:paraId="6748F431">
      <w:pPr>
        <w:bidi w:val="0"/>
        <w:rPr>
          <w:rFonts w:hint="eastAsia"/>
        </w:rPr>
      </w:pPr>
    </w:p>
    <w:p w14:paraId="23927C3D">
      <w:pPr>
        <w:bidi w:val="0"/>
        <w:rPr>
          <w:rFonts w:hint="eastAsia"/>
        </w:rPr>
      </w:pPr>
    </w:p>
    <w:p w14:paraId="400D3C35">
      <w:pPr>
        <w:bidi w:val="0"/>
        <w:rPr>
          <w:rFonts w:hint="eastAsia"/>
        </w:rPr>
      </w:pPr>
    </w:p>
    <w:p w14:paraId="5F675F9E">
      <w:pPr>
        <w:bidi w:val="0"/>
        <w:rPr>
          <w:rFonts w:hint="eastAsia"/>
        </w:rPr>
      </w:pPr>
    </w:p>
    <w:p w14:paraId="2148F32A">
      <w:pPr>
        <w:jc w:val="center"/>
        <w:outlineLvl w:val="2"/>
        <w:rPr>
          <w:rFonts w:hint="eastAsia" w:ascii="宋体" w:hAnsi="宋体"/>
          <w:b/>
          <w:bCs/>
          <w:color w:val="000000"/>
          <w:sz w:val="44"/>
          <w:szCs w:val="44"/>
        </w:rPr>
      </w:pPr>
      <w:bookmarkStart w:id="344" w:name="_Toc31873"/>
      <w:bookmarkStart w:id="345" w:name="_Toc13861"/>
      <w:r>
        <w:rPr>
          <w:rFonts w:hint="eastAsia" w:ascii="宋体" w:hAnsi="宋体"/>
          <w:b/>
          <w:bCs/>
          <w:color w:val="000000"/>
          <w:sz w:val="44"/>
          <w:szCs w:val="44"/>
        </w:rPr>
        <w:t>商务技术部分</w:t>
      </w:r>
      <w:bookmarkEnd w:id="343"/>
      <w:bookmarkEnd w:id="344"/>
      <w:bookmarkEnd w:id="345"/>
    </w:p>
    <w:p w14:paraId="2959E9E7">
      <w:pPr>
        <w:jc w:val="center"/>
        <w:rPr>
          <w:rFonts w:hint="eastAsia" w:ascii="宋体" w:hAnsi="宋体"/>
          <w:b/>
          <w:color w:val="000000"/>
          <w:sz w:val="28"/>
          <w:szCs w:val="28"/>
        </w:rPr>
      </w:pPr>
      <w:r>
        <w:rPr>
          <w:rFonts w:hint="eastAsia" w:ascii="宋体" w:hAnsi="宋体"/>
          <w:b/>
          <w:color w:val="000000"/>
          <w:sz w:val="28"/>
          <w:szCs w:val="28"/>
        </w:rPr>
        <w:br w:type="page"/>
      </w:r>
      <w:r>
        <w:rPr>
          <w:rFonts w:hint="eastAsia" w:ascii="宋体" w:hAnsi="宋体"/>
          <w:b/>
          <w:color w:val="000000"/>
          <w:sz w:val="28"/>
          <w:szCs w:val="28"/>
        </w:rPr>
        <w:t>商务技术部分封面</w:t>
      </w:r>
    </w:p>
    <w:p w14:paraId="70EB9B1E">
      <w:pPr>
        <w:pStyle w:val="8"/>
        <w:rPr>
          <w:rFonts w:hint="eastAsia"/>
        </w:rPr>
      </w:pPr>
    </w:p>
    <w:p w14:paraId="27199D22">
      <w:pPr>
        <w:rPr>
          <w:rFonts w:hint="eastAsia" w:ascii="宋体" w:hAnsi="宋体"/>
        </w:rPr>
      </w:pPr>
    </w:p>
    <w:p w14:paraId="3BC969D9">
      <w:pPr>
        <w:rPr>
          <w:rFonts w:hint="eastAsia" w:ascii="宋体" w:hAnsi="宋体"/>
        </w:rPr>
      </w:pPr>
      <w:r>
        <w:rPr>
          <w:rFonts w:hint="eastAsia" w:ascii="宋体" w:hAnsi="宋体"/>
        </w:rPr>
        <w:t xml:space="preserve"> </w:t>
      </w:r>
    </w:p>
    <w:p w14:paraId="6B949850">
      <w:pPr>
        <w:spacing w:line="480" w:lineRule="auto"/>
        <w:jc w:val="center"/>
        <w:rPr>
          <w:rFonts w:hint="eastAsia" w:ascii="宋体" w:hAnsi="宋体"/>
          <w:b/>
          <w:bCs/>
          <w:color w:val="000000"/>
          <w:sz w:val="48"/>
          <w:szCs w:val="48"/>
          <w:lang w:eastAsia="zh-CN"/>
        </w:rPr>
      </w:pPr>
      <w:r>
        <w:rPr>
          <w:rFonts w:hint="eastAsia" w:ascii="宋体" w:hAnsi="宋体"/>
          <w:b/>
          <w:bCs/>
          <w:color w:val="000000"/>
          <w:sz w:val="48"/>
          <w:szCs w:val="48"/>
          <w:lang w:eastAsia="zh-CN"/>
        </w:rPr>
        <w:t>香格里拉市2025年困难家庭居家适老化改造项目</w:t>
      </w:r>
    </w:p>
    <w:p w14:paraId="6A51AC8A">
      <w:pPr>
        <w:spacing w:line="480" w:lineRule="auto"/>
        <w:jc w:val="center"/>
        <w:rPr>
          <w:rFonts w:hint="eastAsia" w:ascii="宋体" w:hAnsi="宋体"/>
          <w:b/>
          <w:bCs/>
          <w:color w:val="000000"/>
          <w:sz w:val="44"/>
          <w:szCs w:val="44"/>
        </w:rPr>
      </w:pPr>
      <w:r>
        <w:rPr>
          <w:rFonts w:hint="eastAsia" w:ascii="宋体" w:hAnsi="宋体"/>
          <w:b/>
          <w:bCs/>
          <w:color w:val="000000"/>
          <w:sz w:val="36"/>
          <w:szCs w:val="36"/>
        </w:rPr>
        <w:t>（项目编号：</w:t>
      </w:r>
      <w:r>
        <w:rPr>
          <w:rFonts w:hint="eastAsia" w:ascii="宋体" w:hAnsi="宋体"/>
          <w:b/>
          <w:bCs/>
          <w:color w:val="000000"/>
          <w:sz w:val="36"/>
          <w:szCs w:val="36"/>
          <w:lang w:val="en-US" w:eastAsia="zh-CN"/>
        </w:rPr>
        <w:t xml:space="preserve"> </w:t>
      </w:r>
      <w:r>
        <w:rPr>
          <w:rFonts w:hint="eastAsia" w:ascii="宋体" w:hAnsi="宋体"/>
          <w:b/>
          <w:bCs/>
          <w:color w:val="000000"/>
          <w:sz w:val="36"/>
          <w:szCs w:val="36"/>
        </w:rPr>
        <w:t>）</w:t>
      </w:r>
    </w:p>
    <w:p w14:paraId="5122F032">
      <w:pPr>
        <w:spacing w:line="480" w:lineRule="auto"/>
        <w:rPr>
          <w:rFonts w:hint="eastAsia" w:ascii="宋体" w:hAnsi="宋体"/>
          <w:b/>
          <w:bCs/>
          <w:color w:val="000000"/>
          <w:sz w:val="44"/>
          <w:szCs w:val="44"/>
        </w:rPr>
      </w:pPr>
    </w:p>
    <w:p w14:paraId="6D246AE0">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076AD696">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526D43CA">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4F7AFB0E">
      <w:pPr>
        <w:spacing w:line="480" w:lineRule="auto"/>
        <w:rPr>
          <w:rFonts w:hint="eastAsia" w:ascii="宋体" w:hAnsi="宋体"/>
          <w:b/>
          <w:bCs/>
          <w:color w:val="000000"/>
          <w:sz w:val="44"/>
          <w:szCs w:val="44"/>
        </w:rPr>
      </w:pPr>
      <w:r>
        <w:rPr>
          <w:rFonts w:hint="eastAsia" w:ascii="宋体" w:hAnsi="宋体"/>
          <w:b/>
          <w:bCs/>
          <w:color w:val="000000"/>
          <w:sz w:val="44"/>
          <w:szCs w:val="44"/>
        </w:rPr>
        <w:t xml:space="preserve"> </w:t>
      </w:r>
    </w:p>
    <w:p w14:paraId="527DE58F">
      <w:pPr>
        <w:spacing w:line="480" w:lineRule="auto"/>
        <w:jc w:val="center"/>
        <w:rPr>
          <w:rFonts w:hint="eastAsia" w:ascii="宋体" w:hAnsi="宋体"/>
          <w:b/>
          <w:bCs/>
          <w:color w:val="000000"/>
          <w:sz w:val="44"/>
          <w:szCs w:val="44"/>
        </w:rPr>
      </w:pPr>
      <w:r>
        <w:rPr>
          <w:rFonts w:hint="eastAsia" w:ascii="宋体" w:hAnsi="宋体"/>
          <w:b/>
          <w:bCs/>
          <w:color w:val="000000"/>
          <w:sz w:val="72"/>
          <w:szCs w:val="72"/>
        </w:rPr>
        <w:t>响 应 文 件</w:t>
      </w:r>
    </w:p>
    <w:p w14:paraId="0BF78CF4">
      <w:pPr>
        <w:spacing w:line="480" w:lineRule="auto"/>
        <w:rPr>
          <w:rFonts w:hint="eastAsia" w:ascii="宋体" w:hAnsi="宋体"/>
          <w:b/>
          <w:bCs/>
          <w:color w:val="000000"/>
          <w:sz w:val="44"/>
          <w:szCs w:val="44"/>
        </w:rPr>
      </w:pPr>
    </w:p>
    <w:p w14:paraId="25C59805">
      <w:pPr>
        <w:spacing w:line="480" w:lineRule="auto"/>
        <w:rPr>
          <w:rFonts w:hint="eastAsia" w:ascii="宋体" w:hAnsi="宋体"/>
          <w:b/>
          <w:bCs/>
          <w:color w:val="000000"/>
          <w:sz w:val="44"/>
          <w:szCs w:val="44"/>
        </w:rPr>
      </w:pPr>
    </w:p>
    <w:p w14:paraId="45F41E14">
      <w:pPr>
        <w:spacing w:line="480" w:lineRule="auto"/>
        <w:rPr>
          <w:rFonts w:hint="eastAsia" w:ascii="宋体" w:hAnsi="宋体"/>
          <w:b/>
          <w:bCs/>
          <w:color w:val="000000"/>
          <w:sz w:val="44"/>
          <w:szCs w:val="44"/>
        </w:rPr>
      </w:pPr>
    </w:p>
    <w:p w14:paraId="13BA4CC4">
      <w:pPr>
        <w:spacing w:line="480" w:lineRule="auto"/>
        <w:ind w:firstLine="1405" w:firstLineChars="500"/>
        <w:rPr>
          <w:rFonts w:hint="eastAsia" w:ascii="宋体" w:hAnsi="宋体"/>
          <w:b/>
          <w:bCs/>
          <w:color w:val="000000"/>
          <w:sz w:val="28"/>
          <w:szCs w:val="28"/>
        </w:rPr>
      </w:pPr>
      <w:r>
        <w:rPr>
          <w:rFonts w:hint="eastAsia" w:ascii="宋体" w:hAnsi="宋体"/>
          <w:b/>
          <w:bCs/>
          <w:color w:val="000000"/>
          <w:sz w:val="28"/>
          <w:szCs w:val="28"/>
        </w:rPr>
        <w:t>供应商：</w:t>
      </w:r>
      <w:r>
        <w:rPr>
          <w:rFonts w:hint="eastAsia" w:ascii="宋体" w:hAnsi="宋体"/>
          <w:b/>
          <w:bCs/>
          <w:color w:val="000000"/>
          <w:sz w:val="28"/>
          <w:szCs w:val="28"/>
          <w:u w:val="single"/>
        </w:rPr>
        <w:tab/>
      </w:r>
      <w:r>
        <w:rPr>
          <w:rFonts w:hint="eastAsia" w:ascii="宋体" w:hAnsi="宋体"/>
          <w:b/>
          <w:bCs/>
          <w:color w:val="000000"/>
          <w:sz w:val="28"/>
          <w:szCs w:val="28"/>
          <w:u w:val="single"/>
        </w:rPr>
        <w:t xml:space="preserve">                                 </w:t>
      </w:r>
      <w:r>
        <w:rPr>
          <w:rFonts w:hint="eastAsia" w:ascii="宋体" w:hAnsi="宋体"/>
          <w:b/>
          <w:bCs/>
          <w:color w:val="000000"/>
          <w:sz w:val="28"/>
          <w:szCs w:val="28"/>
        </w:rPr>
        <w:t>（电子签章）</w:t>
      </w:r>
    </w:p>
    <w:p w14:paraId="181A7FF1">
      <w:pPr>
        <w:spacing w:line="480" w:lineRule="auto"/>
        <w:rPr>
          <w:rFonts w:hint="eastAsia" w:ascii="宋体" w:hAnsi="宋体"/>
          <w:b/>
          <w:bCs/>
          <w:color w:val="000000"/>
          <w:sz w:val="28"/>
          <w:szCs w:val="28"/>
        </w:rPr>
      </w:pPr>
      <w:r>
        <w:rPr>
          <w:rFonts w:hint="eastAsia" w:ascii="宋体" w:hAnsi="宋体"/>
          <w:b/>
          <w:bCs/>
          <w:color w:val="000000"/>
          <w:sz w:val="28"/>
          <w:szCs w:val="28"/>
        </w:rPr>
        <w:t xml:space="preserve"> </w:t>
      </w:r>
    </w:p>
    <w:p w14:paraId="75E7B62A">
      <w:pPr>
        <w:spacing w:line="480" w:lineRule="auto"/>
        <w:ind w:firstLine="1405" w:firstLineChars="500"/>
        <w:rPr>
          <w:rFonts w:hint="eastAsia" w:ascii="宋体" w:hAnsi="宋体"/>
          <w:b/>
          <w:bCs/>
          <w:color w:val="000000"/>
          <w:sz w:val="28"/>
          <w:szCs w:val="28"/>
        </w:rPr>
      </w:pPr>
      <w:r>
        <w:rPr>
          <w:rFonts w:hint="eastAsia" w:ascii="宋体" w:hAnsi="宋体"/>
          <w:b/>
          <w:bCs/>
          <w:color w:val="000000"/>
          <w:sz w:val="28"/>
          <w:szCs w:val="28"/>
        </w:rPr>
        <w:t>法定代表人：</w:t>
      </w:r>
      <w:r>
        <w:rPr>
          <w:rFonts w:hint="eastAsia" w:ascii="宋体" w:hAnsi="宋体"/>
          <w:b/>
          <w:bCs/>
          <w:color w:val="000000"/>
          <w:sz w:val="28"/>
          <w:szCs w:val="28"/>
          <w:u w:val="single"/>
        </w:rPr>
        <w:t xml:space="preserve">       </w:t>
      </w:r>
      <w:r>
        <w:rPr>
          <w:rFonts w:hint="eastAsia" w:ascii="宋体" w:hAnsi="宋体"/>
          <w:b/>
          <w:bCs/>
          <w:color w:val="000000"/>
          <w:sz w:val="28"/>
          <w:szCs w:val="28"/>
        </w:rPr>
        <w:t>（电子签章）</w:t>
      </w:r>
    </w:p>
    <w:p w14:paraId="30D1ABDC">
      <w:pPr>
        <w:spacing w:line="480" w:lineRule="auto"/>
        <w:ind w:firstLine="1405" w:firstLineChars="500"/>
        <w:rPr>
          <w:rFonts w:hint="eastAsia" w:ascii="宋体" w:hAnsi="宋体"/>
          <w:b/>
          <w:bCs/>
          <w:color w:val="000000"/>
          <w:sz w:val="28"/>
          <w:szCs w:val="28"/>
        </w:rPr>
      </w:pPr>
    </w:p>
    <w:p w14:paraId="7707225F">
      <w:pPr>
        <w:ind w:firstLine="1383" w:firstLineChars="492"/>
        <w:rPr>
          <w:rFonts w:hint="eastAsia" w:ascii="宋体" w:hAnsi="宋体"/>
          <w:color w:val="000000"/>
          <w:sz w:val="28"/>
          <w:szCs w:val="28"/>
        </w:rPr>
      </w:pPr>
      <w:r>
        <w:rPr>
          <w:rFonts w:hint="eastAsia" w:ascii="宋体" w:hAnsi="宋体"/>
          <w:b/>
          <w:bCs/>
          <w:color w:val="000000"/>
          <w:sz w:val="28"/>
          <w:szCs w:val="28"/>
        </w:rPr>
        <w:t xml:space="preserve">日期： </w:t>
      </w:r>
      <w:r>
        <w:rPr>
          <w:rFonts w:hint="eastAsia" w:ascii="宋体" w:hAnsi="宋体"/>
          <w:b/>
          <w:bCs/>
          <w:color w:val="000000"/>
          <w:sz w:val="28"/>
          <w:szCs w:val="28"/>
          <w:u w:val="single"/>
        </w:rPr>
        <w:t xml:space="preserve">        </w:t>
      </w:r>
      <w:r>
        <w:rPr>
          <w:rFonts w:hint="eastAsia" w:ascii="宋体" w:hAnsi="宋体"/>
          <w:b/>
          <w:bCs/>
          <w:color w:val="000000"/>
          <w:sz w:val="28"/>
          <w:szCs w:val="28"/>
        </w:rPr>
        <w:t>年</w:t>
      </w:r>
      <w:r>
        <w:rPr>
          <w:rFonts w:hint="eastAsia" w:ascii="宋体" w:hAnsi="宋体"/>
          <w:b/>
          <w:bCs/>
          <w:color w:val="000000"/>
          <w:sz w:val="28"/>
          <w:szCs w:val="28"/>
          <w:u w:val="single"/>
        </w:rPr>
        <w:t xml:space="preserve">        </w:t>
      </w:r>
      <w:r>
        <w:rPr>
          <w:rFonts w:hint="eastAsia" w:ascii="宋体" w:hAnsi="宋体"/>
          <w:b/>
          <w:bCs/>
          <w:color w:val="000000"/>
          <w:sz w:val="28"/>
          <w:szCs w:val="28"/>
        </w:rPr>
        <w:t>月</w:t>
      </w:r>
      <w:r>
        <w:rPr>
          <w:rFonts w:hint="eastAsia" w:ascii="宋体" w:hAnsi="宋体"/>
          <w:b/>
          <w:bCs/>
          <w:color w:val="000000"/>
          <w:sz w:val="28"/>
          <w:szCs w:val="28"/>
          <w:u w:val="single"/>
        </w:rPr>
        <w:t xml:space="preserve">        </w:t>
      </w:r>
      <w:r>
        <w:rPr>
          <w:rFonts w:hint="eastAsia" w:ascii="宋体" w:hAnsi="宋体"/>
          <w:b/>
          <w:bCs/>
          <w:color w:val="000000"/>
          <w:sz w:val="28"/>
          <w:szCs w:val="28"/>
        </w:rPr>
        <w:t>日</w:t>
      </w:r>
      <w:bookmarkStart w:id="346" w:name="_Toc28459"/>
      <w:bookmarkEnd w:id="346"/>
      <w:bookmarkStart w:id="347" w:name="_Toc31298"/>
      <w:bookmarkEnd w:id="347"/>
      <w:bookmarkStart w:id="348" w:name="_Toc15981"/>
      <w:bookmarkEnd w:id="348"/>
      <w:bookmarkStart w:id="349" w:name="_Toc10984"/>
      <w:bookmarkEnd w:id="349"/>
      <w:bookmarkStart w:id="350" w:name="_Toc29456"/>
    </w:p>
    <w:p w14:paraId="1D07BEAF">
      <w:pPr>
        <w:spacing w:line="240" w:lineRule="exact"/>
        <w:rPr>
          <w:rFonts w:hint="eastAsia" w:ascii="宋体" w:hAnsi="宋体"/>
          <w:color w:val="auto"/>
          <w:sz w:val="28"/>
          <w:szCs w:val="28"/>
        </w:rPr>
      </w:pPr>
      <w:r>
        <w:rPr>
          <w:rFonts w:hint="eastAsia" w:ascii="宋体" w:hAnsi="宋体"/>
          <w:sz w:val="28"/>
          <w:szCs w:val="28"/>
        </w:rPr>
        <w:br w:type="page"/>
      </w:r>
    </w:p>
    <w:p w14:paraId="4693F9A4">
      <w:pPr>
        <w:pStyle w:val="4"/>
        <w:widowControl/>
        <w:autoSpaceDE w:val="0"/>
        <w:spacing w:before="0" w:after="0" w:line="240" w:lineRule="auto"/>
        <w:rPr>
          <w:rFonts w:hint="eastAsia" w:ascii="宋体" w:hAnsi="宋体"/>
          <w:color w:val="auto"/>
          <w:szCs w:val="28"/>
        </w:rPr>
      </w:pPr>
      <w:bookmarkStart w:id="351" w:name="_Toc8229"/>
      <w:bookmarkStart w:id="352" w:name="_Toc3896307"/>
      <w:bookmarkStart w:id="353" w:name="_Toc16315"/>
      <w:r>
        <w:rPr>
          <w:rFonts w:hint="eastAsia" w:ascii="宋体" w:hAnsi="宋体"/>
          <w:color w:val="auto"/>
          <w:szCs w:val="28"/>
        </w:rPr>
        <w:t>一、初次报价表</w:t>
      </w:r>
      <w:bookmarkEnd w:id="350"/>
      <w:bookmarkEnd w:id="351"/>
      <w:bookmarkEnd w:id="352"/>
      <w:bookmarkEnd w:id="353"/>
    </w:p>
    <w:tbl>
      <w:tblPr>
        <w:tblStyle w:val="17"/>
        <w:tblW w:w="4600" w:type="pct"/>
        <w:tblInd w:w="0" w:type="dxa"/>
        <w:tblLayout w:type="autofit"/>
        <w:tblCellMar>
          <w:top w:w="0" w:type="dxa"/>
          <w:left w:w="108" w:type="dxa"/>
          <w:bottom w:w="0" w:type="dxa"/>
          <w:right w:w="108" w:type="dxa"/>
        </w:tblCellMar>
      </w:tblPr>
      <w:tblGrid>
        <w:gridCol w:w="1782"/>
        <w:gridCol w:w="2103"/>
        <w:gridCol w:w="1685"/>
        <w:gridCol w:w="1406"/>
        <w:gridCol w:w="1881"/>
      </w:tblGrid>
      <w:tr w14:paraId="1E7F5C8A">
        <w:tblPrEx>
          <w:tblCellMar>
            <w:top w:w="0" w:type="dxa"/>
            <w:left w:w="108" w:type="dxa"/>
            <w:bottom w:w="0" w:type="dxa"/>
            <w:right w:w="108" w:type="dxa"/>
          </w:tblCellMar>
        </w:tblPrEx>
        <w:trPr>
          <w:cantSplit/>
          <w:trHeight w:val="940" w:hRule="atLeast"/>
        </w:trPr>
        <w:tc>
          <w:tcPr>
            <w:tcW w:w="1006" w:type="pct"/>
            <w:tcBorders>
              <w:top w:val="single" w:color="auto" w:sz="4" w:space="0"/>
              <w:left w:val="single" w:color="auto" w:sz="4" w:space="0"/>
              <w:right w:val="single" w:color="auto" w:sz="4" w:space="0"/>
            </w:tcBorders>
            <w:noWrap w:val="0"/>
            <w:vAlign w:val="center"/>
          </w:tcPr>
          <w:p w14:paraId="517DC67F">
            <w:pPr>
              <w:adjustRightInd w:val="0"/>
              <w:snapToGrid w:val="0"/>
              <w:spacing w:line="440" w:lineRule="exact"/>
              <w:jc w:val="center"/>
              <w:rPr>
                <w:rFonts w:ascii="宋体" w:hAnsi="宋体"/>
                <w:b/>
                <w:bCs/>
                <w:color w:val="auto"/>
                <w:kern w:val="2"/>
                <w:sz w:val="24"/>
                <w:szCs w:val="24"/>
              </w:rPr>
            </w:pPr>
            <w:r>
              <w:rPr>
                <w:rFonts w:ascii="宋体" w:hAnsi="宋体"/>
                <w:b/>
                <w:bCs/>
                <w:color w:val="auto"/>
                <w:kern w:val="2"/>
                <w:sz w:val="24"/>
                <w:szCs w:val="24"/>
              </w:rPr>
              <w:t>供应商名称</w:t>
            </w:r>
          </w:p>
        </w:tc>
        <w:tc>
          <w:tcPr>
            <w:tcW w:w="1187" w:type="pct"/>
            <w:tcBorders>
              <w:top w:val="single" w:color="auto" w:sz="4" w:space="0"/>
              <w:left w:val="nil"/>
              <w:right w:val="single" w:color="auto" w:sz="4" w:space="0"/>
            </w:tcBorders>
            <w:noWrap w:val="0"/>
            <w:vAlign w:val="center"/>
          </w:tcPr>
          <w:p w14:paraId="628B02C6">
            <w:pPr>
              <w:adjustRightInd w:val="0"/>
              <w:snapToGrid w:val="0"/>
              <w:spacing w:line="440" w:lineRule="exact"/>
              <w:jc w:val="center"/>
              <w:rPr>
                <w:rFonts w:ascii="宋体" w:hAnsi="宋体"/>
                <w:b/>
                <w:bCs/>
                <w:color w:val="auto"/>
                <w:kern w:val="2"/>
                <w:sz w:val="24"/>
                <w:szCs w:val="24"/>
              </w:rPr>
            </w:pPr>
            <w:r>
              <w:rPr>
                <w:rFonts w:hint="eastAsia" w:ascii="宋体" w:hAnsi="宋体"/>
                <w:b/>
                <w:bCs/>
                <w:color w:val="auto"/>
                <w:kern w:val="2"/>
                <w:sz w:val="24"/>
                <w:szCs w:val="24"/>
              </w:rPr>
              <w:t>磋商总价（元）</w:t>
            </w:r>
          </w:p>
        </w:tc>
        <w:tc>
          <w:tcPr>
            <w:tcW w:w="951" w:type="pct"/>
            <w:tcBorders>
              <w:top w:val="single" w:color="auto" w:sz="4" w:space="0"/>
              <w:left w:val="nil"/>
              <w:right w:val="single" w:color="auto" w:sz="4" w:space="0"/>
            </w:tcBorders>
            <w:noWrap w:val="0"/>
            <w:vAlign w:val="center"/>
          </w:tcPr>
          <w:p w14:paraId="1030DD44">
            <w:pPr>
              <w:adjustRightInd w:val="0"/>
              <w:snapToGrid w:val="0"/>
              <w:spacing w:line="440" w:lineRule="exact"/>
              <w:jc w:val="center"/>
              <w:rPr>
                <w:rFonts w:ascii="宋体" w:hAnsi="宋体"/>
                <w:b/>
                <w:bCs/>
                <w:color w:val="auto"/>
                <w:kern w:val="2"/>
                <w:sz w:val="24"/>
                <w:szCs w:val="24"/>
              </w:rPr>
            </w:pPr>
            <w:r>
              <w:rPr>
                <w:rFonts w:hint="eastAsia" w:ascii="宋体" w:hAnsi="宋体"/>
                <w:b/>
                <w:bCs/>
                <w:color w:val="auto"/>
                <w:kern w:val="2"/>
                <w:sz w:val="24"/>
                <w:szCs w:val="24"/>
              </w:rPr>
              <w:t>工期</w:t>
            </w:r>
          </w:p>
        </w:tc>
        <w:tc>
          <w:tcPr>
            <w:tcW w:w="794" w:type="pct"/>
            <w:tcBorders>
              <w:top w:val="single" w:color="auto" w:sz="4" w:space="0"/>
              <w:left w:val="nil"/>
              <w:right w:val="single" w:color="auto" w:sz="4" w:space="0"/>
            </w:tcBorders>
            <w:noWrap w:val="0"/>
            <w:vAlign w:val="center"/>
          </w:tcPr>
          <w:p w14:paraId="7651AED7">
            <w:pPr>
              <w:adjustRightInd w:val="0"/>
              <w:snapToGrid w:val="0"/>
              <w:spacing w:line="440" w:lineRule="exact"/>
              <w:jc w:val="center"/>
              <w:rPr>
                <w:rFonts w:hint="eastAsia" w:ascii="宋体" w:hAnsi="宋体" w:eastAsia="宋体"/>
                <w:b/>
                <w:bCs/>
                <w:color w:val="auto"/>
                <w:kern w:val="2"/>
                <w:sz w:val="24"/>
                <w:szCs w:val="24"/>
                <w:lang w:eastAsia="zh-CN"/>
              </w:rPr>
            </w:pPr>
            <w:r>
              <w:rPr>
                <w:rFonts w:hint="eastAsia" w:ascii="宋体" w:hAnsi="宋体"/>
                <w:b/>
                <w:bCs/>
                <w:color w:val="auto"/>
                <w:kern w:val="2"/>
                <w:sz w:val="24"/>
                <w:szCs w:val="24"/>
              </w:rPr>
              <w:t>质量</w:t>
            </w:r>
            <w:r>
              <w:rPr>
                <w:rFonts w:hint="eastAsia" w:ascii="宋体" w:hAnsi="宋体"/>
                <w:b/>
                <w:bCs/>
                <w:color w:val="auto"/>
                <w:kern w:val="2"/>
                <w:sz w:val="24"/>
                <w:szCs w:val="24"/>
                <w:lang w:val="en-US" w:eastAsia="zh-CN"/>
              </w:rPr>
              <w:t>要求</w:t>
            </w:r>
          </w:p>
        </w:tc>
        <w:tc>
          <w:tcPr>
            <w:tcW w:w="1060" w:type="pct"/>
            <w:tcBorders>
              <w:top w:val="single" w:color="auto" w:sz="4" w:space="0"/>
              <w:left w:val="nil"/>
              <w:bottom w:val="single" w:color="auto" w:sz="4" w:space="0"/>
              <w:right w:val="single" w:color="auto" w:sz="4" w:space="0"/>
            </w:tcBorders>
            <w:noWrap w:val="0"/>
            <w:vAlign w:val="center"/>
          </w:tcPr>
          <w:p w14:paraId="7435F508">
            <w:pPr>
              <w:adjustRightInd w:val="0"/>
              <w:snapToGrid w:val="0"/>
              <w:spacing w:line="440" w:lineRule="exact"/>
              <w:jc w:val="center"/>
              <w:rPr>
                <w:rFonts w:hint="eastAsia" w:ascii="宋体" w:hAnsi="宋体"/>
                <w:b/>
                <w:bCs/>
                <w:color w:val="auto"/>
                <w:kern w:val="2"/>
                <w:sz w:val="24"/>
                <w:szCs w:val="24"/>
                <w:lang w:val="en-US" w:eastAsia="zh-CN"/>
              </w:rPr>
            </w:pPr>
          </w:p>
          <w:p w14:paraId="4C5F9F35">
            <w:pPr>
              <w:adjustRightInd w:val="0"/>
              <w:snapToGrid w:val="0"/>
              <w:spacing w:line="440" w:lineRule="exact"/>
              <w:jc w:val="center"/>
              <w:rPr>
                <w:rFonts w:ascii="宋体" w:hAnsi="宋体"/>
                <w:b/>
                <w:bCs/>
                <w:color w:val="auto"/>
                <w:kern w:val="2"/>
                <w:sz w:val="24"/>
                <w:szCs w:val="24"/>
              </w:rPr>
            </w:pPr>
            <w:bookmarkStart w:id="463" w:name="_GoBack"/>
            <w:r>
              <w:rPr>
                <w:rFonts w:hint="eastAsia" w:ascii="宋体" w:hAnsi="宋体"/>
                <w:b/>
                <w:bCs/>
                <w:color w:val="auto"/>
                <w:kern w:val="2"/>
                <w:sz w:val="24"/>
                <w:szCs w:val="24"/>
                <w:lang w:val="en-US" w:eastAsia="zh-CN"/>
              </w:rPr>
              <w:t>项目经理</w:t>
            </w:r>
          </w:p>
          <w:bookmarkEnd w:id="463"/>
          <w:p w14:paraId="0BF5120C">
            <w:pPr>
              <w:adjustRightInd w:val="0"/>
              <w:snapToGrid w:val="0"/>
              <w:spacing w:line="440" w:lineRule="exact"/>
              <w:jc w:val="center"/>
            </w:pPr>
          </w:p>
        </w:tc>
      </w:tr>
      <w:tr w14:paraId="18D0ADF2">
        <w:tblPrEx>
          <w:tblCellMar>
            <w:top w:w="0" w:type="dxa"/>
            <w:left w:w="108" w:type="dxa"/>
            <w:bottom w:w="0" w:type="dxa"/>
            <w:right w:w="108" w:type="dxa"/>
          </w:tblCellMar>
        </w:tblPrEx>
        <w:trPr>
          <w:cantSplit/>
          <w:trHeight w:val="2184"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16B0BD4F">
            <w:pPr>
              <w:spacing w:line="460" w:lineRule="exact"/>
              <w:jc w:val="center"/>
              <w:rPr>
                <w:rFonts w:ascii="宋体" w:hAnsi="宋体"/>
                <w:b/>
                <w:bCs/>
                <w:color w:val="auto"/>
                <w:kern w:val="2"/>
                <w:sz w:val="24"/>
                <w:szCs w:val="24"/>
              </w:rPr>
            </w:pPr>
          </w:p>
        </w:tc>
        <w:tc>
          <w:tcPr>
            <w:tcW w:w="1187" w:type="pct"/>
            <w:tcBorders>
              <w:top w:val="single" w:color="auto" w:sz="4" w:space="0"/>
              <w:left w:val="nil"/>
              <w:bottom w:val="single" w:color="auto" w:sz="4" w:space="0"/>
              <w:right w:val="single" w:color="auto" w:sz="4" w:space="0"/>
            </w:tcBorders>
            <w:noWrap w:val="0"/>
            <w:vAlign w:val="center"/>
          </w:tcPr>
          <w:p w14:paraId="49B1D2FC">
            <w:pPr>
              <w:spacing w:line="460" w:lineRule="exact"/>
              <w:rPr>
                <w:rFonts w:ascii="宋体" w:hAnsi="宋体"/>
                <w:b/>
                <w:bCs/>
                <w:color w:val="auto"/>
                <w:kern w:val="2"/>
                <w:sz w:val="24"/>
                <w:szCs w:val="24"/>
              </w:rPr>
            </w:pPr>
            <w:r>
              <w:rPr>
                <w:rFonts w:ascii="宋体" w:hAnsi="宋体"/>
                <w:b/>
                <w:bCs/>
                <w:color w:val="auto"/>
                <w:kern w:val="2"/>
                <w:sz w:val="24"/>
                <w:szCs w:val="24"/>
              </w:rPr>
              <w:t>小写</w:t>
            </w:r>
            <w:r>
              <w:rPr>
                <w:rFonts w:hint="eastAsia" w:ascii="宋体" w:hAnsi="宋体"/>
                <w:b/>
                <w:bCs/>
                <w:color w:val="auto"/>
                <w:kern w:val="2"/>
                <w:sz w:val="24"/>
                <w:szCs w:val="24"/>
              </w:rPr>
              <w:t>：</w:t>
            </w:r>
          </w:p>
        </w:tc>
        <w:tc>
          <w:tcPr>
            <w:tcW w:w="951" w:type="pct"/>
            <w:tcBorders>
              <w:top w:val="single" w:color="auto" w:sz="4" w:space="0"/>
              <w:left w:val="nil"/>
              <w:bottom w:val="single" w:color="auto" w:sz="4" w:space="0"/>
              <w:right w:val="single" w:color="auto" w:sz="4" w:space="0"/>
            </w:tcBorders>
            <w:noWrap w:val="0"/>
            <w:vAlign w:val="center"/>
          </w:tcPr>
          <w:p w14:paraId="5FBA9396">
            <w:pPr>
              <w:spacing w:line="460" w:lineRule="exact"/>
              <w:jc w:val="center"/>
              <w:rPr>
                <w:rFonts w:ascii="宋体" w:hAnsi="宋体"/>
                <w:b/>
                <w:bCs/>
                <w:color w:val="auto"/>
                <w:kern w:val="2"/>
                <w:sz w:val="24"/>
                <w:szCs w:val="24"/>
              </w:rPr>
            </w:pPr>
          </w:p>
        </w:tc>
        <w:tc>
          <w:tcPr>
            <w:tcW w:w="794" w:type="pct"/>
            <w:tcBorders>
              <w:top w:val="single" w:color="auto" w:sz="4" w:space="0"/>
              <w:left w:val="nil"/>
              <w:bottom w:val="single" w:color="auto" w:sz="4" w:space="0"/>
              <w:right w:val="single" w:color="auto" w:sz="4" w:space="0"/>
            </w:tcBorders>
            <w:noWrap w:val="0"/>
            <w:vAlign w:val="center"/>
          </w:tcPr>
          <w:p w14:paraId="481ED951">
            <w:pPr>
              <w:spacing w:line="460" w:lineRule="exact"/>
              <w:jc w:val="center"/>
              <w:rPr>
                <w:rFonts w:ascii="宋体" w:hAnsi="宋体"/>
                <w:b/>
                <w:bCs/>
                <w:color w:val="auto"/>
                <w:kern w:val="2"/>
                <w:sz w:val="24"/>
                <w:szCs w:val="24"/>
              </w:rPr>
            </w:pPr>
          </w:p>
        </w:tc>
        <w:tc>
          <w:tcPr>
            <w:tcW w:w="1060" w:type="pct"/>
            <w:tcBorders>
              <w:top w:val="single" w:color="auto" w:sz="4" w:space="0"/>
              <w:left w:val="nil"/>
              <w:bottom w:val="single" w:color="auto" w:sz="4" w:space="0"/>
              <w:right w:val="single" w:color="auto" w:sz="4" w:space="0"/>
            </w:tcBorders>
            <w:noWrap w:val="0"/>
            <w:vAlign w:val="center"/>
          </w:tcPr>
          <w:p w14:paraId="7F19ACDC">
            <w:pPr>
              <w:spacing w:line="460" w:lineRule="exact"/>
              <w:jc w:val="center"/>
              <w:rPr>
                <w:rFonts w:ascii="宋体" w:hAnsi="宋体"/>
                <w:b/>
                <w:bCs/>
                <w:color w:val="auto"/>
                <w:kern w:val="2"/>
                <w:sz w:val="24"/>
                <w:szCs w:val="24"/>
              </w:rPr>
            </w:pPr>
          </w:p>
        </w:tc>
      </w:tr>
      <w:tr w14:paraId="6EF567F2">
        <w:tblPrEx>
          <w:tblCellMar>
            <w:top w:w="0" w:type="dxa"/>
            <w:left w:w="108" w:type="dxa"/>
            <w:bottom w:w="0" w:type="dxa"/>
            <w:right w:w="108" w:type="dxa"/>
          </w:tblCellMar>
        </w:tblPrEx>
        <w:trPr>
          <w:cantSplit/>
          <w:trHeight w:val="2184" w:hRule="atLeast"/>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74799D32">
            <w:pPr>
              <w:spacing w:line="460" w:lineRule="exact"/>
              <w:jc w:val="left"/>
              <w:rPr>
                <w:rFonts w:ascii="宋体" w:hAnsi="宋体"/>
                <w:b/>
                <w:bCs/>
                <w:color w:val="auto"/>
                <w:kern w:val="2"/>
                <w:sz w:val="24"/>
                <w:szCs w:val="24"/>
              </w:rPr>
            </w:pPr>
            <w:r>
              <w:rPr>
                <w:rFonts w:hint="eastAsia" w:ascii="宋体" w:hAnsi="宋体"/>
                <w:b/>
                <w:bCs/>
                <w:color w:val="auto"/>
                <w:kern w:val="2"/>
                <w:sz w:val="24"/>
                <w:szCs w:val="24"/>
              </w:rPr>
              <w:t>磋商总价</w:t>
            </w:r>
            <w:r>
              <w:rPr>
                <w:rFonts w:ascii="宋体" w:hAnsi="宋体"/>
                <w:b/>
                <w:bCs/>
                <w:color w:val="auto"/>
                <w:kern w:val="2"/>
                <w:sz w:val="24"/>
                <w:szCs w:val="24"/>
              </w:rPr>
              <w:t>大写</w:t>
            </w:r>
            <w:r>
              <w:rPr>
                <w:rFonts w:hint="eastAsia" w:ascii="宋体" w:hAnsi="宋体"/>
                <w:b/>
                <w:bCs/>
                <w:color w:val="auto"/>
                <w:kern w:val="2"/>
                <w:sz w:val="24"/>
                <w:szCs w:val="24"/>
              </w:rPr>
              <w:t>：</w:t>
            </w:r>
          </w:p>
        </w:tc>
      </w:tr>
    </w:tbl>
    <w:p w14:paraId="1646A1F8">
      <w:pPr>
        <w:spacing w:line="420" w:lineRule="exact"/>
        <w:ind w:right="-309" w:rightChars="-147"/>
        <w:rPr>
          <w:rFonts w:hint="eastAsia" w:ascii="宋体" w:hAnsi="宋体"/>
          <w:color w:val="auto"/>
          <w:sz w:val="28"/>
          <w:szCs w:val="28"/>
        </w:rPr>
      </w:pPr>
      <w:r>
        <w:rPr>
          <w:rFonts w:hint="eastAsia" w:ascii="宋体" w:hAnsi="宋体"/>
          <w:color w:val="auto"/>
          <w:sz w:val="28"/>
          <w:szCs w:val="28"/>
        </w:rPr>
        <w:t xml:space="preserve"> </w:t>
      </w:r>
    </w:p>
    <w:p w14:paraId="2C456CF4">
      <w:pPr>
        <w:spacing w:line="420" w:lineRule="exact"/>
        <w:ind w:right="-309" w:rightChars="-147"/>
        <w:rPr>
          <w:rFonts w:hint="eastAsia" w:ascii="宋体" w:hAnsi="宋体"/>
          <w:b/>
          <w:color w:val="auto"/>
        </w:rPr>
      </w:pPr>
      <w:r>
        <w:rPr>
          <w:rFonts w:hint="eastAsia" w:ascii="宋体" w:hAnsi="宋体"/>
          <w:b/>
          <w:color w:val="auto"/>
        </w:rPr>
        <w:t>注：此表请放在响应文件封面后第一页，以方便查找。</w:t>
      </w:r>
    </w:p>
    <w:p w14:paraId="52A87CE2">
      <w:pPr>
        <w:spacing w:line="600" w:lineRule="atLeast"/>
        <w:rPr>
          <w:rFonts w:hint="eastAsia" w:ascii="宋体" w:hAnsi="宋体"/>
          <w:color w:val="000000"/>
          <w:sz w:val="28"/>
          <w:szCs w:val="28"/>
        </w:rPr>
      </w:pPr>
      <w:r>
        <w:rPr>
          <w:rFonts w:hint="eastAsia" w:ascii="宋体" w:hAnsi="宋体"/>
          <w:color w:val="000000"/>
          <w:sz w:val="28"/>
          <w:szCs w:val="28"/>
        </w:rPr>
        <w:t xml:space="preserve"> </w:t>
      </w:r>
    </w:p>
    <w:p w14:paraId="27D1EE7D">
      <w:pPr>
        <w:pStyle w:val="8"/>
        <w:rPr>
          <w:rFonts w:hint="eastAsia"/>
          <w:color w:val="000000"/>
        </w:rPr>
      </w:pPr>
    </w:p>
    <w:p w14:paraId="2E8C2E16">
      <w:pPr>
        <w:pStyle w:val="8"/>
        <w:rPr>
          <w:rFonts w:hint="eastAsia"/>
          <w:color w:val="000000"/>
        </w:rPr>
      </w:pPr>
    </w:p>
    <w:p w14:paraId="283B72A3">
      <w:pPr>
        <w:pStyle w:val="8"/>
        <w:rPr>
          <w:rFonts w:hint="eastAsia"/>
          <w:color w:val="000000"/>
        </w:rPr>
      </w:pPr>
    </w:p>
    <w:p w14:paraId="6CCFAB07">
      <w:pPr>
        <w:ind w:firstLine="1205" w:firstLineChars="500"/>
        <w:rPr>
          <w:rFonts w:hint="eastAsia" w:ascii="宋体" w:hAnsi="宋体"/>
          <w:b/>
          <w:bCs/>
          <w:color w:val="000000"/>
          <w:sz w:val="24"/>
          <w:szCs w:val="24"/>
        </w:rPr>
      </w:pPr>
      <w:r>
        <w:rPr>
          <w:rFonts w:hint="eastAsia" w:ascii="宋体" w:hAnsi="宋体"/>
          <w:b/>
          <w:bCs/>
          <w:color w:val="000000"/>
          <w:sz w:val="24"/>
          <w:szCs w:val="24"/>
        </w:rPr>
        <w:t>供应商：</w:t>
      </w:r>
      <w:r>
        <w:rPr>
          <w:rFonts w:hint="eastAsia" w:ascii="宋体" w:hAnsi="宋体"/>
          <w:b/>
          <w:bCs/>
          <w:color w:val="000000"/>
          <w:sz w:val="24"/>
          <w:szCs w:val="24"/>
          <w:u w:val="single"/>
        </w:rPr>
        <w:tab/>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6E7F973B">
      <w:pPr>
        <w:rPr>
          <w:rFonts w:hint="eastAsia" w:ascii="宋体" w:hAnsi="宋体"/>
          <w:b/>
          <w:bCs/>
          <w:color w:val="000000"/>
          <w:sz w:val="24"/>
          <w:szCs w:val="24"/>
        </w:rPr>
      </w:pPr>
      <w:r>
        <w:rPr>
          <w:rFonts w:hint="eastAsia" w:ascii="宋体" w:hAnsi="宋体"/>
          <w:b/>
          <w:bCs/>
          <w:color w:val="000000"/>
          <w:sz w:val="24"/>
          <w:szCs w:val="24"/>
        </w:rPr>
        <w:t xml:space="preserve"> </w:t>
      </w:r>
    </w:p>
    <w:p w14:paraId="0EA4255B">
      <w:pPr>
        <w:ind w:firstLine="1205" w:firstLineChars="500"/>
        <w:rPr>
          <w:rFonts w:hint="eastAsia" w:ascii="宋体" w:hAnsi="宋体"/>
          <w:b/>
          <w:bCs/>
          <w:color w:val="000000"/>
          <w:sz w:val="24"/>
          <w:szCs w:val="24"/>
        </w:rPr>
      </w:pPr>
      <w:r>
        <w:rPr>
          <w:rFonts w:hint="eastAsia" w:ascii="宋体" w:hAnsi="宋体"/>
          <w:b/>
          <w:bCs/>
          <w:color w:val="000000"/>
          <w:sz w:val="24"/>
          <w:szCs w:val="24"/>
        </w:rPr>
        <w:t>法定代表人：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6CCC2427">
      <w:pPr>
        <w:ind w:firstLine="1205" w:firstLineChars="500"/>
        <w:rPr>
          <w:rFonts w:hint="eastAsia" w:ascii="宋体" w:hAnsi="宋体"/>
          <w:b/>
          <w:bCs/>
          <w:color w:val="000000"/>
          <w:sz w:val="24"/>
          <w:szCs w:val="24"/>
        </w:rPr>
      </w:pPr>
    </w:p>
    <w:p w14:paraId="4893971B">
      <w:pPr>
        <w:ind w:firstLine="1205" w:firstLineChars="500"/>
        <w:rPr>
          <w:rFonts w:hint="eastAsia" w:ascii="宋体" w:hAnsi="宋体"/>
          <w:b/>
          <w:bCs/>
          <w:color w:val="000000"/>
          <w:sz w:val="24"/>
          <w:szCs w:val="24"/>
        </w:rPr>
      </w:pPr>
      <w:r>
        <w:rPr>
          <w:rFonts w:hint="eastAsia" w:ascii="宋体" w:hAnsi="宋体"/>
          <w:b/>
          <w:bCs/>
          <w:color w:val="000000"/>
          <w:sz w:val="24"/>
          <w:szCs w:val="24"/>
        </w:rPr>
        <w:t>日期：</w:t>
      </w:r>
      <w:r>
        <w:rPr>
          <w:rFonts w:hint="eastAsia" w:ascii="宋体" w:hAnsi="宋体"/>
          <w:b/>
          <w:bCs/>
          <w:color w:val="000000"/>
          <w:sz w:val="24"/>
          <w:szCs w:val="24"/>
          <w:u w:val="single"/>
        </w:rPr>
        <w:t xml:space="preserve">         </w:t>
      </w:r>
      <w:r>
        <w:rPr>
          <w:rFonts w:hint="eastAsia" w:ascii="宋体" w:hAnsi="宋体"/>
          <w:b/>
          <w:bCs/>
          <w:color w:val="000000"/>
          <w:sz w:val="24"/>
          <w:szCs w:val="24"/>
        </w:rPr>
        <w:t>年</w:t>
      </w:r>
      <w:r>
        <w:rPr>
          <w:rFonts w:hint="eastAsia" w:ascii="宋体" w:hAnsi="宋体"/>
          <w:b/>
          <w:bCs/>
          <w:color w:val="000000"/>
          <w:sz w:val="24"/>
          <w:szCs w:val="24"/>
          <w:u w:val="single"/>
        </w:rPr>
        <w:t xml:space="preserve">         </w:t>
      </w:r>
      <w:r>
        <w:rPr>
          <w:rFonts w:hint="eastAsia" w:ascii="宋体" w:hAnsi="宋体"/>
          <w:b/>
          <w:bCs/>
          <w:color w:val="000000"/>
          <w:sz w:val="24"/>
          <w:szCs w:val="24"/>
        </w:rPr>
        <w:t>月</w:t>
      </w:r>
      <w:r>
        <w:rPr>
          <w:rFonts w:hint="eastAsia" w:ascii="宋体" w:hAnsi="宋体"/>
          <w:b/>
          <w:bCs/>
          <w:color w:val="000000"/>
          <w:sz w:val="24"/>
          <w:szCs w:val="24"/>
          <w:u w:val="single"/>
        </w:rPr>
        <w:t xml:space="preserve">         </w:t>
      </w:r>
      <w:r>
        <w:rPr>
          <w:rFonts w:hint="eastAsia" w:ascii="宋体" w:hAnsi="宋体"/>
          <w:b/>
          <w:bCs/>
          <w:color w:val="000000"/>
          <w:sz w:val="24"/>
          <w:szCs w:val="24"/>
        </w:rPr>
        <w:t>日</w:t>
      </w:r>
    </w:p>
    <w:p w14:paraId="2EAA6042">
      <w:pPr>
        <w:spacing w:line="240" w:lineRule="exact"/>
        <w:rPr>
          <w:rFonts w:hint="eastAsia" w:ascii="宋体" w:hAnsi="宋体"/>
          <w:b/>
          <w:bCs/>
          <w:sz w:val="44"/>
          <w:szCs w:val="44"/>
        </w:rPr>
      </w:pPr>
      <w:r>
        <w:rPr>
          <w:rFonts w:hint="eastAsia" w:ascii="宋体" w:hAnsi="宋体"/>
          <w:sz w:val="32"/>
          <w:szCs w:val="32"/>
        </w:rPr>
        <w:br w:type="page"/>
      </w:r>
    </w:p>
    <w:p w14:paraId="6249C6D7">
      <w:pPr>
        <w:pStyle w:val="4"/>
        <w:widowControl/>
        <w:autoSpaceDE w:val="0"/>
        <w:spacing w:before="0" w:after="0" w:line="240" w:lineRule="auto"/>
        <w:rPr>
          <w:rFonts w:hint="eastAsia" w:ascii="宋体" w:hAnsi="宋体"/>
          <w:szCs w:val="28"/>
        </w:rPr>
      </w:pPr>
      <w:bookmarkStart w:id="354" w:name="_Toc17435"/>
      <w:bookmarkEnd w:id="354"/>
      <w:bookmarkStart w:id="355" w:name="_Toc2521"/>
      <w:bookmarkStart w:id="356" w:name="_Toc24046"/>
      <w:bookmarkStart w:id="357" w:name="_Toc3896308"/>
      <w:bookmarkStart w:id="358" w:name="_Toc7593"/>
      <w:r>
        <w:rPr>
          <w:rFonts w:hint="eastAsia" w:ascii="宋体" w:hAnsi="宋体"/>
          <w:szCs w:val="28"/>
        </w:rPr>
        <w:t>二、磋商函</w:t>
      </w:r>
      <w:bookmarkEnd w:id="355"/>
      <w:bookmarkEnd w:id="356"/>
      <w:bookmarkEnd w:id="357"/>
      <w:bookmarkEnd w:id="358"/>
    </w:p>
    <w:p w14:paraId="69D30910">
      <w:pPr>
        <w:spacing w:line="360" w:lineRule="auto"/>
        <w:rPr>
          <w:rFonts w:hint="eastAsia" w:ascii="宋体" w:hAnsi="宋体"/>
          <w:sz w:val="24"/>
          <w:szCs w:val="24"/>
          <w:u w:val="single"/>
        </w:rPr>
      </w:pPr>
    </w:p>
    <w:p w14:paraId="57555944">
      <w:pPr>
        <w:spacing w:line="36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（采购人名称）：</w:t>
      </w:r>
    </w:p>
    <w:p w14:paraId="3612B312">
      <w:pPr>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000000"/>
          <w:sz w:val="24"/>
          <w:szCs w:val="24"/>
        </w:rPr>
        <w:t>我方已仔细研究了</w:t>
      </w:r>
      <w:r>
        <w:rPr>
          <w:rFonts w:hint="eastAsia" w:ascii="宋体" w:hAnsi="宋体"/>
          <w:color w:val="000000"/>
          <w:sz w:val="24"/>
          <w:szCs w:val="24"/>
          <w:u w:val="single"/>
        </w:rPr>
        <w:t xml:space="preserve">              </w:t>
      </w:r>
      <w:r>
        <w:rPr>
          <w:rFonts w:hint="eastAsia" w:ascii="宋体" w:hAnsi="宋体"/>
          <w:color w:val="000000"/>
          <w:sz w:val="24"/>
          <w:szCs w:val="24"/>
        </w:rPr>
        <w:t>（项目名称）竞争性磋商文件的全部内容，</w:t>
      </w:r>
      <w:r>
        <w:rPr>
          <w:rFonts w:hint="eastAsia" w:ascii="宋体" w:hAnsi="宋体" w:cs="仿宋_GB2312"/>
          <w:color w:val="000000"/>
          <w:sz w:val="24"/>
        </w:rPr>
        <w:t>且对竞争性磋商文件</w:t>
      </w:r>
      <w:r>
        <w:rPr>
          <w:rFonts w:hint="eastAsia" w:ascii="宋体" w:hAnsi="宋体" w:cs="仿宋_GB2312"/>
          <w:color w:val="auto"/>
          <w:sz w:val="24"/>
        </w:rPr>
        <w:t>无任何异议，并愿意以最后磋商报价，</w:t>
      </w:r>
      <w:r>
        <w:rPr>
          <w:rFonts w:hint="eastAsia" w:ascii="宋体" w:hAnsi="宋体" w:cs="TimesNewRomanPSMT"/>
          <w:color w:val="auto"/>
          <w:sz w:val="24"/>
        </w:rPr>
        <w:t>向你方</w:t>
      </w:r>
      <w:r>
        <w:rPr>
          <w:rFonts w:hint="eastAsia" w:ascii="宋体" w:hAnsi="宋体"/>
          <w:color w:val="auto"/>
          <w:sz w:val="24"/>
        </w:rPr>
        <w:t>提供竞争性磋商文件要求的工程</w:t>
      </w:r>
      <w:r>
        <w:rPr>
          <w:rFonts w:hint="eastAsia" w:ascii="宋体" w:hAnsi="宋体" w:cs="仿宋_GB2312"/>
          <w:color w:val="auto"/>
          <w:sz w:val="24"/>
        </w:rPr>
        <w:t>。</w:t>
      </w:r>
      <w:r>
        <w:rPr>
          <w:rFonts w:hint="eastAsia" w:ascii="宋体" w:hAnsi="宋体"/>
          <w:color w:val="auto"/>
          <w:sz w:val="24"/>
          <w:szCs w:val="24"/>
        </w:rPr>
        <w:t xml:space="preserve"> </w:t>
      </w:r>
    </w:p>
    <w:p w14:paraId="41D8A3F3">
      <w:pPr>
        <w:autoSpaceDE w:val="0"/>
        <w:autoSpaceDN w:val="0"/>
        <w:adjustRightInd w:val="0"/>
        <w:snapToGrid w:val="0"/>
        <w:spacing w:line="360" w:lineRule="auto"/>
        <w:ind w:firstLine="480" w:firstLineChars="200"/>
        <w:rPr>
          <w:rFonts w:hint="eastAsia" w:ascii="宋体" w:hAnsi="宋体" w:cs="TimesNewRomanPSMT"/>
          <w:color w:val="auto"/>
          <w:sz w:val="24"/>
        </w:rPr>
      </w:pPr>
      <w:r>
        <w:rPr>
          <w:rFonts w:hint="eastAsia" w:ascii="宋体" w:hAnsi="宋体" w:cs="TimesNewRomanPSMT"/>
          <w:color w:val="auto"/>
          <w:sz w:val="24"/>
          <w:lang w:val="en-US" w:eastAsia="zh-CN"/>
        </w:rPr>
        <w:t>1.</w:t>
      </w:r>
      <w:r>
        <w:rPr>
          <w:rFonts w:hint="eastAsia" w:ascii="宋体" w:hAnsi="宋体" w:cs="TimesNewRomanPSMT"/>
          <w:color w:val="auto"/>
          <w:sz w:val="24"/>
        </w:rPr>
        <w:t>我方承诺在磋商有效期内不修改或撤销响应文件。</w:t>
      </w:r>
    </w:p>
    <w:p w14:paraId="0CBBD3E1">
      <w:pPr>
        <w:autoSpaceDE w:val="0"/>
        <w:autoSpaceDN w:val="0"/>
        <w:adjustRightInd w:val="0"/>
        <w:snapToGrid w:val="0"/>
        <w:spacing w:line="360" w:lineRule="auto"/>
        <w:ind w:firstLine="480" w:firstLineChars="200"/>
        <w:rPr>
          <w:rFonts w:ascii="宋体" w:hAnsi="宋体" w:cs="TimesNewRomanPSMT"/>
          <w:color w:val="auto"/>
          <w:sz w:val="24"/>
        </w:rPr>
      </w:pPr>
      <w:r>
        <w:rPr>
          <w:rFonts w:hint="eastAsia" w:ascii="宋体" w:hAnsi="宋体" w:cs="TimesNewRomanPSMT"/>
          <w:color w:val="auto"/>
          <w:sz w:val="24"/>
        </w:rPr>
        <w:t>2.本磋商的磋商有效期为自</w:t>
      </w:r>
      <w:r>
        <w:rPr>
          <w:rFonts w:hint="eastAsia" w:ascii="宋体" w:hAnsi="宋体" w:cs="TimesNewRomanPSMT"/>
          <w:color w:val="auto"/>
          <w:sz w:val="24"/>
          <w:lang w:eastAsia="zh-CN"/>
        </w:rPr>
        <w:t>响应文件递交截止</w:t>
      </w:r>
      <w:r>
        <w:rPr>
          <w:rFonts w:hint="eastAsia" w:ascii="宋体" w:hAnsi="宋体" w:cs="TimesNewRomanPSMT"/>
          <w:color w:val="auto"/>
          <w:sz w:val="24"/>
        </w:rPr>
        <w:t>之日起</w:t>
      </w:r>
      <w:r>
        <w:rPr>
          <w:rFonts w:hint="eastAsia" w:ascii="宋体" w:hAnsi="宋体" w:cs="TimesNewRomanPSMT"/>
          <w:color w:val="auto"/>
          <w:sz w:val="24"/>
          <w:u w:val="single"/>
        </w:rPr>
        <w:t xml:space="preserve"> </w:t>
      </w:r>
      <w:r>
        <w:rPr>
          <w:rFonts w:hint="eastAsia" w:ascii="宋体" w:hAnsi="宋体" w:cs="TimesNewRomanPSMT"/>
          <w:color w:val="auto"/>
          <w:sz w:val="24"/>
          <w:u w:val="single"/>
          <w:lang w:val="en-US" w:eastAsia="zh-CN"/>
        </w:rPr>
        <w:t>90</w:t>
      </w:r>
      <w:r>
        <w:rPr>
          <w:rFonts w:hint="eastAsia" w:ascii="宋体" w:hAnsi="宋体" w:cs="TimesNewRomanPSMT"/>
          <w:color w:val="auto"/>
          <w:sz w:val="24"/>
          <w:u w:val="single"/>
        </w:rPr>
        <w:t xml:space="preserve"> </w:t>
      </w:r>
      <w:r>
        <w:rPr>
          <w:rFonts w:hint="eastAsia" w:ascii="宋体" w:hAnsi="宋体" w:cs="TimesNewRomanPSMT"/>
          <w:color w:val="auto"/>
          <w:sz w:val="24"/>
        </w:rPr>
        <w:t>个日历天。</w:t>
      </w:r>
    </w:p>
    <w:p w14:paraId="50AD8561">
      <w:pPr>
        <w:pStyle w:val="8"/>
        <w:ind w:firstLine="480" w:firstLineChars="200"/>
        <w:rPr>
          <w:rFonts w:hint="eastAsia" w:ascii="宋体" w:hAnsi="宋体" w:cs="TimesNewRomanPSMT"/>
          <w:color w:val="auto"/>
          <w:kern w:val="0"/>
          <w:sz w:val="24"/>
        </w:rPr>
      </w:pPr>
      <w:r>
        <w:rPr>
          <w:rFonts w:hint="eastAsia" w:ascii="宋体" w:hAnsi="宋体" w:cs="TimesNewRomanPSMT"/>
          <w:color w:val="auto"/>
          <w:kern w:val="0"/>
          <w:sz w:val="24"/>
        </w:rPr>
        <w:t>3.我方承诺所提交的响应文件及有关资料是完整的、真实的、准确的和有效的，否则，我方承担由此造成的任何损失及引起的任何后果。</w:t>
      </w:r>
    </w:p>
    <w:p w14:paraId="1A107E8C">
      <w:pPr>
        <w:autoSpaceDE w:val="0"/>
        <w:autoSpaceDN w:val="0"/>
        <w:adjustRightInd w:val="0"/>
        <w:snapToGrid w:val="0"/>
        <w:spacing w:line="360" w:lineRule="auto"/>
        <w:ind w:firstLine="480" w:firstLineChars="200"/>
        <w:rPr>
          <w:rFonts w:ascii="宋体" w:hAnsi="宋体" w:cs="TimesNewRomanPSMT"/>
          <w:color w:val="auto"/>
          <w:sz w:val="24"/>
        </w:rPr>
      </w:pPr>
      <w:r>
        <w:rPr>
          <w:rFonts w:hint="eastAsia" w:ascii="宋体" w:hAnsi="宋体" w:cs="TimesNewRomanPSMT"/>
          <w:color w:val="auto"/>
          <w:sz w:val="24"/>
        </w:rPr>
        <w:t>4．如我方成交：</w:t>
      </w:r>
    </w:p>
    <w:p w14:paraId="7D6E8D58">
      <w:pPr>
        <w:autoSpaceDE w:val="0"/>
        <w:autoSpaceDN w:val="0"/>
        <w:adjustRightInd w:val="0"/>
        <w:snapToGrid w:val="0"/>
        <w:spacing w:line="360" w:lineRule="auto"/>
        <w:ind w:firstLine="480" w:firstLineChars="200"/>
        <w:rPr>
          <w:rFonts w:ascii="宋体" w:hAnsi="宋体" w:cs="仿宋_GB2312"/>
          <w:color w:val="auto"/>
          <w:sz w:val="24"/>
        </w:rPr>
      </w:pPr>
      <w:r>
        <w:rPr>
          <w:rFonts w:hint="eastAsia" w:ascii="宋体" w:hAnsi="宋体" w:cs="仿宋_GB2312"/>
          <w:color w:val="auto"/>
          <w:sz w:val="24"/>
        </w:rPr>
        <w:t>（</w:t>
      </w:r>
      <w:r>
        <w:rPr>
          <w:rFonts w:ascii="宋体" w:hAnsi="宋体" w:cs="TimesNewRomanPSMT"/>
          <w:color w:val="auto"/>
          <w:sz w:val="24"/>
        </w:rPr>
        <w:t>1</w:t>
      </w:r>
      <w:r>
        <w:rPr>
          <w:rFonts w:hint="eastAsia" w:ascii="宋体" w:hAnsi="宋体" w:cs="仿宋_GB2312"/>
          <w:color w:val="auto"/>
          <w:sz w:val="24"/>
        </w:rPr>
        <w:t>）我方承诺在收到成交通知书后，在成交通知书规定的期限内与你方签订合同。</w:t>
      </w:r>
    </w:p>
    <w:p w14:paraId="7DBBD58C">
      <w:pPr>
        <w:autoSpaceDE w:val="0"/>
        <w:autoSpaceDN w:val="0"/>
        <w:adjustRightInd w:val="0"/>
        <w:snapToGrid w:val="0"/>
        <w:spacing w:line="360" w:lineRule="auto"/>
        <w:ind w:firstLine="480" w:firstLineChars="200"/>
        <w:rPr>
          <w:rFonts w:ascii="宋体" w:hAnsi="宋体" w:cs="仿宋_GB2312"/>
          <w:color w:val="auto"/>
          <w:sz w:val="24"/>
        </w:rPr>
      </w:pPr>
      <w:r>
        <w:rPr>
          <w:rFonts w:hint="eastAsia" w:ascii="宋体" w:hAnsi="宋体" w:cs="仿宋_GB2312"/>
          <w:color w:val="auto"/>
          <w:sz w:val="24"/>
        </w:rPr>
        <w:t>（</w:t>
      </w:r>
      <w:r>
        <w:rPr>
          <w:rFonts w:hint="eastAsia" w:ascii="宋体" w:hAnsi="宋体" w:cs="TimesNewRomanPSMT"/>
          <w:color w:val="auto"/>
          <w:sz w:val="24"/>
        </w:rPr>
        <w:t>2</w:t>
      </w:r>
      <w:r>
        <w:rPr>
          <w:rFonts w:hint="eastAsia" w:ascii="宋体" w:hAnsi="宋体" w:cs="仿宋_GB2312"/>
          <w:color w:val="auto"/>
          <w:sz w:val="24"/>
        </w:rPr>
        <w:t>）我方承诺按照竞争性磋商文件规定向你方递交履约保证金。</w:t>
      </w:r>
    </w:p>
    <w:p w14:paraId="5270AAEF">
      <w:pPr>
        <w:autoSpaceDE w:val="0"/>
        <w:autoSpaceDN w:val="0"/>
        <w:adjustRightInd w:val="0"/>
        <w:snapToGrid w:val="0"/>
        <w:spacing w:line="360" w:lineRule="auto"/>
        <w:ind w:firstLine="480" w:firstLineChars="200"/>
        <w:rPr>
          <w:rFonts w:hint="eastAsia" w:ascii="宋体" w:hAnsi="宋体" w:cs="仿宋_GB2312"/>
          <w:color w:val="auto"/>
          <w:sz w:val="24"/>
        </w:rPr>
      </w:pPr>
      <w:r>
        <w:rPr>
          <w:rFonts w:hint="eastAsia" w:ascii="宋体" w:hAnsi="宋体" w:cs="仿宋_GB2312"/>
          <w:color w:val="auto"/>
          <w:sz w:val="24"/>
        </w:rPr>
        <w:t>（</w:t>
      </w:r>
      <w:r>
        <w:rPr>
          <w:rFonts w:hint="eastAsia" w:ascii="宋体" w:hAnsi="宋体" w:cs="TimesNewRomanPSMT"/>
          <w:color w:val="auto"/>
          <w:sz w:val="24"/>
        </w:rPr>
        <w:t>3</w:t>
      </w:r>
      <w:r>
        <w:rPr>
          <w:rFonts w:hint="eastAsia" w:ascii="宋体" w:hAnsi="宋体" w:cs="仿宋_GB2312"/>
          <w:color w:val="auto"/>
          <w:sz w:val="24"/>
        </w:rPr>
        <w:t>）我方承诺按合同约定的工期和地点，按竞争性磋商文件要求完成工程。</w:t>
      </w:r>
    </w:p>
    <w:p w14:paraId="69C15A9F">
      <w:pPr>
        <w:autoSpaceDE w:val="0"/>
        <w:autoSpaceDN w:val="0"/>
        <w:adjustRightInd w:val="0"/>
        <w:snapToGrid w:val="0"/>
        <w:spacing w:line="360" w:lineRule="auto"/>
        <w:ind w:firstLine="480" w:firstLineChars="200"/>
        <w:rPr>
          <w:color w:val="auto"/>
        </w:rPr>
      </w:pPr>
      <w:r>
        <w:rPr>
          <w:rFonts w:hint="eastAsia" w:ascii="宋体" w:hAnsi="宋体" w:cs="仿宋_GB2312"/>
          <w:color w:val="auto"/>
          <w:sz w:val="24"/>
        </w:rPr>
        <w:t>（4）除商务条款偏离表列出的偏差外，我方响应磋商文件的全部要求。</w:t>
      </w:r>
    </w:p>
    <w:p w14:paraId="7939D843">
      <w:pPr>
        <w:autoSpaceDE w:val="0"/>
        <w:autoSpaceDN w:val="0"/>
        <w:adjustRightInd w:val="0"/>
        <w:snapToGrid w:val="0"/>
        <w:spacing w:line="360" w:lineRule="auto"/>
        <w:ind w:firstLine="480" w:firstLineChars="200"/>
        <w:rPr>
          <w:rFonts w:ascii="宋体" w:hAnsi="宋体" w:cs="TimesNewRomanPSMT"/>
          <w:color w:val="000000"/>
          <w:sz w:val="24"/>
        </w:rPr>
      </w:pPr>
      <w:r>
        <w:rPr>
          <w:rFonts w:hint="eastAsia" w:ascii="宋体" w:hAnsi="宋体" w:cs="TimesNewRomanPSMT"/>
          <w:color w:val="000000"/>
          <w:sz w:val="24"/>
        </w:rPr>
        <w:t>5．</w:t>
      </w:r>
      <w:r>
        <w:rPr>
          <w:rFonts w:hint="eastAsia" w:ascii="宋体" w:hAnsi="宋体" w:cs="TimesNewRomanPSMT"/>
          <w:color w:val="000000"/>
          <w:sz w:val="24"/>
          <w:u w:val="single"/>
        </w:rPr>
        <w:t xml:space="preserve">               </w:t>
      </w:r>
      <w:r>
        <w:rPr>
          <w:rFonts w:ascii="宋体" w:hAnsi="宋体" w:cs="TimesNewRomanPSMT"/>
          <w:color w:val="000000"/>
          <w:sz w:val="24"/>
          <w:u w:val="single"/>
        </w:rPr>
        <w:t xml:space="preserve"> </w:t>
      </w:r>
      <w:r>
        <w:rPr>
          <w:rFonts w:hint="eastAsia" w:ascii="宋体" w:hAnsi="宋体" w:cs="TimesNewRomanPSMT"/>
          <w:color w:val="000000"/>
          <w:sz w:val="24"/>
        </w:rPr>
        <w:t>（其他补充说明）。</w:t>
      </w:r>
    </w:p>
    <w:p w14:paraId="720B5ECB">
      <w:pPr>
        <w:pStyle w:val="8"/>
        <w:ind w:firstLine="480" w:firstLineChars="200"/>
        <w:rPr>
          <w:rFonts w:hint="eastAsia" w:ascii="宋体" w:hAnsi="宋体" w:cs="TimesNewRomanPSMT"/>
          <w:color w:val="000000"/>
          <w:kern w:val="0"/>
          <w:sz w:val="24"/>
        </w:rPr>
      </w:pPr>
    </w:p>
    <w:p w14:paraId="6D886F36">
      <w:pPr>
        <w:pStyle w:val="8"/>
        <w:ind w:firstLine="480" w:firstLineChars="200"/>
        <w:rPr>
          <w:rFonts w:hint="eastAsia" w:ascii="宋体" w:hAnsi="宋体" w:cs="TimesNewRomanPSMT"/>
          <w:color w:val="000000"/>
          <w:kern w:val="0"/>
          <w:sz w:val="24"/>
        </w:rPr>
      </w:pPr>
    </w:p>
    <w:p w14:paraId="3BDC79F1">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供应商：</w:t>
      </w:r>
      <w:r>
        <w:rPr>
          <w:rFonts w:hint="eastAsia" w:ascii="宋体" w:hAnsi="宋体"/>
          <w:b/>
          <w:bCs/>
          <w:color w:val="000000"/>
          <w:sz w:val="24"/>
          <w:szCs w:val="24"/>
          <w:u w:val="single"/>
        </w:rPr>
        <w:tab/>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34AFCE6F">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法定代表人：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3C1E172B">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地</w:t>
      </w:r>
      <w:r>
        <w:rPr>
          <w:rFonts w:hint="eastAsia" w:ascii="宋体" w:hAnsi="宋体"/>
          <w:b/>
          <w:bCs/>
          <w:color w:val="000000"/>
          <w:sz w:val="24"/>
          <w:szCs w:val="24"/>
        </w:rPr>
        <w:tab/>
      </w:r>
      <w:r>
        <w:rPr>
          <w:rFonts w:hint="eastAsia" w:ascii="宋体" w:hAnsi="宋体"/>
          <w:b/>
          <w:bCs/>
          <w:color w:val="000000"/>
          <w:sz w:val="24"/>
          <w:szCs w:val="24"/>
        </w:rPr>
        <w:t>址：</w:t>
      </w:r>
      <w:r>
        <w:rPr>
          <w:rFonts w:hint="eastAsia" w:ascii="宋体" w:hAnsi="宋体"/>
          <w:b/>
          <w:bCs/>
          <w:color w:val="000000"/>
          <w:sz w:val="24"/>
          <w:szCs w:val="24"/>
          <w:u w:val="single"/>
        </w:rPr>
        <w:t xml:space="preserve">                                           </w:t>
      </w:r>
    </w:p>
    <w:p w14:paraId="199E18E3">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网</w:t>
      </w:r>
      <w:r>
        <w:rPr>
          <w:rFonts w:hint="eastAsia" w:ascii="宋体" w:hAnsi="宋体"/>
          <w:b/>
          <w:bCs/>
          <w:color w:val="000000"/>
          <w:sz w:val="24"/>
          <w:szCs w:val="24"/>
        </w:rPr>
        <w:tab/>
      </w:r>
      <w:r>
        <w:rPr>
          <w:rFonts w:hint="eastAsia" w:ascii="宋体" w:hAnsi="宋体"/>
          <w:b/>
          <w:bCs/>
          <w:color w:val="000000"/>
          <w:sz w:val="24"/>
          <w:szCs w:val="24"/>
        </w:rPr>
        <w:t>址：</w:t>
      </w:r>
      <w:r>
        <w:rPr>
          <w:rFonts w:hint="eastAsia" w:ascii="宋体" w:hAnsi="宋体"/>
          <w:b/>
          <w:bCs/>
          <w:color w:val="000000"/>
          <w:sz w:val="24"/>
          <w:szCs w:val="24"/>
          <w:u w:val="single"/>
        </w:rPr>
        <w:t xml:space="preserve">                                           </w:t>
      </w:r>
    </w:p>
    <w:p w14:paraId="29E95D82">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电</w:t>
      </w:r>
      <w:r>
        <w:rPr>
          <w:rFonts w:hint="eastAsia" w:ascii="宋体" w:hAnsi="宋体"/>
          <w:b/>
          <w:bCs/>
          <w:color w:val="000000"/>
          <w:sz w:val="24"/>
          <w:szCs w:val="24"/>
        </w:rPr>
        <w:tab/>
      </w:r>
      <w:r>
        <w:rPr>
          <w:rFonts w:hint="eastAsia" w:ascii="宋体" w:hAnsi="宋体"/>
          <w:b/>
          <w:bCs/>
          <w:color w:val="000000"/>
          <w:sz w:val="24"/>
          <w:szCs w:val="24"/>
        </w:rPr>
        <w:t>话：</w:t>
      </w:r>
      <w:r>
        <w:rPr>
          <w:rFonts w:hint="eastAsia" w:ascii="宋体" w:hAnsi="宋体"/>
          <w:b/>
          <w:bCs/>
          <w:color w:val="000000"/>
          <w:sz w:val="24"/>
          <w:szCs w:val="24"/>
          <w:u w:val="single"/>
        </w:rPr>
        <w:t xml:space="preserve">                                           </w:t>
      </w:r>
    </w:p>
    <w:p w14:paraId="5EAAA084">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传</w:t>
      </w:r>
      <w:r>
        <w:rPr>
          <w:rFonts w:hint="eastAsia" w:ascii="宋体" w:hAnsi="宋体"/>
          <w:b/>
          <w:bCs/>
          <w:color w:val="000000"/>
          <w:sz w:val="24"/>
          <w:szCs w:val="24"/>
        </w:rPr>
        <w:tab/>
      </w:r>
      <w:r>
        <w:rPr>
          <w:rFonts w:hint="eastAsia" w:ascii="宋体" w:hAnsi="宋体"/>
          <w:b/>
          <w:bCs/>
          <w:color w:val="000000"/>
          <w:sz w:val="24"/>
          <w:szCs w:val="24"/>
        </w:rPr>
        <w:t>真：</w:t>
      </w:r>
      <w:r>
        <w:rPr>
          <w:rFonts w:hint="eastAsia" w:ascii="宋体" w:hAnsi="宋体"/>
          <w:b/>
          <w:bCs/>
          <w:color w:val="000000"/>
          <w:sz w:val="24"/>
          <w:szCs w:val="24"/>
          <w:u w:val="single"/>
        </w:rPr>
        <w:t xml:space="preserve">                                           </w:t>
      </w:r>
    </w:p>
    <w:p w14:paraId="46E9E8F4">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邮政编码：</w:t>
      </w:r>
      <w:r>
        <w:rPr>
          <w:rFonts w:hint="eastAsia" w:ascii="宋体" w:hAnsi="宋体"/>
          <w:b/>
          <w:bCs/>
          <w:color w:val="000000"/>
          <w:sz w:val="24"/>
          <w:szCs w:val="24"/>
          <w:u w:val="single"/>
        </w:rPr>
        <w:t xml:space="preserve">                                         </w:t>
      </w:r>
    </w:p>
    <w:p w14:paraId="6A2B2D37">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日 期：</w:t>
      </w:r>
      <w:r>
        <w:rPr>
          <w:rFonts w:hint="eastAsia" w:ascii="宋体" w:hAnsi="宋体"/>
          <w:b/>
          <w:bCs/>
          <w:color w:val="000000"/>
          <w:sz w:val="24"/>
          <w:szCs w:val="24"/>
          <w:u w:val="single"/>
        </w:rPr>
        <w:t xml:space="preserve">         </w:t>
      </w:r>
      <w:r>
        <w:rPr>
          <w:rFonts w:hint="eastAsia" w:ascii="宋体" w:hAnsi="宋体"/>
          <w:b/>
          <w:bCs/>
          <w:color w:val="000000"/>
          <w:sz w:val="24"/>
          <w:szCs w:val="24"/>
        </w:rPr>
        <w:t>年</w:t>
      </w:r>
      <w:r>
        <w:rPr>
          <w:rFonts w:hint="eastAsia" w:ascii="宋体" w:hAnsi="宋体"/>
          <w:b/>
          <w:bCs/>
          <w:color w:val="000000"/>
          <w:sz w:val="24"/>
          <w:szCs w:val="24"/>
          <w:u w:val="single"/>
        </w:rPr>
        <w:t xml:space="preserve">         </w:t>
      </w:r>
      <w:r>
        <w:rPr>
          <w:rFonts w:hint="eastAsia" w:ascii="宋体" w:hAnsi="宋体"/>
          <w:b/>
          <w:bCs/>
          <w:color w:val="000000"/>
          <w:sz w:val="24"/>
          <w:szCs w:val="24"/>
        </w:rPr>
        <w:t>月</w:t>
      </w:r>
      <w:r>
        <w:rPr>
          <w:rFonts w:hint="eastAsia" w:ascii="宋体" w:hAnsi="宋体"/>
          <w:b/>
          <w:bCs/>
          <w:color w:val="000000"/>
          <w:sz w:val="24"/>
          <w:szCs w:val="24"/>
          <w:u w:val="single"/>
        </w:rPr>
        <w:t xml:space="preserve">         </w:t>
      </w:r>
      <w:r>
        <w:rPr>
          <w:rFonts w:hint="eastAsia" w:ascii="宋体" w:hAnsi="宋体"/>
          <w:b/>
          <w:bCs/>
          <w:color w:val="000000"/>
          <w:sz w:val="24"/>
          <w:szCs w:val="24"/>
        </w:rPr>
        <w:t>日</w:t>
      </w:r>
    </w:p>
    <w:p w14:paraId="4B3E6194">
      <w:pPr>
        <w:pStyle w:val="4"/>
        <w:widowControl/>
        <w:autoSpaceDE w:val="0"/>
        <w:spacing w:before="0" w:after="0" w:line="360" w:lineRule="auto"/>
        <w:ind w:firstLine="562" w:firstLineChars="200"/>
        <w:rPr>
          <w:rFonts w:hint="eastAsia" w:ascii="宋体" w:hAnsi="宋体"/>
          <w:szCs w:val="28"/>
        </w:rPr>
      </w:pPr>
      <w:bookmarkStart w:id="359" w:name="_Toc17119"/>
      <w:bookmarkEnd w:id="359"/>
      <w:bookmarkStart w:id="360" w:name="_Toc13197"/>
      <w:r>
        <w:rPr>
          <w:rFonts w:ascii="宋体" w:hAnsi="宋体"/>
          <w:szCs w:val="28"/>
        </w:rPr>
        <w:br w:type="page"/>
      </w:r>
      <w:bookmarkStart w:id="361" w:name="_Toc16163"/>
      <w:bookmarkStart w:id="362" w:name="_Toc16637"/>
      <w:bookmarkStart w:id="363" w:name="_Toc3896309"/>
      <w:r>
        <w:rPr>
          <w:rFonts w:hint="eastAsia" w:ascii="宋体" w:hAnsi="宋体"/>
          <w:szCs w:val="28"/>
        </w:rPr>
        <w:t>三、法定代表人身份证明</w:t>
      </w:r>
      <w:bookmarkEnd w:id="360"/>
      <w:r>
        <w:rPr>
          <w:rFonts w:hint="eastAsia" w:ascii="宋体" w:hAnsi="宋体"/>
          <w:szCs w:val="28"/>
        </w:rPr>
        <w:t>书</w:t>
      </w:r>
      <w:bookmarkEnd w:id="361"/>
      <w:bookmarkEnd w:id="362"/>
      <w:bookmarkEnd w:id="363"/>
    </w:p>
    <w:p w14:paraId="58A44EC4">
      <w:pPr>
        <w:spacing w:line="200" w:lineRule="exact"/>
        <w:rPr>
          <w:rFonts w:hint="eastAsia" w:ascii="宋体" w:hAnsi="宋体"/>
        </w:rPr>
      </w:pPr>
      <w:r>
        <w:rPr>
          <w:rFonts w:ascii="宋体" w:hAnsi="宋体"/>
        </w:rPr>
        <w:t xml:space="preserve"> </w:t>
      </w:r>
    </w:p>
    <w:p w14:paraId="4A1C1D80">
      <w:pPr>
        <w:spacing w:line="200" w:lineRule="exact"/>
        <w:rPr>
          <w:rFonts w:ascii="宋体" w:hAnsi="宋体"/>
        </w:rPr>
      </w:pPr>
      <w:r>
        <w:rPr>
          <w:rFonts w:ascii="宋体" w:hAnsi="宋体"/>
        </w:rPr>
        <w:t xml:space="preserve"> </w:t>
      </w:r>
    </w:p>
    <w:p w14:paraId="1C892699">
      <w:pPr>
        <w:spacing w:line="200" w:lineRule="exact"/>
        <w:rPr>
          <w:rFonts w:ascii="宋体" w:hAnsi="宋体"/>
        </w:rPr>
      </w:pPr>
      <w:r>
        <w:rPr>
          <w:rFonts w:ascii="宋体" w:hAnsi="宋体"/>
        </w:rPr>
        <w:t xml:space="preserve"> </w:t>
      </w:r>
    </w:p>
    <w:p w14:paraId="10506DBB">
      <w:pPr>
        <w:autoSpaceDE w:val="0"/>
        <w:autoSpaceDN w:val="0"/>
        <w:adjustRightInd w:val="0"/>
        <w:spacing w:line="360" w:lineRule="auto"/>
        <w:ind w:firstLine="480" w:firstLineChars="200"/>
        <w:rPr>
          <w:rFonts w:ascii="宋体" w:hAnsi="宋体" w:cs="仿宋_GB2312"/>
          <w:sz w:val="24"/>
        </w:rPr>
      </w:pPr>
      <w:r>
        <w:rPr>
          <w:rFonts w:hint="eastAsia" w:ascii="宋体" w:hAnsi="宋体" w:cs="仿宋_GB2312"/>
          <w:sz w:val="24"/>
        </w:rPr>
        <w:t>供应商名称：</w:t>
      </w:r>
      <w:r>
        <w:rPr>
          <w:rFonts w:hint="eastAsia" w:ascii="宋体" w:hAnsi="宋体" w:cs="仿宋_GB2312"/>
          <w:sz w:val="24"/>
          <w:u w:val="single"/>
        </w:rPr>
        <w:t xml:space="preserve">                      </w:t>
      </w:r>
    </w:p>
    <w:p w14:paraId="00C0FACA">
      <w:pPr>
        <w:autoSpaceDE w:val="0"/>
        <w:autoSpaceDN w:val="0"/>
        <w:adjustRightInd w:val="0"/>
        <w:spacing w:line="360" w:lineRule="auto"/>
        <w:ind w:firstLine="480" w:firstLineChars="200"/>
        <w:rPr>
          <w:rFonts w:ascii="宋体" w:hAnsi="宋体" w:cs="仿宋_GB2312"/>
          <w:sz w:val="24"/>
        </w:rPr>
      </w:pPr>
      <w:r>
        <w:rPr>
          <w:rFonts w:hint="eastAsia" w:ascii="宋体" w:hAnsi="宋体" w:cs="仿宋_GB2312"/>
          <w:sz w:val="24"/>
        </w:rPr>
        <w:t>单位性质：</w:t>
      </w:r>
      <w:r>
        <w:rPr>
          <w:rFonts w:hint="eastAsia" w:ascii="宋体" w:hAnsi="宋体" w:cs="仿宋_GB2312"/>
          <w:sz w:val="24"/>
          <w:u w:val="single"/>
        </w:rPr>
        <w:t xml:space="preserve">                        </w:t>
      </w:r>
      <w:r>
        <w:rPr>
          <w:rFonts w:hint="eastAsia" w:ascii="宋体" w:hAnsi="宋体" w:cs="仿宋_GB2312"/>
          <w:sz w:val="24"/>
        </w:rPr>
        <w:t xml:space="preserve"> </w:t>
      </w:r>
    </w:p>
    <w:p w14:paraId="0E0C93E1">
      <w:pPr>
        <w:autoSpaceDE w:val="0"/>
        <w:autoSpaceDN w:val="0"/>
        <w:adjustRightInd w:val="0"/>
        <w:spacing w:line="360" w:lineRule="auto"/>
        <w:ind w:firstLine="480" w:firstLineChars="200"/>
        <w:rPr>
          <w:rFonts w:ascii="宋体" w:hAnsi="宋体" w:cs="仿宋_GB2312"/>
          <w:sz w:val="24"/>
        </w:rPr>
      </w:pPr>
      <w:r>
        <w:rPr>
          <w:rFonts w:hint="eastAsia" w:ascii="宋体" w:hAnsi="宋体" w:cs="仿宋_GB2312"/>
          <w:sz w:val="24"/>
        </w:rPr>
        <w:t>地    址：</w:t>
      </w:r>
      <w:r>
        <w:rPr>
          <w:rFonts w:hint="eastAsia" w:ascii="宋体" w:hAnsi="宋体" w:cs="仿宋_GB2312"/>
          <w:sz w:val="24"/>
          <w:u w:val="single"/>
        </w:rPr>
        <w:t xml:space="preserve">                        </w:t>
      </w:r>
    </w:p>
    <w:p w14:paraId="6767B069">
      <w:pPr>
        <w:autoSpaceDE w:val="0"/>
        <w:autoSpaceDN w:val="0"/>
        <w:adjustRightInd w:val="0"/>
        <w:spacing w:line="360" w:lineRule="auto"/>
        <w:ind w:firstLine="480" w:firstLineChars="200"/>
        <w:rPr>
          <w:rFonts w:ascii="宋体" w:hAnsi="宋体" w:cs="仿宋_GB2312"/>
          <w:sz w:val="24"/>
        </w:rPr>
      </w:pPr>
      <w:r>
        <w:rPr>
          <w:rFonts w:hint="eastAsia" w:ascii="宋体" w:hAnsi="宋体" w:cs="仿宋_GB2312"/>
          <w:sz w:val="24"/>
        </w:rPr>
        <w:t>成立时间：</w:t>
      </w:r>
      <w:r>
        <w:rPr>
          <w:rFonts w:hint="eastAsia" w:ascii="宋体" w:hAnsi="宋体" w:cs="仿宋_GB2312"/>
          <w:sz w:val="24"/>
          <w:u w:val="single"/>
        </w:rPr>
        <w:t xml:space="preserve">     </w:t>
      </w:r>
      <w:r>
        <w:rPr>
          <w:rFonts w:ascii="宋体" w:hAnsi="宋体" w:cs="仿宋_GB2312"/>
          <w:sz w:val="24"/>
          <w:u w:val="single"/>
        </w:rPr>
        <w:t xml:space="preserve"> </w:t>
      </w:r>
      <w:r>
        <w:rPr>
          <w:rFonts w:hint="eastAsia" w:ascii="宋体" w:hAnsi="宋体" w:cs="仿宋_GB2312"/>
          <w:sz w:val="24"/>
          <w:u w:val="single"/>
        </w:rPr>
        <w:t xml:space="preserve"> </w:t>
      </w:r>
      <w:r>
        <w:rPr>
          <w:rFonts w:hint="eastAsia" w:ascii="宋体" w:hAnsi="宋体" w:cs="仿宋_GB2312"/>
          <w:sz w:val="24"/>
        </w:rPr>
        <w:t>年</w:t>
      </w:r>
      <w:r>
        <w:rPr>
          <w:rFonts w:hint="eastAsia" w:ascii="宋体" w:hAnsi="宋体" w:cs="仿宋_GB2312"/>
          <w:sz w:val="24"/>
          <w:u w:val="single"/>
        </w:rPr>
        <w:t xml:space="preserve">     </w:t>
      </w:r>
      <w:r>
        <w:rPr>
          <w:rFonts w:hint="eastAsia" w:ascii="宋体" w:hAnsi="宋体" w:cs="仿宋_GB2312"/>
          <w:sz w:val="24"/>
        </w:rPr>
        <w:t>月</w:t>
      </w:r>
      <w:r>
        <w:rPr>
          <w:rFonts w:hint="eastAsia" w:ascii="宋体" w:hAnsi="宋体" w:cs="仿宋_GB2312"/>
          <w:sz w:val="24"/>
          <w:u w:val="single"/>
        </w:rPr>
        <w:t xml:space="preserve">  </w:t>
      </w:r>
      <w:r>
        <w:rPr>
          <w:rFonts w:ascii="宋体" w:hAnsi="宋体" w:cs="仿宋_GB2312"/>
          <w:sz w:val="24"/>
          <w:u w:val="single"/>
        </w:rPr>
        <w:t xml:space="preserve"> </w:t>
      </w:r>
      <w:r>
        <w:rPr>
          <w:rFonts w:hint="eastAsia" w:ascii="宋体" w:hAnsi="宋体" w:cs="仿宋_GB2312"/>
          <w:sz w:val="24"/>
          <w:u w:val="single"/>
        </w:rPr>
        <w:t xml:space="preserve">    </w:t>
      </w:r>
      <w:r>
        <w:rPr>
          <w:rFonts w:hint="eastAsia" w:ascii="宋体" w:hAnsi="宋体" w:cs="仿宋_GB2312"/>
          <w:sz w:val="24"/>
        </w:rPr>
        <w:t>日</w:t>
      </w:r>
    </w:p>
    <w:p w14:paraId="716B50A3">
      <w:pPr>
        <w:autoSpaceDE w:val="0"/>
        <w:autoSpaceDN w:val="0"/>
        <w:adjustRightInd w:val="0"/>
        <w:spacing w:line="360" w:lineRule="auto"/>
        <w:ind w:firstLine="480" w:firstLineChars="200"/>
        <w:rPr>
          <w:rFonts w:hint="eastAsia" w:ascii="宋体" w:hAnsi="宋体" w:cs="仿宋_GB2312"/>
          <w:sz w:val="24"/>
        </w:rPr>
      </w:pPr>
      <w:r>
        <w:rPr>
          <w:rFonts w:hint="eastAsia" w:ascii="宋体" w:hAnsi="宋体" w:cs="仿宋_GB2312"/>
          <w:sz w:val="24"/>
        </w:rPr>
        <w:t>经营期限：</w:t>
      </w:r>
      <w:r>
        <w:rPr>
          <w:rFonts w:hint="eastAsia" w:ascii="宋体" w:hAnsi="宋体" w:cs="仿宋_GB2312"/>
          <w:sz w:val="24"/>
          <w:u w:val="single"/>
        </w:rPr>
        <w:t xml:space="preserve">                         </w:t>
      </w:r>
    </w:p>
    <w:p w14:paraId="7F823FFE">
      <w:pPr>
        <w:spacing w:line="360" w:lineRule="auto"/>
        <w:ind w:firstLine="480" w:firstLineChars="200"/>
        <w:rPr>
          <w:rFonts w:hint="eastAsia" w:ascii="宋体" w:hAnsi="宋体"/>
          <w:sz w:val="24"/>
          <w:szCs w:val="24"/>
        </w:rPr>
      </w:pPr>
    </w:p>
    <w:p w14:paraId="1B185585">
      <w:pPr>
        <w:spacing w:line="360" w:lineRule="auto"/>
        <w:ind w:firstLine="480" w:firstLineChars="200"/>
        <w:rPr>
          <w:rFonts w:hint="eastAsia" w:ascii="宋体" w:hAnsi="宋体"/>
          <w:sz w:val="24"/>
          <w:szCs w:val="24"/>
        </w:rPr>
      </w:pPr>
      <w:r>
        <w:rPr>
          <w:rFonts w:hint="eastAsia" w:ascii="宋体" w:hAnsi="宋体"/>
          <w:sz w:val="24"/>
          <w:szCs w:val="24"/>
        </w:rPr>
        <w:t>姓名：</w:t>
      </w:r>
      <w:r>
        <w:rPr>
          <w:rFonts w:hint="eastAsia" w:ascii="宋体" w:hAnsi="宋体"/>
          <w:sz w:val="24"/>
          <w:szCs w:val="24"/>
          <w:u w:val="single"/>
        </w:rPr>
        <w:t xml:space="preserve">           </w:t>
      </w:r>
      <w:r>
        <w:rPr>
          <w:rFonts w:hint="eastAsia" w:ascii="宋体" w:hAnsi="宋体"/>
          <w:sz w:val="24"/>
          <w:szCs w:val="24"/>
        </w:rPr>
        <w:t>性别：</w:t>
      </w:r>
      <w:r>
        <w:rPr>
          <w:rFonts w:hint="eastAsia" w:ascii="宋体" w:hAnsi="宋体"/>
          <w:sz w:val="24"/>
          <w:szCs w:val="24"/>
          <w:u w:val="single"/>
        </w:rPr>
        <w:t xml:space="preserve">          </w:t>
      </w:r>
      <w:r>
        <w:rPr>
          <w:rFonts w:hint="eastAsia" w:ascii="宋体" w:hAnsi="宋体"/>
          <w:sz w:val="24"/>
          <w:szCs w:val="24"/>
        </w:rPr>
        <w:t>年龄：</w:t>
      </w:r>
      <w:r>
        <w:rPr>
          <w:rFonts w:hint="eastAsia" w:ascii="宋体" w:hAnsi="宋体"/>
          <w:sz w:val="24"/>
          <w:szCs w:val="24"/>
          <w:u w:val="single"/>
        </w:rPr>
        <w:t xml:space="preserve">          </w:t>
      </w:r>
      <w:r>
        <w:rPr>
          <w:rFonts w:hint="eastAsia" w:ascii="宋体" w:hAnsi="宋体"/>
          <w:sz w:val="24"/>
          <w:szCs w:val="24"/>
        </w:rPr>
        <w:t>职务：</w:t>
      </w:r>
      <w:r>
        <w:rPr>
          <w:rFonts w:hint="eastAsia" w:ascii="宋体" w:hAnsi="宋体"/>
          <w:sz w:val="24"/>
          <w:szCs w:val="24"/>
          <w:u w:val="single"/>
        </w:rPr>
        <w:t xml:space="preserve">          </w:t>
      </w:r>
    </w:p>
    <w:p w14:paraId="7F5BBC6F">
      <w:pPr>
        <w:spacing w:line="360" w:lineRule="auto"/>
        <w:ind w:firstLine="480" w:firstLineChars="200"/>
        <w:rPr>
          <w:rFonts w:hint="eastAsia" w:ascii="宋体" w:hAnsi="宋体"/>
          <w:sz w:val="24"/>
          <w:szCs w:val="24"/>
        </w:rPr>
      </w:pPr>
      <w:r>
        <w:rPr>
          <w:rFonts w:hint="eastAsia" w:ascii="宋体" w:hAnsi="宋体"/>
          <w:sz w:val="24"/>
          <w:szCs w:val="24"/>
        </w:rPr>
        <w:t>系</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rPr>
        <w:t>（供应商名称）的法定代表人。</w:t>
      </w:r>
    </w:p>
    <w:p w14:paraId="734329E3">
      <w:pPr>
        <w:spacing w:line="360" w:lineRule="auto"/>
        <w:ind w:firstLine="480" w:firstLineChars="200"/>
        <w:rPr>
          <w:rFonts w:hint="eastAsia" w:ascii="宋体" w:hAnsi="宋体"/>
          <w:sz w:val="24"/>
          <w:szCs w:val="24"/>
        </w:rPr>
      </w:pPr>
      <w:r>
        <w:rPr>
          <w:rFonts w:hint="eastAsia" w:ascii="宋体" w:hAnsi="宋体"/>
          <w:sz w:val="24"/>
          <w:szCs w:val="24"/>
        </w:rPr>
        <w:t>特此证明。</w:t>
      </w:r>
    </w:p>
    <w:p w14:paraId="22B880FF">
      <w:pPr>
        <w:spacing w:line="360" w:lineRule="auto"/>
        <w:ind w:firstLine="480" w:firstLineChars="200"/>
        <w:rPr>
          <w:rFonts w:hint="eastAsia" w:ascii="宋体" w:hAnsi="宋体"/>
          <w:b w:val="0"/>
          <w:bCs/>
          <w:sz w:val="24"/>
          <w:szCs w:val="24"/>
          <w:highlight w:val="none"/>
        </w:rPr>
      </w:pPr>
    </w:p>
    <w:p w14:paraId="2402AB46">
      <w:pPr>
        <w:spacing w:line="360" w:lineRule="auto"/>
        <w:ind w:firstLine="480" w:firstLineChars="200"/>
        <w:rPr>
          <w:rFonts w:hint="eastAsia" w:ascii="宋体" w:hAnsi="宋体"/>
          <w:b w:val="0"/>
          <w:bCs/>
          <w:color w:val="0000CC"/>
          <w:sz w:val="24"/>
          <w:szCs w:val="24"/>
          <w:highlight w:val="none"/>
        </w:rPr>
      </w:pPr>
      <w:r>
        <w:rPr>
          <w:rFonts w:hint="eastAsia" w:ascii="宋体" w:hAnsi="宋体"/>
          <w:b w:val="0"/>
          <w:bCs/>
          <w:sz w:val="24"/>
          <w:szCs w:val="24"/>
          <w:highlight w:val="none"/>
        </w:rPr>
        <w:t>注：附法定代表人身份证</w:t>
      </w:r>
      <w:r>
        <w:rPr>
          <w:rFonts w:hint="eastAsia" w:ascii="宋体" w:hAnsi="宋体"/>
          <w:b w:val="0"/>
          <w:bCs/>
          <w:sz w:val="24"/>
          <w:szCs w:val="24"/>
          <w:highlight w:val="none"/>
          <w:lang w:val="en-US" w:eastAsia="zh-CN"/>
        </w:rPr>
        <w:t>扫描件</w:t>
      </w:r>
      <w:r>
        <w:rPr>
          <w:rFonts w:hint="eastAsia" w:ascii="宋体" w:hAnsi="宋体"/>
          <w:b w:val="0"/>
          <w:bCs/>
          <w:sz w:val="24"/>
          <w:szCs w:val="24"/>
          <w:highlight w:val="none"/>
        </w:rPr>
        <w:t>。</w:t>
      </w:r>
    </w:p>
    <w:p w14:paraId="225A3F51">
      <w:pPr>
        <w:spacing w:line="360" w:lineRule="auto"/>
        <w:ind w:firstLine="1205" w:firstLineChars="500"/>
        <w:rPr>
          <w:rFonts w:hint="eastAsia" w:ascii="宋体" w:hAnsi="宋体"/>
          <w:b/>
          <w:bCs/>
          <w:color w:val="0000CC"/>
          <w:sz w:val="24"/>
          <w:szCs w:val="24"/>
        </w:rPr>
      </w:pPr>
    </w:p>
    <w:p w14:paraId="1BC69E63">
      <w:pPr>
        <w:spacing w:line="360" w:lineRule="auto"/>
        <w:ind w:firstLine="1205" w:firstLineChars="500"/>
        <w:rPr>
          <w:rFonts w:hint="eastAsia" w:ascii="宋体" w:hAnsi="宋体"/>
          <w:b/>
          <w:bCs/>
          <w:color w:val="000000"/>
          <w:sz w:val="24"/>
          <w:szCs w:val="24"/>
        </w:rPr>
      </w:pPr>
    </w:p>
    <w:p w14:paraId="44ACE193">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供应商：</w:t>
      </w:r>
      <w:r>
        <w:rPr>
          <w:rFonts w:hint="eastAsia" w:ascii="宋体" w:hAnsi="宋体"/>
          <w:b/>
          <w:bCs/>
          <w:color w:val="000000"/>
          <w:sz w:val="24"/>
          <w:szCs w:val="24"/>
          <w:u w:val="single"/>
        </w:rPr>
        <w:tab/>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585B4818">
      <w:pPr>
        <w:spacing w:line="360" w:lineRule="auto"/>
        <w:ind w:firstLine="1205" w:firstLineChars="500"/>
        <w:rPr>
          <w:rFonts w:hint="eastAsia" w:ascii="宋体" w:hAnsi="宋体"/>
          <w:b/>
          <w:bCs/>
          <w:color w:val="000000"/>
          <w:sz w:val="24"/>
          <w:szCs w:val="24"/>
        </w:rPr>
      </w:pPr>
      <w:r>
        <w:rPr>
          <w:rFonts w:hint="eastAsia" w:ascii="宋体" w:hAnsi="宋体"/>
          <w:b/>
          <w:bCs/>
          <w:color w:val="000000"/>
          <w:sz w:val="24"/>
          <w:szCs w:val="24"/>
        </w:rPr>
        <w:t>日 期：</w:t>
      </w:r>
      <w:r>
        <w:rPr>
          <w:rFonts w:hint="eastAsia" w:ascii="宋体" w:hAnsi="宋体"/>
          <w:b/>
          <w:bCs/>
          <w:color w:val="000000"/>
          <w:sz w:val="24"/>
          <w:szCs w:val="24"/>
          <w:u w:val="single"/>
        </w:rPr>
        <w:t xml:space="preserve">         </w:t>
      </w:r>
      <w:r>
        <w:rPr>
          <w:rFonts w:hint="eastAsia" w:ascii="宋体" w:hAnsi="宋体"/>
          <w:b/>
          <w:bCs/>
          <w:color w:val="000000"/>
          <w:sz w:val="24"/>
          <w:szCs w:val="24"/>
        </w:rPr>
        <w:t>年</w:t>
      </w:r>
      <w:r>
        <w:rPr>
          <w:rFonts w:hint="eastAsia" w:ascii="宋体" w:hAnsi="宋体"/>
          <w:b/>
          <w:bCs/>
          <w:color w:val="000000"/>
          <w:sz w:val="24"/>
          <w:szCs w:val="24"/>
          <w:u w:val="single"/>
        </w:rPr>
        <w:t xml:space="preserve">         </w:t>
      </w:r>
      <w:r>
        <w:rPr>
          <w:rFonts w:hint="eastAsia" w:ascii="宋体" w:hAnsi="宋体"/>
          <w:b/>
          <w:bCs/>
          <w:color w:val="000000"/>
          <w:sz w:val="24"/>
          <w:szCs w:val="24"/>
        </w:rPr>
        <w:t>月</w:t>
      </w:r>
      <w:r>
        <w:rPr>
          <w:rFonts w:hint="eastAsia" w:ascii="宋体" w:hAnsi="宋体"/>
          <w:b/>
          <w:bCs/>
          <w:color w:val="000000"/>
          <w:sz w:val="24"/>
          <w:szCs w:val="24"/>
          <w:u w:val="single"/>
        </w:rPr>
        <w:t xml:space="preserve">         </w:t>
      </w:r>
      <w:r>
        <w:rPr>
          <w:rFonts w:hint="eastAsia" w:ascii="宋体" w:hAnsi="宋体"/>
          <w:b/>
          <w:bCs/>
          <w:color w:val="000000"/>
          <w:sz w:val="24"/>
          <w:szCs w:val="24"/>
        </w:rPr>
        <w:t>日</w:t>
      </w:r>
    </w:p>
    <w:p w14:paraId="4F193E42">
      <w:pPr>
        <w:spacing w:line="360" w:lineRule="auto"/>
        <w:jc w:val="both"/>
        <w:rPr>
          <w:rFonts w:hint="eastAsia" w:ascii="宋体" w:hAnsi="宋体"/>
          <w:b/>
          <w:sz w:val="24"/>
          <w:szCs w:val="24"/>
        </w:rPr>
      </w:pPr>
    </w:p>
    <w:p w14:paraId="4E686E4E">
      <w:pPr>
        <w:pStyle w:val="8"/>
        <w:rPr>
          <w:rFonts w:hint="eastAsia"/>
        </w:rPr>
      </w:pPr>
    </w:p>
    <w:p w14:paraId="667D2F9B">
      <w:pPr>
        <w:spacing w:line="20" w:lineRule="exact"/>
        <w:rPr>
          <w:rFonts w:hint="eastAsia" w:ascii="宋体" w:hAnsi="宋体"/>
          <w:b/>
          <w:bCs/>
          <w:sz w:val="44"/>
          <w:szCs w:val="4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9"/>
        <w:gridCol w:w="4820"/>
      </w:tblGrid>
      <w:tr w14:paraId="07D1A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9" w:type="dxa"/>
            <w:noWrap w:val="0"/>
            <w:vAlign w:val="center"/>
          </w:tcPr>
          <w:p w14:paraId="75E06B7C">
            <w:pPr>
              <w:widowControl w:val="0"/>
              <w:spacing w:before="317" w:beforeLines="100" w:after="317" w:afterLines="100" w:line="600" w:lineRule="exact"/>
              <w:jc w:val="center"/>
              <w:rPr>
                <w:rFonts w:ascii="宋体" w:hAnsi="宋体"/>
              </w:rPr>
            </w:pPr>
            <w:bookmarkStart w:id="364" w:name="_Toc31847"/>
            <w:bookmarkEnd w:id="364"/>
            <w:bookmarkStart w:id="365" w:name="_Toc15398"/>
            <w:bookmarkEnd w:id="365"/>
            <w:bookmarkStart w:id="366" w:name="_Toc23744"/>
            <w:r>
              <w:rPr>
                <w:rFonts w:hint="eastAsia" w:ascii="宋体" w:hAnsi="宋体" w:eastAsia="Times New Roman"/>
                <w:sz w:val="24"/>
                <w:szCs w:val="24"/>
              </w:rPr>
              <w:t>法定代表人身份证</w:t>
            </w:r>
            <w:r>
              <w:rPr>
                <w:rFonts w:hint="eastAsia" w:ascii="宋体" w:hAnsi="宋体"/>
                <w:sz w:val="24"/>
                <w:szCs w:val="24"/>
              </w:rPr>
              <w:t>正面</w:t>
            </w:r>
          </w:p>
        </w:tc>
        <w:tc>
          <w:tcPr>
            <w:tcW w:w="4820" w:type="dxa"/>
            <w:noWrap w:val="0"/>
            <w:vAlign w:val="center"/>
          </w:tcPr>
          <w:p w14:paraId="485375E2">
            <w:pPr>
              <w:widowControl w:val="0"/>
              <w:spacing w:before="317" w:beforeLines="100" w:after="317" w:afterLines="100" w:line="600" w:lineRule="exact"/>
              <w:jc w:val="center"/>
              <w:rPr>
                <w:rFonts w:ascii="宋体" w:hAnsi="宋体" w:eastAsia="Times New Roman"/>
              </w:rPr>
            </w:pPr>
            <w:r>
              <w:rPr>
                <w:rFonts w:hint="eastAsia" w:ascii="宋体" w:hAnsi="宋体" w:eastAsia="Times New Roman"/>
                <w:sz w:val="24"/>
                <w:szCs w:val="24"/>
              </w:rPr>
              <w:t>法定代表人身份证</w:t>
            </w:r>
            <w:r>
              <w:rPr>
                <w:rFonts w:hint="eastAsia" w:ascii="宋体" w:hAnsi="宋体"/>
                <w:sz w:val="24"/>
                <w:szCs w:val="24"/>
              </w:rPr>
              <w:t>反面</w:t>
            </w:r>
          </w:p>
        </w:tc>
      </w:tr>
    </w:tbl>
    <w:p w14:paraId="5E91E0F1">
      <w:pPr>
        <w:pStyle w:val="4"/>
        <w:widowControl/>
        <w:autoSpaceDE w:val="0"/>
        <w:spacing w:before="0" w:after="0" w:line="360" w:lineRule="auto"/>
        <w:ind w:firstLine="562" w:firstLineChars="200"/>
        <w:rPr>
          <w:rFonts w:hint="eastAsia" w:ascii="宋体" w:hAnsi="宋体"/>
          <w:szCs w:val="28"/>
        </w:rPr>
      </w:pPr>
      <w:r>
        <w:rPr>
          <w:rFonts w:hint="eastAsia" w:ascii="宋体" w:hAnsi="宋体"/>
          <w:szCs w:val="28"/>
        </w:rPr>
        <w:br w:type="page"/>
      </w:r>
      <w:bookmarkStart w:id="367" w:name="_Toc25093"/>
      <w:bookmarkStart w:id="368" w:name="_Toc17375"/>
      <w:bookmarkStart w:id="369" w:name="_Toc3896310"/>
      <w:r>
        <w:rPr>
          <w:rFonts w:hint="eastAsia" w:ascii="宋体" w:hAnsi="宋体"/>
          <w:szCs w:val="28"/>
        </w:rPr>
        <w:t>四、授权委托书</w:t>
      </w:r>
      <w:bookmarkEnd w:id="366"/>
      <w:bookmarkEnd w:id="367"/>
      <w:bookmarkEnd w:id="368"/>
      <w:bookmarkEnd w:id="369"/>
    </w:p>
    <w:p w14:paraId="6EA86974">
      <w:pPr>
        <w:spacing w:line="200" w:lineRule="exact"/>
        <w:rPr>
          <w:rFonts w:hint="eastAsia" w:ascii="宋体" w:hAnsi="宋体"/>
        </w:rPr>
      </w:pPr>
      <w:r>
        <w:rPr>
          <w:rFonts w:ascii="宋体" w:hAnsi="宋体"/>
        </w:rPr>
        <w:t xml:space="preserve"> </w:t>
      </w:r>
    </w:p>
    <w:p w14:paraId="408C9A73">
      <w:pPr>
        <w:spacing w:line="200" w:lineRule="exact"/>
        <w:rPr>
          <w:rFonts w:ascii="宋体" w:hAnsi="宋体"/>
        </w:rPr>
      </w:pPr>
      <w:r>
        <w:rPr>
          <w:rFonts w:ascii="宋体" w:hAnsi="宋体"/>
        </w:rPr>
        <w:t xml:space="preserve"> </w:t>
      </w:r>
    </w:p>
    <w:p w14:paraId="2463E74B">
      <w:pPr>
        <w:spacing w:line="360" w:lineRule="auto"/>
        <w:ind w:firstLine="480" w:firstLineChars="200"/>
        <w:rPr>
          <w:rFonts w:ascii="宋体" w:hAnsi="宋体"/>
          <w:sz w:val="24"/>
          <w:szCs w:val="24"/>
        </w:rPr>
      </w:pPr>
      <w:r>
        <w:rPr>
          <w:rFonts w:hint="eastAsia" w:ascii="宋体" w:hAnsi="宋体"/>
          <w:sz w:val="24"/>
          <w:szCs w:val="24"/>
        </w:rPr>
        <w:t>本人</w:t>
      </w:r>
      <w:r>
        <w:rPr>
          <w:rFonts w:hint="eastAsia" w:ascii="宋体" w:hAnsi="宋体"/>
          <w:sz w:val="24"/>
          <w:szCs w:val="24"/>
          <w:u w:val="single"/>
        </w:rPr>
        <w:t xml:space="preserve">             </w:t>
      </w:r>
      <w:r>
        <w:rPr>
          <w:rFonts w:hint="eastAsia" w:ascii="宋体" w:hAnsi="宋体"/>
          <w:sz w:val="24"/>
          <w:szCs w:val="24"/>
        </w:rPr>
        <w:t>（姓名）系</w:t>
      </w:r>
      <w:r>
        <w:rPr>
          <w:rFonts w:hint="eastAsia" w:ascii="宋体" w:hAnsi="宋体"/>
          <w:sz w:val="24"/>
          <w:szCs w:val="24"/>
          <w:u w:val="single"/>
        </w:rPr>
        <w:t xml:space="preserve">                      </w:t>
      </w:r>
      <w:r>
        <w:rPr>
          <w:rFonts w:hint="eastAsia" w:ascii="宋体" w:hAnsi="宋体"/>
          <w:sz w:val="24"/>
          <w:szCs w:val="24"/>
        </w:rPr>
        <w:t>（供应商名称）的法定代表人，现委托</w:t>
      </w:r>
      <w:r>
        <w:rPr>
          <w:rFonts w:hint="eastAsia" w:ascii="宋体" w:hAnsi="宋体"/>
          <w:sz w:val="24"/>
          <w:szCs w:val="24"/>
          <w:u w:val="single"/>
        </w:rPr>
        <w:t xml:space="preserve">             </w:t>
      </w:r>
      <w:r>
        <w:rPr>
          <w:rFonts w:hint="eastAsia" w:ascii="宋体" w:hAnsi="宋体"/>
          <w:sz w:val="24"/>
          <w:szCs w:val="24"/>
        </w:rPr>
        <w:t>（姓名）为我方代理人。代理人根据授权，以我方名义签署、澄清、说明、补正、撤回、修改</w:t>
      </w:r>
      <w:r>
        <w:rPr>
          <w:rFonts w:hint="eastAsia" w:ascii="宋体" w:hAnsi="宋体"/>
          <w:sz w:val="24"/>
          <w:szCs w:val="24"/>
          <w:u w:val="single"/>
        </w:rPr>
        <w:t xml:space="preserve">             </w:t>
      </w:r>
      <w:r>
        <w:rPr>
          <w:rFonts w:hint="eastAsia" w:ascii="宋体" w:hAnsi="宋体"/>
          <w:sz w:val="24"/>
          <w:szCs w:val="24"/>
        </w:rPr>
        <w:t>（项目名称）响应文件、签订合同和处理有关事宜，其法律后果由我方承担。</w:t>
      </w:r>
    </w:p>
    <w:p w14:paraId="21F423CB">
      <w:pPr>
        <w:spacing w:line="360" w:lineRule="auto"/>
        <w:ind w:firstLine="480" w:firstLineChars="200"/>
        <w:rPr>
          <w:rFonts w:hint="eastAsia" w:ascii="宋体" w:hAnsi="宋体"/>
          <w:sz w:val="24"/>
          <w:szCs w:val="24"/>
        </w:rPr>
      </w:pPr>
      <w:r>
        <w:rPr>
          <w:rFonts w:hint="eastAsia" w:ascii="宋体" w:hAnsi="宋体"/>
          <w:sz w:val="24"/>
          <w:szCs w:val="24"/>
        </w:rPr>
        <w:t>代理人无转委托权。</w:t>
      </w:r>
    </w:p>
    <w:p w14:paraId="326054D5">
      <w:pPr>
        <w:spacing w:before="468" w:line="360" w:lineRule="auto"/>
        <w:ind w:firstLine="3373" w:firstLineChars="1400"/>
        <w:rPr>
          <w:rFonts w:hint="eastAsia" w:ascii="宋体" w:hAnsi="宋体"/>
          <w:b/>
          <w:color w:val="000000"/>
          <w:sz w:val="24"/>
          <w:szCs w:val="24"/>
        </w:rPr>
      </w:pPr>
      <w:r>
        <w:rPr>
          <w:rFonts w:hint="eastAsia" w:ascii="宋体" w:hAnsi="宋体"/>
          <w:b/>
          <w:bCs/>
          <w:color w:val="000000"/>
          <w:sz w:val="24"/>
          <w:szCs w:val="24"/>
        </w:rPr>
        <w:t>供应商</w:t>
      </w:r>
      <w:r>
        <w:rPr>
          <w:rFonts w:hint="eastAsia" w:ascii="宋体" w:hAnsi="宋体"/>
          <w:b/>
          <w:color w:val="000000"/>
          <w:sz w:val="24"/>
          <w:szCs w:val="24"/>
        </w:rPr>
        <w:t>：</w:t>
      </w:r>
      <w:r>
        <w:rPr>
          <w:rFonts w:hint="eastAsia" w:ascii="宋体" w:hAnsi="宋体"/>
          <w:b/>
          <w:color w:val="000000"/>
          <w:sz w:val="24"/>
          <w:szCs w:val="24"/>
          <w:u w:val="single"/>
        </w:rPr>
        <w:t xml:space="preserve">                        </w:t>
      </w:r>
      <w:r>
        <w:rPr>
          <w:rFonts w:hint="eastAsia" w:ascii="宋体" w:hAnsi="宋体"/>
          <w:b/>
          <w:bCs/>
          <w:color w:val="000000"/>
          <w:sz w:val="24"/>
          <w:szCs w:val="24"/>
        </w:rPr>
        <w:t>（电子签章）</w:t>
      </w:r>
    </w:p>
    <w:p w14:paraId="4EF743E4">
      <w:pPr>
        <w:spacing w:before="468" w:line="360" w:lineRule="auto"/>
        <w:ind w:firstLine="3373" w:firstLineChars="1400"/>
        <w:rPr>
          <w:rFonts w:hint="eastAsia" w:ascii="宋体" w:hAnsi="宋体"/>
          <w:b/>
          <w:color w:val="000000"/>
          <w:sz w:val="24"/>
          <w:szCs w:val="24"/>
        </w:rPr>
      </w:pPr>
      <w:r>
        <w:rPr>
          <w:rFonts w:hint="eastAsia" w:ascii="宋体" w:hAnsi="宋体"/>
          <w:b/>
          <w:color w:val="000000"/>
          <w:sz w:val="24"/>
          <w:szCs w:val="24"/>
        </w:rPr>
        <w:t>法定代表人：</w:t>
      </w:r>
      <w:r>
        <w:rPr>
          <w:rFonts w:hint="eastAsia" w:ascii="宋体" w:hAnsi="宋体"/>
          <w:b/>
          <w:color w:val="000000"/>
          <w:sz w:val="24"/>
          <w:szCs w:val="24"/>
          <w:u w:val="single"/>
        </w:rPr>
        <w:t xml:space="preserve">           </w:t>
      </w:r>
      <w:r>
        <w:rPr>
          <w:rFonts w:hint="eastAsia" w:ascii="宋体" w:hAnsi="宋体"/>
          <w:b/>
          <w:color w:val="000000"/>
          <w:sz w:val="24"/>
          <w:szCs w:val="24"/>
        </w:rPr>
        <w:t>（</w:t>
      </w:r>
      <w:r>
        <w:rPr>
          <w:rFonts w:hint="eastAsia" w:ascii="宋体" w:hAnsi="宋体"/>
          <w:b/>
          <w:bCs/>
          <w:color w:val="000000"/>
          <w:sz w:val="24"/>
          <w:szCs w:val="24"/>
        </w:rPr>
        <w:t>签字或电子签章</w:t>
      </w:r>
      <w:r>
        <w:rPr>
          <w:rFonts w:hint="eastAsia" w:ascii="宋体" w:hAnsi="宋体"/>
          <w:b/>
          <w:color w:val="000000"/>
          <w:sz w:val="24"/>
          <w:szCs w:val="24"/>
        </w:rPr>
        <w:t>）</w:t>
      </w:r>
    </w:p>
    <w:p w14:paraId="03A8F0FA">
      <w:pPr>
        <w:autoSpaceDE w:val="0"/>
        <w:autoSpaceDN w:val="0"/>
        <w:adjustRightInd w:val="0"/>
        <w:spacing w:line="360" w:lineRule="auto"/>
        <w:ind w:firstLine="3373" w:firstLineChars="1400"/>
        <w:rPr>
          <w:rFonts w:hint="eastAsia"/>
          <w:b/>
          <w:bCs/>
          <w:color w:val="000000"/>
          <w:sz w:val="24"/>
          <w:szCs w:val="24"/>
          <w:u w:val="single"/>
        </w:rPr>
      </w:pPr>
      <w:r>
        <w:rPr>
          <w:rFonts w:hint="eastAsia" w:ascii="宋体" w:hAnsi="宋体" w:cs="仿宋_GB2312"/>
          <w:b/>
          <w:bCs/>
          <w:color w:val="000000"/>
          <w:sz w:val="24"/>
          <w:szCs w:val="24"/>
        </w:rPr>
        <w:t>身份证号码：</w:t>
      </w:r>
      <w:r>
        <w:rPr>
          <w:rFonts w:hint="eastAsia" w:ascii="宋体" w:hAnsi="宋体" w:cs="仿宋_GB2312"/>
          <w:b/>
          <w:bCs/>
          <w:color w:val="000000"/>
          <w:sz w:val="24"/>
          <w:szCs w:val="24"/>
          <w:u w:val="single"/>
        </w:rPr>
        <w:t xml:space="preserve">                            </w:t>
      </w:r>
    </w:p>
    <w:p w14:paraId="25831FA7">
      <w:pPr>
        <w:spacing w:before="468" w:line="360" w:lineRule="auto"/>
        <w:ind w:firstLine="3373" w:firstLineChars="1400"/>
        <w:rPr>
          <w:rFonts w:hint="eastAsia" w:ascii="宋体" w:hAnsi="宋体"/>
          <w:b/>
          <w:color w:val="000000"/>
          <w:sz w:val="24"/>
          <w:szCs w:val="24"/>
        </w:rPr>
      </w:pPr>
      <w:r>
        <w:rPr>
          <w:rFonts w:hint="eastAsia" w:ascii="宋体" w:hAnsi="宋体"/>
          <w:b/>
          <w:color w:val="000000"/>
          <w:sz w:val="24"/>
          <w:szCs w:val="24"/>
        </w:rPr>
        <w:t>委托代理人：</w:t>
      </w:r>
      <w:r>
        <w:rPr>
          <w:rFonts w:hint="eastAsia" w:ascii="宋体" w:hAnsi="宋体"/>
          <w:b/>
          <w:color w:val="000000"/>
          <w:sz w:val="24"/>
          <w:szCs w:val="24"/>
          <w:u w:val="single"/>
        </w:rPr>
        <w:t xml:space="preserve">                       </w:t>
      </w:r>
    </w:p>
    <w:p w14:paraId="08CCFA2E">
      <w:pPr>
        <w:autoSpaceDE w:val="0"/>
        <w:autoSpaceDN w:val="0"/>
        <w:adjustRightInd w:val="0"/>
        <w:spacing w:line="360" w:lineRule="auto"/>
        <w:ind w:firstLine="3373" w:firstLineChars="1400"/>
        <w:rPr>
          <w:rFonts w:hint="eastAsia"/>
          <w:color w:val="000000"/>
        </w:rPr>
      </w:pPr>
      <w:r>
        <w:rPr>
          <w:rFonts w:hint="eastAsia" w:ascii="宋体" w:hAnsi="宋体" w:cs="仿宋_GB2312"/>
          <w:b/>
          <w:bCs/>
          <w:color w:val="000000"/>
          <w:sz w:val="24"/>
        </w:rPr>
        <w:t>身份证号码：</w:t>
      </w:r>
      <w:r>
        <w:rPr>
          <w:rFonts w:hint="eastAsia" w:ascii="宋体" w:hAnsi="宋体" w:cs="仿宋_GB2312"/>
          <w:b/>
          <w:bCs/>
          <w:color w:val="000000"/>
          <w:sz w:val="24"/>
          <w:u w:val="single"/>
        </w:rPr>
        <w:t xml:space="preserve">                            </w:t>
      </w:r>
    </w:p>
    <w:p w14:paraId="00E699EC">
      <w:pPr>
        <w:spacing w:before="468" w:line="360" w:lineRule="auto"/>
        <w:ind w:firstLine="3373" w:firstLineChars="1400"/>
        <w:rPr>
          <w:rFonts w:hint="eastAsia" w:ascii="宋体" w:hAnsi="宋体"/>
          <w:b/>
          <w:color w:val="000000"/>
          <w:sz w:val="24"/>
          <w:szCs w:val="24"/>
        </w:rPr>
      </w:pPr>
      <w:r>
        <w:rPr>
          <w:rFonts w:hint="eastAsia" w:ascii="宋体" w:hAnsi="宋体"/>
          <w:b/>
          <w:color w:val="000000"/>
          <w:sz w:val="24"/>
          <w:szCs w:val="24"/>
        </w:rPr>
        <w:t>日期：</w:t>
      </w:r>
      <w:r>
        <w:rPr>
          <w:rFonts w:hint="eastAsia" w:ascii="宋体" w:hAnsi="宋体"/>
          <w:b/>
          <w:color w:val="000000"/>
          <w:sz w:val="24"/>
          <w:szCs w:val="24"/>
          <w:u w:val="single"/>
        </w:rPr>
        <w:t xml:space="preserve">       </w:t>
      </w:r>
      <w:r>
        <w:rPr>
          <w:rFonts w:hint="eastAsia" w:ascii="宋体" w:hAnsi="宋体"/>
          <w:b/>
          <w:color w:val="000000"/>
          <w:sz w:val="24"/>
          <w:szCs w:val="24"/>
        </w:rPr>
        <w:t>年</w:t>
      </w:r>
      <w:r>
        <w:rPr>
          <w:rFonts w:hint="eastAsia" w:ascii="宋体" w:hAnsi="宋体"/>
          <w:b/>
          <w:color w:val="000000"/>
          <w:sz w:val="24"/>
          <w:szCs w:val="24"/>
          <w:u w:val="single"/>
        </w:rPr>
        <w:t xml:space="preserve">       </w:t>
      </w:r>
      <w:r>
        <w:rPr>
          <w:rFonts w:hint="eastAsia" w:ascii="宋体" w:hAnsi="宋体"/>
          <w:b/>
          <w:color w:val="000000"/>
          <w:sz w:val="24"/>
          <w:szCs w:val="24"/>
        </w:rPr>
        <w:t>月</w:t>
      </w:r>
      <w:r>
        <w:rPr>
          <w:rFonts w:hint="eastAsia" w:ascii="宋体" w:hAnsi="宋体"/>
          <w:b/>
          <w:color w:val="000000"/>
          <w:sz w:val="24"/>
          <w:szCs w:val="24"/>
          <w:u w:val="single"/>
        </w:rPr>
        <w:t xml:space="preserve">       </w:t>
      </w:r>
      <w:r>
        <w:rPr>
          <w:rFonts w:hint="eastAsia" w:ascii="宋体" w:hAnsi="宋体"/>
          <w:b/>
          <w:color w:val="000000"/>
          <w:sz w:val="24"/>
          <w:szCs w:val="24"/>
        </w:rPr>
        <w:t>日</w:t>
      </w:r>
    </w:p>
    <w:p w14:paraId="71103265">
      <w:pPr>
        <w:keepNext w:val="0"/>
        <w:keepLines w:val="0"/>
        <w:pageBreakBefore w:val="0"/>
        <w:widowControl/>
        <w:kinsoku/>
        <w:wordWrap/>
        <w:overflowPunct/>
        <w:topLinePunct w:val="0"/>
        <w:autoSpaceDE/>
        <w:autoSpaceDN/>
        <w:bidi w:val="0"/>
        <w:adjustRightInd/>
        <w:snapToGrid/>
        <w:spacing w:line="360" w:lineRule="auto"/>
        <w:ind w:right="482"/>
        <w:textAlignment w:val="auto"/>
        <w:rPr>
          <w:rFonts w:hint="eastAsia" w:ascii="宋体" w:hAnsi="宋体"/>
          <w:sz w:val="24"/>
          <w:szCs w:val="24"/>
          <w:highlight w:val="none"/>
        </w:rPr>
      </w:pPr>
      <w:r>
        <w:rPr>
          <w:rFonts w:hint="eastAsia" w:ascii="宋体" w:hAnsi="宋体"/>
          <w:b/>
          <w:sz w:val="24"/>
          <w:szCs w:val="24"/>
          <w:highlight w:val="none"/>
        </w:rPr>
        <w:t>注：</w:t>
      </w:r>
      <w:r>
        <w:rPr>
          <w:rFonts w:ascii="宋体" w:hAnsi="宋体"/>
          <w:b/>
          <w:sz w:val="24"/>
          <w:highlight w:val="none"/>
        </w:rPr>
        <w:t>附授权委托代理人身份证</w:t>
      </w:r>
      <w:r>
        <w:rPr>
          <w:rFonts w:hint="eastAsia" w:ascii="宋体" w:hAnsi="宋体"/>
          <w:b/>
          <w:sz w:val="24"/>
          <w:szCs w:val="24"/>
          <w:highlight w:val="none"/>
          <w:lang w:val="en-US" w:eastAsia="zh-CN"/>
        </w:rPr>
        <w:t>扫描件</w:t>
      </w:r>
      <w:r>
        <w:rPr>
          <w:rFonts w:ascii="宋体" w:hAnsi="宋体"/>
          <w:b/>
          <w:sz w:val="24"/>
          <w:highlight w:val="none"/>
        </w:rPr>
        <w:t>，如由法定代表人亲自签署</w:t>
      </w:r>
      <w:r>
        <w:rPr>
          <w:rFonts w:hint="eastAsia" w:ascii="宋体" w:hAnsi="宋体"/>
          <w:b/>
          <w:bCs/>
          <w:sz w:val="24"/>
          <w:highlight w:val="none"/>
          <w:lang w:eastAsia="zh-CN"/>
        </w:rPr>
        <w:t>响应</w:t>
      </w:r>
      <w:r>
        <w:rPr>
          <w:rFonts w:ascii="宋体" w:hAnsi="宋体"/>
          <w:b/>
          <w:bCs/>
          <w:sz w:val="24"/>
          <w:highlight w:val="none"/>
        </w:rPr>
        <w:t>文件</w:t>
      </w:r>
      <w:r>
        <w:rPr>
          <w:rFonts w:ascii="宋体" w:hAnsi="宋体"/>
          <w:b/>
          <w:sz w:val="24"/>
          <w:highlight w:val="none"/>
        </w:rPr>
        <w:t>并参与相关活动，则不需要办理授权。如由被授权的代理人签署上述文件，则必须按本格式规定填报并提交授权书，否则被授权的代理人将不被认可</w:t>
      </w:r>
      <w:r>
        <w:rPr>
          <w:rFonts w:hint="eastAsia" w:ascii="宋体" w:hAnsi="宋体"/>
          <w:b/>
          <w:sz w:val="24"/>
          <w:highlight w:val="none"/>
        </w:rPr>
        <w:t>。</w:t>
      </w:r>
    </w:p>
    <w:p w14:paraId="22587BC6">
      <w:pPr>
        <w:ind w:right="480"/>
        <w:rPr>
          <w:rFonts w:hint="eastAsia" w:ascii="宋体" w:hAnsi="宋体"/>
          <w:color w:val="000000"/>
          <w:sz w:val="24"/>
          <w:szCs w:val="24"/>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78B9D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4813" w:type="dxa"/>
            <w:noWrap w:val="0"/>
            <w:vAlign w:val="center"/>
          </w:tcPr>
          <w:p w14:paraId="0CAB187E">
            <w:pPr>
              <w:widowControl w:val="0"/>
              <w:spacing w:before="317" w:beforeLines="100" w:after="317" w:afterLines="100" w:line="600" w:lineRule="exact"/>
              <w:jc w:val="center"/>
              <w:rPr>
                <w:rFonts w:ascii="宋体" w:hAnsi="宋体"/>
                <w:color w:val="000000"/>
              </w:rPr>
            </w:pPr>
            <w:r>
              <w:rPr>
                <w:rFonts w:hint="eastAsia" w:ascii="宋体" w:hAnsi="宋体" w:eastAsia="Times New Roman"/>
                <w:color w:val="000000"/>
                <w:sz w:val="24"/>
                <w:szCs w:val="24"/>
              </w:rPr>
              <w:t>委托代理人身份证</w:t>
            </w:r>
            <w:r>
              <w:rPr>
                <w:rFonts w:hint="eastAsia" w:ascii="宋体" w:hAnsi="宋体"/>
                <w:color w:val="000000"/>
                <w:sz w:val="24"/>
                <w:szCs w:val="24"/>
              </w:rPr>
              <w:t>正面</w:t>
            </w:r>
          </w:p>
        </w:tc>
        <w:tc>
          <w:tcPr>
            <w:tcW w:w="4814" w:type="dxa"/>
            <w:noWrap w:val="0"/>
            <w:vAlign w:val="center"/>
          </w:tcPr>
          <w:p w14:paraId="79A06988">
            <w:pPr>
              <w:widowControl w:val="0"/>
              <w:spacing w:before="317" w:beforeLines="100" w:after="317" w:afterLines="100" w:line="600" w:lineRule="exact"/>
              <w:jc w:val="center"/>
              <w:rPr>
                <w:rFonts w:ascii="宋体" w:hAnsi="宋体" w:eastAsia="Times New Roman"/>
                <w:color w:val="000000"/>
              </w:rPr>
            </w:pPr>
            <w:r>
              <w:rPr>
                <w:rFonts w:hint="eastAsia" w:ascii="宋体" w:hAnsi="宋体" w:eastAsia="Times New Roman"/>
                <w:color w:val="000000"/>
                <w:sz w:val="24"/>
                <w:szCs w:val="24"/>
              </w:rPr>
              <w:t>委托代理人身份证</w:t>
            </w:r>
            <w:r>
              <w:rPr>
                <w:rFonts w:hint="eastAsia" w:ascii="宋体" w:hAnsi="宋体"/>
                <w:color w:val="000000"/>
                <w:sz w:val="24"/>
                <w:szCs w:val="24"/>
              </w:rPr>
              <w:t>反面</w:t>
            </w:r>
          </w:p>
        </w:tc>
      </w:tr>
    </w:tbl>
    <w:p w14:paraId="3F6ECF2E">
      <w:pPr>
        <w:spacing w:line="240" w:lineRule="exact"/>
        <w:rPr>
          <w:rFonts w:hint="eastAsia" w:ascii="宋体" w:hAnsi="宋体"/>
          <w:b/>
          <w:bCs/>
          <w:sz w:val="44"/>
          <w:szCs w:val="44"/>
        </w:rPr>
      </w:pPr>
    </w:p>
    <w:p w14:paraId="0267C426">
      <w:pPr>
        <w:pStyle w:val="4"/>
        <w:widowControl/>
        <w:autoSpaceDE w:val="0"/>
        <w:spacing w:before="0" w:after="0" w:line="360" w:lineRule="auto"/>
        <w:ind w:firstLine="562" w:firstLineChars="200"/>
        <w:rPr>
          <w:rFonts w:hint="eastAsia" w:ascii="宋体" w:hAnsi="宋体"/>
          <w:szCs w:val="28"/>
        </w:rPr>
      </w:pPr>
      <w:bookmarkStart w:id="370" w:name="_Toc26620"/>
      <w:bookmarkEnd w:id="370"/>
      <w:bookmarkStart w:id="371" w:name="_Toc3896311"/>
      <w:bookmarkStart w:id="372" w:name="_Toc9039"/>
      <w:bookmarkStart w:id="373" w:name="_Toc19510"/>
      <w:bookmarkStart w:id="374" w:name="_Toc18446"/>
    </w:p>
    <w:p w14:paraId="487A2B17">
      <w:pPr>
        <w:pStyle w:val="4"/>
        <w:widowControl/>
        <w:autoSpaceDE w:val="0"/>
        <w:spacing w:before="0" w:after="0" w:line="360" w:lineRule="auto"/>
        <w:ind w:firstLine="562" w:firstLineChars="200"/>
        <w:rPr>
          <w:rFonts w:hint="eastAsia" w:ascii="宋体" w:hAnsi="宋体"/>
          <w:szCs w:val="28"/>
        </w:rPr>
      </w:pPr>
      <w:r>
        <w:rPr>
          <w:rFonts w:hint="eastAsia" w:ascii="宋体" w:hAnsi="宋体"/>
          <w:szCs w:val="28"/>
        </w:rPr>
        <w:t>五、供应商基本情况表</w:t>
      </w:r>
      <w:bookmarkEnd w:id="371"/>
      <w:bookmarkEnd w:id="372"/>
      <w:bookmarkEnd w:id="373"/>
      <w:bookmarkEnd w:id="374"/>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14:paraId="3B5E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169D727D">
            <w:pPr>
              <w:spacing w:line="440" w:lineRule="exact"/>
              <w:jc w:val="center"/>
              <w:rPr>
                <w:rFonts w:ascii="宋体" w:hAnsi="宋体"/>
                <w:sz w:val="24"/>
                <w:szCs w:val="24"/>
              </w:rPr>
            </w:pPr>
            <w:r>
              <w:rPr>
                <w:rFonts w:hint="eastAsia" w:ascii="宋体" w:hAnsi="宋体"/>
                <w:sz w:val="24"/>
                <w:szCs w:val="24"/>
              </w:rPr>
              <w:t>供应商名称</w:t>
            </w:r>
          </w:p>
        </w:tc>
        <w:tc>
          <w:tcPr>
            <w:tcW w:w="6995" w:type="dxa"/>
            <w:gridSpan w:val="4"/>
            <w:tcBorders>
              <w:top w:val="single" w:color="auto" w:sz="4" w:space="0"/>
              <w:left w:val="nil"/>
              <w:bottom w:val="single" w:color="auto" w:sz="4" w:space="0"/>
              <w:right w:val="single" w:color="auto" w:sz="4" w:space="0"/>
            </w:tcBorders>
            <w:noWrap w:val="0"/>
            <w:vAlign w:val="center"/>
          </w:tcPr>
          <w:p w14:paraId="7927AA32">
            <w:pPr>
              <w:spacing w:line="440" w:lineRule="exact"/>
              <w:jc w:val="center"/>
              <w:rPr>
                <w:rFonts w:ascii="宋体" w:hAnsi="宋体"/>
                <w:sz w:val="24"/>
                <w:szCs w:val="24"/>
              </w:rPr>
            </w:pPr>
          </w:p>
        </w:tc>
      </w:tr>
      <w:tr w14:paraId="185CF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36DF8B81">
            <w:pPr>
              <w:spacing w:line="440" w:lineRule="exact"/>
              <w:jc w:val="center"/>
              <w:rPr>
                <w:rFonts w:hint="eastAsia" w:ascii="宋体" w:hAnsi="宋体"/>
                <w:color w:val="000000"/>
                <w:sz w:val="24"/>
                <w:szCs w:val="24"/>
              </w:rPr>
            </w:pPr>
            <w:r>
              <w:rPr>
                <w:rFonts w:hint="eastAsia" w:ascii="宋体" w:hAnsi="宋体"/>
                <w:color w:val="000000"/>
                <w:sz w:val="24"/>
                <w:szCs w:val="24"/>
              </w:rPr>
              <w:t>税号</w:t>
            </w:r>
          </w:p>
        </w:tc>
        <w:tc>
          <w:tcPr>
            <w:tcW w:w="6995" w:type="dxa"/>
            <w:gridSpan w:val="4"/>
            <w:tcBorders>
              <w:top w:val="single" w:color="auto" w:sz="4" w:space="0"/>
              <w:left w:val="nil"/>
              <w:bottom w:val="single" w:color="auto" w:sz="4" w:space="0"/>
              <w:right w:val="single" w:color="auto" w:sz="4" w:space="0"/>
            </w:tcBorders>
            <w:noWrap w:val="0"/>
            <w:vAlign w:val="center"/>
          </w:tcPr>
          <w:p w14:paraId="0FD689EC">
            <w:pPr>
              <w:spacing w:line="440" w:lineRule="exact"/>
              <w:jc w:val="center"/>
              <w:rPr>
                <w:rFonts w:ascii="宋体" w:hAnsi="宋体"/>
                <w:sz w:val="24"/>
                <w:szCs w:val="24"/>
              </w:rPr>
            </w:pPr>
          </w:p>
        </w:tc>
      </w:tr>
      <w:tr w14:paraId="37E9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0B73A768">
            <w:pPr>
              <w:spacing w:line="440" w:lineRule="exact"/>
              <w:jc w:val="center"/>
              <w:rPr>
                <w:rFonts w:ascii="宋体" w:hAnsi="宋体"/>
                <w:sz w:val="24"/>
                <w:szCs w:val="24"/>
              </w:rPr>
            </w:pPr>
            <w:r>
              <w:rPr>
                <w:rFonts w:hint="eastAsia" w:ascii="宋体" w:hAnsi="宋体"/>
                <w:sz w:val="24"/>
                <w:szCs w:val="24"/>
              </w:rPr>
              <w:t>注册资金</w:t>
            </w:r>
          </w:p>
        </w:tc>
        <w:tc>
          <w:tcPr>
            <w:tcW w:w="3698" w:type="dxa"/>
            <w:gridSpan w:val="2"/>
            <w:tcBorders>
              <w:top w:val="single" w:color="auto" w:sz="4" w:space="0"/>
              <w:left w:val="nil"/>
              <w:bottom w:val="single" w:color="auto" w:sz="4" w:space="0"/>
              <w:right w:val="single" w:color="auto" w:sz="4" w:space="0"/>
            </w:tcBorders>
            <w:noWrap w:val="0"/>
            <w:vAlign w:val="center"/>
          </w:tcPr>
          <w:p w14:paraId="310FB7D6">
            <w:pPr>
              <w:spacing w:line="440" w:lineRule="exact"/>
              <w:jc w:val="center"/>
              <w:rPr>
                <w:rFonts w:ascii="宋体" w:hAnsi="宋体"/>
                <w:sz w:val="24"/>
                <w:szCs w:val="24"/>
              </w:rPr>
            </w:pPr>
          </w:p>
        </w:tc>
        <w:tc>
          <w:tcPr>
            <w:tcW w:w="1368" w:type="dxa"/>
            <w:tcBorders>
              <w:top w:val="single" w:color="auto" w:sz="4" w:space="0"/>
              <w:left w:val="nil"/>
              <w:bottom w:val="single" w:color="auto" w:sz="4" w:space="0"/>
              <w:right w:val="single" w:color="auto" w:sz="4" w:space="0"/>
            </w:tcBorders>
            <w:noWrap w:val="0"/>
            <w:vAlign w:val="center"/>
          </w:tcPr>
          <w:p w14:paraId="01EF4F2E">
            <w:pPr>
              <w:spacing w:line="440" w:lineRule="exact"/>
              <w:jc w:val="center"/>
              <w:rPr>
                <w:rFonts w:ascii="宋体" w:hAnsi="宋体"/>
                <w:sz w:val="24"/>
                <w:szCs w:val="24"/>
              </w:rPr>
            </w:pPr>
            <w:r>
              <w:rPr>
                <w:rFonts w:hint="eastAsia" w:ascii="宋体" w:hAnsi="宋体"/>
                <w:sz w:val="24"/>
                <w:szCs w:val="24"/>
              </w:rPr>
              <w:t>成立时间</w:t>
            </w:r>
          </w:p>
        </w:tc>
        <w:tc>
          <w:tcPr>
            <w:tcW w:w="1929" w:type="dxa"/>
            <w:tcBorders>
              <w:top w:val="single" w:color="auto" w:sz="4" w:space="0"/>
              <w:left w:val="nil"/>
              <w:bottom w:val="single" w:color="auto" w:sz="4" w:space="0"/>
              <w:right w:val="single" w:color="auto" w:sz="4" w:space="0"/>
            </w:tcBorders>
            <w:noWrap w:val="0"/>
            <w:vAlign w:val="center"/>
          </w:tcPr>
          <w:p w14:paraId="57038A4B">
            <w:pPr>
              <w:spacing w:line="440" w:lineRule="exact"/>
              <w:jc w:val="center"/>
              <w:rPr>
                <w:rFonts w:ascii="宋体" w:hAnsi="宋体"/>
                <w:sz w:val="24"/>
                <w:szCs w:val="24"/>
              </w:rPr>
            </w:pPr>
          </w:p>
        </w:tc>
      </w:tr>
      <w:tr w14:paraId="3EEA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2FB60A46">
            <w:pPr>
              <w:spacing w:line="440" w:lineRule="exact"/>
              <w:jc w:val="center"/>
              <w:rPr>
                <w:rFonts w:ascii="宋体" w:hAnsi="宋体"/>
                <w:sz w:val="24"/>
                <w:szCs w:val="24"/>
              </w:rPr>
            </w:pPr>
            <w:r>
              <w:rPr>
                <w:rFonts w:hint="eastAsia" w:ascii="宋体" w:hAnsi="宋体"/>
                <w:sz w:val="24"/>
                <w:szCs w:val="24"/>
              </w:rPr>
              <w:t>注册地址</w:t>
            </w:r>
          </w:p>
        </w:tc>
        <w:tc>
          <w:tcPr>
            <w:tcW w:w="6995" w:type="dxa"/>
            <w:gridSpan w:val="4"/>
            <w:tcBorders>
              <w:top w:val="single" w:color="auto" w:sz="4" w:space="0"/>
              <w:left w:val="nil"/>
              <w:bottom w:val="single" w:color="auto" w:sz="4" w:space="0"/>
              <w:right w:val="single" w:color="auto" w:sz="4" w:space="0"/>
            </w:tcBorders>
            <w:noWrap w:val="0"/>
            <w:vAlign w:val="center"/>
          </w:tcPr>
          <w:p w14:paraId="039FF4B5">
            <w:pPr>
              <w:spacing w:line="440" w:lineRule="exact"/>
              <w:jc w:val="center"/>
              <w:rPr>
                <w:rFonts w:ascii="宋体" w:hAnsi="宋体"/>
                <w:sz w:val="24"/>
                <w:szCs w:val="24"/>
              </w:rPr>
            </w:pPr>
          </w:p>
        </w:tc>
      </w:tr>
      <w:tr w14:paraId="405E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4686BCCD">
            <w:pPr>
              <w:spacing w:line="440" w:lineRule="exact"/>
              <w:jc w:val="center"/>
              <w:rPr>
                <w:rFonts w:ascii="宋体" w:hAnsi="宋体"/>
                <w:sz w:val="24"/>
                <w:szCs w:val="24"/>
              </w:rPr>
            </w:pPr>
            <w:r>
              <w:rPr>
                <w:rFonts w:hint="eastAsia" w:ascii="宋体" w:hAnsi="宋体"/>
                <w:sz w:val="24"/>
                <w:szCs w:val="24"/>
              </w:rPr>
              <w:t>邮政编码</w:t>
            </w:r>
          </w:p>
        </w:tc>
        <w:tc>
          <w:tcPr>
            <w:tcW w:w="3698" w:type="dxa"/>
            <w:gridSpan w:val="2"/>
            <w:tcBorders>
              <w:top w:val="single" w:color="auto" w:sz="4" w:space="0"/>
              <w:left w:val="nil"/>
              <w:bottom w:val="single" w:color="auto" w:sz="4" w:space="0"/>
              <w:right w:val="single" w:color="auto" w:sz="4" w:space="0"/>
            </w:tcBorders>
            <w:noWrap w:val="0"/>
            <w:vAlign w:val="center"/>
          </w:tcPr>
          <w:p w14:paraId="3AF8B317">
            <w:pPr>
              <w:spacing w:line="440" w:lineRule="exact"/>
              <w:jc w:val="center"/>
              <w:rPr>
                <w:rFonts w:ascii="宋体" w:hAnsi="宋体"/>
                <w:sz w:val="24"/>
                <w:szCs w:val="24"/>
              </w:rPr>
            </w:pPr>
          </w:p>
        </w:tc>
        <w:tc>
          <w:tcPr>
            <w:tcW w:w="1368" w:type="dxa"/>
            <w:tcBorders>
              <w:top w:val="single" w:color="auto" w:sz="4" w:space="0"/>
              <w:left w:val="nil"/>
              <w:bottom w:val="single" w:color="auto" w:sz="4" w:space="0"/>
              <w:right w:val="single" w:color="auto" w:sz="4" w:space="0"/>
            </w:tcBorders>
            <w:noWrap w:val="0"/>
            <w:vAlign w:val="center"/>
          </w:tcPr>
          <w:p w14:paraId="63897F97">
            <w:pPr>
              <w:spacing w:line="440" w:lineRule="exact"/>
              <w:jc w:val="center"/>
              <w:rPr>
                <w:rFonts w:ascii="宋体" w:hAnsi="宋体"/>
                <w:sz w:val="24"/>
                <w:szCs w:val="24"/>
              </w:rPr>
            </w:pPr>
            <w:r>
              <w:rPr>
                <w:rFonts w:hint="eastAsia" w:ascii="宋体" w:hAnsi="宋体"/>
                <w:sz w:val="24"/>
                <w:szCs w:val="24"/>
              </w:rPr>
              <w:t>员工总数</w:t>
            </w:r>
          </w:p>
        </w:tc>
        <w:tc>
          <w:tcPr>
            <w:tcW w:w="1929" w:type="dxa"/>
            <w:tcBorders>
              <w:top w:val="single" w:color="auto" w:sz="4" w:space="0"/>
              <w:left w:val="nil"/>
              <w:bottom w:val="single" w:color="auto" w:sz="4" w:space="0"/>
              <w:right w:val="single" w:color="auto" w:sz="4" w:space="0"/>
            </w:tcBorders>
            <w:noWrap w:val="0"/>
            <w:vAlign w:val="center"/>
          </w:tcPr>
          <w:p w14:paraId="2E8812A9">
            <w:pPr>
              <w:spacing w:line="440" w:lineRule="exact"/>
              <w:jc w:val="center"/>
              <w:rPr>
                <w:rFonts w:ascii="宋体" w:hAnsi="宋体"/>
                <w:sz w:val="24"/>
                <w:szCs w:val="24"/>
              </w:rPr>
            </w:pPr>
          </w:p>
        </w:tc>
      </w:tr>
      <w:tr w14:paraId="74F1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restart"/>
            <w:tcBorders>
              <w:top w:val="nil"/>
              <w:left w:val="single" w:color="auto" w:sz="4" w:space="0"/>
              <w:bottom w:val="single" w:color="auto" w:sz="4" w:space="0"/>
              <w:right w:val="single" w:color="auto" w:sz="4" w:space="0"/>
            </w:tcBorders>
            <w:noWrap w:val="0"/>
            <w:vAlign w:val="center"/>
          </w:tcPr>
          <w:p w14:paraId="1CD41221">
            <w:pPr>
              <w:spacing w:line="440" w:lineRule="exact"/>
              <w:jc w:val="center"/>
              <w:rPr>
                <w:rFonts w:ascii="宋体" w:hAnsi="宋体"/>
                <w:sz w:val="24"/>
                <w:szCs w:val="24"/>
              </w:rPr>
            </w:pPr>
            <w:r>
              <w:rPr>
                <w:rFonts w:hint="eastAsia" w:ascii="宋体" w:hAnsi="宋体"/>
                <w:sz w:val="24"/>
                <w:szCs w:val="24"/>
              </w:rPr>
              <w:t>联系方式</w:t>
            </w:r>
          </w:p>
        </w:tc>
        <w:tc>
          <w:tcPr>
            <w:tcW w:w="1275" w:type="dxa"/>
            <w:tcBorders>
              <w:top w:val="single" w:color="auto" w:sz="4" w:space="0"/>
              <w:left w:val="nil"/>
              <w:bottom w:val="single" w:color="auto" w:sz="4" w:space="0"/>
              <w:right w:val="single" w:color="auto" w:sz="4" w:space="0"/>
            </w:tcBorders>
            <w:noWrap w:val="0"/>
            <w:vAlign w:val="center"/>
          </w:tcPr>
          <w:p w14:paraId="2FF1FB43">
            <w:pPr>
              <w:spacing w:line="440" w:lineRule="exact"/>
              <w:jc w:val="center"/>
              <w:rPr>
                <w:rFonts w:ascii="宋体" w:hAnsi="宋体"/>
                <w:sz w:val="24"/>
                <w:szCs w:val="24"/>
              </w:rPr>
            </w:pPr>
            <w:r>
              <w:rPr>
                <w:rFonts w:hint="eastAsia" w:ascii="宋体" w:hAnsi="宋体"/>
                <w:sz w:val="24"/>
                <w:szCs w:val="24"/>
              </w:rPr>
              <w:t>联系人</w:t>
            </w:r>
          </w:p>
        </w:tc>
        <w:tc>
          <w:tcPr>
            <w:tcW w:w="2423" w:type="dxa"/>
            <w:tcBorders>
              <w:top w:val="single" w:color="auto" w:sz="4" w:space="0"/>
              <w:left w:val="nil"/>
              <w:bottom w:val="single" w:color="auto" w:sz="4" w:space="0"/>
              <w:right w:val="single" w:color="auto" w:sz="4" w:space="0"/>
            </w:tcBorders>
            <w:noWrap w:val="0"/>
            <w:vAlign w:val="center"/>
          </w:tcPr>
          <w:p w14:paraId="2FFC3FE8">
            <w:pPr>
              <w:spacing w:line="440" w:lineRule="exact"/>
              <w:jc w:val="center"/>
              <w:rPr>
                <w:rFonts w:ascii="宋体" w:hAnsi="宋体"/>
                <w:sz w:val="24"/>
                <w:szCs w:val="24"/>
              </w:rPr>
            </w:pPr>
          </w:p>
        </w:tc>
        <w:tc>
          <w:tcPr>
            <w:tcW w:w="1368" w:type="dxa"/>
            <w:tcBorders>
              <w:top w:val="single" w:color="auto" w:sz="4" w:space="0"/>
              <w:left w:val="nil"/>
              <w:bottom w:val="single" w:color="auto" w:sz="4" w:space="0"/>
              <w:right w:val="single" w:color="auto" w:sz="4" w:space="0"/>
            </w:tcBorders>
            <w:noWrap w:val="0"/>
            <w:vAlign w:val="center"/>
          </w:tcPr>
          <w:p w14:paraId="25D515E3">
            <w:pPr>
              <w:spacing w:line="440" w:lineRule="exact"/>
              <w:jc w:val="center"/>
              <w:rPr>
                <w:rFonts w:ascii="宋体" w:hAnsi="宋体"/>
                <w:sz w:val="24"/>
                <w:szCs w:val="24"/>
              </w:rPr>
            </w:pPr>
            <w:r>
              <w:rPr>
                <w:rFonts w:hint="eastAsia" w:ascii="宋体" w:hAnsi="宋体"/>
                <w:sz w:val="24"/>
                <w:szCs w:val="24"/>
              </w:rPr>
              <w:t>电话</w:t>
            </w:r>
          </w:p>
        </w:tc>
        <w:tc>
          <w:tcPr>
            <w:tcW w:w="1929" w:type="dxa"/>
            <w:tcBorders>
              <w:top w:val="single" w:color="auto" w:sz="4" w:space="0"/>
              <w:left w:val="nil"/>
              <w:bottom w:val="single" w:color="auto" w:sz="4" w:space="0"/>
              <w:right w:val="single" w:color="auto" w:sz="4" w:space="0"/>
            </w:tcBorders>
            <w:noWrap w:val="0"/>
            <w:vAlign w:val="center"/>
          </w:tcPr>
          <w:p w14:paraId="024C708F">
            <w:pPr>
              <w:spacing w:line="440" w:lineRule="exact"/>
              <w:jc w:val="center"/>
              <w:rPr>
                <w:rFonts w:ascii="宋体" w:hAnsi="宋体"/>
                <w:sz w:val="24"/>
                <w:szCs w:val="24"/>
              </w:rPr>
            </w:pPr>
          </w:p>
        </w:tc>
      </w:tr>
      <w:tr w14:paraId="0C11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continue"/>
            <w:tcBorders>
              <w:top w:val="nil"/>
              <w:left w:val="single" w:color="auto" w:sz="4" w:space="0"/>
              <w:bottom w:val="single" w:color="auto" w:sz="4" w:space="0"/>
              <w:right w:val="single" w:color="auto" w:sz="4" w:space="0"/>
            </w:tcBorders>
            <w:noWrap w:val="0"/>
            <w:vAlign w:val="center"/>
          </w:tcPr>
          <w:p w14:paraId="33A980B7">
            <w:pPr>
              <w:widowControl w:val="0"/>
              <w:jc w:val="both"/>
              <w:rPr>
                <w:rFonts w:ascii="宋体" w:hAnsi="宋体"/>
                <w:kern w:val="2"/>
                <w:sz w:val="24"/>
                <w:szCs w:val="24"/>
              </w:rPr>
            </w:pPr>
          </w:p>
        </w:tc>
        <w:tc>
          <w:tcPr>
            <w:tcW w:w="1275" w:type="dxa"/>
            <w:tcBorders>
              <w:top w:val="single" w:color="auto" w:sz="4" w:space="0"/>
              <w:left w:val="nil"/>
              <w:bottom w:val="single" w:color="auto" w:sz="4" w:space="0"/>
              <w:right w:val="single" w:color="auto" w:sz="4" w:space="0"/>
            </w:tcBorders>
            <w:noWrap w:val="0"/>
            <w:vAlign w:val="center"/>
          </w:tcPr>
          <w:p w14:paraId="3EC44E20">
            <w:pPr>
              <w:spacing w:line="440" w:lineRule="exact"/>
              <w:jc w:val="center"/>
              <w:rPr>
                <w:rFonts w:ascii="宋体" w:hAnsi="宋体"/>
                <w:sz w:val="24"/>
                <w:szCs w:val="24"/>
              </w:rPr>
            </w:pPr>
            <w:r>
              <w:rPr>
                <w:rFonts w:hint="eastAsia" w:ascii="宋体" w:hAnsi="宋体"/>
                <w:sz w:val="24"/>
                <w:szCs w:val="24"/>
              </w:rPr>
              <w:t>网址</w:t>
            </w:r>
          </w:p>
        </w:tc>
        <w:tc>
          <w:tcPr>
            <w:tcW w:w="2423" w:type="dxa"/>
            <w:tcBorders>
              <w:top w:val="single" w:color="auto" w:sz="4" w:space="0"/>
              <w:left w:val="nil"/>
              <w:bottom w:val="single" w:color="auto" w:sz="4" w:space="0"/>
              <w:right w:val="single" w:color="auto" w:sz="4" w:space="0"/>
            </w:tcBorders>
            <w:noWrap w:val="0"/>
            <w:vAlign w:val="center"/>
          </w:tcPr>
          <w:p w14:paraId="4F94F73E">
            <w:pPr>
              <w:spacing w:line="440" w:lineRule="exact"/>
              <w:jc w:val="center"/>
              <w:rPr>
                <w:rFonts w:ascii="宋体" w:hAnsi="宋体"/>
                <w:sz w:val="24"/>
                <w:szCs w:val="24"/>
              </w:rPr>
            </w:pPr>
          </w:p>
        </w:tc>
        <w:tc>
          <w:tcPr>
            <w:tcW w:w="1368" w:type="dxa"/>
            <w:tcBorders>
              <w:top w:val="single" w:color="auto" w:sz="4" w:space="0"/>
              <w:left w:val="nil"/>
              <w:bottom w:val="single" w:color="auto" w:sz="4" w:space="0"/>
              <w:right w:val="single" w:color="auto" w:sz="4" w:space="0"/>
            </w:tcBorders>
            <w:noWrap w:val="0"/>
            <w:vAlign w:val="center"/>
          </w:tcPr>
          <w:p w14:paraId="7CA274D6">
            <w:pPr>
              <w:spacing w:line="440" w:lineRule="exact"/>
              <w:jc w:val="center"/>
              <w:rPr>
                <w:rFonts w:ascii="宋体" w:hAnsi="宋体"/>
                <w:sz w:val="24"/>
                <w:szCs w:val="24"/>
              </w:rPr>
            </w:pPr>
            <w:r>
              <w:rPr>
                <w:rFonts w:hint="eastAsia" w:ascii="宋体" w:hAnsi="宋体"/>
                <w:sz w:val="24"/>
                <w:szCs w:val="24"/>
              </w:rPr>
              <w:t>传真</w:t>
            </w:r>
          </w:p>
        </w:tc>
        <w:tc>
          <w:tcPr>
            <w:tcW w:w="1929" w:type="dxa"/>
            <w:tcBorders>
              <w:top w:val="single" w:color="auto" w:sz="4" w:space="0"/>
              <w:left w:val="nil"/>
              <w:bottom w:val="single" w:color="auto" w:sz="4" w:space="0"/>
              <w:right w:val="single" w:color="auto" w:sz="4" w:space="0"/>
            </w:tcBorders>
            <w:noWrap w:val="0"/>
            <w:vAlign w:val="center"/>
          </w:tcPr>
          <w:p w14:paraId="463E5A4F">
            <w:pPr>
              <w:spacing w:line="440" w:lineRule="exact"/>
              <w:jc w:val="center"/>
              <w:rPr>
                <w:rFonts w:ascii="宋体" w:hAnsi="宋体"/>
                <w:sz w:val="24"/>
                <w:szCs w:val="24"/>
              </w:rPr>
            </w:pPr>
          </w:p>
        </w:tc>
      </w:tr>
      <w:tr w14:paraId="498D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63DF19D1">
            <w:pPr>
              <w:spacing w:line="440" w:lineRule="exact"/>
              <w:jc w:val="center"/>
              <w:rPr>
                <w:rFonts w:ascii="宋体" w:hAnsi="宋体"/>
                <w:sz w:val="24"/>
                <w:szCs w:val="24"/>
              </w:rPr>
            </w:pPr>
            <w:r>
              <w:rPr>
                <w:rFonts w:hint="eastAsia" w:ascii="宋体" w:hAnsi="宋体"/>
                <w:sz w:val="24"/>
                <w:szCs w:val="24"/>
              </w:rPr>
              <w:t>法定代表人</w:t>
            </w:r>
          </w:p>
        </w:tc>
        <w:tc>
          <w:tcPr>
            <w:tcW w:w="1275" w:type="dxa"/>
            <w:tcBorders>
              <w:top w:val="single" w:color="auto" w:sz="4" w:space="0"/>
              <w:left w:val="nil"/>
              <w:bottom w:val="single" w:color="auto" w:sz="4" w:space="0"/>
              <w:right w:val="single" w:color="auto" w:sz="4" w:space="0"/>
            </w:tcBorders>
            <w:noWrap w:val="0"/>
            <w:vAlign w:val="center"/>
          </w:tcPr>
          <w:p w14:paraId="6EDC1850">
            <w:pPr>
              <w:spacing w:line="440" w:lineRule="exact"/>
              <w:jc w:val="center"/>
              <w:rPr>
                <w:rFonts w:ascii="宋体" w:hAnsi="宋体"/>
                <w:sz w:val="24"/>
                <w:szCs w:val="24"/>
              </w:rPr>
            </w:pPr>
            <w:r>
              <w:rPr>
                <w:rFonts w:hint="eastAsia" w:ascii="宋体" w:hAnsi="宋体"/>
                <w:sz w:val="24"/>
                <w:szCs w:val="24"/>
              </w:rPr>
              <w:t>姓名</w:t>
            </w:r>
          </w:p>
        </w:tc>
        <w:tc>
          <w:tcPr>
            <w:tcW w:w="2423" w:type="dxa"/>
            <w:tcBorders>
              <w:top w:val="single" w:color="auto" w:sz="4" w:space="0"/>
              <w:left w:val="nil"/>
              <w:bottom w:val="single" w:color="auto" w:sz="4" w:space="0"/>
              <w:right w:val="single" w:color="auto" w:sz="4" w:space="0"/>
            </w:tcBorders>
            <w:noWrap w:val="0"/>
            <w:vAlign w:val="center"/>
          </w:tcPr>
          <w:p w14:paraId="05376B26">
            <w:pPr>
              <w:spacing w:line="440" w:lineRule="exact"/>
              <w:jc w:val="center"/>
              <w:rPr>
                <w:rFonts w:ascii="宋体" w:hAnsi="宋体"/>
                <w:sz w:val="24"/>
                <w:szCs w:val="24"/>
              </w:rPr>
            </w:pPr>
          </w:p>
        </w:tc>
        <w:tc>
          <w:tcPr>
            <w:tcW w:w="1368" w:type="dxa"/>
            <w:tcBorders>
              <w:top w:val="single" w:color="auto" w:sz="4" w:space="0"/>
              <w:left w:val="nil"/>
              <w:bottom w:val="single" w:color="auto" w:sz="4" w:space="0"/>
              <w:right w:val="single" w:color="auto" w:sz="4" w:space="0"/>
            </w:tcBorders>
            <w:noWrap w:val="0"/>
            <w:vAlign w:val="center"/>
          </w:tcPr>
          <w:p w14:paraId="39034F08">
            <w:pPr>
              <w:spacing w:line="440" w:lineRule="exact"/>
              <w:jc w:val="center"/>
              <w:rPr>
                <w:rFonts w:ascii="宋体" w:hAnsi="宋体"/>
                <w:sz w:val="24"/>
                <w:szCs w:val="24"/>
              </w:rPr>
            </w:pPr>
            <w:r>
              <w:rPr>
                <w:rFonts w:hint="eastAsia" w:ascii="宋体" w:hAnsi="宋体"/>
                <w:sz w:val="24"/>
                <w:szCs w:val="24"/>
              </w:rPr>
              <w:t>电话</w:t>
            </w:r>
          </w:p>
        </w:tc>
        <w:tc>
          <w:tcPr>
            <w:tcW w:w="1929" w:type="dxa"/>
            <w:tcBorders>
              <w:top w:val="single" w:color="auto" w:sz="4" w:space="0"/>
              <w:left w:val="nil"/>
              <w:bottom w:val="single" w:color="auto" w:sz="4" w:space="0"/>
              <w:right w:val="single" w:color="auto" w:sz="4" w:space="0"/>
            </w:tcBorders>
            <w:noWrap w:val="0"/>
            <w:vAlign w:val="center"/>
          </w:tcPr>
          <w:p w14:paraId="261ECA55">
            <w:pPr>
              <w:spacing w:line="440" w:lineRule="exact"/>
              <w:jc w:val="center"/>
              <w:rPr>
                <w:rFonts w:ascii="宋体" w:hAnsi="宋体"/>
                <w:sz w:val="24"/>
                <w:szCs w:val="24"/>
              </w:rPr>
            </w:pPr>
          </w:p>
        </w:tc>
      </w:tr>
      <w:tr w14:paraId="0E17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43BEF4BA">
            <w:pPr>
              <w:spacing w:line="440" w:lineRule="exact"/>
              <w:jc w:val="center"/>
              <w:rPr>
                <w:rFonts w:ascii="宋体" w:hAnsi="宋体"/>
                <w:sz w:val="24"/>
                <w:szCs w:val="24"/>
              </w:rPr>
            </w:pPr>
            <w:r>
              <w:rPr>
                <w:rFonts w:hint="eastAsia" w:ascii="宋体" w:hAnsi="宋体"/>
                <w:sz w:val="24"/>
                <w:szCs w:val="24"/>
              </w:rPr>
              <w:t>供应商须知要求供应商需具有的各类资质证书</w:t>
            </w:r>
          </w:p>
        </w:tc>
        <w:tc>
          <w:tcPr>
            <w:tcW w:w="6995" w:type="dxa"/>
            <w:gridSpan w:val="4"/>
            <w:tcBorders>
              <w:top w:val="single" w:color="auto" w:sz="4" w:space="0"/>
              <w:left w:val="nil"/>
              <w:bottom w:val="single" w:color="auto" w:sz="4" w:space="0"/>
              <w:right w:val="single" w:color="auto" w:sz="4" w:space="0"/>
            </w:tcBorders>
            <w:noWrap w:val="0"/>
            <w:vAlign w:val="center"/>
          </w:tcPr>
          <w:p w14:paraId="53D5173C">
            <w:pPr>
              <w:spacing w:line="440" w:lineRule="exact"/>
              <w:rPr>
                <w:rFonts w:ascii="宋体" w:hAnsi="宋体"/>
                <w:sz w:val="24"/>
                <w:szCs w:val="24"/>
              </w:rPr>
            </w:pPr>
            <w:r>
              <w:rPr>
                <w:rFonts w:hint="eastAsia" w:ascii="宋体" w:hAnsi="宋体"/>
                <w:sz w:val="24"/>
                <w:szCs w:val="24"/>
              </w:rPr>
              <w:t>类型：                等级：                 证书号：</w:t>
            </w:r>
          </w:p>
        </w:tc>
      </w:tr>
      <w:tr w14:paraId="6FD5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556D4C86">
            <w:pPr>
              <w:spacing w:line="440" w:lineRule="exact"/>
              <w:jc w:val="center"/>
              <w:rPr>
                <w:rFonts w:ascii="宋体" w:hAnsi="宋体"/>
                <w:sz w:val="24"/>
                <w:szCs w:val="24"/>
              </w:rPr>
            </w:pPr>
            <w:r>
              <w:rPr>
                <w:rFonts w:hint="eastAsia" w:ascii="宋体" w:hAnsi="宋体"/>
                <w:sz w:val="24"/>
                <w:szCs w:val="24"/>
              </w:rPr>
              <w:t>基本账户开户银行</w:t>
            </w:r>
          </w:p>
        </w:tc>
        <w:tc>
          <w:tcPr>
            <w:tcW w:w="6995" w:type="dxa"/>
            <w:gridSpan w:val="4"/>
            <w:tcBorders>
              <w:top w:val="single" w:color="auto" w:sz="4" w:space="0"/>
              <w:left w:val="nil"/>
              <w:bottom w:val="single" w:color="auto" w:sz="4" w:space="0"/>
              <w:right w:val="single" w:color="auto" w:sz="4" w:space="0"/>
            </w:tcBorders>
            <w:noWrap w:val="0"/>
            <w:vAlign w:val="center"/>
          </w:tcPr>
          <w:p w14:paraId="696A6C80">
            <w:pPr>
              <w:spacing w:line="440" w:lineRule="exact"/>
              <w:jc w:val="center"/>
              <w:rPr>
                <w:rFonts w:ascii="宋体" w:hAnsi="宋体"/>
                <w:sz w:val="24"/>
                <w:szCs w:val="24"/>
              </w:rPr>
            </w:pPr>
          </w:p>
        </w:tc>
      </w:tr>
      <w:tr w14:paraId="1D4C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7366AA33">
            <w:pPr>
              <w:spacing w:line="440" w:lineRule="exact"/>
              <w:jc w:val="center"/>
              <w:rPr>
                <w:rFonts w:ascii="宋体" w:hAnsi="宋体"/>
                <w:sz w:val="24"/>
                <w:szCs w:val="24"/>
              </w:rPr>
            </w:pPr>
            <w:r>
              <w:rPr>
                <w:rFonts w:hint="eastAsia" w:ascii="宋体" w:hAnsi="宋体"/>
                <w:sz w:val="24"/>
                <w:szCs w:val="24"/>
              </w:rPr>
              <w:t>基本账户银行账号</w:t>
            </w:r>
          </w:p>
        </w:tc>
        <w:tc>
          <w:tcPr>
            <w:tcW w:w="6995" w:type="dxa"/>
            <w:gridSpan w:val="4"/>
            <w:tcBorders>
              <w:top w:val="single" w:color="auto" w:sz="4" w:space="0"/>
              <w:left w:val="nil"/>
              <w:bottom w:val="single" w:color="auto" w:sz="4" w:space="0"/>
              <w:right w:val="single" w:color="auto" w:sz="4" w:space="0"/>
            </w:tcBorders>
            <w:noWrap w:val="0"/>
            <w:vAlign w:val="center"/>
          </w:tcPr>
          <w:p w14:paraId="6F075B58">
            <w:pPr>
              <w:spacing w:line="440" w:lineRule="exact"/>
              <w:jc w:val="center"/>
              <w:rPr>
                <w:rFonts w:ascii="宋体" w:hAnsi="宋体"/>
                <w:sz w:val="24"/>
                <w:szCs w:val="24"/>
              </w:rPr>
            </w:pPr>
          </w:p>
        </w:tc>
      </w:tr>
      <w:tr w14:paraId="0014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0496F0BA">
            <w:pPr>
              <w:spacing w:line="440" w:lineRule="exact"/>
              <w:jc w:val="center"/>
              <w:rPr>
                <w:rFonts w:ascii="宋体" w:hAnsi="宋体"/>
                <w:sz w:val="24"/>
                <w:szCs w:val="24"/>
              </w:rPr>
            </w:pPr>
            <w:r>
              <w:rPr>
                <w:rFonts w:hint="eastAsia" w:ascii="宋体" w:hAnsi="宋体"/>
                <w:sz w:val="24"/>
                <w:szCs w:val="24"/>
              </w:rPr>
              <w:t>供应商关联企业情况（包括但不限于与供应商法定代表人为同一人或者存在控股、管理关系的不同单位）</w:t>
            </w:r>
          </w:p>
        </w:tc>
        <w:tc>
          <w:tcPr>
            <w:tcW w:w="6995" w:type="dxa"/>
            <w:gridSpan w:val="4"/>
            <w:tcBorders>
              <w:top w:val="single" w:color="auto" w:sz="4" w:space="0"/>
              <w:left w:val="nil"/>
              <w:bottom w:val="single" w:color="auto" w:sz="4" w:space="0"/>
              <w:right w:val="single" w:color="auto" w:sz="4" w:space="0"/>
            </w:tcBorders>
            <w:noWrap w:val="0"/>
            <w:vAlign w:val="center"/>
          </w:tcPr>
          <w:p w14:paraId="7F360576">
            <w:pPr>
              <w:spacing w:line="440" w:lineRule="exact"/>
              <w:jc w:val="center"/>
              <w:rPr>
                <w:rFonts w:ascii="宋体" w:hAnsi="宋体"/>
                <w:sz w:val="24"/>
                <w:szCs w:val="24"/>
              </w:rPr>
            </w:pPr>
          </w:p>
        </w:tc>
      </w:tr>
      <w:tr w14:paraId="633F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37703146">
            <w:pPr>
              <w:spacing w:line="440" w:lineRule="exact"/>
              <w:jc w:val="center"/>
              <w:rPr>
                <w:rFonts w:hint="eastAsia" w:ascii="宋体" w:hAnsi="宋体"/>
                <w:sz w:val="24"/>
                <w:szCs w:val="24"/>
              </w:rPr>
            </w:pPr>
            <w:r>
              <w:rPr>
                <w:rFonts w:hint="eastAsia" w:ascii="宋体" w:hAnsi="宋体"/>
                <w:sz w:val="24"/>
                <w:szCs w:val="24"/>
              </w:rPr>
              <w:t>其他</w:t>
            </w:r>
          </w:p>
        </w:tc>
        <w:tc>
          <w:tcPr>
            <w:tcW w:w="6995" w:type="dxa"/>
            <w:gridSpan w:val="4"/>
            <w:tcBorders>
              <w:top w:val="single" w:color="auto" w:sz="4" w:space="0"/>
              <w:left w:val="nil"/>
              <w:bottom w:val="single" w:color="auto" w:sz="4" w:space="0"/>
              <w:right w:val="single" w:color="auto" w:sz="4" w:space="0"/>
            </w:tcBorders>
            <w:noWrap w:val="0"/>
            <w:vAlign w:val="center"/>
          </w:tcPr>
          <w:p w14:paraId="1063ABA5">
            <w:pPr>
              <w:spacing w:line="440" w:lineRule="exact"/>
              <w:jc w:val="center"/>
              <w:rPr>
                <w:rFonts w:ascii="宋体" w:hAnsi="宋体"/>
                <w:sz w:val="24"/>
                <w:szCs w:val="24"/>
              </w:rPr>
            </w:pPr>
          </w:p>
        </w:tc>
      </w:tr>
      <w:tr w14:paraId="025C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noWrap w:val="0"/>
            <w:vAlign w:val="center"/>
          </w:tcPr>
          <w:p w14:paraId="49B88649">
            <w:pPr>
              <w:spacing w:line="440" w:lineRule="exact"/>
              <w:jc w:val="center"/>
              <w:rPr>
                <w:rFonts w:ascii="宋体" w:hAnsi="宋体"/>
                <w:sz w:val="24"/>
                <w:szCs w:val="24"/>
              </w:rPr>
            </w:pPr>
            <w:r>
              <w:rPr>
                <w:rFonts w:hint="eastAsia" w:ascii="宋体" w:hAnsi="宋体"/>
                <w:sz w:val="24"/>
                <w:szCs w:val="24"/>
              </w:rPr>
              <w:t>备注</w:t>
            </w:r>
          </w:p>
        </w:tc>
        <w:tc>
          <w:tcPr>
            <w:tcW w:w="6995" w:type="dxa"/>
            <w:gridSpan w:val="4"/>
            <w:tcBorders>
              <w:top w:val="single" w:color="auto" w:sz="4" w:space="0"/>
              <w:left w:val="nil"/>
              <w:bottom w:val="single" w:color="auto" w:sz="4" w:space="0"/>
              <w:right w:val="single" w:color="auto" w:sz="4" w:space="0"/>
            </w:tcBorders>
            <w:noWrap w:val="0"/>
            <w:vAlign w:val="center"/>
          </w:tcPr>
          <w:p w14:paraId="4FA29383">
            <w:pPr>
              <w:spacing w:line="440" w:lineRule="exact"/>
              <w:jc w:val="center"/>
              <w:rPr>
                <w:rFonts w:ascii="宋体" w:hAnsi="宋体"/>
                <w:sz w:val="24"/>
                <w:szCs w:val="24"/>
              </w:rPr>
            </w:pPr>
          </w:p>
        </w:tc>
      </w:tr>
    </w:tbl>
    <w:p w14:paraId="379730AC">
      <w:pPr>
        <w:spacing w:line="240" w:lineRule="exact"/>
        <w:rPr>
          <w:rFonts w:hint="eastAsia" w:ascii="宋体" w:hAnsi="宋体"/>
          <w:sz w:val="24"/>
          <w:szCs w:val="24"/>
        </w:rPr>
      </w:pPr>
    </w:p>
    <w:p w14:paraId="3440A25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b/>
          <w:bCs/>
          <w:sz w:val="44"/>
          <w:szCs w:val="44"/>
        </w:rPr>
      </w:pPr>
      <w:r>
        <w:rPr>
          <w:rFonts w:hint="eastAsia" w:ascii="宋体" w:hAnsi="宋体"/>
          <w:sz w:val="24"/>
          <w:szCs w:val="24"/>
        </w:rPr>
        <w:t>注：供应商应根据竞争性磋商文件要求在本表后附相关证明材料，如</w:t>
      </w:r>
      <w:r>
        <w:rPr>
          <w:rFonts w:hint="eastAsia" w:ascii="宋体" w:hAnsi="宋体"/>
          <w:color w:val="auto"/>
          <w:sz w:val="24"/>
          <w:szCs w:val="24"/>
        </w:rPr>
        <w:t>营业执照、资质证书等。</w:t>
      </w:r>
    </w:p>
    <w:p w14:paraId="3C5535F9">
      <w:pPr>
        <w:spacing w:before="120" w:after="120" w:line="360" w:lineRule="auto"/>
        <w:jc w:val="center"/>
        <w:rPr>
          <w:rFonts w:ascii="宋体"/>
          <w:color w:val="FF0000"/>
          <w:sz w:val="24"/>
          <w:szCs w:val="24"/>
        </w:rPr>
      </w:pPr>
      <w:bookmarkStart w:id="375" w:name="_Toc25271"/>
      <w:bookmarkEnd w:id="375"/>
      <w:bookmarkStart w:id="376" w:name="_Toc25087"/>
    </w:p>
    <w:p w14:paraId="4C3BDD3D">
      <w:pPr>
        <w:pStyle w:val="4"/>
        <w:widowControl/>
        <w:autoSpaceDE w:val="0"/>
        <w:spacing w:before="0" w:after="0" w:line="240" w:lineRule="auto"/>
        <w:rPr>
          <w:rFonts w:hint="eastAsia" w:ascii="宋体" w:hAnsi="宋体"/>
          <w:szCs w:val="28"/>
        </w:rPr>
      </w:pPr>
      <w:r>
        <w:rPr>
          <w:rFonts w:ascii="宋体" w:hAnsi="宋体"/>
          <w:szCs w:val="28"/>
          <w:highlight w:val="yellow"/>
        </w:rPr>
        <w:br w:type="page"/>
      </w:r>
      <w:bookmarkEnd w:id="376"/>
      <w:bookmarkStart w:id="377" w:name="_Toc8830"/>
      <w:bookmarkStart w:id="378" w:name="_Toc4679301"/>
      <w:bookmarkStart w:id="379" w:name="_Toc3896313"/>
      <w:bookmarkStart w:id="380" w:name="_Toc13361"/>
      <w:r>
        <w:rPr>
          <w:rFonts w:hint="eastAsia" w:ascii="宋体" w:hAnsi="宋体"/>
          <w:szCs w:val="28"/>
          <w:highlight w:val="none"/>
          <w:lang w:val="en-US" w:eastAsia="zh-CN"/>
        </w:rPr>
        <w:t>六</w:t>
      </w:r>
      <w:r>
        <w:rPr>
          <w:rFonts w:hint="eastAsia" w:ascii="宋体" w:hAnsi="宋体"/>
          <w:szCs w:val="28"/>
        </w:rPr>
        <w:t>、商务条款偏离表</w:t>
      </w:r>
      <w:bookmarkEnd w:id="377"/>
      <w:bookmarkEnd w:id="378"/>
      <w:bookmarkEnd w:id="379"/>
      <w:bookmarkEnd w:id="380"/>
    </w:p>
    <w:p w14:paraId="179375F5">
      <w:pPr>
        <w:autoSpaceDE w:val="0"/>
        <w:spacing w:line="360" w:lineRule="auto"/>
        <w:rPr>
          <w:rFonts w:hint="eastAsia" w:ascii="宋体" w:hAnsi="宋体"/>
          <w:b/>
          <w:bCs/>
          <w:sz w:val="24"/>
          <w:szCs w:val="24"/>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455"/>
        <w:gridCol w:w="5448"/>
        <w:gridCol w:w="1073"/>
        <w:gridCol w:w="611"/>
        <w:gridCol w:w="507"/>
      </w:tblGrid>
      <w:tr w14:paraId="4CDC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277" w:type="pct"/>
            <w:tcBorders>
              <w:top w:val="single" w:color="auto" w:sz="4" w:space="0"/>
              <w:left w:val="single" w:color="auto" w:sz="4" w:space="0"/>
              <w:bottom w:val="single" w:color="auto" w:sz="4" w:space="0"/>
              <w:right w:val="single" w:color="auto" w:sz="4" w:space="0"/>
            </w:tcBorders>
            <w:noWrap w:val="0"/>
            <w:vAlign w:val="center"/>
          </w:tcPr>
          <w:p w14:paraId="003AF1D8">
            <w:pPr>
              <w:spacing w:line="360" w:lineRule="auto"/>
              <w:jc w:val="center"/>
              <w:rPr>
                <w:rFonts w:hint="eastAsia" w:ascii="宋体" w:hAnsi="宋体" w:cs="宋体"/>
                <w:b/>
                <w:bCs/>
                <w:sz w:val="24"/>
                <w:szCs w:val="24"/>
              </w:rPr>
            </w:pPr>
            <w:r>
              <w:rPr>
                <w:rFonts w:hint="eastAsia" w:ascii="宋体" w:hAnsi="宋体" w:cs="宋体"/>
                <w:b/>
                <w:bCs/>
                <w:sz w:val="24"/>
                <w:szCs w:val="24"/>
              </w:rPr>
              <w:t>序 号</w:t>
            </w:r>
          </w:p>
        </w:tc>
        <w:tc>
          <w:tcPr>
            <w:tcW w:w="755" w:type="pct"/>
            <w:tcBorders>
              <w:top w:val="single" w:color="auto" w:sz="4" w:space="0"/>
              <w:left w:val="nil"/>
              <w:bottom w:val="single" w:color="auto" w:sz="4" w:space="0"/>
              <w:right w:val="single" w:color="auto" w:sz="4" w:space="0"/>
            </w:tcBorders>
            <w:noWrap w:val="0"/>
            <w:vAlign w:val="center"/>
          </w:tcPr>
          <w:p w14:paraId="73A809FA">
            <w:pPr>
              <w:spacing w:line="360" w:lineRule="auto"/>
              <w:jc w:val="center"/>
              <w:rPr>
                <w:rFonts w:hint="eastAsia" w:ascii="宋体" w:hAnsi="宋体" w:cs="宋体"/>
                <w:b/>
                <w:bCs/>
                <w:sz w:val="24"/>
                <w:szCs w:val="24"/>
              </w:rPr>
            </w:pPr>
            <w:r>
              <w:rPr>
                <w:rFonts w:hint="eastAsia" w:ascii="宋体" w:hAnsi="宋体" w:cs="宋体"/>
                <w:b/>
                <w:bCs/>
                <w:sz w:val="24"/>
                <w:szCs w:val="24"/>
              </w:rPr>
              <w:t>竞争性磋商文件条款号</w:t>
            </w:r>
          </w:p>
        </w:tc>
        <w:tc>
          <w:tcPr>
            <w:tcW w:w="2828" w:type="pct"/>
            <w:tcBorders>
              <w:top w:val="single" w:color="auto" w:sz="4" w:space="0"/>
              <w:left w:val="nil"/>
              <w:bottom w:val="single" w:color="auto" w:sz="4" w:space="0"/>
              <w:right w:val="single" w:color="auto" w:sz="4" w:space="0"/>
            </w:tcBorders>
            <w:noWrap w:val="0"/>
            <w:vAlign w:val="center"/>
          </w:tcPr>
          <w:p w14:paraId="2288DB8E">
            <w:pPr>
              <w:spacing w:line="360" w:lineRule="auto"/>
              <w:jc w:val="center"/>
              <w:rPr>
                <w:rFonts w:hint="eastAsia" w:ascii="宋体" w:hAnsi="宋体" w:cs="宋体"/>
                <w:b/>
                <w:bCs/>
                <w:sz w:val="24"/>
                <w:szCs w:val="24"/>
              </w:rPr>
            </w:pPr>
            <w:r>
              <w:rPr>
                <w:rFonts w:hint="eastAsia" w:ascii="宋体" w:hAnsi="宋体" w:cs="宋体"/>
                <w:b/>
                <w:bCs/>
                <w:sz w:val="24"/>
                <w:szCs w:val="24"/>
              </w:rPr>
              <w:t>竞争性磋商文件的商务条款内容</w:t>
            </w:r>
          </w:p>
        </w:tc>
        <w:tc>
          <w:tcPr>
            <w:tcW w:w="557" w:type="pct"/>
            <w:tcBorders>
              <w:top w:val="single" w:color="auto" w:sz="4" w:space="0"/>
              <w:left w:val="nil"/>
              <w:bottom w:val="single" w:color="auto" w:sz="4" w:space="0"/>
              <w:right w:val="single" w:color="auto" w:sz="4" w:space="0"/>
            </w:tcBorders>
            <w:noWrap w:val="0"/>
            <w:vAlign w:val="center"/>
          </w:tcPr>
          <w:p w14:paraId="734B6842">
            <w:pPr>
              <w:spacing w:line="360" w:lineRule="auto"/>
              <w:jc w:val="center"/>
              <w:rPr>
                <w:rFonts w:hint="eastAsia" w:ascii="宋体" w:hAnsi="宋体" w:cs="宋体"/>
                <w:b/>
                <w:bCs/>
                <w:sz w:val="24"/>
                <w:szCs w:val="24"/>
              </w:rPr>
            </w:pPr>
            <w:r>
              <w:rPr>
                <w:rFonts w:hint="eastAsia" w:ascii="宋体" w:hAnsi="宋体" w:cs="宋体"/>
                <w:b/>
                <w:bCs/>
                <w:sz w:val="24"/>
                <w:szCs w:val="24"/>
              </w:rPr>
              <w:t>响应文件的商务条款响应情况</w:t>
            </w:r>
          </w:p>
        </w:tc>
        <w:tc>
          <w:tcPr>
            <w:tcW w:w="317" w:type="pct"/>
            <w:tcBorders>
              <w:top w:val="single" w:color="auto" w:sz="4" w:space="0"/>
              <w:left w:val="nil"/>
              <w:bottom w:val="single" w:color="auto" w:sz="4" w:space="0"/>
              <w:right w:val="single" w:color="auto" w:sz="4" w:space="0"/>
            </w:tcBorders>
            <w:noWrap w:val="0"/>
            <w:vAlign w:val="center"/>
          </w:tcPr>
          <w:p w14:paraId="01ADB4FE">
            <w:pPr>
              <w:spacing w:line="360" w:lineRule="auto"/>
              <w:jc w:val="center"/>
              <w:rPr>
                <w:rFonts w:hint="eastAsia" w:ascii="宋体" w:hAnsi="宋体" w:cs="宋体"/>
                <w:b/>
                <w:bCs/>
                <w:sz w:val="24"/>
                <w:szCs w:val="24"/>
              </w:rPr>
            </w:pPr>
            <w:r>
              <w:rPr>
                <w:rFonts w:hint="eastAsia" w:ascii="宋体" w:hAnsi="宋体" w:cs="宋体"/>
                <w:b/>
                <w:bCs/>
                <w:sz w:val="24"/>
                <w:szCs w:val="24"/>
              </w:rPr>
              <w:t>偏离情况</w:t>
            </w:r>
          </w:p>
        </w:tc>
        <w:tc>
          <w:tcPr>
            <w:tcW w:w="263" w:type="pct"/>
            <w:tcBorders>
              <w:top w:val="single" w:color="auto" w:sz="4" w:space="0"/>
              <w:left w:val="nil"/>
              <w:bottom w:val="single" w:color="auto" w:sz="4" w:space="0"/>
              <w:right w:val="single" w:color="auto" w:sz="4" w:space="0"/>
            </w:tcBorders>
            <w:noWrap w:val="0"/>
            <w:vAlign w:val="center"/>
          </w:tcPr>
          <w:p w14:paraId="13348E3A">
            <w:pPr>
              <w:spacing w:line="360" w:lineRule="auto"/>
              <w:jc w:val="center"/>
              <w:rPr>
                <w:rFonts w:hint="eastAsia" w:ascii="宋体" w:hAnsi="宋体" w:cs="宋体"/>
                <w:b/>
                <w:bCs/>
                <w:sz w:val="24"/>
                <w:szCs w:val="24"/>
              </w:rPr>
            </w:pPr>
            <w:r>
              <w:rPr>
                <w:rFonts w:hint="eastAsia" w:ascii="宋体" w:hAnsi="宋体" w:cs="宋体"/>
                <w:b/>
                <w:bCs/>
                <w:sz w:val="24"/>
                <w:szCs w:val="24"/>
              </w:rPr>
              <w:t>说明</w:t>
            </w:r>
          </w:p>
        </w:tc>
      </w:tr>
      <w:tr w14:paraId="4A63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7" w:type="pct"/>
            <w:tcBorders>
              <w:top w:val="single" w:color="auto" w:sz="4" w:space="0"/>
              <w:left w:val="single" w:color="auto" w:sz="4" w:space="0"/>
              <w:bottom w:val="single" w:color="auto" w:sz="4" w:space="0"/>
              <w:right w:val="single" w:color="auto" w:sz="4" w:space="0"/>
            </w:tcBorders>
            <w:noWrap w:val="0"/>
            <w:vAlign w:val="center"/>
          </w:tcPr>
          <w:p w14:paraId="42CEB91A">
            <w:pPr>
              <w:spacing w:line="360" w:lineRule="auto"/>
              <w:jc w:val="center"/>
              <w:rPr>
                <w:rFonts w:hint="eastAsia" w:ascii="宋体" w:hAnsi="宋体" w:cs="宋体"/>
                <w:sz w:val="24"/>
                <w:szCs w:val="24"/>
              </w:rPr>
            </w:pPr>
            <w:r>
              <w:rPr>
                <w:rFonts w:hint="eastAsia" w:ascii="宋体" w:hAnsi="宋体" w:cs="宋体"/>
                <w:sz w:val="24"/>
                <w:szCs w:val="24"/>
              </w:rPr>
              <w:t>1</w:t>
            </w:r>
          </w:p>
        </w:tc>
        <w:tc>
          <w:tcPr>
            <w:tcW w:w="755" w:type="pct"/>
            <w:tcBorders>
              <w:top w:val="single" w:color="auto" w:sz="4" w:space="0"/>
              <w:left w:val="nil"/>
              <w:bottom w:val="single" w:color="auto" w:sz="4" w:space="0"/>
              <w:right w:val="single" w:color="auto" w:sz="4" w:space="0"/>
            </w:tcBorders>
            <w:noWrap w:val="0"/>
            <w:vAlign w:val="center"/>
          </w:tcPr>
          <w:p w14:paraId="6130DAE9">
            <w:pPr>
              <w:spacing w:line="360" w:lineRule="auto"/>
              <w:jc w:val="center"/>
              <w:rPr>
                <w:rFonts w:hint="eastAsia" w:ascii="宋体" w:hAnsi="宋体" w:cs="宋体"/>
                <w:sz w:val="24"/>
                <w:szCs w:val="24"/>
              </w:rPr>
            </w:pPr>
            <w:r>
              <w:rPr>
                <w:rFonts w:hint="eastAsia" w:ascii="宋体" w:hAnsi="宋体" w:cs="宋体"/>
                <w:sz w:val="24"/>
                <w:szCs w:val="24"/>
              </w:rPr>
              <w:t>“供应商须知前附表”第1.3.3款</w:t>
            </w:r>
          </w:p>
        </w:tc>
        <w:tc>
          <w:tcPr>
            <w:tcW w:w="2828" w:type="pct"/>
            <w:tcBorders>
              <w:top w:val="single" w:color="auto" w:sz="4" w:space="0"/>
              <w:left w:val="nil"/>
              <w:bottom w:val="single" w:color="auto" w:sz="4" w:space="0"/>
              <w:right w:val="single" w:color="auto" w:sz="4" w:space="0"/>
            </w:tcBorders>
            <w:noWrap w:val="0"/>
            <w:vAlign w:val="center"/>
          </w:tcPr>
          <w:p w14:paraId="1D6E9593">
            <w:pPr>
              <w:spacing w:line="360" w:lineRule="auto"/>
              <w:jc w:val="center"/>
              <w:rPr>
                <w:rFonts w:hint="eastAsia" w:ascii="宋体" w:hAnsi="宋体" w:eastAsia="宋体" w:cs="宋体"/>
                <w:sz w:val="24"/>
                <w:szCs w:val="24"/>
                <w:lang w:eastAsia="zh-CN"/>
              </w:rPr>
            </w:pP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0日历天。开工日以采购人通知为准，施工总工期以开工之日起算，竣工日期以成交人完成合同的全部工程内容后竣工验收合格为止。</w:t>
            </w:r>
          </w:p>
        </w:tc>
        <w:tc>
          <w:tcPr>
            <w:tcW w:w="557" w:type="pct"/>
            <w:tcBorders>
              <w:top w:val="single" w:color="auto" w:sz="4" w:space="0"/>
              <w:left w:val="nil"/>
              <w:bottom w:val="single" w:color="auto" w:sz="4" w:space="0"/>
              <w:right w:val="single" w:color="auto" w:sz="4" w:space="0"/>
            </w:tcBorders>
            <w:noWrap w:val="0"/>
            <w:vAlign w:val="center"/>
          </w:tcPr>
          <w:p w14:paraId="01458827">
            <w:pPr>
              <w:spacing w:line="360" w:lineRule="auto"/>
              <w:jc w:val="center"/>
              <w:rPr>
                <w:rFonts w:hint="eastAsia" w:ascii="宋体" w:hAnsi="宋体" w:cs="宋体"/>
                <w:sz w:val="24"/>
                <w:szCs w:val="24"/>
              </w:rPr>
            </w:pPr>
          </w:p>
        </w:tc>
        <w:tc>
          <w:tcPr>
            <w:tcW w:w="317" w:type="pct"/>
            <w:tcBorders>
              <w:top w:val="single" w:color="auto" w:sz="4" w:space="0"/>
              <w:left w:val="nil"/>
              <w:bottom w:val="single" w:color="auto" w:sz="4" w:space="0"/>
              <w:right w:val="single" w:color="auto" w:sz="4" w:space="0"/>
            </w:tcBorders>
            <w:noWrap w:val="0"/>
            <w:vAlign w:val="center"/>
          </w:tcPr>
          <w:p w14:paraId="058C7EE6">
            <w:pPr>
              <w:spacing w:line="360" w:lineRule="auto"/>
              <w:jc w:val="center"/>
              <w:rPr>
                <w:rFonts w:hint="eastAsia" w:ascii="宋体" w:hAnsi="宋体" w:cs="宋体"/>
                <w:sz w:val="24"/>
                <w:szCs w:val="24"/>
              </w:rPr>
            </w:pPr>
          </w:p>
        </w:tc>
        <w:tc>
          <w:tcPr>
            <w:tcW w:w="263" w:type="pct"/>
            <w:tcBorders>
              <w:top w:val="single" w:color="auto" w:sz="4" w:space="0"/>
              <w:left w:val="nil"/>
              <w:bottom w:val="single" w:color="auto" w:sz="4" w:space="0"/>
              <w:right w:val="single" w:color="auto" w:sz="4" w:space="0"/>
            </w:tcBorders>
            <w:noWrap w:val="0"/>
            <w:vAlign w:val="center"/>
          </w:tcPr>
          <w:p w14:paraId="5C005819">
            <w:pPr>
              <w:spacing w:line="360" w:lineRule="auto"/>
              <w:jc w:val="center"/>
              <w:rPr>
                <w:rFonts w:hint="eastAsia" w:ascii="宋体" w:hAnsi="宋体" w:cs="宋体"/>
                <w:sz w:val="24"/>
                <w:szCs w:val="24"/>
              </w:rPr>
            </w:pPr>
          </w:p>
        </w:tc>
      </w:tr>
      <w:tr w14:paraId="1A86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7" w:type="pct"/>
            <w:tcBorders>
              <w:top w:val="single" w:color="auto" w:sz="4" w:space="0"/>
              <w:left w:val="single" w:color="auto" w:sz="4" w:space="0"/>
              <w:bottom w:val="single" w:color="auto" w:sz="4" w:space="0"/>
              <w:right w:val="single" w:color="auto" w:sz="4" w:space="0"/>
            </w:tcBorders>
            <w:noWrap w:val="0"/>
            <w:vAlign w:val="center"/>
          </w:tcPr>
          <w:p w14:paraId="56BAB920">
            <w:pPr>
              <w:spacing w:line="360" w:lineRule="auto"/>
              <w:jc w:val="center"/>
              <w:rPr>
                <w:rFonts w:hint="eastAsia" w:ascii="宋体" w:hAnsi="宋体" w:cs="宋体"/>
                <w:sz w:val="24"/>
                <w:szCs w:val="24"/>
              </w:rPr>
            </w:pPr>
            <w:r>
              <w:rPr>
                <w:rFonts w:hint="eastAsia" w:ascii="宋体" w:hAnsi="宋体" w:cs="宋体"/>
                <w:sz w:val="24"/>
                <w:szCs w:val="24"/>
              </w:rPr>
              <w:t>2</w:t>
            </w:r>
          </w:p>
        </w:tc>
        <w:tc>
          <w:tcPr>
            <w:tcW w:w="755" w:type="pct"/>
            <w:tcBorders>
              <w:top w:val="single" w:color="auto" w:sz="4" w:space="0"/>
              <w:left w:val="nil"/>
              <w:bottom w:val="single" w:color="auto" w:sz="4" w:space="0"/>
              <w:right w:val="single" w:color="auto" w:sz="4" w:space="0"/>
            </w:tcBorders>
            <w:noWrap w:val="0"/>
            <w:vAlign w:val="center"/>
          </w:tcPr>
          <w:p w14:paraId="7E8A5393">
            <w:pPr>
              <w:spacing w:line="360" w:lineRule="auto"/>
              <w:jc w:val="center"/>
              <w:rPr>
                <w:rFonts w:hint="eastAsia" w:ascii="宋体" w:hAnsi="宋体" w:cs="宋体"/>
                <w:sz w:val="24"/>
                <w:szCs w:val="24"/>
              </w:rPr>
            </w:pPr>
            <w:r>
              <w:rPr>
                <w:rFonts w:hint="eastAsia" w:ascii="宋体" w:hAnsi="宋体" w:cs="宋体"/>
                <w:sz w:val="24"/>
                <w:szCs w:val="24"/>
              </w:rPr>
              <w:t>“供应商须知前附表”第1.3.4款</w:t>
            </w:r>
          </w:p>
        </w:tc>
        <w:tc>
          <w:tcPr>
            <w:tcW w:w="2828" w:type="pct"/>
            <w:tcBorders>
              <w:top w:val="single" w:color="auto" w:sz="4" w:space="0"/>
              <w:left w:val="nil"/>
              <w:bottom w:val="single" w:color="auto" w:sz="4" w:space="0"/>
              <w:right w:val="single" w:color="auto" w:sz="4" w:space="0"/>
            </w:tcBorders>
            <w:noWrap w:val="0"/>
            <w:vAlign w:val="center"/>
          </w:tcPr>
          <w:p w14:paraId="055165DC">
            <w:pPr>
              <w:spacing w:line="360" w:lineRule="auto"/>
              <w:jc w:val="center"/>
              <w:rPr>
                <w:rFonts w:hint="eastAsia" w:ascii="宋体" w:hAnsi="宋体" w:cs="宋体"/>
                <w:sz w:val="24"/>
                <w:szCs w:val="24"/>
              </w:rPr>
            </w:pPr>
            <w:r>
              <w:rPr>
                <w:rFonts w:hint="eastAsia" w:ascii="宋体" w:hAnsi="宋体" w:cs="宋体"/>
                <w:sz w:val="24"/>
                <w:szCs w:val="24"/>
                <w:highlight w:val="none"/>
              </w:rPr>
              <w:t>质量要求</w:t>
            </w:r>
            <w:r>
              <w:rPr>
                <w:rFonts w:hint="eastAsia" w:ascii="宋体" w:hAnsi="宋体" w:cs="宋体"/>
                <w:sz w:val="24"/>
                <w:szCs w:val="24"/>
                <w:highlight w:val="none"/>
                <w:lang w:eastAsia="zh-CN"/>
              </w:rPr>
              <w:t>：</w:t>
            </w:r>
            <w:r>
              <w:rPr>
                <w:rFonts w:hint="eastAsia" w:ascii="宋体" w:hAnsi="宋体"/>
                <w:color w:val="auto"/>
                <w:kern w:val="0"/>
                <w:sz w:val="24"/>
                <w:highlight w:val="none"/>
              </w:rPr>
              <w:t>严格按照</w:t>
            </w:r>
            <w:r>
              <w:rPr>
                <w:rFonts w:hint="eastAsia" w:ascii="宋体" w:hAnsi="宋体"/>
                <w:color w:val="auto"/>
                <w:kern w:val="0"/>
                <w:sz w:val="24"/>
                <w:highlight w:val="none"/>
                <w:lang w:eastAsia="zh-CN"/>
              </w:rPr>
              <w:t>采购人</w:t>
            </w:r>
            <w:r>
              <w:rPr>
                <w:rFonts w:hint="eastAsia" w:ascii="宋体" w:hAnsi="宋体"/>
                <w:color w:val="auto"/>
                <w:kern w:val="0"/>
                <w:sz w:val="24"/>
                <w:highlight w:val="none"/>
              </w:rPr>
              <w:t>提供的设计图进行施工，按照《工程施工质量验收规范》等国家现行工程设计规范及施工质量验收规范，达到合格标准，且通过</w:t>
            </w:r>
            <w:r>
              <w:rPr>
                <w:rFonts w:hint="eastAsia" w:ascii="宋体" w:hAnsi="宋体"/>
                <w:color w:val="auto"/>
                <w:kern w:val="0"/>
                <w:sz w:val="24"/>
                <w:highlight w:val="none"/>
                <w:lang w:eastAsia="zh-CN"/>
              </w:rPr>
              <w:t>采购人</w:t>
            </w:r>
            <w:r>
              <w:rPr>
                <w:rFonts w:hint="eastAsia" w:ascii="宋体" w:hAnsi="宋体"/>
                <w:color w:val="auto"/>
                <w:kern w:val="0"/>
                <w:sz w:val="24"/>
                <w:highlight w:val="none"/>
              </w:rPr>
              <w:t>一次性验收合格认定后方可交付</w:t>
            </w:r>
            <w:r>
              <w:rPr>
                <w:rFonts w:hint="eastAsia" w:ascii="宋体" w:hAnsi="宋体"/>
                <w:color w:val="auto"/>
                <w:kern w:val="0"/>
                <w:sz w:val="24"/>
                <w:highlight w:val="none"/>
                <w:lang w:eastAsia="zh-CN"/>
              </w:rPr>
              <w:t>采购人</w:t>
            </w:r>
            <w:r>
              <w:rPr>
                <w:rFonts w:hint="eastAsia" w:ascii="宋体" w:hAnsi="宋体" w:eastAsia="宋体" w:cs="宋体"/>
                <w:color w:val="auto"/>
                <w:sz w:val="24"/>
                <w:szCs w:val="24"/>
                <w:highlight w:val="none"/>
                <w:lang w:val="en-US" w:eastAsia="zh-CN"/>
              </w:rPr>
              <w:t>。</w:t>
            </w:r>
          </w:p>
        </w:tc>
        <w:tc>
          <w:tcPr>
            <w:tcW w:w="557" w:type="pct"/>
            <w:tcBorders>
              <w:top w:val="single" w:color="auto" w:sz="4" w:space="0"/>
              <w:left w:val="nil"/>
              <w:bottom w:val="single" w:color="auto" w:sz="4" w:space="0"/>
              <w:right w:val="single" w:color="auto" w:sz="4" w:space="0"/>
            </w:tcBorders>
            <w:noWrap w:val="0"/>
            <w:vAlign w:val="center"/>
          </w:tcPr>
          <w:p w14:paraId="733FC9F6">
            <w:pPr>
              <w:spacing w:line="360" w:lineRule="auto"/>
              <w:jc w:val="center"/>
              <w:rPr>
                <w:rFonts w:hint="eastAsia" w:ascii="宋体" w:hAnsi="宋体" w:cs="宋体"/>
                <w:sz w:val="24"/>
                <w:szCs w:val="24"/>
              </w:rPr>
            </w:pPr>
          </w:p>
        </w:tc>
        <w:tc>
          <w:tcPr>
            <w:tcW w:w="317" w:type="pct"/>
            <w:tcBorders>
              <w:top w:val="single" w:color="auto" w:sz="4" w:space="0"/>
              <w:left w:val="nil"/>
              <w:bottom w:val="single" w:color="auto" w:sz="4" w:space="0"/>
              <w:right w:val="single" w:color="auto" w:sz="4" w:space="0"/>
            </w:tcBorders>
            <w:noWrap w:val="0"/>
            <w:vAlign w:val="center"/>
          </w:tcPr>
          <w:p w14:paraId="5DA60213">
            <w:pPr>
              <w:spacing w:line="360" w:lineRule="auto"/>
              <w:jc w:val="center"/>
              <w:rPr>
                <w:rFonts w:hint="eastAsia" w:ascii="宋体" w:hAnsi="宋体" w:cs="宋体"/>
                <w:sz w:val="24"/>
                <w:szCs w:val="24"/>
              </w:rPr>
            </w:pPr>
          </w:p>
        </w:tc>
        <w:tc>
          <w:tcPr>
            <w:tcW w:w="263" w:type="pct"/>
            <w:tcBorders>
              <w:top w:val="single" w:color="auto" w:sz="4" w:space="0"/>
              <w:left w:val="nil"/>
              <w:bottom w:val="single" w:color="auto" w:sz="4" w:space="0"/>
              <w:right w:val="single" w:color="auto" w:sz="4" w:space="0"/>
            </w:tcBorders>
            <w:noWrap w:val="0"/>
            <w:vAlign w:val="center"/>
          </w:tcPr>
          <w:p w14:paraId="762C8472">
            <w:pPr>
              <w:spacing w:line="360" w:lineRule="auto"/>
              <w:jc w:val="center"/>
              <w:rPr>
                <w:rFonts w:hint="eastAsia" w:ascii="宋体" w:hAnsi="宋体" w:cs="宋体"/>
                <w:sz w:val="24"/>
                <w:szCs w:val="24"/>
              </w:rPr>
            </w:pPr>
          </w:p>
        </w:tc>
      </w:tr>
    </w:tbl>
    <w:p w14:paraId="38758585">
      <w:pPr>
        <w:pStyle w:val="8"/>
        <w:rPr>
          <w:rFonts w:hint="eastAsia" w:ascii="宋体" w:hAnsi="宋体"/>
          <w:sz w:val="24"/>
        </w:rPr>
      </w:pPr>
    </w:p>
    <w:p w14:paraId="10B5BAAE">
      <w:pPr>
        <w:pStyle w:val="8"/>
        <w:rPr>
          <w:rFonts w:hint="eastAsia" w:ascii="宋体" w:hAnsi="宋体"/>
          <w:sz w:val="24"/>
        </w:rPr>
      </w:pPr>
    </w:p>
    <w:p w14:paraId="431A33D3">
      <w:pPr>
        <w:pStyle w:val="8"/>
        <w:rPr>
          <w:rFonts w:hint="eastAsia" w:ascii="宋体" w:hAnsi="宋体"/>
          <w:sz w:val="24"/>
        </w:rPr>
      </w:pPr>
    </w:p>
    <w:p w14:paraId="2590EDC2">
      <w:pPr>
        <w:ind w:firstLine="1205" w:firstLineChars="500"/>
        <w:rPr>
          <w:rFonts w:hint="eastAsia" w:ascii="宋体" w:hAnsi="宋体"/>
          <w:b/>
          <w:bCs/>
          <w:color w:val="000000"/>
          <w:sz w:val="24"/>
          <w:szCs w:val="24"/>
        </w:rPr>
      </w:pPr>
      <w:r>
        <w:rPr>
          <w:rFonts w:hint="eastAsia" w:ascii="宋体" w:hAnsi="宋体"/>
          <w:b/>
          <w:bCs/>
          <w:color w:val="000000"/>
          <w:sz w:val="24"/>
          <w:szCs w:val="24"/>
        </w:rPr>
        <w:t>供应商：</w:t>
      </w:r>
      <w:r>
        <w:rPr>
          <w:rFonts w:hint="eastAsia" w:ascii="宋体" w:hAnsi="宋体"/>
          <w:b/>
          <w:bCs/>
          <w:color w:val="000000"/>
          <w:sz w:val="24"/>
          <w:szCs w:val="24"/>
          <w:u w:val="single"/>
        </w:rPr>
        <w:tab/>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6EDC95A5">
      <w:pPr>
        <w:rPr>
          <w:rFonts w:hint="eastAsia" w:ascii="宋体" w:hAnsi="宋体"/>
          <w:b/>
          <w:bCs/>
          <w:color w:val="000000"/>
          <w:sz w:val="24"/>
          <w:szCs w:val="24"/>
        </w:rPr>
      </w:pPr>
      <w:r>
        <w:rPr>
          <w:rFonts w:hint="eastAsia" w:ascii="宋体" w:hAnsi="宋体"/>
          <w:b/>
          <w:bCs/>
          <w:color w:val="000000"/>
          <w:sz w:val="24"/>
          <w:szCs w:val="24"/>
        </w:rPr>
        <w:t xml:space="preserve"> </w:t>
      </w:r>
    </w:p>
    <w:p w14:paraId="1F95E1EA">
      <w:pPr>
        <w:ind w:firstLine="1205" w:firstLineChars="500"/>
        <w:rPr>
          <w:rFonts w:hint="eastAsia" w:ascii="宋体" w:hAnsi="宋体"/>
          <w:b/>
          <w:bCs/>
          <w:color w:val="000000"/>
          <w:sz w:val="24"/>
          <w:szCs w:val="24"/>
        </w:rPr>
      </w:pPr>
      <w:r>
        <w:rPr>
          <w:rFonts w:hint="eastAsia" w:ascii="宋体" w:hAnsi="宋体"/>
          <w:b/>
          <w:bCs/>
          <w:color w:val="000000"/>
          <w:sz w:val="24"/>
          <w:szCs w:val="24"/>
        </w:rPr>
        <w:t>法定代表人：</w:t>
      </w:r>
      <w:r>
        <w:rPr>
          <w:rFonts w:hint="eastAsia" w:ascii="宋体" w:hAnsi="宋体"/>
          <w:b/>
          <w:bCs/>
          <w:color w:val="000000"/>
          <w:sz w:val="24"/>
          <w:szCs w:val="24"/>
        </w:rPr>
        <w:tab/>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79D139C3">
      <w:pPr>
        <w:ind w:firstLine="1205" w:firstLineChars="500"/>
        <w:rPr>
          <w:rFonts w:hint="eastAsia" w:ascii="宋体" w:hAnsi="宋体"/>
          <w:b/>
          <w:bCs/>
          <w:color w:val="000000"/>
          <w:sz w:val="24"/>
          <w:szCs w:val="24"/>
        </w:rPr>
      </w:pPr>
    </w:p>
    <w:p w14:paraId="766C3DE7">
      <w:pPr>
        <w:ind w:firstLine="1205" w:firstLineChars="500"/>
        <w:rPr>
          <w:rFonts w:hint="eastAsia" w:ascii="宋体" w:hAnsi="宋体"/>
          <w:b/>
          <w:bCs/>
          <w:color w:val="000000"/>
          <w:sz w:val="24"/>
          <w:szCs w:val="24"/>
        </w:rPr>
      </w:pPr>
      <w:r>
        <w:rPr>
          <w:rFonts w:hint="eastAsia" w:ascii="宋体" w:hAnsi="宋体"/>
          <w:b/>
          <w:bCs/>
          <w:color w:val="000000"/>
          <w:sz w:val="24"/>
          <w:szCs w:val="24"/>
        </w:rPr>
        <w:t>日期：</w:t>
      </w:r>
      <w:r>
        <w:rPr>
          <w:rFonts w:hint="eastAsia" w:ascii="宋体" w:hAnsi="宋体"/>
          <w:b/>
          <w:bCs/>
          <w:color w:val="000000"/>
          <w:sz w:val="24"/>
          <w:szCs w:val="24"/>
          <w:u w:val="single"/>
        </w:rPr>
        <w:t xml:space="preserve">         </w:t>
      </w:r>
      <w:r>
        <w:rPr>
          <w:rFonts w:hint="eastAsia" w:ascii="宋体" w:hAnsi="宋体"/>
          <w:b/>
          <w:bCs/>
          <w:color w:val="000000"/>
          <w:sz w:val="24"/>
          <w:szCs w:val="24"/>
        </w:rPr>
        <w:t>年</w:t>
      </w:r>
      <w:r>
        <w:rPr>
          <w:rFonts w:hint="eastAsia" w:ascii="宋体" w:hAnsi="宋体"/>
          <w:b/>
          <w:bCs/>
          <w:color w:val="000000"/>
          <w:sz w:val="24"/>
          <w:szCs w:val="24"/>
          <w:u w:val="single"/>
        </w:rPr>
        <w:t xml:space="preserve">         </w:t>
      </w:r>
      <w:r>
        <w:rPr>
          <w:rFonts w:hint="eastAsia" w:ascii="宋体" w:hAnsi="宋体"/>
          <w:b/>
          <w:bCs/>
          <w:color w:val="000000"/>
          <w:sz w:val="24"/>
          <w:szCs w:val="24"/>
        </w:rPr>
        <w:t>月</w:t>
      </w:r>
      <w:r>
        <w:rPr>
          <w:rFonts w:hint="eastAsia" w:ascii="宋体" w:hAnsi="宋体"/>
          <w:b/>
          <w:bCs/>
          <w:color w:val="000000"/>
          <w:sz w:val="24"/>
          <w:szCs w:val="24"/>
          <w:u w:val="single"/>
        </w:rPr>
        <w:t xml:space="preserve">         </w:t>
      </w:r>
      <w:r>
        <w:rPr>
          <w:rFonts w:hint="eastAsia" w:ascii="宋体" w:hAnsi="宋体"/>
          <w:b/>
          <w:bCs/>
          <w:color w:val="000000"/>
          <w:sz w:val="24"/>
          <w:szCs w:val="24"/>
        </w:rPr>
        <w:t>日</w:t>
      </w:r>
    </w:p>
    <w:p w14:paraId="6CD84B22">
      <w:pPr>
        <w:spacing w:before="158" w:beforeLines="50"/>
        <w:rPr>
          <w:rFonts w:hint="eastAsia" w:ascii="宋体" w:hAnsi="宋体"/>
          <w:color w:val="000000"/>
          <w:sz w:val="24"/>
          <w:szCs w:val="24"/>
        </w:rPr>
      </w:pPr>
    </w:p>
    <w:p w14:paraId="1B8B4F44">
      <w:pPr>
        <w:pStyle w:val="4"/>
        <w:widowControl/>
        <w:autoSpaceDE w:val="0"/>
        <w:spacing w:before="0" w:after="0" w:line="240" w:lineRule="auto"/>
        <w:jc w:val="center"/>
        <w:rPr>
          <w:rFonts w:hint="eastAsia" w:ascii="宋体" w:hAnsi="宋体"/>
          <w:szCs w:val="28"/>
        </w:rPr>
      </w:pPr>
      <w:bookmarkStart w:id="381" w:name="_Toc3896314"/>
      <w:bookmarkStart w:id="382" w:name="_Toc4679302"/>
      <w:bookmarkStart w:id="383" w:name="_Toc29437"/>
      <w:bookmarkStart w:id="384" w:name="_Toc6776"/>
      <w:bookmarkStart w:id="385" w:name="_Toc26287"/>
      <w:r>
        <w:rPr>
          <w:rFonts w:hint="eastAsia" w:ascii="宋体" w:hAnsi="宋体"/>
          <w:szCs w:val="28"/>
          <w:lang w:val="en-US" w:eastAsia="zh-CN"/>
        </w:rPr>
        <w:br w:type="page"/>
      </w:r>
      <w:r>
        <w:rPr>
          <w:rFonts w:hint="eastAsia" w:ascii="宋体" w:hAnsi="宋体"/>
          <w:szCs w:val="28"/>
          <w:lang w:val="en-US" w:eastAsia="zh-CN"/>
        </w:rPr>
        <w:t>七</w:t>
      </w:r>
      <w:r>
        <w:rPr>
          <w:rFonts w:hint="eastAsia" w:ascii="宋体" w:hAnsi="宋体"/>
          <w:szCs w:val="28"/>
        </w:rPr>
        <w:t>、</w:t>
      </w:r>
      <w:bookmarkEnd w:id="381"/>
      <w:bookmarkEnd w:id="382"/>
      <w:bookmarkEnd w:id="383"/>
      <w:r>
        <w:rPr>
          <w:rFonts w:hint="eastAsia" w:ascii="宋体" w:hAnsi="宋体"/>
          <w:szCs w:val="28"/>
        </w:rPr>
        <w:t>工程量清单报价</w:t>
      </w:r>
      <w:bookmarkEnd w:id="384"/>
      <w:bookmarkEnd w:id="385"/>
    </w:p>
    <w:p w14:paraId="7502BD89">
      <w:pPr>
        <w:jc w:val="center"/>
        <w:rPr>
          <w:rFonts w:hint="eastAsia" w:ascii="宋体" w:hAnsi="宋体"/>
          <w:bCs/>
          <w:color w:val="000000"/>
          <w:sz w:val="24"/>
          <w:szCs w:val="24"/>
        </w:rPr>
      </w:pPr>
      <w:r>
        <w:rPr>
          <w:rFonts w:hint="eastAsia" w:ascii="宋体" w:hAnsi="宋体"/>
          <w:bCs/>
          <w:color w:val="000000"/>
          <w:sz w:val="24"/>
          <w:szCs w:val="24"/>
        </w:rPr>
        <w:t>（</w:t>
      </w:r>
      <w:r>
        <w:rPr>
          <w:rFonts w:hint="eastAsia" w:ascii="宋体" w:hAnsi="宋体"/>
          <w:bCs/>
          <w:color w:val="000000"/>
          <w:sz w:val="24"/>
          <w:szCs w:val="24"/>
          <w:lang w:val="en-US" w:eastAsia="zh-CN"/>
        </w:rPr>
        <w:t>格式自拟，</w:t>
      </w:r>
      <w:r>
        <w:rPr>
          <w:rFonts w:hint="eastAsia" w:ascii="宋体" w:hAnsi="宋体"/>
          <w:bCs/>
          <w:color w:val="000000"/>
          <w:sz w:val="24"/>
          <w:szCs w:val="24"/>
        </w:rPr>
        <w:t>以采购人提供的工程量清单为准）</w:t>
      </w:r>
    </w:p>
    <w:p w14:paraId="26934966">
      <w:pPr>
        <w:pStyle w:val="4"/>
        <w:widowControl/>
        <w:autoSpaceDE w:val="0"/>
        <w:spacing w:before="0" w:after="0" w:line="360" w:lineRule="auto"/>
        <w:jc w:val="center"/>
        <w:rPr>
          <w:rFonts w:hint="eastAsia" w:ascii="宋体" w:hAnsi="宋体" w:eastAsia="宋体" w:cs="宋体"/>
          <w:color w:val="auto"/>
          <w:szCs w:val="28"/>
          <w:highlight w:val="none"/>
        </w:rPr>
      </w:pPr>
      <w:bookmarkStart w:id="386" w:name="_Toc15277"/>
      <w:bookmarkEnd w:id="386"/>
      <w:bookmarkStart w:id="387" w:name="_Toc10610"/>
      <w:bookmarkEnd w:id="387"/>
      <w:bookmarkStart w:id="388" w:name="_Toc5488"/>
      <w:bookmarkStart w:id="389" w:name="_Toc3896315"/>
      <w:r>
        <w:rPr>
          <w:rFonts w:ascii="宋体" w:hAnsi="宋体"/>
          <w:szCs w:val="28"/>
        </w:rPr>
        <w:br w:type="page"/>
      </w:r>
      <w:bookmarkEnd w:id="388"/>
      <w:bookmarkEnd w:id="389"/>
      <w:bookmarkStart w:id="390" w:name="_Toc1663"/>
      <w:bookmarkStart w:id="391" w:name="_Toc31347"/>
      <w:bookmarkStart w:id="392" w:name="_Toc30865"/>
      <w:bookmarkStart w:id="393" w:name="_Toc6222"/>
      <w:bookmarkStart w:id="394" w:name="_Toc10894"/>
      <w:r>
        <w:rPr>
          <w:rFonts w:hint="eastAsia" w:ascii="宋体" w:hAnsi="宋体" w:cs="宋体"/>
          <w:color w:val="auto"/>
          <w:szCs w:val="28"/>
          <w:highlight w:val="none"/>
          <w:lang w:val="en-US" w:eastAsia="zh-CN"/>
        </w:rPr>
        <w:t>八</w:t>
      </w:r>
      <w:r>
        <w:rPr>
          <w:rFonts w:hint="eastAsia" w:ascii="宋体" w:hAnsi="宋体" w:eastAsia="宋体" w:cs="宋体"/>
          <w:color w:val="auto"/>
          <w:szCs w:val="28"/>
          <w:highlight w:val="none"/>
        </w:rPr>
        <w:t>、施工技术方案</w:t>
      </w:r>
      <w:bookmarkEnd w:id="390"/>
      <w:bookmarkEnd w:id="391"/>
      <w:bookmarkEnd w:id="392"/>
      <w:bookmarkEnd w:id="393"/>
      <w:bookmarkEnd w:id="394"/>
    </w:p>
    <w:p w14:paraId="071D23A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1C6835DD">
      <w:pPr>
        <w:jc w:val="center"/>
        <w:rPr>
          <w:rFonts w:hint="eastAsia" w:ascii="宋体" w:hAnsi="宋体" w:eastAsia="宋体" w:cs="宋体"/>
          <w:b/>
          <w:color w:val="auto"/>
          <w:sz w:val="24"/>
          <w:highlight w:val="none"/>
        </w:rPr>
      </w:pPr>
    </w:p>
    <w:p w14:paraId="208970FC">
      <w:pPr>
        <w:pStyle w:val="28"/>
        <w:jc w:val="center"/>
        <w:rPr>
          <w:rFonts w:hint="eastAsia" w:ascii="宋体" w:hAnsi="宋体" w:eastAsia="宋体" w:cs="宋体"/>
          <w:b/>
          <w:color w:val="auto"/>
          <w:sz w:val="24"/>
          <w:highlight w:val="none"/>
        </w:rPr>
      </w:pPr>
    </w:p>
    <w:p w14:paraId="78C2936A">
      <w:pPr>
        <w:pStyle w:val="28"/>
        <w:jc w:val="center"/>
        <w:rPr>
          <w:rFonts w:hint="eastAsia" w:ascii="宋体" w:hAnsi="宋体" w:eastAsia="宋体" w:cs="宋体"/>
          <w:b/>
          <w:color w:val="auto"/>
          <w:sz w:val="24"/>
          <w:highlight w:val="none"/>
        </w:rPr>
      </w:pPr>
    </w:p>
    <w:p w14:paraId="0447FA04">
      <w:pPr>
        <w:pStyle w:val="28"/>
        <w:jc w:val="center"/>
        <w:rPr>
          <w:rFonts w:hint="eastAsia" w:ascii="宋体" w:hAnsi="宋体" w:eastAsia="宋体" w:cs="宋体"/>
          <w:b/>
          <w:color w:val="auto"/>
          <w:sz w:val="24"/>
          <w:highlight w:val="none"/>
        </w:rPr>
      </w:pPr>
    </w:p>
    <w:p w14:paraId="34496A0B">
      <w:pPr>
        <w:pStyle w:val="4"/>
        <w:widowControl/>
        <w:autoSpaceDE w:val="0"/>
        <w:spacing w:before="0" w:after="0" w:line="360" w:lineRule="auto"/>
        <w:jc w:val="center"/>
        <w:rPr>
          <w:rFonts w:hint="eastAsia" w:ascii="宋体" w:hAnsi="宋体" w:eastAsia="宋体" w:cs="宋体"/>
          <w:color w:val="auto"/>
          <w:szCs w:val="28"/>
          <w:highlight w:val="none"/>
        </w:rPr>
      </w:pPr>
      <w:bookmarkStart w:id="395" w:name="_Toc5102"/>
      <w:bookmarkStart w:id="396" w:name="_Toc21385"/>
      <w:bookmarkStart w:id="397" w:name="_Toc7133"/>
      <w:bookmarkStart w:id="398" w:name="_Toc11639"/>
      <w:r>
        <w:rPr>
          <w:rFonts w:hint="eastAsia" w:ascii="宋体" w:hAnsi="宋体" w:cs="宋体"/>
          <w:color w:val="auto"/>
          <w:szCs w:val="28"/>
          <w:highlight w:val="none"/>
          <w:lang w:val="en-US" w:eastAsia="zh-CN"/>
        </w:rPr>
        <w:t>九</w:t>
      </w:r>
      <w:r>
        <w:rPr>
          <w:rFonts w:hint="eastAsia" w:ascii="宋体" w:hAnsi="宋体" w:eastAsia="宋体" w:cs="宋体"/>
          <w:color w:val="auto"/>
          <w:szCs w:val="28"/>
          <w:highlight w:val="none"/>
          <w:lang w:val="en-US" w:eastAsia="zh-CN"/>
        </w:rPr>
        <w:t>、施工主要工序</w:t>
      </w:r>
      <w:bookmarkEnd w:id="395"/>
      <w:bookmarkEnd w:id="396"/>
      <w:bookmarkEnd w:id="397"/>
      <w:bookmarkEnd w:id="398"/>
    </w:p>
    <w:p w14:paraId="3365005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6E3E009A">
      <w:pPr>
        <w:pStyle w:val="28"/>
        <w:jc w:val="center"/>
        <w:rPr>
          <w:rFonts w:hint="eastAsia" w:ascii="宋体" w:hAnsi="宋体" w:eastAsia="宋体" w:cs="宋体"/>
          <w:b/>
          <w:color w:val="auto"/>
          <w:sz w:val="24"/>
          <w:highlight w:val="none"/>
        </w:rPr>
      </w:pPr>
    </w:p>
    <w:p w14:paraId="33CA4DF5">
      <w:pPr>
        <w:pStyle w:val="28"/>
        <w:jc w:val="center"/>
        <w:rPr>
          <w:rFonts w:hint="eastAsia" w:ascii="宋体" w:hAnsi="宋体" w:eastAsia="宋体" w:cs="宋体"/>
          <w:b/>
          <w:color w:val="auto"/>
          <w:sz w:val="24"/>
          <w:highlight w:val="none"/>
        </w:rPr>
      </w:pPr>
    </w:p>
    <w:p w14:paraId="0A7642E3">
      <w:pPr>
        <w:pStyle w:val="28"/>
        <w:jc w:val="center"/>
        <w:rPr>
          <w:rFonts w:hint="eastAsia" w:ascii="宋体" w:hAnsi="宋体" w:eastAsia="宋体" w:cs="宋体"/>
          <w:b/>
          <w:color w:val="auto"/>
          <w:sz w:val="24"/>
          <w:highlight w:val="none"/>
        </w:rPr>
      </w:pPr>
    </w:p>
    <w:p w14:paraId="27FDE3C9">
      <w:pPr>
        <w:pStyle w:val="28"/>
        <w:jc w:val="center"/>
        <w:rPr>
          <w:rFonts w:hint="eastAsia" w:ascii="宋体" w:hAnsi="宋体" w:eastAsia="宋体" w:cs="宋体"/>
          <w:b/>
          <w:color w:val="auto"/>
          <w:sz w:val="24"/>
          <w:highlight w:val="none"/>
        </w:rPr>
      </w:pPr>
    </w:p>
    <w:p w14:paraId="2EF464FA">
      <w:pPr>
        <w:pStyle w:val="28"/>
        <w:jc w:val="center"/>
        <w:rPr>
          <w:rFonts w:hint="eastAsia" w:ascii="宋体" w:hAnsi="宋体" w:eastAsia="宋体" w:cs="宋体"/>
          <w:b/>
          <w:color w:val="auto"/>
          <w:sz w:val="24"/>
          <w:highlight w:val="none"/>
        </w:rPr>
      </w:pPr>
    </w:p>
    <w:p w14:paraId="401FB6CC">
      <w:pPr>
        <w:pStyle w:val="4"/>
        <w:widowControl/>
        <w:autoSpaceDE w:val="0"/>
        <w:spacing w:before="0" w:after="0" w:line="360" w:lineRule="auto"/>
        <w:jc w:val="center"/>
        <w:rPr>
          <w:rFonts w:hint="eastAsia" w:ascii="宋体" w:hAnsi="宋体" w:eastAsia="宋体" w:cs="宋体"/>
          <w:color w:val="auto"/>
          <w:szCs w:val="28"/>
          <w:highlight w:val="none"/>
        </w:rPr>
      </w:pPr>
      <w:bookmarkStart w:id="399" w:name="_Toc10934"/>
      <w:bookmarkStart w:id="400" w:name="_Toc20249"/>
      <w:bookmarkStart w:id="401" w:name="_Toc3046"/>
      <w:bookmarkStart w:id="402" w:name="_Toc15597"/>
      <w:r>
        <w:rPr>
          <w:rFonts w:hint="eastAsia" w:ascii="宋体" w:hAnsi="宋体" w:eastAsia="宋体" w:cs="宋体"/>
          <w:color w:val="auto"/>
          <w:szCs w:val="28"/>
          <w:highlight w:val="none"/>
        </w:rPr>
        <w:t>十、质量承诺及保证措施</w:t>
      </w:r>
      <w:bookmarkEnd w:id="399"/>
      <w:bookmarkEnd w:id="400"/>
      <w:bookmarkEnd w:id="401"/>
      <w:bookmarkEnd w:id="402"/>
    </w:p>
    <w:p w14:paraId="347E6C4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136A8C25">
      <w:pPr>
        <w:pStyle w:val="28"/>
        <w:jc w:val="center"/>
        <w:rPr>
          <w:rFonts w:hint="eastAsia" w:ascii="宋体" w:hAnsi="宋体" w:eastAsia="宋体" w:cs="宋体"/>
          <w:b/>
          <w:color w:val="auto"/>
          <w:sz w:val="24"/>
          <w:highlight w:val="none"/>
        </w:rPr>
      </w:pPr>
    </w:p>
    <w:p w14:paraId="35F60BE3">
      <w:pPr>
        <w:pStyle w:val="28"/>
        <w:jc w:val="center"/>
        <w:rPr>
          <w:rFonts w:hint="eastAsia" w:ascii="宋体" w:hAnsi="宋体" w:eastAsia="宋体" w:cs="宋体"/>
          <w:b/>
          <w:color w:val="auto"/>
          <w:sz w:val="24"/>
          <w:highlight w:val="none"/>
        </w:rPr>
      </w:pPr>
    </w:p>
    <w:p w14:paraId="31D9DCE4">
      <w:pPr>
        <w:pStyle w:val="28"/>
        <w:jc w:val="center"/>
        <w:rPr>
          <w:rFonts w:hint="eastAsia" w:ascii="宋体" w:hAnsi="宋体" w:eastAsia="宋体" w:cs="宋体"/>
          <w:b/>
          <w:color w:val="auto"/>
          <w:sz w:val="24"/>
          <w:highlight w:val="none"/>
        </w:rPr>
      </w:pPr>
    </w:p>
    <w:p w14:paraId="224EDF5B">
      <w:pPr>
        <w:pStyle w:val="28"/>
        <w:jc w:val="center"/>
        <w:rPr>
          <w:rFonts w:hint="eastAsia" w:ascii="宋体" w:hAnsi="宋体" w:eastAsia="宋体" w:cs="宋体"/>
          <w:b/>
          <w:color w:val="auto"/>
          <w:sz w:val="24"/>
          <w:highlight w:val="none"/>
        </w:rPr>
      </w:pPr>
    </w:p>
    <w:p w14:paraId="53DEC3D0">
      <w:pPr>
        <w:pStyle w:val="28"/>
        <w:jc w:val="center"/>
        <w:rPr>
          <w:rFonts w:hint="eastAsia" w:ascii="宋体" w:hAnsi="宋体" w:eastAsia="宋体" w:cs="宋体"/>
          <w:b/>
          <w:color w:val="auto"/>
          <w:sz w:val="24"/>
          <w:highlight w:val="none"/>
        </w:rPr>
      </w:pPr>
    </w:p>
    <w:p w14:paraId="2EB39A2A">
      <w:pPr>
        <w:pStyle w:val="4"/>
        <w:widowControl/>
        <w:autoSpaceDE w:val="0"/>
        <w:spacing w:before="0" w:after="0" w:line="360" w:lineRule="auto"/>
        <w:jc w:val="center"/>
        <w:rPr>
          <w:rFonts w:hint="eastAsia" w:ascii="宋体" w:hAnsi="宋体" w:eastAsia="宋体" w:cs="宋体"/>
          <w:color w:val="auto"/>
          <w:szCs w:val="28"/>
          <w:highlight w:val="none"/>
        </w:rPr>
      </w:pPr>
      <w:bookmarkStart w:id="403" w:name="_Toc68"/>
      <w:bookmarkStart w:id="404" w:name="_Toc24347"/>
      <w:bookmarkStart w:id="405" w:name="_Toc5300"/>
      <w:bookmarkStart w:id="406" w:name="_Toc23086"/>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一</w:t>
      </w:r>
      <w:r>
        <w:rPr>
          <w:rFonts w:hint="eastAsia" w:ascii="宋体" w:hAnsi="宋体" w:eastAsia="宋体" w:cs="宋体"/>
          <w:color w:val="auto"/>
          <w:szCs w:val="28"/>
          <w:highlight w:val="none"/>
        </w:rPr>
        <w:t>、工期承诺及保证措施</w:t>
      </w:r>
      <w:bookmarkEnd w:id="403"/>
      <w:bookmarkEnd w:id="404"/>
      <w:bookmarkEnd w:id="405"/>
      <w:bookmarkEnd w:id="406"/>
    </w:p>
    <w:p w14:paraId="6260C8D2">
      <w:pPr>
        <w:keepNext/>
        <w:keepLines/>
        <w:pageBreakBefore w:val="0"/>
        <w:widowControl/>
        <w:kinsoku/>
        <w:wordWrap/>
        <w:overflowPunct/>
        <w:topLinePunct w:val="0"/>
        <w:autoSpaceDE w:val="0"/>
        <w:autoSpaceDN/>
        <w:bidi w:val="0"/>
        <w:adjustRightInd/>
        <w:snapToGrid/>
        <w:spacing w:before="0" w:after="0" w:line="360" w:lineRule="auto"/>
        <w:ind w:firstLine="480" w:firstLineChars="200"/>
        <w:jc w:val="center"/>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66304F67">
      <w:pPr>
        <w:keepNext/>
        <w:keepLines/>
        <w:pageBreakBefore w:val="0"/>
        <w:widowControl/>
        <w:kinsoku/>
        <w:wordWrap/>
        <w:overflowPunct/>
        <w:topLinePunct w:val="0"/>
        <w:autoSpaceDE w:val="0"/>
        <w:autoSpaceDN/>
        <w:bidi w:val="0"/>
        <w:adjustRightInd/>
        <w:snapToGrid/>
        <w:spacing w:before="0" w:after="0" w:line="360" w:lineRule="auto"/>
        <w:jc w:val="center"/>
        <w:textAlignment w:val="auto"/>
        <w:outlineLvl w:val="2"/>
        <w:rPr>
          <w:rFonts w:hint="eastAsia" w:ascii="宋体" w:hAnsi="宋体" w:eastAsia="宋体" w:cs="宋体"/>
          <w:color w:val="auto"/>
          <w:szCs w:val="28"/>
          <w:highlight w:val="none"/>
        </w:rPr>
      </w:pPr>
      <w:r>
        <w:rPr>
          <w:rFonts w:ascii="宋体" w:hAnsi="宋体"/>
          <w:szCs w:val="28"/>
          <w:highlight w:val="none"/>
        </w:rPr>
        <w:br w:type="page"/>
      </w:r>
      <w:bookmarkStart w:id="407" w:name="_Toc32154"/>
      <w:bookmarkStart w:id="408" w:name="_Toc5912"/>
      <w:bookmarkStart w:id="409" w:name="_Toc18655"/>
      <w:bookmarkStart w:id="410" w:name="_Toc20138"/>
      <w:r>
        <w:rPr>
          <w:rFonts w:hint="eastAsia" w:ascii="宋体" w:hAnsi="宋体" w:eastAsia="宋体" w:cs="宋体"/>
          <w:b/>
          <w:bCs/>
          <w:color w:val="auto"/>
          <w:sz w:val="28"/>
          <w:szCs w:val="28"/>
          <w:highlight w:val="none"/>
          <w:lang w:val="en-US" w:eastAsia="zh-CN" w:bidi="ar-SA"/>
        </w:rPr>
        <w:t>十二、材料投入保证措施</w:t>
      </w:r>
      <w:bookmarkEnd w:id="407"/>
      <w:bookmarkEnd w:id="408"/>
      <w:bookmarkEnd w:id="409"/>
      <w:bookmarkEnd w:id="410"/>
    </w:p>
    <w:p w14:paraId="3F5E6E8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6051EAB1">
      <w:pPr>
        <w:pStyle w:val="28"/>
        <w:jc w:val="center"/>
        <w:rPr>
          <w:rFonts w:hint="eastAsia" w:ascii="宋体" w:hAnsi="宋体" w:eastAsia="宋体" w:cs="宋体"/>
          <w:b/>
          <w:color w:val="auto"/>
          <w:sz w:val="24"/>
          <w:highlight w:val="none"/>
        </w:rPr>
      </w:pPr>
    </w:p>
    <w:p w14:paraId="66937A67">
      <w:pPr>
        <w:pStyle w:val="28"/>
        <w:jc w:val="center"/>
        <w:rPr>
          <w:rFonts w:hint="eastAsia" w:ascii="宋体" w:hAnsi="宋体" w:eastAsia="宋体" w:cs="宋体"/>
          <w:b/>
          <w:color w:val="auto"/>
          <w:sz w:val="24"/>
          <w:highlight w:val="none"/>
        </w:rPr>
      </w:pPr>
    </w:p>
    <w:p w14:paraId="3931E76D">
      <w:pPr>
        <w:pStyle w:val="28"/>
        <w:jc w:val="center"/>
        <w:rPr>
          <w:rFonts w:hint="eastAsia" w:ascii="宋体" w:hAnsi="宋体" w:eastAsia="宋体" w:cs="宋体"/>
          <w:b/>
          <w:color w:val="auto"/>
          <w:sz w:val="24"/>
          <w:highlight w:val="none"/>
        </w:rPr>
      </w:pPr>
    </w:p>
    <w:p w14:paraId="69554621">
      <w:pPr>
        <w:pStyle w:val="4"/>
        <w:widowControl/>
        <w:autoSpaceDE w:val="0"/>
        <w:spacing w:before="0" w:after="0" w:line="360" w:lineRule="auto"/>
        <w:jc w:val="center"/>
        <w:rPr>
          <w:rFonts w:hint="eastAsia" w:ascii="宋体" w:hAnsi="宋体" w:eastAsia="宋体" w:cs="宋体"/>
          <w:color w:val="auto"/>
          <w:szCs w:val="28"/>
          <w:highlight w:val="none"/>
        </w:rPr>
      </w:pPr>
      <w:bookmarkStart w:id="411" w:name="_Toc15344"/>
      <w:bookmarkStart w:id="412" w:name="_Toc18006"/>
      <w:bookmarkStart w:id="413" w:name="_Toc19974"/>
      <w:bookmarkStart w:id="414" w:name="_Toc29382"/>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三</w:t>
      </w:r>
      <w:r>
        <w:rPr>
          <w:rFonts w:hint="eastAsia" w:ascii="宋体" w:hAnsi="宋体" w:eastAsia="宋体" w:cs="宋体"/>
          <w:color w:val="auto"/>
          <w:szCs w:val="28"/>
          <w:highlight w:val="none"/>
        </w:rPr>
        <w:t>、施工机械投入</w:t>
      </w:r>
      <w:bookmarkEnd w:id="411"/>
      <w:bookmarkEnd w:id="412"/>
      <w:bookmarkEnd w:id="413"/>
      <w:bookmarkEnd w:id="414"/>
    </w:p>
    <w:p w14:paraId="167258F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437C8AAB">
      <w:pPr>
        <w:pStyle w:val="28"/>
        <w:jc w:val="center"/>
        <w:rPr>
          <w:rFonts w:hint="eastAsia" w:ascii="宋体" w:hAnsi="宋体" w:eastAsia="宋体" w:cs="宋体"/>
          <w:b/>
          <w:color w:val="auto"/>
          <w:sz w:val="24"/>
          <w:highlight w:val="none"/>
        </w:rPr>
      </w:pPr>
    </w:p>
    <w:p w14:paraId="65EB23D3">
      <w:pPr>
        <w:pStyle w:val="28"/>
        <w:jc w:val="center"/>
        <w:rPr>
          <w:rFonts w:hint="eastAsia" w:ascii="宋体" w:hAnsi="宋体" w:eastAsia="宋体" w:cs="宋体"/>
          <w:b/>
          <w:color w:val="auto"/>
          <w:sz w:val="24"/>
          <w:highlight w:val="none"/>
        </w:rPr>
      </w:pPr>
    </w:p>
    <w:p w14:paraId="1F0FCA47">
      <w:pPr>
        <w:pStyle w:val="28"/>
        <w:jc w:val="center"/>
        <w:rPr>
          <w:rFonts w:hint="eastAsia" w:ascii="宋体" w:hAnsi="宋体" w:eastAsia="宋体" w:cs="宋体"/>
          <w:b/>
          <w:color w:val="auto"/>
          <w:sz w:val="24"/>
          <w:highlight w:val="none"/>
        </w:rPr>
      </w:pPr>
    </w:p>
    <w:p w14:paraId="3A8036EE">
      <w:pPr>
        <w:pStyle w:val="4"/>
        <w:widowControl/>
        <w:autoSpaceDE w:val="0"/>
        <w:spacing w:before="0" w:after="0" w:line="360" w:lineRule="auto"/>
        <w:jc w:val="center"/>
        <w:rPr>
          <w:rFonts w:hint="eastAsia" w:ascii="宋体" w:hAnsi="宋体" w:eastAsia="宋体" w:cs="宋体"/>
          <w:color w:val="auto"/>
          <w:szCs w:val="28"/>
          <w:highlight w:val="none"/>
        </w:rPr>
      </w:pPr>
      <w:bookmarkStart w:id="415" w:name="_Toc6274"/>
      <w:bookmarkStart w:id="416" w:name="_Toc29275"/>
      <w:bookmarkStart w:id="417" w:name="_Toc29034"/>
      <w:bookmarkStart w:id="418" w:name="_Toc22072"/>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四</w:t>
      </w:r>
      <w:r>
        <w:rPr>
          <w:rFonts w:hint="eastAsia" w:ascii="宋体" w:hAnsi="宋体" w:eastAsia="宋体" w:cs="宋体"/>
          <w:color w:val="auto"/>
          <w:szCs w:val="28"/>
          <w:highlight w:val="none"/>
        </w:rPr>
        <w:t>、安全文明生产措施</w:t>
      </w:r>
      <w:bookmarkEnd w:id="415"/>
      <w:bookmarkEnd w:id="416"/>
      <w:bookmarkEnd w:id="417"/>
      <w:bookmarkEnd w:id="418"/>
    </w:p>
    <w:p w14:paraId="5D26DE1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2747D123">
      <w:pPr>
        <w:pStyle w:val="4"/>
        <w:widowControl/>
        <w:autoSpaceDE w:val="0"/>
        <w:spacing w:before="0" w:after="0" w:line="360" w:lineRule="auto"/>
        <w:ind w:firstLine="562" w:firstLineChars="200"/>
        <w:rPr>
          <w:rFonts w:hint="eastAsia" w:ascii="宋体" w:hAnsi="宋体" w:eastAsia="宋体" w:cs="宋体"/>
          <w:color w:val="auto"/>
          <w:szCs w:val="28"/>
          <w:highlight w:val="none"/>
        </w:rPr>
      </w:pPr>
      <w:r>
        <w:rPr>
          <w:rFonts w:ascii="宋体" w:hAnsi="宋体"/>
          <w:szCs w:val="28"/>
          <w:highlight w:val="none"/>
        </w:rPr>
        <w:br w:type="page"/>
      </w:r>
      <w:bookmarkStart w:id="419" w:name="_Toc1072"/>
      <w:bookmarkStart w:id="420" w:name="_Toc22268"/>
      <w:bookmarkStart w:id="421" w:name="_Toc16232"/>
      <w:bookmarkStart w:id="422" w:name="_Toc27170"/>
      <w:bookmarkStart w:id="423" w:name="_Toc18408"/>
      <w:r>
        <w:rPr>
          <w:rFonts w:hint="eastAsia" w:ascii="宋体" w:hAnsi="宋体"/>
          <w:szCs w:val="28"/>
          <w:highlight w:val="none"/>
          <w:lang w:val="en-US" w:eastAsia="zh-CN"/>
        </w:rPr>
        <w:t>十五</w:t>
      </w:r>
      <w:r>
        <w:rPr>
          <w:rFonts w:hint="eastAsia" w:ascii="宋体" w:hAnsi="宋体" w:eastAsia="宋体" w:cs="宋体"/>
          <w:color w:val="auto"/>
          <w:szCs w:val="28"/>
          <w:highlight w:val="none"/>
        </w:rPr>
        <w:t>、项目管理机构配置</w:t>
      </w:r>
      <w:bookmarkEnd w:id="419"/>
      <w:bookmarkEnd w:id="420"/>
      <w:bookmarkEnd w:id="421"/>
      <w:bookmarkEnd w:id="422"/>
      <w:bookmarkEnd w:id="423"/>
    </w:p>
    <w:p w14:paraId="7CE51ABF">
      <w:pPr>
        <w:pStyle w:val="29"/>
        <w:outlineLvl w:val="3"/>
        <w:rPr>
          <w:rFonts w:hint="eastAsia" w:ascii="宋体" w:hAnsi="宋体" w:eastAsia="宋体" w:cs="宋体"/>
          <w:color w:val="auto"/>
          <w:szCs w:val="23"/>
          <w:highlight w:val="none"/>
        </w:rPr>
      </w:pPr>
      <w:bookmarkStart w:id="424" w:name="_Toc15069"/>
      <w:bookmarkStart w:id="425" w:name="_Toc9550"/>
      <w:bookmarkStart w:id="426" w:name="_Toc30484"/>
      <w:bookmarkStart w:id="427" w:name="_Toc19923"/>
      <w:bookmarkStart w:id="428" w:name="_Toc144974872"/>
      <w:bookmarkStart w:id="429" w:name="_Toc2695568"/>
      <w:bookmarkStart w:id="430" w:name="_Toc179632824"/>
      <w:bookmarkStart w:id="431" w:name="_Toc152045804"/>
      <w:bookmarkStart w:id="432" w:name="_Toc12408"/>
      <w:bookmarkStart w:id="433" w:name="_Toc152042593"/>
      <w:bookmarkStart w:id="434" w:name="_Toc24278"/>
      <w:r>
        <w:rPr>
          <w:rFonts w:hint="eastAsia" w:ascii="宋体" w:hAnsi="宋体" w:eastAsia="宋体" w:cs="宋体"/>
          <w:color w:val="auto"/>
          <w:szCs w:val="23"/>
          <w:highlight w:val="none"/>
        </w:rPr>
        <w:t>(一)项目组织机构组成表</w:t>
      </w:r>
      <w:bookmarkEnd w:id="424"/>
      <w:bookmarkEnd w:id="425"/>
      <w:bookmarkEnd w:id="426"/>
      <w:bookmarkEnd w:id="427"/>
      <w:bookmarkEnd w:id="428"/>
      <w:bookmarkEnd w:id="429"/>
      <w:bookmarkEnd w:id="430"/>
      <w:bookmarkEnd w:id="431"/>
      <w:bookmarkEnd w:id="432"/>
      <w:bookmarkEnd w:id="433"/>
      <w:bookmarkEnd w:id="434"/>
    </w:p>
    <w:p w14:paraId="3FEBA1BD">
      <w:pPr>
        <w:spacing w:line="440" w:lineRule="exact"/>
        <w:jc w:val="center"/>
        <w:rPr>
          <w:rFonts w:hint="eastAsia" w:ascii="宋体" w:hAnsi="宋体" w:eastAsia="宋体" w:cs="宋体"/>
          <w:color w:val="auto"/>
          <w:sz w:val="23"/>
          <w:szCs w:val="23"/>
          <w:highlight w:val="none"/>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1115"/>
        <w:gridCol w:w="610"/>
        <w:gridCol w:w="1103"/>
        <w:gridCol w:w="1225"/>
        <w:gridCol w:w="1226"/>
        <w:gridCol w:w="1103"/>
        <w:gridCol w:w="1176"/>
        <w:gridCol w:w="778"/>
        <w:gridCol w:w="658"/>
      </w:tblGrid>
      <w:tr w14:paraId="0809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vMerge w:val="restart"/>
            <w:noWrap w:val="0"/>
            <w:vAlign w:val="center"/>
          </w:tcPr>
          <w:p w14:paraId="1FD3A46D">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79" w:type="pct"/>
            <w:vMerge w:val="restart"/>
            <w:noWrap w:val="0"/>
            <w:vAlign w:val="center"/>
          </w:tcPr>
          <w:p w14:paraId="1E8954E8">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317" w:type="pct"/>
            <w:vMerge w:val="restart"/>
            <w:noWrap w:val="0"/>
            <w:vAlign w:val="center"/>
          </w:tcPr>
          <w:p w14:paraId="55CA0D27">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573" w:type="pct"/>
            <w:vMerge w:val="restart"/>
            <w:noWrap w:val="0"/>
            <w:vAlign w:val="center"/>
          </w:tcPr>
          <w:p w14:paraId="607D4CC1">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2457" w:type="pct"/>
            <w:gridSpan w:val="4"/>
            <w:noWrap w:val="0"/>
            <w:vAlign w:val="center"/>
          </w:tcPr>
          <w:p w14:paraId="3767F32A">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执业或职业资格证明</w:t>
            </w:r>
          </w:p>
        </w:tc>
        <w:tc>
          <w:tcPr>
            <w:tcW w:w="404" w:type="pct"/>
            <w:vMerge w:val="restart"/>
            <w:noWrap w:val="0"/>
            <w:vAlign w:val="top"/>
          </w:tcPr>
          <w:p w14:paraId="4E595540">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工作年限</w:t>
            </w:r>
          </w:p>
        </w:tc>
        <w:tc>
          <w:tcPr>
            <w:tcW w:w="341" w:type="pct"/>
            <w:vMerge w:val="restart"/>
            <w:noWrap w:val="0"/>
            <w:vAlign w:val="center"/>
          </w:tcPr>
          <w:p w14:paraId="20ECE7F5">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77A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vMerge w:val="continue"/>
            <w:noWrap w:val="0"/>
            <w:vAlign w:val="top"/>
          </w:tcPr>
          <w:p w14:paraId="46459F0D">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vMerge w:val="continue"/>
            <w:noWrap w:val="0"/>
            <w:vAlign w:val="center"/>
          </w:tcPr>
          <w:p w14:paraId="01C8E5F9">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vMerge w:val="continue"/>
            <w:noWrap w:val="0"/>
            <w:vAlign w:val="center"/>
          </w:tcPr>
          <w:p w14:paraId="60732245">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vMerge w:val="continue"/>
            <w:noWrap w:val="0"/>
            <w:vAlign w:val="center"/>
          </w:tcPr>
          <w:p w14:paraId="03B80AFB">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center"/>
          </w:tcPr>
          <w:p w14:paraId="3A060758">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证书名称</w:t>
            </w:r>
          </w:p>
        </w:tc>
        <w:tc>
          <w:tcPr>
            <w:tcW w:w="637" w:type="pct"/>
            <w:noWrap w:val="0"/>
            <w:vAlign w:val="center"/>
          </w:tcPr>
          <w:p w14:paraId="0CC63B98">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级别</w:t>
            </w:r>
          </w:p>
        </w:tc>
        <w:tc>
          <w:tcPr>
            <w:tcW w:w="573" w:type="pct"/>
            <w:noWrap w:val="0"/>
            <w:vAlign w:val="center"/>
          </w:tcPr>
          <w:p w14:paraId="44AF54AE">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611" w:type="pct"/>
            <w:noWrap w:val="0"/>
            <w:vAlign w:val="center"/>
          </w:tcPr>
          <w:p w14:paraId="3602E87B">
            <w:pPr>
              <w:adjustRightInd w:val="0"/>
              <w:spacing w:line="44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404" w:type="pct"/>
            <w:vMerge w:val="continue"/>
            <w:noWrap w:val="0"/>
            <w:vAlign w:val="top"/>
          </w:tcPr>
          <w:p w14:paraId="38DAF306">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vMerge w:val="continue"/>
            <w:noWrap w:val="0"/>
            <w:vAlign w:val="center"/>
          </w:tcPr>
          <w:p w14:paraId="65DB2391">
            <w:pPr>
              <w:adjustRightInd w:val="0"/>
              <w:spacing w:line="440" w:lineRule="exact"/>
              <w:jc w:val="center"/>
              <w:textAlignment w:val="baseline"/>
              <w:rPr>
                <w:rFonts w:hint="eastAsia" w:ascii="宋体" w:hAnsi="宋体" w:eastAsia="宋体" w:cs="宋体"/>
                <w:color w:val="auto"/>
                <w:sz w:val="24"/>
                <w:szCs w:val="24"/>
                <w:highlight w:val="none"/>
              </w:rPr>
            </w:pPr>
          </w:p>
        </w:tc>
      </w:tr>
      <w:tr w14:paraId="7C3E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2E933937">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01403482">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center"/>
          </w:tcPr>
          <w:p w14:paraId="7A37474F">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center"/>
          </w:tcPr>
          <w:p w14:paraId="3655BEF8">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center"/>
          </w:tcPr>
          <w:p w14:paraId="4684DB8C">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center"/>
          </w:tcPr>
          <w:p w14:paraId="464DB023">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center"/>
          </w:tcPr>
          <w:p w14:paraId="6F984F14">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center"/>
          </w:tcPr>
          <w:p w14:paraId="450CB261">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7E6A2B43">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center"/>
          </w:tcPr>
          <w:p w14:paraId="7C34CAFA">
            <w:pPr>
              <w:adjustRightInd w:val="0"/>
              <w:spacing w:line="440" w:lineRule="exact"/>
              <w:jc w:val="center"/>
              <w:textAlignment w:val="baseline"/>
              <w:rPr>
                <w:rFonts w:hint="eastAsia" w:ascii="宋体" w:hAnsi="宋体" w:eastAsia="宋体" w:cs="宋体"/>
                <w:color w:val="auto"/>
                <w:sz w:val="24"/>
                <w:szCs w:val="24"/>
                <w:highlight w:val="none"/>
              </w:rPr>
            </w:pPr>
          </w:p>
        </w:tc>
      </w:tr>
      <w:tr w14:paraId="4103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5E4F2A2E">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35C64F1E">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7B1747FD">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B9E606D">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5460CDB2">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0946F068">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65F4AA2E">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1F11AA0D">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44827863">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4F372791">
            <w:pPr>
              <w:adjustRightInd w:val="0"/>
              <w:spacing w:line="440" w:lineRule="exact"/>
              <w:jc w:val="center"/>
              <w:textAlignment w:val="baseline"/>
              <w:rPr>
                <w:rFonts w:hint="eastAsia" w:ascii="宋体" w:hAnsi="宋体" w:eastAsia="宋体" w:cs="宋体"/>
                <w:color w:val="auto"/>
                <w:sz w:val="24"/>
                <w:szCs w:val="24"/>
                <w:highlight w:val="none"/>
              </w:rPr>
            </w:pPr>
          </w:p>
        </w:tc>
      </w:tr>
      <w:tr w14:paraId="2BA0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192D861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56329EAB">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3C11D32D">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55DB7A10">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4F02C818">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603509B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3D9771D">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3C213C06">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4BC239BA">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423DCB26">
            <w:pPr>
              <w:adjustRightInd w:val="0"/>
              <w:spacing w:line="440" w:lineRule="exact"/>
              <w:jc w:val="center"/>
              <w:textAlignment w:val="baseline"/>
              <w:rPr>
                <w:rFonts w:hint="eastAsia" w:ascii="宋体" w:hAnsi="宋体" w:eastAsia="宋体" w:cs="宋体"/>
                <w:color w:val="auto"/>
                <w:sz w:val="24"/>
                <w:szCs w:val="24"/>
                <w:highlight w:val="none"/>
              </w:rPr>
            </w:pPr>
          </w:p>
        </w:tc>
      </w:tr>
      <w:tr w14:paraId="628C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3634538B">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2634D317">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2EB5C489">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D4BDE56">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21FFB371">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630FEB15">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45E9E8BF">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1EE0944D">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1C17892E">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40EBAE6B">
            <w:pPr>
              <w:adjustRightInd w:val="0"/>
              <w:spacing w:line="440" w:lineRule="exact"/>
              <w:jc w:val="center"/>
              <w:textAlignment w:val="baseline"/>
              <w:rPr>
                <w:rFonts w:hint="eastAsia" w:ascii="宋体" w:hAnsi="宋体" w:eastAsia="宋体" w:cs="宋体"/>
                <w:color w:val="auto"/>
                <w:sz w:val="24"/>
                <w:szCs w:val="24"/>
                <w:highlight w:val="none"/>
              </w:rPr>
            </w:pPr>
          </w:p>
        </w:tc>
      </w:tr>
      <w:tr w14:paraId="2774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6DA0A5F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112B25A4">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3A5A0CC8">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1C345E9A">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061B457C">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159F8874">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64D74E0">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1237A368">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45D1F77B">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14617DB2">
            <w:pPr>
              <w:adjustRightInd w:val="0"/>
              <w:spacing w:line="440" w:lineRule="exact"/>
              <w:jc w:val="center"/>
              <w:textAlignment w:val="baseline"/>
              <w:rPr>
                <w:rFonts w:hint="eastAsia" w:ascii="宋体" w:hAnsi="宋体" w:eastAsia="宋体" w:cs="宋体"/>
                <w:color w:val="auto"/>
                <w:sz w:val="24"/>
                <w:szCs w:val="24"/>
                <w:highlight w:val="none"/>
              </w:rPr>
            </w:pPr>
          </w:p>
        </w:tc>
      </w:tr>
      <w:tr w14:paraId="460C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693A475B">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02C91BD6">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2D6AC66C">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C8CC275">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7F0852E9">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371E271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7D192EA">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14A26E39">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3775B695">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51A82701">
            <w:pPr>
              <w:adjustRightInd w:val="0"/>
              <w:spacing w:line="440" w:lineRule="exact"/>
              <w:jc w:val="center"/>
              <w:textAlignment w:val="baseline"/>
              <w:rPr>
                <w:rFonts w:hint="eastAsia" w:ascii="宋体" w:hAnsi="宋体" w:eastAsia="宋体" w:cs="宋体"/>
                <w:color w:val="auto"/>
                <w:sz w:val="24"/>
                <w:szCs w:val="24"/>
                <w:highlight w:val="none"/>
              </w:rPr>
            </w:pPr>
          </w:p>
        </w:tc>
      </w:tr>
      <w:tr w14:paraId="7CF0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1B6EC3CF">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39E8E7C6">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7CC2B347">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750C9AE3">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52C9C372">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74236991">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7C889DEF">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38666090">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012F3A19">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6D195086">
            <w:pPr>
              <w:adjustRightInd w:val="0"/>
              <w:spacing w:line="440" w:lineRule="exact"/>
              <w:jc w:val="center"/>
              <w:textAlignment w:val="baseline"/>
              <w:rPr>
                <w:rFonts w:hint="eastAsia" w:ascii="宋体" w:hAnsi="宋体" w:eastAsia="宋体" w:cs="宋体"/>
                <w:color w:val="auto"/>
                <w:sz w:val="24"/>
                <w:szCs w:val="24"/>
                <w:highlight w:val="none"/>
              </w:rPr>
            </w:pPr>
          </w:p>
        </w:tc>
      </w:tr>
      <w:tr w14:paraId="0DA7E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1577871D">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291307AE">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7C62E997">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39E9C04">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4E89AA7E">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2EC0138D">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33E9824">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77EC07CE">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0A7D7EF5">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2F78ACC0">
            <w:pPr>
              <w:adjustRightInd w:val="0"/>
              <w:spacing w:line="440" w:lineRule="exact"/>
              <w:jc w:val="center"/>
              <w:textAlignment w:val="baseline"/>
              <w:rPr>
                <w:rFonts w:hint="eastAsia" w:ascii="宋体" w:hAnsi="宋体" w:eastAsia="宋体" w:cs="宋体"/>
                <w:color w:val="auto"/>
                <w:sz w:val="24"/>
                <w:szCs w:val="24"/>
                <w:highlight w:val="none"/>
              </w:rPr>
            </w:pPr>
          </w:p>
        </w:tc>
      </w:tr>
      <w:tr w14:paraId="01BC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48CF1C39">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7EAEDCFC">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535B09F8">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7227F58">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702B599E">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1A96A11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D06054B">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55F2D911">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04DD1261">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7356E046">
            <w:pPr>
              <w:adjustRightInd w:val="0"/>
              <w:spacing w:line="440" w:lineRule="exact"/>
              <w:jc w:val="center"/>
              <w:textAlignment w:val="baseline"/>
              <w:rPr>
                <w:rFonts w:hint="eastAsia" w:ascii="宋体" w:hAnsi="宋体" w:eastAsia="宋体" w:cs="宋体"/>
                <w:color w:val="auto"/>
                <w:sz w:val="24"/>
                <w:szCs w:val="24"/>
                <w:highlight w:val="none"/>
              </w:rPr>
            </w:pPr>
          </w:p>
        </w:tc>
      </w:tr>
      <w:tr w14:paraId="3C59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52E4395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52B69129">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3358BEAF">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2C9D99AB">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19497CEE">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519723E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DB96495">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5D1C498E">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0A39BBD3">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35AC8E62">
            <w:pPr>
              <w:adjustRightInd w:val="0"/>
              <w:spacing w:line="440" w:lineRule="exact"/>
              <w:jc w:val="center"/>
              <w:textAlignment w:val="baseline"/>
              <w:rPr>
                <w:rFonts w:hint="eastAsia" w:ascii="宋体" w:hAnsi="宋体" w:eastAsia="宋体" w:cs="宋体"/>
                <w:color w:val="auto"/>
                <w:sz w:val="24"/>
                <w:szCs w:val="24"/>
                <w:highlight w:val="none"/>
              </w:rPr>
            </w:pPr>
          </w:p>
        </w:tc>
      </w:tr>
      <w:tr w14:paraId="5E1E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22D68721">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center"/>
          </w:tcPr>
          <w:p w14:paraId="2690F6C8">
            <w:pPr>
              <w:autoSpaceDE w:val="0"/>
              <w:autoSpaceDN w:val="0"/>
              <w:adjustRightInd w:val="0"/>
              <w:jc w:val="center"/>
              <w:rPr>
                <w:rFonts w:hint="eastAsia" w:ascii="宋体" w:hAnsi="宋体" w:eastAsia="宋体" w:cs="宋体"/>
                <w:color w:val="auto"/>
                <w:sz w:val="24"/>
                <w:szCs w:val="24"/>
                <w:highlight w:val="none"/>
              </w:rPr>
            </w:pPr>
          </w:p>
        </w:tc>
        <w:tc>
          <w:tcPr>
            <w:tcW w:w="317" w:type="pct"/>
            <w:noWrap w:val="0"/>
            <w:vAlign w:val="top"/>
          </w:tcPr>
          <w:p w14:paraId="3BC6A9C7">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B764F9F">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3B13AF4F">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4D145CF0">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61CC98F8">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68759D4B">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657F9329">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7DD64F59">
            <w:pPr>
              <w:adjustRightInd w:val="0"/>
              <w:spacing w:line="440" w:lineRule="exact"/>
              <w:jc w:val="center"/>
              <w:textAlignment w:val="baseline"/>
              <w:rPr>
                <w:rFonts w:hint="eastAsia" w:ascii="宋体" w:hAnsi="宋体" w:eastAsia="宋体" w:cs="宋体"/>
                <w:color w:val="auto"/>
                <w:sz w:val="24"/>
                <w:szCs w:val="24"/>
                <w:highlight w:val="none"/>
              </w:rPr>
            </w:pPr>
          </w:p>
        </w:tc>
      </w:tr>
      <w:tr w14:paraId="1D0E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41BB122C">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628E9ACF">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332C801C">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D23A7C0">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36E8E399">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43469920">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23C0A798">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48A5E5AD">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6D74C7C9">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0AF43A4E">
            <w:pPr>
              <w:adjustRightInd w:val="0"/>
              <w:spacing w:line="440" w:lineRule="exact"/>
              <w:jc w:val="center"/>
              <w:textAlignment w:val="baseline"/>
              <w:rPr>
                <w:rFonts w:hint="eastAsia" w:ascii="宋体" w:hAnsi="宋体" w:eastAsia="宋体" w:cs="宋体"/>
                <w:color w:val="auto"/>
                <w:sz w:val="24"/>
                <w:szCs w:val="24"/>
                <w:highlight w:val="none"/>
              </w:rPr>
            </w:pPr>
          </w:p>
        </w:tc>
      </w:tr>
      <w:tr w14:paraId="5A8E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729577D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33F55843">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3CAE8699">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4508E3D9">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7638D67B">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5540CC5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2393601C">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2ED71223">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4A522C1B">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7C7F505C">
            <w:pPr>
              <w:adjustRightInd w:val="0"/>
              <w:spacing w:line="440" w:lineRule="exact"/>
              <w:jc w:val="center"/>
              <w:textAlignment w:val="baseline"/>
              <w:rPr>
                <w:rFonts w:hint="eastAsia" w:ascii="宋体" w:hAnsi="宋体" w:eastAsia="宋体" w:cs="宋体"/>
                <w:color w:val="auto"/>
                <w:sz w:val="24"/>
                <w:szCs w:val="24"/>
                <w:highlight w:val="none"/>
              </w:rPr>
            </w:pPr>
          </w:p>
        </w:tc>
      </w:tr>
      <w:tr w14:paraId="25B0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4ADDF863">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4FAA9024">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63D2E6AC">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68FEBF42">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15515D47">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4EFF8A2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408042A7">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6CEA79E5">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60B4B2DC">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0D102C63">
            <w:pPr>
              <w:adjustRightInd w:val="0"/>
              <w:spacing w:line="440" w:lineRule="exact"/>
              <w:jc w:val="center"/>
              <w:textAlignment w:val="baseline"/>
              <w:rPr>
                <w:rFonts w:hint="eastAsia" w:ascii="宋体" w:hAnsi="宋体" w:eastAsia="宋体" w:cs="宋体"/>
                <w:color w:val="auto"/>
                <w:sz w:val="24"/>
                <w:szCs w:val="24"/>
                <w:highlight w:val="none"/>
              </w:rPr>
            </w:pPr>
          </w:p>
        </w:tc>
      </w:tr>
      <w:tr w14:paraId="41729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78180354">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1CBABB11">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2A1B47E1">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4BB3783">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61A326FD">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3915830B">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5D0D79F1">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0DBEDE3A">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2C70A221">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0F7BF75E">
            <w:pPr>
              <w:adjustRightInd w:val="0"/>
              <w:spacing w:line="440" w:lineRule="exact"/>
              <w:jc w:val="center"/>
              <w:textAlignment w:val="baseline"/>
              <w:rPr>
                <w:rFonts w:hint="eastAsia" w:ascii="宋体" w:hAnsi="宋体" w:eastAsia="宋体" w:cs="宋体"/>
                <w:color w:val="auto"/>
                <w:sz w:val="24"/>
                <w:szCs w:val="24"/>
                <w:highlight w:val="none"/>
              </w:rPr>
            </w:pPr>
          </w:p>
        </w:tc>
      </w:tr>
      <w:tr w14:paraId="2644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5E9E1D93">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36BC394A">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15171EF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9195867">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7871B4F4">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0B58A788">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7DF9AA1">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7BF08D82">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7BDA004D">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7C87C779">
            <w:pPr>
              <w:adjustRightInd w:val="0"/>
              <w:spacing w:line="440" w:lineRule="exact"/>
              <w:jc w:val="center"/>
              <w:textAlignment w:val="baseline"/>
              <w:rPr>
                <w:rFonts w:hint="eastAsia" w:ascii="宋体" w:hAnsi="宋体" w:eastAsia="宋体" w:cs="宋体"/>
                <w:color w:val="auto"/>
                <w:sz w:val="24"/>
                <w:szCs w:val="24"/>
                <w:highlight w:val="none"/>
              </w:rPr>
            </w:pPr>
          </w:p>
        </w:tc>
      </w:tr>
      <w:tr w14:paraId="3DC0F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0E7C5778">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3604EBDA">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116603B6">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15A6D0CB">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55583FF8">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5929A80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5111597C">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3F2D66F6">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6D5D8AEE">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5A2464EE">
            <w:pPr>
              <w:adjustRightInd w:val="0"/>
              <w:spacing w:line="440" w:lineRule="exact"/>
              <w:jc w:val="center"/>
              <w:textAlignment w:val="baseline"/>
              <w:rPr>
                <w:rFonts w:hint="eastAsia" w:ascii="宋体" w:hAnsi="宋体" w:eastAsia="宋体" w:cs="宋体"/>
                <w:color w:val="auto"/>
                <w:sz w:val="24"/>
                <w:szCs w:val="24"/>
                <w:highlight w:val="none"/>
              </w:rPr>
            </w:pPr>
          </w:p>
        </w:tc>
      </w:tr>
      <w:tr w14:paraId="1816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3BEA5F61">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5ACD9FCF">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42321009">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6676C4DF">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5D4329A6">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5365D3BB">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016E505">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3629ED50">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30DA3463">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5C12ABF9">
            <w:pPr>
              <w:adjustRightInd w:val="0"/>
              <w:spacing w:line="440" w:lineRule="exact"/>
              <w:jc w:val="center"/>
              <w:textAlignment w:val="baseline"/>
              <w:rPr>
                <w:rFonts w:hint="eastAsia" w:ascii="宋体" w:hAnsi="宋体" w:eastAsia="宋体" w:cs="宋体"/>
                <w:color w:val="auto"/>
                <w:sz w:val="24"/>
                <w:szCs w:val="24"/>
                <w:highlight w:val="none"/>
              </w:rPr>
            </w:pPr>
          </w:p>
        </w:tc>
      </w:tr>
      <w:tr w14:paraId="4DE9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113D8272">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435C390B">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3F05834A">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46CD5A62">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46947771">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4426A55E">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095886E7">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1BEF1C8A">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3DEA7FC7">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7FBCDE3C">
            <w:pPr>
              <w:adjustRightInd w:val="0"/>
              <w:spacing w:line="440" w:lineRule="exact"/>
              <w:jc w:val="center"/>
              <w:textAlignment w:val="baseline"/>
              <w:rPr>
                <w:rFonts w:hint="eastAsia" w:ascii="宋体" w:hAnsi="宋体" w:eastAsia="宋体" w:cs="宋体"/>
                <w:color w:val="auto"/>
                <w:sz w:val="24"/>
                <w:szCs w:val="24"/>
                <w:highlight w:val="none"/>
              </w:rPr>
            </w:pPr>
          </w:p>
        </w:tc>
      </w:tr>
      <w:tr w14:paraId="1EAF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noWrap w:val="0"/>
            <w:vAlign w:val="top"/>
          </w:tcPr>
          <w:p w14:paraId="08441BAE">
            <w:pPr>
              <w:adjustRightInd w:val="0"/>
              <w:spacing w:line="440" w:lineRule="exact"/>
              <w:jc w:val="center"/>
              <w:textAlignment w:val="baseline"/>
              <w:rPr>
                <w:rFonts w:hint="eastAsia" w:ascii="宋体" w:hAnsi="宋体" w:eastAsia="宋体" w:cs="宋体"/>
                <w:color w:val="auto"/>
                <w:sz w:val="24"/>
                <w:szCs w:val="24"/>
                <w:highlight w:val="none"/>
              </w:rPr>
            </w:pPr>
          </w:p>
        </w:tc>
        <w:tc>
          <w:tcPr>
            <w:tcW w:w="579" w:type="pct"/>
            <w:noWrap w:val="0"/>
            <w:vAlign w:val="top"/>
          </w:tcPr>
          <w:p w14:paraId="4F2250E7">
            <w:pPr>
              <w:adjustRightInd w:val="0"/>
              <w:spacing w:line="440" w:lineRule="exact"/>
              <w:jc w:val="center"/>
              <w:textAlignment w:val="baseline"/>
              <w:rPr>
                <w:rFonts w:hint="eastAsia" w:ascii="宋体" w:hAnsi="宋体" w:eastAsia="宋体" w:cs="宋体"/>
                <w:color w:val="auto"/>
                <w:sz w:val="24"/>
                <w:szCs w:val="24"/>
                <w:highlight w:val="none"/>
              </w:rPr>
            </w:pPr>
          </w:p>
        </w:tc>
        <w:tc>
          <w:tcPr>
            <w:tcW w:w="317" w:type="pct"/>
            <w:noWrap w:val="0"/>
            <w:vAlign w:val="top"/>
          </w:tcPr>
          <w:p w14:paraId="3C43B2F1">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7F936D02">
            <w:pPr>
              <w:adjustRightInd w:val="0"/>
              <w:spacing w:line="440" w:lineRule="exact"/>
              <w:jc w:val="center"/>
              <w:textAlignment w:val="baseline"/>
              <w:rPr>
                <w:rFonts w:hint="eastAsia" w:ascii="宋体" w:hAnsi="宋体" w:eastAsia="宋体" w:cs="宋体"/>
                <w:color w:val="auto"/>
                <w:sz w:val="24"/>
                <w:szCs w:val="24"/>
                <w:highlight w:val="none"/>
              </w:rPr>
            </w:pPr>
          </w:p>
        </w:tc>
        <w:tc>
          <w:tcPr>
            <w:tcW w:w="636" w:type="pct"/>
            <w:noWrap w:val="0"/>
            <w:vAlign w:val="top"/>
          </w:tcPr>
          <w:p w14:paraId="3F7FAABA">
            <w:pPr>
              <w:adjustRightInd w:val="0"/>
              <w:spacing w:line="440" w:lineRule="exact"/>
              <w:jc w:val="center"/>
              <w:textAlignment w:val="baseline"/>
              <w:rPr>
                <w:rFonts w:hint="eastAsia" w:ascii="宋体" w:hAnsi="宋体" w:eastAsia="宋体" w:cs="宋体"/>
                <w:color w:val="auto"/>
                <w:sz w:val="24"/>
                <w:szCs w:val="24"/>
                <w:highlight w:val="none"/>
              </w:rPr>
            </w:pPr>
          </w:p>
        </w:tc>
        <w:tc>
          <w:tcPr>
            <w:tcW w:w="637" w:type="pct"/>
            <w:noWrap w:val="0"/>
            <w:vAlign w:val="top"/>
          </w:tcPr>
          <w:p w14:paraId="36DEAE9C">
            <w:pPr>
              <w:adjustRightInd w:val="0"/>
              <w:spacing w:line="440" w:lineRule="exact"/>
              <w:jc w:val="center"/>
              <w:textAlignment w:val="baseline"/>
              <w:rPr>
                <w:rFonts w:hint="eastAsia" w:ascii="宋体" w:hAnsi="宋体" w:eastAsia="宋体" w:cs="宋体"/>
                <w:color w:val="auto"/>
                <w:sz w:val="24"/>
                <w:szCs w:val="24"/>
                <w:highlight w:val="none"/>
              </w:rPr>
            </w:pPr>
          </w:p>
        </w:tc>
        <w:tc>
          <w:tcPr>
            <w:tcW w:w="573" w:type="pct"/>
            <w:noWrap w:val="0"/>
            <w:vAlign w:val="top"/>
          </w:tcPr>
          <w:p w14:paraId="3B7211C1">
            <w:pPr>
              <w:adjustRightInd w:val="0"/>
              <w:spacing w:line="440" w:lineRule="exact"/>
              <w:jc w:val="center"/>
              <w:textAlignment w:val="baseline"/>
              <w:rPr>
                <w:rFonts w:hint="eastAsia" w:ascii="宋体" w:hAnsi="宋体" w:eastAsia="宋体" w:cs="宋体"/>
                <w:color w:val="auto"/>
                <w:sz w:val="24"/>
                <w:szCs w:val="24"/>
                <w:highlight w:val="none"/>
              </w:rPr>
            </w:pPr>
          </w:p>
        </w:tc>
        <w:tc>
          <w:tcPr>
            <w:tcW w:w="611" w:type="pct"/>
            <w:noWrap w:val="0"/>
            <w:vAlign w:val="top"/>
          </w:tcPr>
          <w:p w14:paraId="1BC15A9F">
            <w:pPr>
              <w:adjustRightInd w:val="0"/>
              <w:spacing w:line="440" w:lineRule="exact"/>
              <w:jc w:val="center"/>
              <w:textAlignment w:val="baseline"/>
              <w:rPr>
                <w:rFonts w:hint="eastAsia" w:ascii="宋体" w:hAnsi="宋体" w:eastAsia="宋体" w:cs="宋体"/>
                <w:color w:val="auto"/>
                <w:sz w:val="24"/>
                <w:szCs w:val="24"/>
                <w:highlight w:val="none"/>
              </w:rPr>
            </w:pPr>
          </w:p>
        </w:tc>
        <w:tc>
          <w:tcPr>
            <w:tcW w:w="404" w:type="pct"/>
            <w:noWrap w:val="0"/>
            <w:vAlign w:val="top"/>
          </w:tcPr>
          <w:p w14:paraId="67CE29B5">
            <w:pPr>
              <w:adjustRightInd w:val="0"/>
              <w:spacing w:line="440" w:lineRule="exact"/>
              <w:jc w:val="center"/>
              <w:textAlignment w:val="baseline"/>
              <w:rPr>
                <w:rFonts w:hint="eastAsia" w:ascii="宋体" w:hAnsi="宋体" w:eastAsia="宋体" w:cs="宋体"/>
                <w:color w:val="auto"/>
                <w:sz w:val="24"/>
                <w:szCs w:val="24"/>
                <w:highlight w:val="none"/>
              </w:rPr>
            </w:pPr>
          </w:p>
        </w:tc>
        <w:tc>
          <w:tcPr>
            <w:tcW w:w="341" w:type="pct"/>
            <w:noWrap w:val="0"/>
            <w:vAlign w:val="top"/>
          </w:tcPr>
          <w:p w14:paraId="620742C8">
            <w:pPr>
              <w:adjustRightInd w:val="0"/>
              <w:spacing w:line="440" w:lineRule="exact"/>
              <w:jc w:val="center"/>
              <w:textAlignment w:val="baseline"/>
              <w:rPr>
                <w:rFonts w:hint="eastAsia" w:ascii="宋体" w:hAnsi="宋体" w:eastAsia="宋体" w:cs="宋体"/>
                <w:color w:val="auto"/>
                <w:sz w:val="24"/>
                <w:szCs w:val="24"/>
                <w:highlight w:val="none"/>
              </w:rPr>
            </w:pPr>
          </w:p>
        </w:tc>
      </w:tr>
    </w:tbl>
    <w:p w14:paraId="6BA536CF">
      <w:pPr>
        <w:spacing w:line="440" w:lineRule="exact"/>
        <w:ind w:left="210" w:leftChars="10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注：提供身份证、职称证等证明材料。</w:t>
      </w:r>
    </w:p>
    <w:p w14:paraId="17C8ACE5">
      <w:pPr>
        <w:topLinePunct/>
        <w:spacing w:line="440" w:lineRule="exact"/>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br w:type="page"/>
      </w:r>
    </w:p>
    <w:p w14:paraId="1661340F">
      <w:pPr>
        <w:pStyle w:val="29"/>
        <w:outlineLvl w:val="3"/>
        <w:rPr>
          <w:rFonts w:hint="eastAsia" w:ascii="宋体" w:hAnsi="宋体" w:eastAsia="宋体" w:cs="宋体"/>
          <w:color w:val="auto"/>
          <w:szCs w:val="23"/>
          <w:highlight w:val="none"/>
        </w:rPr>
      </w:pPr>
      <w:bookmarkStart w:id="435" w:name="_Toc12513"/>
      <w:bookmarkStart w:id="436" w:name="_Toc13348"/>
      <w:bookmarkStart w:id="437" w:name="_Toc152042594"/>
      <w:bookmarkStart w:id="438" w:name="_Toc11870"/>
      <w:bookmarkStart w:id="439" w:name="_Toc2695569"/>
      <w:bookmarkStart w:id="440" w:name="_Toc152045805"/>
      <w:bookmarkStart w:id="441" w:name="_Toc8439"/>
      <w:bookmarkStart w:id="442" w:name="_Toc179632825"/>
      <w:bookmarkStart w:id="443" w:name="_Toc144974873"/>
      <w:bookmarkStart w:id="444" w:name="_Toc16395"/>
      <w:bookmarkStart w:id="445" w:name="_Toc19303"/>
      <w:r>
        <w:rPr>
          <w:rFonts w:hint="eastAsia" w:ascii="宋体" w:hAnsi="宋体" w:eastAsia="宋体" w:cs="宋体"/>
          <w:color w:val="auto"/>
          <w:szCs w:val="23"/>
          <w:highlight w:val="none"/>
        </w:rPr>
        <w:t>(二)</w:t>
      </w:r>
      <w:r>
        <w:rPr>
          <w:rFonts w:hint="eastAsia" w:ascii="宋体" w:hAnsi="宋体" w:eastAsia="宋体" w:cs="宋体"/>
          <w:color w:val="auto"/>
          <w:szCs w:val="23"/>
          <w:highlight w:val="none"/>
          <w:lang w:val="en-US" w:eastAsia="zh-CN"/>
        </w:rPr>
        <w:t>项目经理</w:t>
      </w:r>
      <w:r>
        <w:rPr>
          <w:rFonts w:hint="eastAsia" w:ascii="宋体" w:hAnsi="宋体" w:eastAsia="宋体" w:cs="宋体"/>
          <w:color w:val="auto"/>
          <w:szCs w:val="23"/>
          <w:highlight w:val="none"/>
        </w:rPr>
        <w:t>简历表</w:t>
      </w:r>
      <w:bookmarkEnd w:id="435"/>
      <w:bookmarkEnd w:id="436"/>
      <w:bookmarkEnd w:id="437"/>
      <w:bookmarkEnd w:id="438"/>
      <w:bookmarkEnd w:id="439"/>
      <w:bookmarkEnd w:id="440"/>
      <w:bookmarkEnd w:id="441"/>
      <w:bookmarkEnd w:id="442"/>
      <w:bookmarkEnd w:id="443"/>
      <w:bookmarkEnd w:id="444"/>
      <w:bookmarkEnd w:id="445"/>
    </w:p>
    <w:p w14:paraId="1BA9715C">
      <w:pPr>
        <w:topLinePunct/>
        <w:spacing w:line="440" w:lineRule="exact"/>
        <w:jc w:val="center"/>
        <w:rPr>
          <w:rFonts w:hint="eastAsia" w:ascii="宋体" w:hAnsi="宋体" w:eastAsia="宋体" w:cs="宋体"/>
          <w:color w:val="auto"/>
          <w:sz w:val="23"/>
          <w:szCs w:val="23"/>
          <w:highlight w:val="none"/>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06"/>
        <w:gridCol w:w="814"/>
        <w:gridCol w:w="1049"/>
        <w:gridCol w:w="1205"/>
        <w:gridCol w:w="801"/>
        <w:gridCol w:w="1426"/>
        <w:gridCol w:w="182"/>
        <w:gridCol w:w="2415"/>
      </w:tblGrid>
      <w:tr w14:paraId="37FA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32CD223D">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220" w:type="dxa"/>
            <w:gridSpan w:val="2"/>
            <w:noWrap w:val="0"/>
            <w:vAlign w:val="center"/>
          </w:tcPr>
          <w:p w14:paraId="7EC8C153">
            <w:pPr>
              <w:spacing w:line="440" w:lineRule="exact"/>
              <w:rPr>
                <w:rFonts w:hint="eastAsia" w:ascii="宋体" w:hAnsi="宋体" w:eastAsia="宋体" w:cs="宋体"/>
                <w:color w:val="auto"/>
                <w:sz w:val="24"/>
                <w:szCs w:val="24"/>
                <w:highlight w:val="none"/>
              </w:rPr>
            </w:pPr>
          </w:p>
        </w:tc>
        <w:tc>
          <w:tcPr>
            <w:tcW w:w="1049" w:type="dxa"/>
            <w:noWrap w:val="0"/>
            <w:vAlign w:val="center"/>
          </w:tcPr>
          <w:p w14:paraId="634B1E2E">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205" w:type="dxa"/>
            <w:noWrap w:val="0"/>
            <w:vAlign w:val="center"/>
          </w:tcPr>
          <w:p w14:paraId="54EAD694">
            <w:pPr>
              <w:spacing w:line="440" w:lineRule="exact"/>
              <w:rPr>
                <w:rFonts w:hint="eastAsia" w:ascii="宋体" w:hAnsi="宋体" w:eastAsia="宋体" w:cs="宋体"/>
                <w:color w:val="auto"/>
                <w:sz w:val="24"/>
                <w:szCs w:val="24"/>
                <w:highlight w:val="none"/>
              </w:rPr>
            </w:pPr>
          </w:p>
        </w:tc>
        <w:tc>
          <w:tcPr>
            <w:tcW w:w="2409" w:type="dxa"/>
            <w:gridSpan w:val="3"/>
            <w:noWrap w:val="0"/>
            <w:vAlign w:val="center"/>
          </w:tcPr>
          <w:p w14:paraId="09CD13C9">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2415" w:type="dxa"/>
            <w:noWrap w:val="0"/>
            <w:vAlign w:val="center"/>
          </w:tcPr>
          <w:p w14:paraId="74840531">
            <w:pPr>
              <w:spacing w:line="440" w:lineRule="exact"/>
              <w:rPr>
                <w:rFonts w:hint="eastAsia" w:ascii="宋体" w:hAnsi="宋体" w:eastAsia="宋体" w:cs="宋体"/>
                <w:color w:val="auto"/>
                <w:sz w:val="24"/>
                <w:szCs w:val="24"/>
                <w:highlight w:val="none"/>
              </w:rPr>
            </w:pPr>
          </w:p>
        </w:tc>
      </w:tr>
      <w:tr w14:paraId="228F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16B6D00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称</w:t>
            </w:r>
          </w:p>
        </w:tc>
        <w:tc>
          <w:tcPr>
            <w:tcW w:w="1220" w:type="dxa"/>
            <w:gridSpan w:val="2"/>
            <w:noWrap w:val="0"/>
            <w:vAlign w:val="center"/>
          </w:tcPr>
          <w:p w14:paraId="7E124740">
            <w:pPr>
              <w:spacing w:line="440" w:lineRule="exact"/>
              <w:rPr>
                <w:rFonts w:hint="eastAsia" w:ascii="宋体" w:hAnsi="宋体" w:eastAsia="宋体" w:cs="宋体"/>
                <w:color w:val="auto"/>
                <w:sz w:val="24"/>
                <w:szCs w:val="24"/>
                <w:highlight w:val="none"/>
              </w:rPr>
            </w:pPr>
          </w:p>
        </w:tc>
        <w:tc>
          <w:tcPr>
            <w:tcW w:w="1049" w:type="dxa"/>
            <w:noWrap w:val="0"/>
            <w:vAlign w:val="center"/>
          </w:tcPr>
          <w:p w14:paraId="12BD36E9">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1205" w:type="dxa"/>
            <w:noWrap w:val="0"/>
            <w:vAlign w:val="center"/>
          </w:tcPr>
          <w:p w14:paraId="03811700">
            <w:pPr>
              <w:spacing w:line="440" w:lineRule="exact"/>
              <w:rPr>
                <w:rFonts w:hint="eastAsia" w:ascii="宋体" w:hAnsi="宋体" w:eastAsia="宋体" w:cs="宋体"/>
                <w:color w:val="auto"/>
                <w:sz w:val="24"/>
                <w:szCs w:val="24"/>
                <w:highlight w:val="none"/>
              </w:rPr>
            </w:pPr>
          </w:p>
        </w:tc>
        <w:tc>
          <w:tcPr>
            <w:tcW w:w="2409" w:type="dxa"/>
            <w:gridSpan w:val="3"/>
            <w:noWrap w:val="0"/>
            <w:vAlign w:val="center"/>
          </w:tcPr>
          <w:p w14:paraId="6B9CB159">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拟在本合同任职</w:t>
            </w:r>
          </w:p>
        </w:tc>
        <w:tc>
          <w:tcPr>
            <w:tcW w:w="2415" w:type="dxa"/>
            <w:noWrap w:val="0"/>
            <w:vAlign w:val="center"/>
          </w:tcPr>
          <w:p w14:paraId="56C29D6D">
            <w:pPr>
              <w:spacing w:line="440" w:lineRule="exact"/>
              <w:rPr>
                <w:rFonts w:hint="eastAsia" w:ascii="宋体" w:hAnsi="宋体" w:eastAsia="宋体" w:cs="宋体"/>
                <w:color w:val="auto"/>
                <w:sz w:val="24"/>
                <w:szCs w:val="24"/>
                <w:highlight w:val="none"/>
              </w:rPr>
            </w:pPr>
          </w:p>
        </w:tc>
      </w:tr>
      <w:tr w14:paraId="39AF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2E7D94C5">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8298" w:type="dxa"/>
            <w:gridSpan w:val="8"/>
            <w:noWrap w:val="0"/>
            <w:vAlign w:val="top"/>
          </w:tcPr>
          <w:p w14:paraId="236C0D5F">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年毕业于            学校        专业</w:t>
            </w:r>
          </w:p>
        </w:tc>
      </w:tr>
      <w:tr w14:paraId="70B9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9" w:type="dxa"/>
            <w:gridSpan w:val="9"/>
            <w:noWrap w:val="0"/>
            <w:vAlign w:val="center"/>
          </w:tcPr>
          <w:p w14:paraId="16AD4C8E">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主要工作经历</w:t>
            </w:r>
          </w:p>
        </w:tc>
      </w:tr>
      <w:tr w14:paraId="392ED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47" w:type="dxa"/>
            <w:gridSpan w:val="2"/>
            <w:noWrap w:val="0"/>
            <w:vAlign w:val="center"/>
          </w:tcPr>
          <w:p w14:paraId="5A4CEDF7">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p>
        </w:tc>
        <w:tc>
          <w:tcPr>
            <w:tcW w:w="3869" w:type="dxa"/>
            <w:gridSpan w:val="4"/>
            <w:noWrap w:val="0"/>
            <w:vAlign w:val="center"/>
          </w:tcPr>
          <w:p w14:paraId="510E2F07">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参加过的类似项目</w:t>
            </w:r>
          </w:p>
        </w:tc>
        <w:tc>
          <w:tcPr>
            <w:tcW w:w="1426" w:type="dxa"/>
            <w:noWrap w:val="0"/>
            <w:vAlign w:val="center"/>
          </w:tcPr>
          <w:p w14:paraId="54D6845B">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担任职务</w:t>
            </w:r>
          </w:p>
        </w:tc>
        <w:tc>
          <w:tcPr>
            <w:tcW w:w="2597" w:type="dxa"/>
            <w:gridSpan w:val="2"/>
            <w:noWrap w:val="0"/>
            <w:vAlign w:val="center"/>
          </w:tcPr>
          <w:p w14:paraId="7E736AB7">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2BBA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3C220A63">
            <w:pPr>
              <w:spacing w:line="440" w:lineRule="exact"/>
              <w:rPr>
                <w:rFonts w:hint="eastAsia" w:ascii="宋体" w:hAnsi="宋体" w:eastAsia="宋体" w:cs="宋体"/>
                <w:color w:val="auto"/>
                <w:sz w:val="24"/>
                <w:szCs w:val="24"/>
                <w:highlight w:val="none"/>
              </w:rPr>
            </w:pPr>
          </w:p>
        </w:tc>
        <w:tc>
          <w:tcPr>
            <w:tcW w:w="3869" w:type="dxa"/>
            <w:gridSpan w:val="4"/>
            <w:noWrap w:val="0"/>
            <w:vAlign w:val="top"/>
          </w:tcPr>
          <w:p w14:paraId="79E5E562">
            <w:pPr>
              <w:spacing w:line="440" w:lineRule="exact"/>
              <w:rPr>
                <w:rFonts w:hint="eastAsia" w:ascii="宋体" w:hAnsi="宋体" w:eastAsia="宋体" w:cs="宋体"/>
                <w:color w:val="auto"/>
                <w:sz w:val="24"/>
                <w:szCs w:val="24"/>
                <w:highlight w:val="none"/>
              </w:rPr>
            </w:pPr>
          </w:p>
        </w:tc>
        <w:tc>
          <w:tcPr>
            <w:tcW w:w="1426" w:type="dxa"/>
            <w:noWrap w:val="0"/>
            <w:vAlign w:val="top"/>
          </w:tcPr>
          <w:p w14:paraId="46B4617C">
            <w:pPr>
              <w:spacing w:line="440" w:lineRule="exact"/>
              <w:rPr>
                <w:rFonts w:hint="eastAsia" w:ascii="宋体" w:hAnsi="宋体" w:eastAsia="宋体" w:cs="宋体"/>
                <w:color w:val="auto"/>
                <w:sz w:val="24"/>
                <w:szCs w:val="24"/>
                <w:highlight w:val="none"/>
              </w:rPr>
            </w:pPr>
          </w:p>
        </w:tc>
        <w:tc>
          <w:tcPr>
            <w:tcW w:w="2597" w:type="dxa"/>
            <w:gridSpan w:val="2"/>
            <w:noWrap w:val="0"/>
            <w:vAlign w:val="top"/>
          </w:tcPr>
          <w:p w14:paraId="46C81AF1">
            <w:pPr>
              <w:spacing w:line="440" w:lineRule="exact"/>
              <w:rPr>
                <w:rFonts w:hint="eastAsia" w:ascii="宋体" w:hAnsi="宋体" w:eastAsia="宋体" w:cs="宋体"/>
                <w:color w:val="auto"/>
                <w:sz w:val="24"/>
                <w:szCs w:val="24"/>
                <w:highlight w:val="none"/>
              </w:rPr>
            </w:pPr>
          </w:p>
        </w:tc>
      </w:tr>
      <w:tr w14:paraId="4B02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7A6A885F">
            <w:pPr>
              <w:spacing w:line="440" w:lineRule="exact"/>
              <w:rPr>
                <w:rFonts w:hint="eastAsia" w:ascii="宋体" w:hAnsi="宋体" w:eastAsia="宋体" w:cs="宋体"/>
                <w:color w:val="auto"/>
                <w:sz w:val="24"/>
                <w:szCs w:val="24"/>
                <w:highlight w:val="none"/>
              </w:rPr>
            </w:pPr>
          </w:p>
        </w:tc>
        <w:tc>
          <w:tcPr>
            <w:tcW w:w="3869" w:type="dxa"/>
            <w:gridSpan w:val="4"/>
            <w:noWrap w:val="0"/>
            <w:vAlign w:val="top"/>
          </w:tcPr>
          <w:p w14:paraId="029F9039">
            <w:pPr>
              <w:spacing w:line="440" w:lineRule="exact"/>
              <w:rPr>
                <w:rFonts w:hint="eastAsia" w:ascii="宋体" w:hAnsi="宋体" w:eastAsia="宋体" w:cs="宋体"/>
                <w:color w:val="auto"/>
                <w:sz w:val="24"/>
                <w:szCs w:val="24"/>
                <w:highlight w:val="none"/>
              </w:rPr>
            </w:pPr>
          </w:p>
        </w:tc>
        <w:tc>
          <w:tcPr>
            <w:tcW w:w="1426" w:type="dxa"/>
            <w:noWrap w:val="0"/>
            <w:vAlign w:val="top"/>
          </w:tcPr>
          <w:p w14:paraId="3670ED28">
            <w:pPr>
              <w:spacing w:line="440" w:lineRule="exact"/>
              <w:rPr>
                <w:rFonts w:hint="eastAsia" w:ascii="宋体" w:hAnsi="宋体" w:eastAsia="宋体" w:cs="宋体"/>
                <w:color w:val="auto"/>
                <w:sz w:val="24"/>
                <w:szCs w:val="24"/>
                <w:highlight w:val="none"/>
              </w:rPr>
            </w:pPr>
          </w:p>
        </w:tc>
        <w:tc>
          <w:tcPr>
            <w:tcW w:w="2597" w:type="dxa"/>
            <w:gridSpan w:val="2"/>
            <w:noWrap w:val="0"/>
            <w:vAlign w:val="top"/>
          </w:tcPr>
          <w:p w14:paraId="5A6A7E18">
            <w:pPr>
              <w:spacing w:line="440" w:lineRule="exact"/>
              <w:rPr>
                <w:rFonts w:hint="eastAsia" w:ascii="宋体" w:hAnsi="宋体" w:eastAsia="宋体" w:cs="宋体"/>
                <w:color w:val="auto"/>
                <w:sz w:val="24"/>
                <w:szCs w:val="24"/>
                <w:highlight w:val="none"/>
              </w:rPr>
            </w:pPr>
          </w:p>
        </w:tc>
      </w:tr>
      <w:tr w14:paraId="3C52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1DA74210">
            <w:pPr>
              <w:spacing w:line="440" w:lineRule="exact"/>
              <w:rPr>
                <w:rFonts w:hint="eastAsia" w:ascii="宋体" w:hAnsi="宋体" w:eastAsia="宋体" w:cs="宋体"/>
                <w:color w:val="auto"/>
                <w:sz w:val="24"/>
                <w:szCs w:val="24"/>
                <w:highlight w:val="none"/>
              </w:rPr>
            </w:pPr>
          </w:p>
        </w:tc>
        <w:tc>
          <w:tcPr>
            <w:tcW w:w="3869" w:type="dxa"/>
            <w:gridSpan w:val="4"/>
            <w:noWrap w:val="0"/>
            <w:vAlign w:val="top"/>
          </w:tcPr>
          <w:p w14:paraId="3564FBC9">
            <w:pPr>
              <w:spacing w:line="440" w:lineRule="exact"/>
              <w:rPr>
                <w:rFonts w:hint="eastAsia" w:ascii="宋体" w:hAnsi="宋体" w:eastAsia="宋体" w:cs="宋体"/>
                <w:color w:val="auto"/>
                <w:sz w:val="24"/>
                <w:szCs w:val="24"/>
                <w:highlight w:val="none"/>
              </w:rPr>
            </w:pPr>
          </w:p>
        </w:tc>
        <w:tc>
          <w:tcPr>
            <w:tcW w:w="1426" w:type="dxa"/>
            <w:noWrap w:val="0"/>
            <w:vAlign w:val="top"/>
          </w:tcPr>
          <w:p w14:paraId="1977B8AF">
            <w:pPr>
              <w:spacing w:line="440" w:lineRule="exact"/>
              <w:rPr>
                <w:rFonts w:hint="eastAsia" w:ascii="宋体" w:hAnsi="宋体" w:eastAsia="宋体" w:cs="宋体"/>
                <w:color w:val="auto"/>
                <w:sz w:val="24"/>
                <w:szCs w:val="24"/>
                <w:highlight w:val="none"/>
              </w:rPr>
            </w:pPr>
          </w:p>
        </w:tc>
        <w:tc>
          <w:tcPr>
            <w:tcW w:w="2597" w:type="dxa"/>
            <w:gridSpan w:val="2"/>
            <w:noWrap w:val="0"/>
            <w:vAlign w:val="top"/>
          </w:tcPr>
          <w:p w14:paraId="6CA52C38">
            <w:pPr>
              <w:spacing w:line="440" w:lineRule="exact"/>
              <w:rPr>
                <w:rFonts w:hint="eastAsia" w:ascii="宋体" w:hAnsi="宋体" w:eastAsia="宋体" w:cs="宋体"/>
                <w:color w:val="auto"/>
                <w:sz w:val="24"/>
                <w:szCs w:val="24"/>
                <w:highlight w:val="none"/>
              </w:rPr>
            </w:pPr>
          </w:p>
        </w:tc>
      </w:tr>
      <w:tr w14:paraId="4CC40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404952B1">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0D387018">
            <w:pPr>
              <w:spacing w:line="440" w:lineRule="exact"/>
              <w:rPr>
                <w:rFonts w:hint="eastAsia" w:ascii="宋体" w:hAnsi="宋体" w:eastAsia="宋体" w:cs="宋体"/>
                <w:color w:val="auto"/>
                <w:sz w:val="24"/>
                <w:szCs w:val="24"/>
                <w:highlight w:val="none"/>
              </w:rPr>
            </w:pPr>
          </w:p>
        </w:tc>
        <w:tc>
          <w:tcPr>
            <w:tcW w:w="1426" w:type="dxa"/>
            <w:noWrap w:val="0"/>
            <w:vAlign w:val="center"/>
          </w:tcPr>
          <w:p w14:paraId="3D908137">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71016535">
            <w:pPr>
              <w:spacing w:line="440" w:lineRule="exact"/>
              <w:rPr>
                <w:rFonts w:hint="eastAsia" w:ascii="宋体" w:hAnsi="宋体" w:eastAsia="宋体" w:cs="宋体"/>
                <w:color w:val="auto"/>
                <w:sz w:val="24"/>
                <w:szCs w:val="24"/>
                <w:highlight w:val="none"/>
              </w:rPr>
            </w:pPr>
          </w:p>
        </w:tc>
      </w:tr>
      <w:tr w14:paraId="1C458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0396C4FE">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02F8F393">
            <w:pPr>
              <w:spacing w:line="440" w:lineRule="exact"/>
              <w:rPr>
                <w:rFonts w:hint="eastAsia" w:ascii="宋体" w:hAnsi="宋体" w:eastAsia="宋体" w:cs="宋体"/>
                <w:color w:val="auto"/>
                <w:sz w:val="24"/>
                <w:szCs w:val="24"/>
                <w:highlight w:val="none"/>
              </w:rPr>
            </w:pPr>
          </w:p>
        </w:tc>
        <w:tc>
          <w:tcPr>
            <w:tcW w:w="1426" w:type="dxa"/>
            <w:noWrap w:val="0"/>
            <w:vAlign w:val="center"/>
          </w:tcPr>
          <w:p w14:paraId="48B90454">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3A0DF044">
            <w:pPr>
              <w:spacing w:line="440" w:lineRule="exact"/>
              <w:rPr>
                <w:rFonts w:hint="eastAsia" w:ascii="宋体" w:hAnsi="宋体" w:eastAsia="宋体" w:cs="宋体"/>
                <w:color w:val="auto"/>
                <w:sz w:val="24"/>
                <w:szCs w:val="24"/>
                <w:highlight w:val="none"/>
              </w:rPr>
            </w:pPr>
          </w:p>
        </w:tc>
      </w:tr>
      <w:tr w14:paraId="077D4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10831366">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5A3F7AEF">
            <w:pPr>
              <w:spacing w:line="440" w:lineRule="exact"/>
              <w:rPr>
                <w:rFonts w:hint="eastAsia" w:ascii="宋体" w:hAnsi="宋体" w:eastAsia="宋体" w:cs="宋体"/>
                <w:color w:val="auto"/>
                <w:sz w:val="24"/>
                <w:szCs w:val="24"/>
                <w:highlight w:val="none"/>
              </w:rPr>
            </w:pPr>
          </w:p>
        </w:tc>
        <w:tc>
          <w:tcPr>
            <w:tcW w:w="1426" w:type="dxa"/>
            <w:noWrap w:val="0"/>
            <w:vAlign w:val="center"/>
          </w:tcPr>
          <w:p w14:paraId="56C335EB">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4877ACBE">
            <w:pPr>
              <w:spacing w:line="440" w:lineRule="exact"/>
              <w:rPr>
                <w:rFonts w:hint="eastAsia" w:ascii="宋体" w:hAnsi="宋体" w:eastAsia="宋体" w:cs="宋体"/>
                <w:color w:val="auto"/>
                <w:sz w:val="24"/>
                <w:szCs w:val="24"/>
                <w:highlight w:val="none"/>
              </w:rPr>
            </w:pPr>
          </w:p>
        </w:tc>
      </w:tr>
      <w:tr w14:paraId="1B7D5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2A25DC2B">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17F46BF9">
            <w:pPr>
              <w:spacing w:line="440" w:lineRule="exact"/>
              <w:rPr>
                <w:rFonts w:hint="eastAsia" w:ascii="宋体" w:hAnsi="宋体" w:eastAsia="宋体" w:cs="宋体"/>
                <w:color w:val="auto"/>
                <w:sz w:val="24"/>
                <w:szCs w:val="24"/>
                <w:highlight w:val="none"/>
              </w:rPr>
            </w:pPr>
          </w:p>
        </w:tc>
        <w:tc>
          <w:tcPr>
            <w:tcW w:w="1426" w:type="dxa"/>
            <w:noWrap w:val="0"/>
            <w:vAlign w:val="center"/>
          </w:tcPr>
          <w:p w14:paraId="329932B4">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42AA38DF">
            <w:pPr>
              <w:spacing w:line="440" w:lineRule="exact"/>
              <w:rPr>
                <w:rFonts w:hint="eastAsia" w:ascii="宋体" w:hAnsi="宋体" w:eastAsia="宋体" w:cs="宋体"/>
                <w:color w:val="auto"/>
                <w:sz w:val="24"/>
                <w:szCs w:val="24"/>
                <w:highlight w:val="none"/>
              </w:rPr>
            </w:pPr>
          </w:p>
        </w:tc>
      </w:tr>
      <w:tr w14:paraId="0CF2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486C60D6">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054A9FD8">
            <w:pPr>
              <w:spacing w:line="440" w:lineRule="exact"/>
              <w:rPr>
                <w:rFonts w:hint="eastAsia" w:ascii="宋体" w:hAnsi="宋体" w:eastAsia="宋体" w:cs="宋体"/>
                <w:color w:val="auto"/>
                <w:sz w:val="24"/>
                <w:szCs w:val="24"/>
                <w:highlight w:val="none"/>
              </w:rPr>
            </w:pPr>
          </w:p>
        </w:tc>
        <w:tc>
          <w:tcPr>
            <w:tcW w:w="1426" w:type="dxa"/>
            <w:noWrap w:val="0"/>
            <w:vAlign w:val="center"/>
          </w:tcPr>
          <w:p w14:paraId="519EA7E1">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700034D5">
            <w:pPr>
              <w:spacing w:line="440" w:lineRule="exact"/>
              <w:rPr>
                <w:rFonts w:hint="eastAsia" w:ascii="宋体" w:hAnsi="宋体" w:eastAsia="宋体" w:cs="宋体"/>
                <w:color w:val="auto"/>
                <w:sz w:val="24"/>
                <w:szCs w:val="24"/>
                <w:highlight w:val="none"/>
              </w:rPr>
            </w:pPr>
          </w:p>
        </w:tc>
      </w:tr>
      <w:tr w14:paraId="443B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7577D89F">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791BCEDA">
            <w:pPr>
              <w:spacing w:line="440" w:lineRule="exact"/>
              <w:rPr>
                <w:rFonts w:hint="eastAsia" w:ascii="宋体" w:hAnsi="宋体" w:eastAsia="宋体" w:cs="宋体"/>
                <w:color w:val="auto"/>
                <w:sz w:val="24"/>
                <w:szCs w:val="24"/>
                <w:highlight w:val="none"/>
              </w:rPr>
            </w:pPr>
          </w:p>
        </w:tc>
        <w:tc>
          <w:tcPr>
            <w:tcW w:w="1426" w:type="dxa"/>
            <w:noWrap w:val="0"/>
            <w:vAlign w:val="center"/>
          </w:tcPr>
          <w:p w14:paraId="1F0ADC2F">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251C0C73">
            <w:pPr>
              <w:spacing w:line="440" w:lineRule="exact"/>
              <w:rPr>
                <w:rFonts w:hint="eastAsia" w:ascii="宋体" w:hAnsi="宋体" w:eastAsia="宋体" w:cs="宋体"/>
                <w:color w:val="auto"/>
                <w:sz w:val="24"/>
                <w:szCs w:val="24"/>
                <w:highlight w:val="none"/>
              </w:rPr>
            </w:pPr>
          </w:p>
        </w:tc>
      </w:tr>
      <w:tr w14:paraId="5F64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4738DC78">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1E5B121D">
            <w:pPr>
              <w:spacing w:line="440" w:lineRule="exact"/>
              <w:rPr>
                <w:rFonts w:hint="eastAsia" w:ascii="宋体" w:hAnsi="宋体" w:eastAsia="宋体" w:cs="宋体"/>
                <w:color w:val="auto"/>
                <w:sz w:val="24"/>
                <w:szCs w:val="24"/>
                <w:highlight w:val="none"/>
              </w:rPr>
            </w:pPr>
          </w:p>
        </w:tc>
        <w:tc>
          <w:tcPr>
            <w:tcW w:w="1426" w:type="dxa"/>
            <w:noWrap w:val="0"/>
            <w:vAlign w:val="center"/>
          </w:tcPr>
          <w:p w14:paraId="4F55A290">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68D473A6">
            <w:pPr>
              <w:spacing w:line="440" w:lineRule="exact"/>
              <w:rPr>
                <w:rFonts w:hint="eastAsia" w:ascii="宋体" w:hAnsi="宋体" w:eastAsia="宋体" w:cs="宋体"/>
                <w:color w:val="auto"/>
                <w:sz w:val="24"/>
                <w:szCs w:val="24"/>
                <w:highlight w:val="none"/>
              </w:rPr>
            </w:pPr>
          </w:p>
        </w:tc>
      </w:tr>
      <w:tr w14:paraId="156D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469066DD">
            <w:pPr>
              <w:spacing w:line="440" w:lineRule="exact"/>
              <w:rPr>
                <w:rFonts w:hint="eastAsia" w:ascii="宋体" w:hAnsi="宋体" w:eastAsia="宋体" w:cs="宋体"/>
                <w:color w:val="auto"/>
                <w:sz w:val="24"/>
                <w:szCs w:val="24"/>
                <w:highlight w:val="none"/>
              </w:rPr>
            </w:pPr>
          </w:p>
        </w:tc>
        <w:tc>
          <w:tcPr>
            <w:tcW w:w="3869" w:type="dxa"/>
            <w:gridSpan w:val="4"/>
            <w:noWrap w:val="0"/>
            <w:vAlign w:val="center"/>
          </w:tcPr>
          <w:p w14:paraId="24D07BB3">
            <w:pPr>
              <w:spacing w:line="440" w:lineRule="exact"/>
              <w:rPr>
                <w:rFonts w:hint="eastAsia" w:ascii="宋体" w:hAnsi="宋体" w:eastAsia="宋体" w:cs="宋体"/>
                <w:color w:val="auto"/>
                <w:sz w:val="24"/>
                <w:szCs w:val="24"/>
                <w:highlight w:val="none"/>
              </w:rPr>
            </w:pPr>
          </w:p>
        </w:tc>
        <w:tc>
          <w:tcPr>
            <w:tcW w:w="1426" w:type="dxa"/>
            <w:noWrap w:val="0"/>
            <w:vAlign w:val="center"/>
          </w:tcPr>
          <w:p w14:paraId="376A932C">
            <w:pPr>
              <w:spacing w:line="440" w:lineRule="exact"/>
              <w:rPr>
                <w:rFonts w:hint="eastAsia" w:ascii="宋体" w:hAnsi="宋体" w:eastAsia="宋体" w:cs="宋体"/>
                <w:color w:val="auto"/>
                <w:sz w:val="24"/>
                <w:szCs w:val="24"/>
                <w:highlight w:val="none"/>
              </w:rPr>
            </w:pPr>
          </w:p>
        </w:tc>
        <w:tc>
          <w:tcPr>
            <w:tcW w:w="2597" w:type="dxa"/>
            <w:gridSpan w:val="2"/>
            <w:noWrap w:val="0"/>
            <w:vAlign w:val="center"/>
          </w:tcPr>
          <w:p w14:paraId="3C17B8C5">
            <w:pPr>
              <w:spacing w:line="440" w:lineRule="exact"/>
              <w:rPr>
                <w:rFonts w:hint="eastAsia" w:ascii="宋体" w:hAnsi="宋体" w:eastAsia="宋体" w:cs="宋体"/>
                <w:color w:val="auto"/>
                <w:sz w:val="24"/>
                <w:szCs w:val="24"/>
                <w:highlight w:val="none"/>
              </w:rPr>
            </w:pPr>
          </w:p>
        </w:tc>
      </w:tr>
    </w:tbl>
    <w:p w14:paraId="277F6570">
      <w:pPr>
        <w:spacing w:line="440" w:lineRule="exact"/>
        <w:ind w:left="210" w:leftChars="10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注：提供身份证、职称证等证明材料。</w:t>
      </w:r>
    </w:p>
    <w:p w14:paraId="5B725599">
      <w:pPr>
        <w:pStyle w:val="8"/>
        <w:jc w:val="center"/>
        <w:rPr>
          <w:highlight w:val="none"/>
        </w:rPr>
      </w:pPr>
    </w:p>
    <w:p w14:paraId="0A02CC17">
      <w:pPr>
        <w:pStyle w:val="4"/>
        <w:widowControl/>
        <w:autoSpaceDE w:val="0"/>
        <w:spacing w:before="0" w:after="0" w:line="360" w:lineRule="auto"/>
        <w:jc w:val="center"/>
        <w:rPr>
          <w:rFonts w:hint="eastAsia" w:ascii="宋体" w:hAnsi="宋体" w:eastAsia="宋体" w:cs="宋体"/>
          <w:color w:val="auto"/>
          <w:szCs w:val="28"/>
          <w:highlight w:val="none"/>
        </w:rPr>
      </w:pPr>
      <w:r>
        <w:rPr>
          <w:highlight w:val="none"/>
        </w:rPr>
        <w:br w:type="page"/>
      </w:r>
      <w:bookmarkStart w:id="446" w:name="_Toc8107"/>
      <w:bookmarkStart w:id="447" w:name="_Toc24599"/>
      <w:bookmarkStart w:id="448" w:name="_Toc22351"/>
      <w:bookmarkStart w:id="449" w:name="_Toc6938"/>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六</w:t>
      </w:r>
      <w:r>
        <w:rPr>
          <w:rFonts w:hint="eastAsia" w:ascii="宋体" w:hAnsi="宋体" w:eastAsia="宋体" w:cs="宋体"/>
          <w:color w:val="auto"/>
          <w:szCs w:val="28"/>
          <w:highlight w:val="none"/>
        </w:rPr>
        <w:t>、后期服务方案、承诺及保证措施</w:t>
      </w:r>
      <w:bookmarkEnd w:id="446"/>
      <w:bookmarkEnd w:id="447"/>
      <w:bookmarkEnd w:id="448"/>
      <w:bookmarkEnd w:id="449"/>
    </w:p>
    <w:p w14:paraId="663E9FE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636579F9">
      <w:pPr>
        <w:bidi w:val="0"/>
        <w:jc w:val="center"/>
        <w:rPr>
          <w:highlight w:val="none"/>
        </w:rPr>
      </w:pPr>
    </w:p>
    <w:p w14:paraId="44F2F953">
      <w:pPr>
        <w:bidi w:val="0"/>
        <w:jc w:val="center"/>
        <w:rPr>
          <w:highlight w:val="none"/>
        </w:rPr>
      </w:pPr>
    </w:p>
    <w:p w14:paraId="3E5FD1AB">
      <w:pPr>
        <w:bidi w:val="0"/>
        <w:jc w:val="center"/>
        <w:rPr>
          <w:highlight w:val="none"/>
        </w:rPr>
      </w:pPr>
    </w:p>
    <w:p w14:paraId="71BC9789">
      <w:pPr>
        <w:pStyle w:val="4"/>
        <w:widowControl/>
        <w:autoSpaceDE w:val="0"/>
        <w:spacing w:before="0" w:after="0" w:line="360" w:lineRule="auto"/>
        <w:jc w:val="center"/>
        <w:rPr>
          <w:rFonts w:hint="eastAsia" w:ascii="宋体" w:hAnsi="宋体" w:eastAsia="宋体" w:cs="宋体"/>
          <w:color w:val="auto"/>
          <w:szCs w:val="28"/>
          <w:highlight w:val="none"/>
        </w:rPr>
      </w:pPr>
      <w:bookmarkStart w:id="450" w:name="_Toc12297"/>
      <w:bookmarkStart w:id="451" w:name="_Toc9521"/>
      <w:bookmarkStart w:id="452" w:name="_Toc12140"/>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七</w:t>
      </w:r>
      <w:r>
        <w:rPr>
          <w:rFonts w:hint="eastAsia" w:ascii="宋体" w:hAnsi="宋体" w:eastAsia="宋体" w:cs="宋体"/>
          <w:b/>
          <w:bCs/>
          <w:color w:val="auto"/>
          <w:szCs w:val="28"/>
          <w:highlight w:val="none"/>
        </w:rPr>
        <w:t>、事故应急预案</w:t>
      </w:r>
      <w:bookmarkEnd w:id="450"/>
      <w:bookmarkEnd w:id="451"/>
      <w:bookmarkEnd w:id="452"/>
    </w:p>
    <w:p w14:paraId="233E26B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2BA56726">
      <w:pPr>
        <w:pStyle w:val="4"/>
        <w:widowControl/>
        <w:autoSpaceDE w:val="0"/>
        <w:spacing w:before="0" w:after="0" w:line="360" w:lineRule="auto"/>
        <w:ind w:firstLine="562" w:firstLineChars="200"/>
        <w:rPr>
          <w:rFonts w:hint="eastAsia" w:ascii="宋体" w:hAnsi="宋体" w:eastAsia="宋体" w:cs="宋体"/>
          <w:color w:val="auto"/>
          <w:szCs w:val="28"/>
          <w:highlight w:val="none"/>
        </w:rPr>
      </w:pPr>
      <w:r>
        <w:rPr>
          <w:highlight w:val="none"/>
        </w:rPr>
        <w:br w:type="page"/>
      </w:r>
      <w:bookmarkStart w:id="453" w:name="_Toc30933"/>
      <w:bookmarkStart w:id="454" w:name="_Toc280"/>
      <w:bookmarkStart w:id="455" w:name="_Toc15117"/>
      <w:bookmarkStart w:id="456" w:name="_Toc10302"/>
      <w:bookmarkStart w:id="457" w:name="_Toc27615"/>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八</w:t>
      </w:r>
      <w:r>
        <w:rPr>
          <w:rFonts w:hint="eastAsia" w:ascii="宋体" w:hAnsi="宋体" w:eastAsia="宋体" w:cs="宋体"/>
          <w:color w:val="auto"/>
          <w:szCs w:val="28"/>
          <w:highlight w:val="none"/>
        </w:rPr>
        <w:t>、供应商类似项目业绩表</w:t>
      </w:r>
      <w:bookmarkEnd w:id="453"/>
      <w:bookmarkEnd w:id="454"/>
      <w:bookmarkEnd w:id="455"/>
      <w:bookmarkEnd w:id="456"/>
      <w:bookmarkEnd w:id="457"/>
    </w:p>
    <w:tbl>
      <w:tblPr>
        <w:tblStyle w:val="1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7000"/>
      </w:tblGrid>
      <w:tr w14:paraId="303A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6267A788">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7000" w:type="dxa"/>
            <w:noWrap w:val="0"/>
            <w:vAlign w:val="top"/>
          </w:tcPr>
          <w:p w14:paraId="72370641">
            <w:pPr>
              <w:pStyle w:val="28"/>
              <w:spacing w:line="540" w:lineRule="exact"/>
              <w:jc w:val="center"/>
              <w:rPr>
                <w:rFonts w:hint="eastAsia" w:ascii="宋体" w:hAnsi="宋体" w:eastAsia="宋体" w:cs="宋体"/>
                <w:color w:val="auto"/>
                <w:szCs w:val="21"/>
                <w:highlight w:val="none"/>
              </w:rPr>
            </w:pPr>
          </w:p>
        </w:tc>
      </w:tr>
      <w:tr w14:paraId="3D4EB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1BDC8B6A">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项目所在地</w:t>
            </w:r>
          </w:p>
        </w:tc>
        <w:tc>
          <w:tcPr>
            <w:tcW w:w="7000" w:type="dxa"/>
            <w:noWrap w:val="0"/>
            <w:vAlign w:val="top"/>
          </w:tcPr>
          <w:p w14:paraId="6AC3C04E">
            <w:pPr>
              <w:pStyle w:val="28"/>
              <w:spacing w:line="540" w:lineRule="exact"/>
              <w:jc w:val="center"/>
              <w:rPr>
                <w:rFonts w:hint="eastAsia" w:ascii="宋体" w:hAnsi="宋体" w:eastAsia="宋体" w:cs="宋体"/>
                <w:color w:val="auto"/>
                <w:szCs w:val="21"/>
                <w:highlight w:val="none"/>
              </w:rPr>
            </w:pPr>
          </w:p>
        </w:tc>
      </w:tr>
      <w:tr w14:paraId="20D7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23A27CC3">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发包人名称</w:t>
            </w:r>
          </w:p>
        </w:tc>
        <w:tc>
          <w:tcPr>
            <w:tcW w:w="7000" w:type="dxa"/>
            <w:noWrap w:val="0"/>
            <w:vAlign w:val="top"/>
          </w:tcPr>
          <w:p w14:paraId="567D2C9C">
            <w:pPr>
              <w:pStyle w:val="28"/>
              <w:spacing w:line="540" w:lineRule="exact"/>
              <w:jc w:val="center"/>
              <w:rPr>
                <w:rFonts w:hint="eastAsia" w:ascii="宋体" w:hAnsi="宋体" w:eastAsia="宋体" w:cs="宋体"/>
                <w:color w:val="auto"/>
                <w:szCs w:val="21"/>
                <w:highlight w:val="none"/>
              </w:rPr>
            </w:pPr>
          </w:p>
        </w:tc>
      </w:tr>
      <w:tr w14:paraId="48A3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1F949E82">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发包人地址</w:t>
            </w:r>
          </w:p>
        </w:tc>
        <w:tc>
          <w:tcPr>
            <w:tcW w:w="7000" w:type="dxa"/>
            <w:noWrap w:val="0"/>
            <w:vAlign w:val="top"/>
          </w:tcPr>
          <w:p w14:paraId="6ECD234C">
            <w:pPr>
              <w:pStyle w:val="28"/>
              <w:spacing w:line="540" w:lineRule="exact"/>
              <w:jc w:val="center"/>
              <w:rPr>
                <w:rFonts w:hint="eastAsia" w:ascii="宋体" w:hAnsi="宋体" w:eastAsia="宋体" w:cs="宋体"/>
                <w:color w:val="auto"/>
                <w:szCs w:val="21"/>
                <w:highlight w:val="none"/>
              </w:rPr>
            </w:pPr>
          </w:p>
        </w:tc>
      </w:tr>
      <w:tr w14:paraId="4FB5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572DD94D">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发包人电话</w:t>
            </w:r>
          </w:p>
        </w:tc>
        <w:tc>
          <w:tcPr>
            <w:tcW w:w="7000" w:type="dxa"/>
            <w:noWrap w:val="0"/>
            <w:vAlign w:val="top"/>
          </w:tcPr>
          <w:p w14:paraId="7CD859AE">
            <w:pPr>
              <w:pStyle w:val="28"/>
              <w:spacing w:line="540" w:lineRule="exact"/>
              <w:jc w:val="center"/>
              <w:rPr>
                <w:rFonts w:hint="eastAsia" w:ascii="宋体" w:hAnsi="宋体" w:eastAsia="宋体" w:cs="宋体"/>
                <w:color w:val="auto"/>
                <w:szCs w:val="21"/>
                <w:highlight w:val="none"/>
              </w:rPr>
            </w:pPr>
          </w:p>
        </w:tc>
      </w:tr>
      <w:tr w14:paraId="6B8A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66F48634">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合同价格</w:t>
            </w:r>
          </w:p>
        </w:tc>
        <w:tc>
          <w:tcPr>
            <w:tcW w:w="7000" w:type="dxa"/>
            <w:noWrap w:val="0"/>
            <w:vAlign w:val="top"/>
          </w:tcPr>
          <w:p w14:paraId="4692CDF5">
            <w:pPr>
              <w:pStyle w:val="28"/>
              <w:spacing w:line="540" w:lineRule="exact"/>
              <w:jc w:val="center"/>
              <w:rPr>
                <w:rFonts w:hint="eastAsia" w:ascii="宋体" w:hAnsi="宋体" w:eastAsia="宋体" w:cs="宋体"/>
                <w:color w:val="auto"/>
                <w:szCs w:val="21"/>
                <w:highlight w:val="none"/>
              </w:rPr>
            </w:pPr>
          </w:p>
        </w:tc>
      </w:tr>
      <w:tr w14:paraId="7C1D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1425CE31">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开工日期</w:t>
            </w:r>
          </w:p>
        </w:tc>
        <w:tc>
          <w:tcPr>
            <w:tcW w:w="7000" w:type="dxa"/>
            <w:noWrap w:val="0"/>
            <w:vAlign w:val="top"/>
          </w:tcPr>
          <w:p w14:paraId="6BC62224">
            <w:pPr>
              <w:pStyle w:val="28"/>
              <w:spacing w:line="540" w:lineRule="exact"/>
              <w:jc w:val="center"/>
              <w:rPr>
                <w:rFonts w:hint="eastAsia" w:ascii="宋体" w:hAnsi="宋体" w:eastAsia="宋体" w:cs="宋体"/>
                <w:color w:val="auto"/>
                <w:szCs w:val="21"/>
                <w:highlight w:val="none"/>
              </w:rPr>
            </w:pPr>
          </w:p>
        </w:tc>
      </w:tr>
      <w:tr w14:paraId="4560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2EBF5936">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竣工日期</w:t>
            </w:r>
          </w:p>
        </w:tc>
        <w:tc>
          <w:tcPr>
            <w:tcW w:w="7000" w:type="dxa"/>
            <w:noWrap w:val="0"/>
            <w:vAlign w:val="top"/>
          </w:tcPr>
          <w:p w14:paraId="0BA7CE53">
            <w:pPr>
              <w:pStyle w:val="28"/>
              <w:spacing w:line="540" w:lineRule="exact"/>
              <w:jc w:val="center"/>
              <w:rPr>
                <w:rFonts w:hint="eastAsia" w:ascii="宋体" w:hAnsi="宋体" w:eastAsia="宋体" w:cs="宋体"/>
                <w:color w:val="auto"/>
                <w:szCs w:val="21"/>
                <w:highlight w:val="none"/>
              </w:rPr>
            </w:pPr>
          </w:p>
        </w:tc>
      </w:tr>
      <w:tr w14:paraId="1D6F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747B941C">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承担的工作</w:t>
            </w:r>
          </w:p>
        </w:tc>
        <w:tc>
          <w:tcPr>
            <w:tcW w:w="7000" w:type="dxa"/>
            <w:noWrap w:val="0"/>
            <w:vAlign w:val="top"/>
          </w:tcPr>
          <w:p w14:paraId="551036D0">
            <w:pPr>
              <w:pStyle w:val="28"/>
              <w:spacing w:line="540" w:lineRule="exact"/>
              <w:jc w:val="center"/>
              <w:rPr>
                <w:rFonts w:hint="eastAsia" w:ascii="宋体" w:hAnsi="宋体" w:eastAsia="宋体" w:cs="宋体"/>
                <w:color w:val="auto"/>
                <w:szCs w:val="21"/>
                <w:highlight w:val="none"/>
              </w:rPr>
            </w:pPr>
          </w:p>
        </w:tc>
      </w:tr>
      <w:tr w14:paraId="45AD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7AFE5009">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w:t>
            </w:r>
          </w:p>
        </w:tc>
        <w:tc>
          <w:tcPr>
            <w:tcW w:w="7000" w:type="dxa"/>
            <w:noWrap w:val="0"/>
            <w:vAlign w:val="top"/>
          </w:tcPr>
          <w:p w14:paraId="0B196F19">
            <w:pPr>
              <w:pStyle w:val="28"/>
              <w:spacing w:line="540" w:lineRule="exact"/>
              <w:jc w:val="center"/>
              <w:rPr>
                <w:rFonts w:hint="eastAsia" w:ascii="宋体" w:hAnsi="宋体" w:eastAsia="宋体" w:cs="宋体"/>
                <w:color w:val="auto"/>
                <w:szCs w:val="21"/>
                <w:highlight w:val="none"/>
              </w:rPr>
            </w:pPr>
          </w:p>
        </w:tc>
      </w:tr>
      <w:tr w14:paraId="625C0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091613B7">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7000" w:type="dxa"/>
            <w:noWrap w:val="0"/>
            <w:vAlign w:val="top"/>
          </w:tcPr>
          <w:p w14:paraId="6E157DDE">
            <w:pPr>
              <w:pStyle w:val="28"/>
              <w:spacing w:line="540" w:lineRule="exact"/>
              <w:jc w:val="center"/>
              <w:rPr>
                <w:rFonts w:hint="eastAsia" w:ascii="宋体" w:hAnsi="宋体" w:eastAsia="宋体" w:cs="宋体"/>
                <w:color w:val="auto"/>
                <w:szCs w:val="21"/>
                <w:highlight w:val="none"/>
              </w:rPr>
            </w:pPr>
          </w:p>
        </w:tc>
      </w:tr>
      <w:tr w14:paraId="55EAF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11444E4B">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7000" w:type="dxa"/>
            <w:noWrap w:val="0"/>
            <w:vAlign w:val="top"/>
          </w:tcPr>
          <w:p w14:paraId="7BF19D7F">
            <w:pPr>
              <w:pStyle w:val="28"/>
              <w:spacing w:line="540" w:lineRule="exact"/>
              <w:jc w:val="center"/>
              <w:rPr>
                <w:rFonts w:hint="eastAsia" w:ascii="宋体" w:hAnsi="宋体" w:eastAsia="宋体" w:cs="宋体"/>
                <w:color w:val="auto"/>
                <w:szCs w:val="21"/>
                <w:highlight w:val="none"/>
              </w:rPr>
            </w:pPr>
          </w:p>
        </w:tc>
      </w:tr>
      <w:tr w14:paraId="005E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56E16946">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项目描述</w:t>
            </w:r>
          </w:p>
        </w:tc>
        <w:tc>
          <w:tcPr>
            <w:tcW w:w="7000" w:type="dxa"/>
            <w:noWrap w:val="0"/>
            <w:vAlign w:val="top"/>
          </w:tcPr>
          <w:p w14:paraId="7479F685">
            <w:pPr>
              <w:pStyle w:val="28"/>
              <w:spacing w:line="540" w:lineRule="exact"/>
              <w:jc w:val="center"/>
              <w:rPr>
                <w:rFonts w:hint="eastAsia" w:ascii="宋体" w:hAnsi="宋体" w:eastAsia="宋体" w:cs="宋体"/>
                <w:color w:val="auto"/>
                <w:szCs w:val="21"/>
                <w:highlight w:val="none"/>
              </w:rPr>
            </w:pPr>
          </w:p>
        </w:tc>
      </w:tr>
      <w:tr w14:paraId="2B39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noWrap w:val="0"/>
            <w:vAlign w:val="top"/>
          </w:tcPr>
          <w:p w14:paraId="33CFEC99">
            <w:pPr>
              <w:pStyle w:val="28"/>
              <w:spacing w:line="5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000" w:type="dxa"/>
            <w:noWrap w:val="0"/>
            <w:vAlign w:val="top"/>
          </w:tcPr>
          <w:p w14:paraId="6E39A016">
            <w:pPr>
              <w:pStyle w:val="28"/>
              <w:spacing w:line="540" w:lineRule="exact"/>
              <w:jc w:val="center"/>
              <w:rPr>
                <w:rFonts w:hint="eastAsia" w:ascii="宋体" w:hAnsi="宋体" w:eastAsia="宋体" w:cs="宋体"/>
                <w:color w:val="auto"/>
                <w:szCs w:val="21"/>
                <w:highlight w:val="none"/>
              </w:rPr>
            </w:pPr>
          </w:p>
        </w:tc>
      </w:tr>
    </w:tbl>
    <w:p w14:paraId="35212812">
      <w:pPr>
        <w:jc w:val="center"/>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注：提供合同或成交（中标）通知书或竣工验收材料扫描件作为评审依据。</w:t>
      </w:r>
    </w:p>
    <w:p w14:paraId="325CE31A">
      <w:pPr>
        <w:pStyle w:val="4"/>
        <w:widowControl/>
        <w:autoSpaceDE w:val="0"/>
        <w:spacing w:before="0" w:after="0" w:line="360" w:lineRule="auto"/>
        <w:ind w:firstLine="562" w:firstLineChars="200"/>
        <w:rPr>
          <w:rFonts w:hint="eastAsia" w:ascii="宋体" w:hAnsi="宋体" w:eastAsia="宋体" w:cs="宋体"/>
          <w:color w:val="auto"/>
          <w:sz w:val="24"/>
          <w:szCs w:val="24"/>
          <w:highlight w:val="none"/>
        </w:rPr>
      </w:pPr>
      <w:r>
        <w:rPr>
          <w:rFonts w:hint="eastAsia" w:ascii="宋体" w:hAnsi="宋体" w:eastAsia="宋体" w:cs="宋体"/>
          <w:color w:val="auto"/>
          <w:szCs w:val="28"/>
          <w:highlight w:val="none"/>
        </w:rPr>
        <w:br w:type="page"/>
      </w:r>
      <w:bookmarkStart w:id="458" w:name="_Toc27347"/>
      <w:bookmarkStart w:id="459" w:name="_Toc23208"/>
      <w:bookmarkStart w:id="460" w:name="_Toc4702"/>
      <w:bookmarkStart w:id="461" w:name="_Toc32573"/>
      <w:bookmarkStart w:id="462" w:name="_Toc3331"/>
      <w:r>
        <w:rPr>
          <w:rFonts w:hint="eastAsia" w:ascii="宋体" w:hAnsi="宋体" w:cs="宋体"/>
          <w:color w:val="auto"/>
          <w:szCs w:val="28"/>
          <w:highlight w:val="none"/>
          <w:lang w:val="en-US" w:eastAsia="zh-CN"/>
        </w:rPr>
        <w:t>十九</w:t>
      </w:r>
      <w:r>
        <w:rPr>
          <w:rFonts w:hint="eastAsia" w:ascii="宋体" w:hAnsi="宋体" w:eastAsia="宋体" w:cs="宋体"/>
          <w:b/>
          <w:bCs/>
          <w:color w:val="auto"/>
          <w:sz w:val="28"/>
          <w:szCs w:val="28"/>
          <w:highlight w:val="none"/>
          <w:lang w:val="en-US" w:eastAsia="zh-CN" w:bidi="ar-SA"/>
        </w:rPr>
        <w:t>、其他资料</w:t>
      </w:r>
      <w:bookmarkEnd w:id="458"/>
      <w:bookmarkEnd w:id="459"/>
      <w:bookmarkEnd w:id="460"/>
      <w:bookmarkEnd w:id="461"/>
      <w:bookmarkEnd w:id="462"/>
    </w:p>
    <w:p w14:paraId="530342A4">
      <w:pPr>
        <w:spacing w:before="158" w:beforeLines="50" w:line="360"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（一）供应商能享受政策优惠的证明材料</w:t>
      </w:r>
    </w:p>
    <w:p w14:paraId="383B090D">
      <w:pPr>
        <w:spacing w:before="158" w:beforeLines="50" w:line="360"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（二）竞争性磋商文件要求提交的其他资料</w:t>
      </w:r>
    </w:p>
    <w:p w14:paraId="5D2DAD2B">
      <w:pPr>
        <w:spacing w:before="158" w:beforeLines="50" w:line="360"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（三）供应商认为需要提交的其他资料</w:t>
      </w:r>
    </w:p>
    <w:p w14:paraId="6D10BC50">
      <w:pPr>
        <w:spacing w:before="158" w:beforeLines="50" w:line="360" w:lineRule="auto"/>
        <w:ind w:firstLine="720" w:firstLineChars="300"/>
        <w:rPr>
          <w:rFonts w:hint="eastAsia" w:ascii="宋体" w:hAnsi="宋体"/>
          <w:color w:val="FF0000"/>
          <w:sz w:val="24"/>
          <w:szCs w:val="24"/>
        </w:rPr>
      </w:pPr>
    </w:p>
    <w:p w14:paraId="3C384092">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b/>
          <w:bCs/>
          <w:color w:val="000000"/>
          <w:sz w:val="24"/>
          <w:szCs w:val="24"/>
          <w:shd w:val="clear" w:color="auto" w:fill="FFFFFF"/>
        </w:rPr>
      </w:pPr>
      <w:r>
        <w:rPr>
          <w:rFonts w:hint="eastAsia" w:ascii="宋体" w:hAnsi="宋体"/>
          <w:color w:val="FF0000"/>
          <w:sz w:val="24"/>
          <w:szCs w:val="24"/>
        </w:rPr>
        <w:br w:type="page"/>
      </w:r>
    </w:p>
    <w:p w14:paraId="32D16D9B">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shd w:val="clear" w:color="auto" w:fill="FFFFFF"/>
        </w:rPr>
        <w:t>中小企业声明函(</w:t>
      </w:r>
      <w:r>
        <w:rPr>
          <w:rFonts w:hint="eastAsia" w:ascii="宋体" w:hAnsi="宋体" w:eastAsia="宋体" w:cs="宋体"/>
          <w:b/>
          <w:bCs/>
          <w:color w:val="000000"/>
          <w:sz w:val="24"/>
          <w:szCs w:val="24"/>
          <w:shd w:val="clear" w:color="auto" w:fill="FFFFFF"/>
          <w:lang w:eastAsia="zh-CN"/>
        </w:rPr>
        <w:t>工程</w:t>
      </w:r>
      <w:r>
        <w:rPr>
          <w:rFonts w:hint="eastAsia" w:ascii="宋体" w:hAnsi="宋体" w:eastAsia="宋体" w:cs="宋体"/>
          <w:b/>
          <w:bCs/>
          <w:color w:val="000000"/>
          <w:sz w:val="24"/>
          <w:szCs w:val="24"/>
          <w:shd w:val="clear" w:color="auto" w:fill="FFFFFF"/>
        </w:rPr>
        <w:t>)</w:t>
      </w:r>
    </w:p>
    <w:p w14:paraId="411939E1">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本公司</w:t>
      </w:r>
      <w:r>
        <w:rPr>
          <w:rFonts w:hint="eastAsia" w:ascii="宋体" w:hAnsi="宋体" w:eastAsia="宋体" w:cs="宋体"/>
          <w:color w:val="000000"/>
          <w:sz w:val="24"/>
          <w:szCs w:val="24"/>
          <w:u w:val="none"/>
          <w:shd w:val="clear" w:color="auto" w:fill="FFFFFF"/>
        </w:rPr>
        <w:t>(联合体)</w:t>
      </w:r>
      <w:r>
        <w:rPr>
          <w:rFonts w:hint="eastAsia" w:ascii="宋体" w:hAnsi="宋体" w:eastAsia="宋体" w:cs="宋体"/>
          <w:color w:val="000000"/>
          <w:sz w:val="24"/>
          <w:szCs w:val="24"/>
          <w:shd w:val="clear" w:color="auto" w:fill="FFFFFF"/>
        </w:rPr>
        <w:t>郑重声明</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根据</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政府采购促进中小企业发展管理办法》(财库( 2020 )46号)的规定，本公司(联合体)参加</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(单位名称)</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(项目名称)</w:t>
      </w:r>
      <w:r>
        <w:rPr>
          <w:rFonts w:hint="eastAsia" w:ascii="宋体" w:hAnsi="宋体" w:eastAsia="宋体" w:cs="宋体"/>
          <w:color w:val="000000"/>
          <w:sz w:val="24"/>
          <w:szCs w:val="24"/>
          <w:shd w:val="clear" w:color="auto" w:fill="FFFFFF"/>
        </w:rPr>
        <w:t>采购活动，</w:t>
      </w:r>
      <w:r>
        <w:rPr>
          <w:rFonts w:hint="eastAsia" w:ascii="宋体" w:hAnsi="宋体" w:eastAsia="宋体" w:cs="宋体"/>
          <w:color w:val="000000"/>
          <w:sz w:val="24"/>
          <w:szCs w:val="24"/>
          <w:shd w:val="clear" w:color="auto" w:fill="FFFFFF"/>
          <w:lang w:eastAsia="zh-CN"/>
        </w:rPr>
        <w:t>工程的施工单位全部为符合</w:t>
      </w:r>
      <w:r>
        <w:rPr>
          <w:rFonts w:hint="eastAsia" w:ascii="宋体" w:hAnsi="宋体" w:eastAsia="宋体" w:cs="宋体"/>
          <w:color w:val="000000"/>
          <w:sz w:val="24"/>
          <w:szCs w:val="24"/>
          <w:shd w:val="clear" w:color="auto" w:fill="FFFFFF"/>
        </w:rPr>
        <w:t>政策要求的中小企业。相关企业(含联合体中的中小企业、签订分包意向协议的中小企业)的具体情况如下:</w:t>
      </w:r>
    </w:p>
    <w:p w14:paraId="3616F8F7">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u w:val="none"/>
          <w:shd w:val="clear" w:color="auto" w:fill="FFFFFF"/>
          <w:lang w:val="en-US" w:eastAsia="zh-CN"/>
        </w:rPr>
        <w:t xml:space="preserve">1.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(标的名称)</w:t>
      </w:r>
      <w:r>
        <w:rPr>
          <w:rFonts w:hint="eastAsia" w:ascii="宋体" w:hAnsi="宋体" w:eastAsia="宋体" w:cs="宋体"/>
          <w:color w:val="000000"/>
          <w:sz w:val="24"/>
          <w:szCs w:val="24"/>
          <w:shd w:val="clear" w:color="auto" w:fill="FFFFFF"/>
        </w:rPr>
        <w:t>，属于</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(采购文件中明确的所属行业)</w:t>
      </w:r>
      <w:r>
        <w:rPr>
          <w:rFonts w:hint="eastAsia" w:ascii="宋体" w:hAnsi="宋体" w:eastAsia="宋体" w:cs="宋体"/>
          <w:color w:val="000000"/>
          <w:sz w:val="24"/>
          <w:szCs w:val="24"/>
          <w:u w:val="none"/>
          <w:shd w:val="clear" w:color="auto" w:fill="FFFFFF"/>
          <w:lang w:val="en-US" w:eastAsia="zh-CN"/>
        </w:rPr>
        <w:t>；</w:t>
      </w:r>
      <w:r>
        <w:rPr>
          <w:rFonts w:hint="eastAsia" w:ascii="宋体" w:hAnsi="宋体" w:eastAsia="宋体" w:cs="宋体"/>
          <w:color w:val="000000"/>
          <w:sz w:val="24"/>
          <w:szCs w:val="24"/>
          <w:shd w:val="clear" w:color="auto" w:fill="FFFFFF"/>
          <w:lang w:eastAsia="zh-CN"/>
        </w:rPr>
        <w:t>承建（承接）企业为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人</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 xml:space="preserve"> 营业收入为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万元，资产总额为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w:t>
      </w:r>
      <w:r>
        <w:rPr>
          <w:rFonts w:hint="eastAsia" w:ascii="宋体" w:hAnsi="宋体" w:eastAsia="宋体" w:cs="宋体"/>
          <w:color w:val="000000"/>
          <w:sz w:val="24"/>
          <w:szCs w:val="24"/>
          <w:shd w:val="clear" w:color="auto" w:fill="FFFFFF"/>
          <w:vertAlign w:val="superscript"/>
          <w:lang w:val="en-US" w:eastAsia="zh-CN"/>
        </w:rPr>
        <w:t>1</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中型企业、</w:t>
      </w:r>
      <w:r>
        <w:rPr>
          <w:rFonts w:hint="eastAsia" w:ascii="宋体" w:hAnsi="宋体" w:eastAsia="宋体" w:cs="宋体"/>
          <w:color w:val="000000"/>
          <w:sz w:val="24"/>
          <w:szCs w:val="24"/>
          <w:u w:val="single"/>
          <w:shd w:val="clear" w:color="auto" w:fill="FFFFFF"/>
          <w:lang w:eastAsia="zh-CN"/>
        </w:rPr>
        <w:t>小</w:t>
      </w:r>
      <w:r>
        <w:rPr>
          <w:rFonts w:hint="eastAsia" w:ascii="宋体" w:hAnsi="宋体" w:eastAsia="宋体" w:cs="宋体"/>
          <w:color w:val="000000"/>
          <w:sz w:val="24"/>
          <w:szCs w:val="24"/>
          <w:u w:val="single"/>
          <w:shd w:val="clear" w:color="auto" w:fill="FFFFFF"/>
        </w:rPr>
        <w:t>型企业、微型企业</w:t>
      </w:r>
      <w:r>
        <w:rPr>
          <w:rFonts w:hint="eastAsia" w:ascii="宋体" w:hAnsi="宋体" w:eastAsia="宋体" w:cs="宋体"/>
          <w:color w:val="000000"/>
          <w:sz w:val="24"/>
          <w:szCs w:val="24"/>
          <w:u w:val="single"/>
          <w:shd w:val="clear" w:color="auto" w:fill="FFFFFF"/>
          <w:lang w:eastAsia="zh-CN"/>
        </w:rPr>
        <w:t>）</w:t>
      </w:r>
      <w:r>
        <w:rPr>
          <w:rFonts w:hint="eastAsia" w:ascii="宋体" w:hAnsi="宋体" w:eastAsia="宋体" w:cs="宋体"/>
          <w:color w:val="000000"/>
          <w:sz w:val="24"/>
          <w:szCs w:val="24"/>
          <w:shd w:val="clear" w:color="auto" w:fill="FFFFFF"/>
          <w:lang w:eastAsia="zh-CN"/>
        </w:rPr>
        <w:t>；</w:t>
      </w:r>
    </w:p>
    <w:p w14:paraId="72C917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shd w:val="clear" w:color="auto" w:fill="FFFFFF"/>
          <w:lang w:val="en-US" w:eastAsia="zh-CN"/>
        </w:rPr>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标的名称)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 xml:space="preserve"> 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采购文件中明确的所属行业)</w:t>
      </w:r>
      <w:r>
        <w:rPr>
          <w:rFonts w:hint="eastAsia" w:ascii="宋体" w:hAnsi="宋体" w:eastAsia="宋体" w:cs="宋体"/>
          <w:color w:val="000000"/>
          <w:sz w:val="24"/>
          <w:szCs w:val="24"/>
          <w:shd w:val="clear" w:color="auto" w:fill="FFFFFF"/>
        </w:rPr>
        <w:t>行业</w:t>
      </w:r>
      <w:r>
        <w:rPr>
          <w:rFonts w:hint="eastAsia" w:ascii="宋体" w:hAnsi="宋体" w:eastAsia="宋体" w:cs="宋体"/>
          <w:color w:val="000000"/>
          <w:sz w:val="24"/>
          <w:szCs w:val="24"/>
          <w:shd w:val="clear" w:color="auto" w:fill="FFFFFF"/>
          <w:lang w:eastAsia="zh-CN"/>
        </w:rPr>
        <w:t>；承建（承接）企业为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人， 营业收入为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 资产总额为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中型企业、 小型企业、微型企业)</w:t>
      </w:r>
      <w:r>
        <w:rPr>
          <w:rFonts w:hint="eastAsia" w:ascii="宋体" w:hAnsi="宋体" w:eastAsia="宋体" w:cs="宋体"/>
          <w:color w:val="000000"/>
          <w:sz w:val="24"/>
          <w:szCs w:val="24"/>
          <w:u w:val="none"/>
          <w:shd w:val="clear" w:color="auto" w:fill="FFFFFF"/>
          <w:lang w:val="en-US" w:eastAsia="zh-CN"/>
        </w:rPr>
        <w:t>；</w:t>
      </w:r>
    </w:p>
    <w:p w14:paraId="63ED0560">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w:t>
      </w:r>
    </w:p>
    <w:p w14:paraId="1EE5B0D0">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以上企业，不属于大企业的分支机构，不存在控股股东为大企业的情形，也不存在与大企业的负责人为同一人的情形。</w:t>
      </w:r>
    </w:p>
    <w:p w14:paraId="272D5E7A">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本企业对上述声明内容的真实性负责。如有虛假，将依法承担相应责任。</w:t>
      </w:r>
    </w:p>
    <w:p w14:paraId="7AB25CAD">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sz w:val="24"/>
          <w:szCs w:val="24"/>
          <w:shd w:val="clear" w:color="auto" w:fill="FFFFFF"/>
        </w:rPr>
      </w:pPr>
    </w:p>
    <w:p w14:paraId="09637ADD">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企业名称(盖章):</w:t>
      </w:r>
    </w:p>
    <w:p w14:paraId="2F962DD8">
      <w:pPr>
        <w:keepNext w:val="0"/>
        <w:keepLines w:val="0"/>
        <w:pageBreakBefore w:val="0"/>
        <w:kinsoku/>
        <w:wordWrap/>
        <w:overflowPunct/>
        <w:topLinePunct w:val="0"/>
        <w:autoSpaceDE/>
        <w:autoSpaceDN/>
        <w:bidi w:val="0"/>
        <w:adjustRightInd/>
        <w:snapToGrid/>
        <w:spacing w:line="480" w:lineRule="auto"/>
        <w:ind w:firstLine="4080" w:firstLineChars="17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日</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期:</w:t>
      </w:r>
    </w:p>
    <w:p w14:paraId="5B251F99">
      <w:pPr>
        <w:keepNext w:val="0"/>
        <w:keepLines w:val="0"/>
        <w:pageBreakBefore w:val="0"/>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000000"/>
          <w:sz w:val="24"/>
          <w:szCs w:val="24"/>
          <w:u w:val="single"/>
          <w:shd w:val="clear" w:color="auto" w:fill="FFFFFF"/>
          <w:lang w:val="en-US" w:eastAsia="zh-CN"/>
        </w:rPr>
      </w:pPr>
      <w:r>
        <w:rPr>
          <w:rFonts w:hint="eastAsia" w:ascii="宋体" w:hAnsi="宋体" w:eastAsia="宋体" w:cs="宋体"/>
          <w:color w:val="000000"/>
          <w:sz w:val="24"/>
          <w:szCs w:val="24"/>
          <w:u w:val="single"/>
          <w:shd w:val="clear" w:color="auto" w:fill="FFFFFF"/>
          <w:lang w:val="en-US" w:eastAsia="zh-CN"/>
        </w:rPr>
        <w:t xml:space="preserve">                   </w:t>
      </w:r>
    </w:p>
    <w:p w14:paraId="766C4B0E">
      <w:pPr>
        <w:keepNext w:val="0"/>
        <w:keepLines w:val="0"/>
        <w:pageBreakBefore w:val="0"/>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000000"/>
          <w:sz w:val="18"/>
          <w:szCs w:val="18"/>
          <w:shd w:val="clear" w:color="auto" w:fill="FFFFFF"/>
        </w:rPr>
      </w:pPr>
      <w:r>
        <w:rPr>
          <w:rFonts w:hint="eastAsia" w:ascii="宋体" w:hAnsi="宋体" w:eastAsia="宋体" w:cs="宋体"/>
          <w:color w:val="000000"/>
          <w:sz w:val="18"/>
          <w:szCs w:val="18"/>
          <w:shd w:val="clear" w:color="auto" w:fill="FFFFFF"/>
          <w:vertAlign w:val="superscript"/>
          <w:lang w:val="en-US" w:eastAsia="zh-CN"/>
        </w:rPr>
        <w:t>1</w:t>
      </w:r>
      <w:r>
        <w:rPr>
          <w:rFonts w:hint="eastAsia" w:ascii="宋体" w:hAnsi="宋体" w:eastAsia="宋体" w:cs="宋体"/>
          <w:color w:val="000000"/>
          <w:sz w:val="18"/>
          <w:szCs w:val="18"/>
          <w:shd w:val="clear" w:color="auto" w:fill="FFFFFF"/>
        </w:rPr>
        <w:t>从业人员、营业收入、资产总额填报上一年度数据，无上</w:t>
      </w:r>
      <w:r>
        <w:rPr>
          <w:rFonts w:hint="eastAsia" w:ascii="宋体" w:hAnsi="宋体" w:eastAsia="宋体" w:cs="宋体"/>
          <w:color w:val="000000"/>
          <w:sz w:val="18"/>
          <w:szCs w:val="18"/>
          <w:shd w:val="clear" w:color="auto" w:fill="FFFFFF"/>
          <w:lang w:eastAsia="zh-CN"/>
        </w:rPr>
        <w:t>一</w:t>
      </w:r>
      <w:r>
        <w:rPr>
          <w:rFonts w:hint="eastAsia" w:ascii="宋体" w:hAnsi="宋体" w:eastAsia="宋体" w:cs="宋体"/>
          <w:color w:val="000000"/>
          <w:sz w:val="18"/>
          <w:szCs w:val="18"/>
          <w:shd w:val="clear" w:color="auto" w:fill="FFFFFF"/>
        </w:rPr>
        <w:t>年度数据的新成立企业可不填报。</w:t>
      </w:r>
    </w:p>
    <w:p w14:paraId="6850E009">
      <w:pPr>
        <w:spacing w:line="480" w:lineRule="auto"/>
        <w:jc w:val="center"/>
        <w:rPr>
          <w:rFonts w:ascii="宋体" w:hAnsi="宋体" w:cs="宋体"/>
          <w:b/>
          <w:bCs/>
          <w:color w:val="auto"/>
          <w:sz w:val="24"/>
          <w:szCs w:val="24"/>
          <w:highlight w:val="none"/>
          <w:shd w:val="clear" w:color="auto" w:fill="FFFFFF"/>
        </w:rPr>
      </w:pPr>
      <w:r>
        <w:rPr>
          <w:rFonts w:hint="eastAsia" w:ascii="宋体" w:hAnsi="宋体" w:eastAsia="宋体" w:cs="宋体"/>
          <w:color w:val="000000"/>
          <w:sz w:val="18"/>
          <w:szCs w:val="18"/>
          <w:shd w:val="clear" w:color="auto" w:fill="FFFFFF"/>
        </w:rPr>
        <w:br w:type="page"/>
      </w:r>
      <w:r>
        <w:rPr>
          <w:rFonts w:hint="eastAsia" w:ascii="宋体" w:hAnsi="宋体" w:cs="宋体"/>
          <w:b/>
          <w:bCs/>
          <w:color w:val="auto"/>
          <w:sz w:val="24"/>
          <w:szCs w:val="24"/>
          <w:highlight w:val="none"/>
          <w:shd w:val="clear" w:color="auto" w:fill="FFFFFF"/>
        </w:rPr>
        <w:t>监狱企业证明文件</w:t>
      </w:r>
    </w:p>
    <w:p w14:paraId="50AB1E9E">
      <w:pPr>
        <w:spacing w:line="48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75BB6A">
      <w:pPr>
        <w:spacing w:line="48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监狱企业参加政府采购活动时，应当提供由省级以上监狱管理局、戒毒管理局（含新疆生产建设兵团）出具的属于监狱企业的证明文件。</w:t>
      </w:r>
    </w:p>
    <w:p w14:paraId="3786B0BA">
      <w:pPr>
        <w:spacing w:line="48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   </w:t>
      </w:r>
    </w:p>
    <w:p w14:paraId="29C37135">
      <w:pPr>
        <w:spacing w:line="480" w:lineRule="auto"/>
        <w:ind w:firstLine="480" w:firstLineChars="200"/>
        <w:rPr>
          <w:rFonts w:hint="eastAsia" w:ascii="宋体" w:hAnsi="宋体" w:eastAsia="宋体"/>
          <w:color w:val="auto"/>
          <w:sz w:val="24"/>
          <w:szCs w:val="24"/>
          <w:highlight w:val="none"/>
          <w:lang w:eastAsia="zh-CN"/>
        </w:rPr>
      </w:pPr>
    </w:p>
    <w:p w14:paraId="7C0B2958">
      <w:pPr>
        <w:pStyle w:val="8"/>
        <w:ind w:firstLine="420" w:firstLineChars="200"/>
        <w:rPr>
          <w:color w:val="auto"/>
          <w:highlight w:val="none"/>
        </w:rPr>
      </w:pPr>
      <w:r>
        <w:rPr>
          <w:rFonts w:hint="eastAsia"/>
          <w:color w:val="auto"/>
          <w:highlight w:val="none"/>
        </w:rPr>
        <w:t>注：符合条件的监狱企业在参加政府采购活动时，应当按《财政部 司法部关于政府采购支持监狱企业发展有关问题的通知》（财</w:t>
      </w:r>
      <w:r>
        <w:rPr>
          <w:rFonts w:hint="eastAsia" w:ascii="宋体" w:hAnsi="宋体" w:cs="宋体"/>
          <w:color w:val="auto"/>
          <w:highlight w:val="none"/>
        </w:rPr>
        <w:t>库[2014]68 号</w:t>
      </w:r>
      <w:r>
        <w:rPr>
          <w:rFonts w:hint="eastAsia"/>
          <w:color w:val="auto"/>
          <w:highlight w:val="none"/>
        </w:rPr>
        <w:t>）提供规定的《监狱企业证明文件》，并对证明文件的真实性负责。</w:t>
      </w:r>
    </w:p>
    <w:p w14:paraId="1C9FA90F">
      <w:pPr>
        <w:rPr>
          <w:color w:val="auto"/>
          <w:highlight w:val="none"/>
        </w:rPr>
      </w:pPr>
    </w:p>
    <w:p w14:paraId="32E23AD2">
      <w:pPr>
        <w:pStyle w:val="8"/>
        <w:jc w:val="center"/>
        <w:rPr>
          <w:rFonts w:hint="eastAsia" w:ascii="宋体" w:hAnsi="宋体" w:eastAsia="宋体" w:cs="宋体"/>
          <w:b/>
          <w:bCs/>
          <w:color w:val="auto"/>
          <w:kern w:val="0"/>
          <w:sz w:val="24"/>
          <w:szCs w:val="24"/>
          <w:highlight w:val="none"/>
          <w:shd w:val="clear" w:color="auto" w:fill="FFFFFF"/>
          <w:lang w:val="en-US" w:eastAsia="zh-CN" w:bidi="ar-SA"/>
        </w:rPr>
      </w:pPr>
      <w:r>
        <w:rPr>
          <w:rFonts w:hint="eastAsia"/>
          <w:color w:val="auto"/>
          <w:highlight w:val="none"/>
        </w:rPr>
        <w:br w:type="page"/>
      </w:r>
      <w:r>
        <w:rPr>
          <w:rFonts w:hint="eastAsia" w:ascii="宋体" w:hAnsi="宋体" w:eastAsia="宋体" w:cs="宋体"/>
          <w:b/>
          <w:bCs/>
          <w:color w:val="auto"/>
          <w:kern w:val="0"/>
          <w:sz w:val="24"/>
          <w:szCs w:val="24"/>
          <w:highlight w:val="none"/>
          <w:shd w:val="clear" w:color="auto" w:fill="FFFFFF"/>
          <w:lang w:val="en-US" w:eastAsia="zh-CN" w:bidi="ar-SA"/>
        </w:rPr>
        <w:t>残疾人福利性单位声明函</w:t>
      </w:r>
    </w:p>
    <w:p w14:paraId="3FBDDF7A">
      <w:pPr>
        <w:spacing w:line="588" w:lineRule="exact"/>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6128C44">
      <w:pPr>
        <w:spacing w:line="588" w:lineRule="exact"/>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55BC6E90">
      <w:pPr>
        <w:spacing w:line="588" w:lineRule="exact"/>
        <w:ind w:firstLine="504" w:firstLineChars="200"/>
        <w:rPr>
          <w:rFonts w:hint="eastAsia" w:ascii="宋体" w:hAnsi="宋体" w:cs="宋体"/>
          <w:color w:val="auto"/>
          <w:spacing w:val="6"/>
          <w:sz w:val="24"/>
          <w:szCs w:val="24"/>
          <w:highlight w:val="none"/>
        </w:rPr>
      </w:pPr>
    </w:p>
    <w:p w14:paraId="31DA6D81">
      <w:pPr>
        <w:spacing w:line="588" w:lineRule="exact"/>
        <w:ind w:firstLine="504" w:firstLineChars="200"/>
        <w:rPr>
          <w:rFonts w:hint="eastAsia" w:ascii="宋体" w:hAnsi="宋体" w:cs="宋体"/>
          <w:color w:val="auto"/>
          <w:spacing w:val="6"/>
          <w:sz w:val="24"/>
          <w:szCs w:val="24"/>
          <w:highlight w:val="none"/>
        </w:rPr>
      </w:pPr>
    </w:p>
    <w:p w14:paraId="556FC321">
      <w:pPr>
        <w:keepNext w:val="0"/>
        <w:keepLines w:val="0"/>
        <w:pageBreakBefore w:val="0"/>
        <w:kinsoku/>
        <w:wordWrap/>
        <w:overflowPunct/>
        <w:topLinePunct w:val="0"/>
        <w:autoSpaceDE/>
        <w:autoSpaceDN/>
        <w:bidi w:val="0"/>
        <w:adjustRightInd/>
        <w:snapToGrid/>
        <w:spacing w:line="480" w:lineRule="auto"/>
        <w:ind w:left="3528" w:leftChars="0" w:hanging="3528" w:hangingChars="1400"/>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cs="宋体"/>
          <w:color w:val="auto"/>
          <w:spacing w:val="6"/>
          <w:sz w:val="24"/>
          <w:szCs w:val="24"/>
          <w:highlight w:val="none"/>
        </w:rPr>
        <w:t xml:space="preserve">              </w:t>
      </w:r>
      <w:r>
        <w:rPr>
          <w:rFonts w:hint="eastAsia" w:ascii="宋体" w:hAnsi="宋体" w:eastAsia="宋体" w:cs="宋体"/>
          <w:color w:val="auto"/>
          <w:sz w:val="24"/>
          <w:szCs w:val="24"/>
          <w:highlight w:val="none"/>
          <w:shd w:val="clear" w:color="auto" w:fill="FFFFFF"/>
        </w:rPr>
        <w:t>企业名称(盖章</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w:t>
      </w:r>
    </w:p>
    <w:p w14:paraId="026C0DBC">
      <w:pPr>
        <w:tabs>
          <w:tab w:val="left" w:pos="4860"/>
        </w:tabs>
        <w:spacing w:line="588" w:lineRule="exact"/>
        <w:ind w:right="1560" w:firstLine="504" w:firstLineChars="200"/>
        <w:jc w:val="center"/>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val="en-US" w:eastAsia="zh-CN"/>
        </w:rPr>
        <w:t xml:space="preserve">        </w:t>
      </w:r>
      <w:r>
        <w:rPr>
          <w:rFonts w:hint="eastAsia" w:ascii="宋体" w:hAnsi="宋体" w:cs="宋体"/>
          <w:color w:val="auto"/>
          <w:spacing w:val="6"/>
          <w:sz w:val="24"/>
          <w:szCs w:val="24"/>
          <w:highlight w:val="none"/>
        </w:rPr>
        <w:t xml:space="preserve">       日  期：</w:t>
      </w:r>
    </w:p>
    <w:p w14:paraId="227279BC">
      <w:pPr>
        <w:pStyle w:val="5"/>
        <w:ind w:left="0" w:leftChars="0" w:firstLine="0" w:firstLineChars="0"/>
        <w:rPr>
          <w:highlight w:val="none"/>
        </w:rPr>
      </w:pPr>
    </w:p>
    <w:p w14:paraId="0ED49FED">
      <w:pPr>
        <w:keepNext w:val="0"/>
        <w:keepLines w:val="0"/>
        <w:pageBreakBefore w:val="0"/>
        <w:kinsoku/>
        <w:wordWrap/>
        <w:overflowPunct/>
        <w:topLinePunct w:val="0"/>
        <w:autoSpaceDE/>
        <w:autoSpaceDN/>
        <w:bidi w:val="0"/>
        <w:adjustRightInd/>
        <w:snapToGrid/>
        <w:spacing w:line="480" w:lineRule="auto"/>
        <w:jc w:val="both"/>
        <w:textAlignment w:val="auto"/>
        <w:rPr>
          <w:rFonts w:hint="eastAsia" w:ascii="仿宋" w:hAnsi="仿宋" w:eastAsia="仿宋" w:cs="宋体"/>
          <w:kern w:val="0"/>
          <w:sz w:val="24"/>
          <w:szCs w:val="24"/>
        </w:rPr>
      </w:pPr>
    </w:p>
    <w:p w14:paraId="51B80633">
      <w:pPr>
        <w:spacing w:before="158" w:beforeLines="50" w:line="360" w:lineRule="auto"/>
        <w:ind w:firstLine="720" w:firstLineChars="300"/>
        <w:rPr>
          <w:rFonts w:ascii="宋体" w:hAnsi="宋体"/>
          <w:color w:val="FF0000"/>
          <w:sz w:val="24"/>
          <w:szCs w:val="24"/>
        </w:rPr>
      </w:pPr>
    </w:p>
    <w:p w14:paraId="32688FF1"/>
    <w:p w14:paraId="5AE46F44"/>
    <w:p w14:paraId="105AFF52"/>
    <w:sectPr>
      <w:headerReference r:id="rId4" w:type="default"/>
      <w:footerReference r:id="rId5" w:type="default"/>
      <w:pgSz w:w="11906" w:h="16838"/>
      <w:pgMar w:top="1191" w:right="1191" w:bottom="1191" w:left="1304" w:header="720" w:footer="720" w:gutter="0"/>
      <w:pgNumType w:start="1"/>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TimesNewRomanPSMT">
    <w:altName w:val="宋体"/>
    <w:panose1 w:val="00000000000000000000"/>
    <w:charset w:val="00"/>
    <w:family w:val="auto"/>
    <w:pitch w:val="default"/>
    <w:sig w:usb0="00000000" w:usb1="00000000" w:usb2="0000001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25D98">
    <w:pPr>
      <w:pStyle w:val="12"/>
      <w:jc w:val="center"/>
    </w:pPr>
  </w:p>
  <w:p w14:paraId="663E7F8E">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84C57">
    <w:pPr>
      <w:pStyle w:val="1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E4C575">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8E4C575">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974DF">
    <w:pPr>
      <w:pStyle w:val="13"/>
      <w:jc w:val="center"/>
    </w:pPr>
    <w:r>
      <w:rPr>
        <w:rFonts w:hint="eastAsia" w:ascii="宋体" w:hAnsi="宋体"/>
        <w:b/>
        <w:bCs/>
        <w:sz w:val="21"/>
        <w:szCs w:val="21"/>
        <w:lang w:eastAsia="zh-CN"/>
      </w:rPr>
      <w:t>云南玉昭工程咨询有限公司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ascii="宋体" w:hAnsi="宋体"/>
        <w:b/>
        <w:bCs/>
        <w:color w:val="000000"/>
        <w:sz w:val="21"/>
        <w:szCs w:val="21"/>
      </w:rPr>
      <w:t>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B2459C"/>
    <w:rsid w:val="007E735D"/>
    <w:rsid w:val="0B8B02DA"/>
    <w:rsid w:val="0BF57DE5"/>
    <w:rsid w:val="0E116BEA"/>
    <w:rsid w:val="11366ED6"/>
    <w:rsid w:val="14143273"/>
    <w:rsid w:val="172215F5"/>
    <w:rsid w:val="18D76A61"/>
    <w:rsid w:val="1A7A42D7"/>
    <w:rsid w:val="1C7E19A6"/>
    <w:rsid w:val="1DC80C79"/>
    <w:rsid w:val="1E536B28"/>
    <w:rsid w:val="23E80503"/>
    <w:rsid w:val="274719E5"/>
    <w:rsid w:val="2B6F5066"/>
    <w:rsid w:val="2C244FBA"/>
    <w:rsid w:val="37B16B26"/>
    <w:rsid w:val="3907358F"/>
    <w:rsid w:val="3CDB2AE0"/>
    <w:rsid w:val="3FB2459C"/>
    <w:rsid w:val="3FB928FC"/>
    <w:rsid w:val="3FCC35EC"/>
    <w:rsid w:val="42212F8E"/>
    <w:rsid w:val="446B7E4E"/>
    <w:rsid w:val="46511D53"/>
    <w:rsid w:val="46D00C57"/>
    <w:rsid w:val="47C33B60"/>
    <w:rsid w:val="48037C6C"/>
    <w:rsid w:val="4B791F57"/>
    <w:rsid w:val="4B977F95"/>
    <w:rsid w:val="4CA8313E"/>
    <w:rsid w:val="51D153A9"/>
    <w:rsid w:val="540D5BAD"/>
    <w:rsid w:val="60121DD1"/>
    <w:rsid w:val="607641C6"/>
    <w:rsid w:val="63B2468E"/>
    <w:rsid w:val="65F62325"/>
    <w:rsid w:val="6B431AA9"/>
    <w:rsid w:val="6C877473"/>
    <w:rsid w:val="6CA95138"/>
    <w:rsid w:val="70DD39CD"/>
    <w:rsid w:val="728F349E"/>
    <w:rsid w:val="752D00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qFormat/>
    <w:uiPriority w:val="99"/>
    <w:pPr>
      <w:keepNext/>
      <w:keepLines/>
      <w:widowControl w:val="0"/>
      <w:spacing w:before="380" w:after="380" w:line="412" w:lineRule="auto"/>
      <w:jc w:val="center"/>
      <w:outlineLvl w:val="2"/>
    </w:pPr>
    <w:rPr>
      <w:rFonts w:ascii="Times New Roman" w:hAnsi="Times New Roman" w:eastAsia="宋体"/>
      <w:b/>
      <w:bCs/>
      <w:sz w:val="28"/>
      <w:szCs w:val="32"/>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style>
  <w:style w:type="paragraph" w:styleId="6">
    <w:name w:val="annotation text"/>
    <w:basedOn w:val="1"/>
    <w:unhideWhenUsed/>
    <w:qFormat/>
    <w:uiPriority w:val="99"/>
    <w:pPr>
      <w:jc w:val="left"/>
    </w:pPr>
  </w:style>
  <w:style w:type="paragraph" w:styleId="7">
    <w:name w:val="Body Text 3"/>
    <w:basedOn w:val="1"/>
    <w:unhideWhenUsed/>
    <w:qFormat/>
    <w:uiPriority w:val="99"/>
    <w:rPr>
      <w:rFonts w:ascii="宋体"/>
      <w:sz w:val="24"/>
      <w:szCs w:val="24"/>
    </w:rPr>
  </w:style>
  <w:style w:type="paragraph" w:styleId="8">
    <w:name w:val="Body Text"/>
    <w:basedOn w:val="1"/>
    <w:qFormat/>
    <w:uiPriority w:val="0"/>
    <w:pPr>
      <w:spacing w:line="360" w:lineRule="auto"/>
    </w:pPr>
    <w:rPr>
      <w:rFonts w:ascii="Times New Roman" w:hAnsi="Times New Roman"/>
      <w:kern w:val="2"/>
      <w:sz w:val="21"/>
      <w:szCs w:val="24"/>
    </w:rPr>
  </w:style>
  <w:style w:type="paragraph" w:styleId="9">
    <w:name w:val="Body Text Indent"/>
    <w:basedOn w:val="1"/>
    <w:unhideWhenUsed/>
    <w:qFormat/>
    <w:uiPriority w:val="99"/>
    <w:pPr>
      <w:spacing w:line="460" w:lineRule="exact"/>
      <w:ind w:firstLine="510"/>
    </w:pPr>
  </w:style>
  <w:style w:type="paragraph" w:styleId="10">
    <w:name w:val="toc 3"/>
    <w:basedOn w:val="1"/>
    <w:next w:val="1"/>
    <w:unhideWhenUsed/>
    <w:qFormat/>
    <w:uiPriority w:val="39"/>
    <w:pPr>
      <w:ind w:left="420"/>
    </w:pPr>
    <w:rPr>
      <w:rFonts w:ascii="Calibri" w:hAnsi="Calibri" w:cs="Calibri"/>
      <w:i/>
      <w:iCs/>
      <w:sz w:val="20"/>
      <w:szCs w:val="20"/>
    </w:rPr>
  </w:style>
  <w:style w:type="paragraph" w:styleId="11">
    <w:name w:val="Plain Text"/>
    <w:basedOn w:val="1"/>
    <w:qFormat/>
    <w:uiPriority w:val="0"/>
    <w:rPr>
      <w:rFonts w:ascii="宋体" w:hAnsi="Courier New"/>
      <w:szCs w:val="20"/>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before="120" w:after="120"/>
    </w:pPr>
    <w:rPr>
      <w:rFonts w:ascii="Calibri" w:hAnsi="Calibri" w:cs="Calibri"/>
      <w:b/>
      <w:bCs/>
      <w:caps/>
      <w:sz w:val="20"/>
      <w:szCs w:val="20"/>
    </w:rPr>
  </w:style>
  <w:style w:type="paragraph" w:styleId="15">
    <w:name w:val="toc 2"/>
    <w:basedOn w:val="1"/>
    <w:next w:val="1"/>
    <w:unhideWhenUsed/>
    <w:qFormat/>
    <w:uiPriority w:val="39"/>
    <w:pPr>
      <w:ind w:left="210"/>
    </w:pPr>
    <w:rPr>
      <w:rFonts w:ascii="Calibri" w:hAnsi="Calibri" w:cs="Calibri"/>
      <w:smallCaps/>
      <w:sz w:val="20"/>
      <w:szCs w:val="20"/>
    </w:rPr>
  </w:style>
  <w:style w:type="paragraph" w:styleId="16">
    <w:name w:val="Normal (Web)"/>
    <w:basedOn w:val="1"/>
    <w:unhideWhenUsed/>
    <w:qFormat/>
    <w:uiPriority w:val="99"/>
    <w:pPr>
      <w:spacing w:before="100" w:beforeAutospacing="1" w:after="100" w:afterAutospacing="1"/>
    </w:pPr>
    <w:rPr>
      <w:sz w:val="24"/>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15"/>
    <w:basedOn w:val="19"/>
    <w:qFormat/>
    <w:uiPriority w:val="0"/>
    <w:rPr>
      <w:rFonts w:hint="default" w:ascii="Times New Roman" w:hAnsi="Times New Roman" w:cs="Times New Roman"/>
      <w:b/>
      <w:bCs/>
      <w:kern w:val="44"/>
      <w:sz w:val="44"/>
      <w:szCs w:val="44"/>
    </w:rPr>
  </w:style>
  <w:style w:type="paragraph" w:customStyle="1" w:styleId="21">
    <w:name w:val="_Style 2"/>
    <w:basedOn w:val="1"/>
    <w:qFormat/>
    <w:uiPriority w:val="0"/>
  </w:style>
  <w:style w:type="paragraph" w:customStyle="1" w:styleId="22">
    <w:name w:val="纯文本1"/>
    <w:basedOn w:val="1"/>
    <w:qFormat/>
    <w:uiPriority w:val="0"/>
    <w:rPr>
      <w:rFonts w:ascii="宋体" w:hAnsi="Courier New" w:eastAsia="宋体" w:cs="Times New Roman"/>
      <w:szCs w:val="22"/>
    </w:rPr>
  </w:style>
  <w:style w:type="character" w:customStyle="1" w:styleId="23">
    <w:name w:val="16"/>
    <w:basedOn w:val="19"/>
    <w:qFormat/>
    <w:uiPriority w:val="0"/>
    <w:rPr>
      <w:rFonts w:hint="default" w:ascii="Times New Roman" w:hAnsi="Times New Roman" w:cs="Times New Roman"/>
      <w:b/>
      <w:bCs/>
      <w:sz w:val="32"/>
      <w:szCs w:val="32"/>
    </w:rPr>
  </w:style>
  <w:style w:type="paragraph" w:customStyle="1" w:styleId="24">
    <w:name w:val="Table Text"/>
    <w:basedOn w:val="1"/>
    <w:semiHidden/>
    <w:qFormat/>
    <w:uiPriority w:val="0"/>
    <w:rPr>
      <w:rFonts w:ascii="宋体" w:hAnsi="宋体" w:eastAsia="宋体" w:cs="宋体"/>
      <w:sz w:val="24"/>
      <w:szCs w:val="24"/>
      <w:lang w:val="en-US" w:eastAsia="en-US" w:bidi="ar-SA"/>
    </w:rPr>
  </w:style>
  <w:style w:type="table" w:customStyle="1" w:styleId="25">
    <w:name w:val="Table Normal"/>
    <w:unhideWhenUsed/>
    <w:qFormat/>
    <w:uiPriority w:val="0"/>
    <w:tblPr>
      <w:tblCellMar>
        <w:top w:w="0" w:type="dxa"/>
        <w:left w:w="0" w:type="dxa"/>
        <w:bottom w:w="0" w:type="dxa"/>
        <w:right w:w="0" w:type="dxa"/>
      </w:tblCellMar>
    </w:tblPr>
  </w:style>
  <w:style w:type="character" w:customStyle="1" w:styleId="26">
    <w:name w:val="NormalCharacter"/>
    <w:qFormat/>
    <w:uiPriority w:val="0"/>
  </w:style>
  <w:style w:type="paragraph" w:customStyle="1" w:styleId="27">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
    <w:name w:val="样式 标题 3 + (中文) 黑体 小四 非加粗 段前: 7.8 磅 段后: 0 磅 行距: 固定值 20 磅"/>
    <w:basedOn w:val="4"/>
    <w:qFormat/>
    <w:uiPriority w:val="0"/>
    <w:pPr>
      <w:spacing w:before="0" w:after="0" w:line="400" w:lineRule="exact"/>
      <w:jc w:val="both"/>
    </w:pPr>
    <w:rPr>
      <w:rFonts w:eastAsia="黑体" w:cs="宋体"/>
      <w:b w:val="0"/>
      <w:bCs w:val="0"/>
      <w:kern w:val="2"/>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675</Words>
  <Characters>767</Characters>
  <Lines>0</Lines>
  <Paragraphs>0</Paragraphs>
  <TotalTime>16</TotalTime>
  <ScaleCrop>false</ScaleCrop>
  <LinksUpToDate>false</LinksUpToDate>
  <CharactersWithSpaces>849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2025-09-24T04:36:00Z</dcterms:created>
  <dc:creator>Fearless·東</dc:creator>
  <cp:lastModifiedBy>Administrator</cp:lastModifiedBy>
  <dcterms:modified xsi:type="dcterms:W3CDTF">2025-12-26T01:33:07Z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1A09C6EE7CEF42CDBA9F843752507082_13</vt:lpwstr>
  </property>
  <property fmtid="{D5CDD505-2E9C-101B-9397-08002B2CF9AE}" pid="4" name="KSOTemplateDocerSaveRecord">
    <vt:lpwstr>eyJoZGlkIjoiYWJmNTAxYTA0NTllZTU0OWY5NWY0MWNlMzBjNGU2OTYiLCJ1c2VySWQiOiI4NzM5NzMwMTQifQ==</vt:lpwstr>
  </property>
</Properties>
</file>