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版本号：N510703202500013020250922001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涪城区石塘街道南山片区老旧厂区改造提升项目勘察、初设服务(二次)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N5107032025000130</w:t>
      </w:r>
    </w:p>
    <w:p>
      <w:pPr>
        <w:pStyle w:val="null3"/>
        <w:jc w:val="left"/>
        <w:outlineLvl w:val="2"/>
      </w:pPr>
      <w:r>
        <w:rPr>
          <w:rFonts w:ascii="仿宋_GB2312" w:hAnsi="仿宋_GB2312" w:cs="仿宋_GB2312" w:eastAsia="仿宋_GB2312"/>
          <w:sz w:val="28"/>
          <w:b/>
        </w:rPr>
        <w:t>绵阳市涪城区石塘街道办事处</w:t>
      </w:r>
    </w:p>
    <w:p>
      <w:pPr>
        <w:pStyle w:val="null3"/>
        <w:jc w:val="center"/>
        <w:outlineLvl w:val="2"/>
      </w:pPr>
      <w:r>
        <w:rPr>
          <w:rFonts w:ascii="仿宋_GB2312" w:hAnsi="仿宋_GB2312" w:cs="仿宋_GB2312" w:eastAsia="仿宋_GB2312"/>
          <w:sz w:val="28"/>
          <w:b/>
        </w:rPr>
        <w:t>四川兴凯杨科技咨询有限公司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四川兴凯杨科技咨询有限公司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绵阳市涪城区石塘街道办事处</w:t>
      </w:r>
      <w:r>
        <w:rPr>
          <w:rFonts w:ascii="仿宋_GB2312" w:hAnsi="仿宋_GB2312" w:cs="仿宋_GB2312" w:eastAsia="仿宋_GB2312"/>
        </w:rPr>
        <w:t xml:space="preserve"> 委托，拟对 </w:t>
      </w:r>
      <w:r>
        <w:rPr>
          <w:rFonts w:ascii="仿宋_GB2312" w:hAnsi="仿宋_GB2312" w:cs="仿宋_GB2312" w:eastAsia="仿宋_GB2312"/>
        </w:rPr>
        <w:t>涪城区石塘街道南山片区老旧厂区改造提升项目勘察、初设服务(二次)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绵阳市涪城区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N5107032025000130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涪城区石塘街道南山片区老旧厂区改造提升项目勘察、初设服务(二次)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勘察设计内容主要包括：绵阳市涪城区</w:t>
      </w:r>
      <w:r>
        <w:rPr>
          <w:rFonts w:ascii="仿宋_GB2312" w:hAnsi="仿宋_GB2312" w:cs="仿宋_GB2312" w:eastAsia="仿宋_GB2312"/>
          <w:sz w:val="21"/>
        </w:rPr>
        <w:t>126文化创意园区（原电子九所厂区）文创路等道路进行改造提升，主要包括:不低于5条市政道路，道路长度不低于</w:t>
      </w:r>
      <w:r>
        <w:rPr>
          <w:rFonts w:ascii="仿宋_GB2312" w:hAnsi="仿宋_GB2312" w:cs="仿宋_GB2312" w:eastAsia="仿宋_GB2312"/>
          <w:sz w:val="21"/>
        </w:rPr>
        <w:t>3k</w:t>
      </w:r>
      <w:r>
        <w:rPr>
          <w:rFonts w:ascii="仿宋_GB2312" w:hAnsi="仿宋_GB2312" w:cs="仿宋_GB2312" w:eastAsia="仿宋_GB2312"/>
          <w:sz w:val="21"/>
        </w:rPr>
        <w:t>m，道路面积不低于15000平方米</w:t>
      </w:r>
      <w:r>
        <w:rPr>
          <w:rFonts w:ascii="仿宋_GB2312" w:hAnsi="仿宋_GB2312" w:cs="仿宋_GB2312" w:eastAsia="仿宋_GB2312"/>
          <w:sz w:val="21"/>
        </w:rPr>
        <w:t>。</w:t>
      </w:r>
      <w:r>
        <w:rPr>
          <w:rFonts w:ascii="仿宋_GB2312" w:hAnsi="仿宋_GB2312" w:cs="仿宋_GB2312" w:eastAsia="仿宋_GB2312"/>
          <w:sz w:val="21"/>
        </w:rPr>
        <w:t>改建停车场</w:t>
      </w:r>
      <w:r>
        <w:rPr>
          <w:rFonts w:ascii="仿宋_GB2312" w:hAnsi="仿宋_GB2312" w:cs="仿宋_GB2312" w:eastAsia="仿宋_GB2312"/>
          <w:sz w:val="21"/>
        </w:rPr>
        <w:t>不低于</w:t>
      </w:r>
      <w:r>
        <w:rPr>
          <w:rFonts w:ascii="仿宋_GB2312" w:hAnsi="仿宋_GB2312" w:cs="仿宋_GB2312" w:eastAsia="仿宋_GB2312"/>
          <w:sz w:val="21"/>
        </w:rPr>
        <w:t>3</w:t>
      </w:r>
      <w:r>
        <w:rPr>
          <w:rFonts w:ascii="仿宋_GB2312" w:hAnsi="仿宋_GB2312" w:cs="仿宋_GB2312" w:eastAsia="仿宋_GB2312"/>
          <w:sz w:val="21"/>
        </w:rPr>
        <w:t>处，农贸市场改造，垃圾房改造，配套消防、雨污水管网改造，长度不低于</w:t>
      </w:r>
      <w:r>
        <w:rPr>
          <w:rFonts w:ascii="仿宋_GB2312" w:hAnsi="仿宋_GB2312" w:cs="仿宋_GB2312" w:eastAsia="仿宋_GB2312"/>
          <w:sz w:val="21"/>
        </w:rPr>
        <w:t>2000米</w:t>
      </w:r>
      <w:r>
        <w:rPr>
          <w:rFonts w:ascii="仿宋_GB2312" w:hAnsi="仿宋_GB2312" w:cs="仿宋_GB2312" w:eastAsia="仿宋_GB2312"/>
          <w:sz w:val="21"/>
        </w:rPr>
        <w:t>。包括</w:t>
      </w:r>
      <w:r>
        <w:rPr>
          <w:rFonts w:ascii="仿宋_GB2312" w:hAnsi="仿宋_GB2312" w:cs="仿宋_GB2312" w:eastAsia="仿宋_GB2312"/>
          <w:sz w:val="21"/>
        </w:rPr>
        <w:t>项目的</w:t>
      </w:r>
      <w:r>
        <w:rPr>
          <w:rFonts w:ascii="仿宋_GB2312" w:hAnsi="仿宋_GB2312" w:cs="仿宋_GB2312" w:eastAsia="仿宋_GB2312"/>
          <w:sz w:val="21"/>
        </w:rPr>
        <w:t>勘察，方案设计（含效果图）、初步设计（含概算）</w:t>
      </w:r>
      <w:r>
        <w:rPr>
          <w:rFonts w:ascii="仿宋_GB2312" w:hAnsi="仿宋_GB2312" w:cs="仿宋_GB2312" w:eastAsia="仿宋_GB2312"/>
          <w:sz w:val="21"/>
        </w:rPr>
        <w: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1、特定资格要求（描述：（1）供应商具有行政主管部门核发的有效的工程勘察专业类（岩土工程（勘察））乙级及以上资质，和具有工程设计市政行业（道路工程）专业乙级及以上资质。 （2）四川省省外的企业应提供有效的《入川备案登记证》或《四川省省外建筑企业入川承揽业务验证登记证》证书。）</w:t>
      </w:r>
    </w:p>
    <w:p>
      <w:pPr>
        <w:pStyle w:val="null3"/>
        <w:jc w:val="left"/>
      </w:pPr>
      <w:r>
        <w:rPr>
          <w:rFonts w:ascii="仿宋_GB2312" w:hAnsi="仿宋_GB2312" w:cs="仿宋_GB2312" w:eastAsia="仿宋_GB2312"/>
        </w:rPr>
        <w:t>2、本项目接受联合体磋商（描述：本项目接受联合体磋商，①供应商以联合体形式参加采购活动的，联合体各方均应具备《中华人民共和国政府采购法》第二十二条第一款中规定的供应商资格条件；按照联合体分工承担相同工作的，还应同时满足磋商文件规定的特殊资格要求条件；按照联合体分工承担不同工作的，则牵头单位及成员不需同时具备磋商文件规定的特殊资格要求条件，但组成的联合体需具备磋商文件规定的特殊资格要求条件。②联合体成员必须签订联合体协议，并明确各联合体成员单位所承担的项目服务范围、项目服务内容、责任和权利。已组成联合体的单位不能再与其他单位组成联合体参加磋商，联合体成员不得超过2家，企业集团母、子公司不得分别组成联合体磋商）。）</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绵阳市涪城区石塘街道办事处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绵阳市涪城区瓦店南路6号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13398354712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四川兴凯杨科技咨询有限公司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绵阳市涪城区御中路66号毅德商贸城B区上层25栋15号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15378238550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采购包1：364,877.00元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费用按照发改价格[2015]299文件执行，实行市场调节价，本项目按成交金额1.5%收取，不足5000元按5000元收取，由成交供应商领取成交通知书前向采购代理机构一次性付清。方式1：采取银行转账 户名：四川兴凯杨科技咨询有限公司 账号：10041900000817 开户行：绵阳市商业银行经济技术开发区支行 行号：313659010046 方式2：采取现金形式 注：两种方式任选其一。</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绵阳市涪城区石塘街道办事处</w:t>
      </w:r>
      <w:r>
        <w:rPr>
          <w:rFonts w:ascii="仿宋_GB2312" w:hAnsi="仿宋_GB2312" w:cs="仿宋_GB2312" w:eastAsia="仿宋_GB2312"/>
        </w:rPr>
        <w:t xml:space="preserve"> 和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绵阳市涪城区石塘街道办事处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四川兴凯杨科技咨询有限公司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以技术要求为准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以商务要求为准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绵阳市财政局关于进一步加强履约验收工作通知》（绵财采〔2021〕15号）的要求及行业相关标准的规定以及本项目《竞争性磋商文件》、成交供应商《响应文件》、合同签订相关约定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四川兴凯杨科技咨询有限公司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联系人：谢丹</w:t>
      </w:r>
    </w:p>
    <w:p>
      <w:pPr>
        <w:pStyle w:val="null3"/>
        <w:jc w:val="left"/>
      </w:pPr>
      <w:r>
        <w:rPr>
          <w:rFonts w:ascii="仿宋_GB2312" w:hAnsi="仿宋_GB2312" w:cs="仿宋_GB2312" w:eastAsia="仿宋_GB2312"/>
        </w:rPr>
        <w:t>联系电话：15378238550</w:t>
      </w:r>
    </w:p>
    <w:p>
      <w:pPr>
        <w:pStyle w:val="null3"/>
        <w:jc w:val="left"/>
      </w:pPr>
      <w:r>
        <w:rPr>
          <w:rFonts w:ascii="仿宋_GB2312" w:hAnsi="仿宋_GB2312" w:cs="仿宋_GB2312" w:eastAsia="仿宋_GB2312"/>
        </w:rPr>
        <w:t>地址：四川省绵阳市涪城区御中路66号毅德商贸城B区上层25栋15号（153.78238550）</w:t>
      </w:r>
    </w:p>
    <w:p>
      <w:pPr>
        <w:pStyle w:val="null3"/>
        <w:jc w:val="left"/>
      </w:pPr>
      <w:r>
        <w:rPr>
          <w:rFonts w:ascii="仿宋_GB2312" w:hAnsi="仿宋_GB2312" w:cs="仿宋_GB2312" w:eastAsia="仿宋_GB2312"/>
        </w:rPr>
        <w:t>邮编：621000注：本项目接受供应商正常渠道的维权救济。采取邮寄方式递交的质疑材料应当符合法律法规的要求，特此提醒：邮寄资料时间应合理推进，若存在人为误导、破坏或故意延长送达时间导致对采购活动的正常开展造成不利影响或严重后果，我方可视为存在恶意质疑，将向相关监督管理部门汇报，依法予以处理。）</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364,877.00</w:t>
      </w:r>
    </w:p>
    <w:p>
      <w:pPr>
        <w:pStyle w:val="null3"/>
        <w:jc w:val="left"/>
      </w:pPr>
      <w:r>
        <w:rPr>
          <w:rFonts w:ascii="仿宋_GB2312" w:hAnsi="仿宋_GB2312" w:cs="仿宋_GB2312" w:eastAsia="仿宋_GB2312"/>
        </w:rPr>
        <w:t>采购包最高限价（元）: 364,877.00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石塘街道南山社区老旧厂区改造更新工程勘察、初设服务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364,877.00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石塘街道南山社区老旧厂区改造更新工程勘察、初设服务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364,877.00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超过最高限价的报价为无效报价。本项目报价服务费实行项目包干制，包干内容：人工费、服务费、管理费、保险、福利奖金、网络费、设施设备费、食宿费、交通费、税费、社会保险、意外保险及各种补贴、日常加班费、行政管理费以及采购代理费服务费等、超支不补，费用包干。</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标的名称：石塘街道南山社区老旧厂区改造更新工程勘察、初设服务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服务依据：服务成果按照《岩土工程勘察规范》《工程勘察通用规范》《建筑与市政工程抗震通用规范》《建筑与市政地基基础通用规范》《岩土工程勘察规范》《建设工程勘察设计管理条例》《民用建筑设计统一标准》《建筑防火通用规范》《建筑设计防火规范》《建筑与市政工程无障碍通用规范》《建筑与市政工程防水通用规范》《无障碍设计规范》等相关法律规范要求编制。在勘察、设计过程中，如遇国家或有关部委颁发了新的技术标准或规范，则成交供应商应采用新的标准或规范进行编制。</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2）按照国家强制性标准，参考现行国家和行业标准、规范及暂行规定进行勘察、初步设计。</w:t>
            </w:r>
          </w:p>
          <w:p>
            <w:pPr>
              <w:pStyle w:val="null3"/>
              <w:jc w:val="both"/>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1）针对绵阳市涪城区126文化创意园区（原电子九所厂区）文创路等道路进行改造提升，主要包括:不低于5条市政道路，道路长度不低于</w:t>
            </w:r>
            <w:r>
              <w:rPr>
                <w:rFonts w:ascii="仿宋_GB2312" w:hAnsi="仿宋_GB2312" w:cs="仿宋_GB2312" w:eastAsia="仿宋_GB2312"/>
                <w:sz w:val="24"/>
              </w:rPr>
              <w:t>3k</w:t>
            </w:r>
            <w:r>
              <w:rPr>
                <w:rFonts w:ascii="仿宋_GB2312" w:hAnsi="仿宋_GB2312" w:cs="仿宋_GB2312" w:eastAsia="仿宋_GB2312"/>
                <w:sz w:val="24"/>
              </w:rPr>
              <w:t>m，道路面积不低于15000平方米。改建停车场不低于3处，农贸市场改造，垃圾房改造，配套消防、雨污水管网改造，长度不低于</w:t>
            </w:r>
            <w:r>
              <w:rPr>
                <w:rFonts w:ascii="仿宋_GB2312" w:hAnsi="仿宋_GB2312" w:cs="仿宋_GB2312" w:eastAsia="仿宋_GB2312"/>
                <w:sz w:val="24"/>
              </w:rPr>
              <w:t>2000米等建设内容进行</w:t>
            </w:r>
            <w:r>
              <w:rPr>
                <w:rFonts w:ascii="仿宋_GB2312" w:hAnsi="仿宋_GB2312" w:cs="仿宋_GB2312" w:eastAsia="仿宋_GB2312"/>
                <w:sz w:val="24"/>
              </w:rPr>
              <w:t>工程勘察任务并制作初步设计文件，勘察、初步设计内容和深度应满足政府及相关部门规定；</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2）配合采购人进行各部门的报审工作，并负责有关解释和修改，直至初步设计审查通过。保证设计深度和设计文件质量，保证工程设计通过有关部门的审核，具体设计范围及内容以建设单位实际要求的为准，并配合采购人完成项目的设计审批及招标控制价的评审以及项目完工之前需要设计配合的所有工作。</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3）编制初步设计设计概算，深度满足采购人及相关部门的要求，通过有关部门批准。</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4）检查资料的完整、合规性。在服务期内，提供成果的完整性、准确性出现重大漏项和误差时，供应商须承担由此带来的损失。</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5）供应商须严格按照采购人规定的时间完成相应工作。</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6）质量要求：报告编制按相关编制规范及法律法规规定，执行国家有关工程建设标准强制性条文、中华人民共和国国家标准及其他部委颁布的有关建筑工程勘察设计等方面现行的标准、规范、规程、定额、办法、示例，以及建设部、四川省建设厅下发的有关建设工程勘察设计方面的文件和规定。</w:t>
            </w:r>
          </w:p>
          <w:p>
            <w:pPr>
              <w:pStyle w:val="null3"/>
              <w:ind w:firstLine="464"/>
              <w:jc w:val="both"/>
            </w:pPr>
            <w:r>
              <w:rPr>
                <w:rFonts w:ascii="仿宋_GB2312" w:hAnsi="仿宋_GB2312" w:cs="仿宋_GB2312" w:eastAsia="仿宋_GB2312"/>
                <w:sz w:val="24"/>
              </w:rPr>
              <w:t>（</w:t>
            </w:r>
            <w:r>
              <w:rPr>
                <w:rFonts w:ascii="仿宋_GB2312" w:hAnsi="仿宋_GB2312" w:cs="仿宋_GB2312" w:eastAsia="仿宋_GB2312"/>
                <w:sz w:val="24"/>
              </w:rPr>
              <w:t>7）成果要求：</w:t>
            </w:r>
          </w:p>
          <w:p>
            <w:pPr>
              <w:pStyle w:val="null3"/>
              <w:ind w:firstLine="464"/>
              <w:jc w:val="both"/>
            </w:pPr>
            <w:r>
              <w:rPr>
                <w:rFonts w:ascii="仿宋_GB2312" w:hAnsi="仿宋_GB2312" w:cs="仿宋_GB2312" w:eastAsia="仿宋_GB2312"/>
                <w:sz w:val="24"/>
              </w:rPr>
              <w:t>7.1纸质版要求：6份；电子版要求：</w:t>
            </w:r>
            <w:r>
              <w:rPr>
                <w:rFonts w:ascii="仿宋_GB2312" w:hAnsi="仿宋_GB2312" w:cs="仿宋_GB2312" w:eastAsia="仿宋_GB2312"/>
                <w:sz w:val="24"/>
              </w:rPr>
              <w:t>4</w:t>
            </w:r>
            <w:r>
              <w:rPr>
                <w:rFonts w:ascii="仿宋_GB2312" w:hAnsi="仿宋_GB2312" w:cs="仿宋_GB2312" w:eastAsia="仿宋_GB2312"/>
                <w:sz w:val="24"/>
              </w:rPr>
              <w:t>份（</w:t>
            </w:r>
            <w:r>
              <w:rPr>
                <w:rFonts w:ascii="仿宋_GB2312" w:hAnsi="仿宋_GB2312" w:cs="仿宋_GB2312" w:eastAsia="仿宋_GB2312"/>
                <w:sz w:val="24"/>
              </w:rPr>
              <w:t>PDF和CAD版本各一套）；符合国家、行业、项目所在地的规范要求。</w:t>
            </w:r>
          </w:p>
          <w:p>
            <w:pPr>
              <w:pStyle w:val="null3"/>
              <w:ind w:firstLine="464"/>
              <w:jc w:val="both"/>
            </w:pPr>
            <w:r>
              <w:rPr>
                <w:rFonts w:ascii="仿宋_GB2312" w:hAnsi="仿宋_GB2312" w:cs="仿宋_GB2312" w:eastAsia="仿宋_GB2312"/>
                <w:sz w:val="24"/>
              </w:rPr>
              <w:t>7.2成果资料应符合采购单位验收要求，并顺利通过相关部门审核；</w:t>
            </w:r>
          </w:p>
          <w:p>
            <w:pPr>
              <w:pStyle w:val="null3"/>
              <w:ind w:firstLine="464"/>
              <w:jc w:val="both"/>
            </w:pPr>
            <w:r>
              <w:rPr>
                <w:rFonts w:ascii="仿宋_GB2312" w:hAnsi="仿宋_GB2312" w:cs="仿宋_GB2312" w:eastAsia="仿宋_GB2312"/>
                <w:sz w:val="24"/>
              </w:rPr>
              <w:t>7.3供应商所有成果资料所有权归业主方所有。供应商整体移交本项目相关资料，供应商不得收取除成交金额外的任何费用。</w:t>
            </w:r>
          </w:p>
          <w:p>
            <w:pPr>
              <w:pStyle w:val="null3"/>
              <w:ind w:firstLine="464"/>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8</w:t>
            </w:r>
            <w:r>
              <w:rPr>
                <w:rFonts w:ascii="仿宋_GB2312" w:hAnsi="仿宋_GB2312" w:cs="仿宋_GB2312" w:eastAsia="仿宋_GB2312"/>
                <w:sz w:val="24"/>
                <w:shd w:fill="FFFFFF" w:val="clear"/>
              </w:rPr>
              <w:t>）设计成果资料的形成必须到实施现场踏勘和实测，同时要听取采购人的意见，并结合现场实际情况进行设计，保证形成的图件和数量真实性、科学性、合理性且具有可操作性，确保能做到按图</w:t>
            </w:r>
            <w:r>
              <w:rPr>
                <w:rFonts w:ascii="仿宋_GB2312" w:hAnsi="仿宋_GB2312" w:cs="仿宋_GB2312" w:eastAsia="仿宋_GB2312"/>
                <w:sz w:val="24"/>
                <w:shd w:fill="FFFFFF" w:val="clear"/>
              </w:rPr>
              <w:t>实施</w:t>
            </w:r>
            <w:r>
              <w:rPr>
                <w:rFonts w:ascii="仿宋_GB2312" w:hAnsi="仿宋_GB2312" w:cs="仿宋_GB2312" w:eastAsia="仿宋_GB2312"/>
                <w:sz w:val="24"/>
                <w:shd w:fill="FFFFFF" w:val="clear"/>
              </w:rPr>
              <w:t>。</w:t>
            </w:r>
          </w:p>
          <w:p>
            <w:pPr>
              <w:pStyle w:val="null3"/>
              <w:ind w:firstLine="464"/>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9</w:t>
            </w:r>
            <w:r>
              <w:rPr>
                <w:rFonts w:ascii="仿宋_GB2312" w:hAnsi="仿宋_GB2312" w:cs="仿宋_GB2312" w:eastAsia="仿宋_GB2312"/>
                <w:sz w:val="24"/>
                <w:shd w:fill="FFFFFF" w:val="clear"/>
              </w:rPr>
              <w:t>）在项目施工周期全过程内提供相关咨询、配合等后续技术服务工作。</w:t>
            </w:r>
          </w:p>
          <w:p>
            <w:pPr>
              <w:pStyle w:val="null3"/>
              <w:ind w:firstLine="464"/>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10</w:t>
            </w:r>
            <w:r>
              <w:rPr>
                <w:rFonts w:ascii="仿宋_GB2312" w:hAnsi="仿宋_GB2312" w:cs="仿宋_GB2312" w:eastAsia="仿宋_GB2312"/>
                <w:sz w:val="24"/>
                <w:shd w:fill="FFFFFF" w:val="clear"/>
              </w:rPr>
              <w:t>）成交供应商应至少派驻</w:t>
            </w:r>
            <w:r>
              <w:rPr>
                <w:rFonts w:ascii="仿宋_GB2312" w:hAnsi="仿宋_GB2312" w:cs="仿宋_GB2312" w:eastAsia="仿宋_GB2312"/>
                <w:sz w:val="24"/>
                <w:shd w:fill="FFFFFF" w:val="clear"/>
              </w:rPr>
              <w:t>2名设计单位代表驻场指导改造</w:t>
            </w:r>
            <w:r>
              <w:rPr>
                <w:rFonts w:ascii="仿宋_GB2312" w:hAnsi="仿宋_GB2312" w:cs="仿宋_GB2312" w:eastAsia="仿宋_GB2312"/>
                <w:sz w:val="24"/>
                <w:shd w:fill="FFFFFF" w:val="clear"/>
              </w:rPr>
              <w:t>并</w:t>
            </w:r>
            <w:r>
              <w:rPr>
                <w:rFonts w:ascii="仿宋_GB2312" w:hAnsi="仿宋_GB2312" w:cs="仿宋_GB2312" w:eastAsia="仿宋_GB2312"/>
                <w:sz w:val="24"/>
                <w:shd w:fill="FFFFFF" w:val="clear"/>
              </w:rPr>
              <w:t>配合施工及其施工过程中可能产生的</w:t>
            </w:r>
            <w:r>
              <w:rPr>
                <w:rFonts w:ascii="仿宋_GB2312" w:hAnsi="仿宋_GB2312" w:cs="仿宋_GB2312" w:eastAsia="仿宋_GB2312"/>
                <w:sz w:val="24"/>
                <w:shd w:fill="FFFFFF" w:val="clear"/>
              </w:rPr>
              <w:t>相关</w:t>
            </w:r>
            <w:r>
              <w:rPr>
                <w:rFonts w:ascii="仿宋_GB2312" w:hAnsi="仿宋_GB2312" w:cs="仿宋_GB2312" w:eastAsia="仿宋_GB2312"/>
                <w:sz w:val="24"/>
                <w:shd w:fill="FFFFFF" w:val="clear"/>
              </w:rPr>
              <w:t>工作</w:t>
            </w:r>
            <w:r>
              <w:rPr>
                <w:rFonts w:ascii="仿宋_GB2312" w:hAnsi="仿宋_GB2312" w:cs="仿宋_GB2312" w:eastAsia="仿宋_GB2312"/>
                <w:sz w:val="24"/>
                <w:shd w:fill="FFFFFF" w:val="clear"/>
              </w:rPr>
              <w:t>(根据采购人要求派驻人员)。</w:t>
            </w:r>
          </w:p>
          <w:p>
            <w:pPr>
              <w:pStyle w:val="null3"/>
              <w:ind w:firstLine="464"/>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）成交供应商应充分保证人员的履职情况，若因人员履职不到位引起的工作推进不力，采购人有权对成交供应商进行处罚，具体处罚额度根据实际情况而定，按</w:t>
            </w:r>
            <w:r>
              <w:rPr>
                <w:rFonts w:ascii="仿宋_GB2312" w:hAnsi="仿宋_GB2312" w:cs="仿宋_GB2312" w:eastAsia="仿宋_GB2312"/>
                <w:sz w:val="24"/>
                <w:shd w:fill="FFFFFF" w:val="clear"/>
              </w:rPr>
              <w:t>1000-5000元/人/次进行处罚，最多可扣除合同总金额的10%，该部分罚款在合同总金额中进行扣除。</w:t>
            </w:r>
          </w:p>
          <w:p>
            <w:pPr>
              <w:pStyle w:val="null3"/>
              <w:spacing w:after="120"/>
              <w:ind w:firstLine="464"/>
              <w:jc w:val="both"/>
            </w:pPr>
            <w:r>
              <w:rPr>
                <w:rFonts w:ascii="仿宋_GB2312" w:hAnsi="仿宋_GB2312" w:cs="仿宋_GB2312" w:eastAsia="仿宋_GB2312"/>
                <w:sz w:val="24"/>
              </w:rPr>
              <w:t>（</w:t>
            </w:r>
            <w:r>
              <w:rPr>
                <w:rFonts w:ascii="仿宋_GB2312" w:hAnsi="仿宋_GB2312" w:cs="仿宋_GB2312" w:eastAsia="仿宋_GB2312"/>
                <w:sz w:val="24"/>
              </w:rPr>
              <w:t>12</w:t>
            </w:r>
            <w:r>
              <w:rPr>
                <w:rFonts w:ascii="仿宋_GB2312" w:hAnsi="仿宋_GB2312" w:cs="仿宋_GB2312" w:eastAsia="仿宋_GB2312"/>
                <w:sz w:val="24"/>
              </w:rPr>
              <w:t>）其他要求：</w:t>
            </w:r>
          </w:p>
          <w:p>
            <w:pPr>
              <w:pStyle w:val="null3"/>
              <w:ind w:firstLine="696"/>
              <w:jc w:val="both"/>
            </w:pPr>
            <w:r>
              <w:rPr>
                <w:rFonts w:ascii="仿宋_GB2312" w:hAnsi="仿宋_GB2312" w:cs="仿宋_GB2312" w:eastAsia="仿宋_GB2312"/>
                <w:sz w:val="24"/>
              </w:rPr>
              <w:t>12</w:t>
            </w:r>
            <w:r>
              <w:rPr>
                <w:rFonts w:ascii="仿宋_GB2312" w:hAnsi="仿宋_GB2312" w:cs="仿宋_GB2312" w:eastAsia="仿宋_GB2312"/>
                <w:sz w:val="24"/>
              </w:rPr>
              <w:t>.1安全责任：成交供应商自履行本项目之日起至竣工验收合格之日止包括但不限于人身安全、财产安全、环境安全等责任，因服务过程中造成的直接或间接损失，一切责任及损失均由成交供应商自行承担，采购人不承担任何责任。</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4"/>
              </w:rPr>
              <w:t>12</w:t>
            </w:r>
            <w:r>
              <w:rPr>
                <w:rFonts w:ascii="仿宋_GB2312" w:hAnsi="仿宋_GB2312" w:cs="仿宋_GB2312" w:eastAsia="仿宋_GB2312"/>
                <w:sz w:val="24"/>
              </w:rPr>
              <w:t>.2本项目不组织现场踏勘，供应商根据自身情况考虑是否自行踏勘，由此产生的风险和责任由投标人自行承担。</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sz w:val="24"/>
              </w:rPr>
              <w:t>1.本采购需求是采购人期望获得供应商在满足基本采购需求基础之上更优化的需求，供应商为采购人提供更加优质的合同履约质量。供应商可以根据自身情况据实提供，未提供不会导致投标无效，但会影响其综合评审情况，有关情况，详见评分标准。</w:t>
            </w:r>
          </w:p>
          <w:p>
            <w:pPr>
              <w:pStyle w:val="null3"/>
              <w:jc w:val="left"/>
            </w:pPr>
            <w:r>
              <w:rPr>
                <w:rFonts w:ascii="仿宋_GB2312" w:hAnsi="仿宋_GB2312" w:cs="仿宋_GB2312" w:eastAsia="仿宋_GB2312"/>
                <w:sz w:val="24"/>
              </w:rPr>
              <w:t>2.供应商应当按照磋商文件的技术要求、服务内容逐条响应。</w:t>
            </w:r>
          </w:p>
          <w:p>
            <w:pPr>
              <w:pStyle w:val="null3"/>
              <w:jc w:val="left"/>
            </w:pPr>
            <w:r>
              <w:rPr>
                <w:rFonts w:ascii="仿宋_GB2312" w:hAnsi="仿宋_GB2312" w:cs="仿宋_GB2312" w:eastAsia="仿宋_GB2312"/>
              </w:rPr>
              <w:t>3.</w:t>
            </w:r>
            <w:r>
              <w:rPr>
                <w:rFonts w:ascii="仿宋_GB2312" w:hAnsi="仿宋_GB2312" w:cs="仿宋_GB2312" w:eastAsia="仿宋_GB2312"/>
                <w:sz w:val="24"/>
                <w:color w:val="FF0000"/>
              </w:rPr>
              <w:t>（</w:t>
            </w:r>
            <w:r>
              <w:rPr>
                <w:rFonts w:ascii="仿宋_GB2312" w:hAnsi="仿宋_GB2312" w:cs="仿宋_GB2312" w:eastAsia="仿宋_GB2312"/>
                <w:sz w:val="24"/>
                <w:color w:val="FF0000"/>
              </w:rPr>
              <w:t>勘察服务方案</w:t>
            </w:r>
            <w:r>
              <w:rPr>
                <w:rFonts w:ascii="仿宋_GB2312" w:hAnsi="仿宋_GB2312" w:cs="仿宋_GB2312" w:eastAsia="仿宋_GB2312"/>
                <w:sz w:val="24"/>
                <w:color w:val="FF0000"/>
              </w:rPr>
              <w:t>）</w:t>
            </w:r>
            <w:r>
              <w:rPr>
                <w:rFonts w:ascii="仿宋_GB2312" w:hAnsi="仿宋_GB2312" w:cs="仿宋_GB2312" w:eastAsia="仿宋_GB2312"/>
                <w:sz w:val="24"/>
              </w:rPr>
              <w:t>供应商</w:t>
            </w:r>
            <w:r>
              <w:rPr>
                <w:rFonts w:ascii="仿宋_GB2312" w:hAnsi="仿宋_GB2312" w:cs="仿宋_GB2312" w:eastAsia="仿宋_GB2312"/>
                <w:sz w:val="24"/>
              </w:rPr>
              <w:t>针对本项目提供</w:t>
            </w:r>
            <w:r>
              <w:rPr>
                <w:rFonts w:ascii="仿宋_GB2312" w:hAnsi="仿宋_GB2312" w:cs="仿宋_GB2312" w:eastAsia="仿宋_GB2312"/>
                <w:sz w:val="24"/>
              </w:rPr>
              <w:t>服务方案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①</w:t>
            </w:r>
            <w:r>
              <w:rPr>
                <w:rFonts w:ascii="仿宋_GB2312" w:hAnsi="仿宋_GB2312" w:cs="仿宋_GB2312" w:eastAsia="仿宋_GB2312"/>
                <w:sz w:val="24"/>
              </w:rPr>
              <w:t>勘察工作质量保</w:t>
            </w:r>
            <w:r>
              <w:rPr>
                <w:rFonts w:ascii="仿宋_GB2312" w:hAnsi="仿宋_GB2312" w:cs="仿宋_GB2312" w:eastAsia="仿宋_GB2312"/>
                <w:sz w:val="24"/>
              </w:rPr>
              <w:t>障</w:t>
            </w:r>
            <w:r>
              <w:rPr>
                <w:rFonts w:ascii="仿宋_GB2312" w:hAnsi="仿宋_GB2312" w:cs="仿宋_GB2312" w:eastAsia="仿宋_GB2312"/>
                <w:sz w:val="24"/>
              </w:rPr>
              <w:t>措施</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勘察工期进度保证措施</w:t>
            </w:r>
            <w:r>
              <w:rPr>
                <w:rFonts w:ascii="仿宋_GB2312" w:hAnsi="仿宋_GB2312" w:cs="仿宋_GB2312" w:eastAsia="仿宋_GB2312"/>
                <w:sz w:val="24"/>
              </w:rPr>
              <w:t>；</w:t>
            </w:r>
            <w:r>
              <w:rPr>
                <w:rFonts w:ascii="仿宋_GB2312" w:hAnsi="仿宋_GB2312" w:cs="仿宋_GB2312" w:eastAsia="仿宋_GB2312"/>
                <w:sz w:val="24"/>
              </w:rPr>
              <w:t>③</w:t>
            </w:r>
            <w:r>
              <w:rPr>
                <w:rFonts w:ascii="仿宋_GB2312" w:hAnsi="仿宋_GB2312" w:cs="仿宋_GB2312" w:eastAsia="仿宋_GB2312"/>
                <w:sz w:val="24"/>
              </w:rPr>
              <w:t>勘察</w:t>
            </w:r>
            <w:r>
              <w:rPr>
                <w:rFonts w:ascii="仿宋_GB2312" w:hAnsi="仿宋_GB2312" w:cs="仿宋_GB2312" w:eastAsia="仿宋_GB2312"/>
                <w:sz w:val="24"/>
              </w:rPr>
              <w:t>工作重点、难点分析</w:t>
            </w:r>
            <w:r>
              <w:rPr>
                <w:rFonts w:ascii="仿宋_GB2312" w:hAnsi="仿宋_GB2312" w:cs="仿宋_GB2312" w:eastAsia="仿宋_GB2312"/>
                <w:sz w:val="24"/>
              </w:rPr>
              <w:t>；</w:t>
            </w:r>
            <w:r>
              <w:rPr>
                <w:rFonts w:ascii="仿宋_GB2312" w:hAnsi="仿宋_GB2312" w:cs="仿宋_GB2312" w:eastAsia="仿宋_GB2312"/>
                <w:sz w:val="24"/>
              </w:rPr>
              <w:t>④</w:t>
            </w:r>
            <w:r>
              <w:rPr>
                <w:rFonts w:ascii="仿宋_GB2312" w:hAnsi="仿宋_GB2312" w:cs="仿宋_GB2312" w:eastAsia="仿宋_GB2312"/>
                <w:sz w:val="24"/>
              </w:rPr>
              <w:t>勘察</w:t>
            </w:r>
            <w:r>
              <w:rPr>
                <w:rFonts w:ascii="仿宋_GB2312" w:hAnsi="仿宋_GB2312" w:cs="仿宋_GB2312" w:eastAsia="仿宋_GB2312"/>
                <w:sz w:val="24"/>
              </w:rPr>
              <w:t>机构设置和岗位职责</w:t>
            </w:r>
            <w:r>
              <w:rPr>
                <w:rFonts w:ascii="仿宋_GB2312" w:hAnsi="仿宋_GB2312" w:cs="仿宋_GB2312" w:eastAsia="仿宋_GB2312"/>
                <w:sz w:val="24"/>
              </w:rPr>
              <w:t>；</w:t>
            </w:r>
            <w:r>
              <w:rPr>
                <w:rFonts w:ascii="仿宋_GB2312" w:hAnsi="仿宋_GB2312" w:cs="仿宋_GB2312" w:eastAsia="仿宋_GB2312"/>
                <w:sz w:val="24"/>
              </w:rPr>
              <w:t>⑤</w:t>
            </w:r>
            <w:r>
              <w:rPr>
                <w:rFonts w:ascii="仿宋_GB2312" w:hAnsi="仿宋_GB2312" w:cs="仿宋_GB2312" w:eastAsia="仿宋_GB2312"/>
                <w:sz w:val="24"/>
              </w:rPr>
              <w:t>勘察</w:t>
            </w:r>
            <w:r>
              <w:rPr>
                <w:rFonts w:ascii="仿宋_GB2312" w:hAnsi="仿宋_GB2312" w:cs="仿宋_GB2312" w:eastAsia="仿宋_GB2312"/>
                <w:sz w:val="24"/>
              </w:rPr>
              <w:t>本项目</w:t>
            </w:r>
            <w:r>
              <w:rPr>
                <w:rFonts w:ascii="仿宋_GB2312" w:hAnsi="仿宋_GB2312" w:cs="仿宋_GB2312" w:eastAsia="仿宋_GB2312"/>
                <w:sz w:val="24"/>
              </w:rPr>
              <w:t>合理化建议</w:t>
            </w:r>
            <w:r>
              <w:rPr>
                <w:rFonts w:ascii="仿宋_GB2312" w:hAnsi="仿宋_GB2312" w:cs="仿宋_GB2312" w:eastAsia="仿宋_GB2312"/>
                <w:sz w:val="24"/>
              </w:rPr>
              <w:t>；</w:t>
            </w:r>
            <w:r>
              <w:rPr>
                <w:rFonts w:ascii="仿宋_GB2312" w:hAnsi="仿宋_GB2312" w:cs="仿宋_GB2312" w:eastAsia="仿宋_GB2312"/>
                <w:sz w:val="24"/>
              </w:rPr>
              <w:t>⑥</w:t>
            </w:r>
            <w:r>
              <w:rPr>
                <w:rFonts w:ascii="仿宋_GB2312" w:hAnsi="仿宋_GB2312" w:cs="仿宋_GB2312" w:eastAsia="仿宋_GB2312"/>
                <w:sz w:val="24"/>
              </w:rPr>
              <w:t>勘察</w:t>
            </w:r>
            <w:r>
              <w:rPr>
                <w:rFonts w:ascii="仿宋_GB2312" w:hAnsi="仿宋_GB2312" w:cs="仿宋_GB2312" w:eastAsia="仿宋_GB2312"/>
                <w:sz w:val="24"/>
              </w:rPr>
              <w:t>工作协调措施</w:t>
            </w:r>
            <w:r>
              <w:rPr>
                <w:rFonts w:ascii="仿宋_GB2312" w:hAnsi="仿宋_GB2312" w:cs="仿宋_GB2312" w:eastAsia="仿宋_GB2312"/>
                <w:sz w:val="24"/>
              </w:rPr>
              <w:t>。</w:t>
            </w:r>
            <w:r>
              <w:rPr>
                <w:rFonts w:ascii="仿宋_GB2312" w:hAnsi="仿宋_GB2312" w:cs="仿宋_GB2312" w:eastAsia="仿宋_GB2312"/>
                <w:sz w:val="24"/>
                <w:color w:val="FF0000"/>
              </w:rPr>
              <w:t>（</w:t>
            </w:r>
            <w:r>
              <w:rPr>
                <w:rFonts w:ascii="仿宋_GB2312" w:hAnsi="仿宋_GB2312" w:cs="仿宋_GB2312" w:eastAsia="仿宋_GB2312"/>
                <w:sz w:val="24"/>
                <w:color w:val="FF0000"/>
              </w:rPr>
              <w:t>初步设计服务方案</w:t>
            </w:r>
            <w:r>
              <w:rPr>
                <w:rFonts w:ascii="仿宋_GB2312" w:hAnsi="仿宋_GB2312" w:cs="仿宋_GB2312" w:eastAsia="仿宋_GB2312"/>
                <w:sz w:val="24"/>
                <w:color w:val="FF0000"/>
              </w:rPr>
              <w:t>）</w:t>
            </w:r>
            <w:r>
              <w:rPr>
                <w:rFonts w:ascii="仿宋_GB2312" w:hAnsi="仿宋_GB2312" w:cs="仿宋_GB2312" w:eastAsia="仿宋_GB2312"/>
                <w:sz w:val="24"/>
              </w:rPr>
              <w:t>供应商</w:t>
            </w:r>
            <w:r>
              <w:rPr>
                <w:rFonts w:ascii="仿宋_GB2312" w:hAnsi="仿宋_GB2312" w:cs="仿宋_GB2312" w:eastAsia="仿宋_GB2312"/>
                <w:sz w:val="24"/>
              </w:rPr>
              <w:t>针对本项目提供服务方案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①初步设计</w:t>
            </w:r>
            <w:r>
              <w:rPr>
                <w:rFonts w:ascii="仿宋_GB2312" w:hAnsi="仿宋_GB2312" w:cs="仿宋_GB2312" w:eastAsia="仿宋_GB2312"/>
                <w:sz w:val="24"/>
              </w:rPr>
              <w:t>工作质量保证措施</w:t>
            </w:r>
            <w:r>
              <w:rPr>
                <w:rFonts w:ascii="仿宋_GB2312" w:hAnsi="仿宋_GB2312" w:cs="仿宋_GB2312" w:eastAsia="仿宋_GB2312"/>
                <w:sz w:val="24"/>
              </w:rPr>
              <w:t>；</w:t>
            </w:r>
            <w:r>
              <w:rPr>
                <w:rFonts w:ascii="仿宋_GB2312" w:hAnsi="仿宋_GB2312" w:cs="仿宋_GB2312" w:eastAsia="仿宋_GB2312"/>
                <w:sz w:val="24"/>
              </w:rPr>
              <w:t>②初步设计</w:t>
            </w:r>
            <w:r>
              <w:rPr>
                <w:rFonts w:ascii="仿宋_GB2312" w:hAnsi="仿宋_GB2312" w:cs="仿宋_GB2312" w:eastAsia="仿宋_GB2312"/>
                <w:sz w:val="24"/>
              </w:rPr>
              <w:t>工期进度保证措施</w:t>
            </w:r>
            <w:r>
              <w:rPr>
                <w:rFonts w:ascii="仿宋_GB2312" w:hAnsi="仿宋_GB2312" w:cs="仿宋_GB2312" w:eastAsia="仿宋_GB2312"/>
                <w:sz w:val="24"/>
              </w:rPr>
              <w:t>；</w:t>
            </w:r>
            <w:r>
              <w:rPr>
                <w:rFonts w:ascii="仿宋_GB2312" w:hAnsi="仿宋_GB2312" w:cs="仿宋_GB2312" w:eastAsia="仿宋_GB2312"/>
                <w:sz w:val="24"/>
              </w:rPr>
              <w:t>③初步设计工作重点、难点分析；④机构设置和岗位职责；⑤初步设计本项目合理化建议；⑥初步设计工作协调措施</w:t>
            </w:r>
            <w:r>
              <w:rPr>
                <w:rFonts w:ascii="仿宋_GB2312" w:hAnsi="仿宋_GB2312" w:cs="仿宋_GB2312" w:eastAsia="仿宋_GB2312"/>
                <w:sz w:val="24"/>
              </w:rPr>
              <w:t>。</w:t>
            </w:r>
          </w:p>
          <w:p>
            <w:pPr>
              <w:pStyle w:val="null3"/>
              <w:jc w:val="left"/>
            </w:pPr>
            <w:r>
              <w:rPr>
                <w:rFonts w:ascii="仿宋_GB2312" w:hAnsi="仿宋_GB2312" w:cs="仿宋_GB2312" w:eastAsia="仿宋_GB2312"/>
              </w:rPr>
              <w:t>4.</w:t>
            </w:r>
            <w:r>
              <w:rPr>
                <w:rFonts w:ascii="仿宋_GB2312" w:hAnsi="仿宋_GB2312" w:cs="仿宋_GB2312" w:eastAsia="仿宋_GB2312"/>
                <w:sz w:val="24"/>
              </w:rPr>
              <w:t>供应商</w:t>
            </w:r>
            <w:r>
              <w:rPr>
                <w:rFonts w:ascii="仿宋_GB2312" w:hAnsi="仿宋_GB2312" w:cs="仿宋_GB2312" w:eastAsia="仿宋_GB2312"/>
                <w:sz w:val="24"/>
              </w:rPr>
              <w:t>针对本项目提供工作计划方案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①总体工作计划安排</w:t>
            </w:r>
            <w:r>
              <w:rPr>
                <w:rFonts w:ascii="仿宋_GB2312" w:hAnsi="仿宋_GB2312" w:cs="仿宋_GB2312" w:eastAsia="仿宋_GB2312"/>
                <w:sz w:val="24"/>
              </w:rPr>
              <w:t>；</w:t>
            </w:r>
            <w:r>
              <w:rPr>
                <w:rFonts w:ascii="仿宋_GB2312" w:hAnsi="仿宋_GB2312" w:cs="仿宋_GB2312" w:eastAsia="仿宋_GB2312"/>
                <w:sz w:val="24"/>
              </w:rPr>
              <w:t>②人员配备计划及安排</w:t>
            </w:r>
            <w:r>
              <w:rPr>
                <w:rFonts w:ascii="仿宋_GB2312" w:hAnsi="仿宋_GB2312" w:cs="仿宋_GB2312" w:eastAsia="仿宋_GB2312"/>
                <w:sz w:val="24"/>
              </w:rPr>
              <w:t>；</w:t>
            </w:r>
            <w:r>
              <w:rPr>
                <w:rFonts w:ascii="仿宋_GB2312" w:hAnsi="仿宋_GB2312" w:cs="仿宋_GB2312" w:eastAsia="仿宋_GB2312"/>
                <w:sz w:val="24"/>
              </w:rPr>
              <w:t>③工期组织方案有具体详细安排的方案。</w:t>
            </w:r>
            <w:r>
              <w:rPr>
                <w:rFonts w:ascii="仿宋_GB2312" w:hAnsi="仿宋_GB2312" w:cs="仿宋_GB2312" w:eastAsia="仿宋_GB2312"/>
              </w:rPr>
              <w:t>。</w:t>
            </w:r>
          </w:p>
          <w:p>
            <w:pPr>
              <w:pStyle w:val="null3"/>
              <w:jc w:val="left"/>
            </w:pPr>
            <w:r>
              <w:rPr>
                <w:rFonts w:ascii="仿宋_GB2312" w:hAnsi="仿宋_GB2312" w:cs="仿宋_GB2312" w:eastAsia="仿宋_GB2312"/>
              </w:rPr>
              <w:t>5.</w:t>
            </w:r>
            <w:r>
              <w:rPr>
                <w:rFonts w:ascii="仿宋_GB2312" w:hAnsi="仿宋_GB2312" w:cs="仿宋_GB2312" w:eastAsia="仿宋_GB2312"/>
                <w:sz w:val="24"/>
                <w:color w:val="E74C3C"/>
              </w:rPr>
              <w:t>（</w:t>
            </w:r>
            <w:r>
              <w:rPr>
                <w:rFonts w:ascii="仿宋_GB2312" w:hAnsi="仿宋_GB2312" w:cs="仿宋_GB2312" w:eastAsia="仿宋_GB2312"/>
                <w:sz w:val="24"/>
                <w:color w:val="E74C3C"/>
              </w:rPr>
              <w:t>勘察</w:t>
            </w:r>
            <w:r>
              <w:rPr>
                <w:rFonts w:ascii="仿宋_GB2312" w:hAnsi="仿宋_GB2312" w:cs="仿宋_GB2312" w:eastAsia="仿宋_GB2312"/>
                <w:sz w:val="24"/>
                <w:color w:val="E74C3C"/>
              </w:rPr>
              <w:t>项目质量和安全保证体系）</w:t>
            </w:r>
            <w:r>
              <w:rPr>
                <w:rFonts w:ascii="仿宋_GB2312" w:hAnsi="仿宋_GB2312" w:cs="仿宋_GB2312" w:eastAsia="仿宋_GB2312"/>
                <w:sz w:val="24"/>
              </w:rPr>
              <w:t>供应商</w:t>
            </w:r>
            <w:r>
              <w:rPr>
                <w:rFonts w:ascii="仿宋_GB2312" w:hAnsi="仿宋_GB2312" w:cs="仿宋_GB2312" w:eastAsia="仿宋_GB2312"/>
                <w:sz w:val="24"/>
              </w:rPr>
              <w:t>针对本项目提供</w:t>
            </w:r>
            <w:r>
              <w:rPr>
                <w:rFonts w:ascii="仿宋_GB2312" w:hAnsi="仿宋_GB2312" w:cs="仿宋_GB2312" w:eastAsia="仿宋_GB2312"/>
                <w:sz w:val="24"/>
              </w:rPr>
              <w:t>项目质量和安全保证体系</w:t>
            </w:r>
            <w:r>
              <w:rPr>
                <w:rFonts w:ascii="仿宋_GB2312" w:hAnsi="仿宋_GB2312" w:cs="仿宋_GB2312" w:eastAsia="仿宋_GB2312"/>
                <w:sz w:val="24"/>
              </w:rPr>
              <w:t>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w:t>
            </w:r>
            <w:r>
              <w:rPr>
                <w:rFonts w:ascii="仿宋_GB2312" w:hAnsi="仿宋_GB2312" w:cs="仿宋_GB2312" w:eastAsia="仿宋_GB2312"/>
                <w:sz w:val="24"/>
              </w:rPr>
              <w:t>勘察</w:t>
            </w:r>
            <w:r>
              <w:rPr>
                <w:rFonts w:ascii="仿宋_GB2312" w:hAnsi="仿宋_GB2312" w:cs="仿宋_GB2312" w:eastAsia="仿宋_GB2312"/>
                <w:sz w:val="24"/>
              </w:rPr>
              <w:t>安全、保密保保措施</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勘察质量控制</w:t>
            </w:r>
            <w:r>
              <w:rPr>
                <w:rFonts w:ascii="仿宋_GB2312" w:hAnsi="仿宋_GB2312" w:cs="仿宋_GB2312" w:eastAsia="仿宋_GB2312"/>
                <w:sz w:val="24"/>
              </w:rPr>
              <w:t>。</w:t>
            </w:r>
            <w:r>
              <w:rPr>
                <w:rFonts w:ascii="仿宋_GB2312" w:hAnsi="仿宋_GB2312" w:cs="仿宋_GB2312" w:eastAsia="仿宋_GB2312"/>
                <w:sz w:val="24"/>
                <w:color w:val="E74C3C"/>
              </w:rPr>
              <w:t>（</w:t>
            </w:r>
            <w:r>
              <w:rPr>
                <w:rFonts w:ascii="仿宋_GB2312" w:hAnsi="仿宋_GB2312" w:cs="仿宋_GB2312" w:eastAsia="仿宋_GB2312"/>
                <w:sz w:val="24"/>
                <w:color w:val="E74C3C"/>
              </w:rPr>
              <w:t>初步设计</w:t>
            </w:r>
            <w:r>
              <w:rPr>
                <w:rFonts w:ascii="仿宋_GB2312" w:hAnsi="仿宋_GB2312" w:cs="仿宋_GB2312" w:eastAsia="仿宋_GB2312"/>
                <w:sz w:val="24"/>
                <w:color w:val="E74C3C"/>
              </w:rPr>
              <w:t>项目质量和安全保证体系</w:t>
            </w:r>
            <w:r>
              <w:rPr>
                <w:rFonts w:ascii="仿宋_GB2312" w:hAnsi="仿宋_GB2312" w:cs="仿宋_GB2312" w:eastAsia="仿宋_GB2312"/>
                <w:sz w:val="24"/>
                <w:color w:val="E74C3C"/>
              </w:rPr>
              <w:t>）</w:t>
            </w:r>
            <w:r>
              <w:rPr>
                <w:rFonts w:ascii="仿宋_GB2312" w:hAnsi="仿宋_GB2312" w:cs="仿宋_GB2312" w:eastAsia="仿宋_GB2312"/>
                <w:sz w:val="24"/>
              </w:rPr>
              <w:t>供应商</w:t>
            </w:r>
            <w:r>
              <w:rPr>
                <w:rFonts w:ascii="仿宋_GB2312" w:hAnsi="仿宋_GB2312" w:cs="仿宋_GB2312" w:eastAsia="仿宋_GB2312"/>
                <w:sz w:val="24"/>
              </w:rPr>
              <w:t>针对本项目提供</w:t>
            </w:r>
            <w:r>
              <w:rPr>
                <w:rFonts w:ascii="仿宋_GB2312" w:hAnsi="仿宋_GB2312" w:cs="仿宋_GB2312" w:eastAsia="仿宋_GB2312"/>
                <w:sz w:val="24"/>
              </w:rPr>
              <w:t>项目质量和安全保证体系</w:t>
            </w:r>
            <w:r>
              <w:rPr>
                <w:rFonts w:ascii="仿宋_GB2312" w:hAnsi="仿宋_GB2312" w:cs="仿宋_GB2312" w:eastAsia="仿宋_GB2312"/>
                <w:sz w:val="24"/>
              </w:rPr>
              <w:t>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①</w:t>
            </w:r>
            <w:r>
              <w:rPr>
                <w:rFonts w:ascii="仿宋_GB2312" w:hAnsi="仿宋_GB2312" w:cs="仿宋_GB2312" w:eastAsia="仿宋_GB2312"/>
                <w:sz w:val="24"/>
              </w:rPr>
              <w:t>初步设计安全、保密保保措施</w:t>
            </w:r>
            <w:r>
              <w:rPr>
                <w:rFonts w:ascii="仿宋_GB2312" w:hAnsi="仿宋_GB2312" w:cs="仿宋_GB2312" w:eastAsia="仿宋_GB2312"/>
                <w:sz w:val="24"/>
              </w:rPr>
              <w:t>；</w:t>
            </w:r>
            <w:r>
              <w:rPr>
                <w:rFonts w:ascii="仿宋_GB2312" w:hAnsi="仿宋_GB2312" w:cs="仿宋_GB2312" w:eastAsia="仿宋_GB2312"/>
                <w:sz w:val="24"/>
              </w:rPr>
              <w:t>②</w:t>
            </w:r>
            <w:r>
              <w:rPr>
                <w:rFonts w:ascii="仿宋_GB2312" w:hAnsi="仿宋_GB2312" w:cs="仿宋_GB2312" w:eastAsia="仿宋_GB2312"/>
                <w:sz w:val="24"/>
              </w:rPr>
              <w:t>初步设计质量控制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6.供应商</w:t>
            </w:r>
            <w:r>
              <w:rPr>
                <w:rFonts w:ascii="仿宋_GB2312" w:hAnsi="仿宋_GB2312" w:cs="仿宋_GB2312" w:eastAsia="仿宋_GB2312"/>
                <w:sz w:val="24"/>
              </w:rPr>
              <w:t>针对本项目提供后续服务方案</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包括</w:t>
            </w:r>
            <w:r>
              <w:rPr>
                <w:rFonts w:ascii="仿宋_GB2312" w:hAnsi="仿宋_GB2312" w:cs="仿宋_GB2312" w:eastAsia="仿宋_GB2312"/>
                <w:sz w:val="24"/>
              </w:rPr>
              <w:t>：</w:t>
            </w:r>
            <w:r>
              <w:rPr>
                <w:rFonts w:ascii="仿宋_GB2312" w:hAnsi="仿宋_GB2312" w:cs="仿宋_GB2312" w:eastAsia="仿宋_GB2312"/>
                <w:sz w:val="24"/>
              </w:rPr>
              <w:t>①后续服务团队；②后续服务范围；③后续服务措施；④后续服务承诺；⑤后续服务响应时间</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7.供应商须具备完成该项目的履约能力，</w:t>
            </w:r>
            <w:r>
              <w:rPr>
                <w:rFonts w:ascii="仿宋_GB2312" w:hAnsi="仿宋_GB2312" w:cs="仿宋_GB2312" w:eastAsia="仿宋_GB2312"/>
                <w:sz w:val="24"/>
              </w:rPr>
              <w:t>供应商提供自</w:t>
            </w:r>
            <w:r>
              <w:rPr>
                <w:rFonts w:ascii="仿宋_GB2312" w:hAnsi="仿宋_GB2312" w:cs="仿宋_GB2312" w:eastAsia="仿宋_GB2312"/>
                <w:sz w:val="24"/>
              </w:rPr>
              <w:t>2022年1月1日起至磋商截止日</w:t>
            </w:r>
            <w:r>
              <w:rPr>
                <w:rFonts w:ascii="仿宋_GB2312" w:hAnsi="仿宋_GB2312" w:cs="仿宋_GB2312" w:eastAsia="仿宋_GB2312"/>
                <w:sz w:val="24"/>
              </w:rPr>
              <w:t>（</w:t>
            </w:r>
            <w:r>
              <w:rPr>
                <w:rFonts w:ascii="仿宋_GB2312" w:hAnsi="仿宋_GB2312" w:cs="仿宋_GB2312" w:eastAsia="仿宋_GB2312"/>
                <w:sz w:val="24"/>
              </w:rPr>
              <w:t>以成交/中标</w:t>
            </w:r>
            <w:r>
              <w:rPr>
                <w:rFonts w:ascii="仿宋_GB2312" w:hAnsi="仿宋_GB2312" w:cs="仿宋_GB2312" w:eastAsia="仿宋_GB2312"/>
                <w:sz w:val="24"/>
              </w:rPr>
              <w:t>通</w:t>
            </w:r>
            <w:r>
              <w:rPr>
                <w:rFonts w:ascii="仿宋_GB2312" w:hAnsi="仿宋_GB2312" w:cs="仿宋_GB2312" w:eastAsia="仿宋_GB2312"/>
                <w:sz w:val="24"/>
              </w:rPr>
              <w:t>知书时间或合同签订时间为准</w:t>
            </w:r>
            <w:r>
              <w:rPr>
                <w:rFonts w:ascii="仿宋_GB2312" w:hAnsi="仿宋_GB2312" w:cs="仿宋_GB2312" w:eastAsia="仿宋_GB2312"/>
                <w:sz w:val="24"/>
              </w:rPr>
              <w:t>）</w:t>
            </w:r>
            <w:r>
              <w:rPr>
                <w:rFonts w:ascii="仿宋_GB2312" w:hAnsi="仿宋_GB2312" w:cs="仿宋_GB2312" w:eastAsia="仿宋_GB2312"/>
                <w:sz w:val="24"/>
              </w:rPr>
              <w:t>的类似项目业绩</w:t>
            </w:r>
            <w:r>
              <w:rPr>
                <w:rFonts w:ascii="仿宋_GB2312" w:hAnsi="仿宋_GB2312" w:cs="仿宋_GB2312" w:eastAsia="仿宋_GB2312"/>
              </w:rPr>
              <w:t>。</w:t>
            </w:r>
          </w:p>
          <w:p>
            <w:pPr>
              <w:pStyle w:val="null3"/>
              <w:jc w:val="left"/>
            </w:pPr>
            <w:r>
              <w:rPr>
                <w:rFonts w:ascii="仿宋_GB2312" w:hAnsi="仿宋_GB2312" w:cs="仿宋_GB2312" w:eastAsia="仿宋_GB2312"/>
                <w:sz w:val="24"/>
              </w:rPr>
              <w:t>8.供应商针对本项目提供相关人员配置。</w:t>
            </w:r>
          </w:p>
          <w:p>
            <w:pPr>
              <w:pStyle w:val="null3"/>
              <w:jc w:val="left"/>
            </w:pPr>
            <w:r>
              <w:rPr>
                <w:rFonts w:ascii="仿宋_GB2312" w:hAnsi="仿宋_GB2312" w:cs="仿宋_GB2312" w:eastAsia="仿宋_GB2312"/>
                <w:sz w:val="24"/>
              </w:rPr>
              <w:t>9.本项目接受联合体磋商，</w:t>
            </w:r>
            <w:r>
              <w:rPr>
                <w:rFonts w:ascii="仿宋_GB2312" w:hAnsi="仿宋_GB2312" w:cs="仿宋_GB2312" w:eastAsia="仿宋_GB2312"/>
                <w:sz w:val="24"/>
              </w:rPr>
              <w:t>①供应商以联合体形式参加采购活动的，联合体各方均应具备《中华人民共和国政府采购法》第二十二条第一款中规定的供应商资格条件；按照联合体分工承担相同工作的，还应同时满足磋商文件规定的特殊资格要求条件；按照联合体分工承担不同工作的，则牵头单位及成员不需同时具备磋商文件规定的特殊资格要求条件，但组成的联合体需具备磋商文件规定的特殊资格要求条件。②联合体成员必须签订联合体协议，并明确各联合体成员单位所承担的项目服务范围、项目服务内容、责任和权利。已组成联合体的单位不能再与其他单位组成联合体参加磋商，联合体成员不得超过2家，企业集团母、子公司不得分别组成联合体磋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本项目报价超过最高限价的报价为无效报价。本项目报价服务费实行项目包干制，包干内容：人工费、服务费、管理费、保险、福利奖金、网络费、设施设备费、食宿费、交通费、税费、社会保险、意外保险及各种补贴、日常加班费、行政管理费以及采购代理费服务费等、超支不补，费用包干。</w:t>
            </w:r>
          </w:p>
          <w:p>
            <w:pPr>
              <w:pStyle w:val="null3"/>
              <w:jc w:val="left"/>
            </w:pPr>
            <w:r>
              <w:rPr>
                <w:rFonts w:ascii="仿宋_GB2312" w:hAnsi="仿宋_GB2312" w:cs="仿宋_GB2312" w:eastAsia="仿宋_GB2312"/>
                <w:sz w:val="24"/>
              </w:rPr>
              <w:t>★11.如果本项目采购需求中引用的相关国家标准及政策执行文件有最新版本的均以最新标准执行，采购活动中已经作废、失效、调整、更新的，在评审中和履约中自动不再适用。</w:t>
            </w:r>
          </w:p>
          <w:p>
            <w:pPr>
              <w:pStyle w:val="null3"/>
              <w:jc w:val="both"/>
            </w:pPr>
            <w:r>
              <w:rPr>
                <w:rFonts w:ascii="仿宋_GB2312" w:hAnsi="仿宋_GB2312" w:cs="仿宋_GB2312" w:eastAsia="仿宋_GB2312"/>
                <w:sz w:val="24"/>
              </w:rPr>
              <w:t>★12.采购人在签订合同签前有权对成交供应商提交的响应文件进行真实性核实，如需中标人配合或提供相关证明材料时，供应商须无条件配合。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自合同签订之日起20个日历天内，成交供应商提交评审合格后的成果报告资料，包括纸质版及电子版。</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绵阳市涪城区（具体地点采购人指定）</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绵阳市财政局关于进一步加强履约验收工作通知》（绵财采〔2021〕15号）的要求及行业相关标准的规定以及本项目《竞争性磋商文件》、成交供应商《响应文件》、合同签订相关约定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1、合同签订后，采购人付款前成交供应商提供合法、有效的等额发票，达到付款条件起10日内，支付合同总金额的30.00%</w:t>
            </w:r>
          </w:p>
          <w:p>
            <w:pPr>
              <w:pStyle w:val="null3"/>
              <w:jc w:val="left"/>
            </w:pPr>
            <w:r>
              <w:rPr>
                <w:rFonts w:ascii="仿宋_GB2312" w:hAnsi="仿宋_GB2312" w:cs="仿宋_GB2312" w:eastAsia="仿宋_GB2312"/>
              </w:rPr>
              <w:t>2、尾款，成交供应商提交成果报告且经评审合格后，采购人付款前成交供应商提供合法、有效的等额发票，达到付款条件起10日内，支付合同总金额的70.00%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因供应商工作人员在履行职务过程中的的疏忽、失职、过错等故意或者过失原因给采购人造成损失或侵害，包括采购人本身的财产损失、由此而导致的采购人对任何第三方的法律责任等，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1.供应商为企业（包括合伙企业）、个体工商户的,应提供工商营业执照或提供由市场监管部门核发的法人或者其他组织统一社会信用代码的营业执照； 2.供应商属于银行、保险、石油石化、电力、电信等有行业特殊情况的，提供企业分支机构营业执照或统一社会信用代码的营业执照（扫描件）； 3.供应商为其他组织的，提供事业单位法人证书或执业许可证等证明文件； 4.如为自然人的提供《中华人民共和国居民身份证》。</w:t>
            </w:r>
          </w:p>
        </w:tc>
        <w:tc>
          <w:tcPr>
            <w:tcW w:type="dxa" w:w="1910"/>
          </w:tcPr>
          <w:p>
            <w:pPr>
              <w:pStyle w:val="null3"/>
              <w:jc w:val="left"/>
            </w:pPr>
            <w:r>
              <w:rPr>
                <w:rFonts w:ascii="仿宋_GB2312" w:hAnsi="仿宋_GB2312" w:cs="仿宋_GB2312" w:eastAsia="仿宋_GB2312"/>
              </w:rPr>
              <w:t>响应文件封面,投标（响应）函,具有独立承担民事责任能力.docx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（1）供应商具有行政主管部门核发的有效的工程勘察专业类（岩土工程（勘察））乙级及以上资质，和具有工程设计市政行业（道路工程）专业乙级及以上资质。 （2）四川省省外的企业应提供有效的《入川备案登记证》或《四川省省外建筑企业入川承揽业务验证登记证》证书。</w:t>
            </w:r>
          </w:p>
        </w:tc>
        <w:tc>
          <w:tcPr>
            <w:tcW w:type="dxa" w:w="1910"/>
          </w:tcPr>
          <w:p>
            <w:pPr>
              <w:pStyle w:val="null3"/>
              <w:jc w:val="left"/>
            </w:pPr>
            <w:r>
              <w:rPr>
                <w:rFonts w:ascii="仿宋_GB2312" w:hAnsi="仿宋_GB2312" w:cs="仿宋_GB2312" w:eastAsia="仿宋_GB2312"/>
              </w:rPr>
              <w:t>供应商应提交的相关证明材料.docx,投标（响应）函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本项目接受联合体磋商</w:t>
            </w:r>
          </w:p>
        </w:tc>
        <w:tc>
          <w:tcPr>
            <w:tcW w:type="dxa" w:w="3322"/>
          </w:tcPr>
          <w:p>
            <w:pPr>
              <w:pStyle w:val="null3"/>
              <w:jc w:val="left"/>
            </w:pPr>
            <w:r>
              <w:rPr>
                <w:rFonts w:ascii="仿宋_GB2312" w:hAnsi="仿宋_GB2312" w:cs="仿宋_GB2312" w:eastAsia="仿宋_GB2312"/>
              </w:rPr>
              <w:t>本项目接受联合体磋商，①供应商以联合体形式参加采购活动的，联合体各方均应具备《中华人民共和国政府采购法》第二十二条第一款中规定的供应商资格条件；按照联合体分工承担相同工作的，还应同时满足磋商文件规定的特殊资格要求条件；按照联合体分工承担不同工作的，则牵头单位及成员不需同时具备磋商文件规定的特殊资格要求条件，但组成的联合体需具备磋商文件规定的特殊资格要求条件。②联合体成员必须签订联合体协议，并明确各联合体成员单位所承担的项目服务范围、项目服务内容、责任和权利。已组成联合体的单位不能再与其他单位组成联合体参加磋商，联合体成员不得超过2家，企业集团母、子公司不得分别组成联合体磋商）。</w:t>
            </w:r>
          </w:p>
        </w:tc>
        <w:tc>
          <w:tcPr>
            <w:tcW w:type="dxa" w:w="1910"/>
          </w:tcPr>
          <w:p>
            <w:pPr>
              <w:pStyle w:val="null3"/>
              <w:jc w:val="left"/>
            </w:pPr>
            <w:r>
              <w:rPr>
                <w:rFonts w:ascii="仿宋_GB2312" w:hAnsi="仿宋_GB2312" w:cs="仿宋_GB2312" w:eastAsia="仿宋_GB2312"/>
              </w:rPr>
              <w:t>供应商应提交的相关证明材料.docx,投标（响应）函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承诺函（围标、串标）.docx,投标（响应）函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响应文件的有效期</w:t>
            </w:r>
          </w:p>
        </w:tc>
        <w:tc>
          <w:tcPr>
            <w:tcW w:type="dxa" w:w="3322"/>
          </w:tcPr>
          <w:p>
            <w:pPr>
              <w:pStyle w:val="null3"/>
              <w:jc w:val="left"/>
            </w:pPr>
            <w:r>
              <w:rPr>
                <w:rFonts w:ascii="仿宋_GB2312" w:hAnsi="仿宋_GB2312" w:cs="仿宋_GB2312" w:eastAsia="仿宋_GB2312"/>
              </w:rPr>
              <w:t>响应有效期不少于90天</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磋商文件第三章 实质性要求</w:t>
            </w:r>
          </w:p>
        </w:tc>
        <w:tc>
          <w:tcPr>
            <w:tcW w:type="dxa" w:w="3322"/>
          </w:tcPr>
          <w:p>
            <w:pPr>
              <w:pStyle w:val="null3"/>
              <w:jc w:val="left"/>
            </w:pPr>
            <w:r>
              <w:rPr>
                <w:rFonts w:ascii="仿宋_GB2312" w:hAnsi="仿宋_GB2312" w:cs="仿宋_GB2312" w:eastAsia="仿宋_GB2312"/>
              </w:rPr>
              <w:t>满足磋商文件第三章技术、服务及其他要求的实质性要求</w:t>
            </w:r>
          </w:p>
        </w:tc>
        <w:tc>
          <w:tcPr>
            <w:tcW w:type="dxa" w:w="1910"/>
          </w:tcPr>
          <w:p>
            <w:pPr>
              <w:pStyle w:val="null3"/>
              <w:jc w:val="left"/>
            </w:pPr>
            <w:r>
              <w:rPr>
                <w:rFonts w:ascii="仿宋_GB2312" w:hAnsi="仿宋_GB2312" w:cs="仿宋_GB2312" w:eastAsia="仿宋_GB2312"/>
              </w:rPr>
              <w:t>供应商应提交的相关证明材料.docx,技术应答表.docx,商务应答表.docx,服务应答表.docx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供应商承诺</w:t>
            </w:r>
          </w:p>
        </w:tc>
        <w:tc>
          <w:tcPr>
            <w:tcW w:type="dxa" w:w="3322"/>
          </w:tcPr>
          <w:p>
            <w:pPr>
              <w:pStyle w:val="null3"/>
              <w:jc w:val="left"/>
            </w:pPr>
            <w:r>
              <w:rPr>
                <w:rFonts w:ascii="仿宋_GB2312" w:hAnsi="仿宋_GB2312" w:cs="仿宋_GB2312" w:eastAsia="仿宋_GB2312"/>
              </w:rPr>
              <w:t>供应商针对本项目需要提供的承诺</w:t>
            </w:r>
          </w:p>
        </w:tc>
        <w:tc>
          <w:tcPr>
            <w:tcW w:type="dxa" w:w="1910"/>
          </w:tcPr>
          <w:p>
            <w:pPr>
              <w:pStyle w:val="null3"/>
              <w:jc w:val="left"/>
            </w:pPr>
            <w:r>
              <w:rPr>
                <w:rFonts w:ascii="仿宋_GB2312" w:hAnsi="仿宋_GB2312" w:cs="仿宋_GB2312" w:eastAsia="仿宋_GB2312"/>
              </w:rPr>
              <w:t>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 技术、服务及其他要求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1.勘察服务方案（12分） 供应商针对本项目提供服务方案，内容包括：①勘察工作质量保障措施；②勘察工期进度保证措施；③勘察工作重点、难点分析；④勘察机构设置和岗位职责；⑤勘察本项目合理化建议；⑥勘察工作协调措施。 以上6项内容全部提供且与采购需求相对应，符合本项目实际要求和特点，能保证采购项目质量和采购标的实现，确保完整履约的得12分；每有一项内容不符合的扣1分；每有一项方案未提供或缺少、遗漏的扣2分，扣完为止。 2.初步设计服务方案（12分） 供应商针对本项目提供服务方案，内容包括：供应商针对本项目提供服务方案，内容包括：①初步设计工作质量保证措施；②初步设计工期进度保证措施；③初步设计工作重点、难点分析；④机构设置和岗位职责；⑤初步设计本项目合理化建议；⑥初步设计工作协调措施。 以上6项内容全部提供且与采购需求相对应，符合本项目实际要求和特点，能保证采购项目质量和采购标的实现，确保完整履约的得12分；每有一项内容不符合的扣1分；每有一项方案未提供或缺少、遗漏的扣2分，扣完为止。 注：不符合是指与本项目采购需求不对应、非专门针对本项目或不适用本项目特性的情形、仅有标题无详细内容阐述、方案阐述不连贯或缺少关键节点、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工作计划方案</w:t>
            </w:r>
          </w:p>
        </w:tc>
        <w:tc>
          <w:tcPr>
            <w:tcW w:type="dxa" w:w="2575"/>
          </w:tcPr>
          <w:p>
            <w:pPr>
              <w:pStyle w:val="null3"/>
              <w:jc w:val="left"/>
            </w:pPr>
            <w:r>
              <w:rPr>
                <w:rFonts w:ascii="仿宋_GB2312" w:hAnsi="仿宋_GB2312" w:cs="仿宋_GB2312" w:eastAsia="仿宋_GB2312"/>
              </w:rPr>
              <w:t>供应商针对本项目提供工作计划方案，内容包括：①总体工作计划安排；②人员配备计划及安排；③工期组织方案有具体详细安排的方案。 以上3项内容全部提供且与采购需求相对应，符合本项目实际要求和特点，能保证采购项目质量和采购标的实现，确保完整履约的得12分；每有一项内容不符合的扣2分；每有一项方案未提供或缺少、遗漏的扣4分，扣完为止。 注：不符合是指与本项目采购需求不对应、非专门针对本项目或不适用本项目特性的情形、仅有标题无详细内容阐述、方案阐述不连贯或缺少关键节点、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工作计划方案.docx</w:t>
            </w:r>
          </w:p>
        </w:tc>
      </w:tr>
      <w:tr>
        <w:tc>
          <w:tcPr>
            <w:tcW w:type="dxa" w:w="831"/>
            <w:vMerge/>
          </w:tcPr>
          <w:p/>
        </w:tc>
        <w:tc>
          <w:tcPr>
            <w:tcW w:type="dxa" w:w="1661"/>
          </w:tcPr>
          <w:p>
            <w:pPr>
              <w:pStyle w:val="null3"/>
              <w:jc w:val="left"/>
            </w:pPr>
            <w:r>
              <w:rPr>
                <w:rFonts w:ascii="仿宋_GB2312" w:hAnsi="仿宋_GB2312" w:cs="仿宋_GB2312" w:eastAsia="仿宋_GB2312"/>
              </w:rPr>
              <w:t>项目质量和安全保证体系</w:t>
            </w:r>
          </w:p>
        </w:tc>
        <w:tc>
          <w:tcPr>
            <w:tcW w:type="dxa" w:w="2575"/>
          </w:tcPr>
          <w:p>
            <w:pPr>
              <w:pStyle w:val="null3"/>
              <w:jc w:val="left"/>
            </w:pPr>
            <w:r>
              <w:rPr>
                <w:rFonts w:ascii="仿宋_GB2312" w:hAnsi="仿宋_GB2312" w:cs="仿宋_GB2312" w:eastAsia="仿宋_GB2312"/>
              </w:rPr>
              <w:t>1.勘察项目质量和安全保证体系（6分） 供应商针对本项目提供项目质量和安全保证体系，内容包括：①勘察安全、保密保保措施；②勘察质量控制。 以上2项内容全部提供且与采购需求相对应，符合本项目实际要求和特点，能保证采购项目质量和采购标的实现，确保完整履约的得6分；每有一项内容不符合的扣1.5分；每有一项方案未提供或缺少、遗漏的扣3分，扣完为止。 2.初步设计项目质量和安全保证体系（6分） 供应商针对本项目提供项目质量和安全保证体系方案，内容包括：①初步设计安全、保密保保措施；②初步设计质量控制。 以上2项内容全部提供且与采购需求相对应，符合本项目实际要求和特点，能保证采购项目质量和采购标的实现，确保完整履约的得6分；每有一项内容不符合的扣1.5分；每有一项方案未提供或缺少、遗漏的扣3分，扣完为止。 注：不符合是指与本项目采购需求不对应、非专门针对本项目或不适用本项目特性的情形、仅有标题无详细内容阐述、方案阐述不连贯或缺少关键节点、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项目质量和安全保证体系.docx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供应商提供自2022年1月1日起至磋商截止日（以中标通知书时间或合同签订时间为准）的类似项目业绩，每提供1个得3分，本小项最多得9分。 注：响应文件内提供中标/成交通知书或合同复印件。</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1、拟派本项目建筑负责人（1人）：具有一级注册建筑工程师的得3分，同时具有工程类中级职称加0.5分，具有工程类高级及以上职称加1分，本小项最多得,4分； 2、拟派本项目设计负责人（1人）：具有注册土木工程师（道路工程）的得3分，同时具有工程类中级职称加0.5分，具有工程类高级及以上职称加1分，本小项最多得4分； 3、拟派本项目电气专业负责人（1人）：具有注册电气工程师（供配电）的得3分，同时具有工程类中级职称加0.5分，具有工程类高级及以上职称加1分，本小项最多得4分。 4、拟派本项目拟派本勘察负责人（1人）：具有注册土木工程师（岩土）的得3分，同时具有工程类中级职称加0.5分，具有工程类高级及以上职称加1分，本小项最多得4分。 5、拟派本项目现场测量（1人）：具有工程类相关专业中级及以上职称的得2分，本小项最多得2分。 注：1、以上人员不重复计分； 2、响应文件内提供在职证明及证书复印件证明材料。</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后续服务方案</w:t>
            </w:r>
          </w:p>
        </w:tc>
        <w:tc>
          <w:tcPr>
            <w:tcW w:type="dxa" w:w="2575"/>
          </w:tcPr>
          <w:p>
            <w:pPr>
              <w:pStyle w:val="null3"/>
              <w:jc w:val="left"/>
            </w:pPr>
            <w:r>
              <w:rPr>
                <w:rFonts w:ascii="仿宋_GB2312" w:hAnsi="仿宋_GB2312" w:cs="仿宋_GB2312" w:eastAsia="仿宋_GB2312"/>
              </w:rPr>
              <w:t>供应商针对本项目提供后续服务方案，内容包括：①后续服务团队；②后续服务范围；③后续服务措施；④后续服务承诺；⑤后续服务响应时间。 以上5项内容全部提供且与采购需求相对应，符合本项目实际要求和特点，能保证采购项目质量和采购标的实现，确保完整履约的得10分；每有一项内容不符合的扣1分；每有一项方案未提供或缺少、遗漏的扣2分，扣完为止。 注：不符合是指与本项目采购需求不对应、非专门针对本项目或不适用本项目特性的情形、仅有标题无详细内容阐述、方案阐述不连贯或缺少关键节点、套用其他项目方案、涉及的规范及标准错误、不利于项目实施、不匹配本项目采购需求、不能保证采购项目质量和标的实现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满足磋商文件要求且最后报价最低的供应商的价格为磋商基准价，其价格分为满分。其他供应商的价格分统一按照下列公式计算：磋商报价得分=（磋商基准价/最后磋商报价）×15%×100； 注：保留小数点后两位；</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详见附件：承诺函（围标、串标）.docx</w:t>
      </w:r>
    </w:p>
    <w:p>
      <w:pPr>
        <w:pStyle w:val="null3"/>
        <w:ind w:firstLine="960"/>
        <w:jc w:val="left"/>
      </w:pPr>
      <w:r>
        <w:rPr>
          <w:rFonts w:ascii="仿宋_GB2312" w:hAnsi="仿宋_GB2312" w:cs="仿宋_GB2312" w:eastAsia="仿宋_GB2312"/>
        </w:rPr>
        <w:t>详见附件：承诺函.docx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详见附件：工作计划方案.docx</w:t>
      </w:r>
    </w:p>
    <w:p>
      <w:pPr>
        <w:pStyle w:val="null3"/>
        <w:ind w:firstLine="960"/>
        <w:jc w:val="left"/>
      </w:pPr>
      <w:r>
        <w:rPr>
          <w:rFonts w:ascii="仿宋_GB2312" w:hAnsi="仿宋_GB2312" w:cs="仿宋_GB2312" w:eastAsia="仿宋_GB2312"/>
        </w:rPr>
        <w:t>详见附件：供应商应提交的相关证明材料.docx</w:t>
      </w:r>
    </w:p>
    <w:p>
      <w:pPr>
        <w:pStyle w:val="null3"/>
        <w:ind w:firstLine="960"/>
        <w:jc w:val="left"/>
      </w:pPr>
      <w:r>
        <w:rPr>
          <w:rFonts w:ascii="仿宋_GB2312" w:hAnsi="仿宋_GB2312" w:cs="仿宋_GB2312" w:eastAsia="仿宋_GB2312"/>
        </w:rPr>
        <w:t>详见附件：后续服务方案.docx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详见附件：具有独立承担民事责任能力.docx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详见附件：项目质量和安全保证体系.docx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