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440601-2024-03726</w:t>
      </w:r>
    </w:p>
    <w:p>
      <w:pPr>
        <w:pStyle w:val="null3"/>
        <w:jc w:val="center"/>
        <w:outlineLvl w:val="3"/>
      </w:pPr>
      <w:r>
        <w:rPr>
          <w:sz w:val="24"/>
          <w:b/>
        </w:rPr>
        <w:t>采购项目编号：</w:t>
      </w:r>
      <w:r>
        <w:rPr>
          <w:sz w:val="24"/>
          <w:b/>
        </w:rPr>
        <w:t>GZGK24D656AO884Z</w:t>
      </w:r>
    </w:p>
    <w:p>
      <w:pPr>
        <w:pStyle w:val="null3"/>
        <w:jc w:val="center"/>
        <w:outlineLvl w:val="3"/>
      </w:pPr>
      <w:r>
        <w:rPr>
          <w:sz w:val="24"/>
          <w:b/>
        </w:rPr>
        <w:t>项目名称：</w:t>
      </w:r>
      <w:r>
        <w:rPr>
          <w:sz w:val="24"/>
          <w:b/>
        </w:rPr>
        <w:t>混合现实脊柱微创手术导航系统及仿真训练智能平台项目第一期仪器设备（第一批）采购</w:t>
      </w:r>
    </w:p>
    <w:p>
      <w:pPr>
        <w:pStyle w:val="null3"/>
        <w:jc w:val="center"/>
        <w:outlineLvl w:val="3"/>
      </w:pPr>
      <w:r>
        <w:rPr>
          <w:sz w:val="24"/>
          <w:b/>
        </w:rPr>
        <w:t>采购人：</w:t>
      </w:r>
      <w:r>
        <w:rPr>
          <w:sz w:val="24"/>
          <w:b/>
        </w:rPr>
        <w:t>佛山中科产业技术研究院</w:t>
      </w:r>
    </w:p>
    <w:p>
      <w:pPr>
        <w:pStyle w:val="null3"/>
        <w:jc w:val="center"/>
        <w:outlineLvl w:val="3"/>
      </w:pPr>
      <w:r>
        <w:rPr>
          <w:sz w:val="24"/>
          <w:b/>
        </w:rPr>
        <w:t>采购代理机构：</w:t>
      </w:r>
      <w:r>
        <w:rPr>
          <w:sz w:val="24"/>
          <w:b/>
        </w:rPr>
        <w:t>广州市国科招标代理有限公司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广州市国科招标代理有限公司</w:t>
      </w:r>
      <w:r>
        <w:rPr/>
        <w:t>受</w:t>
      </w:r>
      <w:r>
        <w:rPr/>
        <w:t>佛山中科产业技术研究院</w:t>
      </w:r>
      <w:r>
        <w:rPr/>
        <w:t>的委托，采用</w:t>
      </w:r>
      <w:r>
        <w:rPr/>
        <w:t>公开招标</w:t>
      </w:r>
      <w:r>
        <w:rPr/>
        <w:t>方式组织采购</w:t>
      </w:r>
      <w:r>
        <w:rPr/>
        <w:t>混合现实脊柱微创手术导航系统及仿真训练智能平台项目第一期仪器设备（第一批）采购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混合现实脊柱微创手术导航系统及仿真训练智能平台项目第一期仪器设备（第一批）采购</w:t>
      </w:r>
    </w:p>
    <w:p>
      <w:pPr>
        <w:pStyle w:val="null3"/>
        <w:ind w:firstLine="480"/>
      </w:pPr>
      <w:r>
        <w:rPr/>
        <w:t>采购计划编号：</w:t>
      </w:r>
      <w:r>
        <w:rPr/>
        <w:t>440601-2024-03726</w:t>
      </w:r>
    </w:p>
    <w:p>
      <w:pPr>
        <w:pStyle w:val="null3"/>
        <w:ind w:firstLine="480"/>
      </w:pPr>
      <w:r>
        <w:rPr/>
        <w:t>采购项目编号：</w:t>
      </w:r>
      <w:r>
        <w:rPr/>
        <w:t>GZGK24D656AO884Z</w:t>
      </w:r>
    </w:p>
    <w:p>
      <w:pPr>
        <w:pStyle w:val="null3"/>
        <w:ind w:firstLine="480"/>
      </w:pPr>
      <w:r>
        <w:rPr/>
        <w:t>采购方式：</w:t>
      </w:r>
      <w:r>
        <w:rPr/>
        <w:t>公开招标</w:t>
      </w:r>
    </w:p>
    <w:p>
      <w:pPr>
        <w:pStyle w:val="null3"/>
        <w:ind w:firstLine="480"/>
      </w:pPr>
      <w:r>
        <w:rPr/>
        <w:t>预算金额：</w:t>
      </w:r>
      <w:r>
        <w:rPr/>
        <w:t>3,846,534.00</w:t>
      </w:r>
      <w:r>
        <w:rPr/>
        <w:t>元</w:t>
      </w:r>
    </w:p>
    <w:p>
      <w:pPr>
        <w:pStyle w:val="null3"/>
        <w:outlineLvl w:val="3"/>
      </w:pPr>
      <w:r>
        <w:rPr>
          <w:sz w:val="24"/>
          <w:b/>
        </w:rPr>
        <w:t>2.项目内容及需求情况（采购项目技术规格、参数及要求）</w:t>
      </w:r>
    </w:p>
    <w:p>
      <w:pPr>
        <w:pStyle w:val="null3"/>
      </w:pPr>
      <w:r>
        <w:rPr/>
        <w:t>采购包1(光学定位系统):</w:t>
      </w:r>
    </w:p>
    <w:p>
      <w:pPr>
        <w:pStyle w:val="null3"/>
      </w:pPr>
      <w:r>
        <w:rPr/>
        <w:t>采购包预算金额：3,279,867.00元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其他光学仪器</w:t>
            </w:r>
          </w:p>
        </w:tc>
        <w:tc>
          <w:tcPr>
            <w:tcW w:type="dxa" w:w="2136"/>
          </w:tcPr>
          <w:p>
            <w:pPr>
              <w:pStyle w:val="null3"/>
            </w:pPr>
            <w:r>
              <w:rPr/>
              <w:t>光学定位系统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pPr>
      <w:r>
        <w:rPr/>
        <w:t>采购包2(成型系统):</w:t>
      </w:r>
    </w:p>
    <w:p>
      <w:pPr>
        <w:pStyle w:val="null3"/>
      </w:pPr>
      <w:r>
        <w:rPr/>
        <w:t>采购包预算金额：566,667.00元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增材制造设备</w:t>
            </w:r>
          </w:p>
        </w:tc>
        <w:tc>
          <w:tcPr>
            <w:tcW w:type="dxa" w:w="2136"/>
          </w:tcPr>
          <w:p>
            <w:pPr>
              <w:pStyle w:val="null3"/>
            </w:pPr>
            <w:r>
              <w:rPr/>
              <w:t>固化聚合成型设备</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合同履行期限：见“标的提供时间”要求。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者按照招标公告中的投标文件格式附件1《政府采购供应商资格信用承诺函》提供承诺函。</w:t>
      </w:r>
    </w:p>
    <w:p>
      <w:pPr>
        <w:pStyle w:val="null3"/>
      </w:pPr>
      <w:r>
        <w:rPr/>
        <w:t>3）具有良好的商业信誉和健全的财务会计制度：供应商必须具有良好的商业信誉和健全的财务会计制度（提供2023年度或2024年任意1个月的财务状况报告复印件或基本开户行出具的资信证明）。或者按照招标公告中的投标文件格式附件1《政府采购供应商资格信用承诺函》提供承诺函。</w:t>
      </w:r>
    </w:p>
    <w:p>
      <w:pPr>
        <w:pStyle w:val="null3"/>
      </w:pPr>
      <w:r>
        <w:rPr/>
        <w:t>4）履行合同所必需的设备和专业技术能力：依据《投标函》相关承诺格式内容或具有履行合同所必需的设备和专业技术能力的其他证明材料。</w:t>
      </w:r>
    </w:p>
    <w:p>
      <w:pPr>
        <w:pStyle w:val="null3"/>
      </w:pPr>
      <w:r>
        <w:rPr/>
        <w:t>5）参加采购活动前3年内，在经营活动中没有重大违法记录：参照投标文件格式《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采购包1（光学定位系统）：</w:t>
      </w:r>
      <w:r>
        <w:rPr/>
        <w:t>全部货物须由中小微企业或监狱企业或残疾人福利性单位制造。</w:t>
      </w:r>
    </w:p>
    <w:p>
      <w:pPr>
        <w:pStyle w:val="null3"/>
        <w:jc w:val="left"/>
      </w:pPr>
      <w:r>
        <w:rPr/>
        <w:t>采购包2（成型系统）：</w:t>
      </w:r>
      <w:r>
        <w:rPr/>
        <w:t>全部货物须由中小微企业或监狱企业或残疾人福利性单位制造。</w:t>
      </w:r>
    </w:p>
    <w:p>
      <w:pPr>
        <w:pStyle w:val="null3"/>
        <w:outlineLvl w:val="3"/>
      </w:pPr>
      <w:r>
        <w:rPr>
          <w:sz w:val="24"/>
          <w:b/>
        </w:rPr>
        <w:t>3.本项目特定的资格要求：</w:t>
      </w:r>
    </w:p>
    <w:p>
      <w:pPr>
        <w:pStyle w:val="null3"/>
      </w:pPr>
      <w:r>
        <w:rPr/>
        <w:t>采购包1（光学定位系统）：</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依据投标函相关承诺要求内容。</w:t>
      </w:r>
    </w:p>
    <w:p>
      <w:pPr>
        <w:pStyle w:val="null3"/>
      </w:pPr>
      <w:r>
        <w:rPr/>
        <w:t>3)已获取本项目采购文件。</w:t>
      </w:r>
    </w:p>
    <w:p>
      <w:pPr>
        <w:pStyle w:val="null3"/>
      </w:pPr>
      <w:r>
        <w:rPr/>
        <w:t>采购包2（成型系统）：</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 为本项目提供整体设计、规范编制或者项目管理、监理、检测等服务的供应商，不得再参与本项目投标。 依据投标函相关承诺要求内容。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广州市国科招标代理有限公司网（www.gzgkbidding.com）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佛山中科产业技术研究院</w:t>
      </w:r>
    </w:p>
    <w:p>
      <w:pPr>
        <w:pStyle w:val="null3"/>
        <w:ind w:firstLine="480"/>
      </w:pPr>
      <w:r>
        <w:rPr/>
        <w:t xml:space="preserve"> 地址：</w:t>
      </w:r>
      <w:r>
        <w:rPr/>
        <w:t>佛山市南海区桂城天佑三路3号南海科学馆A座5楼</w:t>
      </w:r>
    </w:p>
    <w:p>
      <w:pPr>
        <w:pStyle w:val="null3"/>
        <w:ind w:firstLine="480"/>
      </w:pPr>
      <w:r>
        <w:rPr/>
        <w:t xml:space="preserve"> 联系方式：</w:t>
      </w:r>
      <w:r>
        <w:rPr/>
        <w:t>0757-81019072</w:t>
      </w:r>
    </w:p>
    <w:p>
      <w:pPr>
        <w:pStyle w:val="null3"/>
        <w:outlineLvl w:val="3"/>
      </w:pPr>
      <w:r>
        <w:rPr>
          <w:sz w:val="24"/>
          <w:b/>
        </w:rPr>
        <w:t xml:space="preserve"> 2.采购代理机构信息</w:t>
      </w:r>
    </w:p>
    <w:p>
      <w:pPr>
        <w:pStyle w:val="null3"/>
        <w:ind w:firstLine="480"/>
      </w:pPr>
      <w:r>
        <w:rPr/>
        <w:t xml:space="preserve"> 名称：</w:t>
      </w:r>
      <w:r>
        <w:rPr/>
        <w:t>广州市国科招标代理有限公司</w:t>
      </w:r>
    </w:p>
    <w:p>
      <w:pPr>
        <w:pStyle w:val="null3"/>
        <w:ind w:firstLine="480"/>
      </w:pPr>
      <w:r>
        <w:rPr/>
        <w:t xml:space="preserve"> 地址：</w:t>
      </w:r>
      <w:r>
        <w:rPr/>
        <w:t>广州市先烈中路100号科学院大院9号楼东座2楼（中国广州分析测试中心对面）</w:t>
      </w:r>
    </w:p>
    <w:p>
      <w:pPr>
        <w:pStyle w:val="null3"/>
        <w:ind w:firstLine="480"/>
      </w:pPr>
      <w:r>
        <w:rPr/>
        <w:t xml:space="preserve"> 联系方式：</w:t>
      </w:r>
      <w:r>
        <w:rPr/>
        <w:t>0757-83277829</w:t>
      </w:r>
    </w:p>
    <w:p>
      <w:pPr>
        <w:pStyle w:val="null3"/>
        <w:outlineLvl w:val="3"/>
      </w:pPr>
      <w:r>
        <w:rPr>
          <w:sz w:val="24"/>
          <w:b/>
        </w:rPr>
        <w:t xml:space="preserve"> 3.项目联系方式</w:t>
      </w:r>
    </w:p>
    <w:p>
      <w:pPr>
        <w:pStyle w:val="null3"/>
        <w:ind w:firstLine="480"/>
      </w:pPr>
      <w:r>
        <w:rPr/>
        <w:t xml:space="preserve"> 项目联系人：</w:t>
      </w:r>
      <w:r>
        <w:rPr/>
        <w:t>黄兰香</w:t>
      </w:r>
    </w:p>
    <w:p>
      <w:pPr>
        <w:pStyle w:val="null3"/>
        <w:ind w:firstLine="480"/>
      </w:pPr>
      <w:r>
        <w:rPr/>
        <w:t xml:space="preserve"> 电话：</w:t>
      </w:r>
      <w:r>
        <w:rPr/>
        <w:t>0757-83277829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广州市国科招标代理有限公司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（一）</w:t>
      </w:r>
      <w:r>
        <w:rPr>
          <w:sz w:val="21"/>
          <w:b/>
        </w:rPr>
        <w:t>项目编号：</w:t>
      </w:r>
      <w:r>
        <w:rPr>
          <w:sz w:val="21"/>
          <w:b/>
        </w:rPr>
        <w:t>GZGK24D656A0884Z</w:t>
      </w:r>
    </w:p>
    <w:p>
      <w:pPr>
        <w:pStyle w:val="null3"/>
        <w:ind w:left="420"/>
        <w:jc w:val="both"/>
      </w:pPr>
      <w:r>
        <w:rPr>
          <w:sz w:val="21"/>
          <w:b/>
        </w:rPr>
        <w:t>（二）</w:t>
      </w:r>
      <w:r>
        <w:rPr>
          <w:sz w:val="21"/>
          <w:b/>
        </w:rPr>
        <w:t>项目名称：</w:t>
      </w:r>
      <w:r>
        <w:rPr>
          <w:sz w:val="21"/>
        </w:rPr>
        <w:t>混合现实脊柱微创手术导航系统及仿真训练智能平台项目第一期仪器设备（第一批）采购</w:t>
      </w:r>
    </w:p>
    <w:p>
      <w:pPr>
        <w:pStyle w:val="null3"/>
        <w:ind w:left="420"/>
        <w:jc w:val="both"/>
      </w:pPr>
      <w:r>
        <w:rPr>
          <w:sz w:val="21"/>
          <w:b/>
        </w:rPr>
        <w:t>（三）</w:t>
      </w:r>
      <w:r>
        <w:rPr>
          <w:sz w:val="21"/>
          <w:b/>
        </w:rPr>
        <w:t>总体要求说明：</w:t>
      </w:r>
    </w:p>
    <w:p>
      <w:pPr>
        <w:pStyle w:val="null3"/>
        <w:jc w:val="both"/>
      </w:pPr>
      <w:r>
        <w:rPr>
          <w:sz w:val="21"/>
        </w:rPr>
        <w:t>1、</w:t>
      </w:r>
      <w:r>
        <w:rPr>
          <w:sz w:val="21"/>
        </w:rPr>
        <w:t>标有</w:t>
      </w:r>
      <w:r>
        <w:rPr>
          <w:sz w:val="21"/>
        </w:rPr>
        <w:t>“★”的条款</w:t>
      </w:r>
      <w:r>
        <w:rPr>
          <w:sz w:val="21"/>
        </w:rPr>
        <w:t>为必须完全满足的实质性要求</w:t>
      </w:r>
      <w:r>
        <w:rPr>
          <w:sz w:val="21"/>
        </w:rPr>
        <w:t>，投标人如有一项带</w:t>
      </w:r>
      <w:r>
        <w:rPr>
          <w:sz w:val="21"/>
        </w:rPr>
        <w:t>“★”的条款未响应或不满足，将按无效投标处理。</w:t>
      </w:r>
    </w:p>
    <w:p>
      <w:pPr>
        <w:pStyle w:val="null3"/>
        <w:ind w:left="420"/>
        <w:jc w:val="both"/>
      </w:pPr>
      <w:r>
        <w:rPr>
          <w:sz w:val="21"/>
        </w:rPr>
        <w:t>2、</w:t>
      </w:r>
      <w:r>
        <w:rPr>
          <w:sz w:val="21"/>
        </w:rPr>
        <w:t>标有</w:t>
      </w:r>
      <w:r>
        <w:rPr>
          <w:sz w:val="21"/>
        </w:rPr>
        <w:t>“▲”的条款为重要性要求，投标人如有“▲”的条款未响应或负偏离的将被严重扣分。</w:t>
      </w:r>
    </w:p>
    <w:p>
      <w:pPr>
        <w:pStyle w:val="null3"/>
        <w:ind w:left="420"/>
        <w:jc w:val="both"/>
      </w:pPr>
      <w:r>
        <w:rPr>
          <w:sz w:val="21"/>
        </w:rPr>
        <w:t>3、</w:t>
      </w:r>
      <w:r>
        <w:rPr>
          <w:sz w:val="21"/>
        </w:rPr>
        <w:t>投标人必须承诺提供厂商原装、全新的、符合国家及用户提出的有关质量标准的货物。</w:t>
      </w:r>
    </w:p>
    <w:p>
      <w:pPr>
        <w:pStyle w:val="null3"/>
        <w:ind w:left="420"/>
        <w:jc w:val="both"/>
      </w:pPr>
      <w:r>
        <w:rPr>
          <w:sz w:val="21"/>
        </w:rPr>
        <w:t>4、</w:t>
      </w:r>
      <w:r>
        <w:rPr>
          <w:sz w:val="21"/>
        </w:rPr>
        <w:t>投标人应对采购需求中的货物性能和技术指标在响应详细内容中列出具体数值。如果投标人只注明</w:t>
      </w:r>
      <w:r>
        <w:rPr>
          <w:sz w:val="21"/>
        </w:rPr>
        <w:t>“正偏离”或“无偏离”，将</w:t>
      </w:r>
      <w:r>
        <w:rPr>
          <w:sz w:val="21"/>
        </w:rPr>
        <w:t>可能</w:t>
      </w:r>
      <w:r>
        <w:rPr>
          <w:sz w:val="21"/>
        </w:rPr>
        <w:t>被视为</w:t>
      </w:r>
      <w:r>
        <w:rPr>
          <w:sz w:val="21"/>
        </w:rPr>
        <w:t>“负偏离”，从而可能导致严重影响评标结果。</w:t>
      </w:r>
    </w:p>
    <w:p>
      <w:pPr>
        <w:pStyle w:val="null3"/>
        <w:ind w:left="420"/>
        <w:jc w:val="both"/>
      </w:pPr>
      <w:r>
        <w:rPr>
          <w:sz w:val="21"/>
        </w:rPr>
        <w:t>5、</w:t>
      </w:r>
      <w:r>
        <w:rPr>
          <w:sz w:val="21"/>
        </w:rPr>
        <w:t>投标人所投产品除项目采购文件中明确规定要求提供彩页或相应检测报告等证明材料以外，所有技术参数描述均以投标文件为准（投标文件内厂家提供的技术参数描述与投标人投标技术参数描述不一致时，以厂家提供的技术参数描述为准）。投标人须对所投产品技术参数的真实性承担法律责任。</w:t>
      </w:r>
    </w:p>
    <w:p>
      <w:pPr>
        <w:pStyle w:val="null3"/>
        <w:ind w:left="420"/>
        <w:jc w:val="both"/>
      </w:pPr>
      <w:r>
        <w:rPr>
          <w:sz w:val="21"/>
        </w:rPr>
        <w:t>6、</w:t>
      </w:r>
      <w:r>
        <w:rPr>
          <w:sz w:val="21"/>
        </w:rPr>
        <w:t>凡列入《中华人民共和国实施强制性产品认证的产品目录》的产品在验收时必须出具</w:t>
      </w:r>
      <w:r>
        <w:rPr>
          <w:sz w:val="21"/>
        </w:rPr>
        <w:t>CCC认证证书复印件，并以在产品外部加施认证标志作为验收依据之一。</w:t>
      </w:r>
    </w:p>
    <w:p>
      <w:pPr>
        <w:pStyle w:val="null3"/>
        <w:ind w:left="420"/>
        <w:jc w:val="both"/>
      </w:pPr>
      <w:r>
        <w:rPr>
          <w:sz w:val="21"/>
        </w:rPr>
        <w:t>7、</w:t>
      </w:r>
      <w:r>
        <w:rPr>
          <w:sz w:val="21"/>
        </w:rPr>
        <w:t>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p>
    <w:p>
      <w:pPr>
        <w:pStyle w:val="null3"/>
        <w:ind w:left="420"/>
        <w:jc w:val="both"/>
      </w:pPr>
      <w:r>
        <w:rPr>
          <w:sz w:val="21"/>
        </w:rPr>
        <w:t>8、</w:t>
      </w:r>
      <w:r>
        <w:rPr>
          <w:sz w:val="21"/>
        </w:rPr>
        <w:t>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p>
    <w:p>
      <w:pPr>
        <w:pStyle w:val="null3"/>
        <w:ind w:left="420"/>
        <w:jc w:val="both"/>
      </w:pPr>
      <w:r>
        <w:rPr>
          <w:sz w:val="21"/>
        </w:rPr>
        <w:t>9、</w:t>
      </w:r>
      <w:r>
        <w:rPr>
          <w:sz w:val="21"/>
        </w:rPr>
        <w:t>涉及到软件产品的，必须采购和使用正版软件，项目中涉及计算机办公产品的，必须预装正版操作系统软件。</w:t>
      </w:r>
    </w:p>
    <w:p>
      <w:pPr>
        <w:pStyle w:val="null3"/>
        <w:ind w:left="420"/>
        <w:jc w:val="both"/>
      </w:pPr>
      <w:r>
        <w:rPr>
          <w:sz w:val="21"/>
        </w:rPr>
        <w:t>10、</w:t>
      </w:r>
      <w:r>
        <w:rPr>
          <w:sz w:val="21"/>
        </w:rPr>
        <w:t>投标人没有在投标文件中注明偏离（文字说明或在响应表注明）的参数、配置、条款视为被投标人完全接受。</w:t>
      </w:r>
    </w:p>
    <w:p>
      <w:pPr>
        <w:pStyle w:val="null3"/>
        <w:ind w:left="420"/>
        <w:jc w:val="both"/>
      </w:pPr>
      <w:r>
        <w:rPr>
          <w:sz w:val="21"/>
        </w:rPr>
        <w:t>11、</w:t>
      </w:r>
      <w:r>
        <w:rPr>
          <w:sz w:val="21"/>
        </w:rPr>
        <w:t>投标人应保证，采购人在中华人民共和国使用该货物或货物的任何一部分时，免受第三方提出的侵犯其专利权、商标权、著作权或其它知识产权的起诉。</w:t>
      </w:r>
    </w:p>
    <w:p>
      <w:pPr>
        <w:pStyle w:val="null3"/>
        <w:ind w:left="420"/>
        <w:jc w:val="both"/>
      </w:pPr>
      <w:r>
        <w:rPr>
          <w:sz w:val="21"/>
        </w:rPr>
        <w:t>12、</w:t>
      </w:r>
      <w:r>
        <w:rPr>
          <w:sz w:val="21"/>
        </w:rPr>
        <w:t>不允许中标供应商</w:t>
      </w:r>
      <w:r>
        <w:rPr>
          <w:sz w:val="21"/>
        </w:rPr>
        <w:t>转包、分包中标采购包的内容</w:t>
      </w:r>
      <w:r>
        <w:rPr>
          <w:sz w:val="21"/>
        </w:rPr>
        <w:t>。</w:t>
      </w:r>
    </w:p>
    <w:p>
      <w:pPr>
        <w:pStyle w:val="null3"/>
        <w:ind w:left="420"/>
        <w:jc w:val="both"/>
      </w:pPr>
      <w:r>
        <w:rPr>
          <w:sz w:val="21"/>
        </w:rPr>
        <w:t>13、</w:t>
      </w:r>
      <w:r>
        <w:rPr>
          <w:sz w:val="21"/>
        </w:rPr>
        <w:t>符合中小企业政策扶持的企业、监狱企业和残疾人福利性单位必须按照招标文件第三章内容提供相应的资料。</w:t>
      </w:r>
    </w:p>
    <w:p>
      <w:pPr>
        <w:pStyle w:val="null3"/>
        <w:ind w:left="420"/>
        <w:jc w:val="both"/>
      </w:pPr>
      <w:r>
        <w:rPr>
          <w:sz w:val="21"/>
        </w:rPr>
        <w:t>14、</w:t>
      </w:r>
      <w:r>
        <w:rPr>
          <w:sz w:val="21"/>
        </w:rPr>
        <w:t>需落实政府采购政策为：促进中小企业发展政策、支持监狱企业发展政策、支持残疾人福利性单位发展政策、优先采购节能产品、环境标志产品相关政策等。</w:t>
      </w:r>
    </w:p>
    <w:p>
      <w:pPr>
        <w:pStyle w:val="null3"/>
        <w:ind w:left="420"/>
        <w:jc w:val="both"/>
      </w:pPr>
      <w:r>
        <w:rPr>
          <w:sz w:val="21"/>
        </w:rPr>
        <w:t>15、</w:t>
      </w:r>
      <w:r>
        <w:rPr>
          <w:sz w:val="21"/>
        </w:rPr>
        <w:t>单一产品采购项目，提供相同品牌产品且通过资格审查、符合性审查的不同投标人参加同一合同项下投标的，按一家投标人计算；</w:t>
      </w:r>
      <w:r>
        <w:rPr>
          <w:sz w:val="21"/>
          <w:b/>
        </w:rPr>
        <w:t>非单一产品采购项目，提供相同品牌核心产品且通过资格审查、符合性审查的不同投标人参加同一合同项下投标的，按一家投标人计算。</w:t>
      </w:r>
    </w:p>
    <w:p>
      <w:pPr>
        <w:pStyle w:val="null3"/>
        <w:ind w:left="420"/>
        <w:jc w:val="both"/>
      </w:pPr>
      <w:r>
        <w:rPr>
          <w:sz w:val="21"/>
          <w:b/>
        </w:rPr>
        <w:t>16、关于落实中小企业政策的说明：如投标供应商</w:t>
      </w:r>
      <w:r>
        <w:rPr>
          <w:sz w:val="21"/>
          <w:b/>
        </w:rPr>
        <w:t>符合中小企业政策扶持的</w:t>
      </w:r>
      <w:r>
        <w:rPr>
          <w:sz w:val="21"/>
          <w:b/>
        </w:rPr>
        <w:t>，</w:t>
      </w:r>
      <w:r>
        <w:rPr>
          <w:sz w:val="21"/>
          <w:b/>
        </w:rPr>
        <w:t>应填写《中小企业声明函》（货物）（见投标文件格式）作为判定标准，《中小企业声明函》中</w:t>
      </w:r>
      <w:r>
        <w:rPr>
          <w:sz w:val="21"/>
          <w:b/>
        </w:rPr>
        <w:t>“采购文件中明确的所属行业”，本项目是指：工业 。</w:t>
      </w:r>
      <w:r>
        <w:rPr>
          <w:sz w:val="21"/>
        </w:rPr>
        <w:t>残疾人福利性单位填写《残疾人福利性单位声明函》（见投标文件格式）作为判定标准，监狱企业须供应商提供由省级以上监狱管理局、戒毒管理局（含新疆生产建设兵团）出具的属于监狱企业的证明文件，否则不予认定。监狱企业、残疾人福利单位视同小型、微型企业。</w:t>
      </w:r>
      <w:r>
        <w:rPr>
          <w:sz w:val="21"/>
        </w:rPr>
        <w:t>（填写《中小企业声明函》时，关于中小企业划型标准请见《工信部联企业〔</w:t>
      </w:r>
      <w:r>
        <w:rPr>
          <w:sz w:val="21"/>
        </w:rPr>
        <w:t>2011〕300号》：http://www.ccgp.gov.cn/zcfg/mof/201310/t20131029_3587674.htm）</w:t>
      </w:r>
    </w:p>
    <w:p>
      <w:pPr>
        <w:pStyle w:val="null3"/>
        <w:ind w:left="420"/>
        <w:jc w:val="both"/>
      </w:pPr>
      <w:r>
        <w:rPr>
          <w:sz w:val="21"/>
        </w:rPr>
        <w:t>17、关于《中小企业声明函》的更多填写指引，请见《广东省财政厅关于进一步规范政府采购活动中落实促进中小企业发展政策的通知》中“二、关于投标（响应）文件编制”的内容，网址：</w:t>
      </w:r>
      <w:r>
        <w:rPr>
          <w:sz w:val="21"/>
          <w:u w:val="single"/>
        </w:rPr>
        <w:t>https://gdgpo.czt.gd.gov.cn/freecms/site/guangdong/tz/info/2024/15000058.html</w:t>
      </w:r>
      <w:r>
        <w:rPr>
          <w:sz w:val="21"/>
        </w:rPr>
        <w:t>。</w:t>
      </w:r>
    </w:p>
    <w:p>
      <w:pPr>
        <w:pStyle w:val="null3"/>
        <w:ind w:left="420"/>
        <w:jc w:val="both"/>
      </w:pPr>
      <w:r>
        <w:rPr>
          <w:sz w:val="21"/>
          <w:b/>
        </w:rPr>
        <w:t>（四）</w:t>
      </w:r>
      <w:r>
        <w:rPr>
          <w:sz w:val="21"/>
          <w:b/>
        </w:rPr>
        <w:t>其他说明：</w:t>
      </w:r>
    </w:p>
    <w:p>
      <w:pPr>
        <w:pStyle w:val="null3"/>
        <w:ind w:left="420"/>
        <w:jc w:val="both"/>
      </w:pPr>
      <w:r>
        <w:rPr>
          <w:sz w:val="21"/>
        </w:rPr>
        <w:t>1、</w:t>
      </w:r>
      <w:r>
        <w:rPr>
          <w:sz w:val="21"/>
        </w:rPr>
        <w:t>本项目开标方式为远程开标。参与全流程云平台采购项目的供应商登录云平台通过</w:t>
      </w:r>
      <w:r>
        <w:rPr>
          <w:sz w:val="21"/>
        </w:rPr>
        <w:t>“新供应商开标大厅”进行签到及投标文件的解密，签到需在开标时间前30分钟内完成，不需要委派代表前往开标现场。但为了保证开标程序顺利、高效地完成，投标人亦可委派代表携带CA-key、存储有非加密投标文件的U盘及纸质投标文件前往开标现场进行签到、解密。</w:t>
      </w:r>
    </w:p>
    <w:p>
      <w:pPr>
        <w:pStyle w:val="null3"/>
        <w:ind w:left="420"/>
        <w:jc w:val="both"/>
      </w:pPr>
      <w:r>
        <w:rPr>
          <w:sz w:val="21"/>
        </w:rPr>
        <w:t>2、</w:t>
      </w:r>
      <w:r>
        <w:rPr>
          <w:sz w:val="21"/>
        </w:rPr>
        <w:t>纸质投标文件邮寄地址（邮寄地址：广州市先烈中路</w:t>
      </w:r>
      <w:r>
        <w:rPr>
          <w:sz w:val="21"/>
        </w:rPr>
        <w:t>100号科学院大院9号楼东座2楼（中国广州分析测试中心对面），收件人及电话：详见项目公告的项目联系人）。投标人如选择邮寄投标文件，请提前安排时间邮寄，务必保证投标文件于提交投标文件截止时间前到达上述地址（以签收时间为准），并及时将快递单号发送至招标代理机构邮箱：</w:t>
      </w:r>
      <w:r>
        <w:rPr>
          <w:sz w:val="21"/>
        </w:rPr>
        <w:t>gzgk@gzgkbidding.com</w:t>
      </w:r>
      <w:r>
        <w:rPr>
          <w:sz w:val="21"/>
        </w:rPr>
        <w:t>。</w:t>
      </w:r>
    </w:p>
    <w:p>
      <w:pPr>
        <w:pStyle w:val="null3"/>
        <w:ind w:left="420"/>
        <w:jc w:val="both"/>
      </w:pPr>
      <w:r>
        <w:rPr>
          <w:sz w:val="21"/>
        </w:rPr>
        <w:t>3、</w:t>
      </w:r>
      <w:r>
        <w:rPr>
          <w:sz w:val="21"/>
        </w:rPr>
        <w:t>供应商电脑需提前安装</w:t>
      </w:r>
      <w:r>
        <w:rPr>
          <w:sz w:val="21"/>
        </w:rPr>
        <w:t>CA签章客户端，并运行CA证书。</w:t>
      </w:r>
    </w:p>
    <w:p>
      <w:pPr>
        <w:pStyle w:val="null3"/>
        <w:ind w:left="420"/>
        <w:jc w:val="both"/>
      </w:pPr>
      <w:r>
        <w:rPr>
          <w:sz w:val="21"/>
        </w:rPr>
        <w:t>4、</w:t>
      </w:r>
      <w:r>
        <w:rPr>
          <w:sz w:val="21"/>
          <w:b/>
        </w:rPr>
        <w:t>请各投标人在编制投标文件时注意，涉及到签字或签章的地方，请按要求签字或签章后再上传系统。投标文件加密前请注意所有需要签字、签章、盖章的地方是否齐全无缺漏。请保管好</w:t>
      </w:r>
      <w:r>
        <w:rPr>
          <w:sz w:val="21"/>
          <w:b/>
        </w:rPr>
        <w:t>CA证书的密码，如遗忘，请及时重置，以免影响投标文件的解密。</w:t>
      </w:r>
    </w:p>
    <w:p>
      <w:pPr>
        <w:pStyle w:val="null3"/>
        <w:ind w:firstLine="420"/>
        <w:jc w:val="both"/>
      </w:pPr>
      <w:r>
        <w:rPr>
          <w:sz w:val="21"/>
          <w:b/>
        </w:rPr>
        <w:t>（五）</w:t>
      </w:r>
      <w:r>
        <w:rPr>
          <w:sz w:val="21"/>
          <w:b/>
        </w:rPr>
        <w:t>投标报价说明：</w:t>
      </w:r>
    </w:p>
    <w:p>
      <w:pPr>
        <w:pStyle w:val="null3"/>
        <w:ind w:firstLine="420"/>
        <w:jc w:val="both"/>
      </w:pPr>
      <w:r>
        <w:rPr>
          <w:sz w:val="21"/>
        </w:rPr>
        <w:t>价格包括：</w:t>
      </w:r>
      <w:r>
        <w:rPr>
          <w:sz w:val="21"/>
        </w:rPr>
        <w:t>货物及零配件设计费、成本费、运输费、装卸费、保险费、安装费、调试费、初步验收及最终稳定性验收费用、材料费、技术服务费（含联络费、培训费、保修费）、各项税费及不可预见费等完成本招标内容所需的一切费用</w:t>
      </w:r>
      <w:r>
        <w:rPr>
          <w:sz w:val="21"/>
        </w:rPr>
        <w:t>。</w:t>
      </w:r>
    </w:p>
    <w:p>
      <w:pPr>
        <w:pStyle w:val="null3"/>
        <w:ind w:firstLine="420"/>
        <w:jc w:val="both"/>
      </w:pPr>
      <w:r>
        <w:rPr>
          <w:sz w:val="21"/>
          <w:b/>
        </w:rPr>
        <w:t>（六）</w:t>
      </w:r>
      <w:r>
        <w:rPr>
          <w:sz w:val="21"/>
          <w:b/>
        </w:rPr>
        <w:t>需执行国家相关标准、行业标准、地方标准或者其他标准、规范。</w:t>
      </w:r>
    </w:p>
    <w:p>
      <w:pPr>
        <w:pStyle w:val="null3"/>
        <w:ind w:left="420"/>
      </w:pPr>
      <w:r>
        <w:rPr>
          <w:b/>
        </w:rPr>
        <w:t>（七）</w:t>
      </w:r>
      <w:r>
        <w:rPr>
          <w:sz w:val="21"/>
          <w:b/>
          <w:color w:val="000000"/>
        </w:rPr>
        <w:t>重要条款汇总表（以下内容不参与项目任何评审，仅为温馨提醒）</w:t>
      </w:r>
    </w:p>
    <w:tbl>
      <w:tblPr>
        <w:tblW w:w="0" w:type="auto"/>
        <w:tblBorders>
          <w:top w:val="none" w:color="000000" w:sz="4"/>
          <w:left w:val="none" w:color="000000" w:sz="4"/>
          <w:bottom w:val="none" w:color="000000" w:sz="4"/>
          <w:right w:val="none" w:color="000000" w:sz="4"/>
          <w:insideH w:val="none"/>
          <w:insideV w:val="none"/>
        </w:tblBorders>
      </w:tblPr>
      <w:tblGrid>
        <w:gridCol w:w="685"/>
        <w:gridCol w:w="709"/>
        <w:gridCol w:w="6912"/>
      </w:tblGrid>
      <w:tr>
        <w:tc>
          <w:tcPr>
            <w:tcW w:type="dxa" w:w="8306"/>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t xml:space="preserve"> </w:t>
            </w:r>
          </w:p>
        </w:tc>
      </w:tr>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采购包</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6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采购需求中的重要条款</w:t>
            </w:r>
          </w:p>
        </w:tc>
      </w:tr>
      <w:tr>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7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光学定位系统</w:t>
            </w: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（一）光学定位系统主机</w:t>
            </w:r>
            <w:r>
              <w:br/>
            </w:r>
            <w:r>
              <w:rPr>
                <w:sz w:val="21"/>
                <w:color w:val="000000"/>
              </w:rPr>
              <w:t>▲3.视场范围包含：1.0m–2.4m。</w:t>
            </w:r>
            <w:r>
              <w:br/>
            </w:r>
            <w:r>
              <w:rPr>
                <w:sz w:val="21"/>
                <w:color w:val="000000"/>
              </w:rPr>
              <w:t>▲4.最大跟踪标记点数：≤200。</w:t>
            </w:r>
            <w:r>
              <w:br/>
            </w:r>
            <w:r>
              <w:rPr>
                <w:sz w:val="21"/>
                <w:color w:val="000000"/>
              </w:rPr>
              <w:t>▲5.标记点：被动式/主动式。</w:t>
            </w:r>
            <w:r>
              <w:br/>
            </w:r>
            <w:r>
              <w:rPr>
                <w:sz w:val="21"/>
                <w:color w:val="000000"/>
              </w:rPr>
              <w:t>▲9.传输速率：以太网：≤1000Mbps；USB 2.0：Wi-Fi：≤460.8kbps。</w:t>
            </w:r>
            <w:r>
              <w:br/>
            </w:r>
            <w:r>
              <w:rPr>
                <w:sz w:val="21"/>
                <w:color w:val="000000"/>
              </w:rPr>
              <w:t>▲11.SDK：C++/ C#。</w:t>
            </w:r>
            <w:r>
              <w:br/>
            </w:r>
            <w:r>
              <w:rPr>
                <w:sz w:val="21"/>
                <w:color w:val="000000"/>
              </w:rPr>
              <w:t>▲12.工作温度：5℃-40℃。</w:t>
            </w:r>
            <w:r>
              <w:br/>
            </w:r>
            <w:r>
              <w:rPr>
                <w:sz w:val="21"/>
                <w:color w:val="000000"/>
              </w:rPr>
              <w:t>▲13.系统预热时间：≤1min。</w:t>
            </w:r>
            <w:r>
              <w:br/>
            </w:r>
            <w:r>
              <w:rPr>
                <w:sz w:val="21"/>
                <w:color w:val="000000"/>
              </w:rPr>
              <w:t>▲14.储存（运输）温度：-20℃-55℃。</w:t>
            </w:r>
            <w:r>
              <w:br/>
            </w:r>
            <w:r>
              <w:rPr>
                <w:sz w:val="21"/>
                <w:color w:val="000000"/>
              </w:rPr>
              <w:t>▲16.尺寸：不大于650mm×150mm×150mm。</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（四）手术机器人演示设备</w:t>
            </w:r>
            <w:r>
              <w:br/>
            </w:r>
            <w:r>
              <w:rPr>
                <w:sz w:val="21"/>
                <w:b/>
                <w:color w:val="000000"/>
              </w:rPr>
              <w:t>2.机械臂支撑系统</w:t>
            </w:r>
            <w:r>
              <w:br/>
            </w:r>
            <w:r>
              <w:rPr>
                <w:sz w:val="21"/>
                <w:color w:val="000000"/>
              </w:rPr>
              <w:t>2.2电源管理系统：▲(1)电源插座额定电流电压:10A，250V AC；</w:t>
            </w:r>
            <w:r>
              <w:br/>
            </w:r>
            <w:r>
              <w:rPr>
                <w:sz w:val="21"/>
                <w:color w:val="000000"/>
              </w:rPr>
              <w:t>2.3电动支撑系统：▲(2)行程（典型值）：≥60mm；</w:t>
            </w:r>
            <w:r>
              <w:br/>
            </w:r>
            <w:r>
              <w:rPr>
                <w:sz w:val="21"/>
                <w:b/>
                <w:color w:val="000000"/>
              </w:rPr>
              <w:t>3.机械臂</w:t>
            </w:r>
            <w:r>
              <w:br/>
            </w:r>
            <w:r>
              <w:rPr>
                <w:sz w:val="21"/>
                <w:color w:val="000000"/>
              </w:rPr>
              <w:t>▲(4)有效负载：不小于5 KG；</w:t>
            </w:r>
          </w:p>
        </w:tc>
      </w:tr>
      <w:tr>
        <w:tc>
          <w:tcPr>
            <w:tcW w:type="dxa" w:w="685"/>
            <w:vMerge/>
            <w:tcBorders>
              <w:top w:val="none" w:color="000000" w:sz="4"/>
              <w:left w:val="single" w:color="000000" w:sz="4"/>
              <w:bottom w:val="single" w:color="000000" w:sz="4"/>
              <w:right w:val="single" w:color="000000" w:sz="4"/>
            </w:tcBorders>
          </w:tcPr>
          <w:p/>
        </w:tc>
        <w:tc>
          <w:tcPr>
            <w:tcW w:type="dxa" w:w="76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数量合计（共</w:t>
            </w:r>
            <w:r>
              <w:rPr>
                <w:sz w:val="21"/>
                <w:color w:val="000000"/>
              </w:rPr>
              <w:t>12项）</w:t>
            </w:r>
          </w:p>
        </w:tc>
      </w:tr>
      <w:tr>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2</w:t>
            </w:r>
          </w:p>
        </w:tc>
        <w:tc>
          <w:tcPr>
            <w:tcW w:type="dxa" w:w="7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固化聚合成型设备</w:t>
            </w:r>
          </w:p>
        </w:tc>
        <w:tc>
          <w:tcPr>
            <w:tcW w:type="dxa" w:w="6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t>▲14.要求设备具备以下5项功能，分别是设备整体管理、自动排版、自动切片、自动化控制、图像前处理，以上功能需要终身免费升级服务，需具备软件著作权，投标人投标时需提供以上5个功能的软件著作权证明材料。</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▲15.光敏树脂材料有白色硬料(不变色)、透明材料、柔性材料可选择。</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▲16.光敏树脂材料为无毒无害材料，投标人投标时须提供国家认可的第三方检测机构出具的无毒无害检测报告。</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▲17.封闭方式:打印腔体封闭且管道引导排气系统。</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▲18.补液方式:自动补液，自动预警。</w:t>
            </w:r>
          </w:p>
        </w:tc>
      </w:tr>
      <w:tr>
        <w:tc>
          <w:tcPr>
            <w:tcW w:type="dxa" w:w="685"/>
            <w:vMerge/>
            <w:tcBorders>
              <w:top w:val="none" w:color="000000" w:sz="4"/>
              <w:left w:val="single" w:color="000000" w:sz="4"/>
              <w:bottom w:val="single" w:color="000000" w:sz="4"/>
              <w:right w:val="single" w:color="000000" w:sz="4"/>
            </w:tcBorders>
          </w:tcPr>
          <w:p/>
        </w:tc>
        <w:tc>
          <w:tcPr>
            <w:tcW w:type="dxa" w:w="709"/>
            <w:vMerge/>
            <w:tcBorders>
              <w:top w:val="none" w:color="000000" w:sz="4"/>
              <w:left w:val="none" w:color="000000" w:sz="4"/>
              <w:bottom w:val="single" w:color="000000" w:sz="4"/>
              <w:right w:val="single" w:color="000000" w:sz="4"/>
            </w:tcBorders>
          </w:tcP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▲19.树脂搅拌:支持一键树脂搅拌。</w:t>
            </w:r>
          </w:p>
        </w:tc>
      </w:tr>
      <w:tr>
        <w:tc>
          <w:tcPr>
            <w:tcW w:type="dxa" w:w="685"/>
            <w:vMerge/>
            <w:tcBorders>
              <w:top w:val="none" w:color="000000" w:sz="4"/>
              <w:left w:val="single" w:color="000000" w:sz="4"/>
              <w:bottom w:val="single" w:color="000000" w:sz="4"/>
              <w:right w:val="single" w:color="000000" w:sz="4"/>
            </w:tcBorders>
          </w:tcPr>
          <w:p/>
        </w:tc>
        <w:tc>
          <w:tcPr>
            <w:tcW w:type="dxa" w:w="76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数量合计（共</w:t>
            </w:r>
            <w:r>
              <w:rPr>
                <w:sz w:val="21"/>
                <w:color w:val="000000"/>
              </w:rPr>
              <w:t>6项）</w:t>
            </w:r>
          </w:p>
        </w:tc>
      </w:tr>
    </w:tbl>
    <w:p>
      <w:pPr>
        <w:pStyle w:val="null3"/>
      </w:pPr>
      <w:r>
        <w:rPr/>
        <w:t xml:space="preserve"> </w:t>
      </w:r>
    </w:p>
    <w:p>
      <w:pPr>
        <w:pStyle w:val="null3"/>
      </w:pPr>
      <w:r>
        <w:rPr/>
        <w:t xml:space="preserve"> </w:t>
      </w:r>
    </w:p>
    <w:p>
      <w:pPr>
        <w:pStyle w:val="null3"/>
      </w:pPr>
      <w:r>
        <w:rPr>
          <w:sz w:val="21"/>
          <w:b/>
          <w:color w:val="000000"/>
        </w:rPr>
        <w:t>★条款汇总表</w:t>
      </w:r>
      <w:r>
        <w:rPr>
          <w:sz w:val="21"/>
          <w:b/>
          <w:color w:val="000000"/>
        </w:rPr>
        <w:t>（以下内容不参与项目任何评审，仅为温馨提醒）</w:t>
      </w:r>
    </w:p>
    <w:tbl>
      <w:tblPr>
        <w:tblW w:w="0" w:type="auto"/>
        <w:tblBorders>
          <w:top w:val="none" w:color="000000" w:sz="4"/>
          <w:left w:val="none" w:color="000000" w:sz="4"/>
          <w:bottom w:val="none" w:color="000000" w:sz="4"/>
          <w:right w:val="none" w:color="000000" w:sz="4"/>
          <w:insideH w:val="none"/>
          <w:insideV w:val="none"/>
        </w:tblBorders>
      </w:tblPr>
      <w:tblGrid>
        <w:gridCol w:w="685"/>
        <w:gridCol w:w="709"/>
        <w:gridCol w:w="6912"/>
      </w:tblGrid>
      <w:tr>
        <w:tc>
          <w:tcPr>
            <w:tcW w:type="dxa" w:w="8306"/>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t xml:space="preserve"> </w:t>
            </w:r>
          </w:p>
        </w:tc>
      </w:tr>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采购包</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采购标的</w:t>
            </w:r>
          </w:p>
        </w:tc>
        <w:tc>
          <w:tcPr>
            <w:tcW w:type="dxa" w:w="6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采购需求中的</w:t>
            </w:r>
            <w:r>
              <w:rPr>
                <w:sz w:val="21"/>
                <w:b/>
                <w:color w:val="000000"/>
              </w:rPr>
              <w:t>★条款</w:t>
            </w:r>
          </w:p>
        </w:tc>
      </w:tr>
      <w:tr>
        <w:tc>
          <w:tcPr>
            <w:tcW w:type="dxa" w:w="6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w:t>
            </w:r>
          </w:p>
        </w:tc>
        <w:tc>
          <w:tcPr>
            <w:tcW w:type="dxa" w:w="70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光学定位系统</w:t>
            </w:r>
          </w:p>
        </w:tc>
        <w:tc>
          <w:tcPr>
            <w:tcW w:type="dxa" w:w="6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（一）光学定位系统主机</w:t>
            </w:r>
            <w:r>
              <w:br/>
            </w:r>
            <w:r>
              <w:rPr>
                <w:sz w:val="21"/>
                <w:color w:val="000000"/>
              </w:rPr>
              <w:t>★1.定位精度：≤0.08mm均方根（RMS）。</w:t>
            </w:r>
            <w:r>
              <w:br/>
            </w:r>
            <w:r>
              <w:rPr>
                <w:sz w:val="21"/>
                <w:color w:val="000000"/>
              </w:rPr>
              <w:t>★2.采样频率：≥96Hz。</w:t>
            </w:r>
            <w:r>
              <w:br/>
            </w:r>
            <w:r>
              <w:rPr>
                <w:sz w:val="21"/>
                <w:color w:val="000000"/>
              </w:rPr>
              <w:t>★6.硬件接口需包含：Ethernet、USB、串口、12V电源接口。</w:t>
            </w:r>
            <w:r>
              <w:br/>
            </w:r>
            <w:r>
              <w:rPr>
                <w:sz w:val="21"/>
                <w:color w:val="000000"/>
              </w:rPr>
              <w:t>★7.数据类型需包含：彩色图像，双目图像，标记点三维坐标，工具6D位置。</w:t>
            </w:r>
            <w:r>
              <w:br/>
            </w:r>
            <w:r>
              <w:rPr>
                <w:sz w:val="21"/>
                <w:color w:val="000000"/>
              </w:rPr>
              <w:t>★8.数据通讯方式需包含：USB3.0（兼容USB2.0）、以太网、WiFi。</w:t>
            </w:r>
            <w:r>
              <w:br/>
            </w:r>
            <w:r>
              <w:rPr>
                <w:sz w:val="21"/>
                <w:color w:val="000000"/>
              </w:rPr>
              <w:t>★10.触控屏：不小于尺寸6.5英寸，分辨率≥480（RGB）×1280，有效面积(mm)不小于60(W)×160(H)。</w:t>
            </w:r>
            <w:r>
              <w:br/>
            </w:r>
            <w:r>
              <w:rPr>
                <w:sz w:val="21"/>
                <w:color w:val="000000"/>
              </w:rPr>
              <w:t>★15.电源：支持适配器供电，输入:AC100-240V 0.8A Max，输出:DC12.0V 2.0A，支持网口供电（POE）。</w:t>
            </w:r>
            <w:r>
              <w:br/>
            </w:r>
            <w:r>
              <w:rPr>
                <w:sz w:val="21"/>
                <w:color w:val="000000"/>
              </w:rPr>
              <w:t>★17.产品符合YY 9706.102-2021(医用电气设备 第1-2部分:基本安全和基本性能的通用要求并列标准:电磁兼容 要求和试验)，GB 4824-2019（工业、科学和医疗设备射频骚扰特性限值和测量方法），GB/T 17626.2-2018（电磁兼容 试验和测量技术静电放电抗扰度试验）,GB/T 17626.3-2016（电磁兼容 试验和测量技术 射频电磁场辐射抗扰度试验）或GB/T 17626.3-2023（电磁兼容 试验和测量技术 第3部分：射频电磁场辐射抗扰度试验）,GB/T 17626.4-2018（电磁兼容 试验和测量技术 电快速瞬变脉冲群抗扰度试验）,GB/T 17626.5-2019（电磁兼容 试验和测量技术 浪涌（冲击）抗扰度试验）,GB/T 17626.6-2017（电磁兼容 试验和测量技术 射频场感应的传导骚扰抗扰度）,GB/T 17626.8-2006（电磁兼容 试验和测量技术 工频磁场抗扰度试验）,GB/T 17626.11-2023（电磁兼容 试验和测量技术 第11部分：对每相输入电流小于或等于16 A设备的电压暂降、短时中断和电压变化抗扰度试验），符合GB 9706.1-2020（医用电气设备 第1部分:基本安全和基本性能的通用要求）。</w:t>
            </w:r>
          </w:p>
        </w:tc>
      </w:tr>
      <w:tr>
        <w:tc>
          <w:tcPr>
            <w:tcW w:type="dxa" w:w="685"/>
            <w:vMerge/>
            <w:tcBorders>
              <w:top w:val="none" w:color="000000" w:sz="4"/>
              <w:left w:val="single" w:color="000000" w:sz="4"/>
              <w:bottom w:val="single" w:color="000000" w:sz="4"/>
              <w:right w:val="single" w:color="000000" w:sz="4"/>
            </w:tcBorders>
          </w:tcPr>
          <w:p/>
        </w:tc>
        <w:tc>
          <w:tcPr>
            <w:tcW w:type="dxa" w:w="7621"/>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数量合计（共</w:t>
            </w:r>
            <w:r>
              <w:rPr>
                <w:sz w:val="21"/>
                <w:color w:val="000000"/>
              </w:rPr>
              <w:t>8项）</w:t>
            </w:r>
          </w:p>
        </w:tc>
      </w:tr>
    </w:tbl>
    <w:p>
      <w:pPr>
        <w:pStyle w:val="null3"/>
      </w:pPr>
      <w:r>
        <w:rPr/>
        <w:t xml:space="preserve"> </w:t>
      </w:r>
    </w:p>
    <w:p>
      <w:pPr>
        <w:pStyle w:val="null3"/>
      </w:pPr>
      <w:r>
        <w:rPr/>
        <w:t>采购包1（光学定位系统）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自合同签订之日30个日历日内完成交货、安装调试及初步验收合格并交付采购人使用</w:t>
            </w:r>
          </w:p>
        </w:tc>
      </w:tr>
      <w:tr>
        <w:tc>
          <w:tcPr>
            <w:tcW w:type="dxa" w:w="4153"/>
          </w:tcPr>
          <w:p>
            <w:pPr>
              <w:pStyle w:val="null3"/>
            </w:pPr>
            <w:r>
              <w:rPr/>
              <w:t>标的提供的地点</w:t>
            </w:r>
          </w:p>
        </w:tc>
        <w:tc>
          <w:tcPr>
            <w:tcW w:type="dxa" w:w="4153"/>
          </w:tcPr>
          <w:p>
            <w:pPr>
              <w:pStyle w:val="null3"/>
            </w:pPr>
            <w:r>
              <w:rPr/>
              <w:t>采购人指定地点（佛山市内）。</w:t>
            </w:r>
          </w:p>
        </w:tc>
      </w:tr>
      <w:tr>
        <w:tc>
          <w:tcPr>
            <w:tcW w:type="dxa" w:w="4153"/>
          </w:tcPr>
          <w:p>
            <w:pPr>
              <w:pStyle w:val="null3"/>
            </w:pPr>
            <w:r>
              <w:rPr/>
              <w:t>付款方式</w:t>
            </w:r>
          </w:p>
        </w:tc>
        <w:tc>
          <w:tcPr>
            <w:tcW w:type="dxa" w:w="4153"/>
          </w:tcPr>
          <w:p>
            <w:pPr>
              <w:pStyle w:val="null3"/>
            </w:pPr>
            <w:r>
              <w:rPr/>
              <w:t>1期：支付比例30%,合同签订后，采购人向中标人支付合同总金额的30%；</w:t>
            </w:r>
          </w:p>
          <w:p>
            <w:pPr>
              <w:pStyle w:val="null3"/>
            </w:pPr>
            <w:r>
              <w:rPr/>
              <w:t>2期：支付比例30%,货物到达采购人指定地点后，采购人向中标人支付合同总金额的30%；</w:t>
            </w:r>
          </w:p>
          <w:p>
            <w:pPr>
              <w:pStyle w:val="null3"/>
            </w:pPr>
            <w:r>
              <w:rPr/>
              <w:t>3期：支付比例35%,货物完成安装、调试和试运行期（30日历天）满后进行初步验收，初步验收合格后，采购人向中标人支付合同总金额的35%；</w:t>
            </w:r>
          </w:p>
          <w:p>
            <w:pPr>
              <w:pStyle w:val="null3"/>
            </w:pPr>
            <w:r>
              <w:rPr/>
              <w:t>4期：支付比例5%,初步验收合格之日起，待设备磨合期1年后，确保设备稳定且检测分析数据准确组织设备最终稳定性验收。最终稳定性验收合格后，采购人向中标人支付合同总金额的5%。 备注： 1）支付方式包括支票、银行汇付（含电汇）等形式； 2）本项目为货物类采购项目，每笔款项支付前中标人须向采购人提供等额正式发票，发票内项目名称为具体产品的销售发票（非服务类发票）。收款方、出具发票方、合同乙方均必须名称一致； 3）付款完毕并不代表合同履约的终止，中标人仍需按合同要求对设备进行质量保修。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1期：1.投标人应提供项目详细的验收方案，包括验收项目、验收标准、验收实施办法等。具体验收方案以采购人要求并确认的为准。 2.初步验收：设备安装完工、调试成功后进入为期30日历天的试运行期，如试运行期内设备运行正常，达到采购人要求，则双方在试运行期满后15个工作日内组织初步验收。 3.最终稳定性验收：初步验收合格之日起，待设备磨合期1年后，确保设备稳定且检测分析数据准确须组织设备最终稳定性验收。 4.初步、最终稳定性验收标准 4.1依次序对照适用标准为： （1）符合中华人民共和国国家安全质量标准、环保标准或行业标准； （2）符合招标文件和响应承诺中采购人认可的合理最佳配置、参数及各项要求； （3）货物来源国家官方标准。 上述标准必须是有关官方机构发布的最新版本的标准。 4.2验收人员： （1）采购人，或其委托的第三方机构（如有）； （2）投标人。 4.3技术资料： （1）交货时，应同时交付产品使用手册、质量检验证书（合格证）等相关资料。 （2）验收后，应提供验收报告。 （3）资料提供方：投标人；资料受理方：采购人。 （4）验收结果确认：验收完毕由采购人及投标人在验收报告上签名确认。 4.4最终验收：中标人派技术人员到采购人指定现场对全部货物进行一次全面检修，并出具验收报告，验收完毕由采购人及中标人在验收报告上签名确认。 5.凡列入《中华人民共和国实施强制性产品认证的产品目录》的产品在验收时必须出具CCC认证证书复印件，并在产品外部加施认证标志作为验收依据之一。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货物质量要求，1.货物特性：货物为原制造商制造的全新产品，无污染，无侵权行为、表面无划损、无任何缺陷隐患，在中国境内可依规安全合法使用。货物为原厂商未启封全新包装，具出厂合格证，序列号、包装箱号与出厂批号一致，并可追索查阅。所有随设备的附件必须齐全。如货物为进口产品，还须提供报关证明、来源合法证明等材料。 2.投标人应将关键主机设备的用户手册、保修手册、有关单证资料及配备件、随机工具等交付给采购人，使用操作及安全须知等重要资料应附有中文说明。</w:t>
            </w:r>
          </w:p>
          <w:p>
            <w:pPr>
              <w:pStyle w:val="null3"/>
            </w:pPr>
            <w:r>
              <w:rPr/>
              <w:t>包装运输，1.包装：投标人所供货物必须为制造商原厂包装，包装质量符合国家相关标准。货物要求有包装材料保护运至现场。因包装不良造成的损失由投标人负责。 2.运输：投标人根据采购人指定的安装地点,负责将货物材料运送到现场，在此过程中的全部运输（包括但不限于装卸车、货物现场的搬运）所产生的全部费用由投标人负责。 3.装卸：各种货物，必须提供装箱清单，按装箱清单验收货物。 4.保管：货物在现场的保管由投标人负责，直至项目安装、验收完毕。</w:t>
            </w:r>
          </w:p>
          <w:p>
            <w:pPr>
              <w:pStyle w:val="null3"/>
            </w:pPr>
            <w:r>
              <w:rPr/>
              <w:t>安装与调试，1.人员及工作要求：投标人应设安装负责人，负责安装协调管理工作。 2.前提要求：投标人应提交详细安装进度表。 3.安装施工：安装所需工具、设施、物料由投标人自备、自费运到现场，完工后自费搬走；投标人必须充分考虑现场的安装难度及安全性，做好施工现场的安全防护、文明施工工作。安装过程中发生的一切责任及费用由投标人负责，如对其他物品或结构造成损坏必须照价赔偿。本项目的施工、安装如涉及场地的开孔及修复，其费用由投标人负责；投标人要做好现场使用安全及文明措施，按有关规定规范设置围栏围护，安全警示等，如发生安全事故，一切责任及费用由投标人负责。 4.调试：投标人必须依照招标文件的要求和投标文件的承诺，将设备、系统安装并调试至正常运行的最佳状态。 5.其他：设备的拆箱、安装、通电、调试等项工作由投标人负责，但必须在采购人指定人员的参与下进行。调试的原始记录须经各方签字后作为验收的文件之一。</w:t>
            </w:r>
          </w:p>
          <w:p>
            <w:pPr>
              <w:pStyle w:val="null3"/>
            </w:pPr>
            <w:r>
              <w:rPr/>
              <w:t>技术培训，1.基本要求：投标人须根据采购人的要求，安排熟悉本项目的专业技术人员在采购人指定的地点（佛山市内）向采购人提供完备、全面的产品使用培训。 2.培训目的：确保采购人能够对设备、系统有足够的了解，能够独立进行日常操作、管理和维护。 3.培训资料：投标人必须为所有被培训人员提供培训用文字资料和讲义等相关用品。所有的资料必须是中文书写。 4.培训费用：所有与本项目有关的培训费用包括差旅、食宿、教材、资料等由投标人负责，均计入本项目投标报价中。</w:t>
            </w:r>
          </w:p>
          <w:p>
            <w:pPr>
              <w:pStyle w:val="null3"/>
            </w:pPr>
            <w:r>
              <w:rPr/>
              <w:t>质量保证期，1.质量保证期（简称“质保期”）均为3年，质保期自货物初步验收合格之日起计算，质保期内投标人对所供货物实行包修、包换、包维护保养（投标人在投标文件中须列出详细质保清单及服务事项）。质保期后提供终身维修保养服务，具体费用另行商定。 2.若国家和/或生产厂家对本项目所涉及货物的质保期的规定高于本项目的要求，应按国家和/或生产厂家的规定执行。注：具体投标人须在投标文件中承诺。 3.质保期内，在非人为因素情况下，一切维修换件保养费用和备品备件均由投标人提供，费用均包含在投标报价中。 4.质保期内，如设备或零部件因非人为因素出现故障而造成短期停用时，则质保期相应顺延。如经维修停用时间持续超过20天时，则质保期在状态恢复正常时重新计算或对故障设备予以重新更换。 5.任何时候，投标人均不能免除因货物本身的缺陷所应负的责任。 6.在质保期内投标人应提供系统升级方面的技术支持服务，服务应当包含在本项目投标报价中。 7.质保期满前1个月内，投标人须派技术人员到采购人指定现场对全部货物进行一次全面检修。</w:t>
            </w:r>
          </w:p>
          <w:p>
            <w:pPr>
              <w:pStyle w:val="null3"/>
            </w:pPr>
            <w:r>
              <w:rPr/>
              <w:t>售后服务，1.投标人应须承诺为用户提供完善的服务，提供及时、方便、全面、有效的技术支持与售后服务，保证项目建设任务的顺利完成，达到项目建设目标。 2.本项目中所采购的相关设备及配件的安装、集成和调试，均需制造商的技术支持服务。投标人承诺技术方案中所涉及的软件，从验收完毕之日开始计算，提供3年免费升级和支持服务，所有费用计入报价总价，不再另行收取。 3.提供7×24小时电话维护响应服务：若电话中无法解决，4小时内到达现场。如是硬件问题必须48小时内解决，否则需提供不低于使用设备的备件，保证系统的正常运行。 4.保修期内，如用户所购设备各部件发生非人为故障，投标人应上门更换同种品牌不低于原规格型号的新部件。 5.保修期内同一硬件一个月内连续3次出现同一故障，投标人须无偿提供同一档次设备供维修期间使用或无偿提供对应技术服务，并不再收取本次维修产生的费用。 6.所有设备保修服务方式均为投标人上门保修，即由投标人派人员到用户设备使用现场维修，由此产生的一切费用均由投标人承担。所有设备必须在明显位置贴有维修热线电话的标识。投标人必须提出保修期内的维修、维护内容和范围的服务方案（不限于产品、技术、模块、部件和升级等内容）。 7.搬迁服务 1.质保期内，采购人向投标人提出对设备进行移动或搬迁的，投标人须派人员到用户设备使用现场指导移动及配合搬迁工作，并及时进行安装调试，确保设备以最快的速度达到最佳运行状态，设备移动或搬迁过程中产生的包装费、人工费、运输费、装卸费等双方另行协商约定。 2.质保期后，采购人向投标人提出对设备进行移动或搬迁的，投标人须派人员到用户设备使用现场指导移动及配合搬迁工作，并提供二次安装调试服务，确保设备以最快的速度达到最佳运行状态，设备移动或搬迁过程中产生的服务费、包装费、人工费、运输费、装卸费等双方另行协商约定。</w:t>
            </w:r>
          </w:p>
          <w:p>
            <w:pPr>
              <w:pStyle w:val="null3"/>
            </w:pPr>
            <w:r>
              <w:rPr/>
              <w:t>保密及知识产权，1.保密要求 （1）在项目建设中涉及到的工程项目，应当签订保密条款或者另行签订保密协议，内容应包括：设计的内容和范围；应具备的保密条件及权限；承担的保密责任；保密纪律和违纪处罚；保密项目的有效时间等。 （2）合同双方保密的内容、期限和泄漏秘密应承担的责任，双方可以约定，无论合同是否发生变更、解除、终止，本条款均有效。 （3）采购人提供给中标人的资料不得向第三方泄密。一旦发生由中标人造成的资料外泄，按《保密法》等追究其责任。 2.知识产权要求 （1）中标人应保证，采购人在中华人民共和国使用该货物或货物的任何一部分时，如受第三方提出的侵犯其专利权、商标权或其他知识产权的起诉，由中标人承担一切责任。 （2）中标人为执行本合同而提供的技术资料、软件的使用权归采购人所有。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其他光学仪器</w:t>
            </w:r>
          </w:p>
        </w:tc>
        <w:tc>
          <w:tcPr>
            <w:tcW w:type="dxa" w:w="831"/>
          </w:tcPr>
          <w:p>
            <w:pPr>
              <w:pStyle w:val="null3"/>
              <w:jc w:val="left"/>
            </w:pPr>
            <w:r>
              <w:rPr/>
              <w:t>光学定位系统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3,279,867.00</w:t>
            </w:r>
          </w:p>
        </w:tc>
        <w:tc>
          <w:tcPr>
            <w:tcW w:type="dxa" w:w="831"/>
          </w:tcPr>
          <w:p>
            <w:pPr>
              <w:pStyle w:val="null3"/>
              <w:jc w:val="right"/>
            </w:pPr>
            <w:r>
              <w:rPr/>
              <w:t>3,279,867.00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光学定位系统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一、设备用途、主要功能、可开展的试验或测试内容</w:t>
            </w:r>
          </w:p>
          <w:p>
            <w:pPr>
              <w:pStyle w:val="null3"/>
              <w:jc w:val="both"/>
            </w:pPr>
            <w:r>
              <w:rPr>
                <w:sz w:val="21"/>
              </w:rPr>
              <w:t>1.本项目采购的</w:t>
            </w:r>
            <w:r>
              <w:rPr>
                <w:sz w:val="21"/>
              </w:rPr>
              <w:t>光学定位系统是基于双目立体视觉进行跟踪和定位的光学导航设备，由双摄像机从不同角度同时获得被测物的两幅数字图像，并基于视差原理恢复出物体的三维几何信息，重建物体三维轮廓及位置，</w:t>
            </w:r>
            <w:r>
              <w:rPr>
                <w:sz w:val="21"/>
              </w:rPr>
              <w:t>且</w:t>
            </w:r>
            <w:r>
              <w:rPr>
                <w:sz w:val="21"/>
              </w:rPr>
              <w:t>可动态地在特定的三维空间中确定任何工具尖端的位置。</w:t>
            </w:r>
            <w:r>
              <w:rPr>
                <w:sz w:val="21"/>
              </w:rPr>
              <w:t>要求具备以下</w:t>
            </w:r>
            <w:r>
              <w:rPr>
                <w:sz w:val="21"/>
              </w:rPr>
              <w:t>特性：</w:t>
            </w:r>
          </w:p>
          <w:p>
            <w:pPr>
              <w:pStyle w:val="null3"/>
              <w:jc w:val="both"/>
            </w:pPr>
            <w:r>
              <w:rPr>
                <w:sz w:val="21"/>
              </w:rPr>
              <w:t>（</w:t>
            </w:r>
            <w:r>
              <w:rPr>
                <w:sz w:val="21"/>
              </w:rPr>
              <w:t xml:space="preserve">1）基于FPGA技术的光学定位系统平台构建，提高双目视觉图像采集的高度同步性、稳定性，有效抑制图像噪声； </w:t>
            </w:r>
          </w:p>
          <w:p>
            <w:pPr>
              <w:pStyle w:val="null3"/>
              <w:jc w:val="both"/>
            </w:pPr>
            <w:r>
              <w:rPr>
                <w:sz w:val="21"/>
              </w:rPr>
              <w:t>（</w:t>
            </w:r>
            <w:r>
              <w:rPr>
                <w:sz w:val="21"/>
              </w:rPr>
              <w:t>2）具有定位追踪精度；</w:t>
            </w:r>
          </w:p>
          <w:p>
            <w:pPr>
              <w:pStyle w:val="null3"/>
              <w:jc w:val="both"/>
            </w:pPr>
            <w:r>
              <w:rPr>
                <w:sz w:val="21"/>
              </w:rPr>
              <w:t>（</w:t>
            </w:r>
            <w:r>
              <w:rPr>
                <w:sz w:val="21"/>
              </w:rPr>
              <w:t>3）配置彩色摄像头和</w:t>
            </w:r>
            <w:r>
              <w:rPr>
                <w:sz w:val="21"/>
              </w:rPr>
              <w:t>图文输出设备</w:t>
            </w:r>
            <w:r>
              <w:rPr>
                <w:sz w:val="21"/>
              </w:rPr>
              <w:t>，可实时记录现场定位跟踪场景；</w:t>
            </w:r>
          </w:p>
          <w:p>
            <w:pPr>
              <w:pStyle w:val="null3"/>
              <w:jc w:val="both"/>
            </w:pPr>
            <w:r>
              <w:rPr>
                <w:sz w:val="21"/>
              </w:rPr>
              <w:t>（</w:t>
            </w:r>
            <w:r>
              <w:rPr>
                <w:sz w:val="21"/>
              </w:rPr>
              <w:t>4）通过</w:t>
            </w:r>
            <w:r>
              <w:rPr>
                <w:sz w:val="21"/>
              </w:rPr>
              <w:t>图文输出设备</w:t>
            </w:r>
            <w:r>
              <w:rPr>
                <w:sz w:val="21"/>
              </w:rPr>
              <w:t>，即时了解系统监测状态及查看双目视觉捕捉状态。</w:t>
            </w:r>
          </w:p>
          <w:p>
            <w:pPr>
              <w:pStyle w:val="null3"/>
              <w:jc w:val="both"/>
            </w:pPr>
            <w:r>
              <w:rPr>
                <w:sz w:val="21"/>
              </w:rPr>
              <w:t>2. 本项目采购的</w:t>
            </w:r>
            <w:r>
              <w:rPr>
                <w:sz w:val="21"/>
              </w:rPr>
              <w:t>光学定位系统</w:t>
            </w:r>
            <w:r>
              <w:rPr>
                <w:sz w:val="21"/>
              </w:rPr>
              <w:t>要求能够</w:t>
            </w:r>
            <w:r>
              <w:rPr>
                <w:sz w:val="21"/>
              </w:rPr>
              <w:t>广泛运用于手术导航、手术机器人及其他以</w:t>
            </w:r>
            <w:r>
              <w:rPr>
                <w:sz w:val="21"/>
              </w:rPr>
              <w:t>“精准定位”为主导的医疗场景，如：口腔种植牙机器人、神外穿刺手术机器人、髋关节导航系统、膝关节置换手术机器人、交叉韧带重建钻孔机器人、踝关节置换手术机器人、经颅磁刺激（导航）机器人、超声治疗（导航）机器人等产品。</w:t>
            </w:r>
          </w:p>
          <w:p>
            <w:pPr>
              <w:pStyle w:val="null3"/>
              <w:jc w:val="both"/>
            </w:pPr>
            <w:r>
              <w:rPr>
                <w:sz w:val="21"/>
                <w:b/>
              </w:rPr>
              <w:t>二、主要技术指标</w:t>
            </w:r>
          </w:p>
          <w:p>
            <w:pPr>
              <w:pStyle w:val="null3"/>
              <w:jc w:val="both"/>
            </w:pPr>
            <w:r>
              <w:rPr>
                <w:sz w:val="21"/>
                <w:b/>
              </w:rPr>
              <w:t>（一）光学定位系统主机</w:t>
            </w:r>
          </w:p>
          <w:p>
            <w:pPr>
              <w:pStyle w:val="null3"/>
              <w:ind w:firstLine="420"/>
              <w:jc w:val="both"/>
            </w:pPr>
            <w:r>
              <w:rPr>
                <w:sz w:val="21"/>
              </w:rPr>
              <w:t>光学定位系统主机可提供对附着在工具上的标记物的实时</w:t>
            </w:r>
            <w:r>
              <w:rPr>
                <w:sz w:val="21"/>
              </w:rPr>
              <w:t>3D位置跟踪，使用近红外光跟踪被动或主动式无线标记物，数量要求2台。</w:t>
            </w:r>
          </w:p>
          <w:p>
            <w:pPr>
              <w:pStyle w:val="null3"/>
              <w:jc w:val="both"/>
            </w:pPr>
            <w:r>
              <w:rPr>
                <w:sz w:val="21"/>
              </w:rPr>
              <w:t>★1.定位精度：≤0.08mm均方根（RMS）。</w:t>
            </w:r>
          </w:p>
          <w:p>
            <w:pPr>
              <w:pStyle w:val="null3"/>
              <w:jc w:val="both"/>
            </w:pPr>
            <w:r>
              <w:rPr>
                <w:sz w:val="21"/>
              </w:rPr>
              <w:t>★2.采样频率：≥96Hz。</w:t>
            </w:r>
          </w:p>
          <w:p>
            <w:pPr>
              <w:pStyle w:val="null3"/>
              <w:jc w:val="both"/>
            </w:pPr>
            <w:r>
              <w:rPr>
                <w:sz w:val="21"/>
              </w:rPr>
              <w:t>▲</w:t>
            </w:r>
            <w:r>
              <w:rPr>
                <w:sz w:val="21"/>
              </w:rPr>
              <w:t>3.视场范围包含：1.0m–2.4m。</w:t>
            </w:r>
          </w:p>
          <w:p>
            <w:pPr>
              <w:pStyle w:val="null3"/>
              <w:jc w:val="both"/>
            </w:pPr>
            <w:r>
              <w:rPr>
                <w:sz w:val="21"/>
              </w:rPr>
              <w:t>▲</w:t>
            </w:r>
            <w:r>
              <w:rPr>
                <w:sz w:val="21"/>
              </w:rPr>
              <w:t>4.最大跟踪标记点数：≤200。</w:t>
            </w:r>
          </w:p>
          <w:p>
            <w:pPr>
              <w:pStyle w:val="null3"/>
              <w:jc w:val="both"/>
            </w:pPr>
            <w:r>
              <w:rPr>
                <w:sz w:val="21"/>
              </w:rPr>
              <w:t>▲</w:t>
            </w:r>
            <w:r>
              <w:rPr>
                <w:sz w:val="21"/>
              </w:rPr>
              <w:t>5.标记点：被动式/主动式。</w:t>
            </w:r>
          </w:p>
          <w:p>
            <w:pPr>
              <w:pStyle w:val="null3"/>
              <w:jc w:val="both"/>
            </w:pPr>
            <w:r>
              <w:rPr>
                <w:sz w:val="21"/>
              </w:rPr>
              <w:t>★6.硬件接口需包含：Ethernet、USB、串口、12V电源接口。</w:t>
            </w:r>
          </w:p>
          <w:p>
            <w:pPr>
              <w:pStyle w:val="null3"/>
              <w:jc w:val="both"/>
            </w:pPr>
            <w:r>
              <w:rPr>
                <w:sz w:val="21"/>
              </w:rPr>
              <w:t>★7.数据类型需包含：彩色图像，双目图像，标记点三维坐标，工具6D位置。</w:t>
            </w:r>
          </w:p>
          <w:p>
            <w:pPr>
              <w:pStyle w:val="null3"/>
              <w:jc w:val="both"/>
            </w:pPr>
            <w:r>
              <w:rPr>
                <w:sz w:val="21"/>
              </w:rPr>
              <w:t>★8.数据通讯方式需包含：USB3.0（兼容USB2.0）、以太网、WiFi。</w:t>
            </w:r>
          </w:p>
          <w:p>
            <w:pPr>
              <w:pStyle w:val="null3"/>
              <w:jc w:val="both"/>
            </w:pPr>
            <w:r>
              <w:rPr>
                <w:sz w:val="21"/>
              </w:rPr>
              <w:t>▲</w:t>
            </w:r>
            <w:r>
              <w:rPr>
                <w:sz w:val="21"/>
              </w:rPr>
              <w:t>9.传输速率：以太网：≤1000Mbps；USB 2.0：Wi-Fi：≤460.8kbps。</w:t>
            </w:r>
          </w:p>
          <w:p>
            <w:pPr>
              <w:pStyle w:val="null3"/>
              <w:jc w:val="both"/>
            </w:pPr>
            <w:r>
              <w:rPr>
                <w:sz w:val="21"/>
              </w:rPr>
              <w:t>★10.触控屏：不小于尺寸6.5英寸，分辨率≥480（RGB）×1280，有效面积(mm)不小于60(W)×160(H)。</w:t>
            </w:r>
          </w:p>
          <w:p>
            <w:pPr>
              <w:pStyle w:val="null3"/>
              <w:jc w:val="both"/>
            </w:pPr>
            <w:r>
              <w:rPr>
                <w:sz w:val="21"/>
              </w:rPr>
              <w:t>▲</w:t>
            </w:r>
            <w:r>
              <w:rPr>
                <w:sz w:val="21"/>
              </w:rPr>
              <w:t>11.SDK：C++/ C#。</w:t>
            </w:r>
          </w:p>
          <w:p>
            <w:pPr>
              <w:pStyle w:val="null3"/>
              <w:jc w:val="both"/>
            </w:pPr>
            <w:r>
              <w:rPr>
                <w:sz w:val="21"/>
              </w:rPr>
              <w:t>▲</w:t>
            </w:r>
            <w:r>
              <w:rPr>
                <w:sz w:val="21"/>
              </w:rPr>
              <w:t>12.工作温度：5℃-40℃。</w:t>
            </w:r>
          </w:p>
          <w:p>
            <w:pPr>
              <w:pStyle w:val="null3"/>
              <w:jc w:val="both"/>
            </w:pPr>
            <w:r>
              <w:rPr>
                <w:sz w:val="21"/>
              </w:rPr>
              <w:t>▲</w:t>
            </w:r>
            <w:r>
              <w:rPr>
                <w:sz w:val="21"/>
              </w:rPr>
              <w:t>13.系统预热时间：≤1min。</w:t>
            </w:r>
          </w:p>
          <w:p>
            <w:pPr>
              <w:pStyle w:val="null3"/>
              <w:jc w:val="both"/>
            </w:pPr>
            <w:r>
              <w:rPr>
                <w:sz w:val="21"/>
              </w:rPr>
              <w:t>▲</w:t>
            </w:r>
            <w:r>
              <w:rPr>
                <w:sz w:val="21"/>
              </w:rPr>
              <w:t>14.储存（运输）温度：-20℃-55℃。</w:t>
            </w:r>
          </w:p>
          <w:p>
            <w:pPr>
              <w:pStyle w:val="null3"/>
              <w:jc w:val="both"/>
            </w:pPr>
            <w:r>
              <w:rPr>
                <w:sz w:val="21"/>
              </w:rPr>
              <w:t>★15.电源：</w:t>
            </w:r>
            <w:r>
              <w:rPr>
                <w:sz w:val="21"/>
              </w:rPr>
              <w:t>支持适配器供电，</w:t>
            </w:r>
            <w:r>
              <w:rPr>
                <w:sz w:val="21"/>
              </w:rPr>
              <w:t>输入</w:t>
            </w:r>
            <w:r>
              <w:rPr>
                <w:sz w:val="21"/>
              </w:rPr>
              <w:t>:AC100-240V 0.8A Max，输出:DC12.0V 2.0A，支持网口供电（POE）。</w:t>
            </w:r>
          </w:p>
          <w:p>
            <w:pPr>
              <w:pStyle w:val="null3"/>
              <w:jc w:val="both"/>
            </w:pPr>
            <w:r>
              <w:rPr>
                <w:sz w:val="21"/>
              </w:rPr>
              <w:t>▲</w:t>
            </w:r>
            <w:r>
              <w:rPr>
                <w:sz w:val="21"/>
              </w:rPr>
              <w:t>16.尺寸：不大于650mm×150mm×150mm。</w:t>
            </w:r>
          </w:p>
          <w:p>
            <w:pPr>
              <w:pStyle w:val="null3"/>
              <w:jc w:val="both"/>
            </w:pPr>
            <w:r>
              <w:rPr>
                <w:sz w:val="21"/>
              </w:rPr>
              <w:t>★17.</w:t>
            </w:r>
            <w:r>
              <w:rPr>
                <w:sz w:val="21"/>
              </w:rPr>
              <w:t>产品符合</w:t>
            </w:r>
            <w:r>
              <w:rPr>
                <w:sz w:val="21"/>
              </w:rPr>
              <w:t>YY 9706.102-2021(医用电气设备 第1-2部分:基本安全和基本性能的通用要求并列标准:电磁兼容 要求和试验)，GB 4824-2019（工业、科学和医疗设备射频骚扰特性限值和测量方法），GB/T 17626.2-2018（电磁兼容 试验和测量技术静电放电抗扰度试验）,GB/T 17626.3-2016（电磁兼容 试验和测量技术 射频电磁场辐射抗扰度试验）或GB/T 17626.3-2023（电磁兼容 试验和测量技术 第3部分：射频电磁场辐射抗扰度试验）,GB/T 17626.4-2018（电磁兼容 试验和测量技术 电快速瞬变脉冲群抗扰度试验）,GB/T 17626.5-2019（电磁兼容 试验和测量技术 浪涌（冲击）抗扰度试验）,GB/T 17626.6-2017（电磁兼容 试验和测量技术 射频场感应的传导骚扰抗扰度）,GB/T 17626.8-2006（电磁兼容 试验和测量技术 工频磁场抗扰度试验）,GB/T 17626.11-2023（电磁兼容 试验和测量技术 第11部分：对每相输入电流小于或等于16 A设备的电压暂降、短时中断和电压变化抗扰度试验），符合GB 9706.1-2020（医用电气设备 第1部分:基本安全和基本性能的通用要求）。</w:t>
            </w:r>
          </w:p>
          <w:p>
            <w:pPr>
              <w:pStyle w:val="null3"/>
              <w:jc w:val="left"/>
            </w:pPr>
            <w:r>
              <w:rPr>
                <w:sz w:val="21"/>
                <w:b/>
              </w:rPr>
              <w:t>（二）光学定位系统台车</w:t>
            </w:r>
          </w:p>
          <w:p>
            <w:pPr>
              <w:pStyle w:val="null3"/>
              <w:ind w:firstLine="420"/>
              <w:jc w:val="both"/>
            </w:pPr>
            <w:r>
              <w:rPr>
                <w:sz w:val="21"/>
              </w:rPr>
              <w:t>光学定位系统台车用于安装固定光学定位系统，可以</w:t>
            </w:r>
            <w:r>
              <w:rPr>
                <w:sz w:val="21"/>
              </w:rPr>
              <w:t>USB和以太网口连接，灵活移动，⽅便调节位置和角度，数量要求2套。</w:t>
            </w:r>
          </w:p>
          <w:p>
            <w:pPr>
              <w:pStyle w:val="null3"/>
              <w:jc w:val="both"/>
            </w:pPr>
            <w:r>
              <w:rPr>
                <w:sz w:val="21"/>
              </w:rPr>
              <w:t>1</w:t>
            </w:r>
            <w:r>
              <w:rPr>
                <w:sz w:val="21"/>
              </w:rPr>
              <w:t>.</w:t>
            </w:r>
            <w:r>
              <w:rPr>
                <w:sz w:val="21"/>
              </w:rPr>
              <w:t>尺寸：不大于</w:t>
            </w:r>
            <w:r>
              <w:rPr>
                <w:sz w:val="21"/>
              </w:rPr>
              <w:t>5</w:t>
            </w:r>
            <w:r>
              <w:rPr>
                <w:sz w:val="21"/>
              </w:rPr>
              <w:t>20</w:t>
            </w:r>
            <w:r>
              <w:rPr>
                <w:sz w:val="21"/>
              </w:rPr>
              <w:t>mm×</w:t>
            </w:r>
            <w:r>
              <w:rPr>
                <w:sz w:val="21"/>
              </w:rPr>
              <w:t>600</w:t>
            </w:r>
            <w:r>
              <w:rPr>
                <w:sz w:val="21"/>
              </w:rPr>
              <w:t>mm×</w:t>
            </w:r>
            <w:r>
              <w:rPr>
                <w:sz w:val="21"/>
              </w:rPr>
              <w:t>2000</w:t>
            </w:r>
            <w:r>
              <w:rPr>
                <w:sz w:val="21"/>
              </w:rPr>
              <w:t>mm。</w:t>
            </w:r>
          </w:p>
          <w:p>
            <w:pPr>
              <w:pStyle w:val="null3"/>
              <w:jc w:val="both"/>
            </w:pPr>
            <w:r>
              <w:rPr>
                <w:sz w:val="21"/>
              </w:rPr>
              <w:t>2</w:t>
            </w:r>
            <w:r>
              <w:rPr>
                <w:sz w:val="21"/>
              </w:rPr>
              <w:t>.</w:t>
            </w:r>
            <w:r>
              <w:rPr>
                <w:sz w:val="21"/>
              </w:rPr>
              <w:t>通信接口需包含：</w:t>
            </w:r>
            <w:r>
              <w:rPr>
                <w:sz w:val="21"/>
              </w:rPr>
              <w:t>USB、RJ</w:t>
            </w:r>
            <w:r>
              <w:rPr>
                <w:sz w:val="21"/>
              </w:rPr>
              <w:t>45</w:t>
            </w:r>
            <w:r>
              <w:rPr>
                <w:sz w:val="21"/>
              </w:rPr>
              <w:t>。</w:t>
            </w:r>
          </w:p>
          <w:p>
            <w:pPr>
              <w:pStyle w:val="null3"/>
              <w:jc w:val="both"/>
            </w:pPr>
            <w:r>
              <w:rPr>
                <w:sz w:val="21"/>
                <w:b/>
              </w:rPr>
              <w:t>（三）</w:t>
            </w:r>
            <w:r>
              <w:rPr>
                <w:sz w:val="21"/>
                <w:b/>
              </w:rPr>
              <w:t>控制系统（硬件）</w:t>
            </w:r>
            <w:r>
              <w:rPr>
                <w:sz w:val="21"/>
                <w:b/>
              </w:rPr>
              <w:t>-双屏</w:t>
            </w:r>
          </w:p>
          <w:p>
            <w:pPr>
              <w:pStyle w:val="null3"/>
              <w:ind w:firstLine="420"/>
              <w:jc w:val="both"/>
            </w:pPr>
            <w:r>
              <w:rPr>
                <w:sz w:val="21"/>
              </w:rPr>
              <w:t>双屏控制系统用于与光学定位系统进行通信，搭载手术机器人软件开发及运行环境，数量要求</w:t>
            </w:r>
            <w:r>
              <w:rPr>
                <w:sz w:val="21"/>
              </w:rPr>
              <w:t>1套。</w:t>
            </w:r>
          </w:p>
          <w:p>
            <w:pPr>
              <w:pStyle w:val="null3"/>
              <w:jc w:val="both"/>
            </w:pPr>
            <w:r>
              <w:rPr>
                <w:sz w:val="21"/>
                <w:b/>
              </w:rPr>
              <w:t>1</w:t>
            </w:r>
            <w:r>
              <w:rPr>
                <w:sz w:val="21"/>
                <w:b/>
              </w:rPr>
              <w:t>.</w:t>
            </w:r>
            <w:r>
              <w:rPr>
                <w:sz w:val="21"/>
                <w:b/>
              </w:rPr>
              <w:t>机械参数</w:t>
            </w:r>
          </w:p>
          <w:p>
            <w:pPr>
              <w:pStyle w:val="null3"/>
              <w:jc w:val="both"/>
            </w:pPr>
            <w:r>
              <w:rPr>
                <w:sz w:val="21"/>
              </w:rPr>
              <w:t>(</w:t>
            </w:r>
            <w:r>
              <w:rPr>
                <w:sz w:val="21"/>
              </w:rPr>
              <w:t>1)</w:t>
            </w:r>
            <w:r>
              <w:rPr>
                <w:sz w:val="21"/>
              </w:rPr>
              <w:t>尺寸：不大于</w:t>
            </w:r>
            <w:r>
              <w:rPr>
                <w:sz w:val="21"/>
              </w:rPr>
              <w:t>550</w:t>
            </w:r>
            <w:r>
              <w:rPr>
                <w:sz w:val="21"/>
              </w:rPr>
              <w:t>mm×</w:t>
            </w:r>
            <w:r>
              <w:rPr>
                <w:sz w:val="21"/>
              </w:rPr>
              <w:t>610</w:t>
            </w:r>
            <w:r>
              <w:rPr>
                <w:sz w:val="21"/>
              </w:rPr>
              <w:t>mm×</w:t>
            </w:r>
            <w:r>
              <w:rPr>
                <w:sz w:val="21"/>
              </w:rPr>
              <w:t>1000</w:t>
            </w:r>
            <w:r>
              <w:rPr>
                <w:sz w:val="21"/>
              </w:rPr>
              <w:t>mm</w:t>
            </w:r>
            <w:r>
              <w:rPr>
                <w:sz w:val="21"/>
              </w:rPr>
              <w:t>(</w:t>
            </w:r>
            <w:r>
              <w:rPr>
                <w:sz w:val="21"/>
              </w:rPr>
              <w:t>操作台面高度</w:t>
            </w:r>
            <w:r>
              <w:rPr>
                <w:sz w:val="21"/>
              </w:rPr>
              <w:t>)</w:t>
            </w:r>
            <w:r>
              <w:rPr>
                <w:sz w:val="21"/>
              </w:rPr>
              <w:t>；</w:t>
            </w:r>
          </w:p>
          <w:p>
            <w:pPr>
              <w:pStyle w:val="null3"/>
              <w:jc w:val="both"/>
            </w:pPr>
            <w:r>
              <w:rPr>
                <w:sz w:val="21"/>
              </w:rPr>
              <w:t>(</w:t>
            </w:r>
            <w:r>
              <w:rPr>
                <w:sz w:val="21"/>
              </w:rPr>
              <w:t>2</w:t>
            </w:r>
            <w:r>
              <w:rPr>
                <w:sz w:val="21"/>
              </w:rPr>
              <w:t>)</w:t>
            </w:r>
            <w:r>
              <w:rPr>
                <w:sz w:val="21"/>
              </w:rPr>
              <w:t>通信接口需包含：</w:t>
            </w:r>
            <w:r>
              <w:rPr>
                <w:sz w:val="21"/>
              </w:rPr>
              <w:t>USB、RJ</w:t>
            </w:r>
            <w:r>
              <w:rPr>
                <w:sz w:val="21"/>
              </w:rPr>
              <w:t>45</w:t>
            </w:r>
            <w:r>
              <w:rPr>
                <w:sz w:val="21"/>
              </w:rPr>
              <w:t>。</w:t>
            </w:r>
          </w:p>
          <w:p>
            <w:pPr>
              <w:pStyle w:val="null3"/>
              <w:jc w:val="both"/>
            </w:pPr>
            <w:r>
              <w:rPr>
                <w:sz w:val="21"/>
                <w:b/>
              </w:rPr>
              <w:t>2.</w:t>
            </w:r>
            <w:r>
              <w:rPr>
                <w:sz w:val="21"/>
                <w:b/>
              </w:rPr>
              <w:t>电源管理系统</w:t>
            </w:r>
          </w:p>
          <w:p>
            <w:pPr>
              <w:pStyle w:val="null3"/>
              <w:jc w:val="both"/>
            </w:pPr>
            <w:r>
              <w:rPr>
                <w:sz w:val="21"/>
              </w:rPr>
              <w:t>(</w:t>
            </w:r>
            <w:r>
              <w:rPr>
                <w:sz w:val="21"/>
              </w:rPr>
              <w:t>1)</w:t>
            </w:r>
            <w:r>
              <w:rPr>
                <w:sz w:val="21"/>
              </w:rPr>
              <w:t>电源插座额定电流电压</w:t>
            </w:r>
            <w:r>
              <w:rPr>
                <w:sz w:val="21"/>
              </w:rPr>
              <w:t>:10A</w:t>
            </w:r>
            <w:r>
              <w:rPr>
                <w:sz w:val="21"/>
              </w:rPr>
              <w:t>，</w:t>
            </w:r>
            <w:r>
              <w:rPr>
                <w:sz w:val="21"/>
              </w:rPr>
              <w:t xml:space="preserve"> 250V AC</w:t>
            </w:r>
            <w:r>
              <w:rPr>
                <w:sz w:val="21"/>
              </w:rPr>
              <w:t>；</w:t>
            </w:r>
          </w:p>
          <w:p>
            <w:pPr>
              <w:pStyle w:val="null3"/>
              <w:jc w:val="both"/>
            </w:pPr>
            <w:r>
              <w:rPr>
                <w:sz w:val="21"/>
              </w:rPr>
              <w:t>(2</w:t>
            </w:r>
            <w:r>
              <w:rPr>
                <w:sz w:val="21"/>
              </w:rPr>
              <w:t>)</w:t>
            </w:r>
            <w:r>
              <w:rPr>
                <w:sz w:val="21"/>
              </w:rPr>
              <w:t>隔离变压器初级额定电压与频率</w:t>
            </w:r>
            <w:r>
              <w:rPr>
                <w:sz w:val="21"/>
              </w:rPr>
              <w:t>:</w:t>
            </w:r>
            <w:r>
              <w:rPr>
                <w:sz w:val="21"/>
              </w:rPr>
              <w:t>AC220V/50Hz</w:t>
            </w:r>
            <w:r>
              <w:rPr>
                <w:sz w:val="21"/>
              </w:rPr>
              <w:t>；</w:t>
            </w:r>
          </w:p>
          <w:p>
            <w:pPr>
              <w:pStyle w:val="null3"/>
              <w:jc w:val="both"/>
            </w:pPr>
            <w:r>
              <w:rPr>
                <w:sz w:val="21"/>
              </w:rPr>
              <w:t>(3</w:t>
            </w:r>
            <w:r>
              <w:rPr>
                <w:sz w:val="21"/>
              </w:rPr>
              <w:t>)</w:t>
            </w:r>
            <w:r>
              <w:rPr>
                <w:sz w:val="21"/>
              </w:rPr>
              <w:t>不间断供电设备额定值（伏安</w:t>
            </w:r>
            <w:r>
              <w:rPr>
                <w:sz w:val="21"/>
              </w:rPr>
              <w:t>/瓦）：≥1150VA/770W ；</w:t>
            </w:r>
          </w:p>
          <w:p>
            <w:pPr>
              <w:pStyle w:val="null3"/>
              <w:jc w:val="both"/>
            </w:pPr>
            <w:r>
              <w:rPr>
                <w:sz w:val="21"/>
              </w:rPr>
              <w:t>(</w:t>
            </w:r>
            <w:r>
              <w:rPr>
                <w:sz w:val="21"/>
              </w:rPr>
              <w:t>4</w:t>
            </w:r>
            <w:r>
              <w:rPr>
                <w:sz w:val="21"/>
              </w:rPr>
              <w:t>)</w:t>
            </w:r>
            <w:r>
              <w:rPr>
                <w:sz w:val="21"/>
              </w:rPr>
              <w:t>不间断供电设备</w:t>
            </w:r>
            <w:r>
              <w:rPr>
                <w:sz w:val="21"/>
              </w:rPr>
              <w:t>50%和70%负载情况下的后备时间：12/7 分钟</w:t>
            </w:r>
            <w:r>
              <w:rPr>
                <w:sz w:val="21"/>
              </w:rPr>
              <w:t>。</w:t>
            </w:r>
          </w:p>
          <w:p>
            <w:pPr>
              <w:pStyle w:val="null3"/>
              <w:jc w:val="both"/>
            </w:pPr>
            <w:r>
              <w:rPr>
                <w:sz w:val="21"/>
                <w:b/>
              </w:rPr>
              <w:t>3</w:t>
            </w:r>
            <w:r>
              <w:rPr>
                <w:sz w:val="21"/>
                <w:b/>
              </w:rPr>
              <w:t>.</w:t>
            </w:r>
            <w:r>
              <w:rPr>
                <w:sz w:val="21"/>
                <w:b/>
              </w:rPr>
              <w:t>工控机</w:t>
            </w:r>
          </w:p>
          <w:p>
            <w:pPr>
              <w:pStyle w:val="null3"/>
              <w:jc w:val="both"/>
            </w:pPr>
            <w:r>
              <w:rPr>
                <w:sz w:val="21"/>
              </w:rPr>
              <w:t>(1</w:t>
            </w:r>
            <w:r>
              <w:rPr>
                <w:sz w:val="21"/>
              </w:rPr>
              <w:t>)</w:t>
            </w:r>
            <w:r>
              <w:rPr>
                <w:sz w:val="21"/>
              </w:rPr>
              <w:t>内存：</w:t>
            </w:r>
            <w:r>
              <w:rPr>
                <w:sz w:val="21"/>
              </w:rPr>
              <w:t>≥1</w:t>
            </w:r>
            <w:r>
              <w:rPr>
                <w:sz w:val="21"/>
              </w:rPr>
              <w:t>6</w:t>
            </w:r>
            <w:r>
              <w:rPr>
                <w:sz w:val="21"/>
              </w:rPr>
              <w:t>GB；</w:t>
            </w:r>
          </w:p>
          <w:p>
            <w:pPr>
              <w:pStyle w:val="null3"/>
              <w:jc w:val="both"/>
            </w:pPr>
            <w:r>
              <w:rPr>
                <w:sz w:val="21"/>
              </w:rPr>
              <w:t>(2</w:t>
            </w:r>
            <w:r>
              <w:rPr>
                <w:sz w:val="21"/>
              </w:rPr>
              <w:t>)</w:t>
            </w:r>
            <w:r>
              <w:rPr>
                <w:sz w:val="21"/>
              </w:rPr>
              <w:t>硬盘：</w:t>
            </w:r>
            <w:r>
              <w:rPr>
                <w:sz w:val="21"/>
              </w:rPr>
              <w:t>≥1TBSSD。</w:t>
            </w:r>
          </w:p>
          <w:p>
            <w:pPr>
              <w:pStyle w:val="null3"/>
              <w:jc w:val="both"/>
            </w:pPr>
            <w:r>
              <w:rPr>
                <w:sz w:val="21"/>
                <w:b/>
              </w:rPr>
              <w:t>4</w:t>
            </w:r>
            <w:r>
              <w:rPr>
                <w:sz w:val="21"/>
                <w:b/>
              </w:rPr>
              <w:t>.</w:t>
            </w:r>
            <w:r>
              <w:rPr>
                <w:sz w:val="21"/>
                <w:b/>
              </w:rPr>
              <w:t>图文输出设备</w:t>
            </w:r>
          </w:p>
          <w:p>
            <w:pPr>
              <w:pStyle w:val="null3"/>
              <w:jc w:val="both"/>
            </w:pPr>
            <w:r>
              <w:rPr>
                <w:sz w:val="21"/>
              </w:rPr>
              <w:t>(</w:t>
            </w:r>
            <w:r>
              <w:rPr>
                <w:sz w:val="21"/>
              </w:rPr>
              <w:t>1)</w:t>
            </w:r>
            <w:r>
              <w:rPr>
                <w:sz w:val="21"/>
              </w:rPr>
              <w:t>数量：</w:t>
            </w:r>
            <w:r>
              <w:rPr>
                <w:sz w:val="21"/>
              </w:rPr>
              <w:t>2台；</w:t>
            </w:r>
          </w:p>
          <w:p>
            <w:pPr>
              <w:pStyle w:val="null3"/>
              <w:jc w:val="both"/>
            </w:pPr>
            <w:r>
              <w:rPr>
                <w:sz w:val="21"/>
              </w:rPr>
              <w:t>(</w:t>
            </w:r>
            <w:r>
              <w:rPr>
                <w:sz w:val="21"/>
              </w:rPr>
              <w:t>2)</w:t>
            </w:r>
            <w:r>
              <w:rPr>
                <w:sz w:val="21"/>
              </w:rPr>
              <w:t>尺寸：</w:t>
            </w:r>
            <w:r>
              <w:rPr>
                <w:sz w:val="21"/>
              </w:rPr>
              <w:t>≥2</w:t>
            </w:r>
            <w:r>
              <w:rPr>
                <w:sz w:val="21"/>
              </w:rPr>
              <w:t>3.8</w:t>
            </w:r>
            <w:r>
              <w:rPr>
                <w:sz w:val="21"/>
              </w:rPr>
              <w:t>英寸。</w:t>
            </w:r>
          </w:p>
          <w:p>
            <w:pPr>
              <w:pStyle w:val="null3"/>
              <w:jc w:val="left"/>
            </w:pPr>
            <w:r>
              <w:rPr>
                <w:sz w:val="21"/>
                <w:b/>
              </w:rPr>
              <w:t>（四）手术机器人演示设备</w:t>
            </w:r>
          </w:p>
          <w:p>
            <w:pPr>
              <w:pStyle w:val="null3"/>
              <w:ind w:firstLine="420"/>
              <w:jc w:val="both"/>
            </w:pPr>
            <w:r>
              <w:rPr>
                <w:sz w:val="21"/>
              </w:rPr>
              <w:t>手术机器人演示设备</w:t>
            </w:r>
            <w:r>
              <w:rPr>
                <w:sz w:val="21"/>
              </w:rPr>
              <w:t>用于与光学定位系统及机械臂进行通信，演示手术机器人操作流程，数量要求</w:t>
            </w:r>
            <w:r>
              <w:rPr>
                <w:sz w:val="21"/>
              </w:rPr>
              <w:t>1套。</w:t>
            </w:r>
          </w:p>
          <w:p>
            <w:pPr>
              <w:pStyle w:val="null3"/>
              <w:jc w:val="both"/>
            </w:pPr>
            <w:r>
              <w:rPr>
                <w:sz w:val="21"/>
                <w:b/>
              </w:rPr>
              <w:t>1.操作台</w:t>
            </w:r>
          </w:p>
          <w:p>
            <w:pPr>
              <w:pStyle w:val="null3"/>
              <w:jc w:val="both"/>
            </w:pPr>
            <w:r>
              <w:rPr>
                <w:sz w:val="21"/>
              </w:rPr>
              <w:t>(</w:t>
            </w:r>
            <w:r>
              <w:rPr>
                <w:sz w:val="21"/>
              </w:rPr>
              <w:t>1)</w:t>
            </w:r>
            <w:r>
              <w:rPr>
                <w:sz w:val="21"/>
              </w:rPr>
              <w:t>操作台：不小于</w:t>
            </w:r>
            <w:r>
              <w:rPr>
                <w:sz w:val="21"/>
              </w:rPr>
              <w:t>1200×600×750mm；</w:t>
            </w:r>
          </w:p>
          <w:p>
            <w:pPr>
              <w:pStyle w:val="null3"/>
              <w:jc w:val="both"/>
            </w:pPr>
            <w:r>
              <w:rPr>
                <w:sz w:val="21"/>
              </w:rPr>
              <w:t>(2</w:t>
            </w:r>
            <w:r>
              <w:rPr>
                <w:sz w:val="21"/>
              </w:rPr>
              <w:t>)</w:t>
            </w:r>
            <w:r>
              <w:rPr>
                <w:sz w:val="21"/>
              </w:rPr>
              <w:t>工作站：配备独立显卡，</w:t>
            </w:r>
            <w:r>
              <w:rPr>
                <w:sz w:val="21"/>
              </w:rPr>
              <w:t>CPU大于或等于十六核，内存容量</w:t>
            </w:r>
            <w:r>
              <w:rPr>
                <w:sz w:val="21"/>
              </w:rPr>
              <w:t>≥</w:t>
            </w:r>
            <w:r>
              <w:rPr>
                <w:sz w:val="21"/>
              </w:rPr>
              <w:t>16GB。</w:t>
            </w:r>
          </w:p>
          <w:p>
            <w:pPr>
              <w:pStyle w:val="null3"/>
              <w:jc w:val="both"/>
            </w:pPr>
            <w:r>
              <w:rPr>
                <w:sz w:val="21"/>
                <w:b/>
              </w:rPr>
              <w:t>2.机械臂支撑系统</w:t>
            </w:r>
          </w:p>
          <w:p>
            <w:pPr>
              <w:pStyle w:val="null3"/>
              <w:ind w:firstLine="315"/>
              <w:jc w:val="both"/>
            </w:pPr>
            <w:r>
              <w:rPr>
                <w:sz w:val="21"/>
              </w:rPr>
              <w:t>机械臂支撑系统用于安装固定机械臂，提高机械臂在手术过程中的稳定性和操作精度。</w:t>
            </w:r>
          </w:p>
          <w:p>
            <w:pPr>
              <w:pStyle w:val="null3"/>
              <w:jc w:val="both"/>
            </w:pPr>
            <w:r>
              <w:rPr>
                <w:sz w:val="21"/>
                <w:b/>
              </w:rPr>
              <w:t>2</w:t>
            </w:r>
            <w:r>
              <w:rPr>
                <w:sz w:val="21"/>
                <w:b/>
              </w:rPr>
              <w:t>.</w:t>
            </w:r>
            <w:r>
              <w:rPr>
                <w:sz w:val="21"/>
                <w:b/>
              </w:rPr>
              <w:t>1机械参数</w:t>
            </w:r>
          </w:p>
          <w:p>
            <w:pPr>
              <w:pStyle w:val="null3"/>
              <w:jc w:val="both"/>
            </w:pPr>
            <w:r>
              <w:rPr>
                <w:sz w:val="21"/>
              </w:rPr>
              <w:t>(</w:t>
            </w:r>
            <w:r>
              <w:rPr>
                <w:sz w:val="21"/>
              </w:rPr>
              <w:t>1)</w:t>
            </w:r>
            <w:r>
              <w:rPr>
                <w:sz w:val="21"/>
              </w:rPr>
              <w:t>尺寸：不大于</w:t>
            </w:r>
            <w:r>
              <w:rPr>
                <w:sz w:val="21"/>
              </w:rPr>
              <w:t>650</w:t>
            </w:r>
            <w:r>
              <w:rPr>
                <w:sz w:val="21"/>
              </w:rPr>
              <w:t>mm×</w:t>
            </w:r>
            <w:r>
              <w:rPr>
                <w:sz w:val="21"/>
              </w:rPr>
              <w:t>800</w:t>
            </w:r>
            <w:r>
              <w:rPr>
                <w:sz w:val="21"/>
              </w:rPr>
              <w:t>mm×</w:t>
            </w:r>
            <w:r>
              <w:rPr>
                <w:sz w:val="21"/>
              </w:rPr>
              <w:t>900</w:t>
            </w:r>
            <w:r>
              <w:rPr>
                <w:sz w:val="21"/>
              </w:rPr>
              <w:t>mm；</w:t>
            </w:r>
          </w:p>
          <w:p>
            <w:pPr>
              <w:pStyle w:val="null3"/>
              <w:jc w:val="both"/>
            </w:pPr>
            <w:r>
              <w:rPr>
                <w:sz w:val="21"/>
              </w:rPr>
              <w:t>(</w:t>
            </w:r>
            <w:r>
              <w:rPr>
                <w:sz w:val="21"/>
              </w:rPr>
              <w:t>2</w:t>
            </w:r>
            <w:r>
              <w:rPr>
                <w:sz w:val="21"/>
              </w:rPr>
              <w:t>)</w:t>
            </w:r>
            <w:r>
              <w:rPr>
                <w:sz w:val="21"/>
              </w:rPr>
              <w:t>通信接口：</w:t>
            </w:r>
            <w:r>
              <w:rPr>
                <w:sz w:val="21"/>
              </w:rPr>
              <w:t>USB、RJ</w:t>
            </w:r>
            <w:r>
              <w:rPr>
                <w:sz w:val="21"/>
              </w:rPr>
              <w:t>45</w:t>
            </w:r>
            <w:r>
              <w:rPr>
                <w:sz w:val="21"/>
              </w:rPr>
              <w:t>。</w:t>
            </w:r>
          </w:p>
          <w:p>
            <w:pPr>
              <w:pStyle w:val="null3"/>
              <w:jc w:val="both"/>
            </w:pPr>
            <w:r>
              <w:rPr>
                <w:sz w:val="21"/>
                <w:b/>
              </w:rPr>
              <w:t>2.</w:t>
            </w:r>
            <w:r>
              <w:rPr>
                <w:sz w:val="21"/>
                <w:b/>
              </w:rPr>
              <w:t>2电源管理系统</w:t>
            </w:r>
          </w:p>
          <w:p>
            <w:pPr>
              <w:pStyle w:val="null3"/>
              <w:jc w:val="both"/>
            </w:pPr>
            <w:r>
              <w:rPr>
                <w:sz w:val="21"/>
              </w:rPr>
              <w:t>▲</w:t>
            </w:r>
            <w:r>
              <w:rPr>
                <w:sz w:val="20"/>
              </w:rPr>
              <w:t>(</w:t>
            </w:r>
            <w:r>
              <w:rPr>
                <w:sz w:val="20"/>
              </w:rPr>
              <w:t>1)</w:t>
            </w:r>
            <w:r>
              <w:rPr>
                <w:sz w:val="20"/>
              </w:rPr>
              <w:t>电源插座额定电流电压</w:t>
            </w:r>
            <w:r>
              <w:rPr>
                <w:sz w:val="20"/>
              </w:rPr>
              <w:t>:10A</w:t>
            </w:r>
            <w:r>
              <w:rPr>
                <w:sz w:val="20"/>
              </w:rPr>
              <w:t>，</w:t>
            </w:r>
            <w:r>
              <w:rPr>
                <w:sz w:val="20"/>
              </w:rPr>
              <w:t>250V AC</w:t>
            </w:r>
            <w:r>
              <w:rPr>
                <w:sz w:val="20"/>
              </w:rPr>
              <w:t>；</w:t>
            </w:r>
          </w:p>
          <w:p>
            <w:pPr>
              <w:pStyle w:val="null3"/>
              <w:jc w:val="both"/>
            </w:pPr>
            <w:r>
              <w:rPr>
                <w:sz w:val="20"/>
              </w:rPr>
              <w:t>(2</w:t>
            </w:r>
            <w:r>
              <w:rPr>
                <w:sz w:val="20"/>
              </w:rPr>
              <w:t>)</w:t>
            </w:r>
            <w:r>
              <w:rPr>
                <w:sz w:val="20"/>
              </w:rPr>
              <w:t xml:space="preserve"> </w:t>
            </w:r>
            <w:r>
              <w:rPr>
                <w:sz w:val="20"/>
              </w:rPr>
              <w:t>隔离变压器初级额定电压与频率</w:t>
            </w:r>
            <w:r>
              <w:rPr>
                <w:sz w:val="20"/>
              </w:rPr>
              <w:t>:</w:t>
            </w:r>
            <w:r>
              <w:rPr>
                <w:sz w:val="20"/>
              </w:rPr>
              <w:t>AC220V/50Hz</w:t>
            </w:r>
            <w:r>
              <w:rPr>
                <w:sz w:val="20"/>
              </w:rPr>
              <w:t>；</w:t>
            </w:r>
          </w:p>
          <w:p>
            <w:pPr>
              <w:pStyle w:val="null3"/>
              <w:jc w:val="both"/>
            </w:pPr>
            <w:r>
              <w:rPr>
                <w:sz w:val="20"/>
              </w:rPr>
              <w:t>(3) 不间断供电设备额定值（伏安</w:t>
            </w:r>
            <w:r>
              <w:rPr>
                <w:sz w:val="20"/>
              </w:rPr>
              <w:t>/瓦）：≥1150VA/770W ；</w:t>
            </w:r>
          </w:p>
          <w:p>
            <w:pPr>
              <w:pStyle w:val="null3"/>
              <w:jc w:val="both"/>
            </w:pPr>
            <w:r>
              <w:rPr>
                <w:sz w:val="20"/>
              </w:rPr>
              <w:t>(</w:t>
            </w:r>
            <w:r>
              <w:rPr>
                <w:sz w:val="20"/>
              </w:rPr>
              <w:t>4</w:t>
            </w:r>
            <w:r>
              <w:rPr>
                <w:sz w:val="20"/>
              </w:rPr>
              <w:t>)</w:t>
            </w:r>
            <w:r>
              <w:rPr>
                <w:sz w:val="20"/>
              </w:rPr>
              <w:t>不间断供电设备</w:t>
            </w:r>
            <w:r>
              <w:rPr>
                <w:sz w:val="20"/>
              </w:rPr>
              <w:t>50%和70%负载情况下的后备时间：12/7分钟</w:t>
            </w:r>
            <w:r>
              <w:rPr>
                <w:sz w:val="20"/>
              </w:rPr>
              <w:t>。</w:t>
            </w:r>
          </w:p>
          <w:p>
            <w:pPr>
              <w:pStyle w:val="null3"/>
              <w:jc w:val="both"/>
            </w:pPr>
            <w:r>
              <w:rPr>
                <w:sz w:val="21"/>
                <w:b/>
              </w:rPr>
              <w:t>2</w:t>
            </w:r>
            <w:r>
              <w:rPr>
                <w:sz w:val="21"/>
                <w:b/>
              </w:rPr>
              <w:t>.</w:t>
            </w:r>
            <w:r>
              <w:rPr>
                <w:sz w:val="21"/>
                <w:b/>
              </w:rPr>
              <w:t>3电动支撑系统</w:t>
            </w:r>
          </w:p>
          <w:p>
            <w:pPr>
              <w:pStyle w:val="null3"/>
              <w:jc w:val="both"/>
            </w:pPr>
            <w:r>
              <w:rPr>
                <w:sz w:val="21"/>
              </w:rPr>
              <w:t>(</w:t>
            </w:r>
            <w:r>
              <w:rPr>
                <w:sz w:val="21"/>
              </w:rPr>
              <w:t>1)</w:t>
            </w:r>
            <w:r>
              <w:rPr>
                <w:sz w:val="21"/>
              </w:rPr>
              <w:t>工作电压：</w:t>
            </w:r>
            <w:r>
              <w:rPr>
                <w:sz w:val="21"/>
              </w:rPr>
              <w:t>DC24V；</w:t>
            </w:r>
          </w:p>
          <w:p>
            <w:pPr>
              <w:pStyle w:val="null3"/>
              <w:jc w:val="both"/>
            </w:pPr>
            <w:r>
              <w:rPr>
                <w:sz w:val="21"/>
              </w:rPr>
              <w:t>▲</w:t>
            </w:r>
            <w:r>
              <w:rPr>
                <w:sz w:val="21"/>
              </w:rPr>
              <w:t>(2)行程（典型值）：≥60mm；</w:t>
            </w:r>
          </w:p>
          <w:p>
            <w:pPr>
              <w:pStyle w:val="null3"/>
              <w:jc w:val="both"/>
            </w:pPr>
            <w:r>
              <w:rPr>
                <w:sz w:val="21"/>
              </w:rPr>
              <w:t>(3)单个支撑脚静态支撑力≥1000kg。</w:t>
            </w:r>
          </w:p>
          <w:p>
            <w:pPr>
              <w:pStyle w:val="null3"/>
              <w:jc w:val="both"/>
            </w:pPr>
            <w:r>
              <w:rPr>
                <w:sz w:val="21"/>
                <w:b/>
              </w:rPr>
              <w:t>3.机械臂</w:t>
            </w:r>
          </w:p>
          <w:p>
            <w:pPr>
              <w:pStyle w:val="null3"/>
              <w:jc w:val="both"/>
            </w:pPr>
            <w:r>
              <w:rPr>
                <w:sz w:val="21"/>
              </w:rPr>
              <w:t>(1)可重复性：≤0.1mm；</w:t>
            </w:r>
          </w:p>
          <w:p>
            <w:pPr>
              <w:pStyle w:val="null3"/>
              <w:jc w:val="both"/>
            </w:pPr>
            <w:r>
              <w:rPr>
                <w:sz w:val="21"/>
              </w:rPr>
              <w:t>(2)温度范围需包含：0-50℃；</w:t>
            </w:r>
          </w:p>
          <w:p>
            <w:pPr>
              <w:pStyle w:val="null3"/>
              <w:jc w:val="both"/>
            </w:pPr>
            <w:r>
              <w:rPr>
                <w:sz w:val="21"/>
              </w:rPr>
              <w:t>(3)功耗：最低≤90W，典型≥150W，最高不超过325W；</w:t>
            </w:r>
          </w:p>
          <w:p>
            <w:pPr>
              <w:pStyle w:val="null3"/>
              <w:jc w:val="both"/>
            </w:pPr>
            <w:r>
              <w:rPr>
                <w:sz w:val="21"/>
              </w:rPr>
              <w:t>▲</w:t>
            </w:r>
            <w:r>
              <w:rPr>
                <w:sz w:val="21"/>
              </w:rPr>
              <w:t>(4)有效负载：不小于5 KG；</w:t>
            </w:r>
          </w:p>
          <w:p>
            <w:pPr>
              <w:pStyle w:val="null3"/>
              <w:jc w:val="both"/>
            </w:pPr>
            <w:r>
              <w:rPr>
                <w:sz w:val="21"/>
              </w:rPr>
              <w:t>(5)有效工作半径：不小于850mm；</w:t>
            </w:r>
          </w:p>
          <w:p>
            <w:pPr>
              <w:pStyle w:val="null3"/>
              <w:jc w:val="both"/>
            </w:pPr>
            <w:r>
              <w:rPr>
                <w:sz w:val="21"/>
              </w:rPr>
              <w:t>(6)自由度：≥6个旋转关节；</w:t>
            </w:r>
          </w:p>
          <w:p>
            <w:pPr>
              <w:pStyle w:val="null3"/>
              <w:jc w:val="both"/>
            </w:pPr>
            <w:r>
              <w:rPr>
                <w:sz w:val="21"/>
              </w:rPr>
              <w:t>(7)编程：不小于12英寸触摸屏的图形用户界面；</w:t>
            </w:r>
          </w:p>
          <w:p>
            <w:pPr>
              <w:pStyle w:val="null3"/>
              <w:jc w:val="both"/>
            </w:pPr>
            <w:r>
              <w:rPr>
                <w:sz w:val="21"/>
              </w:rPr>
              <w:t>(8)基座：工作范围≥±360°；最大速度≥±180°/s；</w:t>
            </w:r>
          </w:p>
          <w:p>
            <w:pPr>
              <w:pStyle w:val="null3"/>
              <w:jc w:val="both"/>
            </w:pPr>
            <w:r>
              <w:rPr>
                <w:sz w:val="21"/>
              </w:rPr>
              <w:t>(9)肩部：工作范围≥±360°；最大速度≥±180°/s；</w:t>
            </w:r>
          </w:p>
          <w:p>
            <w:pPr>
              <w:pStyle w:val="null3"/>
              <w:jc w:val="both"/>
            </w:pPr>
            <w:r>
              <w:rPr>
                <w:sz w:val="21"/>
              </w:rPr>
              <w:t>(10)肘部：工作范围≥±360°；最大速度≥±180°/s；</w:t>
            </w:r>
          </w:p>
          <w:p>
            <w:pPr>
              <w:pStyle w:val="null3"/>
              <w:jc w:val="both"/>
            </w:pPr>
            <w:r>
              <w:rPr>
                <w:sz w:val="21"/>
              </w:rPr>
              <w:t>(11)腕部1：工作范围≥±360°；最大速度≥±180°/s；</w:t>
            </w:r>
          </w:p>
          <w:p>
            <w:pPr>
              <w:pStyle w:val="null3"/>
              <w:jc w:val="both"/>
            </w:pPr>
            <w:r>
              <w:rPr>
                <w:sz w:val="21"/>
              </w:rPr>
              <w:t>(12)腕部2：工作范围≥±360°；最大速度≥±180°/s；</w:t>
            </w:r>
          </w:p>
          <w:p>
            <w:pPr>
              <w:pStyle w:val="null3"/>
              <w:jc w:val="both"/>
            </w:pPr>
            <w:r>
              <w:rPr>
                <w:sz w:val="21"/>
              </w:rPr>
              <w:t>(13)腕部3：工作范围≥±360°；最大速度≥±180°/s；</w:t>
            </w:r>
          </w:p>
          <w:p>
            <w:pPr>
              <w:pStyle w:val="null3"/>
              <w:jc w:val="both"/>
            </w:pPr>
            <w:r>
              <w:rPr>
                <w:sz w:val="21"/>
              </w:rPr>
              <w:t>(14)工具端最大速度：≥3 m/s；</w:t>
            </w:r>
          </w:p>
          <w:p>
            <w:pPr>
              <w:pStyle w:val="null3"/>
              <w:jc w:val="both"/>
            </w:pPr>
            <w:r>
              <w:rPr>
                <w:sz w:val="21"/>
              </w:rPr>
              <w:t>(15)IP等级：≥IP54；</w:t>
            </w:r>
          </w:p>
          <w:p>
            <w:pPr>
              <w:pStyle w:val="null3"/>
              <w:jc w:val="both"/>
            </w:pPr>
            <w:r>
              <w:rPr>
                <w:sz w:val="21"/>
              </w:rPr>
              <w:t>(16)IOS洁净室等级：≥5；</w:t>
            </w:r>
          </w:p>
          <w:p>
            <w:pPr>
              <w:pStyle w:val="null3"/>
              <w:jc w:val="both"/>
            </w:pPr>
            <w:r>
              <w:rPr>
                <w:sz w:val="21"/>
              </w:rPr>
              <w:t>(17)噪声：≤65dB(A)；</w:t>
            </w:r>
          </w:p>
          <w:p>
            <w:pPr>
              <w:pStyle w:val="null3"/>
              <w:jc w:val="both"/>
            </w:pPr>
            <w:r>
              <w:rPr>
                <w:sz w:val="21"/>
              </w:rPr>
              <w:t>(18)机器人安装：任意角度；</w:t>
            </w:r>
          </w:p>
          <w:p>
            <w:pPr>
              <w:pStyle w:val="null3"/>
              <w:jc w:val="both"/>
            </w:pPr>
            <w:r>
              <w:rPr>
                <w:sz w:val="21"/>
              </w:rPr>
              <w:t>(19)输入/输出端口：数字输入≥2；数字输出≥2；模拟输入≥2；</w:t>
            </w:r>
          </w:p>
          <w:p>
            <w:pPr>
              <w:pStyle w:val="null3"/>
              <w:jc w:val="both"/>
            </w:pPr>
            <w:r>
              <w:rPr>
                <w:sz w:val="21"/>
              </w:rPr>
              <w:t>(20)工具中的输入/输出电源：在工具中为12V/24V 600mA；</w:t>
            </w:r>
          </w:p>
          <w:p>
            <w:pPr>
              <w:pStyle w:val="null3"/>
              <w:jc w:val="both"/>
            </w:pPr>
            <w:r>
              <w:rPr>
                <w:sz w:val="21"/>
              </w:rPr>
              <w:t>(21)工具连接器类型：M8；</w:t>
            </w:r>
          </w:p>
          <w:p>
            <w:pPr>
              <w:pStyle w:val="null3"/>
              <w:jc w:val="both"/>
            </w:pPr>
            <w:r>
              <w:rPr>
                <w:sz w:val="21"/>
              </w:rPr>
              <w:t>(22)电缆长度机械臂：不小于6m；</w:t>
            </w:r>
          </w:p>
          <w:p>
            <w:pPr>
              <w:pStyle w:val="null3"/>
              <w:jc w:val="both"/>
            </w:pPr>
            <w:r>
              <w:rPr>
                <w:sz w:val="21"/>
              </w:rPr>
              <w:t>(23)重量(含电缆)：不超过20KG。</w:t>
            </w:r>
          </w:p>
          <w:p>
            <w:pPr>
              <w:pStyle w:val="null3"/>
              <w:jc w:val="both"/>
            </w:pPr>
            <w:r>
              <w:rPr>
                <w:sz w:val="21"/>
                <w:b/>
              </w:rPr>
              <w:t>4.控制箱</w:t>
            </w:r>
          </w:p>
          <w:p>
            <w:pPr>
              <w:pStyle w:val="null3"/>
              <w:jc w:val="both"/>
            </w:pPr>
            <w:r>
              <w:rPr>
                <w:sz w:val="21"/>
              </w:rPr>
              <w:t>(1)噪声：≤65dB(A)；</w:t>
            </w:r>
          </w:p>
          <w:p>
            <w:pPr>
              <w:pStyle w:val="null3"/>
              <w:jc w:val="both"/>
            </w:pPr>
            <w:r>
              <w:rPr>
                <w:sz w:val="21"/>
              </w:rPr>
              <w:t>(2)输入/输出端口：数字输入≥16；数字输出≥16；模拟输入≥2；模拟输出≥2；</w:t>
            </w:r>
          </w:p>
          <w:p>
            <w:pPr>
              <w:pStyle w:val="null3"/>
              <w:jc w:val="both"/>
            </w:pPr>
            <w:r>
              <w:rPr>
                <w:sz w:val="21"/>
              </w:rPr>
              <w:t>(3)输入/输出电源：24V，2A；</w:t>
            </w:r>
          </w:p>
          <w:p>
            <w:pPr>
              <w:pStyle w:val="null3"/>
              <w:jc w:val="both"/>
            </w:pPr>
            <w:r>
              <w:rPr>
                <w:sz w:val="21"/>
              </w:rPr>
              <w:t>(4)通信配置: TCP/IP≥100Mbit，Modbus TCP，Profinet，EthernetIP；</w:t>
            </w:r>
          </w:p>
          <w:p>
            <w:pPr>
              <w:pStyle w:val="null3"/>
              <w:jc w:val="both"/>
            </w:pPr>
            <w:r>
              <w:rPr>
                <w:sz w:val="21"/>
              </w:rPr>
              <w:t>(5)电源：100-240VAC，50-60Hz。</w:t>
            </w:r>
          </w:p>
          <w:p>
            <w:pPr>
              <w:pStyle w:val="null3"/>
              <w:jc w:val="both"/>
            </w:pPr>
            <w:r>
              <w:rPr>
                <w:sz w:val="21"/>
                <w:b/>
              </w:rPr>
              <w:t>5.示教器</w:t>
            </w:r>
          </w:p>
          <w:p>
            <w:pPr>
              <w:pStyle w:val="null3"/>
              <w:jc w:val="both"/>
            </w:pPr>
            <w:r>
              <w:rPr>
                <w:sz w:val="21"/>
              </w:rPr>
              <w:t>(1)IP等级：≥IP</w:t>
            </w:r>
            <w:r>
              <w:rPr>
                <w:sz w:val="21"/>
              </w:rPr>
              <w:t>54</w:t>
            </w:r>
            <w:r>
              <w:rPr>
                <w:sz w:val="21"/>
              </w:rPr>
              <w:t>；</w:t>
            </w:r>
          </w:p>
          <w:p>
            <w:pPr>
              <w:pStyle w:val="null3"/>
              <w:jc w:val="both"/>
            </w:pPr>
            <w:r>
              <w:rPr>
                <w:sz w:val="21"/>
              </w:rPr>
              <w:t>(2)湿度：≥9</w:t>
            </w:r>
            <w:r>
              <w:rPr>
                <w:sz w:val="21"/>
              </w:rPr>
              <w:t>0%</w:t>
            </w:r>
            <w:r>
              <w:rPr>
                <w:sz w:val="21"/>
              </w:rPr>
              <w:t>相对湿度（非冷凝）；</w:t>
            </w:r>
          </w:p>
          <w:p>
            <w:pPr>
              <w:pStyle w:val="null3"/>
              <w:jc w:val="both"/>
            </w:pPr>
            <w:r>
              <w:rPr>
                <w:sz w:val="21"/>
              </w:rPr>
              <w:t>(</w:t>
            </w:r>
            <w:r>
              <w:rPr>
                <w:sz w:val="21"/>
              </w:rPr>
              <w:t>3)</w:t>
            </w:r>
            <w:r>
              <w:rPr>
                <w:sz w:val="21"/>
              </w:rPr>
              <w:t>显示分辨率：</w:t>
            </w:r>
            <w:r>
              <w:rPr>
                <w:sz w:val="21"/>
              </w:rPr>
              <w:t>≥1</w:t>
            </w:r>
            <w:r>
              <w:rPr>
                <w:sz w:val="21"/>
              </w:rPr>
              <w:t>280</w:t>
            </w:r>
            <w:r>
              <w:rPr>
                <w:sz w:val="21"/>
              </w:rPr>
              <w:t>×</w:t>
            </w:r>
            <w:r>
              <w:rPr>
                <w:sz w:val="21"/>
              </w:rPr>
              <w:t>800</w:t>
            </w:r>
            <w:r>
              <w:rPr>
                <w:sz w:val="21"/>
              </w:rPr>
              <w:t>像素；</w:t>
            </w:r>
          </w:p>
          <w:p>
            <w:pPr>
              <w:pStyle w:val="null3"/>
              <w:jc w:val="both"/>
            </w:pPr>
            <w:r>
              <w:rPr>
                <w:sz w:val="21"/>
              </w:rPr>
              <w:t>(4)电缆长度：不小于4.5m。</w:t>
            </w:r>
          </w:p>
          <w:p>
            <w:pPr>
              <w:pStyle w:val="null3"/>
              <w:jc w:val="both"/>
            </w:pPr>
            <w:r>
              <w:rPr>
                <w:sz w:val="21"/>
                <w:b/>
              </w:rPr>
              <w:t>6.手术机器人软件</w:t>
            </w:r>
          </w:p>
          <w:p>
            <w:pPr>
              <w:pStyle w:val="null3"/>
              <w:ind w:firstLine="315"/>
              <w:jc w:val="both"/>
            </w:pPr>
            <w:r>
              <w:rPr>
                <w:sz w:val="21"/>
              </w:rPr>
              <w:t>手术机器人软件集成了光学定位系统和机械臂软件开发工具包（</w:t>
            </w:r>
            <w:r>
              <w:rPr>
                <w:sz w:val="21"/>
              </w:rPr>
              <w:t>SDK），科研人员可基于手术机器人SDK进行二次开发，实现手术机器人系统功能。，同时为用户提供示例工程与API文档，示例工程可实现从”影响导入-三维可视化-手术路径规划-空间注册-机器人标定-机器人导航“全过程。包含”影响管理、手术规划、手术导航、机械臂控制“四个功能模块。</w:t>
            </w:r>
          </w:p>
          <w:p>
            <w:pPr>
              <w:pStyle w:val="null3"/>
              <w:jc w:val="both"/>
            </w:pPr>
            <w:r>
              <w:rPr>
                <w:sz w:val="21"/>
                <w:b/>
              </w:rPr>
              <w:t>（</w:t>
            </w:r>
            <w:r>
              <w:rPr>
                <w:sz w:val="21"/>
                <w:b/>
              </w:rPr>
              <w:t>1）影像管理模块：</w:t>
            </w:r>
            <w:r>
              <w:rPr>
                <w:sz w:val="21"/>
              </w:rPr>
              <w:t>该模块须提供的接口包括：文件加载、文件信息获取、文件信息设置、文件输出、文件关闭，能处理</w:t>
            </w:r>
            <w:r>
              <w:rPr>
                <w:sz w:val="21"/>
              </w:rPr>
              <w:t>CT/MRI/CBCT等医学影像DICOM数据，实现影像数据解析与加载。开发人员可以基于该模块获取到的影像数据，自行进行图像分割、图像融合等二次开发。</w:t>
            </w:r>
          </w:p>
          <w:p>
            <w:pPr>
              <w:pStyle w:val="null3"/>
              <w:jc w:val="both"/>
            </w:pPr>
            <w:r>
              <w:rPr>
                <w:sz w:val="21"/>
                <w:b/>
              </w:rPr>
              <w:t>（</w:t>
            </w:r>
            <w:r>
              <w:rPr>
                <w:sz w:val="21"/>
                <w:b/>
              </w:rPr>
              <w:t>2）手术规划模块：</w:t>
            </w:r>
            <w:r>
              <w:rPr>
                <w:sz w:val="21"/>
              </w:rPr>
              <w:t>该模块须包含二三维影像显示、选点与交互的相关接口，可以实现三维可视化、二三维界面的交互以及二维面上点的选取（选取的点可以是手动选取或数据自动生成），开发人员可根据需求实现路径规划的二次开发。</w:t>
            </w:r>
          </w:p>
          <w:p>
            <w:pPr>
              <w:pStyle w:val="null3"/>
              <w:jc w:val="both"/>
            </w:pPr>
            <w:r>
              <w:rPr>
                <w:sz w:val="21"/>
                <w:b/>
              </w:rPr>
              <w:t>（</w:t>
            </w:r>
            <w:r>
              <w:rPr>
                <w:sz w:val="21"/>
                <w:b/>
              </w:rPr>
              <w:t>3）手术导航模块：</w:t>
            </w:r>
            <w:r>
              <w:rPr>
                <w:sz w:val="21"/>
              </w:rPr>
              <w:t>该模块须提供的接口包括：定位仪控制的相关接口、标记球提取、空间注册、工具注册和工具信息读取等，实现图像空间与实际空间的配准、手术工具末端信息获取以及导航功能。</w:t>
            </w:r>
          </w:p>
          <w:p>
            <w:pPr>
              <w:pStyle w:val="null3"/>
              <w:jc w:val="both"/>
            </w:pPr>
            <w:r>
              <w:rPr>
                <w:sz w:val="21"/>
                <w:b/>
              </w:rPr>
              <w:t>（</w:t>
            </w:r>
            <w:r>
              <w:rPr>
                <w:sz w:val="21"/>
                <w:b/>
              </w:rPr>
              <w:t>4）机械臂控制模块：</w:t>
            </w:r>
            <w:r>
              <w:rPr>
                <w:sz w:val="21"/>
              </w:rPr>
              <w:t>该模块</w:t>
            </w:r>
            <w:r>
              <w:rPr>
                <w:sz w:val="21"/>
              </w:rPr>
              <w:t>须</w:t>
            </w:r>
            <w:r>
              <w:rPr>
                <w:sz w:val="21"/>
              </w:rPr>
              <w:t>提供的接口包括：机械臂控制、机械臂标定、机械臂导航、定位仪与机械臂的坐标转换、以及</w:t>
            </w:r>
            <w:r>
              <w:rPr>
                <w:sz w:val="21"/>
              </w:rPr>
              <w:t>VTK三维坐标与定位仪坐标转换，实现机械臂导航功能。</w:t>
            </w:r>
          </w:p>
          <w:p>
            <w:pPr>
              <w:pStyle w:val="null3"/>
              <w:jc w:val="both"/>
            </w:pPr>
            <w:r>
              <w:rPr>
                <w:sz w:val="21"/>
                <w:b/>
              </w:rPr>
              <w:t>（五）虚拟混合现实眼镜</w:t>
            </w:r>
          </w:p>
          <w:p>
            <w:pPr>
              <w:pStyle w:val="null3"/>
              <w:ind w:firstLine="420"/>
              <w:jc w:val="both"/>
            </w:pPr>
            <w:r>
              <w:rPr>
                <w:sz w:val="21"/>
              </w:rPr>
              <w:t>每套光学定位系统主机结合</w:t>
            </w:r>
            <w:r>
              <w:rPr>
                <w:sz w:val="21"/>
              </w:rPr>
              <w:t>2套虚拟混合现实眼镜，用于研发可共享投屏的系统，手术机器人演示设备结合3套虚拟混合现实眼镜，共7套，</w:t>
            </w:r>
            <w:r>
              <w:rPr>
                <w:sz w:val="21"/>
              </w:rPr>
              <w:t>可</w:t>
            </w:r>
            <w:r>
              <w:rPr>
                <w:sz w:val="21"/>
              </w:rPr>
              <w:t>进行手术机器人共享演示功能开发，设备参数：</w:t>
            </w:r>
          </w:p>
          <w:p>
            <w:pPr>
              <w:pStyle w:val="null3"/>
              <w:jc w:val="both"/>
            </w:pPr>
            <w:r>
              <w:rPr>
                <w:sz w:val="21"/>
              </w:rPr>
              <w:t>1.图文输出参数：</w:t>
            </w:r>
          </w:p>
          <w:p>
            <w:pPr>
              <w:pStyle w:val="null3"/>
              <w:jc w:val="both"/>
            </w:pPr>
            <w:r>
              <w:rPr>
                <w:sz w:val="21"/>
              </w:rPr>
              <w:t>（</w:t>
            </w:r>
            <w:r>
              <w:rPr>
                <w:sz w:val="21"/>
              </w:rPr>
              <w:t>1）光学：透明全息透镜(波导)；</w:t>
            </w:r>
          </w:p>
          <w:p>
            <w:pPr>
              <w:pStyle w:val="null3"/>
              <w:jc w:val="both"/>
            </w:pPr>
            <w:r>
              <w:rPr>
                <w:sz w:val="21"/>
              </w:rPr>
              <w:t>（</w:t>
            </w:r>
            <w:r>
              <w:rPr>
                <w:sz w:val="21"/>
              </w:rPr>
              <w:t>2）分辨率：≥2k 3:2 光引擎；</w:t>
            </w:r>
          </w:p>
          <w:p>
            <w:pPr>
              <w:pStyle w:val="null3"/>
              <w:jc w:val="both"/>
            </w:pPr>
            <w:r>
              <w:rPr>
                <w:sz w:val="21"/>
              </w:rPr>
              <w:t>（</w:t>
            </w:r>
            <w:r>
              <w:rPr>
                <w:sz w:val="21"/>
              </w:rPr>
              <w:t>3）全息密度：&gt;2.5k 辐射点(每个弧度的光点)；</w:t>
            </w:r>
          </w:p>
          <w:p>
            <w:pPr>
              <w:pStyle w:val="null3"/>
              <w:jc w:val="both"/>
            </w:pPr>
            <w:r>
              <w:rPr>
                <w:sz w:val="21"/>
              </w:rPr>
              <w:t>（</w:t>
            </w:r>
            <w:r>
              <w:rPr>
                <w:sz w:val="21"/>
              </w:rPr>
              <w:t>4）基于眼睛位置的呈现：3D显示。</w:t>
            </w:r>
          </w:p>
          <w:p>
            <w:pPr>
              <w:pStyle w:val="null3"/>
              <w:jc w:val="both"/>
            </w:pPr>
            <w:r>
              <w:rPr>
                <w:sz w:val="21"/>
              </w:rPr>
              <w:t>2.传感器和音频：</w:t>
            </w:r>
          </w:p>
          <w:p>
            <w:pPr>
              <w:pStyle w:val="null3"/>
              <w:jc w:val="both"/>
            </w:pPr>
            <w:r>
              <w:rPr>
                <w:sz w:val="21"/>
              </w:rPr>
              <w:t>（</w:t>
            </w:r>
            <w:r>
              <w:rPr>
                <w:sz w:val="21"/>
              </w:rPr>
              <w:t>1）具备传感器；</w:t>
            </w:r>
          </w:p>
          <w:p>
            <w:pPr>
              <w:pStyle w:val="null3"/>
              <w:jc w:val="both"/>
            </w:pPr>
            <w:r>
              <w:rPr>
                <w:sz w:val="21"/>
              </w:rPr>
              <w:t>（</w:t>
            </w:r>
            <w:r>
              <w:rPr>
                <w:sz w:val="21"/>
              </w:rPr>
              <w:t>2）具备加速度计，陀螺仪，磁力计；</w:t>
            </w:r>
          </w:p>
          <w:p>
            <w:pPr>
              <w:pStyle w:val="null3"/>
              <w:jc w:val="both"/>
            </w:pPr>
            <w:r>
              <w:rPr>
                <w:sz w:val="21"/>
              </w:rPr>
              <w:t>（</w:t>
            </w:r>
            <w:r>
              <w:rPr>
                <w:sz w:val="21"/>
              </w:rPr>
              <w:t>3）传感器像素≥800万像素；</w:t>
            </w:r>
          </w:p>
          <w:p>
            <w:pPr>
              <w:pStyle w:val="null3"/>
              <w:jc w:val="both"/>
            </w:pPr>
            <w:r>
              <w:rPr>
                <w:sz w:val="21"/>
              </w:rPr>
              <w:t>（</w:t>
            </w:r>
            <w:r>
              <w:rPr>
                <w:sz w:val="21"/>
              </w:rPr>
              <w:t>4）麦克风阵列≥5组；</w:t>
            </w:r>
          </w:p>
          <w:p>
            <w:pPr>
              <w:pStyle w:val="null3"/>
              <w:jc w:val="both"/>
            </w:pPr>
            <w:r>
              <w:rPr>
                <w:sz w:val="21"/>
              </w:rPr>
              <w:t>（</w:t>
            </w:r>
            <w:r>
              <w:rPr>
                <w:sz w:val="21"/>
              </w:rPr>
              <w:t>5）扬声器需要内置空间音频。</w:t>
            </w:r>
          </w:p>
          <w:p>
            <w:pPr>
              <w:pStyle w:val="null3"/>
              <w:jc w:val="both"/>
            </w:pPr>
            <w:r>
              <w:rPr>
                <w:sz w:val="21"/>
              </w:rPr>
              <w:t>3.人类理解力：</w:t>
            </w:r>
          </w:p>
          <w:p>
            <w:pPr>
              <w:pStyle w:val="null3"/>
              <w:jc w:val="both"/>
            </w:pPr>
            <w:r>
              <w:rPr>
                <w:sz w:val="21"/>
              </w:rPr>
              <w:t>（</w:t>
            </w:r>
            <w:r>
              <w:rPr>
                <w:sz w:val="21"/>
              </w:rPr>
              <w:t>1）手动追踪：双手全关节模型，直接操作；</w:t>
            </w:r>
          </w:p>
          <w:p>
            <w:pPr>
              <w:pStyle w:val="null3"/>
              <w:jc w:val="both"/>
            </w:pPr>
            <w:r>
              <w:rPr>
                <w:sz w:val="21"/>
              </w:rPr>
              <w:t>（</w:t>
            </w:r>
            <w:r>
              <w:rPr>
                <w:sz w:val="21"/>
              </w:rPr>
              <w:t>2）眼动追踪：实时追踪；</w:t>
            </w:r>
          </w:p>
          <w:p>
            <w:pPr>
              <w:pStyle w:val="null3"/>
              <w:jc w:val="both"/>
            </w:pPr>
            <w:r>
              <w:rPr>
                <w:sz w:val="21"/>
              </w:rPr>
              <w:t>（</w:t>
            </w:r>
            <w:r>
              <w:rPr>
                <w:sz w:val="21"/>
              </w:rPr>
              <w:t>3）语音：设备上的命令和控制，具有互联网连接的自然语言。</w:t>
            </w:r>
          </w:p>
          <w:p>
            <w:pPr>
              <w:pStyle w:val="null3"/>
              <w:jc w:val="both"/>
            </w:pPr>
            <w:r>
              <w:rPr>
                <w:sz w:val="21"/>
              </w:rPr>
              <w:t>4.环境理解：</w:t>
            </w:r>
          </w:p>
          <w:p>
            <w:pPr>
              <w:pStyle w:val="null3"/>
              <w:jc w:val="both"/>
            </w:pPr>
            <w:r>
              <w:rPr>
                <w:sz w:val="21"/>
              </w:rPr>
              <w:t>（</w:t>
            </w:r>
            <w:r>
              <w:rPr>
                <w:sz w:val="21"/>
              </w:rPr>
              <w:t>1）具备6DoF跟踪；</w:t>
            </w:r>
          </w:p>
          <w:p>
            <w:pPr>
              <w:pStyle w:val="null3"/>
              <w:jc w:val="both"/>
            </w:pPr>
            <w:r>
              <w:rPr>
                <w:sz w:val="21"/>
              </w:rPr>
              <w:t>（</w:t>
            </w:r>
            <w:r>
              <w:rPr>
                <w:sz w:val="21"/>
              </w:rPr>
              <w:t>2）空间映射：实时环境网格；</w:t>
            </w:r>
          </w:p>
          <w:p>
            <w:pPr>
              <w:pStyle w:val="null3"/>
              <w:jc w:val="both"/>
            </w:pPr>
            <w:r>
              <w:rPr>
                <w:sz w:val="21"/>
              </w:rPr>
              <w:t>（</w:t>
            </w:r>
            <w:r>
              <w:rPr>
                <w:sz w:val="21"/>
              </w:rPr>
              <w:t>3）混合现实捕捉：混合全息图和物理环境照片和视频。</w:t>
            </w:r>
          </w:p>
          <w:p>
            <w:pPr>
              <w:pStyle w:val="null3"/>
              <w:jc w:val="both"/>
            </w:pPr>
            <w:r>
              <w:rPr>
                <w:sz w:val="21"/>
              </w:rPr>
              <w:t>5.计算和连接：</w:t>
            </w:r>
          </w:p>
          <w:p>
            <w:pPr>
              <w:pStyle w:val="null3"/>
              <w:jc w:val="both"/>
            </w:pPr>
            <w:r>
              <w:rPr>
                <w:sz w:val="21"/>
              </w:rPr>
              <w:t>（</w:t>
            </w:r>
            <w:r>
              <w:rPr>
                <w:sz w:val="21"/>
              </w:rPr>
              <w:t>1）内存：≥4GB；</w:t>
            </w:r>
          </w:p>
          <w:p>
            <w:pPr>
              <w:pStyle w:val="null3"/>
              <w:jc w:val="both"/>
            </w:pPr>
            <w:r>
              <w:rPr>
                <w:sz w:val="21"/>
              </w:rPr>
              <w:t>（</w:t>
            </w:r>
            <w:r>
              <w:rPr>
                <w:sz w:val="21"/>
              </w:rPr>
              <w:t>2）存储：≥64GB；</w:t>
            </w:r>
          </w:p>
          <w:p>
            <w:pPr>
              <w:pStyle w:val="null3"/>
              <w:jc w:val="both"/>
            </w:pPr>
            <w:r>
              <w:rPr>
                <w:sz w:val="21"/>
              </w:rPr>
              <w:t>（</w:t>
            </w:r>
            <w:r>
              <w:rPr>
                <w:sz w:val="21"/>
              </w:rPr>
              <w:t>3）Wi-Fi：Wi-Fi5 (802.11ac 2x2)；</w:t>
            </w:r>
          </w:p>
          <w:p>
            <w:pPr>
              <w:pStyle w:val="null3"/>
              <w:jc w:val="both"/>
            </w:pPr>
            <w:r>
              <w:rPr>
                <w:sz w:val="21"/>
              </w:rPr>
              <w:t>（</w:t>
            </w:r>
            <w:r>
              <w:rPr>
                <w:sz w:val="21"/>
              </w:rPr>
              <w:t>4）蓝牙：5.0；</w:t>
            </w:r>
          </w:p>
          <w:p>
            <w:pPr>
              <w:pStyle w:val="null3"/>
              <w:jc w:val="both"/>
            </w:pPr>
            <w:r>
              <w:rPr>
                <w:sz w:val="21"/>
              </w:rPr>
              <w:t>（</w:t>
            </w:r>
            <w:r>
              <w:rPr>
                <w:sz w:val="21"/>
              </w:rPr>
              <w:t>5）USB：USB C 型；</w:t>
            </w:r>
          </w:p>
          <w:p>
            <w:pPr>
              <w:pStyle w:val="null3"/>
              <w:jc w:val="both"/>
            </w:pPr>
            <w:r>
              <w:rPr>
                <w:sz w:val="21"/>
              </w:rPr>
              <w:t>（</w:t>
            </w:r>
            <w:r>
              <w:rPr>
                <w:sz w:val="21"/>
              </w:rPr>
              <w:t>6）电池使用时间：有效使用2-3小时；</w:t>
            </w:r>
          </w:p>
          <w:p>
            <w:pPr>
              <w:pStyle w:val="null3"/>
              <w:jc w:val="both"/>
            </w:pPr>
            <w:r>
              <w:rPr>
                <w:sz w:val="21"/>
              </w:rPr>
              <w:t>（</w:t>
            </w:r>
            <w:r>
              <w:rPr>
                <w:sz w:val="21"/>
              </w:rPr>
              <w:t>7）充电：配备USB-PD 快速充电。</w:t>
            </w:r>
          </w:p>
          <w:p>
            <w:pPr>
              <w:pStyle w:val="null3"/>
              <w:jc w:val="both"/>
            </w:pPr>
            <w:r>
              <w:rPr>
                <w:sz w:val="21"/>
                <w:b/>
              </w:rPr>
              <w:t>（六）手术器械套件</w:t>
            </w:r>
          </w:p>
          <w:p>
            <w:pPr>
              <w:pStyle w:val="null3"/>
              <w:ind w:firstLine="420"/>
              <w:jc w:val="both"/>
            </w:pPr>
            <w:r>
              <w:rPr>
                <w:sz w:val="21"/>
              </w:rPr>
              <w:t>可实现对目标的定位及跟踪，每个工具有唯一的编码对应文件，不同型号可同时使用，能被光学定位系统识别，获取被追踪坐标位置信息，可以保证定位的稳定性及精准性，数量要求共</w:t>
            </w:r>
            <w:r>
              <w:rPr>
                <w:sz w:val="21"/>
              </w:rPr>
              <w:t>1套。</w:t>
            </w:r>
          </w:p>
          <w:p>
            <w:pPr>
              <w:pStyle w:val="null3"/>
              <w:jc w:val="both"/>
            </w:pPr>
            <w:r>
              <w:rPr>
                <w:sz w:val="21"/>
                <w:b/>
              </w:rPr>
              <w:t>（七）精度验证工装</w:t>
            </w:r>
          </w:p>
          <w:p>
            <w:pPr>
              <w:pStyle w:val="null3"/>
              <w:jc w:val="both"/>
            </w:pPr>
            <w:r>
              <w:rPr>
                <w:sz w:val="21"/>
              </w:rPr>
              <w:t>1.主要用于特定条件下，光学定位系统/设备的基本静态性能（定位精度、重复精度等）的测量，保证测量的稳定性及精确性。</w:t>
            </w:r>
          </w:p>
          <w:p>
            <w:pPr>
              <w:pStyle w:val="null3"/>
              <w:jc w:val="both"/>
            </w:pPr>
            <w:r>
              <w:rPr>
                <w:sz w:val="21"/>
              </w:rPr>
              <w:t>2.具有用于动态参考框架附件的适配器接口的螺纹孔，且有≥47个标记的点排列在不同平面和不同方向的已知位置，需包含计量报告，数量要求共2套。</w:t>
            </w:r>
          </w:p>
          <w:p>
            <w:pPr>
              <w:pStyle w:val="null3"/>
              <w:jc w:val="both"/>
            </w:pPr>
            <w:r>
              <w:rPr>
                <w:sz w:val="21"/>
                <w:b/>
              </w:rPr>
              <w:t>（八）导航定位包</w:t>
            </w:r>
          </w:p>
          <w:p>
            <w:pPr>
              <w:pStyle w:val="null3"/>
              <w:jc w:val="both"/>
            </w:pPr>
            <w:r>
              <w:rPr>
                <w:sz w:val="21"/>
              </w:rPr>
              <w:t>结合光学定位系统使用，在视场范围空间内充当光学定位的测量点，包含不同形式的标记物，用于实验精确定位、检测和跟踪，配套光学定位系统使用，数量要求</w:t>
            </w:r>
            <w:r>
              <w:rPr>
                <w:sz w:val="21"/>
              </w:rPr>
              <w:t>1套。</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采购包2（成型系统）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自合同签订之日30个日历日内完成交货、安装调试及初步验收合格并交付采购人使用</w:t>
            </w:r>
          </w:p>
        </w:tc>
      </w:tr>
      <w:tr>
        <w:tc>
          <w:tcPr>
            <w:tcW w:type="dxa" w:w="4153"/>
          </w:tcPr>
          <w:p>
            <w:pPr>
              <w:pStyle w:val="null3"/>
            </w:pPr>
            <w:r>
              <w:rPr/>
              <w:t>标的提供的地点</w:t>
            </w:r>
          </w:p>
        </w:tc>
        <w:tc>
          <w:tcPr>
            <w:tcW w:type="dxa" w:w="4153"/>
          </w:tcPr>
          <w:p>
            <w:pPr>
              <w:pStyle w:val="null3"/>
            </w:pPr>
            <w:r>
              <w:rPr/>
              <w:t>采购人指定地点（佛山市内）。</w:t>
            </w:r>
          </w:p>
        </w:tc>
      </w:tr>
      <w:tr>
        <w:tc>
          <w:tcPr>
            <w:tcW w:type="dxa" w:w="4153"/>
          </w:tcPr>
          <w:p>
            <w:pPr>
              <w:pStyle w:val="null3"/>
            </w:pPr>
            <w:r>
              <w:rPr/>
              <w:t>付款方式</w:t>
            </w:r>
          </w:p>
        </w:tc>
        <w:tc>
          <w:tcPr>
            <w:tcW w:type="dxa" w:w="4153"/>
          </w:tcPr>
          <w:p>
            <w:pPr>
              <w:pStyle w:val="null3"/>
            </w:pPr>
            <w:r>
              <w:rPr/>
              <w:t>1期：支付比例30%,合同签订后，采购人向中标人支付合同总金额的30%；</w:t>
            </w:r>
          </w:p>
          <w:p>
            <w:pPr>
              <w:pStyle w:val="null3"/>
            </w:pPr>
            <w:r>
              <w:rPr/>
              <w:t>2期：支付比例30%,货物到达采购人指定地点后，采购人向中标人支付合同总金额的30%；</w:t>
            </w:r>
          </w:p>
          <w:p>
            <w:pPr>
              <w:pStyle w:val="null3"/>
            </w:pPr>
            <w:r>
              <w:rPr/>
              <w:t>3期：支付比例35%,货物完成安装、调试和试运行期（30日历天）满后进行初步验收，初步验收合格后，采购人向中标人支付合同总金额的35%；</w:t>
            </w:r>
          </w:p>
          <w:p>
            <w:pPr>
              <w:pStyle w:val="null3"/>
            </w:pPr>
            <w:r>
              <w:rPr/>
              <w:t>4期：支付比例5%,初步验收合格之日起，待设备磨合期1年后，确保设备稳定且检测分析数据准确组织设备最终稳定性验收。最终稳定性验收合格后，采购人向中标人支付合同总金额的5%。 备注： 1）支付方式包括支票、银行汇付（含电汇）等形式； 2）本项目为货物类采购项目，每笔款项支付前中标人须向采购人提供等额正式发票，发票内项目名称为具体产品的销售发票（非服务类发票）。收款方、出具发票方、合同乙方均必须名称一致； 3）付款完毕并不代表合同履约的终止，中标人仍需按合同要求对设备进行质量保修。</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1期：1.投标人应提供项目详细的验收方案，包括验收项目、验收标准、验收实施办法等。具体验收方案以采购人要求并确认的为准。 2.初步验收：设备安装完工、调试成功后进入为期30日历天的试运行期，如试运行期内设备运行正常，达到采购人要求，则双方在试运行期满后15个工作日内组织初步验收。 3.最终稳定性验收：初步验收合格之日起，待设备磨合期1年后，确保设备稳定且检测分析数据准确须组织设备最终稳定性验收。 4.初步、最终稳定性验收标准 4.1依次序对照适用标准为： （1）符合中华人民共和国国家安全质量标准、环保标准或行业标准； （2）符合招标文件和响应承诺中采购人认可的合理最佳配置、参数及各项要求； （3）货物来源国家官方标准。 上述标准必须是有关官方机构发布的最新版本的标准。 4.2验收人员： （1）采购人，或其委托的第三方机构（如有）； （2）投标人。 4.3技术资料： （1）交货时，应同时交付产品使用手册、质量检验证书（合格证）等相关资料。 （2）验收后，应提供验收报告。 （3）资料提供方：投标人；资料受理方：采购人。 （4）验收结果确认：验收完毕由采购人及投标人在验收报告上签名确认。 4.4最终验收：中标人派技术人员到采购人指定现场对全部货物进行一次全面检修，并出具验收报告，验收完毕由采购人及中标人在验收报告上签名确认。 5.凡列入《中华人民共和国实施强制性产品认证的产品目录》的产品在验收时必须出具CCC认证证书复印件，并在产品外部加施认证标志作为验收依据之一。</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货物质量要求，1.货物特性：货物为原制造商制造的全新产品，无污染，无侵权行为、表面无划损、无任何缺陷隐患，在中国境内可依规安全合法使用。货物为原厂商未启封全新包装，具出厂合格证，序列号、包装箱号与出厂批号一致，并可追索查阅。所有随设备的附件必须齐全。如货物为进口产品，还须提供报关证明、来源合法证明等材料。 2.投标人应将关键主机设备的用户手册、保修手册、有关单证资料及配备件、随机工具等交付给采购人，使用操作及安全须知等重要资料应附有中文说明。</w:t>
            </w:r>
          </w:p>
          <w:p>
            <w:pPr>
              <w:pStyle w:val="null3"/>
            </w:pPr>
            <w:r>
              <w:rPr/>
              <w:t>包装运输，1.包装：投标人所供货物必须为制造商原厂包装，包装质量符合国家相关标准。货物要求有包装材料保护运至现场。因包装不良造成的损失由投标人负责。 2.运输：投标人根据采购人指定的安装地点,负责将货物材料运送到现场，在此过程中的全部运输（包括但不限于装卸车、货物现场的搬运）所产生的全部费用由投标人负责。 3.装卸：各种货物，必须提供装箱清单，按装箱清单验收货物。 4.保管：货物在现场的保管由投标人负责，直至项目安装、验收完毕。</w:t>
            </w:r>
          </w:p>
          <w:p>
            <w:pPr>
              <w:pStyle w:val="null3"/>
            </w:pPr>
            <w:r>
              <w:rPr/>
              <w:t>安装与调试，1.人员及工作要求：投标人应设安装负责人，负责安装协调管理工作。 2.前提要求：投标人应提交详细安装进度表。 3.安装施工：安装所需工具、设施、物料由投标人自备、自费运到现场，完工后自费搬走；投标人必须充分考虑现场的安装难度及安全性，做好施工现场的安全防护、文明施工工作。安装过程中发生的一切责任及费用由投标人负责，如对其他物品或结构造成损坏必须照价赔偿。本项目的施工、安装如涉及场地的开孔及修复，其费用由投标人负责；投标人要做好现场使用安全及文明措施，按有关规定规范设置围栏围护，安全警示等，如发生安全事故，一切责任及费用由投标人负责。 4.调试：投标人必须依照招标文件的要求和投标文件的承诺，将设备、系统安装并调试至正常运行的最佳状态。 5.其他：设备的拆箱、安装、通电、调试等项工作由投标人负责，但必须在采购人指定人员的参与下进行。调试的原始记录须经各方签字后作为验收的文件之一。</w:t>
            </w:r>
          </w:p>
          <w:p>
            <w:pPr>
              <w:pStyle w:val="null3"/>
            </w:pPr>
            <w:r>
              <w:rPr/>
              <w:t>技术培训，1.基本要求：投标人须根据采购人的要求，安排熟悉本项目的专业技术人员在采购人指定的地点（佛山市内）向采购人提供完备、全面的产品使用培训。 2.培训目的：确保采购人能够对设备、系统有足够的了解，能够独立进行日常操作、管理和维护。 3.培训资料：投标人必须为所有被培训人员提供培训用文字资料和讲义等相关用品。所有的资料必须是中文书写。 4.培训费用：所有与本项目有关的培训费用包括差旅、食宿、教材、资料等由投标人负责，均计入本项目投标报价中。</w:t>
            </w:r>
          </w:p>
          <w:p>
            <w:pPr>
              <w:pStyle w:val="null3"/>
            </w:pPr>
            <w:r>
              <w:rPr/>
              <w:t>质量保证期，1.质量保证期（简称“质保期”）均为3年，质保期自货物初步验收合格之日起计算，质保期内投标人对所供货物实行包修、包换、包维护保养（投标人在投标文件中须列出详细质保清单及服务事项）。质保期后提供终身维修保养服务，具体费用另行商定。 2.若国家和/或生产厂家对本项目所涉及货物的质保期的规定高于本项目的要求，应按国家和/或生产厂家的规定执行。注：具体投标人须在投标文件中承诺。 3.质保期内，在非人为因素情况下，一切维修换件保养费用和备品备件均由投标人提供，费用均包含在投标报价中。 4.质保期内，如设备或零部件因非人为因素出现故障而造成短期停用时，则质保期相应顺延。如经维修停用时间持续超过20天时，则质保期在状态恢复正常时重新计算或对故障设备予以重新更换。 5.任何时候，投标人均不能免除因货物本身的缺陷所应负的责任。 6.在质保期内投标人应提供系统升级方面的技术支持服务，服务应当包含在本项目投标报价中。 7.质保期满前1个月内，投标人须派技术人员到采购人指定现场对全部货物进行一次全面检修。</w:t>
            </w:r>
          </w:p>
          <w:p>
            <w:pPr>
              <w:pStyle w:val="null3"/>
            </w:pPr>
            <w:r>
              <w:rPr/>
              <w:t>售后服务，1.投标人应须承诺为用户提供完善的服务，提供及时、方便、全面、有效的技术支持与售后服务，保证项目建设任务的顺利完成，达到项目建设目标。 2.本项目中所采购的相关设备及配件的安装、集成和调试，均需制造商的技术支持服务。投标人承诺技术方案中所涉及的软件，从验收完毕之日开始计算，提供3年免费升级和支持服务，所有费用计入报价总价，不再另行收取。 3.提供7×24小时电话维护响应服务：若电话中无法解决，4小时内到达现场。如是硬件问题必须48小时内解决，否则需提供不低于使用设备的备件，保证系统的正常运行。 4.保修期内，如用户所购设备各部件发生非人为故障，投标人应上门更换同种品牌不低于原规格型号的新部件。 5.保修期内同一硬件一个月内连续3次出现同一故障，投标人须无偿提供同一档次设备供维修期间使用或无偿提供对应技术服务，并不再收取本次维修产生的费用。 6.所有设备保修服务方式均为投标人上门保修，即由投标人派人员到用户设备使用现场维修，由此产生的一切费用均由投标人承担。所有设备必须在明显位置贴有维修热线电话的标识。投标人必须提出保修期内的维修、维护内容和范围的服务方案（不限于产品、技术、模块、部件和升级等内容）。 7.搬迁服务 1.质保期内，采购人向投标人提出对设备进行移动或搬迁的，投标人须派人员到用户设备使用现场指导移动及配合搬迁工作，并及时进行安装调试，确保设备以最快的速度达到最佳运行状态，设备移动或搬迁过程中产生的包装费、人工费、运输费、装卸费等双方另行协商约定。 2.质保期后，采购人向投标人提出对设备进行移动或搬迁的，投标人须派人员到用户设备使用现场指导移动及配合搬迁工作，并提供二次安装调试服务，确保设备以最快的速度达到最佳运行状态，设备移动或搬迁过程中产生的服务费、包装费、人工费、运输费、装卸费等双方另行协商约定。</w:t>
            </w:r>
          </w:p>
          <w:p>
            <w:pPr>
              <w:pStyle w:val="null3"/>
            </w:pPr>
            <w:r>
              <w:rPr/>
              <w:t>保密及知识产权，1.保密要求 （1）在项目建设中涉及到的工程项目，应当签订保密条款或者另行签订保密协议，内容应包括：设计的内容和范围；应具备的保密条件及权限；承担的保密责任；保密纪律和违纪处罚；保密项目的有效时间等。 （2）合同双方保密的内容、期限和泄漏秘密应承担的责任，双方可以约定，无论合同是否发生变更、解除、终止，本条款均有效。 （3）采购人提供给中标人的资料不得向第三方泄密。一旦发生由中标人造成的资料外泄，按《保密法》等追究其责任。 2.知识产权要求 （1）中标人应保证，采购人在中华人民共和国使用该货物或货物的任何一部分时，如受第三方提出的侵犯其专利权、商标权或其他知识产权的起诉，由中标人承担一切责任。 （2）中标人为执行本合同而提供的技术资料、软件的使用权归采购人所有。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增材制造设备</w:t>
            </w:r>
          </w:p>
        </w:tc>
        <w:tc>
          <w:tcPr>
            <w:tcW w:type="dxa" w:w="831"/>
          </w:tcPr>
          <w:p>
            <w:pPr>
              <w:pStyle w:val="null3"/>
              <w:jc w:val="left"/>
            </w:pPr>
            <w:r>
              <w:rPr/>
              <w:t>固化聚合成型设备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566,667.00</w:t>
            </w:r>
          </w:p>
        </w:tc>
        <w:tc>
          <w:tcPr>
            <w:tcW w:type="dxa" w:w="831"/>
          </w:tcPr>
          <w:p>
            <w:pPr>
              <w:pStyle w:val="null3"/>
              <w:jc w:val="right"/>
            </w:pPr>
            <w:r>
              <w:rPr/>
              <w:t>566,667.00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固化聚合成型设备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一、功能用途</w:t>
            </w:r>
          </w:p>
          <w:p>
            <w:pPr>
              <w:pStyle w:val="null3"/>
              <w:jc w:val="both"/>
            </w:pPr>
            <w:r>
              <w:rPr>
                <w:sz w:val="21"/>
              </w:rPr>
              <w:t>1.可快速真实还原实际脊柱或盆腔模型，可用于不同骨科或疼痛科手术模拟。</w:t>
            </w:r>
          </w:p>
          <w:p>
            <w:pPr>
              <w:pStyle w:val="null3"/>
              <w:jc w:val="both"/>
            </w:pPr>
            <w:r>
              <w:rPr>
                <w:sz w:val="21"/>
              </w:rPr>
              <w:t>2.定制打印穿刺针匹配耗材，可测试对应导航精确性。</w:t>
            </w:r>
          </w:p>
          <w:p>
            <w:pPr>
              <w:pStyle w:val="null3"/>
              <w:jc w:val="both"/>
            </w:pPr>
            <w:r>
              <w:rPr>
                <w:sz w:val="21"/>
              </w:rPr>
              <w:t>3.</w:t>
            </w:r>
            <w:r>
              <w:rPr>
                <w:sz w:val="21"/>
              </w:rPr>
              <w:t>本项目所采购的产品是针对混合现实技术在手术导航中的应用，需要采用 3D增材技术打印仿真的脊柱骨盆等器官模型，其主要作用用于精度验证，实验过程中还需要使用 3D 打印技术打印模型做精准性的测试和性能的测试。因此其打印成果需符合皮肤无致敏、体外细胞毒性、口腔黏膜刺激的相关标准。</w:t>
            </w:r>
          </w:p>
          <w:p>
            <w:pPr>
              <w:pStyle w:val="null3"/>
              <w:jc w:val="both"/>
            </w:pPr>
            <w:r>
              <w:rPr>
                <w:sz w:val="21"/>
                <w:b/>
              </w:rPr>
              <w:t>二、技术指标</w:t>
            </w:r>
          </w:p>
          <w:p>
            <w:pPr>
              <w:pStyle w:val="null3"/>
              <w:jc w:val="both"/>
            </w:pPr>
            <w:r>
              <w:rPr>
                <w:sz w:val="21"/>
              </w:rPr>
              <w:t>1.面阵曝光成型，4K光机，通过DMD投射曝光，分辨率不低于3840×2160。</w:t>
            </w:r>
          </w:p>
          <w:p>
            <w:pPr>
              <w:pStyle w:val="null3"/>
              <w:jc w:val="both"/>
            </w:pPr>
            <w:r>
              <w:rPr>
                <w:sz w:val="21"/>
              </w:rPr>
              <w:t>2.材料类型:光敏树脂。</w:t>
            </w:r>
          </w:p>
          <w:p>
            <w:pPr>
              <w:pStyle w:val="null3"/>
              <w:jc w:val="both"/>
            </w:pPr>
            <w:r>
              <w:rPr>
                <w:sz w:val="21"/>
              </w:rPr>
              <w:t>3.成型精度:≤±0.1mm(L≤100mm)；≤±0.1%×Lmm(L&gt;100mm)。</w:t>
            </w:r>
          </w:p>
          <w:p>
            <w:pPr>
              <w:pStyle w:val="null3"/>
              <w:jc w:val="both"/>
            </w:pPr>
            <w:r>
              <w:rPr>
                <w:sz w:val="21"/>
              </w:rPr>
              <w:t>4.成型速度:高度≥30mm/h，≥1500g/h。</w:t>
            </w:r>
          </w:p>
          <w:p>
            <w:pPr>
              <w:pStyle w:val="null3"/>
              <w:jc w:val="both"/>
            </w:pPr>
            <w:r>
              <w:rPr>
                <w:sz w:val="21"/>
              </w:rPr>
              <w:t>5.成型空间:≥380mm×210mm×250mm。</w:t>
            </w:r>
          </w:p>
          <w:p>
            <w:pPr>
              <w:pStyle w:val="null3"/>
              <w:jc w:val="both"/>
            </w:pPr>
            <w:r>
              <w:rPr>
                <w:sz w:val="21"/>
              </w:rPr>
              <w:t>6.涂铺方式:智能定位真空吸附涂层。</w:t>
            </w:r>
          </w:p>
          <w:p>
            <w:pPr>
              <w:pStyle w:val="null3"/>
              <w:jc w:val="both"/>
            </w:pPr>
            <w:r>
              <w:rPr>
                <w:sz w:val="21"/>
              </w:rPr>
              <w:t>7.层厚:≤0.12mm。</w:t>
            </w:r>
          </w:p>
          <w:p>
            <w:pPr>
              <w:pStyle w:val="null3"/>
              <w:jc w:val="both"/>
            </w:pPr>
            <w:r>
              <w:rPr>
                <w:sz w:val="21"/>
              </w:rPr>
              <w:t>8.升降系统:重复定位精度±0.01mm。</w:t>
            </w:r>
          </w:p>
          <w:p>
            <w:pPr>
              <w:pStyle w:val="null3"/>
              <w:jc w:val="both"/>
            </w:pPr>
            <w:r>
              <w:rPr>
                <w:sz w:val="21"/>
              </w:rPr>
              <w:t>9.树脂加热方式:加热树脂缸。</w:t>
            </w:r>
          </w:p>
          <w:p>
            <w:pPr>
              <w:pStyle w:val="null3"/>
              <w:jc w:val="both"/>
            </w:pPr>
            <w:r>
              <w:rPr>
                <w:sz w:val="21"/>
              </w:rPr>
              <w:t>10.控制系统: 包含Windows10或以上版本操作系统，以太网，IEEE802.3。</w:t>
            </w:r>
          </w:p>
          <w:p>
            <w:pPr>
              <w:pStyle w:val="null3"/>
              <w:jc w:val="both"/>
            </w:pPr>
            <w:r>
              <w:rPr>
                <w:sz w:val="21"/>
              </w:rPr>
              <w:t>11 .设备机械结构：大理石平台、航空铝板、高精度丝杠导轨。</w:t>
            </w:r>
          </w:p>
          <w:p>
            <w:pPr>
              <w:pStyle w:val="null3"/>
              <w:jc w:val="both"/>
            </w:pPr>
            <w:r>
              <w:rPr>
                <w:sz w:val="21"/>
              </w:rPr>
              <w:t>12.树脂缸可自动升降。</w:t>
            </w:r>
          </w:p>
          <w:p>
            <w:pPr>
              <w:pStyle w:val="null3"/>
              <w:jc w:val="both"/>
            </w:pPr>
            <w:r>
              <w:rPr>
                <w:sz w:val="21"/>
              </w:rPr>
              <w:t>13.支持 STL、BMP、PNG等文件格式。</w:t>
            </w:r>
          </w:p>
          <w:p>
            <w:pPr>
              <w:pStyle w:val="null3"/>
              <w:jc w:val="both"/>
            </w:pPr>
            <w:r>
              <w:rPr>
                <w:sz w:val="21"/>
              </w:rPr>
              <w:t>▲14.要求设备具备以下5项功能，分别是设备整体管理、自动排版、自动切片、自动化控制、图像前处理，以上功能需要终身免费升级服务，需具备软件著作权，投标人投标时需提供以上5个功能的软件著作权证明材料。</w:t>
            </w:r>
          </w:p>
          <w:p>
            <w:pPr>
              <w:pStyle w:val="null3"/>
              <w:jc w:val="both"/>
            </w:pPr>
            <w:r>
              <w:rPr>
                <w:sz w:val="21"/>
              </w:rPr>
              <w:t>▲</w:t>
            </w:r>
            <w:r>
              <w:rPr>
                <w:sz w:val="21"/>
              </w:rPr>
              <w:t>15.光敏树脂材料有白色硬料(不变色)、透明材料、柔性材料可选择。</w:t>
            </w:r>
          </w:p>
          <w:p>
            <w:pPr>
              <w:pStyle w:val="null3"/>
              <w:jc w:val="both"/>
            </w:pPr>
            <w:r>
              <w:rPr>
                <w:sz w:val="21"/>
              </w:rPr>
              <w:t>▲</w:t>
            </w:r>
            <w:r>
              <w:rPr>
                <w:sz w:val="21"/>
              </w:rPr>
              <w:t>16.光敏树脂材料为无毒无害材料，</w:t>
            </w:r>
            <w:r>
              <w:rPr>
                <w:sz w:val="21"/>
                <w:b/>
              </w:rPr>
              <w:t>投标人投标时须提供国家认可的第三方检测机构出具的无毒无害检测报告</w:t>
            </w:r>
            <w:r>
              <w:rPr>
                <w:sz w:val="21"/>
              </w:rPr>
              <w:t>。</w:t>
            </w:r>
          </w:p>
          <w:p>
            <w:pPr>
              <w:pStyle w:val="null3"/>
              <w:jc w:val="both"/>
            </w:pPr>
            <w:r>
              <w:rPr>
                <w:sz w:val="21"/>
              </w:rPr>
              <w:t>▲</w:t>
            </w:r>
            <w:r>
              <w:rPr>
                <w:sz w:val="21"/>
              </w:rPr>
              <w:t>17.封闭方式:打印腔体封闭且管道引导排气系统。</w:t>
            </w:r>
          </w:p>
          <w:p>
            <w:pPr>
              <w:pStyle w:val="null3"/>
              <w:jc w:val="both"/>
            </w:pPr>
            <w:r>
              <w:rPr>
                <w:sz w:val="21"/>
              </w:rPr>
              <w:t>▲</w:t>
            </w:r>
            <w:r>
              <w:rPr>
                <w:sz w:val="21"/>
              </w:rPr>
              <w:t>18.补液方式:自动补液，自动预警。</w:t>
            </w:r>
          </w:p>
          <w:p>
            <w:pPr>
              <w:pStyle w:val="null3"/>
              <w:jc w:val="both"/>
            </w:pPr>
            <w:r>
              <w:rPr>
                <w:sz w:val="21"/>
              </w:rPr>
              <w:t>▲</w:t>
            </w:r>
            <w:r>
              <w:rPr>
                <w:sz w:val="21"/>
              </w:rPr>
              <w:t>19.树脂搅拌:支持一键树脂搅拌。</w:t>
            </w:r>
          </w:p>
          <w:p>
            <w:pPr>
              <w:pStyle w:val="null3"/>
              <w:jc w:val="both"/>
            </w:pPr>
            <w:r>
              <w:rPr>
                <w:sz w:val="21"/>
              </w:rPr>
              <w:t>20.模型排版:支持智能自动排版。</w:t>
            </w:r>
          </w:p>
          <w:p>
            <w:pPr>
              <w:pStyle w:val="null3"/>
              <w:jc w:val="both"/>
            </w:pPr>
            <w:r>
              <w:rPr>
                <w:sz w:val="21"/>
              </w:rPr>
              <w:t>21.后处理设备：包括</w:t>
            </w:r>
            <w:r>
              <w:rPr>
                <w:sz w:val="21"/>
              </w:rPr>
              <w:t>喷砂机</w:t>
            </w:r>
            <w:r>
              <w:rPr>
                <w:sz w:val="21"/>
              </w:rPr>
              <w:t>、超声波清洗机、空压机、固化炉等。</w:t>
            </w:r>
          </w:p>
          <w:p>
            <w:pPr>
              <w:pStyle w:val="null3"/>
              <w:jc w:val="both"/>
            </w:pPr>
            <w:r>
              <w:rPr>
                <w:sz w:val="21"/>
              </w:rPr>
              <w:t>22.需配备正常使用的相关配件以及安装调试所必须的足够耗材。</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1.采购代理机构：本项目是指广州市国科招标代理有限公司，负责整个采购活动的组织，依法负责编制和发布招标文件，对招标文件拥有最终的解释权，不以任何身份出任评标委员会成员。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佛山中科产业技术研究院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由中标供应商在领取中标通知书前向采购代理机构支付，本项目的招标代理服务费收费标准以本项目各采购包中标金额为计算基数根据招标代理机构官网（http://www.gzgkbidding.com/index.php?m=Home&amp;c=News&amp;a=detail&amp;id=25）规定的收费标准按货物采购类型下浮20%进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广州市国科招标代理有限公司</w:t>
      </w:r>
      <w:r>
        <w:rPr/>
        <w:t>代收。具体操作要求详见</w:t>
      </w:r>
      <w:r>
        <w:rPr/>
        <w:t>广州市国科招标代理有限公司</w:t>
      </w:r>
      <w:r>
        <w:rPr/>
        <w:t>有关指引，递交事宜请自行咨询</w:t>
      </w:r>
      <w:r>
        <w:rPr/>
        <w:t>广州市国科招标代理有限公司</w:t>
      </w:r>
      <w:r>
        <w:rPr/>
        <w:t>；请各投标人在投标文件递交截止时间前按须知前附表规定的金额递交至</w:t>
      </w:r>
      <w:r>
        <w:rPr/>
        <w:t>广州市国科招标代理有限公司</w:t>
      </w:r>
      <w:r>
        <w:rPr/>
        <w:t>，到账情况以开标时</w:t>
      </w:r>
      <w:r>
        <w:rPr/>
        <w:t>广州市国科招标代理有限公司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广州市国科招标代理有限公司网（www.gzgkbidding.com）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广州市国科招标代理有限公司网（www.gzgkbidding.com）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黄兰香</w:t>
      </w:r>
    </w:p>
    <w:p>
      <w:pPr>
        <w:pStyle w:val="null3"/>
        <w:ind w:firstLine="480"/>
      </w:pPr>
      <w:r>
        <w:rPr/>
        <w:t>电话：</w:t>
      </w:r>
      <w:r>
        <w:rPr/>
        <w:t>0757-83277829</w:t>
      </w:r>
    </w:p>
    <w:p>
      <w:pPr>
        <w:pStyle w:val="null3"/>
        <w:ind w:firstLine="480"/>
      </w:pPr>
      <w:r>
        <w:rPr/>
        <w:t>传真：</w:t>
      </w:r>
      <w:r>
        <w:rPr/>
        <w:t>020-87685201</w:t>
      </w:r>
    </w:p>
    <w:p>
      <w:pPr>
        <w:pStyle w:val="null3"/>
        <w:ind w:firstLine="480"/>
      </w:pPr>
      <w:r>
        <w:rPr/>
        <w:t>邮箱：</w:t>
      </w:r>
      <w:r>
        <w:rPr/>
        <w:t>gzgk@gzgkbidding.com</w:t>
      </w:r>
    </w:p>
    <w:p>
      <w:pPr>
        <w:pStyle w:val="null3"/>
        <w:ind w:firstLine="480"/>
      </w:pPr>
      <w:r>
        <w:rPr/>
        <w:t>地址：</w:t>
      </w:r>
      <w:r>
        <w:rPr/>
        <w:t>广州市先烈中路100号科学院大院9号楼东座2楼（中国广州分析测试中心对面）</w:t>
      </w:r>
    </w:p>
    <w:p>
      <w:pPr>
        <w:pStyle w:val="null3"/>
        <w:ind w:firstLine="480"/>
      </w:pPr>
      <w:r>
        <w:rPr/>
        <w:t>邮编：</w:t>
      </w:r>
      <w:r>
        <w:rPr/>
        <w:t>510070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政府采购监督管理机构名称：佛山市财政局(政府采购监管科)</w:t>
      </w:r>
    </w:p>
    <w:p>
      <w:pPr>
        <w:pStyle w:val="null3"/>
      </w:pPr>
      <w:r>
        <w:rPr/>
        <w:t>地 址：佛山市禅城区季华五路8号财政大厦8楼</w:t>
      </w:r>
    </w:p>
    <w:p>
      <w:pPr>
        <w:pStyle w:val="null3"/>
      </w:pPr>
      <w:r>
        <w:rPr/>
        <w:t>电 话：0757-83282245</w:t>
      </w:r>
    </w:p>
    <w:p>
      <w:pPr>
        <w:pStyle w:val="null3"/>
      </w:pPr>
      <w:r>
        <w:rPr/>
        <w:t>邮 编：528000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采购包1(光学定位系统)：综合评分法,是指投标文件满足招标文件全部实质性要求，且按照评审因素的量化指标评审得分最高的投标人为中标候选人的评标方法。（最低报价不是中标的唯一依据。）</w:t>
      </w:r>
    </w:p>
    <w:p>
      <w:pPr>
        <w:pStyle w:val="null3"/>
      </w:pPr>
      <w:r>
        <w:rPr/>
        <w:t>采购包2(成型系统)：综合评分法,是指投标文件满足招标文件全部实质性要求，且按照评审因素的量化指标评审得分最高的投标人为中标候选人的评标方法。（最低报价不是中标的唯一依据。）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广州市国科招标代理有限公司</w:t>
      </w:r>
      <w:r>
        <w:rPr/>
        <w:t>统一对外发布。</w:t>
      </w:r>
    </w:p>
    <w:p>
      <w:pPr>
        <w:pStyle w:val="null3"/>
        <w:ind w:firstLine="480"/>
      </w:pPr>
      <w:r>
        <w:rPr/>
        <w:t>（2）对</w:t>
      </w:r>
      <w:r>
        <w:rPr/>
        <w:t>广州市国科招标代理有限公司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采购包1（光学定位系统）：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采购包2（成型系统）：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如本次采购产品属于财政部、发展改革委、生态环境部等部门最新发布的《节能产品政府采购品目清单》或《环境标志产品政府采购品目清单》的清单范围内优先采购的节能产品、环境标志产品类别，对于具有国家确定的认证机构出具的、处于有效期之内的节能产品认证证书或环境标志产品认证证书的，对节能产品或环境标志产品的价格分别给予1%的价格扣除。 2、如属于品目清单范围内的节能或环境标志产品，应当提供国家确定的认证机构出具的、处于有效期之内的节能产品认证证书或环境标志产品认证证书复印件，并加盖投标人单位的公章。 特别说明：已经作为评审因素进行评分的不再进行价格扣除。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采购包1（光学定位系统）：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者按照招标公告中的投标文件格式附件1《政府采购供应商资格信用承诺函》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任意1个月的财务状况报告复印件或基本开户行出具的资信证明）。或者按照招标公告中的投标文件格式附件1《政府采购供应商资格信用承诺函》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文件格式《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全部货物须由中小微企业或监狱企业或残疾人福利性单位制造。</w:t>
            </w:r>
          </w:p>
        </w:tc>
      </w:tr>
    </w:tbl>
    <w:p>
      <w:pPr>
        <w:pStyle w:val="null3"/>
      </w:pPr>
      <w:r>
        <w:rPr/>
        <w:t>采购包2（成型系统）：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者按照招标公告中的投标文件格式附件1《政府采购供应商资格信用承诺函》提供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2023年度或2024年任意1个月的财务状况报告复印件或基本开户行出具的资信证明）。或者按照招标公告中的投标文件格式附件1《政府采购供应商资格信用承诺函》提供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依据《投标函》相关承诺格式内容或具有履行合同所必需的设备和专业技术能力的其他证明材料。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文件格式《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 为本项目提供整体设计、规范编制或者项目管理、监理、检测等服务的供应商，不得再参与本项目投标。 依据投标函相关承诺要求内容。</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已获取本项目采购文件。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全部货物须由中小微企业或监狱企业或残疾人福利性单位制造。</w:t>
            </w:r>
          </w:p>
        </w:tc>
      </w:tr>
    </w:tbl>
    <w:p>
      <w:pPr>
        <w:pStyle w:val="null3"/>
        <w:ind w:firstLine="480"/>
      </w:pPr>
      <w:r>
        <w:rPr/>
        <w:t>表二符合性审查表：</w:t>
      </w:r>
    </w:p>
    <w:p>
      <w:pPr>
        <w:pStyle w:val="null3"/>
      </w:pPr>
      <w:r>
        <w:rPr/>
        <w:t>采购包1（光学定位系统）：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投标报价是固定唯一价且未超过本项目对应采购包的采购预算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pPr>
      <w:r>
        <w:rPr/>
        <w:t>采购包2（成型系统）：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投标有效期：90天</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投标报价是固定唯一价且未超过本项目对应采购包的采购预算</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能满足采购需求的主要参数（带“★”号条款）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r>
        <w:tc>
          <w:tcPr>
            <w:tcW w:type="dxa" w:w="890"/>
          </w:tcPr>
          <w:p>
            <w:pPr>
              <w:pStyle w:val="null3"/>
            </w:pPr>
            <w:r>
              <w:rPr/>
              <w:t>9</w:t>
            </w:r>
          </w:p>
        </w:tc>
        <w:tc>
          <w:tcPr>
            <w:tcW w:type="dxa" w:w="3178"/>
          </w:tcPr>
          <w:p>
            <w:pPr>
              <w:pStyle w:val="null3"/>
            </w:pPr>
            <w:r>
              <w:rPr/>
              <w:t>进口情况</w:t>
            </w:r>
          </w:p>
        </w:tc>
        <w:tc>
          <w:tcPr>
            <w:tcW w:type="dxa" w:w="4238"/>
          </w:tcPr>
          <w:p>
            <w:pPr>
              <w:pStyle w:val="null3"/>
            </w:pPr>
            <w:r>
              <w:rPr/>
              <w:t>采购文件要求采购本国产品时未以进口产品投标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采购包1(光学定位系统):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技术要求响应程度 (34.0分)</w:t>
            </w:r>
          </w:p>
        </w:tc>
        <w:tc>
          <w:tcPr>
            <w:tcW w:type="dxa" w:w="5076"/>
          </w:tcPr>
          <w:p>
            <w:pPr>
              <w:pStyle w:val="null3"/>
              <w:jc w:val="left"/>
            </w:pPr>
            <w:r>
              <w:rPr/>
              <w:t>（1）“技术标准与要求”中带“▲”条款（共12项）完全响应或满足的，得18分，每出现一项未响应或不满足的扣1.5分，本项最低得0分。 （2）一般技术参数条款（“技术标准与要求”中除“★”及“▲”之外的“二、技术指标”条款）完全响应或满足的得16分，（一）至（八）共8大项，只要有一条（或以上）一般技术参数未响应或不满足的，则对应大项的一般技术参数整体不得分即扣2分，本项最低得0分。 备注：如采购需求中有要求提供证明资料的，则以采购需求中要求的为准，如采购需求中无明确证明材料的，则以投标人提供的《技术和服务要求响应表》的响应情况进行评审。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质量保障措施方案（一） (3.0分)</w:t>
            </w:r>
          </w:p>
        </w:tc>
        <w:tc>
          <w:tcPr>
            <w:tcW w:type="dxa" w:w="5076"/>
          </w:tcPr>
          <w:p>
            <w:pPr>
              <w:pStyle w:val="null3"/>
              <w:jc w:val="left"/>
            </w:pPr>
            <w:r>
              <w:rPr/>
              <w:t>评标委员会根据投标人提供的质量保障措施方案进行评审，方案应包括： (1)货物来源可靠性； (2)货物使用材料的质量保障； (3)货物质量稳定性保障； 提供全部内容得3分，每缺1项扣1分。</w:t>
            </w:r>
          </w:p>
        </w:tc>
      </w:tr>
      <w:tr>
        <w:tc>
          <w:tcPr>
            <w:tcW w:type="dxa" w:w="922"/>
            <w:gridSpan w:val="2"/>
            <w:vMerge/>
          </w:tcPr>
          <w:p/>
        </w:tc>
        <w:tc>
          <w:tcPr>
            <w:tcW w:type="dxa" w:w="2307"/>
          </w:tcPr>
          <w:p>
            <w:pPr>
              <w:pStyle w:val="null3"/>
              <w:jc w:val="left"/>
            </w:pPr>
            <w:r>
              <w:rPr/>
              <w:t>质量保障措施方案（二） (5.0分)</w:t>
            </w:r>
            <w:r>
              <w:rPr/>
              <w:t>，（等次分值选择：</w:t>
            </w:r>
            <w:r>
              <w:rPr/>
              <w:t>0.0;</w:t>
            </w:r>
            <w:r>
              <w:rPr/>
              <w:t>1.0;</w:t>
            </w:r>
            <w:r>
              <w:rPr/>
              <w:t>3.0;</w:t>
            </w:r>
            <w:r>
              <w:rPr/>
              <w:t>5.0;</w:t>
            </w:r>
            <w:r>
              <w:rPr/>
              <w:t>）</w:t>
            </w:r>
          </w:p>
        </w:tc>
        <w:tc>
          <w:tcPr>
            <w:tcW w:type="dxa" w:w="5076"/>
          </w:tcPr>
          <w:p>
            <w:pPr>
              <w:pStyle w:val="null3"/>
              <w:jc w:val="left"/>
            </w:pPr>
            <w:r>
              <w:rPr/>
              <w:t>评标委员会根据投标人提供的项目质量保障措施方案（一）的详细内容进行综合评审： （1）质量保障措施对需求响应全面具体、针对项目全部重点难点全面剖析，能针对全部重点难点提出科学合理、可直接执行的实施方案，有效保障本项目实施，有利于实现服务效果，得5分； （2）质量保障措施对需求响应全面具体，针对部分重点难点进剖析，并提出具备执行条件的针对措施，基本保障本项目服务实施，基本满足服务效果，得3分； （3）质量保障措施对需求响应不全面，只针对少部分重点或难点问题进行解析或没有剖析项目重点难点问题，提出的措施没有针对性或难以施行的，无法保障本项目服务实施或难以服务效果，得1分。 （4）不提供不得分。</w:t>
            </w:r>
          </w:p>
        </w:tc>
      </w:tr>
      <w:tr>
        <w:tc>
          <w:tcPr>
            <w:tcW w:type="dxa" w:w="922"/>
            <w:gridSpan w:val="2"/>
            <w:vMerge/>
          </w:tcPr>
          <w:p/>
        </w:tc>
        <w:tc>
          <w:tcPr>
            <w:tcW w:type="dxa" w:w="2307"/>
          </w:tcPr>
          <w:p>
            <w:pPr>
              <w:pStyle w:val="null3"/>
              <w:jc w:val="left"/>
            </w:pPr>
            <w:r>
              <w:rPr/>
              <w:t>项目实施方案（一） (3.0分)</w:t>
            </w:r>
          </w:p>
        </w:tc>
        <w:tc>
          <w:tcPr>
            <w:tcW w:type="dxa" w:w="5076"/>
          </w:tcPr>
          <w:p>
            <w:pPr>
              <w:pStyle w:val="null3"/>
              <w:jc w:val="left"/>
            </w:pPr>
            <w:r>
              <w:rPr/>
              <w:t>评标委员会根据投标人提供的项目实施方案进行评审，方案应包括： (1)供货时间进度安排； (2)安装调试方案； (3)培训方案； 提供全部内容得3分，每缺1项扣1分。</w:t>
            </w:r>
          </w:p>
        </w:tc>
      </w:tr>
      <w:tr>
        <w:tc>
          <w:tcPr>
            <w:tcW w:type="dxa" w:w="922"/>
            <w:gridSpan w:val="2"/>
            <w:vMerge/>
          </w:tcPr>
          <w:p/>
        </w:tc>
        <w:tc>
          <w:tcPr>
            <w:tcW w:type="dxa" w:w="2307"/>
          </w:tcPr>
          <w:p>
            <w:pPr>
              <w:pStyle w:val="null3"/>
              <w:jc w:val="left"/>
            </w:pPr>
            <w:r>
              <w:rPr/>
              <w:t>项目实施方案（二） (5.0分)</w:t>
            </w:r>
            <w:r>
              <w:rPr/>
              <w:t>，（等次分值选择：</w:t>
            </w:r>
            <w:r>
              <w:rPr/>
              <w:t>0.0;</w:t>
            </w:r>
            <w:r>
              <w:rPr/>
              <w:t>1.0;</w:t>
            </w:r>
            <w:r>
              <w:rPr/>
              <w:t>3.0;</w:t>
            </w:r>
            <w:r>
              <w:rPr/>
              <w:t>5.0;</w:t>
            </w:r>
            <w:r>
              <w:rPr/>
              <w:t>）</w:t>
            </w:r>
          </w:p>
        </w:tc>
        <w:tc>
          <w:tcPr>
            <w:tcW w:type="dxa" w:w="5076"/>
          </w:tcPr>
          <w:p>
            <w:pPr>
              <w:pStyle w:val="null3"/>
              <w:jc w:val="left"/>
            </w:pPr>
            <w:r>
              <w:rPr/>
              <w:t>评标委员会根据投标人提供的项目实施方案（一）详细内容进行综合评审： （1）项目实施方案对需求响应全面具体，针对项目全部重点难点全面剖析，能提出合理、可直接执行的实施方案，能有效保障本项目实施，有利于实现项目效果，得5分； （2）项目实施方案对需求响应全面，针对部分重点难点全面剖析，提出具有一定执行性的实施方案，能基本保障本项目服务实施，基本满足项目效果，得3分； （3）项目实施方案对需求响应不全面，只针对部分重点难点剖析，提出的方案合理性不足、难以执行的，无法保障本项目服务实施，达不到项目效果，得1分； （4）没提供得0分。</w:t>
            </w:r>
          </w:p>
        </w:tc>
      </w:tr>
      <w:tr>
        <w:tc>
          <w:tcPr>
            <w:tcW w:type="dxa" w:w="922"/>
            <w:gridSpan w:val="2"/>
            <w:vMerge/>
          </w:tcPr>
          <w:p/>
        </w:tc>
        <w:tc>
          <w:tcPr>
            <w:tcW w:type="dxa" w:w="2307"/>
          </w:tcPr>
          <w:p>
            <w:pPr>
              <w:pStyle w:val="null3"/>
              <w:jc w:val="left"/>
            </w:pPr>
            <w:r>
              <w:rPr/>
              <w:t>售后服务方案（一） (5.0分)</w:t>
            </w:r>
          </w:p>
        </w:tc>
        <w:tc>
          <w:tcPr>
            <w:tcW w:type="dxa" w:w="5076"/>
          </w:tcPr>
          <w:p>
            <w:pPr>
              <w:pStyle w:val="null3"/>
              <w:jc w:val="left"/>
            </w:pPr>
            <w:r>
              <w:rPr/>
              <w:t>评标委员会根据投标人提供的售后服务方案进行评审，售后服务方案应包括： (1)售后服务承诺； (2)售后保障措施； (3)维护保养方案； (4)故障解决方案； (5)售后应急措施。 提供全部内容 得5分，每缺1项扣1分。</w:t>
            </w:r>
          </w:p>
        </w:tc>
      </w:tr>
      <w:tr>
        <w:tc>
          <w:tcPr>
            <w:tcW w:type="dxa" w:w="922"/>
            <w:gridSpan w:val="2"/>
            <w:vMerge/>
          </w:tcPr>
          <w:p/>
        </w:tc>
        <w:tc>
          <w:tcPr>
            <w:tcW w:type="dxa" w:w="2307"/>
          </w:tcPr>
          <w:p>
            <w:pPr>
              <w:pStyle w:val="null3"/>
              <w:jc w:val="left"/>
            </w:pPr>
            <w:r>
              <w:rPr/>
              <w:t>售后服务方案（二） (5.0分)</w:t>
            </w:r>
            <w:r>
              <w:rPr/>
              <w:t>，（等次分值选择：</w:t>
            </w:r>
            <w:r>
              <w:rPr/>
              <w:t>0.0;</w:t>
            </w:r>
            <w:r>
              <w:rPr/>
              <w:t>1.0;</w:t>
            </w:r>
            <w:r>
              <w:rPr/>
              <w:t>3.0;</w:t>
            </w:r>
            <w:r>
              <w:rPr/>
              <w:t>5.0;</w:t>
            </w:r>
            <w:r>
              <w:rPr/>
              <w:t>）</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（1）售后服务方案对需求响应全面具体，针对实施难点及关键点全面剖析，提出方案全面具体，配备完善的保障人员和预备人员，方案可直接全面执行的，有效保障本项目实施，有利于实现服务效果，得5分； （2）售后服务方案对需求响应全面，只针对实施的部分难点或部分关键点进行剖析，配备人员基本满足要求，但方案仍具备一定执行性的，基本保障本项目服务实施，基本满足服务效果，得3分； （3）售后服务方案对需求响应不全面，对实施难点重点认识不清晰，人员配备不足，或者方案难以执行的，无法保障本项目服务实施，达不到服务效果，得1分； （4）没提供得0分。</w:t>
            </w:r>
          </w:p>
        </w:tc>
      </w:tr>
      <w:tr>
        <w:tc>
          <w:tcPr>
            <w:tcW w:type="dxa" w:w="922"/>
            <w:gridSpan w:val="2"/>
            <w:vMerge w:val="restart"/>
          </w:tcPr>
          <w:p>
            <w:pPr>
              <w:pStyle w:val="null3"/>
              <w:jc w:val="center"/>
            </w:pPr>
            <w:r>
              <w:rPr/>
              <w:t>商务部分</w:t>
            </w:r>
          </w:p>
        </w:tc>
        <w:tc>
          <w:tcPr>
            <w:tcW w:type="dxa" w:w="2307"/>
          </w:tcPr>
          <w:p>
            <w:pPr>
              <w:pStyle w:val="null3"/>
              <w:jc w:val="left"/>
            </w:pPr>
            <w:r>
              <w:rPr/>
              <w:t>　同类项目业绩 (5.0分)</w:t>
            </w:r>
          </w:p>
        </w:tc>
        <w:tc>
          <w:tcPr>
            <w:tcW w:type="dxa" w:w="5076"/>
          </w:tcPr>
          <w:p>
            <w:pPr>
              <w:pStyle w:val="null3"/>
              <w:jc w:val="left"/>
            </w:pPr>
            <w:r>
              <w:rPr/>
              <w:t>投标人自2021年1月1日至今承接的同类项目（同类项目指的是：光学定位系统）业绩，每提供一项合同得1分，最高得5分。 注：提供合同关键页（合同关键页包括：合同项目名称、采购标的名称、签订合同双方的落款盖章、合同签订日期）复印件并加盖投标人公章，以合同签订时间为准，不提供不得分。 若投标人的同类项目业绩与采购标的名称不一致但实际使用功能相同的，投标人需对该合同标的其功能属性做出说明。</w:t>
            </w:r>
          </w:p>
        </w:tc>
      </w:tr>
      <w:tr>
        <w:tc>
          <w:tcPr>
            <w:tcW w:type="dxa" w:w="922"/>
            <w:gridSpan w:val="2"/>
            <w:vMerge/>
          </w:tcPr>
          <w:p/>
        </w:tc>
        <w:tc>
          <w:tcPr>
            <w:tcW w:type="dxa" w:w="2307"/>
          </w:tcPr>
          <w:p>
            <w:pPr>
              <w:pStyle w:val="null3"/>
              <w:jc w:val="left"/>
            </w:pPr>
            <w:r>
              <w:rPr/>
              <w:t>　管理体系认证 (2.0分)</w:t>
            </w:r>
          </w:p>
        </w:tc>
        <w:tc>
          <w:tcPr>
            <w:tcW w:type="dxa" w:w="5076"/>
          </w:tcPr>
          <w:p>
            <w:pPr>
              <w:pStyle w:val="null3"/>
              <w:jc w:val="left"/>
            </w:pPr>
            <w:r>
              <w:rPr/>
              <w:t>投标人具有有效的质量管理体系认证的得2分。 注：需提供有效期内的证书复印件，评标时评标委员会将通过网站查询证书的状态记录并截图记录【网址以“国家认证认可监督管理委员会（http://www.cnca.gov.cn）”网站公布为准，证书状态须为“有效”】，如查询结果不一致，则不得分。</w:t>
            </w:r>
          </w:p>
        </w:tc>
      </w:tr>
      <w:tr>
        <w:tc>
          <w:tcPr>
            <w:tcW w:type="dxa" w:w="922"/>
            <w:gridSpan w:val="2"/>
            <w:vMerge/>
          </w:tcPr>
          <w:p/>
        </w:tc>
        <w:tc>
          <w:tcPr>
            <w:tcW w:type="dxa" w:w="2307"/>
          </w:tcPr>
          <w:p>
            <w:pPr>
              <w:pStyle w:val="null3"/>
              <w:jc w:val="left"/>
            </w:pPr>
            <w:r>
              <w:rPr/>
              <w:t>质保期限延长 (3.0分)</w:t>
            </w:r>
          </w:p>
        </w:tc>
        <w:tc>
          <w:tcPr>
            <w:tcW w:type="dxa" w:w="5076"/>
          </w:tcPr>
          <w:p>
            <w:pPr>
              <w:pStyle w:val="null3"/>
              <w:jc w:val="left"/>
            </w:pPr>
            <w:r>
              <w:rPr/>
              <w:t>投标人提供的质量保证期在基础质量保证期之上（最低质保期要求3年）每延长1年质量保证期的得1分，最多得3分。 注：需提供质质量保证期延长承诺函，投标人需明确对延长质保期涵盖的范围、服务标准不降低等做出说明，延长幅度不足1年的不加分。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pPr>
      <w:r>
        <w:rPr/>
        <w:t>采购包2(成型系统):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技术要求响应程度 (36.0分)</w:t>
            </w:r>
          </w:p>
        </w:tc>
        <w:tc>
          <w:tcPr>
            <w:tcW w:type="dxa" w:w="5076"/>
          </w:tcPr>
          <w:p>
            <w:pPr>
              <w:pStyle w:val="null3"/>
              <w:jc w:val="left"/>
            </w:pPr>
            <w:r>
              <w:rPr/>
              <w:t>（1）“技术标准与要求”中带“▲”条款（共6项）完全响应或满足的，得18分，每出现一项未响应或不满足的扣3分，本项最低得0分。 （2）一般技术参数条款（“技术标准与要求”中除“★”“▲”“一、功能用途 序号3”之外的条款）完全响应或满足的得18分，共18项，每有一条一般技术参数未响应或不满足的扣1分，本项最低得0分。 备注：如采购需求中有要求提供证明资料的，则以采购需求中要求的为准，如采购需求中无明确证明材料的，则以投标人提供的《技术和服务要求响应表》的响应情况进行评审。</w:t>
            </w:r>
          </w:p>
        </w:tc>
      </w:tr>
      <w:tr>
        <w:tc>
          <w:tcPr>
            <w:tcW w:type="dxa" w:w="922"/>
            <w:gridSpan w:val="2"/>
            <w:vMerge/>
          </w:tcPr>
          <w:p/>
        </w:tc>
        <w:tc>
          <w:tcPr>
            <w:tcW w:type="dxa" w:w="2307"/>
          </w:tcPr>
          <w:p>
            <w:pPr>
              <w:pStyle w:val="null3"/>
              <w:jc w:val="left"/>
            </w:pPr>
            <w:r>
              <w:rPr/>
              <w:t>质量保障措施方案（一） (3.0分)</w:t>
            </w:r>
          </w:p>
        </w:tc>
        <w:tc>
          <w:tcPr>
            <w:tcW w:type="dxa" w:w="5076"/>
          </w:tcPr>
          <w:p>
            <w:pPr>
              <w:pStyle w:val="null3"/>
              <w:jc w:val="left"/>
            </w:pPr>
            <w:r>
              <w:rPr/>
              <w:t>评标委员会根据投标人提供的质量保障措施方案进行评审，方案应包括： (1)货物来源可靠性； (2)货物使用材料的质量保障； (3)货物质量稳定性保障； 提供全部内容得3分，每缺1项扣1分。</w:t>
            </w:r>
          </w:p>
        </w:tc>
      </w:tr>
      <w:tr>
        <w:tc>
          <w:tcPr>
            <w:tcW w:type="dxa" w:w="922"/>
            <w:gridSpan w:val="2"/>
            <w:vMerge/>
          </w:tcPr>
          <w:p/>
        </w:tc>
        <w:tc>
          <w:tcPr>
            <w:tcW w:type="dxa" w:w="2307"/>
          </w:tcPr>
          <w:p>
            <w:pPr>
              <w:pStyle w:val="null3"/>
              <w:jc w:val="left"/>
            </w:pPr>
            <w:r>
              <w:rPr/>
              <w:t>质量保障措施方案（二） (6.0分)</w:t>
            </w:r>
            <w:r>
              <w:rPr/>
              <w:t>，（等次分值选择：</w:t>
            </w:r>
            <w:r>
              <w:rPr/>
              <w:t>0.0;</w:t>
            </w:r>
            <w:r>
              <w:rPr/>
              <w:t>2.0;</w:t>
            </w:r>
            <w:r>
              <w:rPr/>
              <w:t>4.0;</w:t>
            </w:r>
            <w:r>
              <w:rPr/>
              <w:t>6.0;</w:t>
            </w:r>
            <w:r>
              <w:rPr/>
              <w:t>）</w:t>
            </w:r>
          </w:p>
        </w:tc>
        <w:tc>
          <w:tcPr>
            <w:tcW w:type="dxa" w:w="5076"/>
          </w:tcPr>
          <w:p>
            <w:pPr>
              <w:pStyle w:val="null3"/>
              <w:jc w:val="left"/>
            </w:pPr>
            <w:r>
              <w:rPr/>
              <w:t>评标委员会根据投标人提供的项目质量保障措施方案（一）的详细内容进行综合评审： （1）质量保障措施对需求响应全面具体、针对项目全部重点难点全面剖析，能针对全部重点难点提出科学合理、可直接执行的实施方案，有效保障本项目实施，有利于实现服务效果，得6分； （2）质量保障措施对需求响应全面具体，针对部分重点难点进剖析，并提出具备执行条件的针对措施，基本保障本项目服务实施，基本满足服务效果，得4分； （3）质量保障措施对需求响应不全面，只针对少部分重点或难点问题进行解析或没有剖析项目重点难点问题，提出的措施没有针对性或难以施行的，无法保障本项目服务实施或难以服务效果，得2分。 （4）不提供不得分。</w:t>
            </w:r>
          </w:p>
        </w:tc>
      </w:tr>
      <w:tr>
        <w:tc>
          <w:tcPr>
            <w:tcW w:type="dxa" w:w="922"/>
            <w:gridSpan w:val="2"/>
            <w:vMerge/>
          </w:tcPr>
          <w:p/>
        </w:tc>
        <w:tc>
          <w:tcPr>
            <w:tcW w:type="dxa" w:w="2307"/>
          </w:tcPr>
          <w:p>
            <w:pPr>
              <w:pStyle w:val="null3"/>
              <w:jc w:val="left"/>
            </w:pPr>
            <w:r>
              <w:rPr/>
              <w:t>项目实施方案（一） (1.5分)</w:t>
            </w:r>
          </w:p>
        </w:tc>
        <w:tc>
          <w:tcPr>
            <w:tcW w:type="dxa" w:w="5076"/>
          </w:tcPr>
          <w:p>
            <w:pPr>
              <w:pStyle w:val="null3"/>
              <w:jc w:val="left"/>
            </w:pPr>
            <w:r>
              <w:rPr/>
              <w:t>评标委员会根据投标人提供的项目实施方案进行评审，方案应包括： (1)供货时间进度安排； (2)安装调试方案； (3)培训方案； 提供全部内容得1.5分，每缺1项扣0.5分。</w:t>
            </w:r>
          </w:p>
        </w:tc>
      </w:tr>
      <w:tr>
        <w:tc>
          <w:tcPr>
            <w:tcW w:type="dxa" w:w="922"/>
            <w:gridSpan w:val="2"/>
            <w:vMerge/>
          </w:tcPr>
          <w:p/>
        </w:tc>
        <w:tc>
          <w:tcPr>
            <w:tcW w:type="dxa" w:w="2307"/>
          </w:tcPr>
          <w:p>
            <w:pPr>
              <w:pStyle w:val="null3"/>
              <w:jc w:val="left"/>
            </w:pPr>
            <w:r>
              <w:rPr/>
              <w:t>项目实施方案（二） (6.0分)</w:t>
            </w:r>
            <w:r>
              <w:rPr/>
              <w:t>，（等次分值选择：</w:t>
            </w:r>
            <w:r>
              <w:rPr/>
              <w:t>0.0;</w:t>
            </w:r>
            <w:r>
              <w:rPr/>
              <w:t>2.0;</w:t>
            </w:r>
            <w:r>
              <w:rPr/>
              <w:t>4.0;</w:t>
            </w:r>
            <w:r>
              <w:rPr/>
              <w:t>6.0;</w:t>
            </w:r>
            <w:r>
              <w:rPr/>
              <w:t>）</w:t>
            </w:r>
          </w:p>
        </w:tc>
        <w:tc>
          <w:tcPr>
            <w:tcW w:type="dxa" w:w="5076"/>
          </w:tcPr>
          <w:p>
            <w:pPr>
              <w:pStyle w:val="null3"/>
              <w:jc w:val="left"/>
            </w:pPr>
            <w:r>
              <w:rPr/>
              <w:t>评标委员会根据投标人提供的项目实施方案（一）详细内容进行综合评审： （1）项目实施方案对需求响应全面具体，针对项目全部重点难点全面剖析，能提出合理、可直接执行的实施方案，能有效保障本项目实施，有利于实现项目效果，得6分； （2）项目实施方案对需求响应全面，针对部分重点难点全面剖析，提出具有一定执行性的实施方案，能基本保障本项目服务实施，基本满足项目效果，得4分； （3）项目实施方案对需求响应不全面，只针对部分重点难点剖析，提出的方案合理性不足、难以执行的，无法保障本项目服务实施，达不到项目效果，得2分； （4）没提供得0分。</w:t>
            </w:r>
          </w:p>
        </w:tc>
      </w:tr>
      <w:tr>
        <w:tc>
          <w:tcPr>
            <w:tcW w:type="dxa" w:w="922"/>
            <w:gridSpan w:val="2"/>
            <w:vMerge/>
          </w:tcPr>
          <w:p/>
        </w:tc>
        <w:tc>
          <w:tcPr>
            <w:tcW w:type="dxa" w:w="2307"/>
          </w:tcPr>
          <w:p>
            <w:pPr>
              <w:pStyle w:val="null3"/>
              <w:jc w:val="left"/>
            </w:pPr>
            <w:r>
              <w:rPr/>
              <w:t>售后服务方案（一） (2.5分)</w:t>
            </w:r>
          </w:p>
        </w:tc>
        <w:tc>
          <w:tcPr>
            <w:tcW w:type="dxa" w:w="5076"/>
          </w:tcPr>
          <w:p>
            <w:pPr>
              <w:pStyle w:val="null3"/>
              <w:jc w:val="left"/>
            </w:pPr>
            <w:r>
              <w:rPr/>
              <w:t>评标委员会根据投标人提供的售后服务方案进行评审，售后服务方案应包括： (1)售后服务承诺； (2)售后保障措施； (3)维护保养方案； (4)故障解决方案； (5)售后应急措施。 提供全部内容 得2.5分，每缺1项扣0.5分。</w:t>
            </w:r>
          </w:p>
        </w:tc>
      </w:tr>
      <w:tr>
        <w:tc>
          <w:tcPr>
            <w:tcW w:type="dxa" w:w="922"/>
            <w:gridSpan w:val="2"/>
            <w:vMerge/>
          </w:tcPr>
          <w:p/>
        </w:tc>
        <w:tc>
          <w:tcPr>
            <w:tcW w:type="dxa" w:w="2307"/>
          </w:tcPr>
          <w:p>
            <w:pPr>
              <w:pStyle w:val="null3"/>
              <w:jc w:val="left"/>
            </w:pPr>
            <w:r>
              <w:rPr/>
              <w:t>售后服务方案（二） (5.0分)</w:t>
            </w:r>
            <w:r>
              <w:rPr/>
              <w:t>，（等次分值选择：</w:t>
            </w:r>
            <w:r>
              <w:rPr/>
              <w:t>0.0;</w:t>
            </w:r>
            <w:r>
              <w:rPr/>
              <w:t>1.0;</w:t>
            </w:r>
            <w:r>
              <w:rPr/>
              <w:t>3.0;</w:t>
            </w:r>
            <w:r>
              <w:rPr/>
              <w:t>5.0;</w:t>
            </w:r>
            <w:r>
              <w:rPr/>
              <w:t>）</w:t>
            </w:r>
          </w:p>
        </w:tc>
        <w:tc>
          <w:tcPr>
            <w:tcW w:type="dxa" w:w="5076"/>
          </w:tcPr>
          <w:p>
            <w:pPr>
              <w:pStyle w:val="null3"/>
              <w:jc w:val="left"/>
            </w:pPr>
            <w:r>
              <w:rPr/>
              <w:t>评标委员会根据投标人提供售后服务方案（一）的详细内容进行综合评审： （1）售后服务方案对需求响应全面具体，针对实施难点及关键点全面剖析，提出方案全面具体，配备完善的保障人员和预备人员，方案可直接全面执行的，有效保障本项目实施，有利于实现服务效果，得5分； （2）售后服务方案对需求响应全面，只针对实施的部分难点或部分关键点进行剖析，配备人员基本满足要求，但方案仍具备一定执行性的，基本保障本项目服务实施，基本满足服务效果，得3分； （3）售后服务方案对需求响应不全面，对实施难点重点认识不清晰，人员配备不足，或者方案难以执行的，无法保障本项目服务实施，达不到服务效果，得1分； （4）没提供得0分。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投标人自2021年1月1日至今承接的同类项目（同类项目指的是：增材制造3D打印）业绩，每提供一项合同得1分，最高得3分。 注：提供合同关键页（合同关键页包括：合同项目名称、采购标的名称、签订合同双方的落款盖章、合同签订日期）复印件并加盖投标人公章，以合同签订时间为准，不提供不得分。 若投标人的同类项目业绩与采购标的名称不一致但实际使用功能相同的，投标人需对该合同标的其功能属性做出说明。</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投标人具有有效的质量管理体系认证的得2分。 注：须提供以上认证的有效认证证书复印件加盖公章，评标时评标委员会将通过网站查询证书的状态记录并截图记录【网址以“国家认证认可监督管理委员会（http://www.cnca.gov.cn）”网站公布为准，证书状态须为“有效”】，如查询结果不一致，则不得分。</w:t>
            </w:r>
          </w:p>
        </w:tc>
      </w:tr>
      <w:tr>
        <w:tc>
          <w:tcPr>
            <w:tcW w:type="dxa" w:w="922"/>
            <w:gridSpan w:val="2"/>
            <w:vMerge/>
          </w:tcPr>
          <w:p/>
        </w:tc>
        <w:tc>
          <w:tcPr>
            <w:tcW w:type="dxa" w:w="2307"/>
          </w:tcPr>
          <w:p>
            <w:pPr>
              <w:pStyle w:val="null3"/>
              <w:jc w:val="left"/>
            </w:pPr>
            <w:r>
              <w:rPr/>
              <w:t>资质证明材料 (5.0分)</w:t>
            </w:r>
          </w:p>
        </w:tc>
        <w:tc>
          <w:tcPr>
            <w:tcW w:type="dxa" w:w="5076"/>
          </w:tcPr>
          <w:p>
            <w:pPr>
              <w:pStyle w:val="null3"/>
              <w:jc w:val="left"/>
            </w:pPr>
            <w:r>
              <w:rPr/>
              <w:t>投标人须提供所投设备的打印成果有关皮肤无致敏、体外细胞毒性、口腔黏膜刺激三种类型的合格试验报告，试验报告出具的时间须自2023年1月1日以来。 (1)有关皮肤无致敏和体外细胞毒性两种类型，每提供一种类型符合要求的试验报告且试验结果为合格的得 2分，最高可得 4分。 (2)有关口腔黏膜刺激，提供符合要求的试验报告且试验结果为合格的得1分，最高可得1分。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满足招标文件要求且投标价格最低的投标报价为评标基准价。 投标报价得分=（评标基准价/投标报价）×价格分分值 评标过程中，不得去掉报价中的最高报价和最低报价。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w:t>
      </w:r>
    </w:p>
    <w:p>
      <w:pPr>
        <w:pStyle w:val="null3"/>
        <w:ind w:firstLine="211"/>
        <w:jc w:val="left"/>
      </w:pPr>
      <w:r>
        <w:rPr>
          <w:sz w:val="21"/>
          <w:b/>
        </w:rPr>
        <w:t>1、合同具体事项须根据采购文件的约定及投标人投标（响应）文件的承诺执行；</w:t>
      </w:r>
    </w:p>
    <w:p>
      <w:pPr>
        <w:pStyle w:val="null3"/>
        <w:ind w:firstLine="211"/>
        <w:jc w:val="left"/>
      </w:pPr>
      <w:r>
        <w:rPr>
          <w:sz w:val="21"/>
          <w:b/>
        </w:rPr>
        <w:t>2、</w:t>
      </w:r>
      <w:r>
        <w:rPr>
          <w:sz w:val="21"/>
          <w:b/>
        </w:rPr>
        <w:t>本项目合同为中小企业预留合同</w:t>
      </w:r>
    </w:p>
    <w:p>
      <w:pPr>
        <w:pStyle w:val="null3"/>
        <w:jc w:val="left"/>
      </w:pPr>
      <w:r>
        <w:rPr/>
        <w:t xml:space="preserve"> </w:t>
      </w:r>
    </w:p>
    <w:p>
      <w:pPr>
        <w:pStyle w:val="null3"/>
        <w:jc w:val="center"/>
      </w:pPr>
      <w:r>
        <w:rPr/>
        <w:t xml:space="preserve"> </w:t>
      </w:r>
    </w:p>
    <w:p>
      <w:pPr>
        <w:pStyle w:val="null3"/>
        <w:jc w:val="center"/>
      </w:pPr>
      <w:r>
        <w:rPr>
          <w:sz w:val="48"/>
        </w:rPr>
        <w:t>广东省政府采购项目</w:t>
      </w:r>
    </w:p>
    <w:p>
      <w:pPr>
        <w:pStyle w:val="null3"/>
        <w:jc w:val="center"/>
      </w:pPr>
      <w:r>
        <w:rPr/>
        <w:t xml:space="preserve"> </w:t>
      </w:r>
    </w:p>
    <w:p>
      <w:pPr>
        <w:pStyle w:val="null3"/>
        <w:jc w:val="both"/>
      </w:pPr>
      <w:r>
        <w:rPr>
          <w:sz w:val="68"/>
          <w:b/>
        </w:rPr>
        <w:t>合</w:t>
      </w:r>
      <w:r>
        <w:rPr>
          <w:sz w:val="68"/>
          <w:b/>
        </w:rPr>
        <w:t xml:space="preserve">  </w:t>
      </w:r>
      <w:r>
        <w:rPr>
          <w:sz w:val="68"/>
          <w:b/>
        </w:rPr>
        <w:t>同</w:t>
      </w:r>
      <w:r>
        <w:rPr>
          <w:sz w:val="68"/>
          <w:b/>
        </w:rPr>
        <w:t xml:space="preserve">  </w:t>
      </w:r>
      <w:r>
        <w:rPr>
          <w:sz w:val="68"/>
          <w:b/>
        </w:rPr>
        <w:t>书</w:t>
      </w:r>
    </w:p>
    <w:p>
      <w:pPr>
        <w:pStyle w:val="null3"/>
        <w:jc w:val="center"/>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683"/>
        <w:gridCol w:w="5623"/>
      </w:tblGrid>
      <w:tr>
        <w:tc>
          <w:tcPr>
            <w:tcW w:type="dxa" w:w="2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5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5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子包号：</w:t>
            </w:r>
          </w:p>
        </w:tc>
        <w:tc>
          <w:tcPr>
            <w:tcW w:type="dxa" w:w="5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w:t>
            </w:r>
            <w:r>
              <w:rPr>
                <w:sz w:val="21"/>
                <w:b/>
                <w:u w:val="single"/>
              </w:rPr>
              <w:t>佛山中科产业技术研究院</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000000"/>
              </w:rPr>
              <w:t>乙方：</w:t>
            </w:r>
            <w:r>
              <w:rPr>
                <w:sz w:val="21"/>
                <w:b/>
                <w:color w:val="000000"/>
                <w:u w:val="single"/>
              </w:rPr>
              <w:t xml:space="preserve"> </w:t>
            </w:r>
            <w:r>
              <w:rPr>
                <w:sz w:val="21"/>
                <w:b/>
                <w:color w:val="000000"/>
                <w:u w:val="single"/>
              </w:rPr>
              <w:t>（中标人）</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签订日期：   年    月</w:t>
            </w:r>
          </w:p>
        </w:tc>
      </w:tr>
    </w:tbl>
    <w:p>
      <w:pPr>
        <w:pStyle w:val="null3"/>
        <w:jc w:val="both"/>
      </w:pPr>
      <w:r>
        <w:rPr/>
        <w:t xml:space="preserve"> </w:t>
      </w:r>
    </w:p>
    <w:p>
      <w:pPr>
        <w:pStyle w:val="null3"/>
        <w:jc w:val="both"/>
      </w:pPr>
      <w:r>
        <w:rPr>
          <w:sz w:val="21"/>
          <w:b/>
          <w:color w:val="000000"/>
        </w:rPr>
        <w:t>甲方：</w:t>
      </w:r>
      <w:r>
        <w:rPr>
          <w:sz w:val="21"/>
          <w:b/>
          <w:color w:val="000000"/>
          <w:u w:val="single"/>
        </w:rPr>
        <w:t>佛山中科产业技术研究院</w:t>
      </w:r>
    </w:p>
    <w:p>
      <w:pPr>
        <w:pStyle w:val="null3"/>
        <w:jc w:val="both"/>
      </w:pPr>
      <w:r>
        <w:rPr>
          <w:sz w:val="21"/>
          <w:b/>
          <w:color w:val="000000"/>
        </w:rPr>
        <w:t>乙方：</w:t>
      </w:r>
      <w:r>
        <w:rPr>
          <w:sz w:val="21"/>
          <w:b/>
          <w:color w:val="000000"/>
          <w:u w:val="single"/>
        </w:rPr>
        <w:t xml:space="preserve"> </w:t>
      </w:r>
      <w:r>
        <w:rPr>
          <w:sz w:val="21"/>
          <w:b/>
          <w:color w:val="000000"/>
          <w:u w:val="single"/>
        </w:rPr>
        <w:t>（中标人）</w:t>
      </w:r>
    </w:p>
    <w:p>
      <w:pPr>
        <w:pStyle w:val="null3"/>
        <w:jc w:val="both"/>
      </w:pPr>
      <w:r>
        <w:rPr>
          <w:sz w:val="21"/>
          <w:b/>
          <w:color w:val="000000"/>
        </w:rPr>
        <w:t>合同见证方：广州市国科招标代理有限公司</w:t>
      </w:r>
    </w:p>
    <w:p>
      <w:pPr>
        <w:pStyle w:val="null3"/>
        <w:ind w:firstLine="420"/>
        <w:jc w:val="both"/>
      </w:pPr>
      <w:r>
        <w:rPr>
          <w:sz w:val="21"/>
        </w:rPr>
        <w:t>根据</w:t>
      </w:r>
      <w:r>
        <w:rPr>
          <w:sz w:val="21"/>
          <w:u w:val="single"/>
        </w:rPr>
        <w:t xml:space="preserve">                        </w:t>
      </w:r>
      <w:r>
        <w:rPr>
          <w:sz w:val="21"/>
          <w:u w:val="single"/>
        </w:rPr>
        <w:t>项目（采购包：</w:t>
      </w:r>
      <w:r>
        <w:rPr>
          <w:sz w:val="21"/>
          <w:u w:val="single"/>
        </w:rPr>
        <w:t xml:space="preserve">  </w:t>
      </w:r>
      <w:r>
        <w:rPr>
          <w:sz w:val="21"/>
          <w:u w:val="single"/>
        </w:rPr>
        <w:t>）</w:t>
      </w:r>
      <w:r>
        <w:rPr>
          <w:sz w:val="21"/>
        </w:rPr>
        <w:t>的采购结果，按照《中华人民共和国政府采购法》、《中华人民共和国民法典》、招标文件的要求，</w:t>
      </w:r>
      <w:r>
        <w:rPr>
          <w:sz w:val="21"/>
        </w:rPr>
        <w:t>经双方协商，</w:t>
      </w:r>
      <w:r>
        <w:rPr>
          <w:sz w:val="21"/>
        </w:rPr>
        <w:t>本着平等互利和诚实信用的原则，</w:t>
      </w:r>
      <w:r>
        <w:rPr>
          <w:sz w:val="21"/>
        </w:rPr>
        <w:t>一致同意签订本合同如下。</w:t>
      </w:r>
    </w:p>
    <w:p>
      <w:pPr>
        <w:pStyle w:val="null3"/>
        <w:ind w:left="630"/>
        <w:jc w:val="both"/>
      </w:pPr>
      <w:r>
        <w:rPr>
          <w:sz w:val="21"/>
          <w:b/>
        </w:rPr>
        <w:t>一、</w:t>
      </w:r>
      <w:r>
        <w:rPr>
          <w:sz w:val="21"/>
          <w:b/>
        </w:rPr>
        <w:t>项目名称及编号</w:t>
      </w:r>
    </w:p>
    <w:p>
      <w:pPr>
        <w:pStyle w:val="null3"/>
        <w:ind w:left="630"/>
        <w:jc w:val="left"/>
      </w:pPr>
      <w:r>
        <w:rPr>
          <w:sz w:val="24"/>
        </w:rPr>
        <w:t>(一)</w:t>
      </w:r>
      <w:r>
        <w:rPr>
          <w:sz w:val="21"/>
        </w:rPr>
        <w:t>项目名称：</w:t>
      </w:r>
      <w:r>
        <w:rPr>
          <w:sz w:val="21"/>
        </w:rPr>
        <w:t xml:space="preserve">                         </w:t>
      </w:r>
    </w:p>
    <w:p>
      <w:pPr>
        <w:pStyle w:val="null3"/>
        <w:ind w:left="630"/>
        <w:jc w:val="left"/>
      </w:pPr>
      <w:r>
        <w:rPr>
          <w:sz w:val="24"/>
        </w:rPr>
        <w:t>(二)</w:t>
      </w:r>
      <w:r>
        <w:rPr>
          <w:sz w:val="21"/>
        </w:rPr>
        <w:t>项目编号：</w:t>
      </w:r>
    </w:p>
    <w:p>
      <w:pPr>
        <w:pStyle w:val="null3"/>
        <w:ind w:left="630"/>
        <w:jc w:val="both"/>
      </w:pPr>
      <w:r>
        <w:rPr>
          <w:sz w:val="21"/>
          <w:b/>
        </w:rPr>
        <w:t>二、</w:t>
      </w:r>
      <w:r>
        <w:rPr>
          <w:sz w:val="21"/>
          <w:b/>
        </w:rPr>
        <w:t>货物清单</w:t>
      </w:r>
    </w:p>
    <w:tbl>
      <w:tblPr>
        <w:tblW w:w="0" w:type="auto"/>
        <w:tblBorders>
          <w:top w:val="none" w:color="000000" w:sz="4"/>
          <w:left w:val="none" w:color="000000" w:sz="4"/>
          <w:bottom w:val="none" w:color="000000" w:sz="4"/>
          <w:right w:val="none" w:color="000000" w:sz="4"/>
          <w:insideH w:val="none"/>
          <w:insideV w:val="none"/>
        </w:tblBorders>
      </w:tblPr>
      <w:tblGrid>
        <w:gridCol w:w="497"/>
        <w:gridCol w:w="1496"/>
        <w:gridCol w:w="1828"/>
        <w:gridCol w:w="663"/>
        <w:gridCol w:w="663"/>
        <w:gridCol w:w="995"/>
        <w:gridCol w:w="1496"/>
        <w:gridCol w:w="663"/>
      </w:tblGrid>
      <w:tr>
        <w:tc>
          <w:tcPr>
            <w:tcW w:type="dxa" w:w="497"/>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序号</w:t>
            </w:r>
          </w:p>
        </w:tc>
        <w:tc>
          <w:tcPr>
            <w:tcW w:type="dxa" w:w="1496"/>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名</w:t>
            </w:r>
            <w:r>
              <w:rPr>
                <w:sz w:val="21"/>
                <w:b/>
              </w:rPr>
              <w:t xml:space="preserve">    </w:t>
            </w:r>
            <w:r>
              <w:rPr>
                <w:sz w:val="21"/>
                <w:b/>
              </w:rPr>
              <w:t>称</w:t>
            </w:r>
          </w:p>
        </w:tc>
        <w:tc>
          <w:tcPr>
            <w:tcW w:type="dxa" w:w="1828"/>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品牌、型号规格</w:t>
            </w:r>
          </w:p>
        </w:tc>
        <w:tc>
          <w:tcPr>
            <w:tcW w:type="dxa" w:w="663"/>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产地</w:t>
            </w:r>
          </w:p>
        </w:tc>
        <w:tc>
          <w:tcPr>
            <w:tcW w:type="dxa" w:w="663"/>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数量</w:t>
            </w:r>
          </w:p>
        </w:tc>
        <w:tc>
          <w:tcPr>
            <w:tcW w:type="dxa" w:w="995"/>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单价</w:t>
            </w:r>
          </w:p>
        </w:tc>
        <w:tc>
          <w:tcPr>
            <w:tcW w:type="dxa" w:w="1496"/>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合计（元）</w:t>
            </w:r>
          </w:p>
        </w:tc>
        <w:tc>
          <w:tcPr>
            <w:tcW w:type="dxa" w:w="663"/>
            <w:tcBorders>
              <w:top w:val="single" w:color="000000" w:sz="4"/>
              <w:left w:val="single" w:color="000000" w:sz="4"/>
              <w:bottom w:val="single" w:color="000000" w:sz="4"/>
              <w:right w:val="single" w:color="000000" w:sz="4"/>
            </w:tcBorders>
            <w:shd w:fill="F3F3F3"/>
            <w:tcMar>
              <w:top w:type="dxa" w:w="0"/>
              <w:left w:type="dxa" w:w="30"/>
              <w:bottom w:type="dxa" w:w="0"/>
              <w:right w:type="dxa" w:w="30"/>
            </w:tcMar>
            <w:vAlign w:val="top"/>
          </w:tcPr>
          <w:p>
            <w:pPr>
              <w:pStyle w:val="null3"/>
              <w:jc w:val="center"/>
            </w:pPr>
            <w:r>
              <w:rPr>
                <w:sz w:val="21"/>
                <w:b/>
              </w:rPr>
              <w:t>备注</w:t>
            </w:r>
          </w:p>
        </w:tc>
      </w:tr>
      <w:tr>
        <w:tc>
          <w:tcPr>
            <w:tcW w:type="dxa" w:w="49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1</w:t>
            </w: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82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9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9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2</w:t>
            </w: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82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9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9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3</w:t>
            </w: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82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9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49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1"/>
              </w:rPr>
              <w:t>…</w:t>
            </w: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82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99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1496"/>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c>
          <w:tcPr>
            <w:tcW w:type="dxa" w:w="66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三、</w:t>
      </w:r>
      <w:r>
        <w:rPr>
          <w:sz w:val="21"/>
          <w:b/>
        </w:rPr>
        <w:t>项目技术内容（或详细技术要求）</w:t>
      </w:r>
    </w:p>
    <w:p>
      <w:pPr>
        <w:pStyle w:val="null3"/>
        <w:ind w:left="630"/>
        <w:jc w:val="left"/>
      </w:pPr>
      <w:r>
        <w:rPr>
          <w:sz w:val="21"/>
        </w:rPr>
        <w:t>（双方自行完善或详见附件）</w:t>
      </w:r>
    </w:p>
    <w:p>
      <w:pPr>
        <w:pStyle w:val="null3"/>
        <w:ind w:left="630"/>
        <w:jc w:val="both"/>
      </w:pPr>
      <w:r>
        <w:rPr>
          <w:sz w:val="21"/>
          <w:b/>
        </w:rPr>
        <w:t>四、</w:t>
      </w:r>
      <w:r>
        <w:rPr>
          <w:sz w:val="21"/>
          <w:b/>
        </w:rPr>
        <w:t>合同金额</w:t>
      </w:r>
    </w:p>
    <w:p>
      <w:pPr>
        <w:pStyle w:val="null3"/>
        <w:ind w:left="630"/>
        <w:jc w:val="left"/>
      </w:pPr>
      <w:r>
        <w:rPr>
          <w:sz w:val="24"/>
        </w:rPr>
        <w:t>(一)</w:t>
      </w:r>
      <w:r>
        <w:rPr>
          <w:sz w:val="21"/>
        </w:rPr>
        <w:t>合同价为：</w:t>
      </w:r>
    </w:p>
    <w:p>
      <w:pPr>
        <w:pStyle w:val="null3"/>
        <w:ind w:left="630"/>
        <w:jc w:val="left"/>
      </w:pPr>
      <w:r>
        <w:rPr>
          <w:sz w:val="21"/>
        </w:rPr>
        <w:t>小写：￥；</w:t>
      </w:r>
    </w:p>
    <w:p>
      <w:pPr>
        <w:pStyle w:val="null3"/>
        <w:ind w:left="630"/>
        <w:jc w:val="left"/>
      </w:pPr>
      <w:r>
        <w:rPr>
          <w:sz w:val="21"/>
        </w:rPr>
        <w:t>大写：人民币。</w:t>
      </w:r>
    </w:p>
    <w:p>
      <w:pPr>
        <w:pStyle w:val="null3"/>
        <w:ind w:left="630"/>
        <w:jc w:val="left"/>
      </w:pPr>
      <w:r>
        <w:rPr>
          <w:sz w:val="24"/>
        </w:rPr>
        <w:t>(二)</w:t>
      </w:r>
      <w:r>
        <w:rPr>
          <w:sz w:val="21"/>
        </w:rPr>
        <w:t>合同价为广东省佛山市目的地交付价。</w:t>
      </w:r>
    </w:p>
    <w:p>
      <w:pPr>
        <w:pStyle w:val="null3"/>
        <w:ind w:left="630"/>
        <w:jc w:val="left"/>
      </w:pPr>
      <w:r>
        <w:rPr>
          <w:sz w:val="24"/>
        </w:rPr>
        <w:t>(三)</w:t>
      </w:r>
      <w:r>
        <w:rPr>
          <w:sz w:val="21"/>
        </w:rPr>
        <w:t>合同价为乙方</w:t>
      </w:r>
      <w:r>
        <w:rPr>
          <w:sz w:val="21"/>
        </w:rPr>
        <w:t>为完成本项目所收取的全部费用，包含但不限于以下费用：</w:t>
      </w:r>
    </w:p>
    <w:p>
      <w:pPr>
        <w:pStyle w:val="null3"/>
        <w:ind w:left="630"/>
        <w:jc w:val="left"/>
      </w:pPr>
      <w:r>
        <w:rPr>
          <w:sz w:val="21"/>
          <w:u w:val="single"/>
        </w:rPr>
        <w:t>货物及零配件设计费、成本费、运输费、装卸费、保险费、安装费、调试费、初步验收及最终稳定性验收费用、材料费、技术服务费（含联络费、培训费、保修费）、各项税费及不可预见费等完成本招标内容所需的一切费用。</w:t>
      </w:r>
    </w:p>
    <w:p>
      <w:pPr>
        <w:pStyle w:val="null3"/>
        <w:ind w:left="630"/>
        <w:jc w:val="left"/>
      </w:pPr>
      <w:r>
        <w:rPr>
          <w:sz w:val="24"/>
        </w:rPr>
        <w:t>(</w:t>
      </w:r>
      <w:r>
        <w:rPr>
          <w:sz w:val="24"/>
        </w:rPr>
        <w:t>四</w:t>
      </w:r>
      <w:r>
        <w:rPr>
          <w:sz w:val="24"/>
        </w:rPr>
        <w:t>)</w:t>
      </w:r>
      <w:r>
        <w:rPr>
          <w:sz w:val="21"/>
        </w:rPr>
        <w:t>根据国务院关税税则委员会关于对原产于境外进口商品加征关税的系列公告，中标人提供的货物原产地如来自境外，且该货物在公告的商品清单内的，加征的关税由乙方支付，甲方不负责加征的关税。</w:t>
      </w:r>
    </w:p>
    <w:p>
      <w:pPr>
        <w:pStyle w:val="null3"/>
        <w:ind w:left="630"/>
        <w:jc w:val="both"/>
      </w:pPr>
      <w:r>
        <w:rPr>
          <w:sz w:val="21"/>
          <w:b/>
        </w:rPr>
        <w:t>五、</w:t>
      </w:r>
      <w:r>
        <w:rPr>
          <w:sz w:val="21"/>
          <w:b/>
        </w:rPr>
        <w:t>项目完工期</w:t>
      </w:r>
    </w:p>
    <w:p>
      <w:pPr>
        <w:pStyle w:val="null3"/>
        <w:ind w:left="630"/>
        <w:jc w:val="left"/>
      </w:pPr>
      <w:r>
        <w:rPr>
          <w:sz w:val="24"/>
        </w:rPr>
        <w:t>(一)</w:t>
      </w:r>
      <w:r>
        <w:rPr>
          <w:sz w:val="21"/>
          <w:u w:val="single"/>
        </w:rPr>
        <w:t>合同签订生效之日起</w:t>
      </w:r>
      <w:r>
        <w:rPr>
          <w:sz w:val="21"/>
          <w:u w:val="single"/>
        </w:rPr>
        <w:t xml:space="preserve">   </w:t>
      </w:r>
      <w:r>
        <w:rPr>
          <w:sz w:val="21"/>
          <w:u w:val="single"/>
        </w:rPr>
        <w:t>日历日内完成整个项目的供货、安装、调试、初步验收合格并交付甲方使用。</w:t>
      </w:r>
    </w:p>
    <w:p>
      <w:pPr>
        <w:pStyle w:val="null3"/>
        <w:ind w:left="630"/>
        <w:jc w:val="both"/>
      </w:pPr>
      <w:r>
        <w:rPr>
          <w:sz w:val="21"/>
          <w:b/>
        </w:rPr>
        <w:t>六、</w:t>
      </w:r>
      <w:r>
        <w:rPr>
          <w:sz w:val="21"/>
          <w:b/>
        </w:rPr>
        <w:t>交付使用地点</w:t>
      </w:r>
    </w:p>
    <w:p>
      <w:pPr>
        <w:pStyle w:val="null3"/>
        <w:ind w:left="630"/>
        <w:jc w:val="left"/>
      </w:pPr>
      <w:r>
        <w:rPr>
          <w:sz w:val="24"/>
        </w:rPr>
        <w:t>(一)</w:t>
      </w:r>
      <w:r>
        <w:rPr>
          <w:sz w:val="21"/>
          <w:u w:val="single"/>
        </w:rPr>
        <w:t>甲方指定地点。</w:t>
      </w:r>
    </w:p>
    <w:p>
      <w:pPr>
        <w:pStyle w:val="null3"/>
        <w:ind w:left="630"/>
        <w:jc w:val="both"/>
      </w:pPr>
      <w:r>
        <w:rPr>
          <w:sz w:val="21"/>
          <w:b/>
        </w:rPr>
        <w:t>七、</w:t>
      </w:r>
      <w:r>
        <w:rPr>
          <w:sz w:val="21"/>
          <w:b/>
        </w:rPr>
        <w:t>付款办法</w:t>
      </w:r>
    </w:p>
    <w:p>
      <w:pPr>
        <w:pStyle w:val="null3"/>
        <w:ind w:left="630"/>
        <w:jc w:val="left"/>
      </w:pPr>
      <w:r>
        <w:rPr>
          <w:sz w:val="24"/>
        </w:rPr>
        <w:t>(一)</w:t>
      </w:r>
      <w:r>
        <w:rPr>
          <w:sz w:val="21"/>
          <w:u w:val="single"/>
        </w:rPr>
        <w:t>合同款项支付阶段和比例如下：</w:t>
      </w:r>
    </w:p>
    <w:p>
      <w:pPr>
        <w:pStyle w:val="null3"/>
        <w:spacing w:after="120"/>
        <w:ind w:firstLine="420"/>
        <w:jc w:val="both"/>
      </w:pPr>
      <w:r>
        <w:rPr>
          <w:sz w:val="21"/>
        </w:rPr>
        <w:t>1.</w:t>
      </w:r>
      <w:r>
        <w:rPr>
          <w:sz w:val="21"/>
        </w:rPr>
        <w:t>合同生效后，甲方向乙方支付合同款总金额的</w:t>
      </w:r>
      <w:r>
        <w:rPr>
          <w:sz w:val="21"/>
          <w:u w:val="single"/>
        </w:rPr>
        <w:t>%</w:t>
      </w:r>
      <w:r>
        <w:rPr>
          <w:sz w:val="21"/>
        </w:rPr>
        <w:t>；</w:t>
      </w:r>
    </w:p>
    <w:p>
      <w:pPr>
        <w:pStyle w:val="null3"/>
        <w:spacing w:after="120"/>
        <w:ind w:firstLine="420"/>
        <w:jc w:val="both"/>
      </w:pPr>
      <w:r>
        <w:rPr>
          <w:sz w:val="21"/>
        </w:rPr>
        <w:t>2.</w:t>
      </w:r>
      <w:r>
        <w:rPr>
          <w:sz w:val="21"/>
        </w:rPr>
        <w:t>货物到达甲方指定地点后，甲方向乙方支付合同款总金额的</w:t>
      </w:r>
      <w:r>
        <w:rPr>
          <w:sz w:val="21"/>
          <w:u w:val="single"/>
        </w:rPr>
        <w:t>%</w:t>
      </w:r>
      <w:r>
        <w:rPr>
          <w:sz w:val="21"/>
        </w:rPr>
        <w:t>；</w:t>
      </w:r>
    </w:p>
    <w:p>
      <w:pPr>
        <w:pStyle w:val="null3"/>
        <w:spacing w:after="120"/>
        <w:ind w:firstLine="420"/>
        <w:jc w:val="both"/>
      </w:pPr>
      <w:r>
        <w:rPr>
          <w:sz w:val="21"/>
        </w:rPr>
        <w:t>3.</w:t>
      </w:r>
      <w:r>
        <w:rPr>
          <w:sz w:val="21"/>
        </w:rPr>
        <w:t>货物完成安装、调试和试运行期（</w:t>
      </w:r>
      <w:r>
        <w:rPr>
          <w:sz w:val="21"/>
        </w:rPr>
        <w:t>30</w:t>
      </w:r>
      <w:r>
        <w:rPr>
          <w:sz w:val="21"/>
        </w:rPr>
        <w:t>个日历天）满后进行初步验收，初步验收合格后，甲方向乙方支付合同总金额的</w:t>
      </w:r>
      <w:r>
        <w:rPr>
          <w:sz w:val="21"/>
          <w:u w:val="single"/>
        </w:rPr>
        <w:t>%</w:t>
      </w:r>
      <w:r>
        <w:rPr>
          <w:sz w:val="21"/>
        </w:rPr>
        <w:t>；</w:t>
      </w:r>
    </w:p>
    <w:p>
      <w:pPr>
        <w:pStyle w:val="null3"/>
        <w:ind w:firstLine="420"/>
        <w:jc w:val="both"/>
      </w:pPr>
      <w:r>
        <w:rPr>
          <w:sz w:val="21"/>
        </w:rPr>
        <w:t>4.</w:t>
      </w:r>
      <w:r>
        <w:rPr>
          <w:sz w:val="21"/>
        </w:rPr>
        <w:t>初步验收合格之日起，待设备磨合期</w:t>
      </w:r>
      <w:r>
        <w:rPr>
          <w:sz w:val="21"/>
        </w:rPr>
        <w:t>1</w:t>
      </w:r>
      <w:r>
        <w:rPr>
          <w:sz w:val="21"/>
        </w:rPr>
        <w:t>年后，</w:t>
      </w:r>
      <w:r>
        <w:rPr>
          <w:sz w:val="21"/>
        </w:rPr>
        <w:t>确保设备稳定且检测分析数据准确</w:t>
      </w:r>
      <w:r>
        <w:rPr>
          <w:sz w:val="21"/>
        </w:rPr>
        <w:t>组织设备最终</w:t>
      </w:r>
      <w:r>
        <w:rPr>
          <w:sz w:val="21"/>
        </w:rPr>
        <w:t>稳定性</w:t>
      </w:r>
      <w:r>
        <w:rPr>
          <w:sz w:val="21"/>
        </w:rPr>
        <w:t>验收。最终</w:t>
      </w:r>
      <w:r>
        <w:rPr>
          <w:sz w:val="21"/>
        </w:rPr>
        <w:t>稳定性</w:t>
      </w:r>
      <w:r>
        <w:rPr>
          <w:sz w:val="21"/>
        </w:rPr>
        <w:t>验收合格后，甲方向乙方支付合同总金额的</w:t>
      </w:r>
      <w:r>
        <w:rPr>
          <w:sz w:val="21"/>
        </w:rPr>
        <w:t>5%</w:t>
      </w:r>
      <w:r>
        <w:rPr>
          <w:sz w:val="21"/>
        </w:rPr>
        <w:t>。</w:t>
      </w:r>
      <w:r>
        <w:rPr>
          <w:sz w:val="21"/>
        </w:rPr>
        <w:t>备注：</w:t>
      </w:r>
    </w:p>
    <w:p>
      <w:pPr>
        <w:pStyle w:val="null3"/>
        <w:ind w:firstLine="420"/>
        <w:jc w:val="both"/>
      </w:pPr>
      <w:r>
        <w:rPr>
          <w:sz w:val="21"/>
        </w:rPr>
        <w:t>1</w:t>
      </w:r>
      <w:r>
        <w:rPr>
          <w:sz w:val="21"/>
        </w:rPr>
        <w:t>）支付方式包括支票、银行汇付（含电汇）等形式；</w:t>
      </w:r>
    </w:p>
    <w:p>
      <w:pPr>
        <w:pStyle w:val="null3"/>
        <w:ind w:firstLine="420"/>
        <w:jc w:val="both"/>
      </w:pPr>
      <w:r>
        <w:rPr>
          <w:sz w:val="21"/>
        </w:rPr>
        <w:t>2</w:t>
      </w:r>
      <w:r>
        <w:rPr>
          <w:sz w:val="21"/>
        </w:rPr>
        <w:t>）每笔款项支付前中标人须向采购人提供等额正式发票；</w:t>
      </w:r>
    </w:p>
    <w:p>
      <w:pPr>
        <w:pStyle w:val="null3"/>
        <w:ind w:firstLine="420"/>
        <w:jc w:val="both"/>
      </w:pPr>
      <w:r>
        <w:rPr>
          <w:sz w:val="21"/>
        </w:rPr>
        <w:t>3</w:t>
      </w:r>
      <w:r>
        <w:rPr>
          <w:sz w:val="21"/>
        </w:rPr>
        <w:t>）付款完毕并不代表合同履约的终止，中标人仍需按合同要求对设备进行质量保修。</w:t>
      </w:r>
    </w:p>
    <w:p>
      <w:pPr>
        <w:pStyle w:val="null3"/>
        <w:ind w:left="630"/>
        <w:jc w:val="left"/>
      </w:pPr>
      <w:r>
        <w:rPr>
          <w:sz w:val="24"/>
        </w:rPr>
        <w:t>(二)</w:t>
      </w:r>
      <w:r>
        <w:rPr>
          <w:sz w:val="21"/>
          <w:u w:val="single"/>
        </w:rPr>
        <w:t>结算方式：转账结算（银行转账）。</w:t>
      </w:r>
    </w:p>
    <w:p>
      <w:pPr>
        <w:pStyle w:val="null3"/>
        <w:ind w:left="630"/>
        <w:jc w:val="left"/>
      </w:pPr>
      <w:r>
        <w:rPr>
          <w:sz w:val="24"/>
        </w:rPr>
        <w:t>(三)</w:t>
      </w:r>
      <w:r>
        <w:rPr>
          <w:sz w:val="21"/>
          <w:u w:val="single"/>
        </w:rPr>
        <w:t>付款方：甲方；收款方：乙方。</w:t>
      </w:r>
    </w:p>
    <w:p>
      <w:pPr>
        <w:pStyle w:val="null3"/>
        <w:ind w:left="630"/>
        <w:jc w:val="left"/>
      </w:pPr>
      <w:r>
        <w:rPr>
          <w:sz w:val="24"/>
        </w:rPr>
        <w:t>(四)</w:t>
      </w:r>
      <w:r>
        <w:rPr>
          <w:sz w:val="21"/>
          <w:u w:val="single"/>
        </w:rPr>
        <w:t>开具发票：</w:t>
      </w:r>
      <w:r>
        <w:rPr>
          <w:sz w:val="21"/>
          <w:u w:val="single"/>
        </w:rPr>
        <w:t>本项目为货物类采购项目，</w:t>
      </w:r>
      <w:r>
        <w:rPr>
          <w:sz w:val="21"/>
          <w:u w:val="single"/>
        </w:rPr>
        <w:t>乙方须在每次收款前向甲方开具等额的正式发票</w:t>
      </w:r>
      <w:r>
        <w:rPr>
          <w:sz w:val="21"/>
          <w:u w:val="single"/>
        </w:rPr>
        <w:t>，发票内项目名称为具体产品的销售发票（非服务类发票）</w:t>
      </w:r>
      <w:r>
        <w:rPr>
          <w:sz w:val="21"/>
          <w:u w:val="single"/>
        </w:rPr>
        <w:t>。收款方、出具发票方、合同乙方均必须名称一致。</w:t>
      </w:r>
    </w:p>
    <w:p>
      <w:pPr>
        <w:pStyle w:val="null3"/>
        <w:ind w:left="630"/>
        <w:jc w:val="left"/>
      </w:pPr>
      <w:r>
        <w:rPr>
          <w:sz w:val="24"/>
        </w:rPr>
        <w:t>(五)</w:t>
      </w:r>
      <w:r>
        <w:rPr>
          <w:sz w:val="21"/>
          <w:u w:val="single"/>
        </w:rPr>
        <w:t>付款期间如因特殊情况需调整，由双方协商处理。</w:t>
      </w:r>
    </w:p>
    <w:p>
      <w:pPr>
        <w:pStyle w:val="null3"/>
        <w:ind w:left="630"/>
        <w:jc w:val="both"/>
      </w:pPr>
      <w:r>
        <w:rPr>
          <w:sz w:val="21"/>
          <w:b/>
        </w:rPr>
        <w:t>八、</w:t>
      </w:r>
      <w:r>
        <w:rPr>
          <w:sz w:val="21"/>
          <w:b/>
        </w:rPr>
        <w:t>物流服务</w:t>
      </w:r>
    </w:p>
    <w:p>
      <w:pPr>
        <w:pStyle w:val="null3"/>
        <w:ind w:left="630"/>
        <w:jc w:val="left"/>
      </w:pPr>
      <w:r>
        <w:rPr>
          <w:sz w:val="24"/>
        </w:rPr>
        <w:t>(一)</w:t>
      </w:r>
      <w:r>
        <w:rPr>
          <w:sz w:val="21"/>
          <w:u w:val="single"/>
        </w:rPr>
        <w:t>包装：乙方所供货物必须为制造商原厂包装，包装质量符合国家相关标准。货物要求有包装材料保护运至现场。因包装不良造成的损失由乙方负责。</w:t>
      </w:r>
    </w:p>
    <w:p>
      <w:pPr>
        <w:pStyle w:val="null3"/>
        <w:ind w:left="630"/>
        <w:jc w:val="left"/>
      </w:pPr>
      <w:r>
        <w:rPr>
          <w:sz w:val="24"/>
        </w:rPr>
        <w:t>(二)</w:t>
      </w:r>
      <w:r>
        <w:rPr>
          <w:sz w:val="21"/>
          <w:u w:val="single"/>
        </w:rPr>
        <w:t>运输：乙方根据甲方指定的安装地点</w:t>
      </w:r>
      <w:r>
        <w:rPr>
          <w:sz w:val="21"/>
          <w:u w:val="single"/>
        </w:rPr>
        <w:t>,负责将货物材料运送到现场，在此过程中的全部运输（包括但不限于装卸车、货物现场的搬运）所产生的全部费用由乙方负责。</w:t>
      </w:r>
    </w:p>
    <w:p>
      <w:pPr>
        <w:pStyle w:val="null3"/>
        <w:ind w:left="630"/>
        <w:jc w:val="left"/>
      </w:pPr>
      <w:r>
        <w:rPr>
          <w:sz w:val="24"/>
        </w:rPr>
        <w:t>(三)</w:t>
      </w:r>
      <w:r>
        <w:rPr>
          <w:sz w:val="21"/>
          <w:u w:val="single"/>
        </w:rPr>
        <w:t>装卸：各种货物，必须提供装箱清单，按装箱清单验收货物。</w:t>
      </w:r>
    </w:p>
    <w:p>
      <w:pPr>
        <w:pStyle w:val="null3"/>
        <w:ind w:left="630"/>
        <w:jc w:val="left"/>
      </w:pPr>
      <w:r>
        <w:rPr>
          <w:sz w:val="24"/>
        </w:rPr>
        <w:t>(四)</w:t>
      </w:r>
      <w:r>
        <w:rPr>
          <w:sz w:val="21"/>
          <w:u w:val="single"/>
        </w:rPr>
        <w:t>保管：货物在现场的保管由乙方负责，直至项目安装、验收完毕。</w:t>
      </w:r>
    </w:p>
    <w:p>
      <w:pPr>
        <w:pStyle w:val="null3"/>
        <w:ind w:left="630"/>
        <w:jc w:val="both"/>
      </w:pPr>
      <w:r>
        <w:rPr>
          <w:sz w:val="21"/>
          <w:b/>
        </w:rPr>
        <w:t>九、</w:t>
      </w:r>
      <w:r>
        <w:rPr>
          <w:sz w:val="21"/>
          <w:b/>
        </w:rPr>
        <w:t>安装调试</w:t>
      </w:r>
    </w:p>
    <w:p>
      <w:pPr>
        <w:pStyle w:val="null3"/>
        <w:ind w:left="630"/>
        <w:jc w:val="left"/>
      </w:pPr>
      <w:r>
        <w:rPr>
          <w:sz w:val="24"/>
        </w:rPr>
        <w:t>(一)</w:t>
      </w:r>
      <w:r>
        <w:rPr>
          <w:sz w:val="21"/>
          <w:u w:val="single"/>
        </w:rPr>
        <w:t>人员及工作要求：乙方应设安装负责人，负责安装协调管理工作。</w:t>
      </w:r>
    </w:p>
    <w:p>
      <w:pPr>
        <w:pStyle w:val="null3"/>
        <w:ind w:left="630"/>
        <w:jc w:val="left"/>
      </w:pPr>
      <w:r>
        <w:rPr>
          <w:sz w:val="24"/>
        </w:rPr>
        <w:t>(二)</w:t>
      </w:r>
      <w:r>
        <w:rPr>
          <w:sz w:val="21"/>
          <w:u w:val="single"/>
        </w:rPr>
        <w:t>前提要求：乙方应提交详细安装进度表。</w:t>
      </w:r>
    </w:p>
    <w:p>
      <w:pPr>
        <w:pStyle w:val="null3"/>
        <w:ind w:left="630"/>
        <w:jc w:val="left"/>
      </w:pPr>
      <w:r>
        <w:rPr>
          <w:sz w:val="24"/>
        </w:rPr>
        <w:t>(三)</w:t>
      </w:r>
      <w:r>
        <w:rPr>
          <w:sz w:val="21"/>
          <w:u w:val="single"/>
        </w:rPr>
        <w:t>安装施工：安装所需工具、设施、物料由乙方自备、自费运到现场，完工后自费搬走；乙方必须充分考虑现场的安装难度及安全性，做好施工现场的安全防护、文明施工工作。安装过程中发生的一切责任及费用由乙方负责，如对其他物品或结构造成损坏必须照价赔偿。本项目的施工、安装如涉及场地的开孔及修复，其费用由乙方负责；乙方要做好现场使用安全及文明措施，按有关规定规范设置围栏围护，安全警示等，如发生安全事故，一切责任及费用由乙方负责。</w:t>
      </w:r>
    </w:p>
    <w:p>
      <w:pPr>
        <w:pStyle w:val="null3"/>
        <w:ind w:left="630"/>
        <w:jc w:val="left"/>
      </w:pPr>
      <w:r>
        <w:rPr>
          <w:sz w:val="24"/>
        </w:rPr>
        <w:t>(四)</w:t>
      </w:r>
      <w:r>
        <w:rPr>
          <w:sz w:val="21"/>
          <w:u w:val="single"/>
        </w:rPr>
        <w:t>调试：乙方必须依照招标文件的要求和投标文件的承诺，将设备、系统安装并调试至正常运行的最佳状态。</w:t>
      </w:r>
    </w:p>
    <w:p>
      <w:pPr>
        <w:pStyle w:val="null3"/>
        <w:ind w:left="630"/>
        <w:jc w:val="left"/>
      </w:pPr>
      <w:r>
        <w:rPr>
          <w:sz w:val="24"/>
        </w:rPr>
        <w:t>(五)</w:t>
      </w:r>
      <w:r>
        <w:rPr>
          <w:sz w:val="21"/>
          <w:u w:val="single"/>
        </w:rPr>
        <w:t>其他：设备的拆箱、安装、通电、调试等项工作由乙方负责，但必须在甲方指定人员的参与下进行。调试的原始记录须经各方签字后作为验收的文件之一。</w:t>
      </w:r>
    </w:p>
    <w:p>
      <w:pPr>
        <w:pStyle w:val="null3"/>
        <w:ind w:left="630"/>
        <w:jc w:val="both"/>
      </w:pPr>
      <w:r>
        <w:rPr>
          <w:sz w:val="21"/>
          <w:b/>
        </w:rPr>
        <w:t>十、</w:t>
      </w:r>
      <w:r>
        <w:rPr>
          <w:sz w:val="21"/>
          <w:b/>
        </w:rPr>
        <w:t>设备要求及验收标准</w:t>
      </w:r>
    </w:p>
    <w:p>
      <w:pPr>
        <w:pStyle w:val="null3"/>
        <w:ind w:left="630"/>
        <w:jc w:val="left"/>
      </w:pPr>
      <w:r>
        <w:rPr>
          <w:sz w:val="24"/>
        </w:rPr>
        <w:t>(一)</w:t>
      </w:r>
      <w:r>
        <w:rPr>
          <w:sz w:val="21"/>
          <w:u w:val="single"/>
        </w:rPr>
        <w:t>货物特性：货物为原制造商制造的全新产品，无污染，无侵权行为、表面无划损、无任何缺陷隐患，在中国境内可依规安全合法使用。货物为原厂商未启封全新包装，具出厂合格证，序列号、包装箱号与出厂批号一致，并可追溯查阅。所有随设备的附件必须齐全。如货物为进口产品，还须提供报关证明、来源合法证明等材料。</w:t>
      </w:r>
    </w:p>
    <w:p>
      <w:pPr>
        <w:pStyle w:val="null3"/>
        <w:ind w:left="630"/>
        <w:jc w:val="left"/>
      </w:pPr>
      <w:r>
        <w:rPr>
          <w:sz w:val="24"/>
        </w:rPr>
        <w:t>(二)</w:t>
      </w:r>
      <w:r>
        <w:rPr>
          <w:sz w:val="21"/>
          <w:u w:val="single"/>
        </w:rPr>
        <w:t>乙方应将关键主机设备的用户手册、保修手册、有关单证资料及配备件、随机工具等交付给甲方，使用操作及安全须知等重要资料应附有中文说明。</w:t>
      </w:r>
    </w:p>
    <w:p>
      <w:pPr>
        <w:pStyle w:val="null3"/>
        <w:ind w:left="630"/>
        <w:jc w:val="left"/>
      </w:pPr>
      <w:r>
        <w:rPr>
          <w:sz w:val="24"/>
        </w:rPr>
        <w:t>(三)</w:t>
      </w:r>
      <w:r>
        <w:rPr>
          <w:sz w:val="21"/>
          <w:u w:val="single"/>
        </w:rPr>
        <w:t>乙方应提供项目详细的验收方案，包括验收项目、验收标准、验收实施办法等。具体验收方案以甲方要求并确认的为准。</w:t>
      </w:r>
    </w:p>
    <w:p>
      <w:pPr>
        <w:pStyle w:val="null3"/>
        <w:ind w:left="630"/>
        <w:jc w:val="left"/>
      </w:pPr>
      <w:r>
        <w:rPr>
          <w:sz w:val="24"/>
        </w:rPr>
        <w:t>(四)</w:t>
      </w:r>
      <w:r>
        <w:rPr>
          <w:sz w:val="21"/>
        </w:rPr>
        <w:t>验收</w:t>
      </w:r>
      <w:r>
        <w:rPr>
          <w:sz w:val="21"/>
          <w:u w:val="single"/>
        </w:rPr>
        <w:t>：设备安装完工、调试成功后进入为期</w:t>
      </w:r>
      <w:r>
        <w:rPr>
          <w:sz w:val="21"/>
          <w:u w:val="single"/>
        </w:rPr>
        <w:t>30日历天的试运行期，如试运行期内设备运行正常，达到甲方要求，则双方在试运行期后</w:t>
      </w:r>
      <w:r>
        <w:rPr>
          <w:sz w:val="21"/>
          <w:u w:val="single"/>
        </w:rPr>
        <w:t>20个工作日</w:t>
      </w:r>
      <w:r>
        <w:rPr>
          <w:sz w:val="21"/>
          <w:u w:val="single"/>
        </w:rPr>
        <w:t>内组织初步</w:t>
      </w:r>
      <w:r>
        <w:rPr>
          <w:sz w:val="21"/>
          <w:u w:val="single"/>
        </w:rPr>
        <w:t>验收</w:t>
      </w:r>
      <w:r>
        <w:rPr>
          <w:sz w:val="21"/>
          <w:u w:val="single"/>
        </w:rPr>
        <w:t>。</w:t>
      </w:r>
    </w:p>
    <w:p>
      <w:pPr>
        <w:pStyle w:val="null3"/>
        <w:ind w:left="630"/>
        <w:jc w:val="left"/>
      </w:pPr>
      <w:r>
        <w:rPr>
          <w:sz w:val="24"/>
        </w:rPr>
        <w:t>(五)</w:t>
      </w:r>
      <w:r>
        <w:rPr>
          <w:sz w:val="21"/>
          <w:u w:val="single"/>
        </w:rPr>
        <w:t>验收标准</w:t>
      </w:r>
    </w:p>
    <w:p>
      <w:pPr>
        <w:pStyle w:val="null3"/>
        <w:ind w:firstLine="420"/>
        <w:jc w:val="left"/>
      </w:pPr>
      <w:r>
        <w:rPr>
          <w:sz w:val="21"/>
          <w:u w:val="single"/>
        </w:rPr>
        <w:t>5.1依次序对照适用标准为：</w:t>
      </w:r>
    </w:p>
    <w:p>
      <w:pPr>
        <w:pStyle w:val="null3"/>
        <w:ind w:firstLine="420"/>
        <w:jc w:val="left"/>
      </w:pPr>
      <w:r>
        <w:rPr>
          <w:sz w:val="21"/>
          <w:u w:val="single"/>
        </w:rPr>
        <w:t>1.符合中华人民共和国国家安全质量标准、环保标准或行业标准；</w:t>
      </w:r>
    </w:p>
    <w:p>
      <w:pPr>
        <w:pStyle w:val="null3"/>
        <w:ind w:firstLine="420"/>
        <w:jc w:val="left"/>
      </w:pPr>
      <w:r>
        <w:rPr>
          <w:sz w:val="21"/>
          <w:u w:val="single"/>
        </w:rPr>
        <w:t>2.符合招标文件和响应承诺中甲方认可的合理最佳配置、参数及各项要求；</w:t>
      </w:r>
    </w:p>
    <w:p>
      <w:pPr>
        <w:pStyle w:val="null3"/>
        <w:ind w:firstLine="420"/>
        <w:jc w:val="left"/>
      </w:pPr>
      <w:r>
        <w:rPr>
          <w:sz w:val="21"/>
          <w:u w:val="single"/>
        </w:rPr>
        <w:t>3.货物来源国家官方标准。</w:t>
      </w:r>
    </w:p>
    <w:p>
      <w:pPr>
        <w:pStyle w:val="null3"/>
        <w:ind w:firstLine="420"/>
        <w:jc w:val="left"/>
      </w:pPr>
      <w:r>
        <w:rPr>
          <w:sz w:val="21"/>
          <w:u w:val="single"/>
        </w:rPr>
        <w:t>上述标准必须是有关官方机构发布的最新版本的标准。</w:t>
      </w:r>
    </w:p>
    <w:p>
      <w:pPr>
        <w:pStyle w:val="null3"/>
        <w:ind w:firstLine="420"/>
        <w:jc w:val="left"/>
      </w:pPr>
      <w:r>
        <w:rPr>
          <w:sz w:val="21"/>
          <w:u w:val="single"/>
        </w:rPr>
        <w:t>5.2验收人员：</w:t>
      </w:r>
    </w:p>
    <w:p>
      <w:pPr>
        <w:pStyle w:val="null3"/>
        <w:ind w:firstLine="420"/>
        <w:jc w:val="left"/>
      </w:pPr>
      <w:r>
        <w:rPr>
          <w:sz w:val="21"/>
          <w:u w:val="single"/>
        </w:rPr>
        <w:t>1.甲方，或其委托的第三方机构（如有）；</w:t>
      </w:r>
    </w:p>
    <w:p>
      <w:pPr>
        <w:pStyle w:val="null3"/>
        <w:ind w:firstLine="420"/>
        <w:jc w:val="left"/>
      </w:pPr>
      <w:r>
        <w:rPr>
          <w:sz w:val="21"/>
          <w:u w:val="single"/>
        </w:rPr>
        <w:t>2.乙方。</w:t>
      </w:r>
    </w:p>
    <w:p>
      <w:pPr>
        <w:pStyle w:val="null3"/>
        <w:ind w:firstLine="420"/>
        <w:jc w:val="left"/>
      </w:pPr>
      <w:r>
        <w:rPr>
          <w:sz w:val="21"/>
          <w:u w:val="single"/>
        </w:rPr>
        <w:t>5.3技术资料</w:t>
      </w:r>
    </w:p>
    <w:p>
      <w:pPr>
        <w:pStyle w:val="null3"/>
        <w:ind w:firstLine="420"/>
        <w:jc w:val="left"/>
      </w:pPr>
      <w:r>
        <w:rPr>
          <w:sz w:val="21"/>
          <w:u w:val="single"/>
        </w:rPr>
        <w:t>1.交货时，应同时交付产品使用手册、质量检验证书（合格证）等相关资料。</w:t>
      </w:r>
    </w:p>
    <w:p>
      <w:pPr>
        <w:pStyle w:val="null3"/>
        <w:ind w:firstLine="420"/>
        <w:jc w:val="left"/>
      </w:pPr>
      <w:r>
        <w:rPr>
          <w:sz w:val="21"/>
          <w:u w:val="single"/>
        </w:rPr>
        <w:t>2.验收后，应提供验收报告。</w:t>
      </w:r>
    </w:p>
    <w:p>
      <w:pPr>
        <w:pStyle w:val="null3"/>
        <w:ind w:firstLine="420"/>
        <w:jc w:val="left"/>
      </w:pPr>
      <w:r>
        <w:rPr>
          <w:sz w:val="21"/>
          <w:u w:val="single"/>
        </w:rPr>
        <w:t>3.资料提供方：乙方；资料受理方：甲方。</w:t>
      </w:r>
    </w:p>
    <w:p>
      <w:pPr>
        <w:pStyle w:val="null3"/>
        <w:ind w:firstLine="420"/>
        <w:jc w:val="left"/>
      </w:pPr>
      <w:r>
        <w:rPr>
          <w:sz w:val="21"/>
          <w:u w:val="single"/>
        </w:rPr>
        <w:t>5.4验收结果确认：验收完毕由甲方及乙方在验收报告上签名确认。</w:t>
      </w:r>
    </w:p>
    <w:p>
      <w:pPr>
        <w:pStyle w:val="null3"/>
        <w:ind w:left="630"/>
        <w:jc w:val="left"/>
      </w:pPr>
      <w:r>
        <w:rPr>
          <w:sz w:val="24"/>
        </w:rPr>
        <w:t>(六)</w:t>
      </w:r>
      <w:r>
        <w:rPr>
          <w:sz w:val="21"/>
          <w:u w:val="single"/>
        </w:rPr>
        <w:t>凡列入《中华人民共和国实施强制性产品认证的产品目录》的产品在验收时必须出具</w:t>
      </w:r>
      <w:r>
        <w:rPr>
          <w:sz w:val="21"/>
          <w:u w:val="single"/>
        </w:rPr>
        <w:t>CCC认证证书复印件，并在产品外部加施认证标志作为验收依据之一。</w:t>
      </w:r>
    </w:p>
    <w:p>
      <w:pPr>
        <w:pStyle w:val="null3"/>
        <w:ind w:left="630"/>
        <w:jc w:val="left"/>
      </w:pPr>
      <w:r>
        <w:rPr>
          <w:sz w:val="24"/>
        </w:rPr>
        <w:t>(七)</w:t>
      </w:r>
      <w:r>
        <w:rPr>
          <w:sz w:val="21"/>
          <w:u w:val="single"/>
        </w:rPr>
        <w:t>最终</w:t>
      </w:r>
      <w:r>
        <w:rPr>
          <w:sz w:val="21"/>
        </w:rPr>
        <w:t>稳定性</w:t>
      </w:r>
      <w:r>
        <w:rPr>
          <w:sz w:val="21"/>
          <w:u w:val="single"/>
        </w:rPr>
        <w:t>验收：</w:t>
      </w:r>
      <w:r>
        <w:rPr>
          <w:sz w:val="21"/>
          <w:color w:val="000000"/>
        </w:rPr>
        <w:t>初步验收合格之日起，待设备磨合期</w:t>
      </w:r>
      <w:r>
        <w:rPr>
          <w:sz w:val="21"/>
          <w:color w:val="000000"/>
        </w:rPr>
        <w:t>1</w:t>
      </w:r>
      <w:r>
        <w:rPr>
          <w:sz w:val="21"/>
          <w:color w:val="000000"/>
        </w:rPr>
        <w:t>年后，确保设备稳定且检测分析数据准确须组织设备最终稳定性验收。</w:t>
      </w:r>
    </w:p>
    <w:p>
      <w:pPr>
        <w:pStyle w:val="null3"/>
        <w:ind w:left="630"/>
        <w:jc w:val="both"/>
      </w:pPr>
      <w:r>
        <w:rPr>
          <w:sz w:val="21"/>
          <w:b/>
        </w:rPr>
        <w:t>十一、</w:t>
      </w:r>
      <w:r>
        <w:rPr>
          <w:sz w:val="21"/>
          <w:b/>
        </w:rPr>
        <w:t>培训</w:t>
      </w:r>
    </w:p>
    <w:p>
      <w:pPr>
        <w:pStyle w:val="null3"/>
        <w:ind w:left="630"/>
        <w:jc w:val="left"/>
      </w:pPr>
      <w:r>
        <w:rPr>
          <w:sz w:val="24"/>
        </w:rPr>
        <w:t>(一)</w:t>
      </w:r>
      <w:r>
        <w:rPr>
          <w:sz w:val="21"/>
          <w:u w:val="single"/>
        </w:rPr>
        <w:t>基本要求：乙方须根据甲方的要求，安排熟悉本项目的专业技术人员在甲方指定的地点（佛山市内）向甲方提供完备、全面的产品使用培训。</w:t>
      </w:r>
    </w:p>
    <w:p>
      <w:pPr>
        <w:pStyle w:val="null3"/>
        <w:ind w:left="630"/>
        <w:jc w:val="left"/>
      </w:pPr>
      <w:r>
        <w:rPr>
          <w:sz w:val="24"/>
        </w:rPr>
        <w:t>(二)</w:t>
      </w:r>
      <w:r>
        <w:rPr>
          <w:sz w:val="21"/>
          <w:u w:val="single"/>
        </w:rPr>
        <w:t>目的：确保甲方能够对设备、系统有足够的了解，能够独立进行日常操作、管理和维护。</w:t>
      </w:r>
    </w:p>
    <w:p>
      <w:pPr>
        <w:pStyle w:val="null3"/>
        <w:ind w:left="630"/>
        <w:jc w:val="left"/>
      </w:pPr>
      <w:r>
        <w:rPr>
          <w:sz w:val="24"/>
        </w:rPr>
        <w:t>(三)</w:t>
      </w:r>
      <w:r>
        <w:rPr>
          <w:sz w:val="21"/>
          <w:u w:val="single"/>
        </w:rPr>
        <w:t>培训资料：乙方必须为所有被培训人员提供培训用文字资料和讲义等相关用品。所有的资料必须是中文书写。</w:t>
      </w:r>
    </w:p>
    <w:p>
      <w:pPr>
        <w:pStyle w:val="null3"/>
        <w:ind w:left="630"/>
        <w:jc w:val="left"/>
      </w:pPr>
      <w:r>
        <w:rPr>
          <w:sz w:val="24"/>
        </w:rPr>
        <w:t>(四)</w:t>
      </w:r>
      <w:r>
        <w:rPr>
          <w:sz w:val="21"/>
          <w:u w:val="single"/>
        </w:rPr>
        <w:t>培训费用：所有与本项目有关的培训费用包括差旅、食宿、教材、资料等由乙方负责，均计入投标报价中。</w:t>
      </w:r>
    </w:p>
    <w:p>
      <w:pPr>
        <w:pStyle w:val="null3"/>
        <w:ind w:left="630"/>
        <w:jc w:val="both"/>
      </w:pPr>
      <w:r>
        <w:rPr>
          <w:sz w:val="21"/>
          <w:b/>
        </w:rPr>
        <w:t>十二、</w:t>
      </w:r>
      <w:r>
        <w:rPr>
          <w:sz w:val="21"/>
          <w:b/>
        </w:rPr>
        <w:t>质保期</w:t>
      </w:r>
    </w:p>
    <w:p>
      <w:pPr>
        <w:pStyle w:val="null3"/>
        <w:ind w:left="630"/>
        <w:jc w:val="left"/>
      </w:pPr>
      <w:r>
        <w:rPr>
          <w:sz w:val="24"/>
        </w:rPr>
        <w:t>(一)</w:t>
      </w:r>
      <w:r>
        <w:rPr>
          <w:sz w:val="21"/>
          <w:u w:val="single"/>
        </w:rPr>
        <w:t>本合同的质量保证期（简称</w:t>
      </w:r>
      <w:r>
        <w:rPr>
          <w:sz w:val="21"/>
          <w:u w:val="single"/>
        </w:rPr>
        <w:t>“质保期”）为   年，质保期自货物初步验收合格之日起算，质保期内乙方对所供货物实行包修、包换、包维护保养。质保期后提供终身 维修保养服务，具体费用另行商定。</w:t>
      </w:r>
    </w:p>
    <w:p>
      <w:pPr>
        <w:pStyle w:val="null3"/>
        <w:ind w:left="630"/>
        <w:jc w:val="left"/>
      </w:pPr>
      <w:r>
        <w:rPr>
          <w:sz w:val="24"/>
        </w:rPr>
        <w:t>(二)</w:t>
      </w:r>
      <w:r>
        <w:rPr>
          <w:sz w:val="21"/>
          <w:u w:val="single"/>
        </w:rPr>
        <w:t>若国家和</w:t>
      </w:r>
      <w:r>
        <w:rPr>
          <w:sz w:val="21"/>
          <w:u w:val="single"/>
        </w:rPr>
        <w:t>/或生产厂家对本项目所涉及货物的质保期的规定高于本项目的要求，应按国家和/或生产厂家的规定执行。</w:t>
      </w:r>
    </w:p>
    <w:p>
      <w:pPr>
        <w:pStyle w:val="null3"/>
        <w:ind w:firstLine="420"/>
        <w:jc w:val="left"/>
      </w:pPr>
      <w:r>
        <w:rPr>
          <w:sz w:val="21"/>
          <w:u w:val="single"/>
        </w:rPr>
        <w:t>注：具体由乙方在投标文件中承诺。</w:t>
      </w:r>
    </w:p>
    <w:p>
      <w:pPr>
        <w:pStyle w:val="null3"/>
        <w:ind w:left="630"/>
        <w:jc w:val="both"/>
      </w:pPr>
      <w:r>
        <w:rPr>
          <w:sz w:val="21"/>
          <w:b/>
        </w:rPr>
        <w:t>十三、</w:t>
      </w:r>
      <w:r>
        <w:rPr>
          <w:sz w:val="21"/>
          <w:b/>
        </w:rPr>
        <w:t>质量保证</w:t>
      </w:r>
    </w:p>
    <w:p>
      <w:pPr>
        <w:pStyle w:val="null3"/>
        <w:ind w:left="630"/>
        <w:jc w:val="left"/>
      </w:pPr>
      <w:r>
        <w:rPr>
          <w:sz w:val="24"/>
        </w:rPr>
        <w:t>(一)</w:t>
      </w:r>
      <w:r>
        <w:rPr>
          <w:sz w:val="21"/>
          <w:u w:val="single"/>
        </w:rPr>
        <w:t>质保期内，在非人为因素情况下，一切维修换件保养费用和备品备件均由乙方免费提供。</w:t>
      </w:r>
    </w:p>
    <w:p>
      <w:pPr>
        <w:pStyle w:val="null3"/>
        <w:ind w:left="630"/>
        <w:jc w:val="left"/>
      </w:pPr>
      <w:r>
        <w:rPr>
          <w:sz w:val="24"/>
        </w:rPr>
        <w:t>(二)</w:t>
      </w:r>
      <w:r>
        <w:rPr>
          <w:sz w:val="21"/>
          <w:u w:val="single"/>
        </w:rPr>
        <w:t>质保期内，如设备或零部件因非人为因素出现故障而造成短期停用时，则质保期和维修期相应顺延。如停用时间累计超过</w:t>
      </w:r>
      <w:r>
        <w:rPr>
          <w:sz w:val="21"/>
          <w:u w:val="single"/>
        </w:rPr>
        <w:t>20天时，则质保期在状态恢复正常时重新计算或对故障设备予以重新更换。</w:t>
      </w:r>
    </w:p>
    <w:p>
      <w:pPr>
        <w:pStyle w:val="null3"/>
        <w:ind w:left="630"/>
        <w:jc w:val="left"/>
      </w:pPr>
      <w:r>
        <w:rPr>
          <w:sz w:val="24"/>
        </w:rPr>
        <w:t>(三)</w:t>
      </w:r>
      <w:r>
        <w:rPr>
          <w:sz w:val="21"/>
          <w:u w:val="single"/>
        </w:rPr>
        <w:t>任何时候，乙方均不能免除因货物本身的缺陷所应负的责任。</w:t>
      </w:r>
    </w:p>
    <w:p>
      <w:pPr>
        <w:pStyle w:val="null3"/>
        <w:ind w:left="630"/>
        <w:jc w:val="left"/>
      </w:pPr>
      <w:r>
        <w:rPr>
          <w:sz w:val="24"/>
        </w:rPr>
        <w:t>(四)</w:t>
      </w:r>
      <w:r>
        <w:rPr>
          <w:sz w:val="21"/>
          <w:u w:val="single"/>
        </w:rPr>
        <w:t>在质保期内乙方应提供系统升级方面的技术支持服务。</w:t>
      </w:r>
    </w:p>
    <w:p>
      <w:pPr>
        <w:pStyle w:val="null3"/>
        <w:ind w:left="630"/>
        <w:jc w:val="left"/>
      </w:pPr>
      <w:r>
        <w:rPr>
          <w:sz w:val="24"/>
        </w:rPr>
        <w:t>(五)</w:t>
      </w:r>
      <w:r>
        <w:rPr>
          <w:sz w:val="21"/>
          <w:u w:val="single"/>
        </w:rPr>
        <w:t>质保期满前</w:t>
      </w:r>
      <w:r>
        <w:rPr>
          <w:sz w:val="21"/>
          <w:u w:val="single"/>
        </w:rPr>
        <w:t>1个月内，乙方须派技术人员到甲方指定现场对全部货物进行一次全面检修。</w:t>
      </w:r>
    </w:p>
    <w:p>
      <w:pPr>
        <w:pStyle w:val="null3"/>
        <w:ind w:left="630"/>
        <w:jc w:val="both"/>
      </w:pPr>
      <w:r>
        <w:rPr>
          <w:sz w:val="21"/>
          <w:b/>
        </w:rPr>
        <w:t>十四、</w:t>
      </w:r>
      <w:r>
        <w:rPr>
          <w:sz w:val="21"/>
          <w:b/>
        </w:rPr>
        <w:t>售后服务</w:t>
      </w:r>
    </w:p>
    <w:p>
      <w:pPr>
        <w:pStyle w:val="null3"/>
        <w:jc w:val="left"/>
      </w:pPr>
      <w:r>
        <w:rPr>
          <w:sz w:val="21"/>
          <w:u w:val="single"/>
        </w:rPr>
        <w:t>（一）乙方应须承诺为用户提供完善的服务，提供及时、方便、全面、有效的技术支持与售后服务，保证项目建设任务的顺利完成，达到项目建设目标。</w:t>
      </w:r>
    </w:p>
    <w:p>
      <w:pPr>
        <w:pStyle w:val="null3"/>
        <w:jc w:val="left"/>
      </w:pPr>
      <w:r>
        <w:rPr>
          <w:sz w:val="21"/>
          <w:u w:val="single"/>
        </w:rPr>
        <w:t>（二）本项目中所采购的相关设备及配件的安装、集成和调试，均需制造商的技术支持服务。乙方承诺技术方案中所涉及的软件，从验收完毕之日开始计算，提供</w:t>
      </w:r>
      <w:r>
        <w:rPr>
          <w:sz w:val="21"/>
          <w:u w:val="single"/>
        </w:rPr>
        <w:t>3年升级和支持服务，所有费用计入报价总价，不再另行收取。</w:t>
      </w:r>
    </w:p>
    <w:p>
      <w:pPr>
        <w:pStyle w:val="null3"/>
        <w:jc w:val="left"/>
      </w:pPr>
      <w:r>
        <w:rPr>
          <w:sz w:val="21"/>
          <w:u w:val="single"/>
        </w:rPr>
        <w:t>（三）提供</w:t>
      </w:r>
      <w:r>
        <w:rPr>
          <w:sz w:val="21"/>
          <w:u w:val="single"/>
        </w:rPr>
        <w:t>7×24小时电话维护响应服务：若电话中无法解决，4小时内到达现场。如是硬件问题必须48小时内解决，否则需提供不低于使用设备的备件，保证系统的正常运行。</w:t>
      </w:r>
    </w:p>
    <w:p>
      <w:pPr>
        <w:pStyle w:val="null3"/>
        <w:jc w:val="left"/>
      </w:pPr>
      <w:r>
        <w:rPr>
          <w:sz w:val="21"/>
          <w:u w:val="single"/>
        </w:rPr>
        <w:t>（四）保修期内，如用户所购设备各部件发生非人为故障，乙方应上门更换同种品牌不低于原规格型号的新部件。</w:t>
      </w:r>
    </w:p>
    <w:p>
      <w:pPr>
        <w:pStyle w:val="null3"/>
        <w:jc w:val="left"/>
      </w:pPr>
      <w:r>
        <w:rPr>
          <w:sz w:val="21"/>
          <w:u w:val="single"/>
        </w:rPr>
        <w:t>（五）保修期内同一硬件一个月内连续</w:t>
      </w:r>
      <w:r>
        <w:rPr>
          <w:sz w:val="21"/>
          <w:u w:val="single"/>
        </w:rPr>
        <w:t>3次出现同一故障，乙方须无偿更换同一档次设备。</w:t>
      </w:r>
    </w:p>
    <w:p>
      <w:pPr>
        <w:pStyle w:val="null3"/>
        <w:jc w:val="left"/>
      </w:pPr>
      <w:r>
        <w:rPr>
          <w:sz w:val="21"/>
          <w:u w:val="single"/>
        </w:rPr>
        <w:t>（六）所有设备保修服务方式均为乙方上门保修，即由乙方派人员到用户设备使用现场维修，由此产生的一切费用均由乙方承担。所有设备必须在明显位置贴有维修热线电话的标识。乙方必须提出保修期内的维修、维护内容和范围的服务方案（不限于产品、技术、模块、部件和升级等内容）。</w:t>
      </w:r>
    </w:p>
    <w:p>
      <w:pPr>
        <w:pStyle w:val="null3"/>
        <w:jc w:val="left"/>
      </w:pPr>
      <w:r>
        <w:rPr>
          <w:sz w:val="21"/>
        </w:rPr>
        <w:t>（七）搬迁服务</w:t>
      </w:r>
    </w:p>
    <w:p>
      <w:pPr>
        <w:pStyle w:val="null3"/>
        <w:ind w:firstLine="420"/>
        <w:jc w:val="left"/>
      </w:pPr>
      <w:r>
        <w:rPr>
          <w:sz w:val="21"/>
        </w:rPr>
        <w:t>1.质保期内，甲方向乙方提出对设备进行移动或搬迁的，乙方须派人员到用户设备使用现场指导移动及配合搬迁工作，并及时进行安装调试，确保设备以最快的速度达到最佳运行状态。设备移动或搬迁过程中产生的包装费、人工费、运输费、装卸费等双方另行协商约定。</w:t>
      </w:r>
    </w:p>
    <w:p>
      <w:pPr>
        <w:pStyle w:val="null3"/>
        <w:ind w:firstLine="420"/>
        <w:jc w:val="left"/>
      </w:pPr>
      <w:r>
        <w:rPr>
          <w:sz w:val="21"/>
        </w:rPr>
        <w:t>2.质保期后，甲方向乙方提出对设备进行移动或搬迁的，乙方须派人员到用户设备使用现场指导移动及配合搬迁工作，并提供二次安装调试服务，确保设备以最快的速度达到最佳运行状态，设备移动或搬迁过程中产生的服务费、包装费、人工费、运输费、装卸费等双方另行协商约定。</w:t>
      </w:r>
    </w:p>
    <w:p>
      <w:pPr>
        <w:pStyle w:val="null3"/>
        <w:jc w:val="left"/>
      </w:pPr>
      <w:r>
        <w:rPr>
          <w:sz w:val="21"/>
        </w:rPr>
        <w:t>（八）乙方售后服务联系方式：</w:t>
      </w:r>
    </w:p>
    <w:p>
      <w:pPr>
        <w:pStyle w:val="null3"/>
        <w:ind w:firstLine="630"/>
        <w:jc w:val="left"/>
      </w:pPr>
      <w:r>
        <w:rPr>
          <w:sz w:val="21"/>
        </w:rPr>
        <w:t>联系人</w:t>
      </w:r>
      <w:r>
        <w:rPr>
          <w:sz w:val="21"/>
        </w:rPr>
        <w:t>1</w:t>
      </w:r>
      <w:r>
        <w:rPr>
          <w:sz w:val="21"/>
          <w:u w:val="single"/>
        </w:rPr>
        <w:t>：</w:t>
      </w:r>
      <w:r>
        <w:rPr>
          <w:sz w:val="21"/>
          <w:u w:val="single"/>
        </w:rPr>
        <w:t xml:space="preserve">      </w:t>
      </w:r>
      <w:r>
        <w:rPr>
          <w:sz w:val="21"/>
        </w:rPr>
        <w:t>，联系电话</w:t>
      </w:r>
      <w:r>
        <w:rPr>
          <w:sz w:val="21"/>
          <w:u w:val="single"/>
        </w:rPr>
        <w:t>：</w:t>
      </w:r>
      <w:r>
        <w:rPr>
          <w:sz w:val="21"/>
          <w:u w:val="single"/>
        </w:rPr>
        <w:t xml:space="preserve">        </w:t>
      </w:r>
      <w:r>
        <w:rPr>
          <w:sz w:val="21"/>
        </w:rPr>
        <w:t>，手机</w:t>
      </w:r>
      <w:r>
        <w:rPr>
          <w:sz w:val="21"/>
          <w:u w:val="single"/>
        </w:rPr>
        <w:t>：</w:t>
      </w:r>
      <w:r>
        <w:rPr>
          <w:sz w:val="21"/>
          <w:u w:val="single"/>
        </w:rPr>
        <w:t xml:space="preserve">       </w:t>
      </w:r>
      <w:r>
        <w:rPr>
          <w:sz w:val="21"/>
        </w:rPr>
        <w:t>；</w:t>
      </w:r>
    </w:p>
    <w:p>
      <w:pPr>
        <w:pStyle w:val="null3"/>
        <w:ind w:firstLine="630"/>
        <w:jc w:val="left"/>
      </w:pPr>
      <w:r>
        <w:rPr>
          <w:sz w:val="21"/>
        </w:rPr>
        <w:t>联系人</w:t>
      </w:r>
      <w:r>
        <w:rPr>
          <w:sz w:val="21"/>
        </w:rPr>
        <w:t>2</w:t>
      </w:r>
      <w:r>
        <w:rPr>
          <w:sz w:val="21"/>
          <w:u w:val="single"/>
        </w:rPr>
        <w:t>：</w:t>
      </w:r>
      <w:r>
        <w:rPr>
          <w:sz w:val="21"/>
          <w:u w:val="single"/>
        </w:rPr>
        <w:t xml:space="preserve">      </w:t>
      </w:r>
      <w:r>
        <w:rPr>
          <w:sz w:val="21"/>
        </w:rPr>
        <w:t>，联系电话</w:t>
      </w:r>
      <w:r>
        <w:rPr>
          <w:sz w:val="21"/>
          <w:u w:val="single"/>
        </w:rPr>
        <w:t>：</w:t>
      </w:r>
      <w:r>
        <w:rPr>
          <w:sz w:val="21"/>
          <w:u w:val="single"/>
        </w:rPr>
        <w:t xml:space="preserve">        </w:t>
      </w:r>
      <w:r>
        <w:rPr>
          <w:sz w:val="21"/>
        </w:rPr>
        <w:t>，手机</w:t>
      </w:r>
      <w:r>
        <w:rPr>
          <w:sz w:val="21"/>
          <w:u w:val="single"/>
        </w:rPr>
        <w:t>：</w:t>
      </w:r>
      <w:r>
        <w:rPr>
          <w:sz w:val="21"/>
          <w:u w:val="single"/>
        </w:rPr>
        <w:t xml:space="preserve">       </w:t>
      </w:r>
      <w:r>
        <w:rPr>
          <w:sz w:val="21"/>
        </w:rPr>
        <w:t>。</w:t>
      </w:r>
    </w:p>
    <w:p>
      <w:pPr>
        <w:pStyle w:val="null3"/>
        <w:ind w:left="630"/>
        <w:jc w:val="both"/>
      </w:pPr>
      <w:r>
        <w:rPr>
          <w:sz w:val="21"/>
          <w:b/>
        </w:rPr>
        <w:t>十五、</w:t>
      </w:r>
      <w:r>
        <w:rPr>
          <w:sz w:val="21"/>
          <w:b/>
        </w:rPr>
        <w:t>保密及知识产权</w:t>
      </w:r>
    </w:p>
    <w:p>
      <w:pPr>
        <w:pStyle w:val="null3"/>
        <w:ind w:left="630"/>
        <w:jc w:val="left"/>
      </w:pPr>
      <w:r>
        <w:rPr>
          <w:sz w:val="24"/>
        </w:rPr>
        <w:t>(一)</w:t>
      </w:r>
      <w:r>
        <w:rPr>
          <w:sz w:val="21"/>
          <w:u w:val="single"/>
        </w:rPr>
        <w:t>保密要求</w:t>
      </w:r>
    </w:p>
    <w:p>
      <w:pPr>
        <w:pStyle w:val="null3"/>
        <w:ind w:firstLine="420"/>
        <w:jc w:val="left"/>
      </w:pPr>
      <w:r>
        <w:rPr>
          <w:sz w:val="21"/>
          <w:u w:val="single"/>
        </w:rPr>
        <w:t>1.在项目建设中涉及到的工程项目，应当签订保密条款或者另行签订保密协议，内容应包括：设计的内容和范围；应具备的保密条件及权限；承担的保密责任；保密纪律和违纪处罚；保密项目的有效时间等。</w:t>
      </w:r>
    </w:p>
    <w:p>
      <w:pPr>
        <w:pStyle w:val="null3"/>
        <w:ind w:firstLine="420"/>
        <w:jc w:val="left"/>
      </w:pPr>
      <w:r>
        <w:rPr>
          <w:sz w:val="21"/>
          <w:u w:val="single"/>
        </w:rPr>
        <w:t>2.合同双方保密的内容、期限和泄漏秘密应承担的责任，双方可以约定，无论合同是否发生变更、解除、终止，本条款均有效。</w:t>
      </w:r>
    </w:p>
    <w:p>
      <w:pPr>
        <w:pStyle w:val="null3"/>
        <w:ind w:firstLine="420"/>
        <w:jc w:val="left"/>
      </w:pPr>
      <w:r>
        <w:rPr>
          <w:sz w:val="21"/>
          <w:u w:val="single"/>
        </w:rPr>
        <w:t>3.甲方提供给乙方的资料不得向第三方泄密。一旦发生由乙方造成的资料外泄，按《保密法》等追究其责任。</w:t>
      </w:r>
    </w:p>
    <w:p>
      <w:pPr>
        <w:pStyle w:val="null3"/>
        <w:ind w:left="630"/>
        <w:jc w:val="left"/>
      </w:pPr>
      <w:r>
        <w:rPr>
          <w:sz w:val="24"/>
        </w:rPr>
        <w:t>(二)</w:t>
      </w:r>
      <w:r>
        <w:rPr>
          <w:sz w:val="21"/>
          <w:u w:val="single"/>
        </w:rPr>
        <w:t>知识产权要求</w:t>
      </w:r>
    </w:p>
    <w:p>
      <w:pPr>
        <w:pStyle w:val="null3"/>
        <w:ind w:firstLine="420"/>
        <w:jc w:val="left"/>
      </w:pPr>
      <w:r>
        <w:rPr>
          <w:sz w:val="21"/>
          <w:u w:val="single"/>
        </w:rPr>
        <w:t>1.乙方应保证，甲方在中华人民共和国使用该货物或货物的任何一部分时，如受第三方提出的侵犯其专利权、商标权或其他知识产权的起诉，由乙方承担一切责任。</w:t>
      </w:r>
    </w:p>
    <w:p>
      <w:pPr>
        <w:pStyle w:val="null3"/>
        <w:ind w:firstLine="420"/>
        <w:jc w:val="left"/>
      </w:pPr>
      <w:r>
        <w:rPr>
          <w:sz w:val="21"/>
          <w:u w:val="single"/>
        </w:rPr>
        <w:t>2.乙方为执行本合同而提供的技术资料、软件的使用权归甲方所有。</w:t>
      </w:r>
    </w:p>
    <w:p>
      <w:pPr>
        <w:pStyle w:val="null3"/>
        <w:ind w:left="630"/>
        <w:jc w:val="both"/>
      </w:pPr>
      <w:r>
        <w:rPr>
          <w:sz w:val="21"/>
          <w:b/>
        </w:rPr>
        <w:t>十六、</w:t>
      </w:r>
      <w:r>
        <w:rPr>
          <w:sz w:val="21"/>
          <w:b/>
        </w:rPr>
        <w:t>风险及责任的承担</w:t>
      </w:r>
    </w:p>
    <w:p>
      <w:pPr>
        <w:pStyle w:val="null3"/>
        <w:ind w:left="630"/>
        <w:jc w:val="left"/>
      </w:pPr>
      <w:r>
        <w:rPr>
          <w:sz w:val="24"/>
        </w:rPr>
        <w:t>(一)</w:t>
      </w:r>
      <w:r>
        <w:rPr>
          <w:sz w:val="21"/>
        </w:rPr>
        <w:t>履行本合同的过程中，确因在现有水平和条件下难以克服的技术困难，导致本项目部分或全部失败的，所造成的损失及责任，由乙方承担。乙方交付的货物、工程、</w:t>
      </w:r>
      <w:r>
        <w:rPr>
          <w:sz w:val="21"/>
        </w:rPr>
        <w:t>提供的服务不符合招标文件、投标文件或本合同规定的，甲方有权拒收并单方终止履行本合同，甲方已支付的款项，乙方须全额退还，并且乙方须向甲方支付本合同总价</w:t>
      </w:r>
      <w:r>
        <w:rPr>
          <w:sz w:val="21"/>
        </w:rPr>
        <w:t>10%的违约金。</w:t>
      </w:r>
    </w:p>
    <w:p>
      <w:pPr>
        <w:pStyle w:val="null3"/>
        <w:ind w:left="630"/>
        <w:jc w:val="left"/>
      </w:pPr>
      <w:r>
        <w:rPr>
          <w:sz w:val="24"/>
        </w:rPr>
        <w:t>(</w:t>
      </w:r>
      <w:r>
        <w:rPr>
          <w:sz w:val="24"/>
        </w:rPr>
        <w:t>二</w:t>
      </w:r>
      <w:r>
        <w:rPr>
          <w:sz w:val="24"/>
        </w:rPr>
        <w:t>)</w:t>
      </w:r>
      <w:r>
        <w:rPr>
          <w:sz w:val="21"/>
        </w:rPr>
        <w:t>若乙方未能按时完成货物交付，或逾期未能通过验收的，自超期之日起，每日加收合同总价万分之二的违约金；若本项目未能按照工期的约定通过验收且累计超期</w:t>
      </w:r>
      <w:r>
        <w:rPr>
          <w:sz w:val="21"/>
        </w:rPr>
        <w:t>15日以上的，甲方有权单方终止履行本合同，甲方已支付的款项，乙方须全额退还。</w:t>
      </w:r>
    </w:p>
    <w:p>
      <w:pPr>
        <w:pStyle w:val="null3"/>
        <w:ind w:left="630"/>
        <w:jc w:val="left"/>
      </w:pPr>
      <w:r>
        <w:rPr>
          <w:sz w:val="24"/>
        </w:rPr>
        <w:t>(</w:t>
      </w:r>
      <w:r>
        <w:rPr>
          <w:sz w:val="24"/>
        </w:rPr>
        <w:t>三</w:t>
      </w:r>
      <w:r>
        <w:rPr>
          <w:sz w:val="24"/>
        </w:rPr>
        <w:t>)</w:t>
      </w:r>
      <w:r>
        <w:rPr>
          <w:sz w:val="21"/>
        </w:rPr>
        <w:t>质保期内，乙方未能按合同要求履行合同义务时，视为违约，从违约之日起每日按合同总价万分之二的比例向甲方支付违约金。</w:t>
      </w:r>
    </w:p>
    <w:p>
      <w:pPr>
        <w:pStyle w:val="null3"/>
        <w:ind w:left="630"/>
        <w:jc w:val="left"/>
      </w:pPr>
      <w:r>
        <w:rPr>
          <w:sz w:val="24"/>
        </w:rPr>
        <w:t>(四)</w:t>
      </w:r>
      <w:r>
        <w:rPr>
          <w:sz w:val="21"/>
        </w:rPr>
        <w:t>各方应保证向对方提供的资料和数据不侵犯第三方的知识产权或其他权利，因一方提供的资料虚假、错误、或侵犯第三方权利而造成另一方因此遭受任何索赔、诉讼、仲裁及损失的，该资料提供方须承担全部责任与费用（包括但不限于另一方为此而支出的赔偿金、补偿金、诉讼费、仲裁费、律师费、保全费、财产保全担保费或保险费、评估费及其他为维护自身权益而支出的费用）。</w:t>
      </w:r>
    </w:p>
    <w:p>
      <w:pPr>
        <w:pStyle w:val="null3"/>
        <w:ind w:left="630"/>
        <w:jc w:val="left"/>
      </w:pPr>
      <w:r>
        <w:rPr>
          <w:sz w:val="24"/>
        </w:rPr>
        <w:t>(五)</w:t>
      </w:r>
      <w:r>
        <w:rPr>
          <w:sz w:val="21"/>
        </w:rPr>
        <w:t>本合同任何一方若违反本合同约定的义务和承诺，给其他方造成损失的，应当承担赔偿责任。</w:t>
      </w:r>
    </w:p>
    <w:p>
      <w:pPr>
        <w:pStyle w:val="null3"/>
        <w:ind w:left="630"/>
        <w:jc w:val="both"/>
      </w:pPr>
      <w:r>
        <w:rPr>
          <w:sz w:val="21"/>
          <w:b/>
        </w:rPr>
        <w:t>十七、</w:t>
      </w:r>
      <w:r>
        <w:rPr>
          <w:sz w:val="21"/>
          <w:b/>
        </w:rPr>
        <w:t>提出异议的时间和方法</w:t>
      </w:r>
    </w:p>
    <w:p>
      <w:pPr>
        <w:pStyle w:val="null3"/>
        <w:ind w:left="630"/>
        <w:jc w:val="left"/>
      </w:pPr>
      <w:r>
        <w:rPr>
          <w:sz w:val="24"/>
        </w:rPr>
        <w:t>(一)</w:t>
      </w:r>
      <w:r>
        <w:rPr>
          <w:sz w:val="21"/>
        </w:rPr>
        <w:t>甲方在验收后</w:t>
      </w:r>
      <w:r>
        <w:rPr>
          <w:sz w:val="21"/>
        </w:rPr>
        <w:t>100天内如对货物的型号、规格、质量有异议时，应在妥善保管货物的同时，即向乙方提出书面异议。</w:t>
      </w:r>
    </w:p>
    <w:p>
      <w:pPr>
        <w:pStyle w:val="null3"/>
        <w:ind w:left="630"/>
        <w:jc w:val="left"/>
      </w:pPr>
      <w:r>
        <w:rPr>
          <w:sz w:val="24"/>
        </w:rPr>
        <w:t>(二)</w:t>
      </w:r>
      <w:r>
        <w:rPr>
          <w:sz w:val="21"/>
        </w:rPr>
        <w:t>乙方在接到甲方书面异议后，应在</w:t>
      </w:r>
      <w:r>
        <w:rPr>
          <w:sz w:val="21"/>
        </w:rPr>
        <w:t>3天内负责处理并函复甲方处理情况，否则，即视为默认甲方提出的异议和处理意见。</w:t>
      </w:r>
    </w:p>
    <w:p>
      <w:pPr>
        <w:pStyle w:val="null3"/>
        <w:ind w:left="630"/>
        <w:jc w:val="left"/>
      </w:pPr>
      <w:r>
        <w:rPr>
          <w:sz w:val="24"/>
        </w:rPr>
        <w:t>(三)</w:t>
      </w:r>
      <w:r>
        <w:rPr>
          <w:sz w:val="21"/>
        </w:rPr>
        <w:t>甲方因违章操作、保管、保养不善等人为造成货物损毁，所提出的异议乙方有权不予接受。</w:t>
      </w:r>
    </w:p>
    <w:p>
      <w:pPr>
        <w:pStyle w:val="null3"/>
        <w:ind w:left="630"/>
        <w:jc w:val="both"/>
      </w:pPr>
      <w:r>
        <w:rPr>
          <w:sz w:val="21"/>
          <w:b/>
        </w:rPr>
        <w:t>十八、</w:t>
      </w:r>
      <w:r>
        <w:rPr>
          <w:sz w:val="21"/>
          <w:b/>
        </w:rPr>
        <w:t>合同生效、变更与终止</w:t>
      </w:r>
    </w:p>
    <w:p>
      <w:pPr>
        <w:pStyle w:val="null3"/>
        <w:ind w:left="630"/>
        <w:jc w:val="left"/>
      </w:pPr>
      <w:r>
        <w:rPr>
          <w:sz w:val="24"/>
        </w:rPr>
        <w:t>(一)</w:t>
      </w:r>
      <w:r>
        <w:rPr>
          <w:sz w:val="21"/>
        </w:rPr>
        <w:t>在项目实施过程中，如出现内容的变更，由当事各方协商解决。</w:t>
      </w:r>
    </w:p>
    <w:p>
      <w:pPr>
        <w:pStyle w:val="null3"/>
        <w:ind w:left="630"/>
        <w:jc w:val="left"/>
      </w:pPr>
      <w:r>
        <w:rPr>
          <w:sz w:val="24"/>
        </w:rPr>
        <w:t>(二)</w:t>
      </w:r>
      <w:r>
        <w:rPr>
          <w:sz w:val="21"/>
        </w:rPr>
        <w:t>本合同有效期自生效之日起，至乙方履行完毕全部合同义务止。</w:t>
      </w:r>
    </w:p>
    <w:p>
      <w:pPr>
        <w:pStyle w:val="null3"/>
        <w:ind w:left="630"/>
        <w:jc w:val="left"/>
      </w:pPr>
      <w:r>
        <w:rPr>
          <w:sz w:val="24"/>
        </w:rPr>
        <w:t>(三)</w:t>
      </w:r>
      <w:r>
        <w:rPr>
          <w:sz w:val="21"/>
        </w:rPr>
        <w:t>除本合同约定的一方当事人享有单方解除或终止权的事由外，当事人一方要求变更或解除合同时，应当在</w:t>
      </w:r>
      <w:r>
        <w:rPr>
          <w:sz w:val="21"/>
        </w:rPr>
        <w:t>20个工作日前书面通知对方并征得对方书面同意，双方以书面形式变更或解除本合同。因解除合同使其他方遭受损失的，除依法可以免除的责任外，应由责任方负责赔偿。</w:t>
      </w:r>
    </w:p>
    <w:p>
      <w:pPr>
        <w:pStyle w:val="null3"/>
        <w:ind w:left="630"/>
        <w:jc w:val="both"/>
      </w:pPr>
      <w:r>
        <w:rPr>
          <w:sz w:val="21"/>
          <w:b/>
        </w:rPr>
        <w:t>十九、</w:t>
      </w:r>
      <w:r>
        <w:rPr>
          <w:sz w:val="21"/>
          <w:b/>
        </w:rPr>
        <w:t>不可抗力</w:t>
      </w:r>
    </w:p>
    <w:p>
      <w:pPr>
        <w:pStyle w:val="null3"/>
        <w:ind w:left="630"/>
        <w:jc w:val="left"/>
      </w:pPr>
      <w:r>
        <w:rPr>
          <w:sz w:val="24"/>
        </w:rPr>
        <w:t>(一)</w:t>
      </w:r>
      <w:r>
        <w:rPr>
          <w:sz w:val="21"/>
        </w:rPr>
        <w:t>由于地震、台风、水灾、战争、以及其它不能预见并且对其发生和后果不能防止或避免的不可抗力事故，致使一方当事人不能履行或不能完全履行本合同时，该方当事人对另一方的损失不承担责任。但遇有上述不可抗力事件的一方，应立即将事件情况书面通知另一方，并应于</w:t>
      </w:r>
      <w:r>
        <w:rPr>
          <w:sz w:val="21"/>
        </w:rPr>
        <w:t>15日内提出证明事件详情及本合同不能履行或不能完全履行、或需要延期履行的理由的政府部门开具的有效证明文件。按照不可抗力事件对本合同履行的影响程度，由双方协商决定是否继续履行本合同或终止本合同。</w:t>
      </w:r>
    </w:p>
    <w:p>
      <w:pPr>
        <w:pStyle w:val="null3"/>
        <w:ind w:left="630"/>
        <w:jc w:val="both"/>
      </w:pPr>
      <w:r>
        <w:rPr>
          <w:sz w:val="21"/>
          <w:b/>
        </w:rPr>
        <w:t>二十、</w:t>
      </w:r>
      <w:r>
        <w:rPr>
          <w:sz w:val="21"/>
          <w:b/>
        </w:rPr>
        <w:t>争议解决</w:t>
      </w:r>
    </w:p>
    <w:p>
      <w:pPr>
        <w:pStyle w:val="null3"/>
        <w:ind w:left="630"/>
        <w:jc w:val="left"/>
      </w:pPr>
      <w:r>
        <w:rPr>
          <w:sz w:val="24"/>
        </w:rPr>
        <w:t>(一)</w:t>
      </w:r>
      <w:r>
        <w:rPr>
          <w:sz w:val="21"/>
        </w:rPr>
        <w:t>凡因履行本合同而引起的一切争议或与本合同有关的争议，应由当事各方通过友好协商解决。协商不成时，当事各方同意提交</w:t>
      </w:r>
      <w:r>
        <w:rPr>
          <w:sz w:val="21"/>
          <w:u w:val="single"/>
        </w:rPr>
        <w:t>甲方住所地人民法院</w:t>
      </w:r>
      <w:r>
        <w:rPr>
          <w:sz w:val="21"/>
        </w:rPr>
        <w:t>进行诉讼。</w:t>
      </w:r>
    </w:p>
    <w:p>
      <w:pPr>
        <w:pStyle w:val="null3"/>
        <w:ind w:left="630"/>
        <w:jc w:val="both"/>
      </w:pPr>
      <w:r>
        <w:rPr>
          <w:sz w:val="21"/>
          <w:b/>
        </w:rPr>
        <w:t>二十一、</w:t>
      </w:r>
      <w:r>
        <w:rPr>
          <w:sz w:val="21"/>
          <w:b/>
        </w:rPr>
        <w:t>税费</w:t>
      </w:r>
    </w:p>
    <w:p>
      <w:pPr>
        <w:pStyle w:val="null3"/>
        <w:ind w:left="630"/>
        <w:jc w:val="left"/>
      </w:pPr>
      <w:r>
        <w:rPr>
          <w:sz w:val="24"/>
        </w:rPr>
        <w:t>(一)</w:t>
      </w:r>
      <w:r>
        <w:rPr>
          <w:sz w:val="21"/>
        </w:rPr>
        <w:t>中国政府根据现行税法所征收的一切税费均由各缴税责任方独立承担。在中国境外发生的与本合同相关的一切税费及不可预见费均由乙方负担。</w:t>
      </w:r>
    </w:p>
    <w:p>
      <w:pPr>
        <w:pStyle w:val="null3"/>
        <w:ind w:left="630"/>
        <w:jc w:val="both"/>
      </w:pPr>
      <w:r>
        <w:rPr>
          <w:sz w:val="21"/>
          <w:b/>
        </w:rPr>
        <w:t>二十二、</w:t>
      </w:r>
      <w:r>
        <w:rPr>
          <w:sz w:val="21"/>
          <w:b/>
        </w:rPr>
        <w:t>关于政府采购质押融资贷款</w:t>
      </w:r>
    </w:p>
    <w:p>
      <w:pPr>
        <w:pStyle w:val="null3"/>
        <w:jc w:val="both"/>
      </w:pPr>
      <w:r>
        <w:rPr>
          <w:sz w:val="21"/>
        </w:rPr>
        <w:t>（一）乙方是否已申请政府采购质押融资贷款（在</w:t>
      </w:r>
      <w:r>
        <w:rPr>
          <w:sz w:val="21"/>
        </w:rPr>
        <w:t>□打√表示）：□是□否。</w:t>
      </w:r>
    </w:p>
    <w:p>
      <w:pPr>
        <w:pStyle w:val="null3"/>
        <w:ind w:left="630"/>
        <w:jc w:val="both"/>
      </w:pPr>
      <w:r>
        <w:rPr>
          <w:sz w:val="21"/>
        </w:rPr>
        <w:t>融资银行及联系人、联系方式：</w:t>
      </w:r>
      <w:r>
        <w:rPr>
          <w:sz w:val="21"/>
        </w:rPr>
        <w:t>_________________________________。</w:t>
      </w:r>
    </w:p>
    <w:p>
      <w:pPr>
        <w:pStyle w:val="null3"/>
        <w:jc w:val="both"/>
      </w:pPr>
      <w:r>
        <w:rPr>
          <w:sz w:val="21"/>
        </w:rPr>
        <w:t>（二）若乙方已申请政府采购质押融资贷款，其在本合同中登记的银行账号为融资银行的唯一收款账号，未获得融资银行同意，乙方不得变更收款账号。</w:t>
      </w:r>
    </w:p>
    <w:p>
      <w:pPr>
        <w:pStyle w:val="null3"/>
        <w:ind w:left="630"/>
        <w:jc w:val="both"/>
      </w:pPr>
      <w:r>
        <w:rPr>
          <w:sz w:val="21"/>
          <w:b/>
        </w:rPr>
        <w:t>二十三、</w:t>
      </w:r>
      <w:r>
        <w:rPr>
          <w:sz w:val="21"/>
          <w:b/>
        </w:rPr>
        <w:t>其它</w:t>
      </w:r>
    </w:p>
    <w:p>
      <w:pPr>
        <w:pStyle w:val="null3"/>
        <w:ind w:left="630"/>
        <w:jc w:val="left"/>
      </w:pPr>
      <w:r>
        <w:rPr>
          <w:sz w:val="24"/>
        </w:rPr>
        <w:t>(一)</w:t>
      </w:r>
      <w:r>
        <w:rPr>
          <w:sz w:val="21"/>
        </w:rPr>
        <w:t>本项目合同由下列文件组成，均为本合同不可分割的部分，下列文件的优先解释顺序如下：</w:t>
      </w:r>
    </w:p>
    <w:p>
      <w:pPr>
        <w:pStyle w:val="null3"/>
        <w:ind w:left="630"/>
        <w:jc w:val="left"/>
      </w:pPr>
      <w:r>
        <w:rPr>
          <w:sz w:val="21"/>
        </w:rPr>
        <w:t>1.</w:t>
      </w:r>
      <w:r>
        <w:rPr>
          <w:sz w:val="21"/>
        </w:rPr>
        <w:t>本合同执行期间甲、乙双方签署确认的文件（包括会议纪要、补充协议、往来信函及修正文件）；</w:t>
      </w:r>
    </w:p>
    <w:p>
      <w:pPr>
        <w:pStyle w:val="null3"/>
        <w:ind w:left="630"/>
        <w:jc w:val="left"/>
      </w:pPr>
      <w:r>
        <w:rPr>
          <w:sz w:val="21"/>
        </w:rPr>
        <w:t>2.</w:t>
      </w:r>
      <w:r>
        <w:rPr>
          <w:sz w:val="21"/>
        </w:rPr>
        <w:t>本采购合同</w:t>
      </w:r>
      <w:r>
        <w:rPr>
          <w:sz w:val="21"/>
        </w:rPr>
        <w:t>；</w:t>
      </w:r>
    </w:p>
    <w:p>
      <w:pPr>
        <w:pStyle w:val="null3"/>
        <w:ind w:left="630"/>
        <w:jc w:val="left"/>
      </w:pPr>
      <w:r>
        <w:rPr>
          <w:sz w:val="21"/>
        </w:rPr>
        <w:t>3.</w:t>
      </w:r>
      <w:r>
        <w:rPr>
          <w:sz w:val="21"/>
        </w:rPr>
        <w:t>中标通知书；</w:t>
      </w:r>
    </w:p>
    <w:p>
      <w:pPr>
        <w:pStyle w:val="null3"/>
        <w:ind w:left="630"/>
        <w:jc w:val="left"/>
      </w:pPr>
      <w:r>
        <w:rPr>
          <w:sz w:val="21"/>
        </w:rPr>
        <w:t>4.</w:t>
      </w:r>
      <w:r>
        <w:rPr>
          <w:sz w:val="21"/>
        </w:rPr>
        <w:t>投标文件及其相关承诺附件（含投标文件澄清）；</w:t>
      </w:r>
    </w:p>
    <w:p>
      <w:pPr>
        <w:pStyle w:val="null3"/>
        <w:ind w:left="630"/>
        <w:jc w:val="left"/>
      </w:pPr>
      <w:r>
        <w:rPr>
          <w:sz w:val="21"/>
        </w:rPr>
        <w:t>5.</w:t>
      </w:r>
      <w:r>
        <w:rPr>
          <w:sz w:val="21"/>
        </w:rPr>
        <w:t>招标文件及答疑补遗文件（含招标文件澄清或修正内容、答疑会议纪要等）；</w:t>
      </w:r>
    </w:p>
    <w:p>
      <w:pPr>
        <w:pStyle w:val="null3"/>
        <w:ind w:left="630"/>
        <w:jc w:val="left"/>
      </w:pPr>
      <w:r>
        <w:rPr>
          <w:sz w:val="21"/>
        </w:rPr>
        <w:t>6.</w:t>
      </w:r>
      <w:r>
        <w:rPr>
          <w:sz w:val="21"/>
        </w:rPr>
        <w:t>标准、规范及有关技术文件；</w:t>
      </w:r>
    </w:p>
    <w:p>
      <w:pPr>
        <w:pStyle w:val="null3"/>
        <w:ind w:left="630"/>
        <w:jc w:val="left"/>
      </w:pPr>
      <w:r>
        <w:rPr>
          <w:sz w:val="21"/>
        </w:rPr>
        <w:t>7.</w:t>
      </w:r>
      <w:r>
        <w:rPr>
          <w:sz w:val="21"/>
        </w:rPr>
        <w:t>组成合同的其他文件。</w:t>
      </w:r>
    </w:p>
    <w:p>
      <w:pPr>
        <w:pStyle w:val="null3"/>
        <w:ind w:left="630"/>
        <w:jc w:val="left"/>
      </w:pPr>
      <w:r>
        <w:rPr>
          <w:sz w:val="21"/>
          <w:b/>
        </w:rPr>
        <w:t>注：</w:t>
      </w:r>
      <w:r>
        <w:rPr>
          <w:sz w:val="21"/>
        </w:rPr>
        <w:t>如乙方在投标文件及其相关承诺附件中作出有比招标文件及答疑补遗文件和本合同更有利于甲方的响应（该是否有利于甲方的解释权双方同意最终归甲方所有），则乙方投标文件及其相关承诺附件中更有利于甲方的相关条款内容的解释顺序优于招标文件及答疑补遗文件和本合同，乙方须按这些响应承诺履行。</w:t>
      </w:r>
    </w:p>
    <w:p>
      <w:pPr>
        <w:pStyle w:val="null3"/>
        <w:ind w:left="630"/>
        <w:jc w:val="left"/>
      </w:pPr>
      <w:r>
        <w:rPr>
          <w:sz w:val="24"/>
        </w:rPr>
        <w:t>(二)</w:t>
      </w:r>
      <w:r>
        <w:rPr>
          <w:sz w:val="21"/>
        </w:rPr>
        <w:t>所有经双方签署确认的文件（包括会议纪要、补充协议、变更协议等）、招标文件、投标文件和响应承诺文件、合同附件及《中标通知书》均为本合同不可分割的有效组成部分，与本合同具有同等的法律效力和履约义务，其缔约生效日期为有效签署或盖章确认之日期。</w:t>
      </w:r>
    </w:p>
    <w:p>
      <w:pPr>
        <w:pStyle w:val="null3"/>
        <w:ind w:left="630"/>
        <w:jc w:val="left"/>
      </w:pPr>
      <w:r>
        <w:rPr>
          <w:sz w:val="24"/>
        </w:rPr>
        <w:t>(三)</w:t>
      </w:r>
      <w:r>
        <w:rPr>
          <w:sz w:val="21"/>
        </w:rPr>
        <w:t>乙方在合同服务期内，自费办理派驻到项目所在地人员人身和自备财产的有关保险，保险时间应随服务时间的延长而顺延，并在出险后自行办理索赔。如果乙方不办理上述保险，则应对有关风险及后果自负其责。</w:t>
      </w:r>
    </w:p>
    <w:p>
      <w:pPr>
        <w:pStyle w:val="null3"/>
        <w:ind w:left="630"/>
        <w:jc w:val="left"/>
      </w:pPr>
      <w:r>
        <w:rPr>
          <w:sz w:val="24"/>
        </w:rPr>
        <w:t>(四)</w:t>
      </w:r>
      <w:r>
        <w:rPr>
          <w:sz w:val="21"/>
        </w:rPr>
        <w:t>未经对方的书面同意，无论甲方或乙方均不得转让本合同约定的权利和义务。</w:t>
      </w:r>
    </w:p>
    <w:p>
      <w:pPr>
        <w:pStyle w:val="null3"/>
        <w:ind w:left="630"/>
        <w:jc w:val="left"/>
      </w:pPr>
      <w:r>
        <w:rPr>
          <w:sz w:val="24"/>
        </w:rPr>
        <w:t>(五)</w:t>
      </w:r>
      <w:r>
        <w:rPr>
          <w:sz w:val="21"/>
        </w:rPr>
        <w:t>乙方按照本项目招标文件要求和投标文件承诺向甲方提交成果（以下统称</w:t>
      </w:r>
      <w:r>
        <w:rPr>
          <w:sz w:val="21"/>
        </w:rPr>
        <w:t>“工作成果”）。受制于以下条款，乙方所提交的全部工作成果的所有权及使用权归甲方所有。甲方有权使用所有成果的权利。</w:t>
      </w:r>
    </w:p>
    <w:p>
      <w:pPr>
        <w:pStyle w:val="null3"/>
        <w:ind w:left="630"/>
        <w:jc w:val="left"/>
      </w:pPr>
      <w:r>
        <w:rPr>
          <w:sz w:val="24"/>
        </w:rPr>
        <w:t>(六)</w:t>
      </w:r>
      <w:r>
        <w:rPr>
          <w:sz w:val="21"/>
        </w:rPr>
        <w:t>未经甲方书面同意，乙方不得将甲方提供的基础资料用作与本项目无关的任何其他用途。未经甲方同意，乙方不得将工作成果自行使用或向第三方转让、泄露。如发生以上情况，甲方有权索赔。</w:t>
      </w:r>
    </w:p>
    <w:p>
      <w:pPr>
        <w:pStyle w:val="null3"/>
        <w:ind w:left="630"/>
        <w:jc w:val="left"/>
      </w:pPr>
      <w:r>
        <w:rPr>
          <w:sz w:val="24"/>
        </w:rPr>
        <w:t>(七)</w:t>
      </w:r>
      <w:r>
        <w:rPr>
          <w:sz w:val="21"/>
        </w:rPr>
        <w:t>各方都应保护对签署和履行本合同而取得的所有任何有关对方的非公开资料，任何一方均有义务限制其员工、代理人等仅在为适当履行本合同义务所必须且承诺严守保密义务时方可获得和使用上述资料。因一方未尽到此项义务而使另一方受到损失的，应赔偿另一方因此受到的损失。本合同终止后，双方仍负有上述保密义务。</w:t>
      </w:r>
    </w:p>
    <w:p>
      <w:pPr>
        <w:pStyle w:val="null3"/>
        <w:ind w:left="630"/>
        <w:jc w:val="left"/>
      </w:pPr>
      <w:r>
        <w:rPr>
          <w:sz w:val="24"/>
        </w:rPr>
        <w:t>(八)</w:t>
      </w:r>
      <w:r>
        <w:rPr>
          <w:sz w:val="21"/>
        </w:rPr>
        <w:t>本合同未尽事宜，合同各方另行商定，必要时签定补充合同协议。补充协议经合同各方签字盖章后作为本合同补充文件。</w:t>
      </w:r>
    </w:p>
    <w:p>
      <w:pPr>
        <w:pStyle w:val="null3"/>
        <w:ind w:left="630"/>
        <w:jc w:val="left"/>
      </w:pPr>
      <w:r>
        <w:rPr>
          <w:sz w:val="24"/>
        </w:rPr>
        <w:t>(九)</w:t>
      </w:r>
      <w:r>
        <w:rPr>
          <w:sz w:val="21"/>
        </w:rPr>
        <w:t>甲、乙双方法定代表人或授权代表在合同协议书签字，并分别加盖各单位的公章，并经见证单位见证后合同生效。</w:t>
      </w:r>
    </w:p>
    <w:p>
      <w:pPr>
        <w:pStyle w:val="null3"/>
        <w:ind w:left="630"/>
        <w:jc w:val="left"/>
      </w:pPr>
      <w:r>
        <w:rPr>
          <w:sz w:val="24"/>
        </w:rPr>
        <w:t>(十)</w:t>
      </w:r>
      <w:r>
        <w:rPr>
          <w:sz w:val="21"/>
        </w:rPr>
        <w:t>本合同壹式份，甲方执份，乙方执份，见证单位执</w:t>
      </w:r>
      <w:r>
        <w:rPr>
          <w:sz w:val="21"/>
          <w:u w:val="single"/>
        </w:rPr>
        <w:t xml:space="preserve"> </w:t>
      </w:r>
      <w:r>
        <w:rPr>
          <w:sz w:val="21"/>
          <w:u w:val="single"/>
        </w:rPr>
        <w:t>壹</w:t>
      </w:r>
      <w:r>
        <w:rPr>
          <w:sz w:val="21"/>
        </w:rPr>
        <w:t>份。</w:t>
      </w:r>
    </w:p>
    <w:p>
      <w:pPr>
        <w:pStyle w:val="null3"/>
        <w:jc w:val="both"/>
      </w:pPr>
      <w:r>
        <w:rPr>
          <w:sz w:val="21"/>
          <w:b/>
        </w:rPr>
        <w:t>（完）</w:t>
      </w:r>
    </w:p>
    <w:p>
      <w:pPr>
        <w:pStyle w:val="null3"/>
        <w:jc w:val="both"/>
      </w:pPr>
      <w:r>
        <w:rPr/>
        <w:t xml:space="preserve"> </w:t>
      </w:r>
    </w:p>
    <w:p>
      <w:pPr>
        <w:pStyle w:val="null3"/>
        <w:jc w:val="both"/>
      </w:pPr>
      <w:r>
        <w:rPr>
          <w:sz w:val="21"/>
          <w:b/>
        </w:rPr>
        <w:t>（以下无正文</w:t>
      </w:r>
      <w:r>
        <w:rPr>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代表：</w:t>
            </w:r>
          </w:p>
          <w:p>
            <w:pPr>
              <w:pStyle w:val="null3"/>
              <w:jc w:val="both"/>
            </w:pPr>
            <w:r>
              <w:rPr>
                <w:sz w:val="21"/>
              </w:rPr>
              <w:t>地址：</w:t>
            </w:r>
          </w:p>
          <w:p>
            <w:pPr>
              <w:pStyle w:val="null3"/>
              <w:jc w:val="both"/>
            </w:pPr>
            <w:r>
              <w:rPr>
                <w:sz w:val="21"/>
              </w:rPr>
              <w:t>电话：</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开户名称：</w:t>
            </w:r>
          </w:p>
          <w:p>
            <w:pPr>
              <w:pStyle w:val="null3"/>
              <w:jc w:val="both"/>
            </w:pPr>
            <w:r>
              <w:rPr>
                <w:sz w:val="21"/>
              </w:rPr>
              <w:t>银行账号：</w:t>
            </w:r>
          </w:p>
          <w:p>
            <w:pPr>
              <w:pStyle w:val="null3"/>
              <w:jc w:val="both"/>
            </w:pPr>
            <w:r>
              <w:rPr>
                <w:sz w:val="21"/>
              </w:rPr>
              <w:t>开</w:t>
            </w:r>
            <w:r>
              <w:rPr>
                <w:sz w:val="21"/>
              </w:rPr>
              <w:t>户</w:t>
            </w:r>
            <w:r>
              <w:rPr>
                <w:sz w:val="21"/>
              </w:rPr>
              <w:t>行：</w:t>
            </w:r>
          </w:p>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见证单位：</w:t>
            </w:r>
          </w:p>
          <w:p>
            <w:pPr>
              <w:pStyle w:val="null3"/>
              <w:jc w:val="both"/>
            </w:pPr>
            <w:r>
              <w:rPr>
                <w:sz w:val="21"/>
              </w:rPr>
              <w:t>经办人：</w:t>
            </w:r>
          </w:p>
          <w:p>
            <w:pPr>
              <w:pStyle w:val="null3"/>
              <w:jc w:val="both"/>
            </w:pPr>
            <w:r>
              <w:rPr>
                <w:sz w:val="21"/>
              </w:rPr>
              <w:t>业务电话：</w:t>
            </w:r>
            <w:r>
              <w:rPr>
                <w:sz w:val="21"/>
              </w:rPr>
              <w:t>0757-</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合同生效日期：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ind w:left="315"/>
        <w:jc w:val="both"/>
      </w:pPr>
      <w:r>
        <w:rPr/>
        <w:t xml:space="preserve"> </w:t>
      </w:r>
    </w:p>
    <w:p>
      <w:pPr>
        <w:pStyle w:val="null3"/>
        <w:ind w:left="315"/>
        <w:jc w:val="both"/>
      </w:pPr>
      <w:r>
        <w:rPr>
          <w:sz w:val="21"/>
          <w:b/>
        </w:rPr>
        <w:t>合同附件清单（如有，附后；若没有，可删除此部分内容）：</w:t>
      </w:r>
    </w:p>
    <w:p>
      <w:pPr>
        <w:pStyle w:val="null3"/>
        <w:ind w:left="315"/>
        <w:jc w:val="both"/>
      </w:pPr>
      <w:r>
        <w:rPr>
          <w:sz w:val="21"/>
        </w:rPr>
        <w:t>(1)</w:t>
      </w:r>
      <w:r>
        <w:rPr>
          <w:sz w:val="21"/>
        </w:rPr>
        <w:t>本合同所有附件均在签订合同时编制，确立依据为招标文件和乙方的投标文件及相关确认文件；合同附件内容由甲乙双方共同协商确定；</w:t>
      </w:r>
    </w:p>
    <w:p>
      <w:pPr>
        <w:pStyle w:val="null3"/>
        <w:ind w:left="315"/>
        <w:jc w:val="both"/>
      </w:pPr>
      <w:r>
        <w:rPr>
          <w:sz w:val="21"/>
        </w:rPr>
        <w:t>(2)</w:t>
      </w:r>
      <w:r>
        <w:rPr>
          <w:sz w:val="21"/>
        </w:rPr>
        <w:t>项目重要内容（如：经甲方审核的项目实施方案、项目标的主要内容、乙方提供的参与本项目实施的项目负责人和其他技术人员名单、项目组人员的职称证书和资格证书、项目组人员的联系方式、需求变更说明、培训方案等）可作为附件。</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440601-2024-03726</w:t>
      </w:r>
    </w:p>
    <w:p>
      <w:pPr>
        <w:pStyle w:val="null3"/>
        <w:jc w:val="center"/>
        <w:outlineLvl w:val="3"/>
      </w:pPr>
      <w:r>
        <w:rPr>
          <w:sz w:val="24"/>
          <w:b/>
        </w:rPr>
        <w:t>采购项目编号：</w:t>
      </w:r>
      <w:r>
        <w:rPr>
          <w:sz w:val="24"/>
          <w:b/>
        </w:rPr>
        <w:t>GZGK24D656AO884Z</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广州市国科招标代理有限公司</w:t>
      </w:r>
    </w:p>
    <w:p>
      <w:pPr>
        <w:pStyle w:val="null3"/>
        <w:ind w:firstLine="480"/>
      </w:pPr>
      <w:r>
        <w:rPr/>
        <w:t xml:space="preserve"> 你方组织的</w:t>
      </w:r>
      <w:r>
        <w:rPr>
          <w:u w:val="single"/>
        </w:rPr>
        <w:t>“</w:t>
      </w:r>
      <w:r>
        <w:rPr>
          <w:u w:val="single"/>
        </w:rPr>
        <w:t>混合现实脊柱微创手术导航系统及仿真训练智能平台项目第一期仪器设备（第一批）采购</w:t>
      </w:r>
      <w:r>
        <w:rPr>
          <w:u w:val="single"/>
        </w:rPr>
        <w:t>”</w:t>
      </w:r>
      <w:r>
        <w:rPr/>
        <w:t>项目的招标[采购项目编号为：</w:t>
      </w:r>
      <w:r>
        <w:rPr>
          <w:u w:val="single"/>
        </w:rPr>
        <w:t>GZGK24D656AO884Z</w:t>
      </w:r>
      <w:r>
        <w:rPr/>
        <w:t>]，我方愿参与投标。</w:t>
      </w:r>
    </w:p>
    <w:p>
      <w:pPr>
        <w:pStyle w:val="null3"/>
        <w:ind w:firstLine="480"/>
      </w:pPr>
      <w:r>
        <w:rPr/>
        <w:t>我方确认收到贵方提供的</w:t>
      </w:r>
      <w:r>
        <w:rPr>
          <w:u w:val="single"/>
        </w:rPr>
        <w:t>“</w:t>
      </w:r>
      <w:r>
        <w:rPr>
          <w:u w:val="single"/>
        </w:rPr>
        <w:t>混合现实脊柱微创手术导航系统及仿真训练智能平台项目第一期仪器设备（第一批）采购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广州市国科招标代理有限公司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混合现实脊柱微创手术导航系统及仿真训练智能平台项目第一期仪器设备（第一批）采购</w:t>
      </w:r>
      <w:r>
        <w:rPr/>
        <w:t>”项目采购[采购项目编号为</w:t>
      </w:r>
      <w:r>
        <w:rPr/>
        <w:t>GZGK24D656AO884Z</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佛山中科产业技术研究院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广州市国科招标代理有限公司</w:t>
      </w:r>
    </w:p>
    <w:p>
      <w:pPr>
        <w:pStyle w:val="null3"/>
        <w:ind w:firstLine="480"/>
      </w:pPr>
      <w:r>
        <w:rPr/>
        <w:t xml:space="preserve"> 如果我方在贵采购代理机构组织的</w:t>
      </w:r>
      <w:r>
        <w:rPr/>
        <w:t>混合现实脊柱微创手术导航系统及仿真训练智能平台项目第一期仪器设备（第一批）采购</w:t>
      </w:r>
      <w:r>
        <w:rPr/>
        <w:t>招标中获中标（采购项目编号：</w:t>
      </w:r>
      <w:r>
        <w:rPr/>
        <w:t>GZGK24D656AO884Z</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广州市国科招标代理有限公司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广州市国科招标代理有限公司</w:t>
      </w:r>
    </w:p>
    <w:p>
      <w:pPr>
        <w:pStyle w:val="null3"/>
        <w:ind w:firstLine="480"/>
      </w:pPr>
      <w:r>
        <w:rPr/>
        <w:t>我单位已登记并准备参与“</w:t>
      </w:r>
      <w:r>
        <w:rPr/>
        <w:t>混合现实脊柱微创手术导航系统及仿真训练智能平台项目第一期仪器设备（第一批）采购</w:t>
      </w:r>
      <w:r>
        <w:rPr/>
        <w:t>”项目（采购项目编号：</w:t>
      </w:r>
      <w:r>
        <w:rPr/>
        <w:t>GZGK24D656AO884Z</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