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版本号：N511701202600020220260622001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环保管家服务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N5117012026000202</w:t>
      </w:r>
    </w:p>
    <w:p>
      <w:pPr>
        <w:pStyle w:val="null3"/>
        <w:jc w:val="left"/>
        <w:outlineLvl w:val="2"/>
      </w:pPr>
      <w:r>
        <w:rPr>
          <w:rFonts w:ascii="仿宋_GB2312" w:hAnsi="仿宋_GB2312" w:cs="仿宋_GB2312" w:eastAsia="仿宋_GB2312"/>
          <w:sz w:val="28"/>
          <w:b/>
        </w:rPr>
        <w:t>达州高新区生态环境局</w:t>
      </w:r>
    </w:p>
    <w:p>
      <w:pPr>
        <w:pStyle w:val="null3"/>
        <w:jc w:val="center"/>
        <w:outlineLvl w:val="2"/>
      </w:pPr>
      <w:r>
        <w:rPr>
          <w:rFonts w:ascii="仿宋_GB2312" w:hAnsi="仿宋_GB2312" w:cs="仿宋_GB2312" w:eastAsia="仿宋_GB2312"/>
          <w:sz w:val="28"/>
          <w:b/>
        </w:rPr>
        <w:t>四川亿达利工程项目管理有限公司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四川亿达利工程项目管理有限公司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达州高新区生态环境局</w:t>
      </w:r>
      <w:r>
        <w:rPr>
          <w:rFonts w:ascii="仿宋_GB2312" w:hAnsi="仿宋_GB2312" w:cs="仿宋_GB2312" w:eastAsia="仿宋_GB2312"/>
        </w:rPr>
        <w:t xml:space="preserve"> 委托，拟对 </w:t>
      </w:r>
      <w:r>
        <w:rPr>
          <w:rFonts w:ascii="仿宋_GB2312" w:hAnsi="仿宋_GB2312" w:cs="仿宋_GB2312" w:eastAsia="仿宋_GB2312"/>
        </w:rPr>
        <w:t>环保管家服务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达州市市本级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N5117012026000202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环保管家服务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sz w:val="21"/>
        </w:rPr>
        <w:t>1.达州高新区生态环境局采购环保管家服务。</w:t>
      </w:r>
    </w:p>
    <w:p>
      <w:pPr>
        <w:pStyle w:val="null3"/>
        <w:jc w:val="left"/>
      </w:pPr>
      <w:r>
        <w:rPr>
          <w:rFonts w:ascii="仿宋_GB2312" w:hAnsi="仿宋_GB2312" w:cs="仿宋_GB2312" w:eastAsia="仿宋_GB2312"/>
          <w:sz w:val="21"/>
        </w:rPr>
        <w:t>2.根据《四川省政府采购营商环境指标提升专项行动工作方案》要求“每个采购项目采购文件中要明确质疑、投诉的渠道和方式”，本项目：投诉受理部门：达州市财政局 ；投诉受理电话：0818-2675041；投诉受理地址：达州市达川区南外通达东路200号。</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达州高新区生态环境局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四川省达州高新技术产业园创业一街政务中心</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0818-2833609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四川亿达利工程项目管理有限公司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四川省达州市通川区朝阳西路246号A1栋2层2号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0818-2377771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代理服务费收费标准：招标代理服务费参照《招标代理服务收费管理暂行办法》（计价格）[2002]1980号）文件收费标准收取，由项目中标（成交）供应商向代理机构支付。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达州高新区生态环境局</w:t>
      </w:r>
      <w:r>
        <w:rPr>
          <w:rFonts w:ascii="仿宋_GB2312" w:hAnsi="仿宋_GB2312" w:cs="仿宋_GB2312" w:eastAsia="仿宋_GB2312"/>
        </w:rPr>
        <w:t xml:space="preserve"> 和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达州高新区生态环境局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服务期结束供应商提出验收申请之日起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按竞争性磋商文件的技术要求、成交供应商的响应文件及承诺以及合同约定标准进行验收。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按竞争性磋商文件的商务要求、成交供应商的响应文件及承诺以及合同约定标准进行验收。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严格按照政府采购相关法律法规以及《财政部关于进一步加强政府采购需求和履约验收管理的指导意见》（财库〔2016〕205号）的要求，竞争性磋商文件的规定和成交供应商响应文件及合同条款内容进行验收。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达州高新区生态环境局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四川亿达利工程项目管理有限公司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 0818-2833609</w:t>
      </w:r>
    </w:p>
    <w:p>
      <w:pPr>
        <w:pStyle w:val="null3"/>
        <w:jc w:val="left"/>
      </w:pPr>
      <w:r>
        <w:rPr>
          <w:rFonts w:ascii="仿宋_GB2312" w:hAnsi="仿宋_GB2312" w:cs="仿宋_GB2312" w:eastAsia="仿宋_GB2312"/>
        </w:rPr>
        <w:t>地址：四川省达州高新技术产业园创业一街政务中心</w:t>
      </w:r>
    </w:p>
    <w:p>
      <w:pPr>
        <w:pStyle w:val="null3"/>
        <w:jc w:val="left"/>
      </w:pPr>
      <w:r>
        <w:rPr>
          <w:rFonts w:ascii="仿宋_GB2312" w:hAnsi="仿宋_GB2312" w:cs="仿宋_GB2312" w:eastAsia="仿宋_GB2312"/>
        </w:rPr>
        <w:t>邮编：635000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联系人：谢老师</w:t>
      </w:r>
    </w:p>
    <w:p>
      <w:pPr>
        <w:pStyle w:val="null3"/>
        <w:jc w:val="left"/>
      </w:pPr>
      <w:r>
        <w:rPr>
          <w:rFonts w:ascii="仿宋_GB2312" w:hAnsi="仿宋_GB2312" w:cs="仿宋_GB2312" w:eastAsia="仿宋_GB2312"/>
        </w:rPr>
        <w:t>联系电话：0818-2377771</w:t>
      </w:r>
    </w:p>
    <w:p>
      <w:pPr>
        <w:pStyle w:val="null3"/>
        <w:jc w:val="left"/>
      </w:pPr>
      <w:r>
        <w:rPr>
          <w:rFonts w:ascii="仿宋_GB2312" w:hAnsi="仿宋_GB2312" w:cs="仿宋_GB2312" w:eastAsia="仿宋_GB2312"/>
        </w:rPr>
        <w:t>地址：四川省达州市通川区朝阳西路246号A1栋2层2号</w:t>
      </w:r>
    </w:p>
    <w:p>
      <w:pPr>
        <w:pStyle w:val="null3"/>
        <w:jc w:val="left"/>
      </w:pPr>
      <w:r>
        <w:rPr>
          <w:rFonts w:ascii="仿宋_GB2312" w:hAnsi="仿宋_GB2312" w:cs="仿宋_GB2312" w:eastAsia="仿宋_GB2312"/>
        </w:rPr>
        <w:t>邮编：635000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C07990000 其他生态环境保护和治理服务</w:t>
            </w:r>
          </w:p>
        </w:tc>
        <w:tc>
          <w:tcPr>
            <w:tcW w:type="dxa" w:w="821"/>
          </w:tcPr>
          <w:p>
            <w:pPr>
              <w:pStyle w:val="null3"/>
              <w:jc w:val="left"/>
            </w:pPr>
            <w:r>
              <w:rPr>
                <w:rFonts w:ascii="仿宋_GB2312" w:hAnsi="仿宋_GB2312" w:cs="仿宋_GB2312" w:eastAsia="仿宋_GB2312"/>
              </w:rPr>
              <w:t>环保管家服务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环保管家服务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标的名称：环保管家服务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spacing w:before="105" w:after="105"/>
              <w:jc w:val="both"/>
              <w:outlineLvl w:val="2"/>
            </w:pPr>
            <w:r>
              <w:rPr>
                <w:rFonts w:ascii="仿宋_GB2312" w:hAnsi="仿宋_GB2312" w:cs="仿宋_GB2312" w:eastAsia="仿宋_GB2312"/>
                <w:sz w:val="24"/>
                <w:b/>
                <w:color w:val="0F1115"/>
                <w:shd w:fill="FFFFFF" w:val="clear"/>
              </w:rPr>
              <w:t>一、生态环境分区管控与准入研判</w:t>
            </w:r>
          </w:p>
          <w:p>
            <w:pPr>
              <w:pStyle w:val="null3"/>
              <w:ind w:firstLine="482"/>
              <w:jc w:val="both"/>
            </w:pPr>
            <w:r>
              <w:rPr>
                <w:rFonts w:ascii="仿宋_GB2312" w:hAnsi="仿宋_GB2312" w:cs="仿宋_GB2312" w:eastAsia="仿宋_GB2312"/>
                <w:sz w:val="24"/>
                <w:b/>
                <w:color w:val="0F1115"/>
                <w:shd w:fill="FFFFFF" w:val="clear"/>
              </w:rPr>
              <w:t>1. 生态环境分区管控工作</w:t>
            </w:r>
          </w:p>
          <w:p>
            <w:pPr>
              <w:pStyle w:val="null3"/>
              <w:ind w:firstLine="480"/>
              <w:jc w:val="both"/>
            </w:pPr>
            <w:r>
              <w:rPr>
                <w:rFonts w:ascii="仿宋_GB2312" w:hAnsi="仿宋_GB2312" w:cs="仿宋_GB2312" w:eastAsia="仿宋_GB2312"/>
                <w:sz w:val="24"/>
                <w:color w:val="0F1115"/>
                <w:shd w:fill="FFFFFF" w:val="clear"/>
              </w:rPr>
              <w:t>协助即将开展的达州市生态环境分区管控定期调整高新区所在区域的生态环境管控单元的更新需求梳理、相关数据处理以及对接工作</w:t>
            </w:r>
          </w:p>
          <w:p>
            <w:pPr>
              <w:pStyle w:val="null3"/>
              <w:ind w:firstLine="482"/>
              <w:jc w:val="both"/>
            </w:pPr>
            <w:r>
              <w:rPr>
                <w:rFonts w:ascii="仿宋_GB2312" w:hAnsi="仿宋_GB2312" w:cs="仿宋_GB2312" w:eastAsia="仿宋_GB2312"/>
                <w:sz w:val="24"/>
                <w:b/>
                <w:color w:val="0F1115"/>
                <w:shd w:fill="FFFFFF" w:val="clear"/>
              </w:rPr>
              <w:t>2. 建设项目生态环境准入研判</w:t>
            </w:r>
          </w:p>
          <w:p>
            <w:pPr>
              <w:pStyle w:val="null3"/>
              <w:ind w:firstLine="480"/>
              <w:jc w:val="both"/>
            </w:pPr>
            <w:r>
              <w:rPr>
                <w:rFonts w:ascii="仿宋_GB2312" w:hAnsi="仿宋_GB2312" w:cs="仿宋_GB2312" w:eastAsia="仿宋_GB2312"/>
                <w:sz w:val="24"/>
                <w:color w:val="0F1115"/>
                <w:shd w:fill="FFFFFF" w:val="clear"/>
              </w:rPr>
              <w:t>对拟入园建设项目提供前期选址和环评预判服务，明确准入符合性，并提供入园建议书</w:t>
            </w:r>
          </w:p>
          <w:p>
            <w:pPr>
              <w:pStyle w:val="null3"/>
              <w:spacing w:before="105" w:after="105"/>
              <w:jc w:val="both"/>
              <w:outlineLvl w:val="2"/>
            </w:pPr>
            <w:r>
              <w:rPr>
                <w:rFonts w:ascii="仿宋_GB2312" w:hAnsi="仿宋_GB2312" w:cs="仿宋_GB2312" w:eastAsia="仿宋_GB2312"/>
                <w:sz w:val="24"/>
                <w:b/>
                <w:color w:val="0F1115"/>
                <w:shd w:fill="FFFFFF" w:val="clear"/>
              </w:rPr>
              <w:t>二、排污许可质量抽查问题整改指导</w:t>
            </w:r>
          </w:p>
          <w:p>
            <w:pPr>
              <w:pStyle w:val="null3"/>
              <w:ind w:firstLine="480"/>
              <w:jc w:val="both"/>
            </w:pPr>
            <w:r>
              <w:rPr>
                <w:rFonts w:ascii="仿宋_GB2312" w:hAnsi="仿宋_GB2312" w:cs="仿宋_GB2312" w:eastAsia="仿宋_GB2312"/>
                <w:sz w:val="24"/>
                <w:color w:val="0F1115"/>
                <w:shd w:fill="FFFFFF" w:val="clear"/>
              </w:rPr>
              <w:t>按照排污许可证质量抽查问题清单，逐项分析问题成因（如填报错误、遗漏排放口、执行报告不规范等），指导企业完善修改，协助园区管理部门核查整改效果，形成闭环报告</w:t>
            </w:r>
          </w:p>
          <w:p>
            <w:pPr>
              <w:pStyle w:val="null3"/>
              <w:spacing w:before="105" w:after="105"/>
              <w:jc w:val="both"/>
              <w:outlineLvl w:val="2"/>
            </w:pPr>
            <w:r>
              <w:rPr>
                <w:rFonts w:ascii="仿宋_GB2312" w:hAnsi="仿宋_GB2312" w:cs="仿宋_GB2312" w:eastAsia="仿宋_GB2312"/>
                <w:sz w:val="24"/>
                <w:b/>
                <w:color w:val="0F1115"/>
                <w:shd w:fill="FFFFFF" w:val="clear"/>
              </w:rPr>
              <w:t>三、园区环保管理与迎检支持</w:t>
            </w:r>
          </w:p>
          <w:p>
            <w:pPr>
              <w:pStyle w:val="null3"/>
              <w:ind w:firstLine="482"/>
              <w:jc w:val="both"/>
            </w:pPr>
            <w:r>
              <w:rPr>
                <w:rFonts w:ascii="仿宋_GB2312" w:hAnsi="仿宋_GB2312" w:cs="仿宋_GB2312" w:eastAsia="仿宋_GB2312"/>
                <w:sz w:val="24"/>
                <w:b/>
                <w:color w:val="0F1115"/>
                <w:shd w:fill="FFFFFF" w:val="clear"/>
              </w:rPr>
              <w:t>1. 协助解决园区环境问题</w:t>
            </w:r>
          </w:p>
          <w:p>
            <w:pPr>
              <w:pStyle w:val="null3"/>
              <w:ind w:firstLine="480"/>
              <w:jc w:val="both"/>
            </w:pPr>
            <w:r>
              <w:rPr>
                <w:rFonts w:ascii="仿宋_GB2312" w:hAnsi="仿宋_GB2312" w:cs="仿宋_GB2312" w:eastAsia="仿宋_GB2312"/>
                <w:sz w:val="24"/>
                <w:color w:val="0F1115"/>
                <w:shd w:fill="FFFFFF" w:val="clear"/>
              </w:rPr>
              <w:t>排查园区公辅设施环境问题（如异味、扬尘、废水超标等），提出治理方案，</w:t>
            </w:r>
          </w:p>
          <w:p>
            <w:pPr>
              <w:pStyle w:val="null3"/>
              <w:ind w:firstLine="480"/>
              <w:jc w:val="both"/>
            </w:pPr>
            <w:r>
              <w:rPr>
                <w:rFonts w:ascii="仿宋_GB2312" w:hAnsi="仿宋_GB2312" w:cs="仿宋_GB2312" w:eastAsia="仿宋_GB2312"/>
                <w:sz w:val="24"/>
                <w:color w:val="0F1115"/>
                <w:shd w:fill="FFFFFF" w:val="clear"/>
              </w:rPr>
              <w:t>定期汇总园区环境问题整改进展，形成管理月报</w:t>
            </w:r>
          </w:p>
          <w:p>
            <w:pPr>
              <w:pStyle w:val="null3"/>
              <w:ind w:firstLine="482"/>
              <w:jc w:val="both"/>
            </w:pPr>
            <w:r>
              <w:rPr>
                <w:rFonts w:ascii="仿宋_GB2312" w:hAnsi="仿宋_GB2312" w:cs="仿宋_GB2312" w:eastAsia="仿宋_GB2312"/>
                <w:sz w:val="24"/>
                <w:b/>
                <w:color w:val="0F1115"/>
                <w:shd w:fill="FFFFFF" w:val="clear"/>
              </w:rPr>
              <w:t>2. 环保日常帮扶指导</w:t>
            </w:r>
          </w:p>
          <w:p>
            <w:pPr>
              <w:pStyle w:val="null3"/>
              <w:spacing w:before="105" w:after="105"/>
              <w:ind w:firstLine="480"/>
              <w:jc w:val="both"/>
            </w:pPr>
            <w:r>
              <w:rPr>
                <w:rFonts w:ascii="仿宋_GB2312" w:hAnsi="仿宋_GB2312" w:cs="仿宋_GB2312" w:eastAsia="仿宋_GB2312"/>
                <w:sz w:val="24"/>
                <w:color w:val="0F1115"/>
                <w:shd w:fill="FFFFFF" w:val="clear"/>
              </w:rPr>
              <w:t>按照园区安排对企业开展现场指导帮扶工作，协助建立园区</w:t>
            </w:r>
            <w:r>
              <w:rPr>
                <w:rFonts w:ascii="仿宋_GB2312" w:hAnsi="仿宋_GB2312" w:cs="仿宋_GB2312" w:eastAsia="仿宋_GB2312"/>
                <w:sz w:val="24"/>
                <w:color w:val="0F1115"/>
                <w:shd w:fill="FFFFFF" w:val="clear"/>
              </w:rPr>
              <w:t>“一企一档”环保台账；对重点企业自行监测执行情况进行现场核查（含监测方案、点位、频次、方法、信息公开等），指出不规范项并提出整改建议</w:t>
            </w:r>
          </w:p>
          <w:p>
            <w:pPr>
              <w:pStyle w:val="null3"/>
              <w:ind w:firstLine="482"/>
              <w:jc w:val="both"/>
            </w:pPr>
            <w:r>
              <w:rPr>
                <w:rFonts w:ascii="仿宋_GB2312" w:hAnsi="仿宋_GB2312" w:cs="仿宋_GB2312" w:eastAsia="仿宋_GB2312"/>
                <w:sz w:val="24"/>
                <w:b/>
                <w:color w:val="0F1115"/>
                <w:shd w:fill="FFFFFF" w:val="clear"/>
              </w:rPr>
              <w:t>3. 央省级环保检查迎检支持</w:t>
            </w:r>
          </w:p>
          <w:p>
            <w:pPr>
              <w:pStyle w:val="null3"/>
              <w:ind w:firstLine="480"/>
              <w:jc w:val="both"/>
            </w:pPr>
            <w:r>
              <w:rPr>
                <w:rFonts w:ascii="仿宋_GB2312" w:hAnsi="仿宋_GB2312" w:cs="仿宋_GB2312" w:eastAsia="仿宋_GB2312"/>
                <w:sz w:val="24"/>
                <w:color w:val="0F1115"/>
                <w:shd w:fill="FFFFFF" w:val="clear"/>
              </w:rPr>
              <w:t>在检查前开展预检，提出整改意见并指导企业立行立改，陪同现场检查并记录问题</w:t>
            </w:r>
          </w:p>
          <w:p>
            <w:pPr>
              <w:pStyle w:val="null3"/>
              <w:spacing w:before="105" w:after="105"/>
              <w:jc w:val="both"/>
              <w:outlineLvl w:val="2"/>
            </w:pPr>
            <w:r>
              <w:rPr>
                <w:rFonts w:ascii="仿宋_GB2312" w:hAnsi="仿宋_GB2312" w:cs="仿宋_GB2312" w:eastAsia="仿宋_GB2312"/>
                <w:sz w:val="24"/>
                <w:b/>
                <w:color w:val="0F1115"/>
                <w:shd w:fill="FFFFFF" w:val="clear"/>
              </w:rPr>
              <w:t>四、法规宣贯、绩效提升与园区创建</w:t>
            </w:r>
          </w:p>
          <w:p>
            <w:pPr>
              <w:pStyle w:val="null3"/>
              <w:ind w:firstLine="482"/>
              <w:jc w:val="both"/>
            </w:pPr>
            <w:r>
              <w:rPr>
                <w:rFonts w:ascii="仿宋_GB2312" w:hAnsi="仿宋_GB2312" w:cs="仿宋_GB2312" w:eastAsia="仿宋_GB2312"/>
                <w:sz w:val="24"/>
                <w:b/>
                <w:color w:val="0F1115"/>
                <w:shd w:fill="FFFFFF" w:val="clear"/>
              </w:rPr>
              <w:t>1. 新出台法律法规提醒及协助宣传</w:t>
            </w:r>
          </w:p>
          <w:p>
            <w:pPr>
              <w:pStyle w:val="null3"/>
              <w:ind w:firstLine="480"/>
              <w:jc w:val="both"/>
            </w:pPr>
            <w:r>
              <w:rPr>
                <w:rFonts w:ascii="仿宋_GB2312" w:hAnsi="仿宋_GB2312" w:cs="仿宋_GB2312" w:eastAsia="仿宋_GB2312"/>
                <w:sz w:val="24"/>
                <w:color w:val="0F1115"/>
                <w:shd w:fill="FFFFFF" w:val="clear"/>
              </w:rPr>
              <w:t>每月梳理国家、省、市新发布的环保法律法规、标准、政策，编制法规摘要或简报，组织线上线下法规宣贯培训</w:t>
            </w:r>
          </w:p>
          <w:p>
            <w:pPr>
              <w:pStyle w:val="null3"/>
              <w:ind w:firstLine="482"/>
              <w:jc w:val="both"/>
            </w:pPr>
            <w:r>
              <w:rPr>
                <w:rFonts w:ascii="仿宋_GB2312" w:hAnsi="仿宋_GB2312" w:cs="仿宋_GB2312" w:eastAsia="仿宋_GB2312"/>
                <w:sz w:val="24"/>
                <w:b/>
                <w:color w:val="0F1115"/>
                <w:shd w:fill="FFFFFF" w:val="clear"/>
              </w:rPr>
              <w:t>2. 企业环保绩效创B升A</w:t>
            </w:r>
          </w:p>
          <w:p>
            <w:pPr>
              <w:pStyle w:val="null3"/>
              <w:ind w:firstLine="480"/>
              <w:jc w:val="both"/>
            </w:pPr>
            <w:r>
              <w:rPr>
                <w:rFonts w:ascii="仿宋_GB2312" w:hAnsi="仿宋_GB2312" w:cs="仿宋_GB2312" w:eastAsia="仿宋_GB2312"/>
                <w:sz w:val="24"/>
                <w:color w:val="0F1115"/>
                <w:shd w:fill="FFFFFF" w:val="clear"/>
              </w:rPr>
              <w:t>按照需求开展企业环保绩效现状评估（对照</w:t>
            </w:r>
            <w:r>
              <w:rPr>
                <w:rFonts w:ascii="仿宋_GB2312" w:hAnsi="仿宋_GB2312" w:cs="仿宋_GB2312" w:eastAsia="仿宋_GB2312"/>
                <w:sz w:val="24"/>
                <w:color w:val="0F1115"/>
                <w:shd w:fill="FFFFFF" w:val="clear"/>
              </w:rPr>
              <w:t>A/B级标准），为拟提升企业制</w:t>
            </w:r>
            <w:r>
              <w:rPr>
                <w:rFonts w:ascii="仿宋_GB2312" w:hAnsi="仿宋_GB2312" w:cs="仿宋_GB2312" w:eastAsia="仿宋_GB2312"/>
                <w:sz w:val="24"/>
                <w:shd w:fill="FFFFFF" w:val="clear"/>
              </w:rPr>
              <w:t>定整改方案（涵盖原辅材料、过程控制、末端治理、监测监控、运输方式等）</w:t>
            </w:r>
          </w:p>
          <w:p>
            <w:pPr>
              <w:pStyle w:val="null3"/>
              <w:ind w:firstLine="482"/>
              <w:jc w:val="both"/>
            </w:pPr>
            <w:r>
              <w:rPr>
                <w:rFonts w:ascii="仿宋_GB2312" w:hAnsi="仿宋_GB2312" w:cs="仿宋_GB2312" w:eastAsia="仿宋_GB2312"/>
                <w:sz w:val="24"/>
                <w:b/>
                <w:shd w:fill="FFFFFF" w:val="clear"/>
              </w:rPr>
              <w:t>3. 碳排放管理</w:t>
            </w:r>
          </w:p>
          <w:p>
            <w:pPr>
              <w:pStyle w:val="null3"/>
              <w:ind w:firstLine="480"/>
              <w:jc w:val="both"/>
            </w:pPr>
            <w:r>
              <w:rPr>
                <w:rFonts w:ascii="仿宋_GB2312" w:hAnsi="仿宋_GB2312" w:cs="仿宋_GB2312" w:eastAsia="仿宋_GB2312"/>
                <w:sz w:val="24"/>
                <w:shd w:fill="FFFFFF" w:val="clear"/>
              </w:rPr>
              <w:t>编制园区碳排放清单及减排潜力分析报告；摸排重点企业节能降碳项目改造情况，指导企业申报相关资金；指导企业参与碳市场交易、碳配额履约、碳足迹认证等</w:t>
            </w:r>
          </w:p>
          <w:p>
            <w:pPr>
              <w:pStyle w:val="null3"/>
              <w:ind w:firstLine="482"/>
              <w:jc w:val="both"/>
            </w:pPr>
            <w:r>
              <w:rPr>
                <w:rFonts w:ascii="仿宋_GB2312" w:hAnsi="仿宋_GB2312" w:cs="仿宋_GB2312" w:eastAsia="仿宋_GB2312"/>
                <w:sz w:val="24"/>
                <w:b/>
                <w:shd w:fill="FFFFFF" w:val="clear"/>
              </w:rPr>
              <w:t>4. 与生态环境有关的园区级创建工作</w:t>
            </w:r>
          </w:p>
          <w:p>
            <w:pPr>
              <w:pStyle w:val="null3"/>
              <w:ind w:firstLine="480"/>
              <w:jc w:val="both"/>
            </w:pPr>
            <w:r>
              <w:rPr>
                <w:rFonts w:ascii="仿宋_GB2312" w:hAnsi="仿宋_GB2312" w:cs="仿宋_GB2312" w:eastAsia="仿宋_GB2312"/>
                <w:sz w:val="24"/>
                <w:shd w:fill="FFFFFF" w:val="clear"/>
              </w:rPr>
              <w:t>支持申报绿色园区、低碳园区、循环化改造园区等；收集创建指标要求的佐证材料，编制申报书及自评估报告；对接主管部门，协助完成现场验收或复核工作</w:t>
            </w:r>
          </w:p>
          <w:p>
            <w:pPr>
              <w:pStyle w:val="null3"/>
              <w:spacing w:before="105" w:after="105"/>
              <w:jc w:val="both"/>
              <w:outlineLvl w:val="2"/>
            </w:pPr>
            <w:r>
              <w:rPr>
                <w:rFonts w:ascii="仿宋_GB2312" w:hAnsi="仿宋_GB2312" w:cs="仿宋_GB2312" w:eastAsia="仿宋_GB2312"/>
                <w:sz w:val="24"/>
                <w:b/>
                <w:color w:val="0F1115"/>
                <w:shd w:fill="FFFFFF" w:val="clear"/>
              </w:rPr>
              <w:t>五、突发环境事件应急技术支撑</w:t>
            </w:r>
          </w:p>
          <w:p>
            <w:pPr>
              <w:pStyle w:val="null3"/>
              <w:ind w:firstLine="482"/>
              <w:jc w:val="both"/>
            </w:pPr>
            <w:r>
              <w:rPr>
                <w:rFonts w:ascii="仿宋_GB2312" w:hAnsi="仿宋_GB2312" w:cs="仿宋_GB2312" w:eastAsia="仿宋_GB2312"/>
                <w:sz w:val="24"/>
                <w:b/>
                <w:color w:val="0F1115"/>
                <w:shd w:fill="FFFFFF" w:val="clear"/>
              </w:rPr>
              <w:t>1. 园区环境突发环境事件应急现场技术支撑</w:t>
            </w:r>
          </w:p>
          <w:p>
            <w:pPr>
              <w:pStyle w:val="null3"/>
              <w:ind w:firstLine="480"/>
              <w:jc w:val="both"/>
            </w:pPr>
            <w:r>
              <w:rPr>
                <w:rFonts w:ascii="仿宋_GB2312" w:hAnsi="仿宋_GB2312" w:cs="仿宋_GB2312" w:eastAsia="仿宋_GB2312"/>
                <w:sz w:val="24"/>
                <w:color w:val="0F1115"/>
                <w:shd w:fill="FFFFFF" w:val="clear"/>
              </w:rPr>
              <w:t>接到应急通知后，组织专家（或技术人员）赶赴现场，参与现场应急指挥部决策，提供污染扩散预测、处置工艺、风险防控等技术建议</w:t>
            </w:r>
          </w:p>
          <w:p>
            <w:pPr>
              <w:pStyle w:val="null3"/>
              <w:ind w:firstLine="482"/>
              <w:jc w:val="both"/>
            </w:pPr>
            <w:r>
              <w:rPr>
                <w:rFonts w:ascii="仿宋_GB2312" w:hAnsi="仿宋_GB2312" w:cs="仿宋_GB2312" w:eastAsia="仿宋_GB2312"/>
                <w:sz w:val="24"/>
                <w:b/>
                <w:color w:val="0F1115"/>
                <w:shd w:fill="FFFFFF" w:val="clear"/>
              </w:rPr>
              <w:t>2. 邀请专家参与现场指导或决策</w:t>
            </w:r>
          </w:p>
          <w:p>
            <w:pPr>
              <w:pStyle w:val="null3"/>
              <w:spacing w:before="105" w:after="105"/>
              <w:ind w:firstLine="480"/>
              <w:jc w:val="left"/>
            </w:pPr>
            <w:r>
              <w:rPr>
                <w:rFonts w:ascii="仿宋_GB2312" w:hAnsi="仿宋_GB2312" w:cs="仿宋_GB2312" w:eastAsia="仿宋_GB2312"/>
                <w:sz w:val="24"/>
                <w:color w:val="0F1115"/>
                <w:shd w:fill="FFFFFF" w:val="clear"/>
              </w:rPr>
              <w:t>协助</w:t>
            </w:r>
            <w:r>
              <w:rPr>
                <w:rFonts w:ascii="仿宋_GB2312" w:hAnsi="仿宋_GB2312" w:cs="仿宋_GB2312" w:eastAsia="仿宋_GB2312"/>
                <w:sz w:val="24"/>
              </w:rPr>
              <w:t>园区开展环境突发环境事件应急演练工作，</w:t>
            </w:r>
            <w:r>
              <w:rPr>
                <w:rFonts w:ascii="仿宋_GB2312" w:hAnsi="仿宋_GB2312" w:cs="仿宋_GB2312" w:eastAsia="仿宋_GB2312"/>
                <w:sz w:val="24"/>
                <w:color w:val="0F1115"/>
                <w:shd w:fill="FFFFFF" w:val="clear"/>
              </w:rPr>
              <w:t>根据事件类型快速匹配专家并协调到场，专家意见形成书面记录，作为后期整改和调查依据</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自合同签订之日起365日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达州市高新区全辖区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严格按照政府采购相关法律法规以及《财政部关于进一步加强政府采购需求和履约验收管理的指导意见》（财库〔2016〕205号）的要求，竞争性磋商文件的规定和成交供应商响应文件及合同条款内容进行验收。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1、服务期结束采购人验收合格后，达到付款条件起30日内，支付合同总金额的100.00%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1.双方必须遵守本合同并执行合同中的各项规定，保证本合同的正常履行。 2. 如因成交供应商工作人员在履行职务过程中的的疏忽、失职、过错等故意或者过失原因给采购人造成损失或侵害，包括但不限于采购人本身的财产损失、由此而导致的采购人对任何第三方的法律责任等，成交供应商对此均应承担全部的赔偿责任。3.在执行本合同中发生的或与本合同有关的争端，双方应通过友好协商解决，经协商在60天内不能达成协议时，应提交项目所在地仲裁委员会仲裁。4.合同签订后，无正当理由，不按照合同约定履行合同义务，视为擅自变更、中止或者终止政府采购合同，将依据《中华人民共和国政府采购法实施条例》第六十七条、第七十一条、第七十二条依法依规处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根据本项目提供的实施方案包括：①项目背景分析；②对相关政策法规的分析与解读；③环境现状分析；④本项目服务过程中的难点评估及解决方案；⑤针对本项目的工作方案；⑥园区基础服务工作方案；⑦培训服务工作方案；⑧指导帮扶工作方案。 2、供应商根据本项目提供的保障措施、后期措施方案包括：①项目质量保障措施；②全年各项工作时间计划；③后期服务保障措施及响应时间。 3、供应商针对本项目提供专业技术人员和类似业绩。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所有内容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供应商需提供以下相关证明材料： ①供应商若为企业法人：提供“统一社会信用代码营业执照”； ②若为事业法人：提供“统一社会信用代码法人登记证书”； ③若为其他组织：提供“对应主管部门颁发的准许执业证明文件或营业执照”； ④若为自然人：提供“身份证明材料”。</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供应商需在项目电子化交易系统中按要求填写《投标（响应）函》完成承诺并进行电子签章。供应商财务状况证明需提供以下其中一项证明材料： ①可提供近三年任一年度经审计的完整财务报告复印件（包含审计报告和审计报告中所涉及的财务报表、报表附注等）； ②可提供供应商内部的近三年任一年度财务报表复印件（至少包含资产负债表、利润表、现金流量表）； ③可提供截至响应文件递交截止日近三个月内银行出具有效的资信证明（复印件）；④供应商注册时间截至响应文件递交截止日不足两年的，也可提供加盖工商备案主管部门印章的公司章程（复印件）。</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针对第三章 技术、服务及其他要求</w:t>
            </w:r>
          </w:p>
        </w:tc>
        <w:tc>
          <w:tcPr>
            <w:tcW w:type="dxa" w:w="3322"/>
          </w:tcPr>
          <w:p>
            <w:pPr>
              <w:pStyle w:val="null3"/>
              <w:jc w:val="left"/>
            </w:pPr>
            <w:r>
              <w:rPr>
                <w:rFonts w:ascii="仿宋_GB2312" w:hAnsi="仿宋_GB2312" w:cs="仿宋_GB2312" w:eastAsia="仿宋_GB2312"/>
              </w:rPr>
              <w:t>对第三章 技术、服务及其他要求内容进行响应</w:t>
            </w:r>
          </w:p>
        </w:tc>
        <w:tc>
          <w:tcPr>
            <w:tcW w:type="dxa" w:w="1661"/>
          </w:tcPr>
          <w:p>
            <w:pPr>
              <w:pStyle w:val="null3"/>
              <w:jc w:val="left"/>
            </w:pPr>
            <w:r>
              <w:rPr>
                <w:rFonts w:ascii="仿宋_GB2312" w:hAnsi="仿宋_GB2312" w:cs="仿宋_GB2312" w:eastAsia="仿宋_GB2312"/>
              </w:rPr>
              <w:t>（磋商）商务要求应答表.docx,技术、服务及其他要求响应表.docx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根据供应商提供的实施方案进行综合评分，方案内容包括：①项目背景分析；②对相关政策法规的分析与解读；③环境现状分析；④本项目服务过程中的难点评估及解决方案；⑤针对本项目的工作方案；⑥园区基础服务工作方案；⑦培训服务工作方案；⑧指导帮扶工作方案。以上方案完整满足采购需求且没有缺项的得40分，方案每缺少一项扣5分，方案每有一处存在缺陷或错误扣2.5分，本项扣完为止。 注：以上内容存在缺陷或不合理是指：项目名称、实施地点区域错误，内容与本项目无关，内容前后不一致，内容前后矛盾，内容脱离项目实际情况，出现错别字导致内容表达的意思不符合项目需求，违背了涉及的技术标准、行业规范、法律规定等任意一种情况。</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保障措施、后期措施方案</w:t>
            </w:r>
          </w:p>
        </w:tc>
        <w:tc>
          <w:tcPr>
            <w:tcW w:type="dxa" w:w="2575"/>
          </w:tcPr>
          <w:p>
            <w:pPr>
              <w:pStyle w:val="null3"/>
              <w:jc w:val="left"/>
            </w:pPr>
            <w:r>
              <w:rPr>
                <w:rFonts w:ascii="仿宋_GB2312" w:hAnsi="仿宋_GB2312" w:cs="仿宋_GB2312" w:eastAsia="仿宋_GB2312"/>
              </w:rPr>
              <w:t>根据供应商提供的保障措施、后期措施方案进行综合评分，方案内容包括：①项目质量保障措施；②全年各项工作时间计划；③后期服务保障措施及响应时间。以上方案完整满足采购需求且没有缺项的得15分，方案每缺少一项扣5分，方案每有一处存在缺陷或错误扣2.5分，本项扣完为止。 注：以上内容存在缺陷或不合理是指：项目名称、实施地点区域错误，内容与本项目无关，内容前后不一致，内容前后矛盾，内容脱离项目实际情况，出现错别字导致内容表达的意思不符合项目需求，违背了涉及的技术标准、行业规范、法律规定等任意一种情况。</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综合评分所需资料.docx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（1）供应商针对本项目拟派项目负责人：具有环境类正高级职称得3分，具有环境类副高级职称得2分，具有环境类中级职称得1分，本项最多得3分。 （2）供应商针对本项目拟派本项目的团队技术人员：团队人员中每具有一个环境类副高级及以上职称得2分，每具有一个环境类中级职称得1分，每具有一个环境类初级职称得0.5分，本项最多得8分。 注：①提供职称证书复印件并加盖供应商公章；②同一人员不重复计分。</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供应商本项目管理、技术、服务人员情况表.docx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供应商提供自2023年1月1日至今（以合同签订时间为准）类似业绩，每提供一个得2分；本项最多得4分。 注：提供合同或成交（中标）通知书复印件并加盖供应商公章，未提供不得分。</w:t>
            </w:r>
          </w:p>
        </w:tc>
        <w:tc>
          <w:tcPr>
            <w:tcW w:type="dxa" w:w="831"/>
          </w:tcPr>
          <w:p>
            <w:pPr>
              <w:pStyle w:val="null3"/>
              <w:jc w:val="center"/>
            </w:pPr>
            <w:r>
              <w:rPr>
                <w:rFonts w:ascii="仿宋_GB2312" w:hAnsi="仿宋_GB2312" w:cs="仿宋_GB2312" w:eastAsia="仿宋_GB2312"/>
              </w:rPr>
              <w:t>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详见附件：（磋商）商务要求应答表.docx</w:t>
      </w:r>
    </w:p>
    <w:p>
      <w:pPr>
        <w:pStyle w:val="null3"/>
        <w:ind w:firstLine="960"/>
        <w:jc w:val="left"/>
      </w:pPr>
      <w:r>
        <w:rPr>
          <w:rFonts w:ascii="仿宋_GB2312" w:hAnsi="仿宋_GB2312" w:cs="仿宋_GB2312" w:eastAsia="仿宋_GB2312"/>
        </w:rPr>
        <w:t>详见附件：技术、服务及其他要求响应表.docx</w:t>
      </w:r>
    </w:p>
    <w:p>
      <w:pPr>
        <w:pStyle w:val="null3"/>
        <w:ind w:firstLine="960"/>
        <w:jc w:val="left"/>
      </w:pPr>
      <w:r>
        <w:rPr>
          <w:rFonts w:ascii="仿宋_GB2312" w:hAnsi="仿宋_GB2312" w:cs="仿宋_GB2312" w:eastAsia="仿宋_GB2312"/>
        </w:rPr>
        <w:t>详见附件：综合评分所需资料.docx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详见附件：供应商本项目管理、技术、服务人员情况表.docx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