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7A9C18">
      <w:pPr>
        <w:pStyle w:val="4"/>
        <w:jc w:val="center"/>
        <w:outlineLvl w:val="1"/>
      </w:pPr>
      <w:r>
        <w:rPr>
          <w:rFonts w:ascii="仿宋_GB2312" w:hAnsi="仿宋_GB2312" w:eastAsia="仿宋_GB2312" w:cs="仿宋_GB2312"/>
          <w:b/>
          <w:sz w:val="36"/>
        </w:rPr>
        <w:t>技术、服务及其他要求</w:t>
      </w:r>
    </w:p>
    <w:p w14:paraId="05B6D3C3">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61CF7267">
      <w:pPr>
        <w:pStyle w:val="4"/>
        <w:jc w:val="left"/>
        <w:outlineLvl w:val="2"/>
      </w:pPr>
      <w:r>
        <w:rPr>
          <w:rFonts w:ascii="仿宋_GB2312" w:hAnsi="仿宋_GB2312" w:eastAsia="仿宋_GB2312" w:cs="仿宋_GB2312"/>
          <w:b/>
          <w:sz w:val="28"/>
        </w:rPr>
        <w:t>3.1.采购内容</w:t>
      </w:r>
    </w:p>
    <w:p w14:paraId="5ADE4918">
      <w:pPr>
        <w:pStyle w:val="4"/>
        <w:jc w:val="left"/>
      </w:pPr>
      <w:r>
        <w:rPr>
          <w:rFonts w:ascii="仿宋_GB2312" w:hAnsi="仿宋_GB2312" w:eastAsia="仿宋_GB2312" w:cs="仿宋_GB2312"/>
        </w:rPr>
        <w:t>采购包1：</w:t>
      </w:r>
    </w:p>
    <w:p w14:paraId="6AA5F6D3">
      <w:pPr>
        <w:pStyle w:val="4"/>
        <w:jc w:val="left"/>
      </w:pPr>
      <w:r>
        <w:rPr>
          <w:rFonts w:ascii="仿宋_GB2312" w:hAnsi="仿宋_GB2312" w:eastAsia="仿宋_GB2312" w:cs="仿宋_GB2312"/>
        </w:rPr>
        <w:t>采购包预算金额（元）: 5,500,000.00</w:t>
      </w:r>
    </w:p>
    <w:p w14:paraId="3861D889">
      <w:pPr>
        <w:pStyle w:val="4"/>
        <w:jc w:val="left"/>
      </w:pPr>
      <w:r>
        <w:rPr>
          <w:rFonts w:ascii="仿宋_GB2312" w:hAnsi="仿宋_GB2312" w:eastAsia="仿宋_GB2312" w:cs="仿宋_GB2312"/>
        </w:rPr>
        <w:t>采购包最高限价（元）: 5,500,000.00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62"/>
        <w:gridCol w:w="820"/>
        <w:gridCol w:w="1416"/>
        <w:gridCol w:w="704"/>
        <w:gridCol w:w="704"/>
        <w:gridCol w:w="704"/>
        <w:gridCol w:w="704"/>
        <w:gridCol w:w="574"/>
        <w:gridCol w:w="574"/>
      </w:tblGrid>
      <w:tr w14:paraId="5BF555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66E824F">
            <w:pPr>
              <w:pStyle w:val="4"/>
              <w:jc w:val="center"/>
            </w:pPr>
            <w:r>
              <w:rPr>
                <w:rFonts w:ascii="仿宋_GB2312" w:hAnsi="仿宋_GB2312" w:eastAsia="仿宋_GB2312" w:cs="仿宋_GB2312"/>
              </w:rPr>
              <w:t>序号</w:t>
            </w:r>
          </w:p>
        </w:tc>
        <w:tc>
          <w:tcPr>
            <w:tcW w:w="821" w:type="dxa"/>
          </w:tcPr>
          <w:p w14:paraId="7E7AB33C">
            <w:pPr>
              <w:pStyle w:val="4"/>
              <w:jc w:val="center"/>
            </w:pPr>
            <w:r>
              <w:rPr>
                <w:rFonts w:ascii="仿宋_GB2312" w:hAnsi="仿宋_GB2312" w:eastAsia="仿宋_GB2312" w:cs="仿宋_GB2312"/>
              </w:rPr>
              <w:t>采购品目名称</w:t>
            </w:r>
          </w:p>
        </w:tc>
        <w:tc>
          <w:tcPr>
            <w:tcW w:w="821" w:type="dxa"/>
          </w:tcPr>
          <w:p w14:paraId="144B04C0">
            <w:pPr>
              <w:pStyle w:val="4"/>
              <w:jc w:val="center"/>
            </w:pPr>
            <w:r>
              <w:rPr>
                <w:rFonts w:ascii="仿宋_GB2312" w:hAnsi="仿宋_GB2312" w:eastAsia="仿宋_GB2312" w:cs="仿宋_GB2312"/>
              </w:rPr>
              <w:t>标的名称</w:t>
            </w:r>
          </w:p>
        </w:tc>
        <w:tc>
          <w:tcPr>
            <w:tcW w:w="821" w:type="dxa"/>
          </w:tcPr>
          <w:p w14:paraId="7C856ADD">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2A4C6970">
            <w:pPr>
              <w:pStyle w:val="4"/>
              <w:jc w:val="center"/>
            </w:pPr>
            <w:r>
              <w:rPr>
                <w:rFonts w:ascii="仿宋_GB2312" w:hAnsi="仿宋_GB2312" w:eastAsia="仿宋_GB2312" w:cs="仿宋_GB2312"/>
              </w:rPr>
              <w:t>标的金额 （元）</w:t>
            </w:r>
          </w:p>
        </w:tc>
        <w:tc>
          <w:tcPr>
            <w:tcW w:w="821" w:type="dxa"/>
          </w:tcPr>
          <w:p w14:paraId="62352EBB">
            <w:pPr>
              <w:pStyle w:val="4"/>
              <w:jc w:val="center"/>
            </w:pPr>
            <w:r>
              <w:rPr>
                <w:rFonts w:ascii="仿宋_GB2312" w:hAnsi="仿宋_GB2312" w:eastAsia="仿宋_GB2312" w:cs="仿宋_GB2312"/>
              </w:rPr>
              <w:t>所属行业</w:t>
            </w:r>
          </w:p>
        </w:tc>
        <w:tc>
          <w:tcPr>
            <w:tcW w:w="821" w:type="dxa"/>
          </w:tcPr>
          <w:p w14:paraId="7192C34E">
            <w:pPr>
              <w:pStyle w:val="4"/>
              <w:jc w:val="center"/>
            </w:pPr>
            <w:r>
              <w:rPr>
                <w:rFonts w:ascii="仿宋_GB2312" w:hAnsi="仿宋_GB2312" w:eastAsia="仿宋_GB2312" w:cs="仿宋_GB2312"/>
              </w:rPr>
              <w:t>是否涉及核心产品</w:t>
            </w:r>
          </w:p>
        </w:tc>
        <w:tc>
          <w:tcPr>
            <w:tcW w:w="821" w:type="dxa"/>
          </w:tcPr>
          <w:p w14:paraId="7E29E751">
            <w:pPr>
              <w:pStyle w:val="4"/>
              <w:jc w:val="center"/>
            </w:pPr>
            <w:r>
              <w:rPr>
                <w:rFonts w:ascii="仿宋_GB2312" w:hAnsi="仿宋_GB2312" w:eastAsia="仿宋_GB2312" w:cs="仿宋_GB2312"/>
              </w:rPr>
              <w:t>是否涉及采购进口产品</w:t>
            </w:r>
          </w:p>
        </w:tc>
        <w:tc>
          <w:tcPr>
            <w:tcW w:w="821" w:type="dxa"/>
          </w:tcPr>
          <w:p w14:paraId="136C3925">
            <w:pPr>
              <w:pStyle w:val="4"/>
              <w:jc w:val="center"/>
            </w:pPr>
            <w:r>
              <w:rPr>
                <w:rFonts w:ascii="仿宋_GB2312" w:hAnsi="仿宋_GB2312" w:eastAsia="仿宋_GB2312" w:cs="仿宋_GB2312"/>
              </w:rPr>
              <w:t>是否涉及强制采购节能产品</w:t>
            </w:r>
          </w:p>
        </w:tc>
        <w:tc>
          <w:tcPr>
            <w:tcW w:w="639" w:type="dxa"/>
          </w:tcPr>
          <w:p w14:paraId="50D09A12">
            <w:pPr>
              <w:pStyle w:val="4"/>
              <w:jc w:val="center"/>
            </w:pPr>
            <w:r>
              <w:rPr>
                <w:rFonts w:ascii="仿宋_GB2312" w:hAnsi="仿宋_GB2312" w:eastAsia="仿宋_GB2312" w:cs="仿宋_GB2312"/>
              </w:rPr>
              <w:t>是否涉及优先采购节能产品</w:t>
            </w:r>
          </w:p>
        </w:tc>
        <w:tc>
          <w:tcPr>
            <w:tcW w:w="639" w:type="dxa"/>
          </w:tcPr>
          <w:p w14:paraId="189D608A">
            <w:pPr>
              <w:pStyle w:val="4"/>
              <w:jc w:val="center"/>
            </w:pPr>
            <w:r>
              <w:rPr>
                <w:rFonts w:ascii="仿宋_GB2312" w:hAnsi="仿宋_GB2312" w:eastAsia="仿宋_GB2312" w:cs="仿宋_GB2312"/>
              </w:rPr>
              <w:t>是否涉及优先采购环境标志产品</w:t>
            </w:r>
          </w:p>
        </w:tc>
      </w:tr>
      <w:tr w14:paraId="7E489F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AF69963">
            <w:pPr>
              <w:pStyle w:val="4"/>
              <w:jc w:val="left"/>
            </w:pPr>
            <w:r>
              <w:rPr>
                <w:rFonts w:ascii="仿宋_GB2312" w:hAnsi="仿宋_GB2312" w:eastAsia="仿宋_GB2312" w:cs="仿宋_GB2312"/>
              </w:rPr>
              <w:t>1</w:t>
            </w:r>
          </w:p>
        </w:tc>
        <w:tc>
          <w:tcPr>
            <w:tcW w:w="821" w:type="dxa"/>
          </w:tcPr>
          <w:p w14:paraId="0332EA5B">
            <w:pPr>
              <w:pStyle w:val="4"/>
              <w:jc w:val="left"/>
            </w:pPr>
            <w:r>
              <w:rPr>
                <w:rFonts w:ascii="仿宋_GB2312" w:hAnsi="仿宋_GB2312" w:eastAsia="仿宋_GB2312" w:cs="仿宋_GB2312"/>
              </w:rPr>
              <w:t>C99000000 其他服务</w:t>
            </w:r>
          </w:p>
        </w:tc>
        <w:tc>
          <w:tcPr>
            <w:tcW w:w="821" w:type="dxa"/>
          </w:tcPr>
          <w:p w14:paraId="0E1D0F6E">
            <w:pPr>
              <w:pStyle w:val="4"/>
              <w:jc w:val="left"/>
            </w:pPr>
            <w:r>
              <w:rPr>
                <w:rFonts w:ascii="仿宋_GB2312" w:hAnsi="仿宋_GB2312" w:eastAsia="仿宋_GB2312" w:cs="仿宋_GB2312"/>
              </w:rPr>
              <w:t>食堂烤制面包原材料、牛奶等配送服务</w:t>
            </w:r>
          </w:p>
        </w:tc>
        <w:tc>
          <w:tcPr>
            <w:tcW w:w="821" w:type="dxa"/>
          </w:tcPr>
          <w:p w14:paraId="655D5ED3">
            <w:pPr>
              <w:pStyle w:val="4"/>
              <w:jc w:val="right"/>
            </w:pPr>
            <w:r>
              <w:rPr>
                <w:rFonts w:ascii="仿宋_GB2312" w:hAnsi="仿宋_GB2312" w:eastAsia="仿宋_GB2312" w:cs="仿宋_GB2312"/>
              </w:rPr>
              <w:t>1.00（项）</w:t>
            </w:r>
          </w:p>
        </w:tc>
        <w:tc>
          <w:tcPr>
            <w:tcW w:w="821" w:type="dxa"/>
          </w:tcPr>
          <w:p w14:paraId="3AA183AD">
            <w:pPr>
              <w:pStyle w:val="4"/>
              <w:jc w:val="right"/>
            </w:pPr>
            <w:r>
              <w:rPr>
                <w:rFonts w:ascii="仿宋_GB2312" w:hAnsi="仿宋_GB2312" w:eastAsia="仿宋_GB2312" w:cs="仿宋_GB2312"/>
              </w:rPr>
              <w:t>5,500,000.00</w:t>
            </w:r>
          </w:p>
        </w:tc>
        <w:tc>
          <w:tcPr>
            <w:tcW w:w="821" w:type="dxa"/>
          </w:tcPr>
          <w:p w14:paraId="64CBE0C6">
            <w:pPr>
              <w:pStyle w:val="4"/>
              <w:jc w:val="left"/>
            </w:pPr>
            <w:r>
              <w:rPr>
                <w:rFonts w:ascii="仿宋_GB2312" w:hAnsi="仿宋_GB2312" w:eastAsia="仿宋_GB2312" w:cs="仿宋_GB2312"/>
              </w:rPr>
              <w:t>其他未列明行业</w:t>
            </w:r>
          </w:p>
        </w:tc>
        <w:tc>
          <w:tcPr>
            <w:tcW w:w="821" w:type="dxa"/>
          </w:tcPr>
          <w:p w14:paraId="1B103216">
            <w:pPr>
              <w:pStyle w:val="4"/>
              <w:jc w:val="left"/>
            </w:pPr>
            <w:r>
              <w:rPr>
                <w:rFonts w:ascii="仿宋_GB2312" w:hAnsi="仿宋_GB2312" w:eastAsia="仿宋_GB2312" w:cs="仿宋_GB2312"/>
              </w:rPr>
              <w:t>否</w:t>
            </w:r>
          </w:p>
        </w:tc>
        <w:tc>
          <w:tcPr>
            <w:tcW w:w="821" w:type="dxa"/>
          </w:tcPr>
          <w:p w14:paraId="15118487">
            <w:pPr>
              <w:pStyle w:val="4"/>
              <w:jc w:val="left"/>
            </w:pPr>
            <w:r>
              <w:rPr>
                <w:rFonts w:ascii="仿宋_GB2312" w:hAnsi="仿宋_GB2312" w:eastAsia="仿宋_GB2312" w:cs="仿宋_GB2312"/>
              </w:rPr>
              <w:t>否</w:t>
            </w:r>
          </w:p>
        </w:tc>
        <w:tc>
          <w:tcPr>
            <w:tcW w:w="821" w:type="dxa"/>
          </w:tcPr>
          <w:p w14:paraId="5829D264">
            <w:pPr>
              <w:pStyle w:val="4"/>
              <w:jc w:val="left"/>
            </w:pPr>
            <w:r>
              <w:rPr>
                <w:rFonts w:ascii="仿宋_GB2312" w:hAnsi="仿宋_GB2312" w:eastAsia="仿宋_GB2312" w:cs="仿宋_GB2312"/>
              </w:rPr>
              <w:t>否</w:t>
            </w:r>
          </w:p>
        </w:tc>
        <w:tc>
          <w:tcPr>
            <w:tcW w:w="639" w:type="dxa"/>
          </w:tcPr>
          <w:p w14:paraId="06070BCB">
            <w:pPr>
              <w:pStyle w:val="4"/>
              <w:jc w:val="left"/>
            </w:pPr>
            <w:r>
              <w:rPr>
                <w:rFonts w:ascii="仿宋_GB2312" w:hAnsi="仿宋_GB2312" w:eastAsia="仿宋_GB2312" w:cs="仿宋_GB2312"/>
              </w:rPr>
              <w:t>否</w:t>
            </w:r>
          </w:p>
        </w:tc>
        <w:tc>
          <w:tcPr>
            <w:tcW w:w="639" w:type="dxa"/>
          </w:tcPr>
          <w:p w14:paraId="1F9562D3">
            <w:pPr>
              <w:pStyle w:val="4"/>
              <w:jc w:val="left"/>
            </w:pPr>
            <w:r>
              <w:rPr>
                <w:rFonts w:ascii="仿宋_GB2312" w:hAnsi="仿宋_GB2312" w:eastAsia="仿宋_GB2312" w:cs="仿宋_GB2312"/>
              </w:rPr>
              <w:t>否</w:t>
            </w:r>
          </w:p>
        </w:tc>
      </w:tr>
    </w:tbl>
    <w:p w14:paraId="59967718">
      <w:pPr>
        <w:pStyle w:val="4"/>
        <w:jc w:val="left"/>
      </w:pPr>
      <w:r>
        <w:rPr>
          <w:rFonts w:ascii="仿宋_GB2312" w:hAnsi="仿宋_GB2312" w:eastAsia="仿宋_GB2312" w:cs="仿宋_GB2312"/>
        </w:rPr>
        <w:t>是否适用本国产品标准：否</w:t>
      </w:r>
    </w:p>
    <w:p w14:paraId="19CB1ADC">
      <w:pPr>
        <w:pStyle w:val="4"/>
        <w:jc w:val="left"/>
        <w:outlineLvl w:val="3"/>
      </w:pPr>
      <w:r>
        <w:rPr>
          <w:rFonts w:ascii="仿宋_GB2312" w:hAnsi="仿宋_GB2312" w:eastAsia="仿宋_GB2312" w:cs="仿宋_GB2312"/>
          <w:b/>
          <w:sz w:val="24"/>
        </w:rPr>
        <w:t>报价要求</w:t>
      </w:r>
    </w:p>
    <w:p w14:paraId="7DED12B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2C9D3A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F02E8C5">
            <w:pPr>
              <w:pStyle w:val="4"/>
              <w:jc w:val="center"/>
            </w:pPr>
            <w:r>
              <w:rPr>
                <w:rFonts w:ascii="仿宋_GB2312" w:hAnsi="仿宋_GB2312" w:eastAsia="仿宋_GB2312" w:cs="仿宋_GB2312"/>
              </w:rPr>
              <w:t>序号</w:t>
            </w:r>
          </w:p>
        </w:tc>
        <w:tc>
          <w:tcPr>
            <w:tcW w:w="1759" w:type="dxa"/>
          </w:tcPr>
          <w:p w14:paraId="042A66AD">
            <w:pPr>
              <w:pStyle w:val="4"/>
              <w:jc w:val="center"/>
            </w:pPr>
            <w:r>
              <w:rPr>
                <w:rFonts w:ascii="仿宋_GB2312" w:hAnsi="仿宋_GB2312" w:eastAsia="仿宋_GB2312" w:cs="仿宋_GB2312"/>
              </w:rPr>
              <w:t>报价内容</w:t>
            </w:r>
          </w:p>
        </w:tc>
        <w:tc>
          <w:tcPr>
            <w:tcW w:w="977" w:type="dxa"/>
          </w:tcPr>
          <w:p w14:paraId="54B473BE">
            <w:pPr>
              <w:pStyle w:val="4"/>
              <w:jc w:val="center"/>
            </w:pPr>
            <w:r>
              <w:rPr>
                <w:rFonts w:ascii="仿宋_GB2312" w:hAnsi="仿宋_GB2312" w:eastAsia="仿宋_GB2312" w:cs="仿宋_GB2312"/>
              </w:rPr>
              <w:t>计量单位</w:t>
            </w:r>
          </w:p>
        </w:tc>
        <w:tc>
          <w:tcPr>
            <w:tcW w:w="977" w:type="dxa"/>
          </w:tcPr>
          <w:p w14:paraId="791BA740">
            <w:pPr>
              <w:pStyle w:val="4"/>
              <w:jc w:val="center"/>
            </w:pPr>
            <w:r>
              <w:rPr>
                <w:rFonts w:ascii="仿宋_GB2312" w:hAnsi="仿宋_GB2312" w:eastAsia="仿宋_GB2312" w:cs="仿宋_GB2312"/>
              </w:rPr>
              <w:t>报价单位</w:t>
            </w:r>
          </w:p>
        </w:tc>
        <w:tc>
          <w:tcPr>
            <w:tcW w:w="1466" w:type="dxa"/>
          </w:tcPr>
          <w:p w14:paraId="5574509E">
            <w:pPr>
              <w:pStyle w:val="4"/>
              <w:jc w:val="center"/>
            </w:pPr>
            <w:r>
              <w:rPr>
                <w:rFonts w:ascii="仿宋_GB2312" w:hAnsi="仿宋_GB2312" w:eastAsia="仿宋_GB2312" w:cs="仿宋_GB2312"/>
              </w:rPr>
              <w:t>最高限价</w:t>
            </w:r>
          </w:p>
        </w:tc>
        <w:tc>
          <w:tcPr>
            <w:tcW w:w="977" w:type="dxa"/>
          </w:tcPr>
          <w:p w14:paraId="57F75664">
            <w:pPr>
              <w:pStyle w:val="4"/>
              <w:jc w:val="center"/>
            </w:pPr>
            <w:r>
              <w:rPr>
                <w:rFonts w:ascii="仿宋_GB2312" w:hAnsi="仿宋_GB2312" w:eastAsia="仿宋_GB2312" w:cs="仿宋_GB2312"/>
              </w:rPr>
              <w:t>价款形式</w:t>
            </w:r>
          </w:p>
        </w:tc>
        <w:tc>
          <w:tcPr>
            <w:tcW w:w="1466" w:type="dxa"/>
          </w:tcPr>
          <w:p w14:paraId="71C68A8F">
            <w:pPr>
              <w:pStyle w:val="4"/>
              <w:jc w:val="center"/>
            </w:pPr>
            <w:r>
              <w:rPr>
                <w:rFonts w:ascii="仿宋_GB2312" w:hAnsi="仿宋_GB2312" w:eastAsia="仿宋_GB2312" w:cs="仿宋_GB2312"/>
              </w:rPr>
              <w:t>报价说明</w:t>
            </w:r>
          </w:p>
        </w:tc>
      </w:tr>
      <w:tr w14:paraId="40AE0F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4F6EE7A8">
            <w:pPr>
              <w:pStyle w:val="4"/>
              <w:jc w:val="center"/>
            </w:pPr>
            <w:r>
              <w:rPr>
                <w:rFonts w:ascii="仿宋_GB2312" w:hAnsi="仿宋_GB2312" w:eastAsia="仿宋_GB2312" w:cs="仿宋_GB2312"/>
              </w:rPr>
              <w:t>1</w:t>
            </w:r>
          </w:p>
        </w:tc>
        <w:tc>
          <w:tcPr>
            <w:tcW w:w="1759" w:type="dxa"/>
          </w:tcPr>
          <w:p w14:paraId="41F935F5">
            <w:pPr>
              <w:pStyle w:val="4"/>
              <w:jc w:val="center"/>
            </w:pPr>
            <w:r>
              <w:rPr>
                <w:rFonts w:ascii="仿宋_GB2312" w:hAnsi="仿宋_GB2312" w:eastAsia="仿宋_GB2312" w:cs="仿宋_GB2312"/>
              </w:rPr>
              <w:t>面包食材大类</w:t>
            </w:r>
          </w:p>
        </w:tc>
        <w:tc>
          <w:tcPr>
            <w:tcW w:w="977" w:type="dxa"/>
          </w:tcPr>
          <w:p w14:paraId="5612EAD3">
            <w:pPr>
              <w:pStyle w:val="4"/>
              <w:jc w:val="center"/>
            </w:pPr>
            <w:r>
              <w:rPr>
                <w:rFonts w:ascii="仿宋_GB2312" w:hAnsi="仿宋_GB2312" w:eastAsia="仿宋_GB2312" w:cs="仿宋_GB2312"/>
              </w:rPr>
              <w:t>项</w:t>
            </w:r>
          </w:p>
        </w:tc>
        <w:tc>
          <w:tcPr>
            <w:tcW w:w="977" w:type="dxa"/>
          </w:tcPr>
          <w:p w14:paraId="745419AE">
            <w:pPr>
              <w:pStyle w:val="4"/>
              <w:jc w:val="center"/>
            </w:pPr>
            <w:r>
              <w:rPr>
                <w:rFonts w:ascii="仿宋_GB2312" w:hAnsi="仿宋_GB2312" w:eastAsia="仿宋_GB2312" w:cs="仿宋_GB2312"/>
              </w:rPr>
              <w:t>%</w:t>
            </w:r>
          </w:p>
        </w:tc>
        <w:tc>
          <w:tcPr>
            <w:tcW w:w="1466" w:type="dxa"/>
          </w:tcPr>
          <w:p w14:paraId="29587CB1">
            <w:pPr>
              <w:pStyle w:val="4"/>
              <w:jc w:val="center"/>
            </w:pPr>
            <w:r>
              <w:rPr>
                <w:rFonts w:ascii="仿宋_GB2312" w:hAnsi="仿宋_GB2312" w:eastAsia="仿宋_GB2312" w:cs="仿宋_GB2312"/>
              </w:rPr>
              <w:t>100.00</w:t>
            </w:r>
          </w:p>
        </w:tc>
        <w:tc>
          <w:tcPr>
            <w:tcW w:w="977" w:type="dxa"/>
          </w:tcPr>
          <w:p w14:paraId="5209420D">
            <w:pPr>
              <w:pStyle w:val="4"/>
              <w:jc w:val="center"/>
            </w:pPr>
            <w:r>
              <w:rPr>
                <w:rFonts w:ascii="仿宋_GB2312" w:hAnsi="仿宋_GB2312" w:eastAsia="仿宋_GB2312" w:cs="仿宋_GB2312"/>
              </w:rPr>
              <w:t>百分比</w:t>
            </w:r>
          </w:p>
        </w:tc>
        <w:tc>
          <w:tcPr>
            <w:tcW w:w="1466" w:type="dxa"/>
          </w:tcPr>
          <w:p w14:paraId="4DFD0C14">
            <w:pPr>
              <w:pStyle w:val="4"/>
              <w:jc w:val="left"/>
            </w:pPr>
            <w:r>
              <w:rPr>
                <w:rFonts w:ascii="仿宋_GB2312" w:hAnsi="仿宋_GB2312" w:eastAsia="仿宋_GB2312" w:cs="仿宋_GB2312"/>
              </w:rPr>
              <w:t>在原100%基础上进行响应报价，如下浮5%，正确报价模式应在系统中填写取费比例为95%。</w:t>
            </w:r>
          </w:p>
        </w:tc>
      </w:tr>
      <w:tr w14:paraId="0E2AC2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2BA22318">
            <w:pPr>
              <w:pStyle w:val="4"/>
              <w:jc w:val="center"/>
            </w:pPr>
            <w:r>
              <w:rPr>
                <w:rFonts w:ascii="仿宋_GB2312" w:hAnsi="仿宋_GB2312" w:eastAsia="仿宋_GB2312" w:cs="仿宋_GB2312"/>
              </w:rPr>
              <w:t>2</w:t>
            </w:r>
          </w:p>
        </w:tc>
        <w:tc>
          <w:tcPr>
            <w:tcW w:w="1759" w:type="dxa"/>
          </w:tcPr>
          <w:p w14:paraId="1C4A2A05">
            <w:pPr>
              <w:pStyle w:val="4"/>
              <w:jc w:val="center"/>
            </w:pPr>
            <w:r>
              <w:rPr>
                <w:rFonts w:ascii="仿宋_GB2312" w:hAnsi="仿宋_GB2312" w:eastAsia="仿宋_GB2312" w:cs="仿宋_GB2312"/>
              </w:rPr>
              <w:t>饮品、纸巾类</w:t>
            </w:r>
          </w:p>
        </w:tc>
        <w:tc>
          <w:tcPr>
            <w:tcW w:w="977" w:type="dxa"/>
          </w:tcPr>
          <w:p w14:paraId="39277793">
            <w:pPr>
              <w:pStyle w:val="4"/>
              <w:jc w:val="center"/>
            </w:pPr>
            <w:r>
              <w:rPr>
                <w:rFonts w:ascii="仿宋_GB2312" w:hAnsi="仿宋_GB2312" w:eastAsia="仿宋_GB2312" w:cs="仿宋_GB2312"/>
              </w:rPr>
              <w:t>项</w:t>
            </w:r>
          </w:p>
        </w:tc>
        <w:tc>
          <w:tcPr>
            <w:tcW w:w="977" w:type="dxa"/>
          </w:tcPr>
          <w:p w14:paraId="7CF4D471">
            <w:pPr>
              <w:pStyle w:val="4"/>
              <w:jc w:val="center"/>
            </w:pPr>
            <w:r>
              <w:rPr>
                <w:rFonts w:ascii="仿宋_GB2312" w:hAnsi="仿宋_GB2312" w:eastAsia="仿宋_GB2312" w:cs="仿宋_GB2312"/>
              </w:rPr>
              <w:t>%</w:t>
            </w:r>
          </w:p>
        </w:tc>
        <w:tc>
          <w:tcPr>
            <w:tcW w:w="1466" w:type="dxa"/>
          </w:tcPr>
          <w:p w14:paraId="3150D534">
            <w:pPr>
              <w:pStyle w:val="4"/>
              <w:jc w:val="center"/>
            </w:pPr>
            <w:r>
              <w:rPr>
                <w:rFonts w:ascii="仿宋_GB2312" w:hAnsi="仿宋_GB2312" w:eastAsia="仿宋_GB2312" w:cs="仿宋_GB2312"/>
              </w:rPr>
              <w:t>100.00</w:t>
            </w:r>
          </w:p>
        </w:tc>
        <w:tc>
          <w:tcPr>
            <w:tcW w:w="977" w:type="dxa"/>
          </w:tcPr>
          <w:p w14:paraId="39902756">
            <w:pPr>
              <w:pStyle w:val="4"/>
              <w:jc w:val="center"/>
            </w:pPr>
            <w:r>
              <w:rPr>
                <w:rFonts w:ascii="仿宋_GB2312" w:hAnsi="仿宋_GB2312" w:eastAsia="仿宋_GB2312" w:cs="仿宋_GB2312"/>
              </w:rPr>
              <w:t>百分比</w:t>
            </w:r>
          </w:p>
        </w:tc>
        <w:tc>
          <w:tcPr>
            <w:tcW w:w="1466" w:type="dxa"/>
          </w:tcPr>
          <w:p w14:paraId="1986F731">
            <w:pPr>
              <w:pStyle w:val="4"/>
              <w:jc w:val="left"/>
            </w:pPr>
            <w:r>
              <w:rPr>
                <w:rFonts w:ascii="仿宋_GB2312" w:hAnsi="仿宋_GB2312" w:eastAsia="仿宋_GB2312" w:cs="仿宋_GB2312"/>
              </w:rPr>
              <w:t>在原100%基础上进行响应报价，如下浮5%，正确报价模式应在系统中填写取费比例为95%。</w:t>
            </w:r>
          </w:p>
        </w:tc>
      </w:tr>
    </w:tbl>
    <w:p w14:paraId="6C06F9EC">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713D0899">
      <w:pPr>
        <w:pStyle w:val="4"/>
        <w:jc w:val="left"/>
      </w:pPr>
      <w:r>
        <w:rPr>
          <w:rFonts w:ascii="仿宋_GB2312" w:hAnsi="仿宋_GB2312" w:eastAsia="仿宋_GB2312" w:cs="仿宋_GB2312"/>
          <w:b/>
        </w:rPr>
        <w:t>本项目涉及核心产品：</w:t>
      </w:r>
    </w:p>
    <w:p w14:paraId="1966A57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C001C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0A5048">
            <w:pPr>
              <w:pStyle w:val="4"/>
              <w:jc w:val="center"/>
            </w:pPr>
            <w:r>
              <w:rPr>
                <w:rFonts w:ascii="仿宋_GB2312" w:hAnsi="仿宋_GB2312" w:eastAsia="仿宋_GB2312" w:cs="仿宋_GB2312"/>
              </w:rPr>
              <w:t>序号</w:t>
            </w:r>
          </w:p>
        </w:tc>
        <w:tc>
          <w:tcPr>
            <w:tcW w:w="2492" w:type="dxa"/>
          </w:tcPr>
          <w:p w14:paraId="4B4AD936">
            <w:pPr>
              <w:pStyle w:val="4"/>
              <w:jc w:val="center"/>
            </w:pPr>
            <w:r>
              <w:rPr>
                <w:rFonts w:ascii="仿宋_GB2312" w:hAnsi="仿宋_GB2312" w:eastAsia="仿宋_GB2312" w:cs="仿宋_GB2312"/>
              </w:rPr>
              <w:t>采购品目名称</w:t>
            </w:r>
          </w:p>
        </w:tc>
        <w:tc>
          <w:tcPr>
            <w:tcW w:w="2492" w:type="dxa"/>
          </w:tcPr>
          <w:p w14:paraId="4077CEDB">
            <w:pPr>
              <w:pStyle w:val="4"/>
              <w:jc w:val="center"/>
            </w:pPr>
            <w:r>
              <w:rPr>
                <w:rFonts w:ascii="仿宋_GB2312" w:hAnsi="仿宋_GB2312" w:eastAsia="仿宋_GB2312" w:cs="仿宋_GB2312"/>
              </w:rPr>
              <w:t>标的名称</w:t>
            </w:r>
          </w:p>
        </w:tc>
        <w:tc>
          <w:tcPr>
            <w:tcW w:w="2492" w:type="dxa"/>
          </w:tcPr>
          <w:p w14:paraId="483DB0FA">
            <w:pPr>
              <w:pStyle w:val="4"/>
              <w:jc w:val="center"/>
            </w:pPr>
            <w:r>
              <w:rPr>
                <w:rFonts w:ascii="仿宋_GB2312" w:hAnsi="仿宋_GB2312" w:eastAsia="仿宋_GB2312" w:cs="仿宋_GB2312"/>
              </w:rPr>
              <w:t>产品名称</w:t>
            </w:r>
          </w:p>
        </w:tc>
      </w:tr>
      <w:tr w14:paraId="557854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F024B13">
            <w:pPr>
              <w:pStyle w:val="4"/>
              <w:jc w:val="center"/>
            </w:pPr>
            <w:r>
              <w:rPr>
                <w:rFonts w:ascii="仿宋_GB2312" w:hAnsi="仿宋_GB2312" w:eastAsia="仿宋_GB2312" w:cs="仿宋_GB2312"/>
              </w:rPr>
              <w:t>不涉及</w:t>
            </w:r>
          </w:p>
        </w:tc>
      </w:tr>
    </w:tbl>
    <w:p w14:paraId="69F43E28">
      <w:pPr>
        <w:pStyle w:val="4"/>
        <w:ind w:firstLine="480"/>
        <w:jc w:val="left"/>
      </w:pPr>
      <w:r>
        <w:rPr>
          <w:rFonts w:ascii="仿宋_GB2312" w:hAnsi="仿宋_GB2312" w:eastAsia="仿宋_GB2312" w:cs="仿宋_GB2312"/>
        </w:rPr>
        <w:t>注：涉及核心产品的，具体评审规定见第五章。</w:t>
      </w:r>
    </w:p>
    <w:p w14:paraId="47B0F77B">
      <w:pPr>
        <w:pStyle w:val="4"/>
        <w:jc w:val="left"/>
        <w:outlineLvl w:val="3"/>
      </w:pPr>
      <w:r>
        <w:rPr>
          <w:rFonts w:ascii="仿宋_GB2312" w:hAnsi="仿宋_GB2312" w:eastAsia="仿宋_GB2312" w:cs="仿宋_GB2312"/>
          <w:b/>
          <w:sz w:val="24"/>
        </w:rPr>
        <w:t>本项目涉及采购进口产品：</w:t>
      </w:r>
    </w:p>
    <w:p w14:paraId="0C104DD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E8BFD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6C9A27">
            <w:pPr>
              <w:pStyle w:val="4"/>
              <w:jc w:val="center"/>
            </w:pPr>
            <w:r>
              <w:rPr>
                <w:rFonts w:ascii="仿宋_GB2312" w:hAnsi="仿宋_GB2312" w:eastAsia="仿宋_GB2312" w:cs="仿宋_GB2312"/>
              </w:rPr>
              <w:t>序号</w:t>
            </w:r>
          </w:p>
        </w:tc>
        <w:tc>
          <w:tcPr>
            <w:tcW w:w="2492" w:type="dxa"/>
          </w:tcPr>
          <w:p w14:paraId="1E8D4506">
            <w:pPr>
              <w:pStyle w:val="4"/>
              <w:jc w:val="center"/>
            </w:pPr>
            <w:r>
              <w:rPr>
                <w:rFonts w:ascii="仿宋_GB2312" w:hAnsi="仿宋_GB2312" w:eastAsia="仿宋_GB2312" w:cs="仿宋_GB2312"/>
              </w:rPr>
              <w:t>采购品目名称</w:t>
            </w:r>
          </w:p>
        </w:tc>
        <w:tc>
          <w:tcPr>
            <w:tcW w:w="2492" w:type="dxa"/>
          </w:tcPr>
          <w:p w14:paraId="3B9DDF9B">
            <w:pPr>
              <w:pStyle w:val="4"/>
              <w:jc w:val="center"/>
            </w:pPr>
            <w:r>
              <w:rPr>
                <w:rFonts w:ascii="仿宋_GB2312" w:hAnsi="仿宋_GB2312" w:eastAsia="仿宋_GB2312" w:cs="仿宋_GB2312"/>
              </w:rPr>
              <w:t>标的名称</w:t>
            </w:r>
          </w:p>
        </w:tc>
        <w:tc>
          <w:tcPr>
            <w:tcW w:w="2492" w:type="dxa"/>
          </w:tcPr>
          <w:p w14:paraId="1A29676C">
            <w:pPr>
              <w:pStyle w:val="4"/>
              <w:jc w:val="center"/>
            </w:pPr>
            <w:r>
              <w:rPr>
                <w:rFonts w:ascii="仿宋_GB2312" w:hAnsi="仿宋_GB2312" w:eastAsia="仿宋_GB2312" w:cs="仿宋_GB2312"/>
              </w:rPr>
              <w:t>产品名称</w:t>
            </w:r>
          </w:p>
        </w:tc>
      </w:tr>
      <w:tr w14:paraId="39DE54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4DD6B91">
            <w:pPr>
              <w:pStyle w:val="4"/>
              <w:jc w:val="center"/>
            </w:pPr>
            <w:r>
              <w:rPr>
                <w:rFonts w:ascii="仿宋_GB2312" w:hAnsi="仿宋_GB2312" w:eastAsia="仿宋_GB2312" w:cs="仿宋_GB2312"/>
              </w:rPr>
              <w:t>不涉及</w:t>
            </w:r>
          </w:p>
        </w:tc>
      </w:tr>
    </w:tbl>
    <w:p w14:paraId="21EE91EC">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20023D43">
      <w:pPr>
        <w:pStyle w:val="4"/>
        <w:jc w:val="left"/>
        <w:outlineLvl w:val="3"/>
      </w:pPr>
      <w:r>
        <w:rPr>
          <w:rFonts w:ascii="仿宋_GB2312" w:hAnsi="仿宋_GB2312" w:eastAsia="仿宋_GB2312" w:cs="仿宋_GB2312"/>
          <w:b/>
          <w:sz w:val="24"/>
        </w:rPr>
        <w:t>本项目涉及强制采购节能产品：</w:t>
      </w:r>
    </w:p>
    <w:p w14:paraId="2C6ECA2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6DAC4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74ED905">
            <w:pPr>
              <w:pStyle w:val="4"/>
              <w:jc w:val="center"/>
            </w:pPr>
            <w:r>
              <w:rPr>
                <w:rFonts w:ascii="仿宋_GB2312" w:hAnsi="仿宋_GB2312" w:eastAsia="仿宋_GB2312" w:cs="仿宋_GB2312"/>
              </w:rPr>
              <w:t>序号</w:t>
            </w:r>
          </w:p>
        </w:tc>
        <w:tc>
          <w:tcPr>
            <w:tcW w:w="2492" w:type="dxa"/>
          </w:tcPr>
          <w:p w14:paraId="49ADC371">
            <w:pPr>
              <w:pStyle w:val="4"/>
              <w:jc w:val="center"/>
            </w:pPr>
            <w:r>
              <w:rPr>
                <w:rFonts w:ascii="仿宋_GB2312" w:hAnsi="仿宋_GB2312" w:eastAsia="仿宋_GB2312" w:cs="仿宋_GB2312"/>
              </w:rPr>
              <w:t>采购品目名称</w:t>
            </w:r>
          </w:p>
        </w:tc>
        <w:tc>
          <w:tcPr>
            <w:tcW w:w="2492" w:type="dxa"/>
          </w:tcPr>
          <w:p w14:paraId="4B50115A">
            <w:pPr>
              <w:pStyle w:val="4"/>
              <w:jc w:val="center"/>
            </w:pPr>
            <w:r>
              <w:rPr>
                <w:rFonts w:ascii="仿宋_GB2312" w:hAnsi="仿宋_GB2312" w:eastAsia="仿宋_GB2312" w:cs="仿宋_GB2312"/>
              </w:rPr>
              <w:t>标的名称</w:t>
            </w:r>
          </w:p>
        </w:tc>
        <w:tc>
          <w:tcPr>
            <w:tcW w:w="2492" w:type="dxa"/>
          </w:tcPr>
          <w:p w14:paraId="45A4C9A6">
            <w:pPr>
              <w:pStyle w:val="4"/>
              <w:jc w:val="center"/>
            </w:pPr>
            <w:r>
              <w:rPr>
                <w:rFonts w:ascii="仿宋_GB2312" w:hAnsi="仿宋_GB2312" w:eastAsia="仿宋_GB2312" w:cs="仿宋_GB2312"/>
              </w:rPr>
              <w:t>产品名称</w:t>
            </w:r>
          </w:p>
        </w:tc>
      </w:tr>
      <w:tr w14:paraId="51C6C3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3DBF5D8">
            <w:pPr>
              <w:pStyle w:val="4"/>
              <w:jc w:val="center"/>
            </w:pPr>
            <w:r>
              <w:rPr>
                <w:rFonts w:ascii="仿宋_GB2312" w:hAnsi="仿宋_GB2312" w:eastAsia="仿宋_GB2312" w:cs="仿宋_GB2312"/>
              </w:rPr>
              <w:t>不涉及</w:t>
            </w:r>
          </w:p>
        </w:tc>
      </w:tr>
    </w:tbl>
    <w:p w14:paraId="12058543">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5A4DBC41">
      <w:pPr>
        <w:pStyle w:val="4"/>
        <w:jc w:val="left"/>
      </w:pPr>
      <w:r>
        <w:rPr>
          <w:rFonts w:ascii="仿宋_GB2312" w:hAnsi="仿宋_GB2312" w:eastAsia="仿宋_GB2312" w:cs="仿宋_GB2312"/>
          <w:b/>
        </w:rPr>
        <w:t>本项目涉及优先采购节能产品：</w:t>
      </w:r>
    </w:p>
    <w:p w14:paraId="4DFCEBF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0431E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57076C">
            <w:pPr>
              <w:pStyle w:val="4"/>
              <w:jc w:val="center"/>
            </w:pPr>
            <w:r>
              <w:rPr>
                <w:rFonts w:ascii="仿宋_GB2312" w:hAnsi="仿宋_GB2312" w:eastAsia="仿宋_GB2312" w:cs="仿宋_GB2312"/>
              </w:rPr>
              <w:t>序号</w:t>
            </w:r>
          </w:p>
        </w:tc>
        <w:tc>
          <w:tcPr>
            <w:tcW w:w="2492" w:type="dxa"/>
          </w:tcPr>
          <w:p w14:paraId="4B1B18DA">
            <w:pPr>
              <w:pStyle w:val="4"/>
              <w:jc w:val="center"/>
            </w:pPr>
            <w:r>
              <w:rPr>
                <w:rFonts w:ascii="仿宋_GB2312" w:hAnsi="仿宋_GB2312" w:eastAsia="仿宋_GB2312" w:cs="仿宋_GB2312"/>
              </w:rPr>
              <w:t>采购品目名称</w:t>
            </w:r>
          </w:p>
        </w:tc>
        <w:tc>
          <w:tcPr>
            <w:tcW w:w="2492" w:type="dxa"/>
          </w:tcPr>
          <w:p w14:paraId="78579330">
            <w:pPr>
              <w:pStyle w:val="4"/>
              <w:jc w:val="center"/>
            </w:pPr>
            <w:r>
              <w:rPr>
                <w:rFonts w:ascii="仿宋_GB2312" w:hAnsi="仿宋_GB2312" w:eastAsia="仿宋_GB2312" w:cs="仿宋_GB2312"/>
              </w:rPr>
              <w:t>标的名称</w:t>
            </w:r>
          </w:p>
        </w:tc>
        <w:tc>
          <w:tcPr>
            <w:tcW w:w="2492" w:type="dxa"/>
          </w:tcPr>
          <w:p w14:paraId="4A2C95DB">
            <w:pPr>
              <w:pStyle w:val="4"/>
              <w:jc w:val="center"/>
            </w:pPr>
            <w:r>
              <w:rPr>
                <w:rFonts w:ascii="仿宋_GB2312" w:hAnsi="仿宋_GB2312" w:eastAsia="仿宋_GB2312" w:cs="仿宋_GB2312"/>
              </w:rPr>
              <w:t>产品名称</w:t>
            </w:r>
          </w:p>
        </w:tc>
      </w:tr>
      <w:tr w14:paraId="4FB8D9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FC04273">
            <w:pPr>
              <w:pStyle w:val="4"/>
              <w:jc w:val="center"/>
            </w:pPr>
            <w:r>
              <w:rPr>
                <w:rFonts w:ascii="仿宋_GB2312" w:hAnsi="仿宋_GB2312" w:eastAsia="仿宋_GB2312" w:cs="仿宋_GB2312"/>
              </w:rPr>
              <w:t>不涉及</w:t>
            </w:r>
          </w:p>
        </w:tc>
      </w:tr>
    </w:tbl>
    <w:p w14:paraId="7401BE6C">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659A3031">
      <w:pPr>
        <w:pStyle w:val="4"/>
        <w:jc w:val="left"/>
        <w:outlineLvl w:val="3"/>
      </w:pPr>
      <w:r>
        <w:rPr>
          <w:rFonts w:ascii="仿宋_GB2312" w:hAnsi="仿宋_GB2312" w:eastAsia="仿宋_GB2312" w:cs="仿宋_GB2312"/>
          <w:b/>
          <w:sz w:val="24"/>
        </w:rPr>
        <w:t>本项目涉及优先采购环境标志产品：</w:t>
      </w:r>
    </w:p>
    <w:p w14:paraId="10118F6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5A50A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C273F7">
            <w:pPr>
              <w:pStyle w:val="4"/>
              <w:jc w:val="center"/>
            </w:pPr>
            <w:r>
              <w:rPr>
                <w:rFonts w:ascii="仿宋_GB2312" w:hAnsi="仿宋_GB2312" w:eastAsia="仿宋_GB2312" w:cs="仿宋_GB2312"/>
              </w:rPr>
              <w:t>序号</w:t>
            </w:r>
          </w:p>
        </w:tc>
        <w:tc>
          <w:tcPr>
            <w:tcW w:w="2492" w:type="dxa"/>
          </w:tcPr>
          <w:p w14:paraId="1A3BFA26">
            <w:pPr>
              <w:pStyle w:val="4"/>
              <w:jc w:val="center"/>
            </w:pPr>
            <w:r>
              <w:rPr>
                <w:rFonts w:ascii="仿宋_GB2312" w:hAnsi="仿宋_GB2312" w:eastAsia="仿宋_GB2312" w:cs="仿宋_GB2312"/>
              </w:rPr>
              <w:t>采购品目名称</w:t>
            </w:r>
          </w:p>
        </w:tc>
        <w:tc>
          <w:tcPr>
            <w:tcW w:w="2492" w:type="dxa"/>
          </w:tcPr>
          <w:p w14:paraId="7AF852E2">
            <w:pPr>
              <w:pStyle w:val="4"/>
              <w:jc w:val="center"/>
            </w:pPr>
            <w:r>
              <w:rPr>
                <w:rFonts w:ascii="仿宋_GB2312" w:hAnsi="仿宋_GB2312" w:eastAsia="仿宋_GB2312" w:cs="仿宋_GB2312"/>
              </w:rPr>
              <w:t>标的名称</w:t>
            </w:r>
          </w:p>
        </w:tc>
        <w:tc>
          <w:tcPr>
            <w:tcW w:w="2492" w:type="dxa"/>
          </w:tcPr>
          <w:p w14:paraId="5043273A">
            <w:pPr>
              <w:pStyle w:val="4"/>
              <w:jc w:val="center"/>
            </w:pPr>
            <w:r>
              <w:rPr>
                <w:rFonts w:ascii="仿宋_GB2312" w:hAnsi="仿宋_GB2312" w:eastAsia="仿宋_GB2312" w:cs="仿宋_GB2312"/>
              </w:rPr>
              <w:t>产品名称</w:t>
            </w:r>
          </w:p>
        </w:tc>
      </w:tr>
      <w:tr w14:paraId="252D22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AA43822">
            <w:pPr>
              <w:pStyle w:val="4"/>
              <w:jc w:val="center"/>
            </w:pPr>
            <w:r>
              <w:rPr>
                <w:rFonts w:ascii="仿宋_GB2312" w:hAnsi="仿宋_GB2312" w:eastAsia="仿宋_GB2312" w:cs="仿宋_GB2312"/>
              </w:rPr>
              <w:t>不涉及</w:t>
            </w:r>
          </w:p>
        </w:tc>
      </w:tr>
    </w:tbl>
    <w:p w14:paraId="567D57C1">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45169C4E">
      <w:pPr>
        <w:pStyle w:val="4"/>
        <w:jc w:val="left"/>
        <w:outlineLvl w:val="2"/>
      </w:pPr>
      <w:r>
        <w:rPr>
          <w:rFonts w:ascii="仿宋_GB2312" w:hAnsi="仿宋_GB2312" w:eastAsia="仿宋_GB2312" w:cs="仿宋_GB2312"/>
          <w:b/>
          <w:sz w:val="28"/>
        </w:rPr>
        <w:t>3.2.技术要求</w:t>
      </w:r>
    </w:p>
    <w:p w14:paraId="67E7F9F4">
      <w:pPr>
        <w:pStyle w:val="4"/>
        <w:jc w:val="left"/>
      </w:pPr>
      <w:r>
        <w:rPr>
          <w:rFonts w:ascii="仿宋_GB2312" w:hAnsi="仿宋_GB2312" w:eastAsia="仿宋_GB2312" w:cs="仿宋_GB2312"/>
        </w:rPr>
        <w:t>采购包1：</w:t>
      </w:r>
    </w:p>
    <w:p w14:paraId="114773F3">
      <w:pPr>
        <w:pStyle w:val="4"/>
        <w:jc w:val="left"/>
      </w:pPr>
      <w:r>
        <w:rPr>
          <w:rFonts w:ascii="仿宋_GB2312" w:hAnsi="仿宋_GB2312" w:eastAsia="仿宋_GB2312" w:cs="仿宋_GB2312"/>
        </w:rPr>
        <w:t>标的名称：食堂烤制面包原材料、牛奶等配送服务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5A34C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DE368C">
            <w:pPr>
              <w:pStyle w:val="4"/>
              <w:jc w:val="center"/>
            </w:pPr>
            <w:r>
              <w:rPr>
                <w:rFonts w:ascii="仿宋_GB2312" w:hAnsi="仿宋_GB2312" w:eastAsia="仿宋_GB2312" w:cs="仿宋_GB2312"/>
              </w:rPr>
              <w:t>序号</w:t>
            </w:r>
          </w:p>
        </w:tc>
        <w:tc>
          <w:tcPr>
            <w:tcW w:w="581" w:type="dxa"/>
          </w:tcPr>
          <w:p w14:paraId="29674F9C">
            <w:pPr>
              <w:pStyle w:val="4"/>
              <w:jc w:val="center"/>
            </w:pPr>
            <w:r>
              <w:rPr>
                <w:rFonts w:ascii="仿宋_GB2312" w:hAnsi="仿宋_GB2312" w:eastAsia="仿宋_GB2312" w:cs="仿宋_GB2312"/>
              </w:rPr>
              <w:t>符号标识</w:t>
            </w:r>
          </w:p>
        </w:tc>
        <w:tc>
          <w:tcPr>
            <w:tcW w:w="1495" w:type="dxa"/>
          </w:tcPr>
          <w:p w14:paraId="39E38A98">
            <w:pPr>
              <w:pStyle w:val="4"/>
              <w:jc w:val="center"/>
            </w:pPr>
            <w:r>
              <w:rPr>
                <w:rFonts w:ascii="仿宋_GB2312" w:hAnsi="仿宋_GB2312" w:eastAsia="仿宋_GB2312" w:cs="仿宋_GB2312"/>
              </w:rPr>
              <w:t>技术要求名称</w:t>
            </w:r>
          </w:p>
        </w:tc>
        <w:tc>
          <w:tcPr>
            <w:tcW w:w="5814" w:type="dxa"/>
          </w:tcPr>
          <w:p w14:paraId="2B936901">
            <w:pPr>
              <w:pStyle w:val="4"/>
              <w:jc w:val="center"/>
            </w:pPr>
            <w:r>
              <w:rPr>
                <w:rFonts w:ascii="仿宋_GB2312" w:hAnsi="仿宋_GB2312" w:eastAsia="仿宋_GB2312" w:cs="仿宋_GB2312"/>
              </w:rPr>
              <w:t>技术参数与性能指标</w:t>
            </w:r>
          </w:p>
        </w:tc>
      </w:tr>
      <w:tr w14:paraId="10591E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B3D93C">
            <w:pPr>
              <w:pStyle w:val="4"/>
              <w:jc w:val="center"/>
            </w:pPr>
            <w:r>
              <w:rPr>
                <w:rFonts w:ascii="仿宋_GB2312" w:hAnsi="仿宋_GB2312" w:eastAsia="仿宋_GB2312" w:cs="仿宋_GB2312"/>
              </w:rPr>
              <w:t>1</w:t>
            </w:r>
          </w:p>
        </w:tc>
        <w:tc>
          <w:tcPr>
            <w:tcW w:w="581" w:type="dxa"/>
          </w:tcPr>
          <w:p w14:paraId="2D720E77">
            <w:pPr>
              <w:pStyle w:val="4"/>
              <w:jc w:val="center"/>
            </w:pPr>
            <w:r>
              <w:rPr>
                <w:rFonts w:ascii="仿宋_GB2312" w:hAnsi="仿宋_GB2312" w:eastAsia="仿宋_GB2312" w:cs="仿宋_GB2312"/>
              </w:rPr>
              <w:t>★</w:t>
            </w:r>
          </w:p>
        </w:tc>
        <w:tc>
          <w:tcPr>
            <w:tcW w:w="1495" w:type="dxa"/>
          </w:tcPr>
          <w:p w14:paraId="0FD3265F">
            <w:pPr>
              <w:pStyle w:val="4"/>
              <w:jc w:val="left"/>
            </w:pPr>
            <w:r>
              <w:rPr>
                <w:rFonts w:ascii="仿宋_GB2312" w:hAnsi="仿宋_GB2312" w:eastAsia="仿宋_GB2312" w:cs="仿宋_GB2312"/>
              </w:rPr>
              <w:t>配送内容</w:t>
            </w:r>
          </w:p>
        </w:tc>
        <w:tc>
          <w:tcPr>
            <w:tcW w:w="5814" w:type="dxa"/>
          </w:tcPr>
          <w:p w14:paraId="0A6CD54A">
            <w:pPr>
              <w:pStyle w:val="4"/>
              <w:jc w:val="both"/>
            </w:pPr>
            <w:r>
              <w:rPr>
                <w:rFonts w:ascii="仿宋_GB2312" w:hAnsi="仿宋_GB2312" w:eastAsia="仿宋_GB2312" w:cs="仿宋_GB2312"/>
                <w:b/>
                <w:sz w:val="24"/>
              </w:rPr>
              <w:t>1.面包食材大类（油脂 / 蛋奶乳制品 / 预拌馅料 / 冷冻半成品 / 肉制品 / 酱料 / 辅料等）；</w:t>
            </w:r>
          </w:p>
          <w:p w14:paraId="132E3336">
            <w:pPr>
              <w:pStyle w:val="4"/>
              <w:jc w:val="both"/>
            </w:pPr>
            <w:r>
              <w:rPr>
                <w:rFonts w:ascii="仿宋_GB2312" w:hAnsi="仿宋_GB2312" w:eastAsia="仿宋_GB2312" w:cs="仿宋_GB2312"/>
                <w:b/>
                <w:sz w:val="24"/>
              </w:rPr>
              <w:t>2.饮品类（盒装纯牛奶（灭菌乳），盒装早餐奶（调制乳），瓶装饮用水等）；</w:t>
            </w:r>
          </w:p>
          <w:p w14:paraId="23425F6B">
            <w:pPr>
              <w:pStyle w:val="4"/>
              <w:jc w:val="both"/>
            </w:pPr>
            <w:r>
              <w:rPr>
                <w:rFonts w:ascii="仿宋_GB2312" w:hAnsi="仿宋_GB2312" w:eastAsia="仿宋_GB2312" w:cs="仿宋_GB2312"/>
                <w:b/>
                <w:sz w:val="24"/>
              </w:rPr>
              <w:t>3.纸巾类（抽取面巾纸，手帕纸，干湿两用纸巾，通用湿巾）</w:t>
            </w:r>
            <w:r>
              <w:rPr>
                <w:rFonts w:ascii="仿宋_GB2312" w:hAnsi="仿宋_GB2312" w:eastAsia="仿宋_GB2312" w:cs="仿宋_GB2312"/>
                <w:sz w:val="24"/>
              </w:rPr>
              <w:t>。</w:t>
            </w:r>
          </w:p>
        </w:tc>
      </w:tr>
      <w:tr w14:paraId="102ECD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DF0AB7">
            <w:pPr>
              <w:pStyle w:val="4"/>
              <w:jc w:val="center"/>
            </w:pPr>
            <w:r>
              <w:rPr>
                <w:rFonts w:ascii="仿宋_GB2312" w:hAnsi="仿宋_GB2312" w:eastAsia="仿宋_GB2312" w:cs="仿宋_GB2312"/>
              </w:rPr>
              <w:t>2</w:t>
            </w:r>
          </w:p>
        </w:tc>
        <w:tc>
          <w:tcPr>
            <w:tcW w:w="581" w:type="dxa"/>
          </w:tcPr>
          <w:p w14:paraId="5671D802">
            <w:pPr>
              <w:pStyle w:val="4"/>
              <w:jc w:val="center"/>
            </w:pPr>
            <w:r>
              <w:rPr>
                <w:rFonts w:ascii="仿宋_GB2312" w:hAnsi="仿宋_GB2312" w:eastAsia="仿宋_GB2312" w:cs="仿宋_GB2312"/>
              </w:rPr>
              <w:t>★</w:t>
            </w:r>
          </w:p>
        </w:tc>
        <w:tc>
          <w:tcPr>
            <w:tcW w:w="1495" w:type="dxa"/>
          </w:tcPr>
          <w:p w14:paraId="0239F7CB">
            <w:pPr>
              <w:pStyle w:val="4"/>
              <w:jc w:val="left"/>
            </w:pPr>
            <w:r>
              <w:rPr>
                <w:rFonts w:ascii="仿宋_GB2312" w:hAnsi="仿宋_GB2312" w:eastAsia="仿宋_GB2312" w:cs="仿宋_GB2312"/>
              </w:rPr>
              <w:t>配送质量要求</w:t>
            </w:r>
          </w:p>
        </w:tc>
        <w:tc>
          <w:tcPr>
            <w:tcW w:w="5814" w:type="dxa"/>
          </w:tcPr>
          <w:p w14:paraId="31F15871">
            <w:pPr>
              <w:pStyle w:val="4"/>
              <w:ind w:firstLine="562"/>
              <w:jc w:val="both"/>
            </w:pPr>
            <w:r>
              <w:rPr>
                <w:rFonts w:ascii="仿宋_GB2312" w:hAnsi="仿宋_GB2312" w:eastAsia="仿宋_GB2312" w:cs="仿宋_GB2312"/>
                <w:b/>
                <w:sz w:val="24"/>
              </w:rPr>
              <w:t>一、配送质量</w:t>
            </w:r>
          </w:p>
          <w:p w14:paraId="08135C06">
            <w:pPr>
              <w:pStyle w:val="4"/>
              <w:ind w:firstLine="562"/>
              <w:jc w:val="both"/>
            </w:pPr>
            <w:r>
              <w:rPr>
                <w:rFonts w:ascii="仿宋_GB2312" w:hAnsi="仿宋_GB2312" w:eastAsia="仿宋_GB2312" w:cs="仿宋_GB2312"/>
                <w:b/>
                <w:sz w:val="24"/>
              </w:rPr>
              <w:t>（一）整体要求：</w:t>
            </w:r>
          </w:p>
          <w:p w14:paraId="1AA8957A">
            <w:pPr>
              <w:pStyle w:val="4"/>
              <w:ind w:firstLine="560"/>
              <w:jc w:val="both"/>
            </w:pPr>
            <w:r>
              <w:rPr>
                <w:rFonts w:ascii="仿宋_GB2312" w:hAnsi="仿宋_GB2312" w:eastAsia="仿宋_GB2312" w:cs="仿宋_GB2312"/>
                <w:sz w:val="24"/>
              </w:rPr>
              <w:t>1.产品必须符合国家相关标准和强制性规定要求，为质量合格产品。</w:t>
            </w:r>
          </w:p>
          <w:p w14:paraId="44812554">
            <w:pPr>
              <w:pStyle w:val="4"/>
              <w:ind w:firstLine="560"/>
              <w:jc w:val="both"/>
            </w:pPr>
            <w:r>
              <w:rPr>
                <w:rFonts w:ascii="仿宋_GB2312" w:hAnsi="仿宋_GB2312" w:eastAsia="仿宋_GB2312" w:cs="仿宋_GB2312"/>
                <w:sz w:val="24"/>
              </w:rPr>
              <w:t>2.产品的食品安全指标应符合相应食品安全国家标准的规定。标签明示信息、标签标识应符合GB 7718-2011、GB 28050-2011等要求。</w:t>
            </w:r>
          </w:p>
          <w:p w14:paraId="5DAB6AC8">
            <w:pPr>
              <w:pStyle w:val="4"/>
              <w:ind w:firstLine="560"/>
              <w:jc w:val="both"/>
            </w:pPr>
            <w:r>
              <w:rPr>
                <w:rFonts w:ascii="仿宋_GB2312" w:hAnsi="仿宋_GB2312" w:eastAsia="仿宋_GB2312" w:cs="仿宋_GB2312"/>
                <w:sz w:val="24"/>
              </w:rPr>
              <w:t>3.如国家制定新的食品安全标准，即按新标准执行。</w:t>
            </w:r>
          </w:p>
          <w:p w14:paraId="10BCA83F">
            <w:pPr>
              <w:pStyle w:val="4"/>
              <w:ind w:firstLine="560"/>
              <w:jc w:val="both"/>
            </w:pPr>
            <w:r>
              <w:rPr>
                <w:rFonts w:ascii="仿宋_GB2312" w:hAnsi="仿宋_GB2312" w:eastAsia="仿宋_GB2312" w:cs="仿宋_GB2312"/>
                <w:sz w:val="24"/>
              </w:rPr>
              <w:t>4.所有涉及具有国家标识、有质保期要求的食品，配送时产品保质期到期截止时间应大于保质期在三分之二的时间。</w:t>
            </w:r>
          </w:p>
          <w:p w14:paraId="7457F1E9">
            <w:pPr>
              <w:pStyle w:val="4"/>
              <w:ind w:firstLine="560"/>
              <w:jc w:val="both"/>
            </w:pPr>
            <w:r>
              <w:rPr>
                <w:rFonts w:ascii="仿宋_GB2312" w:hAnsi="仿宋_GB2312" w:eastAsia="仿宋_GB2312" w:cs="仿宋_GB2312"/>
                <w:sz w:val="24"/>
              </w:rPr>
              <w:t>5.供应商在配送时按要求提供产品所涉及的《食品生产许可证》、不得提供转基因食品或利用转基因食品原料加工的成品，供应商所供产品达到相关食品卫生安全规定，如国家有出台新的更高标准的，以新的更高标准为准，保证所供产品配送到采购人时的质量、卫生和安全。（提供承诺函，格式自拟。）</w:t>
            </w:r>
          </w:p>
          <w:p w14:paraId="169AC037">
            <w:pPr>
              <w:pStyle w:val="4"/>
              <w:ind w:firstLine="560"/>
              <w:jc w:val="both"/>
            </w:pPr>
            <w:r>
              <w:rPr>
                <w:rFonts w:ascii="仿宋_GB2312" w:hAnsi="仿宋_GB2312" w:eastAsia="仿宋_GB2312" w:cs="仿宋_GB2312"/>
                <w:sz w:val="24"/>
              </w:rPr>
              <w:t>6.包装要求：符合国家最新标准及《商品包装政府采购需求标准(试行)》、《快递包装政府采购需求标准(试行)》(财办库〔2020〕123号)及招标文件的相关要求。包装标识清楚，印有SC标记、生产日期、保质期、生产厂家、电话。</w:t>
            </w:r>
          </w:p>
          <w:p w14:paraId="2AC69004">
            <w:pPr>
              <w:pStyle w:val="4"/>
              <w:ind w:firstLine="560"/>
              <w:jc w:val="both"/>
            </w:pPr>
            <w:r>
              <w:rPr>
                <w:rFonts w:ascii="仿宋_GB2312" w:hAnsi="仿宋_GB2312" w:eastAsia="仿宋_GB2312" w:cs="仿宋_GB2312"/>
                <w:b/>
                <w:sz w:val="24"/>
              </w:rPr>
              <w:t>（二）具体质量标准：</w:t>
            </w:r>
          </w:p>
          <w:p w14:paraId="65293B17">
            <w:pPr>
              <w:pStyle w:val="4"/>
              <w:ind w:firstLine="560"/>
              <w:jc w:val="both"/>
            </w:pPr>
            <w:r>
              <w:rPr>
                <w:rFonts w:ascii="仿宋_GB2312" w:hAnsi="仿宋_GB2312" w:eastAsia="仿宋_GB2312" w:cs="仿宋_GB2312"/>
                <w:b/>
                <w:sz w:val="24"/>
              </w:rPr>
              <w:t>1.油脂类（烘焙油、夹心油、起酥油、黄奶油、液态酥油等）</w:t>
            </w:r>
          </w:p>
          <w:p w14:paraId="64237DC0">
            <w:pPr>
              <w:pStyle w:val="4"/>
              <w:ind w:firstLine="560"/>
              <w:jc w:val="both"/>
            </w:pPr>
            <w:r>
              <w:rPr>
                <w:rFonts w:ascii="仿宋_GB2312" w:hAnsi="仿宋_GB2312" w:eastAsia="仿宋_GB2312" w:cs="仿宋_GB2312"/>
                <w:sz w:val="24"/>
              </w:rPr>
              <w:t>符合 GB 15196-2015；原料油脂符合 GB 2716-2018；熔点适配烘焙，油脂质地均匀细腻，无结块、无沉淀、无肉眼可见杂质，无哈喇味、酸败等异味；常温保质期≥12个月。片状起酥油需满足面包糕点制作的延展性、起酥分层无渗油、结块、断层现象。</w:t>
            </w:r>
          </w:p>
          <w:p w14:paraId="04FF0F6B">
            <w:pPr>
              <w:pStyle w:val="4"/>
              <w:ind w:firstLine="560"/>
              <w:jc w:val="both"/>
            </w:pPr>
            <w:r>
              <w:rPr>
                <w:rFonts w:ascii="仿宋_GB2312" w:hAnsi="仿宋_GB2312" w:eastAsia="仿宋_GB2312" w:cs="仿宋_GB2312"/>
                <w:b/>
                <w:sz w:val="24"/>
              </w:rPr>
              <w:t>2.蛋奶及乳制品</w:t>
            </w:r>
          </w:p>
          <w:p w14:paraId="30D6A567">
            <w:pPr>
              <w:pStyle w:val="4"/>
              <w:ind w:firstLine="560"/>
              <w:jc w:val="both"/>
            </w:pPr>
            <w:r>
              <w:rPr>
                <w:rFonts w:ascii="仿宋_GB2312" w:hAnsi="仿宋_GB2312" w:eastAsia="仿宋_GB2312" w:cs="仿宋_GB2312"/>
                <w:sz w:val="24"/>
              </w:rPr>
              <w:t>（1）稀奶油：符合GB 19646-2010，冷链 0-4℃储运；</w:t>
            </w:r>
          </w:p>
          <w:p w14:paraId="4FD086F6">
            <w:pPr>
              <w:pStyle w:val="4"/>
              <w:ind w:firstLine="560"/>
              <w:jc w:val="both"/>
            </w:pPr>
            <w:r>
              <w:rPr>
                <w:rFonts w:ascii="仿宋_GB2312" w:hAnsi="仿宋_GB2312" w:eastAsia="仿宋_GB2312" w:cs="仿宋_GB2312"/>
                <w:sz w:val="24"/>
              </w:rPr>
              <w:t>（2）再制干酪片：符合GB 25192-2022，，单片独立不粘连，0-4℃冷藏；</w:t>
            </w:r>
          </w:p>
          <w:p w14:paraId="7168F16A">
            <w:pPr>
              <w:pStyle w:val="4"/>
              <w:ind w:firstLine="560"/>
              <w:jc w:val="both"/>
            </w:pPr>
            <w:r>
              <w:rPr>
                <w:rFonts w:ascii="仿宋_GB2312" w:hAnsi="仿宋_GB2312" w:eastAsia="仿宋_GB2312" w:cs="仿宋_GB2312"/>
                <w:sz w:val="24"/>
              </w:rPr>
              <w:t>（3）马苏里拉芝士碎：符合GB 5420-2021，，冷冻≤-18℃，烤制拉丝均匀；</w:t>
            </w:r>
          </w:p>
          <w:p w14:paraId="3F4F929F">
            <w:pPr>
              <w:pStyle w:val="4"/>
              <w:ind w:firstLine="560"/>
              <w:jc w:val="both"/>
            </w:pPr>
            <w:r>
              <w:rPr>
                <w:rFonts w:ascii="仿宋_GB2312" w:hAnsi="仿宋_GB2312" w:eastAsia="仿宋_GB2312" w:cs="仿宋_GB2312"/>
                <w:sz w:val="24"/>
              </w:rPr>
              <w:t>（4）全脂奶粉：符合GB 19644-2010；</w:t>
            </w:r>
          </w:p>
          <w:p w14:paraId="5BBAB212">
            <w:pPr>
              <w:pStyle w:val="4"/>
              <w:ind w:firstLine="560"/>
              <w:jc w:val="both"/>
            </w:pPr>
            <w:r>
              <w:rPr>
                <w:rFonts w:ascii="仿宋_GB2312" w:hAnsi="仿宋_GB2312" w:eastAsia="仿宋_GB2312" w:cs="仿宋_GB2312"/>
                <w:sz w:val="24"/>
              </w:rPr>
              <w:t>（5）纯牛奶（全脂 / 部分脱脂）：符合GB 25190-2010，100% 生牛乳无复原乳，无额外添加剂，冷链 0-4℃；</w:t>
            </w:r>
          </w:p>
          <w:p w14:paraId="218C3E2B">
            <w:pPr>
              <w:pStyle w:val="4"/>
              <w:ind w:firstLine="560"/>
              <w:jc w:val="both"/>
            </w:pPr>
            <w:r>
              <w:rPr>
                <w:rFonts w:ascii="仿宋_GB2312" w:hAnsi="仿宋_GB2312" w:eastAsia="仿宋_GB2312" w:cs="仿宋_GB2312"/>
                <w:sz w:val="24"/>
              </w:rPr>
              <w:t>（6）炼乳：符合GB 25190-2010，乳香纯正无沉淀。</w:t>
            </w:r>
          </w:p>
          <w:p w14:paraId="1034EC13">
            <w:pPr>
              <w:pStyle w:val="4"/>
              <w:ind w:firstLine="560"/>
              <w:jc w:val="both"/>
            </w:pPr>
            <w:r>
              <w:rPr>
                <w:rFonts w:ascii="仿宋_GB2312" w:hAnsi="仿宋_GB2312" w:eastAsia="仿宋_GB2312" w:cs="仿宋_GB2312"/>
                <w:b/>
                <w:sz w:val="24"/>
              </w:rPr>
              <w:t>3.烘焙预拌粉、馅料、果馅</w:t>
            </w:r>
          </w:p>
          <w:p w14:paraId="39FD374D">
            <w:pPr>
              <w:pStyle w:val="4"/>
              <w:ind w:firstLine="560"/>
              <w:jc w:val="both"/>
            </w:pPr>
            <w:r>
              <w:rPr>
                <w:rFonts w:ascii="仿宋_GB2312" w:hAnsi="仿宋_GB2312" w:eastAsia="仿宋_GB2312" w:cs="仿宋_GB2312"/>
                <w:sz w:val="24"/>
              </w:rPr>
              <w:t>（1）蛋糕 / 卡仕达 / 全麦 / 拉丝 / 小贝预拌粉：符合GB 7099-2015，粉质细腻无结块；</w:t>
            </w:r>
          </w:p>
          <w:p w14:paraId="7D71EF05">
            <w:pPr>
              <w:pStyle w:val="4"/>
              <w:ind w:firstLine="560"/>
              <w:jc w:val="both"/>
            </w:pPr>
            <w:r>
              <w:rPr>
                <w:rFonts w:ascii="仿宋_GB2312" w:hAnsi="仿宋_GB2312" w:eastAsia="仿宋_GB2312" w:cs="仿宋_GB2312"/>
                <w:sz w:val="24"/>
              </w:rPr>
              <w:t>（2）奶油夹心、酸奶、巧克力、榴莲、开心果、乳酸菌酱等夹心馅：质地顺滑风味纯正；</w:t>
            </w:r>
          </w:p>
          <w:p w14:paraId="4FE87DA6">
            <w:pPr>
              <w:pStyle w:val="4"/>
              <w:ind w:firstLine="560"/>
              <w:jc w:val="both"/>
            </w:pPr>
            <w:r>
              <w:rPr>
                <w:rFonts w:ascii="仿宋_GB2312" w:hAnsi="仿宋_GB2312" w:eastAsia="仿宋_GB2312" w:cs="仿宋_GB2312"/>
                <w:sz w:val="24"/>
              </w:rPr>
              <w:t>（3）豆沙、糖渍红豆、蓝莓 / 菠萝 / 草莓 / 芒果 / 蜂蜜柚子果馅：符合GB/T 21270-2025，果肉充盈、颗粒均匀；常温馅料保质期≥6~12 个月。</w:t>
            </w:r>
          </w:p>
          <w:p w14:paraId="793A3166">
            <w:pPr>
              <w:pStyle w:val="4"/>
              <w:ind w:firstLine="560"/>
              <w:jc w:val="both"/>
            </w:pPr>
            <w:r>
              <w:rPr>
                <w:rFonts w:ascii="仿宋_GB2312" w:hAnsi="仿宋_GB2312" w:eastAsia="仿宋_GB2312" w:cs="仿宋_GB2312"/>
                <w:b/>
                <w:sz w:val="24"/>
              </w:rPr>
              <w:t>4.烘焙辅料</w:t>
            </w:r>
          </w:p>
          <w:p w14:paraId="69460DE8">
            <w:pPr>
              <w:pStyle w:val="4"/>
              <w:ind w:firstLine="560"/>
              <w:jc w:val="both"/>
            </w:pPr>
            <w:r>
              <w:rPr>
                <w:rFonts w:ascii="仿宋_GB2312" w:hAnsi="仿宋_GB2312" w:eastAsia="仿宋_GB2312" w:cs="仿宋_GB2312"/>
                <w:sz w:val="24"/>
              </w:rPr>
              <w:t>饼干碎 符合GB 7100-2015；芝麻 符合GB/T 11761-2021；椰蓉、葡萄干、干珠葱、可可粉合规无霉变杂质。</w:t>
            </w:r>
          </w:p>
          <w:p w14:paraId="28FF89CB">
            <w:pPr>
              <w:pStyle w:val="4"/>
              <w:ind w:firstLine="560"/>
              <w:jc w:val="both"/>
            </w:pPr>
            <w:r>
              <w:rPr>
                <w:rFonts w:ascii="仿宋_GB2312" w:hAnsi="仿宋_GB2312" w:eastAsia="仿宋_GB2312" w:cs="仿宋_GB2312"/>
                <w:b/>
                <w:sz w:val="24"/>
              </w:rPr>
              <w:t>5.冷冻烘焙半成品（牛角包、蛋挞皮、吐司、欧包、冷冻甜面团、汉堡胚等）</w:t>
            </w:r>
          </w:p>
          <w:p w14:paraId="712D2256">
            <w:pPr>
              <w:pStyle w:val="4"/>
              <w:ind w:firstLine="560"/>
              <w:jc w:val="both"/>
            </w:pPr>
            <w:r>
              <w:rPr>
                <w:rFonts w:ascii="仿宋_GB2312" w:hAnsi="仿宋_GB2312" w:eastAsia="仿宋_GB2312" w:cs="仿宋_GB2312"/>
                <w:sz w:val="24"/>
              </w:rPr>
              <w:t>冷冻面团类符合GB 19295-2021；成品面包 符合GB 7099-2015；冷冻储存≤-18℃，无冰晶龟裂，层次分明、无异味；冷冻保质期≥12 个月，常温成品 5~30 天。</w:t>
            </w:r>
          </w:p>
          <w:p w14:paraId="6C2972BE">
            <w:pPr>
              <w:pStyle w:val="4"/>
              <w:ind w:firstLine="560"/>
              <w:jc w:val="both"/>
            </w:pPr>
            <w:r>
              <w:rPr>
                <w:rFonts w:ascii="仿宋_GB2312" w:hAnsi="仿宋_GB2312" w:eastAsia="仿宋_GB2312" w:cs="仿宋_GB2312"/>
                <w:b/>
                <w:sz w:val="24"/>
              </w:rPr>
              <w:t>6.冷冻肉制品（鸡排、鸡扒、培根、爆汁肠、德式肠、猪排、奶酪条）</w:t>
            </w:r>
          </w:p>
          <w:p w14:paraId="02B7F39B">
            <w:pPr>
              <w:pStyle w:val="4"/>
              <w:ind w:firstLine="560"/>
              <w:jc w:val="both"/>
            </w:pPr>
            <w:r>
              <w:rPr>
                <w:rFonts w:ascii="仿宋_GB2312" w:hAnsi="仿宋_GB2312" w:eastAsia="仿宋_GB2312" w:cs="仿宋_GB2312"/>
                <w:sz w:val="24"/>
              </w:rPr>
              <w:t>调理肉制品符合SB/T 10379-2012；生鲜原料符合 GB 16869-2005；冷冻≤-18℃，货品冻形规整，内部无大量游离冰晶、无反复解冻复冻痕迹，无风干发白、脱水变质现象。</w:t>
            </w:r>
          </w:p>
          <w:p w14:paraId="28732365">
            <w:pPr>
              <w:pStyle w:val="4"/>
              <w:ind w:firstLine="560"/>
              <w:jc w:val="both"/>
            </w:pPr>
            <w:r>
              <w:rPr>
                <w:rFonts w:ascii="仿宋_GB2312" w:hAnsi="仿宋_GB2312" w:eastAsia="仿宋_GB2312" w:cs="仿宋_GB2312"/>
                <w:b/>
                <w:sz w:val="24"/>
              </w:rPr>
              <w:t>7.调味酱料（沙拉酱、番茄沙司、蜂蜜芥末、岩烧芝士、土豆沙拉酱）</w:t>
            </w:r>
          </w:p>
          <w:p w14:paraId="391BFF61">
            <w:pPr>
              <w:pStyle w:val="4"/>
              <w:ind w:firstLine="560"/>
              <w:jc w:val="both"/>
            </w:pPr>
            <w:r>
              <w:rPr>
                <w:rFonts w:ascii="仿宋_GB2312" w:hAnsi="仿宋_GB2312" w:eastAsia="仿宋_GB2312" w:cs="仿宋_GB2312"/>
                <w:sz w:val="24"/>
              </w:rPr>
              <w:t>沙拉类符合SB/T 10453；番茄沙司符合SB/T 10459；质地均匀细腻，无结块、无分层、无析水析油现象；口感顺滑醇厚，无肉眼可见外来杂质。</w:t>
            </w:r>
          </w:p>
          <w:p w14:paraId="2AE7EBEF">
            <w:pPr>
              <w:pStyle w:val="4"/>
              <w:ind w:firstLine="560"/>
              <w:jc w:val="both"/>
            </w:pPr>
            <w:r>
              <w:rPr>
                <w:rFonts w:ascii="仿宋_GB2312" w:hAnsi="仿宋_GB2312" w:eastAsia="仿宋_GB2312" w:cs="仿宋_GB2312"/>
                <w:b/>
                <w:sz w:val="24"/>
              </w:rPr>
              <w:t>8.肉松辅料（辣味、海苔、咸蛋黄/草莓/可可肉酥）</w:t>
            </w:r>
          </w:p>
          <w:p w14:paraId="72E3C77B">
            <w:pPr>
              <w:pStyle w:val="4"/>
              <w:ind w:firstLine="560"/>
              <w:jc w:val="both"/>
            </w:pPr>
            <w:r>
              <w:rPr>
                <w:rFonts w:ascii="仿宋_GB2312" w:hAnsi="仿宋_GB2312" w:eastAsia="仿宋_GB2312" w:cs="仿宋_GB2312"/>
                <w:sz w:val="24"/>
              </w:rPr>
              <w:t>符合GB/T 23968-2022，肉质原料符合GB 2707-2016，成品蓬松干燥、纤维舒展分明，不板结、不结块、无硬渣硬块；无哈喇味、酸败味、霉味等异味。</w:t>
            </w:r>
          </w:p>
          <w:p w14:paraId="613FD41B">
            <w:pPr>
              <w:pStyle w:val="4"/>
              <w:ind w:firstLine="560"/>
              <w:jc w:val="both"/>
            </w:pPr>
            <w:r>
              <w:rPr>
                <w:rFonts w:ascii="仿宋_GB2312" w:hAnsi="仿宋_GB2312" w:eastAsia="仿宋_GB2312" w:cs="仿宋_GB2312"/>
                <w:b/>
                <w:sz w:val="24"/>
              </w:rPr>
              <w:t>9.其他烘焙添加</w:t>
            </w:r>
          </w:p>
          <w:p w14:paraId="321B1D56">
            <w:pPr>
              <w:pStyle w:val="4"/>
              <w:ind w:firstLine="560"/>
              <w:jc w:val="both"/>
            </w:pPr>
            <w:r>
              <w:rPr>
                <w:rFonts w:ascii="仿宋_GB2312" w:hAnsi="仿宋_GB2312" w:eastAsia="仿宋_GB2312" w:cs="仿宋_GB2312"/>
                <w:sz w:val="24"/>
              </w:rPr>
              <w:t>脱模油、植物蛋白液、可可粉，合规原料，常温保质期≥24 个月</w:t>
            </w:r>
          </w:p>
          <w:p w14:paraId="7060021D">
            <w:pPr>
              <w:pStyle w:val="4"/>
              <w:ind w:firstLine="560"/>
              <w:jc w:val="both"/>
            </w:pPr>
            <w:r>
              <w:rPr>
                <w:rFonts w:ascii="仿宋_GB2312" w:hAnsi="仿宋_GB2312" w:eastAsia="仿宋_GB2312" w:cs="仿宋_GB2312"/>
                <w:b/>
                <w:sz w:val="24"/>
              </w:rPr>
              <w:t>10.饮品类</w:t>
            </w:r>
          </w:p>
          <w:p w14:paraId="726A79DD">
            <w:pPr>
              <w:pStyle w:val="4"/>
              <w:ind w:firstLine="560"/>
              <w:jc w:val="both"/>
            </w:pPr>
            <w:r>
              <w:rPr>
                <w:rFonts w:ascii="仿宋_GB2312" w:hAnsi="仿宋_GB2312" w:eastAsia="仿宋_GB2312" w:cs="仿宋_GB2312"/>
                <w:b/>
                <w:sz w:val="24"/>
              </w:rPr>
              <w:t>（1）盒装纯牛奶（灭菌乳）</w:t>
            </w:r>
          </w:p>
          <w:p w14:paraId="2001BF0F">
            <w:pPr>
              <w:pStyle w:val="4"/>
              <w:ind w:firstLine="560"/>
              <w:jc w:val="both"/>
            </w:pPr>
            <w:r>
              <w:rPr>
                <w:rFonts w:ascii="仿宋_GB2312" w:hAnsi="仿宋_GB2312" w:eastAsia="仿宋_GB2312" w:cs="仿宋_GB2312"/>
                <w:sz w:val="24"/>
              </w:rPr>
              <w:t>符合GB 25190-2010；常温保质期≥6 个月，交货剩余保质期≥2/3，无菌纸盒包装，附检测报告。</w:t>
            </w:r>
          </w:p>
          <w:p w14:paraId="1C82B324">
            <w:pPr>
              <w:pStyle w:val="4"/>
              <w:ind w:firstLine="560"/>
              <w:jc w:val="both"/>
            </w:pPr>
            <w:r>
              <w:rPr>
                <w:rFonts w:ascii="仿宋_GB2312" w:hAnsi="仿宋_GB2312" w:eastAsia="仿宋_GB2312" w:cs="仿宋_GB2312"/>
                <w:b/>
                <w:sz w:val="24"/>
              </w:rPr>
              <w:t>（2）盒装早餐奶（调制乳）</w:t>
            </w:r>
          </w:p>
          <w:p w14:paraId="5852BB57">
            <w:pPr>
              <w:pStyle w:val="4"/>
              <w:ind w:firstLine="560"/>
              <w:jc w:val="both"/>
            </w:pPr>
            <w:r>
              <w:rPr>
                <w:rFonts w:ascii="仿宋_GB2312" w:hAnsi="仿宋_GB2312" w:eastAsia="仿宋_GB2312" w:cs="仿宋_GB2312"/>
                <w:sz w:val="24"/>
              </w:rPr>
              <w:t>符合GB 25191-2010；其余要求同纯牛奶。</w:t>
            </w:r>
          </w:p>
          <w:p w14:paraId="254F9D3C">
            <w:pPr>
              <w:pStyle w:val="4"/>
              <w:ind w:firstLine="560"/>
              <w:jc w:val="both"/>
            </w:pPr>
            <w:r>
              <w:rPr>
                <w:rFonts w:ascii="仿宋_GB2312" w:hAnsi="仿宋_GB2312" w:eastAsia="仿宋_GB2312" w:cs="仿宋_GB2312"/>
                <w:b/>
                <w:sz w:val="24"/>
              </w:rPr>
              <w:t>（3）瓶装饮用水</w:t>
            </w:r>
          </w:p>
          <w:p w14:paraId="11B69176">
            <w:pPr>
              <w:pStyle w:val="4"/>
              <w:ind w:firstLine="560"/>
              <w:jc w:val="both"/>
            </w:pPr>
            <w:r>
              <w:rPr>
                <w:rFonts w:ascii="仿宋_GB2312" w:hAnsi="仿宋_GB2312" w:eastAsia="仿宋_GB2312" w:cs="仿宋_GB2312"/>
                <w:sz w:val="24"/>
              </w:rPr>
              <w:t>PET 瓶装，纯净水符合GB 19298-2014，天然水符合GB 8537；常温保质期≥12 个月，附检测报告。</w:t>
            </w:r>
          </w:p>
          <w:p w14:paraId="08874914">
            <w:pPr>
              <w:pStyle w:val="4"/>
              <w:ind w:firstLine="560"/>
              <w:jc w:val="both"/>
            </w:pPr>
            <w:r>
              <w:rPr>
                <w:rFonts w:ascii="仿宋_GB2312" w:hAnsi="仿宋_GB2312" w:eastAsia="仿宋_GB2312" w:cs="仿宋_GB2312"/>
                <w:b/>
                <w:sz w:val="24"/>
              </w:rPr>
              <w:t>11.纸巾类</w:t>
            </w:r>
          </w:p>
          <w:p w14:paraId="76797635">
            <w:pPr>
              <w:pStyle w:val="4"/>
              <w:ind w:firstLine="560"/>
              <w:jc w:val="both"/>
            </w:pPr>
            <w:r>
              <w:rPr>
                <w:rFonts w:ascii="仿宋_GB2312" w:hAnsi="仿宋_GB2312" w:eastAsia="仿宋_GB2312" w:cs="仿宋_GB2312"/>
                <w:b/>
                <w:sz w:val="24"/>
              </w:rPr>
              <w:t>（1）抽取面巾纸</w:t>
            </w:r>
          </w:p>
          <w:p w14:paraId="069F3195">
            <w:pPr>
              <w:pStyle w:val="4"/>
              <w:ind w:firstLine="560"/>
              <w:jc w:val="both"/>
            </w:pPr>
            <w:r>
              <w:rPr>
                <w:rFonts w:ascii="仿宋_GB2312" w:hAnsi="仿宋_GB2312" w:eastAsia="仿宋_GB2312" w:cs="仿宋_GB2312"/>
                <w:sz w:val="24"/>
              </w:rPr>
              <w:t>100% 原生木浆，3 层≥120 抽，尺寸≥150×170mm；符合GB/T 20808-2022、卫生符合GB 15979-2024；保质期≥24个月。</w:t>
            </w:r>
          </w:p>
          <w:p w14:paraId="2B1533AC">
            <w:pPr>
              <w:pStyle w:val="4"/>
              <w:ind w:firstLine="560"/>
              <w:jc w:val="both"/>
            </w:pPr>
            <w:r>
              <w:rPr>
                <w:rFonts w:ascii="仿宋_GB2312" w:hAnsi="仿宋_GB2312" w:eastAsia="仿宋_GB2312" w:cs="仿宋_GB2312"/>
                <w:b/>
                <w:sz w:val="24"/>
              </w:rPr>
              <w:t>（2）手帕纸</w:t>
            </w:r>
          </w:p>
          <w:p w14:paraId="63AE135A">
            <w:pPr>
              <w:pStyle w:val="4"/>
              <w:ind w:firstLine="560"/>
              <w:jc w:val="both"/>
            </w:pPr>
            <w:r>
              <w:rPr>
                <w:rFonts w:ascii="仿宋_GB2312" w:hAnsi="仿宋_GB2312" w:eastAsia="仿宋_GB2312" w:cs="仿宋_GB2312"/>
                <w:sz w:val="24"/>
              </w:rPr>
              <w:t>原生木浆，3/4 层≥10 片，单张≥200×200mm；执行标准、卫生要求、保质期同上。</w:t>
            </w:r>
          </w:p>
          <w:p w14:paraId="094CA6F2">
            <w:pPr>
              <w:pStyle w:val="4"/>
              <w:ind w:firstLine="560"/>
              <w:jc w:val="both"/>
            </w:pPr>
            <w:r>
              <w:rPr>
                <w:rFonts w:ascii="仿宋_GB2312" w:hAnsi="仿宋_GB2312" w:eastAsia="仿宋_GB2312" w:cs="仿宋_GB2312"/>
                <w:b/>
                <w:sz w:val="24"/>
              </w:rPr>
              <w:t>（3）干湿两用纸巾</w:t>
            </w:r>
          </w:p>
          <w:p w14:paraId="0E38DAF1">
            <w:pPr>
              <w:pStyle w:val="4"/>
              <w:ind w:firstLine="560"/>
              <w:jc w:val="both"/>
            </w:pPr>
            <w:r>
              <w:rPr>
                <w:rFonts w:ascii="仿宋_GB2312" w:hAnsi="仿宋_GB2312" w:eastAsia="仿宋_GB2312" w:cs="仿宋_GB2312"/>
                <w:sz w:val="24"/>
              </w:rPr>
              <w:t>原生木浆 3 层，尺寸≥195×155mm；符合QB/T 5997-2024，卫生符合GB 15979-2024。</w:t>
            </w:r>
          </w:p>
          <w:p w14:paraId="79B71172">
            <w:pPr>
              <w:pStyle w:val="4"/>
              <w:ind w:firstLine="560"/>
              <w:jc w:val="both"/>
            </w:pPr>
            <w:r>
              <w:rPr>
                <w:rFonts w:ascii="仿宋_GB2312" w:hAnsi="仿宋_GB2312" w:eastAsia="仿宋_GB2312" w:cs="仿宋_GB2312"/>
                <w:b/>
                <w:sz w:val="24"/>
              </w:rPr>
              <w:t>（4）通用湿巾</w:t>
            </w:r>
          </w:p>
          <w:p w14:paraId="64ECD852">
            <w:pPr>
              <w:pStyle w:val="4"/>
              <w:ind w:firstLine="560"/>
              <w:jc w:val="both"/>
            </w:pPr>
            <w:r>
              <w:rPr>
                <w:rFonts w:ascii="仿宋_GB2312" w:hAnsi="仿宋_GB2312" w:eastAsia="仿宋_GB2312" w:cs="仿宋_GB2312"/>
                <w:sz w:val="24"/>
              </w:rPr>
              <w:t>水刺无纺布，单片≥150×180mm，含液量≥1.7 倍干基；符合GB/T 27728.1~.3-2024，卫生符合GB 15979-2024。</w:t>
            </w:r>
          </w:p>
          <w:p w14:paraId="3F9F049D">
            <w:pPr>
              <w:pStyle w:val="4"/>
              <w:ind w:firstLine="560"/>
              <w:jc w:val="both"/>
            </w:pPr>
            <w:r>
              <w:rPr>
                <w:rFonts w:ascii="仿宋_GB2312" w:hAnsi="仿宋_GB2312" w:eastAsia="仿宋_GB2312" w:cs="仿宋_GB2312"/>
                <w:b/>
                <w:sz w:val="24"/>
              </w:rPr>
              <w:t>（三）通用供货要求</w:t>
            </w:r>
          </w:p>
          <w:p w14:paraId="1E053903">
            <w:pPr>
              <w:pStyle w:val="4"/>
              <w:ind w:firstLine="560"/>
              <w:jc w:val="both"/>
            </w:pPr>
            <w:r>
              <w:rPr>
                <w:rFonts w:ascii="仿宋_GB2312" w:hAnsi="仿宋_GB2312" w:eastAsia="仿宋_GB2312" w:cs="仿宋_GB2312"/>
                <w:sz w:val="24"/>
              </w:rPr>
              <w:t>（1）首次供货须提供样品、资质及检测报告，样品验收合格留存后方可批量供货，供货量按采购人通知执行；</w:t>
            </w:r>
          </w:p>
          <w:p w14:paraId="3A46EC26">
            <w:pPr>
              <w:pStyle w:val="4"/>
              <w:ind w:firstLine="560"/>
              <w:jc w:val="both"/>
            </w:pPr>
            <w:r>
              <w:rPr>
                <w:rFonts w:ascii="仿宋_GB2312" w:hAnsi="仿宋_GB2312" w:eastAsia="仿宋_GB2312" w:cs="仿宋_GB2312"/>
                <w:sz w:val="24"/>
              </w:rPr>
              <w:t>（2）产品执行国标/行标更新后以最新版本为准；严禁供应假冒伪劣产品，违者承担全部法律责任；</w:t>
            </w:r>
          </w:p>
          <w:p w14:paraId="5A0A68D5">
            <w:pPr>
              <w:pStyle w:val="4"/>
              <w:ind w:firstLine="560"/>
              <w:jc w:val="both"/>
            </w:pPr>
            <w:r>
              <w:rPr>
                <w:rFonts w:ascii="仿宋_GB2312" w:hAnsi="仿宋_GB2312" w:eastAsia="仿宋_GB2312" w:cs="仿宋_GB2312"/>
                <w:sz w:val="24"/>
              </w:rPr>
              <w:t>（3）保质期要求：常温/冷冻/冷藏产品各自满足文件最低保质期，交货剩余保质期≥总保质期 2/3；</w:t>
            </w:r>
          </w:p>
          <w:p w14:paraId="193E9D5E">
            <w:pPr>
              <w:pStyle w:val="4"/>
              <w:ind w:firstLine="560"/>
              <w:jc w:val="both"/>
            </w:pPr>
            <w:r>
              <w:rPr>
                <w:rFonts w:ascii="仿宋_GB2312" w:hAnsi="仿宋_GB2312" w:eastAsia="仿宋_GB2312" w:cs="仿宋_GB2312"/>
                <w:sz w:val="24"/>
              </w:rPr>
              <w:t>（4）包装统一采用食品级密封内包装+合规外包装，标签标识符合 GB 7718-2025；</w:t>
            </w:r>
          </w:p>
          <w:p w14:paraId="49C7850B">
            <w:pPr>
              <w:pStyle w:val="4"/>
              <w:ind w:firstLine="560"/>
              <w:jc w:val="both"/>
            </w:pPr>
            <w:r>
              <w:rPr>
                <w:rFonts w:ascii="仿宋_GB2312" w:hAnsi="仿宋_GB2312" w:eastAsia="仿宋_GB2312" w:cs="仿宋_GB2312"/>
                <w:sz w:val="24"/>
              </w:rPr>
              <w:t>（5）添加剂全部符合 GB 2760-2024，感官无异味、无霉变、无杂质、无结块。</w:t>
            </w:r>
          </w:p>
          <w:p w14:paraId="28CC0B43">
            <w:pPr>
              <w:pStyle w:val="4"/>
              <w:ind w:firstLine="560"/>
              <w:jc w:val="both"/>
            </w:pPr>
            <w:r>
              <w:rPr>
                <w:rFonts w:ascii="仿宋_GB2312" w:hAnsi="仿宋_GB2312" w:eastAsia="仿宋_GB2312" w:cs="仿宋_GB2312"/>
                <w:b/>
                <w:sz w:val="24"/>
              </w:rPr>
              <w:t>说明：</w:t>
            </w:r>
          </w:p>
          <w:p w14:paraId="7F6D6CE0">
            <w:pPr>
              <w:pStyle w:val="4"/>
              <w:ind w:firstLine="560"/>
              <w:jc w:val="both"/>
            </w:pPr>
            <w:r>
              <w:rPr>
                <w:rFonts w:ascii="仿宋_GB2312" w:hAnsi="仿宋_GB2312" w:eastAsia="仿宋_GB2312" w:cs="仿宋_GB2312"/>
                <w:b/>
                <w:sz w:val="24"/>
              </w:rPr>
              <w:t>1.首次供货时，应先提供样品及相关证明文件，查验合格留存样品后方可供货；所需数量以采购人通知数量批次配送；</w:t>
            </w:r>
          </w:p>
          <w:p w14:paraId="2C2F2237">
            <w:pPr>
              <w:pStyle w:val="4"/>
              <w:ind w:firstLine="560"/>
              <w:jc w:val="both"/>
            </w:pPr>
            <w:r>
              <w:rPr>
                <w:rFonts w:ascii="仿宋_GB2312" w:hAnsi="仿宋_GB2312" w:eastAsia="仿宋_GB2312" w:cs="仿宋_GB2312"/>
                <w:b/>
                <w:sz w:val="24"/>
              </w:rPr>
              <w:t>2.涉及标准（规范）及相关规定有更新或替代的，以更新或替代后的为准；</w:t>
            </w:r>
          </w:p>
          <w:p w14:paraId="3294879B">
            <w:pPr>
              <w:pStyle w:val="4"/>
              <w:ind w:firstLine="560"/>
              <w:jc w:val="both"/>
            </w:pPr>
            <w:r>
              <w:rPr>
                <w:rFonts w:ascii="仿宋_GB2312" w:hAnsi="仿宋_GB2312" w:eastAsia="仿宋_GB2312" w:cs="仿宋_GB2312"/>
                <w:b/>
                <w:sz w:val="24"/>
              </w:rPr>
              <w:t>3.供应商不得配送假冒伪劣食材原材料，否则，将承担相应法律责任；</w:t>
            </w:r>
          </w:p>
          <w:p w14:paraId="1E5E9EF8">
            <w:pPr>
              <w:pStyle w:val="4"/>
              <w:ind w:firstLine="560"/>
              <w:jc w:val="both"/>
            </w:pPr>
            <w:r>
              <w:rPr>
                <w:rFonts w:ascii="仿宋_GB2312" w:hAnsi="仿宋_GB2312" w:eastAsia="仿宋_GB2312" w:cs="仿宋_GB2312"/>
                <w:b/>
                <w:sz w:val="24"/>
              </w:rPr>
              <w:t>4.本项目引用的相关标准或规范，在采购活动或履约过程中，如有修订或变更，按修订或变更后的标准或规范执行。如不同标准之间有差异的，以新颁布的标准或规范为准。</w:t>
            </w:r>
          </w:p>
          <w:p w14:paraId="7A516493">
            <w:pPr>
              <w:pStyle w:val="4"/>
              <w:ind w:firstLine="560"/>
              <w:jc w:val="both"/>
            </w:pPr>
            <w:r>
              <w:rPr>
                <w:rFonts w:ascii="仿宋_GB2312" w:hAnsi="仿宋_GB2312" w:eastAsia="仿宋_GB2312" w:cs="仿宋_GB2312"/>
                <w:b/>
                <w:sz w:val="24"/>
              </w:rPr>
              <w:t>5.若存在虚假响应，或中标后无法在签订合同前提交符合要求的佐证材料，将按照《中华人民共和国政府采购法》《中华人民共和国政府采购法实施条例》相关规定处理，采购人有权取消其中标资格。</w:t>
            </w:r>
          </w:p>
        </w:tc>
      </w:tr>
      <w:tr w14:paraId="2D9B90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CEF633">
            <w:pPr>
              <w:pStyle w:val="4"/>
              <w:jc w:val="center"/>
            </w:pPr>
            <w:r>
              <w:rPr>
                <w:rFonts w:ascii="仿宋_GB2312" w:hAnsi="仿宋_GB2312" w:eastAsia="仿宋_GB2312" w:cs="仿宋_GB2312"/>
              </w:rPr>
              <w:t>3</w:t>
            </w:r>
          </w:p>
        </w:tc>
        <w:tc>
          <w:tcPr>
            <w:tcW w:w="581" w:type="dxa"/>
          </w:tcPr>
          <w:p w14:paraId="628A5281">
            <w:pPr>
              <w:pStyle w:val="4"/>
              <w:jc w:val="center"/>
            </w:pPr>
            <w:r>
              <w:rPr>
                <w:rFonts w:ascii="仿宋_GB2312" w:hAnsi="仿宋_GB2312" w:eastAsia="仿宋_GB2312" w:cs="仿宋_GB2312"/>
              </w:rPr>
              <w:t>★</w:t>
            </w:r>
          </w:p>
        </w:tc>
        <w:tc>
          <w:tcPr>
            <w:tcW w:w="1495" w:type="dxa"/>
          </w:tcPr>
          <w:p w14:paraId="5A9FF05F">
            <w:pPr>
              <w:pStyle w:val="4"/>
              <w:jc w:val="left"/>
            </w:pPr>
            <w:r>
              <w:rPr>
                <w:rFonts w:ascii="仿宋_GB2312" w:hAnsi="仿宋_GB2312" w:eastAsia="仿宋_GB2312" w:cs="仿宋_GB2312"/>
              </w:rPr>
              <w:t>配送服务及其他考核要求</w:t>
            </w:r>
          </w:p>
        </w:tc>
        <w:tc>
          <w:tcPr>
            <w:tcW w:w="5814" w:type="dxa"/>
          </w:tcPr>
          <w:p w14:paraId="3B9D3B69">
            <w:pPr>
              <w:pStyle w:val="4"/>
              <w:ind w:firstLine="560"/>
              <w:jc w:val="both"/>
            </w:pPr>
            <w:r>
              <w:rPr>
                <w:rFonts w:ascii="仿宋_GB2312" w:hAnsi="仿宋_GB2312" w:eastAsia="仿宋_GB2312" w:cs="仿宋_GB2312"/>
                <w:b/>
                <w:sz w:val="24"/>
              </w:rPr>
              <w:t>二、配送服务及其他考核要求</w:t>
            </w:r>
          </w:p>
          <w:p w14:paraId="0D5C4255">
            <w:pPr>
              <w:pStyle w:val="4"/>
              <w:ind w:firstLine="560"/>
              <w:jc w:val="left"/>
            </w:pPr>
            <w:r>
              <w:rPr>
                <w:rFonts w:ascii="仿宋_GB2312" w:hAnsi="仿宋_GB2312" w:eastAsia="仿宋_GB2312" w:cs="仿宋_GB2312"/>
                <w:sz w:val="24"/>
              </w:rPr>
              <w:t>（一）价格确定</w:t>
            </w:r>
          </w:p>
          <w:p w14:paraId="3E0B5E5E">
            <w:pPr>
              <w:pStyle w:val="4"/>
              <w:ind w:firstLine="560"/>
              <w:jc w:val="left"/>
            </w:pPr>
            <w:r>
              <w:rPr>
                <w:rFonts w:ascii="仿宋_GB2312" w:hAnsi="仿宋_GB2312" w:eastAsia="仿宋_GB2312" w:cs="仿宋_GB2312"/>
                <w:sz w:val="24"/>
              </w:rPr>
              <w:t>1.因物价存在波动，为确保公平采购，执行单价以产品基准价×百分比（中标报价百分比）的方式确定。（产品基准价的确定方法：由学校后勤服务中心、供应商、家长代表在学校工会（纪委）的监督下,饮品类（瓶装水、牛奶等）、纸巾类每学期深入巴中市内至少叁家大中型超市询价；其余产品每学期深入巴中市内市场随机考察至少叁家询价。（询价计算平均价，作为本学期产品基准价）。</w:t>
            </w:r>
          </w:p>
          <w:p w14:paraId="7C434C2E">
            <w:pPr>
              <w:pStyle w:val="4"/>
              <w:ind w:firstLine="560"/>
              <w:jc w:val="left"/>
            </w:pPr>
            <w:r>
              <w:rPr>
                <w:rFonts w:ascii="仿宋_GB2312" w:hAnsi="仿宋_GB2312" w:eastAsia="仿宋_GB2312" w:cs="仿宋_GB2312"/>
                <w:sz w:val="24"/>
              </w:rPr>
              <w:t>2.基准价格执行：一学期一价。 注：因特殊情况采购人未询价的，按临近一月的价格执行。</w:t>
            </w:r>
          </w:p>
          <w:p w14:paraId="17B6BB32">
            <w:pPr>
              <w:pStyle w:val="4"/>
              <w:ind w:firstLine="560"/>
              <w:jc w:val="left"/>
            </w:pPr>
            <w:r>
              <w:rPr>
                <w:rFonts w:ascii="仿宋_GB2312" w:hAnsi="仿宋_GB2312" w:eastAsia="仿宋_GB2312" w:cs="仿宋_GB2312"/>
                <w:sz w:val="24"/>
              </w:rPr>
              <w:t>3.采购询价品目：根据学校食堂采购需求。产品需满足相关最新标准或规范。</w:t>
            </w:r>
          </w:p>
          <w:p w14:paraId="5F05D15C">
            <w:pPr>
              <w:pStyle w:val="4"/>
              <w:ind w:firstLine="560"/>
              <w:jc w:val="left"/>
            </w:pPr>
            <w:r>
              <w:rPr>
                <w:rFonts w:ascii="仿宋_GB2312" w:hAnsi="仿宋_GB2312" w:eastAsia="仿宋_GB2312" w:cs="仿宋_GB2312"/>
                <w:sz w:val="24"/>
              </w:rPr>
              <w:t>4.结算价格确定：将各品类产品询出的基准价格，按投标报价百分比计算出最终结算执行价格。</w:t>
            </w:r>
          </w:p>
          <w:p w14:paraId="664F019F">
            <w:pPr>
              <w:pStyle w:val="4"/>
              <w:ind w:firstLine="560"/>
              <w:jc w:val="left"/>
            </w:pPr>
            <w:r>
              <w:rPr>
                <w:rFonts w:ascii="仿宋_GB2312" w:hAnsi="仿宋_GB2312" w:eastAsia="仿宋_GB2312" w:cs="仿宋_GB2312"/>
                <w:sz w:val="24"/>
              </w:rPr>
              <w:t>5.报价方式：供应商按百分比进行投标报价，最终结算价格=基准价格×百分比（中标报价百分比）。 〔如：询价后基准价格为100元，报价为85%，则结算价为【100×85%）】=85元。</w:t>
            </w:r>
          </w:p>
          <w:p w14:paraId="1B0E457F">
            <w:pPr>
              <w:pStyle w:val="4"/>
              <w:ind w:firstLine="560"/>
              <w:jc w:val="left"/>
            </w:pPr>
            <w:r>
              <w:rPr>
                <w:rFonts w:ascii="仿宋_GB2312" w:hAnsi="仿宋_GB2312" w:eastAsia="仿宋_GB2312" w:cs="仿宋_GB2312"/>
                <w:sz w:val="24"/>
              </w:rPr>
              <w:t>（二）按学校计划、要求及时间安排，须按时保质保量将符合产品质量、安全相关规定及要求的食材直接配送至学校指定地点；</w:t>
            </w:r>
          </w:p>
          <w:p w14:paraId="158DC77F">
            <w:pPr>
              <w:pStyle w:val="4"/>
              <w:ind w:firstLine="560"/>
              <w:jc w:val="left"/>
            </w:pPr>
            <w:r>
              <w:rPr>
                <w:rFonts w:ascii="仿宋_GB2312" w:hAnsi="仿宋_GB2312" w:eastAsia="仿宋_GB2312" w:cs="仿宋_GB2312"/>
                <w:sz w:val="24"/>
              </w:rPr>
              <w:t>（三）供应商在生产、运输等各环节必须</w:t>
            </w:r>
            <w:r>
              <w:rPr>
                <w:rFonts w:ascii="仿宋_GB2312" w:hAnsi="仿宋_GB2312" w:eastAsia="仿宋_GB2312" w:cs="仿宋_GB2312"/>
                <w:strike/>
                <w:sz w:val="24"/>
              </w:rPr>
              <w:t>要</w:t>
            </w:r>
            <w:r>
              <w:rPr>
                <w:rFonts w:ascii="仿宋_GB2312" w:hAnsi="仿宋_GB2312" w:eastAsia="仿宋_GB2312" w:cs="仿宋_GB2312"/>
                <w:sz w:val="24"/>
              </w:rPr>
              <w:t>符合国家安全卫生相关规定。</w:t>
            </w:r>
          </w:p>
          <w:p w14:paraId="364DD4E3">
            <w:pPr>
              <w:pStyle w:val="4"/>
              <w:ind w:firstLine="560"/>
              <w:jc w:val="left"/>
            </w:pPr>
            <w:r>
              <w:rPr>
                <w:rFonts w:ascii="仿宋_GB2312" w:hAnsi="仿宋_GB2312" w:eastAsia="仿宋_GB2312" w:cs="仿宋_GB2312"/>
                <w:b/>
                <w:sz w:val="24"/>
              </w:rPr>
              <w:t>（四）供应商应确保产品质量，达到产品质量可追溯。（提供承诺函，格式自拟）。</w:t>
            </w:r>
          </w:p>
          <w:p w14:paraId="11C26543">
            <w:pPr>
              <w:pStyle w:val="4"/>
              <w:ind w:firstLine="560"/>
              <w:jc w:val="left"/>
            </w:pPr>
            <w:r>
              <w:rPr>
                <w:rFonts w:ascii="仿宋_GB2312" w:hAnsi="仿宋_GB2312" w:eastAsia="仿宋_GB2312" w:cs="仿宋_GB2312"/>
                <w:b/>
                <w:sz w:val="24"/>
              </w:rPr>
              <w:t>（五）供应商提供充足的货源保障（提供承诺函，格式自拟）。</w:t>
            </w:r>
          </w:p>
          <w:p w14:paraId="39D3477A">
            <w:pPr>
              <w:pStyle w:val="4"/>
              <w:ind w:firstLine="560"/>
              <w:jc w:val="both"/>
            </w:pPr>
            <w:r>
              <w:rPr>
                <w:rFonts w:ascii="仿宋_GB2312" w:hAnsi="仿宋_GB2312" w:eastAsia="仿宋_GB2312" w:cs="仿宋_GB2312"/>
                <w:sz w:val="24"/>
              </w:rPr>
              <w:t>（六）供应商需制定并落实应急措施，设置应急联系人，能保证产品及时安全供应。</w:t>
            </w:r>
            <w:r>
              <w:rPr>
                <w:rFonts w:ascii="仿宋_GB2312" w:hAnsi="仿宋_GB2312" w:eastAsia="仿宋_GB2312" w:cs="仿宋_GB2312"/>
                <w:b/>
                <w:sz w:val="24"/>
              </w:rPr>
              <w:t xml:space="preserve"> </w:t>
            </w:r>
          </w:p>
          <w:p w14:paraId="055EF8C0">
            <w:pPr>
              <w:pStyle w:val="4"/>
              <w:ind w:firstLine="560"/>
              <w:jc w:val="both"/>
            </w:pPr>
            <w:r>
              <w:rPr>
                <w:rFonts w:ascii="仿宋_GB2312" w:hAnsi="仿宋_GB2312" w:eastAsia="仿宋_GB2312" w:cs="仿宋_GB2312"/>
                <w:sz w:val="24"/>
              </w:rPr>
              <w:t>（七）供应商需承担因产品安全、质量问题引起的一切损失和法律责任；供应商需承担产品材料费、储存费、制造费、包装费、运输费、供应费、调换费、损耗费、检测费、培训费等所有其他的一切含税费用。采购人无须另向供应商支付政府采购合同规定之外的其他任何费用。</w:t>
            </w:r>
          </w:p>
          <w:p w14:paraId="36AEF750">
            <w:pPr>
              <w:pStyle w:val="4"/>
              <w:spacing w:after="120"/>
              <w:ind w:firstLine="560"/>
              <w:jc w:val="both"/>
            </w:pPr>
            <w:r>
              <w:rPr>
                <w:rFonts w:ascii="仿宋_GB2312" w:hAnsi="仿宋_GB2312" w:eastAsia="仿宋_GB2312" w:cs="仿宋_GB2312"/>
                <w:sz w:val="24"/>
              </w:rPr>
              <w:t>（八） 供应商需根据本项目制定相应的的管理制度、服务方案、应急预案、售后服务方案、应急服务响应等。</w:t>
            </w:r>
          </w:p>
          <w:p w14:paraId="03EE95DF">
            <w:pPr>
              <w:pStyle w:val="4"/>
              <w:spacing w:after="120"/>
              <w:ind w:firstLine="560"/>
              <w:jc w:val="both"/>
            </w:pPr>
            <w:r>
              <w:rPr>
                <w:rFonts w:ascii="仿宋_GB2312" w:hAnsi="仿宋_GB2312" w:eastAsia="仿宋_GB2312" w:cs="仿宋_GB2312"/>
                <w:sz w:val="24"/>
              </w:rPr>
              <w:t>（九）供应商应根据本项目提供食品安全责任保险。</w:t>
            </w:r>
          </w:p>
          <w:p w14:paraId="30F2CBAA">
            <w:pPr>
              <w:pStyle w:val="4"/>
              <w:ind w:firstLine="560"/>
              <w:jc w:val="both"/>
            </w:pPr>
            <w:r>
              <w:rPr>
                <w:rFonts w:ascii="仿宋_GB2312" w:hAnsi="仿宋_GB2312" w:eastAsia="仿宋_GB2312" w:cs="仿宋_GB2312"/>
                <w:sz w:val="24"/>
              </w:rPr>
              <w:t>（十）时间要求：</w:t>
            </w:r>
          </w:p>
          <w:p w14:paraId="722BF8F6">
            <w:pPr>
              <w:pStyle w:val="4"/>
              <w:ind w:firstLine="560"/>
              <w:jc w:val="both"/>
            </w:pPr>
            <w:r>
              <w:rPr>
                <w:rFonts w:ascii="仿宋_GB2312" w:hAnsi="仿宋_GB2312" w:eastAsia="仿宋_GB2312" w:cs="仿宋_GB2312"/>
                <w:sz w:val="24"/>
              </w:rPr>
              <w:t>1.售后响应时间：产品在使用中出现任何问题，采购人与供应商联系时，供应商应在接到电话后10分钟内响应,60分钟内到达现场提供现场服务。</w:t>
            </w:r>
          </w:p>
          <w:p w14:paraId="57E506AB">
            <w:pPr>
              <w:pStyle w:val="4"/>
              <w:ind w:firstLine="560"/>
              <w:jc w:val="both"/>
            </w:pPr>
            <w:r>
              <w:rPr>
                <w:rFonts w:ascii="仿宋_GB2312" w:hAnsi="仿宋_GB2312" w:eastAsia="仿宋_GB2312" w:cs="仿宋_GB2312"/>
                <w:sz w:val="24"/>
              </w:rPr>
              <w:t>2.配送响应时间：所有产品在当天早上07：00前或按采购人要求时间配送，配送至学校食堂；日常运营食材每周报计划，按计划时间送达，临时提出的产品需求15分钟响应，60分钟内送达。</w:t>
            </w:r>
          </w:p>
          <w:p w14:paraId="329E5EE7">
            <w:pPr>
              <w:pStyle w:val="4"/>
              <w:ind w:firstLine="560"/>
              <w:jc w:val="both"/>
            </w:pPr>
            <w:r>
              <w:rPr>
                <w:rFonts w:ascii="仿宋_GB2312" w:hAnsi="仿宋_GB2312" w:eastAsia="仿宋_GB2312" w:cs="仿宋_GB2312"/>
                <w:sz w:val="24"/>
              </w:rPr>
              <w:t>（十一）收货标准</w:t>
            </w:r>
          </w:p>
          <w:p w14:paraId="65A94071">
            <w:pPr>
              <w:pStyle w:val="4"/>
              <w:ind w:firstLine="560"/>
              <w:jc w:val="both"/>
            </w:pPr>
            <w:r>
              <w:rPr>
                <w:rFonts w:ascii="仿宋_GB2312" w:hAnsi="仿宋_GB2312" w:eastAsia="仿宋_GB2312" w:cs="仿宋_GB2312"/>
                <w:sz w:val="24"/>
              </w:rPr>
              <w:t>1.采取现场验收的方式，双方验收人员应认真检查物资的质量。</w:t>
            </w:r>
          </w:p>
          <w:p w14:paraId="0F0E80B6">
            <w:pPr>
              <w:pStyle w:val="4"/>
              <w:ind w:firstLine="560"/>
              <w:jc w:val="both"/>
            </w:pPr>
            <w:r>
              <w:rPr>
                <w:rFonts w:ascii="仿宋_GB2312" w:hAnsi="仿宋_GB2312" w:eastAsia="仿宋_GB2312" w:cs="仿宋_GB2312"/>
                <w:sz w:val="24"/>
              </w:rPr>
              <w:t>2.验收人员应按招标文件产品质量要求对货物质量进行抽查，按照相关文件，以确保产品品种符合要求。如确定有所差异，应即刻通知送货人员。如发现产品有异常的情况，应如实记录所有损坏情况，如有必要时应对货物损坏情况进行拍照并存档。对于产品验收的全部信息数据，学校验收人员应和供应商送货人员一起确认，并保留双方签字单据。</w:t>
            </w:r>
          </w:p>
          <w:p w14:paraId="7137EF60">
            <w:pPr>
              <w:pStyle w:val="4"/>
              <w:ind w:firstLine="560"/>
              <w:jc w:val="both"/>
            </w:pPr>
            <w:r>
              <w:rPr>
                <w:rFonts w:ascii="仿宋_GB2312" w:hAnsi="仿宋_GB2312" w:eastAsia="仿宋_GB2312" w:cs="仿宋_GB2312"/>
                <w:sz w:val="24"/>
              </w:rPr>
              <w:t>3.为保证配送品种的准确性，对每次接收的货物均记录货物名称、数量、收货时间、验收情况事项，以学校的验货数量为准，供应商每次随货送上至少一式两份的送货清单，双方验货后签字确认，双方至少各持一份，作为送货、收货、报账、结算的凭证。</w:t>
            </w:r>
          </w:p>
          <w:p w14:paraId="12EF8064">
            <w:pPr>
              <w:pStyle w:val="4"/>
              <w:ind w:firstLine="560"/>
              <w:jc w:val="both"/>
            </w:pPr>
            <w:r>
              <w:rPr>
                <w:rFonts w:ascii="仿宋_GB2312" w:hAnsi="仿宋_GB2312" w:eastAsia="仿宋_GB2312" w:cs="仿宋_GB2312"/>
                <w:sz w:val="24"/>
              </w:rPr>
              <w:t>（十二）发现产品安全质量问题的处理：</w:t>
            </w:r>
          </w:p>
          <w:p w14:paraId="40F4F38D">
            <w:pPr>
              <w:pStyle w:val="4"/>
              <w:ind w:firstLine="560"/>
              <w:jc w:val="both"/>
            </w:pPr>
            <w:r>
              <w:rPr>
                <w:rFonts w:ascii="仿宋_GB2312" w:hAnsi="仿宋_GB2312" w:eastAsia="仿宋_GB2312" w:cs="仿宋_GB2312"/>
                <w:sz w:val="24"/>
              </w:rPr>
              <w:t>1.加工食用前如发现产品质量问题，采取零容忍措施，一经发现，当日所送同批次产品全部退货，并按照合同约定的相关内容执行。</w:t>
            </w:r>
          </w:p>
          <w:p w14:paraId="155C5777">
            <w:pPr>
              <w:pStyle w:val="4"/>
              <w:ind w:firstLine="560"/>
              <w:jc w:val="both"/>
            </w:pPr>
            <w:r>
              <w:rPr>
                <w:rFonts w:ascii="仿宋_GB2312" w:hAnsi="仿宋_GB2312" w:eastAsia="仿宋_GB2312" w:cs="仿宋_GB2312"/>
                <w:sz w:val="24"/>
              </w:rPr>
              <w:t>2.对不符合质量要求的产品，由食堂验收人员提出退换货，供应商应尽快补送。如双方对质量或重量有争议的可送具有检验资质的部门检测，同时留样备检，如送检货物确有质量问题，由此产生的全部费用由供应商承担，如送检货物无质量问题，由此产生的全部费用由采购人承担。</w:t>
            </w:r>
          </w:p>
          <w:p w14:paraId="738EAD33">
            <w:pPr>
              <w:pStyle w:val="4"/>
              <w:ind w:firstLine="560"/>
              <w:jc w:val="both"/>
            </w:pPr>
            <w:r>
              <w:rPr>
                <w:rFonts w:ascii="仿宋_GB2312" w:hAnsi="仿宋_GB2312" w:eastAsia="仿宋_GB2312" w:cs="仿宋_GB2312"/>
                <w:sz w:val="24"/>
              </w:rPr>
              <w:t>（十三）考核及处罚细则：</w:t>
            </w:r>
          </w:p>
          <w:p w14:paraId="3A3F4677">
            <w:pPr>
              <w:pStyle w:val="4"/>
              <w:ind w:firstLine="560"/>
              <w:jc w:val="both"/>
            </w:pPr>
            <w:r>
              <w:rPr>
                <w:rFonts w:ascii="仿宋_GB2312" w:hAnsi="仿宋_GB2312" w:eastAsia="仿宋_GB2312" w:cs="仿宋_GB2312"/>
                <w:sz w:val="24"/>
              </w:rPr>
              <w:t>1.中标人服务质量考核按巴中中学食堂产品配送供应商管理办法试行要求执行，由采购人组成的考核小组或指定责任人负责，每月进行考核（考核内容如下）。经综合考评 80 分以下的，除要求整改外，同时扣减当月服务费3000元。</w:t>
            </w:r>
          </w:p>
          <w:p w14:paraId="4A52EF0F">
            <w:pPr>
              <w:pStyle w:val="4"/>
              <w:ind w:firstLine="560"/>
              <w:jc w:val="both"/>
            </w:pPr>
            <w:r>
              <w:rPr>
                <w:rFonts w:ascii="仿宋_GB2312" w:hAnsi="仿宋_GB2312" w:eastAsia="仿宋_GB2312" w:cs="仿宋_GB2312"/>
                <w:sz w:val="24"/>
              </w:rPr>
              <w:t>2.考核周期内两次低于 80 分的中标人，采购人有权取消其供应资格。</w:t>
            </w:r>
          </w:p>
          <w:p w14:paraId="0E679351">
            <w:pPr>
              <w:pStyle w:val="4"/>
              <w:ind w:firstLine="560"/>
              <w:jc w:val="both"/>
            </w:pPr>
            <w:r>
              <w:rPr>
                <w:rFonts w:ascii="仿宋_GB2312" w:hAnsi="仿宋_GB2312" w:eastAsia="仿宋_GB2312" w:cs="仿宋_GB2312"/>
                <w:sz w:val="24"/>
              </w:rPr>
              <w:t>3.供应商未按约定时间配送到指定地点的，由采购人在当月应付配送产品费用总额中每次扣除违约金2000元，超过3次采购人有权解除合同。</w:t>
            </w:r>
          </w:p>
          <w:p w14:paraId="446BB3E2">
            <w:pPr>
              <w:pStyle w:val="4"/>
              <w:ind w:firstLine="560"/>
              <w:jc w:val="both"/>
            </w:pPr>
            <w:r>
              <w:rPr>
                <w:rFonts w:ascii="仿宋_GB2312" w:hAnsi="仿宋_GB2312" w:eastAsia="仿宋_GB2312" w:cs="仿宋_GB2312"/>
                <w:sz w:val="24"/>
              </w:rPr>
              <w:t>4.供应商未按采购人要求提供产品的，如拒绝更换或更换不及时，每发生一次由采购人在当月应付配送产品费用总额中扣除违约金2000元。若供应商提供的配送产品存在有害物质、重金属超标等检测不合格的，采购人有权解除合同，由此引起食品安全事故的，由供应商负责一切经济和法律责任。</w:t>
            </w:r>
          </w:p>
          <w:p w14:paraId="6065E94F">
            <w:pPr>
              <w:pStyle w:val="4"/>
              <w:ind w:firstLine="560"/>
              <w:jc w:val="both"/>
            </w:pPr>
            <w:r>
              <w:rPr>
                <w:rFonts w:ascii="仿宋_GB2312" w:hAnsi="仿宋_GB2312" w:eastAsia="仿宋_GB2312" w:cs="仿宋_GB2312"/>
                <w:sz w:val="24"/>
              </w:rPr>
              <w:t>5.如因供应商工作人员在履职过程中的疏忽、失职、过错等故意或过失原因给采购人造成损失或侵害，包括但不限于采购人本身的财产损失、由此而导致的采购人对任何第三方的法律责任等，供应商对此均应承担全部的赔偿责任。</w:t>
            </w:r>
          </w:p>
          <w:p w14:paraId="2DA761F1">
            <w:pPr>
              <w:pStyle w:val="4"/>
              <w:spacing w:after="120"/>
              <w:ind w:firstLine="560"/>
              <w:jc w:val="both"/>
            </w:pPr>
            <w:r>
              <w:rPr>
                <w:rFonts w:ascii="仿宋_GB2312" w:hAnsi="仿宋_GB2312" w:eastAsia="仿宋_GB2312" w:cs="仿宋_GB2312"/>
                <w:sz w:val="24"/>
              </w:rPr>
              <w:t>6.在合同履行产品配送过程中，发生的一切安全事故，均由供应商承担一切责任。</w:t>
            </w:r>
          </w:p>
          <w:p w14:paraId="60F14DE9">
            <w:pPr>
              <w:pStyle w:val="4"/>
              <w:spacing w:after="120"/>
              <w:ind w:firstLine="560"/>
              <w:jc w:val="both"/>
            </w:pPr>
            <w:r>
              <w:rPr>
                <w:rFonts w:ascii="仿宋_GB2312" w:hAnsi="仿宋_GB2312" w:eastAsia="仿宋_GB2312" w:cs="仿宋_GB2312"/>
                <w:sz w:val="24"/>
              </w:rPr>
              <w:t>7.投标人对所供产品的食品安全负责。应建立24小时监控体系；在所有的库房安装24小时声像监控设备；配送车辆上安装实时追踪系统；所有产品必须进行入库登记备案，在出库前再次检查产品的有效期、包装等。</w:t>
            </w:r>
          </w:p>
          <w:p w14:paraId="7B81C2A7">
            <w:pPr>
              <w:pStyle w:val="4"/>
              <w:jc w:val="both"/>
            </w:pPr>
            <w:r>
              <w:rPr>
                <w:rFonts w:ascii="仿宋_GB2312" w:hAnsi="仿宋_GB2312" w:eastAsia="仿宋_GB2312" w:cs="仿宋_GB2312"/>
                <w:b/>
                <w:sz w:val="24"/>
              </w:rPr>
              <w:t>巴中中学食堂产品配送供应商管理办法试行</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77"/>
              <w:gridCol w:w="477"/>
              <w:gridCol w:w="3635"/>
              <w:gridCol w:w="477"/>
              <w:gridCol w:w="527"/>
            </w:tblGrid>
            <w:tr w14:paraId="06932C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D072F5">
                  <w:pPr>
                    <w:pStyle w:val="4"/>
                    <w:jc w:val="center"/>
                  </w:pPr>
                  <w:r>
                    <w:rPr>
                      <w:rFonts w:ascii="仿宋_GB2312" w:hAnsi="仿宋_GB2312" w:eastAsia="仿宋_GB2312" w:cs="仿宋_GB2312"/>
                      <w:b/>
                      <w:sz w:val="24"/>
                    </w:rPr>
                    <w:t>项目</w:t>
                  </w:r>
                </w:p>
              </w:tc>
              <w:tc>
                <w:tcPr>
                  <w:tcW w:w="477"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21B0E9">
                  <w:pPr>
                    <w:pStyle w:val="4"/>
                    <w:jc w:val="center"/>
                  </w:pPr>
                  <w:r>
                    <w:rPr>
                      <w:rFonts w:ascii="仿宋_GB2312" w:hAnsi="仿宋_GB2312" w:eastAsia="仿宋_GB2312" w:cs="仿宋_GB2312"/>
                      <w:b/>
                      <w:sz w:val="24"/>
                    </w:rPr>
                    <w:t>分值</w:t>
                  </w:r>
                </w:p>
              </w:tc>
              <w:tc>
                <w:tcPr>
                  <w:tcW w:w="3641"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8A93A16">
                  <w:pPr>
                    <w:pStyle w:val="4"/>
                    <w:jc w:val="center"/>
                  </w:pPr>
                  <w:r>
                    <w:rPr>
                      <w:rFonts w:ascii="仿宋_GB2312" w:hAnsi="仿宋_GB2312" w:eastAsia="仿宋_GB2312" w:cs="仿宋_GB2312"/>
                      <w:b/>
                      <w:sz w:val="24"/>
                    </w:rPr>
                    <w:t>考核细则</w:t>
                  </w:r>
                </w:p>
              </w:tc>
              <w:tc>
                <w:tcPr>
                  <w:tcW w:w="477"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EA3BC24">
                  <w:pPr>
                    <w:pStyle w:val="4"/>
                    <w:jc w:val="center"/>
                  </w:pPr>
                  <w:r>
                    <w:rPr>
                      <w:rFonts w:ascii="仿宋_GB2312" w:hAnsi="仿宋_GB2312" w:eastAsia="仿宋_GB2312" w:cs="仿宋_GB2312"/>
                      <w:b/>
                      <w:sz w:val="24"/>
                    </w:rPr>
                    <w:t>得分</w:t>
                  </w:r>
                </w:p>
              </w:tc>
              <w:tc>
                <w:tcPr>
                  <w:tcW w:w="527" w:type="dxa"/>
                  <w:tcBorders>
                    <w:top w:val="single" w:color="000000" w:sz="4" w:space="0"/>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370571C">
                  <w:pPr>
                    <w:pStyle w:val="4"/>
                    <w:jc w:val="center"/>
                  </w:pPr>
                  <w:r>
                    <w:rPr>
                      <w:rFonts w:ascii="仿宋_GB2312" w:hAnsi="仿宋_GB2312" w:eastAsia="仿宋_GB2312" w:cs="仿宋_GB2312"/>
                      <w:b/>
                      <w:sz w:val="24"/>
                    </w:rPr>
                    <w:t>备注</w:t>
                  </w:r>
                </w:p>
              </w:tc>
            </w:tr>
            <w:tr w14:paraId="11EE46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restar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86811F">
                  <w:pPr>
                    <w:pStyle w:val="4"/>
                    <w:jc w:val="center"/>
                  </w:pPr>
                  <w:r>
                    <w:rPr>
                      <w:rFonts w:ascii="仿宋_GB2312" w:hAnsi="仿宋_GB2312" w:eastAsia="仿宋_GB2312" w:cs="仿宋_GB2312"/>
                      <w:sz w:val="24"/>
                    </w:rPr>
                    <w:t>交货</w:t>
                  </w:r>
                </w:p>
              </w:tc>
              <w:tc>
                <w:tcPr>
                  <w:tcW w:w="477" w:type="dxa"/>
                  <w:vMerge w:val="restar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DF5EF4">
                  <w:pPr>
                    <w:pStyle w:val="4"/>
                    <w:jc w:val="center"/>
                  </w:pPr>
                  <w:r>
                    <w:rPr>
                      <w:rFonts w:ascii="仿宋_GB2312" w:hAnsi="仿宋_GB2312" w:eastAsia="仿宋_GB2312" w:cs="仿宋_GB2312"/>
                      <w:sz w:val="24"/>
                    </w:rPr>
                    <w:t>30</w:t>
                  </w:r>
                </w:p>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A20A810">
                  <w:pPr>
                    <w:pStyle w:val="4"/>
                    <w:jc w:val="both"/>
                  </w:pPr>
                  <w:r>
                    <w:rPr>
                      <w:rFonts w:ascii="仿宋_GB2312" w:hAnsi="仿宋_GB2312" w:eastAsia="仿宋_GB2312" w:cs="仿宋_GB2312"/>
                      <w:sz w:val="24"/>
                    </w:rPr>
                    <w:t>供应货物品种、品牌、规格或质量等级与合同不符（-5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2FAF5B7">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DD16111"/>
              </w:tc>
            </w:tr>
            <w:tr w14:paraId="69E274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continue"/>
                  <w:tcBorders>
                    <w:top w:val="nil"/>
                    <w:left w:val="single" w:color="000000" w:sz="4" w:space="0"/>
                    <w:bottom w:val="single" w:color="000000" w:sz="4" w:space="0"/>
                    <w:right w:val="single" w:color="000000" w:sz="4" w:space="0"/>
                  </w:tcBorders>
                </w:tcPr>
                <w:p w14:paraId="6C50F8A8"/>
              </w:tc>
              <w:tc>
                <w:tcPr>
                  <w:tcW w:w="477" w:type="dxa"/>
                  <w:vMerge w:val="continue"/>
                  <w:tcBorders>
                    <w:top w:val="nil"/>
                    <w:left w:val="nil"/>
                    <w:bottom w:val="single" w:color="000000" w:sz="4" w:space="0"/>
                    <w:right w:val="single" w:color="000000" w:sz="4" w:space="0"/>
                  </w:tcBorders>
                </w:tcPr>
                <w:p w14:paraId="561D66DC"/>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69A2577">
                  <w:pPr>
                    <w:pStyle w:val="4"/>
                    <w:jc w:val="both"/>
                  </w:pPr>
                  <w:r>
                    <w:rPr>
                      <w:rFonts w:ascii="仿宋_GB2312" w:hAnsi="仿宋_GB2312" w:eastAsia="仿宋_GB2312" w:cs="仿宋_GB2312"/>
                      <w:sz w:val="24"/>
                    </w:rPr>
                    <w:t>未按采购人采购需求计划的数量、时间供货（-5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2E1811E">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7C3B7A"/>
              </w:tc>
            </w:tr>
            <w:tr w14:paraId="4AC153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continue"/>
                  <w:tcBorders>
                    <w:top w:val="nil"/>
                    <w:left w:val="single" w:color="000000" w:sz="4" w:space="0"/>
                    <w:bottom w:val="single" w:color="000000" w:sz="4" w:space="0"/>
                    <w:right w:val="single" w:color="000000" w:sz="4" w:space="0"/>
                  </w:tcBorders>
                </w:tcPr>
                <w:p w14:paraId="33E2DAB5"/>
              </w:tc>
              <w:tc>
                <w:tcPr>
                  <w:tcW w:w="477" w:type="dxa"/>
                  <w:vMerge w:val="continue"/>
                  <w:tcBorders>
                    <w:top w:val="nil"/>
                    <w:left w:val="nil"/>
                    <w:bottom w:val="single" w:color="000000" w:sz="4" w:space="0"/>
                    <w:right w:val="single" w:color="000000" w:sz="4" w:space="0"/>
                  </w:tcBorders>
                </w:tcPr>
                <w:p w14:paraId="7BDB33EA"/>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0D642FD">
                  <w:pPr>
                    <w:pStyle w:val="4"/>
                    <w:jc w:val="both"/>
                  </w:pPr>
                  <w:r>
                    <w:rPr>
                      <w:rFonts w:ascii="仿宋_GB2312" w:hAnsi="仿宋_GB2312" w:eastAsia="仿宋_GB2312" w:cs="仿宋_GB2312"/>
                      <w:sz w:val="24"/>
                    </w:rPr>
                    <w:t>提供虚假检验报告等相关票证（-5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D508E8">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BAF2C2D"/>
              </w:tc>
            </w:tr>
            <w:tr w14:paraId="776CEE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continue"/>
                  <w:tcBorders>
                    <w:top w:val="nil"/>
                    <w:left w:val="single" w:color="000000" w:sz="4" w:space="0"/>
                    <w:bottom w:val="single" w:color="000000" w:sz="4" w:space="0"/>
                    <w:right w:val="single" w:color="000000" w:sz="4" w:space="0"/>
                  </w:tcBorders>
                </w:tcPr>
                <w:p w14:paraId="664C82F2"/>
              </w:tc>
              <w:tc>
                <w:tcPr>
                  <w:tcW w:w="477" w:type="dxa"/>
                  <w:vMerge w:val="continue"/>
                  <w:tcBorders>
                    <w:top w:val="nil"/>
                    <w:left w:val="nil"/>
                    <w:bottom w:val="single" w:color="000000" w:sz="4" w:space="0"/>
                    <w:right w:val="single" w:color="000000" w:sz="4" w:space="0"/>
                  </w:tcBorders>
                </w:tcPr>
                <w:p w14:paraId="7E881213"/>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EC14AF8">
                  <w:pPr>
                    <w:pStyle w:val="4"/>
                    <w:jc w:val="both"/>
                  </w:pPr>
                  <w:r>
                    <w:rPr>
                      <w:rFonts w:ascii="仿宋_GB2312" w:hAnsi="仿宋_GB2312" w:eastAsia="仿宋_GB2312" w:cs="仿宋_GB2312"/>
                      <w:sz w:val="24"/>
                    </w:rPr>
                    <w:t>未及时按要求随货提供相关票证（-5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565AC47">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59493F0"/>
              </w:tc>
            </w:tr>
            <w:tr w14:paraId="37A073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continue"/>
                  <w:tcBorders>
                    <w:top w:val="nil"/>
                    <w:left w:val="single" w:color="000000" w:sz="4" w:space="0"/>
                    <w:bottom w:val="single" w:color="000000" w:sz="4" w:space="0"/>
                    <w:right w:val="single" w:color="000000" w:sz="4" w:space="0"/>
                  </w:tcBorders>
                </w:tcPr>
                <w:p w14:paraId="621F686D"/>
              </w:tc>
              <w:tc>
                <w:tcPr>
                  <w:tcW w:w="477" w:type="dxa"/>
                  <w:vMerge w:val="continue"/>
                  <w:tcBorders>
                    <w:top w:val="nil"/>
                    <w:left w:val="nil"/>
                    <w:bottom w:val="single" w:color="000000" w:sz="4" w:space="0"/>
                    <w:right w:val="single" w:color="000000" w:sz="4" w:space="0"/>
                  </w:tcBorders>
                </w:tcPr>
                <w:p w14:paraId="457FD286"/>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FD6035A">
                  <w:pPr>
                    <w:pStyle w:val="4"/>
                    <w:jc w:val="both"/>
                  </w:pPr>
                  <w:r>
                    <w:rPr>
                      <w:rFonts w:ascii="仿宋_GB2312" w:hAnsi="仿宋_GB2312" w:eastAsia="仿宋_GB2312" w:cs="仿宋_GB2312"/>
                      <w:sz w:val="24"/>
                    </w:rPr>
                    <w:t>未按采购人指定地点卸货（-5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34F8E5E">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91293A7"/>
              </w:tc>
            </w:tr>
            <w:tr w14:paraId="071DC6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continue"/>
                  <w:tcBorders>
                    <w:top w:val="nil"/>
                    <w:left w:val="single" w:color="000000" w:sz="4" w:space="0"/>
                    <w:bottom w:val="single" w:color="000000" w:sz="4" w:space="0"/>
                    <w:right w:val="single" w:color="000000" w:sz="4" w:space="0"/>
                  </w:tcBorders>
                </w:tcPr>
                <w:p w14:paraId="690E936C"/>
              </w:tc>
              <w:tc>
                <w:tcPr>
                  <w:tcW w:w="477" w:type="dxa"/>
                  <w:vMerge w:val="continue"/>
                  <w:tcBorders>
                    <w:top w:val="nil"/>
                    <w:left w:val="nil"/>
                    <w:bottom w:val="single" w:color="000000" w:sz="4" w:space="0"/>
                    <w:right w:val="single" w:color="000000" w:sz="4" w:space="0"/>
                  </w:tcBorders>
                </w:tcPr>
                <w:p w14:paraId="30E32E44"/>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0E20AE6">
                  <w:pPr>
                    <w:pStyle w:val="4"/>
                    <w:jc w:val="both"/>
                  </w:pPr>
                  <w:r>
                    <w:rPr>
                      <w:rFonts w:ascii="仿宋_GB2312" w:hAnsi="仿宋_GB2312" w:eastAsia="仿宋_GB2312" w:cs="仿宋_GB2312"/>
                      <w:sz w:val="24"/>
                    </w:rPr>
                    <w:t>发生退货情况，造成采购人伙食无法按时供应（-5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D8FCB2">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A73006B"/>
              </w:tc>
            </w:tr>
            <w:tr w14:paraId="275115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restar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A45511">
                  <w:pPr>
                    <w:pStyle w:val="4"/>
                    <w:jc w:val="center"/>
                  </w:pPr>
                  <w:r>
                    <w:rPr>
                      <w:rFonts w:ascii="仿宋_GB2312" w:hAnsi="仿宋_GB2312" w:eastAsia="仿宋_GB2312" w:cs="仿宋_GB2312"/>
                      <w:sz w:val="24"/>
                    </w:rPr>
                    <w:t>质量</w:t>
                  </w:r>
                </w:p>
              </w:tc>
              <w:tc>
                <w:tcPr>
                  <w:tcW w:w="477" w:type="dxa"/>
                  <w:vMerge w:val="restar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ECC0C81">
                  <w:pPr>
                    <w:pStyle w:val="4"/>
                    <w:jc w:val="center"/>
                  </w:pPr>
                  <w:r>
                    <w:rPr>
                      <w:rFonts w:ascii="仿宋_GB2312" w:hAnsi="仿宋_GB2312" w:eastAsia="仿宋_GB2312" w:cs="仿宋_GB2312"/>
                      <w:sz w:val="24"/>
                    </w:rPr>
                    <w:t>35</w:t>
                  </w:r>
                </w:p>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72C6DBE">
                  <w:pPr>
                    <w:pStyle w:val="4"/>
                    <w:jc w:val="both"/>
                  </w:pPr>
                  <w:r>
                    <w:rPr>
                      <w:rFonts w:ascii="仿宋_GB2312" w:hAnsi="仿宋_GB2312" w:eastAsia="仿宋_GB2312" w:cs="仿宋_GB2312"/>
                      <w:sz w:val="24"/>
                    </w:rPr>
                    <w:t>货物的新鲜度、外观等不符合合同约定（-5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81321E">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E475E8C"/>
              </w:tc>
            </w:tr>
            <w:tr w14:paraId="476A8B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continue"/>
                  <w:tcBorders>
                    <w:top w:val="nil"/>
                    <w:left w:val="single" w:color="000000" w:sz="4" w:space="0"/>
                    <w:bottom w:val="single" w:color="000000" w:sz="4" w:space="0"/>
                    <w:right w:val="single" w:color="000000" w:sz="4" w:space="0"/>
                  </w:tcBorders>
                </w:tcPr>
                <w:p w14:paraId="377243A0"/>
              </w:tc>
              <w:tc>
                <w:tcPr>
                  <w:tcW w:w="477" w:type="dxa"/>
                  <w:vMerge w:val="continue"/>
                  <w:tcBorders>
                    <w:top w:val="nil"/>
                    <w:left w:val="nil"/>
                    <w:bottom w:val="single" w:color="000000" w:sz="4" w:space="0"/>
                    <w:right w:val="single" w:color="000000" w:sz="4" w:space="0"/>
                  </w:tcBorders>
                </w:tcPr>
                <w:p w14:paraId="72DF01F1"/>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1753FFA">
                  <w:pPr>
                    <w:pStyle w:val="4"/>
                    <w:jc w:val="both"/>
                  </w:pPr>
                  <w:r>
                    <w:rPr>
                      <w:rFonts w:ascii="仿宋_GB2312" w:hAnsi="仿宋_GB2312" w:eastAsia="仿宋_GB2312" w:cs="仿宋_GB2312"/>
                      <w:sz w:val="24"/>
                    </w:rPr>
                    <w:t>货物质量验收不合格（-5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A6649D">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C6FFCC6"/>
              </w:tc>
            </w:tr>
            <w:tr w14:paraId="3D5991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continue"/>
                  <w:tcBorders>
                    <w:top w:val="nil"/>
                    <w:left w:val="single" w:color="000000" w:sz="4" w:space="0"/>
                    <w:bottom w:val="single" w:color="000000" w:sz="4" w:space="0"/>
                    <w:right w:val="single" w:color="000000" w:sz="4" w:space="0"/>
                  </w:tcBorders>
                </w:tcPr>
                <w:p w14:paraId="14956760"/>
              </w:tc>
              <w:tc>
                <w:tcPr>
                  <w:tcW w:w="477" w:type="dxa"/>
                  <w:vMerge w:val="continue"/>
                  <w:tcBorders>
                    <w:top w:val="nil"/>
                    <w:left w:val="nil"/>
                    <w:bottom w:val="single" w:color="000000" w:sz="4" w:space="0"/>
                    <w:right w:val="single" w:color="000000" w:sz="4" w:space="0"/>
                  </w:tcBorders>
                </w:tcPr>
                <w:p w14:paraId="4A9C4E4E"/>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1318D52">
                  <w:pPr>
                    <w:pStyle w:val="4"/>
                    <w:jc w:val="both"/>
                  </w:pPr>
                  <w:r>
                    <w:rPr>
                      <w:rFonts w:ascii="仿宋_GB2312" w:hAnsi="仿宋_GB2312" w:eastAsia="仿宋_GB2312" w:cs="仿宋_GB2312"/>
                      <w:sz w:val="24"/>
                    </w:rPr>
                    <w:t>同一品种货物连续两次验收发现质量不合格产品并退货（-10分）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73F4202">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63560BE5"/>
              </w:tc>
            </w:tr>
            <w:tr w14:paraId="7F5294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continue"/>
                  <w:tcBorders>
                    <w:top w:val="nil"/>
                    <w:left w:val="single" w:color="000000" w:sz="4" w:space="0"/>
                    <w:bottom w:val="single" w:color="000000" w:sz="4" w:space="0"/>
                    <w:right w:val="single" w:color="000000" w:sz="4" w:space="0"/>
                  </w:tcBorders>
                </w:tcPr>
                <w:p w14:paraId="192C996B"/>
              </w:tc>
              <w:tc>
                <w:tcPr>
                  <w:tcW w:w="477" w:type="dxa"/>
                  <w:vMerge w:val="continue"/>
                  <w:tcBorders>
                    <w:top w:val="nil"/>
                    <w:left w:val="nil"/>
                    <w:bottom w:val="single" w:color="000000" w:sz="4" w:space="0"/>
                    <w:right w:val="single" w:color="000000" w:sz="4" w:space="0"/>
                  </w:tcBorders>
                </w:tcPr>
                <w:p w14:paraId="41570DE0"/>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9BDD88A">
                  <w:pPr>
                    <w:pStyle w:val="4"/>
                    <w:jc w:val="both"/>
                  </w:pPr>
                  <w:r>
                    <w:rPr>
                      <w:rFonts w:ascii="仿宋_GB2312" w:hAnsi="仿宋_GB2312" w:eastAsia="仿宋_GB2312" w:cs="仿宋_GB2312"/>
                      <w:sz w:val="24"/>
                    </w:rPr>
                    <w:t>把采购人验收不合格退货的货物重新配送给采购人（-10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5E3352E">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019CA75"/>
              </w:tc>
            </w:tr>
            <w:tr w14:paraId="4360B1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continue"/>
                  <w:tcBorders>
                    <w:top w:val="nil"/>
                    <w:left w:val="single" w:color="000000" w:sz="4" w:space="0"/>
                    <w:bottom w:val="single" w:color="000000" w:sz="4" w:space="0"/>
                    <w:right w:val="single" w:color="000000" w:sz="4" w:space="0"/>
                  </w:tcBorders>
                </w:tcPr>
                <w:p w14:paraId="7F8D8131"/>
              </w:tc>
              <w:tc>
                <w:tcPr>
                  <w:tcW w:w="477" w:type="dxa"/>
                  <w:vMerge w:val="continue"/>
                  <w:tcBorders>
                    <w:top w:val="nil"/>
                    <w:left w:val="nil"/>
                    <w:bottom w:val="single" w:color="000000" w:sz="4" w:space="0"/>
                    <w:right w:val="single" w:color="000000" w:sz="4" w:space="0"/>
                  </w:tcBorders>
                </w:tcPr>
                <w:p w14:paraId="3F1C022B"/>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EE16E81">
                  <w:pPr>
                    <w:pStyle w:val="4"/>
                    <w:jc w:val="both"/>
                  </w:pPr>
                  <w:r>
                    <w:rPr>
                      <w:rFonts w:ascii="仿宋_GB2312" w:hAnsi="仿宋_GB2312" w:eastAsia="仿宋_GB2312" w:cs="仿宋_GB2312"/>
                      <w:sz w:val="24"/>
                    </w:rPr>
                    <w:t>在包装、运输、装卸等环节不符合食品卫生要求（-5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1D6111E">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D201624"/>
              </w:tc>
            </w:tr>
            <w:tr w14:paraId="467C39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restart"/>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7691136">
                  <w:pPr>
                    <w:pStyle w:val="4"/>
                    <w:jc w:val="center"/>
                  </w:pPr>
                  <w:r>
                    <w:rPr>
                      <w:rFonts w:ascii="仿宋_GB2312" w:hAnsi="仿宋_GB2312" w:eastAsia="仿宋_GB2312" w:cs="仿宋_GB2312"/>
                      <w:sz w:val="24"/>
                    </w:rPr>
                    <w:t>服务</w:t>
                  </w:r>
                </w:p>
              </w:tc>
              <w:tc>
                <w:tcPr>
                  <w:tcW w:w="477" w:type="dxa"/>
                  <w:vMerge w:val="restart"/>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98D625E">
                  <w:pPr>
                    <w:pStyle w:val="4"/>
                    <w:jc w:val="center"/>
                  </w:pPr>
                  <w:r>
                    <w:rPr>
                      <w:rFonts w:ascii="仿宋_GB2312" w:hAnsi="仿宋_GB2312" w:eastAsia="仿宋_GB2312" w:cs="仿宋_GB2312"/>
                      <w:sz w:val="24"/>
                    </w:rPr>
                    <w:t>25</w:t>
                  </w:r>
                </w:p>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1A206523">
                  <w:pPr>
                    <w:pStyle w:val="4"/>
                    <w:jc w:val="both"/>
                  </w:pPr>
                  <w:r>
                    <w:rPr>
                      <w:rFonts w:ascii="仿宋_GB2312" w:hAnsi="仿宋_GB2312" w:eastAsia="仿宋_GB2312" w:cs="仿宋_GB2312"/>
                      <w:sz w:val="24"/>
                    </w:rPr>
                    <w:t>送货服务人员态度恶劣，不配合验收货（-5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DDB7AB2">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2852F34"/>
              </w:tc>
            </w:tr>
            <w:tr w14:paraId="4645DF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continue"/>
                  <w:tcBorders>
                    <w:top w:val="nil"/>
                    <w:left w:val="single" w:color="000000" w:sz="4" w:space="0"/>
                    <w:bottom w:val="single" w:color="000000" w:sz="4" w:space="0"/>
                    <w:right w:val="single" w:color="000000" w:sz="4" w:space="0"/>
                  </w:tcBorders>
                </w:tcPr>
                <w:p w14:paraId="6D5B4C7C"/>
              </w:tc>
              <w:tc>
                <w:tcPr>
                  <w:tcW w:w="477" w:type="dxa"/>
                  <w:vMerge w:val="continue"/>
                  <w:tcBorders>
                    <w:top w:val="nil"/>
                    <w:left w:val="nil"/>
                    <w:bottom w:val="single" w:color="000000" w:sz="4" w:space="0"/>
                    <w:right w:val="single" w:color="000000" w:sz="4" w:space="0"/>
                  </w:tcBorders>
                </w:tcPr>
                <w:p w14:paraId="6304078C"/>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1B5F6A1">
                  <w:pPr>
                    <w:pStyle w:val="4"/>
                    <w:jc w:val="both"/>
                  </w:pPr>
                  <w:r>
                    <w:rPr>
                      <w:rFonts w:ascii="仿宋_GB2312" w:hAnsi="仿宋_GB2312" w:eastAsia="仿宋_GB2312" w:cs="仿宋_GB2312"/>
                      <w:sz w:val="24"/>
                    </w:rPr>
                    <w:t>货物出现质量问题，中标人不积极配合查找原因，不及时反馈处理结果（-5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3254BD2">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781979E3"/>
              </w:tc>
            </w:tr>
            <w:tr w14:paraId="3FBC52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continue"/>
                  <w:tcBorders>
                    <w:top w:val="nil"/>
                    <w:left w:val="single" w:color="000000" w:sz="4" w:space="0"/>
                    <w:bottom w:val="single" w:color="000000" w:sz="4" w:space="0"/>
                    <w:right w:val="single" w:color="000000" w:sz="4" w:space="0"/>
                  </w:tcBorders>
                </w:tcPr>
                <w:p w14:paraId="5291DD72"/>
              </w:tc>
              <w:tc>
                <w:tcPr>
                  <w:tcW w:w="477" w:type="dxa"/>
                  <w:vMerge w:val="continue"/>
                  <w:tcBorders>
                    <w:top w:val="nil"/>
                    <w:left w:val="nil"/>
                    <w:bottom w:val="single" w:color="000000" w:sz="4" w:space="0"/>
                    <w:right w:val="single" w:color="000000" w:sz="4" w:space="0"/>
                  </w:tcBorders>
                </w:tcPr>
                <w:p w14:paraId="2007FB09"/>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AD6332C">
                  <w:pPr>
                    <w:pStyle w:val="4"/>
                    <w:jc w:val="both"/>
                  </w:pPr>
                  <w:r>
                    <w:rPr>
                      <w:rFonts w:ascii="仿宋_GB2312" w:hAnsi="仿宋_GB2312" w:eastAsia="仿宋_GB2312" w:cs="仿宋_GB2312"/>
                      <w:sz w:val="24"/>
                    </w:rPr>
                    <w:t>对采购人提出的合理建议未能在约定期限内回复（-5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555C710E">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386907B"/>
              </w:tc>
            </w:tr>
            <w:tr w14:paraId="3FAE63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vMerge w:val="continue"/>
                  <w:tcBorders>
                    <w:top w:val="nil"/>
                    <w:left w:val="single" w:color="000000" w:sz="4" w:space="0"/>
                    <w:bottom w:val="single" w:color="000000" w:sz="4" w:space="0"/>
                    <w:right w:val="single" w:color="000000" w:sz="4" w:space="0"/>
                  </w:tcBorders>
                </w:tcPr>
                <w:p w14:paraId="6791341C"/>
              </w:tc>
              <w:tc>
                <w:tcPr>
                  <w:tcW w:w="477" w:type="dxa"/>
                  <w:vMerge w:val="continue"/>
                  <w:tcBorders>
                    <w:top w:val="nil"/>
                    <w:left w:val="nil"/>
                    <w:bottom w:val="single" w:color="000000" w:sz="4" w:space="0"/>
                    <w:right w:val="single" w:color="000000" w:sz="4" w:space="0"/>
                  </w:tcBorders>
                </w:tcPr>
                <w:p w14:paraId="54DB660D"/>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FD5A860">
                  <w:pPr>
                    <w:pStyle w:val="4"/>
                    <w:jc w:val="both"/>
                  </w:pPr>
                  <w:r>
                    <w:rPr>
                      <w:rFonts w:ascii="仿宋_GB2312" w:hAnsi="仿宋_GB2312" w:eastAsia="仿宋_GB2312" w:cs="仿宋_GB2312"/>
                      <w:sz w:val="24"/>
                    </w:rPr>
                    <w:t>组织机构发生调整，或经营场所、联系人、联系方式变更，未及时通知采购人业务部门，造成无法及时联系（-10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CE23D87">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8045687"/>
              </w:tc>
            </w:tr>
            <w:tr w14:paraId="4962C2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77" w:type="dxa"/>
                  <w:tcBorders>
                    <w:top w:val="nil"/>
                    <w:left w:val="single" w:color="000000" w:sz="4" w:space="0"/>
                    <w:bottom w:val="nil"/>
                    <w:right w:val="single" w:color="000000" w:sz="4" w:space="0"/>
                  </w:tcBorders>
                  <w:shd w:val="clear" w:color="auto" w:fill="FFFFFF"/>
                  <w:tcMar>
                    <w:top w:w="0" w:type="dxa"/>
                    <w:left w:w="105" w:type="dxa"/>
                    <w:bottom w:w="0" w:type="dxa"/>
                    <w:right w:w="105" w:type="dxa"/>
                  </w:tcMar>
                  <w:vAlign w:val="top"/>
                </w:tcPr>
                <w:p w14:paraId="5EB02A94">
                  <w:pPr>
                    <w:pStyle w:val="4"/>
                    <w:jc w:val="center"/>
                  </w:pPr>
                  <w:r>
                    <w:rPr>
                      <w:rFonts w:ascii="仿宋_GB2312" w:hAnsi="仿宋_GB2312" w:eastAsia="仿宋_GB2312" w:cs="仿宋_GB2312"/>
                      <w:sz w:val="24"/>
                    </w:rPr>
                    <w:t>其它</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41D802DB">
                  <w:pPr>
                    <w:pStyle w:val="4"/>
                    <w:jc w:val="center"/>
                  </w:pPr>
                  <w:r>
                    <w:rPr>
                      <w:rFonts w:ascii="仿宋_GB2312" w:hAnsi="仿宋_GB2312" w:eastAsia="仿宋_GB2312" w:cs="仿宋_GB2312"/>
                      <w:sz w:val="24"/>
                    </w:rPr>
                    <w:t>10</w:t>
                  </w:r>
                </w:p>
              </w:tc>
              <w:tc>
                <w:tcPr>
                  <w:tcW w:w="364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3F8D1853">
                  <w:pPr>
                    <w:pStyle w:val="4"/>
                    <w:jc w:val="both"/>
                  </w:pPr>
                  <w:r>
                    <w:rPr>
                      <w:rFonts w:ascii="仿宋_GB2312" w:hAnsi="仿宋_GB2312" w:eastAsia="仿宋_GB2312" w:cs="仿宋_GB2312"/>
                      <w:sz w:val="24"/>
                    </w:rPr>
                    <w:t>产品溯源管理制度不落实，进货查验记录不全的（-10 分）</w:t>
                  </w:r>
                </w:p>
              </w:tc>
              <w:tc>
                <w:tcPr>
                  <w:tcW w:w="47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0A6C39ED">
                  <w:pPr>
                    <w:pStyle w:val="4"/>
                    <w:jc w:val="center"/>
                  </w:pPr>
                </w:p>
              </w:tc>
              <w:tc>
                <w:tcPr>
                  <w:tcW w:w="52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14:paraId="245A65C5"/>
              </w:tc>
            </w:tr>
            <w:tr w14:paraId="380774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99" w:type="dxa"/>
                  <w:gridSpan w:val="5"/>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604CCB7">
                  <w:pPr>
                    <w:pStyle w:val="4"/>
                    <w:jc w:val="center"/>
                  </w:pPr>
                  <w:r>
                    <w:rPr>
                      <w:rFonts w:ascii="仿宋_GB2312" w:hAnsi="仿宋_GB2312" w:eastAsia="仿宋_GB2312" w:cs="仿宋_GB2312"/>
                      <w:sz w:val="24"/>
                    </w:rPr>
                    <w:t>考评总分：__________</w:t>
                  </w:r>
                </w:p>
              </w:tc>
            </w:tr>
          </w:tbl>
          <w:p w14:paraId="4222DE85">
            <w:pPr>
              <w:pStyle w:val="4"/>
              <w:ind w:firstLine="560"/>
              <w:jc w:val="both"/>
            </w:pPr>
            <w:r>
              <w:rPr>
                <w:rFonts w:ascii="仿宋_GB2312" w:hAnsi="仿宋_GB2312" w:eastAsia="仿宋_GB2312" w:cs="仿宋_GB2312"/>
                <w:sz w:val="24"/>
              </w:rPr>
              <w:t>注：1、执行标准，如有国家最新标准，按最新标准执行。</w:t>
            </w:r>
          </w:p>
          <w:p w14:paraId="085EE505">
            <w:pPr>
              <w:pStyle w:val="4"/>
              <w:ind w:firstLine="560"/>
              <w:jc w:val="both"/>
            </w:pPr>
            <w:r>
              <w:rPr>
                <w:rFonts w:ascii="仿宋_GB2312" w:hAnsi="仿宋_GB2312" w:eastAsia="仿宋_GB2312" w:cs="仿宋_GB2312"/>
                <w:sz w:val="24"/>
              </w:rPr>
              <w:t>★2、为了提高服务质量，在本次服务期内，履约服务于采购人所属学校食堂的劳务服务方，不得参加本次的采购活动。（提供承诺函，格式自拟）</w:t>
            </w:r>
          </w:p>
        </w:tc>
      </w:tr>
    </w:tbl>
    <w:p w14:paraId="73B61867">
      <w:pPr>
        <w:pStyle w:val="4"/>
        <w:jc w:val="left"/>
        <w:outlineLvl w:val="2"/>
      </w:pPr>
      <w:r>
        <w:rPr>
          <w:rFonts w:ascii="仿宋_GB2312" w:hAnsi="仿宋_GB2312" w:eastAsia="仿宋_GB2312" w:cs="仿宋_GB2312"/>
          <w:b/>
          <w:sz w:val="28"/>
        </w:rPr>
        <w:t>3.3.服务要求</w:t>
      </w:r>
    </w:p>
    <w:p w14:paraId="1941A4C4">
      <w:pPr>
        <w:pStyle w:val="4"/>
        <w:jc w:val="left"/>
        <w:outlineLvl w:val="3"/>
      </w:pPr>
      <w:r>
        <w:rPr>
          <w:rFonts w:ascii="仿宋_GB2312" w:hAnsi="仿宋_GB2312" w:eastAsia="仿宋_GB2312" w:cs="仿宋_GB2312"/>
          <w:b/>
          <w:sz w:val="24"/>
        </w:rPr>
        <w:t>3.3.1.服务内容要求</w:t>
      </w:r>
    </w:p>
    <w:p w14:paraId="4857C23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6822C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F96510">
            <w:pPr>
              <w:pStyle w:val="4"/>
              <w:jc w:val="center"/>
            </w:pPr>
            <w:r>
              <w:rPr>
                <w:rFonts w:ascii="仿宋_GB2312" w:hAnsi="仿宋_GB2312" w:eastAsia="仿宋_GB2312" w:cs="仿宋_GB2312"/>
              </w:rPr>
              <w:t xml:space="preserve"> 序号</w:t>
            </w:r>
          </w:p>
        </w:tc>
        <w:tc>
          <w:tcPr>
            <w:tcW w:w="581" w:type="dxa"/>
          </w:tcPr>
          <w:p w14:paraId="7CD93A9B">
            <w:pPr>
              <w:pStyle w:val="4"/>
              <w:jc w:val="center"/>
            </w:pPr>
            <w:r>
              <w:rPr>
                <w:rFonts w:ascii="仿宋_GB2312" w:hAnsi="仿宋_GB2312" w:eastAsia="仿宋_GB2312" w:cs="仿宋_GB2312"/>
              </w:rPr>
              <w:t xml:space="preserve"> 符号标识</w:t>
            </w:r>
          </w:p>
        </w:tc>
        <w:tc>
          <w:tcPr>
            <w:tcW w:w="1495" w:type="dxa"/>
          </w:tcPr>
          <w:p w14:paraId="21540E7F">
            <w:pPr>
              <w:pStyle w:val="4"/>
              <w:jc w:val="center"/>
            </w:pPr>
            <w:r>
              <w:rPr>
                <w:rFonts w:ascii="仿宋_GB2312" w:hAnsi="仿宋_GB2312" w:eastAsia="仿宋_GB2312" w:cs="仿宋_GB2312"/>
              </w:rPr>
              <w:t xml:space="preserve"> 服务要求名称</w:t>
            </w:r>
          </w:p>
        </w:tc>
        <w:tc>
          <w:tcPr>
            <w:tcW w:w="5814" w:type="dxa"/>
          </w:tcPr>
          <w:p w14:paraId="2A46CCB7">
            <w:pPr>
              <w:pStyle w:val="4"/>
              <w:jc w:val="center"/>
            </w:pPr>
            <w:r>
              <w:rPr>
                <w:rFonts w:ascii="仿宋_GB2312" w:hAnsi="仿宋_GB2312" w:eastAsia="仿宋_GB2312" w:cs="仿宋_GB2312"/>
              </w:rPr>
              <w:t xml:space="preserve"> 服务要求内容</w:t>
            </w:r>
          </w:p>
        </w:tc>
      </w:tr>
      <w:tr w14:paraId="29264B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81F011">
            <w:pPr>
              <w:pStyle w:val="4"/>
              <w:jc w:val="center"/>
            </w:pPr>
            <w:r>
              <w:rPr>
                <w:rFonts w:ascii="仿宋_GB2312" w:hAnsi="仿宋_GB2312" w:eastAsia="仿宋_GB2312" w:cs="仿宋_GB2312"/>
              </w:rPr>
              <w:t>1</w:t>
            </w:r>
          </w:p>
        </w:tc>
        <w:tc>
          <w:tcPr>
            <w:tcW w:w="581" w:type="dxa"/>
          </w:tcPr>
          <w:p w14:paraId="23DA0F07"/>
        </w:tc>
        <w:tc>
          <w:tcPr>
            <w:tcW w:w="1495" w:type="dxa"/>
          </w:tcPr>
          <w:p w14:paraId="4D9A8FB0">
            <w:pPr>
              <w:pStyle w:val="4"/>
              <w:jc w:val="left"/>
            </w:pPr>
            <w:r>
              <w:rPr>
                <w:rFonts w:ascii="仿宋_GB2312" w:hAnsi="仿宋_GB2312" w:eastAsia="仿宋_GB2312" w:cs="仿宋_GB2312"/>
              </w:rPr>
              <w:t>服务、应急、售后方案</w:t>
            </w:r>
          </w:p>
        </w:tc>
        <w:tc>
          <w:tcPr>
            <w:tcW w:w="5814" w:type="dxa"/>
          </w:tcPr>
          <w:p w14:paraId="282EC604">
            <w:pPr>
              <w:pStyle w:val="4"/>
              <w:jc w:val="left"/>
            </w:pPr>
            <w:r>
              <w:rPr>
                <w:rFonts w:ascii="仿宋_GB2312" w:hAnsi="仿宋_GB2312" w:eastAsia="仿宋_GB2312" w:cs="仿宋_GB2312"/>
                <w:b/>
                <w:color w:val="333333"/>
                <w:sz w:val="24"/>
              </w:rPr>
              <w:t>1.服务方案应包括：</w:t>
            </w:r>
            <w:r>
              <w:rPr>
                <w:rFonts w:ascii="仿宋_GB2312" w:hAnsi="仿宋_GB2312" w:eastAsia="仿宋_GB2312" w:cs="仿宋_GB2312"/>
                <w:sz w:val="24"/>
              </w:rPr>
              <w:t>①配送组织结构：（包含食品管理团队、执行团队，应分工明确，流程以及权限范围可追溯。）；</w:t>
            </w:r>
          </w:p>
          <w:p w14:paraId="795F06FE">
            <w:pPr>
              <w:pStyle w:val="4"/>
              <w:jc w:val="left"/>
            </w:pPr>
            <w:r>
              <w:rPr>
                <w:rFonts w:ascii="仿宋_GB2312" w:hAnsi="仿宋_GB2312" w:eastAsia="仿宋_GB2312" w:cs="仿宋_GB2312"/>
                <w:sz w:val="24"/>
              </w:rPr>
              <w:t>②配送体系及流程；</w:t>
            </w:r>
          </w:p>
          <w:p w14:paraId="2F4FAC2E">
            <w:pPr>
              <w:pStyle w:val="4"/>
              <w:jc w:val="left"/>
            </w:pPr>
            <w:r>
              <w:rPr>
                <w:rFonts w:ascii="仿宋_GB2312" w:hAnsi="仿宋_GB2312" w:eastAsia="仿宋_GB2312" w:cs="仿宋_GB2312"/>
                <w:sz w:val="24"/>
              </w:rPr>
              <w:t>③配送路线安排（按采购人地址规划配送路线，应当不少于2条（含 2条）配送路线，提供具体的执行方案）；</w:t>
            </w:r>
          </w:p>
          <w:p w14:paraId="09D93E5F">
            <w:pPr>
              <w:pStyle w:val="4"/>
              <w:jc w:val="left"/>
            </w:pPr>
            <w:r>
              <w:rPr>
                <w:rFonts w:ascii="仿宋_GB2312" w:hAnsi="仿宋_GB2312" w:eastAsia="仿宋_GB2312" w:cs="仿宋_GB2312"/>
                <w:sz w:val="24"/>
              </w:rPr>
              <w:t>④配送人员及车辆（制度中体现针对本项目的配送人员管理应当权责清晰，有专门的管理团队、执行团队，分工明确，流程以及权限范围可追溯）；</w:t>
            </w:r>
          </w:p>
          <w:p w14:paraId="778D3A3D">
            <w:pPr>
              <w:pStyle w:val="4"/>
              <w:jc w:val="left"/>
            </w:pPr>
            <w:r>
              <w:rPr>
                <w:rFonts w:ascii="仿宋_GB2312" w:hAnsi="仿宋_GB2312" w:eastAsia="仿宋_GB2312" w:cs="仿宋_GB2312"/>
                <w:sz w:val="24"/>
              </w:rPr>
              <w:t>⑤产品安全保证措施（提供食材配送建议及食材保存建议。食材进入食堂应当透明化，保障食材安全，提供具体的执行方案）；</w:t>
            </w:r>
          </w:p>
          <w:p w14:paraId="455D55EC">
            <w:pPr>
              <w:pStyle w:val="4"/>
              <w:jc w:val="left"/>
            </w:pPr>
            <w:r>
              <w:rPr>
                <w:rFonts w:ascii="仿宋_GB2312" w:hAnsi="仿宋_GB2312" w:eastAsia="仿宋_GB2312" w:cs="仿宋_GB2312"/>
                <w:sz w:val="24"/>
              </w:rPr>
              <w:t>⑥仓储管理措施（针对分配管理，及时出库、入库的管理，分拣配送管理，提供具体的执行方案）；</w:t>
            </w:r>
          </w:p>
          <w:p w14:paraId="7986296D">
            <w:pPr>
              <w:pStyle w:val="4"/>
              <w:jc w:val="left"/>
            </w:pPr>
            <w:r>
              <w:rPr>
                <w:rFonts w:ascii="仿宋_GB2312" w:hAnsi="仿宋_GB2312" w:eastAsia="仿宋_GB2312" w:cs="仿宋_GB2312"/>
                <w:sz w:val="24"/>
              </w:rPr>
              <w:t>⑦配送过程中安全管理措施（制度中体现针对本项目的食品安全运送应当有具体的执行人员，执行方式，执行流程，在食品运送过程中，要保障运送过程安全、运送中食材质量的保障、运送人员安全以及进入配送监区时的安全措施，做到不耽误配送行程，运输过程应当做好相应记录）；</w:t>
            </w:r>
          </w:p>
          <w:p w14:paraId="6A6F7CBF">
            <w:pPr>
              <w:pStyle w:val="4"/>
              <w:jc w:val="left"/>
            </w:pPr>
            <w:r>
              <w:rPr>
                <w:rFonts w:ascii="仿宋_GB2312" w:hAnsi="仿宋_GB2312" w:eastAsia="仿宋_GB2312" w:cs="仿宋_GB2312"/>
                <w:sz w:val="24"/>
              </w:rPr>
              <w:t>⑧配送时效性及配送时间（包含具体及时的配送时间安排，结合采购人实际情况配送，不得干扰正常办公秩序，提供具体的执行方案）。</w:t>
            </w:r>
          </w:p>
          <w:p w14:paraId="146830B9">
            <w:pPr>
              <w:pStyle w:val="4"/>
              <w:jc w:val="left"/>
            </w:pPr>
            <w:r>
              <w:rPr>
                <w:rFonts w:ascii="仿宋_GB2312" w:hAnsi="仿宋_GB2312" w:eastAsia="仿宋_GB2312" w:cs="仿宋_GB2312"/>
                <w:b/>
                <w:color w:val="333333"/>
                <w:sz w:val="24"/>
              </w:rPr>
              <w:t>2.应急预案应包括：</w:t>
            </w:r>
            <w:r>
              <w:rPr>
                <w:rFonts w:ascii="仿宋_GB2312" w:hAnsi="仿宋_GB2312" w:eastAsia="仿宋_GB2312" w:cs="仿宋_GB2312"/>
                <w:color w:val="333333"/>
                <w:sz w:val="24"/>
              </w:rPr>
              <w:t>①应急管理机构及应急工作队伍联系方式：（</w:t>
            </w:r>
            <w:r>
              <w:rPr>
                <w:rFonts w:ascii="仿宋_GB2312" w:hAnsi="仿宋_GB2312" w:eastAsia="仿宋_GB2312" w:cs="仿宋_GB2312"/>
                <w:sz w:val="24"/>
              </w:rPr>
              <w:t>应包含应急团队人员安排，其中必须包含投标人公司主要负责人，应分工明确，流程以及权限范围可追溯，能提供应急联系方式，包括主要负责人联系方式</w:t>
            </w:r>
            <w:r>
              <w:rPr>
                <w:rFonts w:ascii="仿宋_GB2312" w:hAnsi="仿宋_GB2312" w:eastAsia="仿宋_GB2312" w:cs="仿宋_GB2312"/>
                <w:color w:val="333333"/>
                <w:sz w:val="24"/>
              </w:rPr>
              <w:t>）；</w:t>
            </w:r>
          </w:p>
          <w:p w14:paraId="76281C03">
            <w:pPr>
              <w:pStyle w:val="4"/>
              <w:jc w:val="left"/>
            </w:pPr>
            <w:r>
              <w:rPr>
                <w:rFonts w:ascii="仿宋_GB2312" w:hAnsi="仿宋_GB2312" w:eastAsia="仿宋_GB2312" w:cs="仿宋_GB2312"/>
                <w:color w:val="333333"/>
                <w:sz w:val="24"/>
              </w:rPr>
              <w:t>②特殊时段食堂临时需求</w:t>
            </w:r>
            <w:r>
              <w:rPr>
                <w:rFonts w:ascii="仿宋_GB2312" w:hAnsi="仿宋_GB2312" w:eastAsia="仿宋_GB2312" w:cs="仿宋_GB2312"/>
                <w:sz w:val="24"/>
              </w:rPr>
              <w:t>（有明确的应急措施，如紧急采买、仓库调配、应急配送，如配送食材发生变更，应提供应急检测，提供应急响应速度承诺及应急路线）；</w:t>
            </w:r>
          </w:p>
          <w:p w14:paraId="7BB4F8A1">
            <w:pPr>
              <w:pStyle w:val="4"/>
              <w:jc w:val="left"/>
            </w:pPr>
            <w:r>
              <w:rPr>
                <w:rFonts w:ascii="仿宋_GB2312" w:hAnsi="仿宋_GB2312" w:eastAsia="仿宋_GB2312" w:cs="仿宋_GB2312"/>
                <w:color w:val="333333"/>
                <w:sz w:val="24"/>
              </w:rPr>
              <w:t>③发生影响正常配送（如停水停电停气、交通管制、雨季汛期等）的突发情况：</w:t>
            </w:r>
            <w:r>
              <w:rPr>
                <w:rFonts w:ascii="仿宋_GB2312" w:hAnsi="仿宋_GB2312" w:eastAsia="仿宋_GB2312" w:cs="仿宋_GB2312"/>
                <w:sz w:val="24"/>
              </w:rPr>
              <w:t>（在正常配送情况无法满足的情况下，有相应的处理措施，如车辆调配、路线变更、紧急采买；还包含提供对于突发疫情所应对的预案，当发生应急突发状况时，投标人应根据采购人需求按指定地点储备和供应相应品种和数量的货物）</w:t>
            </w:r>
          </w:p>
          <w:p w14:paraId="179EDA0F">
            <w:pPr>
              <w:pStyle w:val="4"/>
              <w:jc w:val="left"/>
            </w:pPr>
            <w:r>
              <w:rPr>
                <w:rFonts w:ascii="仿宋_GB2312" w:hAnsi="仿宋_GB2312" w:eastAsia="仿宋_GB2312" w:cs="仿宋_GB2312"/>
                <w:color w:val="333333"/>
                <w:sz w:val="24"/>
              </w:rPr>
              <w:t>④产品安全事故的应急处置预案及应急赔付</w:t>
            </w:r>
            <w:r>
              <w:rPr>
                <w:rFonts w:ascii="仿宋_GB2312" w:hAnsi="仿宋_GB2312" w:eastAsia="仿宋_GB2312" w:cs="仿宋_GB2312"/>
                <w:sz w:val="24"/>
              </w:rPr>
              <w:t>（发生事件后，主要负责人必须第一时间到达现场配合调查处理和安抚工作，并承担所有法律责任，同时提供应急处置方案及应急赔付方案，包括处理流程、处理方式，并做出所有流程记录）</w:t>
            </w:r>
          </w:p>
          <w:p w14:paraId="63A7F628">
            <w:pPr>
              <w:pStyle w:val="4"/>
              <w:jc w:val="left"/>
            </w:pPr>
            <w:r>
              <w:rPr>
                <w:rFonts w:ascii="仿宋_GB2312" w:hAnsi="仿宋_GB2312" w:eastAsia="仿宋_GB2312" w:cs="仿宋_GB2312"/>
                <w:color w:val="333333"/>
                <w:sz w:val="24"/>
              </w:rPr>
              <w:t>⑤其他突发状况应急预案等</w:t>
            </w:r>
          </w:p>
          <w:p w14:paraId="0B2BC5D0">
            <w:pPr>
              <w:pStyle w:val="4"/>
              <w:jc w:val="left"/>
            </w:pPr>
            <w:r>
              <w:rPr>
                <w:rFonts w:ascii="仿宋_GB2312" w:hAnsi="仿宋_GB2312" w:eastAsia="仿宋_GB2312" w:cs="仿宋_GB2312"/>
                <w:b/>
                <w:color w:val="333333"/>
                <w:sz w:val="24"/>
              </w:rPr>
              <w:t>3.售后服务方案应包括：</w:t>
            </w:r>
          </w:p>
          <w:p w14:paraId="79964BAC">
            <w:pPr>
              <w:pStyle w:val="4"/>
              <w:jc w:val="left"/>
            </w:pPr>
            <w:r>
              <w:rPr>
                <w:rFonts w:ascii="仿宋_GB2312" w:hAnsi="仿宋_GB2312" w:eastAsia="仿宋_GB2312" w:cs="仿宋_GB2312"/>
                <w:color w:val="333333"/>
                <w:sz w:val="24"/>
              </w:rPr>
              <w:t>①售后服务制度</w:t>
            </w:r>
          </w:p>
          <w:p w14:paraId="25172D1E">
            <w:pPr>
              <w:pStyle w:val="4"/>
              <w:jc w:val="left"/>
            </w:pPr>
            <w:r>
              <w:rPr>
                <w:rFonts w:ascii="仿宋_GB2312" w:hAnsi="仿宋_GB2312" w:eastAsia="仿宋_GB2312" w:cs="仿宋_GB2312"/>
                <w:color w:val="333333"/>
                <w:sz w:val="24"/>
              </w:rPr>
              <w:t>②售后服务人员及联系方式（</w:t>
            </w:r>
            <w:r>
              <w:rPr>
                <w:rFonts w:ascii="仿宋_GB2312" w:hAnsi="仿宋_GB2312" w:eastAsia="仿宋_GB2312" w:cs="仿宋_GB2312"/>
                <w:sz w:val="24"/>
              </w:rPr>
              <w:t>应包含售后团队人员安排，能提供联系方式，包括主要负责人联系方式</w:t>
            </w:r>
            <w:r>
              <w:rPr>
                <w:rFonts w:ascii="仿宋_GB2312" w:hAnsi="仿宋_GB2312" w:eastAsia="仿宋_GB2312" w:cs="仿宋_GB2312"/>
                <w:color w:val="333333"/>
                <w:sz w:val="24"/>
              </w:rPr>
              <w:t>）；</w:t>
            </w:r>
          </w:p>
          <w:p w14:paraId="01A2DBC3">
            <w:pPr>
              <w:pStyle w:val="4"/>
              <w:jc w:val="left"/>
            </w:pPr>
            <w:r>
              <w:rPr>
                <w:rFonts w:ascii="仿宋_GB2312" w:hAnsi="仿宋_GB2312" w:eastAsia="仿宋_GB2312" w:cs="仿宋_GB2312"/>
                <w:color w:val="333333"/>
                <w:sz w:val="24"/>
              </w:rPr>
              <w:t>③退换货处理方案</w:t>
            </w:r>
            <w:r>
              <w:rPr>
                <w:rFonts w:ascii="仿宋_GB2312" w:hAnsi="仿宋_GB2312" w:eastAsia="仿宋_GB2312" w:cs="仿宋_GB2312"/>
                <w:sz w:val="24"/>
              </w:rPr>
              <w:t>（对于采购人提出的合理退换货要求，应当及时响应并及时退换，换出的食材应保障质量及供应，有专人处理、监督，处理流程记录可追溯）；</w:t>
            </w:r>
          </w:p>
          <w:p w14:paraId="7C5682AC">
            <w:pPr>
              <w:pStyle w:val="4"/>
              <w:jc w:val="left"/>
            </w:pPr>
            <w:r>
              <w:rPr>
                <w:rFonts w:ascii="仿宋_GB2312" w:hAnsi="仿宋_GB2312" w:eastAsia="仿宋_GB2312" w:cs="仿宋_GB2312"/>
                <w:color w:val="333333"/>
                <w:sz w:val="24"/>
              </w:rPr>
              <w:t>④突发事故处理方案；</w:t>
            </w:r>
          </w:p>
          <w:p w14:paraId="559294AC">
            <w:pPr>
              <w:pStyle w:val="4"/>
              <w:jc w:val="left"/>
            </w:pPr>
            <w:r>
              <w:rPr>
                <w:rFonts w:ascii="仿宋_GB2312" w:hAnsi="仿宋_GB2312" w:eastAsia="仿宋_GB2312" w:cs="仿宋_GB2312"/>
                <w:sz w:val="24"/>
              </w:rPr>
              <w:t>⑤售后时间响应（采购人就食材质量、数量、规格、配送差错等问题提出反馈，供应商须1小时内予以响应对接，明确处置方案）；</w:t>
            </w:r>
          </w:p>
          <w:p w14:paraId="41D8F85E">
            <w:pPr>
              <w:pStyle w:val="4"/>
              <w:jc w:val="left"/>
            </w:pPr>
            <w:r>
              <w:rPr>
                <w:rFonts w:ascii="仿宋_GB2312" w:hAnsi="仿宋_GB2312" w:eastAsia="仿宋_GB2312" w:cs="仿宋_GB2312"/>
                <w:color w:val="333333"/>
                <w:sz w:val="24"/>
              </w:rPr>
              <w:t>⑥售后服务承诺。</w:t>
            </w:r>
          </w:p>
        </w:tc>
      </w:tr>
    </w:tbl>
    <w:p w14:paraId="688AD64E">
      <w:pPr>
        <w:pStyle w:val="4"/>
        <w:jc w:val="left"/>
        <w:outlineLvl w:val="3"/>
      </w:pPr>
      <w:r>
        <w:rPr>
          <w:rFonts w:ascii="仿宋_GB2312" w:hAnsi="仿宋_GB2312" w:eastAsia="仿宋_GB2312" w:cs="仿宋_GB2312"/>
          <w:b/>
          <w:sz w:val="24"/>
        </w:rPr>
        <w:t>3.3.2.商务要求</w:t>
      </w:r>
    </w:p>
    <w:p w14:paraId="28DB6820">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26537F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A8B305C">
            <w:pPr>
              <w:pStyle w:val="4"/>
              <w:jc w:val="left"/>
            </w:pPr>
            <w:r>
              <w:rPr>
                <w:rFonts w:ascii="仿宋_GB2312" w:hAnsi="仿宋_GB2312" w:eastAsia="仿宋_GB2312" w:cs="仿宋_GB2312"/>
              </w:rPr>
              <w:t>序号</w:t>
            </w:r>
          </w:p>
        </w:tc>
        <w:tc>
          <w:tcPr>
            <w:tcW w:w="2076" w:type="dxa"/>
          </w:tcPr>
          <w:p w14:paraId="13807506">
            <w:pPr>
              <w:pStyle w:val="4"/>
              <w:jc w:val="left"/>
            </w:pPr>
            <w:r>
              <w:rPr>
                <w:rFonts w:ascii="仿宋_GB2312" w:hAnsi="仿宋_GB2312" w:eastAsia="仿宋_GB2312" w:cs="仿宋_GB2312"/>
              </w:rPr>
              <w:t>符号标识</w:t>
            </w:r>
          </w:p>
        </w:tc>
        <w:tc>
          <w:tcPr>
            <w:tcW w:w="2076" w:type="dxa"/>
          </w:tcPr>
          <w:p w14:paraId="05615190">
            <w:pPr>
              <w:pStyle w:val="4"/>
              <w:jc w:val="left"/>
            </w:pPr>
            <w:r>
              <w:rPr>
                <w:rFonts w:ascii="仿宋_GB2312" w:hAnsi="仿宋_GB2312" w:eastAsia="仿宋_GB2312" w:cs="仿宋_GB2312"/>
              </w:rPr>
              <w:t>商务要求名称</w:t>
            </w:r>
          </w:p>
        </w:tc>
        <w:tc>
          <w:tcPr>
            <w:tcW w:w="2076" w:type="dxa"/>
          </w:tcPr>
          <w:p w14:paraId="06008A42">
            <w:pPr>
              <w:pStyle w:val="4"/>
              <w:jc w:val="left"/>
            </w:pPr>
            <w:r>
              <w:rPr>
                <w:rFonts w:ascii="仿宋_GB2312" w:hAnsi="仿宋_GB2312" w:eastAsia="仿宋_GB2312" w:cs="仿宋_GB2312"/>
              </w:rPr>
              <w:t>商务要求内容</w:t>
            </w:r>
          </w:p>
        </w:tc>
      </w:tr>
      <w:tr w14:paraId="3EFE84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9878657">
            <w:pPr>
              <w:pStyle w:val="4"/>
              <w:jc w:val="left"/>
            </w:pPr>
            <w:r>
              <w:rPr>
                <w:rFonts w:ascii="仿宋_GB2312" w:hAnsi="仿宋_GB2312" w:eastAsia="仿宋_GB2312" w:cs="仿宋_GB2312"/>
              </w:rPr>
              <w:t>1</w:t>
            </w:r>
          </w:p>
        </w:tc>
        <w:tc>
          <w:tcPr>
            <w:tcW w:w="2076" w:type="dxa"/>
          </w:tcPr>
          <w:p w14:paraId="6BA3093F">
            <w:pPr>
              <w:pStyle w:val="4"/>
              <w:jc w:val="left"/>
            </w:pPr>
            <w:r>
              <w:rPr>
                <w:rFonts w:ascii="仿宋_GB2312" w:hAnsi="仿宋_GB2312" w:eastAsia="仿宋_GB2312" w:cs="仿宋_GB2312"/>
              </w:rPr>
              <w:t>★</w:t>
            </w:r>
          </w:p>
        </w:tc>
        <w:tc>
          <w:tcPr>
            <w:tcW w:w="2076" w:type="dxa"/>
          </w:tcPr>
          <w:p w14:paraId="7E22D4CC">
            <w:pPr>
              <w:pStyle w:val="4"/>
              <w:jc w:val="left"/>
            </w:pPr>
            <w:r>
              <w:rPr>
                <w:rFonts w:ascii="仿宋_GB2312" w:hAnsi="仿宋_GB2312" w:eastAsia="仿宋_GB2312" w:cs="仿宋_GB2312"/>
              </w:rPr>
              <w:t>服务期限</w:t>
            </w:r>
          </w:p>
        </w:tc>
        <w:tc>
          <w:tcPr>
            <w:tcW w:w="2076" w:type="dxa"/>
          </w:tcPr>
          <w:p w14:paraId="3DFEF86A">
            <w:pPr>
              <w:pStyle w:val="4"/>
              <w:jc w:val="left"/>
            </w:pPr>
            <w:r>
              <w:rPr>
                <w:rFonts w:ascii="仿宋_GB2312" w:hAnsi="仿宋_GB2312" w:eastAsia="仿宋_GB2312" w:cs="仿宋_GB2312"/>
              </w:rPr>
              <w:t>自合同签订之日起1095个日历天。合同一年一签，每年根据考核和学校实际需要由会议研究决定是否续签下一年合同，总期限不超过三年。</w:t>
            </w:r>
          </w:p>
        </w:tc>
      </w:tr>
      <w:tr w14:paraId="4906DA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5D2528B">
            <w:pPr>
              <w:pStyle w:val="4"/>
              <w:jc w:val="left"/>
            </w:pPr>
            <w:r>
              <w:rPr>
                <w:rFonts w:ascii="仿宋_GB2312" w:hAnsi="仿宋_GB2312" w:eastAsia="仿宋_GB2312" w:cs="仿宋_GB2312"/>
              </w:rPr>
              <w:t>2</w:t>
            </w:r>
          </w:p>
        </w:tc>
        <w:tc>
          <w:tcPr>
            <w:tcW w:w="2076" w:type="dxa"/>
          </w:tcPr>
          <w:p w14:paraId="66A7DC8C">
            <w:pPr>
              <w:pStyle w:val="4"/>
              <w:jc w:val="left"/>
            </w:pPr>
            <w:r>
              <w:rPr>
                <w:rFonts w:ascii="仿宋_GB2312" w:hAnsi="仿宋_GB2312" w:eastAsia="仿宋_GB2312" w:cs="仿宋_GB2312"/>
              </w:rPr>
              <w:t>★</w:t>
            </w:r>
          </w:p>
        </w:tc>
        <w:tc>
          <w:tcPr>
            <w:tcW w:w="2076" w:type="dxa"/>
          </w:tcPr>
          <w:p w14:paraId="2861D7EE">
            <w:pPr>
              <w:pStyle w:val="4"/>
              <w:jc w:val="left"/>
            </w:pPr>
            <w:r>
              <w:rPr>
                <w:rFonts w:ascii="仿宋_GB2312" w:hAnsi="仿宋_GB2312" w:eastAsia="仿宋_GB2312" w:cs="仿宋_GB2312"/>
              </w:rPr>
              <w:t>服务地点</w:t>
            </w:r>
          </w:p>
        </w:tc>
        <w:tc>
          <w:tcPr>
            <w:tcW w:w="2076" w:type="dxa"/>
          </w:tcPr>
          <w:p w14:paraId="2B290C49">
            <w:pPr>
              <w:pStyle w:val="4"/>
              <w:jc w:val="left"/>
            </w:pPr>
            <w:r>
              <w:rPr>
                <w:rFonts w:ascii="仿宋_GB2312" w:hAnsi="仿宋_GB2312" w:eastAsia="仿宋_GB2312" w:cs="仿宋_GB2312"/>
              </w:rPr>
              <w:t>四川省巴中中学（兴文校区、龙湖校区、云屏校区）</w:t>
            </w:r>
          </w:p>
        </w:tc>
      </w:tr>
      <w:tr w14:paraId="59075D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160498E">
            <w:pPr>
              <w:pStyle w:val="4"/>
              <w:jc w:val="left"/>
            </w:pPr>
            <w:r>
              <w:rPr>
                <w:rFonts w:ascii="仿宋_GB2312" w:hAnsi="仿宋_GB2312" w:eastAsia="仿宋_GB2312" w:cs="仿宋_GB2312"/>
              </w:rPr>
              <w:t>3</w:t>
            </w:r>
          </w:p>
        </w:tc>
        <w:tc>
          <w:tcPr>
            <w:tcW w:w="2076" w:type="dxa"/>
          </w:tcPr>
          <w:p w14:paraId="6F9E14F8">
            <w:pPr>
              <w:pStyle w:val="4"/>
              <w:jc w:val="left"/>
            </w:pPr>
            <w:r>
              <w:rPr>
                <w:rFonts w:ascii="仿宋_GB2312" w:hAnsi="仿宋_GB2312" w:eastAsia="仿宋_GB2312" w:cs="仿宋_GB2312"/>
              </w:rPr>
              <w:t>★</w:t>
            </w:r>
          </w:p>
        </w:tc>
        <w:tc>
          <w:tcPr>
            <w:tcW w:w="2076" w:type="dxa"/>
          </w:tcPr>
          <w:p w14:paraId="71F46A3C">
            <w:pPr>
              <w:pStyle w:val="4"/>
              <w:jc w:val="left"/>
            </w:pPr>
            <w:r>
              <w:rPr>
                <w:rFonts w:ascii="仿宋_GB2312" w:hAnsi="仿宋_GB2312" w:eastAsia="仿宋_GB2312" w:cs="仿宋_GB2312"/>
              </w:rPr>
              <w:t>验收、交付标准和方法</w:t>
            </w:r>
          </w:p>
        </w:tc>
        <w:tc>
          <w:tcPr>
            <w:tcW w:w="2076" w:type="dxa"/>
          </w:tcPr>
          <w:p w14:paraId="7D75E449">
            <w:pPr>
              <w:pStyle w:val="4"/>
              <w:jc w:val="left"/>
            </w:pPr>
            <w:r>
              <w:rPr>
                <w:rFonts w:ascii="仿宋_GB2312" w:hAnsi="仿宋_GB2312" w:eastAsia="仿宋_GB2312" w:cs="仿宋_GB2312"/>
              </w:rPr>
              <w:t>（1）招标人将严格按照考核标准对中标人进行考核。详见第三章考核标准。（2）招标人严格按照《财政部关于进一步加强政 府采购需求和履约验收管理的指导意见》(川财采〔2016〕205号)、 《财政部关于印发&lt;政府采购需求管理办法&gt;的通知》(财库〔2021〕 22号)、《巴中市财政局关于进一步加强政府采购项目合同履约验 收管理工作的通知》(巴财采〔2021〕21号)要求、招标文件要求、 投标文件承诺及合同约定标准进行验收。</w:t>
            </w:r>
          </w:p>
        </w:tc>
      </w:tr>
      <w:tr w14:paraId="58D5C2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378CD2F">
            <w:pPr>
              <w:pStyle w:val="4"/>
              <w:jc w:val="left"/>
            </w:pPr>
            <w:r>
              <w:rPr>
                <w:rFonts w:ascii="仿宋_GB2312" w:hAnsi="仿宋_GB2312" w:eastAsia="仿宋_GB2312" w:cs="仿宋_GB2312"/>
              </w:rPr>
              <w:t>4</w:t>
            </w:r>
          </w:p>
        </w:tc>
        <w:tc>
          <w:tcPr>
            <w:tcW w:w="2076" w:type="dxa"/>
          </w:tcPr>
          <w:p w14:paraId="3CE1F383">
            <w:pPr>
              <w:pStyle w:val="4"/>
              <w:jc w:val="left"/>
            </w:pPr>
            <w:r>
              <w:rPr>
                <w:rFonts w:ascii="仿宋_GB2312" w:hAnsi="仿宋_GB2312" w:eastAsia="仿宋_GB2312" w:cs="仿宋_GB2312"/>
              </w:rPr>
              <w:t>★</w:t>
            </w:r>
          </w:p>
        </w:tc>
        <w:tc>
          <w:tcPr>
            <w:tcW w:w="2076" w:type="dxa"/>
          </w:tcPr>
          <w:p w14:paraId="2498E37B">
            <w:pPr>
              <w:pStyle w:val="4"/>
              <w:jc w:val="left"/>
            </w:pPr>
            <w:r>
              <w:rPr>
                <w:rFonts w:ascii="仿宋_GB2312" w:hAnsi="仿宋_GB2312" w:eastAsia="仿宋_GB2312" w:cs="仿宋_GB2312"/>
              </w:rPr>
              <w:t>支付方式</w:t>
            </w:r>
          </w:p>
        </w:tc>
        <w:tc>
          <w:tcPr>
            <w:tcW w:w="2076" w:type="dxa"/>
          </w:tcPr>
          <w:p w14:paraId="64035DE4">
            <w:pPr>
              <w:pStyle w:val="4"/>
              <w:jc w:val="left"/>
            </w:pPr>
            <w:r>
              <w:rPr>
                <w:rFonts w:ascii="仿宋_GB2312" w:hAnsi="仿宋_GB2312" w:eastAsia="仿宋_GB2312" w:cs="仿宋_GB2312"/>
              </w:rPr>
              <w:t>分期付款</w:t>
            </w:r>
            <w:bookmarkStart w:id="0" w:name="_GoBack"/>
            <w:bookmarkEnd w:id="0"/>
          </w:p>
        </w:tc>
      </w:tr>
      <w:tr w14:paraId="2C9A5E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CAC7166">
            <w:pPr>
              <w:pStyle w:val="4"/>
              <w:jc w:val="left"/>
            </w:pPr>
            <w:r>
              <w:rPr>
                <w:rFonts w:ascii="仿宋_GB2312" w:hAnsi="仿宋_GB2312" w:eastAsia="仿宋_GB2312" w:cs="仿宋_GB2312"/>
              </w:rPr>
              <w:t>5</w:t>
            </w:r>
          </w:p>
        </w:tc>
        <w:tc>
          <w:tcPr>
            <w:tcW w:w="2076" w:type="dxa"/>
          </w:tcPr>
          <w:p w14:paraId="38FD946F">
            <w:pPr>
              <w:pStyle w:val="4"/>
              <w:jc w:val="left"/>
            </w:pPr>
            <w:r>
              <w:rPr>
                <w:rFonts w:ascii="仿宋_GB2312" w:hAnsi="仿宋_GB2312" w:eastAsia="仿宋_GB2312" w:cs="仿宋_GB2312"/>
              </w:rPr>
              <w:t>★</w:t>
            </w:r>
          </w:p>
        </w:tc>
        <w:tc>
          <w:tcPr>
            <w:tcW w:w="2076" w:type="dxa"/>
          </w:tcPr>
          <w:p w14:paraId="552B78A9">
            <w:pPr>
              <w:pStyle w:val="4"/>
              <w:jc w:val="left"/>
            </w:pPr>
            <w:r>
              <w:rPr>
                <w:rFonts w:ascii="仿宋_GB2312" w:hAnsi="仿宋_GB2312" w:eastAsia="仿宋_GB2312" w:cs="仿宋_GB2312"/>
              </w:rPr>
              <w:t>付款进度安排</w:t>
            </w:r>
          </w:p>
        </w:tc>
        <w:tc>
          <w:tcPr>
            <w:tcW w:w="2076" w:type="dxa"/>
          </w:tcPr>
          <w:p w14:paraId="4BCF7123">
            <w:pPr>
              <w:pStyle w:val="4"/>
              <w:jc w:val="left"/>
            </w:pPr>
            <w:r>
              <w:rPr>
                <w:rFonts w:ascii="仿宋_GB2312" w:hAnsi="仿宋_GB2312" w:eastAsia="仿宋_GB2312" w:cs="仿宋_GB2312"/>
              </w:rPr>
              <w:t>1付款条件：分期付款，每月结算一次，达到该付款条件起5个工作日内，据实情况说明为分期付款，每月结算一次。每月实际采购数量×产品基准价×百分比（中标报价百分比）=每月应结算款项。在学校后勤服务中心、学校工会（纪委）的监督下，学校据实核算配送费用，达到付款条件之日起5个工作日内，采购人支付给中标人，并将结算情况在学校公示。 款项票据和相关附件须由采购人审核并签批确认后，将款项支付给中标人，不进行现金交易</w:t>
            </w:r>
          </w:p>
        </w:tc>
      </w:tr>
      <w:tr w14:paraId="071441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D4D3769">
            <w:pPr>
              <w:pStyle w:val="4"/>
              <w:jc w:val="left"/>
            </w:pPr>
            <w:r>
              <w:rPr>
                <w:rFonts w:ascii="仿宋_GB2312" w:hAnsi="仿宋_GB2312" w:eastAsia="仿宋_GB2312" w:cs="仿宋_GB2312"/>
              </w:rPr>
              <w:t>6</w:t>
            </w:r>
          </w:p>
        </w:tc>
        <w:tc>
          <w:tcPr>
            <w:tcW w:w="2076" w:type="dxa"/>
          </w:tcPr>
          <w:p w14:paraId="545C2117">
            <w:pPr>
              <w:pStyle w:val="4"/>
              <w:jc w:val="left"/>
            </w:pPr>
            <w:r>
              <w:rPr>
                <w:rFonts w:ascii="仿宋_GB2312" w:hAnsi="仿宋_GB2312" w:eastAsia="仿宋_GB2312" w:cs="仿宋_GB2312"/>
              </w:rPr>
              <w:t>★</w:t>
            </w:r>
          </w:p>
        </w:tc>
        <w:tc>
          <w:tcPr>
            <w:tcW w:w="2076" w:type="dxa"/>
          </w:tcPr>
          <w:p w14:paraId="3FC892D2">
            <w:pPr>
              <w:pStyle w:val="4"/>
              <w:jc w:val="left"/>
            </w:pPr>
            <w:r>
              <w:rPr>
                <w:rFonts w:ascii="仿宋_GB2312" w:hAnsi="仿宋_GB2312" w:eastAsia="仿宋_GB2312" w:cs="仿宋_GB2312"/>
              </w:rPr>
              <w:t>违约责任与解决争议的方法</w:t>
            </w:r>
          </w:p>
        </w:tc>
        <w:tc>
          <w:tcPr>
            <w:tcW w:w="2076" w:type="dxa"/>
          </w:tcPr>
          <w:p w14:paraId="0B74D3C5">
            <w:pPr>
              <w:pStyle w:val="4"/>
              <w:jc w:val="left"/>
            </w:pPr>
            <w:r>
              <w:rPr>
                <w:rFonts w:ascii="仿宋_GB2312" w:hAnsi="仿宋_GB2312" w:eastAsia="仿宋_GB2312" w:cs="仿宋_GB2312"/>
              </w:rPr>
              <w:t>1.因合同履行发生争议，由采购人或其指定的第三方机构进行质量鉴定。食材符合标准的，鉴定费由采购人承担；食材不符合质量标准的，鉴定费由中标人承担。2.合同履行期间，若双方发生争议，可协商或由有关部门调解，协商或调解不成的，由采购人所在地人民法院管辖解决。3.人民法院裁决应为最终决定，并对双方具有约束力。4.除另有裁决外，诉讼费应由败诉方负担。5.在诉讼期间，除正在进行诉讼部分外，合同其他部分继续执行。</w:t>
            </w:r>
          </w:p>
        </w:tc>
      </w:tr>
    </w:tbl>
    <w:p w14:paraId="64B19DBA">
      <w:pPr>
        <w:pStyle w:val="4"/>
        <w:jc w:val="left"/>
        <w:outlineLvl w:val="2"/>
      </w:pPr>
      <w:r>
        <w:rPr>
          <w:rFonts w:ascii="仿宋_GB2312" w:hAnsi="仿宋_GB2312" w:eastAsia="仿宋_GB2312" w:cs="仿宋_GB2312"/>
          <w:b/>
          <w:sz w:val="28"/>
        </w:rPr>
        <w:t>3.4.其他要求</w:t>
      </w:r>
    </w:p>
    <w:p w14:paraId="12D66FA7">
      <w:pPr>
        <w:pStyle w:val="4"/>
        <w:ind w:firstLine="480"/>
        <w:jc w:val="left"/>
      </w:pPr>
      <w:r>
        <w:rPr>
          <w:rFonts w:ascii="仿宋_GB2312" w:hAnsi="仿宋_GB2312" w:eastAsia="仿宋_GB2312" w:cs="仿宋_GB2312"/>
        </w:rPr>
        <w:t>采购包1：</w:t>
      </w:r>
    </w:p>
    <w:p w14:paraId="78905577">
      <w:pPr>
        <w:pStyle w:val="4"/>
        <w:jc w:val="left"/>
      </w:pPr>
      <w:r>
        <w:rPr>
          <w:rFonts w:ascii="仿宋_GB2312" w:hAnsi="仿宋_GB2312" w:eastAsia="仿宋_GB2312" w:cs="仿宋_GB2312"/>
        </w:rPr>
        <w:t>无</w:t>
      </w:r>
    </w:p>
    <w:p w14:paraId="60721DD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2F65DB"/>
    <w:rsid w:val="2C0C50BF"/>
    <w:rsid w:val="392F65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1273</Words>
  <Characters>1396</Characters>
  <Lines>0</Lines>
  <Paragraphs>0</Paragraphs>
  <TotalTime>0</TotalTime>
  <ScaleCrop>false</ScaleCrop>
  <LinksUpToDate>false</LinksUpToDate>
  <CharactersWithSpaces>1412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2026-09-10T03:19:00Z</dcterms:created>
  <dc:creator>Administrator</dc:creator>
  <cp:lastModifiedBy>Administrator</cp:lastModifiedBy>
  <dcterms:modified xsi:type="dcterms:W3CDTF">2026-09-10T08:41:20Z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B2356E1C7BA94EA5A80011C3214D491F_11</vt:lpwstr>
  </property>
  <property fmtid="{D5CDD505-2E9C-101B-9397-08002B2CF9AE}" pid="4" name="KSOTemplateDocerSaveRecord">
    <vt:lpwstr>eyJoZGlkIjoiNDg2YzIxMzFjMTQxNDMwYjQ4NDQzNjQzZDhhMDNlYmUiLCJ1c2VySWQiOiIxNDMzMDg1NzQyIn0=</vt:lpwstr>
  </property>
</Properties>
</file>